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5056" w:rsidRPr="007E0C28" w:rsidRDefault="00B15056" w:rsidP="00A2683E">
      <w:pPr>
        <w:widowControl/>
        <w:spacing w:line="360" w:lineRule="auto"/>
        <w:rPr>
          <w:rFonts w:ascii="Book Antiqua" w:hAnsi="Book Antiqua"/>
          <w:b/>
          <w:kern w:val="0"/>
          <w:szCs w:val="24"/>
          <w:lang w:eastAsia="en-US"/>
        </w:rPr>
      </w:pPr>
      <w:r w:rsidRPr="007E0C28">
        <w:rPr>
          <w:rFonts w:ascii="Book Antiqua" w:hAnsi="Book Antiqua"/>
          <w:b/>
          <w:kern w:val="0"/>
          <w:szCs w:val="24"/>
          <w:lang w:eastAsia="en-US"/>
        </w:rPr>
        <w:t>Name of journal: World Journal of</w:t>
      </w:r>
      <w:r w:rsidRPr="007E0C28">
        <w:rPr>
          <w:rFonts w:ascii="Book Antiqua" w:hAnsi="Book Antiqua"/>
          <w:b/>
          <w:kern w:val="0"/>
          <w:szCs w:val="24"/>
          <w:lang w:eastAsia="zh-CN"/>
        </w:rPr>
        <w:t xml:space="preserve"> </w:t>
      </w:r>
      <w:r w:rsidRPr="007E0C28">
        <w:rPr>
          <w:rFonts w:ascii="Book Antiqua" w:hAnsi="Book Antiqua"/>
          <w:b/>
          <w:kern w:val="0"/>
          <w:szCs w:val="24"/>
          <w:lang w:eastAsia="en-US"/>
        </w:rPr>
        <w:t>Gastrointestinal Endoscopy</w:t>
      </w:r>
    </w:p>
    <w:p w:rsidR="00B15056" w:rsidRPr="007E0C28" w:rsidRDefault="00B15056" w:rsidP="00A2683E">
      <w:pPr>
        <w:widowControl/>
        <w:spacing w:line="360" w:lineRule="auto"/>
        <w:rPr>
          <w:rFonts w:ascii="Book Antiqua" w:hAnsi="Book Antiqua"/>
          <w:b/>
          <w:kern w:val="0"/>
          <w:szCs w:val="24"/>
          <w:lang w:eastAsia="en-US"/>
        </w:rPr>
      </w:pPr>
      <w:r w:rsidRPr="007E0C28">
        <w:rPr>
          <w:rFonts w:ascii="Book Antiqua" w:hAnsi="Book Antiqua"/>
          <w:b/>
          <w:kern w:val="0"/>
          <w:szCs w:val="24"/>
          <w:lang w:eastAsia="en-US"/>
        </w:rPr>
        <w:t>ESPS Manuscript NO: 13895</w:t>
      </w:r>
    </w:p>
    <w:p w:rsidR="00B15056" w:rsidRPr="007E0C28" w:rsidRDefault="00B15056" w:rsidP="00A2683E">
      <w:pPr>
        <w:widowControl/>
        <w:spacing w:line="360" w:lineRule="auto"/>
        <w:rPr>
          <w:rFonts w:ascii="Book Antiqua" w:hAnsi="Book Antiqua"/>
          <w:b/>
          <w:kern w:val="0"/>
          <w:szCs w:val="24"/>
          <w:lang w:eastAsia="zh-CN"/>
        </w:rPr>
      </w:pPr>
      <w:r w:rsidRPr="007E0C28">
        <w:rPr>
          <w:rFonts w:ascii="Book Antiqua" w:hAnsi="Book Antiqua"/>
          <w:b/>
          <w:kern w:val="0"/>
          <w:szCs w:val="24"/>
          <w:lang w:eastAsia="en-US"/>
        </w:rPr>
        <w:t>Columns: Review</w:t>
      </w:r>
    </w:p>
    <w:p w:rsidR="00B15056" w:rsidRPr="007E0C28" w:rsidRDefault="00B15056" w:rsidP="00A2683E">
      <w:pPr>
        <w:spacing w:line="360" w:lineRule="auto"/>
        <w:rPr>
          <w:rFonts w:ascii="Book Antiqua" w:hAnsi="Book Antiqua"/>
          <w:szCs w:val="24"/>
          <w:lang w:eastAsia="zh-CN"/>
        </w:rPr>
      </w:pPr>
    </w:p>
    <w:p w:rsidR="00B15056" w:rsidRPr="007E0C28" w:rsidRDefault="00B15056" w:rsidP="00A2683E">
      <w:pPr>
        <w:spacing w:line="360" w:lineRule="auto"/>
        <w:rPr>
          <w:rFonts w:ascii="Book Antiqua" w:hAnsi="Book Antiqua"/>
          <w:b/>
          <w:szCs w:val="24"/>
        </w:rPr>
      </w:pPr>
      <w:r w:rsidRPr="007E0C28">
        <w:rPr>
          <w:rFonts w:ascii="Book Antiqua" w:hAnsi="Book Antiqua"/>
          <w:b/>
          <w:szCs w:val="24"/>
        </w:rPr>
        <w:t>Review of the diagnosis and management of gastrointestinal bezoars</w:t>
      </w:r>
    </w:p>
    <w:p w:rsidR="00B15056" w:rsidRPr="007E0C28" w:rsidRDefault="00B15056" w:rsidP="00A2683E">
      <w:pPr>
        <w:spacing w:line="360" w:lineRule="auto"/>
        <w:rPr>
          <w:rFonts w:ascii="Book Antiqua" w:hAnsi="Book Antiqua"/>
          <w:szCs w:val="24"/>
          <w:lang w:eastAsia="zh-CN"/>
        </w:rPr>
      </w:pPr>
    </w:p>
    <w:p w:rsidR="00B15056" w:rsidRPr="007E0C28" w:rsidRDefault="00B15056" w:rsidP="00A2683E">
      <w:pPr>
        <w:spacing w:line="360" w:lineRule="auto"/>
        <w:rPr>
          <w:rFonts w:ascii="Book Antiqua" w:hAnsi="Book Antiqua"/>
          <w:szCs w:val="24"/>
        </w:rPr>
      </w:pPr>
      <w:r w:rsidRPr="007E0C28">
        <w:rPr>
          <w:rFonts w:ascii="Book Antiqua" w:hAnsi="Book Antiqua"/>
          <w:szCs w:val="24"/>
        </w:rPr>
        <w:t>Iwamuro</w:t>
      </w:r>
      <w:r w:rsidRPr="007E0C28">
        <w:rPr>
          <w:rFonts w:ascii="Book Antiqua" w:eastAsia="宋体" w:hAnsi="Book Antiqua"/>
          <w:szCs w:val="24"/>
          <w:lang w:eastAsia="zh-CN"/>
        </w:rPr>
        <w:t xml:space="preserve"> M </w:t>
      </w:r>
      <w:r w:rsidRPr="007E0C28">
        <w:rPr>
          <w:rFonts w:ascii="Book Antiqua" w:eastAsia="宋体" w:hAnsi="Book Antiqua"/>
          <w:i/>
          <w:szCs w:val="24"/>
          <w:lang w:eastAsia="zh-CN"/>
        </w:rPr>
        <w:t>et al</w:t>
      </w:r>
      <w:r w:rsidRPr="007E0C28">
        <w:rPr>
          <w:rFonts w:ascii="Book Antiqua" w:eastAsia="宋体" w:hAnsi="Book Antiqua"/>
          <w:szCs w:val="24"/>
          <w:lang w:eastAsia="zh-CN"/>
        </w:rPr>
        <w:t>.</w:t>
      </w:r>
      <w:r w:rsidRPr="007E0C28">
        <w:rPr>
          <w:rFonts w:ascii="Book Antiqua" w:hAnsi="Book Antiqua"/>
          <w:b/>
          <w:szCs w:val="24"/>
        </w:rPr>
        <w:t xml:space="preserve"> </w:t>
      </w:r>
      <w:r w:rsidRPr="007E0C28">
        <w:rPr>
          <w:rFonts w:ascii="Book Antiqua" w:hAnsi="Book Antiqua"/>
          <w:szCs w:val="24"/>
        </w:rPr>
        <w:t>Diagnosis and management of gastrointestinal bezoars</w:t>
      </w:r>
    </w:p>
    <w:p w:rsidR="00B15056" w:rsidRPr="007E0C28" w:rsidRDefault="00B15056" w:rsidP="00A2683E">
      <w:pPr>
        <w:spacing w:line="360" w:lineRule="auto"/>
        <w:rPr>
          <w:rFonts w:ascii="Book Antiqua" w:hAnsi="Book Antiqua"/>
          <w:szCs w:val="24"/>
          <w:lang w:eastAsia="zh-CN"/>
        </w:rPr>
      </w:pPr>
    </w:p>
    <w:p w:rsidR="00B15056" w:rsidRPr="007E0C28" w:rsidRDefault="00B15056" w:rsidP="00A2683E">
      <w:pPr>
        <w:spacing w:line="360" w:lineRule="auto"/>
        <w:rPr>
          <w:rFonts w:ascii="Book Antiqua" w:hAnsi="Book Antiqua"/>
          <w:szCs w:val="24"/>
        </w:rPr>
      </w:pPr>
      <w:r w:rsidRPr="007E0C28">
        <w:rPr>
          <w:rFonts w:ascii="Book Antiqua" w:hAnsi="Book Antiqua"/>
          <w:szCs w:val="24"/>
        </w:rPr>
        <w:t>Masaya Iwamuro, Hiroyuki Okada, Kazuhiro Matsueda, Tomoki Inaba,</w:t>
      </w:r>
      <w:r w:rsidRPr="007E0C28">
        <w:rPr>
          <w:rFonts w:ascii="Book Antiqua" w:eastAsia="宋体" w:hAnsi="Book Antiqua"/>
          <w:szCs w:val="24"/>
          <w:lang w:eastAsia="zh-CN"/>
        </w:rPr>
        <w:t xml:space="preserve"> </w:t>
      </w:r>
      <w:r w:rsidRPr="007E0C28">
        <w:rPr>
          <w:rFonts w:ascii="Book Antiqua" w:hAnsi="Book Antiqua"/>
          <w:szCs w:val="24"/>
        </w:rPr>
        <w:t>Chiaki Kusumoto, Atsushi Imagawa, Kazuhide Yamamoto</w:t>
      </w:r>
    </w:p>
    <w:p w:rsidR="00B15056" w:rsidRPr="007E0C28" w:rsidRDefault="00B15056" w:rsidP="00A2683E">
      <w:pPr>
        <w:spacing w:line="360" w:lineRule="auto"/>
        <w:rPr>
          <w:rFonts w:ascii="Book Antiqua" w:hAnsi="Book Antiqua"/>
          <w:szCs w:val="24"/>
        </w:rPr>
      </w:pPr>
    </w:p>
    <w:p w:rsidR="00B15056" w:rsidRPr="007E0C28" w:rsidRDefault="00B15056" w:rsidP="00A2683E">
      <w:pPr>
        <w:spacing w:line="360" w:lineRule="auto"/>
        <w:rPr>
          <w:rFonts w:ascii="Book Antiqua" w:hAnsi="Book Antiqua"/>
          <w:szCs w:val="24"/>
        </w:rPr>
      </w:pPr>
      <w:r w:rsidRPr="007E0C28">
        <w:rPr>
          <w:rFonts w:ascii="Book Antiqua" w:hAnsi="Book Antiqua"/>
          <w:b/>
          <w:szCs w:val="24"/>
        </w:rPr>
        <w:t>Masaya Iwamuro</w:t>
      </w:r>
      <w:r w:rsidRPr="007E0C28">
        <w:rPr>
          <w:rFonts w:ascii="Book Antiqua" w:hAnsi="Book Antiqua"/>
          <w:szCs w:val="24"/>
          <w:lang w:eastAsia="zh-CN"/>
        </w:rPr>
        <w:t>,</w:t>
      </w:r>
      <w:r w:rsidRPr="007E0C28">
        <w:rPr>
          <w:rFonts w:ascii="Book Antiqua" w:hAnsi="Book Antiqua"/>
          <w:szCs w:val="24"/>
          <w:vertAlign w:val="superscript"/>
        </w:rPr>
        <w:t xml:space="preserve"> </w:t>
      </w:r>
      <w:r w:rsidRPr="007E0C28">
        <w:rPr>
          <w:rFonts w:ascii="Book Antiqua" w:hAnsi="Book Antiqua"/>
          <w:szCs w:val="24"/>
        </w:rPr>
        <w:t>Department of Molecular Hepatology, Okayama University</w:t>
      </w:r>
      <w:r w:rsidRPr="007E0C28">
        <w:rPr>
          <w:rFonts w:ascii="Book Antiqua" w:hAnsi="Book Antiqua"/>
          <w:szCs w:val="24"/>
          <w:lang w:eastAsia="zh-CN"/>
        </w:rPr>
        <w:t xml:space="preserve"> </w:t>
      </w:r>
      <w:r w:rsidRPr="007E0C28">
        <w:rPr>
          <w:rFonts w:ascii="Book Antiqua" w:hAnsi="Book Antiqua"/>
          <w:szCs w:val="24"/>
        </w:rPr>
        <w:t>Graduate School of Medicine, Dentistry, and Pharmaceutical Sciences, Okayama 700-8558, Japan</w:t>
      </w:r>
    </w:p>
    <w:p w:rsidR="00B15056" w:rsidRPr="007E0C28" w:rsidRDefault="00B15056" w:rsidP="00A2683E">
      <w:pPr>
        <w:spacing w:line="360" w:lineRule="auto"/>
        <w:rPr>
          <w:rFonts w:ascii="Book Antiqua" w:hAnsi="Book Antiqua"/>
          <w:szCs w:val="24"/>
        </w:rPr>
      </w:pPr>
      <w:r w:rsidRPr="007E0C28">
        <w:rPr>
          <w:rFonts w:ascii="Book Antiqua" w:hAnsi="Book Antiqua"/>
          <w:b/>
          <w:szCs w:val="24"/>
        </w:rPr>
        <w:t>Hiroyuki Okada</w:t>
      </w:r>
      <w:r w:rsidRPr="007E0C28">
        <w:rPr>
          <w:rFonts w:ascii="Book Antiqua" w:hAnsi="Book Antiqua"/>
          <w:szCs w:val="24"/>
          <w:lang w:eastAsia="zh-CN"/>
        </w:rPr>
        <w:t>,</w:t>
      </w:r>
      <w:r w:rsidRPr="007E0C28">
        <w:rPr>
          <w:rFonts w:ascii="Book Antiqua" w:hAnsi="Book Antiqua"/>
          <w:szCs w:val="24"/>
        </w:rPr>
        <w:t xml:space="preserve"> Department of Endoscopy, Okayama University Hospital, Okayama 700-8558, Japan</w:t>
      </w:r>
    </w:p>
    <w:p w:rsidR="00B15056" w:rsidRPr="007E0C28" w:rsidRDefault="00B15056" w:rsidP="00A2683E">
      <w:pPr>
        <w:spacing w:line="360" w:lineRule="auto"/>
        <w:rPr>
          <w:rFonts w:ascii="Book Antiqua" w:hAnsi="Book Antiqua"/>
          <w:szCs w:val="24"/>
        </w:rPr>
      </w:pPr>
      <w:r w:rsidRPr="007E0C28">
        <w:rPr>
          <w:rFonts w:ascii="Book Antiqua" w:hAnsi="Book Antiqua"/>
          <w:b/>
          <w:szCs w:val="24"/>
        </w:rPr>
        <w:t>Kazuhiro Matsueda</w:t>
      </w:r>
      <w:r w:rsidRPr="007E0C28">
        <w:rPr>
          <w:rFonts w:ascii="Book Antiqua" w:hAnsi="Book Antiqua"/>
          <w:szCs w:val="24"/>
          <w:lang w:eastAsia="zh-CN"/>
        </w:rPr>
        <w:t>,</w:t>
      </w:r>
      <w:r w:rsidRPr="007E0C28">
        <w:rPr>
          <w:rFonts w:ascii="Book Antiqua" w:hAnsi="Book Antiqua"/>
          <w:szCs w:val="24"/>
        </w:rPr>
        <w:t xml:space="preserve"> Department of Gastroenterology, Kurashiki Central Hospital, Okayama 710-8602, Japan</w:t>
      </w:r>
    </w:p>
    <w:p w:rsidR="00B15056" w:rsidRPr="007E0C28" w:rsidRDefault="00B15056" w:rsidP="00A2683E">
      <w:pPr>
        <w:spacing w:line="360" w:lineRule="auto"/>
        <w:rPr>
          <w:rFonts w:ascii="Book Antiqua" w:hAnsi="Book Antiqua"/>
          <w:szCs w:val="24"/>
        </w:rPr>
      </w:pPr>
      <w:r w:rsidRPr="007E0C28">
        <w:rPr>
          <w:rFonts w:ascii="Book Antiqua" w:hAnsi="Book Antiqua"/>
          <w:b/>
          <w:szCs w:val="24"/>
        </w:rPr>
        <w:t>Tomoki Inaba</w:t>
      </w:r>
      <w:r w:rsidRPr="007E0C28">
        <w:rPr>
          <w:rFonts w:ascii="Book Antiqua" w:hAnsi="Book Antiqua"/>
          <w:szCs w:val="24"/>
          <w:lang w:eastAsia="zh-CN"/>
        </w:rPr>
        <w:t>,</w:t>
      </w:r>
      <w:r w:rsidRPr="007E0C28">
        <w:rPr>
          <w:rFonts w:ascii="Book Antiqua" w:hAnsi="Book Antiqua"/>
          <w:szCs w:val="24"/>
        </w:rPr>
        <w:t xml:space="preserve"> Department of Gastroenterology, Kagawa Prefectural Central Hospital, Takamatsu 760-8557, Japan</w:t>
      </w:r>
    </w:p>
    <w:p w:rsidR="00B15056" w:rsidRPr="007E0C28" w:rsidRDefault="00B15056" w:rsidP="00A2683E">
      <w:pPr>
        <w:spacing w:line="360" w:lineRule="auto"/>
        <w:rPr>
          <w:rFonts w:ascii="Book Antiqua" w:hAnsi="Book Antiqua"/>
          <w:szCs w:val="24"/>
        </w:rPr>
      </w:pPr>
      <w:r w:rsidRPr="007E0C28">
        <w:rPr>
          <w:rFonts w:ascii="Book Antiqua" w:hAnsi="Book Antiqua"/>
          <w:b/>
          <w:szCs w:val="24"/>
        </w:rPr>
        <w:t>Chiaki Kusumoto</w:t>
      </w:r>
      <w:r w:rsidRPr="007E0C28">
        <w:rPr>
          <w:rFonts w:ascii="Book Antiqua" w:hAnsi="Book Antiqua"/>
          <w:szCs w:val="24"/>
          <w:lang w:eastAsia="zh-CN"/>
        </w:rPr>
        <w:t>,</w:t>
      </w:r>
      <w:r w:rsidRPr="007E0C28">
        <w:rPr>
          <w:rFonts w:ascii="Book Antiqua" w:hAnsi="Book Antiqua"/>
          <w:szCs w:val="24"/>
        </w:rPr>
        <w:t xml:space="preserve"> Department of Gastroenterology, Nippon Kokan Fukuyama Hospital, Fukuyama 721-0927, Japan</w:t>
      </w:r>
    </w:p>
    <w:p w:rsidR="00B15056" w:rsidRPr="007E0C28" w:rsidRDefault="00B15056" w:rsidP="00A2683E">
      <w:pPr>
        <w:spacing w:line="360" w:lineRule="auto"/>
        <w:rPr>
          <w:rFonts w:ascii="Book Antiqua" w:hAnsi="Book Antiqua"/>
          <w:szCs w:val="24"/>
        </w:rPr>
      </w:pPr>
      <w:r w:rsidRPr="007E0C28">
        <w:rPr>
          <w:rFonts w:ascii="Book Antiqua" w:hAnsi="Book Antiqua"/>
          <w:b/>
          <w:szCs w:val="24"/>
        </w:rPr>
        <w:t>Atsushi Imagawa</w:t>
      </w:r>
      <w:r w:rsidRPr="007E0C28">
        <w:rPr>
          <w:rFonts w:ascii="Book Antiqua" w:hAnsi="Book Antiqua"/>
          <w:szCs w:val="24"/>
          <w:lang w:eastAsia="zh-CN"/>
        </w:rPr>
        <w:t>,</w:t>
      </w:r>
      <w:r w:rsidRPr="007E0C28">
        <w:rPr>
          <w:rFonts w:ascii="Book Antiqua" w:hAnsi="Book Antiqua"/>
          <w:szCs w:val="24"/>
        </w:rPr>
        <w:t xml:space="preserve"> Department of Gastroenterology, Mitoyo General Hospital, Kan-onji 769-1695, Japan</w:t>
      </w:r>
    </w:p>
    <w:p w:rsidR="00B15056" w:rsidRPr="007E0C28" w:rsidRDefault="00B15056" w:rsidP="00A2683E">
      <w:pPr>
        <w:spacing w:line="360" w:lineRule="auto"/>
        <w:rPr>
          <w:rFonts w:ascii="Book Antiqua" w:hAnsi="Book Antiqua"/>
          <w:szCs w:val="24"/>
        </w:rPr>
      </w:pPr>
      <w:r w:rsidRPr="007E0C28">
        <w:rPr>
          <w:rFonts w:ascii="Book Antiqua" w:hAnsi="Book Antiqua"/>
          <w:b/>
          <w:szCs w:val="24"/>
        </w:rPr>
        <w:t>Kazuhide Yamamoto</w:t>
      </w:r>
      <w:r w:rsidRPr="007E0C28">
        <w:rPr>
          <w:rFonts w:ascii="Book Antiqua" w:hAnsi="Book Antiqua"/>
          <w:szCs w:val="24"/>
          <w:lang w:eastAsia="zh-CN"/>
        </w:rPr>
        <w:t>,</w:t>
      </w:r>
      <w:r w:rsidRPr="007E0C28">
        <w:rPr>
          <w:rFonts w:ascii="Book Antiqua" w:hAnsi="Book Antiqua"/>
          <w:szCs w:val="24"/>
        </w:rPr>
        <w:t xml:space="preserve"> Department of Gastroenterology and Hepatology, Okayama University Graduate School of Medicine, Dentistry, and Pharmaceutical Sciences, Okayama 700-8558, Japan</w:t>
      </w:r>
    </w:p>
    <w:p w:rsidR="00B15056" w:rsidRPr="007E0C28" w:rsidRDefault="00B15056" w:rsidP="00A2683E">
      <w:pPr>
        <w:spacing w:line="360" w:lineRule="auto"/>
        <w:rPr>
          <w:rFonts w:ascii="Book Antiqua" w:hAnsi="Book Antiqua"/>
          <w:szCs w:val="24"/>
        </w:rPr>
      </w:pPr>
    </w:p>
    <w:p w:rsidR="00B15056" w:rsidRPr="007E0C28" w:rsidRDefault="00B15056" w:rsidP="00A2683E">
      <w:pPr>
        <w:spacing w:line="360" w:lineRule="auto"/>
        <w:rPr>
          <w:rFonts w:ascii="Book Antiqua" w:hAnsi="Book Antiqua"/>
          <w:b/>
        </w:rPr>
      </w:pPr>
      <w:r w:rsidRPr="007E0C28">
        <w:rPr>
          <w:rFonts w:ascii="Book Antiqua" w:hAnsi="Book Antiqua"/>
          <w:b/>
        </w:rPr>
        <w:t>Author contributions:</w:t>
      </w:r>
      <w:r w:rsidRPr="007E0C28">
        <w:rPr>
          <w:rFonts w:ascii="Book Antiqua" w:hAnsi="Book Antiqua"/>
          <w:b/>
          <w:lang w:eastAsia="zh-CN"/>
        </w:rPr>
        <w:t xml:space="preserve"> </w:t>
      </w:r>
      <w:r w:rsidRPr="007E0C28">
        <w:rPr>
          <w:rFonts w:ascii="Book Antiqua" w:hAnsi="Book Antiqua"/>
          <w:szCs w:val="24"/>
        </w:rPr>
        <w:t xml:space="preserve">Iwamuro </w:t>
      </w:r>
      <w:r w:rsidRPr="007E0C28">
        <w:rPr>
          <w:rFonts w:ascii="Book Antiqua" w:eastAsia="宋体" w:hAnsi="Book Antiqua"/>
          <w:szCs w:val="24"/>
          <w:lang w:eastAsia="zh-CN"/>
        </w:rPr>
        <w:t xml:space="preserve">M </w:t>
      </w:r>
      <w:r w:rsidRPr="007E0C28">
        <w:rPr>
          <w:rFonts w:ascii="Book Antiqua" w:hAnsi="Book Antiqua"/>
          <w:szCs w:val="24"/>
        </w:rPr>
        <w:t>and Okada</w:t>
      </w:r>
      <w:r w:rsidRPr="007E0C28">
        <w:rPr>
          <w:rFonts w:ascii="Book Antiqua" w:eastAsia="宋体" w:hAnsi="Book Antiqua"/>
          <w:szCs w:val="24"/>
          <w:lang w:eastAsia="zh-CN"/>
        </w:rPr>
        <w:t xml:space="preserve"> H</w:t>
      </w:r>
      <w:r w:rsidRPr="007E0C28">
        <w:rPr>
          <w:rFonts w:ascii="Book Antiqua" w:hAnsi="Book Antiqua"/>
          <w:szCs w:val="24"/>
        </w:rPr>
        <w:t xml:space="preserve"> designed the research study and wrote the paper</w:t>
      </w:r>
      <w:r w:rsidRPr="007E0C28">
        <w:rPr>
          <w:rFonts w:ascii="Book Antiqua" w:eastAsia="宋体" w:hAnsi="Book Antiqua"/>
          <w:szCs w:val="24"/>
          <w:lang w:eastAsia="zh-CN"/>
        </w:rPr>
        <w:t>;</w:t>
      </w:r>
      <w:r w:rsidRPr="007E0C28">
        <w:rPr>
          <w:rFonts w:ascii="Book Antiqua" w:hAnsi="Book Antiqua"/>
          <w:szCs w:val="24"/>
        </w:rPr>
        <w:t xml:space="preserve"> Matsueda</w:t>
      </w:r>
      <w:r w:rsidRPr="007E0C28">
        <w:rPr>
          <w:rFonts w:ascii="Book Antiqua" w:eastAsia="宋体" w:hAnsi="Book Antiqua"/>
          <w:szCs w:val="24"/>
          <w:lang w:eastAsia="zh-CN"/>
        </w:rPr>
        <w:t xml:space="preserve"> K</w:t>
      </w:r>
      <w:r w:rsidRPr="007E0C28">
        <w:rPr>
          <w:rFonts w:ascii="Book Antiqua" w:hAnsi="Book Antiqua"/>
          <w:szCs w:val="24"/>
        </w:rPr>
        <w:t>, Inaba</w:t>
      </w:r>
      <w:r w:rsidRPr="007E0C28">
        <w:rPr>
          <w:rFonts w:ascii="Book Antiqua" w:eastAsia="宋体" w:hAnsi="Book Antiqua"/>
          <w:szCs w:val="24"/>
          <w:lang w:eastAsia="zh-CN"/>
        </w:rPr>
        <w:t xml:space="preserve"> T</w:t>
      </w:r>
      <w:r w:rsidRPr="007E0C28">
        <w:rPr>
          <w:rFonts w:ascii="Book Antiqua" w:hAnsi="Book Antiqua"/>
          <w:szCs w:val="24"/>
        </w:rPr>
        <w:t>, Kusumoto</w:t>
      </w:r>
      <w:r w:rsidRPr="007E0C28">
        <w:rPr>
          <w:rFonts w:ascii="Book Antiqua" w:eastAsia="宋体" w:hAnsi="Book Antiqua"/>
          <w:szCs w:val="24"/>
          <w:lang w:eastAsia="zh-CN"/>
        </w:rPr>
        <w:t xml:space="preserve"> C</w:t>
      </w:r>
      <w:r w:rsidRPr="007E0C28">
        <w:rPr>
          <w:rFonts w:ascii="Book Antiqua" w:hAnsi="Book Antiqua"/>
          <w:szCs w:val="24"/>
        </w:rPr>
        <w:t xml:space="preserve"> and Imagawa</w:t>
      </w:r>
      <w:r w:rsidRPr="007E0C28">
        <w:rPr>
          <w:rFonts w:ascii="Book Antiqua" w:eastAsia="宋体" w:hAnsi="Book Antiqua"/>
          <w:szCs w:val="24"/>
          <w:lang w:eastAsia="zh-CN"/>
        </w:rPr>
        <w:t xml:space="preserve"> A</w:t>
      </w:r>
      <w:r w:rsidRPr="007E0C28">
        <w:rPr>
          <w:rFonts w:ascii="Book Antiqua" w:hAnsi="Book Antiqua"/>
          <w:szCs w:val="24"/>
        </w:rPr>
        <w:t xml:space="preserve"> made the endoscopic diagnoses and critically reviewed the manuscript for important intellectual content</w:t>
      </w:r>
      <w:r w:rsidRPr="007E0C28">
        <w:rPr>
          <w:rFonts w:ascii="Book Antiqua" w:eastAsia="宋体" w:hAnsi="Book Antiqua"/>
          <w:szCs w:val="24"/>
          <w:lang w:eastAsia="zh-CN"/>
        </w:rPr>
        <w:t>;</w:t>
      </w:r>
      <w:r w:rsidRPr="007E0C28">
        <w:rPr>
          <w:rFonts w:ascii="Book Antiqua" w:hAnsi="Book Antiqua"/>
          <w:szCs w:val="24"/>
        </w:rPr>
        <w:t xml:space="preserve"> Yamamoto</w:t>
      </w:r>
      <w:r w:rsidRPr="007E0C28">
        <w:rPr>
          <w:rFonts w:ascii="Book Antiqua" w:eastAsia="宋体" w:hAnsi="Book Antiqua"/>
          <w:szCs w:val="24"/>
          <w:lang w:eastAsia="zh-CN"/>
        </w:rPr>
        <w:t xml:space="preserve"> K</w:t>
      </w:r>
      <w:r w:rsidRPr="007E0C28">
        <w:rPr>
          <w:rFonts w:ascii="Book Antiqua" w:hAnsi="Book Antiqua"/>
          <w:szCs w:val="24"/>
        </w:rPr>
        <w:t xml:space="preserve"> approved the manuscript.</w:t>
      </w:r>
    </w:p>
    <w:p w:rsidR="00B15056" w:rsidRPr="007E0C28" w:rsidRDefault="00B15056" w:rsidP="00A2683E">
      <w:pPr>
        <w:spacing w:line="360" w:lineRule="auto"/>
        <w:rPr>
          <w:rFonts w:ascii="Book Antiqua" w:hAnsi="Book Antiqua"/>
          <w:szCs w:val="24"/>
        </w:rPr>
      </w:pPr>
    </w:p>
    <w:p w:rsidR="00B15056" w:rsidRPr="007E0C28" w:rsidRDefault="00B15056" w:rsidP="00A2683E">
      <w:pPr>
        <w:spacing w:line="360" w:lineRule="auto"/>
        <w:rPr>
          <w:rFonts w:ascii="Book Antiqua" w:hAnsi="Book Antiqua"/>
        </w:rPr>
      </w:pPr>
      <w:r w:rsidRPr="007E0C28">
        <w:rPr>
          <w:rFonts w:ascii="Book Antiqua" w:hAnsi="Book Antiqua"/>
          <w:b/>
        </w:rPr>
        <w:t xml:space="preserve">Conflict-of-interest: </w:t>
      </w:r>
      <w:r w:rsidRPr="007E0C28">
        <w:rPr>
          <w:rFonts w:ascii="Book Antiqua" w:hAnsi="Book Antiqua"/>
        </w:rPr>
        <w:t>The authors declare that there are no conflicts of interest.</w:t>
      </w:r>
    </w:p>
    <w:p w:rsidR="00B15056" w:rsidRPr="007E0C28" w:rsidRDefault="00B15056" w:rsidP="00A2683E">
      <w:pPr>
        <w:spacing w:line="360" w:lineRule="auto"/>
        <w:rPr>
          <w:rFonts w:ascii="Book Antiqua" w:eastAsia="宋体" w:hAnsi="Book Antiqua"/>
          <w:szCs w:val="24"/>
          <w:lang w:eastAsia="zh-CN"/>
        </w:rPr>
      </w:pPr>
    </w:p>
    <w:p w:rsidR="00B15056" w:rsidRPr="007E0C28" w:rsidRDefault="00B15056" w:rsidP="00FF7A2E">
      <w:pPr>
        <w:wordWrap w:val="0"/>
        <w:spacing w:line="360" w:lineRule="auto"/>
      </w:pPr>
      <w:bookmarkStart w:id="0" w:name="OLE_LINK507"/>
      <w:bookmarkStart w:id="1" w:name="OLE_LINK506"/>
      <w:bookmarkStart w:id="2" w:name="OLE_LINK496"/>
      <w:bookmarkStart w:id="3" w:name="OLE_LINK479"/>
      <w:r w:rsidRPr="007E0C28">
        <w:rPr>
          <w:rFonts w:ascii="Book Antiqua" w:hAnsi="Book Antiqua"/>
          <w:b/>
        </w:rPr>
        <w:t xml:space="preserve">Open-Access: </w:t>
      </w:r>
      <w:r w:rsidRPr="007E0C28">
        <w:rPr>
          <w:rFonts w:ascii="Book Antiqua" w:hAnsi="Book Antiqu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rsidR="00B15056" w:rsidRPr="007E0C28" w:rsidRDefault="00B15056" w:rsidP="00A2683E">
      <w:pPr>
        <w:spacing w:line="360" w:lineRule="auto"/>
        <w:rPr>
          <w:rFonts w:ascii="Book Antiqua" w:eastAsia="宋体" w:hAnsi="Book Antiqua"/>
          <w:szCs w:val="24"/>
          <w:lang w:eastAsia="zh-CN"/>
        </w:rPr>
      </w:pPr>
    </w:p>
    <w:p w:rsidR="00B15056" w:rsidRPr="007E0C28" w:rsidRDefault="00B15056" w:rsidP="00A2683E">
      <w:pPr>
        <w:spacing w:line="360" w:lineRule="auto"/>
        <w:rPr>
          <w:rFonts w:ascii="Book Antiqua" w:eastAsia="宋体" w:hAnsi="Book Antiqua"/>
          <w:szCs w:val="24"/>
          <w:lang w:eastAsia="zh-CN"/>
        </w:rPr>
      </w:pPr>
      <w:r w:rsidRPr="007E0C28">
        <w:rPr>
          <w:rFonts w:ascii="Book Antiqua" w:hAnsi="Book Antiqua"/>
          <w:b/>
        </w:rPr>
        <w:t>Correspondence to:</w:t>
      </w:r>
      <w:r w:rsidRPr="007E0C28">
        <w:rPr>
          <w:rFonts w:ascii="Book Antiqua" w:eastAsia="宋体" w:hAnsi="Book Antiqua" w:cs="Arial"/>
          <w:b/>
          <w:bCs/>
          <w:lang w:eastAsia="zh-CN"/>
        </w:rPr>
        <w:t xml:space="preserve"> </w:t>
      </w:r>
      <w:r w:rsidRPr="007E0C28">
        <w:rPr>
          <w:rFonts w:ascii="Book Antiqua" w:hAnsi="Book Antiqua"/>
          <w:b/>
          <w:szCs w:val="24"/>
        </w:rPr>
        <w:t>Dr. Masaya Iwamuro</w:t>
      </w:r>
      <w:r w:rsidRPr="007E0C28">
        <w:rPr>
          <w:rFonts w:ascii="Book Antiqua" w:hAnsi="Book Antiqua"/>
          <w:szCs w:val="24"/>
        </w:rPr>
        <w:t>, Department of Molecular Hepatology, Okayama University Graduate School of Medicine, Dentistry, and Pharmaceutical Sciences, 2-5-1 Shikata-cho, Kita-Ku, Okayama 700-8558, Japan</w:t>
      </w:r>
      <w:r w:rsidRPr="007E0C28">
        <w:rPr>
          <w:rFonts w:ascii="Book Antiqua" w:eastAsia="宋体" w:hAnsi="Book Antiqua"/>
          <w:szCs w:val="24"/>
          <w:lang w:eastAsia="zh-CN"/>
        </w:rPr>
        <w:t xml:space="preserve">. </w:t>
      </w:r>
      <w:r w:rsidRPr="007E0C28">
        <w:rPr>
          <w:rFonts w:ascii="Book Antiqua" w:hAnsi="Book Antiqua"/>
          <w:szCs w:val="24"/>
        </w:rPr>
        <w:t xml:space="preserve">iwamuromasaya@yahoo.co.jp </w:t>
      </w:r>
    </w:p>
    <w:p w:rsidR="00B15056" w:rsidRPr="007E0C28" w:rsidRDefault="00B15056" w:rsidP="00A2683E">
      <w:pPr>
        <w:spacing w:line="360" w:lineRule="auto"/>
        <w:rPr>
          <w:rFonts w:ascii="Book Antiqua" w:eastAsia="宋体" w:hAnsi="Book Antiqua"/>
          <w:szCs w:val="24"/>
          <w:lang w:eastAsia="zh-CN"/>
        </w:rPr>
      </w:pPr>
    </w:p>
    <w:p w:rsidR="00B15056" w:rsidRPr="007E0C28" w:rsidRDefault="00B15056" w:rsidP="00A2683E">
      <w:pPr>
        <w:spacing w:line="360" w:lineRule="auto"/>
        <w:rPr>
          <w:rFonts w:ascii="Book Antiqua" w:eastAsia="宋体" w:hAnsi="Book Antiqua"/>
          <w:szCs w:val="24"/>
          <w:lang w:eastAsia="zh-CN"/>
        </w:rPr>
      </w:pPr>
      <w:r w:rsidRPr="007E0C28">
        <w:rPr>
          <w:rFonts w:ascii="Book Antiqua" w:hAnsi="Book Antiqua"/>
          <w:b/>
          <w:bCs/>
          <w:color w:val="000000"/>
        </w:rPr>
        <w:t>Telephone:</w:t>
      </w:r>
      <w:r w:rsidRPr="007E0C28">
        <w:rPr>
          <w:rFonts w:ascii="Book Antiqua" w:eastAsia="宋体" w:hAnsi="Book Antiqua"/>
          <w:b/>
          <w:bCs/>
          <w:color w:val="000000"/>
          <w:lang w:eastAsia="zh-CN"/>
        </w:rPr>
        <w:t xml:space="preserve"> </w:t>
      </w:r>
      <w:r w:rsidRPr="007E0C28">
        <w:rPr>
          <w:rFonts w:ascii="Book Antiqua" w:hAnsi="Book Antiqua"/>
          <w:szCs w:val="24"/>
        </w:rPr>
        <w:t>+81-86-2357219</w:t>
      </w:r>
    </w:p>
    <w:p w:rsidR="00B15056" w:rsidRPr="007E0C28" w:rsidRDefault="00B15056" w:rsidP="00A2683E">
      <w:pPr>
        <w:spacing w:line="360" w:lineRule="auto"/>
        <w:rPr>
          <w:rFonts w:ascii="Book Antiqua" w:eastAsia="宋体" w:hAnsi="Book Antiqua"/>
          <w:szCs w:val="24"/>
          <w:lang w:eastAsia="zh-CN"/>
        </w:rPr>
      </w:pPr>
      <w:r w:rsidRPr="007E0C28">
        <w:rPr>
          <w:rFonts w:ascii="Book Antiqua" w:hAnsi="Book Antiqua"/>
          <w:b/>
          <w:bCs/>
          <w:color w:val="000000"/>
        </w:rPr>
        <w:t>Fax:</w:t>
      </w:r>
      <w:r w:rsidRPr="007E0C28">
        <w:rPr>
          <w:rFonts w:ascii="Book Antiqua" w:hAnsi="Book Antiqua"/>
          <w:szCs w:val="24"/>
        </w:rPr>
        <w:t xml:space="preserve"> +81-86-2255991</w:t>
      </w:r>
    </w:p>
    <w:p w:rsidR="00B15056" w:rsidRPr="007E0C28" w:rsidRDefault="00B15056" w:rsidP="00A2683E">
      <w:pPr>
        <w:spacing w:line="360" w:lineRule="auto"/>
        <w:rPr>
          <w:rFonts w:ascii="Book Antiqua" w:eastAsia="宋体" w:hAnsi="Book Antiqua" w:cs="Arial"/>
          <w:b/>
          <w:bCs/>
          <w:lang w:eastAsia="zh-CN"/>
        </w:rPr>
      </w:pPr>
    </w:p>
    <w:p w:rsidR="00B15056" w:rsidRPr="007E0C28" w:rsidRDefault="00B15056" w:rsidP="00A2683E">
      <w:pPr>
        <w:spacing w:line="360" w:lineRule="auto"/>
        <w:rPr>
          <w:rFonts w:ascii="Book Antiqua" w:hAnsi="Book Antiqua"/>
          <w:b/>
        </w:rPr>
      </w:pPr>
      <w:r w:rsidRPr="007E0C28">
        <w:rPr>
          <w:rFonts w:ascii="Book Antiqua" w:hAnsi="Book Antiqua"/>
          <w:b/>
        </w:rPr>
        <w:t>Received:</w:t>
      </w:r>
      <w:r w:rsidRPr="007E0C28">
        <w:rPr>
          <w:rFonts w:ascii="Book Antiqua" w:eastAsia="宋体" w:hAnsi="Book Antiqua"/>
          <w:b/>
          <w:lang w:eastAsia="zh-CN"/>
        </w:rPr>
        <w:t xml:space="preserve"> </w:t>
      </w:r>
      <w:r w:rsidRPr="007E0C28">
        <w:rPr>
          <w:rFonts w:ascii="Book Antiqua" w:hAnsi="Book Antiqua"/>
          <w:szCs w:val="24"/>
        </w:rPr>
        <w:t xml:space="preserve">September 6, 2014 </w:t>
      </w:r>
      <w:r w:rsidRPr="007E0C28">
        <w:rPr>
          <w:rFonts w:ascii="Book Antiqua" w:hAnsi="Book Antiqua"/>
          <w:b/>
        </w:rPr>
        <w:t xml:space="preserve"> </w:t>
      </w:r>
    </w:p>
    <w:p w:rsidR="00B15056" w:rsidRPr="007E0C28" w:rsidRDefault="00B15056" w:rsidP="00A2683E">
      <w:pPr>
        <w:spacing w:line="360" w:lineRule="auto"/>
        <w:rPr>
          <w:rFonts w:ascii="Book Antiqua" w:eastAsia="宋体" w:hAnsi="Book Antiqua"/>
          <w:b/>
          <w:lang w:eastAsia="zh-CN"/>
        </w:rPr>
      </w:pPr>
      <w:r w:rsidRPr="007E0C28">
        <w:rPr>
          <w:rFonts w:ascii="Book Antiqua" w:hAnsi="Book Antiqua"/>
          <w:b/>
        </w:rPr>
        <w:t>Peer-review started:</w:t>
      </w:r>
      <w:r w:rsidRPr="007E0C28">
        <w:rPr>
          <w:rFonts w:ascii="Book Antiqua" w:eastAsia="宋体" w:hAnsi="Book Antiqua"/>
          <w:b/>
          <w:lang w:eastAsia="zh-CN"/>
        </w:rPr>
        <w:t xml:space="preserve"> </w:t>
      </w:r>
      <w:r w:rsidRPr="007E0C28">
        <w:rPr>
          <w:rFonts w:ascii="Book Antiqua" w:eastAsia="宋体" w:hAnsi="Book Antiqua"/>
          <w:lang w:eastAsia="zh-CN"/>
        </w:rPr>
        <w:t>September 6, 2014</w:t>
      </w:r>
    </w:p>
    <w:p w:rsidR="00B15056" w:rsidRPr="007E0C28" w:rsidRDefault="00B15056" w:rsidP="00A2683E">
      <w:pPr>
        <w:spacing w:line="360" w:lineRule="auto"/>
        <w:rPr>
          <w:rFonts w:ascii="Book Antiqua" w:eastAsia="宋体" w:hAnsi="Book Antiqua"/>
          <w:b/>
          <w:lang w:eastAsia="zh-CN"/>
        </w:rPr>
      </w:pPr>
      <w:r w:rsidRPr="007E0C28">
        <w:rPr>
          <w:rFonts w:ascii="Book Antiqua" w:hAnsi="Book Antiqua"/>
          <w:b/>
        </w:rPr>
        <w:t>First decision:</w:t>
      </w:r>
      <w:r w:rsidRPr="007E0C28">
        <w:rPr>
          <w:rFonts w:ascii="Book Antiqua" w:eastAsia="宋体" w:hAnsi="Book Antiqua"/>
          <w:b/>
          <w:lang w:eastAsia="zh-CN"/>
        </w:rPr>
        <w:t xml:space="preserve"> </w:t>
      </w:r>
      <w:r w:rsidRPr="007E0C28">
        <w:rPr>
          <w:rFonts w:ascii="Book Antiqua" w:eastAsia="宋体" w:hAnsi="Book Antiqua"/>
          <w:lang w:eastAsia="zh-CN"/>
        </w:rPr>
        <w:t>September 28, 2014</w:t>
      </w:r>
    </w:p>
    <w:p w:rsidR="00B15056" w:rsidRPr="007E0C28" w:rsidRDefault="00B15056" w:rsidP="00A2683E">
      <w:pPr>
        <w:spacing w:line="360" w:lineRule="auto"/>
        <w:rPr>
          <w:rFonts w:ascii="Book Antiqua" w:hAnsi="Book Antiqua"/>
          <w:b/>
        </w:rPr>
      </w:pPr>
      <w:r w:rsidRPr="007E0C28">
        <w:rPr>
          <w:rFonts w:ascii="Book Antiqua" w:hAnsi="Book Antiqua"/>
          <w:b/>
        </w:rPr>
        <w:t>Revised:</w:t>
      </w:r>
      <w:r w:rsidRPr="007E0C28">
        <w:rPr>
          <w:rFonts w:ascii="Book Antiqua" w:eastAsia="宋体" w:hAnsi="Book Antiqua"/>
          <w:b/>
          <w:lang w:eastAsia="zh-CN"/>
        </w:rPr>
        <w:t xml:space="preserve"> </w:t>
      </w:r>
      <w:r w:rsidRPr="007E0C28">
        <w:rPr>
          <w:rFonts w:ascii="Book Antiqua" w:eastAsia="宋体" w:hAnsi="Book Antiqua"/>
          <w:lang w:eastAsia="zh-CN"/>
        </w:rPr>
        <w:t>October 19, 2014</w:t>
      </w:r>
      <w:r w:rsidRPr="007E0C28">
        <w:rPr>
          <w:rFonts w:ascii="Book Antiqua" w:hAnsi="Book Antiqua"/>
          <w:b/>
        </w:rPr>
        <w:t xml:space="preserve"> </w:t>
      </w:r>
    </w:p>
    <w:p w:rsidR="00B15056" w:rsidRPr="007E0C28" w:rsidRDefault="00B15056" w:rsidP="00A2683E">
      <w:pPr>
        <w:spacing w:line="360" w:lineRule="auto"/>
        <w:rPr>
          <w:rFonts w:ascii="Book Antiqua" w:hAnsi="Book Antiqua"/>
          <w:b/>
        </w:rPr>
      </w:pPr>
      <w:r w:rsidRPr="007E0C28">
        <w:rPr>
          <w:rFonts w:ascii="Book Antiqua" w:hAnsi="Book Antiqua"/>
          <w:b/>
        </w:rPr>
        <w:t>Accepted:</w:t>
      </w:r>
      <w:r w:rsidR="00522B73" w:rsidRPr="00522B73">
        <w:t xml:space="preserve"> </w:t>
      </w:r>
      <w:r w:rsidR="00522B73" w:rsidRPr="00522B73">
        <w:rPr>
          <w:rFonts w:ascii="Book Antiqua" w:hAnsi="Book Antiqua"/>
        </w:rPr>
        <w:t>Janurary 18, 2015</w:t>
      </w:r>
      <w:r w:rsidRPr="007E0C28">
        <w:rPr>
          <w:rFonts w:ascii="Book Antiqua" w:hAnsi="Book Antiqua"/>
          <w:b/>
        </w:rPr>
        <w:t xml:space="preserve"> </w:t>
      </w:r>
    </w:p>
    <w:p w:rsidR="00B15056" w:rsidRPr="007E0C28" w:rsidRDefault="00B15056" w:rsidP="00A2683E">
      <w:pPr>
        <w:spacing w:line="360" w:lineRule="auto"/>
        <w:rPr>
          <w:rFonts w:ascii="Book Antiqua" w:hAnsi="Book Antiqua"/>
          <w:b/>
        </w:rPr>
      </w:pPr>
      <w:r w:rsidRPr="007E0C28">
        <w:rPr>
          <w:rFonts w:ascii="Book Antiqua" w:hAnsi="Book Antiqua"/>
          <w:b/>
        </w:rPr>
        <w:t>Article in press:</w:t>
      </w:r>
    </w:p>
    <w:p w:rsidR="00B15056" w:rsidRPr="007E0C28" w:rsidRDefault="00B15056" w:rsidP="00A2683E">
      <w:pPr>
        <w:spacing w:line="360" w:lineRule="auto"/>
        <w:rPr>
          <w:rFonts w:ascii="Book Antiqua" w:hAnsi="Book Antiqua"/>
          <w:b/>
        </w:rPr>
      </w:pPr>
      <w:r w:rsidRPr="007E0C28">
        <w:rPr>
          <w:rFonts w:ascii="Book Antiqua" w:hAnsi="Book Antiqua"/>
          <w:b/>
        </w:rPr>
        <w:t xml:space="preserve">Published online: </w:t>
      </w:r>
    </w:p>
    <w:p w:rsidR="00B15056" w:rsidRPr="007E0C28" w:rsidRDefault="00B15056" w:rsidP="00A2683E">
      <w:pPr>
        <w:widowControl/>
        <w:spacing w:line="360" w:lineRule="auto"/>
        <w:rPr>
          <w:rFonts w:ascii="Book Antiqua" w:hAnsi="Book Antiqua"/>
          <w:szCs w:val="24"/>
          <w:lang w:eastAsia="zh-CN"/>
        </w:rPr>
      </w:pPr>
    </w:p>
    <w:p w:rsidR="00B15056" w:rsidRPr="007E0C28" w:rsidRDefault="00B15056" w:rsidP="00A2683E">
      <w:pPr>
        <w:spacing w:line="360" w:lineRule="auto"/>
        <w:rPr>
          <w:rFonts w:ascii="Book Antiqua" w:hAnsi="Book Antiqua"/>
          <w:b/>
          <w:szCs w:val="24"/>
        </w:rPr>
      </w:pPr>
      <w:r w:rsidRPr="007E0C28">
        <w:rPr>
          <w:rFonts w:ascii="Book Antiqua" w:hAnsi="Book Antiqua"/>
          <w:b/>
          <w:szCs w:val="24"/>
        </w:rPr>
        <w:t>Abstract</w:t>
      </w:r>
    </w:p>
    <w:p w:rsidR="00B15056" w:rsidRPr="007E0C28" w:rsidRDefault="00B15056" w:rsidP="00A2683E">
      <w:pPr>
        <w:spacing w:line="360" w:lineRule="auto"/>
        <w:rPr>
          <w:rFonts w:ascii="Book Antiqua" w:hAnsi="Book Antiqua"/>
          <w:szCs w:val="24"/>
        </w:rPr>
      </w:pPr>
      <w:r w:rsidRPr="007E0C28">
        <w:rPr>
          <w:rFonts w:ascii="Book Antiqua" w:hAnsi="Book Antiqua"/>
          <w:szCs w:val="24"/>
        </w:rPr>
        <w:t>The formation of a bezoar is a relatively infrequent disorder that affects the gastrointestinal system. Bezoars are mainly classified into four types depending on the material constituting the indigestible mass of the bezoar: phytobezoars, trichobezoars, pharmacobezoars, and lactobezoars. Gastric bezoars often cause ulcerative lesions in the stomach and subsequent bleeding, whereas small intestinal bezoars present with small bowel obstruction and ileus. A number of articles have emphasized the usefulness of Coca-Cola® administration for the dissolution of phytobezoars. However, persimmon phytobezoars may be resistant to such dissolution treatment because of their harder consistency compared to other types of phytobezoars. Better understanding of the etiology and epidemiology of each type of bezoar will facilitate prompt diagnosis and management. Here we provide an overview of the prevalence, classification, predisposing factors, and manifestations of bezoars. Diagnosis and management strategies are also discussed, reviewing mainly our own case series. Recent progress in basic research regarding persimmon phytobezoars is also briefly reviewed.</w:t>
      </w:r>
    </w:p>
    <w:p w:rsidR="00B15056" w:rsidRPr="007E0C28" w:rsidRDefault="00B15056" w:rsidP="00A2683E">
      <w:pPr>
        <w:spacing w:line="360" w:lineRule="auto"/>
        <w:rPr>
          <w:rFonts w:ascii="Book Antiqua" w:hAnsi="Book Antiqua"/>
          <w:szCs w:val="24"/>
          <w:lang w:eastAsia="zh-CN"/>
        </w:rPr>
      </w:pPr>
    </w:p>
    <w:p w:rsidR="00B15056" w:rsidRPr="007E0C28" w:rsidRDefault="00B15056" w:rsidP="00A2683E">
      <w:pPr>
        <w:spacing w:line="360" w:lineRule="auto"/>
        <w:rPr>
          <w:rFonts w:ascii="Book Antiqua" w:hAnsi="Book Antiqua"/>
          <w:szCs w:val="24"/>
        </w:rPr>
      </w:pPr>
      <w:r w:rsidRPr="007E0C28">
        <w:rPr>
          <w:rFonts w:ascii="Book Antiqua" w:hAnsi="Book Antiqua"/>
          <w:b/>
          <w:szCs w:val="24"/>
        </w:rPr>
        <w:t>Key</w:t>
      </w:r>
      <w:r w:rsidRPr="007E0C28">
        <w:rPr>
          <w:rFonts w:ascii="Book Antiqua" w:hAnsi="Book Antiqua"/>
          <w:b/>
          <w:szCs w:val="24"/>
          <w:lang w:eastAsia="zh-CN"/>
        </w:rPr>
        <w:t xml:space="preserve"> </w:t>
      </w:r>
      <w:r w:rsidRPr="007E0C28">
        <w:rPr>
          <w:rFonts w:ascii="Book Antiqua" w:hAnsi="Book Antiqua"/>
          <w:b/>
          <w:szCs w:val="24"/>
        </w:rPr>
        <w:t>words:</w:t>
      </w:r>
      <w:r w:rsidRPr="007E0C28">
        <w:rPr>
          <w:rFonts w:ascii="Book Antiqua" w:hAnsi="Book Antiqua"/>
          <w:szCs w:val="24"/>
        </w:rPr>
        <w:t xml:space="preserve"> Bezoars</w:t>
      </w:r>
      <w:r w:rsidRPr="007E0C28">
        <w:rPr>
          <w:rFonts w:ascii="Book Antiqua" w:hAnsi="Book Antiqua"/>
          <w:szCs w:val="24"/>
          <w:lang w:eastAsia="zh-CN"/>
        </w:rPr>
        <w:t>;</w:t>
      </w:r>
      <w:r w:rsidRPr="007E0C28">
        <w:rPr>
          <w:rFonts w:ascii="Book Antiqua" w:hAnsi="Book Antiqua"/>
          <w:szCs w:val="24"/>
        </w:rPr>
        <w:t xml:space="preserve"> Gastrointestinal endoscopy</w:t>
      </w:r>
      <w:r w:rsidRPr="007E0C28">
        <w:rPr>
          <w:rFonts w:ascii="Book Antiqua" w:hAnsi="Book Antiqua"/>
          <w:szCs w:val="24"/>
          <w:lang w:eastAsia="zh-CN"/>
        </w:rPr>
        <w:t>;</w:t>
      </w:r>
      <w:r w:rsidRPr="007E0C28">
        <w:rPr>
          <w:rFonts w:ascii="Book Antiqua" w:hAnsi="Book Antiqua"/>
          <w:szCs w:val="24"/>
        </w:rPr>
        <w:t xml:space="preserve"> Persimmon phytobezoar</w:t>
      </w:r>
      <w:r w:rsidRPr="007E0C28">
        <w:rPr>
          <w:rFonts w:ascii="Book Antiqua" w:hAnsi="Book Antiqua"/>
          <w:szCs w:val="24"/>
          <w:lang w:eastAsia="zh-CN"/>
        </w:rPr>
        <w:t>;</w:t>
      </w:r>
      <w:r w:rsidRPr="007E0C28">
        <w:rPr>
          <w:rFonts w:ascii="Book Antiqua" w:hAnsi="Book Antiqua"/>
          <w:szCs w:val="24"/>
        </w:rPr>
        <w:t xml:space="preserve"> Trichobezoar</w:t>
      </w:r>
      <w:r w:rsidRPr="007E0C28">
        <w:rPr>
          <w:rFonts w:ascii="Book Antiqua" w:hAnsi="Book Antiqua"/>
          <w:szCs w:val="24"/>
          <w:lang w:eastAsia="zh-CN"/>
        </w:rPr>
        <w:t>;</w:t>
      </w:r>
      <w:r w:rsidRPr="007E0C28">
        <w:rPr>
          <w:rFonts w:ascii="Book Antiqua" w:hAnsi="Book Antiqua"/>
          <w:szCs w:val="24"/>
        </w:rPr>
        <w:t xml:space="preserve"> Endoscopic removal</w:t>
      </w:r>
      <w:r w:rsidRPr="007E0C28">
        <w:rPr>
          <w:rFonts w:ascii="Book Antiqua" w:hAnsi="Book Antiqua"/>
          <w:szCs w:val="24"/>
          <w:lang w:eastAsia="zh-CN"/>
        </w:rPr>
        <w:t>;</w:t>
      </w:r>
      <w:r w:rsidRPr="007E0C28">
        <w:rPr>
          <w:rFonts w:ascii="Book Antiqua" w:hAnsi="Book Antiqua"/>
          <w:szCs w:val="24"/>
        </w:rPr>
        <w:t xml:space="preserve"> Gastric ulcer</w:t>
      </w:r>
      <w:r w:rsidRPr="007E0C28">
        <w:rPr>
          <w:rFonts w:ascii="Book Antiqua" w:hAnsi="Book Antiqua"/>
          <w:szCs w:val="24"/>
          <w:lang w:eastAsia="zh-CN"/>
        </w:rPr>
        <w:t>;</w:t>
      </w:r>
      <w:r w:rsidRPr="007E0C28">
        <w:rPr>
          <w:rFonts w:ascii="Book Antiqua" w:hAnsi="Book Antiqua"/>
          <w:szCs w:val="24"/>
        </w:rPr>
        <w:t xml:space="preserve"> Ileus</w:t>
      </w:r>
    </w:p>
    <w:p w:rsidR="00B15056" w:rsidRPr="007E0C28" w:rsidRDefault="00B15056" w:rsidP="00A2683E">
      <w:pPr>
        <w:spacing w:line="360" w:lineRule="auto"/>
        <w:rPr>
          <w:rFonts w:ascii="Book Antiqua" w:eastAsia="宋体" w:hAnsi="Book Antiqua"/>
          <w:szCs w:val="24"/>
          <w:lang w:eastAsia="zh-CN"/>
        </w:rPr>
      </w:pPr>
    </w:p>
    <w:p w:rsidR="00B15056" w:rsidRPr="007E0C28" w:rsidRDefault="00B15056" w:rsidP="00FF7A2E">
      <w:pPr>
        <w:snapToGrid w:val="0"/>
        <w:spacing w:line="360" w:lineRule="auto"/>
        <w:rPr>
          <w:rFonts w:ascii="Book Antiqua" w:hAnsi="Book Antiqua"/>
        </w:rPr>
      </w:pPr>
      <w:r w:rsidRPr="00ED6B8E">
        <w:rPr>
          <w:rFonts w:ascii="Book Antiqua" w:hAnsi="Book Antiqua"/>
          <w:b/>
        </w:rPr>
        <w:t xml:space="preserve">© </w:t>
      </w:r>
      <w:bookmarkStart w:id="4" w:name="OLE_LINK6"/>
      <w:bookmarkStart w:id="5" w:name="OLE_LINK7"/>
      <w:bookmarkStart w:id="6" w:name="OLE_LINK8"/>
      <w:r w:rsidRPr="00ED6B8E">
        <w:rPr>
          <w:rFonts w:ascii="Book Antiqua" w:hAnsi="Book Antiqua"/>
          <w:b/>
        </w:rPr>
        <w:t>The Author(s) 2015.</w:t>
      </w:r>
      <w:r w:rsidRPr="007E0C28">
        <w:rPr>
          <w:rFonts w:ascii="Book Antiqua" w:hAnsi="Book Antiqua"/>
        </w:rPr>
        <w:t xml:space="preserve"> Published by Baishideng Publishing Group Inc. All rights reserved.</w:t>
      </w:r>
    </w:p>
    <w:bookmarkEnd w:id="4"/>
    <w:bookmarkEnd w:id="5"/>
    <w:bookmarkEnd w:id="6"/>
    <w:p w:rsidR="00B15056" w:rsidRPr="007E0C28" w:rsidRDefault="00B15056" w:rsidP="00A2683E">
      <w:pPr>
        <w:spacing w:line="360" w:lineRule="auto"/>
        <w:rPr>
          <w:rFonts w:ascii="Book Antiqua" w:eastAsia="宋体" w:hAnsi="Book Antiqua"/>
          <w:szCs w:val="24"/>
          <w:lang w:eastAsia="zh-CN"/>
        </w:rPr>
      </w:pPr>
    </w:p>
    <w:p w:rsidR="00B15056" w:rsidRPr="007E0C28" w:rsidRDefault="00B15056" w:rsidP="00A2683E">
      <w:pPr>
        <w:spacing w:line="360" w:lineRule="auto"/>
        <w:rPr>
          <w:rFonts w:ascii="Book Antiqua" w:hAnsi="Book Antiqua"/>
          <w:b/>
          <w:szCs w:val="24"/>
          <w:lang w:eastAsia="zh-CN"/>
        </w:rPr>
      </w:pPr>
      <w:r w:rsidRPr="007E0C28">
        <w:rPr>
          <w:rFonts w:ascii="Book Antiqua" w:hAnsi="Book Antiqua"/>
          <w:b/>
          <w:szCs w:val="24"/>
        </w:rPr>
        <w:t>Core tip</w:t>
      </w:r>
      <w:r w:rsidRPr="007E0C28">
        <w:rPr>
          <w:rFonts w:ascii="Book Antiqua" w:hAnsi="Book Antiqua"/>
          <w:b/>
          <w:szCs w:val="24"/>
          <w:lang w:eastAsia="zh-CN"/>
        </w:rPr>
        <w:t xml:space="preserve">: </w:t>
      </w:r>
      <w:r w:rsidRPr="007E0C28">
        <w:rPr>
          <w:rFonts w:ascii="Book Antiqua" w:hAnsi="Book Antiqua"/>
          <w:szCs w:val="24"/>
        </w:rPr>
        <w:t>Among the gastrointestinal bezoars, phytobezoars, which consist of indigestible plant materials, are the most common. An administration of Coca-Cola® is believed to be the primary choice for phytobezoar treatment because it is safe, inexpensive, and effective. However, persimmon phytobezoars (diospyrobezoars) are often resistant to Coca-Cola® dissolution and may require different treatment. Endoscopic fragmentation or surgical removal should be applied in urgent cases, such as those manifesting gastrointestinal bleeding and/or ileus, and in patients with refractory bezoars.</w:t>
      </w:r>
    </w:p>
    <w:p w:rsidR="00B15056" w:rsidRPr="007E0C28" w:rsidRDefault="00B15056" w:rsidP="00A2683E">
      <w:pPr>
        <w:spacing w:line="360" w:lineRule="auto"/>
        <w:rPr>
          <w:rFonts w:ascii="Book Antiqua" w:hAnsi="Book Antiqua"/>
          <w:szCs w:val="24"/>
        </w:rPr>
      </w:pPr>
    </w:p>
    <w:p w:rsidR="00B15056" w:rsidRPr="007E0C28" w:rsidRDefault="00B15056" w:rsidP="00FF7A2E">
      <w:pPr>
        <w:spacing w:line="360" w:lineRule="auto"/>
        <w:rPr>
          <w:rFonts w:ascii="Book Antiqua" w:eastAsia="宋体" w:hAnsi="Book Antiqua"/>
          <w:szCs w:val="24"/>
          <w:lang w:eastAsia="zh-CN"/>
        </w:rPr>
      </w:pPr>
      <w:r w:rsidRPr="007E0C28">
        <w:rPr>
          <w:rFonts w:ascii="Book Antiqua" w:hAnsi="Book Antiqua"/>
          <w:szCs w:val="24"/>
        </w:rPr>
        <w:t>Iwamuro</w:t>
      </w:r>
      <w:r w:rsidRPr="007E0C28">
        <w:rPr>
          <w:rFonts w:ascii="Book Antiqua" w:eastAsia="宋体" w:hAnsi="Book Antiqua"/>
          <w:szCs w:val="24"/>
          <w:lang w:eastAsia="zh-CN"/>
        </w:rPr>
        <w:t xml:space="preserve"> M</w:t>
      </w:r>
      <w:r w:rsidRPr="007E0C28">
        <w:rPr>
          <w:rFonts w:ascii="Book Antiqua" w:hAnsi="Book Antiqua"/>
          <w:szCs w:val="24"/>
        </w:rPr>
        <w:t>, Okada</w:t>
      </w:r>
      <w:r w:rsidRPr="007E0C28">
        <w:rPr>
          <w:rFonts w:ascii="Book Antiqua" w:eastAsia="宋体" w:hAnsi="Book Antiqua"/>
          <w:szCs w:val="24"/>
          <w:lang w:eastAsia="zh-CN"/>
        </w:rPr>
        <w:t xml:space="preserve"> H</w:t>
      </w:r>
      <w:r w:rsidRPr="007E0C28">
        <w:rPr>
          <w:rFonts w:ascii="Book Antiqua" w:hAnsi="Book Antiqua"/>
          <w:szCs w:val="24"/>
        </w:rPr>
        <w:t>, Matsueda</w:t>
      </w:r>
      <w:r w:rsidRPr="007E0C28">
        <w:rPr>
          <w:rFonts w:ascii="Book Antiqua" w:eastAsia="宋体" w:hAnsi="Book Antiqua"/>
          <w:szCs w:val="24"/>
          <w:lang w:eastAsia="zh-CN"/>
        </w:rPr>
        <w:t xml:space="preserve"> K</w:t>
      </w:r>
      <w:r w:rsidRPr="007E0C28">
        <w:rPr>
          <w:rFonts w:ascii="Book Antiqua" w:hAnsi="Book Antiqua"/>
          <w:szCs w:val="24"/>
        </w:rPr>
        <w:t>, Inaba</w:t>
      </w:r>
      <w:r w:rsidRPr="007E0C28">
        <w:rPr>
          <w:rFonts w:ascii="Book Antiqua" w:eastAsia="宋体" w:hAnsi="Book Antiqua"/>
          <w:szCs w:val="24"/>
          <w:lang w:eastAsia="zh-CN"/>
        </w:rPr>
        <w:t xml:space="preserve"> T</w:t>
      </w:r>
      <w:r w:rsidRPr="007E0C28">
        <w:rPr>
          <w:rFonts w:ascii="Book Antiqua" w:hAnsi="Book Antiqua"/>
          <w:szCs w:val="24"/>
        </w:rPr>
        <w:t>,</w:t>
      </w:r>
      <w:r w:rsidRPr="007E0C28">
        <w:rPr>
          <w:rFonts w:ascii="Book Antiqua" w:eastAsia="宋体" w:hAnsi="Book Antiqua"/>
          <w:szCs w:val="24"/>
          <w:lang w:eastAsia="zh-CN"/>
        </w:rPr>
        <w:t xml:space="preserve"> </w:t>
      </w:r>
      <w:r w:rsidRPr="007E0C28">
        <w:rPr>
          <w:rFonts w:ascii="Book Antiqua" w:hAnsi="Book Antiqua"/>
          <w:szCs w:val="24"/>
        </w:rPr>
        <w:t>Kusumoto</w:t>
      </w:r>
      <w:r w:rsidRPr="007E0C28">
        <w:rPr>
          <w:rFonts w:ascii="Book Antiqua" w:eastAsia="宋体" w:hAnsi="Book Antiqua"/>
          <w:szCs w:val="24"/>
          <w:lang w:eastAsia="zh-CN"/>
        </w:rPr>
        <w:t xml:space="preserve"> C</w:t>
      </w:r>
      <w:r w:rsidRPr="007E0C28">
        <w:rPr>
          <w:rFonts w:ascii="Book Antiqua" w:hAnsi="Book Antiqua"/>
          <w:szCs w:val="24"/>
        </w:rPr>
        <w:t>, Imagawa</w:t>
      </w:r>
      <w:r w:rsidRPr="007E0C28">
        <w:rPr>
          <w:rFonts w:ascii="Book Antiqua" w:eastAsia="宋体" w:hAnsi="Book Antiqua"/>
          <w:szCs w:val="24"/>
          <w:lang w:eastAsia="zh-CN"/>
        </w:rPr>
        <w:t xml:space="preserve"> A</w:t>
      </w:r>
      <w:r w:rsidRPr="007E0C28">
        <w:rPr>
          <w:rFonts w:ascii="Book Antiqua" w:hAnsi="Book Antiqua"/>
          <w:szCs w:val="24"/>
        </w:rPr>
        <w:t>, Yamamoto</w:t>
      </w:r>
      <w:r w:rsidRPr="007E0C28">
        <w:rPr>
          <w:rFonts w:ascii="Book Antiqua" w:eastAsia="宋体" w:hAnsi="Book Antiqua"/>
          <w:szCs w:val="24"/>
          <w:lang w:eastAsia="zh-CN"/>
        </w:rPr>
        <w:t xml:space="preserve"> K. </w:t>
      </w:r>
      <w:r w:rsidRPr="007E0C28">
        <w:rPr>
          <w:rFonts w:ascii="Book Antiqua" w:hAnsi="Book Antiqua"/>
          <w:szCs w:val="24"/>
        </w:rPr>
        <w:t>Review of the diagnosis and management of gastrointestinal bezoars</w:t>
      </w:r>
      <w:r w:rsidRPr="007E0C28">
        <w:rPr>
          <w:rFonts w:ascii="Book Antiqua" w:eastAsia="宋体" w:hAnsi="Book Antiqua"/>
          <w:szCs w:val="24"/>
          <w:lang w:eastAsia="zh-CN"/>
        </w:rPr>
        <w:t xml:space="preserve">. </w:t>
      </w:r>
      <w:r w:rsidRPr="007E0C28">
        <w:rPr>
          <w:rFonts w:ascii="Book Antiqua" w:hAnsi="Book Antiqua"/>
          <w:i/>
          <w:iCs/>
          <w:szCs w:val="24"/>
        </w:rPr>
        <w:t>World J Gastrointest Endosc</w:t>
      </w:r>
      <w:r w:rsidRPr="007E0C28">
        <w:rPr>
          <w:rFonts w:ascii="Book Antiqua" w:eastAsia="宋体" w:hAnsi="Book Antiqua"/>
          <w:iCs/>
          <w:szCs w:val="24"/>
          <w:lang w:eastAsia="zh-CN"/>
        </w:rPr>
        <w:t xml:space="preserve"> 2014; </w:t>
      </w:r>
      <w:r w:rsidRPr="007E0C28">
        <w:rPr>
          <w:rFonts w:ascii="Book Antiqua" w:hAnsi="Book Antiqua"/>
          <w:iCs/>
        </w:rPr>
        <w:t>In press</w:t>
      </w:r>
    </w:p>
    <w:p w:rsidR="00B15056" w:rsidRPr="007E0C28" w:rsidRDefault="00B15056" w:rsidP="00A2683E">
      <w:pPr>
        <w:widowControl/>
        <w:spacing w:line="360" w:lineRule="auto"/>
        <w:rPr>
          <w:rFonts w:ascii="Book Antiqua" w:eastAsia="宋体" w:hAnsi="Book Antiqua"/>
          <w:b/>
          <w:szCs w:val="24"/>
          <w:lang w:eastAsia="zh-CN"/>
        </w:rPr>
      </w:pPr>
    </w:p>
    <w:p w:rsidR="00B15056" w:rsidRPr="007E0C28" w:rsidRDefault="00B15056" w:rsidP="00A2683E">
      <w:pPr>
        <w:spacing w:line="360" w:lineRule="auto"/>
        <w:rPr>
          <w:rFonts w:ascii="Book Antiqua" w:hAnsi="Book Antiqua"/>
          <w:b/>
          <w:szCs w:val="24"/>
        </w:rPr>
      </w:pPr>
      <w:r w:rsidRPr="007E0C28">
        <w:rPr>
          <w:rFonts w:ascii="Book Antiqua" w:hAnsi="Book Antiqua"/>
          <w:b/>
          <w:szCs w:val="24"/>
        </w:rPr>
        <w:t>INTRODUCTION</w:t>
      </w:r>
    </w:p>
    <w:p w:rsidR="00B15056" w:rsidRPr="007E0C28" w:rsidRDefault="00B15056" w:rsidP="00A2683E">
      <w:pPr>
        <w:spacing w:line="360" w:lineRule="auto"/>
        <w:rPr>
          <w:rFonts w:ascii="Book Antiqua" w:hAnsi="Book Antiqua"/>
          <w:szCs w:val="24"/>
        </w:rPr>
      </w:pPr>
      <w:r w:rsidRPr="007E0C28">
        <w:rPr>
          <w:rFonts w:ascii="Book Antiqua" w:hAnsi="Book Antiqua"/>
          <w:szCs w:val="24"/>
        </w:rPr>
        <w:t>A bezoar is an indigestible conglomeration trapped in the gastrointestinal tract. This indigestible mass can be formed by a variety of materials that were intentionally or accidentally ingested. Representative substances forming bezoars include plant materials such as fibers, skins and seeds of vegetables and fruits (</w:t>
      </w:r>
      <w:r w:rsidRPr="007E0C28">
        <w:rPr>
          <w:rFonts w:ascii="Book Antiqua" w:hAnsi="Book Antiqua"/>
          <w:i/>
          <w:szCs w:val="24"/>
        </w:rPr>
        <w:t>i.e.</w:t>
      </w:r>
      <w:r w:rsidRPr="007E0C28">
        <w:rPr>
          <w:rFonts w:ascii="Book Antiqua" w:hAnsi="Book Antiqua"/>
          <w:szCs w:val="24"/>
        </w:rPr>
        <w:t>, phytobezoars), ingested hair (</w:t>
      </w:r>
      <w:r w:rsidRPr="007E0C28">
        <w:rPr>
          <w:rFonts w:ascii="Book Antiqua" w:hAnsi="Book Antiqua"/>
          <w:i/>
          <w:szCs w:val="24"/>
        </w:rPr>
        <w:t>i.e.</w:t>
      </w:r>
      <w:r w:rsidRPr="007E0C28">
        <w:rPr>
          <w:rFonts w:ascii="Book Antiqua" w:hAnsi="Book Antiqua"/>
          <w:szCs w:val="24"/>
        </w:rPr>
        <w:t>, trichobezoars), medications (</w:t>
      </w:r>
      <w:r w:rsidRPr="007E0C28">
        <w:rPr>
          <w:rFonts w:ascii="Book Antiqua" w:hAnsi="Book Antiqua"/>
          <w:i/>
          <w:szCs w:val="24"/>
        </w:rPr>
        <w:t>i.e.</w:t>
      </w:r>
      <w:r w:rsidRPr="007E0C28">
        <w:rPr>
          <w:rFonts w:ascii="Book Antiqua" w:hAnsi="Book Antiqua"/>
          <w:szCs w:val="24"/>
        </w:rPr>
        <w:t>, pharmacobezoars), and milk protein in milk-fed infants (</w:t>
      </w:r>
      <w:r w:rsidRPr="007E0C28">
        <w:rPr>
          <w:rFonts w:ascii="Book Antiqua" w:hAnsi="Book Antiqua"/>
          <w:i/>
          <w:szCs w:val="24"/>
        </w:rPr>
        <w:t>i.e.</w:t>
      </w:r>
      <w:r w:rsidRPr="007E0C28">
        <w:rPr>
          <w:rFonts w:ascii="Book Antiqua" w:hAnsi="Book Antiqua"/>
          <w:szCs w:val="24"/>
        </w:rPr>
        <w:t>, lactobezoars)</w:t>
      </w:r>
      <w:r w:rsidRPr="007E0C28">
        <w:rPr>
          <w:rFonts w:ascii="Book Antiqua" w:hAnsi="Book Antiqua"/>
          <w:szCs w:val="24"/>
          <w:vertAlign w:val="superscript"/>
        </w:rPr>
        <w:t>[1]</w:t>
      </w:r>
      <w:r w:rsidRPr="007E0C28">
        <w:rPr>
          <w:rFonts w:ascii="Book Antiqua" w:hAnsi="Book Antiqua"/>
          <w:szCs w:val="24"/>
        </w:rPr>
        <w:t>. Bezoars can be formed and found in any part of the gastrointestinal tract, but the stomach is the most common. Once the diagnosis of bezoar is made, the bezoar is generally dissolved or removed because it can cause gastric outlet obstruction, ileus, ulcerations due to pressure necrosis, and subsequent gastrointestinal bleeding. Here we review relevant clinical studies, case reports and basic research findings, using mainly our recent studies</w:t>
      </w:r>
      <w:r w:rsidRPr="007E0C28">
        <w:rPr>
          <w:rFonts w:ascii="Book Antiqua" w:hAnsi="Book Antiqua"/>
          <w:szCs w:val="24"/>
          <w:vertAlign w:val="superscript"/>
        </w:rPr>
        <w:t>[2–4]</w:t>
      </w:r>
      <w:r w:rsidRPr="007E0C28">
        <w:rPr>
          <w:rFonts w:ascii="Book Antiqua" w:hAnsi="Book Antiqua"/>
          <w:szCs w:val="24"/>
        </w:rPr>
        <w:t>, for a better understanding of the etiology and epidemiology of this disease entity.</w:t>
      </w:r>
    </w:p>
    <w:p w:rsidR="00B15056" w:rsidRPr="007E0C28" w:rsidRDefault="00B15056" w:rsidP="00A2683E">
      <w:pPr>
        <w:spacing w:line="360" w:lineRule="auto"/>
        <w:rPr>
          <w:rFonts w:ascii="Book Antiqua" w:hAnsi="Book Antiqua"/>
          <w:szCs w:val="24"/>
        </w:rPr>
      </w:pPr>
    </w:p>
    <w:p w:rsidR="00B15056" w:rsidRPr="007E0C28" w:rsidRDefault="00B15056" w:rsidP="00A2683E">
      <w:pPr>
        <w:spacing w:line="360" w:lineRule="auto"/>
        <w:rPr>
          <w:rFonts w:ascii="Book Antiqua" w:hAnsi="Book Antiqua"/>
          <w:b/>
          <w:szCs w:val="24"/>
        </w:rPr>
      </w:pPr>
      <w:r w:rsidRPr="007E0C28">
        <w:rPr>
          <w:rFonts w:ascii="Book Antiqua" w:hAnsi="Book Antiqua"/>
          <w:b/>
          <w:szCs w:val="24"/>
        </w:rPr>
        <w:t>PREVALENCE</w:t>
      </w:r>
    </w:p>
    <w:p w:rsidR="00B15056" w:rsidRPr="007E0C28" w:rsidRDefault="00B15056" w:rsidP="00A2683E">
      <w:pPr>
        <w:spacing w:line="360" w:lineRule="auto"/>
        <w:rPr>
          <w:rFonts w:ascii="Book Antiqua" w:hAnsi="Book Antiqua"/>
          <w:szCs w:val="24"/>
        </w:rPr>
      </w:pPr>
      <w:r w:rsidRPr="007E0C28">
        <w:rPr>
          <w:rFonts w:ascii="Book Antiqua" w:hAnsi="Book Antiqua"/>
          <w:szCs w:val="24"/>
        </w:rPr>
        <w:t>Bezoars of the gastrointestinal tract are a relatively rare disease entity, with a variable incidence among studies</w:t>
      </w:r>
      <w:r w:rsidRPr="007E0C28">
        <w:rPr>
          <w:rFonts w:ascii="Book Antiqua" w:hAnsi="Book Antiqua"/>
          <w:szCs w:val="24"/>
          <w:vertAlign w:val="superscript"/>
        </w:rPr>
        <w:t>[5]</w:t>
      </w:r>
      <w:r w:rsidRPr="007E0C28">
        <w:rPr>
          <w:rFonts w:ascii="Book Antiqua" w:hAnsi="Book Antiqua"/>
          <w:szCs w:val="24"/>
        </w:rPr>
        <w:t xml:space="preserve">. In 1978, Kadian </w:t>
      </w:r>
      <w:r w:rsidRPr="007E0C28">
        <w:rPr>
          <w:rFonts w:ascii="Book Antiqua" w:hAnsi="Book Antiqua"/>
          <w:i/>
          <w:szCs w:val="24"/>
        </w:rPr>
        <w:t>et al</w:t>
      </w:r>
      <w:r w:rsidRPr="007E0C28">
        <w:rPr>
          <w:rFonts w:ascii="Book Antiqua" w:hAnsi="Book Antiqua"/>
          <w:szCs w:val="24"/>
          <w:vertAlign w:val="superscript"/>
        </w:rPr>
        <w:t xml:space="preserve">[6] </w:t>
      </w:r>
      <w:r w:rsidRPr="007E0C28">
        <w:rPr>
          <w:rFonts w:ascii="Book Antiqua" w:hAnsi="Book Antiqua"/>
          <w:szCs w:val="24"/>
        </w:rPr>
        <w:t xml:space="preserve">reported that they found six cases of gastric bezoars in a four-year period during which time 1400 gastroscopies were done (0.43% of the gastroscopies). In 1987, Ahn </w:t>
      </w:r>
      <w:r w:rsidRPr="007E0C28">
        <w:rPr>
          <w:rFonts w:ascii="Book Antiqua" w:hAnsi="Book Antiqua"/>
          <w:i/>
          <w:szCs w:val="24"/>
        </w:rPr>
        <w:t>et al</w:t>
      </w:r>
      <w:r w:rsidRPr="007E0C28">
        <w:rPr>
          <w:rFonts w:ascii="Book Antiqua" w:hAnsi="Book Antiqua"/>
          <w:szCs w:val="24"/>
          <w:vertAlign w:val="superscript"/>
        </w:rPr>
        <w:t>[7]</w:t>
      </w:r>
      <w:r w:rsidRPr="007E0C28">
        <w:rPr>
          <w:rFonts w:ascii="Book Antiqua" w:hAnsi="Book Antiqua"/>
          <w:szCs w:val="24"/>
        </w:rPr>
        <w:t xml:space="preserve"> reported a similar incidence of 0.43% (14/3247 esophagogastroduodenoscopy examinations) over a seven-year period. More recently, Mihai </w:t>
      </w:r>
      <w:r w:rsidRPr="007E0C28">
        <w:rPr>
          <w:rFonts w:ascii="Book Antiqua" w:hAnsi="Book Antiqua"/>
          <w:i/>
          <w:szCs w:val="24"/>
        </w:rPr>
        <w:t>et al</w:t>
      </w:r>
      <w:r w:rsidRPr="007E0C28">
        <w:rPr>
          <w:rFonts w:ascii="Book Antiqua" w:hAnsi="Book Antiqua"/>
          <w:szCs w:val="24"/>
          <w:vertAlign w:val="superscript"/>
        </w:rPr>
        <w:t xml:space="preserve">[8] </w:t>
      </w:r>
      <w:r w:rsidRPr="007E0C28">
        <w:rPr>
          <w:rFonts w:ascii="Book Antiqua" w:hAnsi="Book Antiqua"/>
          <w:szCs w:val="24"/>
        </w:rPr>
        <w:t>noted that there were 49 cases of gastric bezoars over a period of 20 years (0.068% of all endoscopies).</w:t>
      </w:r>
    </w:p>
    <w:p w:rsidR="00B15056" w:rsidRPr="007E0C28" w:rsidRDefault="00B15056" w:rsidP="00ED6B8E">
      <w:pPr>
        <w:spacing w:line="360" w:lineRule="auto"/>
        <w:ind w:firstLineChars="100" w:firstLine="240"/>
        <w:rPr>
          <w:rFonts w:ascii="Book Antiqua" w:hAnsi="Book Antiqua"/>
          <w:szCs w:val="24"/>
        </w:rPr>
      </w:pPr>
      <w:r w:rsidRPr="007E0C28">
        <w:rPr>
          <w:rFonts w:ascii="Book Antiqua" w:hAnsi="Book Antiqua"/>
          <w:szCs w:val="24"/>
        </w:rPr>
        <w:t xml:space="preserve">Although the majority of bezoars are found in the stomach, bezoars sometimes move from the stomach into the small intestine, or they can be primarily formed in the small intestine. Such small intestinal bezoars occasionally cause small bowel obstruction and ileus. Yakan </w:t>
      </w:r>
      <w:r w:rsidRPr="007E0C28">
        <w:rPr>
          <w:rFonts w:ascii="Book Antiqua" w:hAnsi="Book Antiqua"/>
          <w:i/>
          <w:szCs w:val="24"/>
        </w:rPr>
        <w:t>et al</w:t>
      </w:r>
      <w:r w:rsidRPr="007E0C28">
        <w:rPr>
          <w:rFonts w:ascii="Book Antiqua" w:hAnsi="Book Antiqua"/>
          <w:szCs w:val="24"/>
          <w:vertAlign w:val="superscript"/>
        </w:rPr>
        <w:t xml:space="preserve">[9] </w:t>
      </w:r>
      <w:r w:rsidRPr="007E0C28">
        <w:rPr>
          <w:rFonts w:ascii="Book Antiqua" w:hAnsi="Book Antiqua"/>
          <w:szCs w:val="24"/>
        </w:rPr>
        <w:t xml:space="preserve">reviewed 432 cases of small bowel obstruction treated within 10 years; of these, 14 (3.2%) cases were caused by phytobezoars. In a meta-analysis by Ghosheh </w:t>
      </w:r>
      <w:r w:rsidRPr="007E0C28">
        <w:rPr>
          <w:rFonts w:ascii="Book Antiqua" w:eastAsia="宋体" w:hAnsi="Book Antiqua"/>
          <w:i/>
          <w:szCs w:val="24"/>
          <w:lang w:eastAsia="zh-CN"/>
        </w:rPr>
        <w:t>et al</w:t>
      </w:r>
      <w:r w:rsidRPr="007E0C28">
        <w:rPr>
          <w:rFonts w:ascii="Book Antiqua" w:hAnsi="Book Antiqua"/>
          <w:szCs w:val="24"/>
          <w:vertAlign w:val="superscript"/>
        </w:rPr>
        <w:t>[10]</w:t>
      </w:r>
      <w:r w:rsidRPr="007E0C28">
        <w:rPr>
          <w:rFonts w:ascii="Book Antiqua" w:hAnsi="Book Antiqua"/>
          <w:szCs w:val="24"/>
        </w:rPr>
        <w:t xml:space="preserve"> reviewing 19 reported studies published from 1994 to 2005, laparoscopy was attempted in 1061 patients presenting with acute small bowel obstruction, and bezoars represented the 5</w:t>
      </w:r>
      <w:r w:rsidRPr="007E0C28">
        <w:rPr>
          <w:rFonts w:ascii="Book Antiqua" w:hAnsi="Book Antiqua"/>
          <w:szCs w:val="24"/>
          <w:vertAlign w:val="superscript"/>
        </w:rPr>
        <w:t>th</w:t>
      </w:r>
      <w:r w:rsidRPr="007E0C28">
        <w:rPr>
          <w:rFonts w:ascii="Book Antiqua" w:hAnsi="Book Antiqua"/>
          <w:szCs w:val="24"/>
        </w:rPr>
        <w:t xml:space="preserve"> most common cause, accounting for 0.8%</w:t>
      </w:r>
      <w:r w:rsidRPr="007E0C28">
        <w:rPr>
          <w:rFonts w:ascii="Book Antiqua" w:hAnsi="Book Antiqua"/>
          <w:szCs w:val="24"/>
          <w:vertAlign w:val="superscript"/>
        </w:rPr>
        <w:t>[11]</w:t>
      </w:r>
      <w:r w:rsidRPr="007E0C28">
        <w:rPr>
          <w:rFonts w:ascii="Book Antiqua" w:hAnsi="Book Antiqua"/>
          <w:szCs w:val="24"/>
        </w:rPr>
        <w:t>.</w:t>
      </w:r>
    </w:p>
    <w:p w:rsidR="00B15056" w:rsidRPr="007E0C28" w:rsidRDefault="00B15056" w:rsidP="00ED6B8E">
      <w:pPr>
        <w:spacing w:line="360" w:lineRule="auto"/>
        <w:ind w:firstLineChars="100" w:firstLine="240"/>
        <w:rPr>
          <w:rFonts w:ascii="Book Antiqua" w:hAnsi="Book Antiqua"/>
          <w:szCs w:val="24"/>
        </w:rPr>
      </w:pPr>
      <w:r w:rsidRPr="007E0C28">
        <w:rPr>
          <w:rFonts w:ascii="Book Antiqua" w:hAnsi="Book Antiqua"/>
          <w:szCs w:val="24"/>
        </w:rPr>
        <w:t>Overall, bezoars can be found in the stomach in less than 0.5% of individuals undergoing esophagogastroduodenoscopy examinations and in the small intestine in 0.4%–4.8% of all cases presenting with intestinal obstruction</w:t>
      </w:r>
      <w:r w:rsidRPr="007E0C28">
        <w:rPr>
          <w:rFonts w:ascii="Book Antiqua" w:hAnsi="Book Antiqua"/>
          <w:szCs w:val="24"/>
          <w:vertAlign w:val="superscript"/>
        </w:rPr>
        <w:t>[9–13]</w:t>
      </w:r>
      <w:r w:rsidRPr="007E0C28">
        <w:rPr>
          <w:rFonts w:ascii="Book Antiqua" w:hAnsi="Book Antiqua"/>
          <w:szCs w:val="24"/>
        </w:rPr>
        <w:t>. However, the prevalence of bezoars likely varies among ethnic groups and geographic locations, since the occurrence rate of phytobezoar, the most common type of bezoar, is mostly reflected by food cultures. For example, multiple cases of persimmon phytobezoar (diospyrobezoar) have been reported in regions where the residents frequently consume fresh persimmon fruits and dried persimmons, such as Korea, Japan, Israel, Spain, Turkey, and southeastern United States</w:t>
      </w:r>
      <w:r w:rsidRPr="007E0C28">
        <w:rPr>
          <w:rFonts w:ascii="Book Antiqua" w:eastAsia="宋体" w:hAnsi="Book Antiqua"/>
          <w:szCs w:val="24"/>
          <w:lang w:eastAsia="zh-CN"/>
        </w:rPr>
        <w:t xml:space="preserve"> (US)</w:t>
      </w:r>
      <w:r w:rsidRPr="007E0C28">
        <w:rPr>
          <w:rFonts w:ascii="Book Antiqua" w:hAnsi="Book Antiqua"/>
          <w:szCs w:val="24"/>
          <w:vertAlign w:val="superscript"/>
        </w:rPr>
        <w:t>[3,14–19]</w:t>
      </w:r>
      <w:r w:rsidRPr="007E0C28">
        <w:rPr>
          <w:rFonts w:ascii="Book Antiqua" w:hAnsi="Book Antiqua"/>
          <w:szCs w:val="24"/>
        </w:rPr>
        <w:t>.</w:t>
      </w:r>
    </w:p>
    <w:p w:rsidR="00B15056" w:rsidRPr="007E0C28" w:rsidRDefault="00B15056" w:rsidP="00A2683E">
      <w:pPr>
        <w:spacing w:line="360" w:lineRule="auto"/>
        <w:rPr>
          <w:rFonts w:ascii="Book Antiqua" w:hAnsi="Book Antiqua"/>
          <w:szCs w:val="24"/>
        </w:rPr>
      </w:pPr>
    </w:p>
    <w:p w:rsidR="00B15056" w:rsidRPr="007E0C28" w:rsidRDefault="00B15056" w:rsidP="00A2683E">
      <w:pPr>
        <w:spacing w:line="360" w:lineRule="auto"/>
        <w:rPr>
          <w:rFonts w:ascii="Book Antiqua" w:hAnsi="Book Antiqua"/>
          <w:szCs w:val="24"/>
        </w:rPr>
      </w:pPr>
      <w:r w:rsidRPr="007E0C28">
        <w:rPr>
          <w:rFonts w:ascii="Book Antiqua" w:hAnsi="Book Antiqua"/>
          <w:b/>
          <w:szCs w:val="24"/>
        </w:rPr>
        <w:t>BEZOAR CLASSIFICATION</w:t>
      </w:r>
    </w:p>
    <w:p w:rsidR="00B15056" w:rsidRPr="007E0C28" w:rsidRDefault="00B15056" w:rsidP="00A2683E">
      <w:pPr>
        <w:spacing w:line="360" w:lineRule="auto"/>
        <w:rPr>
          <w:rFonts w:ascii="Book Antiqua" w:hAnsi="Book Antiqua"/>
          <w:b/>
          <w:i/>
          <w:szCs w:val="24"/>
        </w:rPr>
      </w:pPr>
      <w:r w:rsidRPr="007E0C28">
        <w:rPr>
          <w:rFonts w:ascii="Book Antiqua" w:hAnsi="Book Antiqua"/>
          <w:b/>
          <w:i/>
          <w:szCs w:val="24"/>
        </w:rPr>
        <w:t>Phytobezoar</w:t>
      </w:r>
    </w:p>
    <w:p w:rsidR="00B15056" w:rsidRPr="007E0C28" w:rsidRDefault="00B15056" w:rsidP="00A2683E">
      <w:pPr>
        <w:spacing w:line="360" w:lineRule="auto"/>
        <w:rPr>
          <w:rFonts w:ascii="Book Antiqua" w:hAnsi="Book Antiqua"/>
          <w:szCs w:val="24"/>
        </w:rPr>
      </w:pPr>
      <w:r w:rsidRPr="007E0C28">
        <w:rPr>
          <w:rFonts w:ascii="Book Antiqua" w:hAnsi="Book Antiqua"/>
          <w:szCs w:val="24"/>
        </w:rPr>
        <w:t>Among the four types of bezoars, phytobezoars are the most common</w:t>
      </w:r>
      <w:r w:rsidRPr="007E0C28">
        <w:rPr>
          <w:rFonts w:ascii="Book Antiqua" w:hAnsi="Book Antiqua"/>
          <w:szCs w:val="24"/>
          <w:vertAlign w:val="superscript"/>
        </w:rPr>
        <w:t>[20]</w:t>
      </w:r>
      <w:r w:rsidRPr="007E0C28">
        <w:rPr>
          <w:rFonts w:ascii="Book Antiqua" w:hAnsi="Book Antiqua"/>
          <w:szCs w:val="24"/>
        </w:rPr>
        <w:t>. Celery, pumpkins, grape skins, prunes, raisins and, in particular, persimmons are representative causatives of phytobezoars</w:t>
      </w:r>
      <w:r w:rsidRPr="007E0C28">
        <w:rPr>
          <w:rFonts w:ascii="Book Antiqua" w:hAnsi="Book Antiqua"/>
          <w:szCs w:val="24"/>
          <w:vertAlign w:val="superscript"/>
        </w:rPr>
        <w:t>[14]</w:t>
      </w:r>
      <w:r w:rsidRPr="007E0C28">
        <w:rPr>
          <w:rFonts w:ascii="Book Antiqua" w:hAnsi="Book Antiqua"/>
          <w:szCs w:val="24"/>
        </w:rPr>
        <w:t>. Some of these foods contain high amount of cellulose, hemicellulose, lignin, and tannins (leucoanthocyanins and catechins), and these nondigestible food materials are the main components of phytobezoars</w:t>
      </w:r>
      <w:r w:rsidRPr="007E0C28">
        <w:rPr>
          <w:rFonts w:ascii="Book Antiqua" w:hAnsi="Book Antiqua"/>
          <w:szCs w:val="24"/>
          <w:vertAlign w:val="superscript"/>
        </w:rPr>
        <w:t>[1,21,22]</w:t>
      </w:r>
      <w:r w:rsidRPr="007E0C28">
        <w:rPr>
          <w:rFonts w:ascii="Book Antiqua" w:hAnsi="Book Antiqua"/>
          <w:szCs w:val="24"/>
        </w:rPr>
        <w:t xml:space="preserve">. Persimmon phytobezoars, </w:t>
      </w:r>
      <w:r w:rsidRPr="007E0C28">
        <w:rPr>
          <w:rFonts w:ascii="Book Antiqua" w:hAnsi="Book Antiqua"/>
          <w:i/>
          <w:szCs w:val="24"/>
        </w:rPr>
        <w:t>i.e.</w:t>
      </w:r>
      <w:r w:rsidRPr="007E0C28">
        <w:rPr>
          <w:rFonts w:ascii="Book Antiqua" w:hAnsi="Book Antiqua"/>
          <w:szCs w:val="24"/>
        </w:rPr>
        <w:t>, diospyrobezoars, are formed after a frequent consumption of persimmons (Fig</w:t>
      </w:r>
      <w:r w:rsidRPr="007E0C28">
        <w:rPr>
          <w:rFonts w:ascii="Book Antiqua" w:eastAsia="宋体" w:hAnsi="Book Antiqua"/>
          <w:szCs w:val="24"/>
          <w:lang w:eastAsia="zh-CN"/>
        </w:rPr>
        <w:t>ure</w:t>
      </w:r>
      <w:r w:rsidRPr="007E0C28">
        <w:rPr>
          <w:rFonts w:ascii="Book Antiqua" w:hAnsi="Book Antiqua"/>
          <w:szCs w:val="24"/>
        </w:rPr>
        <w:t xml:space="preserve"> 1). The skin of unripe persimmons contains high concentrations of the persimmon tannin. Upon reaction with stomach acid, persimmon tannin is believed to polymerize and form a conglomerate in which cellulose, hemicelluloses, and various proteins are accumulated</w:t>
      </w:r>
      <w:r w:rsidRPr="007E0C28">
        <w:rPr>
          <w:rFonts w:ascii="Book Antiqua" w:hAnsi="Book Antiqua"/>
          <w:szCs w:val="24"/>
          <w:vertAlign w:val="superscript"/>
        </w:rPr>
        <w:t>[20,23]</w:t>
      </w:r>
      <w:r w:rsidRPr="007E0C28">
        <w:rPr>
          <w:rFonts w:ascii="Book Antiqua" w:hAnsi="Book Antiqua"/>
          <w:szCs w:val="24"/>
        </w:rPr>
        <w:t xml:space="preserve">. For example, Holloway </w:t>
      </w:r>
      <w:r w:rsidRPr="007E0C28">
        <w:rPr>
          <w:rFonts w:ascii="Book Antiqua" w:hAnsi="Book Antiqua"/>
          <w:i/>
          <w:szCs w:val="24"/>
        </w:rPr>
        <w:t>et al</w:t>
      </w:r>
      <w:r w:rsidRPr="007E0C28">
        <w:rPr>
          <w:rFonts w:ascii="Book Antiqua" w:hAnsi="Book Antiqua"/>
          <w:szCs w:val="24"/>
          <w:vertAlign w:val="superscript"/>
        </w:rPr>
        <w:t xml:space="preserve">[21] </w:t>
      </w:r>
      <w:r w:rsidRPr="007E0C28">
        <w:rPr>
          <w:rFonts w:ascii="Book Antiqua" w:hAnsi="Book Antiqua"/>
          <w:szCs w:val="24"/>
        </w:rPr>
        <w:t>investigated the plant fiber content in a gastric phytobezoar by using the acid and neutral detergent method. The gastric phytobezoar was composed of approx</w:t>
      </w:r>
      <w:r w:rsidRPr="007E0C28">
        <w:rPr>
          <w:rFonts w:ascii="Book Antiqua" w:eastAsia="宋体" w:hAnsi="Book Antiqua"/>
          <w:szCs w:val="24"/>
          <w:lang w:eastAsia="zh-CN"/>
        </w:rPr>
        <w:t>,</w:t>
      </w:r>
      <w:r w:rsidRPr="007E0C28">
        <w:rPr>
          <w:rFonts w:ascii="Book Antiqua" w:hAnsi="Book Antiqua"/>
          <w:szCs w:val="24"/>
        </w:rPr>
        <w:t xml:space="preserve"> 11% cellulose, 5% hemicellulose, and 2% lignin. In a thin-layer chromatography analysis, phytobezoar tissue contained only polymerized tannins, without tannin monomers. Maki </w:t>
      </w:r>
      <w:r w:rsidRPr="007E0C28">
        <w:rPr>
          <w:rFonts w:ascii="Book Antiqua" w:eastAsia="宋体" w:hAnsi="Book Antiqua"/>
          <w:i/>
          <w:szCs w:val="24"/>
          <w:lang w:eastAsia="zh-CN"/>
        </w:rPr>
        <w:t>et al</w:t>
      </w:r>
      <w:r w:rsidRPr="007E0C28">
        <w:rPr>
          <w:rFonts w:ascii="Book Antiqua" w:hAnsi="Book Antiqua"/>
          <w:szCs w:val="24"/>
          <w:vertAlign w:val="superscript"/>
        </w:rPr>
        <w:t xml:space="preserve">[24] </w:t>
      </w:r>
      <w:r w:rsidRPr="007E0C28">
        <w:rPr>
          <w:rFonts w:ascii="Book Antiqua" w:hAnsi="Book Antiqua"/>
          <w:szCs w:val="24"/>
        </w:rPr>
        <w:t xml:space="preserve">succeeded in generating an artificial mass </w:t>
      </w:r>
      <w:r w:rsidRPr="007E0C28">
        <w:rPr>
          <w:rFonts w:ascii="Book Antiqua" w:hAnsi="Book Antiqua"/>
          <w:i/>
          <w:szCs w:val="24"/>
        </w:rPr>
        <w:t>in vitro</w:t>
      </w:r>
      <w:r w:rsidRPr="007E0C28">
        <w:rPr>
          <w:rFonts w:ascii="Book Antiqua" w:hAnsi="Book Antiqua"/>
          <w:szCs w:val="24"/>
        </w:rPr>
        <w:t xml:space="preserve"> that mimicked a phytobezoar by using persimmon skin pieces, hydrochloric acid, and high-molecular-weight organic polymers. In light of the basic research findings, we speculate that persimmon tannin plays a vital role in the formation of phytobezoars acting as cementing agents that hold undigestible plant fibers together. However, the precise mechanism of the emergence of a phytobezoar is still unknown.</w:t>
      </w:r>
    </w:p>
    <w:p w:rsidR="00B15056" w:rsidRPr="007E0C28" w:rsidRDefault="00B15056" w:rsidP="00A2683E">
      <w:pPr>
        <w:spacing w:line="360" w:lineRule="auto"/>
        <w:rPr>
          <w:rFonts w:ascii="Book Antiqua" w:hAnsi="Book Antiqua"/>
          <w:szCs w:val="24"/>
        </w:rPr>
      </w:pPr>
    </w:p>
    <w:p w:rsidR="00B15056" w:rsidRPr="007E0C28" w:rsidRDefault="00B15056" w:rsidP="00A2683E">
      <w:pPr>
        <w:spacing w:line="360" w:lineRule="auto"/>
        <w:rPr>
          <w:rFonts w:ascii="Book Antiqua" w:hAnsi="Book Antiqua"/>
          <w:b/>
          <w:i/>
          <w:szCs w:val="24"/>
        </w:rPr>
      </w:pPr>
      <w:r w:rsidRPr="007E0C28">
        <w:rPr>
          <w:rFonts w:ascii="Book Antiqua" w:hAnsi="Book Antiqua"/>
          <w:b/>
          <w:i/>
          <w:szCs w:val="24"/>
        </w:rPr>
        <w:t>Trichobezoar</w:t>
      </w:r>
    </w:p>
    <w:p w:rsidR="00B15056" w:rsidRPr="007E0C28" w:rsidRDefault="00B15056" w:rsidP="00A2683E">
      <w:pPr>
        <w:spacing w:line="360" w:lineRule="auto"/>
        <w:rPr>
          <w:rFonts w:ascii="Book Antiqua" w:hAnsi="Book Antiqua"/>
          <w:szCs w:val="24"/>
        </w:rPr>
      </w:pPr>
      <w:r w:rsidRPr="007E0C28">
        <w:rPr>
          <w:rFonts w:ascii="Book Antiqua" w:hAnsi="Book Antiqua"/>
          <w:szCs w:val="24"/>
        </w:rPr>
        <w:t>A trichobezoar is a hair ball trapped in the gastrointestinal tract, mainly in the stomach. Trichobezoar is a rare condition, nearly always diagnosed in young females</w:t>
      </w:r>
      <w:r w:rsidRPr="007E0C28">
        <w:rPr>
          <w:rFonts w:ascii="Book Antiqua" w:hAnsi="Book Antiqua"/>
          <w:szCs w:val="24"/>
          <w:vertAlign w:val="superscript"/>
        </w:rPr>
        <w:t>[25–30]</w:t>
      </w:r>
      <w:r w:rsidRPr="007E0C28">
        <w:rPr>
          <w:rFonts w:ascii="Book Antiqua" w:hAnsi="Book Antiqua"/>
          <w:szCs w:val="24"/>
        </w:rPr>
        <w:t>. Psychiatric comorbidities that involve strong urges to pull out one</w:t>
      </w:r>
      <w:r w:rsidRPr="007E0C28">
        <w:rPr>
          <w:rFonts w:ascii="Book Antiqua" w:eastAsia="宋体" w:hAnsi="Book Antiqua"/>
          <w:szCs w:val="24"/>
          <w:lang w:eastAsia="zh-CN"/>
        </w:rPr>
        <w:t>’</w:t>
      </w:r>
      <w:r w:rsidRPr="007E0C28">
        <w:rPr>
          <w:rFonts w:ascii="Book Antiqua" w:hAnsi="Book Antiqua"/>
          <w:szCs w:val="24"/>
        </w:rPr>
        <w:t>s own hair (trichotillomania) and eat it (trichophagia) are observed in these patients. Due to its enzyme-resistant properties and smooth, slippery surface, human hair cannot be digested and it can be stagnant in the gastrointestinal system. Consequently, eaten hairs retain and accumulate between the gastric mucosal folds and finally lead to the formation of a hair ball together with food and mucus</w:t>
      </w:r>
      <w:r w:rsidRPr="007E0C28">
        <w:rPr>
          <w:rFonts w:ascii="Book Antiqua" w:hAnsi="Book Antiqua"/>
          <w:szCs w:val="24"/>
          <w:vertAlign w:val="superscript"/>
        </w:rPr>
        <w:t>[25]</w:t>
      </w:r>
      <w:r w:rsidRPr="007E0C28">
        <w:rPr>
          <w:rFonts w:ascii="Book Antiqua" w:hAnsi="Book Antiqua"/>
          <w:szCs w:val="24"/>
        </w:rPr>
        <w:t xml:space="preserve">. In some cases, the hair ball extends from the stomach into the small intestines and colon. This condition is named Rapunzel syndrome, which was first described by Vaughan </w:t>
      </w:r>
      <w:r w:rsidRPr="007E0C28">
        <w:rPr>
          <w:rFonts w:ascii="Book Antiqua" w:hAnsi="Book Antiqua"/>
          <w:i/>
          <w:szCs w:val="24"/>
        </w:rPr>
        <w:t>et al</w:t>
      </w:r>
      <w:r w:rsidRPr="007E0C28">
        <w:rPr>
          <w:rFonts w:ascii="Book Antiqua" w:hAnsi="Book Antiqua"/>
          <w:szCs w:val="24"/>
          <w:vertAlign w:val="superscript"/>
        </w:rPr>
        <w:t>[31]</w:t>
      </w:r>
      <w:r w:rsidRPr="007E0C28">
        <w:rPr>
          <w:rFonts w:ascii="Book Antiqua" w:hAnsi="Book Antiqua"/>
          <w:szCs w:val="24"/>
        </w:rPr>
        <w:t xml:space="preserve"> in 1968</w:t>
      </w:r>
      <w:r w:rsidRPr="007E0C28">
        <w:rPr>
          <w:rFonts w:ascii="Book Antiqua" w:hAnsi="Book Antiqua"/>
          <w:szCs w:val="24"/>
          <w:vertAlign w:val="superscript"/>
        </w:rPr>
        <w:t>[32]</w:t>
      </w:r>
      <w:r w:rsidRPr="007E0C28">
        <w:rPr>
          <w:rFonts w:ascii="Book Antiqua" w:hAnsi="Book Antiqua"/>
          <w:szCs w:val="24"/>
        </w:rPr>
        <w:t xml:space="preserve">. </w:t>
      </w:r>
    </w:p>
    <w:p w:rsidR="00B15056" w:rsidRPr="007E0C28" w:rsidRDefault="00B15056" w:rsidP="00A2683E">
      <w:pPr>
        <w:spacing w:line="360" w:lineRule="auto"/>
        <w:rPr>
          <w:rFonts w:ascii="Book Antiqua" w:hAnsi="Book Antiqua"/>
          <w:szCs w:val="24"/>
        </w:rPr>
      </w:pPr>
    </w:p>
    <w:p w:rsidR="00B15056" w:rsidRPr="007E0C28" w:rsidRDefault="00B15056" w:rsidP="00A2683E">
      <w:pPr>
        <w:spacing w:line="360" w:lineRule="auto"/>
        <w:rPr>
          <w:rFonts w:ascii="Book Antiqua" w:hAnsi="Book Antiqua"/>
          <w:b/>
          <w:i/>
          <w:szCs w:val="24"/>
        </w:rPr>
      </w:pPr>
      <w:r w:rsidRPr="007E0C28">
        <w:rPr>
          <w:rFonts w:ascii="Book Antiqua" w:hAnsi="Book Antiqua"/>
          <w:b/>
          <w:i/>
          <w:szCs w:val="24"/>
        </w:rPr>
        <w:t>Pharmacobezoar</w:t>
      </w:r>
    </w:p>
    <w:p w:rsidR="00B15056" w:rsidRPr="007E0C28" w:rsidRDefault="00B15056" w:rsidP="00A2683E">
      <w:pPr>
        <w:spacing w:line="360" w:lineRule="auto"/>
        <w:rPr>
          <w:rFonts w:ascii="Book Antiqua" w:hAnsi="Book Antiqua"/>
          <w:szCs w:val="24"/>
        </w:rPr>
      </w:pPr>
      <w:r w:rsidRPr="007E0C28">
        <w:rPr>
          <w:rFonts w:ascii="Book Antiqua" w:hAnsi="Book Antiqua"/>
          <w:szCs w:val="24"/>
        </w:rPr>
        <w:t xml:space="preserve">Pharmacobezoars are an uncommon complication caused by conglomerations of medications or medication vehicles in the gastrointestinal tract. Bulk-forming laxatives, </w:t>
      </w:r>
      <w:r w:rsidRPr="007E0C28">
        <w:rPr>
          <w:rFonts w:ascii="Book Antiqua" w:hAnsi="Book Antiqua"/>
          <w:i/>
          <w:szCs w:val="24"/>
        </w:rPr>
        <w:t>e.g.</w:t>
      </w:r>
      <w:r w:rsidRPr="007E0C28">
        <w:rPr>
          <w:rFonts w:ascii="Book Antiqua" w:hAnsi="Book Antiqua"/>
          <w:szCs w:val="24"/>
        </w:rPr>
        <w:t>, perdium and psyllium, and guar gum appear to contribute to the formation of pharmacobezoars because of their hygroscopic properties and bulk-forming nature</w:t>
      </w:r>
      <w:r w:rsidRPr="007E0C28">
        <w:rPr>
          <w:rFonts w:ascii="Book Antiqua" w:hAnsi="Book Antiqua"/>
          <w:szCs w:val="24"/>
          <w:vertAlign w:val="superscript"/>
        </w:rPr>
        <w:t>[1,33–37]</w:t>
      </w:r>
      <w:r w:rsidRPr="007E0C28">
        <w:rPr>
          <w:rFonts w:ascii="Book Antiqua" w:hAnsi="Book Antiqua"/>
          <w:szCs w:val="24"/>
        </w:rPr>
        <w:t>. Extended-release drug products are other candidate causatives for bezoars</w:t>
      </w:r>
      <w:r w:rsidRPr="007E0C28">
        <w:rPr>
          <w:rFonts w:ascii="Book Antiqua" w:hAnsi="Book Antiqua"/>
          <w:szCs w:val="24"/>
          <w:vertAlign w:val="superscript"/>
        </w:rPr>
        <w:t>[38–40]</w:t>
      </w:r>
      <w:r w:rsidRPr="007E0C28">
        <w:rPr>
          <w:rFonts w:ascii="Book Antiqua" w:hAnsi="Book Antiqua"/>
          <w:szCs w:val="24"/>
        </w:rPr>
        <w:t xml:space="preserve">. The development of time-release technology enabled drug tablets/capsules to be slowly dissolved and gradually release active ingredients of the medication. Extended-release drugs, </w:t>
      </w:r>
      <w:r w:rsidRPr="007E0C28">
        <w:rPr>
          <w:rFonts w:ascii="Book Antiqua" w:hAnsi="Book Antiqua"/>
          <w:i/>
          <w:szCs w:val="24"/>
        </w:rPr>
        <w:t>e.g.</w:t>
      </w:r>
      <w:r w:rsidRPr="007E0C28">
        <w:rPr>
          <w:rFonts w:ascii="Book Antiqua" w:hAnsi="Book Antiqua"/>
          <w:szCs w:val="24"/>
        </w:rPr>
        <w:t xml:space="preserve">, nifedipine and verapamil, are coated with cellulose acetate, a synthetic chemical compound derived from the plant substance cellulose. Cellulose acetate may aggregate and lead to bezoar formation in the gastrointestinal tract. Enteric coatings, which use a polymer barrier to stabilize drug tablets at the highly acidic pH found in the stomach, are dissolved at a less acidic pH in the small intestine. Because of the insolubility of the carrying vehicle of enteric-coated medications, </w:t>
      </w:r>
      <w:r w:rsidRPr="007E0C28">
        <w:rPr>
          <w:rFonts w:ascii="Book Antiqua" w:hAnsi="Book Antiqua"/>
          <w:i/>
          <w:szCs w:val="24"/>
        </w:rPr>
        <w:t>e.g.</w:t>
      </w:r>
      <w:r w:rsidRPr="007E0C28">
        <w:rPr>
          <w:rFonts w:ascii="Book Antiqua" w:hAnsi="Book Antiqua"/>
          <w:szCs w:val="24"/>
        </w:rPr>
        <w:t>, aspirin, they can also be responsible for bezoar formation</w:t>
      </w:r>
      <w:r w:rsidRPr="007E0C28">
        <w:rPr>
          <w:rFonts w:ascii="Book Antiqua" w:hAnsi="Book Antiqua"/>
          <w:szCs w:val="24"/>
          <w:vertAlign w:val="superscript"/>
        </w:rPr>
        <w:t>[39]</w:t>
      </w:r>
      <w:r w:rsidRPr="007E0C28">
        <w:rPr>
          <w:rFonts w:ascii="Book Antiqua" w:hAnsi="Book Antiqua"/>
          <w:szCs w:val="24"/>
        </w:rPr>
        <w:t>.</w:t>
      </w:r>
    </w:p>
    <w:p w:rsidR="00B15056" w:rsidRPr="007E0C28" w:rsidRDefault="00B15056" w:rsidP="00A2683E">
      <w:pPr>
        <w:spacing w:line="360" w:lineRule="auto"/>
        <w:rPr>
          <w:rFonts w:ascii="Book Antiqua" w:hAnsi="Book Antiqua"/>
          <w:szCs w:val="24"/>
        </w:rPr>
      </w:pPr>
    </w:p>
    <w:p w:rsidR="00B15056" w:rsidRPr="007E0C28" w:rsidRDefault="00B15056" w:rsidP="00A2683E">
      <w:pPr>
        <w:spacing w:line="360" w:lineRule="auto"/>
        <w:rPr>
          <w:rFonts w:ascii="Book Antiqua" w:hAnsi="Book Antiqua"/>
          <w:b/>
          <w:i/>
          <w:szCs w:val="24"/>
        </w:rPr>
      </w:pPr>
      <w:r w:rsidRPr="007E0C28">
        <w:rPr>
          <w:rFonts w:ascii="Book Antiqua" w:hAnsi="Book Antiqua"/>
          <w:b/>
          <w:i/>
          <w:szCs w:val="24"/>
        </w:rPr>
        <w:t>Lactobezoar</w:t>
      </w:r>
    </w:p>
    <w:p w:rsidR="00B15056" w:rsidRPr="007E0C28" w:rsidRDefault="00B15056" w:rsidP="00A2683E">
      <w:pPr>
        <w:spacing w:line="360" w:lineRule="auto"/>
        <w:rPr>
          <w:rFonts w:ascii="Book Antiqua" w:hAnsi="Book Antiqua"/>
          <w:szCs w:val="24"/>
        </w:rPr>
      </w:pPr>
      <w:r w:rsidRPr="007E0C28">
        <w:rPr>
          <w:rFonts w:ascii="Book Antiqua" w:hAnsi="Book Antiqua"/>
          <w:szCs w:val="24"/>
        </w:rPr>
        <w:t>A lactobezoar is an undigested mass composed of milk and mucus components</w:t>
      </w:r>
      <w:r w:rsidRPr="007E0C28">
        <w:rPr>
          <w:rFonts w:ascii="Book Antiqua" w:hAnsi="Book Antiqua"/>
          <w:szCs w:val="24"/>
          <w:vertAlign w:val="superscript"/>
        </w:rPr>
        <w:t>[41]</w:t>
      </w:r>
      <w:r w:rsidRPr="007E0C28">
        <w:rPr>
          <w:rFonts w:ascii="Book Antiqua" w:hAnsi="Book Antiqua"/>
          <w:szCs w:val="24"/>
        </w:rPr>
        <w:t>. In clear contrast to the other types of bezoars, virtually all patients affected with a lactobezoar are milk-fed infants. The pathogenesis is likely multifactorial and includes both exogenous risk factors (</w:t>
      </w:r>
      <w:r w:rsidRPr="007E0C28">
        <w:rPr>
          <w:rFonts w:ascii="Book Antiqua" w:hAnsi="Book Antiqua"/>
          <w:i/>
          <w:szCs w:val="24"/>
        </w:rPr>
        <w:t>i.e.</w:t>
      </w:r>
      <w:r w:rsidRPr="007E0C28">
        <w:rPr>
          <w:rFonts w:ascii="Book Antiqua" w:hAnsi="Book Antiqua"/>
          <w:szCs w:val="24"/>
        </w:rPr>
        <w:t>, the composition of synthetic milk, medications lowering gastric motility and secretion, and methodologies of feeding) and endogenous risk factors (</w:t>
      </w:r>
      <w:r w:rsidRPr="007E0C28">
        <w:rPr>
          <w:rFonts w:ascii="Book Antiqua" w:hAnsi="Book Antiqua"/>
          <w:i/>
          <w:szCs w:val="24"/>
        </w:rPr>
        <w:t>i.e.</w:t>
      </w:r>
      <w:r w:rsidRPr="007E0C28">
        <w:rPr>
          <w:rFonts w:ascii="Book Antiqua" w:hAnsi="Book Antiqua"/>
          <w:szCs w:val="24"/>
        </w:rPr>
        <w:t>, dehydration, premature birth, and the subsequent insufficient activity and capacity of the digestive tract)</w:t>
      </w:r>
      <w:r w:rsidRPr="007E0C28">
        <w:rPr>
          <w:rFonts w:ascii="Book Antiqua" w:hAnsi="Book Antiqua"/>
          <w:szCs w:val="24"/>
          <w:vertAlign w:val="superscript"/>
        </w:rPr>
        <w:t>[42–44]</w:t>
      </w:r>
      <w:r w:rsidRPr="007E0C28">
        <w:rPr>
          <w:rFonts w:ascii="Book Antiqua" w:hAnsi="Book Antiqua"/>
          <w:szCs w:val="24"/>
        </w:rPr>
        <w:t xml:space="preserve">. Heinz-Erian </w:t>
      </w:r>
      <w:r w:rsidRPr="007E0C28">
        <w:rPr>
          <w:rFonts w:ascii="Book Antiqua" w:hAnsi="Book Antiqua"/>
          <w:i/>
          <w:szCs w:val="24"/>
        </w:rPr>
        <w:t>et al</w:t>
      </w:r>
      <w:r w:rsidRPr="007E0C28">
        <w:rPr>
          <w:rFonts w:ascii="Book Antiqua" w:hAnsi="Book Antiqua"/>
          <w:szCs w:val="24"/>
          <w:vertAlign w:val="superscript"/>
        </w:rPr>
        <w:t xml:space="preserve">[42] </w:t>
      </w:r>
      <w:r w:rsidRPr="007E0C28">
        <w:rPr>
          <w:rFonts w:ascii="Book Antiqua" w:hAnsi="Book Antiqua"/>
          <w:szCs w:val="24"/>
        </w:rPr>
        <w:t>reviewed 96 published cases since the first report in 1959 and noted that most cases were published in the period 1975–1985, whereas only 26 cases have been reported since 1986. The reasons for the infrequency of lactobezoar cases in recent years have not been revealed, but the improvement of synthetic milk composition and advances in premature infant management have probably affected the prevalence.</w:t>
      </w:r>
    </w:p>
    <w:p w:rsidR="00B15056" w:rsidRPr="007E0C28" w:rsidRDefault="00B15056" w:rsidP="00A2683E">
      <w:pPr>
        <w:spacing w:line="360" w:lineRule="auto"/>
        <w:rPr>
          <w:rFonts w:ascii="Book Antiqua" w:hAnsi="Book Antiqua"/>
          <w:szCs w:val="24"/>
        </w:rPr>
      </w:pPr>
    </w:p>
    <w:p w:rsidR="00B15056" w:rsidRPr="007E0C28" w:rsidRDefault="00B15056" w:rsidP="00A2683E">
      <w:pPr>
        <w:spacing w:line="360" w:lineRule="auto"/>
        <w:rPr>
          <w:rFonts w:ascii="Book Antiqua" w:hAnsi="Book Antiqua"/>
          <w:b/>
          <w:i/>
          <w:szCs w:val="24"/>
        </w:rPr>
      </w:pPr>
      <w:r w:rsidRPr="007E0C28">
        <w:rPr>
          <w:rFonts w:ascii="Book Antiqua" w:hAnsi="Book Antiqua"/>
          <w:b/>
          <w:i/>
          <w:szCs w:val="24"/>
        </w:rPr>
        <w:t>Other types of bezoar</w:t>
      </w:r>
    </w:p>
    <w:p w:rsidR="00B15056" w:rsidRPr="007E0C28" w:rsidRDefault="00B15056" w:rsidP="00A2683E">
      <w:pPr>
        <w:spacing w:line="360" w:lineRule="auto"/>
        <w:rPr>
          <w:rFonts w:ascii="Book Antiqua" w:hAnsi="Book Antiqua"/>
          <w:szCs w:val="24"/>
        </w:rPr>
      </w:pPr>
      <w:r w:rsidRPr="007E0C28">
        <w:rPr>
          <w:rFonts w:ascii="Book Antiqua" w:hAnsi="Book Antiqua"/>
          <w:szCs w:val="24"/>
        </w:rPr>
        <w:t>Varieties of substances other than those responsible for the aforementioned four types of bezoars (</w:t>
      </w:r>
      <w:r w:rsidRPr="007E0C28">
        <w:rPr>
          <w:rFonts w:ascii="Book Antiqua" w:hAnsi="Book Antiqua"/>
          <w:i/>
          <w:szCs w:val="24"/>
        </w:rPr>
        <w:t>i.e.</w:t>
      </w:r>
      <w:r w:rsidRPr="007E0C28">
        <w:rPr>
          <w:rFonts w:ascii="Book Antiqua" w:hAnsi="Book Antiqua"/>
          <w:szCs w:val="24"/>
        </w:rPr>
        <w:t>, plant materials, hair, medications, and artificial milk) have been reported as a source of bezoars. Such bizarre materials include plastic</w:t>
      </w:r>
      <w:r w:rsidRPr="007E0C28">
        <w:rPr>
          <w:rFonts w:ascii="Book Antiqua" w:hAnsi="Book Antiqua"/>
          <w:szCs w:val="24"/>
          <w:vertAlign w:val="superscript"/>
        </w:rPr>
        <w:t>[45]</w:t>
      </w:r>
      <w:r w:rsidRPr="007E0C28">
        <w:rPr>
          <w:rFonts w:ascii="Book Antiqua" w:hAnsi="Book Antiqua"/>
          <w:szCs w:val="24"/>
        </w:rPr>
        <w:t>, metals</w:t>
      </w:r>
      <w:r w:rsidRPr="007E0C28">
        <w:rPr>
          <w:rFonts w:ascii="Book Antiqua" w:hAnsi="Book Antiqua"/>
          <w:szCs w:val="24"/>
          <w:vertAlign w:val="superscript"/>
        </w:rPr>
        <w:t>[46]</w:t>
      </w:r>
      <w:r w:rsidRPr="007E0C28">
        <w:rPr>
          <w:rFonts w:ascii="Book Antiqua" w:hAnsi="Book Antiqua"/>
          <w:szCs w:val="24"/>
        </w:rPr>
        <w:t>, parasitic worms (ascaris)</w:t>
      </w:r>
      <w:r w:rsidRPr="007E0C28">
        <w:rPr>
          <w:rFonts w:ascii="Book Antiqua" w:hAnsi="Book Antiqua"/>
          <w:szCs w:val="24"/>
          <w:vertAlign w:val="superscript"/>
        </w:rPr>
        <w:t>[47]</w:t>
      </w:r>
      <w:r w:rsidRPr="007E0C28">
        <w:rPr>
          <w:rFonts w:ascii="Book Antiqua" w:hAnsi="Book Antiqua"/>
          <w:szCs w:val="24"/>
        </w:rPr>
        <w:t>, and even toilet paper</w:t>
      </w:r>
      <w:r w:rsidRPr="007E0C28">
        <w:rPr>
          <w:rFonts w:ascii="Book Antiqua" w:hAnsi="Book Antiqua"/>
          <w:szCs w:val="24"/>
          <w:vertAlign w:val="superscript"/>
        </w:rPr>
        <w:t>[48]</w:t>
      </w:r>
      <w:r w:rsidRPr="007E0C28">
        <w:rPr>
          <w:rFonts w:ascii="Book Antiqua" w:hAnsi="Book Antiqua"/>
          <w:szCs w:val="24"/>
        </w:rPr>
        <w:t>. Theoretically, all indigestible food materials and foreign bodies can cause a mass formation together with mucus and semi-digested foodstuffs.</w:t>
      </w:r>
    </w:p>
    <w:p w:rsidR="00B15056" w:rsidRPr="007E0C28" w:rsidRDefault="00B15056" w:rsidP="00A2683E">
      <w:pPr>
        <w:spacing w:line="360" w:lineRule="auto"/>
        <w:rPr>
          <w:rFonts w:ascii="Book Antiqua" w:hAnsi="Book Antiqua"/>
          <w:szCs w:val="24"/>
        </w:rPr>
      </w:pPr>
    </w:p>
    <w:p w:rsidR="00B15056" w:rsidRPr="007E0C28" w:rsidRDefault="00B15056" w:rsidP="00A2683E">
      <w:pPr>
        <w:spacing w:line="360" w:lineRule="auto"/>
        <w:rPr>
          <w:rFonts w:ascii="Book Antiqua" w:hAnsi="Book Antiqua"/>
          <w:szCs w:val="24"/>
        </w:rPr>
      </w:pPr>
      <w:r w:rsidRPr="007E0C28">
        <w:rPr>
          <w:rFonts w:ascii="Book Antiqua" w:hAnsi="Book Antiqua"/>
          <w:b/>
          <w:szCs w:val="24"/>
        </w:rPr>
        <w:t>STRUCTURE OF PERSIMMON PHYTOBEZOAR</w:t>
      </w:r>
    </w:p>
    <w:p w:rsidR="00B15056" w:rsidRPr="007E0C28" w:rsidRDefault="00B15056" w:rsidP="00A2683E">
      <w:pPr>
        <w:spacing w:line="360" w:lineRule="auto"/>
        <w:rPr>
          <w:rFonts w:ascii="Book Antiqua" w:hAnsi="Book Antiqua"/>
          <w:szCs w:val="24"/>
        </w:rPr>
      </w:pPr>
      <w:r w:rsidRPr="007E0C28">
        <w:rPr>
          <w:rFonts w:ascii="Book Antiqua" w:hAnsi="Book Antiqua"/>
          <w:szCs w:val="24"/>
        </w:rPr>
        <w:t>Compared with other phytobezoars, persimmon phytobezoars are more difficult to dissolve or break up into small pieces due to their hard consistency. In addition, persimmon phytobezoars usually have a black or darkish-brown color (Fig</w:t>
      </w:r>
      <w:r w:rsidRPr="007E0C28">
        <w:rPr>
          <w:rFonts w:ascii="Book Antiqua" w:eastAsia="宋体" w:hAnsi="Book Antiqua"/>
          <w:szCs w:val="24"/>
          <w:lang w:eastAsia="zh-CN"/>
        </w:rPr>
        <w:t>ure</w:t>
      </w:r>
      <w:r w:rsidRPr="007E0C28">
        <w:rPr>
          <w:rFonts w:ascii="Book Antiqua" w:hAnsi="Book Antiqua"/>
          <w:szCs w:val="24"/>
        </w:rPr>
        <w:t xml:space="preserve"> 1). We recently investigated persimmon phytobezoar fragments by microscopy, transmission electron microscopy, energy dispersive X-ray spectroscopy, and infrared spectroscopy and revealed the unique structure and components that cause the characteristic hard consistency and dark color</w:t>
      </w:r>
      <w:r w:rsidRPr="007E0C28">
        <w:rPr>
          <w:rFonts w:ascii="Book Antiqua" w:hAnsi="Book Antiqua"/>
          <w:szCs w:val="24"/>
          <w:vertAlign w:val="superscript"/>
        </w:rPr>
        <w:t>[2]</w:t>
      </w:r>
      <w:r w:rsidRPr="007E0C28">
        <w:rPr>
          <w:rFonts w:ascii="Book Antiqua" w:hAnsi="Book Antiqua"/>
          <w:szCs w:val="24"/>
        </w:rPr>
        <w:t>. In this section, we briefly introduce our analysis regarding the microstructure of persimmon phytobezoar fragments.</w:t>
      </w:r>
    </w:p>
    <w:p w:rsidR="00B15056" w:rsidRPr="007E0C28" w:rsidRDefault="00B15056" w:rsidP="00ED6B8E">
      <w:pPr>
        <w:spacing w:line="360" w:lineRule="auto"/>
        <w:ind w:firstLineChars="100" w:firstLine="240"/>
        <w:rPr>
          <w:rFonts w:ascii="Book Antiqua" w:hAnsi="Book Antiqua"/>
          <w:szCs w:val="24"/>
        </w:rPr>
      </w:pPr>
      <w:r w:rsidRPr="007E0C28">
        <w:rPr>
          <w:rFonts w:ascii="Book Antiqua" w:hAnsi="Book Antiqua"/>
          <w:szCs w:val="24"/>
        </w:rPr>
        <w:t>First, the bezoar fragments were analyzed by scanning electron microscopy (SEM). The SEM analysis revealed a high-density, continuous layer approx. 20- to 50-</w:t>
      </w:r>
      <w:r w:rsidRPr="007E0C28">
        <w:rPr>
          <w:rFonts w:ascii="Symbol" w:hAnsi="Symbol"/>
        </w:rPr>
        <w:t></w:t>
      </w:r>
      <w:r w:rsidRPr="007E0C28">
        <w:rPr>
          <w:rFonts w:ascii="Book Antiqua" w:hAnsi="Book Antiqua"/>
          <w:szCs w:val="24"/>
        </w:rPr>
        <w:t>m thick that formed the exterior of the phytobezoar. Close-up observation revealed that aggregated microgranules constituted the exterior surface. These microgranules were stuck together and created an almost seamless structure with a few slits. In contrast, the density of the inner part of the persimmon phytobezoar was low. The inner part consisted of sheet-like structures with curved or wavy shapes. The wiggly arrangement of the sheet-like structures resulted in unoccupied areas existed between the sheets. These microscopic features indicate that the persimmon phytobezoar’s resistance to mechanical and chemical forces was rendered by almost seamless, dense layers of the exterior surface.</w:t>
      </w:r>
    </w:p>
    <w:p w:rsidR="00B15056" w:rsidRPr="007E0C28" w:rsidRDefault="00B15056" w:rsidP="00ED6B8E">
      <w:pPr>
        <w:spacing w:line="360" w:lineRule="auto"/>
        <w:ind w:firstLineChars="100" w:firstLine="240"/>
        <w:rPr>
          <w:rFonts w:ascii="Book Antiqua" w:hAnsi="Book Antiqua"/>
          <w:szCs w:val="24"/>
        </w:rPr>
      </w:pPr>
      <w:r w:rsidRPr="007E0C28">
        <w:rPr>
          <w:rFonts w:ascii="Book Antiqua" w:hAnsi="Book Antiqua"/>
          <w:szCs w:val="24"/>
        </w:rPr>
        <w:t>Secondly, to investigate the chemical components that constitute the surface structure and the inner part of the persimmon phytobezoar, we performed an infrared spectroscopy analysis. The surface layer and the inner part of the persimmon phytobezoar were manually segmented with a surgical knife. Both parts were air-dried and analyzed by infrared spectroscopy. The spectra obtained from the surface and the inner parts of the persimmon phytobezoar were quite similar to that of persimmon juice. The persimmon juice was extracted from green, unripe persimmon fruits that contained plenty of tannin. This juice can be commercially purchased in Japan as a natural dyestuff and as a coating material for fabric, paper, and wood. The striking resemblance of spectra between the persimmon juice and the phytobezoar fragments indicates that a quite high concentration of persimmon tannin exists in a phytobezoar. It also suggests the importance of persimmon tannin in the pathogenesis of phytobezoars.</w:t>
      </w:r>
    </w:p>
    <w:p w:rsidR="00B15056" w:rsidRPr="007E0C28" w:rsidRDefault="00B15056" w:rsidP="00ED6B8E">
      <w:pPr>
        <w:spacing w:line="360" w:lineRule="auto"/>
        <w:ind w:firstLineChars="100" w:firstLine="240"/>
        <w:rPr>
          <w:rFonts w:ascii="Book Antiqua" w:hAnsi="Book Antiqua"/>
          <w:szCs w:val="24"/>
        </w:rPr>
      </w:pPr>
      <w:r w:rsidRPr="007E0C28">
        <w:rPr>
          <w:rFonts w:ascii="Book Antiqua" w:hAnsi="Book Antiqua"/>
          <w:szCs w:val="24"/>
        </w:rPr>
        <w:t>Thirdly, to compare the elemental composition of the surface and the inner part of the phytobezoar, we used S4800 scanning electron microscopy and energy dispersive X-ray spectroscopy (EDX) (EDAX Genesis APEX2 system, Ametek, Paoli, PA). The net intensity of each element was measured at five different points on the surface and the inner part, respectively. We analyzed the spectrum of the EDX results using Genesys software (Ametek). The amount of each element was quantified by the standardless EDAX ZAF quantification method. As a result, higher amounts of sulphur and iron were detected in the surface layer compared to the inner part (Table 1). We speculate that the iron deposition and resulting compound, iron(III) tannate, are responsible for the black color of the persimmon phytobezoar surface. In our study, yttrium, aluminum, and osmium were detected in the persimmon phytobezoar, in addition to the major elements such as carbon, oxygen, sodium and sulfur. Generally, edible plants have yttrium at a concentration of 20–100 ppm</w:t>
      </w:r>
      <w:r w:rsidRPr="007E0C28">
        <w:rPr>
          <w:rFonts w:ascii="Book Antiqua" w:hAnsi="Book Antiqua"/>
          <w:szCs w:val="24"/>
          <w:vertAlign w:val="superscript"/>
        </w:rPr>
        <w:t>[49]</w:t>
      </w:r>
      <w:r w:rsidRPr="007E0C28">
        <w:rPr>
          <w:rFonts w:ascii="Book Antiqua" w:hAnsi="Book Antiqua"/>
          <w:szCs w:val="24"/>
        </w:rPr>
        <w:t>. The seeds of woody plants have high amounts, up to 700 ppm. Aluminum is also contained in foods and food additives. Osmium was probably contaminated during the process of sample preparation for the SEM analysis, because it was used as a fixing agent.</w:t>
      </w:r>
    </w:p>
    <w:p w:rsidR="00B15056" w:rsidRPr="007E0C28" w:rsidRDefault="00B15056" w:rsidP="00ED6B8E">
      <w:pPr>
        <w:spacing w:line="360" w:lineRule="auto"/>
        <w:ind w:firstLineChars="100" w:firstLine="240"/>
        <w:rPr>
          <w:rFonts w:ascii="Book Antiqua" w:hAnsi="Book Antiqua"/>
          <w:szCs w:val="24"/>
        </w:rPr>
      </w:pPr>
      <w:r w:rsidRPr="007E0C28">
        <w:rPr>
          <w:rFonts w:ascii="Book Antiqua" w:hAnsi="Book Antiqua"/>
          <w:szCs w:val="24"/>
        </w:rPr>
        <w:t>A limitation associated with our study is that the phytobezoar examined was obtained from a single patient. Since the structure of phytobezoars presumably varies among patients, an analysis of the ultrastructure would ideally include phytobezoars extracted from several different patients. Another subject of great interest is the structure and components of other types of bezoars (</w:t>
      </w:r>
      <w:r w:rsidRPr="007E0C28">
        <w:rPr>
          <w:rFonts w:ascii="Book Antiqua" w:hAnsi="Book Antiqua"/>
          <w:i/>
          <w:szCs w:val="24"/>
        </w:rPr>
        <w:t>i.e.</w:t>
      </w:r>
      <w:r w:rsidRPr="007E0C28">
        <w:rPr>
          <w:rFonts w:ascii="Book Antiqua" w:hAnsi="Book Antiqua"/>
          <w:szCs w:val="24"/>
        </w:rPr>
        <w:t xml:space="preserve">, trichobezoars, pharmacobezoars, and lactobezoars). Although the formation of bezoars is a relatively infrequent disorder, further </w:t>
      </w:r>
      <w:r w:rsidRPr="007E0C28">
        <w:rPr>
          <w:rFonts w:ascii="Book Antiqua" w:hAnsi="Book Antiqua"/>
          <w:i/>
          <w:szCs w:val="24"/>
        </w:rPr>
        <w:t>in vitro</w:t>
      </w:r>
      <w:r w:rsidRPr="007E0C28">
        <w:rPr>
          <w:rFonts w:ascii="Book Antiqua" w:hAnsi="Book Antiqua"/>
          <w:szCs w:val="24"/>
        </w:rPr>
        <w:t xml:space="preserve"> investigations could provide findings that contribute to the management of phytobezoars.</w:t>
      </w:r>
    </w:p>
    <w:p w:rsidR="00B15056" w:rsidRPr="007E0C28" w:rsidRDefault="00B15056" w:rsidP="00A2683E">
      <w:pPr>
        <w:spacing w:line="360" w:lineRule="auto"/>
        <w:rPr>
          <w:rFonts w:ascii="Book Antiqua" w:hAnsi="Book Antiqua"/>
          <w:szCs w:val="24"/>
        </w:rPr>
      </w:pPr>
    </w:p>
    <w:p w:rsidR="00B15056" w:rsidRPr="007E0C28" w:rsidRDefault="00B15056" w:rsidP="00A2683E">
      <w:pPr>
        <w:spacing w:line="360" w:lineRule="auto"/>
        <w:rPr>
          <w:rFonts w:ascii="Book Antiqua" w:hAnsi="Book Antiqua"/>
          <w:b/>
          <w:szCs w:val="24"/>
        </w:rPr>
      </w:pPr>
      <w:r w:rsidRPr="007E0C28">
        <w:rPr>
          <w:rFonts w:ascii="Book Antiqua" w:hAnsi="Book Antiqua"/>
          <w:b/>
          <w:szCs w:val="24"/>
        </w:rPr>
        <w:t>PATIENT SUSCEPTIBILITY</w:t>
      </w:r>
    </w:p>
    <w:p w:rsidR="00B15056" w:rsidRPr="007E0C28" w:rsidRDefault="00B15056" w:rsidP="00A2683E">
      <w:pPr>
        <w:spacing w:line="360" w:lineRule="auto"/>
        <w:rPr>
          <w:rFonts w:ascii="Book Antiqua" w:hAnsi="Book Antiqua"/>
          <w:szCs w:val="24"/>
        </w:rPr>
      </w:pPr>
      <w:r w:rsidRPr="007E0C28">
        <w:rPr>
          <w:rFonts w:ascii="Book Antiqua" w:hAnsi="Book Antiqua"/>
          <w:szCs w:val="24"/>
        </w:rPr>
        <w:t>Bezoars are believed to form as a complication of delayed gastric emptying. Predisposed risk factors include prior gastric surgery such as partial gastrectomy, vagotomy and pyloroplasty, peptic ulcer disease, chronic gastritis, Crohn’s disease, carcinoma of the gastrointestinal tract, dehydration and hypothyroidism</w:t>
      </w:r>
      <w:r w:rsidRPr="007E0C28">
        <w:rPr>
          <w:rFonts w:ascii="Book Antiqua" w:hAnsi="Book Antiqua"/>
          <w:szCs w:val="24"/>
          <w:vertAlign w:val="superscript"/>
        </w:rPr>
        <w:t>[46,50]</w:t>
      </w:r>
      <w:r w:rsidRPr="007E0C28">
        <w:rPr>
          <w:rFonts w:ascii="Book Antiqua" w:hAnsi="Book Antiqua"/>
          <w:szCs w:val="24"/>
        </w:rPr>
        <w:t>. These conditions lead to reduced gastric acidity, gastric stasis, loss of pyloric function, and/or pyloric stenosis. Elderly individuals and diabetic patients with neuropathy or myotonic dystrophy have impaired gastric motility</w:t>
      </w:r>
      <w:r w:rsidRPr="007E0C28">
        <w:rPr>
          <w:rFonts w:ascii="Book Antiqua" w:hAnsi="Book Antiqua"/>
          <w:szCs w:val="24"/>
          <w:vertAlign w:val="superscript"/>
        </w:rPr>
        <w:t>[1,12,51,52]</w:t>
      </w:r>
      <w:r w:rsidRPr="007E0C28">
        <w:rPr>
          <w:rFonts w:ascii="Book Antiqua" w:hAnsi="Book Antiqua"/>
          <w:szCs w:val="24"/>
        </w:rPr>
        <w:t>.</w:t>
      </w:r>
    </w:p>
    <w:p w:rsidR="00B15056" w:rsidRPr="007E0C28" w:rsidRDefault="00B15056" w:rsidP="00ED6B8E">
      <w:pPr>
        <w:spacing w:line="360" w:lineRule="auto"/>
        <w:ind w:firstLineChars="100" w:firstLine="240"/>
        <w:rPr>
          <w:rFonts w:ascii="Book Antiqua" w:hAnsi="Book Antiqua"/>
          <w:szCs w:val="24"/>
        </w:rPr>
      </w:pPr>
      <w:r w:rsidRPr="007E0C28">
        <w:rPr>
          <w:rFonts w:ascii="Book Antiqua" w:hAnsi="Book Antiqua"/>
          <w:szCs w:val="24"/>
        </w:rPr>
        <w:t>In our previous study, we reviewed 19 Japanese patients with gastrointestinal bezoars and presented their clinical characteristics</w:t>
      </w:r>
      <w:r w:rsidRPr="007E0C28">
        <w:rPr>
          <w:rFonts w:ascii="Book Antiqua" w:hAnsi="Book Antiqua"/>
          <w:szCs w:val="24"/>
          <w:vertAlign w:val="superscript"/>
        </w:rPr>
        <w:t>[3]</w:t>
      </w:r>
      <w:r w:rsidRPr="007E0C28">
        <w:rPr>
          <w:rFonts w:ascii="Book Antiqua" w:hAnsi="Book Antiqua"/>
          <w:szCs w:val="24"/>
        </w:rPr>
        <w:t>. To date, we have collected an additional 12 cases. A summary of the 31 cases (13 males and 18 females) is shown in Table 2. In accord with previous studies, the histories of our patient series included diabetes mellitus (</w:t>
      </w:r>
      <w:r w:rsidRPr="007E0C28">
        <w:rPr>
          <w:rFonts w:ascii="Book Antiqua" w:hAnsi="Book Antiqua"/>
          <w:i/>
          <w:szCs w:val="24"/>
        </w:rPr>
        <w:t>n</w:t>
      </w:r>
      <w:r w:rsidRPr="007E0C28">
        <w:rPr>
          <w:rFonts w:ascii="Book Antiqua" w:eastAsia="宋体" w:hAnsi="Book Antiqua"/>
          <w:szCs w:val="24"/>
          <w:lang w:eastAsia="zh-CN"/>
        </w:rPr>
        <w:t xml:space="preserve"> </w:t>
      </w:r>
      <w:r w:rsidRPr="007E0C28">
        <w:rPr>
          <w:rFonts w:ascii="Book Antiqua" w:hAnsi="Book Antiqua"/>
          <w:szCs w:val="24"/>
        </w:rPr>
        <w:t>=</w:t>
      </w:r>
      <w:r w:rsidRPr="007E0C28">
        <w:rPr>
          <w:rFonts w:ascii="Book Antiqua" w:eastAsia="宋体" w:hAnsi="Book Antiqua"/>
          <w:szCs w:val="24"/>
          <w:lang w:eastAsia="zh-CN"/>
        </w:rPr>
        <w:t xml:space="preserve"> </w:t>
      </w:r>
      <w:r w:rsidRPr="007E0C28">
        <w:rPr>
          <w:rFonts w:ascii="Book Antiqua" w:hAnsi="Book Antiqua"/>
          <w:szCs w:val="24"/>
        </w:rPr>
        <w:t>3, 9.7%) and surgery of the gastrointestinal tract (</w:t>
      </w:r>
      <w:r w:rsidRPr="007E0C28">
        <w:rPr>
          <w:rFonts w:ascii="Book Antiqua" w:hAnsi="Book Antiqua"/>
          <w:i/>
          <w:szCs w:val="24"/>
        </w:rPr>
        <w:t>n</w:t>
      </w:r>
      <w:r w:rsidRPr="007E0C28">
        <w:rPr>
          <w:rFonts w:ascii="Book Antiqua" w:eastAsia="宋体" w:hAnsi="Book Antiqua"/>
          <w:szCs w:val="24"/>
          <w:lang w:eastAsia="zh-CN"/>
        </w:rPr>
        <w:t xml:space="preserve"> </w:t>
      </w:r>
      <w:r w:rsidRPr="007E0C28">
        <w:rPr>
          <w:rFonts w:ascii="Book Antiqua" w:hAnsi="Book Antiqua"/>
          <w:szCs w:val="24"/>
        </w:rPr>
        <w:t>=</w:t>
      </w:r>
      <w:r w:rsidRPr="007E0C28">
        <w:rPr>
          <w:rFonts w:ascii="Book Antiqua" w:eastAsia="宋体" w:hAnsi="Book Antiqua"/>
          <w:szCs w:val="24"/>
          <w:lang w:eastAsia="zh-CN"/>
        </w:rPr>
        <w:t xml:space="preserve"> </w:t>
      </w:r>
      <w:r w:rsidRPr="007E0C28">
        <w:rPr>
          <w:rFonts w:ascii="Book Antiqua" w:hAnsi="Book Antiqua"/>
          <w:szCs w:val="24"/>
        </w:rPr>
        <w:t>11, 35.5%). Notably, except for the 10-year-old patient with a trichobezoar, all patients were 61 years of age or older. Consequently, the potential development of bezoars in elderly individuals and patients with underlying disease that causes poor gastric motility should be borne in mind by clinicians.</w:t>
      </w:r>
    </w:p>
    <w:p w:rsidR="00B15056" w:rsidRPr="007E0C28" w:rsidRDefault="00B15056" w:rsidP="00A2683E">
      <w:pPr>
        <w:spacing w:line="360" w:lineRule="auto"/>
        <w:rPr>
          <w:rFonts w:ascii="Book Antiqua" w:hAnsi="Book Antiqua"/>
          <w:szCs w:val="24"/>
        </w:rPr>
      </w:pPr>
    </w:p>
    <w:p w:rsidR="00B15056" w:rsidRPr="007E0C28" w:rsidRDefault="00B15056" w:rsidP="00A2683E">
      <w:pPr>
        <w:spacing w:line="360" w:lineRule="auto"/>
        <w:rPr>
          <w:rFonts w:ascii="Book Antiqua" w:hAnsi="Book Antiqua"/>
          <w:szCs w:val="24"/>
        </w:rPr>
      </w:pPr>
      <w:r w:rsidRPr="007E0C28">
        <w:rPr>
          <w:rFonts w:ascii="Book Antiqua" w:hAnsi="Book Antiqua"/>
          <w:b/>
          <w:szCs w:val="24"/>
        </w:rPr>
        <w:t>MANIFESTATIONS AND DIAGNOSIS</w:t>
      </w:r>
    </w:p>
    <w:p w:rsidR="00B15056" w:rsidRPr="007E0C28" w:rsidRDefault="00B15056" w:rsidP="00A2683E">
      <w:pPr>
        <w:spacing w:line="360" w:lineRule="auto"/>
        <w:rPr>
          <w:rFonts w:ascii="Book Antiqua" w:hAnsi="Book Antiqua"/>
          <w:szCs w:val="24"/>
        </w:rPr>
      </w:pPr>
      <w:r w:rsidRPr="007E0C28">
        <w:rPr>
          <w:rFonts w:ascii="Book Antiqua" w:hAnsi="Book Antiqua"/>
          <w:szCs w:val="24"/>
        </w:rPr>
        <w:t>Bezoars can be asymptomatic or present with a variety of gastrointestinal symptoms. In our series of 31 patients with gastrointestinal bezoars, pain (</w:t>
      </w:r>
      <w:r w:rsidRPr="007E0C28">
        <w:rPr>
          <w:rFonts w:ascii="Book Antiqua" w:hAnsi="Book Antiqua"/>
          <w:i/>
          <w:szCs w:val="24"/>
        </w:rPr>
        <w:t>n</w:t>
      </w:r>
      <w:r w:rsidRPr="007E0C28">
        <w:rPr>
          <w:rFonts w:ascii="Book Antiqua" w:eastAsia="宋体" w:hAnsi="Book Antiqua"/>
          <w:szCs w:val="24"/>
          <w:lang w:eastAsia="zh-CN"/>
        </w:rPr>
        <w:t xml:space="preserve"> </w:t>
      </w:r>
      <w:r w:rsidRPr="007E0C28">
        <w:rPr>
          <w:rFonts w:ascii="Book Antiqua" w:hAnsi="Book Antiqua"/>
          <w:szCs w:val="24"/>
        </w:rPr>
        <w:t>=</w:t>
      </w:r>
      <w:r w:rsidRPr="007E0C28">
        <w:rPr>
          <w:rFonts w:ascii="Book Antiqua" w:eastAsia="宋体" w:hAnsi="Book Antiqua"/>
          <w:szCs w:val="24"/>
          <w:lang w:eastAsia="zh-CN"/>
        </w:rPr>
        <w:t xml:space="preserve"> </w:t>
      </w:r>
      <w:r w:rsidRPr="007E0C28">
        <w:rPr>
          <w:rFonts w:ascii="Book Antiqua" w:hAnsi="Book Antiqua"/>
          <w:szCs w:val="24"/>
        </w:rPr>
        <w:t>11), bloody or tarry stool (</w:t>
      </w:r>
      <w:r w:rsidRPr="007E0C28">
        <w:rPr>
          <w:rFonts w:ascii="Book Antiqua" w:hAnsi="Book Antiqua"/>
          <w:i/>
          <w:szCs w:val="24"/>
        </w:rPr>
        <w:t>n</w:t>
      </w:r>
      <w:r w:rsidRPr="007E0C28">
        <w:rPr>
          <w:rFonts w:ascii="Book Antiqua" w:eastAsia="宋体" w:hAnsi="Book Antiqua"/>
          <w:szCs w:val="24"/>
          <w:lang w:eastAsia="zh-CN"/>
        </w:rPr>
        <w:t xml:space="preserve"> </w:t>
      </w:r>
      <w:r w:rsidRPr="007E0C28">
        <w:rPr>
          <w:rFonts w:ascii="Book Antiqua" w:hAnsi="Book Antiqua"/>
          <w:szCs w:val="24"/>
        </w:rPr>
        <w:t>=</w:t>
      </w:r>
      <w:r w:rsidRPr="007E0C28">
        <w:rPr>
          <w:rFonts w:ascii="Book Antiqua" w:eastAsia="宋体" w:hAnsi="Book Antiqua"/>
          <w:szCs w:val="24"/>
          <w:lang w:eastAsia="zh-CN"/>
        </w:rPr>
        <w:t xml:space="preserve"> </w:t>
      </w:r>
      <w:r w:rsidRPr="007E0C28">
        <w:rPr>
          <w:rFonts w:ascii="Book Antiqua" w:hAnsi="Book Antiqua"/>
          <w:szCs w:val="24"/>
        </w:rPr>
        <w:t>5), abdominal fullness (</w:t>
      </w:r>
      <w:r w:rsidRPr="007E0C28">
        <w:rPr>
          <w:rFonts w:ascii="Book Antiqua" w:hAnsi="Book Antiqua"/>
          <w:i/>
          <w:szCs w:val="24"/>
        </w:rPr>
        <w:t>n</w:t>
      </w:r>
      <w:r w:rsidRPr="007E0C28">
        <w:rPr>
          <w:rFonts w:ascii="Book Antiqua" w:eastAsia="宋体" w:hAnsi="Book Antiqua"/>
          <w:szCs w:val="24"/>
          <w:lang w:eastAsia="zh-CN"/>
        </w:rPr>
        <w:t xml:space="preserve"> </w:t>
      </w:r>
      <w:r w:rsidRPr="007E0C28">
        <w:rPr>
          <w:rFonts w:ascii="Book Antiqua" w:hAnsi="Book Antiqua"/>
          <w:szCs w:val="24"/>
        </w:rPr>
        <w:t>=</w:t>
      </w:r>
      <w:r w:rsidRPr="007E0C28">
        <w:rPr>
          <w:rFonts w:ascii="Book Antiqua" w:eastAsia="宋体" w:hAnsi="Book Antiqua"/>
          <w:szCs w:val="24"/>
          <w:lang w:eastAsia="zh-CN"/>
        </w:rPr>
        <w:t xml:space="preserve"> </w:t>
      </w:r>
      <w:r w:rsidRPr="007E0C28">
        <w:rPr>
          <w:rFonts w:ascii="Book Antiqua" w:hAnsi="Book Antiqua"/>
          <w:szCs w:val="24"/>
        </w:rPr>
        <w:t>5), discomfort (</w:t>
      </w:r>
      <w:r w:rsidRPr="007E0C28">
        <w:rPr>
          <w:rFonts w:ascii="Book Antiqua" w:hAnsi="Book Antiqua"/>
          <w:i/>
          <w:szCs w:val="24"/>
        </w:rPr>
        <w:t>n</w:t>
      </w:r>
      <w:r w:rsidRPr="007E0C28">
        <w:rPr>
          <w:rFonts w:ascii="Book Antiqua" w:eastAsia="宋体" w:hAnsi="Book Antiqua"/>
          <w:i/>
          <w:szCs w:val="24"/>
          <w:lang w:eastAsia="zh-CN"/>
        </w:rPr>
        <w:t xml:space="preserve"> </w:t>
      </w:r>
      <w:r w:rsidRPr="007E0C28">
        <w:rPr>
          <w:rFonts w:ascii="Book Antiqua" w:hAnsi="Book Antiqua"/>
          <w:szCs w:val="24"/>
        </w:rPr>
        <w:t>=</w:t>
      </w:r>
      <w:r w:rsidRPr="007E0C28">
        <w:rPr>
          <w:rFonts w:ascii="Book Antiqua" w:eastAsia="宋体" w:hAnsi="Book Antiqua"/>
          <w:szCs w:val="24"/>
          <w:lang w:eastAsia="zh-CN"/>
        </w:rPr>
        <w:t xml:space="preserve"> </w:t>
      </w:r>
      <w:r w:rsidRPr="007E0C28">
        <w:rPr>
          <w:rFonts w:ascii="Book Antiqua" w:hAnsi="Book Antiqua"/>
          <w:szCs w:val="24"/>
        </w:rPr>
        <w:t>5), anemia (</w:t>
      </w:r>
      <w:r w:rsidRPr="007E0C28">
        <w:rPr>
          <w:rFonts w:ascii="Book Antiqua" w:hAnsi="Book Antiqua"/>
          <w:i/>
          <w:szCs w:val="24"/>
        </w:rPr>
        <w:t>n</w:t>
      </w:r>
      <w:r w:rsidRPr="007E0C28">
        <w:rPr>
          <w:rFonts w:ascii="Book Antiqua" w:eastAsia="宋体" w:hAnsi="Book Antiqua"/>
          <w:szCs w:val="24"/>
          <w:lang w:eastAsia="zh-CN"/>
        </w:rPr>
        <w:t xml:space="preserve"> </w:t>
      </w:r>
      <w:r w:rsidRPr="007E0C28">
        <w:rPr>
          <w:rFonts w:ascii="Book Antiqua" w:hAnsi="Book Antiqua"/>
          <w:szCs w:val="24"/>
        </w:rPr>
        <w:t>=</w:t>
      </w:r>
      <w:r w:rsidRPr="007E0C28">
        <w:rPr>
          <w:rFonts w:ascii="Book Antiqua" w:eastAsia="宋体" w:hAnsi="Book Antiqua"/>
          <w:szCs w:val="24"/>
          <w:lang w:eastAsia="zh-CN"/>
        </w:rPr>
        <w:t xml:space="preserve"> </w:t>
      </w:r>
      <w:r w:rsidRPr="007E0C28">
        <w:rPr>
          <w:rFonts w:ascii="Book Antiqua" w:hAnsi="Book Antiqua"/>
          <w:szCs w:val="24"/>
        </w:rPr>
        <w:t>4), difficulty swallowing (</w:t>
      </w:r>
      <w:r w:rsidRPr="007E0C28">
        <w:rPr>
          <w:rFonts w:ascii="Book Antiqua" w:hAnsi="Book Antiqua"/>
          <w:i/>
          <w:szCs w:val="24"/>
        </w:rPr>
        <w:t>n</w:t>
      </w:r>
      <w:r w:rsidRPr="007E0C28">
        <w:rPr>
          <w:rFonts w:ascii="Book Antiqua" w:eastAsia="宋体" w:hAnsi="Book Antiqua"/>
          <w:szCs w:val="24"/>
          <w:lang w:eastAsia="zh-CN"/>
        </w:rPr>
        <w:t xml:space="preserve"> </w:t>
      </w:r>
      <w:r w:rsidRPr="007E0C28">
        <w:rPr>
          <w:rFonts w:ascii="Book Antiqua" w:hAnsi="Book Antiqua"/>
          <w:szCs w:val="24"/>
        </w:rPr>
        <w:t>=</w:t>
      </w:r>
      <w:r w:rsidRPr="007E0C28">
        <w:rPr>
          <w:rFonts w:ascii="Book Antiqua" w:eastAsia="宋体" w:hAnsi="Book Antiqua"/>
          <w:szCs w:val="24"/>
          <w:lang w:eastAsia="zh-CN"/>
        </w:rPr>
        <w:t xml:space="preserve"> </w:t>
      </w:r>
      <w:r w:rsidRPr="007E0C28">
        <w:rPr>
          <w:rFonts w:ascii="Book Antiqua" w:hAnsi="Book Antiqua"/>
          <w:szCs w:val="24"/>
        </w:rPr>
        <w:t>3), hematemesis (</w:t>
      </w:r>
      <w:r w:rsidRPr="007E0C28">
        <w:rPr>
          <w:rFonts w:ascii="Book Antiqua" w:hAnsi="Book Antiqua"/>
          <w:i/>
          <w:szCs w:val="24"/>
        </w:rPr>
        <w:t>n</w:t>
      </w:r>
      <w:r w:rsidRPr="007E0C28">
        <w:rPr>
          <w:rFonts w:ascii="Book Antiqua" w:eastAsia="宋体" w:hAnsi="Book Antiqua"/>
          <w:szCs w:val="24"/>
          <w:lang w:eastAsia="zh-CN"/>
        </w:rPr>
        <w:t xml:space="preserve"> </w:t>
      </w:r>
      <w:r w:rsidRPr="007E0C28">
        <w:rPr>
          <w:rFonts w:ascii="Book Antiqua" w:hAnsi="Book Antiqua"/>
          <w:szCs w:val="24"/>
        </w:rPr>
        <w:t>=</w:t>
      </w:r>
      <w:r w:rsidRPr="007E0C28">
        <w:rPr>
          <w:rFonts w:ascii="Book Antiqua" w:eastAsia="宋体" w:hAnsi="Book Antiqua"/>
          <w:szCs w:val="24"/>
          <w:lang w:eastAsia="zh-CN"/>
        </w:rPr>
        <w:t xml:space="preserve"> </w:t>
      </w:r>
      <w:r w:rsidRPr="007E0C28">
        <w:rPr>
          <w:rFonts w:ascii="Book Antiqua" w:hAnsi="Book Antiqua"/>
          <w:szCs w:val="24"/>
        </w:rPr>
        <w:t>3), nausea (</w:t>
      </w:r>
      <w:r w:rsidRPr="007E0C28">
        <w:rPr>
          <w:rFonts w:ascii="Book Antiqua" w:hAnsi="Book Antiqua"/>
          <w:i/>
          <w:szCs w:val="24"/>
        </w:rPr>
        <w:t>n</w:t>
      </w:r>
      <w:r w:rsidRPr="007E0C28">
        <w:rPr>
          <w:rFonts w:ascii="Book Antiqua" w:eastAsia="宋体" w:hAnsi="Book Antiqua"/>
          <w:szCs w:val="24"/>
          <w:lang w:eastAsia="zh-CN"/>
        </w:rPr>
        <w:t xml:space="preserve"> </w:t>
      </w:r>
      <w:r w:rsidRPr="007E0C28">
        <w:rPr>
          <w:rFonts w:ascii="Book Antiqua" w:hAnsi="Book Antiqua"/>
          <w:szCs w:val="24"/>
        </w:rPr>
        <w:t>=</w:t>
      </w:r>
      <w:r w:rsidRPr="007E0C28">
        <w:rPr>
          <w:rFonts w:ascii="Book Antiqua" w:eastAsia="宋体" w:hAnsi="Book Antiqua"/>
          <w:szCs w:val="24"/>
          <w:lang w:eastAsia="zh-CN"/>
        </w:rPr>
        <w:t xml:space="preserve"> </w:t>
      </w:r>
      <w:r w:rsidRPr="007E0C28">
        <w:rPr>
          <w:rFonts w:ascii="Book Antiqua" w:hAnsi="Book Antiqua"/>
          <w:szCs w:val="24"/>
        </w:rPr>
        <w:t>3), anorexia (</w:t>
      </w:r>
      <w:r w:rsidRPr="007E0C28">
        <w:rPr>
          <w:rFonts w:ascii="Book Antiqua" w:hAnsi="Book Antiqua"/>
          <w:i/>
          <w:szCs w:val="24"/>
        </w:rPr>
        <w:t>n</w:t>
      </w:r>
      <w:r w:rsidRPr="007E0C28">
        <w:rPr>
          <w:rFonts w:ascii="Book Antiqua" w:eastAsia="宋体" w:hAnsi="Book Antiqua"/>
          <w:szCs w:val="24"/>
          <w:lang w:eastAsia="zh-CN"/>
        </w:rPr>
        <w:t xml:space="preserve"> </w:t>
      </w:r>
      <w:r w:rsidRPr="007E0C28">
        <w:rPr>
          <w:rFonts w:ascii="Book Antiqua" w:hAnsi="Book Antiqua"/>
          <w:szCs w:val="24"/>
        </w:rPr>
        <w:t>=</w:t>
      </w:r>
      <w:r w:rsidRPr="007E0C28">
        <w:rPr>
          <w:rFonts w:ascii="Book Antiqua" w:eastAsia="宋体" w:hAnsi="Book Antiqua"/>
          <w:szCs w:val="24"/>
          <w:lang w:eastAsia="zh-CN"/>
        </w:rPr>
        <w:t xml:space="preserve"> </w:t>
      </w:r>
      <w:r w:rsidRPr="007E0C28">
        <w:rPr>
          <w:rFonts w:ascii="Book Antiqua" w:hAnsi="Book Antiqua"/>
          <w:szCs w:val="24"/>
        </w:rPr>
        <w:t>1), and fainting (</w:t>
      </w:r>
      <w:r w:rsidRPr="007E0C28">
        <w:rPr>
          <w:rFonts w:ascii="Book Antiqua" w:hAnsi="Book Antiqua"/>
          <w:i/>
          <w:szCs w:val="24"/>
        </w:rPr>
        <w:t>n</w:t>
      </w:r>
      <w:r w:rsidRPr="007E0C28">
        <w:rPr>
          <w:rFonts w:ascii="Book Antiqua" w:eastAsia="宋体" w:hAnsi="Book Antiqua"/>
          <w:szCs w:val="24"/>
          <w:lang w:eastAsia="zh-CN"/>
        </w:rPr>
        <w:t xml:space="preserve"> </w:t>
      </w:r>
      <w:r w:rsidRPr="007E0C28">
        <w:rPr>
          <w:rFonts w:ascii="Book Antiqua" w:hAnsi="Book Antiqua"/>
          <w:szCs w:val="24"/>
        </w:rPr>
        <w:t>=</w:t>
      </w:r>
      <w:r w:rsidRPr="007E0C28">
        <w:rPr>
          <w:rFonts w:ascii="Book Antiqua" w:eastAsia="宋体" w:hAnsi="Book Antiqua"/>
          <w:szCs w:val="24"/>
          <w:lang w:eastAsia="zh-CN"/>
        </w:rPr>
        <w:t xml:space="preserve"> </w:t>
      </w:r>
      <w:r w:rsidRPr="007E0C28">
        <w:rPr>
          <w:rFonts w:ascii="Book Antiqua" w:hAnsi="Book Antiqua"/>
          <w:szCs w:val="24"/>
        </w:rPr>
        <w:t>1) were observed as initial presentations (Table 2). In contrast, bezoars were coincidentally found in asymptomatic patients (</w:t>
      </w:r>
      <w:r w:rsidRPr="007E0C28">
        <w:rPr>
          <w:rFonts w:ascii="Book Antiqua" w:hAnsi="Book Antiqua"/>
          <w:i/>
          <w:szCs w:val="24"/>
        </w:rPr>
        <w:t>n</w:t>
      </w:r>
      <w:r w:rsidRPr="007E0C28">
        <w:rPr>
          <w:rFonts w:ascii="Book Antiqua" w:eastAsia="宋体" w:hAnsi="Book Antiqua"/>
          <w:szCs w:val="24"/>
          <w:lang w:eastAsia="zh-CN"/>
        </w:rPr>
        <w:t xml:space="preserve"> </w:t>
      </w:r>
      <w:r w:rsidRPr="007E0C28">
        <w:rPr>
          <w:rFonts w:ascii="Book Antiqua" w:hAnsi="Book Antiqua"/>
          <w:szCs w:val="24"/>
        </w:rPr>
        <w:t>=</w:t>
      </w:r>
      <w:r w:rsidRPr="007E0C28">
        <w:rPr>
          <w:rFonts w:ascii="Book Antiqua" w:eastAsia="宋体" w:hAnsi="Book Antiqua"/>
          <w:szCs w:val="24"/>
          <w:lang w:eastAsia="zh-CN"/>
        </w:rPr>
        <w:t xml:space="preserve"> </w:t>
      </w:r>
      <w:r w:rsidRPr="007E0C28">
        <w:rPr>
          <w:rFonts w:ascii="Book Antiqua" w:hAnsi="Book Antiqua"/>
          <w:szCs w:val="24"/>
        </w:rPr>
        <w:t>5) by esophagogastroduodenoscopy or computed tomography (CT) scans performed during a health check-up or follow-up of other diseases. Symptoms related to gastrointestinal bleeding such as hematemesis, bloody or tarry stool, anemia, and fainting are the result of the development of ulceration in the gastric mucosa due to pressure necrosis induced by the bezoar</w:t>
      </w:r>
      <w:r w:rsidRPr="007E0C28">
        <w:rPr>
          <w:rFonts w:ascii="Book Antiqua" w:hAnsi="Book Antiqua"/>
          <w:szCs w:val="24"/>
          <w:vertAlign w:val="superscript"/>
        </w:rPr>
        <w:t>[1]</w:t>
      </w:r>
      <w:r w:rsidRPr="007E0C28">
        <w:rPr>
          <w:rFonts w:ascii="Book Antiqua" w:hAnsi="Book Antiqua"/>
          <w:szCs w:val="24"/>
        </w:rPr>
        <w:t xml:space="preserve">. As shown in Table 2, gastric ulcers were observed in 20 of the 31 patients (64.5%) by esophagogastroduodenoscopy. Lee </w:t>
      </w:r>
      <w:r w:rsidRPr="007E0C28">
        <w:rPr>
          <w:rFonts w:ascii="Book Antiqua" w:hAnsi="Book Antiqua"/>
          <w:i/>
          <w:szCs w:val="24"/>
        </w:rPr>
        <w:t>et al</w:t>
      </w:r>
      <w:r w:rsidRPr="007E0C28">
        <w:rPr>
          <w:rFonts w:ascii="Book Antiqua" w:hAnsi="Book Antiqua"/>
          <w:szCs w:val="24"/>
          <w:vertAlign w:val="superscript"/>
        </w:rPr>
        <w:t>[53]</w:t>
      </w:r>
      <w:r w:rsidRPr="007E0C28">
        <w:rPr>
          <w:rFonts w:ascii="Book Antiqua" w:hAnsi="Book Antiqua"/>
          <w:szCs w:val="24"/>
        </w:rPr>
        <w:t xml:space="preserve"> also documented a high rate of gastric ulcers as a complication of bezoars (41.2%, 7/17 cases). Obstruction of the gastrointestinal tract is another vital manifestation caused by bezoars, particularly by small intestinal bezoars.</w:t>
      </w:r>
    </w:p>
    <w:p w:rsidR="00B15056" w:rsidRPr="007E0C28" w:rsidRDefault="00B15056" w:rsidP="00ED6B8E">
      <w:pPr>
        <w:spacing w:line="360" w:lineRule="auto"/>
        <w:ind w:firstLineChars="100" w:firstLine="240"/>
        <w:rPr>
          <w:rFonts w:ascii="Book Antiqua" w:hAnsi="Book Antiqua"/>
          <w:szCs w:val="24"/>
        </w:rPr>
      </w:pPr>
      <w:r w:rsidRPr="007E0C28">
        <w:rPr>
          <w:rFonts w:ascii="Book Antiqua" w:hAnsi="Book Antiqua"/>
          <w:szCs w:val="24"/>
        </w:rPr>
        <w:t>Endoscopic examinations play the most important role in the detection of gastric bezoars, as well as in the treatment of this disease. A phytobezoar is typically observed in the gastric fundus as a single mass, but it can be multiple. The color is diverse depending on the materials constituting the phytobezoar, ranging from beige, tan, ocher, yellow green, to black</w:t>
      </w:r>
      <w:r w:rsidRPr="007E0C28">
        <w:rPr>
          <w:rFonts w:ascii="Book Antiqua" w:hAnsi="Book Antiqua"/>
          <w:szCs w:val="24"/>
          <w:vertAlign w:val="superscript"/>
        </w:rPr>
        <w:t>[3]</w:t>
      </w:r>
      <w:r w:rsidRPr="007E0C28">
        <w:rPr>
          <w:rFonts w:ascii="Book Antiqua" w:hAnsi="Book Antiqua"/>
          <w:szCs w:val="24"/>
        </w:rPr>
        <w:t>. As described above, the black color of persimmon phytobezoar’s surface is probably imparted by iron(III) tannate (Fig</w:t>
      </w:r>
      <w:r w:rsidRPr="007E0C28">
        <w:rPr>
          <w:rFonts w:ascii="Book Antiqua" w:eastAsia="宋体" w:hAnsi="Book Antiqua"/>
          <w:szCs w:val="24"/>
          <w:lang w:eastAsia="zh-CN"/>
        </w:rPr>
        <w:t>ure</w:t>
      </w:r>
      <w:r w:rsidRPr="007E0C28">
        <w:rPr>
          <w:rFonts w:ascii="Book Antiqua" w:hAnsi="Book Antiqua"/>
          <w:szCs w:val="24"/>
        </w:rPr>
        <w:t xml:space="preserve"> 1A)</w:t>
      </w:r>
      <w:r w:rsidRPr="007E0C28">
        <w:rPr>
          <w:rFonts w:ascii="Book Antiqua" w:hAnsi="Book Antiqua"/>
          <w:szCs w:val="24"/>
          <w:vertAlign w:val="superscript"/>
        </w:rPr>
        <w:t>[2]</w:t>
      </w:r>
      <w:r w:rsidRPr="007E0C28">
        <w:rPr>
          <w:rFonts w:ascii="Book Antiqua" w:hAnsi="Book Antiqua"/>
          <w:szCs w:val="24"/>
        </w:rPr>
        <w:t>.</w:t>
      </w:r>
    </w:p>
    <w:p w:rsidR="00B15056" w:rsidRPr="007E0C28" w:rsidRDefault="00B15056" w:rsidP="00ED6B8E">
      <w:pPr>
        <w:spacing w:line="360" w:lineRule="auto"/>
        <w:ind w:firstLineChars="100" w:firstLine="240"/>
        <w:rPr>
          <w:rFonts w:ascii="Book Antiqua" w:hAnsi="Book Antiqua"/>
          <w:szCs w:val="24"/>
        </w:rPr>
      </w:pPr>
      <w:r w:rsidRPr="007E0C28">
        <w:rPr>
          <w:rFonts w:ascii="Book Antiqua" w:hAnsi="Book Antiqua"/>
          <w:szCs w:val="24"/>
        </w:rPr>
        <w:t>CT scanning is useful to detect both gastric and small intestinal bezoars. Phytobezoars are visualized by CT scan as an ovoid or round occupational mass in the gastrointestinal tract with air bubbles retained inside and a mottled appearance</w:t>
      </w:r>
      <w:r w:rsidRPr="007E0C28">
        <w:rPr>
          <w:rFonts w:ascii="Book Antiqua" w:hAnsi="Book Antiqua"/>
          <w:szCs w:val="24"/>
          <w:vertAlign w:val="superscript"/>
        </w:rPr>
        <w:t>[54,55]</w:t>
      </w:r>
      <w:r w:rsidRPr="007E0C28">
        <w:rPr>
          <w:rFonts w:ascii="Book Antiqua" w:hAnsi="Book Antiqua"/>
          <w:szCs w:val="24"/>
        </w:rPr>
        <w:t>. A CT scan is particularly valuable in patients requiring the surgical removal of small intestinal bezoars, not only because it demonstrates the obstructed site of the intestines; it also enables the visualization of multiple bezoars</w:t>
      </w:r>
      <w:r w:rsidRPr="007E0C28">
        <w:rPr>
          <w:rFonts w:ascii="Book Antiqua" w:hAnsi="Book Antiqua"/>
          <w:szCs w:val="24"/>
          <w:vertAlign w:val="superscript"/>
        </w:rPr>
        <w:t>[19]</w:t>
      </w:r>
      <w:r w:rsidRPr="007E0C28">
        <w:rPr>
          <w:rFonts w:ascii="Book Antiqua" w:hAnsi="Book Antiqua"/>
          <w:szCs w:val="24"/>
        </w:rPr>
        <w:t>.</w:t>
      </w:r>
    </w:p>
    <w:p w:rsidR="00B15056" w:rsidRPr="007E0C28" w:rsidRDefault="00B15056" w:rsidP="00A2683E">
      <w:pPr>
        <w:spacing w:line="360" w:lineRule="auto"/>
        <w:rPr>
          <w:rFonts w:ascii="Book Antiqua" w:hAnsi="Book Antiqua"/>
          <w:szCs w:val="24"/>
        </w:rPr>
      </w:pPr>
    </w:p>
    <w:p w:rsidR="00B15056" w:rsidRPr="007E0C28" w:rsidRDefault="00B15056" w:rsidP="00A2683E">
      <w:pPr>
        <w:spacing w:line="360" w:lineRule="auto"/>
        <w:rPr>
          <w:rFonts w:ascii="Book Antiqua" w:hAnsi="Book Antiqua"/>
          <w:szCs w:val="24"/>
        </w:rPr>
      </w:pPr>
      <w:r w:rsidRPr="007E0C28">
        <w:rPr>
          <w:rFonts w:ascii="Book Antiqua" w:hAnsi="Book Antiqua"/>
          <w:b/>
          <w:szCs w:val="24"/>
        </w:rPr>
        <w:t>TREATMENT OF BEZOARS</w:t>
      </w:r>
    </w:p>
    <w:p w:rsidR="00B15056" w:rsidRPr="007E0C28" w:rsidRDefault="00B15056" w:rsidP="00A2683E">
      <w:pPr>
        <w:spacing w:line="360" w:lineRule="auto"/>
        <w:rPr>
          <w:rFonts w:ascii="Book Antiqua" w:hAnsi="Book Antiqua"/>
          <w:b/>
          <w:i/>
          <w:szCs w:val="24"/>
        </w:rPr>
      </w:pPr>
      <w:r w:rsidRPr="007E0C28">
        <w:rPr>
          <w:rFonts w:ascii="Book Antiqua" w:hAnsi="Book Antiqua"/>
          <w:b/>
          <w:i/>
          <w:szCs w:val="24"/>
        </w:rPr>
        <w:t>Overview</w:t>
      </w:r>
    </w:p>
    <w:p w:rsidR="00B15056" w:rsidRPr="007E0C28" w:rsidRDefault="00B15056" w:rsidP="00A2683E">
      <w:pPr>
        <w:spacing w:line="360" w:lineRule="auto"/>
        <w:rPr>
          <w:rFonts w:ascii="Book Antiqua" w:hAnsi="Book Antiqua"/>
          <w:szCs w:val="24"/>
        </w:rPr>
      </w:pPr>
      <w:r w:rsidRPr="007E0C28">
        <w:rPr>
          <w:rFonts w:ascii="Book Antiqua" w:hAnsi="Book Antiqua"/>
          <w:szCs w:val="24"/>
        </w:rPr>
        <w:t>The currently available treatment options for a gastric phytobezoar include dissolution of the bezoar by Coca-Cola®, removal by endoscopic devices, laparotomy, and laparoscopic surgery. It should be noted that persimmon phytobezoars are often resistant to chemical dissolution because of their hard consistency, and they are thus usually removed endoscopically or surgically</w:t>
      </w:r>
      <w:r w:rsidRPr="007E0C28">
        <w:rPr>
          <w:rFonts w:ascii="Book Antiqua" w:hAnsi="Book Antiqua"/>
          <w:szCs w:val="24"/>
          <w:vertAlign w:val="superscript"/>
        </w:rPr>
        <w:t>[53,55]</w:t>
      </w:r>
      <w:r w:rsidRPr="007E0C28">
        <w:rPr>
          <w:rFonts w:ascii="Book Antiqua" w:hAnsi="Book Antiqua"/>
          <w:szCs w:val="24"/>
        </w:rPr>
        <w:t>.</w:t>
      </w:r>
    </w:p>
    <w:p w:rsidR="00B15056" w:rsidRPr="007E0C28" w:rsidRDefault="00B15056" w:rsidP="00ED6B8E">
      <w:pPr>
        <w:spacing w:line="360" w:lineRule="auto"/>
        <w:ind w:firstLineChars="100" w:firstLine="240"/>
        <w:rPr>
          <w:rFonts w:ascii="Book Antiqua" w:hAnsi="Book Antiqua"/>
          <w:szCs w:val="24"/>
        </w:rPr>
      </w:pPr>
      <w:r w:rsidRPr="007E0C28">
        <w:rPr>
          <w:rFonts w:ascii="Book Antiqua" w:hAnsi="Book Antiqua"/>
          <w:szCs w:val="24"/>
        </w:rPr>
        <w:t>Intestinal bezoars are generally removed by a surgical procedure, since patients with this type of bezoar often present with intestinal obstruction and ileus.</w:t>
      </w:r>
    </w:p>
    <w:p w:rsidR="00B15056" w:rsidRPr="007E0C28" w:rsidRDefault="00B15056" w:rsidP="00A2683E">
      <w:pPr>
        <w:spacing w:line="360" w:lineRule="auto"/>
        <w:rPr>
          <w:rFonts w:ascii="Book Antiqua" w:hAnsi="Book Antiqua"/>
          <w:szCs w:val="24"/>
        </w:rPr>
      </w:pPr>
    </w:p>
    <w:p w:rsidR="00B15056" w:rsidRPr="007E0C28" w:rsidRDefault="00B15056" w:rsidP="00A2683E">
      <w:pPr>
        <w:spacing w:line="360" w:lineRule="auto"/>
        <w:rPr>
          <w:rFonts w:ascii="Book Antiqua" w:hAnsi="Book Antiqua"/>
          <w:b/>
          <w:i/>
          <w:szCs w:val="24"/>
        </w:rPr>
      </w:pPr>
      <w:r w:rsidRPr="007E0C28">
        <w:rPr>
          <w:rFonts w:ascii="Book Antiqua" w:hAnsi="Book Antiqua"/>
          <w:b/>
          <w:i/>
          <w:szCs w:val="24"/>
        </w:rPr>
        <w:t>Coca-Cola</w:t>
      </w:r>
    </w:p>
    <w:p w:rsidR="00B15056" w:rsidRPr="007E0C28" w:rsidRDefault="00B15056" w:rsidP="00A2683E">
      <w:pPr>
        <w:spacing w:line="360" w:lineRule="auto"/>
        <w:rPr>
          <w:rFonts w:ascii="Book Antiqua" w:hAnsi="Book Antiqua"/>
          <w:szCs w:val="24"/>
        </w:rPr>
      </w:pPr>
      <w:r w:rsidRPr="007E0C28">
        <w:rPr>
          <w:rFonts w:ascii="Book Antiqua" w:hAnsi="Book Antiqua"/>
          <w:szCs w:val="24"/>
        </w:rPr>
        <w:t xml:space="preserve">The first successful treatment achieved with Coca-Cola® lavage was reported in 2002 by Ladas </w:t>
      </w:r>
      <w:r w:rsidRPr="007E0C28">
        <w:rPr>
          <w:rFonts w:ascii="Book Antiqua" w:hAnsi="Book Antiqua"/>
          <w:i/>
          <w:szCs w:val="24"/>
        </w:rPr>
        <w:t>et al</w:t>
      </w:r>
      <w:r w:rsidRPr="007E0C28">
        <w:rPr>
          <w:rFonts w:ascii="Book Antiqua" w:hAnsi="Book Antiqua"/>
          <w:szCs w:val="24"/>
          <w:vertAlign w:val="superscript"/>
        </w:rPr>
        <w:t>[56]</w:t>
      </w:r>
      <w:r w:rsidRPr="007E0C28">
        <w:rPr>
          <w:rFonts w:ascii="Book Antiqua" w:hAnsi="Book Antiqua"/>
          <w:szCs w:val="24"/>
        </w:rPr>
        <w:t xml:space="preserve">. In a recent review by Ladas </w:t>
      </w:r>
      <w:r w:rsidRPr="007E0C28">
        <w:rPr>
          <w:rFonts w:ascii="Book Antiqua" w:hAnsi="Book Antiqua"/>
          <w:i/>
          <w:szCs w:val="24"/>
        </w:rPr>
        <w:t>et al</w:t>
      </w:r>
      <w:r w:rsidRPr="007E0C28">
        <w:rPr>
          <w:rFonts w:ascii="Book Antiqua" w:hAnsi="Book Antiqua"/>
          <w:szCs w:val="24"/>
          <w:vertAlign w:val="superscript"/>
        </w:rPr>
        <w:t>[56]</w:t>
      </w:r>
      <w:r w:rsidRPr="007E0C28">
        <w:rPr>
          <w:rFonts w:ascii="Book Antiqua" w:hAnsi="Book Antiqua"/>
          <w:szCs w:val="24"/>
        </w:rPr>
        <w:t>, they summarized 24 publications including 46 patients and noted that Coca-Cola® administration resulted in phytobezoar resolution in 91.3% of the cases, either as a sole treatment or in combination with an endoscopic procedure</w:t>
      </w:r>
      <w:r w:rsidRPr="007E0C28">
        <w:rPr>
          <w:rFonts w:ascii="Book Antiqua" w:hAnsi="Book Antiqua"/>
          <w:szCs w:val="24"/>
          <w:vertAlign w:val="superscript"/>
        </w:rPr>
        <w:t>[20]</w:t>
      </w:r>
      <w:r w:rsidRPr="007E0C28">
        <w:rPr>
          <w:rFonts w:ascii="Book Antiqua" w:hAnsi="Book Antiqua"/>
          <w:szCs w:val="24"/>
        </w:rPr>
        <w:t>. The protocol for Coca-Cola® administration has varied among authors</w:t>
      </w:r>
      <w:r w:rsidRPr="007E0C28">
        <w:rPr>
          <w:rFonts w:ascii="Book Antiqua" w:hAnsi="Book Antiqua"/>
          <w:szCs w:val="24"/>
          <w:vertAlign w:val="superscript"/>
        </w:rPr>
        <w:t>[53]</w:t>
      </w:r>
      <w:r w:rsidRPr="007E0C28">
        <w:rPr>
          <w:rFonts w:ascii="Book Antiqua" w:hAnsi="Book Antiqua"/>
          <w:szCs w:val="24"/>
        </w:rPr>
        <w:t xml:space="preserve">. Ladas </w:t>
      </w:r>
      <w:r w:rsidRPr="007E0C28">
        <w:rPr>
          <w:rFonts w:ascii="Book Antiqua" w:hAnsi="Book Antiqua"/>
          <w:i/>
          <w:szCs w:val="24"/>
        </w:rPr>
        <w:t>et al</w:t>
      </w:r>
      <w:r w:rsidRPr="007E0C28">
        <w:rPr>
          <w:rFonts w:ascii="Book Antiqua" w:hAnsi="Book Antiqua"/>
          <w:szCs w:val="24"/>
          <w:vertAlign w:val="superscript"/>
        </w:rPr>
        <w:t>[56]</w:t>
      </w:r>
      <w:r w:rsidRPr="007E0C28">
        <w:rPr>
          <w:rFonts w:ascii="Book Antiqua" w:hAnsi="Book Antiqua"/>
          <w:szCs w:val="24"/>
        </w:rPr>
        <w:t xml:space="preserve"> performed gastric lavage </w:t>
      </w:r>
      <w:r w:rsidRPr="007E0C28">
        <w:rPr>
          <w:rFonts w:ascii="Book Antiqua" w:hAnsi="Book Antiqua"/>
          <w:i/>
          <w:szCs w:val="24"/>
        </w:rPr>
        <w:t>via</w:t>
      </w:r>
      <w:r w:rsidRPr="007E0C28">
        <w:rPr>
          <w:rFonts w:ascii="Book Antiqua" w:hAnsi="Book Antiqua"/>
          <w:szCs w:val="24"/>
        </w:rPr>
        <w:t xml:space="preserve"> nasogastric tubes with 3000 mL of Coca-Cola® administered over 12 h. Hayashi </w:t>
      </w:r>
      <w:r w:rsidRPr="007E0C28">
        <w:rPr>
          <w:rFonts w:ascii="Book Antiqua" w:hAnsi="Book Antiqua"/>
          <w:i/>
          <w:szCs w:val="24"/>
        </w:rPr>
        <w:t>et al</w:t>
      </w:r>
      <w:r w:rsidRPr="007E0C28">
        <w:rPr>
          <w:rFonts w:ascii="Book Antiqua" w:hAnsi="Book Antiqua"/>
          <w:szCs w:val="24"/>
          <w:vertAlign w:val="superscript"/>
        </w:rPr>
        <w:t>[57]</w:t>
      </w:r>
      <w:r w:rsidRPr="007E0C28">
        <w:rPr>
          <w:rFonts w:ascii="Book Antiqua" w:hAnsi="Book Antiqua"/>
          <w:szCs w:val="24"/>
        </w:rPr>
        <w:t xml:space="preserve"> reported that the peroral intake of 500–1000 mL/d of Coca-Cola® for 3 wk resulted in a decrease in size and softened structure of the phytobezoar. Mihai </w:t>
      </w:r>
      <w:r w:rsidRPr="007E0C28">
        <w:rPr>
          <w:rFonts w:ascii="Book Antiqua" w:hAnsi="Book Antiqua"/>
          <w:i/>
          <w:szCs w:val="24"/>
        </w:rPr>
        <w:t>et al</w:t>
      </w:r>
      <w:r w:rsidRPr="007E0C28">
        <w:rPr>
          <w:rFonts w:ascii="Book Antiqua" w:hAnsi="Book Antiqua"/>
          <w:szCs w:val="24"/>
          <w:vertAlign w:val="superscript"/>
        </w:rPr>
        <w:t>[8]</w:t>
      </w:r>
      <w:r w:rsidRPr="007E0C28">
        <w:rPr>
          <w:rFonts w:ascii="Book Antiqua" w:hAnsi="Book Antiqua"/>
          <w:szCs w:val="24"/>
        </w:rPr>
        <w:t xml:space="preserve"> described 12 patients treated with 4800 mL of Coca-Cola® ingestion over 12 h (100 mL every 15 min); complete dissolution of the bezoar was observed in 5 patients (42%), and fragmentation of the bezoar was found in 5 patients (42%). In the latest review, Ladas </w:t>
      </w:r>
      <w:r w:rsidRPr="007E0C28">
        <w:rPr>
          <w:rFonts w:ascii="Book Antiqua" w:hAnsi="Book Antiqua"/>
          <w:i/>
          <w:szCs w:val="24"/>
        </w:rPr>
        <w:t>et al</w:t>
      </w:r>
      <w:r w:rsidRPr="007E0C28">
        <w:rPr>
          <w:rFonts w:ascii="Book Antiqua" w:hAnsi="Book Antiqua"/>
          <w:szCs w:val="24"/>
          <w:vertAlign w:val="superscript"/>
        </w:rPr>
        <w:t>[20]</w:t>
      </w:r>
      <w:r w:rsidRPr="007E0C28">
        <w:rPr>
          <w:rFonts w:ascii="Book Antiqua" w:hAnsi="Book Antiqua"/>
          <w:szCs w:val="24"/>
        </w:rPr>
        <w:t xml:space="preserve"> recommended gastric lavage with 3000 mL of Coca-Cola® for 12 h, or drinking 3000 mL of Coca-Cola® over 12 h. The adequate dose and timing of Coca-Cola® administration should be investigated, because no standard protocol for bezoar treatment has been established to date.</w:t>
      </w:r>
    </w:p>
    <w:p w:rsidR="00B15056" w:rsidRPr="007E0C28" w:rsidRDefault="00B15056" w:rsidP="00ED6B8E">
      <w:pPr>
        <w:spacing w:line="360" w:lineRule="auto"/>
        <w:ind w:firstLineChars="100" w:firstLine="240"/>
        <w:rPr>
          <w:rFonts w:ascii="Book Antiqua" w:hAnsi="Book Antiqua"/>
          <w:szCs w:val="24"/>
        </w:rPr>
      </w:pPr>
      <w:r w:rsidRPr="007E0C28">
        <w:rPr>
          <w:rFonts w:ascii="Book Antiqua" w:hAnsi="Book Antiqua"/>
          <w:szCs w:val="24"/>
        </w:rPr>
        <w:t xml:space="preserve">In our recent paper, we investigated persimmon phytobezoar dissolubility by Coca-Cola® </w:t>
      </w:r>
      <w:r w:rsidRPr="007E0C28">
        <w:rPr>
          <w:rFonts w:ascii="Book Antiqua" w:hAnsi="Book Antiqua"/>
          <w:i/>
          <w:szCs w:val="24"/>
        </w:rPr>
        <w:t>in vitro</w:t>
      </w:r>
      <w:r w:rsidRPr="007E0C28">
        <w:rPr>
          <w:rFonts w:ascii="Book Antiqua" w:hAnsi="Book Antiqua"/>
          <w:szCs w:val="24"/>
          <w:vertAlign w:val="superscript"/>
        </w:rPr>
        <w:t>[4]</w:t>
      </w:r>
      <w:r w:rsidRPr="007E0C28">
        <w:rPr>
          <w:rFonts w:ascii="Book Antiqua" w:hAnsi="Book Antiqua"/>
          <w:szCs w:val="24"/>
        </w:rPr>
        <w:t>. A gastric persimmon phytobezoar was fragmented by endoscopy forceps and polypectomy snares (Fig</w:t>
      </w:r>
      <w:r w:rsidRPr="007E0C28">
        <w:rPr>
          <w:rFonts w:ascii="Book Antiqua" w:eastAsia="宋体" w:hAnsi="Book Antiqua"/>
          <w:szCs w:val="24"/>
          <w:lang w:eastAsia="zh-CN"/>
        </w:rPr>
        <w:t>ure</w:t>
      </w:r>
      <w:r w:rsidRPr="007E0C28">
        <w:rPr>
          <w:rFonts w:ascii="Book Antiqua" w:hAnsi="Book Antiqua"/>
          <w:szCs w:val="24"/>
        </w:rPr>
        <w:t xml:space="preserve"> 1C) and extracted with a retrieval net device (Fig</w:t>
      </w:r>
      <w:r w:rsidRPr="007E0C28">
        <w:rPr>
          <w:rFonts w:ascii="Book Antiqua" w:eastAsia="宋体" w:hAnsi="Book Antiqua"/>
          <w:szCs w:val="24"/>
          <w:lang w:eastAsia="zh-CN"/>
        </w:rPr>
        <w:t>ures</w:t>
      </w:r>
      <w:r w:rsidRPr="007E0C28">
        <w:rPr>
          <w:rFonts w:ascii="Book Antiqua" w:hAnsi="Book Antiqua"/>
          <w:szCs w:val="24"/>
        </w:rPr>
        <w:t xml:space="preserve"> 1D</w:t>
      </w:r>
      <w:r w:rsidRPr="007E0C28">
        <w:rPr>
          <w:rFonts w:ascii="Book Antiqua" w:eastAsia="宋体" w:hAnsi="Book Antiqua"/>
          <w:szCs w:val="24"/>
          <w:lang w:eastAsia="zh-CN"/>
        </w:rPr>
        <w:t xml:space="preserve"> and </w:t>
      </w:r>
      <w:r w:rsidRPr="007E0C28">
        <w:rPr>
          <w:rFonts w:ascii="Book Antiqua" w:hAnsi="Book Antiqua"/>
          <w:szCs w:val="24"/>
        </w:rPr>
        <w:t>2A). A fragment and hydrochloric acid-potassium chloride buffer (pH 2.0) was put into each of several tubes. Double-distilled water, Coca-Cola®, Coca-Cola Zero®, a digestive enzyme supplement containing cellulase, or papain supplement was added to the tube. After a 12-h incubation, the contents of the tubes were gently decanted into 100-mm polystyrene dishes, and photographs of these dishes were taken. Representative images of each group at post-incubation are shown in Figures 2B–</w:t>
      </w:r>
      <w:r w:rsidRPr="007E0C28">
        <w:rPr>
          <w:rFonts w:ascii="Book Antiqua" w:eastAsia="宋体" w:hAnsi="Book Antiqua"/>
          <w:szCs w:val="24"/>
          <w:lang w:eastAsia="zh-CN"/>
        </w:rPr>
        <w:t>2</w:t>
      </w:r>
      <w:r w:rsidRPr="007E0C28">
        <w:rPr>
          <w:rFonts w:ascii="Book Antiqua" w:hAnsi="Book Antiqua"/>
          <w:szCs w:val="24"/>
        </w:rPr>
        <w:t>F. The particles of broken bezoar were fewest in the control (Fig</w:t>
      </w:r>
      <w:r w:rsidRPr="007E0C28">
        <w:rPr>
          <w:rFonts w:ascii="Book Antiqua" w:eastAsia="宋体" w:hAnsi="Book Antiqua"/>
          <w:szCs w:val="24"/>
          <w:lang w:eastAsia="zh-CN"/>
        </w:rPr>
        <w:t>ure</w:t>
      </w:r>
      <w:r w:rsidRPr="007E0C28">
        <w:rPr>
          <w:rFonts w:ascii="Book Antiqua" w:hAnsi="Book Antiqua"/>
          <w:szCs w:val="24"/>
        </w:rPr>
        <w:t xml:space="preserve"> 2B).</w:t>
      </w:r>
    </w:p>
    <w:p w:rsidR="00B15056" w:rsidRPr="007E0C28" w:rsidRDefault="00B15056" w:rsidP="00ED6B8E">
      <w:pPr>
        <w:spacing w:line="360" w:lineRule="auto"/>
        <w:ind w:firstLineChars="100" w:firstLine="240"/>
        <w:rPr>
          <w:rFonts w:ascii="Book Antiqua" w:hAnsi="Book Antiqua"/>
          <w:szCs w:val="24"/>
        </w:rPr>
      </w:pPr>
      <w:r w:rsidRPr="007E0C28">
        <w:rPr>
          <w:rFonts w:ascii="Book Antiqua" w:hAnsi="Book Antiqua"/>
          <w:szCs w:val="24"/>
        </w:rPr>
        <w:t>By contrast, more particles of the broken bezoar were observed after incubation with Coca-Cola® (Fig</w:t>
      </w:r>
      <w:r w:rsidRPr="007E0C28">
        <w:rPr>
          <w:rFonts w:ascii="Book Antiqua" w:eastAsia="宋体" w:hAnsi="Book Antiqua"/>
          <w:szCs w:val="24"/>
          <w:lang w:eastAsia="zh-CN"/>
        </w:rPr>
        <w:t>ure</w:t>
      </w:r>
      <w:r w:rsidRPr="007E0C28">
        <w:rPr>
          <w:rFonts w:ascii="Book Antiqua" w:hAnsi="Book Antiqua"/>
          <w:szCs w:val="24"/>
        </w:rPr>
        <w:t xml:space="preserve"> 2C) or Coca-Cola Zero® (Fig</w:t>
      </w:r>
      <w:r w:rsidRPr="007E0C28">
        <w:rPr>
          <w:rFonts w:ascii="Book Antiqua" w:eastAsia="宋体" w:hAnsi="Book Antiqua"/>
          <w:szCs w:val="24"/>
          <w:lang w:eastAsia="zh-CN"/>
        </w:rPr>
        <w:t>ure</w:t>
      </w:r>
      <w:r w:rsidRPr="007E0C28">
        <w:rPr>
          <w:rFonts w:ascii="Book Antiqua" w:hAnsi="Book Antiqua"/>
          <w:szCs w:val="24"/>
        </w:rPr>
        <w:t xml:space="preserve"> 2D), even compared to cellulase (Fig</w:t>
      </w:r>
      <w:r w:rsidRPr="007E0C28">
        <w:rPr>
          <w:rFonts w:ascii="Book Antiqua" w:eastAsia="宋体" w:hAnsi="Book Antiqua"/>
          <w:szCs w:val="24"/>
          <w:lang w:eastAsia="zh-CN"/>
        </w:rPr>
        <w:t>ure</w:t>
      </w:r>
      <w:r w:rsidRPr="007E0C28">
        <w:rPr>
          <w:rFonts w:ascii="Book Antiqua" w:hAnsi="Book Antiqua"/>
          <w:szCs w:val="24"/>
        </w:rPr>
        <w:t xml:space="preserve"> 2E) or papain (Fig</w:t>
      </w:r>
      <w:r w:rsidRPr="007E0C28">
        <w:rPr>
          <w:rFonts w:ascii="Book Antiqua" w:eastAsia="宋体" w:hAnsi="Book Antiqua"/>
          <w:szCs w:val="24"/>
          <w:lang w:eastAsia="zh-CN"/>
        </w:rPr>
        <w:t>ure</w:t>
      </w:r>
      <w:r w:rsidRPr="007E0C28">
        <w:rPr>
          <w:rFonts w:ascii="Book Antiqua" w:hAnsi="Book Antiqua"/>
          <w:szCs w:val="24"/>
        </w:rPr>
        <w:t xml:space="preserve"> 2F). Next, the undissolved bezoar fragments were extracted, and their weights were measured after 30 min of air-drying and compared the values with the weight at pre-incubation. The phytolytic activities of the solvents are summarized in Figure 3. Bezoar fragments showed significantly better dissolubility in Coca-Cola Zero® (16.1 ± 0.4%) than in water (7.0 ± 5.3%) (</w:t>
      </w:r>
      <w:r w:rsidRPr="007E0C28">
        <w:rPr>
          <w:rFonts w:ascii="Book Antiqua" w:hAnsi="Book Antiqua"/>
          <w:i/>
          <w:szCs w:val="24"/>
        </w:rPr>
        <w:t>P</w:t>
      </w:r>
      <w:r w:rsidRPr="007E0C28">
        <w:rPr>
          <w:rFonts w:ascii="Book Antiqua" w:eastAsia="宋体" w:hAnsi="Book Antiqua"/>
          <w:szCs w:val="24"/>
          <w:lang w:eastAsia="zh-CN"/>
        </w:rPr>
        <w:t xml:space="preserve"> </w:t>
      </w:r>
      <w:r w:rsidRPr="007E0C28">
        <w:rPr>
          <w:rFonts w:ascii="Book Antiqua" w:hAnsi="Book Antiqua"/>
          <w:szCs w:val="24"/>
        </w:rPr>
        <w:t>&lt;</w:t>
      </w:r>
      <w:r w:rsidRPr="007E0C28">
        <w:rPr>
          <w:rFonts w:ascii="Book Antiqua" w:eastAsia="宋体" w:hAnsi="Book Antiqua"/>
          <w:szCs w:val="24"/>
          <w:lang w:eastAsia="zh-CN"/>
        </w:rPr>
        <w:t xml:space="preserve"> </w:t>
      </w:r>
      <w:r w:rsidRPr="007E0C28">
        <w:rPr>
          <w:rFonts w:ascii="Book Antiqua" w:hAnsi="Book Antiqua"/>
          <w:szCs w:val="24"/>
        </w:rPr>
        <w:t xml:space="preserve">0.05, </w:t>
      </w:r>
      <w:r w:rsidRPr="007E0C28">
        <w:rPr>
          <w:rFonts w:ascii="Book Antiqua" w:hAnsi="Book Antiqua"/>
          <w:i/>
          <w:szCs w:val="24"/>
        </w:rPr>
        <w:t>t</w:t>
      </w:r>
      <w:r w:rsidRPr="007E0C28">
        <w:rPr>
          <w:rFonts w:ascii="Book Antiqua" w:hAnsi="Book Antiqua"/>
          <w:szCs w:val="24"/>
        </w:rPr>
        <w:t>-test). The dissolubility in Coca-Cola® (18.5 ± 5.8%) was also higher than that in cellulase (10.1 ± 4.5%), papain (9.5 ± 6.5%), and water, though the difference between Coca-Cola® and water was not significant (</w:t>
      </w:r>
      <w:r w:rsidRPr="007E0C28">
        <w:rPr>
          <w:rFonts w:ascii="Book Antiqua" w:hAnsi="Book Antiqua"/>
          <w:i/>
          <w:szCs w:val="24"/>
        </w:rPr>
        <w:t>P</w:t>
      </w:r>
      <w:r w:rsidRPr="007E0C28">
        <w:rPr>
          <w:rFonts w:ascii="Book Antiqua" w:eastAsia="宋体" w:hAnsi="Book Antiqua"/>
          <w:szCs w:val="24"/>
          <w:lang w:eastAsia="zh-CN"/>
        </w:rPr>
        <w:t xml:space="preserve"> </w:t>
      </w:r>
      <w:r w:rsidRPr="007E0C28">
        <w:rPr>
          <w:rFonts w:ascii="Book Antiqua" w:hAnsi="Book Antiqua"/>
          <w:szCs w:val="24"/>
        </w:rPr>
        <w:t>=</w:t>
      </w:r>
      <w:r w:rsidRPr="007E0C28">
        <w:rPr>
          <w:rFonts w:ascii="Book Antiqua" w:eastAsia="宋体" w:hAnsi="Book Antiqua"/>
          <w:szCs w:val="24"/>
          <w:lang w:eastAsia="zh-CN"/>
        </w:rPr>
        <w:t xml:space="preserve"> </w:t>
      </w:r>
      <w:r w:rsidRPr="007E0C28">
        <w:rPr>
          <w:rFonts w:ascii="Book Antiqua" w:hAnsi="Book Antiqua"/>
          <w:szCs w:val="24"/>
        </w:rPr>
        <w:t xml:space="preserve">0.06) due to the relatively large standard deviation. Overall, our study obtained the first evidence of the comparative benefits of Coca-Cola® beverages. In addition, Coca-Cola® and Coca-Cola Zero® showed equal phytolytic activities </w:t>
      </w:r>
      <w:r w:rsidRPr="007E0C28">
        <w:rPr>
          <w:rFonts w:ascii="Book Antiqua" w:hAnsi="Book Antiqua"/>
          <w:i/>
          <w:szCs w:val="24"/>
        </w:rPr>
        <w:t>in vitro</w:t>
      </w:r>
      <w:r w:rsidRPr="007E0C28">
        <w:rPr>
          <w:rFonts w:ascii="Book Antiqua" w:hAnsi="Book Antiqua"/>
          <w:szCs w:val="24"/>
        </w:rPr>
        <w:t>.</w:t>
      </w:r>
    </w:p>
    <w:p w:rsidR="00B15056" w:rsidRPr="007E0C28" w:rsidRDefault="00B15056" w:rsidP="00ED6B8E">
      <w:pPr>
        <w:spacing w:line="360" w:lineRule="auto"/>
        <w:ind w:firstLineChars="100" w:firstLine="240"/>
        <w:rPr>
          <w:rFonts w:ascii="Book Antiqua" w:hAnsi="Book Antiqua"/>
          <w:szCs w:val="24"/>
        </w:rPr>
      </w:pPr>
      <w:r w:rsidRPr="007E0C28">
        <w:rPr>
          <w:rFonts w:ascii="Book Antiqua" w:hAnsi="Book Antiqua"/>
          <w:szCs w:val="24"/>
        </w:rPr>
        <w:t>Although the mechanism has not been fully elucidated, it has been speculated that some ingredients in Coca-Cola® play a key role in bezoar dissolution. Such hypotheses include enhanced bezoar digestion by the mucolytic effect of sodium bicarbonate and/or by the acidifying effect of carbonic acid and phosphoric acid. Destruction of the bezoar may also be assisted by the carbon dioxide bubbles, which penetrate into the bezoar through the microscopic pores on its surface</w:t>
      </w:r>
      <w:r w:rsidRPr="007E0C28">
        <w:rPr>
          <w:rFonts w:ascii="Book Antiqua" w:hAnsi="Book Antiqua"/>
          <w:szCs w:val="24"/>
          <w:vertAlign w:val="superscript"/>
        </w:rPr>
        <w:t>[5,20,56,58,59]</w:t>
      </w:r>
      <w:r w:rsidRPr="007E0C28">
        <w:rPr>
          <w:rFonts w:ascii="Book Antiqua" w:hAnsi="Book Antiqua"/>
          <w:szCs w:val="24"/>
        </w:rPr>
        <w:t>. Diet Coke®, Coca-Cola Light®, and Coca-Cola Zero® all contain these ingredients. Since the clinical success of bezoar dissolution by Diet Coke®, Coca-Cola Light®, and Coca-Cola Zero® was documented in previous reports, several authors have speculated that these sugar-free beverages have the same effect of bezoar dissolution as the regular version of Coca-Cola®</w:t>
      </w:r>
      <w:r w:rsidRPr="007E0C28">
        <w:rPr>
          <w:rFonts w:ascii="Book Antiqua" w:hAnsi="Book Antiqua"/>
          <w:szCs w:val="24"/>
          <w:vertAlign w:val="superscript"/>
        </w:rPr>
        <w:t>[5,60]</w:t>
      </w:r>
      <w:r w:rsidRPr="007E0C28">
        <w:rPr>
          <w:rFonts w:ascii="Book Antiqua" w:hAnsi="Book Antiqua"/>
          <w:szCs w:val="24"/>
        </w:rPr>
        <w:t>. Although our study was conducted using the phytobezoar obtained from a single patient, the results confirmed this speculation, revealing almost equal bezoar dissolubility between Coca-Cola® and Coca-Cola Zero®. A future study should determine whether or not other carbonated beverages such as Pepsi-Cola® and carbonated water have the same lytic action against phytobezoars.</w:t>
      </w:r>
    </w:p>
    <w:p w:rsidR="00B15056" w:rsidRPr="007E0C28" w:rsidRDefault="00B15056" w:rsidP="00ED6B8E">
      <w:pPr>
        <w:spacing w:line="360" w:lineRule="auto"/>
        <w:ind w:firstLineChars="100" w:firstLine="240"/>
        <w:rPr>
          <w:rFonts w:ascii="Book Antiqua" w:hAnsi="Book Antiqua"/>
          <w:szCs w:val="24"/>
        </w:rPr>
      </w:pPr>
      <w:r w:rsidRPr="007E0C28">
        <w:rPr>
          <w:rFonts w:ascii="Book Antiqua" w:hAnsi="Book Antiqua"/>
          <w:szCs w:val="24"/>
        </w:rPr>
        <w:t xml:space="preserve">Despite the number of reports describing a successful treatment outcome of phytobezoars, however, persimmon phytobezoars may not be dissolved by Coca-Cola® beverages alone because of their hard consistency. For example, Lee </w:t>
      </w:r>
      <w:r w:rsidRPr="007E0C28">
        <w:rPr>
          <w:rFonts w:ascii="Book Antiqua" w:hAnsi="Book Antiqua"/>
          <w:i/>
          <w:szCs w:val="24"/>
        </w:rPr>
        <w:t>et al</w:t>
      </w:r>
      <w:r w:rsidRPr="007E0C28">
        <w:rPr>
          <w:rFonts w:ascii="Book Antiqua" w:hAnsi="Book Antiqua"/>
          <w:szCs w:val="24"/>
          <w:vertAlign w:val="superscript"/>
        </w:rPr>
        <w:t>[53]</w:t>
      </w:r>
      <w:r w:rsidRPr="007E0C28">
        <w:rPr>
          <w:rFonts w:ascii="Book Antiqua" w:hAnsi="Book Antiqua"/>
          <w:szCs w:val="24"/>
        </w:rPr>
        <w:t xml:space="preserve"> reported that complete dissolution by Coca-Cola® administration was observed in 4/6 patients (66.7%) with non-persimmon phytobezoars, whereas Coca-Cola® was completely ineffective in all 11 patients with persimmon phytobezoars (0%) in whom this method was attempted. For such phytobezoars that are resistant to chemical dissolution, endoscopic fragmentation and removal in combination with or without Coca-Cola® dissolution is generally effective</w:t>
      </w:r>
      <w:r w:rsidRPr="007E0C28">
        <w:rPr>
          <w:rFonts w:ascii="Book Antiqua" w:hAnsi="Book Antiqua"/>
          <w:szCs w:val="24"/>
          <w:vertAlign w:val="superscript"/>
        </w:rPr>
        <w:t>[55]</w:t>
      </w:r>
      <w:r w:rsidRPr="007E0C28">
        <w:rPr>
          <w:rFonts w:ascii="Book Antiqua" w:hAnsi="Book Antiqua"/>
          <w:szCs w:val="24"/>
        </w:rPr>
        <w:t>.</w:t>
      </w:r>
    </w:p>
    <w:p w:rsidR="00B15056" w:rsidRPr="007E0C28" w:rsidRDefault="00B15056" w:rsidP="00A2683E">
      <w:pPr>
        <w:spacing w:line="360" w:lineRule="auto"/>
        <w:rPr>
          <w:rFonts w:ascii="Book Antiqua" w:hAnsi="Book Antiqua"/>
          <w:szCs w:val="24"/>
        </w:rPr>
      </w:pPr>
    </w:p>
    <w:p w:rsidR="00B15056" w:rsidRPr="007E0C28" w:rsidRDefault="00B15056" w:rsidP="00A2683E">
      <w:pPr>
        <w:spacing w:line="360" w:lineRule="auto"/>
        <w:rPr>
          <w:rFonts w:ascii="Book Antiqua" w:hAnsi="Book Antiqua"/>
          <w:b/>
          <w:i/>
          <w:szCs w:val="24"/>
        </w:rPr>
      </w:pPr>
      <w:r w:rsidRPr="007E0C28">
        <w:rPr>
          <w:rFonts w:ascii="Book Antiqua" w:hAnsi="Book Antiqua"/>
          <w:b/>
          <w:i/>
          <w:szCs w:val="24"/>
        </w:rPr>
        <w:t>Papain</w:t>
      </w:r>
    </w:p>
    <w:p w:rsidR="00B15056" w:rsidRPr="007E0C28" w:rsidRDefault="00B15056" w:rsidP="00A2683E">
      <w:pPr>
        <w:spacing w:line="360" w:lineRule="auto"/>
        <w:rPr>
          <w:rFonts w:ascii="Book Antiqua" w:hAnsi="Book Antiqua"/>
          <w:szCs w:val="24"/>
        </w:rPr>
      </w:pPr>
      <w:r w:rsidRPr="007E0C28">
        <w:rPr>
          <w:rFonts w:ascii="Book Antiqua" w:hAnsi="Book Antiqua"/>
          <w:szCs w:val="24"/>
        </w:rPr>
        <w:t>Papain, an enzyme extracted from the Carica papaya plant, has been used as an alternative enzymatic therapy for bezoars. Generally, papain rapidly hydrolyzes a variety of proteins based on the proteolytic activity. Several authors have described bezoar dissolution by the oral administration of Adolph’s Meat Tenderizer or gastric lavage with the tenderizing agent</w:t>
      </w:r>
      <w:r w:rsidRPr="007E0C28">
        <w:rPr>
          <w:rFonts w:ascii="Book Antiqua" w:hAnsi="Book Antiqua"/>
          <w:szCs w:val="24"/>
          <w:vertAlign w:val="superscript"/>
        </w:rPr>
        <w:t>[61]</w:t>
      </w:r>
      <w:r w:rsidRPr="007E0C28">
        <w:rPr>
          <w:rFonts w:ascii="Book Antiqua" w:hAnsi="Book Antiqua"/>
          <w:szCs w:val="24"/>
        </w:rPr>
        <w:t>. However, papain is no longer included in Adolph</w:t>
      </w:r>
      <w:r w:rsidRPr="007E0C28">
        <w:rPr>
          <w:rFonts w:ascii="Book Antiqua" w:eastAsia="宋体" w:hAnsi="Book Antiqua"/>
          <w:szCs w:val="24"/>
          <w:lang w:eastAsia="zh-CN"/>
        </w:rPr>
        <w:t>’</w:t>
      </w:r>
      <w:r w:rsidRPr="007E0C28">
        <w:rPr>
          <w:rFonts w:ascii="Book Antiqua" w:hAnsi="Book Antiqua"/>
          <w:szCs w:val="24"/>
        </w:rPr>
        <w:t>s Meat Tenderizer, because the manufacturer changed the chief ingredient from papain to bromelain, which is another proteolytic enzyme contained in pineapples. Papain is currently used in other products for tenderizing meat, in clarifying beer, and in biochemical research involving the analysis of proteins. Papain is thus still commercially available, but physicians should keep in mind that adverse events such as gastric ulceration and esophageal perforation following papain therapy have been documented</w:t>
      </w:r>
      <w:r w:rsidRPr="007E0C28">
        <w:rPr>
          <w:rFonts w:ascii="Book Antiqua" w:hAnsi="Book Antiqua"/>
          <w:szCs w:val="24"/>
          <w:vertAlign w:val="superscript"/>
        </w:rPr>
        <w:t>[62,63]</w:t>
      </w:r>
      <w:r w:rsidRPr="007E0C28">
        <w:rPr>
          <w:rFonts w:ascii="Book Antiqua" w:hAnsi="Book Antiqua"/>
          <w:szCs w:val="24"/>
        </w:rPr>
        <w:t>.</w:t>
      </w:r>
    </w:p>
    <w:p w:rsidR="00B15056" w:rsidRPr="007E0C28" w:rsidRDefault="00B15056" w:rsidP="00ED6B8E">
      <w:pPr>
        <w:spacing w:line="360" w:lineRule="auto"/>
        <w:ind w:firstLineChars="100" w:firstLine="240"/>
        <w:rPr>
          <w:rFonts w:ascii="Book Antiqua" w:hAnsi="Book Antiqua"/>
          <w:szCs w:val="24"/>
        </w:rPr>
      </w:pPr>
      <w:r w:rsidRPr="007E0C28">
        <w:rPr>
          <w:rFonts w:ascii="Book Antiqua" w:hAnsi="Book Antiqua"/>
          <w:szCs w:val="24"/>
        </w:rPr>
        <w:t>In our previous study, papain powders were extracted from a capsule of dietary supplement, but the bezoar dissolubility in papain was not significantly higher than that in water (Fig</w:t>
      </w:r>
      <w:r w:rsidRPr="007E0C28">
        <w:rPr>
          <w:rFonts w:ascii="Book Antiqua" w:eastAsia="宋体" w:hAnsi="Book Antiqua"/>
          <w:szCs w:val="24"/>
          <w:lang w:eastAsia="zh-CN"/>
        </w:rPr>
        <w:t>ures</w:t>
      </w:r>
      <w:r w:rsidRPr="007E0C28">
        <w:rPr>
          <w:rFonts w:ascii="Book Antiqua" w:hAnsi="Book Antiqua"/>
          <w:szCs w:val="24"/>
        </w:rPr>
        <w:t xml:space="preserve"> 5</w:t>
      </w:r>
      <w:r w:rsidRPr="007E0C28">
        <w:rPr>
          <w:rFonts w:ascii="Book Antiqua" w:eastAsia="宋体" w:hAnsi="Book Antiqua"/>
          <w:szCs w:val="24"/>
          <w:lang w:eastAsia="zh-CN"/>
        </w:rPr>
        <w:t xml:space="preserve"> and </w:t>
      </w:r>
      <w:r w:rsidRPr="007E0C28">
        <w:rPr>
          <w:rFonts w:ascii="Book Antiqua" w:hAnsi="Book Antiqua"/>
          <w:szCs w:val="24"/>
        </w:rPr>
        <w:t>6)</w:t>
      </w:r>
      <w:r w:rsidRPr="007E0C28">
        <w:rPr>
          <w:rFonts w:ascii="Book Antiqua" w:hAnsi="Book Antiqua"/>
          <w:szCs w:val="24"/>
          <w:vertAlign w:val="superscript"/>
        </w:rPr>
        <w:t>[4]</w:t>
      </w:r>
      <w:r w:rsidRPr="007E0C28">
        <w:rPr>
          <w:rFonts w:ascii="Book Antiqua" w:hAnsi="Book Antiqua"/>
          <w:szCs w:val="24"/>
        </w:rPr>
        <w:t>. The insufficient dissolubility of bezoars in papain is contradictory to the previous successful clinical outcomes. We speculate that this might be due to the small dose size of the active enzymes in a dietary supplement capsule. An excess doses of papain supplement may be effective for the dissolution of bezoars, but it is impractical in a clinical setting because the maximum dose of papain for safe ingestion have not been elucidated.</w:t>
      </w:r>
    </w:p>
    <w:p w:rsidR="00B15056" w:rsidRPr="007E0C28" w:rsidRDefault="00B15056" w:rsidP="00A2683E">
      <w:pPr>
        <w:spacing w:line="360" w:lineRule="auto"/>
        <w:rPr>
          <w:rFonts w:ascii="Book Antiqua" w:hAnsi="Book Antiqua"/>
          <w:szCs w:val="24"/>
        </w:rPr>
      </w:pPr>
    </w:p>
    <w:p w:rsidR="00B15056" w:rsidRPr="007E0C28" w:rsidRDefault="00B15056" w:rsidP="00A2683E">
      <w:pPr>
        <w:spacing w:line="360" w:lineRule="auto"/>
        <w:rPr>
          <w:rFonts w:ascii="Book Antiqua" w:hAnsi="Book Antiqua"/>
          <w:b/>
          <w:i/>
          <w:szCs w:val="24"/>
        </w:rPr>
      </w:pPr>
      <w:r w:rsidRPr="007E0C28">
        <w:rPr>
          <w:rFonts w:ascii="Book Antiqua" w:hAnsi="Book Antiqua"/>
          <w:b/>
          <w:i/>
          <w:szCs w:val="24"/>
        </w:rPr>
        <w:t>Cellulase</w:t>
      </w:r>
    </w:p>
    <w:p w:rsidR="00B15056" w:rsidRPr="007E0C28" w:rsidRDefault="00B15056" w:rsidP="00A2683E">
      <w:pPr>
        <w:spacing w:line="360" w:lineRule="auto"/>
        <w:rPr>
          <w:rFonts w:ascii="Book Antiqua" w:hAnsi="Book Antiqua"/>
          <w:szCs w:val="24"/>
        </w:rPr>
      </w:pPr>
      <w:r w:rsidRPr="007E0C28">
        <w:rPr>
          <w:rFonts w:ascii="Book Antiqua" w:hAnsi="Book Antiqua"/>
          <w:szCs w:val="24"/>
        </w:rPr>
        <w:t>Cellulase has been widely used for phytobezoar treatment, since vegetables and fruits contain large amounts of cellulose. The enhancement of phytobezoar digestion by cellulase may originate in its degradation activity against cellulose by cleaving the glycosidic bond. A successful outcome of bezoar treatment with tablet-form gastroenterase (containing pepsin, pancreatic enzyme concentrate, cellulase, and dehydrocholic acid) was described in the 1970s</w:t>
      </w:r>
      <w:r w:rsidRPr="007E0C28">
        <w:rPr>
          <w:rFonts w:ascii="Book Antiqua" w:hAnsi="Book Antiqua"/>
          <w:szCs w:val="24"/>
          <w:vertAlign w:val="superscript"/>
        </w:rPr>
        <w:t>[64,65]</w:t>
      </w:r>
      <w:r w:rsidRPr="007E0C28">
        <w:rPr>
          <w:rFonts w:ascii="Book Antiqua" w:hAnsi="Book Antiqua"/>
          <w:szCs w:val="24"/>
        </w:rPr>
        <w:t>. However, these tablets have been discontinued. Additionally, in many countries, cellulase is not readily available for ingestion as a commercial product, or even as a medication under prescription</w:t>
      </w:r>
      <w:r w:rsidRPr="007E0C28">
        <w:rPr>
          <w:rFonts w:ascii="Book Antiqua" w:hAnsi="Book Antiqua"/>
          <w:szCs w:val="24"/>
          <w:vertAlign w:val="superscript"/>
        </w:rPr>
        <w:t>[60]</w:t>
      </w:r>
      <w:r w:rsidRPr="007E0C28">
        <w:rPr>
          <w:rFonts w:ascii="Book Antiqua" w:hAnsi="Book Antiqua"/>
          <w:szCs w:val="24"/>
        </w:rPr>
        <w:t>. For example, in the US, cellulase is only available as a dietary supplement in combination with other digestive enzymes. In our previous study, however, one capsule of cellulase supplement was not effective for the lysis of bezoar fragments (Fig</w:t>
      </w:r>
      <w:r w:rsidRPr="007E0C28">
        <w:rPr>
          <w:rFonts w:ascii="Book Antiqua" w:eastAsia="宋体" w:hAnsi="Book Antiqua"/>
          <w:szCs w:val="24"/>
          <w:lang w:eastAsia="zh-CN"/>
        </w:rPr>
        <w:t>ures</w:t>
      </w:r>
      <w:r w:rsidRPr="007E0C28">
        <w:rPr>
          <w:rFonts w:ascii="Book Antiqua" w:hAnsi="Book Antiqua"/>
          <w:szCs w:val="24"/>
        </w:rPr>
        <w:t xml:space="preserve"> 2</w:t>
      </w:r>
      <w:r w:rsidRPr="007E0C28">
        <w:rPr>
          <w:rFonts w:ascii="Book Antiqua" w:eastAsia="宋体" w:hAnsi="Book Antiqua"/>
          <w:szCs w:val="24"/>
          <w:lang w:eastAsia="zh-CN"/>
        </w:rPr>
        <w:t xml:space="preserve"> and </w:t>
      </w:r>
      <w:r w:rsidRPr="007E0C28">
        <w:rPr>
          <w:rFonts w:ascii="Book Antiqua" w:hAnsi="Book Antiqua"/>
          <w:szCs w:val="24"/>
        </w:rPr>
        <w:t>3)</w:t>
      </w:r>
      <w:r w:rsidRPr="007E0C28">
        <w:rPr>
          <w:rFonts w:ascii="Book Antiqua" w:hAnsi="Book Antiqua"/>
          <w:szCs w:val="24"/>
          <w:vertAlign w:val="superscript"/>
        </w:rPr>
        <w:t>[4]</w:t>
      </w:r>
      <w:r w:rsidRPr="007E0C28">
        <w:rPr>
          <w:rFonts w:ascii="Book Antiqua" w:hAnsi="Book Antiqua"/>
          <w:szCs w:val="24"/>
        </w:rPr>
        <w:t>.</w:t>
      </w:r>
    </w:p>
    <w:p w:rsidR="00B15056" w:rsidRPr="007E0C28" w:rsidRDefault="00B15056" w:rsidP="00A2683E">
      <w:pPr>
        <w:spacing w:line="360" w:lineRule="auto"/>
        <w:rPr>
          <w:rFonts w:ascii="Book Antiqua" w:hAnsi="Book Antiqua"/>
          <w:szCs w:val="24"/>
        </w:rPr>
      </w:pPr>
    </w:p>
    <w:p w:rsidR="00B15056" w:rsidRPr="007E0C28" w:rsidRDefault="00B15056" w:rsidP="00A2683E">
      <w:pPr>
        <w:spacing w:line="360" w:lineRule="auto"/>
        <w:rPr>
          <w:rFonts w:ascii="Book Antiqua" w:hAnsi="Book Antiqua"/>
          <w:b/>
          <w:i/>
          <w:szCs w:val="24"/>
        </w:rPr>
      </w:pPr>
      <w:r w:rsidRPr="007E0C28">
        <w:rPr>
          <w:rFonts w:ascii="Book Antiqua" w:hAnsi="Book Antiqua"/>
          <w:b/>
          <w:i/>
          <w:szCs w:val="24"/>
        </w:rPr>
        <w:t>Endoscopic removal</w:t>
      </w:r>
    </w:p>
    <w:p w:rsidR="00B15056" w:rsidRPr="007E0C28" w:rsidRDefault="00B15056" w:rsidP="00A2683E">
      <w:pPr>
        <w:spacing w:line="360" w:lineRule="auto"/>
        <w:rPr>
          <w:rFonts w:ascii="Book Antiqua" w:hAnsi="Book Antiqua"/>
          <w:szCs w:val="24"/>
        </w:rPr>
      </w:pPr>
      <w:r w:rsidRPr="007E0C28">
        <w:rPr>
          <w:rFonts w:ascii="Book Antiqua" w:hAnsi="Book Antiqua"/>
          <w:szCs w:val="24"/>
        </w:rPr>
        <w:t>Endoscopic fragmentation has often been applied for gastric bezoars. Various types of endoscopy devices including biopsy forceps, alligator forceps, a polypectomy snare, a basket catheter, an argon plasma coagulation device and an electrohydraulic lithotripsy device have been used for fragmentation</w:t>
      </w:r>
      <w:r w:rsidRPr="007E0C28">
        <w:rPr>
          <w:rFonts w:ascii="Book Antiqua" w:hAnsi="Book Antiqua"/>
          <w:szCs w:val="24"/>
          <w:vertAlign w:val="superscript"/>
        </w:rPr>
        <w:t>[3]</w:t>
      </w:r>
      <w:r w:rsidRPr="007E0C28">
        <w:rPr>
          <w:rFonts w:ascii="Book Antiqua" w:hAnsi="Book Antiqua"/>
          <w:szCs w:val="24"/>
        </w:rPr>
        <w:t xml:space="preserve">. Kurt </w:t>
      </w:r>
      <w:r w:rsidRPr="007E0C28">
        <w:rPr>
          <w:rFonts w:ascii="Book Antiqua" w:hAnsi="Book Antiqua"/>
          <w:i/>
          <w:szCs w:val="24"/>
        </w:rPr>
        <w:t>et al</w:t>
      </w:r>
      <w:r w:rsidRPr="007E0C28">
        <w:rPr>
          <w:rFonts w:ascii="Book Antiqua" w:hAnsi="Book Antiqua"/>
          <w:szCs w:val="24"/>
          <w:vertAlign w:val="superscript"/>
        </w:rPr>
        <w:t xml:space="preserve">[66] </w:t>
      </w:r>
      <w:r w:rsidRPr="007E0C28">
        <w:rPr>
          <w:rFonts w:ascii="Book Antiqua" w:hAnsi="Book Antiqua"/>
          <w:szCs w:val="24"/>
        </w:rPr>
        <w:t xml:space="preserve">recently reported the first patient with a gastric bezoar successfully treated with a bezoaratom, an oval polyfilament snare device specifically designed for the treatment of bezoars. Endoscopic spraying or the endoscopic injection of Coca-Cola® into bezoars probably assists fragmentation </w:t>
      </w:r>
      <w:r w:rsidRPr="007E0C28">
        <w:rPr>
          <w:rFonts w:ascii="Book Antiqua" w:hAnsi="Book Antiqua"/>
          <w:i/>
          <w:szCs w:val="24"/>
        </w:rPr>
        <w:t>via</w:t>
      </w:r>
      <w:r w:rsidRPr="007E0C28">
        <w:rPr>
          <w:rFonts w:ascii="Book Antiqua" w:hAnsi="Book Antiqua"/>
          <w:szCs w:val="24"/>
        </w:rPr>
        <w:t xml:space="preserve"> lytic activity for gastrointestinal bezoars</w:t>
      </w:r>
      <w:r w:rsidRPr="007E0C28">
        <w:rPr>
          <w:rFonts w:ascii="Book Antiqua" w:hAnsi="Book Antiqua"/>
          <w:szCs w:val="24"/>
          <w:vertAlign w:val="superscript"/>
        </w:rPr>
        <w:t>[20,67]</w:t>
      </w:r>
      <w:r w:rsidRPr="007E0C28">
        <w:rPr>
          <w:rFonts w:ascii="Book Antiqua" w:hAnsi="Book Antiqua"/>
          <w:szCs w:val="24"/>
        </w:rPr>
        <w:t>. It should be noted that persimmon phytobezoars may require multiple sessions of endoscopic treatment to be completely broken down because of the hard consistency</w:t>
      </w:r>
      <w:r w:rsidRPr="007E0C28">
        <w:rPr>
          <w:rFonts w:ascii="Book Antiqua" w:hAnsi="Book Antiqua"/>
          <w:szCs w:val="24"/>
          <w:vertAlign w:val="superscript"/>
        </w:rPr>
        <w:t>[3]</w:t>
      </w:r>
      <w:r w:rsidRPr="007E0C28">
        <w:rPr>
          <w:rFonts w:ascii="Book Antiqua" w:hAnsi="Book Antiqua"/>
          <w:szCs w:val="24"/>
        </w:rPr>
        <w:t>.</w:t>
      </w:r>
    </w:p>
    <w:p w:rsidR="00B15056" w:rsidRPr="007E0C28" w:rsidRDefault="00B15056" w:rsidP="00ED6B8E">
      <w:pPr>
        <w:spacing w:line="360" w:lineRule="auto"/>
        <w:ind w:firstLineChars="100" w:firstLine="240"/>
        <w:rPr>
          <w:rFonts w:ascii="Book Antiqua" w:hAnsi="Book Antiqua"/>
          <w:szCs w:val="24"/>
        </w:rPr>
      </w:pPr>
      <w:r w:rsidRPr="007E0C28">
        <w:rPr>
          <w:rFonts w:ascii="Book Antiqua" w:hAnsi="Book Antiqua"/>
          <w:szCs w:val="24"/>
        </w:rPr>
        <w:t>Trichobezoars are resistant to enzymatic degradation and pharmacotherapy. Endoscopic fragmentation is generally ineffective due to the high density of the hair conglomerate. In a review of the 40 reported trichobezoar cases, endoscopic removal was successful in only two of the cases; the other cases required laparotomy or laparoscopic surgery</w:t>
      </w:r>
      <w:r w:rsidRPr="007E0C28">
        <w:rPr>
          <w:rFonts w:ascii="Book Antiqua" w:hAnsi="Book Antiqua"/>
          <w:szCs w:val="24"/>
          <w:vertAlign w:val="superscript"/>
        </w:rPr>
        <w:t>[35]</w:t>
      </w:r>
      <w:r w:rsidRPr="007E0C28">
        <w:rPr>
          <w:rFonts w:ascii="Book Antiqua" w:hAnsi="Book Antiqua"/>
          <w:szCs w:val="24"/>
        </w:rPr>
        <w:t>. In our experience, however, we achieved fragmentation of trichobezoar in one patient by using an electrosurgical knife</w:t>
      </w:r>
      <w:r w:rsidRPr="007E0C28">
        <w:rPr>
          <w:rFonts w:ascii="Book Antiqua" w:hAnsi="Book Antiqua"/>
          <w:szCs w:val="24"/>
          <w:vertAlign w:val="superscript"/>
        </w:rPr>
        <w:t>[3]</w:t>
      </w:r>
      <w:r w:rsidRPr="007E0C28">
        <w:rPr>
          <w:rFonts w:ascii="Book Antiqua" w:hAnsi="Book Antiqua"/>
          <w:szCs w:val="24"/>
        </w:rPr>
        <w:t>. Electrosurgical knives developed for endoscopic submucosal dissection may thus be useful for treating trichobezoars.</w:t>
      </w:r>
    </w:p>
    <w:p w:rsidR="00B15056" w:rsidRPr="007E0C28" w:rsidRDefault="00B15056" w:rsidP="00A2683E">
      <w:pPr>
        <w:spacing w:line="360" w:lineRule="auto"/>
        <w:rPr>
          <w:rFonts w:ascii="Book Antiqua" w:hAnsi="Book Antiqua"/>
          <w:szCs w:val="24"/>
        </w:rPr>
      </w:pPr>
    </w:p>
    <w:p w:rsidR="00B15056" w:rsidRPr="007E0C28" w:rsidRDefault="00B15056" w:rsidP="00A2683E">
      <w:pPr>
        <w:spacing w:line="360" w:lineRule="auto"/>
        <w:rPr>
          <w:rFonts w:ascii="Book Antiqua" w:hAnsi="Book Antiqua"/>
          <w:b/>
          <w:i/>
          <w:szCs w:val="24"/>
        </w:rPr>
      </w:pPr>
      <w:r w:rsidRPr="007E0C28">
        <w:rPr>
          <w:rFonts w:ascii="Book Antiqua" w:hAnsi="Book Antiqua"/>
          <w:b/>
          <w:i/>
          <w:szCs w:val="24"/>
        </w:rPr>
        <w:t>Surgical removal</w:t>
      </w:r>
    </w:p>
    <w:p w:rsidR="00B15056" w:rsidRPr="007E0C28" w:rsidRDefault="00B15056" w:rsidP="00A2683E">
      <w:pPr>
        <w:spacing w:line="360" w:lineRule="auto"/>
        <w:rPr>
          <w:rFonts w:ascii="Book Antiqua" w:hAnsi="Book Antiqua"/>
          <w:szCs w:val="24"/>
        </w:rPr>
      </w:pPr>
      <w:r w:rsidRPr="007E0C28">
        <w:rPr>
          <w:rFonts w:ascii="Book Antiqua" w:hAnsi="Book Antiqua"/>
          <w:szCs w:val="24"/>
        </w:rPr>
        <w:t>Surgical removal is inevitable for cases presenting with ileus or patients with refractory bezoars. Bezoars were traditionally managed by open surgical retrieval (laparotomy). Recent papers emphasized the importance of a minimally invasive surgical approach by laparoscopy in the management of gastrointestinal bezoars</w:t>
      </w:r>
      <w:r w:rsidRPr="007E0C28">
        <w:rPr>
          <w:rFonts w:ascii="Book Antiqua" w:hAnsi="Book Antiqua"/>
          <w:szCs w:val="24"/>
          <w:vertAlign w:val="superscript"/>
        </w:rPr>
        <w:t>[54,68–70]</w:t>
      </w:r>
      <w:r w:rsidRPr="007E0C28">
        <w:rPr>
          <w:rFonts w:ascii="Book Antiqua" w:hAnsi="Book Antiqua"/>
          <w:szCs w:val="24"/>
        </w:rPr>
        <w:t>. Intraoperative endoscopic removal has also been reported</w:t>
      </w:r>
      <w:r w:rsidRPr="007E0C28">
        <w:rPr>
          <w:rFonts w:ascii="Book Antiqua" w:hAnsi="Book Antiqua"/>
          <w:szCs w:val="24"/>
          <w:vertAlign w:val="superscript"/>
        </w:rPr>
        <w:t>[71]</w:t>
      </w:r>
      <w:r w:rsidRPr="007E0C28">
        <w:rPr>
          <w:rFonts w:ascii="Book Antiqua" w:hAnsi="Book Antiqua"/>
          <w:szCs w:val="24"/>
        </w:rPr>
        <w:t>.</w:t>
      </w:r>
    </w:p>
    <w:p w:rsidR="00B15056" w:rsidRPr="007E0C28" w:rsidRDefault="00B15056" w:rsidP="00A2683E">
      <w:pPr>
        <w:spacing w:line="360" w:lineRule="auto"/>
        <w:rPr>
          <w:rFonts w:ascii="Book Antiqua" w:hAnsi="Book Antiqua"/>
          <w:szCs w:val="24"/>
        </w:rPr>
      </w:pPr>
    </w:p>
    <w:p w:rsidR="00B15056" w:rsidRPr="007E0C28" w:rsidRDefault="00B15056" w:rsidP="00A2683E">
      <w:pPr>
        <w:spacing w:line="360" w:lineRule="auto"/>
        <w:rPr>
          <w:rFonts w:ascii="Book Antiqua" w:hAnsi="Book Antiqua"/>
          <w:b/>
          <w:i/>
          <w:szCs w:val="24"/>
        </w:rPr>
      </w:pPr>
      <w:r w:rsidRPr="007E0C28">
        <w:rPr>
          <w:rFonts w:ascii="Book Antiqua" w:hAnsi="Book Antiqua"/>
          <w:b/>
          <w:i/>
          <w:szCs w:val="24"/>
        </w:rPr>
        <w:t>Other treatment strategies</w:t>
      </w:r>
    </w:p>
    <w:p w:rsidR="00B15056" w:rsidRPr="007E0C28" w:rsidRDefault="00B15056" w:rsidP="00A2683E">
      <w:pPr>
        <w:spacing w:line="360" w:lineRule="auto"/>
        <w:rPr>
          <w:rFonts w:ascii="Book Antiqua" w:hAnsi="Book Antiqua"/>
          <w:szCs w:val="24"/>
        </w:rPr>
      </w:pPr>
      <w:r w:rsidRPr="007E0C28">
        <w:rPr>
          <w:rFonts w:ascii="Book Antiqua" w:hAnsi="Book Antiqua"/>
          <w:szCs w:val="24"/>
        </w:rPr>
        <w:t>In some patients, the administration of prokinetic agents was reportedly effective in resolving the gastric bezoar</w:t>
      </w:r>
      <w:r w:rsidRPr="007E0C28">
        <w:rPr>
          <w:rFonts w:ascii="Book Antiqua" w:hAnsi="Book Antiqua"/>
          <w:szCs w:val="24"/>
          <w:vertAlign w:val="superscript"/>
        </w:rPr>
        <w:t>[3]</w:t>
      </w:r>
      <w:r w:rsidRPr="007E0C28">
        <w:rPr>
          <w:rFonts w:ascii="Book Antiqua" w:hAnsi="Book Antiqua"/>
          <w:szCs w:val="24"/>
        </w:rPr>
        <w:t>. As described above, a reduction in the evacuation of indigestible foods due to insufficient gastric motor activity can lead to bezoar formation. Prokinetic agents such as itopride, mosapride, and metoclopramide may improve gastric emptying and facilitate the break-down of a bezoar by enhancing contractions of the gastrointestinal tract and increasing their frequency, if the bezoar is soft enough to be digested with gastrointestinal peristalsis.</w:t>
      </w:r>
    </w:p>
    <w:p w:rsidR="00B15056" w:rsidRPr="007E0C28" w:rsidRDefault="00B15056" w:rsidP="00ED6B8E">
      <w:pPr>
        <w:spacing w:line="360" w:lineRule="auto"/>
        <w:ind w:firstLineChars="100" w:firstLine="240"/>
        <w:rPr>
          <w:rFonts w:ascii="Book Antiqua" w:hAnsi="Book Antiqua"/>
          <w:szCs w:val="24"/>
        </w:rPr>
      </w:pPr>
      <w:r w:rsidRPr="007E0C28">
        <w:rPr>
          <w:rFonts w:ascii="Book Antiqua" w:hAnsi="Book Antiqua"/>
          <w:szCs w:val="24"/>
        </w:rPr>
        <w:t>Spontaneous disappearance of a bezoar under the absence of specific treatment was also observed in some patients</w:t>
      </w:r>
      <w:r w:rsidRPr="007E0C28">
        <w:rPr>
          <w:rFonts w:ascii="Book Antiqua" w:hAnsi="Book Antiqua"/>
          <w:szCs w:val="24"/>
          <w:vertAlign w:val="superscript"/>
        </w:rPr>
        <w:t>[3,6]</w:t>
      </w:r>
      <w:r w:rsidRPr="007E0C28">
        <w:rPr>
          <w:rFonts w:ascii="Book Antiqua" w:hAnsi="Book Antiqua"/>
          <w:szCs w:val="24"/>
        </w:rPr>
        <w:t>. The etiology of the bezoars and the mechanisms underlying how the bezoars were digested in these patients remain to be determined. However, careful follow-up without any specific treatment is a possible option in the management of bezoar patients, if they are in stable condition</w:t>
      </w:r>
      <w:r w:rsidRPr="007E0C28">
        <w:rPr>
          <w:rFonts w:ascii="Book Antiqua" w:hAnsi="Book Antiqua"/>
          <w:szCs w:val="24"/>
          <w:vertAlign w:val="superscript"/>
        </w:rPr>
        <w:t>[6]</w:t>
      </w:r>
      <w:r w:rsidRPr="007E0C28">
        <w:rPr>
          <w:rFonts w:ascii="Book Antiqua" w:hAnsi="Book Antiqua"/>
          <w:szCs w:val="24"/>
        </w:rPr>
        <w:t>.</w:t>
      </w:r>
    </w:p>
    <w:p w:rsidR="00B15056" w:rsidRPr="007E0C28" w:rsidRDefault="00B15056" w:rsidP="00A2683E">
      <w:pPr>
        <w:spacing w:line="360" w:lineRule="auto"/>
        <w:rPr>
          <w:rFonts w:ascii="Book Antiqua" w:hAnsi="Book Antiqua"/>
          <w:szCs w:val="24"/>
        </w:rPr>
      </w:pPr>
    </w:p>
    <w:p w:rsidR="00B15056" w:rsidRPr="007E0C28" w:rsidRDefault="00B15056" w:rsidP="00A2683E">
      <w:pPr>
        <w:spacing w:line="360" w:lineRule="auto"/>
        <w:rPr>
          <w:rFonts w:ascii="Book Antiqua" w:eastAsia="宋体" w:hAnsi="Book Antiqua"/>
          <w:b/>
          <w:szCs w:val="24"/>
          <w:lang w:eastAsia="zh-CN"/>
        </w:rPr>
      </w:pPr>
      <w:r w:rsidRPr="007E0C28">
        <w:rPr>
          <w:rFonts w:ascii="Book Antiqua" w:hAnsi="Book Antiqua"/>
          <w:b/>
          <w:szCs w:val="24"/>
        </w:rPr>
        <w:t>CONCLUSION</w:t>
      </w:r>
    </w:p>
    <w:p w:rsidR="00B15056" w:rsidRPr="007E0C28" w:rsidRDefault="00B15056" w:rsidP="00A2683E">
      <w:pPr>
        <w:spacing w:line="360" w:lineRule="auto"/>
        <w:rPr>
          <w:rFonts w:ascii="Book Antiqua" w:hAnsi="Book Antiqua"/>
          <w:szCs w:val="24"/>
        </w:rPr>
      </w:pPr>
      <w:r w:rsidRPr="007E0C28">
        <w:rPr>
          <w:rFonts w:ascii="Book Antiqua" w:hAnsi="Book Antiqua"/>
          <w:szCs w:val="24"/>
        </w:rPr>
        <w:t>We reviewed the prevalence, classification, structure, predisposing factors, manifestations, diagnosis, and treatment strategies of gastrointestinal bezoars. Endoscopy and CT play key roles in the detection and management of bezoars. The administration of Coca-Cola® is currently the primary choice for phytobezoar treatment because it is safe, inexpensive, and effective. Endoscopic fragmentation or surgical removal should be applied in urgent cases, such as those manifesting gastrointestinal bleeding and/or ileus, and patients with refractory bezoars.</w:t>
      </w:r>
    </w:p>
    <w:p w:rsidR="00B15056" w:rsidRPr="006C78CA" w:rsidRDefault="00B15056" w:rsidP="00A2683E">
      <w:pPr>
        <w:spacing w:line="360" w:lineRule="auto"/>
        <w:rPr>
          <w:rFonts w:ascii="Book Antiqua" w:eastAsia="宋体" w:hAnsi="Book Antiqua"/>
          <w:szCs w:val="24"/>
          <w:lang w:eastAsia="zh-CN"/>
        </w:rPr>
      </w:pPr>
    </w:p>
    <w:p w:rsidR="00B15056" w:rsidRPr="007E0C28" w:rsidRDefault="00ED6B8E" w:rsidP="00A2683E">
      <w:pPr>
        <w:spacing w:line="360" w:lineRule="auto"/>
        <w:rPr>
          <w:rFonts w:ascii="Book Antiqua" w:hAnsi="Book Antiqua"/>
          <w:b/>
          <w:szCs w:val="24"/>
        </w:rPr>
      </w:pPr>
      <w:r w:rsidRPr="007E0C28">
        <w:rPr>
          <w:rFonts w:ascii="Book Antiqua" w:hAnsi="Book Antiqua"/>
          <w:b/>
          <w:szCs w:val="24"/>
        </w:rPr>
        <w:t>ACKNOWLEDGEMENTS</w:t>
      </w:r>
    </w:p>
    <w:p w:rsidR="00B15056" w:rsidRPr="007E0C28" w:rsidRDefault="00B15056" w:rsidP="00A2683E">
      <w:pPr>
        <w:spacing w:line="360" w:lineRule="auto"/>
        <w:rPr>
          <w:rFonts w:ascii="Book Antiqua" w:hAnsi="Book Antiqua"/>
          <w:szCs w:val="24"/>
        </w:rPr>
      </w:pPr>
      <w:r w:rsidRPr="007E0C28">
        <w:rPr>
          <w:rFonts w:ascii="Book Antiqua" w:hAnsi="Book Antiqua"/>
          <w:szCs w:val="24"/>
        </w:rPr>
        <w:t xml:space="preserve">We thank the following individuals for their important contributions to the identification of patient medical records: Dr. Shouichi Tanaka and Dr. Daisuke Tanioka, </w:t>
      </w:r>
      <w:r w:rsidRPr="007E0C28">
        <w:rPr>
          <w:rFonts w:ascii="Book Antiqua" w:eastAsia="宋体" w:hAnsi="Book Antiqua"/>
          <w:szCs w:val="24"/>
          <w:lang w:eastAsia="zh-CN"/>
        </w:rPr>
        <w:t>(</w:t>
      </w:r>
      <w:r w:rsidRPr="007E0C28">
        <w:rPr>
          <w:rFonts w:ascii="Book Antiqua" w:hAnsi="Book Antiqua"/>
          <w:szCs w:val="24"/>
        </w:rPr>
        <w:t>Iwakuni Clinical Center</w:t>
      </w:r>
      <w:r w:rsidRPr="007E0C28">
        <w:rPr>
          <w:rFonts w:ascii="Book Antiqua" w:eastAsia="宋体" w:hAnsi="Book Antiqua"/>
          <w:szCs w:val="24"/>
          <w:lang w:eastAsia="zh-CN"/>
        </w:rPr>
        <w:t>)</w:t>
      </w:r>
      <w:r w:rsidRPr="007E0C28">
        <w:rPr>
          <w:rFonts w:ascii="Book Antiqua" w:hAnsi="Book Antiqua"/>
          <w:szCs w:val="24"/>
        </w:rPr>
        <w:t xml:space="preserve">; Dr. Junji Shiode </w:t>
      </w:r>
      <w:r w:rsidRPr="007E0C28">
        <w:rPr>
          <w:rFonts w:ascii="Book Antiqua" w:eastAsia="宋体" w:hAnsi="Book Antiqua"/>
          <w:szCs w:val="24"/>
          <w:lang w:eastAsia="zh-CN"/>
        </w:rPr>
        <w:t>(</w:t>
      </w:r>
      <w:r w:rsidRPr="007E0C28">
        <w:rPr>
          <w:rFonts w:ascii="Book Antiqua" w:hAnsi="Book Antiqua"/>
          <w:szCs w:val="24"/>
        </w:rPr>
        <w:t>Okayama Saiseikai General Hospital</w:t>
      </w:r>
      <w:r w:rsidRPr="007E0C28">
        <w:rPr>
          <w:rFonts w:ascii="Book Antiqua" w:eastAsia="宋体" w:hAnsi="Book Antiqua"/>
          <w:szCs w:val="24"/>
          <w:lang w:eastAsia="zh-CN"/>
        </w:rPr>
        <w:t>)</w:t>
      </w:r>
      <w:r w:rsidRPr="007E0C28">
        <w:rPr>
          <w:rFonts w:ascii="Book Antiqua" w:hAnsi="Book Antiqua"/>
          <w:szCs w:val="24"/>
        </w:rPr>
        <w:t xml:space="preserve">; Dr. Motowo Mizuno </w:t>
      </w:r>
      <w:r w:rsidRPr="007E0C28">
        <w:rPr>
          <w:rFonts w:ascii="Book Antiqua" w:eastAsia="宋体" w:hAnsi="Book Antiqua"/>
          <w:szCs w:val="24"/>
          <w:lang w:eastAsia="zh-CN"/>
        </w:rPr>
        <w:t>(</w:t>
      </w:r>
      <w:r w:rsidRPr="007E0C28">
        <w:rPr>
          <w:rFonts w:ascii="Book Antiqua" w:hAnsi="Book Antiqua"/>
          <w:szCs w:val="24"/>
        </w:rPr>
        <w:t>Hiroshima City Hospital</w:t>
      </w:r>
      <w:r w:rsidRPr="007E0C28">
        <w:rPr>
          <w:rFonts w:ascii="Book Antiqua" w:eastAsia="宋体" w:hAnsi="Book Antiqua"/>
          <w:szCs w:val="24"/>
          <w:lang w:eastAsia="zh-CN"/>
        </w:rPr>
        <w:t>)</w:t>
      </w:r>
      <w:r w:rsidRPr="007E0C28">
        <w:rPr>
          <w:rFonts w:ascii="Book Antiqua" w:hAnsi="Book Antiqua"/>
          <w:szCs w:val="24"/>
        </w:rPr>
        <w:t xml:space="preserve">; Dr. Ryuta Takenaka </w:t>
      </w:r>
      <w:r w:rsidRPr="007E0C28">
        <w:rPr>
          <w:rFonts w:ascii="Book Antiqua" w:eastAsia="宋体" w:hAnsi="Book Antiqua"/>
          <w:szCs w:val="24"/>
          <w:lang w:eastAsia="zh-CN"/>
        </w:rPr>
        <w:t>(</w:t>
      </w:r>
      <w:r w:rsidRPr="007E0C28">
        <w:rPr>
          <w:rFonts w:ascii="Book Antiqua" w:hAnsi="Book Antiqua"/>
          <w:szCs w:val="24"/>
        </w:rPr>
        <w:t>Tsuyama Central Hospital</w:t>
      </w:r>
      <w:r w:rsidRPr="007E0C28">
        <w:rPr>
          <w:rFonts w:ascii="Book Antiqua" w:eastAsia="宋体" w:hAnsi="Book Antiqua"/>
          <w:szCs w:val="24"/>
          <w:lang w:eastAsia="zh-CN"/>
        </w:rPr>
        <w:t>)</w:t>
      </w:r>
      <w:r w:rsidRPr="007E0C28">
        <w:rPr>
          <w:rFonts w:ascii="Book Antiqua" w:hAnsi="Book Antiqua"/>
          <w:szCs w:val="24"/>
        </w:rPr>
        <w:t xml:space="preserve">; Dr. Tatsuya Toyokawa </w:t>
      </w:r>
      <w:r w:rsidRPr="007E0C28">
        <w:rPr>
          <w:rFonts w:ascii="Book Antiqua" w:eastAsia="宋体" w:hAnsi="Book Antiqua"/>
          <w:szCs w:val="24"/>
          <w:lang w:eastAsia="zh-CN"/>
        </w:rPr>
        <w:t>(</w:t>
      </w:r>
      <w:r w:rsidRPr="007E0C28">
        <w:rPr>
          <w:rFonts w:ascii="Book Antiqua" w:hAnsi="Book Antiqua"/>
          <w:szCs w:val="24"/>
        </w:rPr>
        <w:t>Fukuyama Medical Center</w:t>
      </w:r>
      <w:r w:rsidRPr="007E0C28">
        <w:rPr>
          <w:rFonts w:ascii="Book Antiqua" w:eastAsia="宋体" w:hAnsi="Book Antiqua"/>
          <w:szCs w:val="24"/>
          <w:lang w:eastAsia="zh-CN"/>
        </w:rPr>
        <w:t>)</w:t>
      </w:r>
      <w:r w:rsidRPr="007E0C28">
        <w:rPr>
          <w:rFonts w:ascii="Book Antiqua" w:hAnsi="Book Antiqua"/>
          <w:szCs w:val="24"/>
        </w:rPr>
        <w:t xml:space="preserve">; Dr. Yuko Okamoto </w:t>
      </w:r>
      <w:r w:rsidRPr="007E0C28">
        <w:rPr>
          <w:rFonts w:ascii="Book Antiqua" w:eastAsia="宋体" w:hAnsi="Book Antiqua"/>
          <w:szCs w:val="24"/>
          <w:lang w:eastAsia="zh-CN"/>
        </w:rPr>
        <w:t>(</w:t>
      </w:r>
      <w:r w:rsidRPr="007E0C28">
        <w:rPr>
          <w:rFonts w:ascii="Book Antiqua" w:hAnsi="Book Antiqua"/>
          <w:szCs w:val="24"/>
        </w:rPr>
        <w:t>Ibara City Hospital</w:t>
      </w:r>
      <w:r w:rsidRPr="007E0C28">
        <w:rPr>
          <w:rFonts w:ascii="Book Antiqua" w:eastAsia="宋体" w:hAnsi="Book Antiqua"/>
          <w:szCs w:val="24"/>
          <w:lang w:eastAsia="zh-CN"/>
        </w:rPr>
        <w:t>)</w:t>
      </w:r>
      <w:r w:rsidRPr="007E0C28">
        <w:rPr>
          <w:rFonts w:ascii="Book Antiqua" w:hAnsi="Book Antiqua"/>
          <w:szCs w:val="24"/>
        </w:rPr>
        <w:t xml:space="preserve">; Dr. Yoshinari Kawai and Dr. Toshihiro Murata, </w:t>
      </w:r>
      <w:r w:rsidRPr="007E0C28">
        <w:rPr>
          <w:rFonts w:ascii="Book Antiqua" w:eastAsia="宋体" w:hAnsi="Book Antiqua"/>
          <w:szCs w:val="24"/>
          <w:lang w:eastAsia="zh-CN"/>
        </w:rPr>
        <w:t>(</w:t>
      </w:r>
      <w:r w:rsidRPr="007E0C28">
        <w:rPr>
          <w:rFonts w:ascii="Book Antiqua" w:hAnsi="Book Antiqua"/>
          <w:szCs w:val="24"/>
        </w:rPr>
        <w:t>Onomichi Municipal Hospital</w:t>
      </w:r>
      <w:r w:rsidRPr="007E0C28">
        <w:rPr>
          <w:rFonts w:ascii="Book Antiqua" w:eastAsia="宋体" w:hAnsi="Book Antiqua"/>
          <w:szCs w:val="24"/>
          <w:lang w:eastAsia="zh-CN"/>
        </w:rPr>
        <w:t>);</w:t>
      </w:r>
      <w:r w:rsidRPr="007E0C28">
        <w:rPr>
          <w:rFonts w:ascii="Book Antiqua" w:hAnsi="Book Antiqua"/>
          <w:szCs w:val="24"/>
        </w:rPr>
        <w:t xml:space="preserve"> Electron microscopy analyses were performed by Mr. Haruo Urata and Ms. Masumi Furutani, (Central Research Laboratory, Okayama University Medical School).</w:t>
      </w:r>
    </w:p>
    <w:p w:rsidR="00B15056" w:rsidRPr="007E0C28" w:rsidRDefault="00B15056" w:rsidP="00A2683E">
      <w:pPr>
        <w:spacing w:line="360" w:lineRule="auto"/>
        <w:rPr>
          <w:rFonts w:ascii="Book Antiqua" w:hAnsi="Book Antiqua"/>
          <w:szCs w:val="24"/>
        </w:rPr>
      </w:pPr>
    </w:p>
    <w:p w:rsidR="00B15056" w:rsidRPr="007E0C28" w:rsidRDefault="00B15056" w:rsidP="008A644D">
      <w:pPr>
        <w:widowControl/>
        <w:spacing w:line="360" w:lineRule="auto"/>
        <w:rPr>
          <w:rFonts w:ascii="Book Antiqua" w:hAnsi="Book Antiqua"/>
          <w:b/>
          <w:szCs w:val="24"/>
        </w:rPr>
      </w:pPr>
      <w:r w:rsidRPr="007E0C28">
        <w:rPr>
          <w:rFonts w:ascii="Book Antiqua" w:hAnsi="Book Antiqua"/>
          <w:b/>
          <w:szCs w:val="24"/>
        </w:rPr>
        <w:t>REFERENCES</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 xml:space="preserve">1 </w:t>
      </w:r>
      <w:r w:rsidRPr="007E0C28">
        <w:rPr>
          <w:rFonts w:ascii="Book Antiqua" w:hAnsi="Book Antiqua" w:cs="宋体"/>
          <w:b/>
          <w:color w:val="000000"/>
          <w:kern w:val="0"/>
        </w:rPr>
        <w:t>Sanders MK</w:t>
      </w:r>
      <w:r w:rsidRPr="007E0C28">
        <w:rPr>
          <w:rFonts w:ascii="Book Antiqua" w:hAnsi="Book Antiqua" w:cs="宋体"/>
          <w:color w:val="000000"/>
          <w:kern w:val="0"/>
        </w:rPr>
        <w:t xml:space="preserve">. Bezoars: from mystical charms to medical and nutritional management. </w:t>
      </w:r>
      <w:r w:rsidRPr="007E0C28">
        <w:rPr>
          <w:rFonts w:ascii="Book Antiqua" w:hAnsi="Book Antiqua" w:cs="宋体"/>
          <w:i/>
          <w:iCs/>
          <w:color w:val="000000"/>
          <w:kern w:val="0"/>
        </w:rPr>
        <w:t>Pract Gastroenterol </w:t>
      </w:r>
      <w:r w:rsidRPr="007E0C28">
        <w:rPr>
          <w:rFonts w:ascii="Book Antiqua" w:hAnsi="Book Antiqua" w:cs="宋体"/>
          <w:color w:val="000000"/>
          <w:kern w:val="0"/>
        </w:rPr>
        <w:t xml:space="preserve">2004; </w:t>
      </w:r>
      <w:r w:rsidRPr="007E0C28">
        <w:rPr>
          <w:rFonts w:ascii="Book Antiqua" w:hAnsi="Book Antiqua" w:cs="宋体"/>
          <w:b/>
          <w:color w:val="000000"/>
          <w:kern w:val="0"/>
        </w:rPr>
        <w:t>18</w:t>
      </w:r>
      <w:r w:rsidRPr="007E0C28">
        <w:rPr>
          <w:rFonts w:ascii="Book Antiqua" w:hAnsi="Book Antiqua" w:cs="宋体"/>
          <w:color w:val="000000"/>
          <w:kern w:val="0"/>
        </w:rPr>
        <w:t>: 37-50</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2 </w:t>
      </w:r>
      <w:r w:rsidRPr="007E0C28">
        <w:rPr>
          <w:rFonts w:ascii="Book Antiqua" w:hAnsi="Book Antiqua" w:cs="宋体"/>
          <w:b/>
          <w:bCs/>
          <w:color w:val="000000"/>
          <w:kern w:val="0"/>
        </w:rPr>
        <w:t>Iwamuro M</w:t>
      </w:r>
      <w:r w:rsidRPr="007E0C28">
        <w:rPr>
          <w:rFonts w:ascii="Book Antiqua" w:hAnsi="Book Antiqua" w:cs="宋体"/>
          <w:color w:val="000000"/>
          <w:kern w:val="0"/>
        </w:rPr>
        <w:t>, Urata H, Furutani M, Kawai Y, Shiraha H, Takaki A, Okada H, Yamamoto K. Ultrastructural analysis of a gastric persimmon phytobezoar. </w:t>
      </w:r>
      <w:r w:rsidRPr="007E0C28">
        <w:rPr>
          <w:rFonts w:ascii="Book Antiqua" w:hAnsi="Book Antiqua" w:cs="宋体"/>
          <w:i/>
          <w:iCs/>
          <w:color w:val="000000"/>
          <w:kern w:val="0"/>
        </w:rPr>
        <w:t>Clin Res Hepatol Gastroenterol</w:t>
      </w:r>
      <w:r w:rsidRPr="007E0C28">
        <w:rPr>
          <w:rFonts w:ascii="Book Antiqua" w:hAnsi="Book Antiqua" w:cs="宋体"/>
          <w:color w:val="000000"/>
          <w:kern w:val="0"/>
        </w:rPr>
        <w:t> 2014; </w:t>
      </w:r>
      <w:r w:rsidRPr="007E0C28">
        <w:rPr>
          <w:rFonts w:ascii="Book Antiqua" w:hAnsi="Book Antiqua" w:cs="宋体"/>
          <w:b/>
          <w:bCs/>
          <w:color w:val="000000"/>
          <w:kern w:val="0"/>
        </w:rPr>
        <w:t>38</w:t>
      </w:r>
      <w:r w:rsidRPr="007E0C28">
        <w:rPr>
          <w:rFonts w:ascii="Book Antiqua" w:hAnsi="Book Antiqua" w:cs="宋体"/>
          <w:color w:val="000000"/>
          <w:kern w:val="0"/>
        </w:rPr>
        <w:t>: e85-e87 [PMID: 24360625 DOI: 10.1016/j.clinre.2013.11.005]</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3 </w:t>
      </w:r>
      <w:r w:rsidRPr="007E0C28">
        <w:rPr>
          <w:rFonts w:ascii="Book Antiqua" w:hAnsi="Book Antiqua" w:cs="宋体"/>
          <w:b/>
          <w:bCs/>
          <w:color w:val="000000"/>
          <w:kern w:val="0"/>
        </w:rPr>
        <w:t>Iwamuro M</w:t>
      </w:r>
      <w:r w:rsidRPr="007E0C28">
        <w:rPr>
          <w:rFonts w:ascii="Book Antiqua" w:hAnsi="Book Antiqua" w:cs="宋体"/>
          <w:color w:val="000000"/>
          <w:kern w:val="0"/>
        </w:rPr>
        <w:t>, Tanaka S, Shiode J, Imagawa A, Mizuno M, Fujiki S, Toyokawa T, Okamoto Y, Murata T, Kawai Y, Tanioka D, Okada H, Yamamoto K. Clinical characteristics and treatment outcomes of nineteen Japanese patients with gastrointestinal bezoars. </w:t>
      </w:r>
      <w:r w:rsidRPr="007E0C28">
        <w:rPr>
          <w:rFonts w:ascii="Book Antiqua" w:hAnsi="Book Antiqua" w:cs="宋体"/>
          <w:i/>
          <w:iCs/>
          <w:color w:val="000000"/>
          <w:kern w:val="0"/>
        </w:rPr>
        <w:t>Intern Med</w:t>
      </w:r>
      <w:r w:rsidRPr="007E0C28">
        <w:rPr>
          <w:rFonts w:ascii="Book Antiqua" w:hAnsi="Book Antiqua" w:cs="宋体"/>
          <w:color w:val="000000"/>
          <w:kern w:val="0"/>
        </w:rPr>
        <w:t> 2014; </w:t>
      </w:r>
      <w:r w:rsidRPr="007E0C28">
        <w:rPr>
          <w:rFonts w:ascii="Book Antiqua" w:hAnsi="Book Antiqua" w:cs="宋体"/>
          <w:b/>
          <w:bCs/>
          <w:color w:val="000000"/>
          <w:kern w:val="0"/>
        </w:rPr>
        <w:t>53</w:t>
      </w:r>
      <w:r w:rsidRPr="007E0C28">
        <w:rPr>
          <w:rFonts w:ascii="Book Antiqua" w:hAnsi="Book Antiqua" w:cs="宋体"/>
          <w:color w:val="000000"/>
          <w:kern w:val="0"/>
        </w:rPr>
        <w:t>: 1099-1105 [PMID: 24881731 DOI: 10.2169/internalmedicine.53.2114]</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4 </w:t>
      </w:r>
      <w:r w:rsidRPr="007E0C28">
        <w:rPr>
          <w:rFonts w:ascii="Book Antiqua" w:hAnsi="Book Antiqua" w:cs="宋体"/>
          <w:b/>
          <w:bCs/>
          <w:color w:val="000000"/>
          <w:kern w:val="0"/>
        </w:rPr>
        <w:t>Iwamuro M</w:t>
      </w:r>
      <w:r w:rsidRPr="007E0C28">
        <w:rPr>
          <w:rFonts w:ascii="Book Antiqua" w:hAnsi="Book Antiqua" w:cs="宋体"/>
          <w:color w:val="000000"/>
          <w:kern w:val="0"/>
        </w:rPr>
        <w:t>, Kawai Y, Shiraha H, Takaki A, Okada H, Yamamoto K. In vitro analysis of gastric phytobezoar dissolubility by coca-cola, coca-cola zero, cellulase, and papain. </w:t>
      </w:r>
      <w:r w:rsidRPr="007E0C28">
        <w:rPr>
          <w:rFonts w:ascii="Book Antiqua" w:hAnsi="Book Antiqua" w:cs="宋体"/>
          <w:i/>
          <w:iCs/>
          <w:color w:val="000000"/>
          <w:kern w:val="0"/>
        </w:rPr>
        <w:t>J Clin Gastroenterol</w:t>
      </w:r>
      <w:r w:rsidRPr="007E0C28">
        <w:rPr>
          <w:rFonts w:ascii="Book Antiqua" w:hAnsi="Book Antiqua" w:cs="宋体"/>
          <w:color w:val="000000"/>
          <w:kern w:val="0"/>
        </w:rPr>
        <w:t> 2014; </w:t>
      </w:r>
      <w:r w:rsidRPr="007E0C28">
        <w:rPr>
          <w:rFonts w:ascii="Book Antiqua" w:hAnsi="Book Antiqua" w:cs="宋体"/>
          <w:b/>
          <w:bCs/>
          <w:color w:val="000000"/>
          <w:kern w:val="0"/>
        </w:rPr>
        <w:t>48</w:t>
      </w:r>
      <w:r w:rsidRPr="007E0C28">
        <w:rPr>
          <w:rFonts w:ascii="Book Antiqua" w:hAnsi="Book Antiqua" w:cs="宋体"/>
          <w:color w:val="000000"/>
          <w:kern w:val="0"/>
        </w:rPr>
        <w:t>: 190-191 [PMID: 24045274 DOI: 10.1097/MCG.0b013e3182a39116]</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5 </w:t>
      </w:r>
      <w:r w:rsidRPr="007E0C28">
        <w:rPr>
          <w:rFonts w:ascii="Book Antiqua" w:hAnsi="Book Antiqua" w:cs="宋体"/>
          <w:b/>
          <w:bCs/>
          <w:color w:val="000000"/>
          <w:kern w:val="0"/>
        </w:rPr>
        <w:t>Ertuğrul G</w:t>
      </w:r>
      <w:r w:rsidRPr="007E0C28">
        <w:rPr>
          <w:rFonts w:ascii="Book Antiqua" w:hAnsi="Book Antiqua" w:cs="宋体"/>
          <w:color w:val="000000"/>
          <w:kern w:val="0"/>
        </w:rPr>
        <w:t>, Coşkun M, Sevinç M, Ertuğrul F, Toydemir T. Treatment of gastric phytobezoars with Coca-Cola given via oral route: a case report. </w:t>
      </w:r>
      <w:r w:rsidRPr="007E0C28">
        <w:rPr>
          <w:rFonts w:ascii="Book Antiqua" w:hAnsi="Book Antiqua" w:cs="宋体"/>
          <w:i/>
          <w:iCs/>
          <w:color w:val="000000"/>
          <w:kern w:val="0"/>
        </w:rPr>
        <w:t>Int J Gen Med</w:t>
      </w:r>
      <w:r w:rsidRPr="007E0C28">
        <w:rPr>
          <w:rFonts w:ascii="Book Antiqua" w:hAnsi="Book Antiqua" w:cs="宋体"/>
          <w:color w:val="000000"/>
          <w:kern w:val="0"/>
        </w:rPr>
        <w:t> 2012; </w:t>
      </w:r>
      <w:r w:rsidRPr="007E0C28">
        <w:rPr>
          <w:rFonts w:ascii="Book Antiqua" w:hAnsi="Book Antiqua" w:cs="宋体"/>
          <w:b/>
          <w:bCs/>
          <w:color w:val="000000"/>
          <w:kern w:val="0"/>
        </w:rPr>
        <w:t>5</w:t>
      </w:r>
      <w:r w:rsidRPr="007E0C28">
        <w:rPr>
          <w:rFonts w:ascii="Book Antiqua" w:hAnsi="Book Antiqua" w:cs="宋体"/>
          <w:color w:val="000000"/>
          <w:kern w:val="0"/>
        </w:rPr>
        <w:t>: 157-161 [PMID: 22393302 DOI: 10.2147/IJGM.S29453]</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6 </w:t>
      </w:r>
      <w:r w:rsidRPr="007E0C28">
        <w:rPr>
          <w:rFonts w:ascii="Book Antiqua" w:hAnsi="Book Antiqua" w:cs="宋体"/>
          <w:b/>
          <w:bCs/>
          <w:color w:val="000000"/>
          <w:kern w:val="0"/>
        </w:rPr>
        <w:t>Kadian RS</w:t>
      </w:r>
      <w:r w:rsidRPr="007E0C28">
        <w:rPr>
          <w:rFonts w:ascii="Book Antiqua" w:hAnsi="Book Antiqua" w:cs="宋体"/>
          <w:color w:val="000000"/>
          <w:kern w:val="0"/>
        </w:rPr>
        <w:t>, Rose JF, Mann NS. Gastric bezoars--spontaneous resolution. </w:t>
      </w:r>
      <w:r w:rsidRPr="007E0C28">
        <w:rPr>
          <w:rFonts w:ascii="Book Antiqua" w:hAnsi="Book Antiqua" w:cs="宋体"/>
          <w:i/>
          <w:iCs/>
          <w:color w:val="000000"/>
          <w:kern w:val="0"/>
        </w:rPr>
        <w:t>Am J Gastroenterol</w:t>
      </w:r>
      <w:r w:rsidRPr="007E0C28">
        <w:rPr>
          <w:rFonts w:ascii="Book Antiqua" w:hAnsi="Book Antiqua" w:cs="宋体"/>
          <w:color w:val="000000"/>
          <w:kern w:val="0"/>
        </w:rPr>
        <w:t> 1978; </w:t>
      </w:r>
      <w:r w:rsidRPr="007E0C28">
        <w:rPr>
          <w:rFonts w:ascii="Book Antiqua" w:hAnsi="Book Antiqua" w:cs="宋体"/>
          <w:b/>
          <w:bCs/>
          <w:color w:val="000000"/>
          <w:kern w:val="0"/>
        </w:rPr>
        <w:t>70</w:t>
      </w:r>
      <w:r w:rsidRPr="007E0C28">
        <w:rPr>
          <w:rFonts w:ascii="Book Antiqua" w:hAnsi="Book Antiqua" w:cs="宋体"/>
          <w:color w:val="000000"/>
          <w:kern w:val="0"/>
        </w:rPr>
        <w:t>: 79-82 [PMID: 696718]</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7 </w:t>
      </w:r>
      <w:r w:rsidRPr="007E0C28">
        <w:rPr>
          <w:rFonts w:ascii="Book Antiqua" w:hAnsi="Book Antiqua" w:cs="宋体"/>
          <w:b/>
          <w:bCs/>
          <w:color w:val="000000"/>
          <w:kern w:val="0"/>
        </w:rPr>
        <w:t>Ahn YH</w:t>
      </w:r>
      <w:r w:rsidRPr="007E0C28">
        <w:rPr>
          <w:rFonts w:ascii="Book Antiqua" w:hAnsi="Book Antiqua" w:cs="宋体"/>
          <w:color w:val="000000"/>
          <w:kern w:val="0"/>
        </w:rPr>
        <w:t>, Maturu P, Steinheber FU, Goldman JM. Association of diabetes mellitus with gastric bezoar formation. </w:t>
      </w:r>
      <w:r w:rsidRPr="007E0C28">
        <w:rPr>
          <w:rFonts w:ascii="Book Antiqua" w:hAnsi="Book Antiqua" w:cs="宋体"/>
          <w:i/>
          <w:iCs/>
          <w:color w:val="000000"/>
          <w:kern w:val="0"/>
        </w:rPr>
        <w:t>Arch Intern Med</w:t>
      </w:r>
      <w:r w:rsidRPr="007E0C28">
        <w:rPr>
          <w:rFonts w:ascii="Book Antiqua" w:hAnsi="Book Antiqua" w:cs="宋体"/>
          <w:color w:val="000000"/>
          <w:kern w:val="0"/>
        </w:rPr>
        <w:t> 1987; </w:t>
      </w:r>
      <w:r w:rsidRPr="007E0C28">
        <w:rPr>
          <w:rFonts w:ascii="Book Antiqua" w:hAnsi="Book Antiqua" w:cs="宋体"/>
          <w:b/>
          <w:bCs/>
          <w:color w:val="000000"/>
          <w:kern w:val="0"/>
        </w:rPr>
        <w:t>147</w:t>
      </w:r>
      <w:r w:rsidRPr="007E0C28">
        <w:rPr>
          <w:rFonts w:ascii="Book Antiqua" w:hAnsi="Book Antiqua" w:cs="宋体"/>
          <w:color w:val="000000"/>
          <w:kern w:val="0"/>
        </w:rPr>
        <w:t>: 527-528 [PMID: 3827430 DOI: 10.1001/archinte.1987.00370030131025]</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8 </w:t>
      </w:r>
      <w:r w:rsidRPr="007E0C28">
        <w:rPr>
          <w:rFonts w:ascii="Book Antiqua" w:hAnsi="Book Antiqua" w:cs="宋体"/>
          <w:b/>
          <w:bCs/>
          <w:color w:val="000000"/>
          <w:kern w:val="0"/>
        </w:rPr>
        <w:t>Mihai C</w:t>
      </w:r>
      <w:r w:rsidRPr="007E0C28">
        <w:rPr>
          <w:rFonts w:ascii="Book Antiqua" w:hAnsi="Book Antiqua" w:cs="宋体"/>
          <w:color w:val="000000"/>
          <w:kern w:val="0"/>
        </w:rPr>
        <w:t>, Mihai B, Drug V, Cijevschi Prelipcean C. Gastric bezoars--diagnostic and therapeutic challenges. </w:t>
      </w:r>
      <w:r w:rsidRPr="007E0C28">
        <w:rPr>
          <w:rFonts w:ascii="Book Antiqua" w:hAnsi="Book Antiqua" w:cs="宋体"/>
          <w:i/>
          <w:iCs/>
          <w:color w:val="000000"/>
          <w:kern w:val="0"/>
        </w:rPr>
        <w:t>J Gastrointestin Liver Dis</w:t>
      </w:r>
      <w:r w:rsidRPr="007E0C28">
        <w:rPr>
          <w:rFonts w:ascii="Book Antiqua" w:hAnsi="Book Antiqua" w:cs="宋体"/>
          <w:color w:val="000000"/>
          <w:kern w:val="0"/>
        </w:rPr>
        <w:t> 2013; </w:t>
      </w:r>
      <w:r w:rsidRPr="007E0C28">
        <w:rPr>
          <w:rFonts w:ascii="Book Antiqua" w:hAnsi="Book Antiqua" w:cs="宋体"/>
          <w:b/>
          <w:bCs/>
          <w:color w:val="000000"/>
          <w:kern w:val="0"/>
        </w:rPr>
        <w:t>22</w:t>
      </w:r>
      <w:r w:rsidRPr="007E0C28">
        <w:rPr>
          <w:rFonts w:ascii="Book Antiqua" w:hAnsi="Book Antiqua" w:cs="宋体"/>
          <w:color w:val="000000"/>
          <w:kern w:val="0"/>
        </w:rPr>
        <w:t>: 111 [PMID: 23539409]</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9 </w:t>
      </w:r>
      <w:r w:rsidRPr="007E0C28">
        <w:rPr>
          <w:rFonts w:ascii="Book Antiqua" w:hAnsi="Book Antiqua" w:cs="宋体"/>
          <w:b/>
          <w:bCs/>
          <w:color w:val="000000"/>
          <w:kern w:val="0"/>
        </w:rPr>
        <w:t>Yakan S</w:t>
      </w:r>
      <w:r w:rsidRPr="007E0C28">
        <w:rPr>
          <w:rFonts w:ascii="Book Antiqua" w:hAnsi="Book Antiqua" w:cs="宋体"/>
          <w:color w:val="000000"/>
          <w:kern w:val="0"/>
        </w:rPr>
        <w:t>, Sirinocak A, Telciler KE, Tekeli MT, Deneçli AG. A rare cause of acute abdomen: small bowel obstruction due to phytobezoar. </w:t>
      </w:r>
      <w:r w:rsidRPr="007E0C28">
        <w:rPr>
          <w:rFonts w:ascii="Book Antiqua" w:hAnsi="Book Antiqua" w:cs="宋体"/>
          <w:i/>
          <w:iCs/>
          <w:color w:val="000000"/>
          <w:kern w:val="0"/>
        </w:rPr>
        <w:t>Ulus Travma Acil Cerrahi Derg</w:t>
      </w:r>
      <w:r w:rsidRPr="007E0C28">
        <w:rPr>
          <w:rFonts w:ascii="Book Antiqua" w:hAnsi="Book Antiqua" w:cs="宋体"/>
          <w:color w:val="000000"/>
          <w:kern w:val="0"/>
        </w:rPr>
        <w:t> 2010; </w:t>
      </w:r>
      <w:r w:rsidRPr="007E0C28">
        <w:rPr>
          <w:rFonts w:ascii="Book Antiqua" w:hAnsi="Book Antiqua" w:cs="宋体"/>
          <w:b/>
          <w:bCs/>
          <w:color w:val="000000"/>
          <w:kern w:val="0"/>
        </w:rPr>
        <w:t>16</w:t>
      </w:r>
      <w:r w:rsidRPr="007E0C28">
        <w:rPr>
          <w:rFonts w:ascii="Book Antiqua" w:hAnsi="Book Antiqua" w:cs="宋体"/>
          <w:color w:val="000000"/>
          <w:kern w:val="0"/>
        </w:rPr>
        <w:t>: 459-463 [PMID: 21038126]</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10 </w:t>
      </w:r>
      <w:r w:rsidRPr="007E0C28">
        <w:rPr>
          <w:rFonts w:ascii="Book Antiqua" w:hAnsi="Book Antiqua" w:cs="宋体"/>
          <w:b/>
          <w:bCs/>
          <w:color w:val="000000"/>
          <w:kern w:val="0"/>
        </w:rPr>
        <w:t>Ghosheh B</w:t>
      </w:r>
      <w:r w:rsidRPr="007E0C28">
        <w:rPr>
          <w:rFonts w:ascii="Book Antiqua" w:hAnsi="Book Antiqua" w:cs="宋体"/>
          <w:color w:val="000000"/>
          <w:kern w:val="0"/>
        </w:rPr>
        <w:t>, Salameh JR. Laparoscopic approach to acute small bowel obstruction: review of 1061 cases. </w:t>
      </w:r>
      <w:r w:rsidRPr="007E0C28">
        <w:rPr>
          <w:rFonts w:ascii="Book Antiqua" w:hAnsi="Book Antiqua" w:cs="宋体"/>
          <w:i/>
          <w:iCs/>
          <w:color w:val="000000"/>
          <w:kern w:val="0"/>
        </w:rPr>
        <w:t>Surg Endosc</w:t>
      </w:r>
      <w:r w:rsidRPr="007E0C28">
        <w:rPr>
          <w:rFonts w:ascii="Book Antiqua" w:hAnsi="Book Antiqua" w:cs="宋体"/>
          <w:color w:val="000000"/>
          <w:kern w:val="0"/>
        </w:rPr>
        <w:t> 2007; </w:t>
      </w:r>
      <w:r w:rsidRPr="007E0C28">
        <w:rPr>
          <w:rFonts w:ascii="Book Antiqua" w:hAnsi="Book Antiqua" w:cs="宋体"/>
          <w:b/>
          <w:bCs/>
          <w:color w:val="000000"/>
          <w:kern w:val="0"/>
        </w:rPr>
        <w:t>21</w:t>
      </w:r>
      <w:r w:rsidRPr="007E0C28">
        <w:rPr>
          <w:rFonts w:ascii="Book Antiqua" w:hAnsi="Book Antiqua" w:cs="宋体"/>
          <w:color w:val="000000"/>
          <w:kern w:val="0"/>
        </w:rPr>
        <w:t>: 1945-1949 [PMID: 17879114 DOI: 10.1007/s00464-007-9575-3]</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11 </w:t>
      </w:r>
      <w:r w:rsidRPr="007E0C28">
        <w:rPr>
          <w:rFonts w:ascii="Book Antiqua" w:hAnsi="Book Antiqua" w:cs="宋体"/>
          <w:b/>
          <w:bCs/>
          <w:color w:val="000000"/>
          <w:kern w:val="0"/>
        </w:rPr>
        <w:t>de Toledo AP</w:t>
      </w:r>
      <w:r w:rsidRPr="007E0C28">
        <w:rPr>
          <w:rFonts w:ascii="Book Antiqua" w:hAnsi="Book Antiqua" w:cs="宋体"/>
          <w:color w:val="000000"/>
          <w:kern w:val="0"/>
        </w:rPr>
        <w:t>, Rodrigues FH, Rodrigues MR, Sato DT, Nonose R, Nascimento EF, Martinez CA. Diospyrobezoar as a cause of small bowel obstruction. </w:t>
      </w:r>
      <w:r w:rsidRPr="007E0C28">
        <w:rPr>
          <w:rFonts w:ascii="Book Antiqua" w:hAnsi="Book Antiqua" w:cs="宋体"/>
          <w:i/>
          <w:iCs/>
          <w:color w:val="000000"/>
          <w:kern w:val="0"/>
        </w:rPr>
        <w:t>Case Rep Gastroenterol</w:t>
      </w:r>
      <w:r w:rsidRPr="007E0C28">
        <w:rPr>
          <w:rFonts w:ascii="Book Antiqua" w:hAnsi="Book Antiqua" w:cs="宋体"/>
          <w:color w:val="000000"/>
          <w:kern w:val="0"/>
        </w:rPr>
        <w:t> 2012; </w:t>
      </w:r>
      <w:r w:rsidRPr="007E0C28">
        <w:rPr>
          <w:rFonts w:ascii="Book Antiqua" w:hAnsi="Book Antiqua" w:cs="宋体"/>
          <w:b/>
          <w:bCs/>
          <w:color w:val="000000"/>
          <w:kern w:val="0"/>
        </w:rPr>
        <w:t>6</w:t>
      </w:r>
      <w:r w:rsidRPr="007E0C28">
        <w:rPr>
          <w:rFonts w:ascii="Book Antiqua" w:hAnsi="Book Antiqua" w:cs="宋体"/>
          <w:color w:val="000000"/>
          <w:kern w:val="0"/>
        </w:rPr>
        <w:t>: 596-603 [PMID: 23271989 DOI: 10.1159/000343161]</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12 </w:t>
      </w:r>
      <w:r w:rsidRPr="007E0C28">
        <w:rPr>
          <w:rFonts w:ascii="Book Antiqua" w:hAnsi="Book Antiqua" w:cs="宋体"/>
          <w:b/>
          <w:bCs/>
          <w:color w:val="000000"/>
          <w:kern w:val="0"/>
        </w:rPr>
        <w:t>Cifuentes Tebar J</w:t>
      </w:r>
      <w:r w:rsidRPr="007E0C28">
        <w:rPr>
          <w:rFonts w:ascii="Book Antiqua" w:hAnsi="Book Antiqua" w:cs="宋体"/>
          <w:color w:val="000000"/>
          <w:kern w:val="0"/>
        </w:rPr>
        <w:t>, Robles Campos R, Parrilla Paricio P, Lujan Mompean JA, Escamilla C, Liron Ruiz R, Pellicer Franco EM. Gastric surgery and bezoars. </w:t>
      </w:r>
      <w:r w:rsidRPr="007E0C28">
        <w:rPr>
          <w:rFonts w:ascii="Book Antiqua" w:hAnsi="Book Antiqua" w:cs="宋体"/>
          <w:i/>
          <w:iCs/>
          <w:color w:val="000000"/>
          <w:kern w:val="0"/>
        </w:rPr>
        <w:t>Dig Dis Sci</w:t>
      </w:r>
      <w:r w:rsidRPr="007E0C28">
        <w:rPr>
          <w:rFonts w:ascii="Book Antiqua" w:hAnsi="Book Antiqua" w:cs="宋体"/>
          <w:color w:val="000000"/>
          <w:kern w:val="0"/>
        </w:rPr>
        <w:t> 1992; </w:t>
      </w:r>
      <w:r w:rsidRPr="007E0C28">
        <w:rPr>
          <w:rFonts w:ascii="Book Antiqua" w:hAnsi="Book Antiqua" w:cs="宋体"/>
          <w:b/>
          <w:bCs/>
          <w:color w:val="000000"/>
          <w:kern w:val="0"/>
        </w:rPr>
        <w:t>37</w:t>
      </w:r>
      <w:r w:rsidRPr="007E0C28">
        <w:rPr>
          <w:rFonts w:ascii="Book Antiqua" w:hAnsi="Book Antiqua" w:cs="宋体"/>
          <w:color w:val="000000"/>
          <w:kern w:val="0"/>
        </w:rPr>
        <w:t>: 1694-1696 [PMID: 1425068 DOI: 10.5009/gnl.2014.8.4.400]</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13 </w:t>
      </w:r>
      <w:r w:rsidRPr="007E0C28">
        <w:rPr>
          <w:rFonts w:ascii="Book Antiqua" w:hAnsi="Book Antiqua" w:cs="宋体"/>
          <w:b/>
          <w:bCs/>
          <w:color w:val="000000"/>
          <w:kern w:val="0"/>
        </w:rPr>
        <w:t>Acar T</w:t>
      </w:r>
      <w:r w:rsidRPr="007E0C28">
        <w:rPr>
          <w:rFonts w:ascii="Book Antiqua" w:hAnsi="Book Antiqua" w:cs="宋体"/>
          <w:color w:val="000000"/>
          <w:kern w:val="0"/>
        </w:rPr>
        <w:t>, Tuncal S, Aydin R. An unusual cause of gastrointestinal obstruction: bezoar. </w:t>
      </w:r>
      <w:r w:rsidRPr="007E0C28">
        <w:rPr>
          <w:rFonts w:ascii="Book Antiqua" w:hAnsi="Book Antiqua" w:cs="宋体"/>
          <w:i/>
          <w:iCs/>
          <w:color w:val="000000"/>
          <w:kern w:val="0"/>
        </w:rPr>
        <w:t>N Z Med J</w:t>
      </w:r>
      <w:r w:rsidRPr="007E0C28">
        <w:rPr>
          <w:rFonts w:ascii="Book Antiqua" w:hAnsi="Book Antiqua" w:cs="宋体"/>
          <w:color w:val="000000"/>
          <w:kern w:val="0"/>
        </w:rPr>
        <w:t> 2003; </w:t>
      </w:r>
      <w:r w:rsidRPr="007E0C28">
        <w:rPr>
          <w:rFonts w:ascii="Book Antiqua" w:hAnsi="Book Antiqua" w:cs="宋体"/>
          <w:b/>
          <w:bCs/>
          <w:color w:val="000000"/>
          <w:kern w:val="0"/>
        </w:rPr>
        <w:t>116</w:t>
      </w:r>
      <w:r w:rsidRPr="007E0C28">
        <w:rPr>
          <w:rFonts w:ascii="Book Antiqua" w:hAnsi="Book Antiqua" w:cs="宋体"/>
          <w:color w:val="000000"/>
          <w:kern w:val="0"/>
        </w:rPr>
        <w:t>: U422 [PMID: 12740615]</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14 </w:t>
      </w:r>
      <w:r w:rsidRPr="007E0C28">
        <w:rPr>
          <w:rFonts w:ascii="Book Antiqua" w:hAnsi="Book Antiqua" w:cs="宋体"/>
          <w:b/>
          <w:bCs/>
          <w:color w:val="000000"/>
          <w:kern w:val="0"/>
        </w:rPr>
        <w:t>Moffat JH</w:t>
      </w:r>
      <w:r w:rsidRPr="007E0C28">
        <w:rPr>
          <w:rFonts w:ascii="Book Antiqua" w:hAnsi="Book Antiqua" w:cs="宋体"/>
          <w:color w:val="000000"/>
          <w:kern w:val="0"/>
        </w:rPr>
        <w:t>, Fraser WP. Gastric Bezoar. </w:t>
      </w:r>
      <w:r w:rsidRPr="007E0C28">
        <w:rPr>
          <w:rFonts w:ascii="Book Antiqua" w:hAnsi="Book Antiqua" w:cs="宋体"/>
          <w:i/>
          <w:iCs/>
          <w:color w:val="000000"/>
          <w:kern w:val="0"/>
        </w:rPr>
        <w:t>Can Med Assoc J</w:t>
      </w:r>
      <w:r w:rsidRPr="007E0C28">
        <w:rPr>
          <w:rFonts w:ascii="Book Antiqua" w:hAnsi="Book Antiqua" w:cs="宋体"/>
          <w:color w:val="000000"/>
          <w:kern w:val="0"/>
        </w:rPr>
        <w:t> 1962; </w:t>
      </w:r>
      <w:r w:rsidRPr="007E0C28">
        <w:rPr>
          <w:rFonts w:ascii="Book Antiqua" w:hAnsi="Book Antiqua" w:cs="宋体"/>
          <w:b/>
          <w:bCs/>
          <w:color w:val="000000"/>
          <w:kern w:val="0"/>
        </w:rPr>
        <w:t>87</w:t>
      </w:r>
      <w:r w:rsidRPr="007E0C28">
        <w:rPr>
          <w:rFonts w:ascii="Book Antiqua" w:hAnsi="Book Antiqua" w:cs="宋体"/>
          <w:color w:val="000000"/>
          <w:kern w:val="0"/>
        </w:rPr>
        <w:t>: 813-814 [PMID: 20327264]</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15 </w:t>
      </w:r>
      <w:r w:rsidRPr="007E0C28">
        <w:rPr>
          <w:rFonts w:ascii="Book Antiqua" w:hAnsi="Book Antiqua" w:cs="宋体"/>
          <w:b/>
          <w:bCs/>
          <w:color w:val="000000"/>
          <w:kern w:val="0"/>
        </w:rPr>
        <w:t>Park SE</w:t>
      </w:r>
      <w:r w:rsidRPr="007E0C28">
        <w:rPr>
          <w:rFonts w:ascii="Book Antiqua" w:hAnsi="Book Antiqua" w:cs="宋体"/>
          <w:color w:val="000000"/>
          <w:kern w:val="0"/>
        </w:rPr>
        <w:t>, Ahn JY, Jung HY, Na S, Park SJ, Lim H, Choi KS, Lee JH, Kim do H, Choi KD, Song HJ, Lee GH, Kim JH. Clinical outcomes associated with treatment modalities for gastrointestinal bezoars. </w:t>
      </w:r>
      <w:r w:rsidRPr="007E0C28">
        <w:rPr>
          <w:rFonts w:ascii="Book Antiqua" w:hAnsi="Book Antiqua" w:cs="宋体"/>
          <w:i/>
          <w:iCs/>
          <w:color w:val="000000"/>
          <w:kern w:val="0"/>
        </w:rPr>
        <w:t>Gut Liver</w:t>
      </w:r>
      <w:r w:rsidRPr="007E0C28">
        <w:rPr>
          <w:rFonts w:ascii="Book Antiqua" w:hAnsi="Book Antiqua" w:cs="宋体"/>
          <w:color w:val="000000"/>
          <w:kern w:val="0"/>
        </w:rPr>
        <w:t> 2014; </w:t>
      </w:r>
      <w:r w:rsidRPr="007E0C28">
        <w:rPr>
          <w:rFonts w:ascii="Book Antiqua" w:hAnsi="Book Antiqua" w:cs="宋体"/>
          <w:b/>
          <w:bCs/>
          <w:color w:val="000000"/>
          <w:kern w:val="0"/>
        </w:rPr>
        <w:t>8</w:t>
      </w:r>
      <w:r w:rsidRPr="007E0C28">
        <w:rPr>
          <w:rFonts w:ascii="Book Antiqua" w:hAnsi="Book Antiqua" w:cs="宋体"/>
          <w:color w:val="000000"/>
          <w:kern w:val="0"/>
        </w:rPr>
        <w:t>: 400-407 [PMID: 25071905]</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16 </w:t>
      </w:r>
      <w:r w:rsidRPr="007E0C28">
        <w:rPr>
          <w:rFonts w:ascii="Book Antiqua" w:hAnsi="Book Antiqua" w:cs="宋体"/>
          <w:b/>
          <w:bCs/>
          <w:color w:val="000000"/>
          <w:kern w:val="0"/>
        </w:rPr>
        <w:t>Gayà J</w:t>
      </w:r>
      <w:r w:rsidRPr="007E0C28">
        <w:rPr>
          <w:rFonts w:ascii="Book Antiqua" w:hAnsi="Book Antiqua" w:cs="宋体"/>
          <w:color w:val="000000"/>
          <w:kern w:val="0"/>
        </w:rPr>
        <w:t>, Barranco L, Llompart A, Reyes J, Obrador A. Persimmon bezoars: a successful combined therapy. </w:t>
      </w:r>
      <w:r w:rsidRPr="007E0C28">
        <w:rPr>
          <w:rFonts w:ascii="Book Antiqua" w:hAnsi="Book Antiqua" w:cs="宋体"/>
          <w:i/>
          <w:iCs/>
          <w:color w:val="000000"/>
          <w:kern w:val="0"/>
        </w:rPr>
        <w:t>Gastrointest Endosc</w:t>
      </w:r>
      <w:r w:rsidRPr="007E0C28">
        <w:rPr>
          <w:rFonts w:ascii="Book Antiqua" w:hAnsi="Book Antiqua" w:cs="宋体"/>
          <w:color w:val="000000"/>
          <w:kern w:val="0"/>
        </w:rPr>
        <w:t> 2002; </w:t>
      </w:r>
      <w:r w:rsidRPr="007E0C28">
        <w:rPr>
          <w:rFonts w:ascii="Book Antiqua" w:hAnsi="Book Antiqua" w:cs="宋体"/>
          <w:b/>
          <w:bCs/>
          <w:color w:val="000000"/>
          <w:kern w:val="0"/>
        </w:rPr>
        <w:t>55</w:t>
      </w:r>
      <w:r w:rsidRPr="007E0C28">
        <w:rPr>
          <w:rFonts w:ascii="Book Antiqua" w:hAnsi="Book Antiqua" w:cs="宋体"/>
          <w:color w:val="000000"/>
          <w:kern w:val="0"/>
        </w:rPr>
        <w:t>: 581-583 [PMID: 11923779 DOI: 10.1067/mge.2002.122332]</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17 </w:t>
      </w:r>
      <w:r w:rsidRPr="007E0C28">
        <w:rPr>
          <w:rFonts w:ascii="Book Antiqua" w:hAnsi="Book Antiqua" w:cs="宋体"/>
          <w:b/>
          <w:bCs/>
          <w:color w:val="000000"/>
          <w:kern w:val="0"/>
        </w:rPr>
        <w:t>Moriel EZ</w:t>
      </w:r>
      <w:r w:rsidRPr="007E0C28">
        <w:rPr>
          <w:rFonts w:ascii="Book Antiqua" w:hAnsi="Book Antiqua" w:cs="宋体"/>
          <w:color w:val="000000"/>
          <w:kern w:val="0"/>
        </w:rPr>
        <w:t>, Ayalon A, Eid A, Rachmilewitz D, Krausz MM, Durst AL. An unusually high incidence of gastrointestinal obstruction by persimmon bezoars in Israeli patients after ulcer surgery. </w:t>
      </w:r>
      <w:r w:rsidRPr="007E0C28">
        <w:rPr>
          <w:rFonts w:ascii="Book Antiqua" w:hAnsi="Book Antiqua" w:cs="宋体"/>
          <w:i/>
          <w:iCs/>
          <w:color w:val="000000"/>
          <w:kern w:val="0"/>
        </w:rPr>
        <w:t>Gastroenterology</w:t>
      </w:r>
      <w:r w:rsidRPr="007E0C28">
        <w:rPr>
          <w:rFonts w:ascii="Book Antiqua" w:hAnsi="Book Antiqua" w:cs="宋体"/>
          <w:color w:val="000000"/>
          <w:kern w:val="0"/>
        </w:rPr>
        <w:t> 1983; </w:t>
      </w:r>
      <w:r w:rsidRPr="007E0C28">
        <w:rPr>
          <w:rFonts w:ascii="Book Antiqua" w:hAnsi="Book Antiqua" w:cs="宋体"/>
          <w:b/>
          <w:bCs/>
          <w:color w:val="000000"/>
          <w:kern w:val="0"/>
        </w:rPr>
        <w:t>84</w:t>
      </w:r>
      <w:r w:rsidRPr="007E0C28">
        <w:rPr>
          <w:rFonts w:ascii="Book Antiqua" w:hAnsi="Book Antiqua" w:cs="宋体"/>
          <w:color w:val="000000"/>
          <w:kern w:val="0"/>
        </w:rPr>
        <w:t>: 752-755 [PMID: 6825987]</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18 </w:t>
      </w:r>
      <w:r w:rsidRPr="007E0C28">
        <w:rPr>
          <w:rFonts w:ascii="Book Antiqua" w:hAnsi="Book Antiqua" w:cs="宋体"/>
          <w:b/>
          <w:bCs/>
          <w:color w:val="000000"/>
          <w:kern w:val="0"/>
        </w:rPr>
        <w:t>Granot E</w:t>
      </w:r>
      <w:r w:rsidRPr="007E0C28">
        <w:rPr>
          <w:rFonts w:ascii="Book Antiqua" w:hAnsi="Book Antiqua" w:cs="宋体"/>
          <w:color w:val="000000"/>
          <w:kern w:val="0"/>
        </w:rPr>
        <w:t>, Fich A, Ayalon A, Manny J, Winograd I, Schwartz J, Rachmilewitz D. An epidemic of persimmon bezoars in Israel. </w:t>
      </w:r>
      <w:r w:rsidRPr="007E0C28">
        <w:rPr>
          <w:rFonts w:ascii="Book Antiqua" w:hAnsi="Book Antiqua" w:cs="宋体"/>
          <w:i/>
          <w:iCs/>
          <w:color w:val="000000"/>
          <w:kern w:val="0"/>
        </w:rPr>
        <w:t>Isr J Med Sci</w:t>
      </w:r>
      <w:r w:rsidRPr="007E0C28">
        <w:rPr>
          <w:rFonts w:ascii="Book Antiqua" w:hAnsi="Book Antiqua" w:cs="宋体"/>
          <w:color w:val="000000"/>
          <w:kern w:val="0"/>
        </w:rPr>
        <w:t> 1984; </w:t>
      </w:r>
      <w:r w:rsidRPr="007E0C28">
        <w:rPr>
          <w:rFonts w:ascii="Book Antiqua" w:hAnsi="Book Antiqua" w:cs="宋体"/>
          <w:b/>
          <w:bCs/>
          <w:color w:val="000000"/>
          <w:kern w:val="0"/>
        </w:rPr>
        <w:t>20</w:t>
      </w:r>
      <w:r w:rsidRPr="007E0C28">
        <w:rPr>
          <w:rFonts w:ascii="Book Antiqua" w:hAnsi="Book Antiqua" w:cs="宋体"/>
          <w:color w:val="000000"/>
          <w:kern w:val="0"/>
        </w:rPr>
        <w:t>: 167-169 [PMID: 6706544]</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19 </w:t>
      </w:r>
      <w:r w:rsidRPr="007E0C28">
        <w:rPr>
          <w:rFonts w:ascii="Book Antiqua" w:hAnsi="Book Antiqua" w:cs="宋体"/>
          <w:b/>
          <w:bCs/>
          <w:color w:val="000000"/>
          <w:kern w:val="0"/>
        </w:rPr>
        <w:t>Altintoprak F</w:t>
      </w:r>
      <w:r w:rsidRPr="007E0C28">
        <w:rPr>
          <w:rFonts w:ascii="Book Antiqua" w:hAnsi="Book Antiqua" w:cs="宋体"/>
          <w:color w:val="000000"/>
          <w:kern w:val="0"/>
        </w:rPr>
        <w:t>, Degirmenci B, Dikicier E, Cakmak G, Kivilcim T, Akbulut G, Dilek ON, Gunduz Y. CT findings of patients with small bowel obstruction due to bezoar: a descriptive study. </w:t>
      </w:r>
      <w:r w:rsidRPr="007E0C28">
        <w:rPr>
          <w:rFonts w:ascii="Book Antiqua" w:hAnsi="Book Antiqua" w:cs="宋体"/>
          <w:i/>
          <w:iCs/>
          <w:color w:val="000000"/>
          <w:kern w:val="0"/>
        </w:rPr>
        <w:t>ScientificWorldJournal</w:t>
      </w:r>
      <w:r w:rsidRPr="007E0C28">
        <w:rPr>
          <w:rFonts w:ascii="Book Antiqua" w:hAnsi="Book Antiqua" w:cs="宋体"/>
          <w:color w:val="000000"/>
          <w:kern w:val="0"/>
        </w:rPr>
        <w:t> 2013; </w:t>
      </w:r>
      <w:r w:rsidRPr="007E0C28">
        <w:rPr>
          <w:rFonts w:ascii="Book Antiqua" w:hAnsi="Book Antiqua" w:cs="宋体"/>
          <w:b/>
          <w:bCs/>
          <w:color w:val="000000"/>
          <w:kern w:val="0"/>
        </w:rPr>
        <w:t>2013</w:t>
      </w:r>
      <w:r w:rsidRPr="007E0C28">
        <w:rPr>
          <w:rFonts w:ascii="Book Antiqua" w:hAnsi="Book Antiqua" w:cs="宋体"/>
          <w:color w:val="000000"/>
          <w:kern w:val="0"/>
        </w:rPr>
        <w:t>: 298392 [PMID: 23690741 DOI: 10.1155/2013/298392]</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20 </w:t>
      </w:r>
      <w:r w:rsidRPr="007E0C28">
        <w:rPr>
          <w:rFonts w:ascii="Book Antiqua" w:hAnsi="Book Antiqua" w:cs="宋体"/>
          <w:b/>
          <w:bCs/>
          <w:color w:val="000000"/>
          <w:kern w:val="0"/>
        </w:rPr>
        <w:t>Ladas SD</w:t>
      </w:r>
      <w:r w:rsidRPr="007E0C28">
        <w:rPr>
          <w:rFonts w:ascii="Book Antiqua" w:hAnsi="Book Antiqua" w:cs="宋体"/>
          <w:color w:val="000000"/>
          <w:kern w:val="0"/>
        </w:rPr>
        <w:t>, Kamberoglou D, Karamanolis G, Vlachogiannakos J, Zouboulis-Vafiadis I. Systematic review: Coca-Cola can effectively dissolve gastric phytobezoars as a first-line treatment. </w:t>
      </w:r>
      <w:r w:rsidRPr="007E0C28">
        <w:rPr>
          <w:rFonts w:ascii="Book Antiqua" w:hAnsi="Book Antiqua" w:cs="宋体"/>
          <w:i/>
          <w:iCs/>
          <w:color w:val="000000"/>
          <w:kern w:val="0"/>
        </w:rPr>
        <w:t>Aliment Pharmacol Ther</w:t>
      </w:r>
      <w:r w:rsidRPr="007E0C28">
        <w:rPr>
          <w:rFonts w:ascii="Book Antiqua" w:hAnsi="Book Antiqua" w:cs="宋体"/>
          <w:color w:val="000000"/>
          <w:kern w:val="0"/>
        </w:rPr>
        <w:t> 2013; </w:t>
      </w:r>
      <w:r w:rsidRPr="007E0C28">
        <w:rPr>
          <w:rFonts w:ascii="Book Antiqua" w:hAnsi="Book Antiqua" w:cs="宋体"/>
          <w:b/>
          <w:bCs/>
          <w:color w:val="000000"/>
          <w:kern w:val="0"/>
        </w:rPr>
        <w:t>37</w:t>
      </w:r>
      <w:r w:rsidRPr="007E0C28">
        <w:rPr>
          <w:rFonts w:ascii="Book Antiqua" w:hAnsi="Book Antiqua" w:cs="宋体"/>
          <w:color w:val="000000"/>
          <w:kern w:val="0"/>
        </w:rPr>
        <w:t>: 169-173 [PMID: 23252775 DOI: 10.1111/apt.12141]</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21 </w:t>
      </w:r>
      <w:r w:rsidRPr="007E0C28">
        <w:rPr>
          <w:rFonts w:ascii="Book Antiqua" w:hAnsi="Book Antiqua" w:cs="宋体"/>
          <w:b/>
          <w:bCs/>
          <w:color w:val="000000"/>
          <w:kern w:val="0"/>
        </w:rPr>
        <w:t>Holloway WD</w:t>
      </w:r>
      <w:r w:rsidRPr="007E0C28">
        <w:rPr>
          <w:rFonts w:ascii="Book Antiqua" w:hAnsi="Book Antiqua" w:cs="宋体"/>
          <w:color w:val="000000"/>
          <w:kern w:val="0"/>
        </w:rPr>
        <w:t>, Lee SP, Nicholson GI. The composition and dissolution of phytobezoars. </w:t>
      </w:r>
      <w:r w:rsidRPr="007E0C28">
        <w:rPr>
          <w:rFonts w:ascii="Book Antiqua" w:hAnsi="Book Antiqua" w:cs="宋体"/>
          <w:i/>
          <w:iCs/>
          <w:color w:val="000000"/>
          <w:kern w:val="0"/>
        </w:rPr>
        <w:t>Arch Pathol Lab Med</w:t>
      </w:r>
      <w:r w:rsidRPr="007E0C28">
        <w:rPr>
          <w:rFonts w:ascii="Book Antiqua" w:hAnsi="Book Antiqua" w:cs="宋体"/>
          <w:color w:val="000000"/>
          <w:kern w:val="0"/>
        </w:rPr>
        <w:t> 1980; </w:t>
      </w:r>
      <w:r w:rsidRPr="007E0C28">
        <w:rPr>
          <w:rFonts w:ascii="Book Antiqua" w:hAnsi="Book Antiqua" w:cs="宋体"/>
          <w:b/>
          <w:bCs/>
          <w:color w:val="000000"/>
          <w:kern w:val="0"/>
        </w:rPr>
        <w:t>104</w:t>
      </w:r>
      <w:r w:rsidRPr="007E0C28">
        <w:rPr>
          <w:rFonts w:ascii="Book Antiqua" w:hAnsi="Book Antiqua" w:cs="宋体"/>
          <w:color w:val="000000"/>
          <w:kern w:val="0"/>
        </w:rPr>
        <w:t>: 159-161 [PMID: 6892599]</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 xml:space="preserve">22 </w:t>
      </w:r>
      <w:r w:rsidRPr="007E0C28">
        <w:rPr>
          <w:rFonts w:ascii="Book Antiqua" w:hAnsi="Book Antiqua" w:cs="宋体"/>
          <w:b/>
          <w:color w:val="000000"/>
          <w:kern w:val="0"/>
        </w:rPr>
        <w:t>Matsuo T</w:t>
      </w:r>
      <w:r w:rsidRPr="007E0C28">
        <w:rPr>
          <w:rFonts w:ascii="Book Antiqua" w:hAnsi="Book Antiqua" w:cs="宋体"/>
          <w:color w:val="000000"/>
          <w:kern w:val="0"/>
        </w:rPr>
        <w:t xml:space="preserve">, Ito S. The chemical structure of kaki-tannin from immature fruit of the persimmon. </w:t>
      </w:r>
      <w:r w:rsidRPr="007E0C28">
        <w:rPr>
          <w:rFonts w:ascii="Book Antiqua" w:hAnsi="Book Antiqua" w:cs="宋体"/>
          <w:i/>
          <w:color w:val="000000"/>
          <w:kern w:val="0"/>
        </w:rPr>
        <w:t>Agric Biol Chem</w:t>
      </w:r>
      <w:r w:rsidRPr="007E0C28">
        <w:rPr>
          <w:rFonts w:ascii="Book Antiqua" w:hAnsi="Book Antiqua" w:cs="宋体"/>
          <w:color w:val="000000"/>
          <w:kern w:val="0"/>
        </w:rPr>
        <w:t xml:space="preserve"> 1978; </w:t>
      </w:r>
      <w:r w:rsidRPr="007E0C28">
        <w:rPr>
          <w:rFonts w:ascii="Book Antiqua" w:hAnsi="Book Antiqua" w:cs="宋体"/>
          <w:b/>
          <w:color w:val="000000"/>
          <w:kern w:val="0"/>
        </w:rPr>
        <w:t>126</w:t>
      </w:r>
      <w:r w:rsidRPr="007E0C28">
        <w:rPr>
          <w:rFonts w:ascii="Book Antiqua" w:hAnsi="Book Antiqua" w:cs="宋体"/>
          <w:color w:val="000000"/>
          <w:kern w:val="0"/>
        </w:rPr>
        <w:t>: 421-424</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23 </w:t>
      </w:r>
      <w:r w:rsidRPr="007E0C28">
        <w:rPr>
          <w:rFonts w:ascii="Book Antiqua" w:hAnsi="Book Antiqua" w:cs="宋体"/>
          <w:b/>
          <w:bCs/>
          <w:color w:val="000000"/>
          <w:kern w:val="0"/>
        </w:rPr>
        <w:t>Krausz MM</w:t>
      </w:r>
      <w:r w:rsidRPr="007E0C28">
        <w:rPr>
          <w:rFonts w:ascii="Book Antiqua" w:hAnsi="Book Antiqua" w:cs="宋体"/>
          <w:color w:val="000000"/>
          <w:kern w:val="0"/>
        </w:rPr>
        <w:t>, Moriel EZ, Ayalon A, Pode D, Durst AL. Surgical aspects of gastrointestinal persimmon phytobezoar treatment. </w:t>
      </w:r>
      <w:r w:rsidRPr="007E0C28">
        <w:rPr>
          <w:rFonts w:ascii="Book Antiqua" w:hAnsi="Book Antiqua" w:cs="宋体"/>
          <w:i/>
          <w:iCs/>
          <w:color w:val="000000"/>
          <w:kern w:val="0"/>
        </w:rPr>
        <w:t>Am J Surg</w:t>
      </w:r>
      <w:r w:rsidRPr="007E0C28">
        <w:rPr>
          <w:rFonts w:ascii="Book Antiqua" w:hAnsi="Book Antiqua" w:cs="宋体"/>
          <w:color w:val="000000"/>
          <w:kern w:val="0"/>
        </w:rPr>
        <w:t> 1986; </w:t>
      </w:r>
      <w:r w:rsidRPr="007E0C28">
        <w:rPr>
          <w:rFonts w:ascii="Book Antiqua" w:hAnsi="Book Antiqua" w:cs="宋体"/>
          <w:b/>
          <w:bCs/>
          <w:color w:val="000000"/>
          <w:kern w:val="0"/>
        </w:rPr>
        <w:t>152</w:t>
      </w:r>
      <w:r w:rsidRPr="007E0C28">
        <w:rPr>
          <w:rFonts w:ascii="Book Antiqua" w:hAnsi="Book Antiqua" w:cs="宋体"/>
          <w:color w:val="000000"/>
          <w:kern w:val="0"/>
        </w:rPr>
        <w:t>: 526-530 [PMID: 3777332 DOI: 10.1016/0002-9610(86)90221-7]</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24 </w:t>
      </w:r>
      <w:r w:rsidRPr="007E0C28">
        <w:rPr>
          <w:rFonts w:ascii="Book Antiqua" w:hAnsi="Book Antiqua" w:cs="宋体"/>
          <w:b/>
          <w:bCs/>
          <w:color w:val="000000"/>
          <w:kern w:val="0"/>
        </w:rPr>
        <w:t>Maki T</w:t>
      </w:r>
      <w:r w:rsidRPr="007E0C28">
        <w:rPr>
          <w:rFonts w:ascii="Book Antiqua" w:hAnsi="Book Antiqua" w:cs="宋体"/>
          <w:color w:val="000000"/>
          <w:kern w:val="0"/>
        </w:rPr>
        <w:t>, Suzuki N. Experimental formation of persimmon-bezoar. </w:t>
      </w:r>
      <w:r w:rsidRPr="007E0C28">
        <w:rPr>
          <w:rFonts w:ascii="Book Antiqua" w:hAnsi="Book Antiqua" w:cs="宋体"/>
          <w:i/>
          <w:iCs/>
          <w:color w:val="000000"/>
          <w:kern w:val="0"/>
        </w:rPr>
        <w:t>Tohoku J Exp Med</w:t>
      </w:r>
      <w:r w:rsidRPr="007E0C28">
        <w:rPr>
          <w:rFonts w:ascii="Book Antiqua" w:hAnsi="Book Antiqua" w:cs="宋体"/>
          <w:color w:val="000000"/>
          <w:kern w:val="0"/>
        </w:rPr>
        <w:t> 1965; </w:t>
      </w:r>
      <w:r w:rsidRPr="007E0C28">
        <w:rPr>
          <w:rFonts w:ascii="Book Antiqua" w:hAnsi="Book Antiqua" w:cs="宋体"/>
          <w:b/>
          <w:bCs/>
          <w:color w:val="000000"/>
          <w:kern w:val="0"/>
        </w:rPr>
        <w:t>86</w:t>
      </w:r>
      <w:r w:rsidRPr="007E0C28">
        <w:rPr>
          <w:rFonts w:ascii="Book Antiqua" w:hAnsi="Book Antiqua" w:cs="宋体"/>
          <w:color w:val="000000"/>
          <w:kern w:val="0"/>
        </w:rPr>
        <w:t>: 168-177 [PMID: 5835264 DOI: 10.1620/tjem.86.168]</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25 </w:t>
      </w:r>
      <w:r w:rsidRPr="007E0C28">
        <w:rPr>
          <w:rFonts w:ascii="Book Antiqua" w:hAnsi="Book Antiqua" w:cs="宋体"/>
          <w:b/>
          <w:bCs/>
          <w:color w:val="000000"/>
          <w:kern w:val="0"/>
        </w:rPr>
        <w:t>Gorter RR</w:t>
      </w:r>
      <w:r w:rsidRPr="007E0C28">
        <w:rPr>
          <w:rFonts w:ascii="Book Antiqua" w:hAnsi="Book Antiqua" w:cs="宋体"/>
          <w:color w:val="000000"/>
          <w:kern w:val="0"/>
        </w:rPr>
        <w:t>, Kneepkens CM, Mattens EC, Aronson DC, Heij HA. Management of trichobezoar: case report and literature review. </w:t>
      </w:r>
      <w:r w:rsidRPr="007E0C28">
        <w:rPr>
          <w:rFonts w:ascii="Book Antiqua" w:hAnsi="Book Antiqua" w:cs="宋体"/>
          <w:i/>
          <w:iCs/>
          <w:color w:val="000000"/>
          <w:kern w:val="0"/>
        </w:rPr>
        <w:t>Pediatr Surg Int</w:t>
      </w:r>
      <w:r w:rsidRPr="007E0C28">
        <w:rPr>
          <w:rFonts w:ascii="Book Antiqua" w:hAnsi="Book Antiqua" w:cs="宋体"/>
          <w:color w:val="000000"/>
          <w:kern w:val="0"/>
        </w:rPr>
        <w:t> 2010; </w:t>
      </w:r>
      <w:r w:rsidRPr="007E0C28">
        <w:rPr>
          <w:rFonts w:ascii="Book Antiqua" w:hAnsi="Book Antiqua" w:cs="宋体"/>
          <w:b/>
          <w:bCs/>
          <w:color w:val="000000"/>
          <w:kern w:val="0"/>
        </w:rPr>
        <w:t>26</w:t>
      </w:r>
      <w:r w:rsidRPr="007E0C28">
        <w:rPr>
          <w:rFonts w:ascii="Book Antiqua" w:hAnsi="Book Antiqua" w:cs="宋体"/>
          <w:color w:val="000000"/>
          <w:kern w:val="0"/>
        </w:rPr>
        <w:t>: 457-463 [PMID: 20213124 DOI: 10.1007/s00383-010-2570-0]</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26 </w:t>
      </w:r>
      <w:r w:rsidRPr="007E0C28">
        <w:rPr>
          <w:rFonts w:ascii="Book Antiqua" w:hAnsi="Book Antiqua" w:cs="宋体"/>
          <w:b/>
          <w:bCs/>
          <w:color w:val="000000"/>
          <w:kern w:val="0"/>
        </w:rPr>
        <w:t>Diefenbach GJ</w:t>
      </w:r>
      <w:r w:rsidRPr="007E0C28">
        <w:rPr>
          <w:rFonts w:ascii="Book Antiqua" w:hAnsi="Book Antiqua" w:cs="宋体"/>
          <w:color w:val="000000"/>
          <w:kern w:val="0"/>
        </w:rPr>
        <w:t>, Reitman D, Williamson DA. Trichotillomania: a challenge to research and practice. </w:t>
      </w:r>
      <w:r w:rsidRPr="007E0C28">
        <w:rPr>
          <w:rFonts w:ascii="Book Antiqua" w:hAnsi="Book Antiqua" w:cs="宋体"/>
          <w:i/>
          <w:iCs/>
          <w:color w:val="000000"/>
          <w:kern w:val="0"/>
        </w:rPr>
        <w:t>Clin Psychol Rev</w:t>
      </w:r>
      <w:r w:rsidRPr="007E0C28">
        <w:rPr>
          <w:rFonts w:ascii="Book Antiqua" w:hAnsi="Book Antiqua" w:cs="宋体"/>
          <w:color w:val="000000"/>
          <w:kern w:val="0"/>
        </w:rPr>
        <w:t> 2000; </w:t>
      </w:r>
      <w:r w:rsidRPr="007E0C28">
        <w:rPr>
          <w:rFonts w:ascii="Book Antiqua" w:hAnsi="Book Antiqua" w:cs="宋体"/>
          <w:b/>
          <w:bCs/>
          <w:color w:val="000000"/>
          <w:kern w:val="0"/>
        </w:rPr>
        <w:t>20</w:t>
      </w:r>
      <w:r w:rsidRPr="007E0C28">
        <w:rPr>
          <w:rFonts w:ascii="Book Antiqua" w:hAnsi="Book Antiqua" w:cs="宋体"/>
          <w:color w:val="000000"/>
          <w:kern w:val="0"/>
        </w:rPr>
        <w:t>: 289-309 [PMID: 10779896 DOI: 10.1016/S0272-7358(98)00083-X]</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27 </w:t>
      </w:r>
      <w:r w:rsidRPr="007E0C28">
        <w:rPr>
          <w:rFonts w:ascii="Book Antiqua" w:hAnsi="Book Antiqua" w:cs="宋体"/>
          <w:b/>
          <w:bCs/>
          <w:color w:val="000000"/>
          <w:kern w:val="0"/>
        </w:rPr>
        <w:t>Carr JR</w:t>
      </w:r>
      <w:r w:rsidRPr="007E0C28">
        <w:rPr>
          <w:rFonts w:ascii="Book Antiqua" w:hAnsi="Book Antiqua" w:cs="宋体"/>
          <w:color w:val="000000"/>
          <w:kern w:val="0"/>
        </w:rPr>
        <w:t>, Sholevar EH, Baron DA. Trichotillomania and trichobezoar: a clinical practice insight with report of illustrative case. </w:t>
      </w:r>
      <w:r w:rsidRPr="007E0C28">
        <w:rPr>
          <w:rFonts w:ascii="Book Antiqua" w:hAnsi="Book Antiqua" w:cs="宋体"/>
          <w:i/>
          <w:iCs/>
          <w:color w:val="000000"/>
          <w:kern w:val="0"/>
        </w:rPr>
        <w:t>J Am Osteopath Assoc</w:t>
      </w:r>
      <w:r w:rsidRPr="007E0C28">
        <w:rPr>
          <w:rFonts w:ascii="Book Antiqua" w:hAnsi="Book Antiqua" w:cs="宋体"/>
          <w:color w:val="000000"/>
          <w:kern w:val="0"/>
        </w:rPr>
        <w:t> 2006; </w:t>
      </w:r>
      <w:r w:rsidRPr="007E0C28">
        <w:rPr>
          <w:rFonts w:ascii="Book Antiqua" w:hAnsi="Book Antiqua" w:cs="宋体"/>
          <w:b/>
          <w:bCs/>
          <w:color w:val="000000"/>
          <w:kern w:val="0"/>
        </w:rPr>
        <w:t>106</w:t>
      </w:r>
      <w:r w:rsidRPr="007E0C28">
        <w:rPr>
          <w:rFonts w:ascii="Book Antiqua" w:hAnsi="Book Antiqua" w:cs="宋体"/>
          <w:color w:val="000000"/>
          <w:kern w:val="0"/>
        </w:rPr>
        <w:t>: 647-652 [PMID: 17192451]</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28 </w:t>
      </w:r>
      <w:r w:rsidRPr="007E0C28">
        <w:rPr>
          <w:rFonts w:ascii="Book Antiqua" w:hAnsi="Book Antiqua" w:cs="宋体"/>
          <w:b/>
          <w:bCs/>
          <w:color w:val="000000"/>
          <w:kern w:val="0"/>
        </w:rPr>
        <w:t>Bouwer C</w:t>
      </w:r>
      <w:r w:rsidRPr="007E0C28">
        <w:rPr>
          <w:rFonts w:ascii="Book Antiqua" w:hAnsi="Book Antiqua" w:cs="宋体"/>
          <w:color w:val="000000"/>
          <w:kern w:val="0"/>
        </w:rPr>
        <w:t>, Stein DJ. Trichobezoars in trichotillomania: case report and literature overview. </w:t>
      </w:r>
      <w:r w:rsidRPr="007E0C28">
        <w:rPr>
          <w:rFonts w:ascii="Book Antiqua" w:hAnsi="Book Antiqua" w:cs="宋体"/>
          <w:i/>
          <w:iCs/>
          <w:color w:val="000000"/>
          <w:kern w:val="0"/>
        </w:rPr>
        <w:t>Psychosom Med</w:t>
      </w:r>
      <w:r w:rsidRPr="007E0C28">
        <w:rPr>
          <w:rFonts w:ascii="Book Antiqua" w:hAnsi="Book Antiqua" w:cs="宋体"/>
          <w:color w:val="000000"/>
          <w:kern w:val="0"/>
        </w:rPr>
        <w:t> 1998; </w:t>
      </w:r>
      <w:r w:rsidRPr="007E0C28">
        <w:rPr>
          <w:rFonts w:ascii="Book Antiqua" w:hAnsi="Book Antiqua" w:cs="宋体"/>
          <w:b/>
          <w:bCs/>
          <w:color w:val="000000"/>
          <w:kern w:val="0"/>
        </w:rPr>
        <w:t>60</w:t>
      </w:r>
      <w:r w:rsidRPr="007E0C28">
        <w:rPr>
          <w:rFonts w:ascii="Book Antiqua" w:hAnsi="Book Antiqua" w:cs="宋体"/>
          <w:color w:val="000000"/>
          <w:kern w:val="0"/>
        </w:rPr>
        <w:t>: 658-660 [PMID: 9773774]</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29 </w:t>
      </w:r>
      <w:r w:rsidRPr="007E0C28">
        <w:rPr>
          <w:rFonts w:ascii="Book Antiqua" w:hAnsi="Book Antiqua" w:cs="宋体"/>
          <w:b/>
          <w:bCs/>
          <w:color w:val="000000"/>
          <w:kern w:val="0"/>
        </w:rPr>
        <w:t>Sehgal VN</w:t>
      </w:r>
      <w:r w:rsidRPr="007E0C28">
        <w:rPr>
          <w:rFonts w:ascii="Book Antiqua" w:hAnsi="Book Antiqua" w:cs="宋体"/>
          <w:color w:val="000000"/>
          <w:kern w:val="0"/>
        </w:rPr>
        <w:t>, Srivastava G. Trichotillomania +/- trichobezoar: revisited. </w:t>
      </w:r>
      <w:r w:rsidRPr="007E0C28">
        <w:rPr>
          <w:rFonts w:ascii="Book Antiqua" w:hAnsi="Book Antiqua" w:cs="宋体"/>
          <w:i/>
          <w:iCs/>
          <w:color w:val="000000"/>
          <w:kern w:val="0"/>
        </w:rPr>
        <w:t>J Eur Acad Dermatol Venereol</w:t>
      </w:r>
      <w:r w:rsidRPr="007E0C28">
        <w:rPr>
          <w:rFonts w:ascii="Book Antiqua" w:hAnsi="Book Antiqua" w:cs="宋体"/>
          <w:color w:val="000000"/>
          <w:kern w:val="0"/>
        </w:rPr>
        <w:t> 2006; </w:t>
      </w:r>
      <w:r w:rsidRPr="007E0C28">
        <w:rPr>
          <w:rFonts w:ascii="Book Antiqua" w:hAnsi="Book Antiqua" w:cs="宋体"/>
          <w:b/>
          <w:bCs/>
          <w:color w:val="000000"/>
          <w:kern w:val="0"/>
        </w:rPr>
        <w:t>20</w:t>
      </w:r>
      <w:r w:rsidRPr="007E0C28">
        <w:rPr>
          <w:rFonts w:ascii="Book Antiqua" w:hAnsi="Book Antiqua" w:cs="宋体"/>
          <w:color w:val="000000"/>
          <w:kern w:val="0"/>
        </w:rPr>
        <w:t>: 911-915 [PMID: 16922936]</w:t>
      </w:r>
    </w:p>
    <w:p w:rsidR="00B15056" w:rsidRPr="007E0C28" w:rsidRDefault="00B15056" w:rsidP="008A644D">
      <w:pPr>
        <w:widowControl/>
        <w:spacing w:line="360" w:lineRule="auto"/>
        <w:rPr>
          <w:rFonts w:ascii="Book Antiqua" w:hAnsi="Book Antiqua" w:cs="宋体"/>
          <w:kern w:val="0"/>
        </w:rPr>
      </w:pPr>
      <w:r w:rsidRPr="007E0C28">
        <w:rPr>
          <w:rFonts w:ascii="Book Antiqua" w:hAnsi="Book Antiqua" w:cs="宋体"/>
          <w:kern w:val="0"/>
        </w:rPr>
        <w:t xml:space="preserve">30 </w:t>
      </w:r>
      <w:r w:rsidRPr="007E0C28">
        <w:rPr>
          <w:rFonts w:ascii="Book Antiqua" w:hAnsi="Book Antiqua" w:cs="宋体"/>
          <w:b/>
          <w:kern w:val="0"/>
        </w:rPr>
        <w:t>DeBakey M</w:t>
      </w:r>
      <w:r w:rsidRPr="007E0C28">
        <w:rPr>
          <w:rFonts w:ascii="Book Antiqua" w:hAnsi="Book Antiqua" w:cs="宋体"/>
          <w:kern w:val="0"/>
        </w:rPr>
        <w:t xml:space="preserve">, Ochsner A. Part 1: Bezoars and concretions. </w:t>
      </w:r>
      <w:r w:rsidRPr="007E0C28">
        <w:rPr>
          <w:rFonts w:ascii="Book Antiqua" w:hAnsi="Book Antiqua" w:cs="宋体"/>
          <w:i/>
          <w:kern w:val="0"/>
        </w:rPr>
        <w:t>Surgery</w:t>
      </w:r>
      <w:r w:rsidRPr="007E0C28">
        <w:rPr>
          <w:rFonts w:ascii="Book Antiqua" w:hAnsi="Book Antiqua" w:cs="宋体"/>
          <w:kern w:val="0"/>
        </w:rPr>
        <w:t xml:space="preserve"> 1938; </w:t>
      </w:r>
      <w:r w:rsidRPr="007E0C28">
        <w:rPr>
          <w:rFonts w:ascii="Book Antiqua" w:hAnsi="Book Antiqua" w:cs="宋体"/>
          <w:b/>
          <w:kern w:val="0"/>
        </w:rPr>
        <w:t>4</w:t>
      </w:r>
      <w:r w:rsidRPr="007E0C28">
        <w:rPr>
          <w:rFonts w:ascii="Book Antiqua" w:hAnsi="Book Antiqua" w:cs="宋体"/>
          <w:kern w:val="0"/>
        </w:rPr>
        <w:t>: 934-963</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31 </w:t>
      </w:r>
      <w:r w:rsidRPr="007E0C28">
        <w:rPr>
          <w:rFonts w:ascii="Book Antiqua" w:hAnsi="Book Antiqua" w:cs="宋体"/>
          <w:b/>
          <w:bCs/>
          <w:color w:val="000000"/>
          <w:kern w:val="0"/>
        </w:rPr>
        <w:t>Vaughan ED</w:t>
      </w:r>
      <w:r w:rsidRPr="007E0C28">
        <w:rPr>
          <w:rFonts w:ascii="Book Antiqua" w:hAnsi="Book Antiqua" w:cs="宋体"/>
          <w:color w:val="000000"/>
          <w:kern w:val="0"/>
        </w:rPr>
        <w:t>, Sawyers JL, Scott HW. The Rapunzel syndrome. An unusual complication of intestinal bezoar. </w:t>
      </w:r>
      <w:r w:rsidRPr="007E0C28">
        <w:rPr>
          <w:rFonts w:ascii="Book Antiqua" w:hAnsi="Book Antiqua" w:cs="宋体"/>
          <w:i/>
          <w:iCs/>
          <w:color w:val="000000"/>
          <w:kern w:val="0"/>
        </w:rPr>
        <w:t>Surgery</w:t>
      </w:r>
      <w:r w:rsidRPr="007E0C28">
        <w:rPr>
          <w:rFonts w:ascii="Book Antiqua" w:hAnsi="Book Antiqua" w:cs="宋体"/>
          <w:color w:val="000000"/>
          <w:kern w:val="0"/>
        </w:rPr>
        <w:t> 1968; </w:t>
      </w:r>
      <w:r w:rsidRPr="007E0C28">
        <w:rPr>
          <w:rFonts w:ascii="Book Antiqua" w:hAnsi="Book Antiqua" w:cs="宋体"/>
          <w:b/>
          <w:bCs/>
          <w:color w:val="000000"/>
          <w:kern w:val="0"/>
        </w:rPr>
        <w:t>63</w:t>
      </w:r>
      <w:r w:rsidRPr="007E0C28">
        <w:rPr>
          <w:rFonts w:ascii="Book Antiqua" w:hAnsi="Book Antiqua" w:cs="宋体"/>
          <w:color w:val="000000"/>
          <w:kern w:val="0"/>
        </w:rPr>
        <w:t>: 339-343 [PMID: 5638179]</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32 </w:t>
      </w:r>
      <w:r w:rsidRPr="007E0C28">
        <w:rPr>
          <w:rFonts w:ascii="Book Antiqua" w:hAnsi="Book Antiqua" w:cs="宋体"/>
          <w:b/>
          <w:bCs/>
          <w:color w:val="000000"/>
          <w:kern w:val="0"/>
        </w:rPr>
        <w:t>Naik S</w:t>
      </w:r>
      <w:r w:rsidRPr="007E0C28">
        <w:rPr>
          <w:rFonts w:ascii="Book Antiqua" w:hAnsi="Book Antiqua" w:cs="宋体"/>
          <w:color w:val="000000"/>
          <w:kern w:val="0"/>
        </w:rPr>
        <w:t>, Gupta V, Naik S, Rangole A, Chaudhary AK, Jain P, Sharma AK. Rapunzel syndrome reviewed and redefined. </w:t>
      </w:r>
      <w:r w:rsidRPr="007E0C28">
        <w:rPr>
          <w:rFonts w:ascii="Book Antiqua" w:hAnsi="Book Antiqua" w:cs="宋体"/>
          <w:i/>
          <w:iCs/>
          <w:color w:val="000000"/>
          <w:kern w:val="0"/>
        </w:rPr>
        <w:t>Dig Surg</w:t>
      </w:r>
      <w:r w:rsidRPr="007E0C28">
        <w:rPr>
          <w:rFonts w:ascii="Book Antiqua" w:hAnsi="Book Antiqua" w:cs="宋体"/>
          <w:color w:val="000000"/>
          <w:kern w:val="0"/>
        </w:rPr>
        <w:t> 2007; </w:t>
      </w:r>
      <w:r w:rsidRPr="007E0C28">
        <w:rPr>
          <w:rFonts w:ascii="Book Antiqua" w:hAnsi="Book Antiqua" w:cs="宋体"/>
          <w:b/>
          <w:bCs/>
          <w:color w:val="000000"/>
          <w:kern w:val="0"/>
        </w:rPr>
        <w:t>24</w:t>
      </w:r>
      <w:r w:rsidRPr="007E0C28">
        <w:rPr>
          <w:rFonts w:ascii="Book Antiqua" w:hAnsi="Book Antiqua" w:cs="宋体"/>
          <w:color w:val="000000"/>
          <w:kern w:val="0"/>
        </w:rPr>
        <w:t>: 157-161 [PMID: 17476105 DOI: 10.1159/000102098]</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33 </w:t>
      </w:r>
      <w:r w:rsidRPr="007E0C28">
        <w:rPr>
          <w:rFonts w:ascii="Book Antiqua" w:hAnsi="Book Antiqua" w:cs="宋体"/>
          <w:b/>
          <w:bCs/>
          <w:color w:val="000000"/>
          <w:kern w:val="0"/>
        </w:rPr>
        <w:t>Stack PE</w:t>
      </w:r>
      <w:r w:rsidRPr="007E0C28">
        <w:rPr>
          <w:rFonts w:ascii="Book Antiqua" w:hAnsi="Book Antiqua" w:cs="宋体"/>
          <w:color w:val="000000"/>
          <w:kern w:val="0"/>
        </w:rPr>
        <w:t>, Thomas E. Pharmacobezoar: an evolving new entity. </w:t>
      </w:r>
      <w:r w:rsidRPr="007E0C28">
        <w:rPr>
          <w:rFonts w:ascii="Book Antiqua" w:hAnsi="Book Antiqua" w:cs="宋体"/>
          <w:i/>
          <w:iCs/>
          <w:color w:val="000000"/>
          <w:kern w:val="0"/>
        </w:rPr>
        <w:t>Dig Dis</w:t>
      </w:r>
      <w:r w:rsidRPr="007E0C28">
        <w:rPr>
          <w:rFonts w:ascii="Book Antiqua" w:hAnsi="Book Antiqua" w:cs="宋体"/>
          <w:color w:val="000000"/>
          <w:kern w:val="0"/>
        </w:rPr>
        <w:t> 1995; </w:t>
      </w:r>
      <w:r w:rsidRPr="007E0C28">
        <w:rPr>
          <w:rFonts w:ascii="Book Antiqua" w:hAnsi="Book Antiqua" w:cs="宋体"/>
          <w:b/>
          <w:bCs/>
          <w:color w:val="000000"/>
          <w:kern w:val="0"/>
        </w:rPr>
        <w:t>13</w:t>
      </w:r>
      <w:r w:rsidRPr="007E0C28">
        <w:rPr>
          <w:rFonts w:ascii="Book Antiqua" w:hAnsi="Book Antiqua" w:cs="宋体"/>
          <w:color w:val="000000"/>
          <w:kern w:val="0"/>
        </w:rPr>
        <w:t>: 356-364 [PMID: 8590522 DOI: 10.1159/000171515]</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34 </w:t>
      </w:r>
      <w:r w:rsidRPr="007E0C28">
        <w:rPr>
          <w:rFonts w:ascii="Book Antiqua" w:hAnsi="Book Antiqua" w:cs="宋体"/>
          <w:b/>
          <w:bCs/>
          <w:color w:val="000000"/>
          <w:kern w:val="0"/>
        </w:rPr>
        <w:t>Schneider RP</w:t>
      </w:r>
      <w:r w:rsidRPr="007E0C28">
        <w:rPr>
          <w:rFonts w:ascii="Book Antiqua" w:hAnsi="Book Antiqua" w:cs="宋体"/>
          <w:color w:val="000000"/>
          <w:kern w:val="0"/>
        </w:rPr>
        <w:t>. Perdiem causes esophageal impaction and bezoars. </w:t>
      </w:r>
      <w:r w:rsidRPr="007E0C28">
        <w:rPr>
          <w:rFonts w:ascii="Book Antiqua" w:hAnsi="Book Antiqua" w:cs="宋体"/>
          <w:i/>
          <w:iCs/>
          <w:color w:val="000000"/>
          <w:kern w:val="0"/>
        </w:rPr>
        <w:t>South Med J</w:t>
      </w:r>
      <w:r w:rsidRPr="007E0C28">
        <w:rPr>
          <w:rFonts w:ascii="Book Antiqua" w:hAnsi="Book Antiqua" w:cs="宋体"/>
          <w:color w:val="000000"/>
          <w:kern w:val="0"/>
        </w:rPr>
        <w:t> 1989; </w:t>
      </w:r>
      <w:r w:rsidRPr="007E0C28">
        <w:rPr>
          <w:rFonts w:ascii="Book Antiqua" w:hAnsi="Book Antiqua" w:cs="宋体"/>
          <w:b/>
          <w:bCs/>
          <w:color w:val="000000"/>
          <w:kern w:val="0"/>
        </w:rPr>
        <w:t>82</w:t>
      </w:r>
      <w:r w:rsidRPr="007E0C28">
        <w:rPr>
          <w:rFonts w:ascii="Book Antiqua" w:hAnsi="Book Antiqua" w:cs="宋体"/>
          <w:color w:val="000000"/>
          <w:kern w:val="0"/>
        </w:rPr>
        <w:t>: 1449-1450 [PMID: 2814636 DOI: 10.1097/00007611-198911000-00032]</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35 </w:t>
      </w:r>
      <w:r w:rsidRPr="007E0C28">
        <w:rPr>
          <w:rFonts w:ascii="Book Antiqua" w:hAnsi="Book Antiqua" w:cs="宋体"/>
          <w:b/>
          <w:bCs/>
          <w:color w:val="000000"/>
          <w:kern w:val="0"/>
        </w:rPr>
        <w:t>Frohna WJ</w:t>
      </w:r>
      <w:r w:rsidRPr="007E0C28">
        <w:rPr>
          <w:rFonts w:ascii="Book Antiqua" w:hAnsi="Book Antiqua" w:cs="宋体"/>
          <w:color w:val="000000"/>
          <w:kern w:val="0"/>
        </w:rPr>
        <w:t>. Metamucil bezoar: an unusual cause of small bowel obstruction. </w:t>
      </w:r>
      <w:r w:rsidRPr="007E0C28">
        <w:rPr>
          <w:rFonts w:ascii="Book Antiqua" w:hAnsi="Book Antiqua" w:cs="宋体"/>
          <w:i/>
          <w:iCs/>
          <w:color w:val="000000"/>
          <w:kern w:val="0"/>
        </w:rPr>
        <w:t>Am J Emerg Med</w:t>
      </w:r>
      <w:r w:rsidRPr="007E0C28">
        <w:rPr>
          <w:rFonts w:ascii="Book Antiqua" w:hAnsi="Book Antiqua" w:cs="宋体"/>
          <w:color w:val="000000"/>
          <w:kern w:val="0"/>
        </w:rPr>
        <w:t> 1992; </w:t>
      </w:r>
      <w:r w:rsidRPr="007E0C28">
        <w:rPr>
          <w:rFonts w:ascii="Book Antiqua" w:hAnsi="Book Antiqua" w:cs="宋体"/>
          <w:b/>
          <w:bCs/>
          <w:color w:val="000000"/>
          <w:kern w:val="0"/>
        </w:rPr>
        <w:t>10</w:t>
      </w:r>
      <w:r w:rsidRPr="007E0C28">
        <w:rPr>
          <w:rFonts w:ascii="Book Antiqua" w:hAnsi="Book Antiqua" w:cs="宋体"/>
          <w:color w:val="000000"/>
          <w:kern w:val="0"/>
        </w:rPr>
        <w:t>: 393-395 [PMID: 1616534 DOI: 10.1016/0735-6757(92)90030-2]</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36 </w:t>
      </w:r>
      <w:r w:rsidRPr="007E0C28">
        <w:rPr>
          <w:rFonts w:ascii="Book Antiqua" w:hAnsi="Book Antiqua" w:cs="宋体"/>
          <w:b/>
          <w:bCs/>
          <w:color w:val="000000"/>
          <w:kern w:val="0"/>
        </w:rPr>
        <w:t>Agha FP</w:t>
      </w:r>
      <w:r w:rsidRPr="007E0C28">
        <w:rPr>
          <w:rFonts w:ascii="Book Antiqua" w:hAnsi="Book Antiqua" w:cs="宋体"/>
          <w:color w:val="000000"/>
          <w:kern w:val="0"/>
        </w:rPr>
        <w:t>, Nostrant TT, Fiddian-Green RG. "Giant colonic bezoar:" a medication bezoar due to psyllium seed husks. </w:t>
      </w:r>
      <w:r w:rsidRPr="007E0C28">
        <w:rPr>
          <w:rFonts w:ascii="Book Antiqua" w:hAnsi="Book Antiqua" w:cs="宋体"/>
          <w:i/>
          <w:iCs/>
          <w:color w:val="000000"/>
          <w:kern w:val="0"/>
        </w:rPr>
        <w:t>Am J Gastroenterol</w:t>
      </w:r>
      <w:r w:rsidRPr="007E0C28">
        <w:rPr>
          <w:rFonts w:ascii="Book Antiqua" w:hAnsi="Book Antiqua" w:cs="宋体"/>
          <w:color w:val="000000"/>
          <w:kern w:val="0"/>
        </w:rPr>
        <w:t> 1984; </w:t>
      </w:r>
      <w:r w:rsidRPr="007E0C28">
        <w:rPr>
          <w:rFonts w:ascii="Book Antiqua" w:hAnsi="Book Antiqua" w:cs="宋体"/>
          <w:b/>
          <w:bCs/>
          <w:color w:val="000000"/>
          <w:kern w:val="0"/>
        </w:rPr>
        <w:t>79</w:t>
      </w:r>
      <w:r w:rsidRPr="007E0C28">
        <w:rPr>
          <w:rFonts w:ascii="Book Antiqua" w:hAnsi="Book Antiqua" w:cs="宋体"/>
          <w:color w:val="000000"/>
          <w:kern w:val="0"/>
        </w:rPr>
        <w:t>: 319-321 [PMID: 6711534]</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37 </w:t>
      </w:r>
      <w:r w:rsidRPr="007E0C28">
        <w:rPr>
          <w:rFonts w:ascii="Book Antiqua" w:hAnsi="Book Antiqua" w:cs="宋体"/>
          <w:b/>
          <w:bCs/>
          <w:color w:val="000000"/>
          <w:kern w:val="0"/>
        </w:rPr>
        <w:t>Oka A</w:t>
      </w:r>
      <w:r w:rsidRPr="007E0C28">
        <w:rPr>
          <w:rFonts w:ascii="Book Antiqua" w:hAnsi="Book Antiqua" w:cs="宋体"/>
          <w:color w:val="000000"/>
          <w:kern w:val="0"/>
        </w:rPr>
        <w:t>, Ishihara S, Kinoshita Y. An unusual case of a gastric foreign body. </w:t>
      </w:r>
      <w:r w:rsidRPr="007E0C28">
        <w:rPr>
          <w:rFonts w:ascii="Book Antiqua" w:hAnsi="Book Antiqua" w:cs="宋体"/>
          <w:i/>
          <w:iCs/>
          <w:color w:val="000000"/>
          <w:kern w:val="0"/>
        </w:rPr>
        <w:t>Gastroenterology</w:t>
      </w:r>
      <w:r w:rsidRPr="007E0C28">
        <w:rPr>
          <w:rFonts w:ascii="Book Antiqua" w:hAnsi="Book Antiqua" w:cs="宋体"/>
          <w:color w:val="000000"/>
          <w:kern w:val="0"/>
        </w:rPr>
        <w:t> 2013; </w:t>
      </w:r>
      <w:r w:rsidRPr="007E0C28">
        <w:rPr>
          <w:rFonts w:ascii="Book Antiqua" w:hAnsi="Book Antiqua" w:cs="宋体"/>
          <w:b/>
          <w:bCs/>
          <w:color w:val="000000"/>
          <w:kern w:val="0"/>
        </w:rPr>
        <w:t>145</w:t>
      </w:r>
      <w:r w:rsidRPr="007E0C28">
        <w:rPr>
          <w:rFonts w:ascii="Book Antiqua" w:hAnsi="Book Antiqua" w:cs="宋体"/>
          <w:color w:val="000000"/>
          <w:kern w:val="0"/>
        </w:rPr>
        <w:t>: 1206, 1500-1501 [PMID: 24409485]</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38 </w:t>
      </w:r>
      <w:r w:rsidRPr="007E0C28">
        <w:rPr>
          <w:rFonts w:ascii="Book Antiqua" w:hAnsi="Book Antiqua" w:cs="宋体"/>
          <w:b/>
          <w:bCs/>
          <w:color w:val="000000"/>
          <w:kern w:val="0"/>
        </w:rPr>
        <w:t>Taylor JR</w:t>
      </w:r>
      <w:r w:rsidRPr="007E0C28">
        <w:rPr>
          <w:rFonts w:ascii="Book Antiqua" w:hAnsi="Book Antiqua" w:cs="宋体"/>
          <w:color w:val="000000"/>
          <w:kern w:val="0"/>
        </w:rPr>
        <w:t>, Streetman DS, Castle SS. Medication bezoars: a literature review and report of a case. </w:t>
      </w:r>
      <w:r w:rsidRPr="007E0C28">
        <w:rPr>
          <w:rFonts w:ascii="Book Antiqua" w:hAnsi="Book Antiqua" w:cs="宋体"/>
          <w:i/>
          <w:iCs/>
          <w:color w:val="000000"/>
          <w:kern w:val="0"/>
        </w:rPr>
        <w:t>Ann Pharmacother</w:t>
      </w:r>
      <w:r w:rsidRPr="007E0C28">
        <w:rPr>
          <w:rFonts w:ascii="Book Antiqua" w:hAnsi="Book Antiqua" w:cs="宋体"/>
          <w:color w:val="000000"/>
          <w:kern w:val="0"/>
        </w:rPr>
        <w:t> 1998; </w:t>
      </w:r>
      <w:r w:rsidRPr="007E0C28">
        <w:rPr>
          <w:rFonts w:ascii="Book Antiqua" w:hAnsi="Book Antiqua" w:cs="宋体"/>
          <w:b/>
          <w:bCs/>
          <w:color w:val="000000"/>
          <w:kern w:val="0"/>
        </w:rPr>
        <w:t>32</w:t>
      </w:r>
      <w:r w:rsidRPr="007E0C28">
        <w:rPr>
          <w:rFonts w:ascii="Book Antiqua" w:hAnsi="Book Antiqua" w:cs="宋体"/>
          <w:color w:val="000000"/>
          <w:kern w:val="0"/>
        </w:rPr>
        <w:t>: 940-946 [PMID: 9762382 DOI: 10.1345/aph.17420]</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39 </w:t>
      </w:r>
      <w:r w:rsidRPr="007E0C28">
        <w:rPr>
          <w:rFonts w:ascii="Book Antiqua" w:hAnsi="Book Antiqua" w:cs="宋体"/>
          <w:b/>
          <w:bCs/>
          <w:color w:val="000000"/>
          <w:kern w:val="0"/>
        </w:rPr>
        <w:t>Stack PE</w:t>
      </w:r>
      <w:r w:rsidRPr="007E0C28">
        <w:rPr>
          <w:rFonts w:ascii="Book Antiqua" w:hAnsi="Book Antiqua" w:cs="宋体"/>
          <w:color w:val="000000"/>
          <w:kern w:val="0"/>
        </w:rPr>
        <w:t>, Patel NR, Young MF, Ferslew KE, Thomas E. Pharmacobezoars--the irony of the antidote: first case report of nifedipine XL bezoar. </w:t>
      </w:r>
      <w:r w:rsidRPr="007E0C28">
        <w:rPr>
          <w:rFonts w:ascii="Book Antiqua" w:hAnsi="Book Antiqua" w:cs="宋体"/>
          <w:i/>
          <w:iCs/>
          <w:color w:val="000000"/>
          <w:kern w:val="0"/>
        </w:rPr>
        <w:t>J Clin Gastroenterol</w:t>
      </w:r>
      <w:r w:rsidRPr="007E0C28">
        <w:rPr>
          <w:rFonts w:ascii="Book Antiqua" w:hAnsi="Book Antiqua" w:cs="宋体"/>
          <w:color w:val="000000"/>
          <w:kern w:val="0"/>
        </w:rPr>
        <w:t> 1994; </w:t>
      </w:r>
      <w:r w:rsidRPr="007E0C28">
        <w:rPr>
          <w:rFonts w:ascii="Book Antiqua" w:hAnsi="Book Antiqua" w:cs="宋体"/>
          <w:b/>
          <w:bCs/>
          <w:color w:val="000000"/>
          <w:kern w:val="0"/>
        </w:rPr>
        <w:t>19</w:t>
      </w:r>
      <w:r w:rsidRPr="007E0C28">
        <w:rPr>
          <w:rFonts w:ascii="Book Antiqua" w:hAnsi="Book Antiqua" w:cs="宋体"/>
          <w:color w:val="000000"/>
          <w:kern w:val="0"/>
        </w:rPr>
        <w:t>: 264-265 [PMID: 7806842 DOI: 10.1097/00004836-199410000-00020]</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40 </w:t>
      </w:r>
      <w:r w:rsidRPr="007E0C28">
        <w:rPr>
          <w:rFonts w:ascii="Book Antiqua" w:hAnsi="Book Antiqua" w:cs="宋体"/>
          <w:b/>
          <w:bCs/>
          <w:color w:val="000000"/>
          <w:kern w:val="0"/>
        </w:rPr>
        <w:t>Chung M</w:t>
      </w:r>
      <w:r w:rsidRPr="007E0C28">
        <w:rPr>
          <w:rFonts w:ascii="Book Antiqua" w:hAnsi="Book Antiqua" w:cs="宋体"/>
          <w:color w:val="000000"/>
          <w:kern w:val="0"/>
        </w:rPr>
        <w:t>, Reitberg DP, Gaffney M, Singleton W. Clinical pharmacokinetics of nifedipine gastrointestinal therapeutic system. A controlled-release formulation of nifedipine. </w:t>
      </w:r>
      <w:r w:rsidRPr="007E0C28">
        <w:rPr>
          <w:rFonts w:ascii="Book Antiqua" w:hAnsi="Book Antiqua" w:cs="宋体"/>
          <w:i/>
          <w:iCs/>
          <w:color w:val="000000"/>
          <w:kern w:val="0"/>
        </w:rPr>
        <w:t>Am J Med</w:t>
      </w:r>
      <w:r w:rsidRPr="007E0C28">
        <w:rPr>
          <w:rFonts w:ascii="Book Antiqua" w:hAnsi="Book Antiqua" w:cs="宋体"/>
          <w:color w:val="000000"/>
          <w:kern w:val="0"/>
        </w:rPr>
        <w:t> 1987; </w:t>
      </w:r>
      <w:r w:rsidRPr="007E0C28">
        <w:rPr>
          <w:rFonts w:ascii="Book Antiqua" w:hAnsi="Book Antiqua" w:cs="宋体"/>
          <w:b/>
          <w:bCs/>
          <w:color w:val="000000"/>
          <w:kern w:val="0"/>
        </w:rPr>
        <w:t>83</w:t>
      </w:r>
      <w:r w:rsidRPr="007E0C28">
        <w:rPr>
          <w:rFonts w:ascii="Book Antiqua" w:hAnsi="Book Antiqua" w:cs="宋体"/>
          <w:color w:val="000000"/>
          <w:kern w:val="0"/>
        </w:rPr>
        <w:t>: 10-14 [PMID: 3503594 DOI: 10.1016/0002-9343(87)90630-9]</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41 </w:t>
      </w:r>
      <w:r w:rsidRPr="007E0C28">
        <w:rPr>
          <w:rFonts w:ascii="Book Antiqua" w:hAnsi="Book Antiqua" w:cs="宋体"/>
          <w:b/>
          <w:bCs/>
          <w:color w:val="000000"/>
          <w:kern w:val="0"/>
        </w:rPr>
        <w:t>Levkoff AH</w:t>
      </w:r>
      <w:r w:rsidRPr="007E0C28">
        <w:rPr>
          <w:rFonts w:ascii="Book Antiqua" w:hAnsi="Book Antiqua" w:cs="宋体"/>
          <w:color w:val="000000"/>
          <w:kern w:val="0"/>
        </w:rPr>
        <w:t>, Gadsden RH, Hennigar GR, Webb CM. Lactobezoar and gastric perforation in a neonate. </w:t>
      </w:r>
      <w:r w:rsidRPr="007E0C28">
        <w:rPr>
          <w:rFonts w:ascii="Book Antiqua" w:hAnsi="Book Antiqua" w:cs="宋体"/>
          <w:i/>
          <w:iCs/>
          <w:color w:val="000000"/>
          <w:kern w:val="0"/>
        </w:rPr>
        <w:t>J Pediatr</w:t>
      </w:r>
      <w:r w:rsidRPr="007E0C28">
        <w:rPr>
          <w:rFonts w:ascii="Book Antiqua" w:hAnsi="Book Antiqua" w:cs="宋体"/>
          <w:color w:val="000000"/>
          <w:kern w:val="0"/>
        </w:rPr>
        <w:t> 1970; </w:t>
      </w:r>
      <w:r w:rsidRPr="007E0C28">
        <w:rPr>
          <w:rFonts w:ascii="Book Antiqua" w:hAnsi="Book Antiqua" w:cs="宋体"/>
          <w:b/>
          <w:bCs/>
          <w:color w:val="000000"/>
          <w:kern w:val="0"/>
        </w:rPr>
        <w:t>77</w:t>
      </w:r>
      <w:r w:rsidRPr="007E0C28">
        <w:rPr>
          <w:rFonts w:ascii="Book Antiqua" w:hAnsi="Book Antiqua" w:cs="宋体"/>
          <w:color w:val="000000"/>
          <w:kern w:val="0"/>
        </w:rPr>
        <w:t>: 875-877 [PMID: 5537311 DOI: 10.1016/S0022-3476(70)80252-9]</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42 </w:t>
      </w:r>
      <w:r w:rsidRPr="007E0C28">
        <w:rPr>
          <w:rFonts w:ascii="Book Antiqua" w:hAnsi="Book Antiqua" w:cs="宋体"/>
          <w:b/>
          <w:bCs/>
          <w:color w:val="000000"/>
          <w:kern w:val="0"/>
        </w:rPr>
        <w:t>Heinz-Erian P</w:t>
      </w:r>
      <w:r w:rsidRPr="007E0C28">
        <w:rPr>
          <w:rFonts w:ascii="Book Antiqua" w:hAnsi="Book Antiqua" w:cs="宋体"/>
          <w:color w:val="000000"/>
          <w:kern w:val="0"/>
        </w:rPr>
        <w:t>, Gassner I, Klein-Franke A, Jud V, Trawoeger R, Niederwanger C, Mueller T, Meister B, Scholl-Buergi S. Gastric lactobezoar - a rare disorder? </w:t>
      </w:r>
      <w:r w:rsidRPr="007E0C28">
        <w:rPr>
          <w:rFonts w:ascii="Book Antiqua" w:hAnsi="Book Antiqua" w:cs="宋体"/>
          <w:i/>
          <w:iCs/>
          <w:color w:val="000000"/>
          <w:kern w:val="0"/>
        </w:rPr>
        <w:t>Orphanet J Rare Dis</w:t>
      </w:r>
      <w:r w:rsidRPr="007E0C28">
        <w:rPr>
          <w:rFonts w:ascii="Book Antiqua" w:hAnsi="Book Antiqua" w:cs="宋体"/>
          <w:color w:val="000000"/>
          <w:kern w:val="0"/>
        </w:rPr>
        <w:t> 2012; </w:t>
      </w:r>
      <w:r w:rsidRPr="007E0C28">
        <w:rPr>
          <w:rFonts w:ascii="Book Antiqua" w:hAnsi="Book Antiqua" w:cs="宋体"/>
          <w:b/>
          <w:bCs/>
          <w:color w:val="000000"/>
          <w:kern w:val="0"/>
        </w:rPr>
        <w:t>7</w:t>
      </w:r>
      <w:r w:rsidRPr="007E0C28">
        <w:rPr>
          <w:rFonts w:ascii="Book Antiqua" w:hAnsi="Book Antiqua" w:cs="宋体"/>
          <w:color w:val="000000"/>
          <w:kern w:val="0"/>
        </w:rPr>
        <w:t>: 3 [PMID: 22216886 DOI: 10.1186/1750-1172-7-3]</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43 </w:t>
      </w:r>
      <w:r w:rsidRPr="007E0C28">
        <w:rPr>
          <w:rFonts w:ascii="Book Antiqua" w:hAnsi="Book Antiqua" w:cs="宋体"/>
          <w:b/>
          <w:bCs/>
          <w:color w:val="000000"/>
          <w:kern w:val="0"/>
        </w:rPr>
        <w:t>Bos ME</w:t>
      </w:r>
      <w:r w:rsidRPr="007E0C28">
        <w:rPr>
          <w:rFonts w:ascii="Book Antiqua" w:hAnsi="Book Antiqua" w:cs="宋体"/>
          <w:color w:val="000000"/>
          <w:kern w:val="0"/>
        </w:rPr>
        <w:t>, Wijnen RM, de Blaauw I. Gastric pneumatosis and rupture caused by lactobezoar. </w:t>
      </w:r>
      <w:r w:rsidRPr="007E0C28">
        <w:rPr>
          <w:rFonts w:ascii="Book Antiqua" w:hAnsi="Book Antiqua" w:cs="宋体"/>
          <w:i/>
          <w:iCs/>
          <w:color w:val="000000"/>
          <w:kern w:val="0"/>
        </w:rPr>
        <w:t>Pediatr Int</w:t>
      </w:r>
      <w:r w:rsidRPr="007E0C28">
        <w:rPr>
          <w:rFonts w:ascii="Book Antiqua" w:hAnsi="Book Antiqua" w:cs="宋体"/>
          <w:color w:val="000000"/>
          <w:kern w:val="0"/>
        </w:rPr>
        <w:t> 2013; </w:t>
      </w:r>
      <w:r w:rsidRPr="007E0C28">
        <w:rPr>
          <w:rFonts w:ascii="Book Antiqua" w:hAnsi="Book Antiqua" w:cs="宋体"/>
          <w:b/>
          <w:bCs/>
          <w:color w:val="000000"/>
          <w:kern w:val="0"/>
        </w:rPr>
        <w:t>55</w:t>
      </w:r>
      <w:r w:rsidRPr="007E0C28">
        <w:rPr>
          <w:rFonts w:ascii="Book Antiqua" w:hAnsi="Book Antiqua" w:cs="宋体"/>
          <w:color w:val="000000"/>
          <w:kern w:val="0"/>
        </w:rPr>
        <w:t>: 757-760 [PMID: 23789736 DOI: 10.1111/ped.12164]</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44 </w:t>
      </w:r>
      <w:r w:rsidRPr="007E0C28">
        <w:rPr>
          <w:rFonts w:ascii="Book Antiqua" w:hAnsi="Book Antiqua" w:cs="宋体"/>
          <w:b/>
          <w:bCs/>
          <w:color w:val="000000"/>
          <w:kern w:val="0"/>
        </w:rPr>
        <w:t>Wolf RS</w:t>
      </w:r>
      <w:r w:rsidRPr="007E0C28">
        <w:rPr>
          <w:rFonts w:ascii="Book Antiqua" w:hAnsi="Book Antiqua" w:cs="宋体"/>
          <w:color w:val="000000"/>
          <w:kern w:val="0"/>
        </w:rPr>
        <w:t>, Bruce J. Gastrotomy for lactobezoar in a newborn infant. </w:t>
      </w:r>
      <w:r w:rsidRPr="007E0C28">
        <w:rPr>
          <w:rFonts w:ascii="Book Antiqua" w:hAnsi="Book Antiqua" w:cs="宋体"/>
          <w:i/>
          <w:iCs/>
          <w:color w:val="000000"/>
          <w:kern w:val="0"/>
        </w:rPr>
        <w:t>J Pediatr</w:t>
      </w:r>
      <w:r w:rsidRPr="007E0C28">
        <w:rPr>
          <w:rFonts w:ascii="Book Antiqua" w:hAnsi="Book Antiqua" w:cs="宋体"/>
          <w:color w:val="000000"/>
          <w:kern w:val="0"/>
        </w:rPr>
        <w:t> 1959; </w:t>
      </w:r>
      <w:r w:rsidRPr="007E0C28">
        <w:rPr>
          <w:rFonts w:ascii="Book Antiqua" w:hAnsi="Book Antiqua" w:cs="宋体"/>
          <w:b/>
          <w:bCs/>
          <w:color w:val="000000"/>
          <w:kern w:val="0"/>
        </w:rPr>
        <w:t>54</w:t>
      </w:r>
      <w:r w:rsidRPr="007E0C28">
        <w:rPr>
          <w:rFonts w:ascii="Book Antiqua" w:hAnsi="Book Antiqua" w:cs="宋体"/>
          <w:color w:val="000000"/>
          <w:kern w:val="0"/>
        </w:rPr>
        <w:t>: 811-812 [PMID: 13655177 DOI: 10.1016/S0022-3476(59)80150-5]</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45 </w:t>
      </w:r>
      <w:r w:rsidRPr="007E0C28">
        <w:rPr>
          <w:rFonts w:ascii="Book Antiqua" w:hAnsi="Book Antiqua" w:cs="宋体"/>
          <w:b/>
          <w:bCs/>
          <w:color w:val="000000"/>
          <w:kern w:val="0"/>
        </w:rPr>
        <w:t>Yeh J</w:t>
      </w:r>
      <w:r w:rsidRPr="007E0C28">
        <w:rPr>
          <w:rFonts w:ascii="Book Antiqua" w:hAnsi="Book Antiqua" w:cs="宋体"/>
          <w:color w:val="000000"/>
          <w:kern w:val="0"/>
        </w:rPr>
        <w:t>, Saul T, Gingrich A, Wassermann J. Bezoar. </w:t>
      </w:r>
      <w:r w:rsidRPr="007E0C28">
        <w:rPr>
          <w:rFonts w:ascii="Book Antiqua" w:hAnsi="Book Antiqua" w:cs="宋体"/>
          <w:i/>
          <w:iCs/>
          <w:color w:val="000000"/>
          <w:kern w:val="0"/>
        </w:rPr>
        <w:t>J Emerg Med</w:t>
      </w:r>
      <w:r w:rsidRPr="007E0C28">
        <w:rPr>
          <w:rFonts w:ascii="Book Antiqua" w:hAnsi="Book Antiqua" w:cs="宋体"/>
          <w:color w:val="000000"/>
          <w:kern w:val="0"/>
        </w:rPr>
        <w:t> 2013; </w:t>
      </w:r>
      <w:r w:rsidRPr="007E0C28">
        <w:rPr>
          <w:rFonts w:ascii="Book Antiqua" w:hAnsi="Book Antiqua" w:cs="宋体"/>
          <w:b/>
          <w:bCs/>
          <w:color w:val="000000"/>
          <w:kern w:val="0"/>
        </w:rPr>
        <w:t>45</w:t>
      </w:r>
      <w:r w:rsidRPr="007E0C28">
        <w:rPr>
          <w:rFonts w:ascii="Book Antiqua" w:hAnsi="Book Antiqua" w:cs="宋体"/>
          <w:color w:val="000000"/>
          <w:kern w:val="0"/>
        </w:rPr>
        <w:t>: 615-616 [PMID: 23890688 DOI: 10.1016/j.jemermed.2013.02.003]</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46 </w:t>
      </w:r>
      <w:r w:rsidRPr="007E0C28">
        <w:rPr>
          <w:rFonts w:ascii="Book Antiqua" w:hAnsi="Book Antiqua" w:cs="宋体"/>
          <w:b/>
          <w:bCs/>
          <w:color w:val="000000"/>
          <w:kern w:val="0"/>
        </w:rPr>
        <w:t>Kumar GS</w:t>
      </w:r>
      <w:r w:rsidRPr="007E0C28">
        <w:rPr>
          <w:rFonts w:ascii="Book Antiqua" w:hAnsi="Book Antiqua" w:cs="宋体"/>
          <w:color w:val="000000"/>
          <w:kern w:val="0"/>
        </w:rPr>
        <w:t>, Amar V, Ramesh B, Abbey RK. Bizarre metal bezoar: a case report. </w:t>
      </w:r>
      <w:r w:rsidRPr="007E0C28">
        <w:rPr>
          <w:rFonts w:ascii="Book Antiqua" w:hAnsi="Book Antiqua" w:cs="宋体"/>
          <w:i/>
          <w:iCs/>
          <w:color w:val="000000"/>
          <w:kern w:val="0"/>
        </w:rPr>
        <w:t>Indian J Surg</w:t>
      </w:r>
      <w:r w:rsidRPr="007E0C28">
        <w:rPr>
          <w:rFonts w:ascii="Book Antiqua" w:hAnsi="Book Antiqua" w:cs="宋体"/>
          <w:color w:val="000000"/>
          <w:kern w:val="0"/>
        </w:rPr>
        <w:t> 2013; </w:t>
      </w:r>
      <w:r w:rsidRPr="007E0C28">
        <w:rPr>
          <w:rFonts w:ascii="Book Antiqua" w:hAnsi="Book Antiqua" w:cs="宋体"/>
          <w:b/>
          <w:bCs/>
          <w:color w:val="000000"/>
          <w:kern w:val="0"/>
        </w:rPr>
        <w:t>75</w:t>
      </w:r>
      <w:r w:rsidRPr="007E0C28">
        <w:rPr>
          <w:rFonts w:ascii="Book Antiqua" w:hAnsi="Book Antiqua" w:cs="宋体"/>
          <w:color w:val="000000"/>
          <w:kern w:val="0"/>
        </w:rPr>
        <w:t>: 356-358 [PMID: 24426615 DOI: 10.1007/s12262-012-0706-2]</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47 </w:t>
      </w:r>
      <w:r w:rsidRPr="007E0C28">
        <w:rPr>
          <w:rFonts w:ascii="Book Antiqua" w:hAnsi="Book Antiqua" w:cs="宋体"/>
          <w:b/>
          <w:bCs/>
          <w:color w:val="000000"/>
          <w:kern w:val="0"/>
        </w:rPr>
        <w:t>Zheng PP</w:t>
      </w:r>
      <w:r w:rsidRPr="007E0C28">
        <w:rPr>
          <w:rFonts w:ascii="Book Antiqua" w:hAnsi="Book Antiqua" w:cs="宋体"/>
          <w:color w:val="000000"/>
          <w:kern w:val="0"/>
        </w:rPr>
        <w:t>, Wang BY, Wang F, Ao R, Wang Y. Esophageal space-occupying lesion caused by Ascaris lumbricoides. </w:t>
      </w:r>
      <w:r w:rsidRPr="007E0C28">
        <w:rPr>
          <w:rFonts w:ascii="Book Antiqua" w:hAnsi="Book Antiqua" w:cs="宋体"/>
          <w:i/>
          <w:iCs/>
          <w:color w:val="000000"/>
          <w:kern w:val="0"/>
        </w:rPr>
        <w:t>World J Gastroenterol</w:t>
      </w:r>
      <w:r w:rsidRPr="007E0C28">
        <w:rPr>
          <w:rFonts w:ascii="Book Antiqua" w:hAnsi="Book Antiqua" w:cs="宋体"/>
          <w:color w:val="000000"/>
          <w:kern w:val="0"/>
        </w:rPr>
        <w:t> 2012; </w:t>
      </w:r>
      <w:r w:rsidRPr="007E0C28">
        <w:rPr>
          <w:rFonts w:ascii="Book Antiqua" w:hAnsi="Book Antiqua" w:cs="宋体"/>
          <w:b/>
          <w:bCs/>
          <w:color w:val="000000"/>
          <w:kern w:val="0"/>
        </w:rPr>
        <w:t>18</w:t>
      </w:r>
      <w:r w:rsidRPr="007E0C28">
        <w:rPr>
          <w:rFonts w:ascii="Book Antiqua" w:hAnsi="Book Antiqua" w:cs="宋体"/>
          <w:color w:val="000000"/>
          <w:kern w:val="0"/>
        </w:rPr>
        <w:t>: 1552-1554 [PMID: 22509089 DOI: 10.3748/wjg.v18.i13.1552]</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48 </w:t>
      </w:r>
      <w:r w:rsidRPr="007E0C28">
        <w:rPr>
          <w:rFonts w:ascii="Book Antiqua" w:hAnsi="Book Antiqua" w:cs="宋体"/>
          <w:b/>
          <w:bCs/>
          <w:color w:val="000000"/>
          <w:kern w:val="0"/>
        </w:rPr>
        <w:t>Goldman RD</w:t>
      </w:r>
      <w:r w:rsidRPr="007E0C28">
        <w:rPr>
          <w:rFonts w:ascii="Book Antiqua" w:hAnsi="Book Antiqua" w:cs="宋体"/>
          <w:color w:val="000000"/>
          <w:kern w:val="0"/>
        </w:rPr>
        <w:t>, Schachter P, Katz M, Bilik R, Avigad I. A bizarre bezoar: case report and review of the literature. </w:t>
      </w:r>
      <w:r w:rsidRPr="007E0C28">
        <w:rPr>
          <w:rFonts w:ascii="Book Antiqua" w:hAnsi="Book Antiqua" w:cs="宋体"/>
          <w:i/>
          <w:iCs/>
          <w:color w:val="000000"/>
          <w:kern w:val="0"/>
        </w:rPr>
        <w:t>Pediatr Surg Int</w:t>
      </w:r>
      <w:r w:rsidRPr="007E0C28">
        <w:rPr>
          <w:rFonts w:ascii="Book Antiqua" w:hAnsi="Book Antiqua" w:cs="宋体"/>
          <w:color w:val="000000"/>
          <w:kern w:val="0"/>
        </w:rPr>
        <w:t> 1998; </w:t>
      </w:r>
      <w:r w:rsidRPr="007E0C28">
        <w:rPr>
          <w:rFonts w:ascii="Book Antiqua" w:hAnsi="Book Antiqua" w:cs="宋体"/>
          <w:b/>
          <w:bCs/>
          <w:color w:val="000000"/>
          <w:kern w:val="0"/>
        </w:rPr>
        <w:t>14</w:t>
      </w:r>
      <w:r w:rsidRPr="007E0C28">
        <w:rPr>
          <w:rFonts w:ascii="Book Antiqua" w:hAnsi="Book Antiqua" w:cs="宋体"/>
          <w:color w:val="000000"/>
          <w:kern w:val="0"/>
        </w:rPr>
        <w:t>: 218-219 [PMID: 9880754 DOI: 10.1007/s003830050492]</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 xml:space="preserve">49 </w:t>
      </w:r>
      <w:r w:rsidRPr="007E0C28">
        <w:rPr>
          <w:rFonts w:ascii="Book Antiqua" w:hAnsi="Book Antiqua" w:cs="宋体"/>
          <w:b/>
          <w:color w:val="000000"/>
          <w:kern w:val="0"/>
        </w:rPr>
        <w:t>Daane AH</w:t>
      </w:r>
      <w:r w:rsidRPr="007E0C28">
        <w:rPr>
          <w:rFonts w:ascii="Book Antiqua" w:hAnsi="Book Antiqua" w:cs="宋体"/>
          <w:color w:val="000000"/>
          <w:kern w:val="0"/>
        </w:rPr>
        <w:t>. Yttrium. In: The Encyclopedia of the Chemical Elements, edited by Hampel CA. New York, NY: Reinhold Book Corporation, 1968</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50 </w:t>
      </w:r>
      <w:r w:rsidRPr="007E0C28">
        <w:rPr>
          <w:rFonts w:ascii="Book Antiqua" w:hAnsi="Book Antiqua" w:cs="宋体"/>
          <w:b/>
          <w:bCs/>
          <w:color w:val="000000"/>
          <w:kern w:val="0"/>
        </w:rPr>
        <w:t>LaFountain J</w:t>
      </w:r>
      <w:r w:rsidRPr="007E0C28">
        <w:rPr>
          <w:rFonts w:ascii="Book Antiqua" w:hAnsi="Book Antiqua" w:cs="宋体"/>
          <w:color w:val="000000"/>
          <w:kern w:val="0"/>
        </w:rPr>
        <w:t>. Could your patient's bowel obstruction be a bezoar? </w:t>
      </w:r>
      <w:r w:rsidRPr="007E0C28">
        <w:rPr>
          <w:rFonts w:ascii="Book Antiqua" w:hAnsi="Book Antiqua" w:cs="宋体"/>
          <w:i/>
          <w:iCs/>
          <w:color w:val="000000"/>
          <w:kern w:val="0"/>
        </w:rPr>
        <w:t>Todays Surg Nurse</w:t>
      </w:r>
      <w:r w:rsidRPr="007E0C28">
        <w:rPr>
          <w:rFonts w:ascii="Book Antiqua" w:hAnsi="Book Antiqua" w:cs="宋体"/>
          <w:color w:val="000000"/>
          <w:kern w:val="0"/>
        </w:rPr>
        <w:t> 1999; </w:t>
      </w:r>
      <w:r w:rsidRPr="007E0C28">
        <w:rPr>
          <w:rFonts w:ascii="Book Antiqua" w:hAnsi="Book Antiqua" w:cs="宋体"/>
          <w:b/>
          <w:bCs/>
          <w:color w:val="000000"/>
          <w:kern w:val="0"/>
        </w:rPr>
        <w:t>21</w:t>
      </w:r>
      <w:r w:rsidRPr="007E0C28">
        <w:rPr>
          <w:rFonts w:ascii="Book Antiqua" w:hAnsi="Book Antiqua" w:cs="宋体"/>
          <w:color w:val="000000"/>
          <w:kern w:val="0"/>
        </w:rPr>
        <w:t>: 34-37 [PMID: 10232288]</w:t>
      </w:r>
    </w:p>
    <w:p w:rsidR="00B15056" w:rsidRPr="007E0C28" w:rsidRDefault="00B15056" w:rsidP="008A644D">
      <w:pPr>
        <w:spacing w:line="360" w:lineRule="auto"/>
        <w:rPr>
          <w:rFonts w:ascii="Book Antiqua" w:hAnsi="Book Antiqua"/>
        </w:rPr>
      </w:pPr>
      <w:r w:rsidRPr="007E0C28">
        <w:rPr>
          <w:rFonts w:ascii="Book Antiqua" w:hAnsi="Book Antiqua" w:cs="宋体"/>
          <w:color w:val="000000"/>
          <w:kern w:val="0"/>
        </w:rPr>
        <w:t xml:space="preserve">51 </w:t>
      </w:r>
      <w:r w:rsidRPr="007E0C28">
        <w:rPr>
          <w:rFonts w:ascii="Book Antiqua" w:hAnsi="Book Antiqua"/>
          <w:b/>
        </w:rPr>
        <w:t>Campos RR</w:t>
      </w:r>
      <w:r w:rsidRPr="007E0C28">
        <w:rPr>
          <w:rFonts w:ascii="Book Antiqua" w:hAnsi="Book Antiqua"/>
        </w:rPr>
        <w:t xml:space="preserve">, Paricio PP, Albasini JLA, Riquelme Riquelme J, Cifuentes Tebar J, Luján Mompeán JA. Gastrointestinal bezoars. Presentation of 60 cases. </w:t>
      </w:r>
      <w:r w:rsidRPr="007E0C28">
        <w:rPr>
          <w:rFonts w:ascii="Book Antiqua" w:hAnsi="Book Antiqua"/>
          <w:i/>
        </w:rPr>
        <w:t>Dig Surg</w:t>
      </w:r>
      <w:r w:rsidRPr="007E0C28">
        <w:rPr>
          <w:rFonts w:ascii="Book Antiqua" w:hAnsi="Book Antiqua"/>
        </w:rPr>
        <w:t xml:space="preserve"> 1990; </w:t>
      </w:r>
      <w:r w:rsidRPr="007E0C28">
        <w:rPr>
          <w:rFonts w:ascii="Book Antiqua" w:hAnsi="Book Antiqua"/>
          <w:b/>
        </w:rPr>
        <w:t>7</w:t>
      </w:r>
      <w:r w:rsidRPr="007E0C28">
        <w:rPr>
          <w:rFonts w:ascii="Book Antiqua" w:hAnsi="Book Antiqua"/>
        </w:rPr>
        <w:t>: 39-44 [DOI: 10.1159/000171939]</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52 </w:t>
      </w:r>
      <w:r w:rsidRPr="007E0C28">
        <w:rPr>
          <w:rFonts w:ascii="Book Antiqua" w:hAnsi="Book Antiqua" w:cs="宋体"/>
          <w:b/>
          <w:bCs/>
          <w:color w:val="000000"/>
          <w:kern w:val="0"/>
        </w:rPr>
        <w:t>Simsek Z</w:t>
      </w:r>
      <w:r w:rsidRPr="007E0C28">
        <w:rPr>
          <w:rFonts w:ascii="Book Antiqua" w:hAnsi="Book Antiqua" w:cs="宋体"/>
          <w:color w:val="000000"/>
          <w:kern w:val="0"/>
        </w:rPr>
        <w:t>, Altinbas A, Yuksel I, Yuksel O. Effective treatment with pineapple juice in small bowel obstruction due to phytobezoar in a gastrectomized patient. </w:t>
      </w:r>
      <w:r w:rsidRPr="007E0C28">
        <w:rPr>
          <w:rFonts w:ascii="Book Antiqua" w:hAnsi="Book Antiqua" w:cs="宋体"/>
          <w:i/>
          <w:iCs/>
          <w:color w:val="000000"/>
          <w:kern w:val="0"/>
        </w:rPr>
        <w:t>Dig Endosc</w:t>
      </w:r>
      <w:r w:rsidRPr="007E0C28">
        <w:rPr>
          <w:rFonts w:ascii="Book Antiqua" w:hAnsi="Book Antiqua" w:cs="宋体"/>
          <w:color w:val="000000"/>
          <w:kern w:val="0"/>
        </w:rPr>
        <w:t> 2011; </w:t>
      </w:r>
      <w:r w:rsidRPr="007E0C28">
        <w:rPr>
          <w:rFonts w:ascii="Book Antiqua" w:hAnsi="Book Antiqua" w:cs="宋体"/>
          <w:b/>
          <w:bCs/>
          <w:color w:val="000000"/>
          <w:kern w:val="0"/>
        </w:rPr>
        <w:t>23</w:t>
      </w:r>
      <w:r w:rsidRPr="007E0C28">
        <w:rPr>
          <w:rFonts w:ascii="Book Antiqua" w:hAnsi="Book Antiqua" w:cs="宋体"/>
          <w:color w:val="000000"/>
          <w:kern w:val="0"/>
        </w:rPr>
        <w:t>: 197 [PMID: 21429030 DOI: 10.1111/j.1443-1661.2010.01059.x]</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53 </w:t>
      </w:r>
      <w:r w:rsidRPr="007E0C28">
        <w:rPr>
          <w:rFonts w:ascii="Book Antiqua" w:hAnsi="Book Antiqua" w:cs="宋体"/>
          <w:b/>
          <w:bCs/>
          <w:color w:val="000000"/>
          <w:kern w:val="0"/>
        </w:rPr>
        <w:t>Lee BJ</w:t>
      </w:r>
      <w:r w:rsidRPr="007E0C28">
        <w:rPr>
          <w:rFonts w:ascii="Book Antiqua" w:hAnsi="Book Antiqua" w:cs="宋体"/>
          <w:color w:val="000000"/>
          <w:kern w:val="0"/>
        </w:rPr>
        <w:t>, Park JJ, Chun HJ, Kim JH, Yeon JE, Jeen YT, Kim JS, Byun KS, Lee SW, Choi JH, Kim CD, Ryu HS, Bak YT. How good is cola for dissolution of gastric phytobezoars? </w:t>
      </w:r>
      <w:r w:rsidRPr="007E0C28">
        <w:rPr>
          <w:rFonts w:ascii="Book Antiqua" w:hAnsi="Book Antiqua" w:cs="宋体"/>
          <w:i/>
          <w:iCs/>
          <w:color w:val="000000"/>
          <w:kern w:val="0"/>
        </w:rPr>
        <w:t>World J Gastroenterol</w:t>
      </w:r>
      <w:r w:rsidRPr="007E0C28">
        <w:rPr>
          <w:rFonts w:ascii="Book Antiqua" w:hAnsi="Book Antiqua" w:cs="宋体"/>
          <w:color w:val="000000"/>
          <w:kern w:val="0"/>
        </w:rPr>
        <w:t> 2009; </w:t>
      </w:r>
      <w:r w:rsidRPr="007E0C28">
        <w:rPr>
          <w:rFonts w:ascii="Book Antiqua" w:hAnsi="Book Antiqua" w:cs="宋体"/>
          <w:b/>
          <w:bCs/>
          <w:color w:val="000000"/>
          <w:kern w:val="0"/>
        </w:rPr>
        <w:t>15</w:t>
      </w:r>
      <w:r w:rsidRPr="007E0C28">
        <w:rPr>
          <w:rFonts w:ascii="Book Antiqua" w:hAnsi="Book Antiqua" w:cs="宋体"/>
          <w:color w:val="000000"/>
          <w:kern w:val="0"/>
        </w:rPr>
        <w:t>: 2265-2269 [PMID: 19437568 DOI: 10.3748/wjg.15.2265]</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54 </w:t>
      </w:r>
      <w:r w:rsidRPr="007E0C28">
        <w:rPr>
          <w:rFonts w:ascii="Book Antiqua" w:hAnsi="Book Antiqua" w:cs="宋体"/>
          <w:b/>
          <w:bCs/>
          <w:color w:val="000000"/>
          <w:kern w:val="0"/>
        </w:rPr>
        <w:t>Sharma D</w:t>
      </w:r>
      <w:r w:rsidRPr="007E0C28">
        <w:rPr>
          <w:rFonts w:ascii="Book Antiqua" w:hAnsi="Book Antiqua" w:cs="宋体"/>
          <w:color w:val="000000"/>
          <w:kern w:val="0"/>
        </w:rPr>
        <w:t>, Srivastava M, Babu R, Anand R, Rohtagi A, Thomas S. Laparoscopic treatment of gastric bezoar. </w:t>
      </w:r>
      <w:r w:rsidRPr="007E0C28">
        <w:rPr>
          <w:rFonts w:ascii="Book Antiqua" w:hAnsi="Book Antiqua" w:cs="宋体"/>
          <w:i/>
          <w:iCs/>
          <w:color w:val="000000"/>
          <w:kern w:val="0"/>
        </w:rPr>
        <w:t>JSLS</w:t>
      </w:r>
      <w:r w:rsidRPr="007E0C28">
        <w:rPr>
          <w:rFonts w:ascii="Book Antiqua" w:hAnsi="Book Antiqua" w:cs="宋体"/>
          <w:color w:val="000000"/>
          <w:kern w:val="0"/>
        </w:rPr>
        <w:t> 2010; </w:t>
      </w:r>
      <w:r w:rsidRPr="007E0C28">
        <w:rPr>
          <w:rFonts w:ascii="Book Antiqua" w:hAnsi="Book Antiqua" w:cs="宋体"/>
          <w:b/>
          <w:bCs/>
          <w:color w:val="000000"/>
          <w:kern w:val="0"/>
        </w:rPr>
        <w:t>14</w:t>
      </w:r>
      <w:r w:rsidRPr="007E0C28">
        <w:rPr>
          <w:rFonts w:ascii="Book Antiqua" w:hAnsi="Book Antiqua" w:cs="宋体"/>
          <w:color w:val="000000"/>
          <w:kern w:val="0"/>
        </w:rPr>
        <w:t>: 263-267 [PMID: 20932381 DOI: 10.4293/108680810X12785289144566.]</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55 </w:t>
      </w:r>
      <w:r w:rsidRPr="007E0C28">
        <w:rPr>
          <w:rFonts w:ascii="Book Antiqua" w:hAnsi="Book Antiqua" w:cs="宋体"/>
          <w:b/>
          <w:bCs/>
          <w:color w:val="000000"/>
          <w:kern w:val="0"/>
        </w:rPr>
        <w:t>Zhang RL</w:t>
      </w:r>
      <w:r w:rsidRPr="007E0C28">
        <w:rPr>
          <w:rFonts w:ascii="Book Antiqua" w:hAnsi="Book Antiqua" w:cs="宋体"/>
          <w:color w:val="000000"/>
          <w:kern w:val="0"/>
        </w:rPr>
        <w:t>, Yang ZL, Fan BG. Huge gastric disopyrobezoar: a case report and review of literatures. </w:t>
      </w:r>
      <w:r w:rsidRPr="007E0C28">
        <w:rPr>
          <w:rFonts w:ascii="Book Antiqua" w:hAnsi="Book Antiqua" w:cs="宋体"/>
          <w:i/>
          <w:iCs/>
          <w:color w:val="000000"/>
          <w:kern w:val="0"/>
        </w:rPr>
        <w:t>World J Gastroenterol</w:t>
      </w:r>
      <w:r w:rsidRPr="007E0C28">
        <w:rPr>
          <w:rFonts w:ascii="Book Antiqua" w:hAnsi="Book Antiqua" w:cs="宋体"/>
          <w:color w:val="000000"/>
          <w:kern w:val="0"/>
        </w:rPr>
        <w:t> 2008; </w:t>
      </w:r>
      <w:r w:rsidRPr="007E0C28">
        <w:rPr>
          <w:rFonts w:ascii="Book Antiqua" w:hAnsi="Book Antiqua" w:cs="宋体"/>
          <w:b/>
          <w:bCs/>
          <w:color w:val="000000"/>
          <w:kern w:val="0"/>
        </w:rPr>
        <w:t>14</w:t>
      </w:r>
      <w:r w:rsidRPr="007E0C28">
        <w:rPr>
          <w:rFonts w:ascii="Book Antiqua" w:hAnsi="Book Antiqua" w:cs="宋体"/>
          <w:color w:val="000000"/>
          <w:kern w:val="0"/>
        </w:rPr>
        <w:t>: 152-154 [PMID: 18176981 DOI: 10.3748/wjg.14.152]</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56 </w:t>
      </w:r>
      <w:r w:rsidRPr="007E0C28">
        <w:rPr>
          <w:rFonts w:ascii="Book Antiqua" w:hAnsi="Book Antiqua" w:cs="宋体"/>
          <w:b/>
          <w:bCs/>
          <w:color w:val="000000"/>
          <w:kern w:val="0"/>
        </w:rPr>
        <w:t>Ladas SD</w:t>
      </w:r>
      <w:r w:rsidRPr="007E0C28">
        <w:rPr>
          <w:rFonts w:ascii="Book Antiqua" w:hAnsi="Book Antiqua" w:cs="宋体"/>
          <w:color w:val="000000"/>
          <w:kern w:val="0"/>
        </w:rPr>
        <w:t>, Triantafyllou K, Tzathas C, Tassios P, Rokkas T, Raptis SA. Gastric phytobezoars may be treated by nasogastric Coca-Cola lavage. </w:t>
      </w:r>
      <w:r w:rsidRPr="007E0C28">
        <w:rPr>
          <w:rFonts w:ascii="Book Antiqua" w:hAnsi="Book Antiqua" w:cs="宋体"/>
          <w:i/>
          <w:iCs/>
          <w:color w:val="000000"/>
          <w:kern w:val="0"/>
        </w:rPr>
        <w:t>Eur J Gastroenterol Hepatol</w:t>
      </w:r>
      <w:r w:rsidRPr="007E0C28">
        <w:rPr>
          <w:rFonts w:ascii="Book Antiqua" w:hAnsi="Book Antiqua" w:cs="宋体"/>
          <w:color w:val="000000"/>
          <w:kern w:val="0"/>
        </w:rPr>
        <w:t> 2002; </w:t>
      </w:r>
      <w:r w:rsidRPr="007E0C28">
        <w:rPr>
          <w:rFonts w:ascii="Book Antiqua" w:hAnsi="Book Antiqua" w:cs="宋体"/>
          <w:b/>
          <w:bCs/>
          <w:color w:val="000000"/>
          <w:kern w:val="0"/>
        </w:rPr>
        <w:t>14</w:t>
      </w:r>
      <w:r w:rsidRPr="007E0C28">
        <w:rPr>
          <w:rFonts w:ascii="Book Antiqua" w:hAnsi="Book Antiqua" w:cs="宋体"/>
          <w:color w:val="000000"/>
          <w:kern w:val="0"/>
        </w:rPr>
        <w:t>: 801-803 [PMID: 12169994 DOI: 10.1097/00042737-200207000-00017]</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57 </w:t>
      </w:r>
      <w:r w:rsidRPr="007E0C28">
        <w:rPr>
          <w:rFonts w:ascii="Book Antiqua" w:hAnsi="Book Antiqua" w:cs="宋体"/>
          <w:b/>
          <w:bCs/>
          <w:color w:val="000000"/>
          <w:kern w:val="0"/>
        </w:rPr>
        <w:t>Hayashi K</w:t>
      </w:r>
      <w:r w:rsidRPr="007E0C28">
        <w:rPr>
          <w:rFonts w:ascii="Book Antiqua" w:hAnsi="Book Antiqua" w:cs="宋体"/>
          <w:color w:val="000000"/>
          <w:kern w:val="0"/>
        </w:rPr>
        <w:t>, Ohara H, Naitoh I, Okumura F, Andoh T, Itoh T, Nakazawa T, Joh T. Persimmon bezoar successfully treated by oral intake of Coca-Cola: a case report. </w:t>
      </w:r>
      <w:r w:rsidRPr="007E0C28">
        <w:rPr>
          <w:rFonts w:ascii="Book Antiqua" w:hAnsi="Book Antiqua" w:cs="宋体"/>
          <w:i/>
          <w:iCs/>
          <w:color w:val="000000"/>
          <w:kern w:val="0"/>
        </w:rPr>
        <w:t>Cases J</w:t>
      </w:r>
      <w:r w:rsidRPr="007E0C28">
        <w:rPr>
          <w:rFonts w:ascii="Book Antiqua" w:hAnsi="Book Antiqua" w:cs="宋体"/>
          <w:color w:val="000000"/>
          <w:kern w:val="0"/>
        </w:rPr>
        <w:t> 2008; </w:t>
      </w:r>
      <w:r w:rsidRPr="007E0C28">
        <w:rPr>
          <w:rFonts w:ascii="Book Antiqua" w:hAnsi="Book Antiqua" w:cs="宋体"/>
          <w:b/>
          <w:bCs/>
          <w:color w:val="000000"/>
          <w:kern w:val="0"/>
        </w:rPr>
        <w:t>1</w:t>
      </w:r>
      <w:r w:rsidRPr="007E0C28">
        <w:rPr>
          <w:rFonts w:ascii="Book Antiqua" w:hAnsi="Book Antiqua" w:cs="宋体"/>
          <w:color w:val="000000"/>
          <w:kern w:val="0"/>
        </w:rPr>
        <w:t>: 385 [PMID: 19077219 DOI: 10.1186/1757-1626-1-385]</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58 </w:t>
      </w:r>
      <w:r w:rsidRPr="007E0C28">
        <w:rPr>
          <w:rFonts w:ascii="Book Antiqua" w:hAnsi="Book Antiqua" w:cs="宋体"/>
          <w:b/>
          <w:bCs/>
          <w:color w:val="000000"/>
          <w:kern w:val="0"/>
        </w:rPr>
        <w:t>Chung YW</w:t>
      </w:r>
      <w:r w:rsidRPr="007E0C28">
        <w:rPr>
          <w:rFonts w:ascii="Book Antiqua" w:hAnsi="Book Antiqua" w:cs="宋体"/>
          <w:color w:val="000000"/>
          <w:kern w:val="0"/>
        </w:rPr>
        <w:t>, Han DS, Park YK, Son BK, Paik CH, Jeon YC, Sohn JH. Huge gastric diospyrobezoars successfully treated by oral intake and endoscopic injection of Coca-Cola. </w:t>
      </w:r>
      <w:r w:rsidRPr="007E0C28">
        <w:rPr>
          <w:rFonts w:ascii="Book Antiqua" w:hAnsi="Book Antiqua" w:cs="宋体"/>
          <w:i/>
          <w:iCs/>
          <w:color w:val="000000"/>
          <w:kern w:val="0"/>
        </w:rPr>
        <w:t>Dig Liver Dis</w:t>
      </w:r>
      <w:r w:rsidRPr="007E0C28">
        <w:rPr>
          <w:rFonts w:ascii="Book Antiqua" w:hAnsi="Book Antiqua" w:cs="宋体"/>
          <w:color w:val="000000"/>
          <w:kern w:val="0"/>
        </w:rPr>
        <w:t> 2006; </w:t>
      </w:r>
      <w:r w:rsidRPr="007E0C28">
        <w:rPr>
          <w:rFonts w:ascii="Book Antiqua" w:hAnsi="Book Antiqua" w:cs="宋体"/>
          <w:b/>
          <w:bCs/>
          <w:color w:val="000000"/>
          <w:kern w:val="0"/>
        </w:rPr>
        <w:t>38</w:t>
      </w:r>
      <w:r w:rsidRPr="007E0C28">
        <w:rPr>
          <w:rFonts w:ascii="Book Antiqua" w:hAnsi="Book Antiqua" w:cs="宋体"/>
          <w:color w:val="000000"/>
          <w:kern w:val="0"/>
        </w:rPr>
        <w:t>: 515-517 [PMID: 16330268 DOI: 10.1016/j.dld.2005.10.024]</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59 </w:t>
      </w:r>
      <w:r w:rsidRPr="007E0C28">
        <w:rPr>
          <w:rFonts w:ascii="Book Antiqua" w:hAnsi="Book Antiqua" w:cs="宋体"/>
          <w:b/>
          <w:bCs/>
          <w:color w:val="000000"/>
          <w:kern w:val="0"/>
        </w:rPr>
        <w:t>Sanderson I</w:t>
      </w:r>
      <w:r w:rsidRPr="007E0C28">
        <w:rPr>
          <w:rFonts w:ascii="Book Antiqua" w:hAnsi="Book Antiqua" w:cs="宋体"/>
          <w:color w:val="000000"/>
          <w:kern w:val="0"/>
        </w:rPr>
        <w:t>, Ibberson O, Fish EB. Gastric phytobezoar following gastrectomy. </w:t>
      </w:r>
      <w:r w:rsidRPr="007E0C28">
        <w:rPr>
          <w:rFonts w:ascii="Book Antiqua" w:hAnsi="Book Antiqua" w:cs="宋体"/>
          <w:i/>
          <w:iCs/>
          <w:color w:val="000000"/>
          <w:kern w:val="0"/>
        </w:rPr>
        <w:t>Can Med Assoc J</w:t>
      </w:r>
      <w:r w:rsidRPr="007E0C28">
        <w:rPr>
          <w:rFonts w:ascii="Book Antiqua" w:hAnsi="Book Antiqua" w:cs="宋体"/>
          <w:color w:val="000000"/>
          <w:kern w:val="0"/>
        </w:rPr>
        <w:t> 1971; </w:t>
      </w:r>
      <w:r w:rsidRPr="007E0C28">
        <w:rPr>
          <w:rFonts w:ascii="Book Antiqua" w:hAnsi="Book Antiqua" w:cs="宋体"/>
          <w:b/>
          <w:bCs/>
          <w:color w:val="000000"/>
          <w:kern w:val="0"/>
        </w:rPr>
        <w:t>104</w:t>
      </w:r>
      <w:r w:rsidRPr="007E0C28">
        <w:rPr>
          <w:rFonts w:ascii="Book Antiqua" w:hAnsi="Book Antiqua" w:cs="宋体"/>
          <w:color w:val="000000"/>
          <w:kern w:val="0"/>
        </w:rPr>
        <w:t>: 1115 passim [PMID: 5580753]</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60 </w:t>
      </w:r>
      <w:r w:rsidRPr="007E0C28">
        <w:rPr>
          <w:rFonts w:ascii="Book Antiqua" w:hAnsi="Book Antiqua" w:cs="宋体"/>
          <w:b/>
          <w:bCs/>
          <w:color w:val="000000"/>
          <w:kern w:val="0"/>
        </w:rPr>
        <w:t>Kramer SJ</w:t>
      </w:r>
      <w:r w:rsidRPr="007E0C28">
        <w:rPr>
          <w:rFonts w:ascii="Book Antiqua" w:hAnsi="Book Antiqua" w:cs="宋体"/>
          <w:color w:val="000000"/>
          <w:kern w:val="0"/>
        </w:rPr>
        <w:t>, Pochapin MB. Gastric phytobezoar dissolution with ingestion of diet coke and cellulase. </w:t>
      </w:r>
      <w:r w:rsidRPr="007E0C28">
        <w:rPr>
          <w:rFonts w:ascii="Book Antiqua" w:hAnsi="Book Antiqua" w:cs="宋体"/>
          <w:i/>
          <w:iCs/>
          <w:color w:val="000000"/>
          <w:kern w:val="0"/>
        </w:rPr>
        <w:t xml:space="preserve">Gastroenterol Hepatol </w:t>
      </w:r>
      <w:r w:rsidRPr="007E0C28">
        <w:rPr>
          <w:rFonts w:ascii="Book Antiqua" w:hAnsi="Book Antiqua" w:cs="宋体"/>
          <w:iCs/>
          <w:color w:val="000000"/>
          <w:kern w:val="0"/>
        </w:rPr>
        <w:t>(N Y)</w:t>
      </w:r>
      <w:r w:rsidRPr="007E0C28">
        <w:rPr>
          <w:rFonts w:ascii="Book Antiqua" w:hAnsi="Book Antiqua" w:cs="宋体"/>
          <w:color w:val="000000"/>
          <w:kern w:val="0"/>
        </w:rPr>
        <w:t> 2012; </w:t>
      </w:r>
      <w:r w:rsidRPr="007E0C28">
        <w:rPr>
          <w:rFonts w:ascii="Book Antiqua" w:hAnsi="Book Antiqua" w:cs="宋体"/>
          <w:b/>
          <w:bCs/>
          <w:color w:val="000000"/>
          <w:kern w:val="0"/>
        </w:rPr>
        <w:t>8</w:t>
      </w:r>
      <w:r w:rsidRPr="007E0C28">
        <w:rPr>
          <w:rFonts w:ascii="Book Antiqua" w:hAnsi="Book Antiqua" w:cs="宋体"/>
          <w:color w:val="000000"/>
          <w:kern w:val="0"/>
        </w:rPr>
        <w:t>: 770-772 [PMID: 24672417]</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61 </w:t>
      </w:r>
      <w:r w:rsidRPr="007E0C28">
        <w:rPr>
          <w:rFonts w:ascii="Book Antiqua" w:hAnsi="Book Antiqua" w:cs="宋体"/>
          <w:b/>
          <w:bCs/>
          <w:color w:val="000000"/>
          <w:kern w:val="0"/>
        </w:rPr>
        <w:t>Dwivedi AJ</w:t>
      </w:r>
      <w:r w:rsidRPr="007E0C28">
        <w:rPr>
          <w:rFonts w:ascii="Book Antiqua" w:hAnsi="Book Antiqua" w:cs="宋体"/>
          <w:color w:val="000000"/>
          <w:kern w:val="0"/>
        </w:rPr>
        <w:t>, Chahin F, Agrawal S, Patel J, Khalid M, Lakra Y. Gastric phytobezoar: treatment using meat tenderizer. </w:t>
      </w:r>
      <w:r w:rsidRPr="007E0C28">
        <w:rPr>
          <w:rFonts w:ascii="Book Antiqua" w:hAnsi="Book Antiqua" w:cs="宋体"/>
          <w:i/>
          <w:iCs/>
          <w:color w:val="000000"/>
          <w:kern w:val="0"/>
        </w:rPr>
        <w:t>Dig Dis Sci</w:t>
      </w:r>
      <w:r w:rsidRPr="007E0C28">
        <w:rPr>
          <w:rFonts w:ascii="Book Antiqua" w:hAnsi="Book Antiqua" w:cs="宋体"/>
          <w:color w:val="000000"/>
          <w:kern w:val="0"/>
        </w:rPr>
        <w:t> 2001; </w:t>
      </w:r>
      <w:r w:rsidRPr="007E0C28">
        <w:rPr>
          <w:rFonts w:ascii="Book Antiqua" w:hAnsi="Book Antiqua" w:cs="宋体"/>
          <w:b/>
          <w:bCs/>
          <w:color w:val="000000"/>
          <w:kern w:val="0"/>
        </w:rPr>
        <w:t>46</w:t>
      </w:r>
      <w:r w:rsidRPr="007E0C28">
        <w:rPr>
          <w:rFonts w:ascii="Book Antiqua" w:hAnsi="Book Antiqua" w:cs="宋体"/>
          <w:color w:val="000000"/>
          <w:kern w:val="0"/>
        </w:rPr>
        <w:t>: 1013-1015 [PMID: 11341642]</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62 </w:t>
      </w:r>
      <w:r w:rsidRPr="007E0C28">
        <w:rPr>
          <w:rFonts w:ascii="Book Antiqua" w:hAnsi="Book Antiqua" w:cs="宋体"/>
          <w:b/>
          <w:bCs/>
          <w:color w:val="000000"/>
          <w:kern w:val="0"/>
        </w:rPr>
        <w:t>Dugan FA</w:t>
      </w:r>
      <w:r w:rsidRPr="007E0C28">
        <w:rPr>
          <w:rFonts w:ascii="Book Antiqua" w:hAnsi="Book Antiqua" w:cs="宋体"/>
          <w:color w:val="000000"/>
          <w:kern w:val="0"/>
        </w:rPr>
        <w:t>, Lilly JO, McCaffery TD. Dissolution of a phytobezoar with short-term medical management. </w:t>
      </w:r>
      <w:r w:rsidRPr="007E0C28">
        <w:rPr>
          <w:rFonts w:ascii="Book Antiqua" w:hAnsi="Book Antiqua" w:cs="宋体"/>
          <w:i/>
          <w:iCs/>
          <w:color w:val="000000"/>
          <w:kern w:val="0"/>
        </w:rPr>
        <w:t>South Med J</w:t>
      </w:r>
      <w:r w:rsidRPr="007E0C28">
        <w:rPr>
          <w:rFonts w:ascii="Book Antiqua" w:hAnsi="Book Antiqua" w:cs="宋体"/>
          <w:color w:val="000000"/>
          <w:kern w:val="0"/>
        </w:rPr>
        <w:t> 1972; </w:t>
      </w:r>
      <w:r w:rsidRPr="007E0C28">
        <w:rPr>
          <w:rFonts w:ascii="Book Antiqua" w:hAnsi="Book Antiqua" w:cs="宋体"/>
          <w:b/>
          <w:bCs/>
          <w:color w:val="000000"/>
          <w:kern w:val="0"/>
        </w:rPr>
        <w:t>65</w:t>
      </w:r>
      <w:r w:rsidRPr="007E0C28">
        <w:rPr>
          <w:rFonts w:ascii="Book Antiqua" w:hAnsi="Book Antiqua" w:cs="宋体"/>
          <w:color w:val="000000"/>
          <w:kern w:val="0"/>
        </w:rPr>
        <w:t>: 313-316 [PMID: 5016447 DOI: 10.1097/00007611-197203000-00013]</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 xml:space="preserve">63 </w:t>
      </w:r>
      <w:r w:rsidRPr="007E0C28">
        <w:rPr>
          <w:rFonts w:ascii="Book Antiqua" w:hAnsi="Book Antiqua" w:cs="宋体"/>
          <w:b/>
          <w:color w:val="000000"/>
          <w:kern w:val="0"/>
        </w:rPr>
        <w:t>Holsinger JW</w:t>
      </w:r>
      <w:r w:rsidRPr="007E0C28">
        <w:rPr>
          <w:rFonts w:ascii="Book Antiqua" w:hAnsi="Book Antiqua" w:cs="宋体"/>
          <w:color w:val="000000"/>
          <w:kern w:val="0"/>
        </w:rPr>
        <w:t xml:space="preserve">, Fuson RL, Sealy WC. Esophageal perforation following meat impaction and papain ingestion. </w:t>
      </w:r>
      <w:r w:rsidRPr="007E0C28">
        <w:rPr>
          <w:rFonts w:ascii="Book Antiqua" w:hAnsi="Book Antiqua" w:cs="宋体"/>
          <w:i/>
          <w:color w:val="000000"/>
          <w:kern w:val="0"/>
        </w:rPr>
        <w:t>JAMA</w:t>
      </w:r>
      <w:r w:rsidRPr="007E0C28">
        <w:rPr>
          <w:rFonts w:ascii="Book Antiqua" w:hAnsi="Book Antiqua" w:cs="宋体"/>
          <w:color w:val="000000"/>
          <w:kern w:val="0"/>
        </w:rPr>
        <w:t xml:space="preserve"> 1968; </w:t>
      </w:r>
      <w:r w:rsidRPr="007E0C28">
        <w:rPr>
          <w:rFonts w:ascii="Book Antiqua" w:hAnsi="Book Antiqua" w:cs="宋体"/>
          <w:b/>
          <w:color w:val="000000"/>
          <w:kern w:val="0"/>
        </w:rPr>
        <w:t>204</w:t>
      </w:r>
      <w:r w:rsidRPr="007E0C28">
        <w:rPr>
          <w:rFonts w:ascii="Book Antiqua" w:hAnsi="Book Antiqua" w:cs="宋体"/>
          <w:color w:val="000000"/>
          <w:kern w:val="0"/>
        </w:rPr>
        <w:t>: 734-735 [DOI: 10.1001/jama.1968.03140210090027]</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64 </w:t>
      </w:r>
      <w:r w:rsidRPr="007E0C28">
        <w:rPr>
          <w:rFonts w:ascii="Book Antiqua" w:hAnsi="Book Antiqua" w:cs="宋体"/>
          <w:b/>
          <w:bCs/>
          <w:color w:val="000000"/>
          <w:kern w:val="0"/>
        </w:rPr>
        <w:t>Bruck HM</w:t>
      </w:r>
      <w:r w:rsidRPr="007E0C28">
        <w:rPr>
          <w:rFonts w:ascii="Book Antiqua" w:hAnsi="Book Antiqua" w:cs="宋体"/>
          <w:color w:val="000000"/>
          <w:kern w:val="0"/>
        </w:rPr>
        <w:t>. Letter: Gastric phytobezoar. </w:t>
      </w:r>
      <w:r w:rsidRPr="007E0C28">
        <w:rPr>
          <w:rFonts w:ascii="Book Antiqua" w:hAnsi="Book Antiqua" w:cs="宋体"/>
          <w:i/>
          <w:iCs/>
          <w:color w:val="000000"/>
          <w:kern w:val="0"/>
        </w:rPr>
        <w:t>JAMA</w:t>
      </w:r>
      <w:r w:rsidRPr="007E0C28">
        <w:rPr>
          <w:rFonts w:ascii="Book Antiqua" w:hAnsi="Book Antiqua" w:cs="宋体"/>
          <w:color w:val="000000"/>
          <w:kern w:val="0"/>
        </w:rPr>
        <w:t> 1975; </w:t>
      </w:r>
      <w:r w:rsidRPr="007E0C28">
        <w:rPr>
          <w:rFonts w:ascii="Book Antiqua" w:hAnsi="Book Antiqua" w:cs="宋体"/>
          <w:b/>
          <w:bCs/>
          <w:color w:val="000000"/>
          <w:kern w:val="0"/>
        </w:rPr>
        <w:t>231</w:t>
      </w:r>
      <w:r w:rsidRPr="007E0C28">
        <w:rPr>
          <w:rFonts w:ascii="Book Antiqua" w:hAnsi="Book Antiqua" w:cs="宋体"/>
          <w:color w:val="000000"/>
          <w:kern w:val="0"/>
        </w:rPr>
        <w:t>: 26 [PMID: 1243563 DOI: 10.1001/jama.1975.03240130020017]</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65 </w:t>
      </w:r>
      <w:r w:rsidRPr="007E0C28">
        <w:rPr>
          <w:rFonts w:ascii="Book Antiqua" w:hAnsi="Book Antiqua" w:cs="宋体"/>
          <w:b/>
          <w:bCs/>
          <w:color w:val="000000"/>
          <w:kern w:val="0"/>
        </w:rPr>
        <w:t>Gold MH</w:t>
      </w:r>
      <w:r w:rsidRPr="007E0C28">
        <w:rPr>
          <w:rFonts w:ascii="Book Antiqua" w:hAnsi="Book Antiqua" w:cs="宋体"/>
          <w:color w:val="000000"/>
          <w:kern w:val="0"/>
        </w:rPr>
        <w:t>, Patteson TE, Green GI. Cellulase bezoar injection: a new endoscopic technique. </w:t>
      </w:r>
      <w:r w:rsidRPr="007E0C28">
        <w:rPr>
          <w:rFonts w:ascii="Book Antiqua" w:hAnsi="Book Antiqua" w:cs="宋体"/>
          <w:i/>
          <w:iCs/>
          <w:color w:val="000000"/>
          <w:kern w:val="0"/>
        </w:rPr>
        <w:t>Gastrointest Endosc</w:t>
      </w:r>
      <w:r w:rsidRPr="007E0C28">
        <w:rPr>
          <w:rFonts w:ascii="Book Antiqua" w:hAnsi="Book Antiqua" w:cs="宋体"/>
          <w:color w:val="000000"/>
          <w:kern w:val="0"/>
        </w:rPr>
        <w:t> 1976; </w:t>
      </w:r>
      <w:r w:rsidRPr="007E0C28">
        <w:rPr>
          <w:rFonts w:ascii="Book Antiqua" w:hAnsi="Book Antiqua" w:cs="宋体"/>
          <w:b/>
          <w:bCs/>
          <w:color w:val="000000"/>
          <w:kern w:val="0"/>
        </w:rPr>
        <w:t>22</w:t>
      </w:r>
      <w:r w:rsidRPr="007E0C28">
        <w:rPr>
          <w:rFonts w:ascii="Book Antiqua" w:hAnsi="Book Antiqua" w:cs="宋体"/>
          <w:color w:val="000000"/>
          <w:kern w:val="0"/>
        </w:rPr>
        <w:t>: 200-202 [PMID: 1269883 DOI: 10.1016/S0016-5107(76)73753-2]</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 xml:space="preserve">66 </w:t>
      </w:r>
      <w:r w:rsidRPr="007E0C28">
        <w:rPr>
          <w:rFonts w:ascii="Book Antiqua" w:hAnsi="Book Antiqua" w:cs="宋体"/>
          <w:b/>
          <w:color w:val="000000"/>
          <w:kern w:val="0"/>
        </w:rPr>
        <w:t>Kurt M</w:t>
      </w:r>
      <w:r w:rsidRPr="007E0C28">
        <w:rPr>
          <w:rFonts w:ascii="Book Antiqua" w:hAnsi="Book Antiqua" w:cs="宋体"/>
          <w:color w:val="000000"/>
          <w:kern w:val="0"/>
        </w:rPr>
        <w:t xml:space="preserve">, Posul E, Yilmaz B, Korkmaz U. Endoscopic removal of gastric bezoars: an easy technique. </w:t>
      </w:r>
      <w:r w:rsidRPr="007E0C28">
        <w:rPr>
          <w:rFonts w:ascii="Book Antiqua" w:hAnsi="Book Antiqua" w:cs="宋体"/>
          <w:i/>
          <w:color w:val="000000"/>
          <w:kern w:val="0"/>
        </w:rPr>
        <w:t>Gastrointest Endosc</w:t>
      </w:r>
      <w:r w:rsidRPr="007E0C28">
        <w:rPr>
          <w:rFonts w:ascii="Book Antiqua" w:hAnsi="Book Antiqua" w:cs="宋体"/>
          <w:color w:val="000000"/>
          <w:kern w:val="0"/>
        </w:rPr>
        <w:t xml:space="preserve"> 2014; In press </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67 </w:t>
      </w:r>
      <w:r w:rsidRPr="007E0C28">
        <w:rPr>
          <w:rFonts w:ascii="Book Antiqua" w:hAnsi="Book Antiqua" w:cs="宋体"/>
          <w:b/>
          <w:bCs/>
          <w:color w:val="000000"/>
          <w:kern w:val="0"/>
        </w:rPr>
        <w:t>Lin CS</w:t>
      </w:r>
      <w:r w:rsidRPr="007E0C28">
        <w:rPr>
          <w:rFonts w:ascii="Book Antiqua" w:hAnsi="Book Antiqua" w:cs="宋体"/>
          <w:color w:val="000000"/>
          <w:kern w:val="0"/>
        </w:rPr>
        <w:t>, Tung CF, Peng YC, Chow WK, Chang CS, Hu WH. Successful treatment with a combination of endoscopic injection and irrigation with coca cola for gastric bezoar-induced gastric outlet obstruction. </w:t>
      </w:r>
      <w:r w:rsidRPr="007E0C28">
        <w:rPr>
          <w:rFonts w:ascii="Book Antiqua" w:hAnsi="Book Antiqua" w:cs="宋体"/>
          <w:i/>
          <w:iCs/>
          <w:color w:val="000000"/>
          <w:kern w:val="0"/>
        </w:rPr>
        <w:t>J Chin Med Assoc</w:t>
      </w:r>
      <w:r w:rsidRPr="007E0C28">
        <w:rPr>
          <w:rFonts w:ascii="Book Antiqua" w:hAnsi="Book Antiqua" w:cs="宋体"/>
          <w:color w:val="000000"/>
          <w:kern w:val="0"/>
        </w:rPr>
        <w:t> 2008; </w:t>
      </w:r>
      <w:r w:rsidRPr="007E0C28">
        <w:rPr>
          <w:rFonts w:ascii="Book Antiqua" w:hAnsi="Book Antiqua" w:cs="宋体"/>
          <w:b/>
          <w:bCs/>
          <w:color w:val="000000"/>
          <w:kern w:val="0"/>
        </w:rPr>
        <w:t>71</w:t>
      </w:r>
      <w:r w:rsidRPr="007E0C28">
        <w:rPr>
          <w:rFonts w:ascii="Book Antiqua" w:hAnsi="Book Antiqua" w:cs="宋体"/>
          <w:color w:val="000000"/>
          <w:kern w:val="0"/>
        </w:rPr>
        <w:t>: 49-52 [PMID: 18218561 DOI: 10.1016/S1726-4901(08)70073-X]</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68 </w:t>
      </w:r>
      <w:r w:rsidRPr="007E0C28">
        <w:rPr>
          <w:rFonts w:ascii="Book Antiqua" w:hAnsi="Book Antiqua" w:cs="宋体"/>
          <w:b/>
          <w:bCs/>
          <w:color w:val="000000"/>
          <w:kern w:val="0"/>
        </w:rPr>
        <w:t>Kannan NL</w:t>
      </w:r>
      <w:r w:rsidRPr="007E0C28">
        <w:rPr>
          <w:rFonts w:ascii="Book Antiqua" w:hAnsi="Book Antiqua" w:cs="宋体"/>
          <w:color w:val="000000"/>
          <w:kern w:val="0"/>
        </w:rPr>
        <w:t>, Singaraju H, Sim SW. Laparoscopic-assisted removal of gastric trichobezoar: a novel technique to reduce operative complications and time. </w:t>
      </w:r>
      <w:r w:rsidRPr="007E0C28">
        <w:rPr>
          <w:rFonts w:ascii="Book Antiqua" w:hAnsi="Book Antiqua" w:cs="宋体"/>
          <w:i/>
          <w:iCs/>
          <w:color w:val="000000"/>
          <w:kern w:val="0"/>
        </w:rPr>
        <w:t>J Pediatr Surg</w:t>
      </w:r>
      <w:r w:rsidRPr="007E0C28">
        <w:rPr>
          <w:rFonts w:ascii="Book Antiqua" w:hAnsi="Book Antiqua" w:cs="宋体"/>
          <w:color w:val="000000"/>
          <w:kern w:val="0"/>
        </w:rPr>
        <w:t> 2013; </w:t>
      </w:r>
      <w:r w:rsidRPr="007E0C28">
        <w:rPr>
          <w:rFonts w:ascii="Book Antiqua" w:hAnsi="Book Antiqua" w:cs="宋体"/>
          <w:b/>
          <w:bCs/>
          <w:color w:val="000000"/>
          <w:kern w:val="0"/>
        </w:rPr>
        <w:t>48</w:t>
      </w:r>
      <w:r w:rsidRPr="007E0C28">
        <w:rPr>
          <w:rFonts w:ascii="Book Antiqua" w:hAnsi="Book Antiqua" w:cs="宋体"/>
          <w:color w:val="000000"/>
          <w:kern w:val="0"/>
        </w:rPr>
        <w:t>: 1826-1827 [PMID: 23932631 DOI: 10.1016/j.jpedsurg.2013.05.069]</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69 </w:t>
      </w:r>
      <w:r w:rsidRPr="007E0C28">
        <w:rPr>
          <w:rFonts w:ascii="Book Antiqua" w:hAnsi="Book Antiqua" w:cs="宋体"/>
          <w:b/>
          <w:bCs/>
          <w:color w:val="000000"/>
          <w:kern w:val="0"/>
        </w:rPr>
        <w:t>Javed A</w:t>
      </w:r>
      <w:r w:rsidRPr="007E0C28">
        <w:rPr>
          <w:rFonts w:ascii="Book Antiqua" w:hAnsi="Book Antiqua" w:cs="宋体"/>
          <w:color w:val="000000"/>
          <w:kern w:val="0"/>
        </w:rPr>
        <w:t>, Agarwal AK. A modified minimally invasive technique for the surgical management of large trichobezoars. </w:t>
      </w:r>
      <w:r w:rsidRPr="007E0C28">
        <w:rPr>
          <w:rFonts w:ascii="Book Antiqua" w:hAnsi="Book Antiqua" w:cs="宋体"/>
          <w:i/>
          <w:iCs/>
          <w:color w:val="000000"/>
          <w:kern w:val="0"/>
        </w:rPr>
        <w:t>J Minim Access Surg</w:t>
      </w:r>
      <w:r w:rsidRPr="007E0C28">
        <w:rPr>
          <w:rFonts w:ascii="Book Antiqua" w:hAnsi="Book Antiqua" w:cs="宋体"/>
          <w:color w:val="000000"/>
          <w:kern w:val="0"/>
        </w:rPr>
        <w:t> 2013; </w:t>
      </w:r>
      <w:r w:rsidRPr="007E0C28">
        <w:rPr>
          <w:rFonts w:ascii="Book Antiqua" w:hAnsi="Book Antiqua" w:cs="宋体"/>
          <w:b/>
          <w:bCs/>
          <w:color w:val="000000"/>
          <w:kern w:val="0"/>
        </w:rPr>
        <w:t>9</w:t>
      </w:r>
      <w:r w:rsidRPr="007E0C28">
        <w:rPr>
          <w:rFonts w:ascii="Book Antiqua" w:hAnsi="Book Antiqua" w:cs="宋体"/>
          <w:color w:val="000000"/>
          <w:kern w:val="0"/>
        </w:rPr>
        <w:t>: 42-44 [PMID: 23626422 DOI: 10.4103/0972-9941.107142]</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70 </w:t>
      </w:r>
      <w:r w:rsidRPr="007E0C28">
        <w:rPr>
          <w:rFonts w:ascii="Book Antiqua" w:hAnsi="Book Antiqua" w:cs="宋体"/>
          <w:b/>
          <w:bCs/>
          <w:color w:val="000000"/>
          <w:kern w:val="0"/>
        </w:rPr>
        <w:t>Nirasawa Y</w:t>
      </w:r>
      <w:r w:rsidRPr="007E0C28">
        <w:rPr>
          <w:rFonts w:ascii="Book Antiqua" w:hAnsi="Book Antiqua" w:cs="宋体"/>
          <w:color w:val="000000"/>
          <w:kern w:val="0"/>
        </w:rPr>
        <w:t>, Mori T, Ito Y, Tanaka H, Seki N, Atomi Y. Laparoscopic removal of a large gastric trichobezoar. </w:t>
      </w:r>
      <w:r w:rsidRPr="007E0C28">
        <w:rPr>
          <w:rFonts w:ascii="Book Antiqua" w:hAnsi="Book Antiqua" w:cs="宋体"/>
          <w:i/>
          <w:iCs/>
          <w:color w:val="000000"/>
          <w:kern w:val="0"/>
        </w:rPr>
        <w:t>J Pediatr Surg</w:t>
      </w:r>
      <w:r w:rsidRPr="007E0C28">
        <w:rPr>
          <w:rFonts w:ascii="Book Antiqua" w:hAnsi="Book Antiqua" w:cs="宋体"/>
          <w:color w:val="000000"/>
          <w:kern w:val="0"/>
        </w:rPr>
        <w:t> 1998; </w:t>
      </w:r>
      <w:r w:rsidRPr="007E0C28">
        <w:rPr>
          <w:rFonts w:ascii="Book Antiqua" w:hAnsi="Book Antiqua" w:cs="宋体"/>
          <w:b/>
          <w:bCs/>
          <w:color w:val="000000"/>
          <w:kern w:val="0"/>
        </w:rPr>
        <w:t>33</w:t>
      </w:r>
      <w:r w:rsidRPr="007E0C28">
        <w:rPr>
          <w:rFonts w:ascii="Book Antiqua" w:hAnsi="Book Antiqua" w:cs="宋体"/>
          <w:color w:val="000000"/>
          <w:kern w:val="0"/>
        </w:rPr>
        <w:t>: 663-665 [PMID: 9574777 DOI: 10.1016/S0022-3468(98)90342-6]</w:t>
      </w:r>
    </w:p>
    <w:p w:rsidR="00B15056" w:rsidRPr="007E0C28" w:rsidRDefault="00B15056" w:rsidP="008A644D">
      <w:pPr>
        <w:widowControl/>
        <w:spacing w:line="360" w:lineRule="auto"/>
        <w:rPr>
          <w:rFonts w:ascii="Book Antiqua" w:hAnsi="Book Antiqua" w:cs="宋体"/>
          <w:color w:val="000000"/>
          <w:kern w:val="0"/>
        </w:rPr>
      </w:pPr>
      <w:r w:rsidRPr="007E0C28">
        <w:rPr>
          <w:rFonts w:ascii="Book Antiqua" w:hAnsi="Book Antiqua" w:cs="宋体"/>
          <w:color w:val="000000"/>
          <w:kern w:val="0"/>
        </w:rPr>
        <w:t>71 </w:t>
      </w:r>
      <w:r w:rsidRPr="007E0C28">
        <w:rPr>
          <w:rFonts w:ascii="Book Antiqua" w:hAnsi="Book Antiqua" w:cs="宋体"/>
          <w:b/>
          <w:bCs/>
          <w:color w:val="000000"/>
          <w:kern w:val="0"/>
        </w:rPr>
        <w:t>Gong EJ</w:t>
      </w:r>
      <w:r w:rsidRPr="007E0C28">
        <w:rPr>
          <w:rFonts w:ascii="Book Antiqua" w:hAnsi="Book Antiqua" w:cs="宋体"/>
          <w:color w:val="000000"/>
          <w:kern w:val="0"/>
        </w:rPr>
        <w:t>, Jung HY, Kim do H, Lim H, Song KB. Intraoperative endoscopic removal of a duodenal bezoar in a patient with intestinal malrotation. </w:t>
      </w:r>
      <w:r w:rsidRPr="007E0C28">
        <w:rPr>
          <w:rFonts w:ascii="Book Antiqua" w:hAnsi="Book Antiqua" w:cs="宋体"/>
          <w:i/>
          <w:iCs/>
          <w:color w:val="000000"/>
          <w:kern w:val="0"/>
        </w:rPr>
        <w:t>Gastrointest Endosc</w:t>
      </w:r>
      <w:r w:rsidRPr="007E0C28">
        <w:rPr>
          <w:rFonts w:ascii="Book Antiqua" w:hAnsi="Book Antiqua" w:cs="宋体"/>
          <w:color w:val="000000"/>
          <w:kern w:val="0"/>
        </w:rPr>
        <w:t> 2014; </w:t>
      </w:r>
      <w:r w:rsidRPr="007E0C28">
        <w:rPr>
          <w:rFonts w:ascii="Book Antiqua" w:hAnsi="Book Antiqua" w:cs="宋体"/>
          <w:b/>
          <w:bCs/>
          <w:color w:val="000000"/>
          <w:kern w:val="0"/>
        </w:rPr>
        <w:t>80</w:t>
      </w:r>
      <w:r w:rsidRPr="007E0C28">
        <w:rPr>
          <w:rFonts w:ascii="Book Antiqua" w:hAnsi="Book Antiqua" w:cs="宋体"/>
          <w:color w:val="000000"/>
          <w:kern w:val="0"/>
        </w:rPr>
        <w:t>: 346; discussion 347 [PMID: 24726265 DOI: 10.1016/j.gie.2014.02.028]</w:t>
      </w:r>
    </w:p>
    <w:p w:rsidR="00B15056" w:rsidRPr="007E0C28" w:rsidRDefault="00B15056" w:rsidP="008A644D">
      <w:pPr>
        <w:spacing w:line="360" w:lineRule="auto"/>
        <w:rPr>
          <w:rFonts w:ascii="Book Antiqua" w:eastAsia="宋体" w:hAnsi="Book Antiqua"/>
          <w:lang w:eastAsia="zh-CN"/>
        </w:rPr>
      </w:pPr>
    </w:p>
    <w:p w:rsidR="00B15056" w:rsidRPr="007E0C28" w:rsidRDefault="00B15056" w:rsidP="00217166">
      <w:pPr>
        <w:spacing w:line="360" w:lineRule="auto"/>
        <w:jc w:val="right"/>
        <w:rPr>
          <w:rFonts w:ascii="Book Antiqua" w:eastAsia="宋体" w:hAnsi="Book Antiqua"/>
          <w:color w:val="000000"/>
          <w:lang w:eastAsia="zh-CN"/>
        </w:rPr>
      </w:pPr>
      <w:r w:rsidRPr="007E0C28">
        <w:rPr>
          <w:rFonts w:ascii="Book Antiqua" w:hAnsi="Book Antiqua"/>
          <w:b/>
        </w:rPr>
        <w:t>P- Reviewer:</w:t>
      </w:r>
      <w:r w:rsidRPr="007E0C28">
        <w:rPr>
          <w:rFonts w:ascii="Book Antiqua" w:eastAsia="宋体" w:hAnsi="Book Antiqua"/>
          <w:b/>
          <w:lang w:eastAsia="zh-CN"/>
        </w:rPr>
        <w:t xml:space="preserve"> </w:t>
      </w:r>
      <w:r w:rsidRPr="007E0C28">
        <w:rPr>
          <w:rFonts w:ascii="Book Antiqua" w:hAnsi="Book Antiqua" w:cs="宋体"/>
          <w:color w:val="000000"/>
          <w:kern w:val="0"/>
        </w:rPr>
        <w:t>Grunewald B, Koulaouzidis A, Kamberoglou D</w:t>
      </w:r>
    </w:p>
    <w:p w:rsidR="00B15056" w:rsidRPr="007E0C28" w:rsidRDefault="00B15056" w:rsidP="00217166">
      <w:pPr>
        <w:spacing w:line="360" w:lineRule="auto"/>
        <w:jc w:val="right"/>
        <w:rPr>
          <w:rFonts w:ascii="Book Antiqua" w:hAnsi="Book Antiqua"/>
          <w:color w:val="000000"/>
        </w:rPr>
      </w:pPr>
      <w:r w:rsidRPr="007E0C28">
        <w:rPr>
          <w:rFonts w:ascii="Book Antiqua" w:hAnsi="Book Antiqua"/>
          <w:b/>
        </w:rPr>
        <w:t>S- Editor:</w:t>
      </w:r>
      <w:r w:rsidRPr="007E0C28">
        <w:rPr>
          <w:rFonts w:ascii="Book Antiqua" w:hAnsi="Book Antiqua"/>
        </w:rPr>
        <w:t xml:space="preserve"> Gong XM</w:t>
      </w:r>
    </w:p>
    <w:p w:rsidR="00B15056" w:rsidRPr="007E0C28" w:rsidRDefault="00B15056" w:rsidP="00217166">
      <w:pPr>
        <w:spacing w:line="360" w:lineRule="auto"/>
        <w:jc w:val="right"/>
        <w:rPr>
          <w:rFonts w:ascii="Book Antiqua" w:hAnsi="Book Antiqua"/>
          <w:b/>
        </w:rPr>
      </w:pPr>
      <w:r w:rsidRPr="007E0C28">
        <w:rPr>
          <w:rFonts w:ascii="Book Antiqua" w:hAnsi="Book Antiqua"/>
          <w:b/>
        </w:rPr>
        <w:t>L- Editor:</w:t>
      </w:r>
      <w:r w:rsidRPr="007E0C28">
        <w:rPr>
          <w:rFonts w:ascii="Book Antiqua" w:hAnsi="Book Antiqua"/>
        </w:rPr>
        <w:t xml:space="preserve"> </w:t>
      </w:r>
      <w:r w:rsidRPr="007E0C28">
        <w:rPr>
          <w:rFonts w:ascii="Book Antiqua" w:hAnsi="Book Antiqua"/>
          <w:b/>
        </w:rPr>
        <w:t>E- Editor:</w:t>
      </w:r>
    </w:p>
    <w:p w:rsidR="00B15056" w:rsidRPr="007E0C28" w:rsidRDefault="00B15056" w:rsidP="00217166">
      <w:pPr>
        <w:spacing w:line="360" w:lineRule="auto"/>
        <w:jc w:val="right"/>
        <w:rPr>
          <w:rFonts w:ascii="Book Antiqua" w:eastAsia="宋体" w:hAnsi="Book Antiqua"/>
          <w:lang w:eastAsia="zh-CN"/>
        </w:rPr>
      </w:pPr>
    </w:p>
    <w:p w:rsidR="00B15056" w:rsidRPr="007E0C28" w:rsidRDefault="00B15056" w:rsidP="002D5C49">
      <w:pPr>
        <w:widowControl/>
        <w:spacing w:line="360" w:lineRule="auto"/>
        <w:rPr>
          <w:rFonts w:ascii="Book Antiqua" w:eastAsia="宋体" w:hAnsi="Book Antiqua"/>
          <w:szCs w:val="24"/>
          <w:lang w:eastAsia="zh-CN"/>
        </w:rPr>
      </w:pPr>
    </w:p>
    <w:p w:rsidR="00B15056" w:rsidRPr="007E0C28" w:rsidRDefault="00B15056" w:rsidP="002D5C49">
      <w:pPr>
        <w:widowControl/>
        <w:spacing w:line="360" w:lineRule="auto"/>
        <w:rPr>
          <w:rFonts w:ascii="Book Antiqua" w:eastAsia="宋体" w:hAnsi="Book Antiqua"/>
          <w:szCs w:val="24"/>
          <w:lang w:eastAsia="zh-CN"/>
        </w:rPr>
      </w:pPr>
    </w:p>
    <w:p w:rsidR="00B15056" w:rsidRPr="007E0C28" w:rsidRDefault="00B15056" w:rsidP="002D5C49">
      <w:pPr>
        <w:widowControl/>
        <w:spacing w:line="360" w:lineRule="auto"/>
        <w:rPr>
          <w:rFonts w:ascii="Book Antiqua" w:eastAsia="宋体" w:hAnsi="Book Antiqua"/>
          <w:szCs w:val="24"/>
          <w:lang w:eastAsia="zh-CN"/>
        </w:rPr>
      </w:pPr>
    </w:p>
    <w:p w:rsidR="00B15056" w:rsidRPr="007E0C28" w:rsidRDefault="00B15056" w:rsidP="002D5C49">
      <w:pPr>
        <w:widowControl/>
        <w:spacing w:line="360" w:lineRule="auto"/>
        <w:rPr>
          <w:rFonts w:ascii="Book Antiqua" w:eastAsia="宋体" w:hAnsi="Book Antiqua"/>
          <w:szCs w:val="24"/>
          <w:lang w:eastAsia="zh-CN"/>
        </w:rPr>
      </w:pPr>
    </w:p>
    <w:p w:rsidR="00B15056" w:rsidRPr="007E0C28" w:rsidRDefault="00B15056" w:rsidP="002D5C49">
      <w:pPr>
        <w:widowControl/>
        <w:spacing w:line="360" w:lineRule="auto"/>
        <w:rPr>
          <w:rFonts w:ascii="Book Antiqua" w:eastAsia="宋体" w:hAnsi="Book Antiqua"/>
          <w:szCs w:val="24"/>
          <w:lang w:eastAsia="zh-CN"/>
        </w:rPr>
      </w:pPr>
    </w:p>
    <w:p w:rsidR="00B15056" w:rsidRPr="007E0C28" w:rsidRDefault="00B15056" w:rsidP="002D5C49">
      <w:pPr>
        <w:widowControl/>
        <w:spacing w:line="360" w:lineRule="auto"/>
        <w:rPr>
          <w:rFonts w:ascii="Book Antiqua" w:eastAsia="宋体" w:hAnsi="Book Antiqua"/>
          <w:szCs w:val="24"/>
          <w:lang w:eastAsia="zh-CN"/>
        </w:rPr>
      </w:pPr>
    </w:p>
    <w:p w:rsidR="00B15056" w:rsidRPr="007E0C28" w:rsidRDefault="00B15056" w:rsidP="002D5C49">
      <w:pPr>
        <w:widowControl/>
        <w:spacing w:line="360" w:lineRule="auto"/>
        <w:rPr>
          <w:rFonts w:ascii="Book Antiqua" w:eastAsia="宋体" w:hAnsi="Book Antiqua"/>
          <w:szCs w:val="24"/>
          <w:lang w:eastAsia="zh-CN"/>
        </w:rPr>
      </w:pPr>
    </w:p>
    <w:p w:rsidR="00B15056" w:rsidRPr="007E0C28" w:rsidRDefault="00B15056" w:rsidP="002D5C49">
      <w:pPr>
        <w:widowControl/>
        <w:spacing w:line="360" w:lineRule="auto"/>
        <w:rPr>
          <w:rFonts w:ascii="Book Antiqua" w:eastAsia="宋体" w:hAnsi="Book Antiqua"/>
          <w:szCs w:val="24"/>
          <w:lang w:eastAsia="zh-CN"/>
        </w:rPr>
      </w:pPr>
    </w:p>
    <w:p w:rsidR="00B15056" w:rsidRPr="007E0C28" w:rsidRDefault="00B15056" w:rsidP="00A2683E">
      <w:pPr>
        <w:spacing w:line="360" w:lineRule="auto"/>
        <w:rPr>
          <w:rFonts w:ascii="Book Antiqua" w:hAnsi="Book Antiqua"/>
          <w:b/>
          <w:szCs w:val="24"/>
        </w:rPr>
      </w:pPr>
      <w:r w:rsidRPr="007E0C28">
        <w:rPr>
          <w:rFonts w:ascii="Book Antiqua" w:hAnsi="Book Antiqua"/>
          <w:b/>
          <w:szCs w:val="24"/>
        </w:rPr>
        <w:t>Table 1</w:t>
      </w:r>
      <w:r w:rsidRPr="007E0C28">
        <w:rPr>
          <w:rFonts w:ascii="Book Antiqua" w:hAnsi="Book Antiqua"/>
          <w:szCs w:val="24"/>
        </w:rPr>
        <w:t xml:space="preserve"> </w:t>
      </w:r>
      <w:r w:rsidRPr="007E0C28">
        <w:rPr>
          <w:rFonts w:ascii="Book Antiqua" w:hAnsi="Book Antiqua"/>
          <w:b/>
          <w:szCs w:val="24"/>
        </w:rPr>
        <w:t>Net intensity of elements determined by energy-dispersive X-ray spectroscopy in a persimmon phytobezoar</w:t>
      </w:r>
    </w:p>
    <w:tbl>
      <w:tblPr>
        <w:tblW w:w="5610" w:type="dxa"/>
        <w:tblBorders>
          <w:top w:val="single" w:sz="8" w:space="0" w:color="4BACC6"/>
          <w:bottom w:val="single" w:sz="8" w:space="0" w:color="4BACC6"/>
        </w:tblBorders>
        <w:tblLook w:val="00A0" w:firstRow="1" w:lastRow="0" w:firstColumn="1" w:lastColumn="0" w:noHBand="0" w:noVBand="0"/>
      </w:tblPr>
      <w:tblGrid>
        <w:gridCol w:w="1080"/>
        <w:gridCol w:w="1830"/>
        <w:gridCol w:w="1878"/>
        <w:gridCol w:w="1056"/>
      </w:tblGrid>
      <w:tr w:rsidR="00B15056" w:rsidRPr="007E0C28" w:rsidTr="002D5C49">
        <w:trPr>
          <w:trHeight w:val="270"/>
        </w:trPr>
        <w:tc>
          <w:tcPr>
            <w:tcW w:w="1080" w:type="dxa"/>
            <w:tcBorders>
              <w:top w:val="single" w:sz="8" w:space="0" w:color="4BACC6"/>
              <w:left w:val="nil"/>
              <w:bottom w:val="single" w:sz="8" w:space="0" w:color="4BACC6"/>
              <w:right w:val="nil"/>
            </w:tcBorders>
            <w:noWrap/>
          </w:tcPr>
          <w:p w:rsidR="00B15056" w:rsidRPr="007E0C28" w:rsidRDefault="00B15056" w:rsidP="00A2683E">
            <w:pPr>
              <w:widowControl/>
              <w:spacing w:line="360" w:lineRule="auto"/>
              <w:rPr>
                <w:rFonts w:ascii="Book Antiqua" w:eastAsia="MS PGothic" w:hAnsi="Book Antiqua"/>
                <w:b/>
                <w:bCs/>
                <w:kern w:val="0"/>
                <w:szCs w:val="24"/>
              </w:rPr>
            </w:pPr>
            <w:r w:rsidRPr="007E0C28">
              <w:rPr>
                <w:rFonts w:ascii="Book Antiqua" w:eastAsia="MS PGothic" w:hAnsi="Book Antiqua" w:hint="eastAsia"/>
                <w:bCs/>
                <w:kern w:val="0"/>
                <w:szCs w:val="24"/>
              </w:rPr>
              <w:t xml:space="preserve">　</w:t>
            </w:r>
          </w:p>
        </w:tc>
        <w:tc>
          <w:tcPr>
            <w:tcW w:w="1830" w:type="dxa"/>
            <w:tcBorders>
              <w:top w:val="single" w:sz="8" w:space="0" w:color="4BACC6"/>
              <w:left w:val="nil"/>
              <w:bottom w:val="single" w:sz="8" w:space="0" w:color="4BACC6"/>
              <w:right w:val="nil"/>
            </w:tcBorders>
            <w:noWrap/>
          </w:tcPr>
          <w:p w:rsidR="00B15056" w:rsidRPr="007E0C28" w:rsidRDefault="00B15056" w:rsidP="00A2683E">
            <w:pPr>
              <w:widowControl/>
              <w:spacing w:line="360" w:lineRule="auto"/>
              <w:rPr>
                <w:rFonts w:ascii="Book Antiqua" w:eastAsia="MS PGothic" w:hAnsi="Book Antiqua"/>
                <w:b/>
                <w:bCs/>
                <w:kern w:val="0"/>
                <w:szCs w:val="24"/>
              </w:rPr>
            </w:pPr>
            <w:r w:rsidRPr="007E0C28">
              <w:rPr>
                <w:rFonts w:ascii="Book Antiqua" w:eastAsia="MS PGothic" w:hAnsi="Book Antiqua"/>
                <w:b/>
                <w:bCs/>
                <w:kern w:val="0"/>
                <w:szCs w:val="24"/>
              </w:rPr>
              <w:t>Surface layer</w:t>
            </w:r>
          </w:p>
        </w:tc>
        <w:tc>
          <w:tcPr>
            <w:tcW w:w="1878" w:type="dxa"/>
            <w:tcBorders>
              <w:top w:val="single" w:sz="8" w:space="0" w:color="4BACC6"/>
              <w:left w:val="nil"/>
              <w:bottom w:val="single" w:sz="8" w:space="0" w:color="4BACC6"/>
              <w:right w:val="nil"/>
            </w:tcBorders>
            <w:noWrap/>
          </w:tcPr>
          <w:p w:rsidR="00B15056" w:rsidRPr="007E0C28" w:rsidRDefault="00B15056" w:rsidP="00A2683E">
            <w:pPr>
              <w:widowControl/>
              <w:spacing w:line="360" w:lineRule="auto"/>
              <w:rPr>
                <w:rFonts w:ascii="Book Antiqua" w:eastAsia="MS PGothic" w:hAnsi="Book Antiqua"/>
                <w:b/>
                <w:bCs/>
                <w:kern w:val="0"/>
                <w:szCs w:val="24"/>
              </w:rPr>
            </w:pPr>
            <w:r w:rsidRPr="007E0C28">
              <w:rPr>
                <w:rFonts w:ascii="Book Antiqua" w:eastAsia="MS PGothic" w:hAnsi="Book Antiqua"/>
                <w:b/>
                <w:bCs/>
                <w:kern w:val="0"/>
                <w:szCs w:val="24"/>
              </w:rPr>
              <w:t>Inner part</w:t>
            </w:r>
          </w:p>
        </w:tc>
        <w:tc>
          <w:tcPr>
            <w:tcW w:w="822" w:type="dxa"/>
            <w:tcBorders>
              <w:top w:val="single" w:sz="8" w:space="0" w:color="4BACC6"/>
              <w:left w:val="nil"/>
              <w:bottom w:val="single" w:sz="8" w:space="0" w:color="4BACC6"/>
              <w:right w:val="nil"/>
            </w:tcBorders>
            <w:noWrap/>
          </w:tcPr>
          <w:p w:rsidR="00B15056" w:rsidRPr="007E0C28" w:rsidRDefault="00B15056" w:rsidP="00A2683E">
            <w:pPr>
              <w:widowControl/>
              <w:spacing w:line="360" w:lineRule="auto"/>
              <w:rPr>
                <w:rFonts w:ascii="Book Antiqua" w:eastAsia="MS PGothic" w:hAnsi="Book Antiqua"/>
                <w:b/>
                <w:bCs/>
                <w:kern w:val="0"/>
                <w:szCs w:val="24"/>
              </w:rPr>
            </w:pPr>
            <w:r w:rsidRPr="007E0C28">
              <w:rPr>
                <w:rFonts w:ascii="Book Antiqua" w:eastAsia="MS PGothic" w:hAnsi="Book Antiqua"/>
                <w:b/>
                <w:bCs/>
                <w:i/>
                <w:kern w:val="0"/>
                <w:szCs w:val="24"/>
              </w:rPr>
              <w:t>P</w:t>
            </w:r>
            <w:r w:rsidRPr="007E0C28">
              <w:rPr>
                <w:rFonts w:ascii="Book Antiqua" w:eastAsia="MS PGothic" w:hAnsi="Book Antiqua"/>
                <w:b/>
                <w:bCs/>
                <w:kern w:val="0"/>
                <w:szCs w:val="24"/>
              </w:rPr>
              <w:t>-value</w:t>
            </w:r>
          </w:p>
        </w:tc>
      </w:tr>
      <w:tr w:rsidR="00B15056" w:rsidRPr="007E0C28" w:rsidTr="002D5C49">
        <w:trPr>
          <w:trHeight w:val="270"/>
        </w:trPr>
        <w:tc>
          <w:tcPr>
            <w:tcW w:w="1080" w:type="dxa"/>
            <w:tcBorders>
              <w:left w:val="nil"/>
              <w:right w:val="nil"/>
            </w:tcBorders>
            <w:noWrap/>
          </w:tcPr>
          <w:p w:rsidR="00B15056" w:rsidRPr="007E0C28" w:rsidRDefault="00B15056" w:rsidP="00A2683E">
            <w:pPr>
              <w:widowControl/>
              <w:spacing w:line="360" w:lineRule="auto"/>
              <w:rPr>
                <w:rFonts w:ascii="Book Antiqua" w:eastAsia="MS PGothic" w:hAnsi="Book Antiqua"/>
                <w:b/>
                <w:bCs/>
                <w:kern w:val="0"/>
                <w:szCs w:val="24"/>
              </w:rPr>
            </w:pPr>
            <w:r w:rsidRPr="007E0C28">
              <w:rPr>
                <w:rFonts w:ascii="Book Antiqua" w:eastAsia="MS PGothic" w:hAnsi="Book Antiqua"/>
                <w:bCs/>
                <w:kern w:val="0"/>
                <w:szCs w:val="24"/>
              </w:rPr>
              <w:t>C</w:t>
            </w:r>
          </w:p>
        </w:tc>
        <w:tc>
          <w:tcPr>
            <w:tcW w:w="1830" w:type="dxa"/>
            <w:tcBorders>
              <w:left w:val="nil"/>
              <w:right w:val="nil"/>
            </w:tcBorders>
            <w:noWrap/>
          </w:tcPr>
          <w:p w:rsidR="00B15056" w:rsidRPr="007E0C28" w:rsidRDefault="00B15056" w:rsidP="00A2683E">
            <w:pPr>
              <w:widowControl/>
              <w:spacing w:line="360" w:lineRule="auto"/>
              <w:rPr>
                <w:rFonts w:ascii="Book Antiqua" w:eastAsia="MS PGothic" w:hAnsi="Book Antiqua"/>
                <w:kern w:val="0"/>
                <w:szCs w:val="24"/>
              </w:rPr>
            </w:pPr>
            <w:r w:rsidRPr="007E0C28">
              <w:rPr>
                <w:rFonts w:ascii="Book Antiqua" w:eastAsia="MS PGothic" w:hAnsi="Book Antiqua"/>
                <w:kern w:val="0"/>
                <w:szCs w:val="24"/>
              </w:rPr>
              <w:t>52.91</w:t>
            </w:r>
            <w:r w:rsidRPr="007E0C28">
              <w:rPr>
                <w:rFonts w:ascii="Book Antiqua" w:eastAsia="宋体" w:hAnsi="Book Antiqua"/>
                <w:kern w:val="0"/>
                <w:szCs w:val="24"/>
                <w:lang w:eastAsia="zh-CN"/>
              </w:rPr>
              <w:t xml:space="preserve"> </w:t>
            </w:r>
            <w:r w:rsidRPr="007E0C28">
              <w:rPr>
                <w:rFonts w:ascii="Book Antiqua" w:eastAsia="MS PGothic" w:hAnsi="Book Antiqua"/>
                <w:kern w:val="0"/>
                <w:szCs w:val="24"/>
              </w:rPr>
              <w:t>±</w:t>
            </w:r>
            <w:r w:rsidRPr="007E0C28">
              <w:rPr>
                <w:rFonts w:ascii="Book Antiqua" w:eastAsia="宋体" w:hAnsi="Book Antiqua"/>
                <w:kern w:val="0"/>
                <w:szCs w:val="24"/>
                <w:lang w:eastAsia="zh-CN"/>
              </w:rPr>
              <w:t xml:space="preserve"> </w:t>
            </w:r>
            <w:r w:rsidRPr="007E0C28">
              <w:rPr>
                <w:rFonts w:ascii="Book Antiqua" w:eastAsia="MS PGothic" w:hAnsi="Book Antiqua"/>
                <w:kern w:val="0"/>
                <w:szCs w:val="24"/>
              </w:rPr>
              <w:t>13.88</w:t>
            </w:r>
          </w:p>
        </w:tc>
        <w:tc>
          <w:tcPr>
            <w:tcW w:w="1878" w:type="dxa"/>
            <w:tcBorders>
              <w:left w:val="nil"/>
              <w:right w:val="nil"/>
            </w:tcBorders>
            <w:noWrap/>
          </w:tcPr>
          <w:p w:rsidR="00B15056" w:rsidRPr="007E0C28" w:rsidRDefault="00B15056" w:rsidP="00A2683E">
            <w:pPr>
              <w:widowControl/>
              <w:spacing w:line="360" w:lineRule="auto"/>
              <w:rPr>
                <w:rFonts w:ascii="Book Antiqua" w:eastAsia="MS PGothic" w:hAnsi="Book Antiqua"/>
                <w:kern w:val="0"/>
                <w:szCs w:val="24"/>
              </w:rPr>
            </w:pPr>
            <w:r w:rsidRPr="007E0C28">
              <w:rPr>
                <w:rFonts w:ascii="Book Antiqua" w:eastAsia="MS PGothic" w:hAnsi="Book Antiqua"/>
                <w:kern w:val="0"/>
                <w:szCs w:val="24"/>
              </w:rPr>
              <w:t>62.30</w:t>
            </w:r>
            <w:r w:rsidRPr="007E0C28">
              <w:rPr>
                <w:rFonts w:ascii="Book Antiqua" w:eastAsia="宋体" w:hAnsi="Book Antiqua"/>
                <w:kern w:val="0"/>
                <w:szCs w:val="24"/>
                <w:lang w:eastAsia="zh-CN"/>
              </w:rPr>
              <w:t xml:space="preserve"> </w:t>
            </w:r>
            <w:r w:rsidRPr="007E0C28">
              <w:rPr>
                <w:rFonts w:ascii="Book Antiqua" w:eastAsia="MS PGothic" w:hAnsi="Book Antiqua"/>
                <w:kern w:val="0"/>
                <w:szCs w:val="24"/>
              </w:rPr>
              <w:t>±</w:t>
            </w:r>
            <w:r w:rsidRPr="007E0C28">
              <w:rPr>
                <w:rFonts w:ascii="Book Antiqua" w:eastAsia="宋体" w:hAnsi="Book Antiqua"/>
                <w:kern w:val="0"/>
                <w:szCs w:val="24"/>
                <w:lang w:eastAsia="zh-CN"/>
              </w:rPr>
              <w:t xml:space="preserve"> </w:t>
            </w:r>
            <w:r w:rsidRPr="007E0C28">
              <w:rPr>
                <w:rFonts w:ascii="Book Antiqua" w:eastAsia="MS PGothic" w:hAnsi="Book Antiqua"/>
                <w:kern w:val="0"/>
                <w:szCs w:val="24"/>
              </w:rPr>
              <w:t>15.77</w:t>
            </w:r>
          </w:p>
        </w:tc>
        <w:tc>
          <w:tcPr>
            <w:tcW w:w="822" w:type="dxa"/>
            <w:tcBorders>
              <w:left w:val="nil"/>
              <w:right w:val="nil"/>
            </w:tcBorders>
            <w:noWrap/>
          </w:tcPr>
          <w:p w:rsidR="00B15056" w:rsidRPr="007E0C28" w:rsidRDefault="00B15056" w:rsidP="00A2683E">
            <w:pPr>
              <w:widowControl/>
              <w:spacing w:line="360" w:lineRule="auto"/>
              <w:rPr>
                <w:rFonts w:ascii="Book Antiqua" w:eastAsia="MS PGothic" w:hAnsi="Book Antiqua"/>
                <w:kern w:val="0"/>
                <w:szCs w:val="24"/>
              </w:rPr>
            </w:pPr>
            <w:r w:rsidRPr="007E0C28">
              <w:rPr>
                <w:rFonts w:ascii="Book Antiqua" w:eastAsia="MS PGothic" w:hAnsi="Book Antiqua"/>
                <w:kern w:val="0"/>
                <w:szCs w:val="24"/>
              </w:rPr>
              <w:t xml:space="preserve">0.35 </w:t>
            </w:r>
          </w:p>
        </w:tc>
      </w:tr>
      <w:tr w:rsidR="00B15056" w:rsidRPr="007E0C28" w:rsidTr="002D5C49">
        <w:trPr>
          <w:trHeight w:val="270"/>
        </w:trPr>
        <w:tc>
          <w:tcPr>
            <w:tcW w:w="1080" w:type="dxa"/>
            <w:noWrap/>
          </w:tcPr>
          <w:p w:rsidR="00B15056" w:rsidRPr="007E0C28" w:rsidRDefault="00B15056" w:rsidP="00A2683E">
            <w:pPr>
              <w:widowControl/>
              <w:spacing w:line="360" w:lineRule="auto"/>
              <w:rPr>
                <w:rFonts w:ascii="Book Antiqua" w:eastAsia="MS PGothic" w:hAnsi="Book Antiqua"/>
                <w:b/>
                <w:bCs/>
                <w:kern w:val="0"/>
                <w:szCs w:val="24"/>
              </w:rPr>
            </w:pPr>
            <w:r w:rsidRPr="007E0C28">
              <w:rPr>
                <w:rFonts w:ascii="Book Antiqua" w:eastAsia="MS PGothic" w:hAnsi="Book Antiqua"/>
                <w:bCs/>
                <w:kern w:val="0"/>
                <w:szCs w:val="24"/>
              </w:rPr>
              <w:t>O</w:t>
            </w:r>
          </w:p>
        </w:tc>
        <w:tc>
          <w:tcPr>
            <w:tcW w:w="1830" w:type="dxa"/>
            <w:noWrap/>
          </w:tcPr>
          <w:p w:rsidR="00B15056" w:rsidRPr="007E0C28" w:rsidRDefault="00B15056" w:rsidP="00A2683E">
            <w:pPr>
              <w:widowControl/>
              <w:spacing w:line="360" w:lineRule="auto"/>
              <w:rPr>
                <w:rFonts w:ascii="Book Antiqua" w:eastAsia="MS PGothic" w:hAnsi="Book Antiqua"/>
                <w:kern w:val="0"/>
                <w:szCs w:val="24"/>
              </w:rPr>
            </w:pPr>
            <w:r w:rsidRPr="007E0C28">
              <w:rPr>
                <w:rFonts w:ascii="Book Antiqua" w:eastAsia="MS PGothic" w:hAnsi="Book Antiqua"/>
                <w:kern w:val="0"/>
                <w:szCs w:val="24"/>
              </w:rPr>
              <w:t>22.42</w:t>
            </w:r>
            <w:r w:rsidRPr="007E0C28">
              <w:rPr>
                <w:rFonts w:ascii="Book Antiqua" w:eastAsia="宋体" w:hAnsi="Book Antiqua"/>
                <w:kern w:val="0"/>
                <w:szCs w:val="24"/>
                <w:lang w:eastAsia="zh-CN"/>
              </w:rPr>
              <w:t xml:space="preserve"> </w:t>
            </w:r>
            <w:r w:rsidRPr="007E0C28">
              <w:rPr>
                <w:rFonts w:ascii="Book Antiqua" w:eastAsia="MS PGothic" w:hAnsi="Book Antiqua"/>
                <w:kern w:val="0"/>
                <w:szCs w:val="24"/>
              </w:rPr>
              <w:t>±</w:t>
            </w:r>
            <w:r w:rsidRPr="007E0C28">
              <w:rPr>
                <w:rFonts w:ascii="Book Antiqua" w:eastAsia="宋体" w:hAnsi="Book Antiqua"/>
                <w:kern w:val="0"/>
                <w:szCs w:val="24"/>
                <w:lang w:eastAsia="zh-CN"/>
              </w:rPr>
              <w:t xml:space="preserve"> </w:t>
            </w:r>
            <w:r w:rsidRPr="007E0C28">
              <w:rPr>
                <w:rFonts w:ascii="Book Antiqua" w:eastAsia="MS PGothic" w:hAnsi="Book Antiqua"/>
                <w:kern w:val="0"/>
                <w:szCs w:val="24"/>
              </w:rPr>
              <w:t>5.95</w:t>
            </w:r>
          </w:p>
        </w:tc>
        <w:tc>
          <w:tcPr>
            <w:tcW w:w="1878" w:type="dxa"/>
            <w:noWrap/>
          </w:tcPr>
          <w:p w:rsidR="00B15056" w:rsidRPr="007E0C28" w:rsidRDefault="00B15056" w:rsidP="00A2683E">
            <w:pPr>
              <w:widowControl/>
              <w:spacing w:line="360" w:lineRule="auto"/>
              <w:rPr>
                <w:rFonts w:ascii="Book Antiqua" w:eastAsia="MS PGothic" w:hAnsi="Book Antiqua"/>
                <w:kern w:val="0"/>
                <w:szCs w:val="24"/>
              </w:rPr>
            </w:pPr>
            <w:r w:rsidRPr="007E0C28">
              <w:rPr>
                <w:rFonts w:ascii="Book Antiqua" w:eastAsia="MS PGothic" w:hAnsi="Book Antiqua"/>
                <w:kern w:val="0"/>
                <w:szCs w:val="24"/>
              </w:rPr>
              <w:t>43.71</w:t>
            </w:r>
            <w:r w:rsidRPr="007E0C28">
              <w:rPr>
                <w:rFonts w:ascii="Book Antiqua" w:eastAsia="宋体" w:hAnsi="Book Antiqua"/>
                <w:kern w:val="0"/>
                <w:szCs w:val="24"/>
                <w:lang w:eastAsia="zh-CN"/>
              </w:rPr>
              <w:t xml:space="preserve"> </w:t>
            </w:r>
            <w:r w:rsidRPr="007E0C28">
              <w:rPr>
                <w:rFonts w:ascii="Book Antiqua" w:eastAsia="MS PGothic" w:hAnsi="Book Antiqua"/>
                <w:kern w:val="0"/>
                <w:szCs w:val="24"/>
              </w:rPr>
              <w:t>±</w:t>
            </w:r>
            <w:r w:rsidRPr="007E0C28">
              <w:rPr>
                <w:rFonts w:ascii="Book Antiqua" w:eastAsia="宋体" w:hAnsi="Book Antiqua"/>
                <w:kern w:val="0"/>
                <w:szCs w:val="24"/>
                <w:lang w:eastAsia="zh-CN"/>
              </w:rPr>
              <w:t xml:space="preserve"> </w:t>
            </w:r>
            <w:r w:rsidRPr="007E0C28">
              <w:rPr>
                <w:rFonts w:ascii="Book Antiqua" w:eastAsia="MS PGothic" w:hAnsi="Book Antiqua"/>
                <w:kern w:val="0"/>
                <w:szCs w:val="24"/>
              </w:rPr>
              <w:t>14.56</w:t>
            </w:r>
          </w:p>
        </w:tc>
        <w:tc>
          <w:tcPr>
            <w:tcW w:w="822" w:type="dxa"/>
            <w:noWrap/>
          </w:tcPr>
          <w:p w:rsidR="00B15056" w:rsidRPr="007E0C28" w:rsidRDefault="00B15056" w:rsidP="00A2683E">
            <w:pPr>
              <w:widowControl/>
              <w:spacing w:line="360" w:lineRule="auto"/>
              <w:rPr>
                <w:rFonts w:ascii="Book Antiqua" w:eastAsia="MS PGothic" w:hAnsi="Book Antiqua"/>
                <w:kern w:val="0"/>
                <w:szCs w:val="24"/>
              </w:rPr>
            </w:pPr>
            <w:r w:rsidRPr="007E0C28">
              <w:rPr>
                <w:rFonts w:ascii="Book Antiqua" w:eastAsia="MS PGothic" w:hAnsi="Book Antiqua"/>
                <w:kern w:val="0"/>
                <w:szCs w:val="24"/>
              </w:rPr>
              <w:t>&lt;</w:t>
            </w:r>
            <w:r w:rsidRPr="007E0C28">
              <w:rPr>
                <w:rFonts w:ascii="Book Antiqua" w:eastAsia="宋体" w:hAnsi="Book Antiqua"/>
                <w:kern w:val="0"/>
                <w:szCs w:val="24"/>
                <w:lang w:eastAsia="zh-CN"/>
              </w:rPr>
              <w:t xml:space="preserve"> </w:t>
            </w:r>
            <w:r w:rsidRPr="007E0C28">
              <w:rPr>
                <w:rFonts w:ascii="Book Antiqua" w:eastAsia="MS PGothic" w:hAnsi="Book Antiqua"/>
                <w:kern w:val="0"/>
                <w:szCs w:val="24"/>
              </w:rPr>
              <w:t>0.05</w:t>
            </w:r>
          </w:p>
        </w:tc>
      </w:tr>
      <w:tr w:rsidR="00B15056" w:rsidRPr="007E0C28" w:rsidTr="002D5C49">
        <w:trPr>
          <w:trHeight w:val="270"/>
        </w:trPr>
        <w:tc>
          <w:tcPr>
            <w:tcW w:w="1080" w:type="dxa"/>
            <w:tcBorders>
              <w:left w:val="nil"/>
              <w:right w:val="nil"/>
            </w:tcBorders>
            <w:noWrap/>
          </w:tcPr>
          <w:p w:rsidR="00B15056" w:rsidRPr="007E0C28" w:rsidRDefault="00B15056" w:rsidP="00A2683E">
            <w:pPr>
              <w:widowControl/>
              <w:spacing w:line="360" w:lineRule="auto"/>
              <w:rPr>
                <w:rFonts w:ascii="Book Antiqua" w:eastAsia="MS PGothic" w:hAnsi="Book Antiqua"/>
                <w:b/>
                <w:bCs/>
                <w:kern w:val="0"/>
                <w:szCs w:val="24"/>
              </w:rPr>
            </w:pPr>
            <w:r w:rsidRPr="007E0C28">
              <w:rPr>
                <w:rFonts w:ascii="Book Antiqua" w:eastAsia="MS PGothic" w:hAnsi="Book Antiqua"/>
                <w:bCs/>
                <w:kern w:val="0"/>
                <w:szCs w:val="24"/>
              </w:rPr>
              <w:t>Na</w:t>
            </w:r>
          </w:p>
        </w:tc>
        <w:tc>
          <w:tcPr>
            <w:tcW w:w="1830" w:type="dxa"/>
            <w:tcBorders>
              <w:left w:val="nil"/>
              <w:right w:val="nil"/>
            </w:tcBorders>
            <w:noWrap/>
          </w:tcPr>
          <w:p w:rsidR="00B15056" w:rsidRPr="007E0C28" w:rsidRDefault="00B15056" w:rsidP="00A2683E">
            <w:pPr>
              <w:widowControl/>
              <w:spacing w:line="360" w:lineRule="auto"/>
              <w:rPr>
                <w:rFonts w:ascii="Book Antiqua" w:eastAsia="MS PGothic" w:hAnsi="Book Antiqua"/>
                <w:kern w:val="0"/>
                <w:szCs w:val="24"/>
              </w:rPr>
            </w:pPr>
            <w:r w:rsidRPr="007E0C28">
              <w:rPr>
                <w:rFonts w:ascii="Book Antiqua" w:eastAsia="MS PGothic" w:hAnsi="Book Antiqua"/>
                <w:kern w:val="0"/>
                <w:szCs w:val="24"/>
              </w:rPr>
              <w:t>12.77</w:t>
            </w:r>
            <w:r w:rsidRPr="007E0C28">
              <w:rPr>
                <w:rFonts w:ascii="Book Antiqua" w:eastAsia="宋体" w:hAnsi="Book Antiqua"/>
                <w:kern w:val="0"/>
                <w:szCs w:val="24"/>
                <w:lang w:eastAsia="zh-CN"/>
              </w:rPr>
              <w:t xml:space="preserve"> </w:t>
            </w:r>
            <w:r w:rsidRPr="007E0C28">
              <w:rPr>
                <w:rFonts w:ascii="Book Antiqua" w:eastAsia="MS PGothic" w:hAnsi="Book Antiqua"/>
                <w:kern w:val="0"/>
                <w:szCs w:val="24"/>
              </w:rPr>
              <w:t>±</w:t>
            </w:r>
            <w:r w:rsidRPr="007E0C28">
              <w:rPr>
                <w:rFonts w:ascii="Book Antiqua" w:eastAsia="宋体" w:hAnsi="Book Antiqua"/>
                <w:kern w:val="0"/>
                <w:szCs w:val="24"/>
                <w:lang w:eastAsia="zh-CN"/>
              </w:rPr>
              <w:t xml:space="preserve"> </w:t>
            </w:r>
            <w:r w:rsidRPr="007E0C28">
              <w:rPr>
                <w:rFonts w:ascii="Book Antiqua" w:eastAsia="MS PGothic" w:hAnsi="Book Antiqua"/>
                <w:kern w:val="0"/>
                <w:szCs w:val="24"/>
              </w:rPr>
              <w:t>5.09</w:t>
            </w:r>
          </w:p>
        </w:tc>
        <w:tc>
          <w:tcPr>
            <w:tcW w:w="1878" w:type="dxa"/>
            <w:tcBorders>
              <w:left w:val="nil"/>
              <w:right w:val="nil"/>
            </w:tcBorders>
            <w:noWrap/>
          </w:tcPr>
          <w:p w:rsidR="00B15056" w:rsidRPr="007E0C28" w:rsidRDefault="00B15056" w:rsidP="00A2683E">
            <w:pPr>
              <w:widowControl/>
              <w:spacing w:line="360" w:lineRule="auto"/>
              <w:rPr>
                <w:rFonts w:ascii="Book Antiqua" w:eastAsia="MS PGothic" w:hAnsi="Book Antiqua"/>
                <w:kern w:val="0"/>
                <w:szCs w:val="24"/>
              </w:rPr>
            </w:pPr>
            <w:r w:rsidRPr="007E0C28">
              <w:rPr>
                <w:rFonts w:ascii="Book Antiqua" w:eastAsia="MS PGothic" w:hAnsi="Book Antiqua"/>
                <w:kern w:val="0"/>
                <w:szCs w:val="24"/>
              </w:rPr>
              <w:t>21.24</w:t>
            </w:r>
            <w:r w:rsidRPr="007E0C28">
              <w:rPr>
                <w:rFonts w:ascii="Book Antiqua" w:eastAsia="宋体" w:hAnsi="Book Antiqua"/>
                <w:kern w:val="0"/>
                <w:szCs w:val="24"/>
                <w:lang w:eastAsia="zh-CN"/>
              </w:rPr>
              <w:t xml:space="preserve"> </w:t>
            </w:r>
            <w:r w:rsidRPr="007E0C28">
              <w:rPr>
                <w:rFonts w:ascii="Book Antiqua" w:eastAsia="MS PGothic" w:hAnsi="Book Antiqua"/>
                <w:kern w:val="0"/>
                <w:szCs w:val="24"/>
              </w:rPr>
              <w:t>±</w:t>
            </w:r>
            <w:r w:rsidRPr="007E0C28">
              <w:rPr>
                <w:rFonts w:ascii="Book Antiqua" w:eastAsia="宋体" w:hAnsi="Book Antiqua"/>
                <w:kern w:val="0"/>
                <w:szCs w:val="24"/>
                <w:lang w:eastAsia="zh-CN"/>
              </w:rPr>
              <w:t xml:space="preserve"> </w:t>
            </w:r>
            <w:r w:rsidRPr="007E0C28">
              <w:rPr>
                <w:rFonts w:ascii="Book Antiqua" w:eastAsia="MS PGothic" w:hAnsi="Book Antiqua"/>
                <w:kern w:val="0"/>
                <w:szCs w:val="24"/>
              </w:rPr>
              <w:t>6.26</w:t>
            </w:r>
          </w:p>
        </w:tc>
        <w:tc>
          <w:tcPr>
            <w:tcW w:w="822" w:type="dxa"/>
            <w:tcBorders>
              <w:left w:val="nil"/>
              <w:right w:val="nil"/>
            </w:tcBorders>
            <w:noWrap/>
          </w:tcPr>
          <w:p w:rsidR="00B15056" w:rsidRPr="007E0C28" w:rsidRDefault="00B15056" w:rsidP="00A2683E">
            <w:pPr>
              <w:widowControl/>
              <w:spacing w:line="360" w:lineRule="auto"/>
              <w:rPr>
                <w:rFonts w:ascii="Book Antiqua" w:eastAsia="MS PGothic" w:hAnsi="Book Antiqua"/>
                <w:kern w:val="0"/>
                <w:szCs w:val="24"/>
              </w:rPr>
            </w:pPr>
            <w:r w:rsidRPr="007E0C28">
              <w:rPr>
                <w:rFonts w:ascii="Book Antiqua" w:eastAsia="MS PGothic" w:hAnsi="Book Antiqua"/>
                <w:kern w:val="0"/>
                <w:szCs w:val="24"/>
              </w:rPr>
              <w:t>&lt;</w:t>
            </w:r>
            <w:r w:rsidRPr="007E0C28">
              <w:rPr>
                <w:rFonts w:ascii="Book Antiqua" w:eastAsia="宋体" w:hAnsi="Book Antiqua"/>
                <w:kern w:val="0"/>
                <w:szCs w:val="24"/>
                <w:lang w:eastAsia="zh-CN"/>
              </w:rPr>
              <w:t xml:space="preserve"> </w:t>
            </w:r>
            <w:r w:rsidRPr="007E0C28">
              <w:rPr>
                <w:rFonts w:ascii="Book Antiqua" w:eastAsia="MS PGothic" w:hAnsi="Book Antiqua"/>
                <w:kern w:val="0"/>
                <w:szCs w:val="24"/>
              </w:rPr>
              <w:t>0.05</w:t>
            </w:r>
          </w:p>
        </w:tc>
      </w:tr>
      <w:tr w:rsidR="00B15056" w:rsidRPr="007E0C28" w:rsidTr="002D5C49">
        <w:trPr>
          <w:trHeight w:val="270"/>
        </w:trPr>
        <w:tc>
          <w:tcPr>
            <w:tcW w:w="1080" w:type="dxa"/>
            <w:noWrap/>
          </w:tcPr>
          <w:p w:rsidR="00B15056" w:rsidRPr="007E0C28" w:rsidRDefault="00B15056" w:rsidP="00A2683E">
            <w:pPr>
              <w:widowControl/>
              <w:spacing w:line="360" w:lineRule="auto"/>
              <w:rPr>
                <w:rFonts w:ascii="Book Antiqua" w:eastAsia="MS PGothic" w:hAnsi="Book Antiqua"/>
                <w:b/>
                <w:bCs/>
                <w:kern w:val="0"/>
                <w:szCs w:val="24"/>
              </w:rPr>
            </w:pPr>
            <w:r w:rsidRPr="007E0C28">
              <w:rPr>
                <w:rFonts w:ascii="Book Antiqua" w:eastAsia="MS PGothic" w:hAnsi="Book Antiqua"/>
                <w:bCs/>
                <w:kern w:val="0"/>
                <w:szCs w:val="24"/>
              </w:rPr>
              <w:t>Al</w:t>
            </w:r>
          </w:p>
        </w:tc>
        <w:tc>
          <w:tcPr>
            <w:tcW w:w="1830" w:type="dxa"/>
            <w:noWrap/>
          </w:tcPr>
          <w:p w:rsidR="00B15056" w:rsidRPr="007E0C28" w:rsidRDefault="00B15056" w:rsidP="00A2683E">
            <w:pPr>
              <w:widowControl/>
              <w:spacing w:line="360" w:lineRule="auto"/>
              <w:rPr>
                <w:rFonts w:ascii="Book Antiqua" w:eastAsia="MS PGothic" w:hAnsi="Book Antiqua"/>
                <w:kern w:val="0"/>
                <w:szCs w:val="24"/>
              </w:rPr>
            </w:pPr>
            <w:r w:rsidRPr="007E0C28">
              <w:rPr>
                <w:rFonts w:ascii="Book Antiqua" w:eastAsia="MS PGothic" w:hAnsi="Book Antiqua"/>
                <w:kern w:val="0"/>
                <w:szCs w:val="24"/>
              </w:rPr>
              <w:t>9.98</w:t>
            </w:r>
            <w:r w:rsidRPr="007E0C28">
              <w:rPr>
                <w:rFonts w:ascii="Book Antiqua" w:eastAsia="宋体" w:hAnsi="Book Antiqua"/>
                <w:kern w:val="0"/>
                <w:szCs w:val="24"/>
                <w:lang w:eastAsia="zh-CN"/>
              </w:rPr>
              <w:t xml:space="preserve"> </w:t>
            </w:r>
            <w:r w:rsidRPr="007E0C28">
              <w:rPr>
                <w:rFonts w:ascii="Book Antiqua" w:eastAsia="MS PGothic" w:hAnsi="Book Antiqua"/>
                <w:kern w:val="0"/>
                <w:szCs w:val="24"/>
              </w:rPr>
              <w:t>±</w:t>
            </w:r>
            <w:r w:rsidRPr="007E0C28">
              <w:rPr>
                <w:rFonts w:ascii="Book Antiqua" w:eastAsia="宋体" w:hAnsi="Book Antiqua"/>
                <w:kern w:val="0"/>
                <w:szCs w:val="24"/>
                <w:lang w:eastAsia="zh-CN"/>
              </w:rPr>
              <w:t xml:space="preserve"> </w:t>
            </w:r>
            <w:r w:rsidRPr="007E0C28">
              <w:rPr>
                <w:rFonts w:ascii="Book Antiqua" w:eastAsia="MS PGothic" w:hAnsi="Book Antiqua"/>
                <w:kern w:val="0"/>
                <w:szCs w:val="24"/>
              </w:rPr>
              <w:t>2.55</w:t>
            </w:r>
          </w:p>
        </w:tc>
        <w:tc>
          <w:tcPr>
            <w:tcW w:w="1878" w:type="dxa"/>
            <w:noWrap/>
          </w:tcPr>
          <w:p w:rsidR="00B15056" w:rsidRPr="007E0C28" w:rsidRDefault="00B15056" w:rsidP="00A2683E">
            <w:pPr>
              <w:widowControl/>
              <w:spacing w:line="360" w:lineRule="auto"/>
              <w:rPr>
                <w:rFonts w:ascii="Book Antiqua" w:eastAsia="MS PGothic" w:hAnsi="Book Antiqua"/>
                <w:kern w:val="0"/>
                <w:szCs w:val="24"/>
              </w:rPr>
            </w:pPr>
            <w:r w:rsidRPr="007E0C28">
              <w:rPr>
                <w:rFonts w:ascii="Book Antiqua" w:eastAsia="MS PGothic" w:hAnsi="Book Antiqua"/>
                <w:kern w:val="0"/>
                <w:szCs w:val="24"/>
              </w:rPr>
              <w:t>13.01</w:t>
            </w:r>
            <w:r w:rsidRPr="007E0C28">
              <w:rPr>
                <w:rFonts w:ascii="Book Antiqua" w:eastAsia="宋体" w:hAnsi="Book Antiqua"/>
                <w:kern w:val="0"/>
                <w:szCs w:val="24"/>
                <w:lang w:eastAsia="zh-CN"/>
              </w:rPr>
              <w:t xml:space="preserve"> </w:t>
            </w:r>
            <w:r w:rsidRPr="007E0C28">
              <w:rPr>
                <w:rFonts w:ascii="Book Antiqua" w:eastAsia="MS PGothic" w:hAnsi="Book Antiqua"/>
                <w:kern w:val="0"/>
                <w:szCs w:val="24"/>
              </w:rPr>
              <w:t>±</w:t>
            </w:r>
            <w:r w:rsidRPr="007E0C28">
              <w:rPr>
                <w:rFonts w:ascii="Book Antiqua" w:eastAsia="宋体" w:hAnsi="Book Antiqua"/>
                <w:kern w:val="0"/>
                <w:szCs w:val="24"/>
                <w:lang w:eastAsia="zh-CN"/>
              </w:rPr>
              <w:t xml:space="preserve"> </w:t>
            </w:r>
            <w:r w:rsidRPr="007E0C28">
              <w:rPr>
                <w:rFonts w:ascii="Book Antiqua" w:eastAsia="MS PGothic" w:hAnsi="Book Antiqua"/>
                <w:kern w:val="0"/>
                <w:szCs w:val="24"/>
              </w:rPr>
              <w:t>2.64</w:t>
            </w:r>
          </w:p>
        </w:tc>
        <w:tc>
          <w:tcPr>
            <w:tcW w:w="822" w:type="dxa"/>
            <w:noWrap/>
          </w:tcPr>
          <w:p w:rsidR="00B15056" w:rsidRPr="007E0C28" w:rsidRDefault="00B15056" w:rsidP="00A2683E">
            <w:pPr>
              <w:widowControl/>
              <w:spacing w:line="360" w:lineRule="auto"/>
              <w:rPr>
                <w:rFonts w:ascii="Book Antiqua" w:eastAsia="MS PGothic" w:hAnsi="Book Antiqua"/>
                <w:kern w:val="0"/>
                <w:szCs w:val="24"/>
              </w:rPr>
            </w:pPr>
            <w:r w:rsidRPr="007E0C28">
              <w:rPr>
                <w:rFonts w:ascii="Book Antiqua" w:eastAsia="MS PGothic" w:hAnsi="Book Antiqua"/>
                <w:kern w:val="0"/>
                <w:szCs w:val="24"/>
              </w:rPr>
              <w:t xml:space="preserve">0.10 </w:t>
            </w:r>
          </w:p>
        </w:tc>
      </w:tr>
      <w:tr w:rsidR="00B15056" w:rsidRPr="007E0C28" w:rsidTr="002D5C49">
        <w:trPr>
          <w:trHeight w:val="270"/>
        </w:trPr>
        <w:tc>
          <w:tcPr>
            <w:tcW w:w="1080" w:type="dxa"/>
            <w:tcBorders>
              <w:left w:val="nil"/>
              <w:right w:val="nil"/>
            </w:tcBorders>
            <w:noWrap/>
          </w:tcPr>
          <w:p w:rsidR="00B15056" w:rsidRPr="007E0C28" w:rsidRDefault="00B15056" w:rsidP="00A2683E">
            <w:pPr>
              <w:widowControl/>
              <w:spacing w:line="360" w:lineRule="auto"/>
              <w:rPr>
                <w:rFonts w:ascii="Book Antiqua" w:eastAsia="MS PGothic" w:hAnsi="Book Antiqua"/>
                <w:b/>
                <w:bCs/>
                <w:kern w:val="0"/>
                <w:szCs w:val="24"/>
              </w:rPr>
            </w:pPr>
            <w:r w:rsidRPr="007E0C28">
              <w:rPr>
                <w:rFonts w:ascii="Book Antiqua" w:eastAsia="MS PGothic" w:hAnsi="Book Antiqua"/>
                <w:bCs/>
                <w:kern w:val="0"/>
                <w:szCs w:val="24"/>
              </w:rPr>
              <w:t>Y</w:t>
            </w:r>
          </w:p>
        </w:tc>
        <w:tc>
          <w:tcPr>
            <w:tcW w:w="1830" w:type="dxa"/>
            <w:tcBorders>
              <w:left w:val="nil"/>
              <w:right w:val="nil"/>
            </w:tcBorders>
            <w:noWrap/>
          </w:tcPr>
          <w:p w:rsidR="00B15056" w:rsidRPr="007E0C28" w:rsidRDefault="00B15056" w:rsidP="00A2683E">
            <w:pPr>
              <w:widowControl/>
              <w:spacing w:line="360" w:lineRule="auto"/>
              <w:rPr>
                <w:rFonts w:ascii="Book Antiqua" w:eastAsia="MS PGothic" w:hAnsi="Book Antiqua"/>
                <w:kern w:val="0"/>
                <w:szCs w:val="24"/>
              </w:rPr>
            </w:pPr>
            <w:r w:rsidRPr="007E0C28">
              <w:rPr>
                <w:rFonts w:ascii="Book Antiqua" w:eastAsia="MS PGothic" w:hAnsi="Book Antiqua"/>
                <w:kern w:val="0"/>
                <w:szCs w:val="24"/>
              </w:rPr>
              <w:t>160.62</w:t>
            </w:r>
            <w:r w:rsidRPr="007E0C28">
              <w:rPr>
                <w:rFonts w:ascii="Book Antiqua" w:eastAsia="宋体" w:hAnsi="Book Antiqua"/>
                <w:kern w:val="0"/>
                <w:szCs w:val="24"/>
                <w:lang w:eastAsia="zh-CN"/>
              </w:rPr>
              <w:t xml:space="preserve"> </w:t>
            </w:r>
            <w:r w:rsidRPr="007E0C28">
              <w:rPr>
                <w:rFonts w:ascii="Book Antiqua" w:eastAsia="MS PGothic" w:hAnsi="Book Antiqua"/>
                <w:kern w:val="0"/>
                <w:szCs w:val="24"/>
              </w:rPr>
              <w:t>±</w:t>
            </w:r>
            <w:r w:rsidRPr="007E0C28">
              <w:rPr>
                <w:rFonts w:ascii="Book Antiqua" w:eastAsia="宋体" w:hAnsi="Book Antiqua"/>
                <w:kern w:val="0"/>
                <w:szCs w:val="24"/>
                <w:lang w:eastAsia="zh-CN"/>
              </w:rPr>
              <w:t xml:space="preserve"> </w:t>
            </w:r>
            <w:r w:rsidRPr="007E0C28">
              <w:rPr>
                <w:rFonts w:ascii="Book Antiqua" w:eastAsia="MS PGothic" w:hAnsi="Book Antiqua"/>
                <w:kern w:val="0"/>
                <w:szCs w:val="24"/>
              </w:rPr>
              <w:t>29.73</w:t>
            </w:r>
          </w:p>
        </w:tc>
        <w:tc>
          <w:tcPr>
            <w:tcW w:w="1878" w:type="dxa"/>
            <w:tcBorders>
              <w:left w:val="nil"/>
              <w:right w:val="nil"/>
            </w:tcBorders>
            <w:noWrap/>
          </w:tcPr>
          <w:p w:rsidR="00B15056" w:rsidRPr="007E0C28" w:rsidRDefault="00B15056" w:rsidP="00A2683E">
            <w:pPr>
              <w:widowControl/>
              <w:spacing w:line="360" w:lineRule="auto"/>
              <w:rPr>
                <w:rFonts w:ascii="Book Antiqua" w:eastAsia="MS PGothic" w:hAnsi="Book Antiqua"/>
                <w:kern w:val="0"/>
                <w:szCs w:val="24"/>
              </w:rPr>
            </w:pPr>
            <w:r w:rsidRPr="007E0C28">
              <w:rPr>
                <w:rFonts w:ascii="Book Antiqua" w:eastAsia="MS PGothic" w:hAnsi="Book Antiqua"/>
                <w:kern w:val="0"/>
                <w:szCs w:val="24"/>
              </w:rPr>
              <w:t>209.37</w:t>
            </w:r>
            <w:r w:rsidRPr="007E0C28">
              <w:rPr>
                <w:rFonts w:ascii="Book Antiqua" w:eastAsia="宋体" w:hAnsi="Book Antiqua"/>
                <w:kern w:val="0"/>
                <w:szCs w:val="24"/>
                <w:lang w:eastAsia="zh-CN"/>
              </w:rPr>
              <w:t xml:space="preserve"> </w:t>
            </w:r>
            <w:r w:rsidRPr="007E0C28">
              <w:rPr>
                <w:rFonts w:ascii="Book Antiqua" w:eastAsia="MS PGothic" w:hAnsi="Book Antiqua"/>
                <w:kern w:val="0"/>
                <w:szCs w:val="24"/>
              </w:rPr>
              <w:t>±</w:t>
            </w:r>
            <w:r w:rsidRPr="007E0C28">
              <w:rPr>
                <w:rFonts w:ascii="Book Antiqua" w:eastAsia="宋体" w:hAnsi="Book Antiqua"/>
                <w:kern w:val="0"/>
                <w:szCs w:val="24"/>
                <w:lang w:eastAsia="zh-CN"/>
              </w:rPr>
              <w:t xml:space="preserve"> </w:t>
            </w:r>
            <w:r w:rsidRPr="007E0C28">
              <w:rPr>
                <w:rFonts w:ascii="Book Antiqua" w:eastAsia="MS PGothic" w:hAnsi="Book Antiqua"/>
                <w:kern w:val="0"/>
                <w:szCs w:val="24"/>
              </w:rPr>
              <w:t>38.48</w:t>
            </w:r>
          </w:p>
        </w:tc>
        <w:tc>
          <w:tcPr>
            <w:tcW w:w="822" w:type="dxa"/>
            <w:tcBorders>
              <w:left w:val="nil"/>
              <w:right w:val="nil"/>
            </w:tcBorders>
            <w:noWrap/>
          </w:tcPr>
          <w:p w:rsidR="00B15056" w:rsidRPr="007E0C28" w:rsidRDefault="00B15056" w:rsidP="00A2683E">
            <w:pPr>
              <w:widowControl/>
              <w:spacing w:line="360" w:lineRule="auto"/>
              <w:rPr>
                <w:rFonts w:ascii="Book Antiqua" w:eastAsia="MS PGothic" w:hAnsi="Book Antiqua"/>
                <w:kern w:val="0"/>
                <w:szCs w:val="24"/>
              </w:rPr>
            </w:pPr>
            <w:r w:rsidRPr="007E0C28">
              <w:rPr>
                <w:rFonts w:ascii="Book Antiqua" w:eastAsia="MS PGothic" w:hAnsi="Book Antiqua"/>
                <w:kern w:val="0"/>
                <w:szCs w:val="24"/>
              </w:rPr>
              <w:t xml:space="preserve">0.06 </w:t>
            </w:r>
          </w:p>
        </w:tc>
      </w:tr>
      <w:tr w:rsidR="00B15056" w:rsidRPr="007E0C28" w:rsidTr="002D5C49">
        <w:trPr>
          <w:trHeight w:val="270"/>
        </w:trPr>
        <w:tc>
          <w:tcPr>
            <w:tcW w:w="1080" w:type="dxa"/>
            <w:noWrap/>
          </w:tcPr>
          <w:p w:rsidR="00B15056" w:rsidRPr="007E0C28" w:rsidRDefault="00B15056" w:rsidP="00A2683E">
            <w:pPr>
              <w:widowControl/>
              <w:spacing w:line="360" w:lineRule="auto"/>
              <w:rPr>
                <w:rFonts w:ascii="Book Antiqua" w:eastAsia="MS PGothic" w:hAnsi="Book Antiqua"/>
                <w:b/>
                <w:bCs/>
                <w:kern w:val="0"/>
                <w:szCs w:val="24"/>
              </w:rPr>
            </w:pPr>
            <w:r w:rsidRPr="007E0C28">
              <w:rPr>
                <w:rFonts w:ascii="Book Antiqua" w:eastAsia="MS PGothic" w:hAnsi="Book Antiqua"/>
                <w:bCs/>
                <w:kern w:val="0"/>
                <w:szCs w:val="24"/>
              </w:rPr>
              <w:t>S</w:t>
            </w:r>
          </w:p>
        </w:tc>
        <w:tc>
          <w:tcPr>
            <w:tcW w:w="1830" w:type="dxa"/>
            <w:noWrap/>
          </w:tcPr>
          <w:p w:rsidR="00B15056" w:rsidRPr="007E0C28" w:rsidRDefault="00B15056" w:rsidP="00A2683E">
            <w:pPr>
              <w:widowControl/>
              <w:spacing w:line="360" w:lineRule="auto"/>
              <w:rPr>
                <w:rFonts w:ascii="Book Antiqua" w:eastAsia="MS PGothic" w:hAnsi="Book Antiqua"/>
                <w:kern w:val="0"/>
                <w:szCs w:val="24"/>
              </w:rPr>
            </w:pPr>
            <w:r w:rsidRPr="007E0C28">
              <w:rPr>
                <w:rFonts w:ascii="Book Antiqua" w:eastAsia="MS PGothic" w:hAnsi="Book Antiqua"/>
                <w:kern w:val="0"/>
                <w:szCs w:val="24"/>
              </w:rPr>
              <w:t>16.96</w:t>
            </w:r>
            <w:r w:rsidRPr="007E0C28">
              <w:rPr>
                <w:rFonts w:ascii="Book Antiqua" w:eastAsia="宋体" w:hAnsi="Book Antiqua"/>
                <w:kern w:val="0"/>
                <w:szCs w:val="24"/>
                <w:lang w:eastAsia="zh-CN"/>
              </w:rPr>
              <w:t xml:space="preserve"> </w:t>
            </w:r>
            <w:r w:rsidRPr="007E0C28">
              <w:rPr>
                <w:rFonts w:ascii="Book Antiqua" w:eastAsia="MS PGothic" w:hAnsi="Book Antiqua"/>
                <w:kern w:val="0"/>
                <w:szCs w:val="24"/>
              </w:rPr>
              <w:t>±</w:t>
            </w:r>
            <w:r w:rsidRPr="007E0C28">
              <w:rPr>
                <w:rFonts w:ascii="Book Antiqua" w:eastAsia="宋体" w:hAnsi="Book Antiqua"/>
                <w:kern w:val="0"/>
                <w:szCs w:val="24"/>
                <w:lang w:eastAsia="zh-CN"/>
              </w:rPr>
              <w:t xml:space="preserve"> </w:t>
            </w:r>
            <w:r w:rsidRPr="007E0C28">
              <w:rPr>
                <w:rFonts w:ascii="Book Antiqua" w:eastAsia="MS PGothic" w:hAnsi="Book Antiqua"/>
                <w:kern w:val="0"/>
                <w:szCs w:val="24"/>
              </w:rPr>
              <w:t>3.22</w:t>
            </w:r>
          </w:p>
        </w:tc>
        <w:tc>
          <w:tcPr>
            <w:tcW w:w="1878" w:type="dxa"/>
            <w:noWrap/>
          </w:tcPr>
          <w:p w:rsidR="00B15056" w:rsidRPr="007E0C28" w:rsidRDefault="00B15056" w:rsidP="00A2683E">
            <w:pPr>
              <w:widowControl/>
              <w:spacing w:line="360" w:lineRule="auto"/>
              <w:rPr>
                <w:rFonts w:ascii="Book Antiqua" w:eastAsia="MS PGothic" w:hAnsi="Book Antiqua"/>
                <w:kern w:val="0"/>
                <w:szCs w:val="24"/>
              </w:rPr>
            </w:pPr>
            <w:r w:rsidRPr="007E0C28">
              <w:rPr>
                <w:rFonts w:ascii="Book Antiqua" w:eastAsia="MS PGothic" w:hAnsi="Book Antiqua"/>
                <w:kern w:val="0"/>
                <w:szCs w:val="24"/>
              </w:rPr>
              <w:t>5.27</w:t>
            </w:r>
            <w:r w:rsidRPr="007E0C28">
              <w:rPr>
                <w:rFonts w:ascii="Book Antiqua" w:eastAsia="宋体" w:hAnsi="Book Antiqua"/>
                <w:kern w:val="0"/>
                <w:szCs w:val="24"/>
                <w:lang w:eastAsia="zh-CN"/>
              </w:rPr>
              <w:t xml:space="preserve"> </w:t>
            </w:r>
            <w:r w:rsidRPr="007E0C28">
              <w:rPr>
                <w:rFonts w:ascii="Book Antiqua" w:eastAsia="MS PGothic" w:hAnsi="Book Antiqua"/>
                <w:kern w:val="0"/>
                <w:szCs w:val="24"/>
              </w:rPr>
              <w:t>±</w:t>
            </w:r>
            <w:r w:rsidRPr="007E0C28">
              <w:rPr>
                <w:rFonts w:ascii="Book Antiqua" w:eastAsia="宋体" w:hAnsi="Book Antiqua"/>
                <w:kern w:val="0"/>
                <w:szCs w:val="24"/>
                <w:lang w:eastAsia="zh-CN"/>
              </w:rPr>
              <w:t xml:space="preserve"> </w:t>
            </w:r>
            <w:r w:rsidRPr="007E0C28">
              <w:rPr>
                <w:rFonts w:ascii="Book Antiqua" w:eastAsia="MS PGothic" w:hAnsi="Book Antiqua"/>
                <w:kern w:val="0"/>
                <w:szCs w:val="24"/>
              </w:rPr>
              <w:t>1.95</w:t>
            </w:r>
          </w:p>
        </w:tc>
        <w:tc>
          <w:tcPr>
            <w:tcW w:w="822" w:type="dxa"/>
            <w:noWrap/>
          </w:tcPr>
          <w:p w:rsidR="00B15056" w:rsidRPr="007E0C28" w:rsidRDefault="00B15056" w:rsidP="00A2683E">
            <w:pPr>
              <w:widowControl/>
              <w:spacing w:line="360" w:lineRule="auto"/>
              <w:rPr>
                <w:rFonts w:ascii="Book Antiqua" w:eastAsia="MS PGothic" w:hAnsi="Book Antiqua"/>
                <w:kern w:val="0"/>
                <w:szCs w:val="24"/>
              </w:rPr>
            </w:pPr>
            <w:r w:rsidRPr="007E0C28">
              <w:rPr>
                <w:rFonts w:ascii="Book Antiqua" w:eastAsia="MS PGothic" w:hAnsi="Book Antiqua"/>
                <w:kern w:val="0"/>
                <w:szCs w:val="24"/>
              </w:rPr>
              <w:t>&lt;</w:t>
            </w:r>
            <w:r w:rsidRPr="007E0C28">
              <w:rPr>
                <w:rFonts w:ascii="Book Antiqua" w:eastAsia="宋体" w:hAnsi="Book Antiqua"/>
                <w:kern w:val="0"/>
                <w:szCs w:val="24"/>
                <w:lang w:eastAsia="zh-CN"/>
              </w:rPr>
              <w:t xml:space="preserve"> </w:t>
            </w:r>
            <w:r w:rsidRPr="007E0C28">
              <w:rPr>
                <w:rFonts w:ascii="Book Antiqua" w:eastAsia="MS PGothic" w:hAnsi="Book Antiqua"/>
                <w:kern w:val="0"/>
                <w:szCs w:val="24"/>
              </w:rPr>
              <w:t>0.01</w:t>
            </w:r>
          </w:p>
        </w:tc>
      </w:tr>
      <w:tr w:rsidR="00B15056" w:rsidRPr="007E0C28" w:rsidTr="002D5C49">
        <w:trPr>
          <w:trHeight w:val="270"/>
        </w:trPr>
        <w:tc>
          <w:tcPr>
            <w:tcW w:w="1080" w:type="dxa"/>
            <w:tcBorders>
              <w:left w:val="nil"/>
              <w:right w:val="nil"/>
            </w:tcBorders>
            <w:noWrap/>
          </w:tcPr>
          <w:p w:rsidR="00B15056" w:rsidRPr="007E0C28" w:rsidRDefault="00B15056" w:rsidP="00A2683E">
            <w:pPr>
              <w:widowControl/>
              <w:spacing w:line="360" w:lineRule="auto"/>
              <w:rPr>
                <w:rFonts w:ascii="Book Antiqua" w:eastAsia="MS PGothic" w:hAnsi="Book Antiqua"/>
                <w:b/>
                <w:bCs/>
                <w:kern w:val="0"/>
                <w:szCs w:val="24"/>
              </w:rPr>
            </w:pPr>
            <w:r w:rsidRPr="007E0C28">
              <w:rPr>
                <w:rFonts w:ascii="Book Antiqua" w:eastAsia="MS PGothic" w:hAnsi="Book Antiqua"/>
                <w:bCs/>
                <w:kern w:val="0"/>
                <w:szCs w:val="24"/>
              </w:rPr>
              <w:t>Fe</w:t>
            </w:r>
          </w:p>
        </w:tc>
        <w:tc>
          <w:tcPr>
            <w:tcW w:w="1830" w:type="dxa"/>
            <w:tcBorders>
              <w:left w:val="nil"/>
              <w:right w:val="nil"/>
            </w:tcBorders>
            <w:noWrap/>
          </w:tcPr>
          <w:p w:rsidR="00B15056" w:rsidRPr="007E0C28" w:rsidRDefault="00B15056" w:rsidP="00A2683E">
            <w:pPr>
              <w:widowControl/>
              <w:spacing w:line="360" w:lineRule="auto"/>
              <w:rPr>
                <w:rFonts w:ascii="Book Antiqua" w:eastAsia="MS PGothic" w:hAnsi="Book Antiqua"/>
                <w:kern w:val="0"/>
                <w:szCs w:val="24"/>
              </w:rPr>
            </w:pPr>
            <w:r w:rsidRPr="007E0C28">
              <w:rPr>
                <w:rFonts w:ascii="Book Antiqua" w:eastAsia="MS PGothic" w:hAnsi="Book Antiqua"/>
                <w:kern w:val="0"/>
                <w:szCs w:val="24"/>
              </w:rPr>
              <w:t>9.88</w:t>
            </w:r>
            <w:r w:rsidRPr="007E0C28">
              <w:rPr>
                <w:rFonts w:ascii="Book Antiqua" w:eastAsia="宋体" w:hAnsi="Book Antiqua"/>
                <w:kern w:val="0"/>
                <w:szCs w:val="24"/>
                <w:lang w:eastAsia="zh-CN"/>
              </w:rPr>
              <w:t xml:space="preserve"> </w:t>
            </w:r>
            <w:r w:rsidRPr="007E0C28">
              <w:rPr>
                <w:rFonts w:ascii="Book Antiqua" w:eastAsia="MS PGothic" w:hAnsi="Book Antiqua"/>
                <w:kern w:val="0"/>
                <w:szCs w:val="24"/>
              </w:rPr>
              <w:t>±</w:t>
            </w:r>
            <w:r w:rsidRPr="007E0C28">
              <w:rPr>
                <w:rFonts w:ascii="Book Antiqua" w:eastAsia="宋体" w:hAnsi="Book Antiqua"/>
                <w:kern w:val="0"/>
                <w:szCs w:val="24"/>
                <w:lang w:eastAsia="zh-CN"/>
              </w:rPr>
              <w:t xml:space="preserve"> </w:t>
            </w:r>
            <w:r w:rsidRPr="007E0C28">
              <w:rPr>
                <w:rFonts w:ascii="Book Antiqua" w:eastAsia="MS PGothic" w:hAnsi="Book Antiqua"/>
                <w:kern w:val="0"/>
                <w:szCs w:val="24"/>
              </w:rPr>
              <w:t>1.69</w:t>
            </w:r>
          </w:p>
        </w:tc>
        <w:tc>
          <w:tcPr>
            <w:tcW w:w="1878" w:type="dxa"/>
            <w:tcBorders>
              <w:left w:val="nil"/>
              <w:right w:val="nil"/>
            </w:tcBorders>
            <w:noWrap/>
          </w:tcPr>
          <w:p w:rsidR="00B15056" w:rsidRPr="007E0C28" w:rsidRDefault="00B15056" w:rsidP="00A2683E">
            <w:pPr>
              <w:widowControl/>
              <w:spacing w:line="360" w:lineRule="auto"/>
              <w:rPr>
                <w:rFonts w:ascii="Book Antiqua" w:eastAsia="MS PGothic" w:hAnsi="Book Antiqua"/>
                <w:kern w:val="0"/>
                <w:szCs w:val="24"/>
              </w:rPr>
            </w:pPr>
            <w:r w:rsidRPr="007E0C28">
              <w:rPr>
                <w:rFonts w:ascii="Book Antiqua" w:eastAsia="MS PGothic" w:hAnsi="Book Antiqua"/>
                <w:kern w:val="0"/>
                <w:szCs w:val="24"/>
              </w:rPr>
              <w:t>2.02</w:t>
            </w:r>
            <w:r w:rsidRPr="007E0C28">
              <w:rPr>
                <w:rFonts w:ascii="Book Antiqua" w:eastAsia="宋体" w:hAnsi="Book Antiqua"/>
                <w:kern w:val="0"/>
                <w:szCs w:val="24"/>
                <w:lang w:eastAsia="zh-CN"/>
              </w:rPr>
              <w:t xml:space="preserve"> </w:t>
            </w:r>
            <w:r w:rsidRPr="007E0C28">
              <w:rPr>
                <w:rFonts w:ascii="Book Antiqua" w:eastAsia="MS PGothic" w:hAnsi="Book Antiqua"/>
                <w:kern w:val="0"/>
                <w:szCs w:val="24"/>
              </w:rPr>
              <w:t>±</w:t>
            </w:r>
            <w:r w:rsidRPr="007E0C28">
              <w:rPr>
                <w:rFonts w:ascii="Book Antiqua" w:eastAsia="宋体" w:hAnsi="Book Antiqua"/>
                <w:kern w:val="0"/>
                <w:szCs w:val="24"/>
                <w:lang w:eastAsia="zh-CN"/>
              </w:rPr>
              <w:t xml:space="preserve"> </w:t>
            </w:r>
            <w:r w:rsidRPr="007E0C28">
              <w:rPr>
                <w:rFonts w:ascii="Book Antiqua" w:eastAsia="MS PGothic" w:hAnsi="Book Antiqua"/>
                <w:kern w:val="0"/>
                <w:szCs w:val="24"/>
              </w:rPr>
              <w:t>1.17</w:t>
            </w:r>
          </w:p>
        </w:tc>
        <w:tc>
          <w:tcPr>
            <w:tcW w:w="822" w:type="dxa"/>
            <w:tcBorders>
              <w:left w:val="nil"/>
              <w:right w:val="nil"/>
            </w:tcBorders>
            <w:noWrap/>
          </w:tcPr>
          <w:p w:rsidR="00B15056" w:rsidRPr="007E0C28" w:rsidRDefault="00B15056" w:rsidP="00A2683E">
            <w:pPr>
              <w:widowControl/>
              <w:spacing w:line="360" w:lineRule="auto"/>
              <w:rPr>
                <w:rFonts w:ascii="Book Antiqua" w:eastAsia="MS PGothic" w:hAnsi="Book Antiqua"/>
                <w:kern w:val="0"/>
                <w:szCs w:val="24"/>
              </w:rPr>
            </w:pPr>
            <w:r w:rsidRPr="007E0C28">
              <w:rPr>
                <w:rFonts w:ascii="Book Antiqua" w:eastAsia="MS PGothic" w:hAnsi="Book Antiqua"/>
                <w:kern w:val="0"/>
                <w:szCs w:val="24"/>
              </w:rPr>
              <w:t>&lt;</w:t>
            </w:r>
            <w:r w:rsidRPr="007E0C28">
              <w:rPr>
                <w:rFonts w:ascii="Book Antiqua" w:eastAsia="宋体" w:hAnsi="Book Antiqua"/>
                <w:kern w:val="0"/>
                <w:szCs w:val="24"/>
                <w:lang w:eastAsia="zh-CN"/>
              </w:rPr>
              <w:t xml:space="preserve"> </w:t>
            </w:r>
            <w:r w:rsidRPr="007E0C28">
              <w:rPr>
                <w:rFonts w:ascii="Book Antiqua" w:eastAsia="MS PGothic" w:hAnsi="Book Antiqua"/>
                <w:kern w:val="0"/>
                <w:szCs w:val="24"/>
              </w:rPr>
              <w:t>0.01</w:t>
            </w:r>
          </w:p>
        </w:tc>
      </w:tr>
      <w:tr w:rsidR="00B15056" w:rsidRPr="007E0C28" w:rsidTr="002D5C49">
        <w:trPr>
          <w:trHeight w:val="270"/>
        </w:trPr>
        <w:tc>
          <w:tcPr>
            <w:tcW w:w="1080" w:type="dxa"/>
            <w:tcBorders>
              <w:bottom w:val="single" w:sz="8" w:space="0" w:color="4BACC6"/>
            </w:tcBorders>
            <w:noWrap/>
          </w:tcPr>
          <w:p w:rsidR="00B15056" w:rsidRPr="007E0C28" w:rsidRDefault="00B15056" w:rsidP="00A2683E">
            <w:pPr>
              <w:widowControl/>
              <w:spacing w:line="360" w:lineRule="auto"/>
              <w:rPr>
                <w:rFonts w:ascii="Book Antiqua" w:eastAsia="MS PGothic" w:hAnsi="Book Antiqua"/>
                <w:b/>
                <w:bCs/>
                <w:kern w:val="0"/>
                <w:szCs w:val="24"/>
              </w:rPr>
            </w:pPr>
            <w:r w:rsidRPr="007E0C28">
              <w:rPr>
                <w:rFonts w:ascii="Book Antiqua" w:eastAsia="MS PGothic" w:hAnsi="Book Antiqua"/>
                <w:bCs/>
                <w:kern w:val="0"/>
                <w:szCs w:val="24"/>
              </w:rPr>
              <w:t>Os</w:t>
            </w:r>
          </w:p>
        </w:tc>
        <w:tc>
          <w:tcPr>
            <w:tcW w:w="1830" w:type="dxa"/>
            <w:tcBorders>
              <w:bottom w:val="single" w:sz="8" w:space="0" w:color="4BACC6"/>
            </w:tcBorders>
            <w:noWrap/>
          </w:tcPr>
          <w:p w:rsidR="00B15056" w:rsidRPr="007E0C28" w:rsidRDefault="00B15056" w:rsidP="00A2683E">
            <w:pPr>
              <w:widowControl/>
              <w:spacing w:line="360" w:lineRule="auto"/>
              <w:rPr>
                <w:rFonts w:ascii="Book Antiqua" w:eastAsia="MS PGothic" w:hAnsi="Book Antiqua"/>
                <w:kern w:val="0"/>
                <w:szCs w:val="24"/>
              </w:rPr>
            </w:pPr>
            <w:r w:rsidRPr="007E0C28">
              <w:rPr>
                <w:rFonts w:ascii="Book Antiqua" w:eastAsia="MS PGothic" w:hAnsi="Book Antiqua"/>
                <w:kern w:val="0"/>
                <w:szCs w:val="24"/>
              </w:rPr>
              <w:t>45.02</w:t>
            </w:r>
            <w:r w:rsidRPr="007E0C28">
              <w:rPr>
                <w:rFonts w:ascii="Book Antiqua" w:eastAsia="宋体" w:hAnsi="Book Antiqua"/>
                <w:kern w:val="0"/>
                <w:szCs w:val="24"/>
                <w:lang w:eastAsia="zh-CN"/>
              </w:rPr>
              <w:t xml:space="preserve"> </w:t>
            </w:r>
            <w:r w:rsidRPr="007E0C28">
              <w:rPr>
                <w:rFonts w:ascii="Book Antiqua" w:eastAsia="MS PGothic" w:hAnsi="Book Antiqua"/>
                <w:kern w:val="0"/>
                <w:szCs w:val="24"/>
              </w:rPr>
              <w:t>±</w:t>
            </w:r>
            <w:r w:rsidRPr="007E0C28">
              <w:rPr>
                <w:rFonts w:ascii="Book Antiqua" w:eastAsia="宋体" w:hAnsi="Book Antiqua"/>
                <w:kern w:val="0"/>
                <w:szCs w:val="24"/>
                <w:lang w:eastAsia="zh-CN"/>
              </w:rPr>
              <w:t xml:space="preserve"> </w:t>
            </w:r>
            <w:r w:rsidRPr="007E0C28">
              <w:rPr>
                <w:rFonts w:ascii="Book Antiqua" w:eastAsia="MS PGothic" w:hAnsi="Book Antiqua"/>
                <w:kern w:val="0"/>
                <w:szCs w:val="24"/>
              </w:rPr>
              <w:t>3.96</w:t>
            </w:r>
          </w:p>
        </w:tc>
        <w:tc>
          <w:tcPr>
            <w:tcW w:w="1878" w:type="dxa"/>
            <w:tcBorders>
              <w:bottom w:val="single" w:sz="8" w:space="0" w:color="4BACC6"/>
            </w:tcBorders>
            <w:noWrap/>
          </w:tcPr>
          <w:p w:rsidR="00B15056" w:rsidRPr="007E0C28" w:rsidRDefault="00B15056" w:rsidP="00A2683E">
            <w:pPr>
              <w:widowControl/>
              <w:spacing w:line="360" w:lineRule="auto"/>
              <w:rPr>
                <w:rFonts w:ascii="Book Antiqua" w:eastAsia="MS PGothic" w:hAnsi="Book Antiqua"/>
                <w:kern w:val="0"/>
                <w:szCs w:val="24"/>
              </w:rPr>
            </w:pPr>
            <w:r w:rsidRPr="007E0C28">
              <w:rPr>
                <w:rFonts w:ascii="Book Antiqua" w:eastAsia="MS PGothic" w:hAnsi="Book Antiqua"/>
                <w:kern w:val="0"/>
                <w:szCs w:val="24"/>
              </w:rPr>
              <w:t>60.35</w:t>
            </w:r>
            <w:r w:rsidRPr="007E0C28">
              <w:rPr>
                <w:rFonts w:ascii="Book Antiqua" w:eastAsia="宋体" w:hAnsi="Book Antiqua"/>
                <w:kern w:val="0"/>
                <w:szCs w:val="24"/>
                <w:lang w:eastAsia="zh-CN"/>
              </w:rPr>
              <w:t xml:space="preserve"> </w:t>
            </w:r>
            <w:r w:rsidRPr="007E0C28">
              <w:rPr>
                <w:rFonts w:ascii="Book Antiqua" w:eastAsia="MS PGothic" w:hAnsi="Book Antiqua"/>
                <w:kern w:val="0"/>
                <w:szCs w:val="24"/>
              </w:rPr>
              <w:t>±</w:t>
            </w:r>
            <w:r w:rsidRPr="007E0C28">
              <w:rPr>
                <w:rFonts w:ascii="Book Antiqua" w:eastAsia="宋体" w:hAnsi="Book Antiqua"/>
                <w:kern w:val="0"/>
                <w:szCs w:val="24"/>
                <w:lang w:eastAsia="zh-CN"/>
              </w:rPr>
              <w:t xml:space="preserve"> </w:t>
            </w:r>
            <w:r w:rsidRPr="007E0C28">
              <w:rPr>
                <w:rFonts w:ascii="Book Antiqua" w:eastAsia="MS PGothic" w:hAnsi="Book Antiqua"/>
                <w:kern w:val="0"/>
                <w:szCs w:val="24"/>
              </w:rPr>
              <w:t>6.26</w:t>
            </w:r>
          </w:p>
        </w:tc>
        <w:tc>
          <w:tcPr>
            <w:tcW w:w="822" w:type="dxa"/>
            <w:tcBorders>
              <w:bottom w:val="single" w:sz="8" w:space="0" w:color="4BACC6"/>
            </w:tcBorders>
            <w:noWrap/>
          </w:tcPr>
          <w:p w:rsidR="00B15056" w:rsidRPr="007E0C28" w:rsidRDefault="00B15056" w:rsidP="00A2683E">
            <w:pPr>
              <w:widowControl/>
              <w:spacing w:line="360" w:lineRule="auto"/>
              <w:rPr>
                <w:rFonts w:ascii="Book Antiqua" w:eastAsia="MS PGothic" w:hAnsi="Book Antiqua"/>
                <w:kern w:val="0"/>
                <w:szCs w:val="24"/>
              </w:rPr>
            </w:pPr>
            <w:r w:rsidRPr="007E0C28">
              <w:rPr>
                <w:rFonts w:ascii="Book Antiqua" w:eastAsia="MS PGothic" w:hAnsi="Book Antiqua"/>
                <w:kern w:val="0"/>
                <w:szCs w:val="24"/>
              </w:rPr>
              <w:t>&lt;</w:t>
            </w:r>
            <w:r w:rsidRPr="007E0C28">
              <w:rPr>
                <w:rFonts w:ascii="Book Antiqua" w:eastAsia="宋体" w:hAnsi="Book Antiqua"/>
                <w:kern w:val="0"/>
                <w:szCs w:val="24"/>
                <w:lang w:eastAsia="zh-CN"/>
              </w:rPr>
              <w:t xml:space="preserve"> </w:t>
            </w:r>
            <w:r w:rsidRPr="007E0C28">
              <w:rPr>
                <w:rFonts w:ascii="Book Antiqua" w:eastAsia="MS PGothic" w:hAnsi="Book Antiqua"/>
                <w:kern w:val="0"/>
                <w:szCs w:val="24"/>
              </w:rPr>
              <w:t>0.01</w:t>
            </w:r>
          </w:p>
        </w:tc>
      </w:tr>
    </w:tbl>
    <w:p w:rsidR="00B15056" w:rsidRPr="007E0C28" w:rsidRDefault="00B15056" w:rsidP="00A2683E">
      <w:pPr>
        <w:spacing w:line="360" w:lineRule="auto"/>
        <w:rPr>
          <w:rFonts w:ascii="Book Antiqua" w:hAnsi="Book Antiqua"/>
          <w:szCs w:val="24"/>
        </w:rPr>
      </w:pPr>
      <w:r w:rsidRPr="007E0C28">
        <w:rPr>
          <w:rFonts w:ascii="Book Antiqua" w:hAnsi="Book Antiqua"/>
          <w:szCs w:val="24"/>
        </w:rPr>
        <w:t xml:space="preserve">For comparisons, statistical analyses were performed by </w:t>
      </w:r>
      <w:r w:rsidRPr="007E0C28">
        <w:rPr>
          <w:rFonts w:ascii="Book Antiqua" w:hAnsi="Book Antiqua"/>
          <w:i/>
          <w:szCs w:val="24"/>
        </w:rPr>
        <w:t>t</w:t>
      </w:r>
      <w:r w:rsidRPr="007E0C28">
        <w:rPr>
          <w:rFonts w:ascii="Book Antiqua" w:hAnsi="Book Antiqua"/>
          <w:szCs w:val="24"/>
        </w:rPr>
        <w:t>-tests. C</w:t>
      </w:r>
      <w:r w:rsidRPr="007E0C28">
        <w:rPr>
          <w:rFonts w:ascii="Book Antiqua" w:eastAsia="宋体" w:hAnsi="Book Antiqua"/>
          <w:szCs w:val="24"/>
          <w:lang w:eastAsia="zh-CN"/>
        </w:rPr>
        <w:t>:</w:t>
      </w:r>
      <w:r w:rsidRPr="007E0C28">
        <w:rPr>
          <w:rFonts w:ascii="Book Antiqua" w:hAnsi="Book Antiqua"/>
          <w:szCs w:val="24"/>
        </w:rPr>
        <w:t xml:space="preserve"> Carbon; O</w:t>
      </w:r>
      <w:r w:rsidRPr="007E0C28">
        <w:rPr>
          <w:rFonts w:ascii="Book Antiqua" w:eastAsia="宋体" w:hAnsi="Book Antiqua"/>
          <w:szCs w:val="24"/>
          <w:lang w:eastAsia="zh-CN"/>
        </w:rPr>
        <w:t>:</w:t>
      </w:r>
      <w:r w:rsidRPr="007E0C28">
        <w:rPr>
          <w:rFonts w:ascii="Book Antiqua" w:hAnsi="Book Antiqua"/>
          <w:szCs w:val="24"/>
        </w:rPr>
        <w:t xml:space="preserve"> Oxygen; Na</w:t>
      </w:r>
      <w:r w:rsidRPr="007E0C28">
        <w:rPr>
          <w:rFonts w:ascii="Book Antiqua" w:eastAsia="宋体" w:hAnsi="Book Antiqua"/>
          <w:szCs w:val="24"/>
          <w:lang w:eastAsia="zh-CN"/>
        </w:rPr>
        <w:t>:</w:t>
      </w:r>
      <w:r w:rsidRPr="007E0C28">
        <w:rPr>
          <w:rFonts w:ascii="Book Antiqua" w:hAnsi="Book Antiqua"/>
          <w:szCs w:val="24"/>
        </w:rPr>
        <w:t xml:space="preserve"> Sodium; Al</w:t>
      </w:r>
      <w:r w:rsidRPr="007E0C28">
        <w:rPr>
          <w:rFonts w:ascii="Book Antiqua" w:eastAsia="宋体" w:hAnsi="Book Antiqua"/>
          <w:szCs w:val="24"/>
          <w:lang w:eastAsia="zh-CN"/>
        </w:rPr>
        <w:t>:</w:t>
      </w:r>
      <w:r w:rsidRPr="007E0C28">
        <w:rPr>
          <w:rFonts w:ascii="Book Antiqua" w:hAnsi="Book Antiqua"/>
          <w:szCs w:val="24"/>
        </w:rPr>
        <w:t xml:space="preserve"> Aluminum; Y</w:t>
      </w:r>
      <w:r w:rsidRPr="007E0C28">
        <w:rPr>
          <w:rFonts w:ascii="Book Antiqua" w:eastAsia="宋体" w:hAnsi="Book Antiqua"/>
          <w:szCs w:val="24"/>
          <w:lang w:eastAsia="zh-CN"/>
        </w:rPr>
        <w:t>:</w:t>
      </w:r>
      <w:r w:rsidRPr="007E0C28">
        <w:rPr>
          <w:rFonts w:ascii="Book Antiqua" w:hAnsi="Book Antiqua"/>
          <w:szCs w:val="24"/>
        </w:rPr>
        <w:t xml:space="preserve"> Yttrium; S</w:t>
      </w:r>
      <w:r w:rsidRPr="007E0C28">
        <w:rPr>
          <w:rFonts w:ascii="Book Antiqua" w:eastAsia="宋体" w:hAnsi="Book Antiqua"/>
          <w:szCs w:val="24"/>
          <w:lang w:eastAsia="zh-CN"/>
        </w:rPr>
        <w:t>:</w:t>
      </w:r>
      <w:r w:rsidRPr="007E0C28">
        <w:rPr>
          <w:rFonts w:ascii="Book Antiqua" w:hAnsi="Book Antiqua"/>
          <w:szCs w:val="24"/>
        </w:rPr>
        <w:t xml:space="preserve"> Sulfur; Fe</w:t>
      </w:r>
      <w:r w:rsidRPr="007E0C28">
        <w:rPr>
          <w:rFonts w:ascii="Book Antiqua" w:eastAsia="宋体" w:hAnsi="Book Antiqua"/>
          <w:szCs w:val="24"/>
          <w:lang w:eastAsia="zh-CN"/>
        </w:rPr>
        <w:t>:</w:t>
      </w:r>
      <w:r w:rsidRPr="007E0C28">
        <w:rPr>
          <w:rFonts w:ascii="Book Antiqua" w:hAnsi="Book Antiqua"/>
          <w:szCs w:val="24"/>
        </w:rPr>
        <w:t xml:space="preserve"> Iron; Os</w:t>
      </w:r>
      <w:r w:rsidRPr="007E0C28">
        <w:rPr>
          <w:rFonts w:ascii="Book Antiqua" w:eastAsia="宋体" w:hAnsi="Book Antiqua"/>
          <w:szCs w:val="24"/>
          <w:lang w:eastAsia="zh-CN"/>
        </w:rPr>
        <w:t>:</w:t>
      </w:r>
      <w:r w:rsidR="00522B73">
        <w:rPr>
          <w:rFonts w:ascii="Book Antiqua" w:hAnsi="Book Antiqua"/>
          <w:szCs w:val="24"/>
        </w:rPr>
        <w:t xml:space="preserve"> O</w:t>
      </w:r>
      <w:r w:rsidRPr="007E0C28">
        <w:rPr>
          <w:rFonts w:ascii="Book Antiqua" w:hAnsi="Book Antiqua"/>
          <w:szCs w:val="24"/>
        </w:rPr>
        <w:t>smium.</w:t>
      </w:r>
    </w:p>
    <w:p w:rsidR="00B15056" w:rsidRPr="007E0C28" w:rsidRDefault="00B15056" w:rsidP="00364D90">
      <w:pPr>
        <w:widowControl/>
        <w:spacing w:line="360" w:lineRule="auto"/>
        <w:rPr>
          <w:rFonts w:ascii="Book Antiqua" w:hAnsi="Book Antiqua"/>
          <w:szCs w:val="24"/>
        </w:rPr>
      </w:pPr>
      <w:r w:rsidRPr="007E0C28">
        <w:rPr>
          <w:rFonts w:ascii="Book Antiqua" w:hAnsi="Book Antiqua"/>
          <w:szCs w:val="24"/>
        </w:rPr>
        <w:br w:type="page"/>
      </w:r>
      <w:r w:rsidRPr="007E0C28">
        <w:rPr>
          <w:rFonts w:ascii="Book Antiqua" w:hAnsi="Book Antiqua"/>
          <w:b/>
          <w:szCs w:val="24"/>
        </w:rPr>
        <w:t>Table 2</w:t>
      </w:r>
      <w:r w:rsidRPr="007E0C28">
        <w:rPr>
          <w:rFonts w:ascii="Book Antiqua" w:hAnsi="Book Antiqua"/>
          <w:szCs w:val="24"/>
        </w:rPr>
        <w:t xml:space="preserve"> </w:t>
      </w:r>
      <w:r w:rsidRPr="007E0C28">
        <w:rPr>
          <w:rFonts w:ascii="Book Antiqua" w:hAnsi="Book Antiqua"/>
          <w:b/>
          <w:szCs w:val="24"/>
        </w:rPr>
        <w:t>Clinical characteristics of bezoar patients</w:t>
      </w:r>
    </w:p>
    <w:tbl>
      <w:tblPr>
        <w:tblW w:w="4788" w:type="dxa"/>
        <w:tblBorders>
          <w:top w:val="single" w:sz="8" w:space="0" w:color="4BACC6"/>
          <w:bottom w:val="single" w:sz="8" w:space="0" w:color="4BACC6"/>
        </w:tblBorders>
        <w:tblLook w:val="00A0" w:firstRow="1" w:lastRow="0" w:firstColumn="1" w:lastColumn="0" w:noHBand="0" w:noVBand="0"/>
      </w:tblPr>
      <w:tblGrid>
        <w:gridCol w:w="3495"/>
        <w:gridCol w:w="1388"/>
      </w:tblGrid>
      <w:tr w:rsidR="00B15056" w:rsidRPr="007E0C28" w:rsidTr="007563DE">
        <w:trPr>
          <w:trHeight w:val="270"/>
        </w:trPr>
        <w:tc>
          <w:tcPr>
            <w:tcW w:w="3400" w:type="dxa"/>
            <w:tcBorders>
              <w:top w:val="single" w:sz="8" w:space="0" w:color="4BACC6"/>
              <w:left w:val="nil"/>
              <w:bottom w:val="single" w:sz="8" w:space="0" w:color="4BACC6"/>
              <w:right w:val="nil"/>
            </w:tcBorders>
            <w:noWrap/>
          </w:tcPr>
          <w:p w:rsidR="00B15056" w:rsidRPr="007E0C28" w:rsidRDefault="00B15056" w:rsidP="00A2683E">
            <w:pPr>
              <w:widowControl/>
              <w:spacing w:line="360" w:lineRule="auto"/>
              <w:rPr>
                <w:rFonts w:ascii="Book Antiqua" w:eastAsia="MS PGothic" w:hAnsi="Book Antiqua"/>
                <w:b/>
                <w:bCs/>
                <w:kern w:val="0"/>
                <w:szCs w:val="24"/>
              </w:rPr>
            </w:pPr>
          </w:p>
        </w:tc>
        <w:tc>
          <w:tcPr>
            <w:tcW w:w="1388" w:type="dxa"/>
            <w:tcBorders>
              <w:top w:val="single" w:sz="8" w:space="0" w:color="4BACC6"/>
              <w:left w:val="nil"/>
              <w:bottom w:val="single" w:sz="8" w:space="0" w:color="4BACC6"/>
              <w:right w:val="nil"/>
            </w:tcBorders>
            <w:noWrap/>
          </w:tcPr>
          <w:p w:rsidR="00B15056" w:rsidRPr="007E0C28" w:rsidRDefault="00B15056" w:rsidP="00A2683E">
            <w:pPr>
              <w:widowControl/>
              <w:spacing w:line="360" w:lineRule="auto"/>
              <w:rPr>
                <w:rFonts w:ascii="Book Antiqua" w:eastAsia="MS PGothic" w:hAnsi="Book Antiqua"/>
                <w:b/>
                <w:bCs/>
                <w:kern w:val="0"/>
                <w:szCs w:val="24"/>
              </w:rPr>
            </w:pPr>
            <w:r w:rsidRPr="007E0C28">
              <w:rPr>
                <w:rFonts w:ascii="Book Antiqua" w:eastAsia="MS PGothic" w:hAnsi="Book Antiqua"/>
                <w:b/>
                <w:bCs/>
                <w:i/>
                <w:kern w:val="0"/>
                <w:szCs w:val="24"/>
              </w:rPr>
              <w:t>n</w:t>
            </w:r>
            <w:r w:rsidRPr="007E0C28">
              <w:rPr>
                <w:rFonts w:ascii="Book Antiqua" w:eastAsia="MS PGothic" w:hAnsi="Book Antiqua"/>
                <w:b/>
                <w:bCs/>
                <w:kern w:val="0"/>
                <w:szCs w:val="24"/>
              </w:rPr>
              <w:t xml:space="preserve"> (%)</w:t>
            </w:r>
          </w:p>
        </w:tc>
      </w:tr>
      <w:tr w:rsidR="00B15056" w:rsidRPr="007E0C28" w:rsidTr="007563DE">
        <w:trPr>
          <w:trHeight w:val="270"/>
        </w:trPr>
        <w:tc>
          <w:tcPr>
            <w:tcW w:w="3400" w:type="dxa"/>
            <w:tcBorders>
              <w:left w:val="nil"/>
              <w:right w:val="nil"/>
            </w:tcBorders>
            <w:noWrap/>
          </w:tcPr>
          <w:p w:rsidR="00B15056" w:rsidRPr="007E0C28" w:rsidRDefault="00B15056" w:rsidP="00A2683E">
            <w:pPr>
              <w:widowControl/>
              <w:spacing w:line="360" w:lineRule="auto"/>
              <w:rPr>
                <w:rFonts w:ascii="Book Antiqua" w:eastAsia="MS PGothic" w:hAnsi="Book Antiqua"/>
                <w:b/>
                <w:bCs/>
                <w:kern w:val="0"/>
                <w:szCs w:val="24"/>
              </w:rPr>
            </w:pPr>
            <w:r w:rsidRPr="007E0C28">
              <w:rPr>
                <w:rFonts w:ascii="Book Antiqua" w:eastAsia="MS PGothic" w:hAnsi="Book Antiqua"/>
                <w:bCs/>
                <w:kern w:val="0"/>
                <w:szCs w:val="24"/>
              </w:rPr>
              <w:t>Total</w:t>
            </w:r>
          </w:p>
        </w:tc>
        <w:tc>
          <w:tcPr>
            <w:tcW w:w="1388" w:type="dxa"/>
            <w:tcBorders>
              <w:left w:val="nil"/>
              <w:right w:val="nil"/>
            </w:tcBorders>
            <w:noWrap/>
          </w:tcPr>
          <w:p w:rsidR="00B15056" w:rsidRPr="007E0C28" w:rsidRDefault="00B15056" w:rsidP="00A2683E">
            <w:pPr>
              <w:widowControl/>
              <w:spacing w:line="360" w:lineRule="auto"/>
              <w:rPr>
                <w:rFonts w:ascii="Book Antiqua" w:eastAsia="MS PGothic" w:hAnsi="Book Antiqua"/>
                <w:kern w:val="0"/>
                <w:szCs w:val="24"/>
              </w:rPr>
            </w:pPr>
            <w:r w:rsidRPr="007E0C28">
              <w:rPr>
                <w:rFonts w:ascii="Book Antiqua" w:eastAsia="MS PGothic" w:hAnsi="Book Antiqua"/>
                <w:kern w:val="0"/>
                <w:szCs w:val="24"/>
              </w:rPr>
              <w:t>31</w:t>
            </w:r>
          </w:p>
        </w:tc>
      </w:tr>
      <w:tr w:rsidR="00B15056" w:rsidRPr="007E0C28" w:rsidTr="007563DE">
        <w:trPr>
          <w:trHeight w:val="270"/>
        </w:trPr>
        <w:tc>
          <w:tcPr>
            <w:tcW w:w="3400" w:type="dxa"/>
            <w:noWrap/>
          </w:tcPr>
          <w:p w:rsidR="00B15056" w:rsidRPr="007E0C28" w:rsidRDefault="00B15056" w:rsidP="00A2683E">
            <w:pPr>
              <w:widowControl/>
              <w:spacing w:line="360" w:lineRule="auto"/>
              <w:rPr>
                <w:rFonts w:ascii="Book Antiqua" w:eastAsia="MS PGothic" w:hAnsi="Book Antiqua"/>
                <w:b/>
                <w:bCs/>
                <w:kern w:val="0"/>
                <w:szCs w:val="24"/>
              </w:rPr>
            </w:pPr>
            <w:r w:rsidRPr="007E0C28">
              <w:rPr>
                <w:rFonts w:ascii="Book Antiqua" w:eastAsia="MS PGothic" w:hAnsi="Book Antiqua"/>
                <w:bCs/>
                <w:kern w:val="0"/>
                <w:szCs w:val="24"/>
              </w:rPr>
              <w:t>Female</w:t>
            </w:r>
          </w:p>
        </w:tc>
        <w:tc>
          <w:tcPr>
            <w:tcW w:w="1388" w:type="dxa"/>
            <w:noWrap/>
          </w:tcPr>
          <w:p w:rsidR="00B15056" w:rsidRPr="007E0C28" w:rsidRDefault="00B15056" w:rsidP="00A2683E">
            <w:pPr>
              <w:widowControl/>
              <w:spacing w:line="360" w:lineRule="auto"/>
              <w:rPr>
                <w:rFonts w:ascii="Book Antiqua" w:eastAsia="MS PGothic" w:hAnsi="Book Antiqua"/>
                <w:kern w:val="0"/>
                <w:szCs w:val="24"/>
              </w:rPr>
            </w:pPr>
            <w:r w:rsidRPr="007E0C28">
              <w:rPr>
                <w:rFonts w:ascii="Book Antiqua" w:eastAsia="MS PGothic" w:hAnsi="Book Antiqua"/>
                <w:kern w:val="0"/>
                <w:szCs w:val="24"/>
              </w:rPr>
              <w:t>18 (58.1)</w:t>
            </w:r>
          </w:p>
        </w:tc>
      </w:tr>
      <w:tr w:rsidR="00B15056" w:rsidRPr="007E0C28" w:rsidTr="007563DE">
        <w:trPr>
          <w:trHeight w:val="270"/>
        </w:trPr>
        <w:tc>
          <w:tcPr>
            <w:tcW w:w="3400" w:type="dxa"/>
            <w:tcBorders>
              <w:left w:val="nil"/>
              <w:right w:val="nil"/>
            </w:tcBorders>
            <w:noWrap/>
          </w:tcPr>
          <w:p w:rsidR="00B15056" w:rsidRPr="007E0C28" w:rsidRDefault="00B15056" w:rsidP="00A2683E">
            <w:pPr>
              <w:widowControl/>
              <w:spacing w:line="360" w:lineRule="auto"/>
              <w:rPr>
                <w:rFonts w:ascii="Book Antiqua" w:eastAsia="MS PGothic" w:hAnsi="Book Antiqua"/>
                <w:b/>
                <w:bCs/>
                <w:kern w:val="0"/>
                <w:szCs w:val="24"/>
              </w:rPr>
            </w:pPr>
            <w:r w:rsidRPr="007E0C28">
              <w:rPr>
                <w:rFonts w:ascii="Book Antiqua" w:eastAsia="MS PGothic" w:hAnsi="Book Antiqua"/>
                <w:bCs/>
                <w:kern w:val="0"/>
                <w:szCs w:val="24"/>
              </w:rPr>
              <w:t>Median age (yr, range)</w:t>
            </w:r>
          </w:p>
        </w:tc>
        <w:tc>
          <w:tcPr>
            <w:tcW w:w="1388" w:type="dxa"/>
            <w:tcBorders>
              <w:left w:val="nil"/>
              <w:right w:val="nil"/>
            </w:tcBorders>
            <w:noWrap/>
          </w:tcPr>
          <w:p w:rsidR="00B15056" w:rsidRPr="007E0C28" w:rsidRDefault="00B15056" w:rsidP="00A2683E">
            <w:pPr>
              <w:widowControl/>
              <w:spacing w:line="360" w:lineRule="auto"/>
              <w:rPr>
                <w:rFonts w:ascii="Book Antiqua" w:eastAsia="MS PGothic" w:hAnsi="Book Antiqua"/>
                <w:kern w:val="0"/>
                <w:szCs w:val="24"/>
              </w:rPr>
            </w:pPr>
            <w:r w:rsidRPr="007E0C28">
              <w:rPr>
                <w:rFonts w:ascii="Book Antiqua" w:eastAsia="MS PGothic" w:hAnsi="Book Antiqua"/>
                <w:kern w:val="0"/>
                <w:szCs w:val="24"/>
              </w:rPr>
              <w:t>74 (10–93)</w:t>
            </w:r>
          </w:p>
        </w:tc>
      </w:tr>
      <w:tr w:rsidR="00B15056" w:rsidRPr="007E0C28" w:rsidTr="007563DE">
        <w:trPr>
          <w:trHeight w:val="270"/>
        </w:trPr>
        <w:tc>
          <w:tcPr>
            <w:tcW w:w="3400" w:type="dxa"/>
          </w:tcPr>
          <w:p w:rsidR="00B15056" w:rsidRPr="007E0C28" w:rsidRDefault="00B15056" w:rsidP="00A2683E">
            <w:pPr>
              <w:widowControl/>
              <w:spacing w:line="360" w:lineRule="auto"/>
              <w:rPr>
                <w:rFonts w:ascii="Book Antiqua" w:eastAsia="MS PGothic" w:hAnsi="Book Antiqua"/>
                <w:b/>
                <w:bCs/>
                <w:kern w:val="0"/>
                <w:szCs w:val="24"/>
              </w:rPr>
            </w:pPr>
            <w:r w:rsidRPr="007E0C28">
              <w:rPr>
                <w:rFonts w:ascii="Book Antiqua" w:eastAsia="MS PGothic" w:hAnsi="Book Antiqua"/>
                <w:bCs/>
                <w:kern w:val="0"/>
                <w:szCs w:val="24"/>
              </w:rPr>
              <w:t>Past histories</w:t>
            </w:r>
          </w:p>
        </w:tc>
        <w:tc>
          <w:tcPr>
            <w:tcW w:w="1388" w:type="dxa"/>
            <w:noWrap/>
          </w:tcPr>
          <w:p w:rsidR="00B15056" w:rsidRPr="007E0C28" w:rsidRDefault="00B15056" w:rsidP="00A2683E">
            <w:pPr>
              <w:widowControl/>
              <w:spacing w:line="360" w:lineRule="auto"/>
              <w:rPr>
                <w:rFonts w:ascii="Book Antiqua" w:eastAsia="MS PGothic" w:hAnsi="Book Antiqua"/>
                <w:kern w:val="0"/>
                <w:szCs w:val="24"/>
              </w:rPr>
            </w:pPr>
          </w:p>
        </w:tc>
      </w:tr>
      <w:tr w:rsidR="00B15056" w:rsidRPr="007E0C28" w:rsidTr="007563DE">
        <w:trPr>
          <w:trHeight w:val="270"/>
        </w:trPr>
        <w:tc>
          <w:tcPr>
            <w:tcW w:w="3400" w:type="dxa"/>
            <w:tcBorders>
              <w:left w:val="nil"/>
              <w:right w:val="nil"/>
            </w:tcBorders>
            <w:noWrap/>
          </w:tcPr>
          <w:p w:rsidR="00B15056" w:rsidRPr="007E0C28" w:rsidRDefault="00B15056" w:rsidP="00A2683E">
            <w:pPr>
              <w:widowControl/>
              <w:spacing w:line="360" w:lineRule="auto"/>
              <w:rPr>
                <w:rFonts w:ascii="Book Antiqua" w:eastAsia="MS PGothic" w:hAnsi="Book Antiqua"/>
                <w:b/>
                <w:bCs/>
                <w:kern w:val="0"/>
                <w:szCs w:val="24"/>
              </w:rPr>
            </w:pPr>
            <w:r w:rsidRPr="007E0C28">
              <w:rPr>
                <w:rFonts w:ascii="Book Antiqua" w:eastAsia="MS PGothic" w:hAnsi="Book Antiqua"/>
                <w:bCs/>
                <w:kern w:val="0"/>
                <w:szCs w:val="24"/>
              </w:rPr>
              <w:t xml:space="preserve"> Diabetes mellitus</w:t>
            </w:r>
          </w:p>
        </w:tc>
        <w:tc>
          <w:tcPr>
            <w:tcW w:w="1388" w:type="dxa"/>
            <w:tcBorders>
              <w:left w:val="nil"/>
              <w:right w:val="nil"/>
            </w:tcBorders>
            <w:noWrap/>
          </w:tcPr>
          <w:p w:rsidR="00B15056" w:rsidRPr="007E0C28" w:rsidRDefault="00B15056" w:rsidP="00A2683E">
            <w:pPr>
              <w:widowControl/>
              <w:spacing w:line="360" w:lineRule="auto"/>
              <w:rPr>
                <w:rFonts w:ascii="Book Antiqua" w:eastAsia="MS PGothic" w:hAnsi="Book Antiqua"/>
                <w:kern w:val="0"/>
                <w:szCs w:val="24"/>
              </w:rPr>
            </w:pPr>
            <w:r w:rsidRPr="007E0C28">
              <w:rPr>
                <w:rFonts w:ascii="Book Antiqua" w:eastAsia="MS PGothic" w:hAnsi="Book Antiqua"/>
                <w:kern w:val="0"/>
                <w:szCs w:val="24"/>
              </w:rPr>
              <w:t>3 (9.7)</w:t>
            </w:r>
          </w:p>
        </w:tc>
      </w:tr>
      <w:tr w:rsidR="00B15056" w:rsidRPr="007E0C28" w:rsidTr="007563DE">
        <w:trPr>
          <w:trHeight w:val="270"/>
        </w:trPr>
        <w:tc>
          <w:tcPr>
            <w:tcW w:w="3400" w:type="dxa"/>
            <w:noWrap/>
          </w:tcPr>
          <w:p w:rsidR="00B15056" w:rsidRPr="007E0C28" w:rsidRDefault="00B15056" w:rsidP="00A2683E">
            <w:pPr>
              <w:widowControl/>
              <w:spacing w:line="360" w:lineRule="auto"/>
              <w:rPr>
                <w:rFonts w:ascii="Book Antiqua" w:eastAsia="MS PGothic" w:hAnsi="Book Antiqua"/>
                <w:b/>
                <w:bCs/>
                <w:kern w:val="0"/>
                <w:szCs w:val="24"/>
              </w:rPr>
            </w:pPr>
            <w:r w:rsidRPr="007E0C28">
              <w:rPr>
                <w:rFonts w:ascii="Book Antiqua" w:eastAsia="MS PGothic" w:hAnsi="Book Antiqua"/>
                <w:bCs/>
                <w:kern w:val="0"/>
                <w:szCs w:val="24"/>
              </w:rPr>
              <w:t xml:space="preserve"> Surgery of GI tract</w:t>
            </w:r>
          </w:p>
        </w:tc>
        <w:tc>
          <w:tcPr>
            <w:tcW w:w="1388" w:type="dxa"/>
            <w:noWrap/>
          </w:tcPr>
          <w:p w:rsidR="00B15056" w:rsidRPr="007E0C28" w:rsidRDefault="00B15056" w:rsidP="00A2683E">
            <w:pPr>
              <w:widowControl/>
              <w:spacing w:line="360" w:lineRule="auto"/>
              <w:rPr>
                <w:rFonts w:ascii="Book Antiqua" w:eastAsia="MS PGothic" w:hAnsi="Book Antiqua"/>
                <w:kern w:val="0"/>
                <w:szCs w:val="24"/>
              </w:rPr>
            </w:pPr>
            <w:r w:rsidRPr="007E0C28">
              <w:rPr>
                <w:rFonts w:ascii="Book Antiqua" w:eastAsia="MS PGothic" w:hAnsi="Book Antiqua"/>
                <w:kern w:val="0"/>
                <w:szCs w:val="24"/>
              </w:rPr>
              <w:t>11 (35.5)</w:t>
            </w:r>
          </w:p>
        </w:tc>
      </w:tr>
      <w:tr w:rsidR="00B15056" w:rsidRPr="007E0C28" w:rsidTr="007563DE">
        <w:trPr>
          <w:trHeight w:val="270"/>
        </w:trPr>
        <w:tc>
          <w:tcPr>
            <w:tcW w:w="3400" w:type="dxa"/>
            <w:tcBorders>
              <w:left w:val="nil"/>
              <w:right w:val="nil"/>
            </w:tcBorders>
            <w:noWrap/>
          </w:tcPr>
          <w:p w:rsidR="00B15056" w:rsidRPr="007E0C28" w:rsidRDefault="00B15056" w:rsidP="00A2683E">
            <w:pPr>
              <w:widowControl/>
              <w:spacing w:line="360" w:lineRule="auto"/>
              <w:rPr>
                <w:rFonts w:ascii="Book Antiqua" w:eastAsia="MS PGothic" w:hAnsi="Book Antiqua"/>
                <w:b/>
                <w:bCs/>
                <w:kern w:val="0"/>
                <w:szCs w:val="24"/>
              </w:rPr>
            </w:pPr>
            <w:r w:rsidRPr="007E0C28">
              <w:rPr>
                <w:rFonts w:ascii="Book Antiqua" w:eastAsia="MS PGothic" w:hAnsi="Book Antiqua"/>
                <w:bCs/>
                <w:kern w:val="0"/>
                <w:szCs w:val="24"/>
              </w:rPr>
              <w:t>Symptoms</w:t>
            </w:r>
          </w:p>
        </w:tc>
        <w:tc>
          <w:tcPr>
            <w:tcW w:w="1388" w:type="dxa"/>
            <w:tcBorders>
              <w:left w:val="nil"/>
              <w:right w:val="nil"/>
            </w:tcBorders>
            <w:noWrap/>
          </w:tcPr>
          <w:p w:rsidR="00B15056" w:rsidRPr="007E0C28" w:rsidRDefault="00B15056" w:rsidP="00A2683E">
            <w:pPr>
              <w:widowControl/>
              <w:spacing w:line="360" w:lineRule="auto"/>
              <w:rPr>
                <w:rFonts w:ascii="Book Antiqua" w:eastAsia="MS PGothic" w:hAnsi="Book Antiqua"/>
                <w:kern w:val="0"/>
                <w:szCs w:val="24"/>
              </w:rPr>
            </w:pPr>
          </w:p>
        </w:tc>
      </w:tr>
      <w:tr w:rsidR="00B15056" w:rsidRPr="007E0C28" w:rsidTr="007563DE">
        <w:trPr>
          <w:trHeight w:val="270"/>
        </w:trPr>
        <w:tc>
          <w:tcPr>
            <w:tcW w:w="3400" w:type="dxa"/>
          </w:tcPr>
          <w:p w:rsidR="00B15056" w:rsidRPr="007E0C28" w:rsidRDefault="00B15056" w:rsidP="00A2683E">
            <w:pPr>
              <w:widowControl/>
              <w:spacing w:line="360" w:lineRule="auto"/>
              <w:rPr>
                <w:rFonts w:ascii="Book Antiqua" w:eastAsia="MS PGothic" w:hAnsi="Book Antiqua"/>
                <w:b/>
                <w:bCs/>
                <w:kern w:val="0"/>
                <w:szCs w:val="24"/>
              </w:rPr>
            </w:pPr>
            <w:r w:rsidRPr="007E0C28">
              <w:rPr>
                <w:rFonts w:ascii="Book Antiqua" w:eastAsia="MS PGothic" w:hAnsi="Book Antiqua"/>
                <w:bCs/>
                <w:kern w:val="0"/>
                <w:szCs w:val="24"/>
              </w:rPr>
              <w:t xml:space="preserve"> Pain</w:t>
            </w:r>
          </w:p>
        </w:tc>
        <w:tc>
          <w:tcPr>
            <w:tcW w:w="1388" w:type="dxa"/>
            <w:noWrap/>
          </w:tcPr>
          <w:p w:rsidR="00B15056" w:rsidRPr="007E0C28" w:rsidRDefault="00B15056" w:rsidP="00A2683E">
            <w:pPr>
              <w:widowControl/>
              <w:spacing w:line="360" w:lineRule="auto"/>
              <w:rPr>
                <w:rFonts w:ascii="Book Antiqua" w:eastAsia="MS PGothic" w:hAnsi="Book Antiqua"/>
                <w:kern w:val="0"/>
                <w:szCs w:val="24"/>
              </w:rPr>
            </w:pPr>
            <w:r w:rsidRPr="007E0C28">
              <w:rPr>
                <w:rFonts w:ascii="Book Antiqua" w:eastAsia="MS PGothic" w:hAnsi="Book Antiqua"/>
                <w:kern w:val="0"/>
                <w:szCs w:val="24"/>
              </w:rPr>
              <w:t>11 (35.5)</w:t>
            </w:r>
          </w:p>
        </w:tc>
      </w:tr>
      <w:tr w:rsidR="00B15056" w:rsidRPr="007E0C28" w:rsidTr="007563DE">
        <w:trPr>
          <w:trHeight w:val="270"/>
        </w:trPr>
        <w:tc>
          <w:tcPr>
            <w:tcW w:w="3400" w:type="dxa"/>
            <w:tcBorders>
              <w:left w:val="nil"/>
              <w:right w:val="nil"/>
            </w:tcBorders>
          </w:tcPr>
          <w:p w:rsidR="00B15056" w:rsidRPr="007E0C28" w:rsidRDefault="00B15056" w:rsidP="00A2683E">
            <w:pPr>
              <w:widowControl/>
              <w:spacing w:line="360" w:lineRule="auto"/>
              <w:rPr>
                <w:rFonts w:ascii="Book Antiqua" w:eastAsia="MS PGothic" w:hAnsi="Book Antiqua"/>
                <w:b/>
                <w:bCs/>
                <w:kern w:val="0"/>
                <w:szCs w:val="24"/>
              </w:rPr>
            </w:pPr>
            <w:r w:rsidRPr="007E0C28">
              <w:rPr>
                <w:rFonts w:ascii="Book Antiqua" w:eastAsia="MS PGothic" w:hAnsi="Book Antiqua"/>
                <w:bCs/>
                <w:kern w:val="0"/>
                <w:szCs w:val="24"/>
              </w:rPr>
              <w:t xml:space="preserve"> Bloody or tarry stool</w:t>
            </w:r>
          </w:p>
        </w:tc>
        <w:tc>
          <w:tcPr>
            <w:tcW w:w="1388" w:type="dxa"/>
            <w:tcBorders>
              <w:left w:val="nil"/>
              <w:right w:val="nil"/>
            </w:tcBorders>
          </w:tcPr>
          <w:p w:rsidR="00B15056" w:rsidRPr="007E0C28" w:rsidRDefault="00B15056" w:rsidP="00A2683E">
            <w:pPr>
              <w:widowControl/>
              <w:spacing w:line="360" w:lineRule="auto"/>
              <w:rPr>
                <w:rFonts w:ascii="Book Antiqua" w:eastAsia="MS PGothic" w:hAnsi="Book Antiqua"/>
                <w:kern w:val="0"/>
                <w:szCs w:val="24"/>
              </w:rPr>
            </w:pPr>
            <w:r w:rsidRPr="007E0C28">
              <w:rPr>
                <w:rFonts w:ascii="Book Antiqua" w:eastAsia="MS PGothic" w:hAnsi="Book Antiqua"/>
                <w:kern w:val="0"/>
                <w:szCs w:val="24"/>
              </w:rPr>
              <w:t>5 (16.1)</w:t>
            </w:r>
          </w:p>
        </w:tc>
      </w:tr>
      <w:tr w:rsidR="00B15056" w:rsidRPr="007E0C28" w:rsidTr="007563DE">
        <w:trPr>
          <w:trHeight w:val="270"/>
        </w:trPr>
        <w:tc>
          <w:tcPr>
            <w:tcW w:w="3400" w:type="dxa"/>
          </w:tcPr>
          <w:p w:rsidR="00B15056" w:rsidRPr="007E0C28" w:rsidRDefault="00B15056" w:rsidP="00A2683E">
            <w:pPr>
              <w:widowControl/>
              <w:spacing w:line="360" w:lineRule="auto"/>
              <w:rPr>
                <w:rFonts w:ascii="Book Antiqua" w:eastAsia="MS PGothic" w:hAnsi="Book Antiqua"/>
                <w:b/>
                <w:bCs/>
                <w:kern w:val="0"/>
                <w:szCs w:val="24"/>
              </w:rPr>
            </w:pPr>
            <w:r w:rsidRPr="007E0C28">
              <w:rPr>
                <w:rFonts w:ascii="Book Antiqua" w:eastAsia="MS PGothic" w:hAnsi="Book Antiqua"/>
                <w:bCs/>
                <w:kern w:val="0"/>
                <w:szCs w:val="24"/>
              </w:rPr>
              <w:t xml:space="preserve"> Abdominal fullness</w:t>
            </w:r>
          </w:p>
        </w:tc>
        <w:tc>
          <w:tcPr>
            <w:tcW w:w="1388" w:type="dxa"/>
          </w:tcPr>
          <w:p w:rsidR="00B15056" w:rsidRPr="007E0C28" w:rsidRDefault="00B15056" w:rsidP="00A2683E">
            <w:pPr>
              <w:widowControl/>
              <w:spacing w:line="360" w:lineRule="auto"/>
              <w:rPr>
                <w:rFonts w:ascii="Book Antiqua" w:eastAsia="MS PGothic" w:hAnsi="Book Antiqua"/>
                <w:kern w:val="0"/>
                <w:szCs w:val="24"/>
              </w:rPr>
            </w:pPr>
            <w:r w:rsidRPr="007E0C28">
              <w:rPr>
                <w:rFonts w:ascii="Book Antiqua" w:eastAsia="MS PGothic" w:hAnsi="Book Antiqua"/>
                <w:kern w:val="0"/>
                <w:szCs w:val="24"/>
              </w:rPr>
              <w:t>5 (16.1)</w:t>
            </w:r>
          </w:p>
        </w:tc>
      </w:tr>
      <w:tr w:rsidR="00B15056" w:rsidRPr="007E0C28" w:rsidTr="007563DE">
        <w:trPr>
          <w:trHeight w:val="270"/>
        </w:trPr>
        <w:tc>
          <w:tcPr>
            <w:tcW w:w="3400" w:type="dxa"/>
            <w:tcBorders>
              <w:left w:val="nil"/>
              <w:right w:val="nil"/>
            </w:tcBorders>
          </w:tcPr>
          <w:p w:rsidR="00B15056" w:rsidRPr="007E0C28" w:rsidRDefault="00B15056" w:rsidP="00A2683E">
            <w:pPr>
              <w:widowControl/>
              <w:spacing w:line="360" w:lineRule="auto"/>
              <w:rPr>
                <w:rFonts w:ascii="Book Antiqua" w:eastAsia="MS PGothic" w:hAnsi="Book Antiqua"/>
                <w:b/>
                <w:bCs/>
                <w:kern w:val="0"/>
                <w:szCs w:val="24"/>
              </w:rPr>
            </w:pPr>
            <w:r w:rsidRPr="007E0C28">
              <w:rPr>
                <w:rFonts w:ascii="Book Antiqua" w:eastAsia="MS PGothic" w:hAnsi="Book Antiqua"/>
                <w:bCs/>
                <w:kern w:val="0"/>
                <w:szCs w:val="24"/>
              </w:rPr>
              <w:t xml:space="preserve"> Discomfort</w:t>
            </w:r>
          </w:p>
        </w:tc>
        <w:tc>
          <w:tcPr>
            <w:tcW w:w="1388" w:type="dxa"/>
            <w:tcBorders>
              <w:left w:val="nil"/>
              <w:right w:val="nil"/>
            </w:tcBorders>
          </w:tcPr>
          <w:p w:rsidR="00B15056" w:rsidRPr="007E0C28" w:rsidRDefault="00B15056" w:rsidP="00A2683E">
            <w:pPr>
              <w:widowControl/>
              <w:spacing w:line="360" w:lineRule="auto"/>
              <w:rPr>
                <w:rFonts w:ascii="Book Antiqua" w:eastAsia="MS PGothic" w:hAnsi="Book Antiqua"/>
                <w:kern w:val="0"/>
                <w:szCs w:val="24"/>
              </w:rPr>
            </w:pPr>
            <w:r w:rsidRPr="007E0C28">
              <w:rPr>
                <w:rFonts w:ascii="Book Antiqua" w:eastAsia="MS PGothic" w:hAnsi="Book Antiqua"/>
                <w:kern w:val="0"/>
                <w:szCs w:val="24"/>
              </w:rPr>
              <w:t>5 (16.1)</w:t>
            </w:r>
          </w:p>
        </w:tc>
      </w:tr>
      <w:tr w:rsidR="00B15056" w:rsidRPr="007E0C28" w:rsidTr="007563DE">
        <w:trPr>
          <w:trHeight w:val="270"/>
        </w:trPr>
        <w:tc>
          <w:tcPr>
            <w:tcW w:w="3400" w:type="dxa"/>
          </w:tcPr>
          <w:p w:rsidR="00B15056" w:rsidRPr="007E0C28" w:rsidRDefault="00B15056" w:rsidP="00A2683E">
            <w:pPr>
              <w:widowControl/>
              <w:spacing w:line="360" w:lineRule="auto"/>
              <w:rPr>
                <w:rFonts w:ascii="Book Antiqua" w:eastAsia="MS PGothic" w:hAnsi="Book Antiqua"/>
                <w:b/>
                <w:bCs/>
                <w:kern w:val="0"/>
                <w:szCs w:val="24"/>
              </w:rPr>
            </w:pPr>
            <w:r w:rsidRPr="007E0C28">
              <w:rPr>
                <w:rFonts w:ascii="Book Antiqua" w:eastAsia="MS PGothic" w:hAnsi="Book Antiqua"/>
                <w:bCs/>
                <w:kern w:val="0"/>
                <w:szCs w:val="24"/>
              </w:rPr>
              <w:t xml:space="preserve"> Anemia</w:t>
            </w:r>
          </w:p>
        </w:tc>
        <w:tc>
          <w:tcPr>
            <w:tcW w:w="1388" w:type="dxa"/>
          </w:tcPr>
          <w:p w:rsidR="00B15056" w:rsidRPr="007E0C28" w:rsidRDefault="00B15056" w:rsidP="00A2683E">
            <w:pPr>
              <w:widowControl/>
              <w:spacing w:line="360" w:lineRule="auto"/>
              <w:rPr>
                <w:rFonts w:ascii="Book Antiqua" w:eastAsia="MS PGothic" w:hAnsi="Book Antiqua"/>
                <w:kern w:val="0"/>
                <w:szCs w:val="24"/>
              </w:rPr>
            </w:pPr>
            <w:r w:rsidRPr="007E0C28">
              <w:rPr>
                <w:rFonts w:ascii="Book Antiqua" w:eastAsia="MS PGothic" w:hAnsi="Book Antiqua"/>
                <w:kern w:val="0"/>
                <w:szCs w:val="24"/>
              </w:rPr>
              <w:t>4 (12.9)</w:t>
            </w:r>
          </w:p>
        </w:tc>
      </w:tr>
      <w:tr w:rsidR="00B15056" w:rsidRPr="007E0C28" w:rsidTr="007563DE">
        <w:trPr>
          <w:trHeight w:val="270"/>
        </w:trPr>
        <w:tc>
          <w:tcPr>
            <w:tcW w:w="3400" w:type="dxa"/>
            <w:tcBorders>
              <w:left w:val="nil"/>
              <w:right w:val="nil"/>
            </w:tcBorders>
          </w:tcPr>
          <w:p w:rsidR="00B15056" w:rsidRPr="007E0C28" w:rsidRDefault="00B15056" w:rsidP="00A2683E">
            <w:pPr>
              <w:widowControl/>
              <w:spacing w:line="360" w:lineRule="auto"/>
              <w:rPr>
                <w:rFonts w:ascii="Book Antiqua" w:eastAsia="MS PGothic" w:hAnsi="Book Antiqua"/>
                <w:b/>
                <w:bCs/>
                <w:kern w:val="0"/>
                <w:szCs w:val="24"/>
              </w:rPr>
            </w:pPr>
            <w:r w:rsidRPr="007E0C28">
              <w:rPr>
                <w:rFonts w:ascii="Book Antiqua" w:eastAsia="MS PGothic" w:hAnsi="Book Antiqua"/>
                <w:bCs/>
                <w:kern w:val="0"/>
                <w:szCs w:val="24"/>
              </w:rPr>
              <w:t xml:space="preserve"> Difficulty of swallowing</w:t>
            </w:r>
          </w:p>
        </w:tc>
        <w:tc>
          <w:tcPr>
            <w:tcW w:w="1388" w:type="dxa"/>
            <w:tcBorders>
              <w:left w:val="nil"/>
              <w:right w:val="nil"/>
            </w:tcBorders>
            <w:noWrap/>
          </w:tcPr>
          <w:p w:rsidR="00B15056" w:rsidRPr="007E0C28" w:rsidRDefault="00B15056" w:rsidP="00A2683E">
            <w:pPr>
              <w:widowControl/>
              <w:spacing w:line="360" w:lineRule="auto"/>
              <w:rPr>
                <w:rFonts w:ascii="Book Antiqua" w:eastAsia="MS PGothic" w:hAnsi="Book Antiqua"/>
                <w:kern w:val="0"/>
                <w:szCs w:val="24"/>
              </w:rPr>
            </w:pPr>
            <w:r w:rsidRPr="007E0C28">
              <w:rPr>
                <w:rFonts w:ascii="Book Antiqua" w:eastAsia="MS PGothic" w:hAnsi="Book Antiqua"/>
                <w:kern w:val="0"/>
                <w:szCs w:val="24"/>
              </w:rPr>
              <w:t>3 (9.7)</w:t>
            </w:r>
          </w:p>
        </w:tc>
      </w:tr>
      <w:tr w:rsidR="00B15056" w:rsidRPr="007E0C28" w:rsidTr="007563DE">
        <w:trPr>
          <w:trHeight w:val="270"/>
        </w:trPr>
        <w:tc>
          <w:tcPr>
            <w:tcW w:w="3400" w:type="dxa"/>
          </w:tcPr>
          <w:p w:rsidR="00B15056" w:rsidRPr="007E0C28" w:rsidRDefault="00B15056" w:rsidP="00A2683E">
            <w:pPr>
              <w:widowControl/>
              <w:spacing w:line="360" w:lineRule="auto"/>
              <w:rPr>
                <w:rFonts w:ascii="Book Antiqua" w:eastAsia="MS PGothic" w:hAnsi="Book Antiqua"/>
                <w:b/>
                <w:bCs/>
                <w:kern w:val="0"/>
                <w:szCs w:val="24"/>
              </w:rPr>
            </w:pPr>
            <w:r w:rsidRPr="007E0C28">
              <w:rPr>
                <w:rFonts w:ascii="Book Antiqua" w:eastAsia="MS PGothic" w:hAnsi="Book Antiqua"/>
                <w:bCs/>
                <w:kern w:val="0"/>
                <w:szCs w:val="24"/>
              </w:rPr>
              <w:t xml:space="preserve"> Hematemesis</w:t>
            </w:r>
          </w:p>
        </w:tc>
        <w:tc>
          <w:tcPr>
            <w:tcW w:w="1388" w:type="dxa"/>
            <w:noWrap/>
          </w:tcPr>
          <w:p w:rsidR="00B15056" w:rsidRPr="007E0C28" w:rsidRDefault="00B15056" w:rsidP="00A2683E">
            <w:pPr>
              <w:widowControl/>
              <w:spacing w:line="360" w:lineRule="auto"/>
              <w:rPr>
                <w:rFonts w:ascii="Book Antiqua" w:eastAsia="MS PGothic" w:hAnsi="Book Antiqua"/>
                <w:kern w:val="0"/>
                <w:szCs w:val="24"/>
              </w:rPr>
            </w:pPr>
            <w:r w:rsidRPr="007E0C28">
              <w:rPr>
                <w:rFonts w:ascii="Book Antiqua" w:eastAsia="MS PGothic" w:hAnsi="Book Antiqua"/>
                <w:kern w:val="0"/>
                <w:szCs w:val="24"/>
              </w:rPr>
              <w:t>3 (9.7)</w:t>
            </w:r>
          </w:p>
        </w:tc>
      </w:tr>
      <w:tr w:rsidR="00B15056" w:rsidRPr="007E0C28" w:rsidTr="007563DE">
        <w:trPr>
          <w:trHeight w:val="270"/>
        </w:trPr>
        <w:tc>
          <w:tcPr>
            <w:tcW w:w="3400" w:type="dxa"/>
            <w:tcBorders>
              <w:left w:val="nil"/>
              <w:right w:val="nil"/>
            </w:tcBorders>
          </w:tcPr>
          <w:p w:rsidR="00B15056" w:rsidRPr="007E0C28" w:rsidRDefault="00B15056" w:rsidP="00A2683E">
            <w:pPr>
              <w:widowControl/>
              <w:spacing w:line="360" w:lineRule="auto"/>
              <w:rPr>
                <w:rFonts w:ascii="Book Antiqua" w:eastAsia="MS PGothic" w:hAnsi="Book Antiqua"/>
                <w:b/>
                <w:bCs/>
                <w:kern w:val="0"/>
                <w:szCs w:val="24"/>
              </w:rPr>
            </w:pPr>
            <w:r w:rsidRPr="007E0C28">
              <w:rPr>
                <w:rFonts w:ascii="Book Antiqua" w:eastAsia="MS PGothic" w:hAnsi="Book Antiqua"/>
                <w:bCs/>
                <w:kern w:val="0"/>
                <w:szCs w:val="24"/>
              </w:rPr>
              <w:t xml:space="preserve"> Nausea</w:t>
            </w:r>
          </w:p>
        </w:tc>
        <w:tc>
          <w:tcPr>
            <w:tcW w:w="1388" w:type="dxa"/>
            <w:tcBorders>
              <w:left w:val="nil"/>
              <w:right w:val="nil"/>
            </w:tcBorders>
            <w:noWrap/>
          </w:tcPr>
          <w:p w:rsidR="00B15056" w:rsidRPr="007E0C28" w:rsidRDefault="00B15056" w:rsidP="00A2683E">
            <w:pPr>
              <w:widowControl/>
              <w:spacing w:line="360" w:lineRule="auto"/>
              <w:rPr>
                <w:rFonts w:ascii="Book Antiqua" w:eastAsia="MS PGothic" w:hAnsi="Book Antiqua"/>
                <w:kern w:val="0"/>
                <w:szCs w:val="24"/>
              </w:rPr>
            </w:pPr>
            <w:r w:rsidRPr="007E0C28">
              <w:rPr>
                <w:rFonts w:ascii="Book Antiqua" w:eastAsia="MS PGothic" w:hAnsi="Book Antiqua"/>
                <w:kern w:val="0"/>
                <w:szCs w:val="24"/>
              </w:rPr>
              <w:t>3 (9.7)</w:t>
            </w:r>
          </w:p>
        </w:tc>
      </w:tr>
      <w:tr w:rsidR="00B15056" w:rsidRPr="007E0C28" w:rsidTr="007563DE">
        <w:trPr>
          <w:trHeight w:val="270"/>
        </w:trPr>
        <w:tc>
          <w:tcPr>
            <w:tcW w:w="3400" w:type="dxa"/>
          </w:tcPr>
          <w:p w:rsidR="00B15056" w:rsidRPr="007E0C28" w:rsidRDefault="00B15056" w:rsidP="00A2683E">
            <w:pPr>
              <w:widowControl/>
              <w:spacing w:line="360" w:lineRule="auto"/>
              <w:rPr>
                <w:rFonts w:ascii="Book Antiqua" w:eastAsia="MS PGothic" w:hAnsi="Book Antiqua"/>
                <w:b/>
                <w:bCs/>
                <w:kern w:val="0"/>
                <w:szCs w:val="24"/>
              </w:rPr>
            </w:pPr>
            <w:r w:rsidRPr="007E0C28">
              <w:rPr>
                <w:rFonts w:ascii="Book Antiqua" w:eastAsia="MS PGothic" w:hAnsi="Book Antiqua"/>
                <w:bCs/>
                <w:kern w:val="0"/>
                <w:szCs w:val="24"/>
              </w:rPr>
              <w:t xml:space="preserve"> Anorexia</w:t>
            </w:r>
          </w:p>
        </w:tc>
        <w:tc>
          <w:tcPr>
            <w:tcW w:w="1388" w:type="dxa"/>
            <w:noWrap/>
          </w:tcPr>
          <w:p w:rsidR="00B15056" w:rsidRPr="007E0C28" w:rsidRDefault="00B15056" w:rsidP="00A2683E">
            <w:pPr>
              <w:widowControl/>
              <w:spacing w:line="360" w:lineRule="auto"/>
              <w:rPr>
                <w:rFonts w:ascii="Book Antiqua" w:eastAsia="MS PGothic" w:hAnsi="Book Antiqua"/>
                <w:kern w:val="0"/>
                <w:szCs w:val="24"/>
              </w:rPr>
            </w:pPr>
            <w:r w:rsidRPr="007E0C28">
              <w:rPr>
                <w:rFonts w:ascii="Book Antiqua" w:eastAsia="MS PGothic" w:hAnsi="Book Antiqua"/>
                <w:kern w:val="0"/>
                <w:szCs w:val="24"/>
              </w:rPr>
              <w:t>1 (3.2)</w:t>
            </w:r>
          </w:p>
        </w:tc>
      </w:tr>
      <w:tr w:rsidR="00B15056" w:rsidRPr="007E0C28" w:rsidTr="007563DE">
        <w:trPr>
          <w:trHeight w:val="270"/>
        </w:trPr>
        <w:tc>
          <w:tcPr>
            <w:tcW w:w="3400" w:type="dxa"/>
            <w:tcBorders>
              <w:left w:val="nil"/>
              <w:right w:val="nil"/>
            </w:tcBorders>
          </w:tcPr>
          <w:p w:rsidR="00B15056" w:rsidRPr="007E0C28" w:rsidRDefault="00B15056" w:rsidP="00A2683E">
            <w:pPr>
              <w:widowControl/>
              <w:spacing w:line="360" w:lineRule="auto"/>
              <w:rPr>
                <w:rFonts w:ascii="Book Antiqua" w:eastAsia="MS PGothic" w:hAnsi="Book Antiqua"/>
                <w:b/>
                <w:bCs/>
                <w:kern w:val="0"/>
                <w:szCs w:val="24"/>
              </w:rPr>
            </w:pPr>
            <w:r w:rsidRPr="007E0C28">
              <w:rPr>
                <w:rFonts w:ascii="Book Antiqua" w:eastAsia="MS PGothic" w:hAnsi="Book Antiqua"/>
                <w:bCs/>
                <w:kern w:val="0"/>
                <w:szCs w:val="24"/>
              </w:rPr>
              <w:t xml:space="preserve"> Faint</w:t>
            </w:r>
          </w:p>
        </w:tc>
        <w:tc>
          <w:tcPr>
            <w:tcW w:w="1388" w:type="dxa"/>
            <w:tcBorders>
              <w:left w:val="nil"/>
              <w:right w:val="nil"/>
            </w:tcBorders>
            <w:noWrap/>
          </w:tcPr>
          <w:p w:rsidR="00B15056" w:rsidRPr="007E0C28" w:rsidRDefault="00B15056" w:rsidP="00A2683E">
            <w:pPr>
              <w:widowControl/>
              <w:spacing w:line="360" w:lineRule="auto"/>
              <w:rPr>
                <w:rFonts w:ascii="Book Antiqua" w:eastAsia="MS PGothic" w:hAnsi="Book Antiqua"/>
                <w:kern w:val="0"/>
                <w:szCs w:val="24"/>
              </w:rPr>
            </w:pPr>
            <w:r w:rsidRPr="007E0C28">
              <w:rPr>
                <w:rFonts w:ascii="Book Antiqua" w:eastAsia="MS PGothic" w:hAnsi="Book Antiqua"/>
                <w:kern w:val="0"/>
                <w:szCs w:val="24"/>
              </w:rPr>
              <w:t>1 (3.2)</w:t>
            </w:r>
          </w:p>
        </w:tc>
      </w:tr>
      <w:tr w:rsidR="00B15056" w:rsidRPr="007E0C28" w:rsidTr="007563DE">
        <w:trPr>
          <w:trHeight w:val="270"/>
        </w:trPr>
        <w:tc>
          <w:tcPr>
            <w:tcW w:w="3400" w:type="dxa"/>
          </w:tcPr>
          <w:p w:rsidR="00B15056" w:rsidRPr="007E0C28" w:rsidRDefault="00B15056" w:rsidP="00A2683E">
            <w:pPr>
              <w:widowControl/>
              <w:spacing w:line="360" w:lineRule="auto"/>
              <w:rPr>
                <w:rFonts w:ascii="Book Antiqua" w:eastAsia="MS PGothic" w:hAnsi="Book Antiqua"/>
                <w:b/>
                <w:bCs/>
                <w:kern w:val="0"/>
                <w:szCs w:val="24"/>
              </w:rPr>
            </w:pPr>
            <w:r w:rsidRPr="007E0C28">
              <w:rPr>
                <w:rFonts w:ascii="Book Antiqua" w:eastAsia="MS PGothic" w:hAnsi="Book Antiqua"/>
                <w:bCs/>
                <w:kern w:val="0"/>
                <w:szCs w:val="24"/>
              </w:rPr>
              <w:t xml:space="preserve"> None</w:t>
            </w:r>
          </w:p>
        </w:tc>
        <w:tc>
          <w:tcPr>
            <w:tcW w:w="1388" w:type="dxa"/>
            <w:noWrap/>
          </w:tcPr>
          <w:p w:rsidR="00B15056" w:rsidRPr="007E0C28" w:rsidRDefault="00B15056" w:rsidP="00A2683E">
            <w:pPr>
              <w:widowControl/>
              <w:spacing w:line="360" w:lineRule="auto"/>
              <w:rPr>
                <w:rFonts w:ascii="Book Antiqua" w:eastAsia="MS PGothic" w:hAnsi="Book Antiqua"/>
                <w:kern w:val="0"/>
                <w:szCs w:val="24"/>
              </w:rPr>
            </w:pPr>
            <w:r w:rsidRPr="007E0C28">
              <w:rPr>
                <w:rFonts w:ascii="Book Antiqua" w:eastAsia="MS PGothic" w:hAnsi="Book Antiqua"/>
                <w:kern w:val="0"/>
                <w:szCs w:val="24"/>
              </w:rPr>
              <w:t>3 (9.7)</w:t>
            </w:r>
          </w:p>
        </w:tc>
      </w:tr>
      <w:tr w:rsidR="00B15056" w:rsidRPr="007E0C28" w:rsidTr="007563DE">
        <w:trPr>
          <w:trHeight w:val="270"/>
        </w:trPr>
        <w:tc>
          <w:tcPr>
            <w:tcW w:w="3400" w:type="dxa"/>
            <w:tcBorders>
              <w:left w:val="nil"/>
              <w:right w:val="nil"/>
            </w:tcBorders>
          </w:tcPr>
          <w:p w:rsidR="00B15056" w:rsidRPr="007E0C28" w:rsidRDefault="00B15056" w:rsidP="00A2683E">
            <w:pPr>
              <w:widowControl/>
              <w:spacing w:line="360" w:lineRule="auto"/>
              <w:rPr>
                <w:rFonts w:ascii="Book Antiqua" w:eastAsia="MS PGothic" w:hAnsi="Book Antiqua"/>
                <w:b/>
                <w:bCs/>
                <w:kern w:val="0"/>
                <w:szCs w:val="24"/>
              </w:rPr>
            </w:pPr>
            <w:r w:rsidRPr="007E0C28">
              <w:rPr>
                <w:rFonts w:ascii="Book Antiqua" w:eastAsia="MS PGothic" w:hAnsi="Book Antiqua"/>
                <w:bCs/>
                <w:kern w:val="0"/>
                <w:szCs w:val="24"/>
              </w:rPr>
              <w:t>Bezoar location</w:t>
            </w:r>
          </w:p>
        </w:tc>
        <w:tc>
          <w:tcPr>
            <w:tcW w:w="1388" w:type="dxa"/>
            <w:tcBorders>
              <w:left w:val="nil"/>
              <w:right w:val="nil"/>
            </w:tcBorders>
            <w:noWrap/>
          </w:tcPr>
          <w:p w:rsidR="00B15056" w:rsidRPr="007E0C28" w:rsidRDefault="00B15056" w:rsidP="00A2683E">
            <w:pPr>
              <w:widowControl/>
              <w:spacing w:line="360" w:lineRule="auto"/>
              <w:rPr>
                <w:rFonts w:ascii="Book Antiqua" w:eastAsia="MS PGothic" w:hAnsi="Book Antiqua"/>
                <w:kern w:val="0"/>
                <w:szCs w:val="24"/>
              </w:rPr>
            </w:pPr>
          </w:p>
        </w:tc>
      </w:tr>
      <w:tr w:rsidR="00B15056" w:rsidRPr="007E0C28" w:rsidTr="007563DE">
        <w:trPr>
          <w:trHeight w:val="270"/>
        </w:trPr>
        <w:tc>
          <w:tcPr>
            <w:tcW w:w="3400" w:type="dxa"/>
          </w:tcPr>
          <w:p w:rsidR="00B15056" w:rsidRPr="007E0C28" w:rsidRDefault="00B15056" w:rsidP="00A2683E">
            <w:pPr>
              <w:widowControl/>
              <w:spacing w:line="360" w:lineRule="auto"/>
              <w:rPr>
                <w:rFonts w:ascii="Book Antiqua" w:eastAsia="MS PGothic" w:hAnsi="Book Antiqua"/>
                <w:b/>
                <w:bCs/>
                <w:kern w:val="0"/>
                <w:szCs w:val="24"/>
              </w:rPr>
            </w:pPr>
            <w:r w:rsidRPr="007E0C28">
              <w:rPr>
                <w:rFonts w:ascii="Book Antiqua" w:eastAsia="MS PGothic" w:hAnsi="Book Antiqua"/>
                <w:bCs/>
                <w:kern w:val="0"/>
                <w:szCs w:val="24"/>
              </w:rPr>
              <w:t xml:space="preserve"> Stomach</w:t>
            </w:r>
          </w:p>
        </w:tc>
        <w:tc>
          <w:tcPr>
            <w:tcW w:w="1388" w:type="dxa"/>
            <w:noWrap/>
          </w:tcPr>
          <w:p w:rsidR="00B15056" w:rsidRPr="007E0C28" w:rsidRDefault="00B15056" w:rsidP="00A2683E">
            <w:pPr>
              <w:widowControl/>
              <w:spacing w:line="360" w:lineRule="auto"/>
              <w:rPr>
                <w:rFonts w:ascii="Book Antiqua" w:eastAsia="MS PGothic" w:hAnsi="Book Antiqua"/>
                <w:kern w:val="0"/>
                <w:szCs w:val="24"/>
              </w:rPr>
            </w:pPr>
            <w:r w:rsidRPr="007E0C28">
              <w:rPr>
                <w:rFonts w:ascii="Book Antiqua" w:eastAsia="MS PGothic" w:hAnsi="Book Antiqua"/>
                <w:kern w:val="0"/>
                <w:szCs w:val="24"/>
              </w:rPr>
              <w:t>29 (93.5)</w:t>
            </w:r>
          </w:p>
        </w:tc>
      </w:tr>
      <w:tr w:rsidR="00B15056" w:rsidRPr="007E0C28" w:rsidTr="007563DE">
        <w:trPr>
          <w:trHeight w:val="270"/>
        </w:trPr>
        <w:tc>
          <w:tcPr>
            <w:tcW w:w="3400" w:type="dxa"/>
            <w:tcBorders>
              <w:left w:val="nil"/>
              <w:right w:val="nil"/>
            </w:tcBorders>
          </w:tcPr>
          <w:p w:rsidR="00B15056" w:rsidRPr="007E0C28" w:rsidRDefault="00B15056" w:rsidP="00A2683E">
            <w:pPr>
              <w:widowControl/>
              <w:spacing w:line="360" w:lineRule="auto"/>
              <w:rPr>
                <w:rFonts w:ascii="Book Antiqua" w:eastAsia="MS PGothic" w:hAnsi="Book Antiqua"/>
                <w:b/>
                <w:bCs/>
                <w:kern w:val="0"/>
                <w:szCs w:val="24"/>
              </w:rPr>
            </w:pPr>
            <w:r w:rsidRPr="007E0C28">
              <w:rPr>
                <w:rFonts w:ascii="Book Antiqua" w:eastAsia="MS PGothic" w:hAnsi="Book Antiqua"/>
                <w:bCs/>
                <w:kern w:val="0"/>
                <w:szCs w:val="24"/>
              </w:rPr>
              <w:t xml:space="preserve"> Small intestine</w:t>
            </w:r>
          </w:p>
        </w:tc>
        <w:tc>
          <w:tcPr>
            <w:tcW w:w="1388" w:type="dxa"/>
            <w:tcBorders>
              <w:left w:val="nil"/>
              <w:right w:val="nil"/>
            </w:tcBorders>
            <w:noWrap/>
          </w:tcPr>
          <w:p w:rsidR="00B15056" w:rsidRPr="007E0C28" w:rsidRDefault="00B15056" w:rsidP="00A2683E">
            <w:pPr>
              <w:widowControl/>
              <w:spacing w:line="360" w:lineRule="auto"/>
              <w:rPr>
                <w:rFonts w:ascii="Book Antiqua" w:eastAsia="MS PGothic" w:hAnsi="Book Antiqua"/>
                <w:kern w:val="0"/>
                <w:szCs w:val="24"/>
              </w:rPr>
            </w:pPr>
            <w:r w:rsidRPr="007E0C28">
              <w:rPr>
                <w:rFonts w:ascii="Book Antiqua" w:eastAsia="MS PGothic" w:hAnsi="Book Antiqua"/>
                <w:kern w:val="0"/>
                <w:szCs w:val="24"/>
              </w:rPr>
              <w:t>2 (6.5)</w:t>
            </w:r>
          </w:p>
        </w:tc>
      </w:tr>
      <w:tr w:rsidR="00B15056" w:rsidRPr="007E0C28" w:rsidTr="007563DE">
        <w:trPr>
          <w:trHeight w:val="270"/>
        </w:trPr>
        <w:tc>
          <w:tcPr>
            <w:tcW w:w="3400" w:type="dxa"/>
          </w:tcPr>
          <w:p w:rsidR="00B15056" w:rsidRPr="007E0C28" w:rsidRDefault="00B15056" w:rsidP="00A2683E">
            <w:pPr>
              <w:widowControl/>
              <w:spacing w:line="360" w:lineRule="auto"/>
              <w:rPr>
                <w:rFonts w:ascii="Book Antiqua" w:eastAsia="MS PGothic" w:hAnsi="Book Antiqua"/>
                <w:b/>
                <w:bCs/>
                <w:kern w:val="0"/>
                <w:szCs w:val="24"/>
              </w:rPr>
            </w:pPr>
            <w:r w:rsidRPr="007E0C28">
              <w:rPr>
                <w:rFonts w:ascii="Book Antiqua" w:eastAsia="MS PGothic" w:hAnsi="Book Antiqua"/>
                <w:bCs/>
                <w:kern w:val="0"/>
                <w:szCs w:val="24"/>
              </w:rPr>
              <w:t>Diagnosis modality</w:t>
            </w:r>
          </w:p>
        </w:tc>
        <w:tc>
          <w:tcPr>
            <w:tcW w:w="1388" w:type="dxa"/>
            <w:noWrap/>
          </w:tcPr>
          <w:p w:rsidR="00B15056" w:rsidRPr="007E0C28" w:rsidRDefault="00B15056" w:rsidP="00A2683E">
            <w:pPr>
              <w:widowControl/>
              <w:spacing w:line="360" w:lineRule="auto"/>
              <w:rPr>
                <w:rFonts w:ascii="Book Antiqua" w:eastAsia="MS PGothic" w:hAnsi="Book Antiqua"/>
                <w:kern w:val="0"/>
                <w:szCs w:val="24"/>
              </w:rPr>
            </w:pPr>
          </w:p>
        </w:tc>
      </w:tr>
      <w:tr w:rsidR="00B15056" w:rsidRPr="007E0C28" w:rsidTr="007563DE">
        <w:trPr>
          <w:trHeight w:val="270"/>
        </w:trPr>
        <w:tc>
          <w:tcPr>
            <w:tcW w:w="3400" w:type="dxa"/>
            <w:tcBorders>
              <w:left w:val="nil"/>
              <w:right w:val="nil"/>
            </w:tcBorders>
          </w:tcPr>
          <w:p w:rsidR="00B15056" w:rsidRPr="007E0C28" w:rsidRDefault="00B15056" w:rsidP="00A2683E">
            <w:pPr>
              <w:widowControl/>
              <w:spacing w:line="360" w:lineRule="auto"/>
              <w:rPr>
                <w:rFonts w:ascii="Book Antiqua" w:eastAsia="MS PGothic" w:hAnsi="Book Antiqua"/>
                <w:b/>
                <w:bCs/>
                <w:kern w:val="0"/>
                <w:szCs w:val="24"/>
              </w:rPr>
            </w:pPr>
            <w:r w:rsidRPr="007E0C28">
              <w:rPr>
                <w:rFonts w:ascii="Book Antiqua" w:eastAsia="MS PGothic" w:hAnsi="Book Antiqua"/>
                <w:b/>
                <w:bCs/>
                <w:kern w:val="0"/>
                <w:szCs w:val="24"/>
              </w:rPr>
              <w:t xml:space="preserve"> </w:t>
            </w:r>
            <w:r w:rsidRPr="007E0C28">
              <w:rPr>
                <w:rFonts w:ascii="Book Antiqua" w:eastAsia="MS PGothic" w:hAnsi="Book Antiqua"/>
                <w:bCs/>
                <w:kern w:val="0"/>
                <w:szCs w:val="24"/>
              </w:rPr>
              <w:t>Esophagogastroduodenoscopy</w:t>
            </w:r>
          </w:p>
        </w:tc>
        <w:tc>
          <w:tcPr>
            <w:tcW w:w="1388" w:type="dxa"/>
            <w:tcBorders>
              <w:left w:val="nil"/>
              <w:right w:val="nil"/>
            </w:tcBorders>
            <w:noWrap/>
          </w:tcPr>
          <w:p w:rsidR="00B15056" w:rsidRPr="007E0C28" w:rsidRDefault="00B15056" w:rsidP="00A2683E">
            <w:pPr>
              <w:widowControl/>
              <w:spacing w:line="360" w:lineRule="auto"/>
              <w:rPr>
                <w:rFonts w:ascii="Book Antiqua" w:eastAsia="MS PGothic" w:hAnsi="Book Antiqua"/>
                <w:kern w:val="0"/>
                <w:szCs w:val="24"/>
              </w:rPr>
            </w:pPr>
            <w:r w:rsidRPr="007E0C28">
              <w:rPr>
                <w:rFonts w:ascii="Book Antiqua" w:eastAsia="MS PGothic" w:hAnsi="Book Antiqua"/>
                <w:kern w:val="0"/>
                <w:szCs w:val="24"/>
              </w:rPr>
              <w:t>23 (74.2)</w:t>
            </w:r>
          </w:p>
        </w:tc>
      </w:tr>
      <w:tr w:rsidR="00B15056" w:rsidRPr="007E0C28" w:rsidTr="007563DE">
        <w:trPr>
          <w:trHeight w:val="270"/>
        </w:trPr>
        <w:tc>
          <w:tcPr>
            <w:tcW w:w="3400" w:type="dxa"/>
          </w:tcPr>
          <w:p w:rsidR="00B15056" w:rsidRPr="007E0C28" w:rsidRDefault="00B15056" w:rsidP="00A2683E">
            <w:pPr>
              <w:widowControl/>
              <w:spacing w:line="360" w:lineRule="auto"/>
              <w:rPr>
                <w:rFonts w:ascii="Book Antiqua" w:eastAsia="MS PGothic" w:hAnsi="Book Antiqua"/>
                <w:b/>
                <w:bCs/>
                <w:kern w:val="0"/>
                <w:szCs w:val="24"/>
              </w:rPr>
            </w:pPr>
            <w:r w:rsidRPr="007E0C28">
              <w:rPr>
                <w:rFonts w:ascii="Book Antiqua" w:eastAsia="MS PGothic" w:hAnsi="Book Antiqua"/>
                <w:b/>
                <w:bCs/>
                <w:kern w:val="0"/>
                <w:szCs w:val="24"/>
              </w:rPr>
              <w:t xml:space="preserve"> </w:t>
            </w:r>
            <w:r w:rsidRPr="007E0C28">
              <w:rPr>
                <w:rFonts w:ascii="Book Antiqua" w:eastAsia="MS PGothic" w:hAnsi="Book Antiqua"/>
                <w:bCs/>
                <w:kern w:val="0"/>
                <w:szCs w:val="24"/>
              </w:rPr>
              <w:t>CT</w:t>
            </w:r>
          </w:p>
        </w:tc>
        <w:tc>
          <w:tcPr>
            <w:tcW w:w="1388" w:type="dxa"/>
            <w:noWrap/>
          </w:tcPr>
          <w:p w:rsidR="00B15056" w:rsidRPr="007E0C28" w:rsidRDefault="00B15056" w:rsidP="00A2683E">
            <w:pPr>
              <w:widowControl/>
              <w:spacing w:line="360" w:lineRule="auto"/>
              <w:rPr>
                <w:rFonts w:ascii="Book Antiqua" w:eastAsia="MS PGothic" w:hAnsi="Book Antiqua"/>
                <w:kern w:val="0"/>
                <w:szCs w:val="24"/>
              </w:rPr>
            </w:pPr>
            <w:r w:rsidRPr="007E0C28">
              <w:rPr>
                <w:rFonts w:ascii="Book Antiqua" w:eastAsia="MS PGothic" w:hAnsi="Book Antiqua"/>
                <w:kern w:val="0"/>
                <w:szCs w:val="24"/>
              </w:rPr>
              <w:t>8 (25.8)</w:t>
            </w:r>
          </w:p>
        </w:tc>
      </w:tr>
      <w:tr w:rsidR="00B15056" w:rsidRPr="007E0C28" w:rsidTr="007563DE">
        <w:trPr>
          <w:trHeight w:val="270"/>
        </w:trPr>
        <w:tc>
          <w:tcPr>
            <w:tcW w:w="3400" w:type="dxa"/>
            <w:tcBorders>
              <w:left w:val="nil"/>
              <w:right w:val="nil"/>
            </w:tcBorders>
          </w:tcPr>
          <w:p w:rsidR="00B15056" w:rsidRPr="007E0C28" w:rsidRDefault="00B15056" w:rsidP="00A2683E">
            <w:pPr>
              <w:widowControl/>
              <w:spacing w:line="360" w:lineRule="auto"/>
              <w:rPr>
                <w:rFonts w:ascii="Book Antiqua" w:eastAsia="MS PGothic" w:hAnsi="Book Antiqua"/>
                <w:b/>
                <w:bCs/>
                <w:kern w:val="0"/>
                <w:szCs w:val="24"/>
              </w:rPr>
            </w:pPr>
            <w:r w:rsidRPr="007E0C28">
              <w:rPr>
                <w:rFonts w:ascii="Book Antiqua" w:eastAsia="MS PGothic" w:hAnsi="Book Antiqua"/>
                <w:bCs/>
                <w:kern w:val="0"/>
                <w:szCs w:val="24"/>
              </w:rPr>
              <w:t>Complications of bezoar</w:t>
            </w:r>
          </w:p>
        </w:tc>
        <w:tc>
          <w:tcPr>
            <w:tcW w:w="1388" w:type="dxa"/>
            <w:tcBorders>
              <w:left w:val="nil"/>
              <w:right w:val="nil"/>
            </w:tcBorders>
            <w:noWrap/>
          </w:tcPr>
          <w:p w:rsidR="00B15056" w:rsidRPr="007E0C28" w:rsidRDefault="00B15056" w:rsidP="00A2683E">
            <w:pPr>
              <w:widowControl/>
              <w:spacing w:line="360" w:lineRule="auto"/>
              <w:rPr>
                <w:rFonts w:ascii="Book Antiqua" w:eastAsia="MS PGothic" w:hAnsi="Book Antiqua"/>
                <w:kern w:val="0"/>
                <w:szCs w:val="24"/>
              </w:rPr>
            </w:pPr>
          </w:p>
        </w:tc>
      </w:tr>
      <w:tr w:rsidR="00B15056" w:rsidRPr="007E0C28" w:rsidTr="007563DE">
        <w:trPr>
          <w:trHeight w:val="315"/>
        </w:trPr>
        <w:tc>
          <w:tcPr>
            <w:tcW w:w="3400" w:type="dxa"/>
          </w:tcPr>
          <w:p w:rsidR="00B15056" w:rsidRPr="007E0C28" w:rsidRDefault="00B15056" w:rsidP="00A2683E">
            <w:pPr>
              <w:widowControl/>
              <w:spacing w:line="360" w:lineRule="auto"/>
              <w:rPr>
                <w:rFonts w:ascii="Book Antiqua" w:eastAsia="MS PGothic" w:hAnsi="Book Antiqua"/>
                <w:b/>
                <w:bCs/>
                <w:kern w:val="0"/>
                <w:szCs w:val="24"/>
              </w:rPr>
            </w:pPr>
            <w:r w:rsidRPr="007E0C28">
              <w:rPr>
                <w:rFonts w:ascii="Book Antiqua" w:eastAsia="MS PGothic" w:hAnsi="Book Antiqua"/>
                <w:bCs/>
                <w:kern w:val="0"/>
                <w:szCs w:val="24"/>
              </w:rPr>
              <w:t xml:space="preserve"> Gastric ulcer</w:t>
            </w:r>
          </w:p>
        </w:tc>
        <w:tc>
          <w:tcPr>
            <w:tcW w:w="1388" w:type="dxa"/>
            <w:noWrap/>
          </w:tcPr>
          <w:p w:rsidR="00B15056" w:rsidRPr="007E0C28" w:rsidRDefault="00B15056" w:rsidP="00A2683E">
            <w:pPr>
              <w:widowControl/>
              <w:spacing w:line="360" w:lineRule="auto"/>
              <w:rPr>
                <w:rFonts w:ascii="Book Antiqua" w:eastAsia="MS PGothic" w:hAnsi="Book Antiqua"/>
                <w:kern w:val="0"/>
                <w:szCs w:val="24"/>
              </w:rPr>
            </w:pPr>
            <w:r w:rsidRPr="007E0C28">
              <w:rPr>
                <w:rFonts w:ascii="Book Antiqua" w:eastAsia="MS PGothic" w:hAnsi="Book Antiqua"/>
                <w:kern w:val="0"/>
                <w:szCs w:val="24"/>
              </w:rPr>
              <w:t>20</w:t>
            </w:r>
            <w:r w:rsidRPr="007E0C28">
              <w:rPr>
                <w:rFonts w:ascii="Book Antiqua" w:eastAsia="宋体" w:hAnsi="Book Antiqua"/>
                <w:kern w:val="0"/>
                <w:szCs w:val="24"/>
                <w:vertAlign w:val="superscript"/>
                <w:lang w:eastAsia="zh-CN"/>
              </w:rPr>
              <w:t>1</w:t>
            </w:r>
            <w:r w:rsidRPr="007E0C28">
              <w:rPr>
                <w:rFonts w:ascii="Book Antiqua" w:eastAsia="MS PGothic" w:hAnsi="Book Antiqua"/>
                <w:kern w:val="0"/>
                <w:szCs w:val="24"/>
              </w:rPr>
              <w:t xml:space="preserve"> (64.5)</w:t>
            </w:r>
          </w:p>
        </w:tc>
      </w:tr>
      <w:tr w:rsidR="00B15056" w:rsidRPr="007E0C28" w:rsidTr="007563DE">
        <w:trPr>
          <w:trHeight w:val="315"/>
        </w:trPr>
        <w:tc>
          <w:tcPr>
            <w:tcW w:w="3400" w:type="dxa"/>
            <w:tcBorders>
              <w:left w:val="nil"/>
              <w:right w:val="nil"/>
            </w:tcBorders>
          </w:tcPr>
          <w:p w:rsidR="00B15056" w:rsidRPr="007E0C28" w:rsidRDefault="00B15056" w:rsidP="00A2683E">
            <w:pPr>
              <w:widowControl/>
              <w:spacing w:line="360" w:lineRule="auto"/>
              <w:rPr>
                <w:rFonts w:ascii="Book Antiqua" w:eastAsia="MS PGothic" w:hAnsi="Book Antiqua"/>
                <w:b/>
                <w:bCs/>
                <w:kern w:val="0"/>
                <w:szCs w:val="24"/>
              </w:rPr>
            </w:pPr>
            <w:r w:rsidRPr="007E0C28">
              <w:rPr>
                <w:rFonts w:ascii="Book Antiqua" w:eastAsia="MS PGothic" w:hAnsi="Book Antiqua"/>
                <w:bCs/>
                <w:kern w:val="0"/>
                <w:szCs w:val="24"/>
              </w:rPr>
              <w:t xml:space="preserve"> Ileus</w:t>
            </w:r>
          </w:p>
        </w:tc>
        <w:tc>
          <w:tcPr>
            <w:tcW w:w="1388" w:type="dxa"/>
            <w:tcBorders>
              <w:left w:val="nil"/>
              <w:right w:val="nil"/>
            </w:tcBorders>
            <w:noWrap/>
          </w:tcPr>
          <w:p w:rsidR="00B15056" w:rsidRPr="007E0C28" w:rsidRDefault="00B15056" w:rsidP="00A2683E">
            <w:pPr>
              <w:widowControl/>
              <w:spacing w:line="360" w:lineRule="auto"/>
              <w:rPr>
                <w:rFonts w:ascii="Book Antiqua" w:eastAsia="MS PGothic" w:hAnsi="Book Antiqua"/>
                <w:kern w:val="0"/>
                <w:szCs w:val="24"/>
              </w:rPr>
            </w:pPr>
            <w:r w:rsidRPr="007E0C28">
              <w:rPr>
                <w:rFonts w:ascii="Book Antiqua" w:eastAsia="MS PGothic" w:hAnsi="Book Antiqua"/>
                <w:kern w:val="0"/>
                <w:szCs w:val="24"/>
              </w:rPr>
              <w:t>3</w:t>
            </w:r>
            <w:r w:rsidRPr="007E0C28">
              <w:rPr>
                <w:rFonts w:ascii="Book Antiqua" w:eastAsia="宋体" w:hAnsi="Book Antiqua"/>
                <w:kern w:val="0"/>
                <w:szCs w:val="24"/>
                <w:vertAlign w:val="superscript"/>
                <w:lang w:eastAsia="zh-CN"/>
              </w:rPr>
              <w:t>1</w:t>
            </w:r>
            <w:r w:rsidRPr="007E0C28">
              <w:rPr>
                <w:rFonts w:ascii="Book Antiqua" w:eastAsia="MS PGothic" w:hAnsi="Book Antiqua"/>
                <w:kern w:val="0"/>
                <w:szCs w:val="24"/>
              </w:rPr>
              <w:t xml:space="preserve"> (9.7)</w:t>
            </w:r>
          </w:p>
        </w:tc>
      </w:tr>
      <w:tr w:rsidR="00B15056" w:rsidRPr="007E0C28" w:rsidTr="007563DE">
        <w:trPr>
          <w:trHeight w:val="270"/>
        </w:trPr>
        <w:tc>
          <w:tcPr>
            <w:tcW w:w="3400" w:type="dxa"/>
            <w:noWrap/>
          </w:tcPr>
          <w:p w:rsidR="00B15056" w:rsidRPr="007E0C28" w:rsidRDefault="00B15056" w:rsidP="00A2683E">
            <w:pPr>
              <w:widowControl/>
              <w:spacing w:line="360" w:lineRule="auto"/>
              <w:rPr>
                <w:rFonts w:ascii="Book Antiqua" w:eastAsia="MS PGothic" w:hAnsi="Book Antiqua"/>
                <w:b/>
                <w:bCs/>
                <w:kern w:val="0"/>
                <w:szCs w:val="24"/>
              </w:rPr>
            </w:pPr>
            <w:r w:rsidRPr="007E0C28">
              <w:rPr>
                <w:rFonts w:ascii="Book Antiqua" w:eastAsia="MS PGothic" w:hAnsi="Book Antiqua"/>
                <w:bCs/>
                <w:kern w:val="0"/>
                <w:szCs w:val="24"/>
              </w:rPr>
              <w:t xml:space="preserve"> Reflux esophagitis</w:t>
            </w:r>
          </w:p>
        </w:tc>
        <w:tc>
          <w:tcPr>
            <w:tcW w:w="1388" w:type="dxa"/>
            <w:noWrap/>
          </w:tcPr>
          <w:p w:rsidR="00B15056" w:rsidRPr="007E0C28" w:rsidRDefault="00B15056" w:rsidP="00A2683E">
            <w:pPr>
              <w:widowControl/>
              <w:spacing w:line="360" w:lineRule="auto"/>
              <w:rPr>
                <w:rFonts w:ascii="Book Antiqua" w:eastAsia="MS PGothic" w:hAnsi="Book Antiqua"/>
                <w:kern w:val="0"/>
                <w:szCs w:val="24"/>
              </w:rPr>
            </w:pPr>
            <w:r w:rsidRPr="007E0C28">
              <w:rPr>
                <w:rFonts w:ascii="Book Antiqua" w:eastAsia="MS PGothic" w:hAnsi="Book Antiqua"/>
                <w:kern w:val="0"/>
                <w:szCs w:val="24"/>
              </w:rPr>
              <w:t>1 (3.2)</w:t>
            </w:r>
          </w:p>
        </w:tc>
      </w:tr>
      <w:tr w:rsidR="00B15056" w:rsidRPr="007E0C28" w:rsidTr="007563DE">
        <w:trPr>
          <w:trHeight w:val="270"/>
        </w:trPr>
        <w:tc>
          <w:tcPr>
            <w:tcW w:w="3400" w:type="dxa"/>
            <w:tcBorders>
              <w:left w:val="nil"/>
              <w:right w:val="nil"/>
            </w:tcBorders>
            <w:noWrap/>
          </w:tcPr>
          <w:p w:rsidR="00B15056" w:rsidRPr="007E0C28" w:rsidRDefault="00B15056" w:rsidP="00A2683E">
            <w:pPr>
              <w:widowControl/>
              <w:spacing w:line="360" w:lineRule="auto"/>
              <w:rPr>
                <w:rFonts w:ascii="Book Antiqua" w:eastAsia="MS PGothic" w:hAnsi="Book Antiqua"/>
                <w:b/>
                <w:bCs/>
                <w:kern w:val="0"/>
                <w:szCs w:val="24"/>
              </w:rPr>
            </w:pPr>
            <w:r w:rsidRPr="007E0C28">
              <w:rPr>
                <w:rFonts w:ascii="Book Antiqua" w:eastAsia="MS PGothic" w:hAnsi="Book Antiqua"/>
                <w:bCs/>
                <w:kern w:val="0"/>
                <w:szCs w:val="24"/>
              </w:rPr>
              <w:t xml:space="preserve"> Acute gastric mucosal lesions</w:t>
            </w:r>
          </w:p>
        </w:tc>
        <w:tc>
          <w:tcPr>
            <w:tcW w:w="1388" w:type="dxa"/>
            <w:tcBorders>
              <w:left w:val="nil"/>
              <w:right w:val="nil"/>
            </w:tcBorders>
            <w:noWrap/>
          </w:tcPr>
          <w:p w:rsidR="00B15056" w:rsidRPr="007E0C28" w:rsidRDefault="00B15056" w:rsidP="00A2683E">
            <w:pPr>
              <w:widowControl/>
              <w:spacing w:line="360" w:lineRule="auto"/>
              <w:rPr>
                <w:rFonts w:ascii="Book Antiqua" w:eastAsia="MS PGothic" w:hAnsi="Book Antiqua"/>
                <w:kern w:val="0"/>
                <w:szCs w:val="24"/>
              </w:rPr>
            </w:pPr>
            <w:r w:rsidRPr="007E0C28">
              <w:rPr>
                <w:rFonts w:ascii="Book Antiqua" w:eastAsia="MS PGothic" w:hAnsi="Book Antiqua"/>
                <w:kern w:val="0"/>
                <w:szCs w:val="24"/>
              </w:rPr>
              <w:t>1 (3.2)</w:t>
            </w:r>
          </w:p>
        </w:tc>
      </w:tr>
      <w:tr w:rsidR="00B15056" w:rsidRPr="007E0C28" w:rsidTr="007563DE">
        <w:trPr>
          <w:trHeight w:val="270"/>
        </w:trPr>
        <w:tc>
          <w:tcPr>
            <w:tcW w:w="3400" w:type="dxa"/>
            <w:noWrap/>
          </w:tcPr>
          <w:p w:rsidR="00B15056" w:rsidRPr="007E0C28" w:rsidRDefault="00B15056" w:rsidP="00A2683E">
            <w:pPr>
              <w:widowControl/>
              <w:spacing w:line="360" w:lineRule="auto"/>
              <w:rPr>
                <w:rFonts w:ascii="Book Antiqua" w:eastAsia="MS PGothic" w:hAnsi="Book Antiqua"/>
                <w:b/>
                <w:bCs/>
                <w:kern w:val="0"/>
                <w:szCs w:val="24"/>
              </w:rPr>
            </w:pPr>
            <w:r w:rsidRPr="007E0C28">
              <w:rPr>
                <w:rFonts w:ascii="Book Antiqua" w:eastAsia="MS PGothic" w:hAnsi="Book Antiqua"/>
                <w:bCs/>
                <w:kern w:val="0"/>
                <w:szCs w:val="24"/>
              </w:rPr>
              <w:t xml:space="preserve"> Duodenal ulcer</w:t>
            </w:r>
          </w:p>
        </w:tc>
        <w:tc>
          <w:tcPr>
            <w:tcW w:w="1388" w:type="dxa"/>
            <w:noWrap/>
          </w:tcPr>
          <w:p w:rsidR="00B15056" w:rsidRPr="007E0C28" w:rsidRDefault="00B15056" w:rsidP="00A2683E">
            <w:pPr>
              <w:widowControl/>
              <w:spacing w:line="360" w:lineRule="auto"/>
              <w:rPr>
                <w:rFonts w:ascii="Book Antiqua" w:eastAsia="MS PGothic" w:hAnsi="Book Antiqua"/>
                <w:kern w:val="0"/>
                <w:szCs w:val="24"/>
              </w:rPr>
            </w:pPr>
            <w:r w:rsidRPr="007E0C28">
              <w:rPr>
                <w:rFonts w:ascii="Book Antiqua" w:eastAsia="MS PGothic" w:hAnsi="Book Antiqua"/>
                <w:kern w:val="0"/>
                <w:szCs w:val="24"/>
              </w:rPr>
              <w:t>1 (3.2)</w:t>
            </w:r>
          </w:p>
        </w:tc>
      </w:tr>
      <w:tr w:rsidR="00B15056" w:rsidRPr="007E0C28" w:rsidTr="007563DE">
        <w:trPr>
          <w:trHeight w:val="270"/>
        </w:trPr>
        <w:tc>
          <w:tcPr>
            <w:tcW w:w="3400" w:type="dxa"/>
            <w:tcBorders>
              <w:left w:val="nil"/>
              <w:bottom w:val="single" w:sz="8" w:space="0" w:color="4BACC6"/>
              <w:right w:val="nil"/>
            </w:tcBorders>
            <w:noWrap/>
          </w:tcPr>
          <w:p w:rsidR="00B15056" w:rsidRPr="007E0C28" w:rsidRDefault="00B15056" w:rsidP="00A2683E">
            <w:pPr>
              <w:widowControl/>
              <w:spacing w:line="360" w:lineRule="auto"/>
              <w:rPr>
                <w:rFonts w:ascii="Book Antiqua" w:eastAsia="MS PGothic" w:hAnsi="Book Antiqua"/>
                <w:b/>
                <w:bCs/>
                <w:kern w:val="0"/>
                <w:szCs w:val="24"/>
              </w:rPr>
            </w:pPr>
            <w:r w:rsidRPr="007E0C28">
              <w:rPr>
                <w:rFonts w:ascii="Book Antiqua" w:eastAsia="MS PGothic" w:hAnsi="Book Antiqua"/>
                <w:bCs/>
                <w:kern w:val="0"/>
                <w:szCs w:val="24"/>
              </w:rPr>
              <w:t xml:space="preserve"> None</w:t>
            </w:r>
          </w:p>
        </w:tc>
        <w:tc>
          <w:tcPr>
            <w:tcW w:w="1388" w:type="dxa"/>
            <w:tcBorders>
              <w:left w:val="nil"/>
              <w:bottom w:val="single" w:sz="8" w:space="0" w:color="4BACC6"/>
              <w:right w:val="nil"/>
            </w:tcBorders>
            <w:noWrap/>
          </w:tcPr>
          <w:p w:rsidR="00B15056" w:rsidRPr="007E0C28" w:rsidRDefault="00B15056" w:rsidP="00A2683E">
            <w:pPr>
              <w:widowControl/>
              <w:spacing w:line="360" w:lineRule="auto"/>
              <w:rPr>
                <w:rFonts w:ascii="Book Antiqua" w:eastAsia="MS PGothic" w:hAnsi="Book Antiqua"/>
                <w:kern w:val="0"/>
                <w:szCs w:val="24"/>
              </w:rPr>
            </w:pPr>
            <w:r w:rsidRPr="007E0C28">
              <w:rPr>
                <w:rFonts w:ascii="Book Antiqua" w:eastAsia="MS PGothic" w:hAnsi="Book Antiqua"/>
                <w:kern w:val="0"/>
                <w:szCs w:val="24"/>
              </w:rPr>
              <w:t>6 (19.4)</w:t>
            </w:r>
          </w:p>
        </w:tc>
      </w:tr>
    </w:tbl>
    <w:p w:rsidR="00B15056" w:rsidRPr="007E0C28" w:rsidRDefault="00B15056" w:rsidP="00A2683E">
      <w:pPr>
        <w:spacing w:line="360" w:lineRule="auto"/>
        <w:rPr>
          <w:rFonts w:ascii="Book Antiqua" w:hAnsi="Book Antiqua"/>
          <w:szCs w:val="24"/>
        </w:rPr>
      </w:pPr>
      <w:r w:rsidRPr="007E0C28">
        <w:rPr>
          <w:rFonts w:ascii="Book Antiqua" w:eastAsia="宋体" w:hAnsi="Book Antiqua"/>
          <w:szCs w:val="24"/>
          <w:vertAlign w:val="superscript"/>
          <w:lang w:eastAsia="zh-CN"/>
        </w:rPr>
        <w:t>1</w:t>
      </w:r>
      <w:r w:rsidRPr="007E0C28">
        <w:rPr>
          <w:rFonts w:ascii="Book Antiqua" w:hAnsi="Book Antiqua"/>
          <w:szCs w:val="24"/>
        </w:rPr>
        <w:t>One patient presented with both gastric ulcer and ileus.</w:t>
      </w:r>
      <w:r w:rsidRPr="007E0C28">
        <w:rPr>
          <w:rFonts w:ascii="Book Antiqua" w:hAnsi="Book Antiqua"/>
          <w:szCs w:val="24"/>
        </w:rPr>
        <w:br w:type="page"/>
      </w:r>
    </w:p>
    <w:p w:rsidR="00B15056" w:rsidRPr="007E0C28" w:rsidRDefault="00522B73" w:rsidP="00A2683E">
      <w:pPr>
        <w:spacing w:line="360" w:lineRule="auto"/>
        <w:rPr>
          <w:rFonts w:ascii="Book Antiqua" w:hAnsi="Book Antiqua"/>
          <w:b/>
          <w:szCs w:val="24"/>
        </w:rPr>
      </w:pPr>
      <w:r>
        <w:rPr>
          <w:rFonts w:ascii="Book Antiqua" w:hAnsi="Book Antiqua"/>
          <w:b/>
          <w:noProof/>
          <w:szCs w:val="24"/>
          <w:lang w:eastAsia="en-US"/>
        </w:rPr>
        <w:drawing>
          <wp:inline distT="0" distB="0" distL="0" distR="0">
            <wp:extent cx="5389245" cy="4620895"/>
            <wp:effectExtent l="0" t="0" r="0" b="190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89245" cy="4620895"/>
                    </a:xfrm>
                    <a:prstGeom prst="rect">
                      <a:avLst/>
                    </a:prstGeom>
                    <a:noFill/>
                    <a:ln>
                      <a:noFill/>
                    </a:ln>
                  </pic:spPr>
                </pic:pic>
              </a:graphicData>
            </a:graphic>
          </wp:inline>
        </w:drawing>
      </w:r>
    </w:p>
    <w:p w:rsidR="00B15056" w:rsidRPr="007E0C28" w:rsidRDefault="00B15056" w:rsidP="00597E41">
      <w:pPr>
        <w:spacing w:line="360" w:lineRule="auto"/>
        <w:rPr>
          <w:rFonts w:ascii="Book Antiqua" w:hAnsi="Book Antiqua"/>
          <w:szCs w:val="24"/>
        </w:rPr>
      </w:pPr>
      <w:r w:rsidRPr="007E0C28">
        <w:rPr>
          <w:rFonts w:ascii="Book Antiqua" w:hAnsi="Book Antiqua"/>
          <w:b/>
          <w:szCs w:val="24"/>
        </w:rPr>
        <w:t>Fig</w:t>
      </w:r>
      <w:r w:rsidRPr="007E0C28">
        <w:rPr>
          <w:rFonts w:ascii="Book Antiqua" w:eastAsia="宋体" w:hAnsi="Book Antiqua"/>
          <w:b/>
          <w:szCs w:val="24"/>
          <w:lang w:eastAsia="zh-CN"/>
        </w:rPr>
        <w:t>ure</w:t>
      </w:r>
      <w:r w:rsidRPr="007E0C28">
        <w:rPr>
          <w:rFonts w:ascii="Book Antiqua" w:hAnsi="Book Antiqua"/>
          <w:b/>
          <w:szCs w:val="24"/>
        </w:rPr>
        <w:t xml:space="preserve"> 1</w:t>
      </w:r>
      <w:r w:rsidRPr="007E0C28">
        <w:rPr>
          <w:rFonts w:ascii="Book Antiqua" w:hAnsi="Book Antiqua"/>
          <w:szCs w:val="24"/>
        </w:rPr>
        <w:t xml:space="preserve"> </w:t>
      </w:r>
      <w:r w:rsidRPr="007E0C28">
        <w:rPr>
          <w:rFonts w:ascii="Book Antiqua" w:hAnsi="Book Antiqua"/>
          <w:b/>
          <w:szCs w:val="24"/>
        </w:rPr>
        <w:t>Endoscopic images of a persimmon phytobezoar</w:t>
      </w:r>
      <w:r w:rsidRPr="007E0C28">
        <w:rPr>
          <w:rFonts w:ascii="Book Antiqua" w:hAnsi="Book Antiqua"/>
          <w:szCs w:val="24"/>
        </w:rPr>
        <w:t>.</w:t>
      </w:r>
      <w:r w:rsidRPr="007E0C28">
        <w:rPr>
          <w:rFonts w:ascii="Book Antiqua" w:eastAsia="宋体" w:hAnsi="Book Antiqua"/>
          <w:szCs w:val="24"/>
          <w:lang w:eastAsia="zh-CN"/>
        </w:rPr>
        <w:t xml:space="preserve"> </w:t>
      </w:r>
      <w:r w:rsidRPr="007E0C28">
        <w:rPr>
          <w:rFonts w:ascii="Book Antiqua" w:hAnsi="Book Antiqua"/>
          <w:szCs w:val="24"/>
        </w:rPr>
        <w:t>A: A large, black bezoar is seen in the gastric fundus</w:t>
      </w:r>
      <w:r w:rsidRPr="007E0C28">
        <w:rPr>
          <w:rFonts w:ascii="Book Antiqua" w:eastAsia="宋体" w:hAnsi="Book Antiqua"/>
          <w:szCs w:val="24"/>
          <w:lang w:eastAsia="zh-CN"/>
        </w:rPr>
        <w:t>;</w:t>
      </w:r>
      <w:r w:rsidRPr="007E0C28">
        <w:rPr>
          <w:rFonts w:ascii="Book Antiqua" w:hAnsi="Book Antiqua"/>
          <w:szCs w:val="24"/>
        </w:rPr>
        <w:t xml:space="preserve"> B: A peptic ulcer is also observed in the gastric angle</w:t>
      </w:r>
      <w:r w:rsidRPr="007E0C28">
        <w:rPr>
          <w:rFonts w:ascii="Book Antiqua" w:eastAsia="宋体" w:hAnsi="Book Antiqua"/>
          <w:szCs w:val="24"/>
          <w:lang w:eastAsia="zh-CN"/>
        </w:rPr>
        <w:t>;</w:t>
      </w:r>
      <w:r w:rsidRPr="007E0C28">
        <w:rPr>
          <w:rFonts w:ascii="Book Antiqua" w:hAnsi="Book Antiqua"/>
          <w:szCs w:val="24"/>
        </w:rPr>
        <w:t xml:space="preserve"> C: Fragmentation of the bezoar was performed by endoscopy forceps and polypectomy snares</w:t>
      </w:r>
      <w:r w:rsidRPr="007E0C28">
        <w:rPr>
          <w:rFonts w:ascii="Book Antiqua" w:eastAsia="宋体" w:hAnsi="Book Antiqua"/>
          <w:szCs w:val="24"/>
          <w:lang w:eastAsia="zh-CN"/>
        </w:rPr>
        <w:t>;</w:t>
      </w:r>
      <w:r w:rsidRPr="007E0C28">
        <w:rPr>
          <w:rFonts w:ascii="Book Antiqua" w:hAnsi="Book Antiqua"/>
          <w:szCs w:val="24"/>
        </w:rPr>
        <w:t xml:space="preserve"> D: The fragments were removed by a retrieval net device and used in the subsequent </w:t>
      </w:r>
      <w:r w:rsidRPr="007E0C28">
        <w:rPr>
          <w:rFonts w:ascii="Book Antiqua" w:hAnsi="Book Antiqua"/>
          <w:i/>
          <w:szCs w:val="24"/>
        </w:rPr>
        <w:t>in vitro</w:t>
      </w:r>
      <w:r w:rsidRPr="007E0C28">
        <w:rPr>
          <w:rFonts w:ascii="Book Antiqua" w:hAnsi="Book Antiqua"/>
          <w:szCs w:val="24"/>
        </w:rPr>
        <w:t xml:space="preserve"> analysis.</w:t>
      </w:r>
    </w:p>
    <w:p w:rsidR="00B15056" w:rsidRPr="007E0C28" w:rsidRDefault="00B15056" w:rsidP="00A2683E">
      <w:pPr>
        <w:spacing w:line="360" w:lineRule="auto"/>
        <w:rPr>
          <w:rFonts w:ascii="Book Antiqua" w:hAnsi="Book Antiqua"/>
          <w:b/>
          <w:szCs w:val="24"/>
        </w:rPr>
      </w:pPr>
      <w:bookmarkStart w:id="7" w:name="_GoBack"/>
      <w:bookmarkEnd w:id="7"/>
    </w:p>
    <w:p w:rsidR="00B15056" w:rsidRPr="007E0C28" w:rsidRDefault="00B15056" w:rsidP="00A2683E">
      <w:pPr>
        <w:widowControl/>
        <w:spacing w:line="360" w:lineRule="auto"/>
        <w:rPr>
          <w:rFonts w:ascii="Book Antiqua" w:hAnsi="Book Antiqua"/>
          <w:b/>
          <w:szCs w:val="24"/>
        </w:rPr>
      </w:pPr>
      <w:r w:rsidRPr="007E0C28">
        <w:rPr>
          <w:rFonts w:ascii="Book Antiqua" w:hAnsi="Book Antiqua"/>
          <w:b/>
          <w:szCs w:val="24"/>
        </w:rPr>
        <w:br w:type="page"/>
      </w:r>
    </w:p>
    <w:p w:rsidR="00B15056" w:rsidRPr="007E0C28" w:rsidRDefault="00522B73" w:rsidP="00A2683E">
      <w:pPr>
        <w:widowControl/>
        <w:spacing w:line="360" w:lineRule="auto"/>
        <w:rPr>
          <w:rFonts w:ascii="Book Antiqua" w:eastAsia="宋体" w:hAnsi="Book Antiqua"/>
          <w:b/>
          <w:noProof/>
          <w:szCs w:val="24"/>
          <w:lang w:eastAsia="zh-CN"/>
        </w:rPr>
      </w:pPr>
      <w:r>
        <w:rPr>
          <w:rFonts w:ascii="Book Antiqua" w:hAnsi="Book Antiqua"/>
          <w:b/>
          <w:noProof/>
          <w:szCs w:val="24"/>
          <w:lang w:eastAsia="en-US"/>
        </w:rPr>
        <w:drawing>
          <wp:inline distT="0" distB="0" distL="0" distR="0">
            <wp:extent cx="5398770" cy="3268345"/>
            <wp:effectExtent l="0" t="0" r="11430" b="8255"/>
            <wp:docPr id="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8770" cy="3268345"/>
                    </a:xfrm>
                    <a:prstGeom prst="rect">
                      <a:avLst/>
                    </a:prstGeom>
                    <a:noFill/>
                    <a:ln>
                      <a:noFill/>
                    </a:ln>
                  </pic:spPr>
                </pic:pic>
              </a:graphicData>
            </a:graphic>
          </wp:inline>
        </w:drawing>
      </w:r>
    </w:p>
    <w:p w:rsidR="00B15056" w:rsidRPr="007E0C28" w:rsidRDefault="00B15056" w:rsidP="00597E41">
      <w:pPr>
        <w:spacing w:line="360" w:lineRule="auto"/>
        <w:rPr>
          <w:rFonts w:ascii="Book Antiqua" w:hAnsi="Book Antiqua"/>
          <w:szCs w:val="24"/>
        </w:rPr>
      </w:pPr>
      <w:r w:rsidRPr="007E0C28">
        <w:rPr>
          <w:rFonts w:ascii="Book Antiqua" w:hAnsi="Book Antiqua"/>
          <w:b/>
          <w:szCs w:val="24"/>
        </w:rPr>
        <w:t>Fig</w:t>
      </w:r>
      <w:r w:rsidRPr="007E0C28">
        <w:rPr>
          <w:rFonts w:ascii="Book Antiqua" w:eastAsia="宋体" w:hAnsi="Book Antiqua"/>
          <w:b/>
          <w:szCs w:val="24"/>
          <w:lang w:eastAsia="zh-CN"/>
        </w:rPr>
        <w:t>ure</w:t>
      </w:r>
      <w:r w:rsidRPr="007E0C28">
        <w:rPr>
          <w:rFonts w:ascii="Book Antiqua" w:hAnsi="Book Antiqua"/>
          <w:b/>
          <w:szCs w:val="24"/>
        </w:rPr>
        <w:t xml:space="preserve"> 2</w:t>
      </w:r>
      <w:r w:rsidRPr="007E0C28">
        <w:rPr>
          <w:rFonts w:ascii="Book Antiqua" w:hAnsi="Book Antiqua"/>
          <w:szCs w:val="24"/>
        </w:rPr>
        <w:t xml:space="preserve"> </w:t>
      </w:r>
      <w:r w:rsidRPr="007E0C28">
        <w:rPr>
          <w:rFonts w:ascii="Book Antiqua" w:hAnsi="Book Antiqua"/>
          <w:b/>
          <w:szCs w:val="24"/>
        </w:rPr>
        <w:t xml:space="preserve">Photographs of the </w:t>
      </w:r>
      <w:r w:rsidRPr="007E0C28">
        <w:rPr>
          <w:rFonts w:ascii="Book Antiqua" w:hAnsi="Book Antiqua"/>
          <w:b/>
          <w:i/>
          <w:szCs w:val="24"/>
        </w:rPr>
        <w:t>in vitro</w:t>
      </w:r>
      <w:r w:rsidRPr="007E0C28">
        <w:rPr>
          <w:rFonts w:ascii="Book Antiqua" w:hAnsi="Book Antiqua"/>
          <w:b/>
          <w:szCs w:val="24"/>
        </w:rPr>
        <w:t xml:space="preserve"> experiment</w:t>
      </w:r>
      <w:r w:rsidRPr="007E0C28">
        <w:rPr>
          <w:rFonts w:ascii="Book Antiqua" w:hAnsi="Book Antiqua"/>
          <w:szCs w:val="24"/>
        </w:rPr>
        <w:t>.</w:t>
      </w:r>
      <w:r w:rsidRPr="007E0C28">
        <w:rPr>
          <w:rFonts w:ascii="Book Antiqua" w:eastAsia="宋体" w:hAnsi="Book Antiqua"/>
          <w:szCs w:val="24"/>
          <w:lang w:eastAsia="zh-CN"/>
        </w:rPr>
        <w:t xml:space="preserve"> </w:t>
      </w:r>
      <w:r w:rsidRPr="007E0C28">
        <w:rPr>
          <w:rFonts w:ascii="Book Antiqua" w:hAnsi="Book Antiqua"/>
          <w:szCs w:val="24"/>
        </w:rPr>
        <w:t>A: Endoscopically extracted fragments of the gastric bezoar were used</w:t>
      </w:r>
      <w:r w:rsidRPr="007E0C28">
        <w:rPr>
          <w:rFonts w:ascii="Book Antiqua" w:eastAsia="宋体" w:hAnsi="Book Antiqua"/>
          <w:szCs w:val="24"/>
          <w:lang w:eastAsia="zh-CN"/>
        </w:rPr>
        <w:t>;</w:t>
      </w:r>
      <w:r w:rsidRPr="007E0C28">
        <w:rPr>
          <w:rFonts w:ascii="Book Antiqua" w:hAnsi="Book Antiqua"/>
          <w:szCs w:val="24"/>
        </w:rPr>
        <w:t xml:space="preserve"> B: Representative photographs of the bezoar fragments incubated at 37°C with gentle swirling for 12 h with double-distilled water</w:t>
      </w:r>
      <w:r w:rsidRPr="007E0C28">
        <w:rPr>
          <w:rFonts w:ascii="Book Antiqua" w:eastAsia="宋体" w:hAnsi="Book Antiqua"/>
          <w:szCs w:val="24"/>
          <w:lang w:eastAsia="zh-CN"/>
        </w:rPr>
        <w:t>;</w:t>
      </w:r>
      <w:r w:rsidRPr="007E0C28">
        <w:rPr>
          <w:rFonts w:ascii="Book Antiqua" w:hAnsi="Book Antiqua"/>
          <w:szCs w:val="24"/>
        </w:rPr>
        <w:t xml:space="preserve"> C: Bezoar fragments after incubation with Coca-Cola®</w:t>
      </w:r>
      <w:r w:rsidRPr="007E0C28">
        <w:rPr>
          <w:rFonts w:ascii="Book Antiqua" w:eastAsia="宋体" w:hAnsi="Book Antiqua"/>
          <w:szCs w:val="24"/>
          <w:lang w:eastAsia="zh-CN"/>
        </w:rPr>
        <w:t>;</w:t>
      </w:r>
      <w:r w:rsidRPr="007E0C28">
        <w:rPr>
          <w:rFonts w:ascii="Book Antiqua" w:hAnsi="Book Antiqua"/>
          <w:szCs w:val="24"/>
        </w:rPr>
        <w:t xml:space="preserve"> D: Bezoar fragments after incubation with Coca-Cola Zero®</w:t>
      </w:r>
      <w:r w:rsidRPr="007E0C28">
        <w:rPr>
          <w:rFonts w:ascii="Book Antiqua" w:eastAsia="宋体" w:hAnsi="Book Antiqua"/>
          <w:szCs w:val="24"/>
          <w:lang w:eastAsia="zh-CN"/>
        </w:rPr>
        <w:t>;</w:t>
      </w:r>
      <w:r w:rsidRPr="007E0C28">
        <w:rPr>
          <w:rFonts w:ascii="Book Antiqua" w:hAnsi="Book Antiqua"/>
          <w:szCs w:val="24"/>
        </w:rPr>
        <w:t xml:space="preserve"> E: Bezoar fragments after incubation with a digestive enzymes supplement including cellulose</w:t>
      </w:r>
      <w:r w:rsidRPr="007E0C28">
        <w:rPr>
          <w:rFonts w:ascii="Book Antiqua" w:eastAsia="宋体" w:hAnsi="Book Antiqua"/>
          <w:szCs w:val="24"/>
          <w:lang w:eastAsia="zh-CN"/>
        </w:rPr>
        <w:t>;</w:t>
      </w:r>
      <w:r w:rsidRPr="007E0C28">
        <w:rPr>
          <w:rFonts w:ascii="Book Antiqua" w:hAnsi="Book Antiqua"/>
          <w:szCs w:val="24"/>
        </w:rPr>
        <w:t xml:space="preserve"> F: Bezoar fragments after incubation with papain. The bezoar fragments were clearly more softened and more fragmented after 12-h incubation with Coca-Cola® or Coca-Cola Zero® than with the other agents.</w:t>
      </w:r>
    </w:p>
    <w:p w:rsidR="00B15056" w:rsidRPr="007E0C28" w:rsidRDefault="00B15056" w:rsidP="00A2683E">
      <w:pPr>
        <w:widowControl/>
        <w:spacing w:line="360" w:lineRule="auto"/>
        <w:rPr>
          <w:rFonts w:ascii="Book Antiqua" w:eastAsia="宋体" w:hAnsi="Book Antiqua"/>
          <w:b/>
          <w:szCs w:val="24"/>
        </w:rPr>
      </w:pPr>
    </w:p>
    <w:p w:rsidR="00B15056" w:rsidRPr="007E0C28" w:rsidRDefault="00B15056" w:rsidP="00A2683E">
      <w:pPr>
        <w:widowControl/>
        <w:spacing w:line="360" w:lineRule="auto"/>
        <w:rPr>
          <w:rFonts w:ascii="Book Antiqua" w:hAnsi="Book Antiqua"/>
          <w:b/>
          <w:szCs w:val="24"/>
        </w:rPr>
      </w:pPr>
      <w:r w:rsidRPr="007E0C28">
        <w:rPr>
          <w:rFonts w:ascii="Book Antiqua" w:hAnsi="Book Antiqua"/>
          <w:b/>
          <w:szCs w:val="24"/>
        </w:rPr>
        <w:br w:type="page"/>
      </w:r>
    </w:p>
    <w:p w:rsidR="00B15056" w:rsidRPr="007E0C28" w:rsidRDefault="00522B73" w:rsidP="00A2683E">
      <w:pPr>
        <w:widowControl/>
        <w:spacing w:line="360" w:lineRule="auto"/>
        <w:rPr>
          <w:rFonts w:ascii="Book Antiqua" w:hAnsi="Book Antiqua"/>
          <w:b/>
          <w:szCs w:val="24"/>
        </w:rPr>
      </w:pPr>
      <w:r>
        <w:rPr>
          <w:rFonts w:ascii="Book Antiqua" w:hAnsi="Book Antiqua"/>
          <w:b/>
          <w:noProof/>
          <w:szCs w:val="24"/>
          <w:lang w:eastAsia="en-US"/>
        </w:rPr>
        <w:drawing>
          <wp:inline distT="0" distB="0" distL="0" distR="0">
            <wp:extent cx="5292090" cy="6362065"/>
            <wp:effectExtent l="0" t="0" r="0" b="0"/>
            <wp:docPr id="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2090" cy="6362065"/>
                    </a:xfrm>
                    <a:prstGeom prst="rect">
                      <a:avLst/>
                    </a:prstGeom>
                    <a:noFill/>
                    <a:ln>
                      <a:noFill/>
                    </a:ln>
                  </pic:spPr>
                </pic:pic>
              </a:graphicData>
            </a:graphic>
          </wp:inline>
        </w:drawing>
      </w:r>
    </w:p>
    <w:p w:rsidR="00B15056" w:rsidRPr="0011133E" w:rsidRDefault="00B15056" w:rsidP="00597E41">
      <w:pPr>
        <w:spacing w:line="360" w:lineRule="auto"/>
        <w:rPr>
          <w:rFonts w:ascii="Book Antiqua" w:hAnsi="Book Antiqua"/>
          <w:szCs w:val="24"/>
        </w:rPr>
      </w:pPr>
      <w:r w:rsidRPr="007E0C28">
        <w:rPr>
          <w:rFonts w:ascii="Book Antiqua" w:hAnsi="Book Antiqua"/>
          <w:b/>
          <w:szCs w:val="24"/>
        </w:rPr>
        <w:t>Fig</w:t>
      </w:r>
      <w:r w:rsidRPr="007E0C28">
        <w:rPr>
          <w:rFonts w:ascii="Book Antiqua" w:eastAsia="宋体" w:hAnsi="Book Antiqua"/>
          <w:b/>
          <w:szCs w:val="24"/>
          <w:lang w:eastAsia="zh-CN"/>
        </w:rPr>
        <w:t>ure</w:t>
      </w:r>
      <w:r w:rsidRPr="007E0C28">
        <w:rPr>
          <w:rFonts w:ascii="Book Antiqua" w:hAnsi="Book Antiqua"/>
          <w:b/>
          <w:szCs w:val="24"/>
        </w:rPr>
        <w:t xml:space="preserve"> 3</w:t>
      </w:r>
      <w:r w:rsidRPr="007E0C28">
        <w:rPr>
          <w:rFonts w:ascii="Book Antiqua" w:hAnsi="Book Antiqua"/>
          <w:szCs w:val="24"/>
        </w:rPr>
        <w:t xml:space="preserve"> </w:t>
      </w:r>
      <w:r w:rsidRPr="007E0C28">
        <w:rPr>
          <w:rFonts w:ascii="Book Antiqua" w:hAnsi="Book Antiqua"/>
          <w:b/>
          <w:szCs w:val="24"/>
        </w:rPr>
        <w:t>The dissolubility of bezoar fragments</w:t>
      </w:r>
      <w:r w:rsidRPr="007E0C28">
        <w:rPr>
          <w:rFonts w:ascii="Book Antiqua" w:hAnsi="Book Antiqua"/>
          <w:szCs w:val="24"/>
        </w:rPr>
        <w:t>.</w:t>
      </w:r>
      <w:r w:rsidRPr="007E0C28">
        <w:rPr>
          <w:rFonts w:ascii="Book Antiqua" w:eastAsia="宋体" w:hAnsi="Book Antiqua"/>
          <w:szCs w:val="24"/>
          <w:lang w:eastAsia="zh-CN"/>
        </w:rPr>
        <w:t xml:space="preserve"> </w:t>
      </w:r>
      <w:r w:rsidRPr="007E0C28">
        <w:rPr>
          <w:rFonts w:ascii="Book Antiqua" w:hAnsi="Book Antiqua"/>
          <w:szCs w:val="24"/>
        </w:rPr>
        <w:t>The mean dissolubility of bezoar fragments was highest by Coca-Cola®, but the difference between Coca-Cola® and water was not significant (</w:t>
      </w:r>
      <w:r w:rsidRPr="007E0C28">
        <w:rPr>
          <w:rFonts w:ascii="Book Antiqua" w:hAnsi="Book Antiqua"/>
          <w:i/>
          <w:szCs w:val="24"/>
        </w:rPr>
        <w:t>P</w:t>
      </w:r>
      <w:r w:rsidRPr="007E0C28">
        <w:rPr>
          <w:rFonts w:ascii="Book Antiqua" w:eastAsia="宋体" w:hAnsi="Book Antiqua"/>
          <w:szCs w:val="24"/>
          <w:lang w:eastAsia="zh-CN"/>
        </w:rPr>
        <w:t xml:space="preserve"> </w:t>
      </w:r>
      <w:r w:rsidRPr="007E0C28">
        <w:rPr>
          <w:rFonts w:ascii="Book Antiqua" w:hAnsi="Book Antiqua"/>
          <w:szCs w:val="24"/>
        </w:rPr>
        <w:t>=</w:t>
      </w:r>
      <w:r w:rsidRPr="007E0C28">
        <w:rPr>
          <w:rFonts w:ascii="Book Antiqua" w:eastAsia="宋体" w:hAnsi="Book Antiqua"/>
          <w:szCs w:val="24"/>
          <w:lang w:eastAsia="zh-CN"/>
        </w:rPr>
        <w:t xml:space="preserve"> </w:t>
      </w:r>
      <w:r w:rsidRPr="007E0C28">
        <w:rPr>
          <w:rFonts w:ascii="Book Antiqua" w:hAnsi="Book Antiqua"/>
          <w:szCs w:val="24"/>
        </w:rPr>
        <w:t>0.06) due to the relatively large standard deviation. N.S.: Not significant. *</w:t>
      </w:r>
      <w:r w:rsidRPr="007E0C28">
        <w:rPr>
          <w:rFonts w:ascii="Book Antiqua" w:hAnsi="Book Antiqua"/>
          <w:i/>
          <w:szCs w:val="24"/>
        </w:rPr>
        <w:t>P</w:t>
      </w:r>
      <w:r w:rsidRPr="007E0C28">
        <w:rPr>
          <w:rFonts w:ascii="Book Antiqua" w:eastAsia="宋体" w:hAnsi="Book Antiqua"/>
          <w:szCs w:val="24"/>
          <w:lang w:eastAsia="zh-CN"/>
        </w:rPr>
        <w:t xml:space="preserve"> </w:t>
      </w:r>
      <w:r w:rsidRPr="007E0C28">
        <w:rPr>
          <w:rFonts w:ascii="Book Antiqua" w:hAnsi="Book Antiqua"/>
          <w:szCs w:val="24"/>
        </w:rPr>
        <w:t>&lt;</w:t>
      </w:r>
      <w:r w:rsidRPr="007E0C28">
        <w:rPr>
          <w:rFonts w:ascii="Book Antiqua" w:eastAsia="宋体" w:hAnsi="Book Antiqua"/>
          <w:szCs w:val="24"/>
          <w:lang w:eastAsia="zh-CN"/>
        </w:rPr>
        <w:t xml:space="preserve"> </w:t>
      </w:r>
      <w:r w:rsidRPr="007E0C28">
        <w:rPr>
          <w:rFonts w:ascii="Book Antiqua" w:hAnsi="Book Antiqua"/>
          <w:szCs w:val="24"/>
        </w:rPr>
        <w:t>0.05.</w:t>
      </w:r>
    </w:p>
    <w:p w:rsidR="00B15056" w:rsidRPr="0011133E" w:rsidRDefault="00B15056" w:rsidP="00A2683E">
      <w:pPr>
        <w:widowControl/>
        <w:spacing w:line="360" w:lineRule="auto"/>
        <w:rPr>
          <w:rFonts w:ascii="Book Antiqua" w:hAnsi="Book Antiqua"/>
          <w:b/>
          <w:szCs w:val="24"/>
        </w:rPr>
      </w:pPr>
    </w:p>
    <w:p w:rsidR="00B15056" w:rsidRPr="00912DC0" w:rsidRDefault="00B15056" w:rsidP="00912DC0">
      <w:pPr>
        <w:widowControl/>
        <w:spacing w:line="360" w:lineRule="auto"/>
        <w:rPr>
          <w:rFonts w:ascii="Book Antiqua" w:eastAsia="宋体" w:hAnsi="Book Antiqua"/>
          <w:szCs w:val="24"/>
          <w:lang w:eastAsia="zh-CN"/>
        </w:rPr>
      </w:pPr>
    </w:p>
    <w:sectPr w:rsidR="00B15056" w:rsidRPr="00912DC0" w:rsidSect="00A2683E">
      <w:footerReference w:type="even" r:id="rId10"/>
      <w:footerReference w:type="default" r:id="rId11"/>
      <w:pgSz w:w="11906" w:h="16838" w:code="9"/>
      <w:pgMar w:top="1418" w:right="1418" w:bottom="1418" w:left="1418" w:header="851" w:footer="992" w:gutter="0"/>
      <w:cols w:space="425"/>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78CA" w:rsidRDefault="006C78CA" w:rsidP="006D1C3C">
      <w:r>
        <w:separator/>
      </w:r>
    </w:p>
  </w:endnote>
  <w:endnote w:type="continuationSeparator" w:id="0">
    <w:p w:rsidR="006C78CA" w:rsidRDefault="006C78CA" w:rsidP="006D1C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MS Mincho">
    <w:altName w:val="ＭＳ 明朝"/>
    <w:charset w:val="80"/>
    <w:family w:val="modern"/>
    <w:pitch w:val="fixed"/>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宋体">
    <w:charset w:val="50"/>
    <w:family w:val="auto"/>
    <w:pitch w:val="variable"/>
    <w:sig w:usb0="00000003" w:usb1="080E0000" w:usb2="00000010" w:usb3="00000000" w:csb0="00040001"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MS PGothic">
    <w:altName w:val="ＭＳ Ｐゴシック"/>
    <w:charset w:val="80"/>
    <w:family w:val="swiss"/>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056" w:rsidRDefault="00B15056" w:rsidP="00D0134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15056" w:rsidRDefault="00B1505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056" w:rsidRDefault="00B15056" w:rsidP="00D0134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22B73">
      <w:rPr>
        <w:rStyle w:val="PageNumber"/>
        <w:noProof/>
      </w:rPr>
      <w:t>1</w:t>
    </w:r>
    <w:r>
      <w:rPr>
        <w:rStyle w:val="PageNumber"/>
      </w:rPr>
      <w:fldChar w:fldCharType="end"/>
    </w:r>
  </w:p>
  <w:p w:rsidR="00B15056" w:rsidRDefault="00B1505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78CA" w:rsidRDefault="006C78CA" w:rsidP="006D1C3C">
      <w:r>
        <w:separator/>
      </w:r>
    </w:p>
  </w:footnote>
  <w:footnote w:type="continuationSeparator" w:id="0">
    <w:p w:rsidR="006C78CA" w:rsidRDefault="006C78CA" w:rsidP="006D1C3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defaultTabStop w:val="840"/>
  <w:drawingGridHorizontalSpacing w:val="120"/>
  <w:displayHorizontalDrawingGridEvery w:val="0"/>
  <w:displayVerticalDrawingGridEvery w:val="2"/>
  <w:characterSpacingControl w:val="compressPunctuation"/>
  <w:noLineBreaksAfter w:lang="zh-CN" w:val="$([{£¥·‘“〈《「『【〔〖〝﹙﹛﹝＄（．［｛￡￥"/>
  <w:noLineBreaksBefore w:lang="zh-CN" w:val="!%),.:;&gt;?]}¢¨°·ˇˉ―‖’”…‰′″›℃∶、。〃〉》」』】〕〗〞︶︺︾﹀﹄﹚﹜﹞！＂％＇），．：；？］｀｜｝～￠"/>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1C3C"/>
    <w:rsid w:val="00000287"/>
    <w:rsid w:val="00001190"/>
    <w:rsid w:val="000022B3"/>
    <w:rsid w:val="00002E97"/>
    <w:rsid w:val="0000385B"/>
    <w:rsid w:val="00003BB3"/>
    <w:rsid w:val="00004B16"/>
    <w:rsid w:val="00005D8D"/>
    <w:rsid w:val="00006982"/>
    <w:rsid w:val="00006EAA"/>
    <w:rsid w:val="00007890"/>
    <w:rsid w:val="00011B03"/>
    <w:rsid w:val="00011B24"/>
    <w:rsid w:val="00012352"/>
    <w:rsid w:val="0001251D"/>
    <w:rsid w:val="00012C10"/>
    <w:rsid w:val="0001322B"/>
    <w:rsid w:val="000135C3"/>
    <w:rsid w:val="0001460D"/>
    <w:rsid w:val="00015109"/>
    <w:rsid w:val="0001587E"/>
    <w:rsid w:val="0001724F"/>
    <w:rsid w:val="0002015A"/>
    <w:rsid w:val="00021D66"/>
    <w:rsid w:val="000236DF"/>
    <w:rsid w:val="00023B05"/>
    <w:rsid w:val="000240F0"/>
    <w:rsid w:val="0002440D"/>
    <w:rsid w:val="00024CED"/>
    <w:rsid w:val="00026653"/>
    <w:rsid w:val="00026E2E"/>
    <w:rsid w:val="00027EEC"/>
    <w:rsid w:val="00030519"/>
    <w:rsid w:val="000311A4"/>
    <w:rsid w:val="00032338"/>
    <w:rsid w:val="00032B30"/>
    <w:rsid w:val="00032EB5"/>
    <w:rsid w:val="000331C0"/>
    <w:rsid w:val="000339DC"/>
    <w:rsid w:val="00034E5D"/>
    <w:rsid w:val="0003509A"/>
    <w:rsid w:val="0003581C"/>
    <w:rsid w:val="00036B56"/>
    <w:rsid w:val="000371BB"/>
    <w:rsid w:val="000371CD"/>
    <w:rsid w:val="00041467"/>
    <w:rsid w:val="00041731"/>
    <w:rsid w:val="000420E4"/>
    <w:rsid w:val="00044E8D"/>
    <w:rsid w:val="00045482"/>
    <w:rsid w:val="00045515"/>
    <w:rsid w:val="00046D9E"/>
    <w:rsid w:val="000517AF"/>
    <w:rsid w:val="0005190F"/>
    <w:rsid w:val="000523D3"/>
    <w:rsid w:val="0005254F"/>
    <w:rsid w:val="00052FB0"/>
    <w:rsid w:val="000531F7"/>
    <w:rsid w:val="00055441"/>
    <w:rsid w:val="00055772"/>
    <w:rsid w:val="00055D44"/>
    <w:rsid w:val="000572BE"/>
    <w:rsid w:val="0006030F"/>
    <w:rsid w:val="00060DF2"/>
    <w:rsid w:val="00061340"/>
    <w:rsid w:val="0006295C"/>
    <w:rsid w:val="0006369D"/>
    <w:rsid w:val="000648F1"/>
    <w:rsid w:val="00066024"/>
    <w:rsid w:val="00066217"/>
    <w:rsid w:val="00066D15"/>
    <w:rsid w:val="00067979"/>
    <w:rsid w:val="00070444"/>
    <w:rsid w:val="0007273E"/>
    <w:rsid w:val="000731D4"/>
    <w:rsid w:val="00074277"/>
    <w:rsid w:val="00075663"/>
    <w:rsid w:val="00076C79"/>
    <w:rsid w:val="00077FEB"/>
    <w:rsid w:val="00081902"/>
    <w:rsid w:val="0008277A"/>
    <w:rsid w:val="00085588"/>
    <w:rsid w:val="00086528"/>
    <w:rsid w:val="00087FEF"/>
    <w:rsid w:val="00090121"/>
    <w:rsid w:val="00091821"/>
    <w:rsid w:val="00092387"/>
    <w:rsid w:val="00092E72"/>
    <w:rsid w:val="000935AF"/>
    <w:rsid w:val="000939E0"/>
    <w:rsid w:val="00093BA7"/>
    <w:rsid w:val="00093F6C"/>
    <w:rsid w:val="000955C8"/>
    <w:rsid w:val="000A0913"/>
    <w:rsid w:val="000A0B0C"/>
    <w:rsid w:val="000A0F11"/>
    <w:rsid w:val="000A12D1"/>
    <w:rsid w:val="000A30FC"/>
    <w:rsid w:val="000A361F"/>
    <w:rsid w:val="000A60A9"/>
    <w:rsid w:val="000A6668"/>
    <w:rsid w:val="000A66A8"/>
    <w:rsid w:val="000A6948"/>
    <w:rsid w:val="000A6D2E"/>
    <w:rsid w:val="000A704A"/>
    <w:rsid w:val="000B3C93"/>
    <w:rsid w:val="000B5C68"/>
    <w:rsid w:val="000B65ED"/>
    <w:rsid w:val="000B7F1F"/>
    <w:rsid w:val="000C02C1"/>
    <w:rsid w:val="000C0D0C"/>
    <w:rsid w:val="000C1471"/>
    <w:rsid w:val="000C168D"/>
    <w:rsid w:val="000C1BAF"/>
    <w:rsid w:val="000C2246"/>
    <w:rsid w:val="000C31AA"/>
    <w:rsid w:val="000C3593"/>
    <w:rsid w:val="000C460A"/>
    <w:rsid w:val="000C5191"/>
    <w:rsid w:val="000C5DB1"/>
    <w:rsid w:val="000C66AB"/>
    <w:rsid w:val="000C6721"/>
    <w:rsid w:val="000C6D48"/>
    <w:rsid w:val="000C6F79"/>
    <w:rsid w:val="000C7CDC"/>
    <w:rsid w:val="000D034F"/>
    <w:rsid w:val="000D0633"/>
    <w:rsid w:val="000D0E12"/>
    <w:rsid w:val="000D2D0C"/>
    <w:rsid w:val="000D4908"/>
    <w:rsid w:val="000D7D7C"/>
    <w:rsid w:val="000D7EA5"/>
    <w:rsid w:val="000E0D17"/>
    <w:rsid w:val="000E3DF7"/>
    <w:rsid w:val="000E5046"/>
    <w:rsid w:val="000E58BA"/>
    <w:rsid w:val="000E6AA2"/>
    <w:rsid w:val="000E6B9B"/>
    <w:rsid w:val="000E6C45"/>
    <w:rsid w:val="000E7661"/>
    <w:rsid w:val="000F0D02"/>
    <w:rsid w:val="000F0FD9"/>
    <w:rsid w:val="000F33CA"/>
    <w:rsid w:val="000F4B54"/>
    <w:rsid w:val="000F4C91"/>
    <w:rsid w:val="000F55F2"/>
    <w:rsid w:val="000F5AEB"/>
    <w:rsid w:val="000F6924"/>
    <w:rsid w:val="001009DC"/>
    <w:rsid w:val="00101107"/>
    <w:rsid w:val="00101645"/>
    <w:rsid w:val="00103306"/>
    <w:rsid w:val="00103D4B"/>
    <w:rsid w:val="00105AF4"/>
    <w:rsid w:val="001062A6"/>
    <w:rsid w:val="001062AA"/>
    <w:rsid w:val="00107F38"/>
    <w:rsid w:val="0011133E"/>
    <w:rsid w:val="001114A8"/>
    <w:rsid w:val="00111B6C"/>
    <w:rsid w:val="00111EF8"/>
    <w:rsid w:val="00112A27"/>
    <w:rsid w:val="0011461F"/>
    <w:rsid w:val="0011524A"/>
    <w:rsid w:val="0011553E"/>
    <w:rsid w:val="00115630"/>
    <w:rsid w:val="00115829"/>
    <w:rsid w:val="00115C4C"/>
    <w:rsid w:val="001233F8"/>
    <w:rsid w:val="001250E4"/>
    <w:rsid w:val="00125130"/>
    <w:rsid w:val="001270B6"/>
    <w:rsid w:val="001279AD"/>
    <w:rsid w:val="0013007C"/>
    <w:rsid w:val="00132360"/>
    <w:rsid w:val="00133FAA"/>
    <w:rsid w:val="00135F90"/>
    <w:rsid w:val="001403C9"/>
    <w:rsid w:val="0014050B"/>
    <w:rsid w:val="001423BA"/>
    <w:rsid w:val="00142DBE"/>
    <w:rsid w:val="00146407"/>
    <w:rsid w:val="0015009F"/>
    <w:rsid w:val="00150EDB"/>
    <w:rsid w:val="001513B2"/>
    <w:rsid w:val="001544EE"/>
    <w:rsid w:val="0015498C"/>
    <w:rsid w:val="00154A1C"/>
    <w:rsid w:val="00157090"/>
    <w:rsid w:val="00160351"/>
    <w:rsid w:val="001607CD"/>
    <w:rsid w:val="00161202"/>
    <w:rsid w:val="0016257F"/>
    <w:rsid w:val="001625E5"/>
    <w:rsid w:val="001627C8"/>
    <w:rsid w:val="001630DB"/>
    <w:rsid w:val="00163875"/>
    <w:rsid w:val="00163A04"/>
    <w:rsid w:val="0016570B"/>
    <w:rsid w:val="00166C8B"/>
    <w:rsid w:val="00171F83"/>
    <w:rsid w:val="001721D9"/>
    <w:rsid w:val="001724DA"/>
    <w:rsid w:val="00172D12"/>
    <w:rsid w:val="00173067"/>
    <w:rsid w:val="001748D6"/>
    <w:rsid w:val="00175911"/>
    <w:rsid w:val="001762D9"/>
    <w:rsid w:val="00177BAF"/>
    <w:rsid w:val="00180848"/>
    <w:rsid w:val="00181FDC"/>
    <w:rsid w:val="00182F37"/>
    <w:rsid w:val="001839D9"/>
    <w:rsid w:val="0018429D"/>
    <w:rsid w:val="00184409"/>
    <w:rsid w:val="00186575"/>
    <w:rsid w:val="001928E4"/>
    <w:rsid w:val="001932B4"/>
    <w:rsid w:val="001937C2"/>
    <w:rsid w:val="00194BFE"/>
    <w:rsid w:val="00195119"/>
    <w:rsid w:val="001954D9"/>
    <w:rsid w:val="001962B7"/>
    <w:rsid w:val="0019681F"/>
    <w:rsid w:val="00196DC6"/>
    <w:rsid w:val="001A1D11"/>
    <w:rsid w:val="001A28FC"/>
    <w:rsid w:val="001A3496"/>
    <w:rsid w:val="001A45F9"/>
    <w:rsid w:val="001A7A03"/>
    <w:rsid w:val="001A7EFD"/>
    <w:rsid w:val="001B6AC7"/>
    <w:rsid w:val="001C008E"/>
    <w:rsid w:val="001C0794"/>
    <w:rsid w:val="001C1AA8"/>
    <w:rsid w:val="001C1C39"/>
    <w:rsid w:val="001C5789"/>
    <w:rsid w:val="001D0C4C"/>
    <w:rsid w:val="001D3660"/>
    <w:rsid w:val="001D3B40"/>
    <w:rsid w:val="001D3D83"/>
    <w:rsid w:val="001D40EA"/>
    <w:rsid w:val="001D47AE"/>
    <w:rsid w:val="001D63B5"/>
    <w:rsid w:val="001D71A9"/>
    <w:rsid w:val="001D7BB0"/>
    <w:rsid w:val="001E3D85"/>
    <w:rsid w:val="001E4080"/>
    <w:rsid w:val="001E4C6D"/>
    <w:rsid w:val="001E5A12"/>
    <w:rsid w:val="001E68C1"/>
    <w:rsid w:val="001F0A19"/>
    <w:rsid w:val="001F18EB"/>
    <w:rsid w:val="001F1FEE"/>
    <w:rsid w:val="001F2DF1"/>
    <w:rsid w:val="001F318F"/>
    <w:rsid w:val="001F34D3"/>
    <w:rsid w:val="001F4091"/>
    <w:rsid w:val="001F67C7"/>
    <w:rsid w:val="001F6B16"/>
    <w:rsid w:val="001F7264"/>
    <w:rsid w:val="001F77F9"/>
    <w:rsid w:val="002003CA"/>
    <w:rsid w:val="0020111A"/>
    <w:rsid w:val="00201B0A"/>
    <w:rsid w:val="00202632"/>
    <w:rsid w:val="00203B04"/>
    <w:rsid w:val="0020473A"/>
    <w:rsid w:val="00204CED"/>
    <w:rsid w:val="0021047E"/>
    <w:rsid w:val="002104EA"/>
    <w:rsid w:val="002110EE"/>
    <w:rsid w:val="002112AA"/>
    <w:rsid w:val="00213C68"/>
    <w:rsid w:val="00214AEE"/>
    <w:rsid w:val="00216FDE"/>
    <w:rsid w:val="00217166"/>
    <w:rsid w:val="00217A3B"/>
    <w:rsid w:val="002202BE"/>
    <w:rsid w:val="00220535"/>
    <w:rsid w:val="00222720"/>
    <w:rsid w:val="002233EC"/>
    <w:rsid w:val="00224D9B"/>
    <w:rsid w:val="002271EC"/>
    <w:rsid w:val="00232203"/>
    <w:rsid w:val="00234B30"/>
    <w:rsid w:val="00234C7F"/>
    <w:rsid w:val="0023681E"/>
    <w:rsid w:val="002379DC"/>
    <w:rsid w:val="00240D95"/>
    <w:rsid w:val="00241571"/>
    <w:rsid w:val="00243845"/>
    <w:rsid w:val="00245506"/>
    <w:rsid w:val="002460D7"/>
    <w:rsid w:val="00246AF9"/>
    <w:rsid w:val="00250B6B"/>
    <w:rsid w:val="0025174C"/>
    <w:rsid w:val="002519A0"/>
    <w:rsid w:val="002522B7"/>
    <w:rsid w:val="002525FD"/>
    <w:rsid w:val="00253BFD"/>
    <w:rsid w:val="002540A9"/>
    <w:rsid w:val="00255113"/>
    <w:rsid w:val="002562C6"/>
    <w:rsid w:val="00257234"/>
    <w:rsid w:val="002573BC"/>
    <w:rsid w:val="00257866"/>
    <w:rsid w:val="0026026F"/>
    <w:rsid w:val="002614D8"/>
    <w:rsid w:val="00261C8C"/>
    <w:rsid w:val="0026233C"/>
    <w:rsid w:val="002623FB"/>
    <w:rsid w:val="00263E5C"/>
    <w:rsid w:val="0026420D"/>
    <w:rsid w:val="00264C75"/>
    <w:rsid w:val="0026555D"/>
    <w:rsid w:val="00265688"/>
    <w:rsid w:val="002659EC"/>
    <w:rsid w:val="0027001A"/>
    <w:rsid w:val="0027040D"/>
    <w:rsid w:val="00270929"/>
    <w:rsid w:val="00270C45"/>
    <w:rsid w:val="002727DE"/>
    <w:rsid w:val="00273C64"/>
    <w:rsid w:val="00273D62"/>
    <w:rsid w:val="0027511C"/>
    <w:rsid w:val="0027743C"/>
    <w:rsid w:val="00277918"/>
    <w:rsid w:val="00280B43"/>
    <w:rsid w:val="00281378"/>
    <w:rsid w:val="002815B6"/>
    <w:rsid w:val="00282682"/>
    <w:rsid w:val="00284164"/>
    <w:rsid w:val="00285A2F"/>
    <w:rsid w:val="00285D9D"/>
    <w:rsid w:val="00286057"/>
    <w:rsid w:val="00286BB2"/>
    <w:rsid w:val="002879C5"/>
    <w:rsid w:val="00290396"/>
    <w:rsid w:val="002918C5"/>
    <w:rsid w:val="00291E4A"/>
    <w:rsid w:val="00295386"/>
    <w:rsid w:val="00296809"/>
    <w:rsid w:val="00297372"/>
    <w:rsid w:val="002977AA"/>
    <w:rsid w:val="00297898"/>
    <w:rsid w:val="002A0878"/>
    <w:rsid w:val="002A22C5"/>
    <w:rsid w:val="002A2CDD"/>
    <w:rsid w:val="002B063E"/>
    <w:rsid w:val="002B2344"/>
    <w:rsid w:val="002B254D"/>
    <w:rsid w:val="002B343F"/>
    <w:rsid w:val="002B4BA8"/>
    <w:rsid w:val="002B4FA8"/>
    <w:rsid w:val="002B6062"/>
    <w:rsid w:val="002B66B4"/>
    <w:rsid w:val="002C3822"/>
    <w:rsid w:val="002C4692"/>
    <w:rsid w:val="002C5131"/>
    <w:rsid w:val="002C67E3"/>
    <w:rsid w:val="002C6A52"/>
    <w:rsid w:val="002C6AE2"/>
    <w:rsid w:val="002C6EF1"/>
    <w:rsid w:val="002C77E5"/>
    <w:rsid w:val="002D092F"/>
    <w:rsid w:val="002D10ED"/>
    <w:rsid w:val="002D2A8F"/>
    <w:rsid w:val="002D3033"/>
    <w:rsid w:val="002D38BF"/>
    <w:rsid w:val="002D4459"/>
    <w:rsid w:val="002D50BF"/>
    <w:rsid w:val="002D5C49"/>
    <w:rsid w:val="002D718B"/>
    <w:rsid w:val="002D72D3"/>
    <w:rsid w:val="002E1D4A"/>
    <w:rsid w:val="002E29B8"/>
    <w:rsid w:val="002E32F2"/>
    <w:rsid w:val="002E419C"/>
    <w:rsid w:val="002E41FE"/>
    <w:rsid w:val="002E6E06"/>
    <w:rsid w:val="002F0429"/>
    <w:rsid w:val="002F3EA5"/>
    <w:rsid w:val="002F66BD"/>
    <w:rsid w:val="002F76A9"/>
    <w:rsid w:val="002F7C2D"/>
    <w:rsid w:val="00301504"/>
    <w:rsid w:val="0030255A"/>
    <w:rsid w:val="00302FDD"/>
    <w:rsid w:val="00304B96"/>
    <w:rsid w:val="003051BF"/>
    <w:rsid w:val="00305F07"/>
    <w:rsid w:val="00305F08"/>
    <w:rsid w:val="00306E3C"/>
    <w:rsid w:val="003074EA"/>
    <w:rsid w:val="00311DA2"/>
    <w:rsid w:val="00312890"/>
    <w:rsid w:val="003149AD"/>
    <w:rsid w:val="00314EBD"/>
    <w:rsid w:val="00316E1F"/>
    <w:rsid w:val="003172BF"/>
    <w:rsid w:val="00320910"/>
    <w:rsid w:val="003218CB"/>
    <w:rsid w:val="003228DC"/>
    <w:rsid w:val="00323B38"/>
    <w:rsid w:val="00326286"/>
    <w:rsid w:val="00326A2C"/>
    <w:rsid w:val="00330C58"/>
    <w:rsid w:val="00332504"/>
    <w:rsid w:val="0033447B"/>
    <w:rsid w:val="00334732"/>
    <w:rsid w:val="00335877"/>
    <w:rsid w:val="00335D67"/>
    <w:rsid w:val="00337763"/>
    <w:rsid w:val="00337938"/>
    <w:rsid w:val="00337C38"/>
    <w:rsid w:val="003402A3"/>
    <w:rsid w:val="003404E1"/>
    <w:rsid w:val="00343A31"/>
    <w:rsid w:val="00343A53"/>
    <w:rsid w:val="0034432F"/>
    <w:rsid w:val="003459EF"/>
    <w:rsid w:val="00345BF3"/>
    <w:rsid w:val="0034622D"/>
    <w:rsid w:val="003465F0"/>
    <w:rsid w:val="003469C7"/>
    <w:rsid w:val="00346A66"/>
    <w:rsid w:val="003476D3"/>
    <w:rsid w:val="00347BE9"/>
    <w:rsid w:val="003505EB"/>
    <w:rsid w:val="00350B61"/>
    <w:rsid w:val="00352048"/>
    <w:rsid w:val="00354A3D"/>
    <w:rsid w:val="0035545F"/>
    <w:rsid w:val="003573F1"/>
    <w:rsid w:val="003636F9"/>
    <w:rsid w:val="00363A4D"/>
    <w:rsid w:val="0036483A"/>
    <w:rsid w:val="00364D90"/>
    <w:rsid w:val="00366DFF"/>
    <w:rsid w:val="0037043B"/>
    <w:rsid w:val="0037044F"/>
    <w:rsid w:val="00370706"/>
    <w:rsid w:val="00370B13"/>
    <w:rsid w:val="003710F0"/>
    <w:rsid w:val="003716FE"/>
    <w:rsid w:val="00374324"/>
    <w:rsid w:val="00374692"/>
    <w:rsid w:val="003748EA"/>
    <w:rsid w:val="00375D4E"/>
    <w:rsid w:val="00376340"/>
    <w:rsid w:val="00376DFF"/>
    <w:rsid w:val="0037751F"/>
    <w:rsid w:val="00380540"/>
    <w:rsid w:val="003805A0"/>
    <w:rsid w:val="00380B3E"/>
    <w:rsid w:val="00380D48"/>
    <w:rsid w:val="003819F6"/>
    <w:rsid w:val="00382B63"/>
    <w:rsid w:val="00384071"/>
    <w:rsid w:val="00385A99"/>
    <w:rsid w:val="0039124D"/>
    <w:rsid w:val="00392563"/>
    <w:rsid w:val="00393234"/>
    <w:rsid w:val="00393258"/>
    <w:rsid w:val="003932E3"/>
    <w:rsid w:val="0039567D"/>
    <w:rsid w:val="003A0179"/>
    <w:rsid w:val="003A187B"/>
    <w:rsid w:val="003A188A"/>
    <w:rsid w:val="003A7EEF"/>
    <w:rsid w:val="003B01D3"/>
    <w:rsid w:val="003B0B25"/>
    <w:rsid w:val="003B0C9F"/>
    <w:rsid w:val="003B1319"/>
    <w:rsid w:val="003B1BB4"/>
    <w:rsid w:val="003B3B67"/>
    <w:rsid w:val="003B43AF"/>
    <w:rsid w:val="003B4921"/>
    <w:rsid w:val="003B4968"/>
    <w:rsid w:val="003B4EF6"/>
    <w:rsid w:val="003B55B8"/>
    <w:rsid w:val="003B58E0"/>
    <w:rsid w:val="003B5B54"/>
    <w:rsid w:val="003B7E46"/>
    <w:rsid w:val="003C0043"/>
    <w:rsid w:val="003C04CF"/>
    <w:rsid w:val="003C5A58"/>
    <w:rsid w:val="003C5AB3"/>
    <w:rsid w:val="003C6848"/>
    <w:rsid w:val="003C6C7E"/>
    <w:rsid w:val="003D483B"/>
    <w:rsid w:val="003D53A3"/>
    <w:rsid w:val="003D6BFD"/>
    <w:rsid w:val="003E0832"/>
    <w:rsid w:val="003E0CA1"/>
    <w:rsid w:val="003E1073"/>
    <w:rsid w:val="003E26B0"/>
    <w:rsid w:val="003E3025"/>
    <w:rsid w:val="003E32D3"/>
    <w:rsid w:val="003E4389"/>
    <w:rsid w:val="003E4D83"/>
    <w:rsid w:val="003E60D8"/>
    <w:rsid w:val="003E68CB"/>
    <w:rsid w:val="003E7096"/>
    <w:rsid w:val="003F01A0"/>
    <w:rsid w:val="003F0342"/>
    <w:rsid w:val="003F04A8"/>
    <w:rsid w:val="003F0E48"/>
    <w:rsid w:val="003F174F"/>
    <w:rsid w:val="003F2A68"/>
    <w:rsid w:val="003F54E0"/>
    <w:rsid w:val="003F7643"/>
    <w:rsid w:val="003F7960"/>
    <w:rsid w:val="00400972"/>
    <w:rsid w:val="004027D2"/>
    <w:rsid w:val="00403F73"/>
    <w:rsid w:val="0040496F"/>
    <w:rsid w:val="00405467"/>
    <w:rsid w:val="00405E04"/>
    <w:rsid w:val="004067EB"/>
    <w:rsid w:val="00406D39"/>
    <w:rsid w:val="00410CBE"/>
    <w:rsid w:val="00411BC7"/>
    <w:rsid w:val="00413E2E"/>
    <w:rsid w:val="004148FF"/>
    <w:rsid w:val="00415C9E"/>
    <w:rsid w:val="0041786D"/>
    <w:rsid w:val="004203A8"/>
    <w:rsid w:val="00423207"/>
    <w:rsid w:val="00426CEC"/>
    <w:rsid w:val="00430060"/>
    <w:rsid w:val="004307AD"/>
    <w:rsid w:val="00430D12"/>
    <w:rsid w:val="00430EA4"/>
    <w:rsid w:val="00432287"/>
    <w:rsid w:val="00432765"/>
    <w:rsid w:val="00432859"/>
    <w:rsid w:val="00432D2D"/>
    <w:rsid w:val="004353F3"/>
    <w:rsid w:val="004358B4"/>
    <w:rsid w:val="004362D1"/>
    <w:rsid w:val="00436832"/>
    <w:rsid w:val="004417B9"/>
    <w:rsid w:val="004457C9"/>
    <w:rsid w:val="00446A5A"/>
    <w:rsid w:val="00447831"/>
    <w:rsid w:val="00447F8D"/>
    <w:rsid w:val="004507AB"/>
    <w:rsid w:val="004507D7"/>
    <w:rsid w:val="0045166D"/>
    <w:rsid w:val="004519BD"/>
    <w:rsid w:val="004520BC"/>
    <w:rsid w:val="004523A1"/>
    <w:rsid w:val="0045327C"/>
    <w:rsid w:val="00454343"/>
    <w:rsid w:val="0045435E"/>
    <w:rsid w:val="00454BCC"/>
    <w:rsid w:val="0045756A"/>
    <w:rsid w:val="00460B71"/>
    <w:rsid w:val="00460DBA"/>
    <w:rsid w:val="00462239"/>
    <w:rsid w:val="00462BC0"/>
    <w:rsid w:val="004636E7"/>
    <w:rsid w:val="004672EC"/>
    <w:rsid w:val="0047142D"/>
    <w:rsid w:val="00471B78"/>
    <w:rsid w:val="00472575"/>
    <w:rsid w:val="0047536C"/>
    <w:rsid w:val="00476112"/>
    <w:rsid w:val="004765C2"/>
    <w:rsid w:val="0047723E"/>
    <w:rsid w:val="004803C6"/>
    <w:rsid w:val="00482AB6"/>
    <w:rsid w:val="004866AD"/>
    <w:rsid w:val="00487CDC"/>
    <w:rsid w:val="004913A9"/>
    <w:rsid w:val="004955D0"/>
    <w:rsid w:val="00495721"/>
    <w:rsid w:val="00495CFB"/>
    <w:rsid w:val="00497270"/>
    <w:rsid w:val="00497442"/>
    <w:rsid w:val="00497D97"/>
    <w:rsid w:val="00497F4F"/>
    <w:rsid w:val="004A04C7"/>
    <w:rsid w:val="004A12EC"/>
    <w:rsid w:val="004A2075"/>
    <w:rsid w:val="004A2654"/>
    <w:rsid w:val="004A27B9"/>
    <w:rsid w:val="004A4415"/>
    <w:rsid w:val="004A489C"/>
    <w:rsid w:val="004B15F0"/>
    <w:rsid w:val="004B23F4"/>
    <w:rsid w:val="004B2D08"/>
    <w:rsid w:val="004B2D55"/>
    <w:rsid w:val="004B41B4"/>
    <w:rsid w:val="004B41C5"/>
    <w:rsid w:val="004B444E"/>
    <w:rsid w:val="004B4CE9"/>
    <w:rsid w:val="004B5A9B"/>
    <w:rsid w:val="004B6004"/>
    <w:rsid w:val="004B73DC"/>
    <w:rsid w:val="004B7975"/>
    <w:rsid w:val="004C0031"/>
    <w:rsid w:val="004C297F"/>
    <w:rsid w:val="004C2B4A"/>
    <w:rsid w:val="004C46EA"/>
    <w:rsid w:val="004C60C4"/>
    <w:rsid w:val="004C7D31"/>
    <w:rsid w:val="004C7E67"/>
    <w:rsid w:val="004D070A"/>
    <w:rsid w:val="004D35A6"/>
    <w:rsid w:val="004D3B32"/>
    <w:rsid w:val="004D471C"/>
    <w:rsid w:val="004D5064"/>
    <w:rsid w:val="004D5956"/>
    <w:rsid w:val="004D5B9B"/>
    <w:rsid w:val="004D5E74"/>
    <w:rsid w:val="004D70A7"/>
    <w:rsid w:val="004D7D40"/>
    <w:rsid w:val="004E0DCC"/>
    <w:rsid w:val="004E0DE4"/>
    <w:rsid w:val="004E109F"/>
    <w:rsid w:val="004E1B7A"/>
    <w:rsid w:val="004E1D00"/>
    <w:rsid w:val="004E27B9"/>
    <w:rsid w:val="004E2DB8"/>
    <w:rsid w:val="004E43ED"/>
    <w:rsid w:val="004E54F6"/>
    <w:rsid w:val="004E5B16"/>
    <w:rsid w:val="004E69FB"/>
    <w:rsid w:val="004E7283"/>
    <w:rsid w:val="004E7CC0"/>
    <w:rsid w:val="004F2EB9"/>
    <w:rsid w:val="004F41AB"/>
    <w:rsid w:val="004F5682"/>
    <w:rsid w:val="004F6A76"/>
    <w:rsid w:val="004F7D2B"/>
    <w:rsid w:val="00500016"/>
    <w:rsid w:val="00500569"/>
    <w:rsid w:val="00500B08"/>
    <w:rsid w:val="00501429"/>
    <w:rsid w:val="00501B96"/>
    <w:rsid w:val="005026E0"/>
    <w:rsid w:val="00502BE5"/>
    <w:rsid w:val="00503980"/>
    <w:rsid w:val="00505B4E"/>
    <w:rsid w:val="00505F13"/>
    <w:rsid w:val="005063E6"/>
    <w:rsid w:val="005072A6"/>
    <w:rsid w:val="0050764D"/>
    <w:rsid w:val="00507D1A"/>
    <w:rsid w:val="00510B30"/>
    <w:rsid w:val="0051146E"/>
    <w:rsid w:val="00511545"/>
    <w:rsid w:val="00512164"/>
    <w:rsid w:val="00512AC2"/>
    <w:rsid w:val="00516FD7"/>
    <w:rsid w:val="005202BC"/>
    <w:rsid w:val="00522B73"/>
    <w:rsid w:val="00523DED"/>
    <w:rsid w:val="00524BD3"/>
    <w:rsid w:val="00525102"/>
    <w:rsid w:val="00525827"/>
    <w:rsid w:val="00525DA4"/>
    <w:rsid w:val="005272C1"/>
    <w:rsid w:val="005322E1"/>
    <w:rsid w:val="00534389"/>
    <w:rsid w:val="00535606"/>
    <w:rsid w:val="00543AF5"/>
    <w:rsid w:val="00543C87"/>
    <w:rsid w:val="0054541E"/>
    <w:rsid w:val="00546448"/>
    <w:rsid w:val="005467F8"/>
    <w:rsid w:val="005470FE"/>
    <w:rsid w:val="005507C2"/>
    <w:rsid w:val="005509F7"/>
    <w:rsid w:val="00550A12"/>
    <w:rsid w:val="005556BE"/>
    <w:rsid w:val="00555DF6"/>
    <w:rsid w:val="00556CD3"/>
    <w:rsid w:val="00561570"/>
    <w:rsid w:val="005644D7"/>
    <w:rsid w:val="0056489A"/>
    <w:rsid w:val="00565A09"/>
    <w:rsid w:val="0056647C"/>
    <w:rsid w:val="00566483"/>
    <w:rsid w:val="00567548"/>
    <w:rsid w:val="00567E43"/>
    <w:rsid w:val="00570FB8"/>
    <w:rsid w:val="0057169F"/>
    <w:rsid w:val="00571E76"/>
    <w:rsid w:val="00573FAB"/>
    <w:rsid w:val="00574CA9"/>
    <w:rsid w:val="00575BD7"/>
    <w:rsid w:val="0058060E"/>
    <w:rsid w:val="00580EF9"/>
    <w:rsid w:val="0058219E"/>
    <w:rsid w:val="00582593"/>
    <w:rsid w:val="00583541"/>
    <w:rsid w:val="0058429C"/>
    <w:rsid w:val="00584871"/>
    <w:rsid w:val="005851AD"/>
    <w:rsid w:val="005865BD"/>
    <w:rsid w:val="00587593"/>
    <w:rsid w:val="0059075E"/>
    <w:rsid w:val="00590996"/>
    <w:rsid w:val="00590AE4"/>
    <w:rsid w:val="00591BCC"/>
    <w:rsid w:val="00592A46"/>
    <w:rsid w:val="00592D5D"/>
    <w:rsid w:val="005932C2"/>
    <w:rsid w:val="00594D9D"/>
    <w:rsid w:val="005959E0"/>
    <w:rsid w:val="00596592"/>
    <w:rsid w:val="00597494"/>
    <w:rsid w:val="00597E41"/>
    <w:rsid w:val="005A0273"/>
    <w:rsid w:val="005A0A35"/>
    <w:rsid w:val="005A0E6C"/>
    <w:rsid w:val="005A24B4"/>
    <w:rsid w:val="005A2DDD"/>
    <w:rsid w:val="005A33BA"/>
    <w:rsid w:val="005A4A8C"/>
    <w:rsid w:val="005A6B01"/>
    <w:rsid w:val="005A6D51"/>
    <w:rsid w:val="005A703E"/>
    <w:rsid w:val="005A748B"/>
    <w:rsid w:val="005B1084"/>
    <w:rsid w:val="005B12B9"/>
    <w:rsid w:val="005B1359"/>
    <w:rsid w:val="005B2730"/>
    <w:rsid w:val="005B2B64"/>
    <w:rsid w:val="005B5E8E"/>
    <w:rsid w:val="005B5F29"/>
    <w:rsid w:val="005B64F8"/>
    <w:rsid w:val="005B72B9"/>
    <w:rsid w:val="005C01A0"/>
    <w:rsid w:val="005C0752"/>
    <w:rsid w:val="005C0994"/>
    <w:rsid w:val="005C0D7A"/>
    <w:rsid w:val="005C4EE3"/>
    <w:rsid w:val="005C5375"/>
    <w:rsid w:val="005C5DD3"/>
    <w:rsid w:val="005C5F8F"/>
    <w:rsid w:val="005C68B4"/>
    <w:rsid w:val="005C6999"/>
    <w:rsid w:val="005C6B12"/>
    <w:rsid w:val="005C77E5"/>
    <w:rsid w:val="005C7F32"/>
    <w:rsid w:val="005D0EAF"/>
    <w:rsid w:val="005D1780"/>
    <w:rsid w:val="005D24B4"/>
    <w:rsid w:val="005D255D"/>
    <w:rsid w:val="005D2C72"/>
    <w:rsid w:val="005D6DB7"/>
    <w:rsid w:val="005D6DBE"/>
    <w:rsid w:val="005D6F29"/>
    <w:rsid w:val="005E00BB"/>
    <w:rsid w:val="005E1731"/>
    <w:rsid w:val="005E1C08"/>
    <w:rsid w:val="005E2CAD"/>
    <w:rsid w:val="005E3969"/>
    <w:rsid w:val="005E61A7"/>
    <w:rsid w:val="005F1154"/>
    <w:rsid w:val="005F1579"/>
    <w:rsid w:val="005F23FA"/>
    <w:rsid w:val="005F28F6"/>
    <w:rsid w:val="005F33AA"/>
    <w:rsid w:val="005F6235"/>
    <w:rsid w:val="005F6F98"/>
    <w:rsid w:val="00602659"/>
    <w:rsid w:val="0060311F"/>
    <w:rsid w:val="00603B21"/>
    <w:rsid w:val="006108F2"/>
    <w:rsid w:val="00612F8A"/>
    <w:rsid w:val="00613429"/>
    <w:rsid w:val="0061444E"/>
    <w:rsid w:val="0061484D"/>
    <w:rsid w:val="00616FE5"/>
    <w:rsid w:val="006173A9"/>
    <w:rsid w:val="006175F1"/>
    <w:rsid w:val="006235A7"/>
    <w:rsid w:val="00623DAB"/>
    <w:rsid w:val="006262BC"/>
    <w:rsid w:val="006270C8"/>
    <w:rsid w:val="00627757"/>
    <w:rsid w:val="00627864"/>
    <w:rsid w:val="00627E89"/>
    <w:rsid w:val="00630EB0"/>
    <w:rsid w:val="0063181D"/>
    <w:rsid w:val="00631CD6"/>
    <w:rsid w:val="00631EB4"/>
    <w:rsid w:val="006321D7"/>
    <w:rsid w:val="006326C5"/>
    <w:rsid w:val="006328E3"/>
    <w:rsid w:val="00632EEC"/>
    <w:rsid w:val="00634CB6"/>
    <w:rsid w:val="00635973"/>
    <w:rsid w:val="00636908"/>
    <w:rsid w:val="00636C27"/>
    <w:rsid w:val="00640041"/>
    <w:rsid w:val="00640C53"/>
    <w:rsid w:val="00642E9E"/>
    <w:rsid w:val="00642F0C"/>
    <w:rsid w:val="00643BCA"/>
    <w:rsid w:val="00644892"/>
    <w:rsid w:val="006450C0"/>
    <w:rsid w:val="00647401"/>
    <w:rsid w:val="00650DD6"/>
    <w:rsid w:val="006516D7"/>
    <w:rsid w:val="0065208E"/>
    <w:rsid w:val="00652C2E"/>
    <w:rsid w:val="00654103"/>
    <w:rsid w:val="00656CB2"/>
    <w:rsid w:val="00657208"/>
    <w:rsid w:val="006573DD"/>
    <w:rsid w:val="00660847"/>
    <w:rsid w:val="00660B53"/>
    <w:rsid w:val="006659A4"/>
    <w:rsid w:val="00665EED"/>
    <w:rsid w:val="00672FC6"/>
    <w:rsid w:val="0067439C"/>
    <w:rsid w:val="00676A6B"/>
    <w:rsid w:val="006778BF"/>
    <w:rsid w:val="0068006E"/>
    <w:rsid w:val="006811EA"/>
    <w:rsid w:val="00681818"/>
    <w:rsid w:val="0068346F"/>
    <w:rsid w:val="00684E47"/>
    <w:rsid w:val="006850DE"/>
    <w:rsid w:val="0068671B"/>
    <w:rsid w:val="00687063"/>
    <w:rsid w:val="00690022"/>
    <w:rsid w:val="00690163"/>
    <w:rsid w:val="006901FC"/>
    <w:rsid w:val="00690572"/>
    <w:rsid w:val="00690DC3"/>
    <w:rsid w:val="00692F67"/>
    <w:rsid w:val="0069632D"/>
    <w:rsid w:val="00696CC4"/>
    <w:rsid w:val="00696DD4"/>
    <w:rsid w:val="006A1048"/>
    <w:rsid w:val="006A10E4"/>
    <w:rsid w:val="006A1258"/>
    <w:rsid w:val="006A20E5"/>
    <w:rsid w:val="006A29CF"/>
    <w:rsid w:val="006A5310"/>
    <w:rsid w:val="006A6DD9"/>
    <w:rsid w:val="006B0B23"/>
    <w:rsid w:val="006B2129"/>
    <w:rsid w:val="006B2DC2"/>
    <w:rsid w:val="006B30B7"/>
    <w:rsid w:val="006B3281"/>
    <w:rsid w:val="006B3A23"/>
    <w:rsid w:val="006B4C4B"/>
    <w:rsid w:val="006B76F6"/>
    <w:rsid w:val="006B7D76"/>
    <w:rsid w:val="006C416E"/>
    <w:rsid w:val="006C4F87"/>
    <w:rsid w:val="006C5113"/>
    <w:rsid w:val="006C5330"/>
    <w:rsid w:val="006C5405"/>
    <w:rsid w:val="006C5F15"/>
    <w:rsid w:val="006C6A37"/>
    <w:rsid w:val="006C7744"/>
    <w:rsid w:val="006C78CA"/>
    <w:rsid w:val="006C7B83"/>
    <w:rsid w:val="006C7EE3"/>
    <w:rsid w:val="006D03D4"/>
    <w:rsid w:val="006D0466"/>
    <w:rsid w:val="006D0D48"/>
    <w:rsid w:val="006D12D2"/>
    <w:rsid w:val="006D1C3C"/>
    <w:rsid w:val="006D23D2"/>
    <w:rsid w:val="006D2FEA"/>
    <w:rsid w:val="006D36BB"/>
    <w:rsid w:val="006D4934"/>
    <w:rsid w:val="006D5436"/>
    <w:rsid w:val="006D5578"/>
    <w:rsid w:val="006D57DB"/>
    <w:rsid w:val="006D722C"/>
    <w:rsid w:val="006E071C"/>
    <w:rsid w:val="006E0827"/>
    <w:rsid w:val="006E33F8"/>
    <w:rsid w:val="006E35C1"/>
    <w:rsid w:val="006E3975"/>
    <w:rsid w:val="006E4A58"/>
    <w:rsid w:val="006E55D5"/>
    <w:rsid w:val="006E5F81"/>
    <w:rsid w:val="006E635B"/>
    <w:rsid w:val="006E665E"/>
    <w:rsid w:val="006E6EF5"/>
    <w:rsid w:val="006E6F2E"/>
    <w:rsid w:val="006F04FD"/>
    <w:rsid w:val="006F1D22"/>
    <w:rsid w:val="006F3285"/>
    <w:rsid w:val="006F48E0"/>
    <w:rsid w:val="006F79E9"/>
    <w:rsid w:val="006F7F69"/>
    <w:rsid w:val="007017F5"/>
    <w:rsid w:val="0070209A"/>
    <w:rsid w:val="00704631"/>
    <w:rsid w:val="00705D5B"/>
    <w:rsid w:val="00705EA3"/>
    <w:rsid w:val="00706357"/>
    <w:rsid w:val="00706D8B"/>
    <w:rsid w:val="00707370"/>
    <w:rsid w:val="00713C52"/>
    <w:rsid w:val="00715204"/>
    <w:rsid w:val="00715779"/>
    <w:rsid w:val="00715880"/>
    <w:rsid w:val="00716F1F"/>
    <w:rsid w:val="00717838"/>
    <w:rsid w:val="00720184"/>
    <w:rsid w:val="00720FFB"/>
    <w:rsid w:val="007224F8"/>
    <w:rsid w:val="00723FD6"/>
    <w:rsid w:val="007249BE"/>
    <w:rsid w:val="00724F45"/>
    <w:rsid w:val="00726063"/>
    <w:rsid w:val="00726B25"/>
    <w:rsid w:val="00726DB6"/>
    <w:rsid w:val="0072736C"/>
    <w:rsid w:val="007305C0"/>
    <w:rsid w:val="0073169B"/>
    <w:rsid w:val="00732547"/>
    <w:rsid w:val="00732CF3"/>
    <w:rsid w:val="0073449D"/>
    <w:rsid w:val="007350B6"/>
    <w:rsid w:val="00736806"/>
    <w:rsid w:val="00736979"/>
    <w:rsid w:val="00740933"/>
    <w:rsid w:val="0074129D"/>
    <w:rsid w:val="0074225D"/>
    <w:rsid w:val="00742A1A"/>
    <w:rsid w:val="007430CE"/>
    <w:rsid w:val="00743DF4"/>
    <w:rsid w:val="00745BBC"/>
    <w:rsid w:val="0074768F"/>
    <w:rsid w:val="007476CB"/>
    <w:rsid w:val="007505F3"/>
    <w:rsid w:val="00751556"/>
    <w:rsid w:val="0075288A"/>
    <w:rsid w:val="0075349E"/>
    <w:rsid w:val="00756030"/>
    <w:rsid w:val="007563DE"/>
    <w:rsid w:val="007578EE"/>
    <w:rsid w:val="00762166"/>
    <w:rsid w:val="007621CF"/>
    <w:rsid w:val="00763D64"/>
    <w:rsid w:val="00764169"/>
    <w:rsid w:val="00766209"/>
    <w:rsid w:val="00766824"/>
    <w:rsid w:val="0076692B"/>
    <w:rsid w:val="007705D4"/>
    <w:rsid w:val="007718E3"/>
    <w:rsid w:val="00771FF3"/>
    <w:rsid w:val="00772745"/>
    <w:rsid w:val="00775D12"/>
    <w:rsid w:val="00776338"/>
    <w:rsid w:val="0077673F"/>
    <w:rsid w:val="00776A35"/>
    <w:rsid w:val="007816A1"/>
    <w:rsid w:val="00782EDC"/>
    <w:rsid w:val="00782F63"/>
    <w:rsid w:val="007834BF"/>
    <w:rsid w:val="00785892"/>
    <w:rsid w:val="00787855"/>
    <w:rsid w:val="0079023B"/>
    <w:rsid w:val="00791945"/>
    <w:rsid w:val="00792816"/>
    <w:rsid w:val="00792E2C"/>
    <w:rsid w:val="007938C8"/>
    <w:rsid w:val="00795CCD"/>
    <w:rsid w:val="00796246"/>
    <w:rsid w:val="00797D1C"/>
    <w:rsid w:val="007A05C7"/>
    <w:rsid w:val="007A0B90"/>
    <w:rsid w:val="007A101D"/>
    <w:rsid w:val="007A1578"/>
    <w:rsid w:val="007A2E42"/>
    <w:rsid w:val="007A2EBB"/>
    <w:rsid w:val="007A3098"/>
    <w:rsid w:val="007A4AA2"/>
    <w:rsid w:val="007A5130"/>
    <w:rsid w:val="007A58DD"/>
    <w:rsid w:val="007A5B59"/>
    <w:rsid w:val="007A5D2A"/>
    <w:rsid w:val="007A6BE6"/>
    <w:rsid w:val="007A7495"/>
    <w:rsid w:val="007A757B"/>
    <w:rsid w:val="007B06E7"/>
    <w:rsid w:val="007B12EE"/>
    <w:rsid w:val="007B37C8"/>
    <w:rsid w:val="007B4B86"/>
    <w:rsid w:val="007B5418"/>
    <w:rsid w:val="007B58E3"/>
    <w:rsid w:val="007B5AD7"/>
    <w:rsid w:val="007B6C7A"/>
    <w:rsid w:val="007C0013"/>
    <w:rsid w:val="007C029C"/>
    <w:rsid w:val="007C04AC"/>
    <w:rsid w:val="007C0C28"/>
    <w:rsid w:val="007C1A87"/>
    <w:rsid w:val="007C1F34"/>
    <w:rsid w:val="007C334C"/>
    <w:rsid w:val="007C4F8D"/>
    <w:rsid w:val="007D04EF"/>
    <w:rsid w:val="007D1924"/>
    <w:rsid w:val="007D2D18"/>
    <w:rsid w:val="007D39DA"/>
    <w:rsid w:val="007D3C5F"/>
    <w:rsid w:val="007D4278"/>
    <w:rsid w:val="007D487D"/>
    <w:rsid w:val="007D4B70"/>
    <w:rsid w:val="007D4BD5"/>
    <w:rsid w:val="007D55C1"/>
    <w:rsid w:val="007D59CD"/>
    <w:rsid w:val="007D5B91"/>
    <w:rsid w:val="007D6E29"/>
    <w:rsid w:val="007D7E17"/>
    <w:rsid w:val="007E0638"/>
    <w:rsid w:val="007E0C28"/>
    <w:rsid w:val="007E1BEB"/>
    <w:rsid w:val="007E1E3B"/>
    <w:rsid w:val="007E47CE"/>
    <w:rsid w:val="007E5027"/>
    <w:rsid w:val="007E5C75"/>
    <w:rsid w:val="007E67FE"/>
    <w:rsid w:val="007F0D58"/>
    <w:rsid w:val="007F1A57"/>
    <w:rsid w:val="007F246F"/>
    <w:rsid w:val="007F5B36"/>
    <w:rsid w:val="007F7C67"/>
    <w:rsid w:val="00800739"/>
    <w:rsid w:val="008007C2"/>
    <w:rsid w:val="00800865"/>
    <w:rsid w:val="00800936"/>
    <w:rsid w:val="00806EA5"/>
    <w:rsid w:val="0080762E"/>
    <w:rsid w:val="0080775F"/>
    <w:rsid w:val="0081033C"/>
    <w:rsid w:val="00810979"/>
    <w:rsid w:val="00811378"/>
    <w:rsid w:val="008114D2"/>
    <w:rsid w:val="00811E48"/>
    <w:rsid w:val="008121F0"/>
    <w:rsid w:val="00812C03"/>
    <w:rsid w:val="00813D03"/>
    <w:rsid w:val="00813D33"/>
    <w:rsid w:val="0081492A"/>
    <w:rsid w:val="008155F6"/>
    <w:rsid w:val="00816759"/>
    <w:rsid w:val="00816FAB"/>
    <w:rsid w:val="00823D5B"/>
    <w:rsid w:val="008240D2"/>
    <w:rsid w:val="00824C68"/>
    <w:rsid w:val="00825C71"/>
    <w:rsid w:val="00827F06"/>
    <w:rsid w:val="00830AFF"/>
    <w:rsid w:val="008311AC"/>
    <w:rsid w:val="00831BCC"/>
    <w:rsid w:val="008352BE"/>
    <w:rsid w:val="008365FF"/>
    <w:rsid w:val="00840955"/>
    <w:rsid w:val="00840A43"/>
    <w:rsid w:val="00840B0D"/>
    <w:rsid w:val="00840E3C"/>
    <w:rsid w:val="0084141A"/>
    <w:rsid w:val="008415F6"/>
    <w:rsid w:val="0084160D"/>
    <w:rsid w:val="00841D47"/>
    <w:rsid w:val="00842342"/>
    <w:rsid w:val="008425E0"/>
    <w:rsid w:val="008445DC"/>
    <w:rsid w:val="008447E6"/>
    <w:rsid w:val="008455D6"/>
    <w:rsid w:val="008465E1"/>
    <w:rsid w:val="00846E33"/>
    <w:rsid w:val="00846F5C"/>
    <w:rsid w:val="008505B3"/>
    <w:rsid w:val="00850633"/>
    <w:rsid w:val="00853221"/>
    <w:rsid w:val="00855469"/>
    <w:rsid w:val="00855ACF"/>
    <w:rsid w:val="00856558"/>
    <w:rsid w:val="00857FD2"/>
    <w:rsid w:val="0086060A"/>
    <w:rsid w:val="00861997"/>
    <w:rsid w:val="00862A90"/>
    <w:rsid w:val="00862EBB"/>
    <w:rsid w:val="008636CC"/>
    <w:rsid w:val="0086441F"/>
    <w:rsid w:val="00864460"/>
    <w:rsid w:val="00864727"/>
    <w:rsid w:val="0086587F"/>
    <w:rsid w:val="00865BE5"/>
    <w:rsid w:val="008704D3"/>
    <w:rsid w:val="00870CD3"/>
    <w:rsid w:val="00872493"/>
    <w:rsid w:val="00872BD0"/>
    <w:rsid w:val="00872E66"/>
    <w:rsid w:val="008751BC"/>
    <w:rsid w:val="00875BF6"/>
    <w:rsid w:val="00876323"/>
    <w:rsid w:val="00877113"/>
    <w:rsid w:val="00881328"/>
    <w:rsid w:val="0088139F"/>
    <w:rsid w:val="00881850"/>
    <w:rsid w:val="00881964"/>
    <w:rsid w:val="00883076"/>
    <w:rsid w:val="00886586"/>
    <w:rsid w:val="00887D61"/>
    <w:rsid w:val="008905CC"/>
    <w:rsid w:val="008913EF"/>
    <w:rsid w:val="00891430"/>
    <w:rsid w:val="0089328C"/>
    <w:rsid w:val="00894E0D"/>
    <w:rsid w:val="0089596A"/>
    <w:rsid w:val="008A0E93"/>
    <w:rsid w:val="008A3BFB"/>
    <w:rsid w:val="008A503F"/>
    <w:rsid w:val="008A51F0"/>
    <w:rsid w:val="008A5F47"/>
    <w:rsid w:val="008A644D"/>
    <w:rsid w:val="008A6C84"/>
    <w:rsid w:val="008A70BA"/>
    <w:rsid w:val="008B0CE0"/>
    <w:rsid w:val="008B1401"/>
    <w:rsid w:val="008B680F"/>
    <w:rsid w:val="008B6F85"/>
    <w:rsid w:val="008B7D81"/>
    <w:rsid w:val="008C00DE"/>
    <w:rsid w:val="008C04A1"/>
    <w:rsid w:val="008C165F"/>
    <w:rsid w:val="008C3428"/>
    <w:rsid w:val="008C5FF5"/>
    <w:rsid w:val="008C7194"/>
    <w:rsid w:val="008D2E96"/>
    <w:rsid w:val="008D37E4"/>
    <w:rsid w:val="008D3A18"/>
    <w:rsid w:val="008D4DD9"/>
    <w:rsid w:val="008D7702"/>
    <w:rsid w:val="008E0A69"/>
    <w:rsid w:val="008E40B4"/>
    <w:rsid w:val="008F028A"/>
    <w:rsid w:val="008F1E90"/>
    <w:rsid w:val="008F227E"/>
    <w:rsid w:val="008F412E"/>
    <w:rsid w:val="008F5B8B"/>
    <w:rsid w:val="008F747C"/>
    <w:rsid w:val="00900FF1"/>
    <w:rsid w:val="00901381"/>
    <w:rsid w:val="009017FD"/>
    <w:rsid w:val="0090274A"/>
    <w:rsid w:val="009027BA"/>
    <w:rsid w:val="00903BCB"/>
    <w:rsid w:val="00905F01"/>
    <w:rsid w:val="00906ED4"/>
    <w:rsid w:val="00907339"/>
    <w:rsid w:val="00907673"/>
    <w:rsid w:val="0091150E"/>
    <w:rsid w:val="00912259"/>
    <w:rsid w:val="0091245F"/>
    <w:rsid w:val="009128FC"/>
    <w:rsid w:val="00912DC0"/>
    <w:rsid w:val="00912DFB"/>
    <w:rsid w:val="00913326"/>
    <w:rsid w:val="00914F4A"/>
    <w:rsid w:val="009160CD"/>
    <w:rsid w:val="00917111"/>
    <w:rsid w:val="009200B6"/>
    <w:rsid w:val="00920611"/>
    <w:rsid w:val="00920695"/>
    <w:rsid w:val="00921C40"/>
    <w:rsid w:val="0092369B"/>
    <w:rsid w:val="00924270"/>
    <w:rsid w:val="0092694A"/>
    <w:rsid w:val="009270D9"/>
    <w:rsid w:val="00927825"/>
    <w:rsid w:val="00933AE6"/>
    <w:rsid w:val="00934697"/>
    <w:rsid w:val="0093474B"/>
    <w:rsid w:val="009347F1"/>
    <w:rsid w:val="00936E29"/>
    <w:rsid w:val="00940BE4"/>
    <w:rsid w:val="009430AE"/>
    <w:rsid w:val="00943ADA"/>
    <w:rsid w:val="00944799"/>
    <w:rsid w:val="009456C0"/>
    <w:rsid w:val="009457BF"/>
    <w:rsid w:val="00945A59"/>
    <w:rsid w:val="00945EE0"/>
    <w:rsid w:val="0094655A"/>
    <w:rsid w:val="00946E18"/>
    <w:rsid w:val="00951999"/>
    <w:rsid w:val="009519FC"/>
    <w:rsid w:val="00954602"/>
    <w:rsid w:val="00960841"/>
    <w:rsid w:val="00961366"/>
    <w:rsid w:val="00962C3C"/>
    <w:rsid w:val="009647C4"/>
    <w:rsid w:val="009659DA"/>
    <w:rsid w:val="0096791C"/>
    <w:rsid w:val="00970E9D"/>
    <w:rsid w:val="009774DF"/>
    <w:rsid w:val="0098095B"/>
    <w:rsid w:val="00981D09"/>
    <w:rsid w:val="00984A24"/>
    <w:rsid w:val="00985DE0"/>
    <w:rsid w:val="009873F8"/>
    <w:rsid w:val="00992AD8"/>
    <w:rsid w:val="00994514"/>
    <w:rsid w:val="009957EF"/>
    <w:rsid w:val="00995C28"/>
    <w:rsid w:val="0099646B"/>
    <w:rsid w:val="00996A15"/>
    <w:rsid w:val="009A07D7"/>
    <w:rsid w:val="009A212F"/>
    <w:rsid w:val="009A2AED"/>
    <w:rsid w:val="009A4B09"/>
    <w:rsid w:val="009A5081"/>
    <w:rsid w:val="009A5B69"/>
    <w:rsid w:val="009B102C"/>
    <w:rsid w:val="009B3EDC"/>
    <w:rsid w:val="009B5129"/>
    <w:rsid w:val="009B71AC"/>
    <w:rsid w:val="009B7351"/>
    <w:rsid w:val="009C0A15"/>
    <w:rsid w:val="009C145C"/>
    <w:rsid w:val="009C2CC1"/>
    <w:rsid w:val="009C32D9"/>
    <w:rsid w:val="009C3970"/>
    <w:rsid w:val="009C3C72"/>
    <w:rsid w:val="009C435A"/>
    <w:rsid w:val="009C5BC2"/>
    <w:rsid w:val="009C6058"/>
    <w:rsid w:val="009C60CD"/>
    <w:rsid w:val="009C6CE1"/>
    <w:rsid w:val="009C77A0"/>
    <w:rsid w:val="009D1ACB"/>
    <w:rsid w:val="009D4216"/>
    <w:rsid w:val="009D4652"/>
    <w:rsid w:val="009D4CD7"/>
    <w:rsid w:val="009D4D6E"/>
    <w:rsid w:val="009D5588"/>
    <w:rsid w:val="009D5EC5"/>
    <w:rsid w:val="009E0882"/>
    <w:rsid w:val="009E0E8A"/>
    <w:rsid w:val="009E1B2D"/>
    <w:rsid w:val="009E23AC"/>
    <w:rsid w:val="009E79AD"/>
    <w:rsid w:val="009F0561"/>
    <w:rsid w:val="009F0A80"/>
    <w:rsid w:val="009F0F59"/>
    <w:rsid w:val="009F18CE"/>
    <w:rsid w:val="009F1F0C"/>
    <w:rsid w:val="009F224C"/>
    <w:rsid w:val="009F2EE4"/>
    <w:rsid w:val="009F3C0F"/>
    <w:rsid w:val="009F55A5"/>
    <w:rsid w:val="009F66BF"/>
    <w:rsid w:val="009F7936"/>
    <w:rsid w:val="009F7A20"/>
    <w:rsid w:val="00A00693"/>
    <w:rsid w:val="00A00F5E"/>
    <w:rsid w:val="00A010ED"/>
    <w:rsid w:val="00A011F3"/>
    <w:rsid w:val="00A02C19"/>
    <w:rsid w:val="00A02F88"/>
    <w:rsid w:val="00A0374A"/>
    <w:rsid w:val="00A06126"/>
    <w:rsid w:val="00A066AF"/>
    <w:rsid w:val="00A07227"/>
    <w:rsid w:val="00A073C9"/>
    <w:rsid w:val="00A1010C"/>
    <w:rsid w:val="00A10F10"/>
    <w:rsid w:val="00A11647"/>
    <w:rsid w:val="00A12470"/>
    <w:rsid w:val="00A12F50"/>
    <w:rsid w:val="00A131A0"/>
    <w:rsid w:val="00A13A97"/>
    <w:rsid w:val="00A13F8B"/>
    <w:rsid w:val="00A1416E"/>
    <w:rsid w:val="00A149A8"/>
    <w:rsid w:val="00A153F4"/>
    <w:rsid w:val="00A1737E"/>
    <w:rsid w:val="00A20212"/>
    <w:rsid w:val="00A20AFC"/>
    <w:rsid w:val="00A230DD"/>
    <w:rsid w:val="00A236BC"/>
    <w:rsid w:val="00A24B5C"/>
    <w:rsid w:val="00A24D88"/>
    <w:rsid w:val="00A25494"/>
    <w:rsid w:val="00A25B2B"/>
    <w:rsid w:val="00A2679D"/>
    <w:rsid w:val="00A2683E"/>
    <w:rsid w:val="00A26B9C"/>
    <w:rsid w:val="00A27523"/>
    <w:rsid w:val="00A31FDF"/>
    <w:rsid w:val="00A320E1"/>
    <w:rsid w:val="00A32CDB"/>
    <w:rsid w:val="00A368FF"/>
    <w:rsid w:val="00A36AD1"/>
    <w:rsid w:val="00A37D6A"/>
    <w:rsid w:val="00A40C3F"/>
    <w:rsid w:val="00A41C97"/>
    <w:rsid w:val="00A42B48"/>
    <w:rsid w:val="00A43AB0"/>
    <w:rsid w:val="00A43F47"/>
    <w:rsid w:val="00A50DD6"/>
    <w:rsid w:val="00A51BFF"/>
    <w:rsid w:val="00A545F3"/>
    <w:rsid w:val="00A571C0"/>
    <w:rsid w:val="00A60BA1"/>
    <w:rsid w:val="00A61252"/>
    <w:rsid w:val="00A625B5"/>
    <w:rsid w:val="00A62CBE"/>
    <w:rsid w:val="00A64EB2"/>
    <w:rsid w:val="00A65F76"/>
    <w:rsid w:val="00A669A6"/>
    <w:rsid w:val="00A67A32"/>
    <w:rsid w:val="00A71651"/>
    <w:rsid w:val="00A717FF"/>
    <w:rsid w:val="00A728B8"/>
    <w:rsid w:val="00A728F7"/>
    <w:rsid w:val="00A73267"/>
    <w:rsid w:val="00A734BA"/>
    <w:rsid w:val="00A73E7F"/>
    <w:rsid w:val="00A740B4"/>
    <w:rsid w:val="00A745C0"/>
    <w:rsid w:val="00A74DFA"/>
    <w:rsid w:val="00A7639C"/>
    <w:rsid w:val="00A77701"/>
    <w:rsid w:val="00A77BD6"/>
    <w:rsid w:val="00A81A5B"/>
    <w:rsid w:val="00A81C29"/>
    <w:rsid w:val="00A83726"/>
    <w:rsid w:val="00A84C58"/>
    <w:rsid w:val="00A879AB"/>
    <w:rsid w:val="00A87A2C"/>
    <w:rsid w:val="00A916BA"/>
    <w:rsid w:val="00A91D06"/>
    <w:rsid w:val="00A92479"/>
    <w:rsid w:val="00A92BAC"/>
    <w:rsid w:val="00A941F4"/>
    <w:rsid w:val="00A9538A"/>
    <w:rsid w:val="00A95687"/>
    <w:rsid w:val="00AA0FCE"/>
    <w:rsid w:val="00AA17C9"/>
    <w:rsid w:val="00AA3021"/>
    <w:rsid w:val="00AA419C"/>
    <w:rsid w:val="00AA62EB"/>
    <w:rsid w:val="00AA7DE0"/>
    <w:rsid w:val="00AB213A"/>
    <w:rsid w:val="00AB462B"/>
    <w:rsid w:val="00AB6AB0"/>
    <w:rsid w:val="00AB738D"/>
    <w:rsid w:val="00AC071B"/>
    <w:rsid w:val="00AC0AA2"/>
    <w:rsid w:val="00AC241C"/>
    <w:rsid w:val="00AC26E0"/>
    <w:rsid w:val="00AC31C4"/>
    <w:rsid w:val="00AC418B"/>
    <w:rsid w:val="00AD19E6"/>
    <w:rsid w:val="00AD2BA7"/>
    <w:rsid w:val="00AD3E26"/>
    <w:rsid w:val="00AD5A33"/>
    <w:rsid w:val="00AD72E2"/>
    <w:rsid w:val="00AD7BFB"/>
    <w:rsid w:val="00AE0F48"/>
    <w:rsid w:val="00AE10D1"/>
    <w:rsid w:val="00AE11B2"/>
    <w:rsid w:val="00AE177E"/>
    <w:rsid w:val="00AE1896"/>
    <w:rsid w:val="00AE4AC8"/>
    <w:rsid w:val="00AE66F6"/>
    <w:rsid w:val="00AE6C1B"/>
    <w:rsid w:val="00AF1280"/>
    <w:rsid w:val="00AF23DE"/>
    <w:rsid w:val="00AF470B"/>
    <w:rsid w:val="00AF5CE0"/>
    <w:rsid w:val="00AF5DB5"/>
    <w:rsid w:val="00AF75F3"/>
    <w:rsid w:val="00B018CB"/>
    <w:rsid w:val="00B033F3"/>
    <w:rsid w:val="00B0573C"/>
    <w:rsid w:val="00B0627C"/>
    <w:rsid w:val="00B06D8F"/>
    <w:rsid w:val="00B07949"/>
    <w:rsid w:val="00B07D4E"/>
    <w:rsid w:val="00B10343"/>
    <w:rsid w:val="00B10F85"/>
    <w:rsid w:val="00B1116D"/>
    <w:rsid w:val="00B117B1"/>
    <w:rsid w:val="00B145D3"/>
    <w:rsid w:val="00B14804"/>
    <w:rsid w:val="00B14CB4"/>
    <w:rsid w:val="00B15056"/>
    <w:rsid w:val="00B160CC"/>
    <w:rsid w:val="00B16584"/>
    <w:rsid w:val="00B20332"/>
    <w:rsid w:val="00B20395"/>
    <w:rsid w:val="00B203AE"/>
    <w:rsid w:val="00B2081F"/>
    <w:rsid w:val="00B20FE9"/>
    <w:rsid w:val="00B22A34"/>
    <w:rsid w:val="00B23067"/>
    <w:rsid w:val="00B25147"/>
    <w:rsid w:val="00B254B3"/>
    <w:rsid w:val="00B262E0"/>
    <w:rsid w:val="00B26321"/>
    <w:rsid w:val="00B26F91"/>
    <w:rsid w:val="00B31956"/>
    <w:rsid w:val="00B32389"/>
    <w:rsid w:val="00B32B04"/>
    <w:rsid w:val="00B331A1"/>
    <w:rsid w:val="00B331C4"/>
    <w:rsid w:val="00B3345B"/>
    <w:rsid w:val="00B33772"/>
    <w:rsid w:val="00B33B6A"/>
    <w:rsid w:val="00B33CC7"/>
    <w:rsid w:val="00B34263"/>
    <w:rsid w:val="00B34DC1"/>
    <w:rsid w:val="00B359E1"/>
    <w:rsid w:val="00B37DA7"/>
    <w:rsid w:val="00B40040"/>
    <w:rsid w:val="00B4054D"/>
    <w:rsid w:val="00B40E8E"/>
    <w:rsid w:val="00B4188C"/>
    <w:rsid w:val="00B41C0F"/>
    <w:rsid w:val="00B42909"/>
    <w:rsid w:val="00B42AF3"/>
    <w:rsid w:val="00B456B6"/>
    <w:rsid w:val="00B46ADF"/>
    <w:rsid w:val="00B509EA"/>
    <w:rsid w:val="00B51CA3"/>
    <w:rsid w:val="00B51DFC"/>
    <w:rsid w:val="00B525BE"/>
    <w:rsid w:val="00B528A5"/>
    <w:rsid w:val="00B529F0"/>
    <w:rsid w:val="00B52A37"/>
    <w:rsid w:val="00B53AD7"/>
    <w:rsid w:val="00B53C35"/>
    <w:rsid w:val="00B54DD5"/>
    <w:rsid w:val="00B55EC2"/>
    <w:rsid w:val="00B57E91"/>
    <w:rsid w:val="00B6022D"/>
    <w:rsid w:val="00B60686"/>
    <w:rsid w:val="00B62584"/>
    <w:rsid w:val="00B657EF"/>
    <w:rsid w:val="00B66CCB"/>
    <w:rsid w:val="00B70EF7"/>
    <w:rsid w:val="00B72BC8"/>
    <w:rsid w:val="00B76B37"/>
    <w:rsid w:val="00B76E7E"/>
    <w:rsid w:val="00B77EB7"/>
    <w:rsid w:val="00B813E9"/>
    <w:rsid w:val="00B8162C"/>
    <w:rsid w:val="00B81698"/>
    <w:rsid w:val="00B826B9"/>
    <w:rsid w:val="00B84124"/>
    <w:rsid w:val="00B852D7"/>
    <w:rsid w:val="00B864A9"/>
    <w:rsid w:val="00B87C2D"/>
    <w:rsid w:val="00B87CA4"/>
    <w:rsid w:val="00B923E7"/>
    <w:rsid w:val="00B92501"/>
    <w:rsid w:val="00B92840"/>
    <w:rsid w:val="00B94BFA"/>
    <w:rsid w:val="00B953B5"/>
    <w:rsid w:val="00BA0E1D"/>
    <w:rsid w:val="00BA33B3"/>
    <w:rsid w:val="00BA4221"/>
    <w:rsid w:val="00BA6EB0"/>
    <w:rsid w:val="00BA7256"/>
    <w:rsid w:val="00BA7B82"/>
    <w:rsid w:val="00BB0117"/>
    <w:rsid w:val="00BB0A63"/>
    <w:rsid w:val="00BB2CB3"/>
    <w:rsid w:val="00BB2ED6"/>
    <w:rsid w:val="00BB57F3"/>
    <w:rsid w:val="00BB5B1F"/>
    <w:rsid w:val="00BB5B51"/>
    <w:rsid w:val="00BB6C03"/>
    <w:rsid w:val="00BC0B00"/>
    <w:rsid w:val="00BC1157"/>
    <w:rsid w:val="00BC2A92"/>
    <w:rsid w:val="00BC2DEB"/>
    <w:rsid w:val="00BC332F"/>
    <w:rsid w:val="00BC33CE"/>
    <w:rsid w:val="00BC36D5"/>
    <w:rsid w:val="00BC384D"/>
    <w:rsid w:val="00BC3E21"/>
    <w:rsid w:val="00BC4CB8"/>
    <w:rsid w:val="00BC4DD0"/>
    <w:rsid w:val="00BC5900"/>
    <w:rsid w:val="00BC5AB4"/>
    <w:rsid w:val="00BC7CAE"/>
    <w:rsid w:val="00BD0557"/>
    <w:rsid w:val="00BD0BBD"/>
    <w:rsid w:val="00BD16CE"/>
    <w:rsid w:val="00BD378C"/>
    <w:rsid w:val="00BD3ECC"/>
    <w:rsid w:val="00BD47A9"/>
    <w:rsid w:val="00BD529E"/>
    <w:rsid w:val="00BD7C2C"/>
    <w:rsid w:val="00BE1B60"/>
    <w:rsid w:val="00BE1E11"/>
    <w:rsid w:val="00BE2152"/>
    <w:rsid w:val="00BE2226"/>
    <w:rsid w:val="00BE2A71"/>
    <w:rsid w:val="00BE3334"/>
    <w:rsid w:val="00BE3A9E"/>
    <w:rsid w:val="00BE44B5"/>
    <w:rsid w:val="00BE723F"/>
    <w:rsid w:val="00BE7B6F"/>
    <w:rsid w:val="00BF060F"/>
    <w:rsid w:val="00BF3415"/>
    <w:rsid w:val="00BF3C12"/>
    <w:rsid w:val="00BF51CE"/>
    <w:rsid w:val="00BF582B"/>
    <w:rsid w:val="00BF5A25"/>
    <w:rsid w:val="00BF6969"/>
    <w:rsid w:val="00C009FE"/>
    <w:rsid w:val="00C01543"/>
    <w:rsid w:val="00C02336"/>
    <w:rsid w:val="00C02BD3"/>
    <w:rsid w:val="00C03B7C"/>
    <w:rsid w:val="00C04007"/>
    <w:rsid w:val="00C04F44"/>
    <w:rsid w:val="00C052F6"/>
    <w:rsid w:val="00C0546F"/>
    <w:rsid w:val="00C05915"/>
    <w:rsid w:val="00C07B57"/>
    <w:rsid w:val="00C10BB6"/>
    <w:rsid w:val="00C1130A"/>
    <w:rsid w:val="00C113A0"/>
    <w:rsid w:val="00C117FF"/>
    <w:rsid w:val="00C11D7C"/>
    <w:rsid w:val="00C12F6E"/>
    <w:rsid w:val="00C1417C"/>
    <w:rsid w:val="00C146B4"/>
    <w:rsid w:val="00C1522A"/>
    <w:rsid w:val="00C15B26"/>
    <w:rsid w:val="00C16540"/>
    <w:rsid w:val="00C16E0F"/>
    <w:rsid w:val="00C17177"/>
    <w:rsid w:val="00C201DC"/>
    <w:rsid w:val="00C210D5"/>
    <w:rsid w:val="00C21357"/>
    <w:rsid w:val="00C25024"/>
    <w:rsid w:val="00C25431"/>
    <w:rsid w:val="00C26C87"/>
    <w:rsid w:val="00C31399"/>
    <w:rsid w:val="00C341A0"/>
    <w:rsid w:val="00C3514E"/>
    <w:rsid w:val="00C360ED"/>
    <w:rsid w:val="00C378B2"/>
    <w:rsid w:val="00C411C1"/>
    <w:rsid w:val="00C41872"/>
    <w:rsid w:val="00C43756"/>
    <w:rsid w:val="00C43ED6"/>
    <w:rsid w:val="00C4584B"/>
    <w:rsid w:val="00C46ACF"/>
    <w:rsid w:val="00C46B94"/>
    <w:rsid w:val="00C46FEA"/>
    <w:rsid w:val="00C4792B"/>
    <w:rsid w:val="00C47D95"/>
    <w:rsid w:val="00C517C7"/>
    <w:rsid w:val="00C51AA9"/>
    <w:rsid w:val="00C52772"/>
    <w:rsid w:val="00C528E7"/>
    <w:rsid w:val="00C569E7"/>
    <w:rsid w:val="00C60424"/>
    <w:rsid w:val="00C61C59"/>
    <w:rsid w:val="00C64049"/>
    <w:rsid w:val="00C6545C"/>
    <w:rsid w:val="00C67CB7"/>
    <w:rsid w:val="00C704D0"/>
    <w:rsid w:val="00C74147"/>
    <w:rsid w:val="00C74ECD"/>
    <w:rsid w:val="00C758AB"/>
    <w:rsid w:val="00C77620"/>
    <w:rsid w:val="00C77D0E"/>
    <w:rsid w:val="00C80B47"/>
    <w:rsid w:val="00C80E88"/>
    <w:rsid w:val="00C8231A"/>
    <w:rsid w:val="00C824E2"/>
    <w:rsid w:val="00C8283D"/>
    <w:rsid w:val="00C82BD7"/>
    <w:rsid w:val="00C82DD9"/>
    <w:rsid w:val="00C8358C"/>
    <w:rsid w:val="00C85F0F"/>
    <w:rsid w:val="00C86522"/>
    <w:rsid w:val="00C8662C"/>
    <w:rsid w:val="00C90BE1"/>
    <w:rsid w:val="00C9122C"/>
    <w:rsid w:val="00C91C02"/>
    <w:rsid w:val="00C9376F"/>
    <w:rsid w:val="00C9579F"/>
    <w:rsid w:val="00C9767B"/>
    <w:rsid w:val="00CA20AE"/>
    <w:rsid w:val="00CA2131"/>
    <w:rsid w:val="00CA3772"/>
    <w:rsid w:val="00CA3E21"/>
    <w:rsid w:val="00CA46B2"/>
    <w:rsid w:val="00CA6914"/>
    <w:rsid w:val="00CA7204"/>
    <w:rsid w:val="00CB1BAF"/>
    <w:rsid w:val="00CB1BF0"/>
    <w:rsid w:val="00CB3330"/>
    <w:rsid w:val="00CB3C17"/>
    <w:rsid w:val="00CB5A77"/>
    <w:rsid w:val="00CC0A2B"/>
    <w:rsid w:val="00CC1136"/>
    <w:rsid w:val="00CC13DB"/>
    <w:rsid w:val="00CC17CA"/>
    <w:rsid w:val="00CC2111"/>
    <w:rsid w:val="00CC308B"/>
    <w:rsid w:val="00CC48D5"/>
    <w:rsid w:val="00CC54DB"/>
    <w:rsid w:val="00CC693F"/>
    <w:rsid w:val="00CC7E17"/>
    <w:rsid w:val="00CC7F3B"/>
    <w:rsid w:val="00CD0419"/>
    <w:rsid w:val="00CD196B"/>
    <w:rsid w:val="00CD25D9"/>
    <w:rsid w:val="00CD3E00"/>
    <w:rsid w:val="00CD42F1"/>
    <w:rsid w:val="00CD6F1C"/>
    <w:rsid w:val="00CE0BE2"/>
    <w:rsid w:val="00CE0D0B"/>
    <w:rsid w:val="00CE145D"/>
    <w:rsid w:val="00CE2C5D"/>
    <w:rsid w:val="00CE2E30"/>
    <w:rsid w:val="00CE50F3"/>
    <w:rsid w:val="00CE521E"/>
    <w:rsid w:val="00CE576A"/>
    <w:rsid w:val="00CE5830"/>
    <w:rsid w:val="00CF198E"/>
    <w:rsid w:val="00CF1EB5"/>
    <w:rsid w:val="00CF28D6"/>
    <w:rsid w:val="00CF2CB7"/>
    <w:rsid w:val="00CF5273"/>
    <w:rsid w:val="00CF6023"/>
    <w:rsid w:val="00CF61CE"/>
    <w:rsid w:val="00CF625E"/>
    <w:rsid w:val="00CF6F8A"/>
    <w:rsid w:val="00D00089"/>
    <w:rsid w:val="00D0123E"/>
    <w:rsid w:val="00D01345"/>
    <w:rsid w:val="00D01658"/>
    <w:rsid w:val="00D031B4"/>
    <w:rsid w:val="00D04A21"/>
    <w:rsid w:val="00D04F69"/>
    <w:rsid w:val="00D0507A"/>
    <w:rsid w:val="00D05315"/>
    <w:rsid w:val="00D05BD8"/>
    <w:rsid w:val="00D06864"/>
    <w:rsid w:val="00D06B10"/>
    <w:rsid w:val="00D11B4D"/>
    <w:rsid w:val="00D125E7"/>
    <w:rsid w:val="00D14DB7"/>
    <w:rsid w:val="00D17F12"/>
    <w:rsid w:val="00D207A7"/>
    <w:rsid w:val="00D20813"/>
    <w:rsid w:val="00D220FE"/>
    <w:rsid w:val="00D22573"/>
    <w:rsid w:val="00D22E4E"/>
    <w:rsid w:val="00D23A9D"/>
    <w:rsid w:val="00D25823"/>
    <w:rsid w:val="00D25887"/>
    <w:rsid w:val="00D263F5"/>
    <w:rsid w:val="00D27C60"/>
    <w:rsid w:val="00D27E87"/>
    <w:rsid w:val="00D30C2A"/>
    <w:rsid w:val="00D3360D"/>
    <w:rsid w:val="00D33F30"/>
    <w:rsid w:val="00D33F80"/>
    <w:rsid w:val="00D347B7"/>
    <w:rsid w:val="00D369F4"/>
    <w:rsid w:val="00D418BA"/>
    <w:rsid w:val="00D42253"/>
    <w:rsid w:val="00D427D1"/>
    <w:rsid w:val="00D4286E"/>
    <w:rsid w:val="00D45829"/>
    <w:rsid w:val="00D45C06"/>
    <w:rsid w:val="00D45E26"/>
    <w:rsid w:val="00D46ADE"/>
    <w:rsid w:val="00D47995"/>
    <w:rsid w:val="00D47A23"/>
    <w:rsid w:val="00D50654"/>
    <w:rsid w:val="00D52654"/>
    <w:rsid w:val="00D54653"/>
    <w:rsid w:val="00D575F6"/>
    <w:rsid w:val="00D578C9"/>
    <w:rsid w:val="00D60150"/>
    <w:rsid w:val="00D62438"/>
    <w:rsid w:val="00D63074"/>
    <w:rsid w:val="00D65336"/>
    <w:rsid w:val="00D67242"/>
    <w:rsid w:val="00D70F86"/>
    <w:rsid w:val="00D73666"/>
    <w:rsid w:val="00D74177"/>
    <w:rsid w:val="00D74B9D"/>
    <w:rsid w:val="00D763C9"/>
    <w:rsid w:val="00D80261"/>
    <w:rsid w:val="00D8077B"/>
    <w:rsid w:val="00D814EB"/>
    <w:rsid w:val="00D819BB"/>
    <w:rsid w:val="00D83378"/>
    <w:rsid w:val="00D8445F"/>
    <w:rsid w:val="00D84657"/>
    <w:rsid w:val="00D87095"/>
    <w:rsid w:val="00D87295"/>
    <w:rsid w:val="00D874A3"/>
    <w:rsid w:val="00D87661"/>
    <w:rsid w:val="00D87B21"/>
    <w:rsid w:val="00D87D86"/>
    <w:rsid w:val="00D92784"/>
    <w:rsid w:val="00D92CA1"/>
    <w:rsid w:val="00D94943"/>
    <w:rsid w:val="00D96FBC"/>
    <w:rsid w:val="00D973A5"/>
    <w:rsid w:val="00DA1212"/>
    <w:rsid w:val="00DA19E4"/>
    <w:rsid w:val="00DA370C"/>
    <w:rsid w:val="00DA414C"/>
    <w:rsid w:val="00DA41D3"/>
    <w:rsid w:val="00DA4574"/>
    <w:rsid w:val="00DA47D1"/>
    <w:rsid w:val="00DA5B8B"/>
    <w:rsid w:val="00DB0010"/>
    <w:rsid w:val="00DB06BC"/>
    <w:rsid w:val="00DB4127"/>
    <w:rsid w:val="00DB5216"/>
    <w:rsid w:val="00DB56C3"/>
    <w:rsid w:val="00DB58E3"/>
    <w:rsid w:val="00DB6231"/>
    <w:rsid w:val="00DB63DD"/>
    <w:rsid w:val="00DB6DA0"/>
    <w:rsid w:val="00DB70D3"/>
    <w:rsid w:val="00DB7531"/>
    <w:rsid w:val="00DC065E"/>
    <w:rsid w:val="00DC11E2"/>
    <w:rsid w:val="00DC31C3"/>
    <w:rsid w:val="00DC4449"/>
    <w:rsid w:val="00DC501E"/>
    <w:rsid w:val="00DC6B35"/>
    <w:rsid w:val="00DC6EEE"/>
    <w:rsid w:val="00DC7CA3"/>
    <w:rsid w:val="00DD1DAB"/>
    <w:rsid w:val="00DD346E"/>
    <w:rsid w:val="00DD354A"/>
    <w:rsid w:val="00DD3C50"/>
    <w:rsid w:val="00DD6122"/>
    <w:rsid w:val="00DD66DC"/>
    <w:rsid w:val="00DD7696"/>
    <w:rsid w:val="00DD7DE9"/>
    <w:rsid w:val="00DE0526"/>
    <w:rsid w:val="00DE0F43"/>
    <w:rsid w:val="00DF0063"/>
    <w:rsid w:val="00DF36C2"/>
    <w:rsid w:val="00DF41E2"/>
    <w:rsid w:val="00DF4D40"/>
    <w:rsid w:val="00DF50E4"/>
    <w:rsid w:val="00DF689E"/>
    <w:rsid w:val="00DF6F43"/>
    <w:rsid w:val="00DF6FE1"/>
    <w:rsid w:val="00DF749A"/>
    <w:rsid w:val="00DF796A"/>
    <w:rsid w:val="00E01550"/>
    <w:rsid w:val="00E01E24"/>
    <w:rsid w:val="00E028EB"/>
    <w:rsid w:val="00E02A62"/>
    <w:rsid w:val="00E0382E"/>
    <w:rsid w:val="00E03A0B"/>
    <w:rsid w:val="00E04167"/>
    <w:rsid w:val="00E06257"/>
    <w:rsid w:val="00E062E1"/>
    <w:rsid w:val="00E06450"/>
    <w:rsid w:val="00E0664B"/>
    <w:rsid w:val="00E0670B"/>
    <w:rsid w:val="00E06893"/>
    <w:rsid w:val="00E07A34"/>
    <w:rsid w:val="00E117A2"/>
    <w:rsid w:val="00E12C9F"/>
    <w:rsid w:val="00E13C57"/>
    <w:rsid w:val="00E141D4"/>
    <w:rsid w:val="00E14733"/>
    <w:rsid w:val="00E1601E"/>
    <w:rsid w:val="00E171D2"/>
    <w:rsid w:val="00E178DD"/>
    <w:rsid w:val="00E17D6D"/>
    <w:rsid w:val="00E17FFC"/>
    <w:rsid w:val="00E201F2"/>
    <w:rsid w:val="00E20FD4"/>
    <w:rsid w:val="00E2224D"/>
    <w:rsid w:val="00E224F6"/>
    <w:rsid w:val="00E238C6"/>
    <w:rsid w:val="00E23A99"/>
    <w:rsid w:val="00E24981"/>
    <w:rsid w:val="00E24EB4"/>
    <w:rsid w:val="00E253D7"/>
    <w:rsid w:val="00E263A9"/>
    <w:rsid w:val="00E30A20"/>
    <w:rsid w:val="00E335CD"/>
    <w:rsid w:val="00E353F2"/>
    <w:rsid w:val="00E4022E"/>
    <w:rsid w:val="00E4032F"/>
    <w:rsid w:val="00E4033C"/>
    <w:rsid w:val="00E42687"/>
    <w:rsid w:val="00E427E6"/>
    <w:rsid w:val="00E42D05"/>
    <w:rsid w:val="00E44899"/>
    <w:rsid w:val="00E467AA"/>
    <w:rsid w:val="00E500AC"/>
    <w:rsid w:val="00E51E5B"/>
    <w:rsid w:val="00E5389E"/>
    <w:rsid w:val="00E555F9"/>
    <w:rsid w:val="00E55D32"/>
    <w:rsid w:val="00E55DBA"/>
    <w:rsid w:val="00E57187"/>
    <w:rsid w:val="00E61366"/>
    <w:rsid w:val="00E626EF"/>
    <w:rsid w:val="00E629C1"/>
    <w:rsid w:val="00E63501"/>
    <w:rsid w:val="00E64324"/>
    <w:rsid w:val="00E6652D"/>
    <w:rsid w:val="00E70BD4"/>
    <w:rsid w:val="00E72DD6"/>
    <w:rsid w:val="00E730CE"/>
    <w:rsid w:val="00E7324C"/>
    <w:rsid w:val="00E7334E"/>
    <w:rsid w:val="00E73635"/>
    <w:rsid w:val="00E73884"/>
    <w:rsid w:val="00E766B6"/>
    <w:rsid w:val="00E77095"/>
    <w:rsid w:val="00E8224A"/>
    <w:rsid w:val="00E828AD"/>
    <w:rsid w:val="00E82A19"/>
    <w:rsid w:val="00E82DF1"/>
    <w:rsid w:val="00E8366F"/>
    <w:rsid w:val="00E83757"/>
    <w:rsid w:val="00E8489B"/>
    <w:rsid w:val="00E84F74"/>
    <w:rsid w:val="00E85406"/>
    <w:rsid w:val="00E854A4"/>
    <w:rsid w:val="00E90D71"/>
    <w:rsid w:val="00E91612"/>
    <w:rsid w:val="00E92E40"/>
    <w:rsid w:val="00E93A60"/>
    <w:rsid w:val="00E9603C"/>
    <w:rsid w:val="00E97CED"/>
    <w:rsid w:val="00EA0259"/>
    <w:rsid w:val="00EA211D"/>
    <w:rsid w:val="00EA3605"/>
    <w:rsid w:val="00EA3999"/>
    <w:rsid w:val="00EA4FE9"/>
    <w:rsid w:val="00EA6108"/>
    <w:rsid w:val="00EA7A11"/>
    <w:rsid w:val="00EB2387"/>
    <w:rsid w:val="00EB5262"/>
    <w:rsid w:val="00EB56BF"/>
    <w:rsid w:val="00EC1CF7"/>
    <w:rsid w:val="00EC2200"/>
    <w:rsid w:val="00EC3E27"/>
    <w:rsid w:val="00EC5A7C"/>
    <w:rsid w:val="00EC7921"/>
    <w:rsid w:val="00ED14EA"/>
    <w:rsid w:val="00ED323A"/>
    <w:rsid w:val="00ED6992"/>
    <w:rsid w:val="00ED6B8E"/>
    <w:rsid w:val="00EE0C96"/>
    <w:rsid w:val="00EE0F07"/>
    <w:rsid w:val="00EE124A"/>
    <w:rsid w:val="00EE50DD"/>
    <w:rsid w:val="00EE6050"/>
    <w:rsid w:val="00EE6795"/>
    <w:rsid w:val="00EE6EE2"/>
    <w:rsid w:val="00EE7930"/>
    <w:rsid w:val="00EF0579"/>
    <w:rsid w:val="00EF17CB"/>
    <w:rsid w:val="00EF1D98"/>
    <w:rsid w:val="00EF68A1"/>
    <w:rsid w:val="00EF6CE7"/>
    <w:rsid w:val="00F0139B"/>
    <w:rsid w:val="00F02F17"/>
    <w:rsid w:val="00F03096"/>
    <w:rsid w:val="00F04B17"/>
    <w:rsid w:val="00F06104"/>
    <w:rsid w:val="00F0748F"/>
    <w:rsid w:val="00F1161B"/>
    <w:rsid w:val="00F12165"/>
    <w:rsid w:val="00F14AF7"/>
    <w:rsid w:val="00F15BEA"/>
    <w:rsid w:val="00F168E7"/>
    <w:rsid w:val="00F16FFF"/>
    <w:rsid w:val="00F170C9"/>
    <w:rsid w:val="00F17696"/>
    <w:rsid w:val="00F20019"/>
    <w:rsid w:val="00F2074E"/>
    <w:rsid w:val="00F22282"/>
    <w:rsid w:val="00F23AB5"/>
    <w:rsid w:val="00F24B3E"/>
    <w:rsid w:val="00F250D9"/>
    <w:rsid w:val="00F257FA"/>
    <w:rsid w:val="00F27016"/>
    <w:rsid w:val="00F27F43"/>
    <w:rsid w:val="00F27F87"/>
    <w:rsid w:val="00F30F84"/>
    <w:rsid w:val="00F31E29"/>
    <w:rsid w:val="00F321C5"/>
    <w:rsid w:val="00F321F7"/>
    <w:rsid w:val="00F34572"/>
    <w:rsid w:val="00F35DA0"/>
    <w:rsid w:val="00F379CA"/>
    <w:rsid w:val="00F42322"/>
    <w:rsid w:val="00F425AE"/>
    <w:rsid w:val="00F42CC7"/>
    <w:rsid w:val="00F43D0C"/>
    <w:rsid w:val="00F45573"/>
    <w:rsid w:val="00F4557E"/>
    <w:rsid w:val="00F5129A"/>
    <w:rsid w:val="00F51FEC"/>
    <w:rsid w:val="00F521A5"/>
    <w:rsid w:val="00F522D2"/>
    <w:rsid w:val="00F53D8A"/>
    <w:rsid w:val="00F559D0"/>
    <w:rsid w:val="00F55F06"/>
    <w:rsid w:val="00F56E81"/>
    <w:rsid w:val="00F617A8"/>
    <w:rsid w:val="00F61CD0"/>
    <w:rsid w:val="00F61FF7"/>
    <w:rsid w:val="00F62105"/>
    <w:rsid w:val="00F623ED"/>
    <w:rsid w:val="00F6246F"/>
    <w:rsid w:val="00F62682"/>
    <w:rsid w:val="00F6358C"/>
    <w:rsid w:val="00F63AF3"/>
    <w:rsid w:val="00F640F4"/>
    <w:rsid w:val="00F64E10"/>
    <w:rsid w:val="00F6654E"/>
    <w:rsid w:val="00F673E0"/>
    <w:rsid w:val="00F677DA"/>
    <w:rsid w:val="00F67EF9"/>
    <w:rsid w:val="00F70659"/>
    <w:rsid w:val="00F70A09"/>
    <w:rsid w:val="00F70B7E"/>
    <w:rsid w:val="00F711E9"/>
    <w:rsid w:val="00F712C7"/>
    <w:rsid w:val="00F7134F"/>
    <w:rsid w:val="00F7190E"/>
    <w:rsid w:val="00F7640F"/>
    <w:rsid w:val="00F80F63"/>
    <w:rsid w:val="00F82565"/>
    <w:rsid w:val="00F82889"/>
    <w:rsid w:val="00F8483D"/>
    <w:rsid w:val="00F84E72"/>
    <w:rsid w:val="00F85027"/>
    <w:rsid w:val="00F8780E"/>
    <w:rsid w:val="00F87949"/>
    <w:rsid w:val="00F91825"/>
    <w:rsid w:val="00F92BFC"/>
    <w:rsid w:val="00F93ABA"/>
    <w:rsid w:val="00F93F9E"/>
    <w:rsid w:val="00F949C3"/>
    <w:rsid w:val="00F96AEE"/>
    <w:rsid w:val="00F97738"/>
    <w:rsid w:val="00F9795C"/>
    <w:rsid w:val="00FA28FA"/>
    <w:rsid w:val="00FA5A35"/>
    <w:rsid w:val="00FA5B41"/>
    <w:rsid w:val="00FA63B7"/>
    <w:rsid w:val="00FA6F97"/>
    <w:rsid w:val="00FB135F"/>
    <w:rsid w:val="00FB1B7D"/>
    <w:rsid w:val="00FB3D9C"/>
    <w:rsid w:val="00FB45F3"/>
    <w:rsid w:val="00FB5693"/>
    <w:rsid w:val="00FB5AFC"/>
    <w:rsid w:val="00FB7079"/>
    <w:rsid w:val="00FB7552"/>
    <w:rsid w:val="00FB75E7"/>
    <w:rsid w:val="00FB768E"/>
    <w:rsid w:val="00FB7748"/>
    <w:rsid w:val="00FB777B"/>
    <w:rsid w:val="00FC0E0C"/>
    <w:rsid w:val="00FC3F82"/>
    <w:rsid w:val="00FC522F"/>
    <w:rsid w:val="00FC5768"/>
    <w:rsid w:val="00FC5DDA"/>
    <w:rsid w:val="00FC6190"/>
    <w:rsid w:val="00FC69CC"/>
    <w:rsid w:val="00FC6E13"/>
    <w:rsid w:val="00FC7520"/>
    <w:rsid w:val="00FD0774"/>
    <w:rsid w:val="00FD2A07"/>
    <w:rsid w:val="00FD37D5"/>
    <w:rsid w:val="00FD51E9"/>
    <w:rsid w:val="00FD7CEB"/>
    <w:rsid w:val="00FE4B95"/>
    <w:rsid w:val="00FE54D2"/>
    <w:rsid w:val="00FF02DF"/>
    <w:rsid w:val="00FF25F7"/>
    <w:rsid w:val="00FF2618"/>
    <w:rsid w:val="00FF3360"/>
    <w:rsid w:val="00FF5F09"/>
    <w:rsid w:val="00FF642D"/>
    <w:rsid w:val="00FF7365"/>
    <w:rsid w:val="00FF785F"/>
    <w:rsid w:val="00FF7A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MS Mincho" w:hAnsi="Century" w:cs="Times New Roman"/>
        <w:lang w:val="en-US" w:eastAsia="zh-CN"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C3C"/>
    <w:pPr>
      <w:widowControl w:val="0"/>
      <w:jc w:val="both"/>
    </w:pPr>
    <w:rPr>
      <w:kern w:val="2"/>
      <w:sz w:val="24"/>
      <w:szCs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D1C3C"/>
    <w:pPr>
      <w:tabs>
        <w:tab w:val="center" w:pos="4252"/>
        <w:tab w:val="right" w:pos="8504"/>
      </w:tabs>
      <w:snapToGrid w:val="0"/>
    </w:pPr>
    <w:rPr>
      <w:kern w:val="0"/>
      <w:sz w:val="20"/>
      <w:szCs w:val="20"/>
      <w:lang w:eastAsia="zh-CN"/>
    </w:rPr>
  </w:style>
  <w:style w:type="character" w:customStyle="1" w:styleId="HeaderChar">
    <w:name w:val="Header Char"/>
    <w:link w:val="Header"/>
    <w:uiPriority w:val="99"/>
    <w:locked/>
    <w:rsid w:val="006D1C3C"/>
    <w:rPr>
      <w:rFonts w:cs="Times New Roman"/>
    </w:rPr>
  </w:style>
  <w:style w:type="paragraph" w:styleId="Footer">
    <w:name w:val="footer"/>
    <w:basedOn w:val="Normal"/>
    <w:link w:val="FooterChar"/>
    <w:uiPriority w:val="99"/>
    <w:rsid w:val="006D1C3C"/>
    <w:pPr>
      <w:tabs>
        <w:tab w:val="center" w:pos="4252"/>
        <w:tab w:val="right" w:pos="8504"/>
      </w:tabs>
      <w:snapToGrid w:val="0"/>
    </w:pPr>
    <w:rPr>
      <w:kern w:val="0"/>
      <w:sz w:val="20"/>
      <w:szCs w:val="20"/>
      <w:lang w:eastAsia="zh-CN"/>
    </w:rPr>
  </w:style>
  <w:style w:type="character" w:customStyle="1" w:styleId="FooterChar">
    <w:name w:val="Footer Char"/>
    <w:link w:val="Footer"/>
    <w:uiPriority w:val="99"/>
    <w:locked/>
    <w:rsid w:val="006D1C3C"/>
    <w:rPr>
      <w:rFonts w:cs="Times New Roman"/>
    </w:rPr>
  </w:style>
  <w:style w:type="table" w:styleId="LightShading-Accent5">
    <w:name w:val="Light Shading Accent 5"/>
    <w:basedOn w:val="TableNormal"/>
    <w:uiPriority w:val="99"/>
    <w:rsid w:val="00D4286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BalloonText">
    <w:name w:val="Balloon Text"/>
    <w:basedOn w:val="Normal"/>
    <w:link w:val="BalloonTextChar"/>
    <w:uiPriority w:val="99"/>
    <w:semiHidden/>
    <w:rsid w:val="00A42B48"/>
    <w:rPr>
      <w:rFonts w:ascii="Tahoma" w:hAnsi="Tahoma"/>
      <w:kern w:val="0"/>
      <w:sz w:val="16"/>
      <w:szCs w:val="16"/>
      <w:lang w:eastAsia="zh-CN"/>
    </w:rPr>
  </w:style>
  <w:style w:type="character" w:customStyle="1" w:styleId="BalloonTextChar">
    <w:name w:val="Balloon Text Char"/>
    <w:link w:val="BalloonText"/>
    <w:uiPriority w:val="99"/>
    <w:semiHidden/>
    <w:locked/>
    <w:rsid w:val="00A42B48"/>
    <w:rPr>
      <w:rFonts w:ascii="Tahoma" w:hAnsi="Tahoma" w:cs="Times New Roman"/>
      <w:sz w:val="16"/>
    </w:rPr>
  </w:style>
  <w:style w:type="character" w:styleId="CommentReference">
    <w:name w:val="annotation reference"/>
    <w:uiPriority w:val="99"/>
    <w:semiHidden/>
    <w:rsid w:val="00A42B48"/>
    <w:rPr>
      <w:rFonts w:cs="Times New Roman"/>
      <w:sz w:val="16"/>
    </w:rPr>
  </w:style>
  <w:style w:type="paragraph" w:styleId="CommentText">
    <w:name w:val="annotation text"/>
    <w:basedOn w:val="Normal"/>
    <w:link w:val="CommentTextChar"/>
    <w:uiPriority w:val="99"/>
    <w:semiHidden/>
    <w:rsid w:val="00A42B48"/>
    <w:rPr>
      <w:kern w:val="0"/>
      <w:sz w:val="20"/>
      <w:szCs w:val="20"/>
      <w:lang w:eastAsia="zh-CN"/>
    </w:rPr>
  </w:style>
  <w:style w:type="character" w:customStyle="1" w:styleId="CommentTextChar">
    <w:name w:val="Comment Text Char"/>
    <w:link w:val="CommentText"/>
    <w:uiPriority w:val="99"/>
    <w:semiHidden/>
    <w:locked/>
    <w:rsid w:val="00A42B48"/>
    <w:rPr>
      <w:rFonts w:cs="Times New Roman"/>
      <w:sz w:val="20"/>
    </w:rPr>
  </w:style>
  <w:style w:type="paragraph" w:styleId="CommentSubject">
    <w:name w:val="annotation subject"/>
    <w:basedOn w:val="CommentText"/>
    <w:next w:val="CommentText"/>
    <w:link w:val="CommentSubjectChar"/>
    <w:uiPriority w:val="99"/>
    <w:semiHidden/>
    <w:rsid w:val="00A42B48"/>
    <w:rPr>
      <w:b/>
      <w:bCs/>
    </w:rPr>
  </w:style>
  <w:style w:type="character" w:customStyle="1" w:styleId="CommentSubjectChar">
    <w:name w:val="Comment Subject Char"/>
    <w:link w:val="CommentSubject"/>
    <w:uiPriority w:val="99"/>
    <w:semiHidden/>
    <w:locked/>
    <w:rsid w:val="00A42B48"/>
    <w:rPr>
      <w:rFonts w:cs="Times New Roman"/>
      <w:b/>
      <w:sz w:val="20"/>
    </w:rPr>
  </w:style>
  <w:style w:type="paragraph" w:styleId="Revision">
    <w:name w:val="Revision"/>
    <w:hidden/>
    <w:uiPriority w:val="99"/>
    <w:semiHidden/>
    <w:rsid w:val="00A1416E"/>
    <w:rPr>
      <w:kern w:val="2"/>
      <w:sz w:val="24"/>
      <w:szCs w:val="22"/>
      <w:lang w:eastAsia="ja-JP"/>
    </w:rPr>
  </w:style>
  <w:style w:type="paragraph" w:customStyle="1" w:styleId="CharChar2">
    <w:name w:val="Char Char2"/>
    <w:basedOn w:val="Normal"/>
    <w:autoRedefine/>
    <w:uiPriority w:val="99"/>
    <w:rsid w:val="00006EAA"/>
    <w:pPr>
      <w:tabs>
        <w:tab w:val="num" w:pos="360"/>
      </w:tabs>
      <w:ind w:left="360" w:hangingChars="200" w:hanging="360"/>
    </w:pPr>
    <w:rPr>
      <w:rFonts w:ascii="Times New Roman" w:hAnsi="Times New Roman"/>
      <w:szCs w:val="24"/>
      <w:lang w:eastAsia="zh-CN"/>
    </w:rPr>
  </w:style>
  <w:style w:type="character" w:styleId="PageNumber">
    <w:name w:val="page number"/>
    <w:uiPriority w:val="99"/>
    <w:rsid w:val="00F62682"/>
    <w:rPr>
      <w:rFonts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MS Mincho" w:hAnsi="Century" w:cs="Times New Roman"/>
        <w:lang w:val="en-US" w:eastAsia="zh-CN"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C3C"/>
    <w:pPr>
      <w:widowControl w:val="0"/>
      <w:jc w:val="both"/>
    </w:pPr>
    <w:rPr>
      <w:kern w:val="2"/>
      <w:sz w:val="24"/>
      <w:szCs w:val="2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D1C3C"/>
    <w:pPr>
      <w:tabs>
        <w:tab w:val="center" w:pos="4252"/>
        <w:tab w:val="right" w:pos="8504"/>
      </w:tabs>
      <w:snapToGrid w:val="0"/>
    </w:pPr>
    <w:rPr>
      <w:kern w:val="0"/>
      <w:sz w:val="20"/>
      <w:szCs w:val="20"/>
      <w:lang w:eastAsia="zh-CN"/>
    </w:rPr>
  </w:style>
  <w:style w:type="character" w:customStyle="1" w:styleId="HeaderChar">
    <w:name w:val="Header Char"/>
    <w:link w:val="Header"/>
    <w:uiPriority w:val="99"/>
    <w:locked/>
    <w:rsid w:val="006D1C3C"/>
    <w:rPr>
      <w:rFonts w:cs="Times New Roman"/>
    </w:rPr>
  </w:style>
  <w:style w:type="paragraph" w:styleId="Footer">
    <w:name w:val="footer"/>
    <w:basedOn w:val="Normal"/>
    <w:link w:val="FooterChar"/>
    <w:uiPriority w:val="99"/>
    <w:rsid w:val="006D1C3C"/>
    <w:pPr>
      <w:tabs>
        <w:tab w:val="center" w:pos="4252"/>
        <w:tab w:val="right" w:pos="8504"/>
      </w:tabs>
      <w:snapToGrid w:val="0"/>
    </w:pPr>
    <w:rPr>
      <w:kern w:val="0"/>
      <w:sz w:val="20"/>
      <w:szCs w:val="20"/>
      <w:lang w:eastAsia="zh-CN"/>
    </w:rPr>
  </w:style>
  <w:style w:type="character" w:customStyle="1" w:styleId="FooterChar">
    <w:name w:val="Footer Char"/>
    <w:link w:val="Footer"/>
    <w:uiPriority w:val="99"/>
    <w:locked/>
    <w:rsid w:val="006D1C3C"/>
    <w:rPr>
      <w:rFonts w:cs="Times New Roman"/>
    </w:rPr>
  </w:style>
  <w:style w:type="table" w:styleId="LightShading-Accent5">
    <w:name w:val="Light Shading Accent 5"/>
    <w:basedOn w:val="TableNormal"/>
    <w:uiPriority w:val="99"/>
    <w:rsid w:val="00D4286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BalloonText">
    <w:name w:val="Balloon Text"/>
    <w:basedOn w:val="Normal"/>
    <w:link w:val="BalloonTextChar"/>
    <w:uiPriority w:val="99"/>
    <w:semiHidden/>
    <w:rsid w:val="00A42B48"/>
    <w:rPr>
      <w:rFonts w:ascii="Tahoma" w:hAnsi="Tahoma"/>
      <w:kern w:val="0"/>
      <w:sz w:val="16"/>
      <w:szCs w:val="16"/>
      <w:lang w:eastAsia="zh-CN"/>
    </w:rPr>
  </w:style>
  <w:style w:type="character" w:customStyle="1" w:styleId="BalloonTextChar">
    <w:name w:val="Balloon Text Char"/>
    <w:link w:val="BalloonText"/>
    <w:uiPriority w:val="99"/>
    <w:semiHidden/>
    <w:locked/>
    <w:rsid w:val="00A42B48"/>
    <w:rPr>
      <w:rFonts w:ascii="Tahoma" w:hAnsi="Tahoma" w:cs="Times New Roman"/>
      <w:sz w:val="16"/>
    </w:rPr>
  </w:style>
  <w:style w:type="character" w:styleId="CommentReference">
    <w:name w:val="annotation reference"/>
    <w:uiPriority w:val="99"/>
    <w:semiHidden/>
    <w:rsid w:val="00A42B48"/>
    <w:rPr>
      <w:rFonts w:cs="Times New Roman"/>
      <w:sz w:val="16"/>
    </w:rPr>
  </w:style>
  <w:style w:type="paragraph" w:styleId="CommentText">
    <w:name w:val="annotation text"/>
    <w:basedOn w:val="Normal"/>
    <w:link w:val="CommentTextChar"/>
    <w:uiPriority w:val="99"/>
    <w:semiHidden/>
    <w:rsid w:val="00A42B48"/>
    <w:rPr>
      <w:kern w:val="0"/>
      <w:sz w:val="20"/>
      <w:szCs w:val="20"/>
      <w:lang w:eastAsia="zh-CN"/>
    </w:rPr>
  </w:style>
  <w:style w:type="character" w:customStyle="1" w:styleId="CommentTextChar">
    <w:name w:val="Comment Text Char"/>
    <w:link w:val="CommentText"/>
    <w:uiPriority w:val="99"/>
    <w:semiHidden/>
    <w:locked/>
    <w:rsid w:val="00A42B48"/>
    <w:rPr>
      <w:rFonts w:cs="Times New Roman"/>
      <w:sz w:val="20"/>
    </w:rPr>
  </w:style>
  <w:style w:type="paragraph" w:styleId="CommentSubject">
    <w:name w:val="annotation subject"/>
    <w:basedOn w:val="CommentText"/>
    <w:next w:val="CommentText"/>
    <w:link w:val="CommentSubjectChar"/>
    <w:uiPriority w:val="99"/>
    <w:semiHidden/>
    <w:rsid w:val="00A42B48"/>
    <w:rPr>
      <w:b/>
      <w:bCs/>
    </w:rPr>
  </w:style>
  <w:style w:type="character" w:customStyle="1" w:styleId="CommentSubjectChar">
    <w:name w:val="Comment Subject Char"/>
    <w:link w:val="CommentSubject"/>
    <w:uiPriority w:val="99"/>
    <w:semiHidden/>
    <w:locked/>
    <w:rsid w:val="00A42B48"/>
    <w:rPr>
      <w:rFonts w:cs="Times New Roman"/>
      <w:b/>
      <w:sz w:val="20"/>
    </w:rPr>
  </w:style>
  <w:style w:type="paragraph" w:styleId="Revision">
    <w:name w:val="Revision"/>
    <w:hidden/>
    <w:uiPriority w:val="99"/>
    <w:semiHidden/>
    <w:rsid w:val="00A1416E"/>
    <w:rPr>
      <w:kern w:val="2"/>
      <w:sz w:val="24"/>
      <w:szCs w:val="22"/>
      <w:lang w:eastAsia="ja-JP"/>
    </w:rPr>
  </w:style>
  <w:style w:type="paragraph" w:customStyle="1" w:styleId="CharChar2">
    <w:name w:val="Char Char2"/>
    <w:basedOn w:val="Normal"/>
    <w:autoRedefine/>
    <w:uiPriority w:val="99"/>
    <w:rsid w:val="00006EAA"/>
    <w:pPr>
      <w:tabs>
        <w:tab w:val="num" w:pos="360"/>
      </w:tabs>
      <w:ind w:left="360" w:hangingChars="200" w:hanging="360"/>
    </w:pPr>
    <w:rPr>
      <w:rFonts w:ascii="Times New Roman" w:hAnsi="Times New Roman"/>
      <w:szCs w:val="24"/>
      <w:lang w:eastAsia="zh-CN"/>
    </w:rPr>
  </w:style>
  <w:style w:type="character" w:styleId="PageNumber">
    <w:name w:val="page number"/>
    <w:uiPriority w:val="99"/>
    <w:rsid w:val="00F6268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313599">
      <w:marLeft w:val="0"/>
      <w:marRight w:val="0"/>
      <w:marTop w:val="0"/>
      <w:marBottom w:val="0"/>
      <w:divBdr>
        <w:top w:val="none" w:sz="0" w:space="0" w:color="auto"/>
        <w:left w:val="none" w:sz="0" w:space="0" w:color="auto"/>
        <w:bottom w:val="none" w:sz="0" w:space="0" w:color="auto"/>
        <w:right w:val="none" w:sz="0" w:space="0" w:color="auto"/>
      </w:divBdr>
    </w:div>
    <w:div w:id="160313600">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28</Pages>
  <Words>7359</Words>
  <Characters>41948</Characters>
  <Application>Microsoft Macintosh Word</Application>
  <DocSecurity>0</DocSecurity>
  <Lines>349</Lines>
  <Paragraphs>98</Paragraphs>
  <ScaleCrop>false</ScaleCrop>
  <Company>Microsoft</Company>
  <LinksUpToDate>false</LinksUpToDate>
  <CharactersWithSpaces>49209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iwamuro</dc:creator>
  <cp:keywords/>
  <dc:description/>
  <cp:lastModifiedBy>NA MA</cp:lastModifiedBy>
  <cp:revision>2</cp:revision>
  <dcterms:created xsi:type="dcterms:W3CDTF">2015-01-19T01:22:00Z</dcterms:created>
  <dcterms:modified xsi:type="dcterms:W3CDTF">2015-01-19T01:22:00Z</dcterms:modified>
</cp:coreProperties>
</file>