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napToGrid w:val="0"/>
          <w:sz w:val="24"/>
          <w:szCs w:val="24"/>
        </w:rPr>
      </w:pPr>
      <w:bookmarkStart w:id="0" w:name="OLE_LINK319"/>
      <w:bookmarkStart w:id="1" w:name="OLE_LINK320"/>
      <w:bookmarkStart w:id="2" w:name="OLE_LINK355"/>
      <w:bookmarkStart w:id="3" w:name="OLE_LINK403"/>
      <w:r w:rsidRPr="00014BD3">
        <w:rPr>
          <w:rFonts w:ascii="Book Antiqua" w:hAnsi="Book Antiqua" w:cs="Tahoma"/>
          <w:b/>
          <w:snapToGrid w:val="0"/>
          <w:sz w:val="24"/>
          <w:szCs w:val="24"/>
        </w:rPr>
        <w:t xml:space="preserve">Name of journal: </w:t>
      </w:r>
      <w:r w:rsidRPr="00014BD3">
        <w:rPr>
          <w:rFonts w:ascii="Book Antiqua" w:hAnsi="Book Antiqua" w:cs="Tahoma"/>
          <w:b/>
          <w:i/>
          <w:snapToGrid w:val="0"/>
          <w:sz w:val="24"/>
          <w:szCs w:val="24"/>
        </w:rPr>
        <w:t>World Journal of Experimental Medicine</w:t>
      </w: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ahoma"/>
          <w:b/>
          <w:snapToGrid w:val="0"/>
          <w:sz w:val="24"/>
          <w:szCs w:val="24"/>
          <w:lang w:eastAsia="zh-CN"/>
        </w:rPr>
      </w:pPr>
      <w:r w:rsidRPr="00014BD3">
        <w:rPr>
          <w:rFonts w:ascii="Book Antiqua" w:hAnsi="Book Antiqua" w:cs="Tahoma"/>
          <w:b/>
          <w:snapToGrid w:val="0"/>
          <w:sz w:val="24"/>
          <w:szCs w:val="24"/>
        </w:rPr>
        <w:t>ESPS Manuscript NO:</w:t>
      </w:r>
      <w:r w:rsidRPr="00014BD3">
        <w:rPr>
          <w:rFonts w:ascii="Book Antiqua" w:eastAsia="宋体" w:hAnsi="Book Antiqua" w:cs="Tahoma"/>
          <w:b/>
          <w:snapToGrid w:val="0"/>
          <w:sz w:val="24"/>
          <w:szCs w:val="24"/>
          <w:lang w:eastAsia="zh-CN"/>
        </w:rPr>
        <w:t xml:space="preserve"> 14058</w:t>
      </w:r>
    </w:p>
    <w:bookmarkEnd w:id="0"/>
    <w:bookmarkEnd w:id="1"/>
    <w:bookmarkEnd w:id="2"/>
    <w:bookmarkEnd w:id="3"/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napToGrid w:val="0"/>
          <w:sz w:val="24"/>
          <w:szCs w:val="24"/>
          <w:lang w:eastAsia="zh-CN"/>
        </w:rPr>
      </w:pPr>
      <w:r w:rsidRPr="00014BD3">
        <w:rPr>
          <w:rFonts w:ascii="Book Antiqua" w:eastAsia="宋体" w:hAnsi="Book Antiqua" w:cs="Arial"/>
          <w:b/>
          <w:snapToGrid w:val="0"/>
          <w:sz w:val="24"/>
          <w:szCs w:val="24"/>
          <w:lang w:val="en-US" w:eastAsia="zh-CN"/>
        </w:rPr>
        <w:t>Manuscript Type</w:t>
      </w:r>
      <w:r w:rsidRPr="00014BD3">
        <w:rPr>
          <w:rFonts w:ascii="Book Antiqua" w:hAnsi="Book Antiqua" w:cs="Tahoma"/>
          <w:b/>
          <w:snapToGrid w:val="0"/>
          <w:sz w:val="24"/>
          <w:szCs w:val="24"/>
        </w:rPr>
        <w:t>:</w:t>
      </w:r>
      <w:r w:rsidRPr="00014BD3">
        <w:rPr>
          <w:rFonts w:ascii="Book Antiqua" w:hAnsi="Book Antiqua" w:cs="Tahoma"/>
          <w:b/>
          <w:snapToGrid w:val="0"/>
          <w:sz w:val="24"/>
          <w:szCs w:val="24"/>
          <w:lang w:eastAsia="zh-CN"/>
        </w:rPr>
        <w:t xml:space="preserve"> MINIREVIEWS</w:t>
      </w: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Style w:val="Heading1Char"/>
          <w:rFonts w:ascii="Book Antiqua" w:hAnsi="Book Antiqua" w:cs="Times New Roman"/>
          <w:snapToGrid w:val="0"/>
          <w:color w:val="auto"/>
          <w:sz w:val="24"/>
          <w:szCs w:val="24"/>
          <w:lang w:eastAsia="zh-CN"/>
        </w:rPr>
      </w:pPr>
    </w:p>
    <w:p w:rsidR="00C95721" w:rsidRPr="00014BD3" w:rsidRDefault="00FB167C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napToGrid w:val="0"/>
          <w:sz w:val="24"/>
          <w:szCs w:val="24"/>
        </w:rPr>
      </w:pPr>
      <w:r w:rsidRPr="00014BD3">
        <w:rPr>
          <w:rStyle w:val="Heading1Char"/>
          <w:rFonts w:ascii="Book Antiqua" w:hAnsi="Book Antiqua" w:cs="Times New Roman"/>
          <w:snapToGrid w:val="0"/>
          <w:color w:val="auto"/>
          <w:sz w:val="24"/>
          <w:szCs w:val="24"/>
        </w:rPr>
        <w:t>M</w:t>
      </w:r>
      <w:r w:rsidR="0000730F" w:rsidRPr="00014BD3">
        <w:rPr>
          <w:rStyle w:val="Heading1Char"/>
          <w:rFonts w:ascii="Book Antiqua" w:hAnsi="Book Antiqua" w:cs="Times New Roman"/>
          <w:snapToGrid w:val="0"/>
          <w:color w:val="auto"/>
          <w:sz w:val="24"/>
          <w:szCs w:val="24"/>
        </w:rPr>
        <w:t>ultiplex planar microarrays for</w:t>
      </w:r>
      <w:r w:rsidR="0000730F" w:rsidRPr="00014BD3">
        <w:rPr>
          <w:rFonts w:ascii="Book Antiqua" w:hAnsi="Book Antiqua" w:cs="Times New Roman"/>
          <w:b/>
          <w:snapToGrid w:val="0"/>
          <w:sz w:val="24"/>
          <w:szCs w:val="24"/>
        </w:rPr>
        <w:t xml:space="preserve"> disease prognosis, diagnosis and </w:t>
      </w:r>
      <w:proofErr w:type="spellStart"/>
      <w:r w:rsidR="0000730F" w:rsidRPr="00014BD3">
        <w:rPr>
          <w:rFonts w:ascii="Book Antiqua" w:hAnsi="Book Antiqua" w:cs="Times New Roman"/>
          <w:b/>
          <w:snapToGrid w:val="0"/>
          <w:sz w:val="24"/>
          <w:szCs w:val="24"/>
        </w:rPr>
        <w:t>theranosis</w:t>
      </w:r>
      <w:proofErr w:type="spellEnd"/>
      <w:r w:rsidR="0000730F" w:rsidRPr="00014BD3">
        <w:rPr>
          <w:rFonts w:ascii="Book Antiqua" w:hAnsi="Book Antiqua" w:cs="Times New Roman"/>
          <w:b/>
          <w:snapToGrid w:val="0"/>
          <w:sz w:val="24"/>
          <w:szCs w:val="24"/>
        </w:rPr>
        <w:t xml:space="preserve"> </w:t>
      </w:r>
      <w:r w:rsidR="00F44BB3" w:rsidRPr="00014BD3">
        <w:rPr>
          <w:rFonts w:ascii="Book Antiqua" w:hAnsi="Book Antiqua" w:cs="Times New Roman"/>
          <w:b/>
          <w:snapToGrid w:val="0"/>
          <w:sz w:val="24"/>
          <w:szCs w:val="24"/>
        </w:rPr>
        <w:t xml:space="preserve"> </w:t>
      </w:r>
    </w:p>
    <w:p w:rsidR="00C95721" w:rsidRPr="00014BD3" w:rsidRDefault="00C95721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napToGrid w:val="0"/>
          <w:sz w:val="24"/>
          <w:szCs w:val="24"/>
          <w:lang w:eastAsia="zh-CN"/>
        </w:rPr>
      </w:pP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Lea </w:t>
      </w:r>
      <w:r w:rsidRPr="00014BD3">
        <w:rPr>
          <w:rFonts w:ascii="Book Antiqua" w:hAnsi="Book Antiqua" w:cs="Times New Roman"/>
          <w:snapToGrid w:val="0"/>
          <w:sz w:val="24"/>
          <w:szCs w:val="24"/>
          <w:lang w:eastAsia="zh-CN"/>
        </w:rPr>
        <w:t xml:space="preserve">P. 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>Multiplex microarray disease measure</w:t>
      </w: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napToGrid w:val="0"/>
          <w:sz w:val="24"/>
          <w:szCs w:val="24"/>
          <w:lang w:eastAsia="zh-CN"/>
        </w:rPr>
      </w:pP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napToGrid w:val="0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b/>
          <w:snapToGrid w:val="0"/>
          <w:sz w:val="24"/>
          <w:szCs w:val="24"/>
        </w:rPr>
        <w:t>Peter Lea</w:t>
      </w: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napToGrid w:val="0"/>
          <w:sz w:val="24"/>
          <w:szCs w:val="24"/>
          <w:lang w:eastAsia="zh-CN"/>
        </w:rPr>
      </w:pP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sz w:val="24"/>
          <w:szCs w:val="24"/>
        </w:rPr>
      </w:pPr>
      <w:r w:rsidRPr="00014BD3">
        <w:rPr>
          <w:rFonts w:ascii="Book Antiqua" w:hAnsi="Book Antiqua" w:cs="Times New Roman"/>
          <w:b/>
          <w:snapToGrid w:val="0"/>
          <w:sz w:val="24"/>
          <w:szCs w:val="24"/>
        </w:rPr>
        <w:t xml:space="preserve">Peter Lea, 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>SQI Diagnostic Systems Inc.</w:t>
      </w:r>
      <w:r w:rsidRPr="00014BD3">
        <w:rPr>
          <w:rFonts w:ascii="Book Antiqua" w:hAnsi="Book Antiqua" w:cs="Times New Roman"/>
          <w:snapToGrid w:val="0"/>
          <w:sz w:val="24"/>
          <w:szCs w:val="24"/>
          <w:lang w:eastAsia="zh-CN"/>
        </w:rPr>
        <w:t>,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 Toronto, Ontario M9W 1A4, Canada </w:t>
      </w: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left="2049" w:right="57"/>
        <w:jc w:val="both"/>
        <w:rPr>
          <w:rFonts w:ascii="Book Antiqua" w:hAnsi="Book Antiqua" w:cs="Times New Roman"/>
          <w:snapToGrid w:val="0"/>
          <w:sz w:val="24"/>
          <w:szCs w:val="24"/>
        </w:rPr>
      </w:pP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napToGrid w:val="0"/>
          <w:sz w:val="24"/>
          <w:szCs w:val="24"/>
          <w:lang w:eastAsia="zh-CN"/>
        </w:rPr>
      </w:pPr>
      <w:bookmarkStart w:id="4" w:name="OLE_LINK81"/>
      <w:bookmarkStart w:id="5" w:name="OLE_LINK125"/>
      <w:bookmarkStart w:id="6" w:name="OLE_LINK152"/>
      <w:bookmarkStart w:id="7" w:name="OLE_LINK173"/>
      <w:bookmarkStart w:id="8" w:name="OLE_LINK190"/>
      <w:bookmarkStart w:id="9" w:name="OLE_LINK228"/>
      <w:bookmarkStart w:id="10" w:name="OLE_LINK296"/>
      <w:bookmarkStart w:id="11" w:name="OLE_LINK31"/>
      <w:r w:rsidRPr="00014BD3">
        <w:rPr>
          <w:rFonts w:ascii="Book Antiqua" w:eastAsia="MS Mincho" w:hAnsi="Book Antiqua"/>
          <w:b/>
          <w:snapToGrid w:val="0"/>
          <w:sz w:val="24"/>
          <w:szCs w:val="24"/>
        </w:rPr>
        <w:t>Author contributions: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014BD3">
        <w:rPr>
          <w:rFonts w:ascii="Book Antiqua" w:hAnsi="Book Antiqua"/>
          <w:b/>
          <w:snapToGrid w:val="0"/>
          <w:sz w:val="24"/>
          <w:szCs w:val="24"/>
          <w:lang w:eastAsia="zh-CN"/>
        </w:rPr>
        <w:t xml:space="preserve"> 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>Lea</w:t>
      </w:r>
      <w:r w:rsidRPr="00014BD3">
        <w:rPr>
          <w:rFonts w:ascii="Book Antiqua" w:hAnsi="Book Antiqua" w:cs="Times New Roman"/>
          <w:snapToGrid w:val="0"/>
          <w:sz w:val="24"/>
          <w:szCs w:val="24"/>
          <w:lang w:eastAsia="zh-CN"/>
        </w:rPr>
        <w:t xml:space="preserve"> P solely contributed to this work.</w:t>
      </w: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napToGrid w:val="0"/>
          <w:sz w:val="24"/>
          <w:szCs w:val="24"/>
          <w:lang w:eastAsia="zh-CN"/>
        </w:rPr>
      </w:pPr>
    </w:p>
    <w:p w:rsidR="0000730F" w:rsidRPr="00014BD3" w:rsidRDefault="0000730F" w:rsidP="00014BD3">
      <w:pPr>
        <w:pStyle w:val="BodyTextIndent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leftChars="0" w:left="0"/>
        <w:rPr>
          <w:rFonts w:eastAsia="宋体"/>
          <w:snapToGrid w:val="0"/>
          <w:sz w:val="24"/>
          <w:szCs w:val="24"/>
          <w:lang w:eastAsia="zh-CN"/>
        </w:rPr>
      </w:pPr>
      <w:r w:rsidRPr="00014BD3">
        <w:rPr>
          <w:rFonts w:eastAsia="Times New Roman" w:cs="Gulim"/>
          <w:b/>
          <w:snapToGrid w:val="0"/>
          <w:color w:val="000000"/>
          <w:sz w:val="24"/>
          <w:szCs w:val="24"/>
        </w:rPr>
        <w:t>Conflict-of-interest</w:t>
      </w:r>
      <w:r w:rsidRPr="00014BD3">
        <w:rPr>
          <w:rFonts w:cs="Gulim"/>
          <w:b/>
          <w:snapToGrid w:val="0"/>
          <w:color w:val="000000"/>
          <w:sz w:val="24"/>
          <w:szCs w:val="24"/>
          <w:lang w:eastAsia="zh-CN"/>
        </w:rPr>
        <w:t xml:space="preserve"> statement:</w:t>
      </w:r>
      <w:r w:rsidRPr="00014BD3">
        <w:rPr>
          <w:rFonts w:eastAsia="宋体" w:cs="Gulim"/>
          <w:b/>
          <w:snapToGrid w:val="0"/>
          <w:color w:val="000000"/>
          <w:sz w:val="24"/>
          <w:szCs w:val="24"/>
          <w:lang w:eastAsia="zh-CN"/>
        </w:rPr>
        <w:t xml:space="preserve"> </w:t>
      </w:r>
      <w:r w:rsidRPr="00014BD3">
        <w:rPr>
          <w:snapToGrid w:val="0"/>
          <w:sz w:val="24"/>
          <w:szCs w:val="24"/>
          <w:lang w:eastAsia="zh-CN"/>
        </w:rPr>
        <w:t>None.</w:t>
      </w:r>
    </w:p>
    <w:p w:rsidR="0000730F" w:rsidRPr="00014BD3" w:rsidRDefault="0000730F" w:rsidP="00014BD3">
      <w:pPr>
        <w:pStyle w:val="CommentText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cs="Gulim"/>
          <w:b/>
          <w:snapToGrid w:val="0"/>
          <w:color w:val="000000"/>
          <w:sz w:val="24"/>
          <w:szCs w:val="24"/>
          <w:lang w:eastAsia="zh-CN"/>
        </w:rPr>
      </w:pPr>
      <w:r w:rsidRPr="00014BD3">
        <w:rPr>
          <w:rFonts w:eastAsia="Times New Roman" w:cs="Gulim"/>
          <w:b/>
          <w:snapToGrid w:val="0"/>
          <w:color w:val="000000"/>
          <w:sz w:val="24"/>
          <w:szCs w:val="24"/>
        </w:rPr>
        <w:t xml:space="preserve"> </w:t>
      </w: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  <w:lang w:eastAsia="zh-CN"/>
        </w:rPr>
      </w:pPr>
      <w:bookmarkStart w:id="12" w:name="OLE_LINK507"/>
      <w:bookmarkStart w:id="13" w:name="OLE_LINK506"/>
      <w:bookmarkStart w:id="14" w:name="OLE_LINK496"/>
      <w:bookmarkStart w:id="15" w:name="OLE_LINK479"/>
      <w:r w:rsidRPr="00014BD3">
        <w:rPr>
          <w:rFonts w:ascii="Book Antiqua" w:eastAsia="宋体" w:hAnsi="Book Antiqua" w:cs="宋体"/>
          <w:b/>
          <w:snapToGrid w:val="0"/>
          <w:color w:val="000000" w:themeColor="text1"/>
          <w:sz w:val="24"/>
          <w:szCs w:val="24"/>
          <w:lang w:eastAsia="zh-CN"/>
        </w:rPr>
        <w:t xml:space="preserve">Open-Access: </w:t>
      </w:r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014BD3">
          <w:rPr>
            <w:rFonts w:ascii="Book Antiqua" w:eastAsia="宋体" w:hAnsi="Book Antiqua" w:cs="宋体"/>
            <w:snapToGrid w:val="0"/>
            <w:color w:val="000000" w:themeColor="text1"/>
            <w:sz w:val="24"/>
            <w:szCs w:val="24"/>
            <w:u w:val="single"/>
            <w:lang w:eastAsia="zh-CN"/>
          </w:rPr>
          <w:t>http://creativecommons.org/licenses/by-nc/4.0/</w:t>
        </w:r>
      </w:hyperlink>
      <w:bookmarkEnd w:id="12"/>
      <w:bookmarkEnd w:id="13"/>
      <w:bookmarkEnd w:id="14"/>
      <w:bookmarkEnd w:id="15"/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right="57"/>
        <w:jc w:val="both"/>
        <w:rPr>
          <w:rFonts w:ascii="Book Antiqua" w:hAnsi="Book Antiqua" w:cs="Times New Roman"/>
          <w:snapToGrid w:val="0"/>
          <w:sz w:val="24"/>
          <w:szCs w:val="24"/>
          <w:lang w:eastAsia="zh-CN"/>
        </w:rPr>
      </w:pPr>
    </w:p>
    <w:p w:rsidR="0000730F" w:rsidRPr="00014BD3" w:rsidRDefault="00B24053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b/>
          <w:snapToGrid w:val="0"/>
          <w:sz w:val="24"/>
          <w:szCs w:val="24"/>
        </w:rPr>
        <w:t>Correspondence to: Peter Lea</w:t>
      </w:r>
      <w:r w:rsidR="0000730F" w:rsidRPr="00014BD3">
        <w:rPr>
          <w:rFonts w:ascii="Book Antiqua" w:hAnsi="Book Antiqua" w:cs="Times New Roman"/>
          <w:b/>
          <w:snapToGrid w:val="0"/>
          <w:sz w:val="24"/>
          <w:szCs w:val="24"/>
          <w:lang w:eastAsia="zh-CN"/>
        </w:rPr>
        <w:t>,</w:t>
      </w:r>
      <w:r w:rsidRPr="00014BD3">
        <w:rPr>
          <w:rFonts w:ascii="Book Antiqua" w:hAnsi="Book Antiqua" w:cs="Times New Roman"/>
          <w:b/>
          <w:snapToGrid w:val="0"/>
          <w:sz w:val="24"/>
          <w:szCs w:val="24"/>
        </w:rPr>
        <w:t xml:space="preserve"> PhD,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 SQI Diagnostic Systems </w:t>
      </w:r>
      <w:proofErr w:type="spellStart"/>
      <w:r w:rsidRPr="00014BD3">
        <w:rPr>
          <w:rFonts w:ascii="Book Antiqua" w:hAnsi="Book Antiqua" w:cs="Times New Roman"/>
          <w:snapToGrid w:val="0"/>
          <w:sz w:val="24"/>
          <w:szCs w:val="24"/>
        </w:rPr>
        <w:t>Inc</w:t>
      </w:r>
      <w:proofErr w:type="spellEnd"/>
      <w:r w:rsidRPr="00014BD3">
        <w:rPr>
          <w:rFonts w:ascii="Book Antiqua" w:hAnsi="Book Antiqua" w:cs="Times New Roman"/>
          <w:snapToGrid w:val="0"/>
          <w:sz w:val="24"/>
          <w:szCs w:val="24"/>
        </w:rPr>
        <w:t>,</w:t>
      </w:r>
      <w:r w:rsidR="00AC0816" w:rsidRPr="00014BD3">
        <w:rPr>
          <w:rFonts w:ascii="Book Antiqua" w:hAnsi="Book Antiqua" w:cs="Times New Roman"/>
          <w:snapToGrid w:val="0"/>
          <w:sz w:val="24"/>
          <w:szCs w:val="24"/>
        </w:rPr>
        <w:t xml:space="preserve"> 36 Meteor Drive, Toronto Ontario</w:t>
      </w:r>
      <w:r w:rsidR="0000730F" w:rsidRPr="00014BD3">
        <w:rPr>
          <w:rFonts w:ascii="Book Antiqua" w:hAnsi="Book Antiqua" w:cs="Times New Roman"/>
          <w:snapToGrid w:val="0"/>
          <w:sz w:val="24"/>
          <w:szCs w:val="24"/>
        </w:rPr>
        <w:t xml:space="preserve"> M9W 1A4</w:t>
      </w:r>
      <w:r w:rsidR="00AC0816" w:rsidRPr="00014BD3">
        <w:rPr>
          <w:rFonts w:ascii="Book Antiqua" w:hAnsi="Book Antiqua" w:cs="Times New Roman"/>
          <w:snapToGrid w:val="0"/>
          <w:sz w:val="24"/>
          <w:szCs w:val="24"/>
        </w:rPr>
        <w:t>, Canada</w:t>
      </w:r>
      <w:r w:rsidR="0019422F" w:rsidRPr="00014BD3">
        <w:rPr>
          <w:rFonts w:ascii="Book Antiqua" w:hAnsi="Book Antiqua" w:cs="Times New Roman"/>
          <w:snapToGrid w:val="0"/>
          <w:sz w:val="24"/>
          <w:szCs w:val="24"/>
        </w:rPr>
        <w:t xml:space="preserve">. </w:t>
      </w:r>
      <w:r w:rsidR="007D4F15" w:rsidRPr="00014BD3">
        <w:rPr>
          <w:rFonts w:ascii="Book Antiqua" w:hAnsi="Book Antiqua" w:cs="Times New Roman"/>
          <w:snapToGrid w:val="0"/>
          <w:sz w:val="24"/>
          <w:szCs w:val="24"/>
        </w:rPr>
        <w:t xml:space="preserve"> </w:t>
      </w:r>
      <w:hyperlink r:id="rId10" w:history="1">
        <w:r w:rsidR="005D5962" w:rsidRPr="00014BD3">
          <w:rPr>
            <w:rStyle w:val="Hyperlink"/>
            <w:rFonts w:ascii="Book Antiqua" w:hAnsi="Book Antiqua" w:cs="Times New Roman"/>
            <w:snapToGrid w:val="0"/>
            <w:sz w:val="24"/>
            <w:szCs w:val="24"/>
          </w:rPr>
          <w:t>plea@sqidiagnostics.com</w:t>
        </w:r>
      </w:hyperlink>
      <w:r w:rsidR="005D596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 </w:t>
      </w:r>
    </w:p>
    <w:p w:rsidR="00AC0816" w:rsidRPr="00014BD3" w:rsidRDefault="00AC081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sz w:val="24"/>
          <w:szCs w:val="24"/>
        </w:rPr>
      </w:pPr>
      <w:r w:rsidRPr="00014BD3">
        <w:rPr>
          <w:rFonts w:ascii="Book Antiqua" w:hAnsi="Book Antiqua" w:cs="Times New Roman"/>
          <w:b/>
          <w:snapToGrid w:val="0"/>
          <w:sz w:val="24"/>
          <w:szCs w:val="24"/>
        </w:rPr>
        <w:t>Telephone</w:t>
      </w:r>
      <w:r w:rsidR="00AC67AA" w:rsidRPr="00014BD3">
        <w:rPr>
          <w:rFonts w:ascii="Book Antiqua" w:hAnsi="Book Antiqua" w:cs="Times New Roman"/>
          <w:b/>
          <w:snapToGrid w:val="0"/>
          <w:sz w:val="24"/>
          <w:szCs w:val="24"/>
        </w:rPr>
        <w:t xml:space="preserve">: </w:t>
      </w:r>
      <w:r w:rsidR="00AC67AA" w:rsidRPr="00014BD3">
        <w:rPr>
          <w:rFonts w:ascii="Book Antiqua" w:hAnsi="Book Antiqua" w:cs="Times New Roman"/>
          <w:snapToGrid w:val="0"/>
          <w:sz w:val="24"/>
          <w:szCs w:val="24"/>
        </w:rPr>
        <w:t>+1</w:t>
      </w:r>
      <w:r w:rsidR="0000730F" w:rsidRPr="00014BD3">
        <w:rPr>
          <w:rFonts w:ascii="Book Antiqua" w:hAnsi="Book Antiqua" w:cs="Times New Roman"/>
          <w:snapToGrid w:val="0"/>
          <w:sz w:val="24"/>
          <w:szCs w:val="24"/>
          <w:lang w:eastAsia="zh-CN"/>
        </w:rPr>
        <w:t>-</w:t>
      </w:r>
      <w:r w:rsidR="00AC67AA" w:rsidRPr="00014BD3">
        <w:rPr>
          <w:rFonts w:ascii="Book Antiqua" w:hAnsi="Book Antiqua" w:cs="Times New Roman"/>
          <w:snapToGrid w:val="0"/>
          <w:sz w:val="24"/>
          <w:szCs w:val="24"/>
        </w:rPr>
        <w:t>416</w:t>
      </w:r>
      <w:r w:rsidR="0000730F" w:rsidRPr="00014BD3">
        <w:rPr>
          <w:rFonts w:ascii="Book Antiqua" w:hAnsi="Book Antiqua" w:cs="Times New Roman"/>
          <w:snapToGrid w:val="0"/>
          <w:sz w:val="24"/>
          <w:szCs w:val="24"/>
          <w:lang w:eastAsia="zh-CN"/>
        </w:rPr>
        <w:t>-</w:t>
      </w:r>
      <w:r w:rsidR="00AC67AA" w:rsidRPr="00014BD3">
        <w:rPr>
          <w:rFonts w:ascii="Book Antiqua" w:hAnsi="Book Antiqua" w:cs="Times New Roman"/>
          <w:snapToGrid w:val="0"/>
          <w:sz w:val="24"/>
          <w:szCs w:val="24"/>
        </w:rPr>
        <w:t>6749500</w:t>
      </w:r>
    </w:p>
    <w:p w:rsidR="00AC0816" w:rsidRPr="00014BD3" w:rsidRDefault="00AC081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color w:val="000000"/>
          <w:w w:val="105"/>
          <w:sz w:val="24"/>
          <w:szCs w:val="24"/>
          <w:lang w:eastAsia="zh-CN"/>
        </w:rPr>
      </w:pPr>
    </w:p>
    <w:p w:rsidR="004F1C5B" w:rsidRPr="00014BD3" w:rsidRDefault="004F1C5B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/>
          <w:snapToGrid w:val="0"/>
          <w:sz w:val="24"/>
          <w:szCs w:val="24"/>
          <w:lang w:eastAsia="zh-CN"/>
        </w:rPr>
      </w:pPr>
      <w:bookmarkStart w:id="16" w:name="OLE_LINK5"/>
      <w:bookmarkStart w:id="17" w:name="OLE_LINK6"/>
      <w:r w:rsidRPr="00014BD3">
        <w:rPr>
          <w:rFonts w:ascii="Book Antiqua" w:hAnsi="Book Antiqua"/>
          <w:b/>
          <w:snapToGrid w:val="0"/>
          <w:sz w:val="24"/>
          <w:szCs w:val="24"/>
        </w:rPr>
        <w:t xml:space="preserve">Received:  </w:t>
      </w:r>
      <w:r w:rsidRPr="00014BD3">
        <w:rPr>
          <w:rFonts w:ascii="Book Antiqua" w:hAnsi="Book Antiqua"/>
          <w:snapToGrid w:val="0"/>
          <w:sz w:val="24"/>
          <w:szCs w:val="24"/>
          <w:lang w:eastAsia="zh-CN"/>
        </w:rPr>
        <w:t>September 16, 2014</w:t>
      </w:r>
    </w:p>
    <w:p w:rsidR="004F1C5B" w:rsidRPr="00014BD3" w:rsidRDefault="004F1C5B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/>
          <w:snapToGrid w:val="0"/>
          <w:sz w:val="24"/>
          <w:szCs w:val="24"/>
          <w:lang w:eastAsia="zh-CN"/>
        </w:rPr>
      </w:pPr>
      <w:r w:rsidRPr="00014BD3">
        <w:rPr>
          <w:rFonts w:ascii="Book Antiqua" w:hAnsi="Book Antiqua"/>
          <w:b/>
          <w:snapToGrid w:val="0"/>
          <w:sz w:val="24"/>
          <w:szCs w:val="24"/>
        </w:rPr>
        <w:t>Peer-review started:</w:t>
      </w:r>
      <w:r w:rsidRPr="00014BD3">
        <w:rPr>
          <w:rFonts w:ascii="Book Antiqua" w:hAnsi="Book Antiqua"/>
          <w:snapToGrid w:val="0"/>
          <w:sz w:val="24"/>
          <w:szCs w:val="24"/>
          <w:lang w:eastAsia="zh-CN"/>
        </w:rPr>
        <w:t xml:space="preserve"> September 16, 2014</w:t>
      </w:r>
    </w:p>
    <w:p w:rsidR="004F1C5B" w:rsidRPr="00014BD3" w:rsidRDefault="004F1C5B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/>
          <w:snapToGrid w:val="0"/>
          <w:sz w:val="24"/>
          <w:szCs w:val="24"/>
          <w:lang w:eastAsia="zh-CN"/>
        </w:rPr>
      </w:pPr>
      <w:bookmarkStart w:id="18" w:name="OLE_LINK22"/>
      <w:r w:rsidRPr="00014BD3">
        <w:rPr>
          <w:rFonts w:ascii="Book Antiqua" w:hAnsi="Book Antiqua"/>
          <w:b/>
          <w:snapToGrid w:val="0"/>
          <w:sz w:val="24"/>
          <w:szCs w:val="24"/>
        </w:rPr>
        <w:lastRenderedPageBreak/>
        <w:t>First decision:</w:t>
      </w:r>
      <w:r w:rsidRPr="00014BD3">
        <w:rPr>
          <w:rFonts w:ascii="Book Antiqua" w:hAnsi="Book Antiqua"/>
          <w:b/>
          <w:snapToGrid w:val="0"/>
          <w:sz w:val="24"/>
          <w:szCs w:val="24"/>
          <w:lang w:eastAsia="zh-CN"/>
        </w:rPr>
        <w:t xml:space="preserve"> </w:t>
      </w:r>
      <w:r w:rsidRPr="00014BD3">
        <w:rPr>
          <w:rFonts w:ascii="Book Antiqua" w:hAnsi="Book Antiqua"/>
          <w:snapToGrid w:val="0"/>
          <w:sz w:val="24"/>
          <w:szCs w:val="24"/>
          <w:lang w:eastAsia="zh-CN"/>
        </w:rPr>
        <w:t>October 28, 2014</w:t>
      </w:r>
    </w:p>
    <w:bookmarkEnd w:id="18"/>
    <w:p w:rsidR="004F1C5B" w:rsidRPr="00014BD3" w:rsidRDefault="004F1C5B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/>
          <w:snapToGrid w:val="0"/>
          <w:sz w:val="24"/>
          <w:szCs w:val="24"/>
          <w:lang w:eastAsia="zh-CN"/>
        </w:rPr>
      </w:pPr>
      <w:r w:rsidRPr="00014BD3">
        <w:rPr>
          <w:rFonts w:ascii="Book Antiqua" w:hAnsi="Book Antiqua"/>
          <w:b/>
          <w:snapToGrid w:val="0"/>
          <w:sz w:val="24"/>
          <w:szCs w:val="24"/>
        </w:rPr>
        <w:t xml:space="preserve">Revised: </w:t>
      </w:r>
      <w:r w:rsidRPr="00014BD3">
        <w:rPr>
          <w:rFonts w:ascii="Book Antiqua" w:hAnsi="Book Antiqua"/>
          <w:snapToGrid w:val="0"/>
          <w:sz w:val="24"/>
          <w:szCs w:val="24"/>
          <w:lang w:eastAsia="zh-CN"/>
        </w:rPr>
        <w:t>June 5, 2015</w:t>
      </w:r>
    </w:p>
    <w:p w:rsidR="004F1C5B" w:rsidRPr="00063A11" w:rsidRDefault="004F1C5B" w:rsidP="00063A11">
      <w:pPr>
        <w:rPr>
          <w:rFonts w:ascii="Book Antiqua" w:hAnsi="Book Antiqua" w:cs="宋体"/>
          <w:sz w:val="24"/>
        </w:rPr>
      </w:pPr>
      <w:r w:rsidRPr="00014BD3">
        <w:rPr>
          <w:rFonts w:ascii="Book Antiqua" w:hAnsi="Book Antiqua"/>
          <w:b/>
          <w:snapToGrid w:val="0"/>
          <w:sz w:val="24"/>
          <w:szCs w:val="24"/>
        </w:rPr>
        <w:t xml:space="preserve">Accepted: </w:t>
      </w:r>
      <w:r w:rsidR="00063A11">
        <w:rPr>
          <w:rFonts w:ascii="Book Antiqua" w:hAnsi="Book Antiqua" w:cs="宋体"/>
          <w:sz w:val="24"/>
        </w:rPr>
        <w:t>August 4</w:t>
      </w:r>
      <w:r w:rsidR="00063A11" w:rsidRPr="00AF30D4">
        <w:rPr>
          <w:rFonts w:ascii="Book Antiqua" w:hAnsi="Book Antiqua" w:cs="宋体"/>
          <w:sz w:val="24"/>
        </w:rPr>
        <w:t>, 2015</w:t>
      </w:r>
      <w:r w:rsidRPr="00014BD3">
        <w:rPr>
          <w:rFonts w:ascii="Book Antiqua" w:hAnsi="Book Antiqua"/>
          <w:b/>
          <w:snapToGrid w:val="0"/>
          <w:sz w:val="24"/>
          <w:szCs w:val="24"/>
        </w:rPr>
        <w:t xml:space="preserve"> </w:t>
      </w:r>
    </w:p>
    <w:p w:rsidR="004F1C5B" w:rsidRPr="00014BD3" w:rsidRDefault="004F1C5B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/>
          <w:b/>
          <w:snapToGrid w:val="0"/>
          <w:sz w:val="24"/>
          <w:szCs w:val="24"/>
        </w:rPr>
      </w:pPr>
      <w:r w:rsidRPr="00014BD3">
        <w:rPr>
          <w:rFonts w:ascii="Book Antiqua" w:hAnsi="Book Antiqua"/>
          <w:b/>
          <w:snapToGrid w:val="0"/>
          <w:sz w:val="24"/>
          <w:szCs w:val="24"/>
        </w:rPr>
        <w:t>Article in press:</w:t>
      </w:r>
    </w:p>
    <w:p w:rsidR="004F1C5B" w:rsidRPr="00014BD3" w:rsidRDefault="004F1C5B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/>
          <w:b/>
          <w:snapToGrid w:val="0"/>
          <w:sz w:val="24"/>
          <w:szCs w:val="24"/>
          <w:lang w:eastAsia="zh-CN"/>
        </w:rPr>
      </w:pPr>
      <w:r w:rsidRPr="00014BD3">
        <w:rPr>
          <w:rFonts w:ascii="Book Antiqua" w:hAnsi="Book Antiqua"/>
          <w:b/>
          <w:snapToGrid w:val="0"/>
          <w:sz w:val="24"/>
          <w:szCs w:val="24"/>
        </w:rPr>
        <w:t xml:space="preserve">Published online: </w:t>
      </w:r>
      <w:bookmarkEnd w:id="16"/>
      <w:bookmarkEnd w:id="17"/>
    </w:p>
    <w:p w:rsidR="004F1C5B" w:rsidRPr="00014BD3" w:rsidRDefault="004F1C5B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 w:cs="Times New Roman"/>
          <w:b/>
          <w:snapToGrid w:val="0"/>
          <w:w w:val="105"/>
          <w:sz w:val="24"/>
          <w:szCs w:val="24"/>
        </w:rPr>
      </w:pPr>
      <w:r w:rsidRPr="00014BD3">
        <w:rPr>
          <w:rFonts w:ascii="Book Antiqua" w:hAnsi="Book Antiqua" w:cs="Times New Roman"/>
          <w:b/>
          <w:snapToGrid w:val="0"/>
          <w:w w:val="105"/>
          <w:sz w:val="24"/>
          <w:szCs w:val="24"/>
        </w:rPr>
        <w:br w:type="page"/>
      </w:r>
    </w:p>
    <w:p w:rsidR="00C95721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napToGrid w:val="0"/>
          <w:sz w:val="24"/>
          <w:szCs w:val="24"/>
        </w:rPr>
      </w:pPr>
      <w:r w:rsidRPr="00014BD3">
        <w:rPr>
          <w:rFonts w:ascii="Book Antiqua" w:hAnsi="Book Antiqua" w:cs="Times New Roman"/>
          <w:b/>
          <w:snapToGrid w:val="0"/>
          <w:w w:val="105"/>
          <w:sz w:val="24"/>
          <w:szCs w:val="24"/>
        </w:rPr>
        <w:lastRenderedPageBreak/>
        <w:t>Abstract</w:t>
      </w:r>
    </w:p>
    <w:p w:rsidR="000333D9" w:rsidRPr="00014BD3" w:rsidRDefault="00B24053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w w:val="106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sz w:val="24"/>
          <w:szCs w:val="24"/>
        </w:rPr>
        <w:t>Advanced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diagnostic methods and algorithms for immune disorders </w:t>
      </w:r>
      <w:r w:rsidR="00F36F89" w:rsidRPr="00014BD3">
        <w:rPr>
          <w:rFonts w:ascii="Book Antiqua" w:hAnsi="Book Antiqua" w:cs="Times New Roman"/>
          <w:snapToGrid w:val="0"/>
          <w:sz w:val="24"/>
          <w:szCs w:val="24"/>
        </w:rPr>
        <w:t xml:space="preserve">provide </w:t>
      </w:r>
      <w:r w:rsidR="00D5448B" w:rsidRPr="00014BD3">
        <w:rPr>
          <w:rFonts w:ascii="Book Antiqua" w:hAnsi="Book Antiqua" w:cs="Times New Roman"/>
          <w:snapToGrid w:val="0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qualitative and quantitative multiplex measurem</w:t>
      </w:r>
      <w:r w:rsidR="005D0B7B" w:rsidRPr="00014BD3">
        <w:rPr>
          <w:rFonts w:ascii="Book Antiqua" w:hAnsi="Book Antiqua" w:cs="Times New Roman"/>
          <w:snapToGrid w:val="0"/>
          <w:sz w:val="24"/>
          <w:szCs w:val="24"/>
        </w:rPr>
        <w:t>ent for pre-clinical prognostic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and clinical diagnostic biomarkers specific for </w:t>
      </w:r>
      <w:r w:rsidR="00D5448B" w:rsidRPr="00014BD3">
        <w:rPr>
          <w:rFonts w:ascii="Book Antiqua" w:hAnsi="Book Antiqua" w:cs="Times New Roman"/>
          <w:snapToGrid w:val="0"/>
          <w:sz w:val="24"/>
          <w:szCs w:val="24"/>
        </w:rPr>
        <w:t>d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iseases</w:t>
      </w:r>
      <w:r w:rsidR="004E765F" w:rsidRPr="00014BD3">
        <w:rPr>
          <w:rFonts w:ascii="Book Antiqua" w:hAnsi="Book Antiqua" w:cs="Times New Roman"/>
          <w:snapToGrid w:val="0"/>
          <w:sz w:val="24"/>
          <w:szCs w:val="24"/>
        </w:rPr>
        <w:t>. C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hoice of therapy </w:t>
      </w:r>
      <w:r w:rsidR="00731110" w:rsidRPr="00014BD3">
        <w:rPr>
          <w:rFonts w:ascii="Book Antiqua" w:hAnsi="Book Antiqua" w:cs="Times New Roman"/>
          <w:snapToGrid w:val="0"/>
          <w:sz w:val="24"/>
          <w:szCs w:val="24"/>
          <w:lang w:eastAsia="zh-CN"/>
        </w:rPr>
        <w:t>is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</w:t>
      </w:r>
      <w:r w:rsidR="004E765F" w:rsidRPr="00014BD3">
        <w:rPr>
          <w:rFonts w:ascii="Book Antiqua" w:hAnsi="Book Antiqua" w:cs="Times New Roman"/>
          <w:snapToGrid w:val="0"/>
          <w:sz w:val="24"/>
          <w:szCs w:val="24"/>
        </w:rPr>
        <w:t>con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firmed by modulating di</w:t>
      </w:r>
      <w:r w:rsidR="00044352" w:rsidRPr="00014BD3">
        <w:rPr>
          <w:rFonts w:ascii="Book Antiqua" w:hAnsi="Book Antiqua" w:cs="Times New Roman"/>
          <w:snapToGrid w:val="0"/>
          <w:sz w:val="24"/>
          <w:szCs w:val="24"/>
        </w:rPr>
        <w:t xml:space="preserve">agnostic efficacy of companion, </w:t>
      </w:r>
      <w:proofErr w:type="spellStart"/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therano</w:t>
      </w:r>
      <w:r w:rsidR="00044352" w:rsidRPr="00014BD3">
        <w:rPr>
          <w:rFonts w:ascii="Book Antiqua" w:hAnsi="Book Antiqua" w:cs="Times New Roman"/>
          <w:snapToGrid w:val="0"/>
          <w:sz w:val="24"/>
          <w:szCs w:val="24"/>
        </w:rPr>
        <w:t>tic</w:t>
      </w:r>
      <w:proofErr w:type="spellEnd"/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drug concen</w:t>
      </w:r>
      <w:r w:rsidR="00FB167C" w:rsidRPr="00014BD3">
        <w:rPr>
          <w:rFonts w:ascii="Book Antiqua" w:hAnsi="Book Antiqua" w:cs="Times New Roman"/>
          <w:snapToGrid w:val="0"/>
          <w:sz w:val="24"/>
          <w:szCs w:val="24"/>
        </w:rPr>
        <w:t xml:space="preserve">trations. Assay methods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identify, monitor and manage autoimmune diseases, or risk thereof, in subjects who have, or who are related to individuals with autoimmune disease. The</w:t>
      </w:r>
      <w:r w:rsidR="00D5448B" w:rsidRPr="00014BD3">
        <w:rPr>
          <w:rFonts w:ascii="Book Antiqua" w:hAnsi="Book Antiqua" w:cs="Times New Roman"/>
          <w:snapToGrid w:val="0"/>
          <w:sz w:val="24"/>
          <w:szCs w:val="24"/>
        </w:rPr>
        <w:t>se same diagnostic p</w:t>
      </w:r>
      <w:r w:rsidR="004E765F" w:rsidRPr="00014BD3">
        <w:rPr>
          <w:rFonts w:ascii="Book Antiqua" w:hAnsi="Book Antiqua" w:cs="Times New Roman"/>
          <w:snapToGrid w:val="0"/>
          <w:sz w:val="24"/>
          <w:szCs w:val="24"/>
        </w:rPr>
        <w:t>rotocols</w:t>
      </w:r>
      <w:r w:rsidR="00D5448B" w:rsidRPr="00014BD3">
        <w:rPr>
          <w:rFonts w:ascii="Book Antiqua" w:hAnsi="Book Antiqua" w:cs="Times New Roman"/>
          <w:snapToGrid w:val="0"/>
          <w:sz w:val="24"/>
          <w:szCs w:val="24"/>
        </w:rPr>
        <w:t xml:space="preserve"> </w:t>
      </w:r>
      <w:r w:rsidR="00FB37B4" w:rsidRPr="00014BD3">
        <w:rPr>
          <w:rFonts w:ascii="Book Antiqua" w:hAnsi="Book Antiqua" w:cs="Times New Roman"/>
          <w:snapToGrid w:val="0"/>
          <w:sz w:val="24"/>
          <w:szCs w:val="24"/>
        </w:rPr>
        <w:t xml:space="preserve">also integrate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qualitative and quantitative assay </w:t>
      </w:r>
      <w:r w:rsidR="00FB37B4" w:rsidRPr="00014BD3">
        <w:rPr>
          <w:rFonts w:ascii="Book Antiqua" w:hAnsi="Book Antiqua" w:cs="Times New Roman"/>
          <w:snapToGrid w:val="0"/>
          <w:sz w:val="24"/>
          <w:szCs w:val="24"/>
        </w:rPr>
        <w:t xml:space="preserve">test </w:t>
      </w:r>
      <w:r w:rsidR="004E765F" w:rsidRPr="00014BD3">
        <w:rPr>
          <w:rFonts w:ascii="Book Antiqua" w:hAnsi="Book Antiqua" w:cs="Times New Roman"/>
          <w:snapToGrid w:val="0"/>
          <w:sz w:val="24"/>
          <w:szCs w:val="24"/>
        </w:rPr>
        <w:t xml:space="preserve">protocol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designs for responder patient assessment, risk ana</w:t>
      </w:r>
      <w:r w:rsidR="00FB37B4" w:rsidRPr="00014BD3">
        <w:rPr>
          <w:rFonts w:ascii="Book Antiqua" w:hAnsi="Book Antiqua" w:cs="Times New Roman"/>
          <w:snapToGrid w:val="0"/>
          <w:sz w:val="24"/>
          <w:szCs w:val="24"/>
        </w:rPr>
        <w:t>lysis and management of disease when</w:t>
      </w:r>
      <w:r w:rsidR="005151B6" w:rsidRPr="00014BD3">
        <w:rPr>
          <w:rFonts w:ascii="Book Antiqua" w:hAnsi="Book Antiqua" w:cs="Times New Roman"/>
          <w:snapToGrid w:val="0"/>
          <w:sz w:val="24"/>
          <w:szCs w:val="24"/>
        </w:rPr>
        <w:t xml:space="preserve"> </w:t>
      </w:r>
      <w:r w:rsidR="00FB37B4" w:rsidRPr="00014BD3">
        <w:rPr>
          <w:rFonts w:ascii="Book Antiqua" w:hAnsi="Book Antiqua" w:cs="Times New Roman"/>
          <w:snapToGrid w:val="0"/>
          <w:sz w:val="24"/>
          <w:szCs w:val="24"/>
        </w:rPr>
        <w:t>integrating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multiplex planar microarray diagnostic tests, patient </w:t>
      </w:r>
      <w:proofErr w:type="spellStart"/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theranosti</w:t>
      </w:r>
      <w:r w:rsidR="0019422F" w:rsidRPr="00014BD3">
        <w:rPr>
          <w:rFonts w:ascii="Book Antiqua" w:hAnsi="Book Antiqua" w:cs="Times New Roman"/>
          <w:snapToGrid w:val="0"/>
          <w:sz w:val="24"/>
          <w:szCs w:val="24"/>
        </w:rPr>
        <w:t>c</w:t>
      </w:r>
      <w:proofErr w:type="spellEnd"/>
      <w:r w:rsidR="0019422F" w:rsidRPr="00014BD3">
        <w:rPr>
          <w:rFonts w:ascii="Book Antiqua" w:hAnsi="Book Antiqua" w:cs="Times New Roman"/>
          <w:snapToGrid w:val="0"/>
          <w:sz w:val="24"/>
          <w:szCs w:val="24"/>
        </w:rPr>
        <w:t xml:space="preserve"> companion diagnostic methods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and test panels for simultaneous assessment and management of </w:t>
      </w:r>
      <w:proofErr w:type="spellStart"/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dysimmune</w:t>
      </w:r>
      <w:proofErr w:type="spellEnd"/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and inflammatory disorders, autoimmunity, allergy and cancer. </w:t>
      </w:r>
      <w:r w:rsidR="00FB37B4" w:rsidRPr="00014BD3">
        <w:rPr>
          <w:rFonts w:ascii="Book Antiqua" w:hAnsi="Book Antiqua" w:cs="Times New Roman"/>
          <w:snapToGrid w:val="0"/>
          <w:sz w:val="24"/>
          <w:szCs w:val="24"/>
        </w:rPr>
        <w:t>Proprietary a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ssay methods are provided to identify, monitor and manage </w:t>
      </w:r>
      <w:proofErr w:type="spellStart"/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dysimmune</w:t>
      </w:r>
      <w:proofErr w:type="spellEnd"/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conditions, or risk thereof, in subjects with pathological alterations in the immune system, or who are related to individuals with these conditions. The </w:t>
      </w:r>
      <w:r w:rsidR="00C5781A" w:rsidRPr="00014BD3">
        <w:rPr>
          <w:rFonts w:ascii="Book Antiqua" w:hAnsi="Book Antiqua" w:cs="Times New Roman"/>
          <w:snapToGrid w:val="0"/>
          <w:sz w:val="24"/>
          <w:szCs w:val="24"/>
        </w:rPr>
        <w:t>protocols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can be </w:t>
      </w:r>
      <w:r w:rsidR="00C5781A" w:rsidRPr="00014BD3">
        <w:rPr>
          <w:rFonts w:ascii="Book Antiqua" w:hAnsi="Book Antiqua" w:cs="Times New Roman"/>
          <w:snapToGrid w:val="0"/>
          <w:sz w:val="24"/>
          <w:szCs w:val="24"/>
        </w:rPr>
        <w:t xml:space="preserve">used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for confirmatory testing of subject</w:t>
      </w:r>
      <w:r w:rsidR="00AA191F" w:rsidRPr="00014BD3">
        <w:rPr>
          <w:rFonts w:ascii="Book Antiqua" w:hAnsi="Book Antiqua" w:cs="Times New Roman"/>
          <w:snapToGrid w:val="0"/>
          <w:sz w:val="24"/>
          <w:szCs w:val="24"/>
        </w:rPr>
        <w:t>s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</w:t>
      </w:r>
      <w:r w:rsidR="00FB37B4" w:rsidRPr="00014BD3">
        <w:rPr>
          <w:rFonts w:ascii="Book Antiqua" w:hAnsi="Book Antiqua" w:cs="Times New Roman"/>
          <w:snapToGrid w:val="0"/>
          <w:sz w:val="24"/>
          <w:szCs w:val="24"/>
        </w:rPr>
        <w:t>who exhibit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symptoms of </w:t>
      </w:r>
      <w:proofErr w:type="spellStart"/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dysimmunity</w:t>
      </w:r>
      <w:proofErr w:type="spellEnd"/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, as well as subjects who are apparently healthy and do not</w:t>
      </w:r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exhibi</w:t>
      </w:r>
      <w:r w:rsidR="005151B6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t </w:t>
      </w:r>
      <w:r w:rsidR="000F5592" w:rsidRPr="00014BD3">
        <w:rPr>
          <w:rFonts w:ascii="Book Antiqua" w:hAnsi="Book Antiqua" w:cs="Times New Roman"/>
          <w:snapToGrid w:val="0"/>
          <w:w w:val="108"/>
          <w:sz w:val="24"/>
          <w:szCs w:val="24"/>
        </w:rPr>
        <w:t xml:space="preserve">symptoms of altered immune function. The </w:t>
      </w:r>
      <w:r w:rsidR="00FB37B4" w:rsidRPr="00014BD3">
        <w:rPr>
          <w:rFonts w:ascii="Book Antiqua" w:hAnsi="Book Antiqua" w:cs="Times New Roman"/>
          <w:snapToGrid w:val="0"/>
          <w:w w:val="108"/>
          <w:sz w:val="24"/>
          <w:szCs w:val="24"/>
        </w:rPr>
        <w:t>p</w:t>
      </w:r>
      <w:r w:rsidR="004E765F" w:rsidRPr="00014BD3">
        <w:rPr>
          <w:rFonts w:ascii="Book Antiqua" w:hAnsi="Book Antiqua" w:cs="Times New Roman"/>
          <w:snapToGrid w:val="0"/>
          <w:w w:val="108"/>
          <w:sz w:val="24"/>
          <w:szCs w:val="24"/>
        </w:rPr>
        <w:t xml:space="preserve">rotocols </w:t>
      </w:r>
      <w:r w:rsidR="00FB37B4" w:rsidRPr="00014BD3">
        <w:rPr>
          <w:rFonts w:ascii="Book Antiqua" w:hAnsi="Book Antiqua" w:cs="Times New Roman"/>
          <w:snapToGrid w:val="0"/>
          <w:w w:val="108"/>
          <w:sz w:val="24"/>
          <w:szCs w:val="24"/>
        </w:rPr>
        <w:t>also provide</w:t>
      </w:r>
      <w:r w:rsidR="000F5592" w:rsidRPr="00014BD3">
        <w:rPr>
          <w:rFonts w:ascii="Book Antiqua" w:hAnsi="Book Antiqua" w:cs="Times New Roman"/>
          <w:snapToGrid w:val="0"/>
          <w:w w:val="108"/>
          <w:sz w:val="24"/>
          <w:szCs w:val="24"/>
        </w:rPr>
        <w:t xml:space="preserve"> for methods of </w:t>
      </w:r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determining whether a subject has, is at risk for, or is a candidate for disease therapy</w:t>
      </w:r>
      <w:r w:rsidR="00AA191F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,</w:t>
      </w:r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guided by companion diagnosis and immunosuppressive therapy, as well as therapeutic drug monitoring and </w:t>
      </w:r>
      <w:proofErr w:type="spellStart"/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theranostic</w:t>
      </w:r>
      <w:proofErr w:type="spellEnd"/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testing of disease biomarkers in response to immuno-absorption therapy. The </w:t>
      </w:r>
      <w:r w:rsidR="005151B6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multiplex </w:t>
      </w:r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test panels </w:t>
      </w:r>
      <w:r w:rsidR="005151B6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provide the </w:t>
      </w:r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components that are </w:t>
      </w:r>
      <w:r w:rsidR="000F5592" w:rsidRPr="00014BD3">
        <w:rPr>
          <w:rFonts w:ascii="Book Antiqua" w:hAnsi="Book Antiqua" w:cs="Times New Roman"/>
          <w:snapToGrid w:val="0"/>
          <w:w w:val="106"/>
          <w:sz w:val="24"/>
          <w:szCs w:val="24"/>
        </w:rPr>
        <w:t xml:space="preserve">integral for performing the methods </w:t>
      </w:r>
      <w:r w:rsidR="005151B6" w:rsidRPr="00014BD3">
        <w:rPr>
          <w:rFonts w:ascii="Book Antiqua" w:hAnsi="Book Antiqua" w:cs="Times New Roman"/>
          <w:snapToGrid w:val="0"/>
          <w:w w:val="106"/>
          <w:sz w:val="24"/>
          <w:szCs w:val="24"/>
        </w:rPr>
        <w:t>to recognized clinical standards</w:t>
      </w:r>
      <w:r w:rsidR="000F5592" w:rsidRPr="00014BD3">
        <w:rPr>
          <w:rFonts w:ascii="Book Antiqua" w:hAnsi="Book Antiqua" w:cs="Times New Roman"/>
          <w:snapToGrid w:val="0"/>
          <w:w w:val="106"/>
          <w:sz w:val="24"/>
          <w:szCs w:val="24"/>
        </w:rPr>
        <w:t>.</w:t>
      </w:r>
    </w:p>
    <w:p w:rsidR="0093171A" w:rsidRPr="00014BD3" w:rsidRDefault="0093171A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w w:val="106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snapToGrid w:val="0"/>
          <w:w w:val="106"/>
          <w:sz w:val="24"/>
          <w:szCs w:val="24"/>
        </w:rPr>
        <w:t xml:space="preserve"> </w:t>
      </w: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b/>
          <w:snapToGrid w:val="0"/>
          <w:sz w:val="24"/>
          <w:szCs w:val="24"/>
        </w:rPr>
        <w:t>Key words: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 Multiplex planar microarrays; Disease integrated panels; Simultaneous methods; Prognosis; Diagnosis; </w:t>
      </w:r>
      <w:proofErr w:type="spellStart"/>
      <w:r w:rsidRPr="00014BD3">
        <w:rPr>
          <w:rFonts w:ascii="Book Antiqua" w:hAnsi="Book Antiqua" w:cs="Times New Roman"/>
          <w:snapToGrid w:val="0"/>
          <w:sz w:val="24"/>
          <w:szCs w:val="24"/>
        </w:rPr>
        <w:t>Theranosis</w:t>
      </w:r>
      <w:proofErr w:type="spellEnd"/>
    </w:p>
    <w:p w:rsidR="004F1C5B" w:rsidRPr="00014BD3" w:rsidRDefault="004F1C5B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sz w:val="24"/>
          <w:szCs w:val="24"/>
          <w:lang w:eastAsia="zh-CN"/>
        </w:rPr>
      </w:pPr>
    </w:p>
    <w:p w:rsidR="004F1C5B" w:rsidRPr="00014BD3" w:rsidRDefault="004F1C5B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i/>
          <w:iCs/>
          <w:snapToGrid w:val="0"/>
          <w:sz w:val="24"/>
          <w:szCs w:val="24"/>
        </w:rPr>
      </w:pPr>
      <w:proofErr w:type="gramStart"/>
      <w:r w:rsidRPr="00014BD3">
        <w:rPr>
          <w:rFonts w:ascii="Book Antiqua" w:hAnsi="Book Antiqua" w:cs="Tahoma"/>
          <w:b/>
          <w:snapToGrid w:val="0"/>
          <w:color w:val="000000"/>
          <w:sz w:val="24"/>
          <w:szCs w:val="24"/>
          <w:lang w:val="en-GB" w:eastAsia="ja-JP"/>
        </w:rPr>
        <w:t xml:space="preserve">© </w:t>
      </w:r>
      <w:r w:rsidRPr="00014BD3">
        <w:rPr>
          <w:rFonts w:ascii="Book Antiqua" w:eastAsia="AdvTimes" w:hAnsi="Book Antiqua" w:cs="AdvTimes"/>
          <w:b/>
          <w:snapToGrid w:val="0"/>
          <w:color w:val="000000"/>
          <w:sz w:val="24"/>
          <w:szCs w:val="24"/>
          <w:lang w:val="fr-FR" w:eastAsia="ja-JP"/>
        </w:rPr>
        <w:t>The Author(s) 2015.</w:t>
      </w:r>
      <w:proofErr w:type="gramEnd"/>
      <w:r w:rsidRPr="00014BD3">
        <w:rPr>
          <w:rFonts w:ascii="Book Antiqua" w:eastAsia="AdvTimes" w:hAnsi="Book Antiqua" w:cs="AdvTimes"/>
          <w:snapToGrid w:val="0"/>
          <w:color w:val="000000"/>
          <w:sz w:val="24"/>
          <w:szCs w:val="24"/>
          <w:lang w:val="fr-FR" w:eastAsia="ja-JP"/>
        </w:rPr>
        <w:t xml:space="preserve"> Published by </w:t>
      </w:r>
      <w:proofErr w:type="spellStart"/>
      <w:r w:rsidRPr="00014BD3">
        <w:rPr>
          <w:rFonts w:ascii="Book Antiqua" w:hAnsi="Book Antiqua" w:cs="Arial Unicode MS"/>
          <w:snapToGrid w:val="0"/>
          <w:color w:val="000000"/>
          <w:sz w:val="24"/>
          <w:szCs w:val="24"/>
          <w:lang w:val="en-GB" w:eastAsia="ja-JP"/>
        </w:rPr>
        <w:t>Baishideng</w:t>
      </w:r>
      <w:proofErr w:type="spellEnd"/>
      <w:r w:rsidRPr="00014BD3">
        <w:rPr>
          <w:rFonts w:ascii="Book Antiqua" w:hAnsi="Book Antiqua" w:cs="Arial Unicode MS"/>
          <w:snapToGrid w:val="0"/>
          <w:color w:val="000000"/>
          <w:sz w:val="24"/>
          <w:szCs w:val="24"/>
          <w:lang w:val="en-GB" w:eastAsia="ja-JP"/>
        </w:rPr>
        <w:t xml:space="preserve"> Publishing Group Inc.</w:t>
      </w:r>
      <w:r w:rsidRPr="00014BD3">
        <w:rPr>
          <w:rFonts w:ascii="Book Antiqua" w:hAnsi="Book Antiqua" w:cs="Arial Unicode MS"/>
          <w:snapToGrid w:val="0"/>
          <w:sz w:val="24"/>
          <w:szCs w:val="24"/>
          <w:lang w:val="en-GB" w:eastAsia="ja-JP"/>
        </w:rPr>
        <w:t xml:space="preserve"> </w:t>
      </w:r>
      <w:r w:rsidRPr="00014BD3">
        <w:rPr>
          <w:rFonts w:ascii="Book Antiqua" w:hAnsi="Book Antiqua" w:cs="Arial Unicode MS"/>
          <w:snapToGrid w:val="0"/>
          <w:sz w:val="24"/>
          <w:szCs w:val="24"/>
          <w:lang w:val="fr-FR" w:eastAsia="ja-JP"/>
        </w:rPr>
        <w:t>All rights reserved</w:t>
      </w:r>
      <w:r w:rsidRPr="00014BD3">
        <w:rPr>
          <w:rFonts w:ascii="Book Antiqua" w:hAnsi="Book Antiqua" w:cs="Arial Unicode MS"/>
          <w:snapToGrid w:val="0"/>
          <w:sz w:val="24"/>
          <w:szCs w:val="24"/>
          <w:lang w:val="fr-FR"/>
        </w:rPr>
        <w:t>.</w:t>
      </w: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left="2049"/>
        <w:jc w:val="both"/>
        <w:rPr>
          <w:rFonts w:ascii="Book Antiqua" w:hAnsi="Book Antiqua" w:cs="Times New Roman"/>
          <w:snapToGrid w:val="0"/>
          <w:sz w:val="24"/>
          <w:szCs w:val="24"/>
        </w:rPr>
      </w:pPr>
    </w:p>
    <w:p w:rsidR="0000730F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sz w:val="24"/>
          <w:szCs w:val="24"/>
        </w:rPr>
      </w:pPr>
      <w:r w:rsidRPr="00014BD3">
        <w:rPr>
          <w:rFonts w:ascii="Book Antiqua" w:hAnsi="Book Antiqua" w:cs="Times New Roman"/>
          <w:b/>
          <w:snapToGrid w:val="0"/>
          <w:sz w:val="24"/>
          <w:szCs w:val="24"/>
        </w:rPr>
        <w:lastRenderedPageBreak/>
        <w:t xml:space="preserve">Core tip: 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Multiplex planar microarrays integrated for simultaneous, quantitative methods of prognosis, diagnosis, and </w:t>
      </w:r>
      <w:proofErr w:type="spellStart"/>
      <w:r w:rsidRPr="00014BD3">
        <w:rPr>
          <w:rFonts w:ascii="Book Antiqua" w:hAnsi="Book Antiqua" w:cs="Times New Roman"/>
          <w:snapToGrid w:val="0"/>
          <w:sz w:val="24"/>
          <w:szCs w:val="24"/>
        </w:rPr>
        <w:t>theranosis</w:t>
      </w:r>
      <w:proofErr w:type="spellEnd"/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 provide a powerful technology for comparative measurements of changes in disease states and risk analysis, especially for autoimmune diseases. </w:t>
      </w:r>
    </w:p>
    <w:p w:rsidR="004F1C5B" w:rsidRPr="00014BD3" w:rsidRDefault="004F1C5B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napToGrid w:val="0"/>
          <w:sz w:val="24"/>
          <w:szCs w:val="24"/>
          <w:lang w:eastAsia="zh-CN"/>
        </w:rPr>
      </w:pPr>
    </w:p>
    <w:p w:rsidR="004F1C5B" w:rsidRPr="00014BD3" w:rsidRDefault="004F1C5B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sz w:val="24"/>
          <w:szCs w:val="24"/>
          <w:lang w:eastAsia="zh-CN"/>
        </w:rPr>
      </w:pPr>
      <w:proofErr w:type="gramStart"/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Lea </w:t>
      </w:r>
      <w:r w:rsidRPr="00014BD3">
        <w:rPr>
          <w:rFonts w:ascii="Book Antiqua" w:hAnsi="Book Antiqua" w:cs="Times New Roman"/>
          <w:snapToGrid w:val="0"/>
          <w:sz w:val="24"/>
          <w:szCs w:val="24"/>
          <w:lang w:eastAsia="zh-CN"/>
        </w:rPr>
        <w:t>P</w:t>
      </w:r>
      <w:r w:rsidRPr="00014BD3"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  <w:lang w:eastAsia="zh-CN"/>
        </w:rPr>
        <w:t xml:space="preserve">. </w:t>
      </w:r>
      <w:r w:rsidRPr="00014BD3">
        <w:rPr>
          <w:rStyle w:val="Heading1Char"/>
          <w:rFonts w:ascii="Book Antiqua" w:hAnsi="Book Antiqua" w:cs="Times New Roman"/>
          <w:b w:val="0"/>
          <w:snapToGrid w:val="0"/>
          <w:color w:val="auto"/>
          <w:sz w:val="24"/>
          <w:szCs w:val="24"/>
        </w:rPr>
        <w:t>Multiplex planar microarrays for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 disease prognosis, diagnosis and </w:t>
      </w:r>
      <w:proofErr w:type="spellStart"/>
      <w:r w:rsidRPr="00014BD3">
        <w:rPr>
          <w:rFonts w:ascii="Book Antiqua" w:hAnsi="Book Antiqua" w:cs="Times New Roman"/>
          <w:snapToGrid w:val="0"/>
          <w:sz w:val="24"/>
          <w:szCs w:val="24"/>
        </w:rPr>
        <w:t>theranosis</w:t>
      </w:r>
      <w:proofErr w:type="spellEnd"/>
      <w:r w:rsidRPr="00014BD3">
        <w:rPr>
          <w:rFonts w:ascii="Book Antiqua" w:hAnsi="Book Antiqua" w:cs="Times New Roman"/>
          <w:snapToGrid w:val="0"/>
          <w:sz w:val="24"/>
          <w:szCs w:val="24"/>
          <w:lang w:eastAsia="zh-CN"/>
        </w:rPr>
        <w:t>.</w:t>
      </w:r>
      <w:proofErr w:type="gramEnd"/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 </w:t>
      </w:r>
      <w:bookmarkStart w:id="19" w:name="OLE_LINK11"/>
      <w:bookmarkStart w:id="20" w:name="OLE_LINK12"/>
      <w:r w:rsidRPr="00014BD3">
        <w:rPr>
          <w:rFonts w:ascii="Book Antiqua" w:hAnsi="Book Antiqua"/>
          <w:i/>
          <w:iCs/>
          <w:snapToGrid w:val="0"/>
          <w:sz w:val="24"/>
          <w:szCs w:val="24"/>
        </w:rPr>
        <w:t xml:space="preserve">World J </w:t>
      </w:r>
      <w:proofErr w:type="spellStart"/>
      <w:r w:rsidRPr="00014BD3">
        <w:rPr>
          <w:rFonts w:ascii="Book Antiqua" w:hAnsi="Book Antiqua"/>
          <w:i/>
          <w:iCs/>
          <w:snapToGrid w:val="0"/>
          <w:sz w:val="24"/>
          <w:szCs w:val="24"/>
        </w:rPr>
        <w:t>Exp</w:t>
      </w:r>
      <w:proofErr w:type="spellEnd"/>
      <w:r w:rsidRPr="00014BD3">
        <w:rPr>
          <w:rFonts w:ascii="Book Antiqua" w:hAnsi="Book Antiqua"/>
          <w:i/>
          <w:iCs/>
          <w:snapToGrid w:val="0"/>
          <w:sz w:val="24"/>
          <w:szCs w:val="24"/>
        </w:rPr>
        <w:t xml:space="preserve"> Med</w:t>
      </w:r>
      <w:bookmarkEnd w:id="19"/>
      <w:bookmarkEnd w:id="20"/>
      <w:r w:rsidRPr="00014BD3">
        <w:rPr>
          <w:rFonts w:ascii="Book Antiqua" w:hAnsi="Book Antiqua"/>
          <w:iCs/>
          <w:snapToGrid w:val="0"/>
          <w:sz w:val="24"/>
          <w:szCs w:val="24"/>
          <w:lang w:eastAsia="zh-CN"/>
        </w:rPr>
        <w:t xml:space="preserve"> 2015; </w:t>
      </w:r>
      <w:proofErr w:type="gramStart"/>
      <w:r w:rsidRPr="00014BD3">
        <w:rPr>
          <w:rFonts w:ascii="Book Antiqua" w:hAnsi="Book Antiqua"/>
          <w:iCs/>
          <w:snapToGrid w:val="0"/>
          <w:sz w:val="24"/>
          <w:szCs w:val="24"/>
          <w:lang w:eastAsia="zh-CN"/>
        </w:rPr>
        <w:t>In</w:t>
      </w:r>
      <w:proofErr w:type="gramEnd"/>
      <w:r w:rsidRPr="00014BD3">
        <w:rPr>
          <w:rFonts w:ascii="Book Antiqua" w:hAnsi="Book Antiqua"/>
          <w:iCs/>
          <w:snapToGrid w:val="0"/>
          <w:sz w:val="24"/>
          <w:szCs w:val="24"/>
          <w:lang w:eastAsia="zh-CN"/>
        </w:rPr>
        <w:t xml:space="preserve"> press</w:t>
      </w:r>
    </w:p>
    <w:p w:rsidR="004F1C5B" w:rsidRPr="00014BD3" w:rsidRDefault="0000730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</w:rPr>
        <w:br w:type="page"/>
      </w:r>
    </w:p>
    <w:p w:rsidR="00537C26" w:rsidRPr="00014BD3" w:rsidRDefault="0093171A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</w:rPr>
      </w:pPr>
      <w:r w:rsidRPr="00014BD3"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</w:rPr>
        <w:lastRenderedPageBreak/>
        <w:t>IN</w:t>
      </w:r>
      <w:r w:rsidR="00EA74E3" w:rsidRPr="00014BD3"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</w:rPr>
        <w:t>T</w:t>
      </w:r>
      <w:r w:rsidR="00316FB3" w:rsidRPr="00014BD3"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</w:rPr>
        <w:t>RODUCTION</w:t>
      </w:r>
      <w:r w:rsidRPr="00014BD3"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</w:rPr>
        <w:t xml:space="preserve"> </w:t>
      </w:r>
    </w:p>
    <w:p w:rsidR="0000730F" w:rsidRPr="00014BD3" w:rsidRDefault="00F36F89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R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ecent </w:t>
      </w:r>
      <w:r w:rsidR="000333D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investigation of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genomic and proteomic technologies have provided </w:t>
      </w:r>
      <w:r w:rsidR="00A612D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data for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pathological conditions </w:t>
      </w:r>
      <w:r w:rsidR="00EA74E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of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immune function. </w:t>
      </w:r>
      <w:r w:rsidR="00D24BA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Studies</w:t>
      </w:r>
      <w:r w:rsidR="00D135B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of human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body fluids </w:t>
      </w:r>
      <w:r w:rsidR="003C53E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have </w:t>
      </w:r>
      <w:r w:rsidR="003A56F6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confirm</w:t>
      </w:r>
      <w:r w:rsidR="00A612D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ed </w:t>
      </w:r>
      <w:proofErr w:type="gramStart"/>
      <w:r w:rsidR="00A612D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that antigens</w:t>
      </w:r>
      <w:proofErr w:type="gramEnd"/>
      <w:r w:rsidR="00A612D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,</w:t>
      </w:r>
      <w:r w:rsidR="00D24BA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A612D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their specific antibodies </w:t>
      </w:r>
      <w:r w:rsidR="003C53E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as well as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3C53E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inflammatory mediators</w:t>
      </w:r>
      <w:r w:rsidR="00D24BA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,</w:t>
      </w:r>
      <w:r w:rsidR="003C53E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to be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diagnostic markers </w:t>
      </w:r>
      <w:r w:rsidR="0074564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specific </w:t>
      </w:r>
      <w:r w:rsidR="003C53E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for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inflammatory, allergic and autoimmune diseases. </w:t>
      </w:r>
      <w:r w:rsidR="0074564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hese proteomic studies have diagn</w:t>
      </w:r>
      <w:r w:rsidR="0050309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ostic and therapeutic</w:t>
      </w:r>
      <w:r w:rsidR="00D24BA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proofErr w:type="gramStart"/>
      <w:r w:rsidR="00D24BA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benefits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1]</w:t>
      </w:r>
      <w:r w:rsidR="0050309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. </w:t>
      </w:r>
      <w:r w:rsidR="0088660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erum auto</w:t>
      </w:r>
      <w:r w:rsidR="0088660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antibodies and inflammatory </w:t>
      </w:r>
      <w:r w:rsidR="0088660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indicators are detectable </w:t>
      </w:r>
      <w:r w:rsidR="00BE651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even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before </w:t>
      </w:r>
      <w:r w:rsidR="00BE651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onset of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clinical </w:t>
      </w:r>
      <w:r w:rsidR="00BE651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symptoms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and </w:t>
      </w:r>
      <w:r w:rsidR="006F27D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also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during the course of systemic and organ-specific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dysimmunit</w:t>
      </w:r>
      <w:r w:rsidR="006F27D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y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. </w:t>
      </w:r>
      <w:r w:rsidR="004E672D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I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mmune </w:t>
      </w:r>
      <w:r w:rsidR="004E672D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serum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-derived </w:t>
      </w:r>
      <w:r w:rsidR="004E672D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markers become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predictive biomarkers of disease in healthy subjects</w:t>
      </w:r>
      <w:r w:rsidR="006F27D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4E672D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and m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arkers of disease activity and severity in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patients. </w:t>
      </w:r>
      <w:r w:rsidR="00230E49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N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ew multiplex diagnostic technologies </w:t>
      </w:r>
      <w:r w:rsidR="00230E49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being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introduced in laboratory </w:t>
      </w:r>
      <w:proofErr w:type="gramStart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medicine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2]</w:t>
      </w:r>
      <w:r w:rsidR="0050309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allow the simultaneous detection of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several different auto</w:t>
      </w:r>
      <w:r w:rsidR="006F27D1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antibodies and </w:t>
      </w:r>
      <w:r w:rsidR="006F27D1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biomarker </w:t>
      </w:r>
      <w:proofErr w:type="spellStart"/>
      <w:r w:rsidR="006F27D1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analytes</w:t>
      </w:r>
      <w:proofErr w:type="spellEnd"/>
      <w:r w:rsidR="006F27D1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for 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creening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purposes in high-risk groups. </w:t>
      </w:r>
      <w:r w:rsidR="006F27D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uto</w:t>
      </w:r>
      <w:r w:rsidR="006F27D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antibodies with demonstrated diagnostic and predictive roles in </w:t>
      </w:r>
      <w:r w:rsidR="006F27D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organ-specific systemic disease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are </w:t>
      </w:r>
      <w:proofErr w:type="gramStart"/>
      <w:r w:rsidR="007E0090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reviewed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3]</w:t>
      </w:r>
      <w:r w:rsidR="0050309B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. </w:t>
      </w:r>
      <w:r w:rsidR="007E0090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C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ohort studies have shown that patients may </w:t>
      </w:r>
      <w:r w:rsidR="007E009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have carried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auto</w:t>
      </w:r>
      <w:r w:rsidR="006F27D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antibodies </w:t>
      </w:r>
      <w:r w:rsidR="007E009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and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other markers of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dysimmunity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014BD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for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7E009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extended periods of time, not diagnosed until </w:t>
      </w:r>
      <w:r w:rsidR="006E47C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discovery of other </w:t>
      </w:r>
      <w:r w:rsidR="007E009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related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clinical symptoms</w:t>
      </w:r>
      <w:r w:rsidR="00F03DE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, as reported by </w:t>
      </w:r>
      <w:proofErr w:type="spellStart"/>
      <w:proofErr w:type="gramStart"/>
      <w:r w:rsidR="00F03DE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Bizarro</w:t>
      </w:r>
      <w:proofErr w:type="spell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4]</w:t>
      </w:r>
      <w:r w:rsidR="00F03DE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.  S</w:t>
      </w:r>
      <w:r w:rsidR="00AD0978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erum a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uto</w:t>
      </w:r>
      <w:r w:rsidR="001C355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antibody</w:t>
      </w:r>
      <w:r w:rsidR="00AD0978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1C355E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assays </w:t>
      </w:r>
      <w:r w:rsidR="00F03DE1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have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clinical utility</w:t>
      </w:r>
      <w:r w:rsidR="002D5E2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in autoimmune diseases, </w:t>
      </w:r>
      <w:r w:rsidR="002D5E2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including Addison’s disease, celiac disease, Crohn’s disease,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biliary cirrhosis,</w:t>
      </w:r>
      <w:r w:rsidR="002D5E2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Hashimoto's thyroiditis and </w:t>
      </w:r>
      <w:r w:rsidR="00F03DE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type-1 diabetes.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Dysimmunity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is genetically and immunologically complex</w:t>
      </w:r>
      <w:r w:rsidR="00C50C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.</w:t>
      </w:r>
      <w:r w:rsidR="00764CA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Early diagnostic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biomarker discovery is becoming increasingly more important for early diagnosis and </w:t>
      </w:r>
      <w:r w:rsidR="00764CA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early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</w:t>
      </w:r>
      <w:r w:rsidR="00764CA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reatment in these diseases. P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roteomic analysis of body fluids </w:t>
      </w:r>
      <w:r w:rsidR="00764CA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provides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764CA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non-invasive </w:t>
      </w:r>
      <w:r w:rsidR="00764CA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methodology</w:t>
      </w:r>
      <w:r w:rsidR="00B1292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for early diagnosis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in many different disease settings. Proteomics-based approaches have made steady </w:t>
      </w:r>
      <w:r w:rsidR="00BC6135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progress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into biomarker discovery and understanding </w:t>
      </w:r>
      <w:r w:rsidR="00764529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of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autoimmune,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allergic and cancerous </w:t>
      </w:r>
      <w:proofErr w:type="gramStart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diseases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5]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. </w:t>
      </w:r>
      <w:r w:rsidR="00D510D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raditional 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diagnosis,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 xml:space="preserve"> </w:t>
      </w:r>
      <w:r w:rsidR="00D510D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diagnostic proteomic methods</w:t>
      </w:r>
      <w:r w:rsidR="003F7356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including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targeted antibody-based protein arrays, which have been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particularly informative in the field of autoimmunity, are compared by Wu and </w:t>
      </w:r>
      <w:proofErr w:type="gramStart"/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Mohan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6]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. </w:t>
      </w:r>
    </w:p>
    <w:p w:rsidR="0064692C" w:rsidRPr="00014BD3" w:rsidRDefault="000F5592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sz w:val="24"/>
          <w:szCs w:val="24"/>
        </w:rPr>
        <w:t>Auto</w:t>
      </w:r>
      <w:r w:rsidR="00872F4C" w:rsidRPr="00014BD3">
        <w:rPr>
          <w:rFonts w:ascii="Book Antiqua" w:hAnsi="Book Antiqua" w:cs="Times New Roman"/>
          <w:snapToGrid w:val="0"/>
          <w:sz w:val="24"/>
          <w:szCs w:val="24"/>
        </w:rPr>
        <w:t>-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antibodies are </w:t>
      </w:r>
      <w:r w:rsidR="00872F4C" w:rsidRPr="00014BD3">
        <w:rPr>
          <w:rFonts w:ascii="Book Antiqua" w:hAnsi="Book Antiqua" w:cs="Times New Roman"/>
          <w:snapToGrid w:val="0"/>
          <w:sz w:val="24"/>
          <w:szCs w:val="24"/>
        </w:rPr>
        <w:t xml:space="preserve">specific markers 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of </w:t>
      </w:r>
      <w:r w:rsidR="00872F4C" w:rsidRPr="00014BD3">
        <w:rPr>
          <w:rFonts w:ascii="Book Antiqua" w:hAnsi="Book Antiqua" w:cs="Times New Roman"/>
          <w:snapToGrid w:val="0"/>
          <w:sz w:val="24"/>
          <w:szCs w:val="24"/>
        </w:rPr>
        <w:t>autoimmune disease</w:t>
      </w:r>
      <w:r w:rsidR="003A375F" w:rsidRPr="00014BD3">
        <w:rPr>
          <w:rFonts w:ascii="Book Antiqua" w:hAnsi="Book Antiqua" w:cs="Times New Roman"/>
          <w:snapToGrid w:val="0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and humoral autoimmunity. </w:t>
      </w:r>
      <w:r w:rsidR="003A375F" w:rsidRPr="00014BD3">
        <w:rPr>
          <w:rFonts w:ascii="Book Antiqua" w:hAnsi="Book Antiqua" w:cs="Times New Roman"/>
          <w:snapToGrid w:val="0"/>
          <w:sz w:val="24"/>
          <w:szCs w:val="24"/>
        </w:rPr>
        <w:t>Fluctuations</w:t>
      </w:r>
      <w:r w:rsidR="0052090C" w:rsidRPr="00014BD3">
        <w:rPr>
          <w:rFonts w:ascii="Book Antiqua" w:hAnsi="Book Antiqua" w:cs="Times New Roman"/>
          <w:snapToGrid w:val="0"/>
          <w:sz w:val="24"/>
          <w:szCs w:val="24"/>
        </w:rPr>
        <w:t xml:space="preserve"> in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 acute phase reactants, complement, cytokines,</w:t>
      </w:r>
      <w:r w:rsidR="0052090C" w:rsidRPr="00014BD3">
        <w:rPr>
          <w:rFonts w:ascii="Book Antiqua" w:hAnsi="Book Antiqua" w:cs="Times New Roman"/>
          <w:snapToGrid w:val="0"/>
          <w:sz w:val="24"/>
          <w:szCs w:val="24"/>
        </w:rPr>
        <w:t xml:space="preserve"> </w:t>
      </w:r>
      <w:r w:rsidR="0052090C" w:rsidRPr="00014BD3">
        <w:rPr>
          <w:rFonts w:ascii="Book Antiqua" w:hAnsi="Book Antiqua" w:cs="Times New Roman"/>
          <w:snapToGrid w:val="0"/>
          <w:sz w:val="24"/>
          <w:szCs w:val="24"/>
        </w:rPr>
        <w:lastRenderedPageBreak/>
        <w:t>chemokines and growth factors suggest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 systemic and cell-mediated </w:t>
      </w:r>
      <w:proofErr w:type="spellStart"/>
      <w:r w:rsidRPr="00014BD3">
        <w:rPr>
          <w:rFonts w:ascii="Book Antiqua" w:hAnsi="Book Antiqua" w:cs="Times New Roman"/>
          <w:snapToGrid w:val="0"/>
          <w:sz w:val="24"/>
          <w:szCs w:val="24"/>
        </w:rPr>
        <w:t>dysimmunity</w:t>
      </w:r>
      <w:proofErr w:type="spellEnd"/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. </w:t>
      </w:r>
      <w:r w:rsidR="007C7350" w:rsidRPr="00014BD3">
        <w:rPr>
          <w:rFonts w:ascii="Book Antiqua" w:hAnsi="Book Antiqua" w:cs="Times New Roman"/>
          <w:snapToGrid w:val="0"/>
          <w:sz w:val="24"/>
          <w:szCs w:val="24"/>
        </w:rPr>
        <w:t>C</w:t>
      </w:r>
      <w:r w:rsidR="00764529" w:rsidRPr="00014BD3">
        <w:rPr>
          <w:rFonts w:ascii="Book Antiqua" w:hAnsi="Book Antiqua" w:cs="Times New Roman"/>
          <w:snapToGrid w:val="0"/>
          <w:sz w:val="24"/>
          <w:szCs w:val="24"/>
        </w:rPr>
        <w:t>linical</w:t>
      </w:r>
      <w:r w:rsidR="007C7350" w:rsidRPr="00014BD3">
        <w:rPr>
          <w:rFonts w:ascii="Book Antiqua" w:hAnsi="Book Antiqua" w:cs="Times New Roman"/>
          <w:snapToGrid w:val="0"/>
          <w:sz w:val="24"/>
          <w:szCs w:val="24"/>
        </w:rPr>
        <w:t xml:space="preserve"> understanding of 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autoimmune and allergic </w:t>
      </w:r>
      <w:r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>diseases includes analys</w:t>
      </w:r>
      <w:r w:rsidR="007C7350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 xml:space="preserve">is </w:t>
      </w:r>
      <w:r w:rsidR="003E77D4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 xml:space="preserve">of </w:t>
      </w:r>
      <w:r w:rsidR="007C7350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 xml:space="preserve">auto and </w:t>
      </w:r>
      <w:proofErr w:type="spellStart"/>
      <w:r w:rsidR="007C7350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>allo</w:t>
      </w:r>
      <w:proofErr w:type="spellEnd"/>
      <w:r w:rsidR="007C7350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 xml:space="preserve">-antibody </w:t>
      </w:r>
      <w:r w:rsidR="0052090C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>class IgG, IgM, IgA and</w:t>
      </w:r>
      <w:r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 xml:space="preserve"> </w:t>
      </w:r>
      <w:proofErr w:type="spellStart"/>
      <w:r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>IgE</w:t>
      </w:r>
      <w:proofErr w:type="spellEnd"/>
      <w:r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 xml:space="preserve"> </w:t>
      </w:r>
      <w:r w:rsidR="00401A84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>im</w:t>
      </w:r>
      <w:r w:rsidR="007A2A29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>muno</w:t>
      </w:r>
      <w:r w:rsidR="00401A84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>-</w:t>
      </w:r>
      <w:r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 xml:space="preserve">globulins. </w:t>
      </w:r>
      <w:r w:rsidR="003C04F7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>M</w:t>
      </w:r>
      <w:r w:rsidR="00401A84" w:rsidRPr="00014BD3">
        <w:rPr>
          <w:rFonts w:ascii="Book Antiqua" w:hAnsi="Book Antiqua" w:cs="Times New Roman"/>
          <w:snapToGrid w:val="0"/>
          <w:sz w:val="24"/>
          <w:szCs w:val="24"/>
        </w:rPr>
        <w:t>ultiplex</w:t>
      </w:r>
      <w:r w:rsidR="003C04F7" w:rsidRPr="00014BD3">
        <w:rPr>
          <w:rFonts w:ascii="Book Antiqua" w:hAnsi="Book Antiqua" w:cs="Times New Roman"/>
          <w:snapToGrid w:val="0"/>
          <w:sz w:val="24"/>
          <w:szCs w:val="24"/>
        </w:rPr>
        <w:t xml:space="preserve">, simultaneous 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>identifi</w:t>
      </w:r>
      <w:r w:rsidR="003C04F7" w:rsidRPr="00014BD3">
        <w:rPr>
          <w:rFonts w:ascii="Book Antiqua" w:hAnsi="Book Antiqua" w:cs="Times New Roman"/>
          <w:snapToGrid w:val="0"/>
          <w:sz w:val="24"/>
          <w:szCs w:val="24"/>
        </w:rPr>
        <w:t xml:space="preserve">cation 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>measure</w:t>
      </w:r>
      <w:r w:rsidR="003C04F7" w:rsidRPr="00014BD3">
        <w:rPr>
          <w:rFonts w:ascii="Book Antiqua" w:hAnsi="Book Antiqua" w:cs="Times New Roman"/>
          <w:snapToGrid w:val="0"/>
          <w:sz w:val="24"/>
          <w:szCs w:val="24"/>
        </w:rPr>
        <w:t>s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 different auto</w:t>
      </w:r>
      <w:r w:rsidR="00401A84" w:rsidRPr="00014BD3">
        <w:rPr>
          <w:rFonts w:ascii="Book Antiqua" w:hAnsi="Book Antiqua" w:cs="Times New Roman"/>
          <w:snapToGrid w:val="0"/>
          <w:sz w:val="24"/>
          <w:szCs w:val="24"/>
        </w:rPr>
        <w:t>-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antibodies in sera of patients suffering from autoimmune diseases. </w:t>
      </w:r>
    </w:p>
    <w:p w:rsidR="00A35369" w:rsidRPr="00014BD3" w:rsidRDefault="0064692C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snapToGrid w:val="0"/>
          <w:w w:val="107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sz w:val="24"/>
          <w:szCs w:val="24"/>
        </w:rPr>
        <w:t>The simultaneous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measure </w:t>
      </w:r>
      <w:r w:rsidRPr="00014BD3">
        <w:rPr>
          <w:rFonts w:ascii="Book Antiqua" w:hAnsi="Book Antiqua" w:cs="Times New Roman"/>
          <w:snapToGrid w:val="0"/>
          <w:sz w:val="24"/>
          <w:szCs w:val="24"/>
        </w:rPr>
        <w:t xml:space="preserve">of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correlat</w:t>
      </w:r>
      <w:r w:rsidR="00DF72B9" w:rsidRPr="00014BD3">
        <w:rPr>
          <w:rFonts w:ascii="Book Antiqua" w:hAnsi="Book Antiqua" w:cs="Times New Roman"/>
          <w:snapToGrid w:val="0"/>
          <w:sz w:val="24"/>
          <w:szCs w:val="24"/>
        </w:rPr>
        <w:t xml:space="preserve">ing </w:t>
      </w:r>
      <w:proofErr w:type="spellStart"/>
      <w:r w:rsidR="00DF72B9" w:rsidRPr="00014BD3">
        <w:rPr>
          <w:rFonts w:ascii="Book Antiqua" w:hAnsi="Book Antiqua" w:cs="Times New Roman"/>
          <w:snapToGrid w:val="0"/>
          <w:sz w:val="24"/>
          <w:szCs w:val="24"/>
        </w:rPr>
        <w:t>analytes</w:t>
      </w:r>
      <w:proofErr w:type="spellEnd"/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</w:t>
      </w:r>
      <w:r w:rsidR="00DF72B9" w:rsidRPr="00014BD3">
        <w:rPr>
          <w:rFonts w:ascii="Book Antiqua" w:hAnsi="Book Antiqua" w:cs="Times New Roman"/>
          <w:snapToGrid w:val="0"/>
          <w:sz w:val="24"/>
          <w:szCs w:val="24"/>
        </w:rPr>
        <w:t xml:space="preserve">in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reduc</w:t>
      </w:r>
      <w:r w:rsidR="00DF72B9" w:rsidRPr="00014BD3">
        <w:rPr>
          <w:rFonts w:ascii="Book Antiqua" w:hAnsi="Book Antiqua" w:cs="Times New Roman"/>
          <w:snapToGrid w:val="0"/>
          <w:sz w:val="24"/>
          <w:szCs w:val="24"/>
        </w:rPr>
        <w:t>ed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</w:t>
      </w:r>
      <w:r w:rsidR="00401A84" w:rsidRPr="00014BD3">
        <w:rPr>
          <w:rFonts w:ascii="Book Antiqua" w:hAnsi="Book Antiqua" w:cs="Times New Roman"/>
          <w:snapToGrid w:val="0"/>
          <w:sz w:val="24"/>
          <w:szCs w:val="24"/>
        </w:rPr>
        <w:t xml:space="preserve">test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volumes of</w:t>
      </w:r>
      <w:r w:rsidR="00DF72B9" w:rsidRPr="00014BD3">
        <w:rPr>
          <w:rFonts w:ascii="Book Antiqua" w:hAnsi="Book Antiqua" w:cs="Times New Roman"/>
          <w:snapToGrid w:val="0"/>
          <w:sz w:val="24"/>
          <w:szCs w:val="24"/>
        </w:rPr>
        <w:t xml:space="preserve"> patient’s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samples</w:t>
      </w:r>
      <w:r w:rsidR="00764529" w:rsidRPr="00014BD3">
        <w:rPr>
          <w:rFonts w:ascii="Book Antiqua" w:hAnsi="Book Antiqua" w:cs="Times New Roman"/>
          <w:snapToGrid w:val="0"/>
          <w:sz w:val="24"/>
          <w:szCs w:val="24"/>
        </w:rPr>
        <w:t xml:space="preserve"> and</w:t>
      </w:r>
      <w:r w:rsidR="00DF72B9" w:rsidRPr="00014BD3">
        <w:rPr>
          <w:rFonts w:ascii="Book Antiqua" w:hAnsi="Book Antiqua" w:cs="Times New Roman"/>
          <w:snapToGrid w:val="0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test reagents, </w:t>
      </w:r>
      <w:r w:rsidR="00DF72B9" w:rsidRPr="00014BD3">
        <w:rPr>
          <w:rFonts w:ascii="Book Antiqua" w:hAnsi="Book Antiqua" w:cs="Times New Roman"/>
          <w:snapToGrid w:val="0"/>
          <w:sz w:val="24"/>
          <w:szCs w:val="24"/>
        </w:rPr>
        <w:t xml:space="preserve">plus </w:t>
      </w:r>
      <w:r w:rsidR="00401A84" w:rsidRPr="00014BD3">
        <w:rPr>
          <w:rFonts w:ascii="Book Antiqua" w:hAnsi="Book Antiqua" w:cs="Times New Roman"/>
          <w:snapToGrid w:val="0"/>
          <w:sz w:val="24"/>
          <w:szCs w:val="24"/>
        </w:rPr>
        <w:t xml:space="preserve">faster diagnosis,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>lower</w:t>
      </w:r>
      <w:r w:rsidR="00764529" w:rsidRPr="00014BD3">
        <w:rPr>
          <w:rFonts w:ascii="Book Antiqua" w:hAnsi="Book Antiqua" w:cs="Times New Roman"/>
          <w:snapToGrid w:val="0"/>
          <w:sz w:val="24"/>
          <w:szCs w:val="24"/>
        </w:rPr>
        <w:t>s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 assay costs and </w:t>
      </w:r>
      <w:r w:rsidR="00764529" w:rsidRPr="00014BD3">
        <w:rPr>
          <w:rFonts w:ascii="Book Antiqua" w:hAnsi="Book Antiqua" w:cs="Times New Roman"/>
          <w:snapToGrid w:val="0"/>
          <w:sz w:val="24"/>
          <w:szCs w:val="24"/>
        </w:rPr>
        <w:t xml:space="preserve">provides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more </w:t>
      </w:r>
      <w:r w:rsidR="007E5C0B" w:rsidRPr="00014BD3">
        <w:rPr>
          <w:rFonts w:ascii="Book Antiqua" w:hAnsi="Book Antiqua" w:cs="Times New Roman"/>
          <w:snapToGrid w:val="0"/>
          <w:sz w:val="24"/>
          <w:szCs w:val="24"/>
        </w:rPr>
        <w:t>diagnostic results in</w:t>
      </w:r>
      <w:r w:rsidR="00401A84" w:rsidRPr="00014BD3">
        <w:rPr>
          <w:rFonts w:ascii="Book Antiqua" w:hAnsi="Book Antiqua" w:cs="Times New Roman"/>
          <w:snapToGrid w:val="0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sz w:val="24"/>
          <w:szCs w:val="24"/>
        </w:rPr>
        <w:t xml:space="preserve">comprehensive </w:t>
      </w:r>
      <w:r w:rsidR="000F5592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 xml:space="preserve">serological profiles. Improved quantitative data </w:t>
      </w:r>
      <w:r w:rsidR="00401A84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 xml:space="preserve">is </w:t>
      </w:r>
      <w:r w:rsidR="000F5592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 xml:space="preserve">obtained by high-throughput techniques such as planar multiplex microarrays for antibody and </w:t>
      </w:r>
      <w:proofErr w:type="spellStart"/>
      <w:r w:rsidR="000F5592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>analyte</w:t>
      </w:r>
      <w:proofErr w:type="spellEnd"/>
      <w:r w:rsidR="000F5592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 xml:space="preserve"> </w:t>
      </w:r>
      <w:r w:rsidR="00A35369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 xml:space="preserve">diagnostic </w:t>
      </w:r>
      <w:proofErr w:type="gramStart"/>
      <w:r w:rsidR="000F5592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>profiling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7]</w:t>
      </w:r>
      <w:r w:rsidR="000F5592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 xml:space="preserve">. </w:t>
      </w:r>
      <w:r w:rsidR="00401A84" w:rsidRPr="00014BD3">
        <w:rPr>
          <w:rFonts w:ascii="Book Antiqua" w:hAnsi="Book Antiqua" w:cs="Times New Roman"/>
          <w:snapToGrid w:val="0"/>
          <w:spacing w:val="1"/>
          <w:sz w:val="24"/>
          <w:szCs w:val="24"/>
        </w:rPr>
        <w:t>R</w:t>
      </w:r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ecently collected data demonstrate </w:t>
      </w:r>
      <w:r w:rsidR="00401A84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more accurate </w:t>
      </w:r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analytical sensitivity and reproducibility</w:t>
      </w:r>
      <w:r w:rsidR="00401A84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. </w:t>
      </w:r>
      <w:r w:rsidR="0000730F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Aspects of multiplex assay</w:t>
      </w:r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</w:t>
      </w:r>
      <w:r w:rsidR="00EF226A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sensitivity,</w:t>
      </w:r>
      <w:r w:rsidR="00764529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</w:t>
      </w:r>
      <w:r w:rsidR="00EF226A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specifi</w:t>
      </w:r>
      <w:r w:rsidR="0000730F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city, co-efficient of variation</w:t>
      </w:r>
      <w:r w:rsidR="00EF226A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and </w:t>
      </w:r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data interpretation </w:t>
      </w:r>
      <w:r w:rsidR="00EF226A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are b</w:t>
      </w:r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e</w:t>
      </w:r>
      <w:r w:rsidR="00A35369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coming </w:t>
      </w:r>
      <w:r w:rsidR="00EF226A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standard</w:t>
      </w:r>
      <w:r w:rsidR="00A35369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s of t</w:t>
      </w:r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hese new and promising clinical </w:t>
      </w:r>
      <w:proofErr w:type="gramStart"/>
      <w:r w:rsidR="009F274A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applications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8]</w:t>
      </w:r>
      <w:r w:rsidR="000F5592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. </w:t>
      </w:r>
    </w:p>
    <w:p w:rsidR="00BE335B" w:rsidRPr="00014BD3" w:rsidRDefault="000F5592" w:rsidP="00063A1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514"/>
        <w:jc w:val="both"/>
        <w:rPr>
          <w:rFonts w:ascii="Book Antiqua" w:hAnsi="Book Antiqua" w:cs="Times New Roman"/>
          <w:snapToGrid w:val="0"/>
          <w:w w:val="106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Gibson</w:t>
      </w:r>
      <w:r w:rsidR="0000730F" w:rsidRPr="00014BD3">
        <w:rPr>
          <w:rFonts w:ascii="Book Antiqua" w:hAnsi="Book Antiqua" w:cs="Times New Roman"/>
          <w:i/>
          <w:snapToGrid w:val="0"/>
          <w:w w:val="107"/>
          <w:sz w:val="24"/>
          <w:szCs w:val="24"/>
          <w:lang w:eastAsia="zh-CN"/>
        </w:rPr>
        <w:t xml:space="preserve"> </w:t>
      </w:r>
      <w:r w:rsidR="00781094" w:rsidRPr="00014BD3">
        <w:rPr>
          <w:rFonts w:ascii="Book Antiqua" w:hAnsi="Book Antiqua" w:cs="Times New Roman"/>
          <w:i/>
          <w:snapToGrid w:val="0"/>
          <w:w w:val="107"/>
          <w:sz w:val="24"/>
          <w:szCs w:val="24"/>
        </w:rPr>
        <w:t xml:space="preserve">et </w:t>
      </w:r>
      <w:proofErr w:type="gramStart"/>
      <w:r w:rsidR="00781094" w:rsidRPr="00014BD3">
        <w:rPr>
          <w:rFonts w:ascii="Book Antiqua" w:hAnsi="Book Antiqua" w:cs="Times New Roman"/>
          <w:i/>
          <w:snapToGrid w:val="0"/>
          <w:w w:val="107"/>
          <w:sz w:val="24"/>
          <w:szCs w:val="24"/>
        </w:rPr>
        <w:t>al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9]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</w:t>
      </w:r>
      <w:r w:rsidR="00EE76FE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present results to demonstrate 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that </w:t>
      </w:r>
      <w:r w:rsidR="00F7261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discrete, individual,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clinical, laboratory or radiological parameters</w:t>
      </w:r>
      <w:r w:rsidR="00C139E9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</w:t>
      </w:r>
      <w:r w:rsidR="005B611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are limited to 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accurately diagnose or predict</w:t>
      </w:r>
      <w:r w:rsidR="00F7261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disease outcomes. Biomarker p</w:t>
      </w:r>
      <w:r w:rsidR="005B611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rotocol p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anels which diagnose at an earlier time point, </w:t>
      </w:r>
      <w:r w:rsidR="00F7261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indicate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</w:t>
      </w:r>
      <w:r w:rsidR="005B611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early diagnosis </w:t>
      </w:r>
      <w:r w:rsidR="00F7261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to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guide therap</w:t>
      </w:r>
      <w:r w:rsidR="005B611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eutic</w:t>
      </w:r>
      <w:r w:rsidR="00F7261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strategies </w:t>
      </w:r>
      <w:r w:rsidR="00F7261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for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</w:t>
      </w:r>
      <w:proofErr w:type="spellStart"/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dysimmune</w:t>
      </w:r>
      <w:proofErr w:type="spellEnd"/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conditions </w:t>
      </w:r>
      <w:r w:rsidR="00884C4A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towards</w:t>
      </w:r>
      <w:r w:rsidR="00E350FB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</w:t>
      </w:r>
      <w:r w:rsidR="005B611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more effective 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clinical management</w:t>
      </w:r>
      <w:r w:rsidR="001B7C9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.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</w:t>
      </w:r>
      <w:r w:rsidR="00781094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T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here is a growing need for deeper understanding of multi-factorial immune disorders.</w:t>
      </w:r>
      <w:r w:rsidR="00781094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Proteomic platforms offering a multiplex approach are more likely to reflect the complexity of </w:t>
      </w:r>
      <w:proofErr w:type="spellStart"/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dysimmune</w:t>
      </w:r>
      <w:proofErr w:type="spellEnd"/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disease processes. </w:t>
      </w:r>
      <w:proofErr w:type="spellStart"/>
      <w:r w:rsidR="00A54AAD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D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iagnomic</w:t>
      </w:r>
      <w:proofErr w:type="spellEnd"/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approaches aid in early detection and are beneficial in </w:t>
      </w:r>
      <w:r w:rsidR="00A54AAD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guiding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immune disorder treatment towards </w:t>
      </w:r>
      <w:r w:rsidR="001B7C9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earlier 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disease prevention. </w:t>
      </w:r>
      <w:r w:rsidR="00A54AAD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I</w:t>
      </w:r>
      <w:r w:rsidR="005577DC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ntegrated panels 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facilitat</w:t>
      </w:r>
      <w:r w:rsidR="005577DC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e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these aims by offering comprehensive </w:t>
      </w:r>
      <w:proofErr w:type="spellStart"/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etio</w:t>
      </w:r>
      <w:proofErr w:type="spellEnd"/>
      <w:r w:rsidR="00781094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-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pathogenesis test panels to screen asymptomatic and diagno</w:t>
      </w:r>
      <w:r w:rsidR="00C674CC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stic</w:t>
      </w:r>
      <w:r w:rsidR="001B7C9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symptomatic subjects</w:t>
      </w:r>
      <w:r w:rsidR="00C674CC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,</w:t>
      </w:r>
      <w:r w:rsidR="001B7C9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for a multitude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of autoimmune, </w:t>
      </w:r>
      <w:proofErr w:type="spellStart"/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dysimmune</w:t>
      </w:r>
      <w:proofErr w:type="spellEnd"/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and allergic conditions early in their disease course </w:t>
      </w:r>
      <w:r w:rsidR="001B7C90"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>to</w:t>
      </w:r>
      <w:r w:rsidRPr="00014BD3">
        <w:rPr>
          <w:rFonts w:ascii="Book Antiqua" w:hAnsi="Book Antiqua" w:cs="Times New Roman"/>
          <w:snapToGrid w:val="0"/>
          <w:w w:val="107"/>
          <w:sz w:val="24"/>
          <w:szCs w:val="24"/>
        </w:rPr>
        <w:t xml:space="preserve"> monitor disease activity </w:t>
      </w:r>
      <w:r w:rsidRPr="00014BD3">
        <w:rPr>
          <w:rFonts w:ascii="Book Antiqua" w:hAnsi="Book Antiqua" w:cs="Times New Roman"/>
          <w:snapToGrid w:val="0"/>
          <w:w w:val="106"/>
          <w:sz w:val="24"/>
          <w:szCs w:val="24"/>
        </w:rPr>
        <w:t>and severity for more effective treatment.</w:t>
      </w:r>
    </w:p>
    <w:p w:rsidR="00A54AAD" w:rsidRPr="00014BD3" w:rsidRDefault="00A54AAD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  <w:lang w:eastAsia="zh-CN"/>
        </w:rPr>
      </w:pPr>
    </w:p>
    <w:p w:rsidR="00BE335B" w:rsidRPr="00014BD3" w:rsidRDefault="004C651D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napToGrid w:val="0"/>
          <w:color w:val="000000"/>
          <w:spacing w:val="1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BE335B" w:rsidRPr="00014BD3">
        <w:rPr>
          <w:rFonts w:ascii="Book Antiqua" w:hAnsi="Book Antiqua" w:cs="Times New Roman"/>
          <w:b/>
          <w:snapToGrid w:val="0"/>
          <w:color w:val="000000"/>
          <w:spacing w:val="1"/>
          <w:sz w:val="24"/>
          <w:szCs w:val="24"/>
        </w:rPr>
        <w:t>A</w:t>
      </w:r>
      <w:r w:rsidR="002A67D2" w:rsidRPr="00014BD3">
        <w:rPr>
          <w:rFonts w:ascii="Book Antiqua" w:hAnsi="Book Antiqua" w:cs="Times New Roman"/>
          <w:b/>
          <w:snapToGrid w:val="0"/>
          <w:color w:val="000000"/>
          <w:spacing w:val="1"/>
          <w:sz w:val="24"/>
          <w:szCs w:val="24"/>
        </w:rPr>
        <w:t>N</w:t>
      </w:r>
      <w:r w:rsidR="00BE335B" w:rsidRPr="00014BD3">
        <w:rPr>
          <w:rFonts w:ascii="Book Antiqua" w:hAnsi="Book Antiqua" w:cs="Times New Roman"/>
          <w:b/>
          <w:snapToGrid w:val="0"/>
          <w:color w:val="000000"/>
          <w:spacing w:val="1"/>
          <w:sz w:val="24"/>
          <w:szCs w:val="24"/>
        </w:rPr>
        <w:t xml:space="preserve">ALYTICAL ATTRIBUTES </w:t>
      </w:r>
    </w:p>
    <w:p w:rsidR="0000730F" w:rsidRPr="00014BD3" w:rsidRDefault="000F5592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color w:val="000000"/>
          <w:w w:val="117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lastRenderedPageBreak/>
        <w:t xml:space="preserve">Autoimmune diseases include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twelve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A45EC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currently recognized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systemic,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sixteen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systemic vasculitis,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eight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idiopathic inflammatory myopathies,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four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immune-mediated systemic,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thirteen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endocrine and reproductive,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five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hepatobilliary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and pancreatic,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four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gastrointestinal,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four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cutaneous,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six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cardiovascular and pulmonary,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eleven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neurological,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four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occular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,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five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renal and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eleven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hematologic autoimmune diseases to be active in serious illnesses </w:t>
      </w:r>
      <w:r w:rsidR="009043F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found in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almost every human organ system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[10]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. The increasing incidence of autoimmune patholo</w:t>
      </w:r>
      <w:r w:rsidR="00C2240D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gies, e.g. rheumatoid arthritis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in aging populations, is reported in the scientific literature </w:t>
      </w:r>
      <w:r w:rsidR="0058196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by </w:t>
      </w:r>
      <w:r w:rsidR="001A653C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Lea</w:t>
      </w:r>
      <w:r w:rsidR="0058196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C674CC" w:rsidRPr="00014BD3">
        <w:rPr>
          <w:rFonts w:ascii="Book Antiqua" w:hAnsi="Book Antiqua" w:cs="Times New Roman"/>
          <w:i/>
          <w:snapToGrid w:val="0"/>
          <w:color w:val="000000"/>
          <w:spacing w:val="1"/>
          <w:sz w:val="24"/>
          <w:szCs w:val="24"/>
        </w:rPr>
        <w:t xml:space="preserve">et </w:t>
      </w:r>
      <w:proofErr w:type="gramStart"/>
      <w:r w:rsidR="00C674CC" w:rsidRPr="00014BD3">
        <w:rPr>
          <w:rFonts w:ascii="Book Antiqua" w:hAnsi="Book Antiqua" w:cs="Times New Roman"/>
          <w:i/>
          <w:snapToGrid w:val="0"/>
          <w:color w:val="000000"/>
          <w:spacing w:val="1"/>
          <w:sz w:val="24"/>
          <w:szCs w:val="24"/>
        </w:rPr>
        <w:t>al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2]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. </w:t>
      </w:r>
      <w:r w:rsidRPr="00014BD3">
        <w:rPr>
          <w:rFonts w:ascii="Book Antiqua" w:hAnsi="Book Antiqua" w:cs="Times New Roman"/>
          <w:snapToGrid w:val="0"/>
          <w:color w:val="000000"/>
          <w:w w:val="105"/>
          <w:sz w:val="24"/>
          <w:szCs w:val="24"/>
        </w:rPr>
        <w:t>Allergi</w:t>
      </w:r>
      <w:r w:rsidR="00C2240D" w:rsidRPr="00014BD3">
        <w:rPr>
          <w:rFonts w:ascii="Book Antiqua" w:hAnsi="Book Antiqua" w:cs="Times New Roman"/>
          <w:snapToGrid w:val="0"/>
          <w:color w:val="000000"/>
          <w:w w:val="105"/>
          <w:sz w:val="24"/>
          <w:szCs w:val="24"/>
        </w:rPr>
        <w:t>es</w:t>
      </w:r>
      <w:r w:rsidRPr="00014BD3">
        <w:rPr>
          <w:rFonts w:ascii="Book Antiqua" w:hAnsi="Book Antiqua" w:cs="Times New Roman"/>
          <w:snapToGrid w:val="0"/>
          <w:color w:val="000000"/>
          <w:w w:val="105"/>
          <w:sz w:val="24"/>
          <w:szCs w:val="24"/>
        </w:rPr>
        <w:t xml:space="preserve"> are </w:t>
      </w:r>
      <w:r w:rsidR="0058196F" w:rsidRPr="00014BD3">
        <w:rPr>
          <w:rFonts w:ascii="Book Antiqua" w:hAnsi="Book Antiqua" w:cs="Times New Roman"/>
          <w:snapToGrid w:val="0"/>
          <w:color w:val="000000"/>
          <w:w w:val="117"/>
          <w:sz w:val="24"/>
          <w:szCs w:val="24"/>
        </w:rPr>
        <w:t>increasing in prevalence</w:t>
      </w:r>
      <w:r w:rsidR="00C2240D" w:rsidRPr="00014BD3">
        <w:rPr>
          <w:rFonts w:ascii="Book Antiqua" w:hAnsi="Book Antiqua" w:cs="Times New Roman"/>
          <w:snapToGrid w:val="0"/>
          <w:color w:val="000000"/>
          <w:w w:val="117"/>
          <w:sz w:val="24"/>
          <w:szCs w:val="24"/>
        </w:rPr>
        <w:t>,</w:t>
      </w:r>
      <w:r w:rsidR="0058196F" w:rsidRPr="00014BD3">
        <w:rPr>
          <w:rFonts w:ascii="Book Antiqua" w:hAnsi="Book Antiqua" w:cs="Times New Roman"/>
          <w:snapToGrid w:val="0"/>
          <w:color w:val="000000"/>
          <w:w w:val="117"/>
          <w:sz w:val="24"/>
          <w:szCs w:val="24"/>
        </w:rPr>
        <w:t xml:space="preserve"> </w:t>
      </w:r>
      <w:r w:rsidR="00C2240D" w:rsidRPr="00014BD3">
        <w:rPr>
          <w:rFonts w:ascii="Book Antiqua" w:hAnsi="Book Antiqua" w:cs="Times New Roman"/>
          <w:snapToGrid w:val="0"/>
          <w:color w:val="000000"/>
          <w:w w:val="117"/>
          <w:sz w:val="24"/>
          <w:szCs w:val="24"/>
        </w:rPr>
        <w:t>impacting</w:t>
      </w:r>
      <w:r w:rsidRPr="00014BD3">
        <w:rPr>
          <w:rFonts w:ascii="Book Antiqua" w:hAnsi="Book Antiqua" w:cs="Times New Roman"/>
          <w:snapToGrid w:val="0"/>
          <w:color w:val="000000"/>
          <w:w w:val="117"/>
          <w:sz w:val="24"/>
          <w:szCs w:val="24"/>
        </w:rPr>
        <w:t xml:space="preserve"> the burden of health care costs. </w:t>
      </w:r>
      <w:r w:rsidRPr="00014BD3">
        <w:rPr>
          <w:rFonts w:ascii="Book Antiqua" w:hAnsi="Book Antiqua" w:cs="Times New Roman"/>
          <w:snapToGrid w:val="0"/>
          <w:color w:val="000000"/>
          <w:w w:val="118"/>
          <w:sz w:val="24"/>
          <w:szCs w:val="24"/>
        </w:rPr>
        <w:t>Allergic rhinitis</w:t>
      </w:r>
      <w:r w:rsidR="001A653C" w:rsidRPr="00014BD3">
        <w:rPr>
          <w:rFonts w:ascii="Book Antiqua" w:hAnsi="Book Antiqua" w:cs="Times New Roman"/>
          <w:snapToGrid w:val="0"/>
          <w:color w:val="000000"/>
          <w:w w:val="118"/>
          <w:sz w:val="24"/>
          <w:szCs w:val="24"/>
        </w:rPr>
        <w:t>,</w:t>
      </w:r>
      <w:r w:rsidRPr="00014BD3">
        <w:rPr>
          <w:rFonts w:ascii="Book Antiqua" w:hAnsi="Book Antiqua" w:cs="Times New Roman"/>
          <w:snapToGrid w:val="0"/>
          <w:color w:val="000000"/>
          <w:w w:val="118"/>
          <w:sz w:val="24"/>
          <w:szCs w:val="24"/>
        </w:rPr>
        <w:t xml:space="preserve"> asthma, ato</w:t>
      </w:r>
      <w:r w:rsidR="0058196F" w:rsidRPr="00014BD3">
        <w:rPr>
          <w:rFonts w:ascii="Book Antiqua" w:hAnsi="Book Antiqua" w:cs="Times New Roman"/>
          <w:snapToGrid w:val="0"/>
          <w:color w:val="000000"/>
          <w:w w:val="118"/>
          <w:sz w:val="24"/>
          <w:szCs w:val="24"/>
        </w:rPr>
        <w:t>pic e</w:t>
      </w:r>
      <w:r w:rsidR="00C2240D" w:rsidRPr="00014BD3">
        <w:rPr>
          <w:rFonts w:ascii="Book Antiqua" w:hAnsi="Book Antiqua" w:cs="Times New Roman"/>
          <w:snapToGrid w:val="0"/>
          <w:color w:val="000000"/>
          <w:w w:val="118"/>
          <w:sz w:val="24"/>
          <w:szCs w:val="24"/>
        </w:rPr>
        <w:t>czema and food allergy are known as</w:t>
      </w:r>
      <w:r w:rsidR="0058196F" w:rsidRPr="00014BD3">
        <w:rPr>
          <w:rFonts w:ascii="Book Antiqua" w:hAnsi="Book Antiqua" w:cs="Times New Roman"/>
          <w:snapToGrid w:val="0"/>
          <w:color w:val="000000"/>
          <w:w w:val="118"/>
          <w:sz w:val="24"/>
          <w:szCs w:val="24"/>
        </w:rPr>
        <w:t xml:space="preserve"> co-causes of </w:t>
      </w:r>
      <w:r w:rsidRPr="00014BD3">
        <w:rPr>
          <w:rFonts w:ascii="Book Antiqua" w:hAnsi="Book Antiqua" w:cs="Times New Roman"/>
          <w:snapToGrid w:val="0"/>
          <w:color w:val="000000"/>
          <w:w w:val="117"/>
          <w:sz w:val="24"/>
          <w:szCs w:val="24"/>
        </w:rPr>
        <w:t xml:space="preserve">chronic ill </w:t>
      </w:r>
      <w:proofErr w:type="gramStart"/>
      <w:r w:rsidRPr="00014BD3">
        <w:rPr>
          <w:rFonts w:ascii="Book Antiqua" w:hAnsi="Book Antiqua" w:cs="Times New Roman"/>
          <w:snapToGrid w:val="0"/>
          <w:color w:val="000000"/>
          <w:w w:val="117"/>
          <w:sz w:val="24"/>
          <w:szCs w:val="24"/>
        </w:rPr>
        <w:t>health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11]</w:t>
      </w:r>
      <w:r w:rsidRPr="00014BD3">
        <w:rPr>
          <w:rFonts w:ascii="Book Antiqua" w:hAnsi="Book Antiqua" w:cs="Times New Roman"/>
          <w:snapToGrid w:val="0"/>
          <w:color w:val="000000"/>
          <w:w w:val="117"/>
          <w:sz w:val="24"/>
          <w:szCs w:val="24"/>
        </w:rPr>
        <w:t xml:space="preserve">.  </w:t>
      </w:r>
    </w:p>
    <w:p w:rsidR="00484D4B" w:rsidRPr="00014BD3" w:rsidRDefault="000F5592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400" w:firstLine="968"/>
        <w:jc w:val="both"/>
        <w:rPr>
          <w:rFonts w:ascii="Book Antiqua" w:hAnsi="Book Antiqua" w:cs="Times New Roman"/>
          <w:snapToGrid w:val="0"/>
          <w:color w:val="000000"/>
          <w:w w:val="117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Antibodies to endogenous self-antigens or foreign allergens continue to be detected and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recognized as reliable disease biomarkers for autoimmune and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IgE</w:t>
      </w:r>
      <w:proofErr w:type="spellEnd"/>
      <w:r w:rsidR="00DF7508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-</w:t>
      </w:r>
      <w:r w:rsidR="00DF7508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mediated allergic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diseases.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For </w:t>
      </w:r>
      <w:proofErr w:type="gramStart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example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2]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, a patient may have rheumatoid arthritis (RA) without experiencing </w:t>
      </w:r>
      <w:r w:rsidR="00B85AF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symptomatic </w:t>
      </w:r>
      <w:r w:rsidR="006861B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pain</w:t>
      </w:r>
      <w:r w:rsidR="00B85AF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,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which </w:t>
      </w:r>
      <w:r w:rsidR="004A4594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can delay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early diagnosis. Typically, autoimmune</w:t>
      </w:r>
      <w:r w:rsidR="006861B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diseases develop slowly. </w:t>
      </w:r>
      <w:proofErr w:type="gramStart"/>
      <w:r w:rsidR="006861B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In RA.</w:t>
      </w:r>
      <w:proofErr w:type="gramEnd"/>
      <w:r w:rsidR="006861B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E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arly prophylactic detection leads to early treatment at efficacious drug concentrations,</w:t>
      </w:r>
      <w:r w:rsidR="002A67D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with potential for differential diagnostic pre-symptomatic recovery, especially in patients who respond to drug therapy and/or in whom immunosuppressive treatment would be of benefit. </w:t>
      </w:r>
      <w:r w:rsidR="00162084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he treatment method of choice may include specific therapeutic antibodies which differ from standard autoimmune treatment. New and more specific biomarkers indicative of various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dysimmune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pathologies continue to be recognized and accepted as providing disease confirmation, facilitating differential diagnosis, disease activity monitoring and developing therapy guided by companion diagnostics. </w:t>
      </w:r>
      <w:r w:rsidR="00162084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This key attribute relates to companion diagnostics, wherein molecular assays </w:t>
      </w:r>
      <w:r w:rsidR="00740D2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that </w:t>
      </w:r>
      <w:r w:rsidR="00162084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measure levels of proteins, genes or specific mutations</w:t>
      </w:r>
      <w:r w:rsidR="00740D2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provide a specific therapy by stratifying disease status, selecting the proper medication and tailoring dosages to the patient’s specific needs. </w:t>
      </w:r>
      <w:r w:rsidR="0051256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8D2B4D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As a result of more accurate p</w:t>
      </w:r>
      <w:r w:rsidR="00740D2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roteomic </w:t>
      </w:r>
      <w:r w:rsidR="008D2B4D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assessment, t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he FDA</w:t>
      </w:r>
      <w:r w:rsidR="00B85AF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(U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nited States</w:t>
      </w:r>
      <w:r w:rsidR="00B85AF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)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8D2B4D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continues to set </w:t>
      </w:r>
      <w:r w:rsidR="001836A6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more demanding guide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lines</w:t>
      </w:r>
      <w:r w:rsidR="001836A6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. T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herapeutic products </w:t>
      </w:r>
      <w:r w:rsidR="001836A6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require validation based on d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iagnostic test to </w:t>
      </w:r>
      <w:r w:rsidR="001836A6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conform to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label,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safety and effectiveness claims.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lastRenderedPageBreak/>
        <w:t>The increasing need for companion or perso</w:t>
      </w:r>
      <w:r w:rsidR="006C6EB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nalized </w:t>
      </w:r>
      <w:r w:rsidR="00484D4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tests</w:t>
      </w:r>
      <w:r w:rsidR="006C6EB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is d</w:t>
      </w:r>
      <w:r w:rsidR="001836A6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emanded </w:t>
      </w:r>
      <w:r w:rsidR="006C6EB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by subsets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of </w:t>
      </w:r>
      <w:r w:rsidR="00484D4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treated, </w:t>
      </w:r>
      <w:r w:rsidR="001836A6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positive responders</w:t>
      </w:r>
      <w:r w:rsidR="00484D4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to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F669E9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possible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side effect</w:t>
      </w:r>
      <w:r w:rsidR="006C6EB9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s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. </w:t>
      </w:r>
    </w:p>
    <w:p w:rsidR="004A16DB" w:rsidRPr="00014BD3" w:rsidRDefault="000F5592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484"/>
        <w:jc w:val="both"/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Detection of single, discrete biomarkers in isolated test outcomes results in a number of patients as misdiagnosed for autoimmune disease. </w:t>
      </w:r>
      <w:r w:rsidR="00ED297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I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ncorrect test outcomes </w:t>
      </w:r>
      <w:r w:rsidR="00ED297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are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directly caused by patient samples that may contain unstable biomarker antigens, auto</w:t>
      </w:r>
      <w:r w:rsidR="00F0566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-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antibodies, endogenous antibodies, patient sample proteins and antibody-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antibody reactions. These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analytes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are often unstable or interfered with in </w:t>
      </w:r>
      <w:r w:rsidR="00F0566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patient’s test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samples as a direct result of time dependent storage leading to breakdown and </w:t>
      </w:r>
      <w:r w:rsidR="00F0566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cross-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contamination, including effects of proteolysis</w:t>
      </w:r>
      <w:r w:rsidR="00F0566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,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oxidation</w:t>
      </w:r>
      <w:r w:rsidR="00F0566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and protein interaction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. Repeat testing of such stored samples confounds result of confirmatory tests.</w:t>
      </w:r>
      <w:r w:rsidR="000B1E0A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New diagnostic methods and algorithms for immune disorders need to provide robust,</w:t>
      </w:r>
      <w:r w:rsidR="000B1E0A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simultaneous and comprehensive, qualitative and quantitative multiplex measurement for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prognostic and diagnostic biomarkers specific for autoimmune diseases, while modulating companion diagnostic efficacy of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theranostic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drug concentrations. Assay methods </w:t>
      </w:r>
      <w:r w:rsidR="00E730A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help to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identify, monitor and manage autoimmune </w:t>
      </w:r>
      <w:r w:rsidR="00E730A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disease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or risk thereof, in subjects who have an autoimmune disease, or </w:t>
      </w:r>
      <w:r w:rsidR="00E730A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are cohort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related</w:t>
      </w:r>
      <w:r w:rsidR="00E730A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.</w:t>
      </w:r>
      <w:r w:rsidR="00C8207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Therefore, it is a</w:t>
      </w:r>
      <w:r w:rsidR="00C8207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benefit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to provide integrated indicator</w:t>
      </w:r>
      <w:r w:rsidR="00C8207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measurement </w:t>
      </w:r>
      <w:r w:rsidR="00C8207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using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multiplex planar microarray diagnostic tests, including test panel</w:t>
      </w:r>
      <w:r w:rsidR="00F16A5C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s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design</w:t>
      </w:r>
      <w:r w:rsidR="00F16A5C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ed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for responder patient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therano</w:t>
      </w:r>
      <w:r w:rsidR="00542AD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sis</w:t>
      </w:r>
      <w:proofErr w:type="spellEnd"/>
      <w:r w:rsidR="00542AD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assessment, risk analysis and management of disease.</w:t>
      </w:r>
      <w:r w:rsidR="00A07B1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</w:p>
    <w:p w:rsidR="00814577" w:rsidRPr="00014BD3" w:rsidRDefault="00814577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</w:pPr>
    </w:p>
    <w:p w:rsidR="00814577" w:rsidRPr="00014BD3" w:rsidRDefault="00E86E2A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</w:rPr>
      </w:pPr>
      <w:r w:rsidRPr="00014BD3"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</w:rPr>
        <w:t>DIAGNOSIS</w:t>
      </w:r>
      <w:r w:rsidR="004A16DB" w:rsidRPr="00014BD3"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</w:rPr>
        <w:t xml:space="preserve"> MANAGEMENT AND THERAPY </w:t>
      </w:r>
    </w:p>
    <w:p w:rsidR="00CD374F" w:rsidRPr="00014BD3" w:rsidRDefault="000F5592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The </w:t>
      </w:r>
      <w:r w:rsidR="00E54D1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panels provide for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diagnosis, management and therapy of immune</w:t>
      </w:r>
      <w:r w:rsidR="00E54D1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disorders and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dysimmunity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. In particular, the</w:t>
      </w:r>
      <w:r w:rsidR="00E54D1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y provide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diagnostic tests, te</w:t>
      </w:r>
      <w:r w:rsidR="00E54D1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st panel design, methods of use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and kits</w:t>
      </w:r>
      <w:r w:rsidR="00E54D1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for simultaneous integration of qualitative and quantitative multiplex planar microarray prognostic and diagnostic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tests, therapeutic drug concentration tests, drug efficacy tests, companion diagnostics tests and methods of use applied in specific test panels for simultaneous assessment,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determination of risk and management of immune disorders. Specific disease panels include tests for genetic predisposition and also measure biomarker responses to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treatment efficacy</w:t>
      </w:r>
      <w:r w:rsidR="003551B7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,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such as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lastRenderedPageBreak/>
        <w:t xml:space="preserve">drug dose concentration and drug pharmaceutical efficacy. This data will determine the optimal drug dosage for each patient as the drug level is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maintained at the pharmaceutical efficacy level for that patient. </w:t>
      </w:r>
      <w:r w:rsidR="00B76AB5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est panels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are also designed to facilitate earlier detection of multifactorial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etiologies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,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differential diagnosis from related disease phenotypes and detect disease activity indices such as remission, flare-up, relapse and lif</w:t>
      </w:r>
      <w:r w:rsidR="00B76AB5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e-threatening organ involvement</w:t>
      </w:r>
      <w:r w:rsidR="00C674CC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.</w:t>
      </w:r>
      <w:r w:rsidR="00B76AB5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In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assessing the risk of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whether a </w:t>
      </w:r>
      <w:r w:rsidR="00B76AB5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patient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has or, at some point in the future </w:t>
      </w:r>
      <w:r w:rsidR="00180B47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is prone to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develop an autoimmune disease, wherein the method </w:t>
      </w:r>
      <w:r w:rsidR="00D6638E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includes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:</w:t>
      </w:r>
      <w:r w:rsidR="00180B47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(</w:t>
      </w:r>
      <w:r w:rsidR="0000730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  <w:lang w:eastAsia="zh-CN"/>
        </w:rPr>
        <w:t>1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) obtaining a sample from the subject;</w:t>
      </w:r>
      <w:r w:rsidR="00D6638E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D6638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(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2</w:t>
      </w:r>
      <w:r w:rsidR="00D6638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) multiplex array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measur</w:t>
      </w:r>
      <w:r w:rsidR="00D6638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ement of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inflammatory </w:t>
      </w:r>
      <w:r w:rsidR="00D6638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indicators, 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antibodies of various classes to a plurality of different endogenous antigens or</w:t>
      </w:r>
      <w:r w:rsidR="004C651D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allergens in the </w:t>
      </w:r>
      <w:r w:rsidR="00D6638E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patient’s</w:t>
      </w:r>
      <w:r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 sample;</w:t>
      </w:r>
      <w:r w:rsidR="00D6638E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 </w:t>
      </w:r>
      <w:r w:rsidR="00D6638E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(</w:t>
      </w:r>
      <w:r w:rsidR="0000730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  <w:lang w:eastAsia="zh-CN"/>
        </w:rPr>
        <w:t>3</w:t>
      </w:r>
      <w:r w:rsidR="00D6638E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) comparing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the same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analytes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simultaneously measured in </w:t>
      </w:r>
      <w:r w:rsidR="00D6638E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reference subjects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, or </w:t>
      </w:r>
      <w:r w:rsidR="00D6638E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to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previous blood draws </w:t>
      </w:r>
      <w:r w:rsidR="00D6638E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from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the same </w:t>
      </w:r>
      <w:r w:rsidR="00A652E6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p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atient, </w:t>
      </w:r>
      <w:r w:rsidR="00C92A7B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and or comparing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reference </w:t>
      </w:r>
      <w:r w:rsidR="00C92A7B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patients </w:t>
      </w:r>
      <w:r w:rsidR="00A652E6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having a</w:t>
      </w:r>
      <w:r w:rsidR="00C92A7B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similar</w:t>
      </w:r>
      <w:r w:rsidR="00A652E6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immune disorder;</w:t>
      </w:r>
      <w:r w:rsidR="00C92A7B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00730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  <w:lang w:eastAsia="zh-CN"/>
        </w:rPr>
        <w:t>and</w:t>
      </w:r>
      <w:r w:rsidR="00C92A7B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(</w:t>
      </w:r>
      <w:r w:rsidR="0000730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  <w:lang w:eastAsia="zh-CN"/>
        </w:rPr>
        <w:t>4</w:t>
      </w:r>
      <w:r w:rsidR="00C92A7B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)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identifying the risk that the </w:t>
      </w:r>
      <w:r w:rsidR="00C92A7B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patient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has</w:t>
      </w:r>
      <w:r w:rsidR="00C92A7B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,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or might develop an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dysimmunity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based on the </w:t>
      </w:r>
      <w:r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comparison in step (</w:t>
      </w:r>
      <w:r w:rsidR="0000730F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  <w:lang w:eastAsia="zh-CN"/>
        </w:rPr>
        <w:t>3</w:t>
      </w:r>
      <w:r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)</w:t>
      </w:r>
      <w:r w:rsidR="00A652E6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 above</w:t>
      </w:r>
      <w:r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.</w:t>
      </w:r>
      <w:r w:rsidR="00F547F4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 R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isk is present </w:t>
      </w:r>
      <w:r w:rsidR="00C92A7B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when levels of one or more of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inflammatory mediators or antibodies to the different antigens or allergens are elevated in the subject's sample as compared to samples from reference </w:t>
      </w:r>
      <w:r w:rsidR="00F547F4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patients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with clinically normal function</w:t>
      </w:r>
      <w:r w:rsidR="00F547F4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s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, and/or are elevated in</w:t>
      </w:r>
      <w:r w:rsidR="000E277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,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or at about the same level in the subject's sample</w:t>
      </w:r>
      <w:r w:rsidR="00636EF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.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</w:p>
    <w:p w:rsidR="002301EA" w:rsidRPr="00014BD3" w:rsidRDefault="00636EF2" w:rsidP="00063A1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514"/>
        <w:jc w:val="both"/>
        <w:rPr>
          <w:rFonts w:ascii="Book Antiqua" w:hAnsi="Book Antiqua" w:cs="Times New Roman"/>
          <w:snapToGrid w:val="0"/>
          <w:color w:val="000000"/>
          <w:w w:val="104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The </w:t>
      </w:r>
      <w:proofErr w:type="gramStart"/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patients</w:t>
      </w:r>
      <w:proofErr w:type="gramEnd"/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samples as contemplated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in the above method</w:t>
      </w:r>
      <w:r w:rsidR="000E277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,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can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be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biological body fluids, including peripheral blood, serum, plasma, cerebrospinal fluid, synovial fluid, bone marrow, saliva and urine </w:t>
      </w:r>
      <w:r w:rsidR="000F5592" w:rsidRPr="00014BD3">
        <w:rPr>
          <w:rFonts w:ascii="Book Antiqua" w:hAnsi="Book Antiqua" w:cs="Times New Roman"/>
          <w:snapToGrid w:val="0"/>
          <w:color w:val="000000"/>
          <w:w w:val="104"/>
          <w:sz w:val="24"/>
          <w:szCs w:val="24"/>
        </w:rPr>
        <w:t>samples.</w:t>
      </w:r>
    </w:p>
    <w:p w:rsidR="008121EF" w:rsidRPr="00014BD3" w:rsidRDefault="00C674CC" w:rsidP="00063A1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514"/>
        <w:jc w:val="both"/>
        <w:rPr>
          <w:rFonts w:ascii="Book Antiqua" w:hAnsi="Book Antiqua" w:cs="Times New Roman"/>
          <w:snapToGrid w:val="0"/>
          <w:color w:val="000000"/>
          <w:w w:val="107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In a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nother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method to qualify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immune disorder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patients</w:t>
      </w:r>
      <w:r w:rsidR="000E277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,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as eligible to receive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dis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ease-modifying therapy, the method comprises:</w:t>
      </w:r>
      <w:r w:rsidR="0000730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  <w:lang w:eastAsia="zh-CN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(</w:t>
      </w:r>
      <w:r w:rsidR="0000730F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  <w:lang w:eastAsia="zh-CN"/>
        </w:rPr>
        <w:t>1</w:t>
      </w:r>
      <w:r w:rsidR="000F559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) obtaining a sample from the immune disorder patient;</w:t>
      </w:r>
      <w:r w:rsidR="0000730F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  <w:lang w:eastAsia="zh-CN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(</w:t>
      </w:r>
      <w:r w:rsidR="0000730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  <w:lang w:eastAsia="zh-CN"/>
        </w:rPr>
        <w:t>2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) measuring the levels of each of a plurality of different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analytes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in the </w:t>
      </w:r>
      <w:r w:rsidR="00E66FA3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patient’s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sample;</w:t>
      </w:r>
      <w:r w:rsidR="0000730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  <w:lang w:eastAsia="zh-CN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(</w:t>
      </w:r>
      <w:r w:rsidR="0000730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  <w:lang w:eastAsia="zh-CN"/>
        </w:rPr>
        <w:t>3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) comparing the levels with the level of the same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analyte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measured in samples from reference subjects with clinically normal function, or from reference subjects having disease corresponding immune </w:t>
      </w:r>
      <w:r w:rsidR="000F559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disorder; and</w:t>
      </w:r>
      <w:r w:rsidR="0000730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  <w:lang w:eastAsia="zh-CN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(</w:t>
      </w:r>
      <w:r w:rsidR="0000730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  <w:lang w:eastAsia="zh-CN"/>
        </w:rPr>
        <w:t>4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) identifying the immune disorder patient as eligible to receive disease-modifying therapy based on </w:t>
      </w:r>
      <w:r w:rsidR="003551B7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t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he</w:t>
      </w:r>
      <w:r w:rsidR="004C651D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comparison in step (</w:t>
      </w:r>
      <w:r w:rsidR="0000730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  <w:lang w:eastAsia="zh-CN"/>
        </w:rPr>
        <w:t>3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).</w:t>
      </w:r>
    </w:p>
    <w:p w:rsidR="00826D2A" w:rsidRPr="00014BD3" w:rsidRDefault="000F5592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482"/>
        <w:jc w:val="both"/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In another embodiment, the </w:t>
      </w:r>
      <w:r w:rsidR="003551B7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analysis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relates to a method for identifying and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lastRenderedPageBreak/>
        <w:t xml:space="preserve">selecting a patient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with immune disorder for therapeutic drug monitoring, wherein the method comprises: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(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1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) confirming clinical decision making and diagnostic algorithms so that multiplex planar</w:t>
      </w:r>
      <w:r w:rsidR="00F85778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z w:val="24"/>
          <w:szCs w:val="24"/>
        </w:rPr>
        <w:tab/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diagnomic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microarray tests and disease panels can be implemented to monitor treatment </w:t>
      </w:r>
      <w:r w:rsidRPr="00014BD3">
        <w:rPr>
          <w:rFonts w:ascii="Book Antiqua" w:hAnsi="Book Antiqua" w:cs="Times New Roman"/>
          <w:snapToGrid w:val="0"/>
          <w:color w:val="000000"/>
          <w:sz w:val="24"/>
          <w:szCs w:val="24"/>
        </w:rPr>
        <w:tab/>
        <w:t>efficacy</w:t>
      </w:r>
      <w:r w:rsidR="00AB749A" w:rsidRPr="00014BD3">
        <w:rPr>
          <w:rFonts w:ascii="Book Antiqua" w:hAnsi="Book Antiqua" w:cs="Times New Roman"/>
          <w:snapToGrid w:val="0"/>
          <w:color w:val="000000"/>
          <w:sz w:val="24"/>
          <w:szCs w:val="24"/>
        </w:rPr>
        <w:t>;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(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2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) </w:t>
      </w:r>
      <w:r w:rsidR="00FF1BC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test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panels are integrated for simultaneous, qualitative and / or quantitative prognosis,</w:t>
      </w:r>
      <w:r w:rsidR="00F85778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diagnosis and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theranosis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that may include measurement of drug concentration</w:t>
      </w:r>
      <w:r w:rsidR="00F85778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s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and efficacy;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(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3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)  </w:t>
      </w:r>
      <w:r w:rsidR="00FF1BC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test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panels allow patients and physicians to make scientifically based </w:t>
      </w:r>
      <w:r w:rsidRPr="00014BD3">
        <w:rPr>
          <w:rFonts w:ascii="Book Antiqua" w:hAnsi="Book Antiqua" w:cs="Times New Roman"/>
          <w:snapToGrid w:val="0"/>
          <w:color w:val="000000"/>
          <w:sz w:val="24"/>
          <w:szCs w:val="24"/>
        </w:rPr>
        <w:tab/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medical, individualized decisions about their disease and its therapy;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(</w:t>
      </w:r>
      <w:r w:rsidR="0000730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  <w:lang w:eastAsia="zh-CN"/>
        </w:rPr>
        <w:t>4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)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theranostic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panels are defined as biomarker tests that specify </w:t>
      </w:r>
      <w:r w:rsidR="00E2196E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the dose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z w:val="24"/>
          <w:szCs w:val="24"/>
        </w:rPr>
        <w:tab/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and efficacy of  therapeutics </w:t>
      </w:r>
      <w:r w:rsidR="00E2196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in reference to a patient’s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genotype, disease phenotype </w:t>
      </w:r>
      <w:r w:rsidR="00E66FA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and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z w:val="24"/>
          <w:szCs w:val="24"/>
        </w:rPr>
        <w:tab/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serological profile, in conjunction with bioinformatics technologies that analyze and interpret </w:t>
      </w:r>
      <w:r w:rsidRPr="00014BD3">
        <w:rPr>
          <w:rFonts w:ascii="Book Antiqua" w:hAnsi="Book Antiqua" w:cs="Times New Roman"/>
          <w:snapToGrid w:val="0"/>
          <w:color w:val="000000"/>
          <w:sz w:val="24"/>
          <w:szCs w:val="24"/>
        </w:rPr>
        <w:tab/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human disease and drug response interaction</w:t>
      </w:r>
      <w:r w:rsidR="0061379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;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(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5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) antibod</w:t>
      </w:r>
      <w:r w:rsidR="0061379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y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and biomarker levels </w:t>
      </w:r>
      <w:r w:rsidRPr="00014BD3">
        <w:rPr>
          <w:rFonts w:ascii="Book Antiqua" w:hAnsi="Book Antiqua" w:cs="Times New Roman"/>
          <w:snapToGrid w:val="0"/>
          <w:color w:val="000000"/>
          <w:sz w:val="24"/>
          <w:szCs w:val="24"/>
        </w:rPr>
        <w:tab/>
      </w:r>
      <w:r w:rsidR="003B2809" w:rsidRPr="00014BD3">
        <w:rPr>
          <w:rFonts w:ascii="Book Antiqua" w:hAnsi="Book Antiqua" w:cs="Times New Roman"/>
          <w:snapToGrid w:val="0"/>
          <w:color w:val="000000"/>
          <w:sz w:val="24"/>
          <w:szCs w:val="24"/>
        </w:rPr>
        <w:t xml:space="preserve">are </w:t>
      </w:r>
      <w:r w:rsidR="00894D33" w:rsidRPr="00014BD3">
        <w:rPr>
          <w:rFonts w:ascii="Book Antiqua" w:hAnsi="Book Antiqua" w:cs="Times New Roman"/>
          <w:snapToGrid w:val="0"/>
          <w:color w:val="000000"/>
          <w:sz w:val="24"/>
          <w:szCs w:val="24"/>
        </w:rPr>
        <w:t xml:space="preserve">compared </w:t>
      </w:r>
      <w:r w:rsidR="00894D3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as indicators of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disease predisposition, stage</w:t>
      </w:r>
      <w:r w:rsidR="00894D3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of development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, aggressiveness, drug efficacy</w:t>
      </w:r>
      <w:r w:rsidR="00894D3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,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z w:val="24"/>
          <w:szCs w:val="24"/>
        </w:rPr>
        <w:tab/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dosing and toxicity;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 xml:space="preserve"> and </w:t>
      </w:r>
      <w:r w:rsidR="00113C2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(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6</w:t>
      </w:r>
      <w:r w:rsidR="00113C2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)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test panels </w:t>
      </w:r>
      <w:r w:rsidR="00113C2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form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a core component </w:t>
      </w:r>
      <w:r w:rsidR="00113C2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o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f a new personal medicine t</w:t>
      </w:r>
      <w:r w:rsidR="00113C2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o transform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clinical practice into definitive</w:t>
      </w:r>
      <w:r w:rsidR="00E66FA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,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E66FA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diagnostic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science.</w:t>
      </w:r>
    </w:p>
    <w:p w:rsidR="00A82583" w:rsidRPr="00014BD3" w:rsidRDefault="005712B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482"/>
        <w:jc w:val="both"/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D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isease </w:t>
      </w:r>
      <w:r w:rsidR="0065607E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test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panels incorporating biomarkers that </w:t>
      </w:r>
      <w:r w:rsidR="0009108A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confirm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A51DE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pre-symptomatic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disease </w:t>
      </w:r>
      <w:r w:rsidR="00FF1BC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indicators </w:t>
      </w:r>
      <w:r w:rsidR="0009108A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allow</w:t>
      </w:r>
      <w:r w:rsidR="00A51DE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targeted </w:t>
      </w:r>
      <w:r w:rsidR="00FF1BC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disease </w:t>
      </w:r>
      <w:r w:rsidR="00A51DE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therapy</w:t>
      </w:r>
      <w:r w:rsidR="00AF7C7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.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E753E0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Disease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stratification lies in correlation of molecular heterogeneity of disease </w:t>
      </w:r>
      <w:r w:rsidR="00E753E0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and</w:t>
      </w:r>
      <w:r w:rsidR="004C651D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hetero</w:t>
      </w:r>
      <w:r w:rsidR="00E753E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geneity of response to therapy.  The </w:t>
      </w:r>
      <w:r w:rsidR="00AF7C7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targeted </w:t>
      </w:r>
      <w:r w:rsidR="00E753E0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drug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AF7C7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m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ust be present and </w:t>
      </w:r>
      <w:r w:rsidR="00AF7C7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act on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m</w:t>
      </w:r>
      <w:r w:rsidR="00AF7C7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aintaining or deteriorating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disease </w:t>
      </w:r>
      <w:r w:rsidR="00AF7C7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symptoms of the patient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state </w:t>
      </w:r>
      <w:r w:rsidR="00AF7C7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to show efficacy.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This target would therefore identify a biomarker to determine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whether </w:t>
      </w:r>
      <w:r w:rsidR="00FF1BC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the patient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is a likely responder for treatment with a specific therapy. For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example, a multiplex planar micro</w:t>
      </w:r>
      <w:r w:rsidR="00AF7C7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array fluorescent immunoassay,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provides quantita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tive measurement for anti-TNF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drug </w:t>
      </w:r>
      <w:r w:rsidR="00303D16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(Tumor Necrosis Factor)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concentration for Infliximab, which </w:t>
      </w:r>
      <w:r w:rsidR="00AF7C7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is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used to treat patients with Crohn's disease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and rheumatoid </w:t>
      </w:r>
      <w:proofErr w:type="gramStart"/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arthritis</w:t>
      </w:r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00730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2]</w:t>
      </w:r>
      <w:r w:rsidR="0000730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.</w:t>
      </w:r>
      <w:r w:rsidR="003D3779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Infliximab Research Use O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nly (RUO) assay</w:t>
      </w:r>
      <w:r w:rsidR="00303D16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s provide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-7"/>
          <w:sz w:val="24"/>
          <w:szCs w:val="24"/>
        </w:rPr>
        <w:t xml:space="preserve">100%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specificity. </w:t>
      </w:r>
      <w:r w:rsidR="00231B2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R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esults of this testing correctly reported the absence of the drug in healthy serum samples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,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but accurately reported drug levels when expected to be present, for example in RA patients responding to treatment. This novel microarray assay system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detects and measures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TNFu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blocker drug concentrations at high sensitivity and specificity</w:t>
      </w:r>
      <w:r w:rsidR="00231B29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. M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easuring the level of the TNF</w:t>
      </w:r>
      <w:r w:rsidR="0039234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</w:t>
      </w:r>
      <w:r w:rsidR="0039234B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lpha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lastRenderedPageBreak/>
        <w:t xml:space="preserve">for anti-TNF-a therapy </w:t>
      </w:r>
      <w:r w:rsidR="00231B2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also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provides evidence of treatment efficacy. Additional markers for rheumatoid (RA) disease activity</w:t>
      </w:r>
      <w:r w:rsidR="00231B2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,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when measured simultaneously with anti-TNF-a</w:t>
      </w:r>
      <w:r w:rsidR="006B6EC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lpha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drug and TNF-u</w:t>
      </w:r>
      <w:r w:rsidR="006B6EC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nits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would indicate disease remission.</w:t>
      </w:r>
    </w:p>
    <w:p w:rsidR="003D666E" w:rsidRPr="00014BD3" w:rsidRDefault="00F613E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482"/>
        <w:jc w:val="both"/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Bioma</w:t>
      </w:r>
      <w:r w:rsidR="007044E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rker </w:t>
      </w:r>
      <w:r w:rsidR="00EE05DC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protocol </w:t>
      </w:r>
      <w:r w:rsidR="007044E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panels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7044E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identify patients responding t</w:t>
      </w:r>
      <w:r w:rsidR="007A1EDD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o </w:t>
      </w:r>
      <w:r w:rsidR="005712B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specific</w:t>
      </w:r>
      <w:r w:rsidR="00A8258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76490C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herapeutic</w:t>
      </w:r>
      <w:r w:rsidR="007044E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s</w:t>
      </w:r>
      <w:r w:rsidR="0076490C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,</w:t>
      </w:r>
      <w:r w:rsidR="00F42967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7044E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as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disease progression and </w:t>
      </w:r>
      <w:r w:rsidR="0097503A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treatment efficacy</w:t>
      </w:r>
      <w:r w:rsidR="007044E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is </w:t>
      </w:r>
      <w:r w:rsidR="0065607E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m</w:t>
      </w:r>
      <w:r w:rsidR="007044E3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o</w:t>
      </w:r>
      <w:r w:rsidR="0065607E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nitored</w:t>
      </w:r>
      <w:r w:rsidR="0009610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. Simultaneous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measur</w:t>
      </w:r>
      <w:r w:rsidR="0009610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ement </w:t>
      </w:r>
      <w:r w:rsidR="005712B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of several disease parameters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09610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improves</w:t>
      </w:r>
      <w:r w:rsidR="007044E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5712B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benefit</w:t>
      </w:r>
      <w:r w:rsidR="007044E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s</w:t>
      </w:r>
      <w:r w:rsidR="005712B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of treatment </w:t>
      </w:r>
      <w:r w:rsidR="007044E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for </w:t>
      </w:r>
      <w:r w:rsidR="0097503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97503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patient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. These biomarker panels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identify the </w:t>
      </w:r>
      <w:r w:rsidR="005B0DF6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most effective drug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for </w:t>
      </w:r>
      <w:r w:rsidR="005B0DF6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 specific patient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.</w:t>
      </w:r>
      <w:r w:rsidR="00BE7FCD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09610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R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etrospective </w:t>
      </w:r>
      <w:r w:rsidR="0009610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drug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09610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efficacy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analysis </w:t>
      </w:r>
      <w:r w:rsidR="007C053B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following clinical trial with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subgroup analysis</w:t>
      </w:r>
      <w:r w:rsidR="007C053B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, clarifies</w:t>
      </w:r>
      <w:r w:rsidR="0009610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7A1EDD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response </w:t>
      </w:r>
      <w:r w:rsidR="009718FC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variations.</w:t>
      </w:r>
    </w:p>
    <w:p w:rsidR="00D1652C" w:rsidRPr="00014BD3" w:rsidRDefault="000F5592" w:rsidP="00063A1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504"/>
        <w:jc w:val="both"/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color w:val="000000"/>
          <w:w w:val="105"/>
          <w:sz w:val="24"/>
          <w:szCs w:val="24"/>
        </w:rPr>
        <w:t xml:space="preserve">Diagnostics </w:t>
      </w:r>
      <w:r w:rsidR="00430294" w:rsidRPr="00014BD3">
        <w:rPr>
          <w:rFonts w:ascii="Book Antiqua" w:hAnsi="Book Antiqua" w:cs="Times New Roman"/>
          <w:snapToGrid w:val="0"/>
          <w:color w:val="000000"/>
          <w:w w:val="105"/>
          <w:sz w:val="24"/>
          <w:szCs w:val="24"/>
        </w:rPr>
        <w:t>are</w:t>
      </w:r>
      <w:r w:rsidRPr="00014BD3">
        <w:rPr>
          <w:rFonts w:ascii="Book Antiqua" w:hAnsi="Book Antiqua" w:cs="Times New Roman"/>
          <w:snapToGrid w:val="0"/>
          <w:color w:val="000000"/>
          <w:w w:val="105"/>
          <w:sz w:val="24"/>
          <w:szCs w:val="24"/>
        </w:rPr>
        <w:t xml:space="preserve"> rapidly developing</w:t>
      </w:r>
      <w:r w:rsidRPr="00014BD3">
        <w:rPr>
          <w:rFonts w:ascii="Book Antiqua" w:hAnsi="Book Antiqua" w:cs="Times New Roman"/>
          <w:b/>
          <w:snapToGrid w:val="0"/>
          <w:color w:val="000000"/>
          <w:w w:val="105"/>
          <w:sz w:val="24"/>
          <w:szCs w:val="24"/>
        </w:rPr>
        <w:t xml:space="preserve"> </w:t>
      </w:r>
      <w:r w:rsidR="0076490C" w:rsidRPr="00014BD3">
        <w:rPr>
          <w:rFonts w:ascii="Book Antiqua" w:hAnsi="Book Antiqua" w:cs="Times New Roman"/>
          <w:snapToGrid w:val="0"/>
          <w:color w:val="000000"/>
          <w:w w:val="105"/>
          <w:sz w:val="24"/>
          <w:szCs w:val="24"/>
        </w:rPr>
        <w:t xml:space="preserve">for </w:t>
      </w:r>
      <w:r w:rsidRPr="00014BD3">
        <w:rPr>
          <w:rFonts w:ascii="Book Antiqua" w:hAnsi="Book Antiqua" w:cs="Times New Roman"/>
          <w:snapToGrid w:val="0"/>
          <w:color w:val="000000"/>
          <w:w w:val="105"/>
          <w:sz w:val="24"/>
          <w:szCs w:val="24"/>
        </w:rPr>
        <w:t>the management of diseases and emergence of</w:t>
      </w:r>
      <w:r w:rsidR="003D666E" w:rsidRPr="00014BD3">
        <w:rPr>
          <w:rFonts w:ascii="Book Antiqua" w:hAnsi="Book Antiqua" w:cs="Times New Roman"/>
          <w:snapToGrid w:val="0"/>
          <w:color w:val="000000"/>
          <w:w w:val="105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4"/>
          <w:sz w:val="24"/>
          <w:szCs w:val="24"/>
        </w:rPr>
        <w:t>personalized medicine and drug</w:t>
      </w:r>
      <w:r w:rsidR="0065607E" w:rsidRPr="00014BD3">
        <w:rPr>
          <w:rFonts w:ascii="Book Antiqua" w:hAnsi="Book Antiqua" w:cs="Times New Roman"/>
          <w:snapToGrid w:val="0"/>
          <w:color w:val="000000"/>
          <w:w w:val="104"/>
          <w:sz w:val="24"/>
          <w:szCs w:val="24"/>
        </w:rPr>
        <w:t>s.</w:t>
      </w:r>
      <w:r w:rsidRPr="00014BD3">
        <w:rPr>
          <w:rFonts w:ascii="Book Antiqua" w:hAnsi="Book Antiqua" w:cs="Times New Roman"/>
          <w:b/>
          <w:snapToGrid w:val="0"/>
          <w:color w:val="000000"/>
          <w:w w:val="104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4"/>
          <w:sz w:val="24"/>
          <w:szCs w:val="24"/>
        </w:rPr>
        <w:t>As the uniqueness of each individual</w:t>
      </w:r>
      <w:r w:rsidR="003D666E" w:rsidRPr="00014BD3">
        <w:rPr>
          <w:rFonts w:ascii="Book Antiqua" w:hAnsi="Book Antiqua" w:cs="Times New Roman"/>
          <w:snapToGrid w:val="0"/>
          <w:color w:val="000000"/>
          <w:w w:val="104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disease process is </w:t>
      </w:r>
      <w:r w:rsidR="0065607E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confirmed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, so is a growing </w:t>
      </w:r>
      <w:r w:rsidR="0076490C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assurance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that particular drugs work better</w:t>
      </w:r>
      <w:r w:rsidR="006A53D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in subsets of patients that could not previously he clearly identified or segregated.</w:t>
      </w:r>
    </w:p>
    <w:p w:rsidR="00D1652C" w:rsidRPr="00014BD3" w:rsidRDefault="000F5592" w:rsidP="00063A1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514"/>
        <w:jc w:val="both"/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Clinical trials have </w:t>
      </w:r>
      <w:r w:rsidR="00EA4304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conf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irmed that subsets of patients </w:t>
      </w:r>
      <w:r w:rsidR="00EA4304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may derive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no benefit or were harmed</w:t>
      </w:r>
      <w:r w:rsidR="007A1EDD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by the drug being investigated</w:t>
      </w:r>
      <w:r w:rsidR="00EA4304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. </w:t>
      </w:r>
      <w:r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 xml:space="preserve">A primary benefit for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improved, marker-driven patient selection is to determine who is most likely </w:t>
      </w:r>
      <w:r w:rsidR="0076490C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to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benefit from a proposed treatment </w:t>
      </w:r>
      <w:r w:rsidR="0076490C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and to exclude </w:t>
      </w:r>
      <w:r w:rsidR="00EA4304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patients</w:t>
      </w:r>
      <w:r w:rsidR="0076490C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likely to b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e harmed by a drug. Advanced </w:t>
      </w:r>
      <w:r w:rsidR="00EE05DC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protocol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test panels efficiently combine development of drugs with </w:t>
      </w:r>
      <w:r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companion diagnostic tests.</w:t>
      </w:r>
    </w:p>
    <w:p w:rsidR="00DA58AF" w:rsidRPr="00014BD3" w:rsidRDefault="000F5592" w:rsidP="00063A1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514"/>
        <w:jc w:val="both"/>
        <w:rPr>
          <w:rFonts w:ascii="Book Antiqua" w:hAnsi="Book Antiqua" w:cs="Times New Roman"/>
          <w:snapToGrid w:val="0"/>
          <w:color w:val="000000"/>
          <w:w w:val="107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Accordingly, </w:t>
      </w:r>
      <w:r w:rsidR="007672FD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multiplex</w:t>
      </w:r>
      <w:r w:rsidR="00DF072A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analys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es </w:t>
      </w:r>
      <w:r w:rsidR="00001D6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are </w:t>
      </w:r>
      <w:r w:rsidR="007672FD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combined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in </w:t>
      </w:r>
      <w:r w:rsidR="00BA1E3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test </w:t>
      </w:r>
      <w:r w:rsidR="00BC01B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protocol formats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to detect one or more indicators</w:t>
      </w:r>
      <w:r w:rsidR="007672FD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for refining diagnosis and patient</w:t>
      </w:r>
      <w:r w:rsidR="00001D6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selection for treatment</w:t>
      </w:r>
      <w:r w:rsidR="00BA1E3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s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. </w:t>
      </w:r>
      <w:r w:rsidR="007672FD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P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anel</w:t>
      </w:r>
      <w:r w:rsidR="007672FD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s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of biomarkers </w:t>
      </w:r>
      <w:r w:rsidR="00BA1E3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need to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be monitored during</w:t>
      </w:r>
      <w:r w:rsidR="00D1652C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clinical trials to </w:t>
      </w:r>
      <w:r w:rsidR="007672FD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confirm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effective therapy</w:t>
      </w:r>
      <w:r w:rsidR="007672FD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,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while simultaneously </w:t>
      </w:r>
      <w:r w:rsidR="007672FD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testing for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BA1E3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and confirming drug </w:t>
      </w:r>
      <w:r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>side effects</w:t>
      </w:r>
      <w:r w:rsidR="007672FD"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>.</w:t>
      </w:r>
      <w:r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 xml:space="preserve"> </w:t>
      </w:r>
    </w:p>
    <w:p w:rsidR="00DA58AF" w:rsidRPr="00014BD3" w:rsidRDefault="000F5592" w:rsidP="00063A1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514"/>
        <w:jc w:val="both"/>
        <w:rPr>
          <w:rFonts w:ascii="Book Antiqua" w:hAnsi="Book Antiqua" w:cs="Times New Roman"/>
          <w:snapToGrid w:val="0"/>
          <w:color w:val="000000"/>
          <w:w w:val="107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Biomarker based test panels </w:t>
      </w:r>
      <w:r w:rsidR="0030134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have utility in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all phases of clinical work to </w:t>
      </w:r>
      <w:r w:rsidR="0030134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better understand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BA1E3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and confirm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disease onset, progression, symptom</w:t>
      </w:r>
      <w:r w:rsidR="00C2068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s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and mechanisms of drug action in a population prior to</w:t>
      </w:r>
      <w:r w:rsidR="00BA1E3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drug </w:t>
      </w:r>
      <w:r w:rsidR="0030134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approval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by regulatory bodies. </w:t>
      </w:r>
    </w:p>
    <w:p w:rsidR="00DA58AF" w:rsidRPr="00014BD3" w:rsidRDefault="00301340" w:rsidP="00063A1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514"/>
        <w:jc w:val="both"/>
        <w:rPr>
          <w:rFonts w:ascii="Book Antiqua" w:hAnsi="Book Antiqua" w:cs="Times New Roman"/>
          <w:snapToGrid w:val="0"/>
          <w:color w:val="000000"/>
          <w:w w:val="107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V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alidation for </w:t>
      </w:r>
      <w:r w:rsidR="004C4AFC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disease status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prediction</w:t>
      </w:r>
      <w:r w:rsidR="004C4AFC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, or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dy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s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immunit</w:t>
      </w:r>
      <w:r w:rsidR="004C4AFC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y</w:t>
      </w:r>
      <w:proofErr w:type="spellEnd"/>
      <w:r w:rsidR="004C4AFC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,</w:t>
      </w:r>
      <w:r w:rsidR="00D21D7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4C4AFC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results from</w:t>
      </w:r>
      <w:r w:rsidR="00D21D7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DE14E7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clinical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accuracy, reproducibility, predictive value</w:t>
      </w:r>
      <w:r w:rsidR="00DE14E7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and diagnostic efficiency in detecting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lastRenderedPageBreak/>
        <w:t>disease</w:t>
      </w:r>
      <w:r w:rsidR="009A428A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.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The challenge </w:t>
      </w:r>
      <w:r w:rsidR="009A428A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in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9A428A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disease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validation is varia</w:t>
      </w:r>
      <w:r w:rsidR="009A428A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tion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of biomarker </w:t>
      </w:r>
      <w:r w:rsidR="009A428A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response observed in patient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population</w:t>
      </w:r>
      <w:r w:rsidR="009A428A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s</w:t>
      </w:r>
      <w:r w:rsidR="00F610E9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.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As newly </w:t>
      </w:r>
      <w:r w:rsidR="00A12CE4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validated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biomarker</w:t>
      </w:r>
      <w:r w:rsidR="00A12CE4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s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transition to </w:t>
      </w:r>
      <w:r w:rsidR="00A12CE4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clinical diagnosis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, it should pro</w:t>
      </w:r>
      <w:r w:rsidR="00A12CE4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gress through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analytical validation </w:t>
      </w:r>
      <w:r w:rsidR="00A12CE4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including clinical performance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and specifications. </w:t>
      </w:r>
      <w:r w:rsidR="006040D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Clinical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validation </w:t>
      </w:r>
      <w:r w:rsidR="006040D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includes recognition of early stage disease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, disorders and clinical </w:t>
      </w:r>
      <w:r w:rsidR="006040D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parameters to clearly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differentiate from similar disease phenotypes. </w:t>
      </w:r>
      <w:r w:rsidR="00E76C8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ssays are </w:t>
      </w:r>
      <w:r w:rsidR="00E76C8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then tested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systematically to</w:t>
      </w:r>
      <w:r w:rsidR="00E76C8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standard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, reproducible, high-throughput format</w:t>
      </w:r>
      <w:r w:rsidR="00E76C8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s.  </w:t>
      </w:r>
    </w:p>
    <w:p w:rsidR="009D7EA7" w:rsidRPr="00014BD3" w:rsidRDefault="00AE4F01" w:rsidP="00063A11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514"/>
        <w:jc w:val="both"/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utoantibodies to endogenous autoimmune antigens </w:t>
      </w:r>
      <w:r w:rsidR="00925AB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can be identified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in apparently healthy individuals</w:t>
      </w:r>
      <w:r w:rsidR="00925AB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.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925AB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As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component</w:t>
      </w:r>
      <w:r w:rsidR="00925AB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s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of the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idiotyp</w:t>
      </w:r>
      <w:r w:rsidR="009D7EA7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ic</w:t>
      </w:r>
      <w:proofErr w:type="spellEnd"/>
      <w:r w:rsidR="00925AB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network, these immune-globulins may multiply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to </w:t>
      </w:r>
      <w:r w:rsidR="00925AB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cause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patho</w:t>
      </w:r>
      <w:proofErr w:type="spellEnd"/>
      <w:r w:rsidR="00925AB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physiological </w:t>
      </w:r>
      <w:proofErr w:type="gramStart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impact</w:t>
      </w:r>
      <w:r w:rsidR="00DA58A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</w:t>
      </w:r>
      <w:proofErr w:type="gramEnd"/>
      <w:r w:rsidR="00DA58A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12]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. Such auto</w:t>
      </w:r>
      <w:r w:rsidR="001162E8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antibodies </w:t>
      </w:r>
      <w:r w:rsidR="001162E8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against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endogenous autoimmune antigens can be </w:t>
      </w:r>
      <w:r w:rsidR="001162E8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monitored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using multiplex diagnostic tests, methods and kits. The quantitative measurements of these auto</w:t>
      </w:r>
      <w:r w:rsidR="001162E8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antibodies and other inflammatory mediators clinically evaluate subjects at risk of developing or currently suffering from autoimmune disease or other immune disorder</w:t>
      </w:r>
      <w:r w:rsidR="001162E8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s and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also be used to monitor efficacy of a treatment reg</w:t>
      </w:r>
      <w:r w:rsidR="0062357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imen. Particularly advantageous are confirmatory testing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of </w:t>
      </w:r>
      <w:r w:rsidR="0062357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patients who exhibit immune disorder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symptoms</w:t>
      </w:r>
      <w:r w:rsidR="0062357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,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screening test</w:t>
      </w:r>
      <w:r w:rsidR="0062357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s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for </w:t>
      </w:r>
      <w:r w:rsidR="001E015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pparently healthy </w:t>
      </w:r>
      <w:r w:rsidR="0062357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patients with no </w:t>
      </w:r>
      <w:r w:rsidR="001E0155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symptoms of </w:t>
      </w:r>
      <w:proofErr w:type="spellStart"/>
      <w:r w:rsidR="001E0155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dysimmunity</w:t>
      </w:r>
      <w:proofErr w:type="spellEnd"/>
      <w:r w:rsidR="001E0155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,</w:t>
      </w:r>
      <w:r w:rsidR="000F559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 </w:t>
      </w:r>
      <w:r w:rsidR="001E0155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who</w:t>
      </w:r>
      <w:r w:rsidR="000F559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 </w:t>
      </w:r>
      <w:r w:rsidR="00623575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are likely to </w:t>
      </w:r>
      <w:r w:rsidR="001E0155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have symptoms</w:t>
      </w:r>
      <w:r w:rsidR="000F559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 in due course.</w:t>
      </w:r>
    </w:p>
    <w:p w:rsidR="009D7EA7" w:rsidRPr="00014BD3" w:rsidRDefault="009D7EA7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napToGrid w:val="0"/>
          <w:sz w:val="24"/>
          <w:szCs w:val="24"/>
        </w:rPr>
      </w:pPr>
    </w:p>
    <w:p w:rsidR="009D7EA7" w:rsidRPr="00014BD3" w:rsidRDefault="004A15A3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napToGrid w:val="0"/>
          <w:sz w:val="24"/>
          <w:szCs w:val="24"/>
        </w:rPr>
      </w:pPr>
      <w:r w:rsidRPr="00014BD3">
        <w:rPr>
          <w:rFonts w:ascii="Book Antiqua" w:hAnsi="Book Antiqua" w:cs="Times New Roman"/>
          <w:b/>
          <w:snapToGrid w:val="0"/>
          <w:sz w:val="24"/>
          <w:szCs w:val="24"/>
        </w:rPr>
        <w:t>DIAGNOSTIC TEST</w:t>
      </w:r>
      <w:r w:rsidR="00B23A5F" w:rsidRPr="00014BD3">
        <w:rPr>
          <w:rFonts w:ascii="Book Antiqua" w:hAnsi="Book Antiqua" w:cs="Times New Roman"/>
          <w:b/>
          <w:snapToGrid w:val="0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b/>
          <w:snapToGrid w:val="0"/>
          <w:sz w:val="24"/>
          <w:szCs w:val="24"/>
        </w:rPr>
        <w:t xml:space="preserve">METHODS  </w:t>
      </w:r>
    </w:p>
    <w:p w:rsidR="00DA58AF" w:rsidRPr="00014BD3" w:rsidRDefault="006D0EB8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color w:val="000000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I</w:t>
      </w:r>
      <w:r w:rsidR="00A15E0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ntegrated </w:t>
      </w:r>
      <w:r w:rsidR="000F559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diagnostic test</w:t>
      </w:r>
      <w:r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 panels</w:t>
      </w:r>
      <w:r w:rsidR="00AD520E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 provide for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assessment, risk analysis and management of immune disorders. In one embodiment, the </w:t>
      </w:r>
      <w:r w:rsidR="00C977B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panels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provide means for risk stratification </w:t>
      </w:r>
      <w:r w:rsidR="00C977B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when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developing an immune disorder and in </w:t>
      </w:r>
      <w:r w:rsidR="00F56DCF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assessing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the response to treatment.</w:t>
      </w:r>
      <w:r w:rsidR="00AD520E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3E33D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The methods entail protocols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for assaying samples </w:t>
      </w:r>
      <w:r w:rsidR="003E33D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from the subject for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panel</w:t>
      </w:r>
      <w:r w:rsidR="003E33D9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of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analytes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, wherein the</w:t>
      </w:r>
      <w:r w:rsidR="00AD520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3"/>
          <w:sz w:val="24"/>
          <w:szCs w:val="24"/>
        </w:rPr>
        <w:t xml:space="preserve">presence of elevated levels of one or more of the different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3"/>
          <w:sz w:val="24"/>
          <w:szCs w:val="24"/>
        </w:rPr>
        <w:t>analytes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3"/>
          <w:sz w:val="24"/>
          <w:szCs w:val="24"/>
        </w:rPr>
        <w:t xml:space="preserve"> indicates the presence or risks of an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immune disorder. These methods </w:t>
      </w:r>
      <w:r w:rsidR="00AD520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incorporating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multiplex planar microarray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diagnomic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panels</w:t>
      </w:r>
      <w:r w:rsidR="00AD520E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, integrate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for methods of prognosis, diagnosis and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theranostic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companion diagnostics. Physical examination, medical history and histopathology, completes a differential diagnosis </w:t>
      </w:r>
      <w:r w:rsidR="00921146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lastRenderedPageBreak/>
        <w:t>for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autoimmune disease. T</w:t>
      </w:r>
      <w:r w:rsidR="00D06247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ests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can be carried out </w:t>
      </w:r>
      <w:r w:rsidR="00527A3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on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asymptomatic </w:t>
      </w:r>
      <w:r w:rsidR="00527A3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patients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or </w:t>
      </w:r>
      <w:r w:rsidR="00527A3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patients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having risk factors or symptoms </w:t>
      </w:r>
      <w:r w:rsidR="00527A3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of the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disease.</w:t>
      </w:r>
      <w:r w:rsidR="003A3236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7851E1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When screening</w:t>
      </w:r>
      <w:r w:rsidR="001A1E7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and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a </w:t>
      </w:r>
      <w:r w:rsidR="007851E1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patient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tests positive for elevated levels of one set of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analytes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, the </w:t>
      </w:r>
      <w:r w:rsidR="001A1E7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patient </w:t>
      </w:r>
      <w:proofErr w:type="gramStart"/>
      <w:r w:rsidR="001A1E7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is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assessed</w:t>
      </w:r>
      <w:proofErr w:type="gramEnd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for one or more additional confirmatory tests</w:t>
      </w:r>
      <w:r w:rsidR="00D06247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.</w:t>
      </w:r>
    </w:p>
    <w:p w:rsidR="000D1C09" w:rsidRPr="00014BD3" w:rsidRDefault="001E5CF0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484"/>
        <w:jc w:val="both"/>
        <w:rPr>
          <w:rFonts w:ascii="Book Antiqua" w:hAnsi="Book Antiqua" w:cs="Times New Roman"/>
          <w:snapToGrid w:val="0"/>
          <w:color w:val="000000"/>
          <w:w w:val="106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method of assessing risk of vascular pathology </w:t>
      </w:r>
      <w:r w:rsidR="00DA58A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includes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assaying a sample for auto</w:t>
      </w:r>
      <w:r w:rsidR="00E162E5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antigen and for auto</w:t>
      </w:r>
      <w:r w:rsidR="00E162E5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antibody specific for that antigen</w:t>
      </w:r>
      <w:r w:rsidR="00E162E5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.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0F5FC5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 p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resence of auto</w:t>
      </w:r>
      <w:r w:rsidR="00E162E5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antigen or auto</w:t>
      </w:r>
      <w:r w:rsidR="00E162E5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-antigen reactive to-</w:t>
      </w:r>
      <w:proofErr w:type="gramStart"/>
      <w:r w:rsidR="00E162E5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antibody</w:t>
      </w:r>
      <w:r w:rsidR="00A266CC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,</w:t>
      </w:r>
      <w:proofErr w:type="gramEnd"/>
      <w:r w:rsidR="00A266CC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0F5FC5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indicates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risk of a</w:t>
      </w:r>
      <w:r w:rsidR="00A266CC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utoimmune disease.</w:t>
      </w:r>
      <w:r w:rsidR="000F5FC5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Increasing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level</w:t>
      </w:r>
      <w:r w:rsidR="00A266CC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of auto</w:t>
      </w:r>
      <w:r w:rsidR="00A266CC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antigen and auto</w:t>
      </w:r>
      <w:r w:rsidR="00A266CC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-antibodies to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autoimmune disease antigens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elevate</w:t>
      </w:r>
      <w:r w:rsidR="00DB1798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risk </w:t>
      </w:r>
      <w:r w:rsidR="00A266CC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for</w:t>
      </w:r>
      <w:r w:rsidR="00DB1798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autoimmune diseas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e.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In one embodiment, the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analytes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being assayed </w:t>
      </w:r>
      <w:r w:rsidR="00DB1798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together with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auto</w:t>
      </w:r>
      <w:r w:rsidR="00DB1798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antibodies</w:t>
      </w:r>
      <w:r w:rsidR="00DA58A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,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may</w:t>
      </w:r>
      <w:r w:rsidR="00CE4E5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DB1798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contain as part of a test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panel,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biomarkers that are not specific to a particular autoimmune disease, but i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ndicate disease activity </w:t>
      </w:r>
      <w:proofErr w:type="gramStart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and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a</w:t>
      </w:r>
      <w:proofErr w:type="gramEnd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generalized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dysimmune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or inflammatory </w:t>
      </w:r>
      <w:r w:rsidR="000F5592" w:rsidRPr="00014BD3">
        <w:rPr>
          <w:rFonts w:ascii="Book Antiqua" w:hAnsi="Book Antiqua" w:cs="Times New Roman"/>
          <w:snapToGrid w:val="0"/>
          <w:color w:val="000000"/>
          <w:sz w:val="24"/>
          <w:szCs w:val="24"/>
        </w:rPr>
        <w:t>condition.</w:t>
      </w:r>
      <w:r w:rsidR="00CE4E5F" w:rsidRPr="00014BD3">
        <w:rPr>
          <w:rFonts w:ascii="Book Antiqua" w:hAnsi="Book Antiqua" w:cs="Times New Roman"/>
          <w:snapToGrid w:val="0"/>
          <w:color w:val="000000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Moreover, at some stages of inflammation and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dysimmunity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, the </w:t>
      </w:r>
      <w:r w:rsidR="00DB1798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tested </w:t>
      </w:r>
      <w:proofErr w:type="spellStart"/>
      <w:r w:rsidR="00DB1798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analyte</w:t>
      </w:r>
      <w:proofErr w:type="spellEnd"/>
      <w:r w:rsidR="00DB1798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level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may decrease rather than increase over time</w:t>
      </w:r>
      <w:r w:rsidR="00DB1798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, to </w:t>
      </w:r>
      <w:r w:rsidR="00304483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provide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valuable diagnostic or prognostic information</w:t>
      </w:r>
      <w:r w:rsidR="00F81CF6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for evaluating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risk of</w:t>
      </w:r>
      <w:r w:rsidR="00CE4E5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autoimmune disease </w:t>
      </w:r>
      <w:r w:rsidR="00F81CF6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f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or endogenous disease specific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analytes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, for a specific immune</w:t>
      </w:r>
      <w:r w:rsidR="00CE4E5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disorder or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dysimmune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 condition.</w:t>
      </w:r>
    </w:p>
    <w:p w:rsidR="00DA58AF" w:rsidRPr="00014BD3" w:rsidRDefault="00DA58AF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snapToGrid w:val="0"/>
          <w:color w:val="000000"/>
          <w:sz w:val="24"/>
          <w:szCs w:val="24"/>
          <w:lang w:eastAsia="zh-CN"/>
        </w:rPr>
      </w:pPr>
    </w:p>
    <w:p w:rsidR="000D1C09" w:rsidRPr="00014BD3" w:rsidRDefault="001E5CF0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napToGrid w:val="0"/>
          <w:sz w:val="24"/>
          <w:szCs w:val="24"/>
        </w:rPr>
      </w:pPr>
      <w:r w:rsidRPr="00014BD3">
        <w:rPr>
          <w:rFonts w:ascii="Book Antiqua" w:hAnsi="Book Antiqua" w:cs="Times New Roman"/>
          <w:b/>
          <w:snapToGrid w:val="0"/>
          <w:sz w:val="24"/>
          <w:szCs w:val="24"/>
        </w:rPr>
        <w:t>THERAPY SELECTION</w:t>
      </w:r>
    </w:p>
    <w:p w:rsidR="000D1C09" w:rsidRPr="00014BD3" w:rsidRDefault="005245A3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S</w:t>
      </w:r>
      <w:r w:rsidR="001E5CF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elected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test </w:t>
      </w:r>
      <w:r w:rsidR="001E5CF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panels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determine whether a patient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at risk or diagnosed with an immune disorder, is a candidate for </w:t>
      </w:r>
      <w:r w:rsidR="00F56DCF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immuno</w:t>
      </w:r>
      <w:r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-</w:t>
      </w:r>
      <w:r w:rsidR="000F559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suppressive or immuno-absorption therapy.</w:t>
      </w:r>
      <w:r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The method assay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s a sample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for a plurality of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analytes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, wherein the presence of altered levels of at least one of the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analytes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or biomarkers indicates that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>dysimmunity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 xml:space="preserve"> may be contributing to the subject's immune or</w:t>
      </w:r>
      <w:r w:rsidR="001923F5"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 xml:space="preserve"> i</w:t>
      </w:r>
      <w:r w:rsidR="000F5592"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 xml:space="preserve">nflammatory disorder and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the</w:t>
      </w:r>
      <w:r w:rsidR="00EB499D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risk</w:t>
      </w:r>
      <w:r w:rsidR="005908E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s thereof. Therapy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can be </w:t>
      </w:r>
      <w:r w:rsidR="005908E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applied together with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one or more oth</w:t>
      </w:r>
      <w:r w:rsidR="0077793B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er tests, physical examination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and taking of medical history in accordance with standard practice for differential diagnosis of immune or inflammatory disorders.</w:t>
      </w:r>
    </w:p>
    <w:p w:rsidR="005B4CFA" w:rsidRPr="00014BD3" w:rsidRDefault="000809CE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</w:pP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Approving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 patient with immune d</w:t>
      </w:r>
      <w:r w:rsidR="005908E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isorder to receive therapeutic </w:t>
      </w:r>
      <w:r w:rsidR="00E34F7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immune-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modula</w:t>
      </w:r>
      <w:r w:rsidR="005908E5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tion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considers</w:t>
      </w:r>
      <w:r w:rsidR="00E34F72"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 xml:space="preserve">measured levels of serum autoantibodies or inflammatory mediators </w:t>
      </w:r>
      <w:r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 xml:space="preserve">using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 panel</w:t>
      </w:r>
      <w:r w:rsidR="0077793B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protocol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of different endogenous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analytes</w:t>
      </w:r>
      <w:proofErr w:type="spellEnd"/>
      <w:r w:rsidR="00E34F7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,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E34F7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in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comparison to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known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reference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samples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with clinically normal function and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lastRenderedPageBreak/>
        <w:t xml:space="preserve">confirmed reference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autoimmune </w:t>
      </w:r>
      <w:r w:rsidR="000F5592"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 xml:space="preserve">disease. A patient would receive immunotherapy </w:t>
      </w:r>
      <w:r w:rsidR="00E34F72"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 xml:space="preserve">if </w:t>
      </w:r>
      <w:r w:rsidR="000F5592"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>levels of at least</w:t>
      </w:r>
      <w:r w:rsidRPr="00014BD3">
        <w:rPr>
          <w:rFonts w:ascii="Book Antiqua" w:hAnsi="Book Antiqua" w:cs="Times New Roman"/>
          <w:snapToGrid w:val="0"/>
          <w:color w:val="000000"/>
          <w:w w:val="108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one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analyte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are</w:t>
      </w:r>
      <w:r w:rsidR="00882499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higher or lower than normal. A patient</w:t>
      </w:r>
      <w:r w:rsidR="000D1C09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882499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with 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an elevated level of at least one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analyte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may also be treated with </w:t>
      </w:r>
      <w:r w:rsidR="00E34F7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immune-</w:t>
      </w:r>
      <w:r w:rsidR="000F5592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suppressive therapy or </w:t>
      </w:r>
      <w:r w:rsidR="00E34F7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immune-</w:t>
      </w:r>
      <w:r w:rsidR="000F5592" w:rsidRPr="00014BD3">
        <w:rPr>
          <w:rFonts w:ascii="Book Antiqua" w:hAnsi="Book Antiqua" w:cs="Times New Roman"/>
          <w:snapToGrid w:val="0"/>
          <w:color w:val="000000"/>
          <w:w w:val="106"/>
          <w:sz w:val="24"/>
          <w:szCs w:val="24"/>
        </w:rPr>
        <w:t>absorption therapy in accordance with standard practice.</w:t>
      </w:r>
    </w:p>
    <w:p w:rsidR="005B4CFA" w:rsidRPr="00014BD3" w:rsidRDefault="005B4CFA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napToGrid w:val="0"/>
          <w:sz w:val="24"/>
          <w:szCs w:val="24"/>
        </w:rPr>
      </w:pPr>
    </w:p>
    <w:p w:rsidR="005B4CFA" w:rsidRPr="00014BD3" w:rsidRDefault="00A46E1D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napToGrid w:val="0"/>
          <w:sz w:val="24"/>
          <w:szCs w:val="24"/>
        </w:rPr>
      </w:pPr>
      <w:r w:rsidRPr="00014BD3">
        <w:rPr>
          <w:rFonts w:ascii="Book Antiqua" w:hAnsi="Book Antiqua" w:cs="Times New Roman"/>
          <w:b/>
          <w:snapToGrid w:val="0"/>
          <w:sz w:val="24"/>
          <w:szCs w:val="24"/>
        </w:rPr>
        <w:t>MULTIPLEX PLANAR MICROARRAY PANEL</w:t>
      </w:r>
      <w:r w:rsidR="008629B1" w:rsidRPr="00014BD3">
        <w:rPr>
          <w:rFonts w:ascii="Book Antiqua" w:hAnsi="Book Antiqua" w:cs="Times New Roman"/>
          <w:b/>
          <w:snapToGrid w:val="0"/>
          <w:sz w:val="24"/>
          <w:szCs w:val="24"/>
        </w:rPr>
        <w:t xml:space="preserve"> ASSAYS</w:t>
      </w:r>
    </w:p>
    <w:p w:rsidR="00DA58AF" w:rsidRPr="00014BD3" w:rsidRDefault="000F5592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napToGrid w:val="0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Multiplex planar microarray disease assay panel markers</w:t>
      </w:r>
      <w:r w:rsidR="00A46E1D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,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when printed into a microarray multiplex </w:t>
      </w:r>
      <w:r w:rsidR="005539D0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planar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assay promote the integration of differential diagnosis, evaluating </w:t>
      </w:r>
      <w:r w:rsidR="004D604A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disease</w:t>
      </w:r>
      <w:r w:rsidR="00572E67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="004D604A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severity and duration</w:t>
      </w:r>
      <w:r w:rsidR="00572E67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,</w:t>
      </w:r>
      <w:r w:rsidR="004D604A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disease</w:t>
      </w:r>
      <w:r w:rsidR="005B4CFA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prognosis  and monitoring response to treatment including</w:t>
      </w:r>
      <w:r w:rsidR="005B4CFA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5"/>
          <w:sz w:val="24"/>
          <w:szCs w:val="24"/>
        </w:rPr>
        <w:t>th</w:t>
      </w:r>
      <w:r w:rsidR="00E0610C" w:rsidRPr="00014BD3">
        <w:rPr>
          <w:rFonts w:ascii="Book Antiqua" w:hAnsi="Book Antiqua" w:cs="Times New Roman"/>
          <w:snapToGrid w:val="0"/>
          <w:color w:val="000000"/>
          <w:w w:val="105"/>
          <w:sz w:val="24"/>
          <w:szCs w:val="24"/>
        </w:rPr>
        <w:t xml:space="preserve">erapeutic monoclonal antibodies, </w:t>
      </w:r>
      <w:r w:rsidRPr="00014BD3">
        <w:rPr>
          <w:rFonts w:ascii="Book Antiqua" w:hAnsi="Book Antiqua" w:cs="Times New Roman"/>
          <w:snapToGrid w:val="0"/>
          <w:color w:val="000000"/>
          <w:w w:val="105"/>
          <w:sz w:val="24"/>
          <w:szCs w:val="24"/>
        </w:rPr>
        <w:t>on an individual patient basis</w:t>
      </w:r>
      <w:r w:rsidR="00DA58A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  <w:t>[13]</w:t>
      </w:r>
      <w:r w:rsidRPr="00014BD3">
        <w:rPr>
          <w:rFonts w:ascii="Book Antiqua" w:hAnsi="Book Antiqua" w:cs="Times New Roman"/>
          <w:snapToGrid w:val="0"/>
          <w:color w:val="000000"/>
          <w:w w:val="105"/>
          <w:sz w:val="24"/>
          <w:szCs w:val="24"/>
        </w:rPr>
        <w:t xml:space="preserve">. </w:t>
      </w:r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Each panel is comprised of biomarkers and therapeutic biologicals that are used in the diagnosis, differential diagnosis, prognosis and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>theranostic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monitoring of a patient in a</w:t>
      </w:r>
      <w:r w:rsidR="005B4CFA" w:rsidRPr="00014BD3">
        <w:rPr>
          <w:rFonts w:ascii="Book Antiqua" w:hAnsi="Book Antiqua" w:cs="Times New Roman"/>
          <w:snapToGrid w:val="0"/>
          <w:color w:val="000000"/>
          <w:w w:val="107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general disease classification, e.g. autoimmune diseases. Some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analytes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are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part of the clinical criteria for defining a</w:t>
      </w:r>
      <w:r w:rsidR="00C03D2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particular autoimmune disease </w:t>
      </w:r>
      <w:r w:rsidR="00865FEE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such as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R</w:t>
      </w:r>
      <w:r w:rsidR="00C03D2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heumatoid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F</w:t>
      </w:r>
      <w:r w:rsidR="00C03D2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actor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in R</w:t>
      </w:r>
      <w:r w:rsidR="00C03D2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heumatoid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</w:t>
      </w:r>
      <w:r w:rsidR="00C03D2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rthritis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. Additionally, several phenotypes of other autoimmune disease may be co-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existant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,</w:t>
      </w:r>
      <w:r w:rsidR="005B4CFA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961224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confounding a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diagnosis based on clinical grounds alone. For example, arthritic disease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includes rheumatoid arthritis, idiopathic arthritis, polyarthritis, osteoarthritis and mixed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phenotypes (psoriatic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arthropathy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, arthritis w</w:t>
      </w:r>
      <w:r w:rsidR="00961224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ith inflammatory bowel disease). E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ach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may have particular markers and </w:t>
      </w:r>
      <w:r w:rsidR="00B72A56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associated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treatments. Their inclusion into one panel aids in the differential diagnosis (Bayes Theorem; decision tree analysis) in terms of positive predictive values and odds ratios for ruling in or out a particular phenotype based on clinical presentation and results from laboratory testing. </w:t>
      </w:r>
    </w:p>
    <w:p w:rsidR="00DA58AF" w:rsidRPr="00014BD3" w:rsidRDefault="000F5592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482"/>
        <w:jc w:val="both"/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Prognostic markers to ascertain the disease duration, severity, activity (remission or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relapse), organ system involvement and response to effective treatment are also included in the multiplex planar microarray disease panel assay</w:t>
      </w:r>
      <w:r w:rsidR="00C03D2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s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. Where applicable</w:t>
      </w:r>
      <w:r w:rsidR="002E4C7C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,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measurable </w:t>
      </w:r>
      <w:r w:rsidRPr="00014BD3">
        <w:rPr>
          <w:rFonts w:ascii="Book Antiqua" w:hAnsi="Book Antiqua" w:cs="Times New Roman"/>
          <w:snapToGrid w:val="0"/>
          <w:color w:val="000000"/>
          <w:spacing w:val="-1"/>
          <w:sz w:val="24"/>
          <w:szCs w:val="24"/>
        </w:rPr>
        <w:t>biological drugs</w:t>
      </w:r>
      <w:r w:rsidR="00C03D2F" w:rsidRPr="00014BD3">
        <w:rPr>
          <w:rFonts w:ascii="Book Antiqua" w:hAnsi="Book Antiqua" w:cs="Times New Roman"/>
          <w:snapToGrid w:val="0"/>
          <w:color w:val="000000"/>
          <w:spacing w:val="-1"/>
          <w:sz w:val="24"/>
          <w:szCs w:val="24"/>
        </w:rPr>
        <w:t>,</w:t>
      </w:r>
      <w:r w:rsidRPr="00014BD3">
        <w:rPr>
          <w:rFonts w:ascii="Book Antiqua" w:hAnsi="Book Antiqua" w:cs="Times New Roman"/>
          <w:snapToGrid w:val="0"/>
          <w:color w:val="000000"/>
          <w:spacing w:val="-1"/>
          <w:sz w:val="24"/>
          <w:szCs w:val="24"/>
        </w:rPr>
        <w:t xml:space="preserve"> </w:t>
      </w:r>
      <w:r w:rsidR="00C03D2F" w:rsidRPr="00014BD3">
        <w:rPr>
          <w:rFonts w:ascii="Book Antiqua" w:hAnsi="Book Antiqua" w:cs="Times New Roman"/>
          <w:snapToGrid w:val="0"/>
          <w:color w:val="000000"/>
          <w:spacing w:val="-1"/>
          <w:sz w:val="24"/>
          <w:szCs w:val="24"/>
        </w:rPr>
        <w:t xml:space="preserve">especially </w:t>
      </w:r>
      <w:r w:rsidRPr="00014BD3">
        <w:rPr>
          <w:rFonts w:ascii="Book Antiqua" w:hAnsi="Book Antiqua" w:cs="Times New Roman"/>
          <w:snapToGrid w:val="0"/>
          <w:color w:val="000000"/>
          <w:spacing w:val="-1"/>
          <w:sz w:val="24"/>
          <w:szCs w:val="24"/>
        </w:rPr>
        <w:t>therapeutic monoclonal antibodies</w:t>
      </w:r>
      <w:r w:rsidR="00C03D2F" w:rsidRPr="00014BD3">
        <w:rPr>
          <w:rFonts w:ascii="Book Antiqua" w:hAnsi="Book Antiqua" w:cs="Times New Roman"/>
          <w:snapToGrid w:val="0"/>
          <w:color w:val="000000"/>
          <w:spacing w:val="-1"/>
          <w:sz w:val="24"/>
          <w:szCs w:val="24"/>
        </w:rPr>
        <w:t xml:space="preserve">, </w:t>
      </w:r>
      <w:r w:rsidR="002E4C7C" w:rsidRPr="00014BD3">
        <w:rPr>
          <w:rFonts w:ascii="Book Antiqua" w:hAnsi="Book Antiqua" w:cs="Times New Roman"/>
          <w:snapToGrid w:val="0"/>
          <w:color w:val="000000"/>
          <w:spacing w:val="-1"/>
          <w:sz w:val="24"/>
          <w:szCs w:val="24"/>
        </w:rPr>
        <w:t xml:space="preserve">also constitute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theranostic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C03D2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data</w:t>
      </w:r>
      <w:r w:rsidR="007441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to monitor how diagnostic markers fluctuate in response to treatment and to measure pharmacokinetics of the biologic</w:t>
      </w:r>
      <w:r w:rsidR="002E4C7C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s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.</w:t>
      </w:r>
    </w:p>
    <w:p w:rsidR="00C33D07" w:rsidRPr="00014BD3" w:rsidRDefault="000F5592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200" w:firstLine="482"/>
        <w:jc w:val="both"/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</w:pP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lastRenderedPageBreak/>
        <w:t>Diagnomic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marker </w:t>
      </w:r>
      <w:proofErr w:type="spellStart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analyte</w:t>
      </w:r>
      <w:proofErr w:type="spellEnd"/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classes include auto</w:t>
      </w:r>
      <w:r w:rsidR="004F7346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-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antibodies, serum </w:t>
      </w:r>
      <w:r w:rsidR="004F7346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immune-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globulins,</w:t>
      </w:r>
      <w:r w:rsidR="005B4CFA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immune complexes, therapeutic antibodies detected as IgG, IgM or IgA immunoglobulin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classes, as well as antigen capture formats for acute phase reactants, cytokines, chemokines, growth factors and inflammatory mediators.</w:t>
      </w:r>
      <w:r w:rsidR="007441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Panels for Autoimmune Disease include </w:t>
      </w:r>
      <w:r w:rsidRPr="00014BD3">
        <w:rPr>
          <w:rFonts w:ascii="Book Antiqua" w:hAnsi="Book Antiqua" w:cs="Times New Roman"/>
          <w:snapToGrid w:val="0"/>
          <w:color w:val="000000"/>
          <w:w w:val="103"/>
          <w:sz w:val="24"/>
          <w:szCs w:val="24"/>
        </w:rPr>
        <w:t>Arthritis,</w:t>
      </w:r>
      <w:r w:rsidR="00744192" w:rsidRPr="00014BD3">
        <w:rPr>
          <w:rFonts w:ascii="Book Antiqua" w:hAnsi="Book Antiqua" w:cs="Times New Roman"/>
          <w:snapToGrid w:val="0"/>
          <w:color w:val="000000"/>
          <w:w w:val="103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Vasculitis</w:t>
      </w:r>
      <w:r w:rsidR="007441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,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Nephritis Hematologic Disorders,</w:t>
      </w:r>
      <w:r w:rsidR="007441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2"/>
          <w:sz w:val="24"/>
          <w:szCs w:val="24"/>
        </w:rPr>
        <w:t>Celiac and IBD and</w:t>
      </w:r>
      <w:r w:rsidR="00744192" w:rsidRPr="00014BD3">
        <w:rPr>
          <w:rFonts w:ascii="Book Antiqua" w:hAnsi="Book Antiqua" w:cs="Times New Roman"/>
          <w:snapToGrid w:val="0"/>
          <w:color w:val="000000"/>
          <w:w w:val="102"/>
          <w:sz w:val="24"/>
          <w:szCs w:val="24"/>
        </w:rPr>
        <w:t xml:space="preserve"> </w:t>
      </w:r>
      <w:r w:rsidRPr="00014BD3">
        <w:rPr>
          <w:rFonts w:ascii="Book Antiqua" w:hAnsi="Book Antiqua" w:cs="Times New Roman"/>
          <w:snapToGrid w:val="0"/>
          <w:color w:val="000000"/>
          <w:w w:val="104"/>
          <w:sz w:val="24"/>
          <w:szCs w:val="24"/>
        </w:rPr>
        <w:t>Thyroiditis.</w:t>
      </w:r>
    </w:p>
    <w:p w:rsidR="00C33D07" w:rsidRPr="00014BD3" w:rsidRDefault="00C33D07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color w:val="000000"/>
          <w:w w:val="104"/>
          <w:sz w:val="24"/>
          <w:szCs w:val="24"/>
          <w:lang w:eastAsia="zh-CN"/>
        </w:rPr>
      </w:pPr>
    </w:p>
    <w:p w:rsidR="00C33D07" w:rsidRPr="00014BD3" w:rsidRDefault="006A53D0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</w:rPr>
      </w:pPr>
      <w:r w:rsidRPr="00014BD3"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</w:rPr>
        <w:t>CONCLUSION</w:t>
      </w:r>
    </w:p>
    <w:p w:rsidR="00F12E31" w:rsidRPr="00014BD3" w:rsidRDefault="00C33D07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  <w:lang w:eastAsia="zh-CN"/>
        </w:rPr>
      </w:pPr>
      <w:r w:rsidRPr="00014BD3">
        <w:rPr>
          <w:rFonts w:ascii="Book Antiqua" w:hAnsi="Book Antiqua" w:cs="Times New Roman"/>
          <w:b/>
          <w:snapToGrid w:val="0"/>
          <w:color w:val="000000"/>
          <w:spacing w:val="2"/>
          <w:sz w:val="24"/>
          <w:szCs w:val="24"/>
        </w:rPr>
        <w:t xml:space="preserve"> T</w:t>
      </w:r>
      <w:r w:rsidR="000D7EBD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hese multiplex planar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microarray disease panel </w:t>
      </w:r>
      <w:r w:rsidR="000D7EBD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quantitative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assays diagnose particular autoimmune disease</w:t>
      </w:r>
      <w:r w:rsidR="00817A0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, such as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rheumatoid arthritis, vasculitis, nephritis, celiac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817A0A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disease and </w:t>
      </w:r>
      <w:proofErr w:type="spellStart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Crohns</w:t>
      </w:r>
      <w:proofErr w:type="spellEnd"/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' disease. Similar panels can be designed for other inflammatory</w:t>
      </w:r>
      <w:r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conditions and allergic diseases. Multiplex Planar Microarray Assays can also be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used for differential diagnosis of a particular disease subtype in a spectrum of related </w:t>
      </w:r>
      <w:r w:rsidR="009E278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diseases </w:t>
      </w:r>
      <w:r w:rsidR="00817A0A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as in r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heumatoid arthritis vs. osteoarthritis o</w:t>
      </w:r>
      <w:r w:rsidR="009E278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r juvenile idiopathic arthritis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. </w:t>
      </w:r>
      <w:r w:rsidR="002B1C5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Disease prognosis in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specific disease or spectrum of related diseases</w:t>
      </w:r>
      <w:r w:rsidR="002B1C5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,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with detection of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disease activity, severity and organ system involvement markers</w:t>
      </w:r>
      <w:r w:rsidR="002B1C5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,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is an add</w:t>
      </w:r>
      <w:r w:rsidR="002B1C5F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itional</w:t>
      </w:r>
      <w:r w:rsidR="000F5592"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benefit.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 xml:space="preserve"> 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Multiplex Planar Microarray Assays can be applied to pharmacokinetic studies and therapeutic drug monitoring of biological drugs used to treat cancer and autoimmune diseases (</w:t>
      </w:r>
      <w:r w:rsidR="000F5592" w:rsidRPr="00014BD3">
        <w:rPr>
          <w:rFonts w:ascii="Book Antiqua" w:hAnsi="Book Antiqua" w:cs="Times New Roman"/>
          <w:i/>
          <w:snapToGrid w:val="0"/>
          <w:color w:val="000000"/>
          <w:spacing w:val="2"/>
          <w:sz w:val="24"/>
          <w:szCs w:val="24"/>
        </w:rPr>
        <w:t>e</w:t>
      </w:r>
      <w:r w:rsidR="00731110" w:rsidRPr="00014BD3">
        <w:rPr>
          <w:rFonts w:ascii="Book Antiqua" w:hAnsi="Book Antiqua" w:cs="Times New Roman"/>
          <w:i/>
          <w:snapToGrid w:val="0"/>
          <w:color w:val="000000"/>
          <w:spacing w:val="2"/>
          <w:sz w:val="24"/>
          <w:szCs w:val="24"/>
          <w:lang w:eastAsia="zh-CN"/>
        </w:rPr>
        <w:t>.</w:t>
      </w:r>
      <w:r w:rsidR="000F5592" w:rsidRPr="00014BD3">
        <w:rPr>
          <w:rFonts w:ascii="Book Antiqua" w:hAnsi="Book Antiqua" w:cs="Times New Roman"/>
          <w:i/>
          <w:snapToGrid w:val="0"/>
          <w:color w:val="000000"/>
          <w:spacing w:val="2"/>
          <w:sz w:val="24"/>
          <w:szCs w:val="24"/>
        </w:rPr>
        <w:t>g.</w:t>
      </w:r>
      <w:r w:rsidR="00731110" w:rsidRPr="00014BD3">
        <w:rPr>
          <w:rFonts w:ascii="Book Antiqua" w:hAnsi="Book Antiqua" w:cs="Times New Roman"/>
          <w:i/>
          <w:snapToGrid w:val="0"/>
          <w:color w:val="000000"/>
          <w:spacing w:val="2"/>
          <w:sz w:val="24"/>
          <w:szCs w:val="24"/>
          <w:lang w:eastAsia="zh-CN"/>
        </w:rPr>
        <w:t>,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therapeutic monoclonal antibodies), </w:t>
      </w:r>
      <w:r w:rsidR="002B1C5F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>as well as</w:t>
      </w:r>
      <w:r w:rsidR="000F5592" w:rsidRPr="00014BD3">
        <w:rPr>
          <w:rFonts w:ascii="Book Antiqua" w:hAnsi="Book Antiqua" w:cs="Times New Roman"/>
          <w:snapToGrid w:val="0"/>
          <w:color w:val="000000"/>
          <w:spacing w:val="2"/>
          <w:sz w:val="24"/>
          <w:szCs w:val="24"/>
        </w:rPr>
        <w:t xml:space="preserve"> biomarkers that fluctuate in </w:t>
      </w:r>
      <w:r w:rsidRPr="00014BD3">
        <w:rPr>
          <w:rFonts w:ascii="Book Antiqua" w:hAnsi="Book Antiqua" w:cs="Times New Roman"/>
          <w:snapToGrid w:val="0"/>
          <w:color w:val="000000"/>
          <w:spacing w:val="1"/>
          <w:sz w:val="24"/>
          <w:szCs w:val="24"/>
        </w:rPr>
        <w:t>response to treatment.</w:t>
      </w:r>
    </w:p>
    <w:p w:rsidR="00F12E31" w:rsidRPr="00014BD3" w:rsidRDefault="00CE4889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napToGrid w:val="0"/>
          <w:color w:val="000000"/>
          <w:spacing w:val="1"/>
          <w:sz w:val="24"/>
          <w:szCs w:val="24"/>
        </w:rPr>
      </w:pPr>
      <w:r w:rsidRPr="00014BD3">
        <w:rPr>
          <w:rFonts w:ascii="Book Antiqua" w:hAnsi="Book Antiqua" w:cs="Times New Roman"/>
          <w:b/>
          <w:snapToGrid w:val="0"/>
          <w:color w:val="000000"/>
          <w:spacing w:val="1"/>
          <w:sz w:val="24"/>
          <w:szCs w:val="24"/>
        </w:rPr>
        <w:t>REFERENC</w:t>
      </w:r>
      <w:r w:rsidR="00F12E31" w:rsidRPr="00014BD3">
        <w:rPr>
          <w:rFonts w:ascii="Book Antiqua" w:hAnsi="Book Antiqua" w:cs="Times New Roman"/>
          <w:b/>
          <w:snapToGrid w:val="0"/>
          <w:color w:val="000000"/>
          <w:spacing w:val="1"/>
          <w:sz w:val="24"/>
          <w:szCs w:val="24"/>
        </w:rPr>
        <w:t>ES</w:t>
      </w:r>
    </w:p>
    <w:p w:rsidR="00A932E6" w:rsidRPr="00014BD3" w:rsidRDefault="00A932E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sz w:val="24"/>
          <w:szCs w:val="24"/>
        </w:rPr>
      </w:pP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1 </w:t>
      </w:r>
      <w:proofErr w:type="spellStart"/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Dotzlaw</w:t>
      </w:r>
      <w:proofErr w:type="spellEnd"/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 xml:space="preserve"> H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, Eggert M, </w:t>
      </w:r>
      <w:proofErr w:type="spell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Neeck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G, Schulz M. Spots, blots, peaks and chips: proteomic approaches in autoimmune diseases.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Curr</w:t>
      </w:r>
      <w:proofErr w:type="spellEnd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 xml:space="preserve"> Pharm Des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2006; </w:t>
      </w:r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12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: 3699-3706 [PMID: 17073669 DOI: 10.2174/138161206778559704]</w:t>
      </w:r>
    </w:p>
    <w:p w:rsidR="00A932E6" w:rsidRPr="00014BD3" w:rsidRDefault="00A932E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</w:pPr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  <w:t xml:space="preserve">2 </w:t>
      </w:r>
      <w:r w:rsidRPr="00014BD3">
        <w:rPr>
          <w:rFonts w:ascii="Book Antiqua" w:eastAsia="宋体" w:hAnsi="Book Antiqua" w:cs="宋体"/>
          <w:b/>
          <w:snapToGrid w:val="0"/>
          <w:color w:val="000000" w:themeColor="text1"/>
          <w:sz w:val="24"/>
          <w:szCs w:val="24"/>
        </w:rPr>
        <w:t>Lea P,</w:t>
      </w:r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  <w:t xml:space="preserve"> Keystone E, </w:t>
      </w:r>
      <w:proofErr w:type="spellStart"/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  <w:t>Mudumba</w:t>
      </w:r>
      <w:proofErr w:type="spellEnd"/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  <w:t xml:space="preserve"> S, </w:t>
      </w:r>
      <w:proofErr w:type="spellStart"/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  <w:t>Kahama</w:t>
      </w:r>
      <w:proofErr w:type="spellEnd"/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  <w:t xml:space="preserve"> A, Ding S-F, Hansen J, Azad AA, Wang S, Weber. </w:t>
      </w:r>
      <w:bookmarkStart w:id="21" w:name="OLE_LINK20"/>
      <w:bookmarkStart w:id="22" w:name="OLE_LINK21"/>
      <w:proofErr w:type="gramStart"/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  <w:t>Advantages of Multiplex Proteomics in Clinical Immunology.</w:t>
      </w:r>
      <w:proofErr w:type="gramEnd"/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  <w:t xml:space="preserve"> The Case of Rheumatoid Arthritis: Novel </w:t>
      </w:r>
      <w:proofErr w:type="spellStart"/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  <w:t>IgXPLEX</w:t>
      </w:r>
      <w:proofErr w:type="spellEnd"/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  <w:t xml:space="preserve"> Planar Microarray Diagnosis. </w:t>
      </w:r>
      <w:r w:rsidRPr="00014BD3">
        <w:rPr>
          <w:rFonts w:ascii="Book Antiqua" w:eastAsia="宋体" w:hAnsi="Book Antiqua" w:cs="宋体"/>
          <w:i/>
          <w:snapToGrid w:val="0"/>
          <w:color w:val="000000" w:themeColor="text1"/>
          <w:sz w:val="24"/>
          <w:szCs w:val="24"/>
        </w:rPr>
        <w:t xml:space="preserve">Clinic Rev </w:t>
      </w:r>
      <w:proofErr w:type="spellStart"/>
      <w:r w:rsidRPr="00014BD3">
        <w:rPr>
          <w:rFonts w:ascii="Book Antiqua" w:eastAsia="宋体" w:hAnsi="Book Antiqua" w:cs="宋体"/>
          <w:i/>
          <w:snapToGrid w:val="0"/>
          <w:color w:val="000000" w:themeColor="text1"/>
          <w:sz w:val="24"/>
          <w:szCs w:val="24"/>
        </w:rPr>
        <w:t>Allerg</w:t>
      </w:r>
      <w:proofErr w:type="spellEnd"/>
      <w:r w:rsidRPr="00014BD3">
        <w:rPr>
          <w:rFonts w:ascii="Book Antiqua" w:eastAsia="宋体" w:hAnsi="Book Antiqua" w:cs="宋体"/>
          <w:i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014BD3">
        <w:rPr>
          <w:rFonts w:ascii="Book Antiqua" w:eastAsia="宋体" w:hAnsi="Book Antiqua" w:cs="宋体"/>
          <w:i/>
          <w:snapToGrid w:val="0"/>
          <w:color w:val="000000" w:themeColor="text1"/>
          <w:sz w:val="24"/>
          <w:szCs w:val="24"/>
        </w:rPr>
        <w:t>Immunol</w:t>
      </w:r>
      <w:proofErr w:type="spellEnd"/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  <w:t xml:space="preserve"> </w:t>
      </w:r>
      <w:bookmarkEnd w:id="21"/>
      <w:bookmarkEnd w:id="22"/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  <w:t xml:space="preserve">2011; </w:t>
      </w:r>
      <w:r w:rsidRPr="00014BD3">
        <w:rPr>
          <w:rFonts w:ascii="Book Antiqua" w:eastAsia="宋体" w:hAnsi="Book Antiqua" w:cs="宋体"/>
          <w:b/>
          <w:snapToGrid w:val="0"/>
          <w:color w:val="000000" w:themeColor="text1"/>
          <w:sz w:val="24"/>
          <w:szCs w:val="24"/>
        </w:rPr>
        <w:t>41</w:t>
      </w:r>
      <w:r w:rsidRPr="00014BD3">
        <w:rPr>
          <w:rFonts w:ascii="Book Antiqua" w:eastAsia="宋体" w:hAnsi="Book Antiqua" w:cs="宋体"/>
          <w:snapToGrid w:val="0"/>
          <w:color w:val="000000" w:themeColor="text1"/>
          <w:sz w:val="24"/>
          <w:szCs w:val="24"/>
        </w:rPr>
        <w:t>: 20-35 [DOI .1007/s12016-009-8189-z]</w:t>
      </w:r>
    </w:p>
    <w:p w:rsidR="00A932E6" w:rsidRPr="00014BD3" w:rsidRDefault="00A932E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sz w:val="24"/>
          <w:szCs w:val="24"/>
        </w:rPr>
      </w:pPr>
      <w:proofErr w:type="gram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3 </w:t>
      </w:r>
      <w:proofErr w:type="spellStart"/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Tozzoli</w:t>
      </w:r>
      <w:proofErr w:type="spellEnd"/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 xml:space="preserve"> R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.</w:t>
      </w:r>
      <w:proofErr w:type="gram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</w:t>
      </w:r>
      <w:proofErr w:type="gram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The diagnostic role of autoantibodies in the prediction of organ-specific autoimmune diseases.</w:t>
      </w:r>
      <w:proofErr w:type="gram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Clin</w:t>
      </w:r>
      <w:proofErr w:type="spellEnd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 xml:space="preserve">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Chem</w:t>
      </w:r>
      <w:proofErr w:type="spellEnd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 xml:space="preserve"> Lab Med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2008; </w:t>
      </w:r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46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: 577-587 [PMID: 18839462 DOI: 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lastRenderedPageBreak/>
        <w:t>10.1515/CCLM.2008.138]</w:t>
      </w:r>
    </w:p>
    <w:p w:rsidR="00A932E6" w:rsidRPr="00014BD3" w:rsidRDefault="00A932E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sz w:val="24"/>
          <w:szCs w:val="24"/>
        </w:rPr>
      </w:pPr>
      <w:proofErr w:type="gram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4 </w:t>
      </w:r>
      <w:proofErr w:type="spellStart"/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Bizzaro</w:t>
      </w:r>
      <w:proofErr w:type="spellEnd"/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 xml:space="preserve"> N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.</w:t>
      </w:r>
      <w:proofErr w:type="gram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</w:t>
      </w:r>
      <w:proofErr w:type="gram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The predictive significance of autoantibodies in organ-specific autoimmune diseases.</w:t>
      </w:r>
      <w:proofErr w:type="gram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Clin</w:t>
      </w:r>
      <w:proofErr w:type="spellEnd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 xml:space="preserve"> Rev Allergy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Immunol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2008; </w:t>
      </w:r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34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: 326-331 [PMID: 18085442 DOI: 10.1007/s12016-007-8059-5]</w:t>
      </w:r>
    </w:p>
    <w:p w:rsidR="00A932E6" w:rsidRPr="00014BD3" w:rsidRDefault="00A932E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sz w:val="24"/>
          <w:szCs w:val="24"/>
        </w:rPr>
      </w:pP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5 </w:t>
      </w:r>
      <w:proofErr w:type="gramStart"/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Lea</w:t>
      </w:r>
      <w:proofErr w:type="gramEnd"/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 xml:space="preserve"> P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, Ling M. </w:t>
      </w:r>
      <w:proofErr w:type="gram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New molecular assays for cancer diagnosis and targeted therapy.</w:t>
      </w:r>
      <w:proofErr w:type="gram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Curr</w:t>
      </w:r>
      <w:proofErr w:type="spellEnd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 xml:space="preserve">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Opin</w:t>
      </w:r>
      <w:proofErr w:type="spellEnd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 xml:space="preserve">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Mol</w:t>
      </w:r>
      <w:proofErr w:type="spellEnd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 xml:space="preserve">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Ther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2008; </w:t>
      </w:r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10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: 251-259 [PMID: 18535932]</w:t>
      </w:r>
    </w:p>
    <w:p w:rsidR="00A932E6" w:rsidRPr="00014BD3" w:rsidRDefault="00A932E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sz w:val="24"/>
          <w:szCs w:val="24"/>
        </w:rPr>
      </w:pPr>
      <w:proofErr w:type="gram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6 </w:t>
      </w:r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Wu T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, Mohan C. Proteomic toolbox for autoimmunity research.</w:t>
      </w:r>
      <w:proofErr w:type="gram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Autoimmun</w:t>
      </w:r>
      <w:proofErr w:type="spellEnd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 xml:space="preserve"> Rev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2009; </w:t>
      </w:r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8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: 595-598 [PMID: 19393208 DOI: 10.1016/j.autrev.2009.01.019]</w:t>
      </w:r>
    </w:p>
    <w:p w:rsidR="00A932E6" w:rsidRPr="00014BD3" w:rsidRDefault="00A932E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sz w:val="24"/>
          <w:szCs w:val="24"/>
        </w:rPr>
      </w:pP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7 </w:t>
      </w:r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Ling MM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, Ricks C, Lea P. Multiplexing molecular diagnostics and immunoassays using emerging microarray technologies. </w:t>
      </w:r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 xml:space="preserve">Expert Rev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Mol</w:t>
      </w:r>
      <w:proofErr w:type="spellEnd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 xml:space="preserve">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Diagn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2007; </w:t>
      </w:r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7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: 87-98 [PMID: 17187487 DOI: 10.1586/14737159.7.1.87]</w:t>
      </w:r>
    </w:p>
    <w:p w:rsidR="00A932E6" w:rsidRPr="00014BD3" w:rsidRDefault="00A932E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sz w:val="24"/>
          <w:szCs w:val="24"/>
        </w:rPr>
      </w:pP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8 </w:t>
      </w:r>
      <w:proofErr w:type="spellStart"/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Plebani</w:t>
      </w:r>
      <w:proofErr w:type="spellEnd"/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 xml:space="preserve"> M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, </w:t>
      </w:r>
      <w:proofErr w:type="spell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Pittoni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M, </w:t>
      </w:r>
      <w:proofErr w:type="spell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Celadin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M, </w:t>
      </w:r>
      <w:proofErr w:type="spell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Bernardi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D, </w:t>
      </w:r>
      <w:proofErr w:type="spell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Mion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MM. Recent advances in diagnostic technologies for autoimmune diseases.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Autoimmun</w:t>
      </w:r>
      <w:proofErr w:type="spellEnd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 xml:space="preserve"> Rev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2009; </w:t>
      </w:r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8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: 238-243 [PMID: 18718878 DOI: 10.1016/j.autrev.2008.07.032]</w:t>
      </w:r>
    </w:p>
    <w:p w:rsidR="00A932E6" w:rsidRPr="00014BD3" w:rsidRDefault="00A932E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sz w:val="24"/>
          <w:szCs w:val="24"/>
        </w:rPr>
      </w:pP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9 </w:t>
      </w:r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Gibson DS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, </w:t>
      </w:r>
      <w:proofErr w:type="spell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Banha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J, </w:t>
      </w:r>
      <w:proofErr w:type="spell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Penque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D, Costa L, </w:t>
      </w:r>
      <w:proofErr w:type="spell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Conrads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TP, Cahill DJ, O'Brien JK, Rooney ME. </w:t>
      </w:r>
      <w:proofErr w:type="gram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Diagnostic and prognostic biomarker discovery strategies for autoimmune disorders.</w:t>
      </w:r>
      <w:proofErr w:type="gram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</w:t>
      </w:r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J Proteomics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2010; </w:t>
      </w:r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73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: 1045-1060 [PMID: 19995622 DOI: 10.1016/j.jprot.2009.11.013]</w:t>
      </w:r>
    </w:p>
    <w:p w:rsidR="00A932E6" w:rsidRPr="00014BD3" w:rsidRDefault="00A932E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sz w:val="24"/>
          <w:szCs w:val="24"/>
        </w:rPr>
      </w:pP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10</w:t>
      </w:r>
      <w:r w:rsidRPr="00014BD3">
        <w:rPr>
          <w:rFonts w:ascii="Book Antiqua" w:eastAsia="宋体" w:hAnsi="Book Antiqua" w:cs="宋体"/>
          <w:b/>
          <w:snapToGrid w:val="0"/>
          <w:sz w:val="24"/>
          <w:szCs w:val="24"/>
        </w:rPr>
        <w:t xml:space="preserve"> </w:t>
      </w:r>
      <w:proofErr w:type="spellStart"/>
      <w:r w:rsidRPr="00014BD3">
        <w:rPr>
          <w:rFonts w:ascii="Book Antiqua" w:eastAsia="宋体" w:hAnsi="Book Antiqua" w:cs="宋体"/>
          <w:b/>
          <w:snapToGrid w:val="0"/>
          <w:sz w:val="24"/>
          <w:szCs w:val="24"/>
        </w:rPr>
        <w:t>Shoenfeld</w:t>
      </w:r>
      <w:proofErr w:type="spellEnd"/>
      <w:r w:rsidRPr="00014BD3">
        <w:rPr>
          <w:rFonts w:ascii="Book Antiqua" w:eastAsia="宋体" w:hAnsi="Book Antiqua" w:cs="宋体"/>
          <w:b/>
          <w:snapToGrid w:val="0"/>
          <w:sz w:val="24"/>
          <w:szCs w:val="24"/>
        </w:rPr>
        <w:t xml:space="preserve"> Y, </w:t>
      </w:r>
      <w:proofErr w:type="spellStart"/>
      <w:r w:rsidR="00063A11">
        <w:rPr>
          <w:rFonts w:ascii="Book Antiqua" w:eastAsia="宋体" w:hAnsi="Book Antiqua" w:cs="宋体"/>
          <w:snapToGrid w:val="0"/>
          <w:sz w:val="24"/>
          <w:szCs w:val="24"/>
        </w:rPr>
        <w:t>Cervera</w:t>
      </w:r>
      <w:proofErr w:type="spellEnd"/>
      <w:r w:rsidR="00063A11">
        <w:rPr>
          <w:rFonts w:ascii="Book Antiqua" w:eastAsia="宋体" w:hAnsi="Book Antiqua" w:cs="宋体"/>
          <w:snapToGrid w:val="0"/>
          <w:sz w:val="24"/>
          <w:szCs w:val="24"/>
        </w:rPr>
        <w:t xml:space="preserve"> R, Gershwin M, eds.</w:t>
      </w:r>
      <w:bookmarkStart w:id="23" w:name="_GoBack"/>
      <w:bookmarkEnd w:id="23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In: Diagnostic Criteria in Autoimmune Diseases. Humana Press, 2008: 593 [DOI: 10.1007/978-1-60327-285-8]</w:t>
      </w:r>
    </w:p>
    <w:p w:rsidR="00A932E6" w:rsidRPr="00014BD3" w:rsidRDefault="00A932E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sz w:val="24"/>
          <w:szCs w:val="24"/>
        </w:rPr>
      </w:pPr>
      <w:proofErr w:type="gram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11 </w:t>
      </w:r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Kay AB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. Allergy and allergic diseases.</w:t>
      </w:r>
      <w:proofErr w:type="gram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</w:t>
      </w:r>
      <w:proofErr w:type="gram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First of two parts.</w:t>
      </w:r>
      <w:proofErr w:type="gram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</w:t>
      </w:r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 xml:space="preserve">N </w:t>
      </w:r>
      <w:proofErr w:type="spellStart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>Engl</w:t>
      </w:r>
      <w:proofErr w:type="spellEnd"/>
      <w:r w:rsidRPr="00014BD3">
        <w:rPr>
          <w:rFonts w:ascii="Book Antiqua" w:eastAsia="宋体" w:hAnsi="Book Antiqua" w:cs="宋体"/>
          <w:i/>
          <w:iCs/>
          <w:snapToGrid w:val="0"/>
          <w:sz w:val="24"/>
          <w:szCs w:val="24"/>
        </w:rPr>
        <w:t xml:space="preserve"> J Med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2001; </w:t>
      </w:r>
      <w:r w:rsidRPr="00014BD3">
        <w:rPr>
          <w:rFonts w:ascii="Book Antiqua" w:eastAsia="宋体" w:hAnsi="Book Antiqua" w:cs="宋体"/>
          <w:b/>
          <w:bCs/>
          <w:snapToGrid w:val="0"/>
          <w:sz w:val="24"/>
          <w:szCs w:val="24"/>
        </w:rPr>
        <w:t>344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: 30-37 [PMID: 11136958 DOI: 10.1056/NEJM200101043440106]</w:t>
      </w:r>
    </w:p>
    <w:p w:rsidR="00A932E6" w:rsidRPr="00014BD3" w:rsidRDefault="00A932E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sz w:val="24"/>
          <w:szCs w:val="24"/>
        </w:rPr>
      </w:pP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12 </w:t>
      </w:r>
      <w:proofErr w:type="spellStart"/>
      <w:r w:rsidRPr="00014BD3">
        <w:rPr>
          <w:rFonts w:ascii="Book Antiqua" w:eastAsia="宋体" w:hAnsi="Book Antiqua" w:cs="宋体"/>
          <w:b/>
          <w:snapToGrid w:val="0"/>
          <w:sz w:val="24"/>
          <w:szCs w:val="24"/>
        </w:rPr>
        <w:t>Shapira</w:t>
      </w:r>
      <w:proofErr w:type="spellEnd"/>
      <w:r w:rsidRPr="00014BD3">
        <w:rPr>
          <w:rFonts w:ascii="Book Antiqua" w:eastAsia="宋体" w:hAnsi="Book Antiqua" w:cs="宋体"/>
          <w:b/>
          <w:snapToGrid w:val="0"/>
          <w:sz w:val="24"/>
          <w:szCs w:val="24"/>
        </w:rPr>
        <w:t xml:space="preserve"> Y, </w:t>
      </w:r>
      <w:proofErr w:type="spell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Agmon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-Levin N, </w:t>
      </w:r>
      <w:proofErr w:type="spell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Schoenfeld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Y. Defining and analyzing </w:t>
      </w:r>
      <w:proofErr w:type="spell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geoepidemiology</w:t>
      </w:r>
      <w:proofErr w:type="spell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and human autoimmunity.</w:t>
      </w:r>
      <w:r w:rsidRPr="00014BD3">
        <w:rPr>
          <w:rFonts w:ascii="Book Antiqua" w:eastAsia="宋体" w:hAnsi="Book Antiqua" w:cs="宋体"/>
          <w:i/>
          <w:snapToGrid w:val="0"/>
          <w:sz w:val="24"/>
          <w:szCs w:val="24"/>
        </w:rPr>
        <w:t xml:space="preserve"> J Autoimmunity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2010; </w:t>
      </w:r>
      <w:r w:rsidRPr="00014BD3">
        <w:rPr>
          <w:rFonts w:ascii="Book Antiqua" w:eastAsia="宋体" w:hAnsi="Book Antiqua" w:cs="宋体"/>
          <w:b/>
          <w:snapToGrid w:val="0"/>
          <w:sz w:val="24"/>
          <w:szCs w:val="24"/>
        </w:rPr>
        <w:t>34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: 168-177 [DOI. 10.1016/j.jaut.2009]</w:t>
      </w:r>
    </w:p>
    <w:p w:rsidR="006222D9" w:rsidRPr="00014BD3" w:rsidRDefault="00A932E6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napToGrid w:val="0"/>
          <w:sz w:val="24"/>
          <w:szCs w:val="24"/>
          <w:lang w:eastAsia="zh-CN"/>
        </w:rPr>
      </w:pP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13</w:t>
      </w:r>
      <w:r w:rsidRPr="00014BD3">
        <w:rPr>
          <w:rFonts w:ascii="Book Antiqua" w:eastAsia="宋体" w:hAnsi="Book Antiqua" w:cs="宋体"/>
          <w:snapToGrid w:val="0"/>
          <w:sz w:val="24"/>
          <w:szCs w:val="24"/>
          <w:lang w:eastAsia="zh-CN"/>
        </w:rPr>
        <w:t xml:space="preserve"> </w:t>
      </w:r>
      <w:r w:rsidRPr="00014BD3">
        <w:rPr>
          <w:rFonts w:ascii="Book Antiqua" w:eastAsia="宋体" w:hAnsi="Book Antiqua" w:cs="宋体"/>
          <w:b/>
          <w:snapToGrid w:val="0"/>
          <w:sz w:val="24"/>
          <w:szCs w:val="24"/>
        </w:rPr>
        <w:t xml:space="preserve">Lea P, 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O'Connor TET, Smith K, Ricks C. Automated quantitative</w:t>
      </w:r>
      <w:r w:rsidRPr="00014BD3">
        <w:rPr>
          <w:rFonts w:ascii="Book Antiqua" w:eastAsia="宋体" w:hAnsi="Book Antiqua" w:cs="宋体"/>
          <w:snapToGrid w:val="0"/>
          <w:sz w:val="24"/>
          <w:szCs w:val="24"/>
          <w:lang w:eastAsia="zh-CN"/>
        </w:rPr>
        <w:t xml:space="preserve"> 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microarray </w:t>
      </w:r>
      <w:proofErr w:type="gramStart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>assay</w:t>
      </w:r>
      <w:proofErr w:type="gramEnd"/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platforms. </w:t>
      </w:r>
      <w:r w:rsidRPr="00014BD3">
        <w:rPr>
          <w:rFonts w:ascii="Book Antiqua" w:eastAsia="宋体" w:hAnsi="Book Antiqua" w:cs="宋体"/>
          <w:i/>
          <w:snapToGrid w:val="0"/>
          <w:sz w:val="24"/>
          <w:szCs w:val="24"/>
        </w:rPr>
        <w:t>IVD Technology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 xml:space="preserve"> 2009; </w:t>
      </w:r>
      <w:r w:rsidRPr="00014BD3">
        <w:rPr>
          <w:rFonts w:ascii="Book Antiqua" w:eastAsia="宋体" w:hAnsi="Book Antiqua" w:cs="宋体"/>
          <w:b/>
          <w:snapToGrid w:val="0"/>
          <w:sz w:val="24"/>
          <w:szCs w:val="24"/>
        </w:rPr>
        <w:t>15</w:t>
      </w:r>
      <w:r w:rsidRPr="00014BD3">
        <w:rPr>
          <w:rFonts w:ascii="Book Antiqua" w:eastAsia="宋体" w:hAnsi="Book Antiqua" w:cs="宋体"/>
          <w:snapToGrid w:val="0"/>
          <w:sz w:val="24"/>
          <w:szCs w:val="24"/>
        </w:rPr>
        <w:t>: 43-49</w:t>
      </w:r>
    </w:p>
    <w:p w:rsidR="00014BD3" w:rsidRDefault="00014BD3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right="239"/>
        <w:jc w:val="right"/>
        <w:rPr>
          <w:rStyle w:val="Strong"/>
          <w:rFonts w:ascii="Book Antiqua" w:hAnsi="Book Antiqua" w:cs="Arial"/>
          <w:noProof/>
          <w:snapToGrid w:val="0"/>
          <w:sz w:val="24"/>
          <w:szCs w:val="24"/>
          <w:lang w:val="en-GB" w:eastAsia="zh-CN"/>
        </w:rPr>
      </w:pPr>
    </w:p>
    <w:p w:rsidR="004F1C5B" w:rsidRPr="00014BD3" w:rsidRDefault="004F1C5B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right="239"/>
        <w:jc w:val="right"/>
        <w:rPr>
          <w:rFonts w:ascii="Book Antiqua" w:hAnsi="Book Antiqua"/>
          <w:b/>
          <w:bCs/>
          <w:snapToGrid w:val="0"/>
          <w:sz w:val="24"/>
          <w:szCs w:val="24"/>
          <w:lang w:val="en-GB"/>
        </w:rPr>
      </w:pPr>
      <w:r w:rsidRPr="00014BD3">
        <w:rPr>
          <w:rStyle w:val="Strong"/>
          <w:rFonts w:ascii="Book Antiqua" w:hAnsi="Book Antiqua" w:cs="Arial"/>
          <w:noProof/>
          <w:snapToGrid w:val="0"/>
          <w:sz w:val="24"/>
          <w:szCs w:val="24"/>
          <w:lang w:val="en-GB"/>
        </w:rPr>
        <w:t>P-Reviewer:</w:t>
      </w:r>
      <w:r w:rsidRPr="00014BD3">
        <w:rPr>
          <w:rFonts w:ascii="Book Antiqua" w:hAnsi="Book Antiqua"/>
          <w:snapToGrid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14BD3">
        <w:rPr>
          <w:rFonts w:ascii="Book Antiqua" w:hAnsi="Book Antiqua"/>
          <w:snapToGrid w:val="0"/>
          <w:color w:val="000000"/>
          <w:sz w:val="24"/>
          <w:szCs w:val="24"/>
          <w:lang w:val="en-GB"/>
        </w:rPr>
        <w:t>Riccardi</w:t>
      </w:r>
      <w:proofErr w:type="spellEnd"/>
      <w:r w:rsidRPr="00014BD3">
        <w:rPr>
          <w:rFonts w:ascii="Book Antiqua" w:hAnsi="Book Antiqua"/>
          <w:snapToGrid w:val="0"/>
          <w:color w:val="000000"/>
          <w:sz w:val="24"/>
          <w:szCs w:val="24"/>
          <w:lang w:val="en-GB"/>
        </w:rPr>
        <w:t xml:space="preserve"> C, Song</w:t>
      </w:r>
      <w:r w:rsidRPr="00014BD3">
        <w:rPr>
          <w:rFonts w:ascii="Book Antiqua" w:hAnsi="Book Antiqua"/>
          <w:snapToGrid w:val="0"/>
          <w:color w:val="000000"/>
          <w:sz w:val="24"/>
          <w:szCs w:val="24"/>
          <w:lang w:val="en-GB" w:eastAsia="zh-CN"/>
        </w:rPr>
        <w:t xml:space="preserve"> LT, Xavier-</w:t>
      </w:r>
      <w:proofErr w:type="spellStart"/>
      <w:r w:rsidRPr="00014BD3">
        <w:rPr>
          <w:rFonts w:ascii="Book Antiqua" w:hAnsi="Book Antiqua"/>
          <w:snapToGrid w:val="0"/>
          <w:color w:val="000000"/>
          <w:sz w:val="24"/>
          <w:szCs w:val="24"/>
          <w:lang w:val="en-GB" w:eastAsia="zh-CN"/>
        </w:rPr>
        <w:t>Elsas</w:t>
      </w:r>
      <w:proofErr w:type="spellEnd"/>
      <w:r w:rsidRPr="00014BD3">
        <w:rPr>
          <w:rFonts w:ascii="Book Antiqua" w:hAnsi="Book Antiqua"/>
          <w:snapToGrid w:val="0"/>
          <w:color w:val="000000"/>
          <w:sz w:val="24"/>
          <w:szCs w:val="24"/>
          <w:lang w:val="en-GB" w:eastAsia="zh-CN"/>
        </w:rPr>
        <w:t xml:space="preserve"> P</w:t>
      </w:r>
      <w:r w:rsidRPr="00014BD3">
        <w:rPr>
          <w:rFonts w:ascii="Book Antiqua" w:hAnsi="Book Antiqua"/>
          <w:bCs/>
          <w:snapToGrid w:val="0"/>
          <w:sz w:val="24"/>
          <w:szCs w:val="24"/>
          <w:lang w:val="en-GB"/>
        </w:rPr>
        <w:t xml:space="preserve"> </w:t>
      </w:r>
      <w:r w:rsidRPr="00014BD3">
        <w:rPr>
          <w:rFonts w:ascii="Book Antiqua" w:hAnsi="Book Antiqua"/>
          <w:b/>
          <w:bCs/>
          <w:snapToGrid w:val="0"/>
          <w:sz w:val="24"/>
          <w:szCs w:val="24"/>
          <w:lang w:val="en-GB"/>
        </w:rPr>
        <w:t>S-Editor:</w:t>
      </w:r>
      <w:r w:rsidRPr="00014BD3">
        <w:rPr>
          <w:rFonts w:ascii="Book Antiqua" w:hAnsi="Book Antiqua"/>
          <w:bCs/>
          <w:snapToGrid w:val="0"/>
          <w:sz w:val="24"/>
          <w:szCs w:val="24"/>
          <w:lang w:val="en-GB"/>
        </w:rPr>
        <w:t xml:space="preserve"> Tian YL</w:t>
      </w:r>
    </w:p>
    <w:p w:rsidR="00A932E6" w:rsidRPr="00014BD3" w:rsidRDefault="004F1C5B" w:rsidP="00014BD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right="239"/>
        <w:jc w:val="right"/>
        <w:rPr>
          <w:rFonts w:ascii="Book Antiqua" w:hAnsi="Book Antiqua"/>
          <w:bCs/>
          <w:snapToGrid w:val="0"/>
          <w:sz w:val="24"/>
          <w:szCs w:val="24"/>
          <w:lang w:eastAsia="zh-CN"/>
        </w:rPr>
      </w:pPr>
      <w:r w:rsidRPr="00014BD3">
        <w:rPr>
          <w:rFonts w:ascii="Book Antiqua" w:hAnsi="Book Antiqua"/>
          <w:b/>
          <w:bCs/>
          <w:snapToGrid w:val="0"/>
          <w:sz w:val="24"/>
          <w:szCs w:val="24"/>
        </w:rPr>
        <w:t>L-Editor:   E-Editor:</w:t>
      </w:r>
    </w:p>
    <w:sectPr w:rsidR="00A932E6" w:rsidRPr="00014BD3" w:rsidSect="003241D2">
      <w:footerReference w:type="default" r:id="rId11"/>
      <w:pgSz w:w="12240" w:h="15840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68" w:rsidRDefault="00271268" w:rsidP="00EC5382">
      <w:pPr>
        <w:spacing w:after="0" w:line="240" w:lineRule="auto"/>
      </w:pPr>
      <w:r>
        <w:separator/>
      </w:r>
    </w:p>
  </w:endnote>
  <w:endnote w:type="continuationSeparator" w:id="0">
    <w:p w:rsidR="00271268" w:rsidRDefault="00271268" w:rsidP="00EC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ulim">
    <w:altName w:val="굴림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dvTime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6380"/>
      <w:docPartObj>
        <w:docPartGallery w:val="Page Numbers (Bottom of Page)"/>
        <w:docPartUnique/>
      </w:docPartObj>
    </w:sdtPr>
    <w:sdtEndPr/>
    <w:sdtContent>
      <w:p w:rsidR="00C674B4" w:rsidRDefault="00F03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A1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8196F" w:rsidRDefault="005819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68" w:rsidRDefault="00271268" w:rsidP="00EC5382">
      <w:pPr>
        <w:spacing w:after="0" w:line="240" w:lineRule="auto"/>
      </w:pPr>
      <w:r>
        <w:separator/>
      </w:r>
    </w:p>
  </w:footnote>
  <w:footnote w:type="continuationSeparator" w:id="0">
    <w:p w:rsidR="00271268" w:rsidRDefault="00271268" w:rsidP="00EC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B30"/>
    <w:multiLevelType w:val="hybridMultilevel"/>
    <w:tmpl w:val="81A88AE0"/>
    <w:lvl w:ilvl="0" w:tplc="8DFEE2E8">
      <w:start w:val="1"/>
      <w:numFmt w:val="decimal"/>
      <w:lvlText w:val="%1."/>
      <w:lvlJc w:val="left"/>
      <w:pPr>
        <w:ind w:left="2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57" w:hanging="360"/>
      </w:pPr>
    </w:lvl>
    <w:lvl w:ilvl="2" w:tplc="1009001B" w:tentative="1">
      <w:start w:val="1"/>
      <w:numFmt w:val="lowerRoman"/>
      <w:lvlText w:val="%3."/>
      <w:lvlJc w:val="right"/>
      <w:pPr>
        <w:ind w:left="3877" w:hanging="180"/>
      </w:pPr>
    </w:lvl>
    <w:lvl w:ilvl="3" w:tplc="1009000F" w:tentative="1">
      <w:start w:val="1"/>
      <w:numFmt w:val="decimal"/>
      <w:lvlText w:val="%4."/>
      <w:lvlJc w:val="left"/>
      <w:pPr>
        <w:ind w:left="4597" w:hanging="360"/>
      </w:pPr>
    </w:lvl>
    <w:lvl w:ilvl="4" w:tplc="10090019" w:tentative="1">
      <w:start w:val="1"/>
      <w:numFmt w:val="lowerLetter"/>
      <w:lvlText w:val="%5."/>
      <w:lvlJc w:val="left"/>
      <w:pPr>
        <w:ind w:left="5317" w:hanging="360"/>
      </w:pPr>
    </w:lvl>
    <w:lvl w:ilvl="5" w:tplc="1009001B" w:tentative="1">
      <w:start w:val="1"/>
      <w:numFmt w:val="lowerRoman"/>
      <w:lvlText w:val="%6."/>
      <w:lvlJc w:val="right"/>
      <w:pPr>
        <w:ind w:left="6037" w:hanging="180"/>
      </w:pPr>
    </w:lvl>
    <w:lvl w:ilvl="6" w:tplc="1009000F" w:tentative="1">
      <w:start w:val="1"/>
      <w:numFmt w:val="decimal"/>
      <w:lvlText w:val="%7."/>
      <w:lvlJc w:val="left"/>
      <w:pPr>
        <w:ind w:left="6757" w:hanging="360"/>
      </w:pPr>
    </w:lvl>
    <w:lvl w:ilvl="7" w:tplc="10090019" w:tentative="1">
      <w:start w:val="1"/>
      <w:numFmt w:val="lowerLetter"/>
      <w:lvlText w:val="%8."/>
      <w:lvlJc w:val="left"/>
      <w:pPr>
        <w:ind w:left="7477" w:hanging="360"/>
      </w:pPr>
    </w:lvl>
    <w:lvl w:ilvl="8" w:tplc="1009001B" w:tentative="1">
      <w:start w:val="1"/>
      <w:numFmt w:val="lowerRoman"/>
      <w:lvlText w:val="%9."/>
      <w:lvlJc w:val="right"/>
      <w:pPr>
        <w:ind w:left="8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8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01D6F"/>
    <w:rsid w:val="0000730F"/>
    <w:rsid w:val="00007C82"/>
    <w:rsid w:val="00014BD3"/>
    <w:rsid w:val="000201C6"/>
    <w:rsid w:val="000333D9"/>
    <w:rsid w:val="0003573B"/>
    <w:rsid w:val="00044352"/>
    <w:rsid w:val="00063A11"/>
    <w:rsid w:val="000752C5"/>
    <w:rsid w:val="00077A0D"/>
    <w:rsid w:val="000809CE"/>
    <w:rsid w:val="00086E50"/>
    <w:rsid w:val="0009108A"/>
    <w:rsid w:val="00096102"/>
    <w:rsid w:val="000A4BFB"/>
    <w:rsid w:val="000B1E0A"/>
    <w:rsid w:val="000C1538"/>
    <w:rsid w:val="000D1C09"/>
    <w:rsid w:val="000D7EBD"/>
    <w:rsid w:val="000E2775"/>
    <w:rsid w:val="000F5592"/>
    <w:rsid w:val="000F5FC5"/>
    <w:rsid w:val="00104A93"/>
    <w:rsid w:val="00105409"/>
    <w:rsid w:val="00113C2F"/>
    <w:rsid w:val="001162E8"/>
    <w:rsid w:val="00123A25"/>
    <w:rsid w:val="00136040"/>
    <w:rsid w:val="001366EF"/>
    <w:rsid w:val="001411DF"/>
    <w:rsid w:val="00157AE0"/>
    <w:rsid w:val="00162084"/>
    <w:rsid w:val="0016261E"/>
    <w:rsid w:val="001633AF"/>
    <w:rsid w:val="001647B9"/>
    <w:rsid w:val="00180B47"/>
    <w:rsid w:val="001836A6"/>
    <w:rsid w:val="001912F7"/>
    <w:rsid w:val="001923F5"/>
    <w:rsid w:val="0019422F"/>
    <w:rsid w:val="001969B4"/>
    <w:rsid w:val="001A1E72"/>
    <w:rsid w:val="001A2981"/>
    <w:rsid w:val="001A653C"/>
    <w:rsid w:val="001A6777"/>
    <w:rsid w:val="001B05DD"/>
    <w:rsid w:val="001B7C90"/>
    <w:rsid w:val="001C355E"/>
    <w:rsid w:val="001E0155"/>
    <w:rsid w:val="001E0A31"/>
    <w:rsid w:val="001E5C0E"/>
    <w:rsid w:val="001E5CF0"/>
    <w:rsid w:val="001E6DB7"/>
    <w:rsid w:val="001F732F"/>
    <w:rsid w:val="00210F75"/>
    <w:rsid w:val="002115D3"/>
    <w:rsid w:val="00226678"/>
    <w:rsid w:val="002301EA"/>
    <w:rsid w:val="00230E49"/>
    <w:rsid w:val="00231B29"/>
    <w:rsid w:val="00240ACD"/>
    <w:rsid w:val="00242F3C"/>
    <w:rsid w:val="00264E53"/>
    <w:rsid w:val="00271268"/>
    <w:rsid w:val="002924E5"/>
    <w:rsid w:val="002A0431"/>
    <w:rsid w:val="002A3C98"/>
    <w:rsid w:val="002A67D2"/>
    <w:rsid w:val="002B1C5F"/>
    <w:rsid w:val="002B7946"/>
    <w:rsid w:val="002C0C30"/>
    <w:rsid w:val="002C561E"/>
    <w:rsid w:val="002D02E7"/>
    <w:rsid w:val="002D41CD"/>
    <w:rsid w:val="002D5E2B"/>
    <w:rsid w:val="002E4C7C"/>
    <w:rsid w:val="002F4709"/>
    <w:rsid w:val="00301340"/>
    <w:rsid w:val="00303D16"/>
    <w:rsid w:val="00304483"/>
    <w:rsid w:val="003103B7"/>
    <w:rsid w:val="00316FB3"/>
    <w:rsid w:val="003241D2"/>
    <w:rsid w:val="003323D7"/>
    <w:rsid w:val="00337337"/>
    <w:rsid w:val="00346059"/>
    <w:rsid w:val="003551B7"/>
    <w:rsid w:val="00355470"/>
    <w:rsid w:val="0039234B"/>
    <w:rsid w:val="00394540"/>
    <w:rsid w:val="003A3236"/>
    <w:rsid w:val="003A375F"/>
    <w:rsid w:val="003A56F6"/>
    <w:rsid w:val="003B2809"/>
    <w:rsid w:val="003C04F7"/>
    <w:rsid w:val="003C53EA"/>
    <w:rsid w:val="003D3779"/>
    <w:rsid w:val="003D609C"/>
    <w:rsid w:val="003D666E"/>
    <w:rsid w:val="003D6AC6"/>
    <w:rsid w:val="003E1435"/>
    <w:rsid w:val="003E33D9"/>
    <w:rsid w:val="003E77D4"/>
    <w:rsid w:val="003F148D"/>
    <w:rsid w:val="003F7356"/>
    <w:rsid w:val="00401A84"/>
    <w:rsid w:val="00426CBC"/>
    <w:rsid w:val="0042793D"/>
    <w:rsid w:val="00430294"/>
    <w:rsid w:val="00453EB5"/>
    <w:rsid w:val="004677FF"/>
    <w:rsid w:val="00484D4B"/>
    <w:rsid w:val="004A15A3"/>
    <w:rsid w:val="004A16DB"/>
    <w:rsid w:val="004A4594"/>
    <w:rsid w:val="004A54B6"/>
    <w:rsid w:val="004B7BE3"/>
    <w:rsid w:val="004C301B"/>
    <w:rsid w:val="004C4AFC"/>
    <w:rsid w:val="004C651D"/>
    <w:rsid w:val="004D0DCA"/>
    <w:rsid w:val="004D49F8"/>
    <w:rsid w:val="004D604A"/>
    <w:rsid w:val="004E0B5A"/>
    <w:rsid w:val="004E672D"/>
    <w:rsid w:val="004E765F"/>
    <w:rsid w:val="004F1C5B"/>
    <w:rsid w:val="004F7346"/>
    <w:rsid w:val="0050309B"/>
    <w:rsid w:val="00512569"/>
    <w:rsid w:val="00512912"/>
    <w:rsid w:val="00514AA6"/>
    <w:rsid w:val="005151B6"/>
    <w:rsid w:val="00516C5F"/>
    <w:rsid w:val="0052090C"/>
    <w:rsid w:val="005245A3"/>
    <w:rsid w:val="00527A32"/>
    <w:rsid w:val="00530F64"/>
    <w:rsid w:val="00537C26"/>
    <w:rsid w:val="00542ADE"/>
    <w:rsid w:val="005539D0"/>
    <w:rsid w:val="005577DC"/>
    <w:rsid w:val="00561B59"/>
    <w:rsid w:val="00561C96"/>
    <w:rsid w:val="005712BF"/>
    <w:rsid w:val="00572E67"/>
    <w:rsid w:val="0058196F"/>
    <w:rsid w:val="005908E5"/>
    <w:rsid w:val="00591977"/>
    <w:rsid w:val="00595C0B"/>
    <w:rsid w:val="005A44FA"/>
    <w:rsid w:val="005B0DF6"/>
    <w:rsid w:val="005B4CFA"/>
    <w:rsid w:val="005B6110"/>
    <w:rsid w:val="005C732B"/>
    <w:rsid w:val="005D0B7B"/>
    <w:rsid w:val="005D5962"/>
    <w:rsid w:val="005E7AE5"/>
    <w:rsid w:val="005F2EAE"/>
    <w:rsid w:val="006040D5"/>
    <w:rsid w:val="00613793"/>
    <w:rsid w:val="0061742A"/>
    <w:rsid w:val="0062053F"/>
    <w:rsid w:val="006222D9"/>
    <w:rsid w:val="00623575"/>
    <w:rsid w:val="00636EF2"/>
    <w:rsid w:val="0064692C"/>
    <w:rsid w:val="006550CC"/>
    <w:rsid w:val="0065607E"/>
    <w:rsid w:val="00676145"/>
    <w:rsid w:val="00684988"/>
    <w:rsid w:val="006861B3"/>
    <w:rsid w:val="00691D3C"/>
    <w:rsid w:val="006954E1"/>
    <w:rsid w:val="00695952"/>
    <w:rsid w:val="006A13CA"/>
    <w:rsid w:val="006A2941"/>
    <w:rsid w:val="006A4308"/>
    <w:rsid w:val="006A53D0"/>
    <w:rsid w:val="006B42BF"/>
    <w:rsid w:val="006B6EC1"/>
    <w:rsid w:val="006C6EB9"/>
    <w:rsid w:val="006D0EB8"/>
    <w:rsid w:val="006E47C3"/>
    <w:rsid w:val="006E76BB"/>
    <w:rsid w:val="006F27D1"/>
    <w:rsid w:val="006F2FB7"/>
    <w:rsid w:val="006F66CA"/>
    <w:rsid w:val="007044E3"/>
    <w:rsid w:val="0072443C"/>
    <w:rsid w:val="00731110"/>
    <w:rsid w:val="00731397"/>
    <w:rsid w:val="00740D29"/>
    <w:rsid w:val="007412DF"/>
    <w:rsid w:val="00742451"/>
    <w:rsid w:val="00744192"/>
    <w:rsid w:val="00745641"/>
    <w:rsid w:val="00764529"/>
    <w:rsid w:val="007647A5"/>
    <w:rsid w:val="0076490C"/>
    <w:rsid w:val="00764CAA"/>
    <w:rsid w:val="007672FD"/>
    <w:rsid w:val="0077793B"/>
    <w:rsid w:val="00781094"/>
    <w:rsid w:val="007851E1"/>
    <w:rsid w:val="00785E46"/>
    <w:rsid w:val="007908F4"/>
    <w:rsid w:val="007A1EDD"/>
    <w:rsid w:val="007A2A29"/>
    <w:rsid w:val="007A49B6"/>
    <w:rsid w:val="007A5C70"/>
    <w:rsid w:val="007B2F25"/>
    <w:rsid w:val="007C053B"/>
    <w:rsid w:val="007C1654"/>
    <w:rsid w:val="007C7350"/>
    <w:rsid w:val="007D4F15"/>
    <w:rsid w:val="007D7318"/>
    <w:rsid w:val="007E0090"/>
    <w:rsid w:val="007E2BAE"/>
    <w:rsid w:val="007E5C0B"/>
    <w:rsid w:val="007F32BC"/>
    <w:rsid w:val="007F4BD5"/>
    <w:rsid w:val="0080157D"/>
    <w:rsid w:val="00801DDB"/>
    <w:rsid w:val="008121EF"/>
    <w:rsid w:val="00814577"/>
    <w:rsid w:val="00817A0A"/>
    <w:rsid w:val="008202E3"/>
    <w:rsid w:val="00826D2A"/>
    <w:rsid w:val="00831A10"/>
    <w:rsid w:val="00850099"/>
    <w:rsid w:val="008629B1"/>
    <w:rsid w:val="00865FEE"/>
    <w:rsid w:val="00872F4C"/>
    <w:rsid w:val="00882499"/>
    <w:rsid w:val="00884C4A"/>
    <w:rsid w:val="0088660B"/>
    <w:rsid w:val="00894D33"/>
    <w:rsid w:val="008B6E35"/>
    <w:rsid w:val="008D2B4D"/>
    <w:rsid w:val="008D42E2"/>
    <w:rsid w:val="008D478A"/>
    <w:rsid w:val="008E2A1C"/>
    <w:rsid w:val="008E4D80"/>
    <w:rsid w:val="008F0BD4"/>
    <w:rsid w:val="009043FA"/>
    <w:rsid w:val="00921146"/>
    <w:rsid w:val="009242BF"/>
    <w:rsid w:val="00925ABF"/>
    <w:rsid w:val="0093171A"/>
    <w:rsid w:val="00961224"/>
    <w:rsid w:val="009718FC"/>
    <w:rsid w:val="0097503A"/>
    <w:rsid w:val="0098460E"/>
    <w:rsid w:val="00995490"/>
    <w:rsid w:val="009963D0"/>
    <w:rsid w:val="009A428A"/>
    <w:rsid w:val="009C2F03"/>
    <w:rsid w:val="009D7EA7"/>
    <w:rsid w:val="009E2782"/>
    <w:rsid w:val="009F274A"/>
    <w:rsid w:val="00A01BF4"/>
    <w:rsid w:val="00A02083"/>
    <w:rsid w:val="00A07B10"/>
    <w:rsid w:val="00A11D99"/>
    <w:rsid w:val="00A12CE4"/>
    <w:rsid w:val="00A13D55"/>
    <w:rsid w:val="00A14526"/>
    <w:rsid w:val="00A154CD"/>
    <w:rsid w:val="00A15E02"/>
    <w:rsid w:val="00A23B4D"/>
    <w:rsid w:val="00A24C1F"/>
    <w:rsid w:val="00A266CC"/>
    <w:rsid w:val="00A30284"/>
    <w:rsid w:val="00A35369"/>
    <w:rsid w:val="00A45CA3"/>
    <w:rsid w:val="00A45ECF"/>
    <w:rsid w:val="00A46E1D"/>
    <w:rsid w:val="00A51DE2"/>
    <w:rsid w:val="00A54AAD"/>
    <w:rsid w:val="00A612DF"/>
    <w:rsid w:val="00A652E6"/>
    <w:rsid w:val="00A82583"/>
    <w:rsid w:val="00A852D2"/>
    <w:rsid w:val="00A932E6"/>
    <w:rsid w:val="00A93944"/>
    <w:rsid w:val="00AA191F"/>
    <w:rsid w:val="00AA450F"/>
    <w:rsid w:val="00AA5226"/>
    <w:rsid w:val="00AB21CB"/>
    <w:rsid w:val="00AB749A"/>
    <w:rsid w:val="00AC0816"/>
    <w:rsid w:val="00AC67AA"/>
    <w:rsid w:val="00AD02E7"/>
    <w:rsid w:val="00AD0978"/>
    <w:rsid w:val="00AD520E"/>
    <w:rsid w:val="00AE4F01"/>
    <w:rsid w:val="00AF7C73"/>
    <w:rsid w:val="00B02F8D"/>
    <w:rsid w:val="00B037B2"/>
    <w:rsid w:val="00B12920"/>
    <w:rsid w:val="00B13A21"/>
    <w:rsid w:val="00B2060B"/>
    <w:rsid w:val="00B21F63"/>
    <w:rsid w:val="00B23A5F"/>
    <w:rsid w:val="00B24053"/>
    <w:rsid w:val="00B303E2"/>
    <w:rsid w:val="00B46208"/>
    <w:rsid w:val="00B4677C"/>
    <w:rsid w:val="00B46828"/>
    <w:rsid w:val="00B50AF3"/>
    <w:rsid w:val="00B635DE"/>
    <w:rsid w:val="00B72A56"/>
    <w:rsid w:val="00B72D2C"/>
    <w:rsid w:val="00B76AB5"/>
    <w:rsid w:val="00B85AF2"/>
    <w:rsid w:val="00B87B75"/>
    <w:rsid w:val="00B93BE1"/>
    <w:rsid w:val="00BA1E30"/>
    <w:rsid w:val="00BC01BF"/>
    <w:rsid w:val="00BC6135"/>
    <w:rsid w:val="00BC6507"/>
    <w:rsid w:val="00BD28CD"/>
    <w:rsid w:val="00BD3D29"/>
    <w:rsid w:val="00BE335B"/>
    <w:rsid w:val="00BE6510"/>
    <w:rsid w:val="00BE65C9"/>
    <w:rsid w:val="00BE7FCD"/>
    <w:rsid w:val="00C03D2F"/>
    <w:rsid w:val="00C11E75"/>
    <w:rsid w:val="00C139E9"/>
    <w:rsid w:val="00C14D58"/>
    <w:rsid w:val="00C20680"/>
    <w:rsid w:val="00C220BB"/>
    <w:rsid w:val="00C2240D"/>
    <w:rsid w:val="00C309A9"/>
    <w:rsid w:val="00C33D07"/>
    <w:rsid w:val="00C50C92"/>
    <w:rsid w:val="00C51AA3"/>
    <w:rsid w:val="00C5781A"/>
    <w:rsid w:val="00C674B4"/>
    <w:rsid w:val="00C674CC"/>
    <w:rsid w:val="00C70FEA"/>
    <w:rsid w:val="00C8207E"/>
    <w:rsid w:val="00C92A7B"/>
    <w:rsid w:val="00C951B8"/>
    <w:rsid w:val="00C95721"/>
    <w:rsid w:val="00C977BF"/>
    <w:rsid w:val="00CA6728"/>
    <w:rsid w:val="00CD374F"/>
    <w:rsid w:val="00CE116A"/>
    <w:rsid w:val="00CE4889"/>
    <w:rsid w:val="00CE4E5F"/>
    <w:rsid w:val="00CF1B7A"/>
    <w:rsid w:val="00CF2E54"/>
    <w:rsid w:val="00D06247"/>
    <w:rsid w:val="00D07E0E"/>
    <w:rsid w:val="00D135B2"/>
    <w:rsid w:val="00D15627"/>
    <w:rsid w:val="00D1652C"/>
    <w:rsid w:val="00D21D75"/>
    <w:rsid w:val="00D24BA9"/>
    <w:rsid w:val="00D2516A"/>
    <w:rsid w:val="00D3190E"/>
    <w:rsid w:val="00D510D0"/>
    <w:rsid w:val="00D5448B"/>
    <w:rsid w:val="00D56384"/>
    <w:rsid w:val="00D57E4B"/>
    <w:rsid w:val="00D62FD1"/>
    <w:rsid w:val="00D6638E"/>
    <w:rsid w:val="00D75204"/>
    <w:rsid w:val="00DA58AF"/>
    <w:rsid w:val="00DB1798"/>
    <w:rsid w:val="00DE14E7"/>
    <w:rsid w:val="00DF072A"/>
    <w:rsid w:val="00DF72B9"/>
    <w:rsid w:val="00DF7508"/>
    <w:rsid w:val="00E0610C"/>
    <w:rsid w:val="00E06964"/>
    <w:rsid w:val="00E162E5"/>
    <w:rsid w:val="00E2196E"/>
    <w:rsid w:val="00E223FF"/>
    <w:rsid w:val="00E23709"/>
    <w:rsid w:val="00E34F72"/>
    <w:rsid w:val="00E350FB"/>
    <w:rsid w:val="00E54024"/>
    <w:rsid w:val="00E54D13"/>
    <w:rsid w:val="00E66FA3"/>
    <w:rsid w:val="00E67AAD"/>
    <w:rsid w:val="00E730AF"/>
    <w:rsid w:val="00E753E0"/>
    <w:rsid w:val="00E76C80"/>
    <w:rsid w:val="00E86E2A"/>
    <w:rsid w:val="00E978FD"/>
    <w:rsid w:val="00EA4304"/>
    <w:rsid w:val="00EA74E3"/>
    <w:rsid w:val="00EB499D"/>
    <w:rsid w:val="00EC5382"/>
    <w:rsid w:val="00ED252F"/>
    <w:rsid w:val="00ED2970"/>
    <w:rsid w:val="00ED423B"/>
    <w:rsid w:val="00ED6D1F"/>
    <w:rsid w:val="00EE05DC"/>
    <w:rsid w:val="00EE76FE"/>
    <w:rsid w:val="00EF226A"/>
    <w:rsid w:val="00F031E1"/>
    <w:rsid w:val="00F03DE1"/>
    <w:rsid w:val="00F05663"/>
    <w:rsid w:val="00F12E31"/>
    <w:rsid w:val="00F15E62"/>
    <w:rsid w:val="00F16521"/>
    <w:rsid w:val="00F16A5C"/>
    <w:rsid w:val="00F173EE"/>
    <w:rsid w:val="00F2665E"/>
    <w:rsid w:val="00F36F89"/>
    <w:rsid w:val="00F42967"/>
    <w:rsid w:val="00F44BB3"/>
    <w:rsid w:val="00F547F4"/>
    <w:rsid w:val="00F56DCF"/>
    <w:rsid w:val="00F610E9"/>
    <w:rsid w:val="00F613EF"/>
    <w:rsid w:val="00F638BE"/>
    <w:rsid w:val="00F669E9"/>
    <w:rsid w:val="00F72610"/>
    <w:rsid w:val="00F81CF6"/>
    <w:rsid w:val="00F85778"/>
    <w:rsid w:val="00FA4273"/>
    <w:rsid w:val="00FB167C"/>
    <w:rsid w:val="00FB37B4"/>
    <w:rsid w:val="00FC1449"/>
    <w:rsid w:val="00FD4D41"/>
    <w:rsid w:val="00FD65C5"/>
    <w:rsid w:val="00FE3FB1"/>
    <w:rsid w:val="00FF1822"/>
    <w:rsid w:val="00FF1BC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75"/>
  </w:style>
  <w:style w:type="paragraph" w:styleId="Heading1">
    <w:name w:val="heading 1"/>
    <w:basedOn w:val="Normal"/>
    <w:next w:val="Normal"/>
    <w:link w:val="Heading1Char"/>
    <w:uiPriority w:val="9"/>
    <w:qFormat/>
    <w:rsid w:val="00BD3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82"/>
  </w:style>
  <w:style w:type="paragraph" w:styleId="Footer">
    <w:name w:val="footer"/>
    <w:basedOn w:val="Normal"/>
    <w:link w:val="FooterChar"/>
    <w:uiPriority w:val="99"/>
    <w:unhideWhenUsed/>
    <w:rsid w:val="00EC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82"/>
  </w:style>
  <w:style w:type="paragraph" w:styleId="ListParagraph">
    <w:name w:val="List Paragraph"/>
    <w:basedOn w:val="Normal"/>
    <w:uiPriority w:val="34"/>
    <w:qFormat/>
    <w:rsid w:val="008F0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9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42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3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nhideWhenUsed/>
    <w:rsid w:val="0000730F"/>
    <w:pPr>
      <w:widowControl w:val="0"/>
      <w:spacing w:after="0" w:line="240" w:lineRule="auto"/>
    </w:pPr>
    <w:rPr>
      <w:rFonts w:ascii="Book Antiqua" w:hAnsi="Book Antiqua" w:cs="Times New Roman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rsid w:val="0000730F"/>
    <w:rPr>
      <w:rFonts w:ascii="Book Antiqua" w:hAnsi="Book Antiqua" w:cs="Times New Roman"/>
      <w:sz w:val="20"/>
      <w:szCs w:val="20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00730F"/>
    <w:pPr>
      <w:widowControl w:val="0"/>
      <w:spacing w:after="120" w:line="240" w:lineRule="auto"/>
      <w:ind w:leftChars="200" w:left="420"/>
      <w:jc w:val="both"/>
    </w:pPr>
    <w:rPr>
      <w:rFonts w:ascii="Book Antiqua" w:hAnsi="Book Antiqua" w:cs="Times New Roman"/>
      <w:sz w:val="20"/>
      <w:szCs w:val="20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0730F"/>
    <w:rPr>
      <w:rFonts w:ascii="Book Antiqua" w:hAnsi="Book Antiqua" w:cs="Times New Roman"/>
      <w:sz w:val="20"/>
      <w:szCs w:val="20"/>
      <w:lang w:val="en-US" w:eastAsia="ja-JP"/>
    </w:rPr>
  </w:style>
  <w:style w:type="character" w:styleId="Strong">
    <w:name w:val="Strong"/>
    <w:qFormat/>
    <w:rsid w:val="004F1C5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75"/>
  </w:style>
  <w:style w:type="paragraph" w:styleId="Heading1">
    <w:name w:val="heading 1"/>
    <w:basedOn w:val="Normal"/>
    <w:next w:val="Normal"/>
    <w:link w:val="Heading1Char"/>
    <w:uiPriority w:val="9"/>
    <w:qFormat/>
    <w:rsid w:val="00BD3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82"/>
  </w:style>
  <w:style w:type="paragraph" w:styleId="Footer">
    <w:name w:val="footer"/>
    <w:basedOn w:val="Normal"/>
    <w:link w:val="FooterChar"/>
    <w:uiPriority w:val="99"/>
    <w:unhideWhenUsed/>
    <w:rsid w:val="00EC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82"/>
  </w:style>
  <w:style w:type="paragraph" w:styleId="ListParagraph">
    <w:name w:val="List Paragraph"/>
    <w:basedOn w:val="Normal"/>
    <w:uiPriority w:val="34"/>
    <w:qFormat/>
    <w:rsid w:val="008F0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9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42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3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nhideWhenUsed/>
    <w:rsid w:val="0000730F"/>
    <w:pPr>
      <w:widowControl w:val="0"/>
      <w:spacing w:after="0" w:line="240" w:lineRule="auto"/>
    </w:pPr>
    <w:rPr>
      <w:rFonts w:ascii="Book Antiqua" w:hAnsi="Book Antiqua" w:cs="Times New Roman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rsid w:val="0000730F"/>
    <w:rPr>
      <w:rFonts w:ascii="Book Antiqua" w:hAnsi="Book Antiqua" w:cs="Times New Roman"/>
      <w:sz w:val="20"/>
      <w:szCs w:val="20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00730F"/>
    <w:pPr>
      <w:widowControl w:val="0"/>
      <w:spacing w:after="120" w:line="240" w:lineRule="auto"/>
      <w:ind w:leftChars="200" w:left="420"/>
      <w:jc w:val="both"/>
    </w:pPr>
    <w:rPr>
      <w:rFonts w:ascii="Book Antiqua" w:hAnsi="Book Antiqua" w:cs="Times New Roman"/>
      <w:sz w:val="20"/>
      <w:szCs w:val="20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0730F"/>
    <w:rPr>
      <w:rFonts w:ascii="Book Antiqua" w:hAnsi="Book Antiqua" w:cs="Times New Roman"/>
      <w:sz w:val="20"/>
      <w:szCs w:val="20"/>
      <w:lang w:val="en-US" w:eastAsia="ja-JP"/>
    </w:rPr>
  </w:style>
  <w:style w:type="character" w:styleId="Strong">
    <w:name w:val="Strong"/>
    <w:qFormat/>
    <w:rsid w:val="004F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plea@sqidiagno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ADF8D-49A0-1941-9374-93F84628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4525</Words>
  <Characters>25794</Characters>
  <Application>Microsoft Macintosh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Blackwell</dc:creator>
  <cp:lastModifiedBy>Na Ma</cp:lastModifiedBy>
  <cp:revision>2</cp:revision>
  <cp:lastPrinted>2015-06-29T21:39:00Z</cp:lastPrinted>
  <dcterms:created xsi:type="dcterms:W3CDTF">2015-08-06T19:46:00Z</dcterms:created>
  <dcterms:modified xsi:type="dcterms:W3CDTF">2015-08-06T19:46:00Z</dcterms:modified>
</cp:coreProperties>
</file>