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17" w:rsidRPr="00165833" w:rsidRDefault="001D7217" w:rsidP="00165833">
      <w:pPr>
        <w:spacing w:line="360" w:lineRule="auto"/>
        <w:jc w:val="both"/>
        <w:rPr>
          <w:rFonts w:ascii="Book Antiqua" w:hAnsi="Book Antiqua"/>
        </w:rPr>
      </w:pPr>
      <w:r w:rsidRPr="00165833">
        <w:rPr>
          <w:rFonts w:ascii="Book Antiqua" w:hAnsi="Book Antiqua"/>
        </w:rPr>
        <w:t xml:space="preserve">Name of journal: </w:t>
      </w:r>
      <w:r w:rsidRPr="00165833">
        <w:rPr>
          <w:rFonts w:ascii="Book Antiqua" w:hAnsi="Book Antiqua"/>
          <w:i/>
        </w:rPr>
        <w:t>World Journal of Gastrointestinal Endoscopy</w:t>
      </w:r>
    </w:p>
    <w:p w:rsidR="001D7217" w:rsidRPr="00165833" w:rsidRDefault="001D7217" w:rsidP="00165833">
      <w:pPr>
        <w:spacing w:line="360" w:lineRule="auto"/>
        <w:jc w:val="both"/>
        <w:rPr>
          <w:rFonts w:ascii="Book Antiqua" w:eastAsiaTheme="minorEastAsia" w:hAnsi="Book Antiqua"/>
          <w:lang w:eastAsia="zh-CN"/>
        </w:rPr>
      </w:pPr>
      <w:r w:rsidRPr="00165833">
        <w:rPr>
          <w:rFonts w:ascii="Book Antiqua" w:hAnsi="Book Antiqua"/>
        </w:rPr>
        <w:t xml:space="preserve">ESPS Manuscript NO: </w:t>
      </w:r>
      <w:r w:rsidRPr="00165833">
        <w:rPr>
          <w:rFonts w:ascii="Book Antiqua" w:eastAsiaTheme="minorEastAsia" w:hAnsi="Book Antiqua"/>
          <w:lang w:eastAsia="zh-CN"/>
        </w:rPr>
        <w:t>14081</w:t>
      </w:r>
    </w:p>
    <w:p w:rsidR="001D7217" w:rsidRPr="00165833" w:rsidRDefault="001D7217" w:rsidP="00165833">
      <w:pPr>
        <w:spacing w:line="360" w:lineRule="auto"/>
        <w:jc w:val="both"/>
        <w:rPr>
          <w:rFonts w:ascii="Book Antiqua" w:eastAsiaTheme="minorEastAsia" w:hAnsi="Book Antiqua"/>
          <w:lang w:eastAsia="zh-CN"/>
        </w:rPr>
      </w:pPr>
      <w:r w:rsidRPr="00165833">
        <w:rPr>
          <w:rFonts w:ascii="Book Antiqua" w:hAnsi="Book Antiqua"/>
        </w:rPr>
        <w:t>Columns:</w:t>
      </w:r>
      <w:r w:rsidR="006C0FBC" w:rsidRPr="00165833">
        <w:rPr>
          <w:rFonts w:ascii="Book Antiqua" w:hAnsi="Book Antiqua"/>
        </w:rPr>
        <w:t xml:space="preserve"> </w:t>
      </w:r>
      <w:r w:rsidR="00090038" w:rsidRPr="00165833">
        <w:rPr>
          <w:rFonts w:ascii="Book Antiqua" w:eastAsiaTheme="minorEastAsia" w:hAnsi="Book Antiqua"/>
          <w:lang w:eastAsia="zh-CN"/>
        </w:rPr>
        <w:t>Original Article</w:t>
      </w:r>
    </w:p>
    <w:p w:rsidR="00090038" w:rsidRPr="00165833" w:rsidRDefault="00090038" w:rsidP="00165833">
      <w:pPr>
        <w:spacing w:line="360" w:lineRule="auto"/>
        <w:jc w:val="both"/>
        <w:rPr>
          <w:rFonts w:ascii="Book Antiqua" w:eastAsiaTheme="minorEastAsia" w:hAnsi="Book Antiqua"/>
          <w:lang w:eastAsia="zh-CN"/>
        </w:rPr>
      </w:pPr>
    </w:p>
    <w:p w:rsidR="001D7217" w:rsidRPr="00165833" w:rsidRDefault="00090038" w:rsidP="00165833">
      <w:pPr>
        <w:spacing w:line="360" w:lineRule="auto"/>
        <w:jc w:val="both"/>
        <w:rPr>
          <w:rFonts w:ascii="Book Antiqua" w:eastAsiaTheme="minorEastAsia" w:hAnsi="Book Antiqua"/>
          <w:b/>
          <w:i/>
          <w:lang w:eastAsia="zh-CN"/>
        </w:rPr>
      </w:pPr>
      <w:r w:rsidRPr="00165833">
        <w:rPr>
          <w:rFonts w:ascii="Book Antiqua" w:hAnsi="Book Antiqua"/>
          <w:b/>
          <w:i/>
        </w:rPr>
        <w:t>Retrospective Study</w:t>
      </w:r>
    </w:p>
    <w:p w:rsidR="003B54E5" w:rsidRPr="00165833" w:rsidRDefault="00562767" w:rsidP="00165833">
      <w:pPr>
        <w:spacing w:line="360" w:lineRule="auto"/>
        <w:jc w:val="both"/>
        <w:rPr>
          <w:rFonts w:ascii="Book Antiqua" w:hAnsi="Book Antiqua"/>
          <w:b/>
        </w:rPr>
      </w:pPr>
      <w:r w:rsidRPr="00165833">
        <w:rPr>
          <w:rFonts w:ascii="Book Antiqua" w:hAnsi="Book Antiqua"/>
          <w:b/>
        </w:rPr>
        <w:t>Endoscopic retrograde cholangiopancreatography</w:t>
      </w:r>
      <w:r w:rsidR="00387479" w:rsidRPr="00165833">
        <w:rPr>
          <w:rFonts w:ascii="Book Antiqua" w:hAnsi="Book Antiqua"/>
          <w:b/>
        </w:rPr>
        <w:t xml:space="preserve"> for suspected choledocholithiasis</w:t>
      </w:r>
      <w:r w:rsidR="00C75A3A">
        <w:rPr>
          <w:rFonts w:ascii="Book Antiqua" w:eastAsiaTheme="minorEastAsia" w:hAnsi="Book Antiqua" w:hint="eastAsia"/>
          <w:b/>
          <w:lang w:eastAsia="zh-CN"/>
        </w:rPr>
        <w:t>:</w:t>
      </w:r>
      <w:r w:rsidRPr="00165833">
        <w:rPr>
          <w:rFonts w:ascii="Book Antiqua" w:hAnsi="Book Antiqua"/>
          <w:b/>
        </w:rPr>
        <w:t xml:space="preserve"> </w:t>
      </w:r>
      <w:r w:rsidR="00C75A3A" w:rsidRPr="00165833">
        <w:rPr>
          <w:rFonts w:ascii="Book Antiqua" w:hAnsi="Book Antiqua"/>
          <w:b/>
        </w:rPr>
        <w:t>F</w:t>
      </w:r>
      <w:r w:rsidRPr="00165833">
        <w:rPr>
          <w:rFonts w:ascii="Book Antiqua" w:hAnsi="Book Antiqua"/>
          <w:b/>
        </w:rPr>
        <w:t>rom guidelines to clinical practice</w:t>
      </w:r>
    </w:p>
    <w:p w:rsidR="00562767" w:rsidRPr="00165833" w:rsidRDefault="00562767" w:rsidP="00165833">
      <w:pPr>
        <w:spacing w:line="360" w:lineRule="auto"/>
        <w:jc w:val="both"/>
        <w:rPr>
          <w:rFonts w:ascii="Book Antiqua" w:hAnsi="Book Antiqua"/>
          <w:b/>
        </w:rPr>
      </w:pPr>
    </w:p>
    <w:p w:rsidR="00AF1B77" w:rsidRPr="00165833" w:rsidRDefault="00E47881" w:rsidP="00165833">
      <w:pPr>
        <w:spacing w:line="360" w:lineRule="auto"/>
        <w:jc w:val="both"/>
        <w:rPr>
          <w:rFonts w:ascii="Book Antiqua" w:hAnsi="Book Antiqua"/>
        </w:rPr>
      </w:pPr>
      <w:r w:rsidRPr="00165833">
        <w:rPr>
          <w:rFonts w:ascii="Book Antiqua" w:hAnsi="Book Antiqua"/>
          <w:lang w:val="pt-PT"/>
        </w:rPr>
        <w:t>Magalhães</w:t>
      </w:r>
      <w:r w:rsidRPr="00165833">
        <w:rPr>
          <w:rFonts w:ascii="Book Antiqua" w:hAnsi="Book Antiqua"/>
        </w:rPr>
        <w:t xml:space="preserve"> </w:t>
      </w:r>
      <w:r w:rsidRPr="00165833">
        <w:rPr>
          <w:rFonts w:ascii="Book Antiqua" w:eastAsiaTheme="minorEastAsia" w:hAnsi="Book Antiqua"/>
          <w:lang w:eastAsia="zh-CN"/>
        </w:rPr>
        <w:t xml:space="preserve">J </w:t>
      </w:r>
      <w:r w:rsidRPr="00165833">
        <w:rPr>
          <w:rFonts w:ascii="Book Antiqua" w:eastAsiaTheme="minorEastAsia" w:hAnsi="Book Antiqua"/>
          <w:i/>
          <w:lang w:eastAsia="zh-CN"/>
        </w:rPr>
        <w:t xml:space="preserve">et al. </w:t>
      </w:r>
      <w:r w:rsidR="00AF1B77" w:rsidRPr="00165833">
        <w:rPr>
          <w:rFonts w:ascii="Book Antiqua" w:hAnsi="Book Antiqua"/>
        </w:rPr>
        <w:t>Endoscopic retrograde cholangiopancreatography for suspected choledocholithiasis</w:t>
      </w:r>
    </w:p>
    <w:p w:rsidR="00AF1B77" w:rsidRPr="00165833" w:rsidRDefault="00AF1B77" w:rsidP="00165833">
      <w:pPr>
        <w:spacing w:line="360" w:lineRule="auto"/>
        <w:jc w:val="both"/>
        <w:rPr>
          <w:rFonts w:ascii="Book Antiqua" w:hAnsi="Book Antiqua"/>
          <w:b/>
        </w:rPr>
      </w:pPr>
    </w:p>
    <w:p w:rsidR="00E10D49" w:rsidRPr="00165833" w:rsidRDefault="00AF1B77" w:rsidP="00165833">
      <w:pPr>
        <w:spacing w:line="360" w:lineRule="auto"/>
        <w:jc w:val="both"/>
        <w:rPr>
          <w:rFonts w:ascii="Book Antiqua" w:hAnsi="Book Antiqua"/>
          <w:lang w:val="pt-PT"/>
        </w:rPr>
      </w:pPr>
      <w:r w:rsidRPr="00165833">
        <w:rPr>
          <w:rFonts w:ascii="Book Antiqua" w:hAnsi="Book Antiqua"/>
          <w:lang w:val="pt-PT"/>
        </w:rPr>
        <w:t>Joana Magalhães</w:t>
      </w:r>
      <w:r w:rsidR="00E10D49" w:rsidRPr="00165833">
        <w:rPr>
          <w:rFonts w:ascii="Book Antiqua" w:hAnsi="Book Antiqua"/>
          <w:lang w:val="pt-PT"/>
        </w:rPr>
        <w:t xml:space="preserve">, </w:t>
      </w:r>
      <w:r w:rsidRPr="00165833">
        <w:rPr>
          <w:rFonts w:ascii="Book Antiqua" w:hAnsi="Book Antiqua"/>
          <w:lang w:val="pt-PT"/>
        </w:rPr>
        <w:t>Bruno Rosa</w:t>
      </w:r>
      <w:r w:rsidR="009B4BE4" w:rsidRPr="00165833">
        <w:rPr>
          <w:rFonts w:ascii="Book Antiqua" w:hAnsi="Book Antiqua"/>
          <w:lang w:val="pt-PT"/>
        </w:rPr>
        <w:t xml:space="preserve">, </w:t>
      </w:r>
      <w:r w:rsidRPr="00165833">
        <w:rPr>
          <w:rFonts w:ascii="Book Antiqua" w:hAnsi="Book Antiqua"/>
          <w:lang w:val="pt-PT"/>
        </w:rPr>
        <w:t>José Cotter</w:t>
      </w:r>
    </w:p>
    <w:p w:rsidR="000A7065" w:rsidRPr="00165833" w:rsidRDefault="000A7065" w:rsidP="00165833">
      <w:pPr>
        <w:spacing w:line="360" w:lineRule="auto"/>
        <w:jc w:val="both"/>
        <w:rPr>
          <w:rFonts w:ascii="Book Antiqua" w:hAnsi="Book Antiqua"/>
          <w:vertAlign w:val="superscript"/>
          <w:lang w:val="pt-PT"/>
        </w:rPr>
      </w:pPr>
    </w:p>
    <w:p w:rsidR="000A7065" w:rsidRPr="00165833" w:rsidRDefault="00135A87" w:rsidP="00165833">
      <w:pPr>
        <w:spacing w:line="360" w:lineRule="auto"/>
        <w:jc w:val="both"/>
        <w:rPr>
          <w:rFonts w:ascii="Book Antiqua" w:eastAsiaTheme="minorEastAsia" w:hAnsi="Book Antiqua"/>
          <w:lang w:val="pt-PT" w:eastAsia="zh-CN"/>
        </w:rPr>
      </w:pPr>
      <w:r w:rsidRPr="00165833">
        <w:rPr>
          <w:rFonts w:ascii="Book Antiqua" w:hAnsi="Book Antiqua"/>
          <w:b/>
          <w:lang w:val="pt-PT"/>
        </w:rPr>
        <w:t>Joana Magalhães, Bruno Rosa, José Cotter</w:t>
      </w:r>
      <w:r w:rsidR="00E47881" w:rsidRPr="00165833">
        <w:rPr>
          <w:rFonts w:ascii="Book Antiqua" w:eastAsiaTheme="minorEastAsia" w:hAnsi="Book Antiqua"/>
          <w:lang w:val="pt-PT" w:eastAsia="zh-CN"/>
        </w:rPr>
        <w:t>,</w:t>
      </w:r>
      <w:r w:rsidRPr="00165833">
        <w:rPr>
          <w:rFonts w:ascii="Book Antiqua" w:hAnsi="Book Antiqua"/>
          <w:lang w:val="pt-PT"/>
        </w:rPr>
        <w:t xml:space="preserve"> </w:t>
      </w:r>
      <w:r w:rsidR="00AF1B77" w:rsidRPr="00165833">
        <w:rPr>
          <w:rFonts w:ascii="Book Antiqua" w:hAnsi="Book Antiqua"/>
          <w:lang w:val="pt-PT"/>
        </w:rPr>
        <w:t>Gastroenterology Department, Centro Hospitalar do Alto Ave, 4835-044 Guimarães, Portugal</w:t>
      </w:r>
    </w:p>
    <w:p w:rsidR="00E47881" w:rsidRPr="00165833" w:rsidRDefault="00E47881" w:rsidP="00165833">
      <w:pPr>
        <w:spacing w:line="360" w:lineRule="auto"/>
        <w:jc w:val="both"/>
        <w:rPr>
          <w:rFonts w:ascii="Book Antiqua" w:eastAsiaTheme="minorEastAsia" w:hAnsi="Book Antiqua"/>
          <w:lang w:val="pt-PT" w:eastAsia="zh-CN"/>
        </w:rPr>
      </w:pPr>
    </w:p>
    <w:p w:rsidR="000A7065" w:rsidRPr="00165833" w:rsidRDefault="00135A87" w:rsidP="00165833">
      <w:pPr>
        <w:autoSpaceDE w:val="0"/>
        <w:autoSpaceDN w:val="0"/>
        <w:adjustRightInd w:val="0"/>
        <w:spacing w:line="360" w:lineRule="auto"/>
        <w:jc w:val="both"/>
        <w:rPr>
          <w:rFonts w:ascii="Book Antiqua" w:eastAsiaTheme="minorEastAsia" w:hAnsi="Book Antiqua"/>
          <w:lang w:eastAsia="zh-CN"/>
        </w:rPr>
      </w:pPr>
      <w:r w:rsidRPr="00165833">
        <w:rPr>
          <w:rFonts w:ascii="Book Antiqua" w:hAnsi="Book Antiqua"/>
          <w:b/>
        </w:rPr>
        <w:t>José Cotter</w:t>
      </w:r>
      <w:r w:rsidR="00E47881" w:rsidRPr="00165833">
        <w:rPr>
          <w:rFonts w:ascii="Book Antiqua" w:eastAsiaTheme="minorEastAsia" w:hAnsi="Book Antiqua"/>
          <w:lang w:eastAsia="zh-CN"/>
        </w:rPr>
        <w:t xml:space="preserve">, </w:t>
      </w:r>
      <w:r w:rsidR="000A7065" w:rsidRPr="00165833">
        <w:rPr>
          <w:rFonts w:ascii="Book Antiqua" w:hAnsi="Book Antiqua"/>
        </w:rPr>
        <w:t>Life and Health Sciences Research Institute (ICVS), School of Health Sciences, University of Minho, 4710-057 Braga</w:t>
      </w:r>
      <w:r w:rsidR="00E47881" w:rsidRPr="00165833">
        <w:rPr>
          <w:rFonts w:ascii="Book Antiqua" w:eastAsiaTheme="minorEastAsia" w:hAnsi="Book Antiqua"/>
          <w:lang w:eastAsia="zh-CN"/>
        </w:rPr>
        <w:t xml:space="preserve">, </w:t>
      </w:r>
      <w:r w:rsidR="000A7065" w:rsidRPr="00165833">
        <w:rPr>
          <w:rFonts w:ascii="Book Antiqua" w:hAnsi="Book Antiqua"/>
        </w:rPr>
        <w:t>Guimarães, Portugal</w:t>
      </w:r>
    </w:p>
    <w:p w:rsidR="00E47881" w:rsidRPr="00165833" w:rsidRDefault="00E47881" w:rsidP="00165833">
      <w:pPr>
        <w:autoSpaceDE w:val="0"/>
        <w:autoSpaceDN w:val="0"/>
        <w:adjustRightInd w:val="0"/>
        <w:spacing w:line="360" w:lineRule="auto"/>
        <w:jc w:val="both"/>
        <w:rPr>
          <w:rFonts w:ascii="Book Antiqua" w:eastAsiaTheme="minorEastAsia" w:hAnsi="Book Antiqua"/>
          <w:lang w:eastAsia="zh-CN"/>
        </w:rPr>
      </w:pPr>
    </w:p>
    <w:p w:rsidR="000A7065" w:rsidRPr="00165833" w:rsidRDefault="00135A87" w:rsidP="00165833">
      <w:pPr>
        <w:autoSpaceDE w:val="0"/>
        <w:autoSpaceDN w:val="0"/>
        <w:adjustRightInd w:val="0"/>
        <w:spacing w:line="360" w:lineRule="auto"/>
        <w:jc w:val="both"/>
        <w:rPr>
          <w:rFonts w:ascii="Book Antiqua" w:hAnsi="Book Antiqua"/>
        </w:rPr>
      </w:pPr>
      <w:r w:rsidRPr="00165833">
        <w:rPr>
          <w:rFonts w:ascii="Book Antiqua" w:hAnsi="Book Antiqua"/>
          <w:b/>
        </w:rPr>
        <w:t>José Cotter</w:t>
      </w:r>
      <w:r w:rsidR="00E47881" w:rsidRPr="00165833">
        <w:rPr>
          <w:rFonts w:ascii="Book Antiqua" w:eastAsiaTheme="minorEastAsia" w:hAnsi="Book Antiqua"/>
          <w:lang w:eastAsia="zh-CN"/>
        </w:rPr>
        <w:t>,</w:t>
      </w:r>
      <w:r w:rsidRPr="00165833">
        <w:rPr>
          <w:rFonts w:ascii="Book Antiqua" w:hAnsi="Book Antiqua"/>
        </w:rPr>
        <w:t xml:space="preserve"> </w:t>
      </w:r>
      <w:r w:rsidR="000A7065" w:rsidRPr="00165833">
        <w:rPr>
          <w:rFonts w:ascii="Book Antiqua" w:hAnsi="Book Antiqua"/>
        </w:rPr>
        <w:t xml:space="preserve">ICVS/3B’s, PT Government Associate Laboratory, </w:t>
      </w:r>
      <w:r w:rsidRPr="00165833">
        <w:rPr>
          <w:rFonts w:ascii="Book Antiqua" w:hAnsi="Book Antiqua"/>
        </w:rPr>
        <w:t xml:space="preserve">4710-057 </w:t>
      </w:r>
      <w:r w:rsidR="000A7065" w:rsidRPr="00165833">
        <w:rPr>
          <w:rFonts w:ascii="Book Antiqua" w:hAnsi="Book Antiqua"/>
        </w:rPr>
        <w:t>Braga</w:t>
      </w:r>
      <w:r w:rsidR="00E47881" w:rsidRPr="00165833">
        <w:rPr>
          <w:rFonts w:ascii="Book Antiqua" w:eastAsiaTheme="minorEastAsia" w:hAnsi="Book Antiqua"/>
          <w:lang w:eastAsia="zh-CN"/>
        </w:rPr>
        <w:t xml:space="preserve">, </w:t>
      </w:r>
      <w:r w:rsidR="000A7065" w:rsidRPr="00165833">
        <w:rPr>
          <w:rFonts w:ascii="Book Antiqua" w:hAnsi="Book Antiqua"/>
        </w:rPr>
        <w:t>Guimarães, Portugal</w:t>
      </w:r>
    </w:p>
    <w:p w:rsidR="000A7065" w:rsidRPr="00165833" w:rsidRDefault="000A7065" w:rsidP="00165833">
      <w:pPr>
        <w:autoSpaceDE w:val="0"/>
        <w:autoSpaceDN w:val="0"/>
        <w:adjustRightInd w:val="0"/>
        <w:spacing w:line="360" w:lineRule="auto"/>
        <w:jc w:val="both"/>
        <w:rPr>
          <w:rFonts w:ascii="Book Antiqua" w:hAnsi="Book Antiqua"/>
        </w:rPr>
      </w:pPr>
    </w:p>
    <w:p w:rsidR="00672BE0" w:rsidRPr="00165833" w:rsidRDefault="00672BE0" w:rsidP="00165833">
      <w:pPr>
        <w:spacing w:line="360" w:lineRule="auto"/>
        <w:jc w:val="both"/>
        <w:rPr>
          <w:rFonts w:ascii="Book Antiqua" w:hAnsi="Book Antiqua"/>
          <w:b/>
        </w:rPr>
      </w:pPr>
      <w:r w:rsidRPr="00165833">
        <w:rPr>
          <w:rFonts w:ascii="Book Antiqua" w:hAnsi="Book Antiqua"/>
          <w:b/>
        </w:rPr>
        <w:t>Author contributions:</w:t>
      </w:r>
      <w:r w:rsidR="00E47881" w:rsidRPr="00165833">
        <w:rPr>
          <w:rFonts w:ascii="Book Antiqua" w:eastAsiaTheme="minorEastAsia" w:hAnsi="Book Antiqua"/>
          <w:b/>
          <w:lang w:eastAsia="zh-CN"/>
        </w:rPr>
        <w:t xml:space="preserve"> </w:t>
      </w:r>
      <w:r w:rsidRPr="00C75A3A">
        <w:rPr>
          <w:rFonts w:ascii="Book Antiqua" w:hAnsi="Book Antiqua"/>
        </w:rPr>
        <w:t>Magalhães J participated in the design of the study, performed data analysis and literature research and drafted the manuscript;</w:t>
      </w:r>
      <w:r w:rsidR="00E47881" w:rsidRPr="00C75A3A">
        <w:rPr>
          <w:rFonts w:ascii="Book Antiqua" w:eastAsiaTheme="minorEastAsia" w:hAnsi="Book Antiqua"/>
          <w:lang w:eastAsia="zh-CN"/>
        </w:rPr>
        <w:t xml:space="preserve"> </w:t>
      </w:r>
      <w:r w:rsidRPr="00C75A3A">
        <w:rPr>
          <w:rFonts w:ascii="Book Antiqua" w:hAnsi="Book Antiqua"/>
        </w:rPr>
        <w:t>Rosa B performed literature research and critically revised the manuscript;</w:t>
      </w:r>
      <w:r w:rsidR="00E47881" w:rsidRPr="00C75A3A">
        <w:rPr>
          <w:rFonts w:ascii="Book Antiqua" w:eastAsiaTheme="minorEastAsia" w:hAnsi="Book Antiqua"/>
          <w:lang w:eastAsia="zh-CN"/>
        </w:rPr>
        <w:t xml:space="preserve"> </w:t>
      </w:r>
      <w:r w:rsidRPr="00C75A3A">
        <w:rPr>
          <w:rFonts w:ascii="Book Antiqua" w:hAnsi="Book Antiqua"/>
        </w:rPr>
        <w:t>Cotter J critically revised the manuscript and ap</w:t>
      </w:r>
      <w:r w:rsidR="00F97BF5" w:rsidRPr="00C75A3A">
        <w:rPr>
          <w:rFonts w:ascii="Book Antiqua" w:hAnsi="Book Antiqua"/>
        </w:rPr>
        <w:t xml:space="preserve">proved the final version to be </w:t>
      </w:r>
      <w:r w:rsidRPr="00C75A3A">
        <w:rPr>
          <w:rFonts w:ascii="Book Antiqua" w:hAnsi="Book Antiqua"/>
        </w:rPr>
        <w:t xml:space="preserve">submitted; </w:t>
      </w:r>
      <w:r w:rsidR="00E47881" w:rsidRPr="00C75A3A">
        <w:rPr>
          <w:rFonts w:ascii="Book Antiqua" w:hAnsi="Book Antiqua"/>
        </w:rPr>
        <w:t>a</w:t>
      </w:r>
      <w:r w:rsidR="00C8714D" w:rsidRPr="00C75A3A">
        <w:rPr>
          <w:rFonts w:ascii="Book Antiqua" w:hAnsi="Book Antiqua"/>
        </w:rPr>
        <w:t xml:space="preserve">ll the authors read and </w:t>
      </w:r>
      <w:r w:rsidRPr="00C75A3A">
        <w:rPr>
          <w:rFonts w:ascii="Book Antiqua" w:hAnsi="Book Antiqua"/>
        </w:rPr>
        <w:t>approved the final manuscript;</w:t>
      </w:r>
    </w:p>
    <w:p w:rsidR="008571E2" w:rsidRPr="00165833" w:rsidRDefault="008571E2" w:rsidP="00165833">
      <w:pPr>
        <w:spacing w:line="360" w:lineRule="auto"/>
        <w:jc w:val="both"/>
        <w:rPr>
          <w:rFonts w:ascii="Book Antiqua" w:hAnsi="Book Antiqua"/>
        </w:rPr>
      </w:pPr>
    </w:p>
    <w:p w:rsidR="008571E2" w:rsidRPr="00165833" w:rsidRDefault="008571E2" w:rsidP="00165833">
      <w:pPr>
        <w:spacing w:line="360" w:lineRule="auto"/>
        <w:jc w:val="both"/>
        <w:rPr>
          <w:rFonts w:ascii="Book Antiqua" w:hAnsi="Book Antiqua"/>
        </w:rPr>
      </w:pPr>
      <w:r w:rsidRPr="00165833">
        <w:rPr>
          <w:rFonts w:ascii="Book Antiqua" w:hAnsi="Book Antiqua"/>
          <w:b/>
        </w:rPr>
        <w:t>Ethics approval:</w:t>
      </w:r>
      <w:r w:rsidR="007B09D8" w:rsidRPr="00165833">
        <w:rPr>
          <w:rFonts w:ascii="Book Antiqua" w:hAnsi="Book Antiqua"/>
          <w:b/>
        </w:rPr>
        <w:t xml:space="preserve"> </w:t>
      </w:r>
      <w:r w:rsidR="00BB0AD3" w:rsidRPr="00165833">
        <w:rPr>
          <w:rFonts w:ascii="Book Antiqua" w:hAnsi="Book Antiqua"/>
        </w:rPr>
        <w:t>This study was approved by the institutional review board</w:t>
      </w:r>
      <w:r w:rsidR="00430FB7" w:rsidRPr="00165833">
        <w:rPr>
          <w:rFonts w:ascii="Book Antiqua" w:hAnsi="Book Antiqua"/>
        </w:rPr>
        <w:t xml:space="preserve"> of Centro H</w:t>
      </w:r>
      <w:r w:rsidR="00AC6E95" w:rsidRPr="00165833">
        <w:rPr>
          <w:rFonts w:ascii="Book Antiqua" w:hAnsi="Book Antiqua"/>
        </w:rPr>
        <w:t xml:space="preserve">ospitalar do Alto Ave, </w:t>
      </w:r>
      <w:r w:rsidR="00430FB7" w:rsidRPr="00165833">
        <w:rPr>
          <w:rFonts w:ascii="Book Antiqua" w:hAnsi="Book Antiqua"/>
        </w:rPr>
        <w:t>Guimarães, Portugal.</w:t>
      </w:r>
    </w:p>
    <w:p w:rsidR="008571E2" w:rsidRPr="00165833" w:rsidRDefault="008571E2" w:rsidP="00165833">
      <w:pPr>
        <w:spacing w:line="360" w:lineRule="auto"/>
        <w:jc w:val="both"/>
        <w:rPr>
          <w:rFonts w:ascii="Book Antiqua" w:hAnsi="Book Antiqua"/>
        </w:rPr>
      </w:pPr>
    </w:p>
    <w:p w:rsidR="008571E2" w:rsidRPr="00165833" w:rsidRDefault="00E47881" w:rsidP="00165833">
      <w:pPr>
        <w:autoSpaceDE w:val="0"/>
        <w:autoSpaceDN w:val="0"/>
        <w:adjustRightInd w:val="0"/>
        <w:spacing w:line="360" w:lineRule="auto"/>
        <w:jc w:val="both"/>
        <w:rPr>
          <w:rFonts w:ascii="Book Antiqua" w:hAnsi="Book Antiqua"/>
          <w:b/>
          <w:bCs/>
          <w:iCs/>
        </w:rPr>
      </w:pPr>
      <w:r w:rsidRPr="00165833">
        <w:rPr>
          <w:rFonts w:ascii="Book Antiqua" w:hAnsi="Book Antiqua"/>
          <w:b/>
          <w:bCs/>
          <w:iCs/>
        </w:rPr>
        <w:t>Informed consent:</w:t>
      </w:r>
      <w:r w:rsidR="00020418" w:rsidRPr="00165833">
        <w:rPr>
          <w:rFonts w:ascii="Book Antiqua" w:hAnsi="Book Antiqua"/>
          <w:b/>
        </w:rPr>
        <w:t xml:space="preserve"> </w:t>
      </w:r>
      <w:r w:rsidR="000B6A02" w:rsidRPr="00165833">
        <w:rPr>
          <w:rFonts w:ascii="Book Antiqua" w:hAnsi="Book Antiqua"/>
        </w:rPr>
        <w:t>All patients provided written consent to undergo endoscopic retrograde cholangiopancreatography and were informed of the risks and potential benefits of the procedure.</w:t>
      </w:r>
    </w:p>
    <w:p w:rsidR="008571E2" w:rsidRPr="00165833" w:rsidRDefault="008571E2" w:rsidP="00165833">
      <w:pPr>
        <w:spacing w:line="360" w:lineRule="auto"/>
        <w:jc w:val="both"/>
        <w:rPr>
          <w:rFonts w:ascii="Book Antiqua" w:hAnsi="Book Antiqua"/>
        </w:rPr>
      </w:pPr>
    </w:p>
    <w:p w:rsidR="008571E2" w:rsidRPr="00165833" w:rsidRDefault="008571E2" w:rsidP="00165833">
      <w:pPr>
        <w:spacing w:line="360" w:lineRule="auto"/>
        <w:jc w:val="both"/>
        <w:rPr>
          <w:rFonts w:ascii="Book Antiqua" w:eastAsiaTheme="minorEastAsia" w:hAnsi="Book Antiqua"/>
          <w:lang w:eastAsia="zh-CN"/>
        </w:rPr>
      </w:pPr>
      <w:r w:rsidRPr="00165833">
        <w:rPr>
          <w:rFonts w:ascii="Book Antiqua" w:hAnsi="Book Antiqua"/>
          <w:b/>
        </w:rPr>
        <w:t>Conflict-of-interest:</w:t>
      </w:r>
      <w:r w:rsidR="00020418" w:rsidRPr="00165833">
        <w:rPr>
          <w:rFonts w:ascii="Book Antiqua" w:hAnsi="Book Antiqua"/>
          <w:b/>
        </w:rPr>
        <w:t xml:space="preserve"> </w:t>
      </w:r>
      <w:r w:rsidR="00114F9C" w:rsidRPr="00165833">
        <w:rPr>
          <w:rFonts w:ascii="Book Antiqua" w:eastAsiaTheme="minorHAnsi" w:hAnsi="Book Antiqua"/>
        </w:rPr>
        <w:t>The authors declare that there is no conflict of interests regarding the publication of this paper.</w:t>
      </w:r>
    </w:p>
    <w:p w:rsidR="00E47881" w:rsidRPr="00165833" w:rsidRDefault="00E47881" w:rsidP="00165833">
      <w:pPr>
        <w:spacing w:line="360" w:lineRule="auto"/>
        <w:jc w:val="both"/>
        <w:rPr>
          <w:rFonts w:ascii="Book Antiqua" w:eastAsiaTheme="minorEastAsia" w:hAnsi="Book Antiqua"/>
          <w:lang w:eastAsia="zh-CN"/>
        </w:rPr>
      </w:pPr>
    </w:p>
    <w:p w:rsidR="009F63F3" w:rsidRPr="00165833" w:rsidRDefault="008571E2" w:rsidP="00165833">
      <w:pPr>
        <w:spacing w:line="360" w:lineRule="auto"/>
        <w:jc w:val="both"/>
        <w:rPr>
          <w:rFonts w:ascii="Book Antiqua" w:hAnsi="Book Antiqua"/>
        </w:rPr>
      </w:pPr>
      <w:r w:rsidRPr="00165833">
        <w:rPr>
          <w:rFonts w:ascii="Book Antiqua" w:hAnsi="Book Antiqua"/>
          <w:b/>
        </w:rPr>
        <w:t>Data Sharing:</w:t>
      </w:r>
      <w:r w:rsidR="009F63F3" w:rsidRPr="00165833">
        <w:rPr>
          <w:rFonts w:ascii="Book Antiqua" w:hAnsi="Book Antiqua"/>
          <w:b/>
        </w:rPr>
        <w:t xml:space="preserve"> </w:t>
      </w:r>
      <w:r w:rsidR="009F63F3" w:rsidRPr="00165833">
        <w:rPr>
          <w:rFonts w:ascii="Book Antiqua" w:hAnsi="Book Antiqua"/>
        </w:rPr>
        <w:t xml:space="preserve">Technical appendix, statistical code, and dataset available from the corresponding author at </w:t>
      </w:r>
      <w:hyperlink r:id="rId8" w:history="1">
        <w:r w:rsidR="009F63F3" w:rsidRPr="00165833">
          <w:rPr>
            <w:rStyle w:val="Hyperlink"/>
            <w:rFonts w:ascii="Book Antiqua" w:hAnsi="Book Antiqua"/>
            <w:color w:val="auto"/>
          </w:rPr>
          <w:t>jmagalhaes@chaa.min-saude.pt</w:t>
        </w:r>
      </w:hyperlink>
      <w:r w:rsidR="009F63F3" w:rsidRPr="00165833">
        <w:rPr>
          <w:rFonts w:ascii="Book Antiqua" w:hAnsi="Book Antiqua"/>
        </w:rPr>
        <w:t>. The consent of the participants was not obtained but the presented data are anonymized and risk of identification is low.</w:t>
      </w:r>
    </w:p>
    <w:p w:rsidR="009F63F3" w:rsidRPr="00165833" w:rsidRDefault="009F63F3" w:rsidP="00165833">
      <w:pPr>
        <w:spacing w:line="360" w:lineRule="auto"/>
        <w:jc w:val="both"/>
        <w:rPr>
          <w:rFonts w:ascii="Book Antiqua" w:hAnsi="Book Antiqua"/>
        </w:rPr>
      </w:pPr>
    </w:p>
    <w:p w:rsidR="008571E2" w:rsidRPr="00165833" w:rsidRDefault="008571E2" w:rsidP="00165833">
      <w:pPr>
        <w:spacing w:line="360" w:lineRule="auto"/>
        <w:jc w:val="both"/>
        <w:rPr>
          <w:rFonts w:ascii="Book Antiqua" w:hAnsi="Book Antiqua" w:cs="宋体"/>
          <w:lang w:val="pt-PT"/>
        </w:rPr>
      </w:pPr>
      <w:r w:rsidRPr="00165833">
        <w:rPr>
          <w:rFonts w:ascii="Book Antiqua" w:hAnsi="Book Antiqua"/>
          <w:b/>
        </w:rPr>
        <w:t xml:space="preserve">Open-Access: </w:t>
      </w:r>
      <w:r w:rsidRPr="00165833">
        <w:rPr>
          <w:rFonts w:ascii="Book Antiqua" w:hAnsi="Book Antiqua"/>
        </w:rPr>
        <w:t xml:space="preserve">This article is an </w:t>
      </w:r>
      <w:r w:rsidRPr="00165833">
        <w:rPr>
          <w:rFonts w:ascii="Book Antiqua" w:hAnsi="Book Antiqua" w:cs="宋体"/>
        </w:rPr>
        <w:t xml:space="preserve">open-access article which </w:t>
      </w:r>
      <w:r w:rsidRPr="00165833">
        <w:rPr>
          <w:rFonts w:ascii="Book Antiqua" w:hAnsi="Book Antiqua"/>
        </w:rPr>
        <w:t xml:space="preserve">selected by an in-house editor and fully peer-reviewed by external reviewers. It </w:t>
      </w:r>
      <w:r w:rsidRPr="00165833">
        <w:rPr>
          <w:rFonts w:ascii="Book Antiqua" w:hAnsi="Book Antiqua" w:cs="宋体"/>
        </w:rPr>
        <w:t xml:space="preserve">distributed in accordance with </w:t>
      </w:r>
      <w:r w:rsidRPr="00165833">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165833">
        <w:rPr>
          <w:rFonts w:ascii="Book Antiqua" w:hAnsi="Book Antiqua"/>
          <w:lang w:val="pt-PT"/>
        </w:rPr>
        <w:t>See: http://creativecommons.org/licenses/by-nc/4.0/</w:t>
      </w:r>
    </w:p>
    <w:p w:rsidR="00875673" w:rsidRPr="00165833" w:rsidRDefault="00875673" w:rsidP="00165833">
      <w:pPr>
        <w:spacing w:line="360" w:lineRule="auto"/>
        <w:jc w:val="both"/>
        <w:rPr>
          <w:rFonts w:ascii="Book Antiqua" w:hAnsi="Book Antiqua"/>
          <w:lang w:val="pt-PT"/>
        </w:rPr>
      </w:pPr>
    </w:p>
    <w:p w:rsidR="000A7065" w:rsidRPr="00165833" w:rsidRDefault="00672BE0" w:rsidP="00165833">
      <w:pPr>
        <w:spacing w:line="360" w:lineRule="auto"/>
        <w:jc w:val="both"/>
        <w:rPr>
          <w:rStyle w:val="Hyperlink"/>
          <w:rFonts w:ascii="Book Antiqua" w:hAnsi="Book Antiqua"/>
          <w:b/>
          <w:color w:val="auto"/>
          <w:u w:val="none"/>
          <w:lang w:val="pt-PT"/>
        </w:rPr>
      </w:pPr>
      <w:r w:rsidRPr="00165833">
        <w:rPr>
          <w:rFonts w:ascii="Book Antiqua" w:hAnsi="Book Antiqua"/>
          <w:b/>
          <w:lang w:val="pt-PT"/>
        </w:rPr>
        <w:t xml:space="preserve">Correspondence </w:t>
      </w:r>
      <w:r w:rsidR="00E47881" w:rsidRPr="00165833">
        <w:rPr>
          <w:rFonts w:ascii="Book Antiqua" w:hAnsi="Book Antiqua"/>
          <w:b/>
          <w:lang w:val="pt-PT"/>
        </w:rPr>
        <w:t>t</w:t>
      </w:r>
      <w:r w:rsidRPr="00165833">
        <w:rPr>
          <w:rFonts w:ascii="Book Antiqua" w:hAnsi="Book Antiqua"/>
          <w:b/>
          <w:lang w:val="pt-PT"/>
        </w:rPr>
        <w:t>o</w:t>
      </w:r>
      <w:r w:rsidR="000A7065" w:rsidRPr="00165833">
        <w:rPr>
          <w:rFonts w:ascii="Book Antiqua" w:hAnsi="Book Antiqua"/>
          <w:b/>
          <w:lang w:val="pt-PT"/>
        </w:rPr>
        <w:t>:</w:t>
      </w:r>
      <w:r w:rsidR="00E47881" w:rsidRPr="00165833">
        <w:rPr>
          <w:rFonts w:ascii="Book Antiqua" w:eastAsiaTheme="minorEastAsia" w:hAnsi="Book Antiqua"/>
          <w:b/>
          <w:lang w:val="pt-PT" w:eastAsia="zh-CN"/>
        </w:rPr>
        <w:t xml:space="preserve"> </w:t>
      </w:r>
      <w:r w:rsidR="000A7065" w:rsidRPr="00165833">
        <w:rPr>
          <w:rFonts w:ascii="Book Antiqua" w:hAnsi="Book Antiqua"/>
          <w:b/>
          <w:lang w:val="pt-PT"/>
        </w:rPr>
        <w:t>Joana Magalhães</w:t>
      </w:r>
      <w:r w:rsidR="0026038D" w:rsidRPr="00165833">
        <w:rPr>
          <w:rFonts w:ascii="Book Antiqua" w:hAnsi="Book Antiqua"/>
          <w:b/>
          <w:lang w:val="pt-PT"/>
        </w:rPr>
        <w:t>,</w:t>
      </w:r>
      <w:r w:rsidR="0026038D" w:rsidRPr="00165833">
        <w:rPr>
          <w:rFonts w:ascii="Book Antiqua" w:hAnsi="Book Antiqua"/>
          <w:lang w:val="pt-PT"/>
        </w:rPr>
        <w:t xml:space="preserve"> </w:t>
      </w:r>
      <w:r w:rsidR="00E02FCA" w:rsidRPr="00165833">
        <w:rPr>
          <w:rFonts w:ascii="Book Antiqua" w:eastAsiaTheme="minorEastAsia" w:hAnsi="Book Antiqua"/>
          <w:b/>
          <w:lang w:val="pt-PT" w:eastAsia="zh-CN"/>
        </w:rPr>
        <w:t xml:space="preserve">MD, </w:t>
      </w:r>
      <w:r w:rsidR="0026038D" w:rsidRPr="00165833">
        <w:rPr>
          <w:rFonts w:ascii="Book Antiqua" w:hAnsi="Book Antiqua"/>
          <w:lang w:val="pt-PT"/>
        </w:rPr>
        <w:t>Gastroenterology Department, Centro Hospitalar do Alto Ave,</w:t>
      </w:r>
      <w:r w:rsidR="00E47881" w:rsidRPr="00165833">
        <w:rPr>
          <w:rFonts w:ascii="Book Antiqua" w:hAnsi="Book Antiqua"/>
        </w:rPr>
        <w:t xml:space="preserve"> </w:t>
      </w:r>
      <w:r w:rsidR="00E47881" w:rsidRPr="00165833">
        <w:rPr>
          <w:rFonts w:ascii="Book Antiqua" w:hAnsi="Book Antiqua"/>
          <w:lang w:val="pt-PT"/>
        </w:rPr>
        <w:t>Rua dos Cutileiros</w:t>
      </w:r>
      <w:r w:rsidR="00381A50" w:rsidRPr="00165833">
        <w:rPr>
          <w:rFonts w:ascii="Book Antiqua" w:eastAsiaTheme="minorEastAsia" w:hAnsi="Book Antiqua"/>
          <w:lang w:val="pt-PT" w:eastAsia="zh-CN"/>
        </w:rPr>
        <w:t>,</w:t>
      </w:r>
      <w:r w:rsidR="00321954" w:rsidRPr="00165833">
        <w:rPr>
          <w:rFonts w:ascii="Book Antiqua" w:hAnsi="Book Antiqua" w:cs="Arial"/>
        </w:rPr>
        <w:t xml:space="preserve"> Creixomil,</w:t>
      </w:r>
      <w:r w:rsidR="0026038D" w:rsidRPr="00165833">
        <w:rPr>
          <w:rFonts w:ascii="Book Antiqua" w:hAnsi="Book Antiqua"/>
          <w:lang w:val="pt-PT"/>
        </w:rPr>
        <w:t xml:space="preserve"> 4835-044 Guimarães, Portugal. </w:t>
      </w:r>
      <w:hyperlink r:id="rId9" w:history="1">
        <w:r w:rsidRPr="00165833">
          <w:rPr>
            <w:rStyle w:val="Hyperlink"/>
            <w:rFonts w:ascii="Book Antiqua" w:hAnsi="Book Antiqua"/>
            <w:color w:val="auto"/>
          </w:rPr>
          <w:t>jmagalhaes@chaa.min-saude.pt</w:t>
        </w:r>
      </w:hyperlink>
    </w:p>
    <w:p w:rsidR="00381A50" w:rsidRPr="00165833" w:rsidRDefault="00381A50" w:rsidP="00165833">
      <w:pPr>
        <w:spacing w:line="360" w:lineRule="auto"/>
        <w:jc w:val="both"/>
        <w:rPr>
          <w:rFonts w:ascii="Book Antiqua" w:eastAsiaTheme="minorEastAsia" w:hAnsi="Book Antiqua"/>
          <w:lang w:eastAsia="zh-CN"/>
        </w:rPr>
      </w:pPr>
    </w:p>
    <w:p w:rsidR="00C75A3A" w:rsidRDefault="00F97BF5" w:rsidP="00165833">
      <w:pPr>
        <w:spacing w:line="360" w:lineRule="auto"/>
        <w:jc w:val="both"/>
        <w:rPr>
          <w:rFonts w:ascii="Book Antiqua" w:eastAsiaTheme="minorEastAsia" w:hAnsi="Book Antiqua"/>
          <w:lang w:eastAsia="zh-CN"/>
        </w:rPr>
      </w:pPr>
      <w:r w:rsidRPr="00165833">
        <w:rPr>
          <w:rFonts w:ascii="Book Antiqua" w:hAnsi="Book Antiqua"/>
          <w:b/>
        </w:rPr>
        <w:t xml:space="preserve">Telephone: </w:t>
      </w:r>
      <w:r w:rsidRPr="00165833">
        <w:rPr>
          <w:rFonts w:ascii="Book Antiqua" w:hAnsi="Book Antiqua"/>
        </w:rPr>
        <w:t xml:space="preserve">+351-253-540330 </w:t>
      </w:r>
    </w:p>
    <w:p w:rsidR="000A7065" w:rsidRPr="00165833" w:rsidRDefault="00F97BF5" w:rsidP="00165833">
      <w:pPr>
        <w:spacing w:line="360" w:lineRule="auto"/>
        <w:jc w:val="both"/>
        <w:rPr>
          <w:rFonts w:ascii="Book Antiqua" w:hAnsi="Book Antiqua"/>
        </w:rPr>
      </w:pPr>
      <w:r w:rsidRPr="00165833">
        <w:rPr>
          <w:rFonts w:ascii="Book Antiqua" w:hAnsi="Book Antiqua"/>
          <w:b/>
        </w:rPr>
        <w:t>Fax:</w:t>
      </w:r>
      <w:r w:rsidRPr="00165833">
        <w:rPr>
          <w:rFonts w:ascii="Book Antiqua" w:hAnsi="Book Antiqua"/>
        </w:rPr>
        <w:t xml:space="preserve"> +351-253-421308</w:t>
      </w:r>
    </w:p>
    <w:p w:rsidR="00FC18D8" w:rsidRPr="00165833" w:rsidRDefault="00FC18D8" w:rsidP="00165833">
      <w:pPr>
        <w:spacing w:line="360" w:lineRule="auto"/>
        <w:jc w:val="both"/>
        <w:rPr>
          <w:rFonts w:ascii="Book Antiqua" w:hAnsi="Book Antiqua"/>
          <w:b/>
        </w:rPr>
      </w:pPr>
    </w:p>
    <w:p w:rsidR="00381A50" w:rsidRPr="00165833" w:rsidRDefault="00381A50" w:rsidP="00165833">
      <w:pPr>
        <w:spacing w:line="360" w:lineRule="auto"/>
        <w:jc w:val="both"/>
        <w:rPr>
          <w:rFonts w:ascii="Book Antiqua" w:hAnsi="Book Antiqua"/>
          <w:b/>
        </w:rPr>
      </w:pPr>
      <w:r w:rsidRPr="00165833">
        <w:rPr>
          <w:rFonts w:ascii="Book Antiqua" w:hAnsi="Book Antiqua"/>
          <w:b/>
        </w:rPr>
        <w:t xml:space="preserve">Received: </w:t>
      </w:r>
      <w:r w:rsidRPr="00165833">
        <w:rPr>
          <w:rFonts w:ascii="Book Antiqua" w:eastAsiaTheme="minorEastAsia" w:hAnsi="Book Antiqua"/>
          <w:lang w:eastAsia="zh-CN"/>
        </w:rPr>
        <w:t>September 17, 2014</w:t>
      </w:r>
      <w:r w:rsidRPr="00165833">
        <w:rPr>
          <w:rFonts w:ascii="Book Antiqua" w:hAnsi="Book Antiqua"/>
        </w:rPr>
        <w:t xml:space="preserve"> </w:t>
      </w:r>
    </w:p>
    <w:p w:rsidR="00381A50" w:rsidRPr="00165833" w:rsidRDefault="00381A50" w:rsidP="00165833">
      <w:pPr>
        <w:spacing w:line="360" w:lineRule="auto"/>
        <w:jc w:val="both"/>
        <w:rPr>
          <w:rFonts w:ascii="Book Antiqua" w:hAnsi="Book Antiqua"/>
          <w:b/>
        </w:rPr>
      </w:pPr>
      <w:r w:rsidRPr="00165833">
        <w:rPr>
          <w:rFonts w:ascii="Book Antiqua" w:hAnsi="Book Antiqua"/>
          <w:b/>
        </w:rPr>
        <w:t>Peer-review started:</w:t>
      </w:r>
      <w:r w:rsidRPr="00165833">
        <w:rPr>
          <w:rFonts w:ascii="Book Antiqua" w:eastAsiaTheme="minorEastAsia" w:hAnsi="Book Antiqua"/>
          <w:lang w:eastAsia="zh-CN"/>
        </w:rPr>
        <w:t xml:space="preserve"> September 20, 2014</w:t>
      </w:r>
    </w:p>
    <w:p w:rsidR="00381A50" w:rsidRPr="00165833" w:rsidRDefault="00381A50" w:rsidP="00165833">
      <w:pPr>
        <w:spacing w:line="360" w:lineRule="auto"/>
        <w:jc w:val="both"/>
        <w:rPr>
          <w:rFonts w:ascii="Book Antiqua" w:eastAsiaTheme="minorEastAsia" w:hAnsi="Book Antiqua"/>
          <w:b/>
          <w:lang w:eastAsia="zh-CN"/>
        </w:rPr>
      </w:pPr>
      <w:r w:rsidRPr="00165833">
        <w:rPr>
          <w:rFonts w:ascii="Book Antiqua" w:hAnsi="Book Antiqua"/>
          <w:b/>
        </w:rPr>
        <w:t>First decision:</w:t>
      </w:r>
      <w:r w:rsidRPr="00165833">
        <w:rPr>
          <w:rFonts w:ascii="Book Antiqua" w:eastAsiaTheme="minorEastAsia" w:hAnsi="Book Antiqua"/>
          <w:b/>
          <w:lang w:eastAsia="zh-CN"/>
        </w:rPr>
        <w:t xml:space="preserve"> </w:t>
      </w:r>
      <w:r w:rsidRPr="00165833">
        <w:rPr>
          <w:rFonts w:ascii="Book Antiqua" w:eastAsiaTheme="minorEastAsia" w:hAnsi="Book Antiqua"/>
          <w:lang w:eastAsia="zh-CN"/>
        </w:rPr>
        <w:t>October 14, 2014</w:t>
      </w:r>
    </w:p>
    <w:p w:rsidR="00381A50" w:rsidRPr="00165833" w:rsidRDefault="00381A50" w:rsidP="00165833">
      <w:pPr>
        <w:spacing w:line="360" w:lineRule="auto"/>
        <w:jc w:val="both"/>
        <w:rPr>
          <w:rFonts w:ascii="Book Antiqua" w:hAnsi="Book Antiqua"/>
          <w:b/>
        </w:rPr>
      </w:pPr>
      <w:r w:rsidRPr="00165833">
        <w:rPr>
          <w:rFonts w:ascii="Book Antiqua" w:hAnsi="Book Antiqua"/>
          <w:b/>
        </w:rPr>
        <w:t xml:space="preserve">Revised: </w:t>
      </w:r>
      <w:r w:rsidRPr="00165833">
        <w:rPr>
          <w:rFonts w:ascii="Book Antiqua" w:eastAsiaTheme="minorEastAsia" w:hAnsi="Book Antiqua"/>
          <w:lang w:eastAsia="zh-CN"/>
        </w:rPr>
        <w:t>December 14, 2014</w:t>
      </w:r>
      <w:r w:rsidRPr="00165833">
        <w:rPr>
          <w:rFonts w:ascii="Book Antiqua" w:hAnsi="Book Antiqua"/>
        </w:rPr>
        <w:t xml:space="preserve"> </w:t>
      </w:r>
    </w:p>
    <w:p w:rsidR="00381A50" w:rsidRPr="008207FA" w:rsidRDefault="008207FA" w:rsidP="00165833">
      <w:pPr>
        <w:spacing w:line="360" w:lineRule="auto"/>
        <w:jc w:val="both"/>
        <w:rPr>
          <w:rFonts w:ascii="Book Antiqua" w:eastAsiaTheme="minorEastAsia" w:hAnsi="Book Antiqua"/>
          <w:b/>
          <w:lang w:eastAsia="zh-CN"/>
        </w:rPr>
      </w:pPr>
      <w:r>
        <w:rPr>
          <w:rFonts w:ascii="Book Antiqua" w:hAnsi="Book Antiqua"/>
          <w:b/>
        </w:rPr>
        <w:t>Accepted:</w:t>
      </w:r>
      <w:r w:rsidR="00CE73E9" w:rsidRPr="00CE73E9">
        <w:t xml:space="preserve"> </w:t>
      </w:r>
      <w:bookmarkStart w:id="0" w:name="_GoBack"/>
      <w:r w:rsidR="00CE73E9" w:rsidRPr="00CE73E9">
        <w:rPr>
          <w:rFonts w:ascii="Book Antiqua" w:hAnsi="Book Antiqua"/>
        </w:rPr>
        <w:t>December 29, 2014</w:t>
      </w:r>
      <w:r>
        <w:rPr>
          <w:rFonts w:ascii="Book Antiqua" w:hAnsi="Book Antiqua"/>
          <w:b/>
        </w:rPr>
        <w:t xml:space="preserve"> </w:t>
      </w:r>
      <w:bookmarkEnd w:id="0"/>
    </w:p>
    <w:p w:rsidR="00381A50" w:rsidRPr="00165833" w:rsidRDefault="00381A50" w:rsidP="00165833">
      <w:pPr>
        <w:spacing w:line="360" w:lineRule="auto"/>
        <w:jc w:val="both"/>
        <w:rPr>
          <w:rFonts w:ascii="Book Antiqua" w:hAnsi="Book Antiqua"/>
          <w:b/>
        </w:rPr>
      </w:pPr>
      <w:r w:rsidRPr="00165833">
        <w:rPr>
          <w:rFonts w:ascii="Book Antiqua" w:hAnsi="Book Antiqua"/>
          <w:b/>
        </w:rPr>
        <w:t>Article in press:</w:t>
      </w:r>
    </w:p>
    <w:p w:rsidR="00381A50" w:rsidRPr="00165833" w:rsidRDefault="00381A50" w:rsidP="00165833">
      <w:pPr>
        <w:spacing w:line="360" w:lineRule="auto"/>
        <w:jc w:val="both"/>
        <w:rPr>
          <w:rFonts w:ascii="Book Antiqua" w:hAnsi="Book Antiqua"/>
          <w:b/>
        </w:rPr>
      </w:pPr>
      <w:r w:rsidRPr="00165833">
        <w:rPr>
          <w:rFonts w:ascii="Book Antiqua" w:hAnsi="Book Antiqua"/>
          <w:b/>
        </w:rPr>
        <w:t xml:space="preserve">Published online: </w:t>
      </w:r>
    </w:p>
    <w:p w:rsidR="00FC18D8" w:rsidRPr="00165833" w:rsidRDefault="00FC18D8" w:rsidP="00165833">
      <w:pPr>
        <w:spacing w:line="360" w:lineRule="auto"/>
        <w:jc w:val="both"/>
        <w:rPr>
          <w:rFonts w:ascii="Book Antiqua" w:hAnsi="Book Antiqua"/>
          <w:b/>
        </w:rPr>
      </w:pPr>
    </w:p>
    <w:p w:rsidR="00002BD7" w:rsidRPr="00165833" w:rsidRDefault="00BA1EBC" w:rsidP="00165833">
      <w:pPr>
        <w:spacing w:line="360" w:lineRule="auto"/>
        <w:jc w:val="both"/>
        <w:rPr>
          <w:rFonts w:ascii="Book Antiqua" w:hAnsi="Book Antiqua"/>
          <w:b/>
        </w:rPr>
      </w:pPr>
      <w:r w:rsidRPr="00165833">
        <w:rPr>
          <w:rFonts w:ascii="Book Antiqua" w:hAnsi="Book Antiqua"/>
          <w:b/>
        </w:rPr>
        <w:t>A</w:t>
      </w:r>
      <w:r w:rsidR="00F262DB" w:rsidRPr="00165833">
        <w:rPr>
          <w:rFonts w:ascii="Book Antiqua" w:hAnsi="Book Antiqua"/>
          <w:b/>
        </w:rPr>
        <w:t>bstract</w:t>
      </w:r>
    </w:p>
    <w:p w:rsidR="00977DE6" w:rsidRPr="00165833" w:rsidRDefault="00FF7259" w:rsidP="00165833">
      <w:pPr>
        <w:spacing w:line="360" w:lineRule="auto"/>
        <w:jc w:val="both"/>
        <w:rPr>
          <w:rFonts w:ascii="Book Antiqua" w:hAnsi="Book Antiqua"/>
        </w:rPr>
      </w:pPr>
      <w:r w:rsidRPr="00165833">
        <w:rPr>
          <w:rFonts w:ascii="Book Antiqua" w:hAnsi="Book Antiqua"/>
          <w:b/>
        </w:rPr>
        <w:t>AIM</w:t>
      </w:r>
      <w:r w:rsidR="00900310" w:rsidRPr="00165833">
        <w:rPr>
          <w:rFonts w:ascii="Book Antiqua" w:hAnsi="Book Antiqua"/>
          <w:b/>
        </w:rPr>
        <w:t>:</w:t>
      </w:r>
      <w:r w:rsidR="00900310" w:rsidRPr="00165833">
        <w:rPr>
          <w:rFonts w:ascii="Book Antiqua" w:hAnsi="Book Antiqua"/>
        </w:rPr>
        <w:t xml:space="preserve"> </w:t>
      </w:r>
      <w:r w:rsidR="00977DE6" w:rsidRPr="00165833">
        <w:rPr>
          <w:rFonts w:ascii="Book Antiqua" w:hAnsi="Book Antiqua"/>
        </w:rPr>
        <w:t>To study the practical applicability of the American Society for Gastrointestinal Endoscopy (ASGE) guidelines</w:t>
      </w:r>
      <w:r w:rsidR="007C556B" w:rsidRPr="00165833">
        <w:rPr>
          <w:rFonts w:ascii="Book Antiqua" w:hAnsi="Book Antiqua"/>
        </w:rPr>
        <w:t xml:space="preserve"> in suspected cases of choledocholithiasis.</w:t>
      </w:r>
    </w:p>
    <w:p w:rsidR="001D7217" w:rsidRPr="00165833" w:rsidRDefault="001D7217" w:rsidP="00165833">
      <w:pPr>
        <w:spacing w:line="360" w:lineRule="auto"/>
        <w:jc w:val="both"/>
        <w:rPr>
          <w:rFonts w:ascii="Book Antiqua" w:eastAsiaTheme="minorEastAsia" w:hAnsi="Book Antiqua"/>
          <w:b/>
          <w:lang w:eastAsia="zh-CN"/>
        </w:rPr>
      </w:pPr>
    </w:p>
    <w:p w:rsidR="001D7217" w:rsidRPr="00165833" w:rsidRDefault="00F262DB" w:rsidP="00165833">
      <w:pPr>
        <w:spacing w:line="360" w:lineRule="auto"/>
        <w:jc w:val="both"/>
        <w:rPr>
          <w:rFonts w:ascii="Book Antiqua" w:eastAsiaTheme="minorEastAsia" w:hAnsi="Book Antiqua"/>
          <w:b/>
          <w:lang w:eastAsia="zh-CN"/>
        </w:rPr>
      </w:pPr>
      <w:r w:rsidRPr="00165833">
        <w:rPr>
          <w:rFonts w:ascii="Book Antiqua" w:hAnsi="Book Antiqua"/>
          <w:b/>
        </w:rPr>
        <w:t>METHODS:</w:t>
      </w:r>
      <w:r w:rsidR="00900310" w:rsidRPr="00165833">
        <w:rPr>
          <w:rFonts w:ascii="Book Antiqua" w:hAnsi="Book Antiqua"/>
          <w:b/>
        </w:rPr>
        <w:t xml:space="preserve"> </w:t>
      </w:r>
      <w:r w:rsidR="00900310" w:rsidRPr="00165833">
        <w:rPr>
          <w:rFonts w:ascii="Book Antiqua" w:hAnsi="Book Antiqua" w:cs="Garamond"/>
        </w:rPr>
        <w:t>This was a retrospective single center study, covering a 4-year period, from</w:t>
      </w:r>
      <w:r w:rsidRPr="00165833">
        <w:rPr>
          <w:rFonts w:ascii="Book Antiqua" w:hAnsi="Book Antiqua" w:cs="Garamond"/>
        </w:rPr>
        <w:t xml:space="preserve"> January 2010 to December 2013.</w:t>
      </w:r>
      <w:r w:rsidR="00900310" w:rsidRPr="00165833">
        <w:rPr>
          <w:rFonts w:ascii="Book Antiqua" w:hAnsi="Book Antiqua" w:cs="Garamond"/>
        </w:rPr>
        <w:t xml:space="preserve"> </w:t>
      </w:r>
      <w:r w:rsidR="00900310" w:rsidRPr="00165833">
        <w:rPr>
          <w:rFonts w:ascii="Book Antiqua" w:hAnsi="Book Antiqua"/>
        </w:rPr>
        <w:t xml:space="preserve">All patients who underwent endoscopic retrograde cholangiopancreatography (ERCP) for suspected choledocholithiasis were included. </w:t>
      </w:r>
      <w:r w:rsidR="00900310" w:rsidRPr="00165833">
        <w:rPr>
          <w:rFonts w:ascii="Book Antiqua" w:hAnsi="Book Antiqua"/>
          <w:lang w:val="en-GB"/>
        </w:rPr>
        <w:t>Based on the presence or absence of predictors of choledocholithiasis (</w:t>
      </w:r>
      <w:r w:rsidR="00900310" w:rsidRPr="00165833">
        <w:rPr>
          <w:rFonts w:ascii="Book Antiqua" w:hAnsi="Book Antiqua"/>
        </w:rPr>
        <w:t>clinical ascending cholangitis, common bile duct (CBD) stones on ultrasonography (US), total bilirubin &gt;</w:t>
      </w:r>
      <w:r w:rsidRPr="00165833">
        <w:rPr>
          <w:rFonts w:ascii="Book Antiqua" w:eastAsiaTheme="minorEastAsia" w:hAnsi="Book Antiqua"/>
          <w:lang w:eastAsia="zh-CN"/>
        </w:rPr>
        <w:t xml:space="preserve"> </w:t>
      </w:r>
      <w:r w:rsidR="00900310" w:rsidRPr="00165833">
        <w:rPr>
          <w:rFonts w:ascii="Book Antiqua" w:hAnsi="Book Antiqua"/>
        </w:rPr>
        <w:t>4</w:t>
      </w:r>
      <w:r w:rsidR="00381A50" w:rsidRPr="00165833">
        <w:rPr>
          <w:rFonts w:ascii="Book Antiqua" w:eastAsiaTheme="minorEastAsia" w:hAnsi="Book Antiqua"/>
          <w:lang w:eastAsia="zh-CN"/>
        </w:rPr>
        <w:t xml:space="preserve"> </w:t>
      </w:r>
      <w:r w:rsidR="00900310" w:rsidRPr="00165833">
        <w:rPr>
          <w:rFonts w:ascii="Book Antiqua" w:hAnsi="Book Antiqua"/>
        </w:rPr>
        <w:t>mg/dL, dilat</w:t>
      </w:r>
      <w:r w:rsidR="00C816B3" w:rsidRPr="00165833">
        <w:rPr>
          <w:rFonts w:ascii="Book Antiqua" w:hAnsi="Book Antiqua"/>
        </w:rPr>
        <w:t>ed CBD on US, total bilirubin 1.</w:t>
      </w:r>
      <w:r w:rsidR="00900310" w:rsidRPr="00165833">
        <w:rPr>
          <w:rFonts w:ascii="Book Antiqua" w:hAnsi="Book Antiqua"/>
        </w:rPr>
        <w:t>8</w:t>
      </w:r>
      <w:r w:rsidR="00381A50" w:rsidRPr="00165833">
        <w:rPr>
          <w:rFonts w:ascii="Book Antiqua" w:eastAsiaTheme="minorEastAsia" w:hAnsi="Book Antiqua"/>
          <w:lang w:eastAsia="zh-CN"/>
        </w:rPr>
        <w:t>-</w:t>
      </w:r>
      <w:r w:rsidR="00900310" w:rsidRPr="00165833">
        <w:rPr>
          <w:rFonts w:ascii="Book Antiqua" w:hAnsi="Book Antiqua"/>
        </w:rPr>
        <w:t>4</w:t>
      </w:r>
      <w:r w:rsidR="00381A50" w:rsidRPr="00165833">
        <w:rPr>
          <w:rFonts w:ascii="Book Antiqua" w:eastAsiaTheme="minorEastAsia" w:hAnsi="Book Antiqua"/>
          <w:lang w:eastAsia="zh-CN"/>
        </w:rPr>
        <w:t xml:space="preserve"> </w:t>
      </w:r>
      <w:r w:rsidR="00900310" w:rsidRPr="00165833">
        <w:rPr>
          <w:rFonts w:ascii="Book Antiqua" w:hAnsi="Book Antiqua"/>
        </w:rPr>
        <w:t>mg/dL, abnormal liver function test, age &gt;</w:t>
      </w:r>
      <w:r w:rsidRPr="00165833">
        <w:rPr>
          <w:rFonts w:ascii="Book Antiqua" w:eastAsiaTheme="minorEastAsia" w:hAnsi="Book Antiqua"/>
          <w:lang w:eastAsia="zh-CN"/>
        </w:rPr>
        <w:t xml:space="preserve"> </w:t>
      </w:r>
      <w:r w:rsidR="00900310" w:rsidRPr="00165833">
        <w:rPr>
          <w:rFonts w:ascii="Book Antiqua" w:hAnsi="Book Antiqua"/>
        </w:rPr>
        <w:t>55 years and gallstone pancreatitis</w:t>
      </w:r>
      <w:r w:rsidR="00900310" w:rsidRPr="00165833">
        <w:rPr>
          <w:rFonts w:ascii="Book Antiqua" w:hAnsi="Book Antiqua"/>
          <w:lang w:val="en-GB"/>
        </w:rPr>
        <w:t xml:space="preserve">), patients were stratified in low, intermediate or high risk for choledocholithiasis. </w:t>
      </w:r>
      <w:r w:rsidR="00900310" w:rsidRPr="00165833">
        <w:rPr>
          <w:rStyle w:val="hps"/>
          <w:rFonts w:ascii="Book Antiqua" w:hAnsi="Book Antiqua" w:cs="Arial"/>
        </w:rPr>
        <w:t xml:space="preserve">For each predictor and risk group we used the Chi-square to evaluate the statistical associations with the presence of choledocolithiasis at ERCP. </w:t>
      </w:r>
      <w:r w:rsidR="00900310" w:rsidRPr="00165833">
        <w:rPr>
          <w:rFonts w:ascii="Book Antiqua" w:hAnsi="Book Antiqua" w:cs="Garamond"/>
        </w:rPr>
        <w:t xml:space="preserve">Statistical analysis was performed using SPSS version 21.0. A </w:t>
      </w:r>
      <w:r w:rsidR="00C816B3" w:rsidRPr="00165833">
        <w:rPr>
          <w:rFonts w:ascii="Book Antiqua" w:hAnsi="Book Antiqua" w:cs="Garamond"/>
          <w:i/>
        </w:rPr>
        <w:t>P</w:t>
      </w:r>
      <w:r w:rsidR="00900310" w:rsidRPr="00165833">
        <w:rPr>
          <w:rFonts w:ascii="Book Antiqua" w:hAnsi="Book Antiqua" w:cs="Garamond"/>
          <w:i/>
        </w:rPr>
        <w:t xml:space="preserve"> </w:t>
      </w:r>
      <w:r w:rsidR="00900310" w:rsidRPr="00165833">
        <w:rPr>
          <w:rFonts w:ascii="Book Antiqua" w:hAnsi="Book Antiqua" w:cs="Garamond"/>
        </w:rPr>
        <w:t>value of less than 0.05 was considered statistically significant.</w:t>
      </w:r>
      <w:r w:rsidR="00900310" w:rsidRPr="00165833">
        <w:rPr>
          <w:rFonts w:ascii="Book Antiqua" w:hAnsi="Book Antiqua"/>
          <w:b/>
        </w:rPr>
        <w:t xml:space="preserve"> </w:t>
      </w:r>
    </w:p>
    <w:p w:rsidR="001D7217" w:rsidRPr="00165833" w:rsidRDefault="001D7217" w:rsidP="00165833">
      <w:pPr>
        <w:spacing w:line="360" w:lineRule="auto"/>
        <w:jc w:val="both"/>
        <w:rPr>
          <w:rFonts w:ascii="Book Antiqua" w:eastAsiaTheme="minorEastAsia" w:hAnsi="Book Antiqua"/>
          <w:b/>
          <w:lang w:eastAsia="zh-CN"/>
        </w:rPr>
      </w:pPr>
    </w:p>
    <w:p w:rsidR="001536E3" w:rsidRPr="00165833" w:rsidRDefault="00F262DB" w:rsidP="00165833">
      <w:pPr>
        <w:spacing w:line="360" w:lineRule="auto"/>
        <w:jc w:val="both"/>
        <w:rPr>
          <w:rFonts w:ascii="Book Antiqua" w:hAnsi="Book Antiqua"/>
          <w:b/>
        </w:rPr>
      </w:pPr>
      <w:r w:rsidRPr="00165833">
        <w:rPr>
          <w:rFonts w:ascii="Book Antiqua" w:hAnsi="Book Antiqua"/>
          <w:b/>
        </w:rPr>
        <w:t>RESULTS:</w:t>
      </w:r>
      <w:r w:rsidR="00900310" w:rsidRPr="00165833">
        <w:rPr>
          <w:rFonts w:ascii="Book Antiqua" w:hAnsi="Book Antiqua"/>
          <w:b/>
        </w:rPr>
        <w:t xml:space="preserve"> </w:t>
      </w:r>
      <w:r w:rsidR="00900310" w:rsidRPr="00165833">
        <w:rPr>
          <w:rFonts w:ascii="Book Antiqua" w:hAnsi="Book Antiqua" w:cs="Garamond"/>
        </w:rPr>
        <w:t>A</w:t>
      </w:r>
      <w:r w:rsidR="00900310" w:rsidRPr="00165833">
        <w:rPr>
          <w:rFonts w:ascii="Book Antiqua" w:hAnsi="Book Antiqua"/>
        </w:rPr>
        <w:t xml:space="preserve"> total of 268 ERCPs were performed for suspected choledocholithiasis. Exce</w:t>
      </w:r>
      <w:r w:rsidR="00B3353B" w:rsidRPr="00165833">
        <w:rPr>
          <w:rFonts w:ascii="Book Antiqua" w:hAnsi="Book Antiqua"/>
        </w:rPr>
        <w:t>pt for gallstone pancreatitis (</w:t>
      </w:r>
      <w:r w:rsidR="00B3353B" w:rsidRPr="00165833">
        <w:rPr>
          <w:rFonts w:ascii="Book Antiqua" w:hAnsi="Book Antiqua" w:cs="Arial"/>
          <w:i/>
          <w:iCs/>
        </w:rPr>
        <w:t>P</w:t>
      </w:r>
      <w:r w:rsidR="00381A50" w:rsidRPr="00165833">
        <w:rPr>
          <w:rFonts w:ascii="Book Antiqua" w:eastAsiaTheme="minorEastAsia" w:hAnsi="Book Antiqua" w:cs="Arial"/>
          <w:i/>
          <w:iCs/>
          <w:lang w:eastAsia="zh-CN"/>
        </w:rPr>
        <w:t xml:space="preserve"> </w:t>
      </w:r>
      <w:r w:rsidR="007636AA" w:rsidRPr="00165833">
        <w:rPr>
          <w:rFonts w:ascii="Book Antiqua" w:hAnsi="Book Antiqua"/>
        </w:rPr>
        <w:t>=</w:t>
      </w:r>
      <w:r w:rsidR="00381A50" w:rsidRPr="00165833">
        <w:rPr>
          <w:rFonts w:ascii="Book Antiqua" w:eastAsiaTheme="minorEastAsia" w:hAnsi="Book Antiqua"/>
          <w:lang w:eastAsia="zh-CN"/>
        </w:rPr>
        <w:t xml:space="preserve"> </w:t>
      </w:r>
      <w:r w:rsidR="007636AA" w:rsidRPr="00165833">
        <w:rPr>
          <w:rFonts w:ascii="Book Antiqua" w:hAnsi="Book Antiqua"/>
        </w:rPr>
        <w:t>0.</w:t>
      </w:r>
      <w:r w:rsidR="00900310" w:rsidRPr="00165833">
        <w:rPr>
          <w:rFonts w:ascii="Book Antiqua" w:hAnsi="Book Antiqua"/>
        </w:rPr>
        <w:t>063), all other predictors of choledocholitiasis (c</w:t>
      </w:r>
      <w:r w:rsidR="00B3353B" w:rsidRPr="00165833">
        <w:rPr>
          <w:rFonts w:ascii="Book Antiqua" w:hAnsi="Book Antiqua"/>
        </w:rPr>
        <w:t xml:space="preserve">linical ascending cholangitis, </w:t>
      </w:r>
      <w:r w:rsidR="00B3353B" w:rsidRPr="00165833">
        <w:rPr>
          <w:rFonts w:ascii="Book Antiqua" w:hAnsi="Book Antiqua" w:cs="Arial"/>
          <w:i/>
          <w:iCs/>
        </w:rPr>
        <w:t>P</w:t>
      </w:r>
      <w:r w:rsidR="00381A50" w:rsidRPr="00165833">
        <w:rPr>
          <w:rFonts w:ascii="Book Antiqua" w:eastAsiaTheme="minorEastAsia" w:hAnsi="Book Antiqua" w:cs="Arial"/>
          <w:i/>
          <w:iCs/>
          <w:lang w:eastAsia="zh-CN"/>
        </w:rPr>
        <w:t xml:space="preserve"> </w:t>
      </w:r>
      <w:r w:rsidR="007636AA" w:rsidRPr="00165833">
        <w:rPr>
          <w:rFonts w:ascii="Book Antiqua" w:hAnsi="Book Antiqua"/>
        </w:rPr>
        <w:t>=</w:t>
      </w:r>
      <w:r w:rsidR="00381A50" w:rsidRPr="00165833">
        <w:rPr>
          <w:rFonts w:ascii="Book Antiqua" w:eastAsiaTheme="minorEastAsia" w:hAnsi="Book Antiqua"/>
          <w:lang w:eastAsia="zh-CN"/>
        </w:rPr>
        <w:t xml:space="preserve"> </w:t>
      </w:r>
      <w:r w:rsidR="007636AA" w:rsidRPr="00165833">
        <w:rPr>
          <w:rFonts w:ascii="Book Antiqua" w:hAnsi="Book Antiqua"/>
        </w:rPr>
        <w:t>0.</w:t>
      </w:r>
      <w:r w:rsidR="00B3353B" w:rsidRPr="00165833">
        <w:rPr>
          <w:rFonts w:ascii="Book Antiqua" w:hAnsi="Book Antiqua"/>
        </w:rPr>
        <w:t xml:space="preserve">001; CBD stones on US, </w:t>
      </w:r>
      <w:r w:rsidR="00B3353B" w:rsidRPr="00165833">
        <w:rPr>
          <w:rFonts w:ascii="Book Antiqua" w:hAnsi="Book Antiqua" w:cs="Arial"/>
          <w:i/>
          <w:iCs/>
        </w:rPr>
        <w:t>P</w:t>
      </w:r>
      <w:r w:rsidR="00381A50" w:rsidRPr="00165833">
        <w:rPr>
          <w:rFonts w:ascii="Book Antiqua" w:eastAsiaTheme="minorEastAsia" w:hAnsi="Book Antiqua" w:cs="Arial"/>
          <w:i/>
          <w:iCs/>
          <w:lang w:eastAsia="zh-CN"/>
        </w:rPr>
        <w:t xml:space="preserve"> </w:t>
      </w:r>
      <w:r w:rsidR="00381A50" w:rsidRPr="00165833">
        <w:rPr>
          <w:rFonts w:ascii="Book Antiqua" w:eastAsia="Arial Unicode MS" w:hAnsi="Book Antiqua" w:cs="Arial Unicode MS"/>
        </w:rPr>
        <w:t>≤</w:t>
      </w:r>
      <w:r w:rsidR="00381A50" w:rsidRPr="00165833">
        <w:rPr>
          <w:rFonts w:ascii="Book Antiqua" w:eastAsia="Arial Unicode MS" w:hAnsi="Book Antiqua" w:cs="Arial Unicode MS"/>
          <w:lang w:eastAsia="zh-CN"/>
        </w:rPr>
        <w:t xml:space="preserve"> </w:t>
      </w:r>
      <w:r w:rsidR="007636AA" w:rsidRPr="00165833">
        <w:rPr>
          <w:rFonts w:ascii="Book Antiqua" w:hAnsi="Book Antiqua"/>
        </w:rPr>
        <w:t>0.</w:t>
      </w:r>
      <w:r w:rsidR="00900310" w:rsidRPr="00165833">
        <w:rPr>
          <w:rFonts w:ascii="Book Antiqua" w:hAnsi="Book Antiqua"/>
        </w:rPr>
        <w:t xml:space="preserve">001; total </w:t>
      </w:r>
      <w:r w:rsidR="00B3353B" w:rsidRPr="00165833">
        <w:rPr>
          <w:rFonts w:ascii="Book Antiqua" w:hAnsi="Book Antiqua"/>
        </w:rPr>
        <w:t>bilirubin &gt;</w:t>
      </w:r>
      <w:r w:rsidR="00381A50" w:rsidRPr="00165833">
        <w:rPr>
          <w:rFonts w:ascii="Book Antiqua" w:eastAsiaTheme="minorEastAsia" w:hAnsi="Book Antiqua"/>
          <w:lang w:eastAsia="zh-CN"/>
        </w:rPr>
        <w:t xml:space="preserve"> </w:t>
      </w:r>
      <w:r w:rsidR="00B3353B" w:rsidRPr="00165833">
        <w:rPr>
          <w:rFonts w:ascii="Book Antiqua" w:hAnsi="Book Antiqua"/>
        </w:rPr>
        <w:t>4</w:t>
      </w:r>
      <w:r w:rsidR="00381A50" w:rsidRPr="00165833">
        <w:rPr>
          <w:rFonts w:ascii="Book Antiqua" w:eastAsiaTheme="minorEastAsia" w:hAnsi="Book Antiqua"/>
          <w:lang w:eastAsia="zh-CN"/>
        </w:rPr>
        <w:t xml:space="preserve"> </w:t>
      </w:r>
      <w:r w:rsidR="00B3353B" w:rsidRPr="00165833">
        <w:rPr>
          <w:rFonts w:ascii="Book Antiqua" w:hAnsi="Book Antiqua"/>
        </w:rPr>
        <w:t xml:space="preserve">mg/dL, </w:t>
      </w:r>
      <w:r w:rsidR="00B3353B" w:rsidRPr="00165833">
        <w:rPr>
          <w:rFonts w:ascii="Book Antiqua" w:hAnsi="Book Antiqua" w:cs="Arial"/>
          <w:i/>
          <w:iCs/>
        </w:rPr>
        <w:t>P</w:t>
      </w:r>
      <w:r w:rsidR="00381A50" w:rsidRPr="00165833">
        <w:rPr>
          <w:rFonts w:ascii="Book Antiqua" w:eastAsiaTheme="minorEastAsia" w:hAnsi="Book Antiqua" w:cs="Arial"/>
          <w:i/>
          <w:iCs/>
          <w:lang w:eastAsia="zh-CN"/>
        </w:rPr>
        <w:t xml:space="preserve"> </w:t>
      </w:r>
      <w:r w:rsidR="007636AA" w:rsidRPr="00165833">
        <w:rPr>
          <w:rFonts w:ascii="Book Antiqua" w:hAnsi="Book Antiqua"/>
        </w:rPr>
        <w:t>=</w:t>
      </w:r>
      <w:r w:rsidR="00381A50" w:rsidRPr="00165833">
        <w:rPr>
          <w:rFonts w:ascii="Book Antiqua" w:eastAsiaTheme="minorEastAsia" w:hAnsi="Book Antiqua"/>
          <w:lang w:eastAsia="zh-CN"/>
        </w:rPr>
        <w:t xml:space="preserve"> </w:t>
      </w:r>
      <w:r w:rsidR="007636AA" w:rsidRPr="00165833">
        <w:rPr>
          <w:rFonts w:ascii="Book Antiqua" w:hAnsi="Book Antiqua"/>
        </w:rPr>
        <w:t>0.</w:t>
      </w:r>
      <w:r w:rsidR="00900310" w:rsidRPr="00165833">
        <w:rPr>
          <w:rFonts w:ascii="Book Antiqua" w:hAnsi="Book Antiqua"/>
        </w:rPr>
        <w:t>03</w:t>
      </w:r>
      <w:r w:rsidR="005E486E" w:rsidRPr="00165833">
        <w:rPr>
          <w:rFonts w:ascii="Book Antiqua" w:hAnsi="Book Antiqua"/>
        </w:rPr>
        <w:t>5; total bilirubin 1.</w:t>
      </w:r>
      <w:r w:rsidR="00B3353B" w:rsidRPr="00165833">
        <w:rPr>
          <w:rFonts w:ascii="Book Antiqua" w:hAnsi="Book Antiqua"/>
        </w:rPr>
        <w:t>8-4</w:t>
      </w:r>
      <w:r w:rsidR="00381A50" w:rsidRPr="00165833">
        <w:rPr>
          <w:rFonts w:ascii="Book Antiqua" w:eastAsiaTheme="minorEastAsia" w:hAnsi="Book Antiqua"/>
          <w:lang w:eastAsia="zh-CN"/>
        </w:rPr>
        <w:t xml:space="preserve"> </w:t>
      </w:r>
      <w:r w:rsidR="00B3353B" w:rsidRPr="00165833">
        <w:rPr>
          <w:rFonts w:ascii="Book Antiqua" w:hAnsi="Book Antiqua"/>
        </w:rPr>
        <w:t xml:space="preserve">mg/dL, </w:t>
      </w:r>
      <w:r w:rsidR="00B3353B" w:rsidRPr="00165833">
        <w:rPr>
          <w:rFonts w:ascii="Book Antiqua" w:hAnsi="Book Antiqua" w:cs="Arial"/>
          <w:i/>
          <w:iCs/>
        </w:rPr>
        <w:t>P</w:t>
      </w:r>
      <w:r w:rsidR="00381A50" w:rsidRPr="00165833">
        <w:rPr>
          <w:rFonts w:ascii="Book Antiqua" w:eastAsiaTheme="minorEastAsia" w:hAnsi="Book Antiqua" w:cs="Arial"/>
          <w:i/>
          <w:iCs/>
          <w:lang w:eastAsia="zh-CN"/>
        </w:rPr>
        <w:t xml:space="preserve"> </w:t>
      </w:r>
      <w:r w:rsidR="007636AA" w:rsidRPr="00165833">
        <w:rPr>
          <w:rFonts w:ascii="Book Antiqua" w:hAnsi="Book Antiqua"/>
        </w:rPr>
        <w:t>=</w:t>
      </w:r>
      <w:r w:rsidR="00381A50" w:rsidRPr="00165833">
        <w:rPr>
          <w:rFonts w:ascii="Book Antiqua" w:eastAsiaTheme="minorEastAsia" w:hAnsi="Book Antiqua"/>
          <w:lang w:eastAsia="zh-CN"/>
        </w:rPr>
        <w:t xml:space="preserve"> </w:t>
      </w:r>
      <w:r w:rsidR="007636AA" w:rsidRPr="00165833">
        <w:rPr>
          <w:rFonts w:ascii="Book Antiqua" w:hAnsi="Book Antiqua"/>
        </w:rPr>
        <w:t>0.</w:t>
      </w:r>
      <w:r w:rsidR="00B3353B" w:rsidRPr="00165833">
        <w:rPr>
          <w:rFonts w:ascii="Book Antiqua" w:hAnsi="Book Antiqua"/>
        </w:rPr>
        <w:t xml:space="preserve">001; dilated CBD on US, </w:t>
      </w:r>
      <w:r w:rsidR="00B3353B" w:rsidRPr="00165833">
        <w:rPr>
          <w:rFonts w:ascii="Book Antiqua" w:hAnsi="Book Antiqua" w:cs="Arial"/>
          <w:i/>
          <w:iCs/>
        </w:rPr>
        <w:t>P</w:t>
      </w:r>
      <w:r w:rsidR="00381A50" w:rsidRPr="00165833">
        <w:rPr>
          <w:rFonts w:ascii="Book Antiqua" w:eastAsiaTheme="minorEastAsia" w:hAnsi="Book Antiqua" w:cs="Arial"/>
          <w:i/>
          <w:iCs/>
          <w:lang w:eastAsia="zh-CN"/>
        </w:rPr>
        <w:t xml:space="preserve"> </w:t>
      </w:r>
      <w:r w:rsidR="00381A50" w:rsidRPr="00165833">
        <w:rPr>
          <w:rFonts w:ascii="Book Antiqua" w:eastAsia="Arial Unicode MS" w:hAnsi="Book Antiqua" w:cs="Arial Unicode MS"/>
        </w:rPr>
        <w:t>≤</w:t>
      </w:r>
      <w:r w:rsidR="00381A50" w:rsidRPr="00165833">
        <w:rPr>
          <w:rFonts w:ascii="Book Antiqua" w:eastAsia="Arial Unicode MS" w:hAnsi="Book Antiqua" w:cs="Arial Unicode MS"/>
          <w:lang w:eastAsia="zh-CN"/>
        </w:rPr>
        <w:t xml:space="preserve"> </w:t>
      </w:r>
      <w:r w:rsidR="007636AA" w:rsidRPr="00165833">
        <w:rPr>
          <w:rFonts w:ascii="Book Antiqua" w:hAnsi="Book Antiqua"/>
        </w:rPr>
        <w:t>0.</w:t>
      </w:r>
      <w:r w:rsidR="00900310" w:rsidRPr="00165833">
        <w:rPr>
          <w:rFonts w:ascii="Book Antiqua" w:hAnsi="Book Antiqua"/>
        </w:rPr>
        <w:t>001;</w:t>
      </w:r>
      <w:r w:rsidR="00B3353B" w:rsidRPr="00165833">
        <w:rPr>
          <w:rFonts w:ascii="Book Antiqua" w:hAnsi="Book Antiqua"/>
        </w:rPr>
        <w:t xml:space="preserve"> abnormal liver function test, </w:t>
      </w:r>
      <w:r w:rsidR="00B3353B" w:rsidRPr="00165833">
        <w:rPr>
          <w:rFonts w:ascii="Book Antiqua" w:hAnsi="Book Antiqua" w:cs="Arial"/>
          <w:i/>
          <w:iCs/>
        </w:rPr>
        <w:t>P</w:t>
      </w:r>
      <w:r w:rsidR="00381A50" w:rsidRPr="00165833">
        <w:rPr>
          <w:rFonts w:ascii="Book Antiqua" w:eastAsiaTheme="minorEastAsia" w:hAnsi="Book Antiqua" w:cs="Arial"/>
          <w:i/>
          <w:iCs/>
          <w:lang w:eastAsia="zh-CN"/>
        </w:rPr>
        <w:t xml:space="preserve"> </w:t>
      </w:r>
      <w:r w:rsidR="007636AA" w:rsidRPr="00165833">
        <w:rPr>
          <w:rFonts w:ascii="Book Antiqua" w:hAnsi="Book Antiqua"/>
        </w:rPr>
        <w:t>=</w:t>
      </w:r>
      <w:r w:rsidR="00381A50" w:rsidRPr="00165833">
        <w:rPr>
          <w:rFonts w:ascii="Book Antiqua" w:eastAsiaTheme="minorEastAsia" w:hAnsi="Book Antiqua"/>
          <w:lang w:eastAsia="zh-CN"/>
        </w:rPr>
        <w:t xml:space="preserve"> </w:t>
      </w:r>
      <w:r w:rsidR="007636AA" w:rsidRPr="00165833">
        <w:rPr>
          <w:rFonts w:ascii="Book Antiqua" w:hAnsi="Book Antiqua"/>
        </w:rPr>
        <w:t>0.</w:t>
      </w:r>
      <w:r w:rsidR="00B3353B" w:rsidRPr="00165833">
        <w:rPr>
          <w:rFonts w:ascii="Book Antiqua" w:hAnsi="Book Antiqua"/>
        </w:rPr>
        <w:t>012; age &gt;</w:t>
      </w:r>
      <w:r w:rsidR="00381A50" w:rsidRPr="00165833">
        <w:rPr>
          <w:rFonts w:ascii="Book Antiqua" w:eastAsiaTheme="minorEastAsia" w:hAnsi="Book Antiqua"/>
          <w:lang w:eastAsia="zh-CN"/>
        </w:rPr>
        <w:t xml:space="preserve"> </w:t>
      </w:r>
      <w:r w:rsidR="00B3353B" w:rsidRPr="00165833">
        <w:rPr>
          <w:rFonts w:ascii="Book Antiqua" w:hAnsi="Book Antiqua"/>
        </w:rPr>
        <w:t xml:space="preserve">55 years, </w:t>
      </w:r>
      <w:r w:rsidR="00B3353B" w:rsidRPr="00165833">
        <w:rPr>
          <w:rFonts w:ascii="Book Antiqua" w:hAnsi="Book Antiqua" w:cs="Arial"/>
          <w:i/>
          <w:iCs/>
        </w:rPr>
        <w:t>P</w:t>
      </w:r>
      <w:r w:rsidR="00381A50" w:rsidRPr="00165833">
        <w:rPr>
          <w:rFonts w:ascii="Book Antiqua" w:eastAsiaTheme="minorEastAsia" w:hAnsi="Book Antiqua" w:cs="Arial"/>
          <w:i/>
          <w:iCs/>
          <w:lang w:eastAsia="zh-CN"/>
        </w:rPr>
        <w:t xml:space="preserve"> </w:t>
      </w:r>
      <w:r w:rsidR="00B3353B" w:rsidRPr="00165833">
        <w:rPr>
          <w:rFonts w:ascii="Book Antiqua" w:hAnsi="Book Antiqua"/>
        </w:rPr>
        <w:t>=</w:t>
      </w:r>
      <w:r w:rsidR="00381A50" w:rsidRPr="00165833">
        <w:rPr>
          <w:rFonts w:ascii="Book Antiqua" w:eastAsiaTheme="minorEastAsia" w:hAnsi="Book Antiqua"/>
          <w:lang w:eastAsia="zh-CN"/>
        </w:rPr>
        <w:t xml:space="preserve"> </w:t>
      </w:r>
      <w:r w:rsidR="007636AA" w:rsidRPr="00165833">
        <w:rPr>
          <w:rFonts w:ascii="Book Antiqua" w:hAnsi="Book Antiqua"/>
        </w:rPr>
        <w:t>0.</w:t>
      </w:r>
      <w:r w:rsidR="00900310" w:rsidRPr="00165833">
        <w:rPr>
          <w:rFonts w:ascii="Book Antiqua" w:hAnsi="Book Antiqua"/>
        </w:rPr>
        <w:t>002) showed a statistically significant association with the presence of choledocholithiasis at ERCP. Approximately four fifths of pati</w:t>
      </w:r>
      <w:r w:rsidR="00F20143" w:rsidRPr="00165833">
        <w:rPr>
          <w:rFonts w:ascii="Book Antiqua" w:hAnsi="Book Antiqua"/>
        </w:rPr>
        <w:t>ents in the high risk group (79.</w:t>
      </w:r>
      <w:r w:rsidR="00900310" w:rsidRPr="00165833">
        <w:rPr>
          <w:rFonts w:ascii="Book Antiqua" w:hAnsi="Book Antiqua"/>
        </w:rPr>
        <w:t>8%, 154/193</w:t>
      </w:r>
      <w:r w:rsidR="00156A0A" w:rsidRPr="00165833">
        <w:rPr>
          <w:rFonts w:ascii="Book Antiqua" w:hAnsi="Book Antiqua"/>
        </w:rPr>
        <w:t xml:space="preserve"> patients</w:t>
      </w:r>
      <w:r w:rsidR="00900310" w:rsidRPr="00165833">
        <w:rPr>
          <w:rFonts w:ascii="Book Antiqua" w:hAnsi="Book Antiqua"/>
        </w:rPr>
        <w:t>) had confirmed choledo</w:t>
      </w:r>
      <w:r w:rsidR="00F20143" w:rsidRPr="00165833">
        <w:rPr>
          <w:rFonts w:ascii="Book Antiqua" w:hAnsi="Book Antiqua"/>
        </w:rPr>
        <w:t>cholithiasis on ERCP, versus 34.</w:t>
      </w:r>
      <w:r w:rsidR="00900310" w:rsidRPr="00165833">
        <w:rPr>
          <w:rFonts w:ascii="Book Antiqua" w:hAnsi="Book Antiqua"/>
        </w:rPr>
        <w:t>2% (25/73</w:t>
      </w:r>
      <w:r w:rsidR="00156A0A" w:rsidRPr="00165833">
        <w:rPr>
          <w:rFonts w:ascii="Book Antiqua" w:hAnsi="Book Antiqua"/>
        </w:rPr>
        <w:t xml:space="preserve"> patients</w:t>
      </w:r>
      <w:r w:rsidR="00900310" w:rsidRPr="00165833">
        <w:rPr>
          <w:rFonts w:ascii="Book Antiqua" w:hAnsi="Book Antiqua"/>
        </w:rPr>
        <w:t>) and 0 (0/2</w:t>
      </w:r>
      <w:r w:rsidR="00156A0A" w:rsidRPr="00165833">
        <w:rPr>
          <w:rFonts w:ascii="Book Antiqua" w:hAnsi="Book Antiqua"/>
        </w:rPr>
        <w:t xml:space="preserve"> patients</w:t>
      </w:r>
      <w:r w:rsidR="00900310" w:rsidRPr="00165833">
        <w:rPr>
          <w:rFonts w:ascii="Book Antiqua" w:hAnsi="Book Antiqua"/>
        </w:rPr>
        <w:t>) in the intermediate and low risk groups, respectively. The definition of “high risk group” had a sensitivity of 86</w:t>
      </w:r>
      <w:r w:rsidR="00F20143" w:rsidRPr="00165833">
        <w:rPr>
          <w:rFonts w:ascii="Book Antiqua" w:hAnsi="Book Antiqua"/>
        </w:rPr>
        <w:t>%, positive predictive value 79.</w:t>
      </w:r>
      <w:r w:rsidR="00900310" w:rsidRPr="00165833">
        <w:rPr>
          <w:rFonts w:ascii="Book Antiqua" w:hAnsi="Book Antiqua"/>
        </w:rPr>
        <w:t>8% and specifi</w:t>
      </w:r>
      <w:r w:rsidR="00F20143" w:rsidRPr="00165833">
        <w:rPr>
          <w:rFonts w:ascii="Book Antiqua" w:hAnsi="Book Antiqua"/>
        </w:rPr>
        <w:t>city 56.</w:t>
      </w:r>
      <w:r w:rsidR="00900310" w:rsidRPr="00165833">
        <w:rPr>
          <w:rFonts w:ascii="Book Antiqua" w:hAnsi="Book Antiqua"/>
        </w:rPr>
        <w:t>2% for the presence of choledocholithiasis at ERCP.</w:t>
      </w:r>
      <w:r w:rsidR="00900310" w:rsidRPr="00165833">
        <w:rPr>
          <w:rFonts w:ascii="Book Antiqua" w:hAnsi="Book Antiqua"/>
          <w:b/>
        </w:rPr>
        <w:t xml:space="preserve"> </w:t>
      </w:r>
    </w:p>
    <w:p w:rsidR="001536E3" w:rsidRPr="00165833" w:rsidRDefault="001536E3" w:rsidP="00165833">
      <w:pPr>
        <w:spacing w:line="360" w:lineRule="auto"/>
        <w:jc w:val="both"/>
        <w:rPr>
          <w:rFonts w:ascii="Book Antiqua" w:hAnsi="Book Antiqua"/>
          <w:b/>
        </w:rPr>
      </w:pPr>
    </w:p>
    <w:p w:rsidR="00900310" w:rsidRPr="00165833" w:rsidRDefault="00F262DB" w:rsidP="00165833">
      <w:pPr>
        <w:spacing w:line="360" w:lineRule="auto"/>
        <w:jc w:val="both"/>
        <w:rPr>
          <w:rFonts w:ascii="Book Antiqua" w:hAnsi="Book Antiqua"/>
          <w:b/>
        </w:rPr>
      </w:pPr>
      <w:r w:rsidRPr="00165833">
        <w:rPr>
          <w:rFonts w:ascii="Book Antiqua" w:hAnsi="Book Antiqua"/>
          <w:b/>
        </w:rPr>
        <w:t>CONCLUSION:</w:t>
      </w:r>
      <w:r w:rsidR="00900310" w:rsidRPr="00165833">
        <w:rPr>
          <w:rFonts w:ascii="Book Antiqua" w:hAnsi="Book Antiqua"/>
          <w:b/>
        </w:rPr>
        <w:t xml:space="preserve"> </w:t>
      </w:r>
      <w:r w:rsidR="00900310" w:rsidRPr="00165833">
        <w:rPr>
          <w:rFonts w:ascii="Book Antiqua" w:hAnsi="Book Antiqua"/>
        </w:rPr>
        <w:t xml:space="preserve">The </w:t>
      </w:r>
      <w:r w:rsidR="00EE566B" w:rsidRPr="00165833">
        <w:rPr>
          <w:rFonts w:ascii="Book Antiqua" w:hAnsi="Book Antiqua"/>
        </w:rPr>
        <w:t xml:space="preserve">guidelines </w:t>
      </w:r>
      <w:r w:rsidR="00900310" w:rsidRPr="00165833">
        <w:rPr>
          <w:rFonts w:ascii="Book Antiqua" w:hAnsi="Book Antiqua"/>
        </w:rPr>
        <w:t xml:space="preserve">should be considered to optimize patients’ selection for ERCP. </w:t>
      </w:r>
      <w:r w:rsidR="007831EF" w:rsidRPr="00165833">
        <w:rPr>
          <w:rFonts w:ascii="Book Antiqua" w:hAnsi="Book Antiqua"/>
        </w:rPr>
        <w:t>F</w:t>
      </w:r>
      <w:r w:rsidR="00816A54" w:rsidRPr="00165833">
        <w:rPr>
          <w:rFonts w:ascii="Book Antiqua" w:hAnsi="Book Antiqua"/>
        </w:rPr>
        <w:t xml:space="preserve">or high risk patients specificity </w:t>
      </w:r>
      <w:r w:rsidR="005873D7" w:rsidRPr="00165833">
        <w:rPr>
          <w:rFonts w:ascii="Book Antiqua" w:hAnsi="Book Antiqua"/>
        </w:rPr>
        <w:t xml:space="preserve">is </w:t>
      </w:r>
      <w:r w:rsidR="00816A54" w:rsidRPr="00165833">
        <w:rPr>
          <w:rFonts w:ascii="Book Antiqua" w:hAnsi="Book Antiqua"/>
        </w:rPr>
        <w:t xml:space="preserve">still low, meaning that </w:t>
      </w:r>
      <w:r w:rsidR="00543390" w:rsidRPr="00165833">
        <w:rPr>
          <w:rFonts w:ascii="Book Antiqua" w:hAnsi="Book Antiqua"/>
        </w:rPr>
        <w:t xml:space="preserve">some </w:t>
      </w:r>
      <w:r w:rsidR="00816A54" w:rsidRPr="00165833">
        <w:rPr>
          <w:rFonts w:ascii="Book Antiqua" w:hAnsi="Book Antiqua"/>
        </w:rPr>
        <w:t xml:space="preserve">patients perform ERCP unnecessarily. </w:t>
      </w:r>
    </w:p>
    <w:p w:rsidR="006D22E0" w:rsidRPr="00165833" w:rsidRDefault="006D22E0" w:rsidP="00165833">
      <w:pPr>
        <w:spacing w:line="360" w:lineRule="auto"/>
        <w:jc w:val="both"/>
        <w:rPr>
          <w:rFonts w:ascii="Book Antiqua" w:hAnsi="Book Antiqua"/>
          <w:b/>
        </w:rPr>
      </w:pPr>
    </w:p>
    <w:p w:rsidR="00F85BF5" w:rsidRPr="00165833" w:rsidRDefault="00F85BF5" w:rsidP="00165833">
      <w:pPr>
        <w:spacing w:line="360" w:lineRule="auto"/>
        <w:jc w:val="both"/>
        <w:rPr>
          <w:rFonts w:ascii="Book Antiqua" w:eastAsiaTheme="minorHAnsi" w:hAnsi="Book Antiqua" w:cs="TimesNewRomanPS-BoldItalicMT"/>
          <w:b/>
          <w:bCs/>
          <w:iCs/>
        </w:rPr>
      </w:pPr>
      <w:r w:rsidRPr="00165833">
        <w:rPr>
          <w:rFonts w:ascii="Book Antiqua" w:eastAsiaTheme="minorHAnsi" w:hAnsi="Book Antiqua" w:cs="TimesNewRomanPS-BoldItalicMT"/>
          <w:b/>
          <w:bCs/>
          <w:iCs/>
        </w:rPr>
        <w:t>K</w:t>
      </w:r>
      <w:r w:rsidR="00381A50" w:rsidRPr="00165833">
        <w:rPr>
          <w:rFonts w:ascii="Book Antiqua" w:eastAsiaTheme="minorHAnsi" w:hAnsi="Book Antiqua" w:cs="TimesNewRomanPS-BoldItalicMT"/>
          <w:b/>
          <w:bCs/>
          <w:iCs/>
        </w:rPr>
        <w:t>ey words</w:t>
      </w:r>
      <w:r w:rsidR="00D106EE">
        <w:rPr>
          <w:rFonts w:ascii="Book Antiqua" w:eastAsiaTheme="minorEastAsia" w:hAnsi="Book Antiqua" w:cs="TimesNewRomanPS-BoldItalicMT" w:hint="eastAsia"/>
          <w:b/>
          <w:bCs/>
          <w:iCs/>
          <w:lang w:eastAsia="zh-CN"/>
        </w:rPr>
        <w:t>:</w:t>
      </w:r>
      <w:r w:rsidR="00381A50" w:rsidRPr="00165833">
        <w:rPr>
          <w:rFonts w:ascii="Book Antiqua" w:eastAsiaTheme="minorEastAsia" w:hAnsi="Book Antiqua" w:cs="TimesNewRomanPS-BoldItalicMT"/>
          <w:b/>
          <w:bCs/>
          <w:iCs/>
          <w:lang w:eastAsia="zh-CN"/>
        </w:rPr>
        <w:t xml:space="preserve"> </w:t>
      </w:r>
      <w:r w:rsidRPr="00165833">
        <w:rPr>
          <w:rFonts w:ascii="Book Antiqua" w:hAnsi="Book Antiqua"/>
        </w:rPr>
        <w:t xml:space="preserve">Choledocholithiasis; Endoscopic retrograde cholangiopancreatography; </w:t>
      </w:r>
      <w:r w:rsidR="00D469E7" w:rsidRPr="00165833">
        <w:rPr>
          <w:rFonts w:ascii="Book Antiqua" w:hAnsi="Book Antiqua"/>
        </w:rPr>
        <w:t>Cholangitis; Common bile duct stones; Dilated common bile duct</w:t>
      </w:r>
      <w:r w:rsidR="005D397A" w:rsidRPr="00165833">
        <w:rPr>
          <w:rFonts w:ascii="Book Antiqua" w:hAnsi="Book Antiqua"/>
        </w:rPr>
        <w:t xml:space="preserve"> </w:t>
      </w:r>
    </w:p>
    <w:p w:rsidR="00F85BF5" w:rsidRPr="00165833" w:rsidRDefault="00F85BF5" w:rsidP="00165833">
      <w:pPr>
        <w:spacing w:line="360" w:lineRule="auto"/>
        <w:jc w:val="both"/>
        <w:rPr>
          <w:rFonts w:ascii="Book Antiqua" w:eastAsiaTheme="minorHAnsi" w:hAnsi="Book Antiqua" w:cs="TimesNewRomanPS-BoldItalicMT"/>
          <w:bCs/>
          <w:iCs/>
        </w:rPr>
      </w:pPr>
    </w:p>
    <w:p w:rsidR="00381A50" w:rsidRPr="00165833" w:rsidRDefault="00381A50" w:rsidP="00165833">
      <w:pPr>
        <w:spacing w:line="360" w:lineRule="auto"/>
        <w:jc w:val="both"/>
        <w:rPr>
          <w:rFonts w:ascii="Book Antiqua" w:hAnsi="Book Antiqua" w:cs="Arial"/>
        </w:rPr>
      </w:pPr>
      <w:proofErr w:type="gramStart"/>
      <w:r w:rsidRPr="00165833">
        <w:rPr>
          <w:rFonts w:ascii="Book Antiqua" w:hAnsi="Book Antiqua"/>
        </w:rPr>
        <w:t xml:space="preserve">© </w:t>
      </w:r>
      <w:r w:rsidRPr="00165833">
        <w:rPr>
          <w:rFonts w:ascii="Book Antiqua" w:hAnsi="Book Antiqua" w:cs="Arial"/>
        </w:rPr>
        <w:t>The Author(s) 2015.</w:t>
      </w:r>
      <w:proofErr w:type="gramEnd"/>
      <w:r w:rsidRPr="00165833">
        <w:rPr>
          <w:rFonts w:ascii="Book Antiqua" w:hAnsi="Book Antiqua" w:cs="Arial"/>
        </w:rPr>
        <w:t xml:space="preserve"> Published by Baishideng Publishing Group Inc. All rights reserved.</w:t>
      </w:r>
    </w:p>
    <w:p w:rsidR="00A5661A" w:rsidRPr="00165833" w:rsidRDefault="00A5661A" w:rsidP="00165833">
      <w:pPr>
        <w:spacing w:line="360" w:lineRule="auto"/>
        <w:jc w:val="both"/>
        <w:rPr>
          <w:rFonts w:ascii="Book Antiqua" w:eastAsiaTheme="minorHAnsi" w:hAnsi="Book Antiqua" w:cs="TimesNewRomanPS-BoldItalicMT"/>
          <w:bCs/>
          <w:iCs/>
        </w:rPr>
      </w:pPr>
    </w:p>
    <w:p w:rsidR="00642521" w:rsidRPr="00165833" w:rsidRDefault="001D7217" w:rsidP="00165833">
      <w:pPr>
        <w:spacing w:line="360" w:lineRule="auto"/>
        <w:jc w:val="both"/>
        <w:rPr>
          <w:rFonts w:ascii="Book Antiqua" w:eastAsia="Arial Unicode MS" w:hAnsi="Book Antiqua" w:cs="Arial Unicode MS"/>
          <w:b/>
        </w:rPr>
      </w:pPr>
      <w:r w:rsidRPr="00165833">
        <w:rPr>
          <w:rFonts w:ascii="Book Antiqua" w:eastAsia="Arial Unicode MS" w:hAnsi="Book Antiqua" w:cs="Arial Unicode MS"/>
          <w:b/>
        </w:rPr>
        <w:t>C</w:t>
      </w:r>
      <w:r w:rsidR="00381A50" w:rsidRPr="00165833">
        <w:rPr>
          <w:rFonts w:ascii="Book Antiqua" w:eastAsia="Arial Unicode MS" w:hAnsi="Book Antiqua" w:cs="Arial Unicode MS"/>
          <w:b/>
        </w:rPr>
        <w:t>ore tip</w:t>
      </w:r>
      <w:r w:rsidR="00381A50" w:rsidRPr="00165833">
        <w:rPr>
          <w:rFonts w:ascii="Book Antiqua" w:eastAsia="Arial Unicode MS" w:hAnsi="Book Antiqua" w:cs="Arial Unicode MS"/>
          <w:b/>
          <w:lang w:eastAsia="zh-CN"/>
        </w:rPr>
        <w:t xml:space="preserve">: </w:t>
      </w:r>
      <w:r w:rsidR="00642521" w:rsidRPr="00165833">
        <w:rPr>
          <w:rFonts w:ascii="Book Antiqua" w:hAnsi="Book Antiqua" w:cs="Arial"/>
        </w:rPr>
        <w:t xml:space="preserve">The American Society for Gastrointestinal Endoscopy (ASGE) proposes a stratification of patients according to the risk for choledocholithiasis, influencing subsequent management. Our study shown that the risk stratification, according to ASGE guidelines, may improve risk estimation of choledocholithiasis and should be considered to optimize patients’ selection for </w:t>
      </w:r>
      <w:r w:rsidR="00381A50" w:rsidRPr="00165833">
        <w:rPr>
          <w:rFonts w:ascii="Book Antiqua" w:hAnsi="Book Antiqua"/>
        </w:rPr>
        <w:t>endoscopic retrograde cholangiopancreatography (ERCP)</w:t>
      </w:r>
      <w:r w:rsidR="00642521" w:rsidRPr="00165833">
        <w:rPr>
          <w:rFonts w:ascii="Book Antiqua" w:hAnsi="Book Antiqua" w:cs="Arial"/>
        </w:rPr>
        <w:t>. However, even in the “high risk group” the specificity was low. Thus, at this point, it seems advisable that also “high risk” patients undergo further testing before being submitted to ERCP, similarly to those patients with “intermediate risk”, while for patients with “low-risk” of choledocholithiasis a watchful waiting strategy seems adequate.</w:t>
      </w:r>
    </w:p>
    <w:p w:rsidR="00165833" w:rsidRPr="00165833" w:rsidRDefault="00165833" w:rsidP="00165833">
      <w:pPr>
        <w:spacing w:line="360" w:lineRule="auto"/>
        <w:jc w:val="both"/>
        <w:rPr>
          <w:rFonts w:ascii="Book Antiqua" w:eastAsiaTheme="minorEastAsia" w:hAnsi="Book Antiqua"/>
          <w:b/>
          <w:lang w:eastAsia="zh-CN"/>
        </w:rPr>
      </w:pPr>
    </w:p>
    <w:p w:rsidR="00165833" w:rsidRPr="00165833" w:rsidRDefault="00165833" w:rsidP="00165833">
      <w:pPr>
        <w:spacing w:line="360" w:lineRule="auto"/>
        <w:jc w:val="both"/>
        <w:rPr>
          <w:rFonts w:ascii="Book Antiqua" w:eastAsiaTheme="minorEastAsia" w:hAnsi="Book Antiqua"/>
          <w:lang w:eastAsia="zh-CN"/>
        </w:rPr>
      </w:pPr>
      <w:r w:rsidRPr="00165833">
        <w:rPr>
          <w:rFonts w:ascii="Book Antiqua" w:hAnsi="Book Antiqua"/>
          <w:lang w:val="pt-PT"/>
        </w:rPr>
        <w:t>Magalhães</w:t>
      </w:r>
      <w:r w:rsidRPr="00165833">
        <w:rPr>
          <w:rFonts w:ascii="Book Antiqua" w:eastAsiaTheme="minorEastAsia" w:hAnsi="Book Antiqua"/>
          <w:lang w:val="pt-PT" w:eastAsia="zh-CN"/>
        </w:rPr>
        <w:t xml:space="preserve"> J</w:t>
      </w:r>
      <w:r w:rsidRPr="00165833">
        <w:rPr>
          <w:rFonts w:ascii="Book Antiqua" w:hAnsi="Book Antiqua"/>
          <w:lang w:val="pt-PT"/>
        </w:rPr>
        <w:t>, Rosa</w:t>
      </w:r>
      <w:r w:rsidRPr="00165833">
        <w:rPr>
          <w:rFonts w:ascii="Book Antiqua" w:eastAsiaTheme="minorEastAsia" w:hAnsi="Book Antiqua"/>
          <w:lang w:val="pt-PT" w:eastAsia="zh-CN"/>
        </w:rPr>
        <w:t xml:space="preserve"> B</w:t>
      </w:r>
      <w:r w:rsidRPr="00165833">
        <w:rPr>
          <w:rFonts w:ascii="Book Antiqua" w:hAnsi="Book Antiqua"/>
          <w:lang w:val="pt-PT"/>
        </w:rPr>
        <w:t>, Cotter</w:t>
      </w:r>
      <w:r w:rsidRPr="00165833">
        <w:rPr>
          <w:rFonts w:ascii="Book Antiqua" w:eastAsiaTheme="minorEastAsia" w:hAnsi="Book Antiqua"/>
          <w:lang w:val="pt-PT" w:eastAsia="zh-CN"/>
        </w:rPr>
        <w:t xml:space="preserve"> J.</w:t>
      </w:r>
      <w:r w:rsidRPr="00165833">
        <w:rPr>
          <w:rFonts w:ascii="Book Antiqua" w:hAnsi="Book Antiqua"/>
        </w:rPr>
        <w:t xml:space="preserve"> Endoscopic retrograde cholangiopancreatography for suspected choledocholithiasis</w:t>
      </w:r>
      <w:r w:rsidR="00C75A3A">
        <w:rPr>
          <w:rFonts w:ascii="Book Antiqua" w:eastAsiaTheme="minorEastAsia" w:hAnsi="Book Antiqua" w:hint="eastAsia"/>
          <w:lang w:eastAsia="zh-CN"/>
        </w:rPr>
        <w:t>:</w:t>
      </w:r>
      <w:r w:rsidRPr="00165833">
        <w:rPr>
          <w:rFonts w:ascii="Book Antiqua" w:hAnsi="Book Antiqua"/>
        </w:rPr>
        <w:t xml:space="preserve"> </w:t>
      </w:r>
      <w:r w:rsidR="00C75A3A" w:rsidRPr="00165833">
        <w:rPr>
          <w:rFonts w:ascii="Book Antiqua" w:hAnsi="Book Antiqua"/>
        </w:rPr>
        <w:t>F</w:t>
      </w:r>
      <w:r w:rsidRPr="00165833">
        <w:rPr>
          <w:rFonts w:ascii="Book Antiqua" w:hAnsi="Book Antiqua"/>
        </w:rPr>
        <w:t>rom guidelines to clinical practice</w:t>
      </w:r>
      <w:r w:rsidRPr="00165833">
        <w:rPr>
          <w:rFonts w:ascii="Book Antiqua" w:eastAsiaTheme="minorEastAsia" w:hAnsi="Book Antiqua"/>
          <w:lang w:eastAsia="zh-CN"/>
        </w:rPr>
        <w:t xml:space="preserve">. </w:t>
      </w:r>
      <w:r w:rsidRPr="00165833">
        <w:rPr>
          <w:rFonts w:ascii="Book Antiqua" w:hAnsi="Book Antiqua"/>
          <w:i/>
          <w:iCs/>
        </w:rPr>
        <w:t>World J Gastrointest Endosc</w:t>
      </w:r>
      <w:r w:rsidRPr="00165833">
        <w:rPr>
          <w:rFonts w:ascii="Book Antiqua" w:eastAsiaTheme="minorEastAsia" w:hAnsi="Book Antiqua"/>
          <w:i/>
          <w:iCs/>
          <w:lang w:eastAsia="zh-CN"/>
        </w:rPr>
        <w:t xml:space="preserve"> </w:t>
      </w:r>
      <w:r w:rsidRPr="00165833">
        <w:rPr>
          <w:rFonts w:ascii="Book Antiqua" w:eastAsiaTheme="minorEastAsia" w:hAnsi="Book Antiqua"/>
          <w:iCs/>
          <w:lang w:eastAsia="zh-CN"/>
        </w:rPr>
        <w:t xml:space="preserve">2015; </w:t>
      </w:r>
      <w:proofErr w:type="gramStart"/>
      <w:r w:rsidRPr="00165833">
        <w:rPr>
          <w:rFonts w:ascii="Book Antiqua" w:eastAsiaTheme="minorEastAsia" w:hAnsi="Book Antiqua"/>
          <w:iCs/>
          <w:lang w:eastAsia="zh-CN"/>
        </w:rPr>
        <w:t>In</w:t>
      </w:r>
      <w:proofErr w:type="gramEnd"/>
      <w:r w:rsidRPr="00165833">
        <w:rPr>
          <w:rFonts w:ascii="Book Antiqua" w:eastAsiaTheme="minorEastAsia" w:hAnsi="Book Antiqua"/>
          <w:iCs/>
          <w:lang w:eastAsia="zh-CN"/>
        </w:rPr>
        <w:t xml:space="preserve"> press</w:t>
      </w:r>
    </w:p>
    <w:p w:rsidR="0070400A" w:rsidRPr="00165833" w:rsidRDefault="0070400A" w:rsidP="00165833">
      <w:pPr>
        <w:spacing w:line="360" w:lineRule="auto"/>
        <w:jc w:val="both"/>
        <w:rPr>
          <w:rFonts w:ascii="Book Antiqua" w:eastAsiaTheme="minorHAnsi" w:hAnsi="Book Antiqua" w:cs="TimesNewRomanPS-BoldItalicMT"/>
          <w:bCs/>
          <w:iCs/>
        </w:rPr>
      </w:pPr>
    </w:p>
    <w:p w:rsidR="00543BD4" w:rsidRPr="00165833" w:rsidRDefault="00AA4464" w:rsidP="00165833">
      <w:pPr>
        <w:spacing w:line="360" w:lineRule="auto"/>
        <w:jc w:val="both"/>
        <w:rPr>
          <w:rFonts w:ascii="Book Antiqua" w:hAnsi="Book Antiqua"/>
          <w:b/>
        </w:rPr>
      </w:pPr>
      <w:r w:rsidRPr="00165833">
        <w:rPr>
          <w:rFonts w:ascii="Book Antiqua" w:hAnsi="Book Antiqua"/>
          <w:b/>
        </w:rPr>
        <w:t>INTRODUCTION</w:t>
      </w:r>
    </w:p>
    <w:p w:rsidR="00312225" w:rsidRPr="00165833" w:rsidRDefault="00AA4464" w:rsidP="00165833">
      <w:pPr>
        <w:spacing w:line="360" w:lineRule="auto"/>
        <w:jc w:val="both"/>
        <w:rPr>
          <w:rFonts w:ascii="Book Antiqua" w:hAnsi="Book Antiqua"/>
        </w:rPr>
      </w:pPr>
      <w:r w:rsidRPr="00165833">
        <w:rPr>
          <w:rFonts w:ascii="Book Antiqua" w:hAnsi="Book Antiqua"/>
        </w:rPr>
        <w:t>Choledocholithiasis is the most common cause of biliary obstruction. Approximately 5</w:t>
      </w:r>
      <w:r w:rsidR="00165833" w:rsidRPr="00165833">
        <w:rPr>
          <w:rFonts w:ascii="Book Antiqua" w:eastAsiaTheme="minorEastAsia" w:hAnsi="Book Antiqua"/>
          <w:lang w:eastAsia="zh-CN"/>
        </w:rPr>
        <w:t>%</w:t>
      </w:r>
      <w:r w:rsidRPr="00165833">
        <w:rPr>
          <w:rFonts w:ascii="Book Antiqua" w:hAnsi="Book Antiqua"/>
        </w:rPr>
        <w:t xml:space="preserve"> to 22% of the Wes</w:t>
      </w:r>
      <w:r w:rsidR="00A01733" w:rsidRPr="00165833">
        <w:rPr>
          <w:rFonts w:ascii="Book Antiqua" w:hAnsi="Book Antiqua"/>
        </w:rPr>
        <w:t xml:space="preserve">tern population has </w:t>
      </w:r>
      <w:proofErr w:type="gramStart"/>
      <w:r w:rsidR="00A01733" w:rsidRPr="00165833">
        <w:rPr>
          <w:rFonts w:ascii="Book Antiqua" w:hAnsi="Book Antiqua"/>
        </w:rPr>
        <w:t>gallstones</w:t>
      </w:r>
      <w:r w:rsidR="00A01733" w:rsidRPr="00165833">
        <w:rPr>
          <w:rFonts w:ascii="Book Antiqua" w:hAnsi="Book Antiqua"/>
          <w:vertAlign w:val="superscript"/>
        </w:rPr>
        <w:t>[</w:t>
      </w:r>
      <w:proofErr w:type="gramEnd"/>
      <w:r w:rsidRPr="00165833">
        <w:rPr>
          <w:rFonts w:ascii="Book Antiqua" w:hAnsi="Book Antiqua"/>
          <w:vertAlign w:val="superscript"/>
        </w:rPr>
        <w:t>1</w:t>
      </w:r>
      <w:r w:rsidR="00A01733" w:rsidRPr="00165833">
        <w:rPr>
          <w:rFonts w:ascii="Book Antiqua" w:hAnsi="Book Antiqua"/>
          <w:vertAlign w:val="superscript"/>
        </w:rPr>
        <w:t>]</w:t>
      </w:r>
      <w:r w:rsidR="00070C96" w:rsidRPr="00165833">
        <w:rPr>
          <w:rFonts w:ascii="Book Antiqua" w:hAnsi="Book Antiqua"/>
          <w:vertAlign w:val="superscript"/>
        </w:rPr>
        <w:t xml:space="preserve"> </w:t>
      </w:r>
      <w:r w:rsidRPr="00165833">
        <w:rPr>
          <w:rFonts w:ascii="Book Antiqua" w:hAnsi="Book Antiqua"/>
        </w:rPr>
        <w:t>and common bi</w:t>
      </w:r>
      <w:r w:rsidR="00070C96" w:rsidRPr="00165833">
        <w:rPr>
          <w:rFonts w:ascii="Book Antiqua" w:hAnsi="Book Antiqua"/>
        </w:rPr>
        <w:t>le duct stones occur in 8%-20%</w:t>
      </w:r>
      <w:r w:rsidR="00A01733" w:rsidRPr="00165833">
        <w:rPr>
          <w:rFonts w:ascii="Book Antiqua" w:hAnsi="Book Antiqua"/>
          <w:vertAlign w:val="superscript"/>
        </w:rPr>
        <w:t>[</w:t>
      </w:r>
      <w:r w:rsidRPr="00165833">
        <w:rPr>
          <w:rFonts w:ascii="Book Antiqua" w:hAnsi="Book Antiqua"/>
          <w:vertAlign w:val="superscript"/>
        </w:rPr>
        <w:t>2,3</w:t>
      </w:r>
      <w:r w:rsidR="00A01733" w:rsidRPr="00165833">
        <w:rPr>
          <w:rFonts w:ascii="Book Antiqua" w:hAnsi="Book Antiqua"/>
          <w:vertAlign w:val="superscript"/>
        </w:rPr>
        <w:t>]</w:t>
      </w:r>
      <w:r w:rsidRPr="00165833">
        <w:rPr>
          <w:rFonts w:ascii="Book Antiqua" w:hAnsi="Book Antiqua"/>
        </w:rPr>
        <w:t xml:space="preserve"> of those patients. Patients suspected of having choledocholithiasis are diagnosed with a combination of laboratory tests and imaging </w:t>
      </w:r>
      <w:proofErr w:type="gramStart"/>
      <w:r w:rsidRPr="00165833">
        <w:rPr>
          <w:rFonts w:ascii="Book Antiqua" w:hAnsi="Book Antiqua"/>
        </w:rPr>
        <w:t>studie</w:t>
      </w:r>
      <w:r w:rsidR="009D24E3" w:rsidRPr="00165833">
        <w:rPr>
          <w:rFonts w:ascii="Book Antiqua" w:hAnsi="Book Antiqua"/>
        </w:rPr>
        <w:t>s</w:t>
      </w:r>
      <w:r w:rsidR="00A01733" w:rsidRPr="00165833">
        <w:rPr>
          <w:rFonts w:ascii="Book Antiqua" w:hAnsi="Book Antiqua"/>
          <w:vertAlign w:val="superscript"/>
        </w:rPr>
        <w:t>[</w:t>
      </w:r>
      <w:proofErr w:type="gramEnd"/>
      <w:r w:rsidRPr="00165833">
        <w:rPr>
          <w:rFonts w:ascii="Book Antiqua" w:hAnsi="Book Antiqua"/>
          <w:vertAlign w:val="superscript"/>
        </w:rPr>
        <w:t>4</w:t>
      </w:r>
      <w:r w:rsidR="00A01733" w:rsidRPr="00165833">
        <w:rPr>
          <w:rFonts w:ascii="Book Antiqua" w:hAnsi="Book Antiqua"/>
          <w:vertAlign w:val="superscript"/>
        </w:rPr>
        <w:t>]</w:t>
      </w:r>
      <w:r w:rsidRPr="00165833">
        <w:rPr>
          <w:rFonts w:ascii="Book Antiqua" w:hAnsi="Book Antiqua"/>
        </w:rPr>
        <w:t xml:space="preserve">. The first imaging study obtained is typically a transabdominal ultrasonography (US). </w:t>
      </w:r>
      <w:r w:rsidR="000412C3" w:rsidRPr="00165833">
        <w:rPr>
          <w:rFonts w:ascii="Book Antiqua" w:hAnsi="Book Antiqua"/>
        </w:rPr>
        <w:t xml:space="preserve">When </w:t>
      </w:r>
      <w:r w:rsidR="00687483" w:rsidRPr="00165833">
        <w:rPr>
          <w:rFonts w:ascii="Book Antiqua" w:hAnsi="Book Antiqua"/>
        </w:rPr>
        <w:t>the ultrasound</w:t>
      </w:r>
      <w:r w:rsidR="00F55B50" w:rsidRPr="00165833">
        <w:rPr>
          <w:rFonts w:ascii="Book Antiqua" w:hAnsi="Book Antiqua"/>
        </w:rPr>
        <w:t xml:space="preserve"> findings are not enough for a diagnosis a </w:t>
      </w:r>
      <w:r w:rsidRPr="00165833">
        <w:rPr>
          <w:rFonts w:ascii="Book Antiqua" w:hAnsi="Book Antiqua"/>
        </w:rPr>
        <w:t>magnetic resonance cho</w:t>
      </w:r>
      <w:r w:rsidR="00687483" w:rsidRPr="00165833">
        <w:rPr>
          <w:rFonts w:ascii="Book Antiqua" w:hAnsi="Book Antiqua"/>
        </w:rPr>
        <w:t>langiopancreatography (MRCP) or an</w:t>
      </w:r>
      <w:r w:rsidRPr="00165833">
        <w:rPr>
          <w:rFonts w:ascii="Book Antiqua" w:hAnsi="Book Antiqua"/>
        </w:rPr>
        <w:t xml:space="preserve"> endoscopic ultrasound (EUS)</w:t>
      </w:r>
      <w:r w:rsidR="00F55B50" w:rsidRPr="00165833">
        <w:rPr>
          <w:rFonts w:ascii="Book Antiqua" w:hAnsi="Book Antiqua"/>
        </w:rPr>
        <w:t xml:space="preserve"> should be considered</w:t>
      </w:r>
      <w:r w:rsidRPr="00165833">
        <w:rPr>
          <w:rFonts w:ascii="Book Antiqua" w:hAnsi="Book Antiqua"/>
        </w:rPr>
        <w:t xml:space="preserve">. </w:t>
      </w:r>
    </w:p>
    <w:p w:rsidR="00312225" w:rsidRPr="00165833" w:rsidRDefault="00AA4464" w:rsidP="00165833">
      <w:pPr>
        <w:spacing w:line="360" w:lineRule="auto"/>
        <w:ind w:firstLineChars="100" w:firstLine="240"/>
        <w:jc w:val="both"/>
        <w:rPr>
          <w:rFonts w:ascii="Book Antiqua" w:hAnsi="Book Antiqua"/>
        </w:rPr>
      </w:pPr>
      <w:r w:rsidRPr="00165833">
        <w:rPr>
          <w:rFonts w:ascii="Book Antiqua" w:hAnsi="Book Antiqua"/>
        </w:rPr>
        <w:t>T</w:t>
      </w:r>
      <w:r w:rsidRPr="00165833">
        <w:rPr>
          <w:rFonts w:ascii="Book Antiqua" w:eastAsia="CenturySchoolbook" w:hAnsi="Book Antiqua"/>
        </w:rPr>
        <w:t xml:space="preserve">he diagnosis of choledocholithiasis usually </w:t>
      </w:r>
      <w:r w:rsidR="00A3496A" w:rsidRPr="00165833">
        <w:rPr>
          <w:rFonts w:ascii="Book Antiqua" w:eastAsia="CenturySchoolbook" w:hAnsi="Book Antiqua"/>
        </w:rPr>
        <w:t xml:space="preserve">should be followed by some </w:t>
      </w:r>
      <w:r w:rsidR="00687483" w:rsidRPr="00165833">
        <w:rPr>
          <w:rFonts w:ascii="Book Antiqua" w:eastAsia="CenturySchoolbook" w:hAnsi="Book Antiqua"/>
        </w:rPr>
        <w:t xml:space="preserve">therapeutic </w:t>
      </w:r>
      <w:r w:rsidR="00A3496A" w:rsidRPr="00165833">
        <w:rPr>
          <w:rFonts w:ascii="Book Antiqua" w:eastAsia="CenturySchoolbook" w:hAnsi="Book Antiqua"/>
        </w:rPr>
        <w:t>in</w:t>
      </w:r>
      <w:r w:rsidR="00165833" w:rsidRPr="00165833">
        <w:rPr>
          <w:rFonts w:ascii="Book Antiqua" w:eastAsia="CenturySchoolbook" w:hAnsi="Book Antiqua"/>
        </w:rPr>
        <w:t xml:space="preserve">tervention to remove the </w:t>
      </w:r>
      <w:proofErr w:type="gramStart"/>
      <w:r w:rsidR="00165833" w:rsidRPr="00165833">
        <w:rPr>
          <w:rFonts w:ascii="Book Antiqua" w:eastAsia="CenturySchoolbook" w:hAnsi="Book Antiqua"/>
        </w:rPr>
        <w:t>stones</w:t>
      </w:r>
      <w:r w:rsidR="00A01733" w:rsidRPr="00165833">
        <w:rPr>
          <w:rFonts w:ascii="Book Antiqua" w:eastAsia="CenturySchoolbook" w:hAnsi="Book Antiqua"/>
          <w:vertAlign w:val="superscript"/>
        </w:rPr>
        <w:t>[</w:t>
      </w:r>
      <w:proofErr w:type="gramEnd"/>
      <w:r w:rsidRPr="00165833">
        <w:rPr>
          <w:rFonts w:ascii="Book Antiqua" w:eastAsia="CenturySchoolbook" w:hAnsi="Book Antiqua"/>
          <w:vertAlign w:val="superscript"/>
        </w:rPr>
        <w:t>4-7</w:t>
      </w:r>
      <w:r w:rsidR="00A01733" w:rsidRPr="00165833">
        <w:rPr>
          <w:rFonts w:ascii="Book Antiqua" w:eastAsia="CenturySchoolbook" w:hAnsi="Book Antiqua"/>
          <w:vertAlign w:val="superscript"/>
        </w:rPr>
        <w:t>]</w:t>
      </w:r>
      <w:r w:rsidRPr="00165833">
        <w:rPr>
          <w:rFonts w:ascii="Book Antiqua" w:eastAsia="CenturySchoolbook" w:hAnsi="Book Antiqua"/>
        </w:rPr>
        <w:t xml:space="preserve">. Endoscopic retrograde cholangiopancreatography (ERCP) </w:t>
      </w:r>
      <w:r w:rsidR="00A3496A" w:rsidRPr="00165833">
        <w:rPr>
          <w:rFonts w:ascii="Book Antiqua" w:eastAsia="CenturySchoolbook" w:hAnsi="Book Antiqua"/>
        </w:rPr>
        <w:t xml:space="preserve">is the </w:t>
      </w:r>
      <w:r w:rsidRPr="00165833">
        <w:rPr>
          <w:rFonts w:ascii="Book Antiqua" w:eastAsia="CenturySchoolbook" w:hAnsi="Book Antiqua"/>
        </w:rPr>
        <w:t xml:space="preserve">standard method for the </w:t>
      </w:r>
      <w:r w:rsidR="00A3496A" w:rsidRPr="00165833">
        <w:rPr>
          <w:rFonts w:ascii="Book Antiqua" w:eastAsia="CenturySchoolbook" w:hAnsi="Book Antiqua"/>
        </w:rPr>
        <w:t>diagnosis and therapy of</w:t>
      </w:r>
      <w:r w:rsidR="00687483" w:rsidRPr="00165833">
        <w:rPr>
          <w:rFonts w:ascii="Book Antiqua" w:eastAsia="CenturySchoolbook" w:hAnsi="Book Antiqua"/>
        </w:rPr>
        <w:t xml:space="preserve"> bile duct stones, however</w:t>
      </w:r>
      <w:r w:rsidRPr="00165833">
        <w:rPr>
          <w:rFonts w:ascii="Book Antiqua" w:eastAsia="CenturySchoolbook" w:hAnsi="Book Antiqua"/>
        </w:rPr>
        <w:t xml:space="preserve"> </w:t>
      </w:r>
      <w:r w:rsidR="00687483" w:rsidRPr="00165833">
        <w:rPr>
          <w:rFonts w:ascii="Book Antiqua" w:eastAsia="CenturySchoolbook" w:hAnsi="Book Antiqua"/>
        </w:rPr>
        <w:t>it is an invasive proc</w:t>
      </w:r>
      <w:r w:rsidR="00165833" w:rsidRPr="00165833">
        <w:rPr>
          <w:rFonts w:ascii="Book Antiqua" w:eastAsia="CenturySchoolbook" w:hAnsi="Book Antiqua"/>
        </w:rPr>
        <w:t xml:space="preserve">edure not free of </w:t>
      </w:r>
      <w:proofErr w:type="gramStart"/>
      <w:r w:rsidR="00165833" w:rsidRPr="00165833">
        <w:rPr>
          <w:rFonts w:ascii="Book Antiqua" w:eastAsia="CenturySchoolbook" w:hAnsi="Book Antiqua"/>
        </w:rPr>
        <w:t>complications</w:t>
      </w:r>
      <w:r w:rsidR="00A01733" w:rsidRPr="00165833">
        <w:rPr>
          <w:rFonts w:ascii="Book Antiqua" w:eastAsia="CenturySchoolbook" w:hAnsi="Book Antiqua"/>
          <w:vertAlign w:val="superscript"/>
        </w:rPr>
        <w:t>[</w:t>
      </w:r>
      <w:proofErr w:type="gramEnd"/>
      <w:r w:rsidRPr="00165833">
        <w:rPr>
          <w:rFonts w:ascii="Book Antiqua" w:eastAsia="CenturySchoolbook" w:hAnsi="Book Antiqua"/>
          <w:vertAlign w:val="superscript"/>
        </w:rPr>
        <w:t>8-11</w:t>
      </w:r>
      <w:r w:rsidR="00A01733" w:rsidRPr="00165833">
        <w:rPr>
          <w:rFonts w:ascii="Book Antiqua" w:eastAsia="CenturySchoolbook" w:hAnsi="Book Antiqua"/>
          <w:vertAlign w:val="superscript"/>
        </w:rPr>
        <w:t>]</w:t>
      </w:r>
      <w:r w:rsidRPr="00165833">
        <w:rPr>
          <w:rFonts w:ascii="Book Antiqua" w:eastAsia="CenturySchoolbook" w:hAnsi="Book Antiqua"/>
        </w:rPr>
        <w:t>.</w:t>
      </w:r>
      <w:r w:rsidRPr="00165833">
        <w:rPr>
          <w:rFonts w:ascii="Book Antiqua" w:hAnsi="Book Antiqua"/>
        </w:rPr>
        <w:t xml:space="preserve"> </w:t>
      </w:r>
    </w:p>
    <w:p w:rsidR="00AA4464" w:rsidRPr="00165833" w:rsidRDefault="00AA4464" w:rsidP="00165833">
      <w:pPr>
        <w:spacing w:line="360" w:lineRule="auto"/>
        <w:ind w:firstLineChars="100" w:firstLine="240"/>
        <w:jc w:val="both"/>
        <w:rPr>
          <w:rFonts w:ascii="Book Antiqua" w:hAnsi="Book Antiqua"/>
        </w:rPr>
      </w:pPr>
      <w:r w:rsidRPr="00165833">
        <w:rPr>
          <w:rFonts w:ascii="Book Antiqua" w:hAnsi="Book Antiqua"/>
        </w:rPr>
        <w:t xml:space="preserve">According to the results of laboratory tests and US, the American Society for Gastrointestinal Endoscopy (ASGE) </w:t>
      </w:r>
      <w:r w:rsidR="009D490C" w:rsidRPr="00165833">
        <w:rPr>
          <w:rFonts w:ascii="Book Antiqua" w:hAnsi="Book Antiqua"/>
        </w:rPr>
        <w:t xml:space="preserve">proposes to </w:t>
      </w:r>
      <w:r w:rsidR="009D490C" w:rsidRPr="00165833">
        <w:rPr>
          <w:rFonts w:ascii="Book Antiqua" w:hAnsi="Book Antiqua"/>
          <w:lang w:val="en-GB"/>
        </w:rPr>
        <w:t>stratify a patient in low, intermediate or high risk for choledocholithiasis</w:t>
      </w:r>
      <w:r w:rsidR="009D490C" w:rsidRPr="00165833">
        <w:rPr>
          <w:rFonts w:ascii="Book Antiqua" w:hAnsi="Book Antiqua"/>
        </w:rPr>
        <w:t xml:space="preserve">. </w:t>
      </w:r>
      <w:r w:rsidRPr="00165833">
        <w:rPr>
          <w:rFonts w:ascii="Book Antiqua" w:hAnsi="Book Antiqua"/>
        </w:rPr>
        <w:t xml:space="preserve">Subsequent management will vary depending </w:t>
      </w:r>
      <w:r w:rsidR="009D24E3" w:rsidRPr="00165833">
        <w:rPr>
          <w:rFonts w:ascii="Book Antiqua" w:hAnsi="Book Antiqua"/>
        </w:rPr>
        <w:t xml:space="preserve">on the patient’s level of </w:t>
      </w:r>
      <w:proofErr w:type="gramStart"/>
      <w:r w:rsidR="009D24E3" w:rsidRPr="00165833">
        <w:rPr>
          <w:rFonts w:ascii="Book Antiqua" w:hAnsi="Book Antiqua"/>
        </w:rPr>
        <w:t>risk</w:t>
      </w:r>
      <w:r w:rsidR="00A01733" w:rsidRPr="00165833">
        <w:rPr>
          <w:rFonts w:ascii="Book Antiqua" w:hAnsi="Book Antiqua"/>
          <w:vertAlign w:val="superscript"/>
        </w:rPr>
        <w:t>[</w:t>
      </w:r>
      <w:proofErr w:type="gramEnd"/>
      <w:r w:rsidRPr="00165833">
        <w:rPr>
          <w:rFonts w:ascii="Book Antiqua" w:hAnsi="Book Antiqua"/>
          <w:vertAlign w:val="superscript"/>
        </w:rPr>
        <w:t>12</w:t>
      </w:r>
      <w:r w:rsidR="00A01733" w:rsidRPr="00165833">
        <w:rPr>
          <w:rFonts w:ascii="Book Antiqua" w:hAnsi="Book Antiqua"/>
          <w:vertAlign w:val="superscript"/>
        </w:rPr>
        <w:t>]</w:t>
      </w:r>
      <w:r w:rsidRPr="00165833">
        <w:rPr>
          <w:rFonts w:ascii="Book Antiqua" w:hAnsi="Book Antiqua"/>
        </w:rPr>
        <w:t xml:space="preserve">. </w:t>
      </w:r>
      <w:r w:rsidR="00596B2C" w:rsidRPr="00165833">
        <w:rPr>
          <w:rFonts w:ascii="Book Antiqua" w:hAnsi="Book Antiqua"/>
        </w:rPr>
        <w:t>The purpose</w:t>
      </w:r>
      <w:r w:rsidRPr="00165833">
        <w:rPr>
          <w:rFonts w:ascii="Book Antiqua" w:hAnsi="Book Antiqua"/>
        </w:rPr>
        <w:t xml:space="preserve"> of this study was to </w:t>
      </w:r>
      <w:r w:rsidR="00CA2F5A" w:rsidRPr="00165833">
        <w:rPr>
          <w:rFonts w:ascii="Book Antiqua" w:hAnsi="Book Antiqua"/>
        </w:rPr>
        <w:t>evaluate</w:t>
      </w:r>
      <w:r w:rsidR="0083715D" w:rsidRPr="00165833">
        <w:rPr>
          <w:rFonts w:ascii="Book Antiqua" w:hAnsi="Book Antiqua"/>
        </w:rPr>
        <w:t xml:space="preserve"> the practical applicability of the American Society for Gastrointestinal Endoscopy (ASGE) guidelines </w:t>
      </w:r>
      <w:r w:rsidRPr="00165833">
        <w:rPr>
          <w:rFonts w:ascii="Book Antiqua" w:hAnsi="Book Antiqua"/>
        </w:rPr>
        <w:t>in a population of patients undergoing ERCP for suspected choledocholithiasis.</w:t>
      </w:r>
      <w:r w:rsidR="0057692A" w:rsidRPr="00165833">
        <w:rPr>
          <w:rFonts w:ascii="Book Antiqua" w:hAnsi="Book Antiqua"/>
        </w:rPr>
        <w:t xml:space="preserve"> </w:t>
      </w:r>
    </w:p>
    <w:p w:rsidR="00AA4464" w:rsidRPr="00165833" w:rsidRDefault="00AA4464" w:rsidP="00165833">
      <w:pPr>
        <w:spacing w:line="360" w:lineRule="auto"/>
        <w:jc w:val="both"/>
        <w:rPr>
          <w:rFonts w:ascii="Book Antiqua" w:hAnsi="Book Antiqua"/>
        </w:rPr>
      </w:pPr>
    </w:p>
    <w:p w:rsidR="00350553" w:rsidRPr="00165833" w:rsidRDefault="00165833" w:rsidP="00165833">
      <w:pPr>
        <w:spacing w:line="360" w:lineRule="auto"/>
        <w:jc w:val="both"/>
        <w:rPr>
          <w:rFonts w:ascii="Book Antiqua" w:eastAsiaTheme="minorEastAsia" w:hAnsi="Book Antiqua"/>
          <w:b/>
          <w:lang w:eastAsia="zh-CN"/>
        </w:rPr>
      </w:pPr>
      <w:r w:rsidRPr="00165833">
        <w:rPr>
          <w:rFonts w:ascii="Book Antiqua" w:eastAsiaTheme="minorEastAsia" w:hAnsi="Book Antiqua"/>
          <w:b/>
          <w:lang w:eastAsia="zh-CN"/>
        </w:rPr>
        <w:t xml:space="preserve">MATERIALS AND </w:t>
      </w:r>
      <w:r w:rsidRPr="00165833">
        <w:rPr>
          <w:rFonts w:ascii="Book Antiqua" w:hAnsi="Book Antiqua"/>
          <w:b/>
        </w:rPr>
        <w:t>METHODS</w:t>
      </w:r>
    </w:p>
    <w:p w:rsidR="00350553" w:rsidRPr="00165833" w:rsidRDefault="00350553" w:rsidP="00165833">
      <w:pPr>
        <w:autoSpaceDE w:val="0"/>
        <w:autoSpaceDN w:val="0"/>
        <w:adjustRightInd w:val="0"/>
        <w:spacing w:line="360" w:lineRule="auto"/>
        <w:jc w:val="both"/>
        <w:rPr>
          <w:rFonts w:ascii="Book Antiqua" w:hAnsi="Book Antiqua"/>
          <w:b/>
          <w:i/>
        </w:rPr>
      </w:pPr>
      <w:r w:rsidRPr="00165833">
        <w:rPr>
          <w:rFonts w:ascii="Book Antiqua" w:hAnsi="Book Antiqua"/>
          <w:b/>
          <w:i/>
        </w:rPr>
        <w:t>Patients</w:t>
      </w:r>
    </w:p>
    <w:p w:rsidR="00E6786B" w:rsidRPr="00165833" w:rsidRDefault="00B426EE" w:rsidP="00165833">
      <w:pPr>
        <w:autoSpaceDE w:val="0"/>
        <w:autoSpaceDN w:val="0"/>
        <w:adjustRightInd w:val="0"/>
        <w:spacing w:line="360" w:lineRule="auto"/>
        <w:jc w:val="both"/>
        <w:rPr>
          <w:rFonts w:ascii="Book Antiqua" w:hAnsi="Book Antiqua"/>
        </w:rPr>
      </w:pPr>
      <w:r w:rsidRPr="00165833">
        <w:rPr>
          <w:rFonts w:ascii="Book Antiqua" w:hAnsi="Book Antiqua"/>
        </w:rPr>
        <w:t>We performed</w:t>
      </w:r>
      <w:r w:rsidR="00635719" w:rsidRPr="00165833">
        <w:rPr>
          <w:rFonts w:ascii="Book Antiqua" w:hAnsi="Book Antiqua"/>
        </w:rPr>
        <w:t xml:space="preserve"> a retrospective single center study, covering a 4-year period, from January 2010 to December 2013.</w:t>
      </w:r>
      <w:r w:rsidR="00306513" w:rsidRPr="00165833">
        <w:rPr>
          <w:rFonts w:ascii="Book Antiqua" w:hAnsi="Book Antiqua"/>
        </w:rPr>
        <w:t xml:space="preserve"> </w:t>
      </w:r>
      <w:r w:rsidR="00456526" w:rsidRPr="00165833">
        <w:rPr>
          <w:rFonts w:ascii="Book Antiqua" w:hAnsi="Book Antiqua"/>
        </w:rPr>
        <w:t>P</w:t>
      </w:r>
      <w:r w:rsidR="00D80FA1" w:rsidRPr="00165833">
        <w:rPr>
          <w:rFonts w:ascii="Book Antiqua" w:hAnsi="Book Antiqua"/>
        </w:rPr>
        <w:t xml:space="preserve">atients </w:t>
      </w:r>
      <w:r w:rsidR="00456526" w:rsidRPr="00165833">
        <w:rPr>
          <w:rFonts w:ascii="Book Antiqua" w:hAnsi="Book Antiqua"/>
        </w:rPr>
        <w:t xml:space="preserve">referred for ERCP for suspected bile duct lithiasis </w:t>
      </w:r>
      <w:r w:rsidR="00FA7F7A" w:rsidRPr="00165833">
        <w:rPr>
          <w:rFonts w:ascii="Book Antiqua" w:hAnsi="Book Antiqua"/>
        </w:rPr>
        <w:t xml:space="preserve">were </w:t>
      </w:r>
      <w:r w:rsidR="00456526" w:rsidRPr="00165833">
        <w:rPr>
          <w:rFonts w:ascii="Book Antiqua" w:hAnsi="Book Antiqua"/>
        </w:rPr>
        <w:t>consecutively included.</w:t>
      </w:r>
      <w:r w:rsidRPr="00165833">
        <w:rPr>
          <w:rFonts w:ascii="Book Antiqua" w:hAnsi="Book Antiqua"/>
        </w:rPr>
        <w:t xml:space="preserve"> </w:t>
      </w:r>
      <w:r w:rsidR="00FA7F7A" w:rsidRPr="00165833">
        <w:rPr>
          <w:rFonts w:ascii="Book Antiqua" w:hAnsi="Book Antiqua"/>
        </w:rPr>
        <w:t xml:space="preserve">Patients </w:t>
      </w:r>
      <w:r w:rsidR="00557F17" w:rsidRPr="00165833">
        <w:rPr>
          <w:rFonts w:ascii="Book Antiqua" w:hAnsi="Book Antiqua"/>
        </w:rPr>
        <w:t>presenting for stent exchange or follow-up of known and incompletely</w:t>
      </w:r>
      <w:r w:rsidR="00DE30CD" w:rsidRPr="00165833">
        <w:rPr>
          <w:rFonts w:ascii="Book Antiqua" w:hAnsi="Book Antiqua"/>
        </w:rPr>
        <w:t xml:space="preserve"> </w:t>
      </w:r>
      <w:r w:rsidR="00557F17" w:rsidRPr="00165833">
        <w:rPr>
          <w:rFonts w:ascii="Book Antiqua" w:hAnsi="Book Antiqua"/>
        </w:rPr>
        <w:t xml:space="preserve">removed stones on previous ERCP </w:t>
      </w:r>
      <w:r w:rsidR="00FA7F7A" w:rsidRPr="00165833">
        <w:rPr>
          <w:rFonts w:ascii="Book Antiqua" w:hAnsi="Book Antiqua"/>
        </w:rPr>
        <w:t>were excluded.</w:t>
      </w:r>
      <w:r w:rsidR="00557F17" w:rsidRPr="00165833">
        <w:rPr>
          <w:rFonts w:ascii="Book Antiqua" w:hAnsi="Book Antiqua"/>
        </w:rPr>
        <w:t xml:space="preserve"> </w:t>
      </w:r>
    </w:p>
    <w:p w:rsidR="00BC0AA0" w:rsidRPr="00165833" w:rsidRDefault="00BC0AA0" w:rsidP="00165833">
      <w:pPr>
        <w:spacing w:line="360" w:lineRule="auto"/>
        <w:ind w:firstLineChars="100" w:firstLine="240"/>
        <w:jc w:val="both"/>
        <w:rPr>
          <w:rFonts w:ascii="Book Antiqua" w:hAnsi="Book Antiqua"/>
          <w:lang w:val="en-GB"/>
        </w:rPr>
      </w:pPr>
      <w:r w:rsidRPr="00165833">
        <w:rPr>
          <w:rFonts w:ascii="Book Antiqua" w:hAnsi="Book Antiqua"/>
          <w:lang w:val="en-GB"/>
        </w:rPr>
        <w:t xml:space="preserve">Clinical data recorded from disease onset </w:t>
      </w:r>
      <w:r w:rsidR="00AE4E96" w:rsidRPr="00165833">
        <w:rPr>
          <w:rFonts w:ascii="Book Antiqua" w:hAnsi="Book Antiqua"/>
          <w:lang w:val="en-GB"/>
        </w:rPr>
        <w:t>(age, gender, symptoms at presentation, laboratorial</w:t>
      </w:r>
      <w:r w:rsidR="00535069" w:rsidRPr="00165833">
        <w:rPr>
          <w:rFonts w:ascii="Book Antiqua" w:hAnsi="Book Antiqua"/>
          <w:lang w:val="en-GB"/>
        </w:rPr>
        <w:t xml:space="preserve"> values</w:t>
      </w:r>
      <w:r w:rsidR="00AE4E96" w:rsidRPr="00165833">
        <w:rPr>
          <w:rFonts w:ascii="Book Antiqua" w:hAnsi="Book Antiqua"/>
          <w:lang w:val="en-GB"/>
        </w:rPr>
        <w:t xml:space="preserve">) </w:t>
      </w:r>
      <w:r w:rsidRPr="00165833">
        <w:rPr>
          <w:rFonts w:ascii="Book Antiqua" w:hAnsi="Book Antiqua"/>
          <w:lang w:val="en-GB"/>
        </w:rPr>
        <w:t xml:space="preserve">to the time of the ERCP </w:t>
      </w:r>
      <w:r w:rsidR="00AE4E96" w:rsidRPr="00165833">
        <w:rPr>
          <w:rFonts w:ascii="Book Antiqua" w:hAnsi="Book Antiqua"/>
          <w:lang w:val="en-GB"/>
        </w:rPr>
        <w:t xml:space="preserve">(therapeutic procedures and related complications) </w:t>
      </w:r>
      <w:r w:rsidR="009A4F53" w:rsidRPr="00165833">
        <w:rPr>
          <w:rFonts w:ascii="Book Antiqua" w:hAnsi="Book Antiqua"/>
          <w:lang w:val="en-GB"/>
        </w:rPr>
        <w:t>were collected</w:t>
      </w:r>
      <w:r w:rsidRPr="00165833">
        <w:rPr>
          <w:rFonts w:ascii="Book Antiqua" w:hAnsi="Book Antiqua"/>
          <w:lang w:val="en-GB"/>
        </w:rPr>
        <w:t xml:space="preserve">. </w:t>
      </w:r>
    </w:p>
    <w:p w:rsidR="006C66D1" w:rsidRPr="00165833" w:rsidRDefault="006C66D1" w:rsidP="00165833">
      <w:pPr>
        <w:spacing w:line="360" w:lineRule="auto"/>
        <w:jc w:val="both"/>
        <w:rPr>
          <w:rFonts w:ascii="Book Antiqua" w:hAnsi="Book Antiqua"/>
          <w:b/>
          <w:lang w:val="en-GB"/>
        </w:rPr>
      </w:pPr>
    </w:p>
    <w:p w:rsidR="00350553" w:rsidRPr="00165833" w:rsidRDefault="000F330E" w:rsidP="00165833">
      <w:pPr>
        <w:spacing w:line="360" w:lineRule="auto"/>
        <w:jc w:val="both"/>
        <w:rPr>
          <w:rFonts w:ascii="Book Antiqua" w:hAnsi="Book Antiqua"/>
          <w:b/>
          <w:i/>
          <w:lang w:val="en-GB"/>
        </w:rPr>
      </w:pPr>
      <w:r w:rsidRPr="00165833">
        <w:rPr>
          <w:rFonts w:ascii="Book Antiqua" w:hAnsi="Book Antiqua"/>
          <w:b/>
          <w:i/>
          <w:lang w:val="en-GB"/>
        </w:rPr>
        <w:t>Predictors of choledocholithiasis</w:t>
      </w:r>
    </w:p>
    <w:p w:rsidR="00A57CC0" w:rsidRPr="00165833" w:rsidRDefault="00EC3E34" w:rsidP="00165833">
      <w:pPr>
        <w:spacing w:line="360" w:lineRule="auto"/>
        <w:jc w:val="both"/>
        <w:rPr>
          <w:rFonts w:ascii="Book Antiqua" w:hAnsi="Book Antiqua"/>
          <w:lang w:val="en-GB"/>
        </w:rPr>
      </w:pPr>
      <w:r w:rsidRPr="00165833">
        <w:rPr>
          <w:rFonts w:ascii="Book Antiqua" w:hAnsi="Book Antiqua"/>
          <w:lang w:val="en-GB"/>
        </w:rPr>
        <w:t>A</w:t>
      </w:r>
      <w:r w:rsidR="009D24E3" w:rsidRPr="00165833">
        <w:rPr>
          <w:rFonts w:ascii="Book Antiqua" w:hAnsi="Book Antiqua"/>
          <w:lang w:val="en-GB"/>
        </w:rPr>
        <w:t xml:space="preserve">ccording to ASGE </w:t>
      </w:r>
      <w:proofErr w:type="gramStart"/>
      <w:r w:rsidR="009D24E3" w:rsidRPr="00165833">
        <w:rPr>
          <w:rFonts w:ascii="Book Antiqua" w:hAnsi="Book Antiqua"/>
          <w:lang w:val="en-GB"/>
        </w:rPr>
        <w:t>guidelines</w:t>
      </w:r>
      <w:r w:rsidR="00A01733" w:rsidRPr="00165833">
        <w:rPr>
          <w:rFonts w:ascii="Book Antiqua" w:hAnsi="Book Antiqua"/>
          <w:vertAlign w:val="superscript"/>
          <w:lang w:val="en-GB"/>
        </w:rPr>
        <w:t>[</w:t>
      </w:r>
      <w:proofErr w:type="gramEnd"/>
      <w:r w:rsidR="00A57CC0" w:rsidRPr="00165833">
        <w:rPr>
          <w:rFonts w:ascii="Book Antiqua" w:hAnsi="Book Antiqua"/>
          <w:vertAlign w:val="superscript"/>
          <w:lang w:val="en-GB"/>
        </w:rPr>
        <w:t>12</w:t>
      </w:r>
      <w:r w:rsidR="00A01733" w:rsidRPr="00165833">
        <w:rPr>
          <w:rFonts w:ascii="Book Antiqua" w:hAnsi="Book Antiqua"/>
          <w:vertAlign w:val="superscript"/>
          <w:lang w:val="en-GB"/>
        </w:rPr>
        <w:t>]</w:t>
      </w:r>
      <w:r w:rsidR="00BE653E" w:rsidRPr="00165833">
        <w:rPr>
          <w:rFonts w:ascii="Book Antiqua" w:hAnsi="Book Antiqua"/>
          <w:lang w:val="en-GB"/>
        </w:rPr>
        <w:t xml:space="preserve">, </w:t>
      </w:r>
      <w:r w:rsidR="00A57CC0" w:rsidRPr="00165833">
        <w:rPr>
          <w:rFonts w:ascii="Book Antiqua" w:hAnsi="Book Antiqua"/>
        </w:rPr>
        <w:t xml:space="preserve">cholangitis, </w:t>
      </w:r>
      <w:r w:rsidR="00ED3281" w:rsidRPr="00165833">
        <w:rPr>
          <w:rFonts w:ascii="Book Antiqua" w:hAnsi="Book Antiqua"/>
        </w:rPr>
        <w:t>total bilirubin &gt;</w:t>
      </w:r>
      <w:r w:rsidR="00165833" w:rsidRPr="00165833">
        <w:rPr>
          <w:rFonts w:ascii="Book Antiqua" w:eastAsiaTheme="minorEastAsia" w:hAnsi="Book Antiqua" w:hint="eastAsia"/>
          <w:lang w:eastAsia="zh-CN"/>
        </w:rPr>
        <w:t xml:space="preserve"> </w:t>
      </w:r>
      <w:r w:rsidR="00ED3281" w:rsidRPr="00165833">
        <w:rPr>
          <w:rFonts w:ascii="Book Antiqua" w:hAnsi="Book Antiqua"/>
        </w:rPr>
        <w:t>4</w:t>
      </w:r>
      <w:r w:rsidR="00165833" w:rsidRPr="00165833">
        <w:rPr>
          <w:rFonts w:ascii="Book Antiqua" w:eastAsiaTheme="minorEastAsia" w:hAnsi="Book Antiqua" w:hint="eastAsia"/>
          <w:lang w:eastAsia="zh-CN"/>
        </w:rPr>
        <w:t xml:space="preserve"> </w:t>
      </w:r>
      <w:r w:rsidR="00ED3281" w:rsidRPr="00165833">
        <w:rPr>
          <w:rFonts w:ascii="Book Antiqua" w:hAnsi="Book Antiqua"/>
        </w:rPr>
        <w:t xml:space="preserve">mg/dL and </w:t>
      </w:r>
      <w:r w:rsidR="00A57CC0" w:rsidRPr="00165833">
        <w:rPr>
          <w:rFonts w:ascii="Book Antiqua" w:hAnsi="Book Antiqua"/>
        </w:rPr>
        <w:t xml:space="preserve">common bile duct (CBD) stone on US were considered very strong predictors. </w:t>
      </w:r>
      <w:r w:rsidR="00ED3281" w:rsidRPr="00165833">
        <w:rPr>
          <w:rFonts w:ascii="Book Antiqua" w:hAnsi="Book Antiqua"/>
        </w:rPr>
        <w:t>Total bilirubin 1.8-4</w:t>
      </w:r>
      <w:r w:rsidR="00165833" w:rsidRPr="00165833">
        <w:rPr>
          <w:rFonts w:ascii="Book Antiqua" w:eastAsiaTheme="minorEastAsia" w:hAnsi="Book Antiqua" w:hint="eastAsia"/>
          <w:lang w:eastAsia="zh-CN"/>
        </w:rPr>
        <w:t xml:space="preserve"> </w:t>
      </w:r>
      <w:r w:rsidR="00ED3281" w:rsidRPr="00165833">
        <w:rPr>
          <w:rFonts w:ascii="Book Antiqua" w:hAnsi="Book Antiqua"/>
        </w:rPr>
        <w:t>mg/dL</w:t>
      </w:r>
      <w:r w:rsidR="00A57CC0" w:rsidRPr="00165833">
        <w:rPr>
          <w:rFonts w:ascii="Book Antiqua" w:hAnsi="Book Antiqua"/>
        </w:rPr>
        <w:t xml:space="preserve"> </w:t>
      </w:r>
      <w:r w:rsidR="00ED3281" w:rsidRPr="00165833">
        <w:rPr>
          <w:rFonts w:ascii="Book Antiqua" w:hAnsi="Book Antiqua"/>
        </w:rPr>
        <w:t>and d</w:t>
      </w:r>
      <w:r w:rsidR="00A57CC0" w:rsidRPr="00165833">
        <w:rPr>
          <w:rFonts w:ascii="Book Antiqua" w:hAnsi="Book Antiqua"/>
        </w:rPr>
        <w:t xml:space="preserve">ilated </w:t>
      </w:r>
      <w:r w:rsidR="00ED3281" w:rsidRPr="00165833">
        <w:rPr>
          <w:rFonts w:ascii="Book Antiqua" w:hAnsi="Book Antiqua"/>
        </w:rPr>
        <w:t>CBD on US</w:t>
      </w:r>
      <w:r w:rsidR="000367AF" w:rsidRPr="00165833">
        <w:rPr>
          <w:rFonts w:ascii="Book Antiqua" w:hAnsi="Book Antiqua"/>
        </w:rPr>
        <w:t xml:space="preserve"> </w:t>
      </w:r>
      <w:r w:rsidR="00A57CC0" w:rsidRPr="00165833">
        <w:rPr>
          <w:rFonts w:ascii="Book Antiqua" w:hAnsi="Book Antiqua"/>
        </w:rPr>
        <w:t>we</w:t>
      </w:r>
      <w:r w:rsidR="00BE653E" w:rsidRPr="00165833">
        <w:rPr>
          <w:rFonts w:ascii="Book Antiqua" w:hAnsi="Book Antiqua"/>
        </w:rPr>
        <w:t>re considered strong predictors and a</w:t>
      </w:r>
      <w:r w:rsidR="00A57CC0" w:rsidRPr="00165833">
        <w:rPr>
          <w:rFonts w:ascii="Book Antiqua" w:hAnsi="Book Antiqua"/>
        </w:rPr>
        <w:t xml:space="preserve">bnormal liver </w:t>
      </w:r>
      <w:r w:rsidR="007A1E95" w:rsidRPr="00165833">
        <w:rPr>
          <w:rFonts w:ascii="Book Antiqua" w:hAnsi="Book Antiqua"/>
        </w:rPr>
        <w:t xml:space="preserve">biochemical </w:t>
      </w:r>
      <w:r w:rsidR="00A57CC0" w:rsidRPr="00165833">
        <w:rPr>
          <w:rFonts w:ascii="Book Antiqua" w:hAnsi="Book Antiqua"/>
        </w:rPr>
        <w:t>test</w:t>
      </w:r>
      <w:r w:rsidR="007A1E95" w:rsidRPr="00165833">
        <w:rPr>
          <w:rFonts w:ascii="Book Antiqua" w:hAnsi="Book Antiqua"/>
        </w:rPr>
        <w:t>s</w:t>
      </w:r>
      <w:r w:rsidR="00A57CC0" w:rsidRPr="00165833">
        <w:rPr>
          <w:rFonts w:ascii="Book Antiqua" w:hAnsi="Book Antiqua"/>
        </w:rPr>
        <w:t>, age &gt;</w:t>
      </w:r>
      <w:r w:rsidR="00165833" w:rsidRPr="00165833">
        <w:rPr>
          <w:rFonts w:ascii="Book Antiqua" w:eastAsiaTheme="minorEastAsia" w:hAnsi="Book Antiqua" w:hint="eastAsia"/>
          <w:lang w:eastAsia="zh-CN"/>
        </w:rPr>
        <w:t xml:space="preserve"> </w:t>
      </w:r>
      <w:r w:rsidR="00A57CC0" w:rsidRPr="00165833">
        <w:rPr>
          <w:rFonts w:ascii="Book Antiqua" w:hAnsi="Book Antiqua"/>
        </w:rPr>
        <w:t>55 years and gallstone pancreatitis were considered moderate predictors.</w:t>
      </w:r>
      <w:r w:rsidR="00A57CC0" w:rsidRPr="00165833">
        <w:rPr>
          <w:rFonts w:ascii="Book Antiqua" w:hAnsi="Book Antiqua"/>
          <w:lang w:val="en-GB"/>
        </w:rPr>
        <w:t xml:space="preserve"> Patients with</w:t>
      </w:r>
      <w:r w:rsidR="001638E0" w:rsidRPr="00165833">
        <w:rPr>
          <w:rFonts w:ascii="Book Antiqua" w:hAnsi="Book Antiqua"/>
          <w:lang w:val="en-GB"/>
        </w:rPr>
        <w:t xml:space="preserve"> strong predictors or </w:t>
      </w:r>
      <w:r w:rsidR="00A57CC0" w:rsidRPr="00165833">
        <w:rPr>
          <w:rFonts w:ascii="Book Antiqua" w:hAnsi="Book Antiqua"/>
          <w:lang w:val="en-GB"/>
        </w:rPr>
        <w:t>a</w:t>
      </w:r>
      <w:r w:rsidR="001638E0" w:rsidRPr="00165833">
        <w:rPr>
          <w:rFonts w:ascii="Book Antiqua" w:hAnsi="Book Antiqua"/>
          <w:lang w:val="en-GB"/>
        </w:rPr>
        <w:t>ny</w:t>
      </w:r>
      <w:r w:rsidR="00A57CC0" w:rsidRPr="00165833">
        <w:rPr>
          <w:rFonts w:ascii="Book Antiqua" w:hAnsi="Book Antiqua"/>
          <w:lang w:val="en-GB"/>
        </w:rPr>
        <w:t xml:space="preserve"> very strong predictor were considered at high risk for </w:t>
      </w:r>
      <w:r w:rsidR="001638E0" w:rsidRPr="00165833">
        <w:rPr>
          <w:rFonts w:ascii="Book Antiqua" w:hAnsi="Book Antiqua"/>
          <w:lang w:val="en-GB"/>
        </w:rPr>
        <w:t>choledocholithiasis</w:t>
      </w:r>
      <w:r w:rsidR="00A57CC0" w:rsidRPr="00165833">
        <w:rPr>
          <w:rFonts w:ascii="Book Antiqua" w:hAnsi="Book Antiqua"/>
          <w:lang w:val="en-GB"/>
        </w:rPr>
        <w:t xml:space="preserve">. </w:t>
      </w:r>
      <w:r w:rsidR="001638E0" w:rsidRPr="00165833">
        <w:rPr>
          <w:rFonts w:ascii="Book Antiqua" w:hAnsi="Book Antiqua"/>
          <w:lang w:val="en-GB"/>
        </w:rPr>
        <w:t>Patients without any p</w:t>
      </w:r>
      <w:r w:rsidR="00A57CC0" w:rsidRPr="00165833">
        <w:rPr>
          <w:rFonts w:ascii="Book Antiqua" w:hAnsi="Book Antiqua"/>
          <w:lang w:val="en-GB"/>
        </w:rPr>
        <w:t xml:space="preserve">redictor and all other patients were considered low and intermediate risk for choledocholithiasis, respectively. </w:t>
      </w:r>
      <w:r w:rsidR="004F53C1" w:rsidRPr="00165833">
        <w:rPr>
          <w:rFonts w:ascii="Book Antiqua" w:hAnsi="Book Antiqua"/>
          <w:lang w:val="en-GB"/>
        </w:rPr>
        <w:t>The diagnosis</w:t>
      </w:r>
      <w:r w:rsidR="008360C9" w:rsidRPr="00165833">
        <w:rPr>
          <w:rFonts w:ascii="Book Antiqua" w:hAnsi="Book Antiqua"/>
          <w:lang w:val="en-GB"/>
        </w:rPr>
        <w:t xml:space="preserve"> of </w:t>
      </w:r>
      <w:r w:rsidR="00A57CC0" w:rsidRPr="00165833">
        <w:rPr>
          <w:rFonts w:ascii="Book Antiqua" w:hAnsi="Book Antiqua"/>
          <w:lang w:val="en-GB"/>
        </w:rPr>
        <w:t xml:space="preserve">cholangitis was </w:t>
      </w:r>
      <w:r w:rsidR="004F53C1" w:rsidRPr="00165833">
        <w:rPr>
          <w:rFonts w:ascii="Book Antiqua" w:hAnsi="Book Antiqua"/>
          <w:lang w:val="en-GB"/>
        </w:rPr>
        <w:t xml:space="preserve">established by </w:t>
      </w:r>
      <w:r w:rsidR="00A57CC0" w:rsidRPr="00165833">
        <w:rPr>
          <w:rFonts w:ascii="Book Antiqua" w:hAnsi="Book Antiqua"/>
          <w:lang w:val="en-GB"/>
        </w:rPr>
        <w:t xml:space="preserve">the presence of </w:t>
      </w:r>
      <w:r w:rsidR="00A57CC0" w:rsidRPr="00165833">
        <w:rPr>
          <w:rFonts w:ascii="Book Antiqua" w:hAnsi="Book Antiqua"/>
        </w:rPr>
        <w:t xml:space="preserve">Charcot's triad (fever, abdominal pain and jaundice). </w:t>
      </w:r>
      <w:r w:rsidR="00EE7BD2" w:rsidRPr="00165833">
        <w:rPr>
          <w:rFonts w:ascii="Book Antiqua" w:hAnsi="Book Antiqua"/>
        </w:rPr>
        <w:t xml:space="preserve">The diagnosis of </w:t>
      </w:r>
      <w:r w:rsidR="006644E6" w:rsidRPr="00165833">
        <w:rPr>
          <w:rFonts w:ascii="Book Antiqua" w:hAnsi="Book Antiqua"/>
        </w:rPr>
        <w:t>CBD</w:t>
      </w:r>
      <w:r w:rsidR="00A57CC0" w:rsidRPr="00165833">
        <w:rPr>
          <w:rFonts w:ascii="Book Antiqua" w:hAnsi="Book Antiqua"/>
        </w:rPr>
        <w:t xml:space="preserve"> st</w:t>
      </w:r>
      <w:r w:rsidR="004F53C1" w:rsidRPr="00165833">
        <w:rPr>
          <w:rFonts w:ascii="Book Antiqua" w:hAnsi="Book Antiqua"/>
        </w:rPr>
        <w:t xml:space="preserve">one on US was considered when </w:t>
      </w:r>
      <w:r w:rsidR="00A57CC0" w:rsidRPr="00165833">
        <w:rPr>
          <w:rFonts w:ascii="Book Antiqua" w:hAnsi="Book Antiqua"/>
        </w:rPr>
        <w:t>a</w:t>
      </w:r>
      <w:r w:rsidR="004F53C1" w:rsidRPr="00165833">
        <w:rPr>
          <w:rFonts w:ascii="Book Antiqua" w:hAnsi="Book Antiqua"/>
        </w:rPr>
        <w:t>n intraductal</w:t>
      </w:r>
      <w:r w:rsidR="00A57CC0" w:rsidRPr="00165833">
        <w:rPr>
          <w:rFonts w:ascii="Book Antiqua" w:hAnsi="Book Antiqua"/>
        </w:rPr>
        <w:t xml:space="preserve"> </w:t>
      </w:r>
      <w:r w:rsidR="00EE7BD2" w:rsidRPr="00165833">
        <w:rPr>
          <w:rFonts w:ascii="Book Antiqua" w:hAnsi="Book Antiqua"/>
        </w:rPr>
        <w:t>echogenic</w:t>
      </w:r>
      <w:r w:rsidR="004F53C1" w:rsidRPr="00165833">
        <w:rPr>
          <w:rFonts w:ascii="Book Antiqua" w:hAnsi="Book Antiqua"/>
        </w:rPr>
        <w:t xml:space="preserve"> focus</w:t>
      </w:r>
      <w:r w:rsidR="00EE7BD2" w:rsidRPr="00165833">
        <w:rPr>
          <w:rFonts w:ascii="Book Antiqua" w:hAnsi="Book Antiqua"/>
        </w:rPr>
        <w:t xml:space="preserve"> </w:t>
      </w:r>
      <w:r w:rsidR="004F53C1" w:rsidRPr="00165833">
        <w:rPr>
          <w:rFonts w:ascii="Book Antiqua" w:hAnsi="Book Antiqua"/>
        </w:rPr>
        <w:t>with</w:t>
      </w:r>
      <w:r w:rsidR="00A57CC0" w:rsidRPr="00165833">
        <w:rPr>
          <w:rFonts w:ascii="Book Antiqua" w:hAnsi="Book Antiqua"/>
        </w:rPr>
        <w:t xml:space="preserve"> distal acoustic shadow</w:t>
      </w:r>
      <w:r w:rsidR="00F860B3" w:rsidRPr="00165833">
        <w:rPr>
          <w:rFonts w:ascii="Book Antiqua" w:hAnsi="Book Antiqua"/>
        </w:rPr>
        <w:t xml:space="preserve"> was </w:t>
      </w:r>
      <w:r w:rsidR="004F53C1" w:rsidRPr="00165833">
        <w:rPr>
          <w:rFonts w:ascii="Book Antiqua" w:hAnsi="Book Antiqua"/>
        </w:rPr>
        <w:t>identified</w:t>
      </w:r>
      <w:r w:rsidR="00A57CC0" w:rsidRPr="00165833">
        <w:rPr>
          <w:rFonts w:ascii="Book Antiqua" w:hAnsi="Book Antiqua"/>
        </w:rPr>
        <w:t>. Dilated CBD on US was considered when bile duct diameter was &gt;6mm in a patient without cholecystectomy. Abnormal liver biochemical tests were considered when</w:t>
      </w:r>
      <w:r w:rsidR="00717BFB" w:rsidRPr="00165833">
        <w:rPr>
          <w:rFonts w:ascii="Book Antiqua" w:hAnsi="Book Antiqua"/>
        </w:rPr>
        <w:t xml:space="preserve"> </w:t>
      </w:r>
      <w:r w:rsidR="00581C84" w:rsidRPr="00165833">
        <w:rPr>
          <w:rFonts w:ascii="Book Antiqua" w:hAnsi="Book Antiqua"/>
        </w:rPr>
        <w:t>aspartate aminotransferase (AST), alanine aminotransferase (ALT)</w:t>
      </w:r>
      <w:r w:rsidR="00A57CC0" w:rsidRPr="00165833">
        <w:rPr>
          <w:rFonts w:ascii="Book Antiqua" w:hAnsi="Book Antiqua"/>
        </w:rPr>
        <w:t xml:space="preserve"> and alkaline phosphatase (AP) presented elevated laboratory values, considering the reference lab values in our institution.</w:t>
      </w:r>
      <w:r w:rsidR="00A57CC0" w:rsidRPr="00165833">
        <w:rPr>
          <w:rFonts w:ascii="Book Antiqua" w:hAnsi="Book Antiqua"/>
          <w:lang w:val="en-GB"/>
        </w:rPr>
        <w:t xml:space="preserve"> Gallstone pancreatitis was considered when patients presented with abdominal pain (epigastric</w:t>
      </w:r>
      <w:r w:rsidR="00717BFB" w:rsidRPr="00165833">
        <w:rPr>
          <w:rFonts w:ascii="Book Antiqua" w:hAnsi="Book Antiqua"/>
          <w:lang w:val="en-GB"/>
        </w:rPr>
        <w:t xml:space="preserve"> pain often radiating to the back</w:t>
      </w:r>
      <w:r w:rsidR="00A57CC0" w:rsidRPr="00165833">
        <w:rPr>
          <w:rFonts w:ascii="Book Antiqua" w:hAnsi="Book Antiqua"/>
          <w:lang w:val="en-GB"/>
        </w:rPr>
        <w:t>),</w:t>
      </w:r>
      <w:r w:rsidR="00717BFB" w:rsidRPr="00165833">
        <w:rPr>
          <w:rFonts w:ascii="Book Antiqua" w:hAnsi="Book Antiqua"/>
          <w:lang w:val="en-GB"/>
        </w:rPr>
        <w:t xml:space="preserve"> lipase (or amylase activity) at least</w:t>
      </w:r>
      <w:r w:rsidR="00A57CC0" w:rsidRPr="00165833">
        <w:rPr>
          <w:rFonts w:ascii="Book Antiqua" w:hAnsi="Book Antiqua"/>
          <w:lang w:val="en-GB"/>
        </w:rPr>
        <w:t xml:space="preserve"> 3 times </w:t>
      </w:r>
      <w:r w:rsidR="00FA1088" w:rsidRPr="00165833">
        <w:rPr>
          <w:rFonts w:ascii="Book Antiqua" w:hAnsi="Book Antiqua"/>
          <w:lang w:val="en-GB"/>
        </w:rPr>
        <w:t xml:space="preserve">higher </w:t>
      </w:r>
      <w:r w:rsidR="00717BFB" w:rsidRPr="00165833">
        <w:rPr>
          <w:rFonts w:ascii="Book Antiqua" w:hAnsi="Book Antiqua"/>
          <w:lang w:val="en-GB"/>
        </w:rPr>
        <w:t xml:space="preserve">than </w:t>
      </w:r>
      <w:r w:rsidR="00A57CC0" w:rsidRPr="00165833">
        <w:rPr>
          <w:rFonts w:ascii="Book Antiqua" w:hAnsi="Book Antiqua"/>
          <w:lang w:val="en-GB"/>
        </w:rPr>
        <w:t>the upper limit of normal, stones or biliary sludge within gallbladder and no history of alcohol abuse.</w:t>
      </w:r>
    </w:p>
    <w:p w:rsidR="00EA42B0" w:rsidRPr="00165833" w:rsidRDefault="00EA42B0" w:rsidP="00165833">
      <w:pPr>
        <w:spacing w:line="360" w:lineRule="auto"/>
        <w:jc w:val="both"/>
        <w:rPr>
          <w:rFonts w:ascii="Book Antiqua" w:hAnsi="Book Antiqua"/>
          <w:lang w:val="en-GB"/>
        </w:rPr>
      </w:pPr>
    </w:p>
    <w:p w:rsidR="00DE385C" w:rsidRPr="00165833" w:rsidRDefault="0023020F" w:rsidP="00165833">
      <w:pPr>
        <w:spacing w:line="360" w:lineRule="auto"/>
        <w:jc w:val="both"/>
        <w:rPr>
          <w:rFonts w:ascii="Book Antiqua" w:hAnsi="Book Antiqua"/>
          <w:b/>
          <w:i/>
        </w:rPr>
      </w:pPr>
      <w:r w:rsidRPr="00165833">
        <w:rPr>
          <w:rFonts w:ascii="Book Antiqua" w:hAnsi="Book Antiqua"/>
          <w:b/>
          <w:i/>
        </w:rPr>
        <w:t>Endoscopic retrograde cholangiopancreatography</w:t>
      </w:r>
      <w:r w:rsidR="00DE385C" w:rsidRPr="00165833">
        <w:rPr>
          <w:rFonts w:ascii="Book Antiqua" w:hAnsi="Book Antiqua"/>
          <w:b/>
          <w:i/>
        </w:rPr>
        <w:t xml:space="preserve"> procedure</w:t>
      </w:r>
    </w:p>
    <w:p w:rsidR="000012AE" w:rsidRPr="00165833" w:rsidRDefault="000012AE" w:rsidP="00165833">
      <w:pPr>
        <w:spacing w:line="360" w:lineRule="auto"/>
        <w:jc w:val="both"/>
        <w:rPr>
          <w:rFonts w:ascii="Book Antiqua" w:hAnsi="Book Antiqua"/>
        </w:rPr>
      </w:pPr>
      <w:r w:rsidRPr="00165833">
        <w:rPr>
          <w:rFonts w:ascii="Book Antiqua" w:hAnsi="Book Antiqua"/>
        </w:rPr>
        <w:t>Every ERCP was performed using Olympus</w:t>
      </w:r>
      <w:r w:rsidRPr="00165833">
        <w:rPr>
          <w:rFonts w:ascii="Book Antiqua" w:hAnsi="Book Antiqua"/>
          <w:vertAlign w:val="superscript"/>
        </w:rPr>
        <w:t>®</w:t>
      </w:r>
      <w:r w:rsidRPr="00165833">
        <w:rPr>
          <w:rFonts w:ascii="Book Antiqua" w:hAnsi="Book Antiqua"/>
        </w:rPr>
        <w:t xml:space="preserve"> TJF 160 VR or TJF 145 side-viewing endoscopes. All patients provided written consent to undergo ERCP and were informed of the risks and benefits of the </w:t>
      </w:r>
      <w:r w:rsidR="00040AB0" w:rsidRPr="00165833">
        <w:rPr>
          <w:rFonts w:ascii="Book Antiqua" w:hAnsi="Book Antiqua"/>
        </w:rPr>
        <w:t>procedure</w:t>
      </w:r>
      <w:r w:rsidRPr="00165833">
        <w:rPr>
          <w:rFonts w:ascii="Book Antiqua" w:hAnsi="Book Antiqua"/>
        </w:rPr>
        <w:t xml:space="preserve">. Patients were under propofol sedation assisted by an anaesthesiologist. Stone size and number were documented on the initial diagnostic cholangiogram at ERCP. Endoscopic sphincterotomy was performed over a </w:t>
      </w:r>
      <w:r w:rsidR="00B721FF" w:rsidRPr="00165833">
        <w:rPr>
          <w:rFonts w:ascii="Book Antiqua" w:hAnsi="Book Antiqua"/>
        </w:rPr>
        <w:t xml:space="preserve">guide wire. </w:t>
      </w:r>
      <w:r w:rsidRPr="00165833">
        <w:rPr>
          <w:rFonts w:ascii="Book Antiqua" w:hAnsi="Book Antiqua"/>
        </w:rPr>
        <w:t>Some patients underwent papillary balloon dilation using a through-the-scope balloon catheter for oesophageal/pyloric di</w:t>
      </w:r>
      <w:r w:rsidR="00C9064A" w:rsidRPr="00165833">
        <w:rPr>
          <w:rFonts w:ascii="Book Antiqua" w:hAnsi="Book Antiqua"/>
        </w:rPr>
        <w:t>lation</w:t>
      </w:r>
      <w:r w:rsidRPr="00165833">
        <w:rPr>
          <w:rFonts w:ascii="Book Antiqua" w:hAnsi="Book Antiqua"/>
        </w:rPr>
        <w:t>, gradually inflated to 12-18 mm according to the size of the largest stone and the maximal diameter of the distal bile duct on the cholangiogram. Stones were removed usi</w:t>
      </w:r>
      <w:r w:rsidR="00B721FF" w:rsidRPr="00165833">
        <w:rPr>
          <w:rFonts w:ascii="Book Antiqua" w:hAnsi="Book Antiqua"/>
        </w:rPr>
        <w:t>ng a retrieval balloon catheter</w:t>
      </w:r>
      <w:r w:rsidRPr="00165833">
        <w:rPr>
          <w:rFonts w:ascii="Book Antiqua" w:hAnsi="Book Antiqua"/>
        </w:rPr>
        <w:t xml:space="preserve"> and/or a Dormia basket. When necessary, mechanical lithotripsy was performed to fragment the stones prior to removal. Complete clearance of the bile duct was documented with a balloon catheter cholangiogram at the end of the procedure. In the case of residual lithiasis, a biliary 7 Fr double pigtail plastic stent was placed and a second ERC</w:t>
      </w:r>
      <w:r w:rsidR="00165833" w:rsidRPr="00165833">
        <w:rPr>
          <w:rFonts w:ascii="Book Antiqua" w:hAnsi="Book Antiqua"/>
        </w:rPr>
        <w:t>P was planned within 10-12 wk</w:t>
      </w:r>
      <w:r w:rsidRPr="00165833">
        <w:rPr>
          <w:rFonts w:ascii="Book Antiqua" w:hAnsi="Book Antiqua"/>
        </w:rPr>
        <w:t>. At the end of each ERCP, 100 mg rectal indomethacin was routinely given</w:t>
      </w:r>
      <w:r w:rsidR="00AC0EB1" w:rsidRPr="00165833">
        <w:rPr>
          <w:rFonts w:ascii="Book Antiqua" w:hAnsi="Book Antiqua"/>
        </w:rPr>
        <w:t>, to prevent post-ERCP pancreatitis</w:t>
      </w:r>
      <w:r w:rsidRPr="00165833">
        <w:rPr>
          <w:rFonts w:ascii="Book Antiqua" w:hAnsi="Book Antiqua"/>
        </w:rPr>
        <w:t>. Prophylactic antibiotics were not routinely administered.</w:t>
      </w:r>
    </w:p>
    <w:p w:rsidR="00172B44" w:rsidRPr="00165833" w:rsidRDefault="00172B44" w:rsidP="00165833">
      <w:pPr>
        <w:spacing w:line="360" w:lineRule="auto"/>
        <w:jc w:val="both"/>
        <w:rPr>
          <w:rFonts w:ascii="Book Antiqua" w:hAnsi="Book Antiqua"/>
        </w:rPr>
      </w:pPr>
    </w:p>
    <w:p w:rsidR="00037A15" w:rsidRPr="00165833" w:rsidRDefault="00037A15" w:rsidP="00165833">
      <w:pPr>
        <w:spacing w:line="360" w:lineRule="auto"/>
        <w:jc w:val="both"/>
        <w:rPr>
          <w:rFonts w:ascii="Book Antiqua" w:hAnsi="Book Antiqua"/>
          <w:b/>
          <w:i/>
        </w:rPr>
      </w:pPr>
      <w:r w:rsidRPr="00165833">
        <w:rPr>
          <w:rFonts w:ascii="Book Antiqua" w:hAnsi="Book Antiqua"/>
          <w:b/>
          <w:i/>
        </w:rPr>
        <w:t>Statistical analysis</w:t>
      </w:r>
    </w:p>
    <w:p w:rsidR="003554A5" w:rsidRPr="00165833" w:rsidRDefault="003554A5" w:rsidP="00165833">
      <w:pPr>
        <w:autoSpaceDE w:val="0"/>
        <w:autoSpaceDN w:val="0"/>
        <w:adjustRightInd w:val="0"/>
        <w:spacing w:line="360" w:lineRule="auto"/>
        <w:jc w:val="both"/>
        <w:rPr>
          <w:rFonts w:ascii="Book Antiqua" w:hAnsi="Book Antiqua"/>
          <w:highlight w:val="yellow"/>
        </w:rPr>
      </w:pPr>
      <w:r w:rsidRPr="00165833">
        <w:rPr>
          <w:rFonts w:ascii="Book Antiqua" w:hAnsi="Book Antiqua"/>
        </w:rPr>
        <w:t>Statistical analysis was performed using SPSS version 21.0 (SPSS® Inc., Chicago, IL, United States).</w:t>
      </w:r>
      <w:r w:rsidRPr="00165833">
        <w:rPr>
          <w:rFonts w:ascii="Book Antiqua" w:hAnsi="Book Antiqua"/>
          <w:highlight w:val="yellow"/>
        </w:rPr>
        <w:t xml:space="preserve"> </w:t>
      </w:r>
    </w:p>
    <w:p w:rsidR="003554A5" w:rsidRPr="00165833" w:rsidRDefault="00E90539" w:rsidP="00165833">
      <w:pPr>
        <w:autoSpaceDE w:val="0"/>
        <w:autoSpaceDN w:val="0"/>
        <w:adjustRightInd w:val="0"/>
        <w:spacing w:line="360" w:lineRule="auto"/>
        <w:ind w:firstLineChars="100" w:firstLine="240"/>
        <w:jc w:val="both"/>
        <w:rPr>
          <w:rFonts w:ascii="Book Antiqua" w:hAnsi="Book Antiqua"/>
        </w:rPr>
      </w:pPr>
      <w:r w:rsidRPr="00165833">
        <w:rPr>
          <w:rStyle w:val="hps"/>
          <w:rFonts w:ascii="Book Antiqua" w:hAnsi="Book Antiqua"/>
          <w:lang w:val="en"/>
        </w:rPr>
        <w:t xml:space="preserve">Quantitative </w:t>
      </w:r>
      <w:r w:rsidR="00FB1971" w:rsidRPr="00165833">
        <w:rPr>
          <w:rStyle w:val="hps"/>
          <w:rFonts w:ascii="Book Antiqua" w:hAnsi="Book Antiqua"/>
          <w:lang w:val="en"/>
        </w:rPr>
        <w:t xml:space="preserve">data were described as mean±standard deviation (SD) and </w:t>
      </w:r>
      <w:r w:rsidRPr="00165833">
        <w:rPr>
          <w:rStyle w:val="hps"/>
          <w:rFonts w:ascii="Book Antiqua" w:hAnsi="Book Antiqua"/>
          <w:lang w:val="en"/>
        </w:rPr>
        <w:t xml:space="preserve">qualitative data as proportions. </w:t>
      </w:r>
      <w:r w:rsidR="001905CA" w:rsidRPr="00165833">
        <w:rPr>
          <w:rStyle w:val="hps"/>
          <w:rFonts w:ascii="Book Antiqua" w:hAnsi="Book Antiqua"/>
          <w:lang w:val="en"/>
        </w:rPr>
        <w:t xml:space="preserve">For each predictor and risk group the Chi-square was used to access differences between presence </w:t>
      </w:r>
      <w:r w:rsidR="001905CA" w:rsidRPr="00165833">
        <w:rPr>
          <w:rStyle w:val="hps"/>
          <w:rFonts w:ascii="Book Antiqua" w:hAnsi="Book Antiqua"/>
          <w:i/>
          <w:lang w:val="en"/>
        </w:rPr>
        <w:t>vs</w:t>
      </w:r>
      <w:r w:rsidR="001905CA" w:rsidRPr="00165833">
        <w:rPr>
          <w:rStyle w:val="hps"/>
          <w:rFonts w:ascii="Book Antiqua" w:hAnsi="Book Antiqua"/>
          <w:lang w:val="en"/>
        </w:rPr>
        <w:t xml:space="preserve"> absence of choledocolithiasis on ERCP.</w:t>
      </w:r>
      <w:r w:rsidR="00735B3A" w:rsidRPr="00165833">
        <w:rPr>
          <w:rFonts w:ascii="Book Antiqua" w:hAnsi="Book Antiqua"/>
        </w:rPr>
        <w:t xml:space="preserve"> </w:t>
      </w:r>
      <w:r w:rsidR="003554A5" w:rsidRPr="00165833">
        <w:rPr>
          <w:rFonts w:ascii="Book Antiqua" w:hAnsi="Book Antiqua"/>
        </w:rPr>
        <w:t xml:space="preserve">A </w:t>
      </w:r>
      <w:r w:rsidR="008E6BFC" w:rsidRPr="00165833">
        <w:rPr>
          <w:rFonts w:ascii="Book Antiqua" w:hAnsi="Book Antiqua"/>
          <w:i/>
        </w:rPr>
        <w:t>P</w:t>
      </w:r>
      <w:r w:rsidR="003554A5" w:rsidRPr="00165833">
        <w:rPr>
          <w:rFonts w:ascii="Book Antiqua" w:hAnsi="Book Antiqua"/>
          <w:i/>
        </w:rPr>
        <w:t xml:space="preserve"> </w:t>
      </w:r>
      <w:r w:rsidR="003554A5" w:rsidRPr="00165833">
        <w:rPr>
          <w:rFonts w:ascii="Book Antiqua" w:hAnsi="Book Antiqua"/>
        </w:rPr>
        <w:t>value</w:t>
      </w:r>
      <w:r w:rsidR="00735B3A" w:rsidRPr="00165833">
        <w:rPr>
          <w:rFonts w:ascii="Book Antiqua" w:hAnsi="Book Antiqua"/>
        </w:rPr>
        <w:t xml:space="preserve"> &lt;</w:t>
      </w:r>
      <w:r w:rsidR="00165833" w:rsidRPr="00165833">
        <w:rPr>
          <w:rFonts w:ascii="Book Antiqua" w:eastAsiaTheme="minorEastAsia" w:hAnsi="Book Antiqua" w:hint="eastAsia"/>
          <w:lang w:eastAsia="zh-CN"/>
        </w:rPr>
        <w:t xml:space="preserve"> </w:t>
      </w:r>
      <w:r w:rsidR="00735B3A" w:rsidRPr="00165833">
        <w:rPr>
          <w:rFonts w:ascii="Book Antiqua" w:hAnsi="Book Antiqua"/>
        </w:rPr>
        <w:t>0</w:t>
      </w:r>
      <w:r w:rsidR="003554A5" w:rsidRPr="00165833">
        <w:rPr>
          <w:rFonts w:ascii="Book Antiqua" w:hAnsi="Book Antiqua"/>
        </w:rPr>
        <w:t>.05 was considered statistically significant.</w:t>
      </w:r>
    </w:p>
    <w:p w:rsidR="001609ED" w:rsidRPr="00165833" w:rsidRDefault="001609ED" w:rsidP="00165833">
      <w:pPr>
        <w:autoSpaceDE w:val="0"/>
        <w:autoSpaceDN w:val="0"/>
        <w:adjustRightInd w:val="0"/>
        <w:spacing w:line="360" w:lineRule="auto"/>
        <w:ind w:firstLineChars="100" w:firstLine="240"/>
        <w:jc w:val="both"/>
        <w:rPr>
          <w:rFonts w:ascii="Book Antiqua" w:hAnsi="Book Antiqua"/>
        </w:rPr>
      </w:pPr>
      <w:r w:rsidRPr="00165833">
        <w:rPr>
          <w:rFonts w:ascii="Book Antiqua" w:hAnsi="Book Antiqua"/>
        </w:rPr>
        <w:t xml:space="preserve">For each risk group </w:t>
      </w:r>
      <w:r w:rsidR="00AB3B16" w:rsidRPr="00165833">
        <w:rPr>
          <w:rFonts w:ascii="Book Antiqua" w:hAnsi="Book Antiqua"/>
        </w:rPr>
        <w:t xml:space="preserve">and their predictors </w:t>
      </w:r>
      <w:r w:rsidRPr="00165833">
        <w:rPr>
          <w:rFonts w:ascii="Book Antiqua" w:hAnsi="Book Antiqua"/>
        </w:rPr>
        <w:t>the sensitivity, specificity, positive predictive values (PPV) and negative predic</w:t>
      </w:r>
      <w:r w:rsidR="00AB3B16" w:rsidRPr="00165833">
        <w:rPr>
          <w:rFonts w:ascii="Book Antiqua" w:hAnsi="Book Antiqua"/>
        </w:rPr>
        <w:t>tive value (NPV) were assessed</w:t>
      </w:r>
      <w:r w:rsidRPr="00165833">
        <w:rPr>
          <w:rFonts w:ascii="Book Antiqua" w:hAnsi="Book Antiqua"/>
        </w:rPr>
        <w:t>.</w:t>
      </w:r>
    </w:p>
    <w:p w:rsidR="003554A5" w:rsidRPr="00165833" w:rsidRDefault="003554A5" w:rsidP="00165833">
      <w:pPr>
        <w:autoSpaceDE w:val="0"/>
        <w:autoSpaceDN w:val="0"/>
        <w:adjustRightInd w:val="0"/>
        <w:spacing w:line="360" w:lineRule="auto"/>
        <w:jc w:val="both"/>
        <w:rPr>
          <w:rFonts w:ascii="Book Antiqua" w:hAnsi="Book Antiqua"/>
        </w:rPr>
      </w:pPr>
    </w:p>
    <w:p w:rsidR="00037A15" w:rsidRPr="00165833" w:rsidRDefault="00D925FC" w:rsidP="00165833">
      <w:pPr>
        <w:spacing w:line="360" w:lineRule="auto"/>
        <w:jc w:val="both"/>
        <w:rPr>
          <w:rFonts w:ascii="Book Antiqua" w:hAnsi="Book Antiqua"/>
          <w:b/>
        </w:rPr>
      </w:pPr>
      <w:r w:rsidRPr="00165833">
        <w:rPr>
          <w:rFonts w:ascii="Book Antiqua" w:hAnsi="Book Antiqua"/>
          <w:b/>
        </w:rPr>
        <w:t>RESULTS</w:t>
      </w:r>
    </w:p>
    <w:p w:rsidR="00D925FC" w:rsidRPr="00165833" w:rsidRDefault="00D925FC" w:rsidP="00165833">
      <w:pPr>
        <w:spacing w:line="360" w:lineRule="auto"/>
        <w:jc w:val="both"/>
        <w:rPr>
          <w:rFonts w:ascii="Book Antiqua" w:hAnsi="Book Antiqua"/>
        </w:rPr>
      </w:pPr>
      <w:r w:rsidRPr="00165833">
        <w:rPr>
          <w:rFonts w:ascii="Book Antiqua" w:hAnsi="Book Antiqua"/>
        </w:rPr>
        <w:t xml:space="preserve">From January 2010 to December 2013, a total of 268 </w:t>
      </w:r>
      <w:r w:rsidR="002F7DC2" w:rsidRPr="00165833">
        <w:rPr>
          <w:rFonts w:ascii="Book Antiqua" w:hAnsi="Book Antiqua"/>
        </w:rPr>
        <w:t>patients were referred for ERCP for suspected</w:t>
      </w:r>
      <w:r w:rsidR="00AF3487" w:rsidRPr="00165833">
        <w:rPr>
          <w:rFonts w:ascii="Book Antiqua" w:hAnsi="Book Antiqua"/>
        </w:rPr>
        <w:t xml:space="preserve"> choledocholithiasis</w:t>
      </w:r>
      <w:r w:rsidRPr="00165833">
        <w:rPr>
          <w:rFonts w:ascii="Book Antiqua" w:hAnsi="Book Antiqua"/>
        </w:rPr>
        <w:t>. Patients included in our study were predominantly fe</w:t>
      </w:r>
      <w:r w:rsidR="000367AF" w:rsidRPr="00165833">
        <w:rPr>
          <w:rFonts w:ascii="Book Antiqua" w:hAnsi="Book Antiqua"/>
        </w:rPr>
        <w:t>male (60.</w:t>
      </w:r>
      <w:r w:rsidRPr="00165833">
        <w:rPr>
          <w:rFonts w:ascii="Book Antiqua" w:hAnsi="Book Antiqua"/>
        </w:rPr>
        <w:t>1%), with a mean age of 66</w:t>
      </w:r>
      <w:r w:rsidR="00F20143" w:rsidRPr="00165833">
        <w:rPr>
          <w:rFonts w:ascii="Book Antiqua" w:hAnsi="Book Antiqua"/>
        </w:rPr>
        <w:t>.8±16.</w:t>
      </w:r>
      <w:r w:rsidRPr="00165833">
        <w:rPr>
          <w:rFonts w:ascii="Book Antiqua" w:hAnsi="Book Antiqua"/>
        </w:rPr>
        <w:t>8 years. Choledocholithias</w:t>
      </w:r>
      <w:r w:rsidR="00F20143" w:rsidRPr="00165833">
        <w:rPr>
          <w:rFonts w:ascii="Book Antiqua" w:hAnsi="Book Antiqua"/>
        </w:rPr>
        <w:t>is was present in 179 ERCPs (66.</w:t>
      </w:r>
      <w:r w:rsidRPr="00165833">
        <w:rPr>
          <w:rFonts w:ascii="Book Antiqua" w:hAnsi="Book Antiqua"/>
        </w:rPr>
        <w:t>8%). The predictors more often seen in our patients were the presence of ab</w:t>
      </w:r>
      <w:r w:rsidR="00F20143" w:rsidRPr="00165833">
        <w:rPr>
          <w:rFonts w:ascii="Book Antiqua" w:hAnsi="Book Antiqua"/>
        </w:rPr>
        <w:t xml:space="preserve">normal liver </w:t>
      </w:r>
      <w:r w:rsidR="00240139" w:rsidRPr="00165833">
        <w:rPr>
          <w:rFonts w:ascii="Book Antiqua" w:hAnsi="Book Antiqua"/>
        </w:rPr>
        <w:t xml:space="preserve">biochemical </w:t>
      </w:r>
      <w:r w:rsidR="00F20143" w:rsidRPr="00165833">
        <w:rPr>
          <w:rFonts w:ascii="Book Antiqua" w:hAnsi="Book Antiqua"/>
        </w:rPr>
        <w:t>tests (86.</w:t>
      </w:r>
      <w:r w:rsidR="000367AF" w:rsidRPr="00165833">
        <w:rPr>
          <w:rFonts w:ascii="Book Antiqua" w:hAnsi="Book Antiqua"/>
        </w:rPr>
        <w:t>2%), age &gt;</w:t>
      </w:r>
      <w:r w:rsidR="00165833" w:rsidRPr="00165833">
        <w:rPr>
          <w:rFonts w:ascii="Book Antiqua" w:eastAsiaTheme="minorEastAsia" w:hAnsi="Book Antiqua" w:hint="eastAsia"/>
          <w:lang w:eastAsia="zh-CN"/>
        </w:rPr>
        <w:t xml:space="preserve"> </w:t>
      </w:r>
      <w:r w:rsidR="000367AF" w:rsidRPr="00165833">
        <w:rPr>
          <w:rFonts w:ascii="Book Antiqua" w:hAnsi="Book Antiqua"/>
        </w:rPr>
        <w:t>55 years (73.</w:t>
      </w:r>
      <w:r w:rsidRPr="00165833">
        <w:rPr>
          <w:rFonts w:ascii="Book Antiqua" w:hAnsi="Book Antiqua"/>
        </w:rPr>
        <w:t xml:space="preserve">5%) and dilated </w:t>
      </w:r>
      <w:r w:rsidR="0022372A" w:rsidRPr="00165833">
        <w:rPr>
          <w:rFonts w:ascii="Book Antiqua" w:hAnsi="Book Antiqua"/>
        </w:rPr>
        <w:t xml:space="preserve">CBD </w:t>
      </w:r>
      <w:r w:rsidRPr="00165833">
        <w:rPr>
          <w:rFonts w:ascii="Book Antiqua" w:hAnsi="Book Antiqua"/>
        </w:rPr>
        <w:t>on US (</w:t>
      </w:r>
      <w:r w:rsidR="000367AF" w:rsidRPr="00165833">
        <w:rPr>
          <w:rFonts w:ascii="Book Antiqua" w:hAnsi="Book Antiqua"/>
        </w:rPr>
        <w:t>72.</w:t>
      </w:r>
      <w:r w:rsidRPr="00165833">
        <w:rPr>
          <w:rFonts w:ascii="Book Antiqua" w:hAnsi="Book Antiqua"/>
        </w:rPr>
        <w:t xml:space="preserve">8%). </w:t>
      </w:r>
      <w:r w:rsidR="002F7DC2" w:rsidRPr="00165833">
        <w:rPr>
          <w:rFonts w:ascii="Book Antiqua" w:hAnsi="Book Antiqua"/>
        </w:rPr>
        <w:t>Main clinical</w:t>
      </w:r>
      <w:r w:rsidRPr="00165833">
        <w:rPr>
          <w:rFonts w:ascii="Book Antiqua" w:hAnsi="Book Antiqua"/>
        </w:rPr>
        <w:t xml:space="preserve"> </w:t>
      </w:r>
      <w:r w:rsidR="002F7DC2" w:rsidRPr="00165833">
        <w:rPr>
          <w:rFonts w:ascii="Book Antiqua" w:hAnsi="Book Antiqua"/>
        </w:rPr>
        <w:t>features of the study population are shown</w:t>
      </w:r>
      <w:r w:rsidRPr="00165833">
        <w:rPr>
          <w:rFonts w:ascii="Book Antiqua" w:hAnsi="Book Antiqua"/>
        </w:rPr>
        <w:t xml:space="preserve"> in Table 1.</w:t>
      </w:r>
    </w:p>
    <w:p w:rsidR="005A138B" w:rsidRPr="00165833" w:rsidRDefault="005A138B" w:rsidP="00165833">
      <w:pPr>
        <w:spacing w:line="360" w:lineRule="auto"/>
        <w:jc w:val="both"/>
        <w:rPr>
          <w:rFonts w:ascii="Book Antiqua" w:hAnsi="Book Antiqua"/>
        </w:rPr>
      </w:pPr>
    </w:p>
    <w:p w:rsidR="00A16478" w:rsidRPr="00165833" w:rsidRDefault="0088664D" w:rsidP="00165833">
      <w:pPr>
        <w:spacing w:line="360" w:lineRule="auto"/>
        <w:jc w:val="both"/>
        <w:rPr>
          <w:rFonts w:ascii="Book Antiqua" w:hAnsi="Book Antiqua"/>
          <w:b/>
          <w:i/>
        </w:rPr>
      </w:pPr>
      <w:r w:rsidRPr="00165833">
        <w:rPr>
          <w:rFonts w:ascii="Book Antiqua" w:hAnsi="Book Antiqua"/>
          <w:b/>
          <w:i/>
        </w:rPr>
        <w:t>Predictors of c</w:t>
      </w:r>
      <w:r w:rsidR="00A16478" w:rsidRPr="00165833">
        <w:rPr>
          <w:rFonts w:ascii="Book Antiqua" w:hAnsi="Book Antiqua"/>
          <w:b/>
          <w:i/>
        </w:rPr>
        <w:t>holedocolithiasis</w:t>
      </w:r>
    </w:p>
    <w:p w:rsidR="00750653" w:rsidRPr="00165833" w:rsidRDefault="00EC49E8" w:rsidP="00165833">
      <w:pPr>
        <w:spacing w:line="360" w:lineRule="auto"/>
        <w:jc w:val="both"/>
        <w:rPr>
          <w:rFonts w:ascii="Book Antiqua" w:hAnsi="Book Antiqua"/>
        </w:rPr>
      </w:pPr>
      <w:r w:rsidRPr="00165833">
        <w:rPr>
          <w:rFonts w:ascii="Book Antiqua" w:hAnsi="Book Antiqua"/>
        </w:rPr>
        <w:t>Exce</w:t>
      </w:r>
      <w:r w:rsidR="00141165" w:rsidRPr="00165833">
        <w:rPr>
          <w:rFonts w:ascii="Book Antiqua" w:hAnsi="Book Antiqua"/>
        </w:rPr>
        <w:t>pt for gallstone pancreatitis (</w:t>
      </w:r>
      <w:r w:rsidR="00141165" w:rsidRPr="00165833">
        <w:rPr>
          <w:rFonts w:ascii="Book Antiqua" w:hAnsi="Book Antiqua"/>
          <w:i/>
        </w:rPr>
        <w:t>P</w:t>
      </w:r>
      <w:r w:rsidR="00165833" w:rsidRPr="00165833">
        <w:rPr>
          <w:rFonts w:ascii="Book Antiqua" w:eastAsiaTheme="minorEastAsia" w:hAnsi="Book Antiqua" w:hint="eastAsia"/>
          <w:i/>
          <w:lang w:eastAsia="zh-CN"/>
        </w:rPr>
        <w:t xml:space="preserve"> </w:t>
      </w:r>
      <w:r w:rsidRPr="00165833">
        <w:rPr>
          <w:rFonts w:ascii="Book Antiqua" w:hAnsi="Book Antiqua"/>
        </w:rPr>
        <w:t>=</w:t>
      </w:r>
      <w:r w:rsidR="00165833" w:rsidRPr="00165833">
        <w:rPr>
          <w:rFonts w:ascii="Book Antiqua" w:eastAsiaTheme="minorEastAsia" w:hAnsi="Book Antiqua" w:hint="eastAsia"/>
          <w:lang w:eastAsia="zh-CN"/>
        </w:rPr>
        <w:t xml:space="preserve"> </w:t>
      </w:r>
      <w:r w:rsidRPr="00165833">
        <w:rPr>
          <w:rFonts w:ascii="Book Antiqua" w:hAnsi="Book Antiqua"/>
        </w:rPr>
        <w:t>0</w:t>
      </w:r>
      <w:r w:rsidR="000367AF" w:rsidRPr="00165833">
        <w:rPr>
          <w:rFonts w:ascii="Book Antiqua" w:hAnsi="Book Antiqua"/>
        </w:rPr>
        <w:t>.</w:t>
      </w:r>
      <w:r w:rsidRPr="00165833">
        <w:rPr>
          <w:rFonts w:ascii="Book Antiqua" w:hAnsi="Book Antiqua"/>
        </w:rPr>
        <w:t xml:space="preserve">063), all other predictors </w:t>
      </w:r>
      <w:r w:rsidR="00A43FB1" w:rsidRPr="00165833">
        <w:rPr>
          <w:rFonts w:ascii="Book Antiqua" w:hAnsi="Book Antiqua"/>
        </w:rPr>
        <w:t xml:space="preserve">showed a statistically significant difference between presence </w:t>
      </w:r>
      <w:r w:rsidR="00A43FB1" w:rsidRPr="00165833">
        <w:rPr>
          <w:rFonts w:ascii="Book Antiqua" w:hAnsi="Book Antiqua"/>
          <w:i/>
        </w:rPr>
        <w:t>vs</w:t>
      </w:r>
      <w:r w:rsidR="00A43FB1" w:rsidRPr="00165833">
        <w:rPr>
          <w:rFonts w:ascii="Book Antiqua" w:hAnsi="Book Antiqua"/>
        </w:rPr>
        <w:t xml:space="preserve"> absence of choledocholithiasis on ERCP </w:t>
      </w:r>
      <w:r w:rsidR="00B5133B" w:rsidRPr="00165833">
        <w:rPr>
          <w:rFonts w:ascii="Book Antiqua" w:hAnsi="Book Antiqua"/>
        </w:rPr>
        <w:t>(</w:t>
      </w:r>
      <w:r w:rsidR="00141165" w:rsidRPr="00165833">
        <w:rPr>
          <w:rFonts w:ascii="Book Antiqua" w:hAnsi="Book Antiqua"/>
        </w:rPr>
        <w:t>cholangitis,</w:t>
      </w:r>
      <w:r w:rsidR="00141165" w:rsidRPr="00165833">
        <w:rPr>
          <w:rFonts w:ascii="Book Antiqua" w:hAnsi="Book Antiqua"/>
          <w:i/>
        </w:rPr>
        <w:t xml:space="preserve"> P</w:t>
      </w:r>
      <w:r w:rsidR="00B5133B" w:rsidRPr="00165833">
        <w:rPr>
          <w:rFonts w:ascii="Book Antiqua" w:hAnsi="Book Antiqua"/>
        </w:rPr>
        <w:t>=0</w:t>
      </w:r>
      <w:r w:rsidR="000367AF" w:rsidRPr="00165833">
        <w:rPr>
          <w:rFonts w:ascii="Book Antiqua" w:hAnsi="Book Antiqua"/>
        </w:rPr>
        <w:t>.</w:t>
      </w:r>
      <w:r w:rsidR="00B5133B" w:rsidRPr="00165833">
        <w:rPr>
          <w:rFonts w:ascii="Book Antiqua" w:hAnsi="Book Antiqua"/>
        </w:rPr>
        <w:t xml:space="preserve">001; </w:t>
      </w:r>
      <w:r w:rsidR="001609ED" w:rsidRPr="00165833">
        <w:rPr>
          <w:rFonts w:ascii="Book Antiqua" w:hAnsi="Book Antiqua"/>
        </w:rPr>
        <w:t xml:space="preserve">CBD </w:t>
      </w:r>
      <w:r w:rsidR="00141165" w:rsidRPr="00165833">
        <w:rPr>
          <w:rFonts w:ascii="Book Antiqua" w:hAnsi="Book Antiqua"/>
        </w:rPr>
        <w:t xml:space="preserve">stone on US, </w:t>
      </w:r>
      <w:r w:rsidR="00141165" w:rsidRPr="00165833">
        <w:rPr>
          <w:rFonts w:ascii="Book Antiqua" w:hAnsi="Book Antiqua"/>
          <w:i/>
        </w:rPr>
        <w:t>P</w:t>
      </w:r>
      <w:r w:rsidR="00165833" w:rsidRPr="00165833">
        <w:rPr>
          <w:rFonts w:ascii="Book Antiqua" w:eastAsiaTheme="minorEastAsia" w:hAnsi="Book Antiqua" w:hint="eastAsia"/>
          <w:i/>
          <w:lang w:eastAsia="zh-CN"/>
        </w:rPr>
        <w:t xml:space="preserve"> </w:t>
      </w:r>
      <w:r w:rsidR="00D0590A" w:rsidRPr="00165833">
        <w:rPr>
          <w:rFonts w:ascii="Book Antiqua" w:hAnsi="Book Antiqua"/>
        </w:rPr>
        <w:t>&lt;</w:t>
      </w:r>
      <w:r w:rsidR="00165833" w:rsidRPr="00165833">
        <w:rPr>
          <w:rFonts w:ascii="Book Antiqua" w:eastAsiaTheme="minorEastAsia" w:hAnsi="Book Antiqua" w:hint="eastAsia"/>
          <w:lang w:eastAsia="zh-CN"/>
        </w:rPr>
        <w:t xml:space="preserve"> </w:t>
      </w:r>
      <w:r w:rsidR="00B5133B" w:rsidRPr="00165833">
        <w:rPr>
          <w:rFonts w:ascii="Book Antiqua" w:hAnsi="Book Antiqua"/>
        </w:rPr>
        <w:t>0</w:t>
      </w:r>
      <w:r w:rsidR="00165833" w:rsidRPr="00165833">
        <w:rPr>
          <w:rFonts w:ascii="Book Antiqua" w:eastAsiaTheme="minorEastAsia" w:hAnsi="Book Antiqua" w:hint="eastAsia"/>
          <w:lang w:eastAsia="zh-CN"/>
        </w:rPr>
        <w:t>.</w:t>
      </w:r>
      <w:r w:rsidR="00B5133B" w:rsidRPr="00165833">
        <w:rPr>
          <w:rFonts w:ascii="Book Antiqua" w:hAnsi="Book Antiqua"/>
        </w:rPr>
        <w:t>00</w:t>
      </w:r>
      <w:r w:rsidR="000367AF" w:rsidRPr="00165833">
        <w:rPr>
          <w:rFonts w:ascii="Book Antiqua" w:hAnsi="Book Antiqua"/>
        </w:rPr>
        <w:t>1; total bilirubin &gt;</w:t>
      </w:r>
      <w:r w:rsidR="00165833" w:rsidRPr="00165833">
        <w:rPr>
          <w:rFonts w:ascii="Book Antiqua" w:eastAsiaTheme="minorEastAsia" w:hAnsi="Book Antiqua" w:hint="eastAsia"/>
          <w:lang w:eastAsia="zh-CN"/>
        </w:rPr>
        <w:t xml:space="preserve"> </w:t>
      </w:r>
      <w:r w:rsidR="000367AF" w:rsidRPr="00165833">
        <w:rPr>
          <w:rFonts w:ascii="Book Antiqua" w:hAnsi="Book Antiqua"/>
        </w:rPr>
        <w:t>4</w:t>
      </w:r>
      <w:r w:rsidR="00165833" w:rsidRPr="00165833">
        <w:rPr>
          <w:rFonts w:ascii="Book Antiqua" w:eastAsiaTheme="minorEastAsia" w:hAnsi="Book Antiqua" w:hint="eastAsia"/>
          <w:lang w:eastAsia="zh-CN"/>
        </w:rPr>
        <w:t xml:space="preserve"> </w:t>
      </w:r>
      <w:r w:rsidR="000367AF" w:rsidRPr="00165833">
        <w:rPr>
          <w:rFonts w:ascii="Book Antiqua" w:hAnsi="Book Antiqua"/>
        </w:rPr>
        <w:t xml:space="preserve">mg/dL, </w:t>
      </w:r>
      <w:r w:rsidR="00165833" w:rsidRPr="00165833">
        <w:rPr>
          <w:rFonts w:ascii="Book Antiqua" w:hAnsi="Book Antiqua"/>
          <w:i/>
        </w:rPr>
        <w:t>P</w:t>
      </w:r>
      <w:r w:rsidR="00165833" w:rsidRPr="00165833">
        <w:rPr>
          <w:rFonts w:ascii="Book Antiqua" w:eastAsiaTheme="minorEastAsia" w:hAnsi="Book Antiqua" w:hint="eastAsia"/>
          <w:lang w:eastAsia="zh-CN"/>
        </w:rPr>
        <w:t xml:space="preserve"> </w:t>
      </w:r>
      <w:r w:rsidR="000367AF" w:rsidRPr="00165833">
        <w:rPr>
          <w:rFonts w:ascii="Book Antiqua" w:hAnsi="Book Antiqua"/>
        </w:rPr>
        <w:t>=</w:t>
      </w:r>
      <w:r w:rsidR="00165833" w:rsidRPr="00165833">
        <w:rPr>
          <w:rFonts w:ascii="Book Antiqua" w:eastAsiaTheme="minorEastAsia" w:hAnsi="Book Antiqua" w:hint="eastAsia"/>
          <w:lang w:eastAsia="zh-CN"/>
        </w:rPr>
        <w:t xml:space="preserve"> </w:t>
      </w:r>
      <w:r w:rsidR="000367AF" w:rsidRPr="00165833">
        <w:rPr>
          <w:rFonts w:ascii="Book Antiqua" w:hAnsi="Book Antiqua"/>
        </w:rPr>
        <w:t>0.</w:t>
      </w:r>
      <w:r w:rsidR="00B5133B" w:rsidRPr="00165833">
        <w:rPr>
          <w:rFonts w:ascii="Book Antiqua" w:hAnsi="Book Antiqua"/>
        </w:rPr>
        <w:t>035</w:t>
      </w:r>
      <w:r w:rsidR="00790DE4" w:rsidRPr="00165833">
        <w:rPr>
          <w:rFonts w:ascii="Book Antiqua" w:hAnsi="Book Antiqua"/>
        </w:rPr>
        <w:t>;</w:t>
      </w:r>
      <w:r w:rsidR="000367AF" w:rsidRPr="00165833">
        <w:rPr>
          <w:rFonts w:ascii="Book Antiqua" w:hAnsi="Book Antiqua"/>
        </w:rPr>
        <w:t xml:space="preserve"> total bilirubin 1.</w:t>
      </w:r>
      <w:r w:rsidR="00141165" w:rsidRPr="00165833">
        <w:rPr>
          <w:rFonts w:ascii="Book Antiqua" w:hAnsi="Book Antiqua"/>
        </w:rPr>
        <w:t>8-4</w:t>
      </w:r>
      <w:r w:rsidR="00165833" w:rsidRPr="00165833">
        <w:rPr>
          <w:rFonts w:ascii="Book Antiqua" w:eastAsiaTheme="minorEastAsia" w:hAnsi="Book Antiqua" w:hint="eastAsia"/>
          <w:lang w:eastAsia="zh-CN"/>
        </w:rPr>
        <w:t xml:space="preserve"> </w:t>
      </w:r>
      <w:r w:rsidR="00141165" w:rsidRPr="00165833">
        <w:rPr>
          <w:rFonts w:ascii="Book Antiqua" w:hAnsi="Book Antiqua"/>
        </w:rPr>
        <w:t xml:space="preserve">mg/dL, </w:t>
      </w:r>
      <w:r w:rsidR="00141165" w:rsidRPr="00165833">
        <w:rPr>
          <w:rFonts w:ascii="Book Antiqua" w:hAnsi="Book Antiqua"/>
          <w:i/>
        </w:rPr>
        <w:t>P</w:t>
      </w:r>
      <w:r w:rsidR="00165833" w:rsidRPr="00165833">
        <w:rPr>
          <w:rFonts w:ascii="Book Antiqua" w:eastAsiaTheme="minorEastAsia" w:hAnsi="Book Antiqua" w:hint="eastAsia"/>
          <w:i/>
          <w:lang w:eastAsia="zh-CN"/>
        </w:rPr>
        <w:t xml:space="preserve"> </w:t>
      </w:r>
      <w:r w:rsidR="00B5133B" w:rsidRPr="00165833">
        <w:rPr>
          <w:rFonts w:ascii="Book Antiqua" w:hAnsi="Book Antiqua"/>
        </w:rPr>
        <w:t>=</w:t>
      </w:r>
      <w:r w:rsidR="00165833" w:rsidRPr="00165833">
        <w:rPr>
          <w:rFonts w:ascii="Book Antiqua" w:eastAsiaTheme="minorEastAsia" w:hAnsi="Book Antiqua" w:hint="eastAsia"/>
          <w:lang w:eastAsia="zh-CN"/>
        </w:rPr>
        <w:t xml:space="preserve"> </w:t>
      </w:r>
      <w:r w:rsidR="00B5133B" w:rsidRPr="00165833">
        <w:rPr>
          <w:rFonts w:ascii="Book Antiqua" w:hAnsi="Book Antiqua"/>
        </w:rPr>
        <w:t>0</w:t>
      </w:r>
      <w:r w:rsidR="000367AF" w:rsidRPr="00165833">
        <w:rPr>
          <w:rFonts w:ascii="Book Antiqua" w:hAnsi="Book Antiqua"/>
        </w:rPr>
        <w:t>.</w:t>
      </w:r>
      <w:r w:rsidR="00B5133B" w:rsidRPr="00165833">
        <w:rPr>
          <w:rFonts w:ascii="Book Antiqua" w:hAnsi="Book Antiqua"/>
        </w:rPr>
        <w:t xml:space="preserve">001; dilated </w:t>
      </w:r>
      <w:r w:rsidR="001609ED" w:rsidRPr="00165833">
        <w:rPr>
          <w:rFonts w:ascii="Book Antiqua" w:hAnsi="Book Antiqua"/>
        </w:rPr>
        <w:t xml:space="preserve">CBD </w:t>
      </w:r>
      <w:r w:rsidR="00B5133B" w:rsidRPr="00165833">
        <w:rPr>
          <w:rFonts w:ascii="Book Antiqua" w:hAnsi="Book Antiqua"/>
        </w:rPr>
        <w:t xml:space="preserve">on US, </w:t>
      </w:r>
      <w:r w:rsidR="00141165" w:rsidRPr="00165833">
        <w:rPr>
          <w:rFonts w:ascii="Book Antiqua" w:hAnsi="Book Antiqua"/>
          <w:i/>
        </w:rPr>
        <w:t>P</w:t>
      </w:r>
      <w:r w:rsidR="00165833" w:rsidRPr="00165833">
        <w:rPr>
          <w:rFonts w:ascii="Book Antiqua" w:eastAsiaTheme="minorEastAsia" w:hAnsi="Book Antiqua" w:hint="eastAsia"/>
          <w:i/>
          <w:lang w:eastAsia="zh-CN"/>
        </w:rPr>
        <w:t xml:space="preserve"> </w:t>
      </w:r>
      <w:r w:rsidR="00D0590A" w:rsidRPr="00165833">
        <w:rPr>
          <w:rFonts w:ascii="Book Antiqua" w:hAnsi="Book Antiqua"/>
        </w:rPr>
        <w:t>&lt;</w:t>
      </w:r>
      <w:r w:rsidR="00165833" w:rsidRPr="00165833">
        <w:rPr>
          <w:rFonts w:ascii="Book Antiqua" w:eastAsiaTheme="minorEastAsia" w:hAnsi="Book Antiqua" w:hint="eastAsia"/>
          <w:lang w:eastAsia="zh-CN"/>
        </w:rPr>
        <w:t xml:space="preserve"> </w:t>
      </w:r>
      <w:r w:rsidR="00B5133B" w:rsidRPr="00165833">
        <w:rPr>
          <w:rFonts w:ascii="Book Antiqua" w:hAnsi="Book Antiqua"/>
        </w:rPr>
        <w:t>0</w:t>
      </w:r>
      <w:r w:rsidR="000367AF" w:rsidRPr="00165833">
        <w:rPr>
          <w:rFonts w:ascii="Book Antiqua" w:hAnsi="Book Antiqua"/>
        </w:rPr>
        <w:t>.</w:t>
      </w:r>
      <w:r w:rsidR="00B5133B" w:rsidRPr="00165833">
        <w:rPr>
          <w:rFonts w:ascii="Book Antiqua" w:hAnsi="Book Antiqua"/>
        </w:rPr>
        <w:t>001; abnormal liver function te</w:t>
      </w:r>
      <w:r w:rsidR="00141165" w:rsidRPr="00165833">
        <w:rPr>
          <w:rFonts w:ascii="Book Antiqua" w:hAnsi="Book Antiqua"/>
        </w:rPr>
        <w:t xml:space="preserve">st, </w:t>
      </w:r>
      <w:r w:rsidR="00141165" w:rsidRPr="00165833">
        <w:rPr>
          <w:rFonts w:ascii="Book Antiqua" w:hAnsi="Book Antiqua"/>
          <w:i/>
        </w:rPr>
        <w:t>P</w:t>
      </w:r>
      <w:r w:rsidR="00165833" w:rsidRPr="00165833">
        <w:rPr>
          <w:rFonts w:ascii="Book Antiqua" w:eastAsiaTheme="minorEastAsia" w:hAnsi="Book Antiqua" w:hint="eastAsia"/>
          <w:i/>
          <w:lang w:eastAsia="zh-CN"/>
        </w:rPr>
        <w:t xml:space="preserve"> </w:t>
      </w:r>
      <w:r w:rsidR="00D0590A" w:rsidRPr="00165833">
        <w:rPr>
          <w:rFonts w:ascii="Book Antiqua" w:hAnsi="Book Antiqua"/>
        </w:rPr>
        <w:t>=</w:t>
      </w:r>
      <w:r w:rsidR="00165833" w:rsidRPr="00165833">
        <w:rPr>
          <w:rFonts w:ascii="Book Antiqua" w:eastAsiaTheme="minorEastAsia" w:hAnsi="Book Antiqua" w:hint="eastAsia"/>
          <w:lang w:eastAsia="zh-CN"/>
        </w:rPr>
        <w:t xml:space="preserve"> </w:t>
      </w:r>
      <w:r w:rsidR="00D0590A" w:rsidRPr="00165833">
        <w:rPr>
          <w:rFonts w:ascii="Book Antiqua" w:hAnsi="Book Antiqua"/>
        </w:rPr>
        <w:t>0</w:t>
      </w:r>
      <w:r w:rsidR="000367AF" w:rsidRPr="00165833">
        <w:rPr>
          <w:rFonts w:ascii="Book Antiqua" w:hAnsi="Book Antiqua"/>
        </w:rPr>
        <w:t>.</w:t>
      </w:r>
      <w:r w:rsidR="00D0590A" w:rsidRPr="00165833">
        <w:rPr>
          <w:rFonts w:ascii="Book Antiqua" w:hAnsi="Book Antiqua"/>
        </w:rPr>
        <w:t>012; age &gt;</w:t>
      </w:r>
      <w:r w:rsidR="00165833" w:rsidRPr="00165833">
        <w:rPr>
          <w:rFonts w:ascii="Book Antiqua" w:eastAsiaTheme="minorEastAsia" w:hAnsi="Book Antiqua" w:hint="eastAsia"/>
          <w:lang w:eastAsia="zh-CN"/>
        </w:rPr>
        <w:t xml:space="preserve"> </w:t>
      </w:r>
      <w:r w:rsidR="00D0590A" w:rsidRPr="00165833">
        <w:rPr>
          <w:rFonts w:ascii="Book Antiqua" w:hAnsi="Book Antiqua"/>
        </w:rPr>
        <w:t xml:space="preserve">55 years, </w:t>
      </w:r>
      <w:r w:rsidR="00141165" w:rsidRPr="00165833">
        <w:rPr>
          <w:rFonts w:ascii="Book Antiqua" w:hAnsi="Book Antiqua"/>
          <w:i/>
        </w:rPr>
        <w:t>P</w:t>
      </w:r>
      <w:r w:rsidR="00165833" w:rsidRPr="00165833">
        <w:rPr>
          <w:rFonts w:ascii="Book Antiqua" w:eastAsiaTheme="minorEastAsia" w:hAnsi="Book Antiqua" w:hint="eastAsia"/>
          <w:i/>
          <w:lang w:eastAsia="zh-CN"/>
        </w:rPr>
        <w:t xml:space="preserve"> </w:t>
      </w:r>
      <w:r w:rsidR="00D0590A" w:rsidRPr="00165833">
        <w:rPr>
          <w:rFonts w:ascii="Book Antiqua" w:hAnsi="Book Antiqua"/>
        </w:rPr>
        <w:t>=</w:t>
      </w:r>
      <w:r w:rsidR="00165833" w:rsidRPr="00165833">
        <w:rPr>
          <w:rFonts w:ascii="Book Antiqua" w:eastAsiaTheme="minorEastAsia" w:hAnsi="Book Antiqua" w:hint="eastAsia"/>
          <w:lang w:eastAsia="zh-CN"/>
        </w:rPr>
        <w:t xml:space="preserve"> </w:t>
      </w:r>
      <w:r w:rsidR="00B5133B" w:rsidRPr="00165833">
        <w:rPr>
          <w:rFonts w:ascii="Book Antiqua" w:hAnsi="Book Antiqua"/>
        </w:rPr>
        <w:t>0</w:t>
      </w:r>
      <w:r w:rsidR="000367AF" w:rsidRPr="00165833">
        <w:rPr>
          <w:rFonts w:ascii="Book Antiqua" w:hAnsi="Book Antiqua"/>
        </w:rPr>
        <w:t>.</w:t>
      </w:r>
      <w:r w:rsidR="00B5133B" w:rsidRPr="00165833">
        <w:rPr>
          <w:rFonts w:ascii="Book Antiqua" w:hAnsi="Book Antiqua"/>
        </w:rPr>
        <w:t xml:space="preserve">002) </w:t>
      </w:r>
      <w:r w:rsidR="00750653" w:rsidRPr="00165833">
        <w:rPr>
          <w:rFonts w:ascii="Book Antiqua" w:hAnsi="Book Antiqua"/>
        </w:rPr>
        <w:t>(</w:t>
      </w:r>
      <w:r w:rsidR="002744D8" w:rsidRPr="00165833">
        <w:rPr>
          <w:rFonts w:ascii="Book Antiqua" w:hAnsi="Book Antiqua"/>
        </w:rPr>
        <w:t>T</w:t>
      </w:r>
      <w:r w:rsidR="00750653" w:rsidRPr="00165833">
        <w:rPr>
          <w:rFonts w:ascii="Book Antiqua" w:hAnsi="Book Antiqua"/>
        </w:rPr>
        <w:t>able 2).</w:t>
      </w:r>
    </w:p>
    <w:p w:rsidR="00206600" w:rsidRPr="00165833" w:rsidRDefault="0039573F" w:rsidP="00165833">
      <w:pPr>
        <w:spacing w:line="360" w:lineRule="auto"/>
        <w:ind w:firstLineChars="100" w:firstLine="240"/>
        <w:jc w:val="both"/>
        <w:rPr>
          <w:rFonts w:ascii="Book Antiqua" w:hAnsi="Book Antiqua"/>
        </w:rPr>
      </w:pPr>
      <w:r w:rsidRPr="00165833">
        <w:rPr>
          <w:rFonts w:ascii="Book Antiqua" w:hAnsi="Book Antiqua"/>
        </w:rPr>
        <w:t xml:space="preserve">The </w:t>
      </w:r>
      <w:r w:rsidR="00A43FB1" w:rsidRPr="00165833">
        <w:rPr>
          <w:rFonts w:ascii="Book Antiqua" w:hAnsi="Book Antiqua"/>
        </w:rPr>
        <w:t>risk of</w:t>
      </w:r>
      <w:r w:rsidR="00AE71A5" w:rsidRPr="00165833">
        <w:rPr>
          <w:rFonts w:ascii="Book Antiqua" w:hAnsi="Book Antiqua"/>
          <w:i/>
        </w:rPr>
        <w:t xml:space="preserve"> </w:t>
      </w:r>
      <w:r w:rsidR="00AE71A5" w:rsidRPr="00165833">
        <w:rPr>
          <w:rFonts w:ascii="Book Antiqua" w:hAnsi="Book Antiqua"/>
        </w:rPr>
        <w:t>choledocholithiasis</w:t>
      </w:r>
      <w:r w:rsidR="00A43FB1" w:rsidRPr="00165833">
        <w:rPr>
          <w:rFonts w:ascii="Book Antiqua" w:hAnsi="Book Antiqua"/>
        </w:rPr>
        <w:t xml:space="preserve">, as shown by </w:t>
      </w:r>
      <w:r w:rsidR="00A43FB1" w:rsidRPr="00165833">
        <w:rPr>
          <w:rFonts w:ascii="Book Antiqua" w:hAnsi="Book Antiqua"/>
          <w:i/>
        </w:rPr>
        <w:t>odds ratio</w:t>
      </w:r>
      <w:r w:rsidR="00A43FB1" w:rsidRPr="00165833">
        <w:rPr>
          <w:rFonts w:ascii="Book Antiqua" w:hAnsi="Book Antiqua"/>
        </w:rPr>
        <w:t>,</w:t>
      </w:r>
      <w:r w:rsidR="00AE71A5" w:rsidRPr="00165833">
        <w:rPr>
          <w:rFonts w:ascii="Book Antiqua" w:hAnsi="Book Antiqua"/>
        </w:rPr>
        <w:t xml:space="preserve"> </w:t>
      </w:r>
      <w:r w:rsidR="00FA3072" w:rsidRPr="00165833">
        <w:rPr>
          <w:rFonts w:ascii="Book Antiqua" w:hAnsi="Book Antiqua"/>
        </w:rPr>
        <w:t>was</w:t>
      </w:r>
      <w:r w:rsidR="00E31894" w:rsidRPr="00165833">
        <w:rPr>
          <w:rFonts w:ascii="Book Antiqua" w:hAnsi="Book Antiqua"/>
        </w:rPr>
        <w:t xml:space="preserve"> increased</w:t>
      </w:r>
      <w:r w:rsidR="00FA3072" w:rsidRPr="00165833">
        <w:rPr>
          <w:rFonts w:ascii="Book Antiqua" w:hAnsi="Book Antiqua"/>
        </w:rPr>
        <w:t xml:space="preserve"> for </w:t>
      </w:r>
      <w:r w:rsidR="00E31894" w:rsidRPr="00165833">
        <w:rPr>
          <w:rFonts w:ascii="Book Antiqua" w:hAnsi="Book Antiqua"/>
        </w:rPr>
        <w:t xml:space="preserve">patients who presented with </w:t>
      </w:r>
      <w:r w:rsidR="00FA3072" w:rsidRPr="00165833">
        <w:rPr>
          <w:rFonts w:ascii="Book Antiqua" w:hAnsi="Book Antiqua"/>
        </w:rPr>
        <w:t>cholangitis (</w:t>
      </w:r>
      <w:r w:rsidR="000367AF" w:rsidRPr="00165833">
        <w:rPr>
          <w:rFonts w:ascii="Book Antiqua" w:hAnsi="Book Antiqua"/>
        </w:rPr>
        <w:t>OR:</w:t>
      </w:r>
      <w:r w:rsidR="00165833">
        <w:rPr>
          <w:rFonts w:ascii="Book Antiqua" w:eastAsiaTheme="minorEastAsia" w:hAnsi="Book Antiqua" w:hint="eastAsia"/>
          <w:lang w:eastAsia="zh-CN"/>
        </w:rPr>
        <w:t xml:space="preserve"> </w:t>
      </w:r>
      <w:r w:rsidR="000367AF" w:rsidRPr="00165833">
        <w:rPr>
          <w:rFonts w:ascii="Book Antiqua" w:hAnsi="Book Antiqua"/>
        </w:rPr>
        <w:t>6.</w:t>
      </w:r>
      <w:r w:rsidR="00F64B48" w:rsidRPr="00165833">
        <w:rPr>
          <w:rFonts w:ascii="Book Antiqua" w:hAnsi="Book Antiqua"/>
        </w:rPr>
        <w:t>4</w:t>
      </w:r>
      <w:r w:rsidR="000367AF" w:rsidRPr="00165833">
        <w:rPr>
          <w:rFonts w:ascii="Book Antiqua" w:hAnsi="Book Antiqua"/>
        </w:rPr>
        <w:t>8, 95%CI</w:t>
      </w:r>
      <w:r w:rsidR="00165833">
        <w:rPr>
          <w:rFonts w:ascii="Book Antiqua" w:eastAsiaTheme="minorEastAsia" w:hAnsi="Book Antiqua" w:hint="eastAsia"/>
          <w:lang w:eastAsia="zh-CN"/>
        </w:rPr>
        <w:t>:</w:t>
      </w:r>
      <w:r w:rsidR="000367AF" w:rsidRPr="00165833">
        <w:rPr>
          <w:rFonts w:ascii="Book Antiqua" w:hAnsi="Book Antiqua"/>
        </w:rPr>
        <w:t xml:space="preserve"> 1.93-21.</w:t>
      </w:r>
      <w:r w:rsidR="00F64B48" w:rsidRPr="00165833">
        <w:rPr>
          <w:rFonts w:ascii="Book Antiqua" w:hAnsi="Book Antiqua"/>
        </w:rPr>
        <w:t>80</w:t>
      </w:r>
      <w:r w:rsidR="00FA3072" w:rsidRPr="00165833">
        <w:rPr>
          <w:rFonts w:ascii="Book Antiqua" w:hAnsi="Book Antiqua"/>
        </w:rPr>
        <w:t>), common bile duct stone on US (</w:t>
      </w:r>
      <w:r w:rsidR="000367AF" w:rsidRPr="00165833">
        <w:rPr>
          <w:rFonts w:ascii="Book Antiqua" w:hAnsi="Book Antiqua"/>
        </w:rPr>
        <w:t>OR:</w:t>
      </w:r>
      <w:r w:rsidR="00165833">
        <w:rPr>
          <w:rFonts w:ascii="Book Antiqua" w:eastAsiaTheme="minorEastAsia" w:hAnsi="Book Antiqua" w:hint="eastAsia"/>
          <w:lang w:eastAsia="zh-CN"/>
        </w:rPr>
        <w:t xml:space="preserve"> </w:t>
      </w:r>
      <w:r w:rsidR="000367AF" w:rsidRPr="00165833">
        <w:rPr>
          <w:rFonts w:ascii="Book Antiqua" w:hAnsi="Book Antiqua"/>
        </w:rPr>
        <w:t>11.</w:t>
      </w:r>
      <w:r w:rsidR="00F64B48" w:rsidRPr="00165833">
        <w:rPr>
          <w:rFonts w:ascii="Book Antiqua" w:hAnsi="Book Antiqua"/>
        </w:rPr>
        <w:t>25, 95%</w:t>
      </w:r>
      <w:r w:rsidR="000367AF" w:rsidRPr="00165833">
        <w:rPr>
          <w:rFonts w:ascii="Book Antiqua" w:hAnsi="Book Antiqua"/>
        </w:rPr>
        <w:t>CI</w:t>
      </w:r>
      <w:r w:rsidR="00165833">
        <w:rPr>
          <w:rFonts w:ascii="Book Antiqua" w:eastAsiaTheme="minorEastAsia" w:hAnsi="Book Antiqua" w:hint="eastAsia"/>
          <w:lang w:eastAsia="zh-CN"/>
        </w:rPr>
        <w:t>:</w:t>
      </w:r>
      <w:r w:rsidR="000367AF" w:rsidRPr="00165833">
        <w:rPr>
          <w:rFonts w:ascii="Book Antiqua" w:hAnsi="Book Antiqua"/>
        </w:rPr>
        <w:t xml:space="preserve"> 5.</w:t>
      </w:r>
      <w:r w:rsidR="00F64B48" w:rsidRPr="00165833">
        <w:rPr>
          <w:rFonts w:ascii="Book Antiqua" w:hAnsi="Book Antiqua"/>
        </w:rPr>
        <w:t>32-2</w:t>
      </w:r>
      <w:r w:rsidR="00B1448F" w:rsidRPr="00165833">
        <w:rPr>
          <w:rFonts w:ascii="Book Antiqua" w:hAnsi="Book Antiqua"/>
        </w:rPr>
        <w:t>3</w:t>
      </w:r>
      <w:r w:rsidR="000367AF" w:rsidRPr="00165833">
        <w:rPr>
          <w:rFonts w:ascii="Book Antiqua" w:hAnsi="Book Antiqua"/>
        </w:rPr>
        <w:t>.</w:t>
      </w:r>
      <w:r w:rsidR="00F64B48" w:rsidRPr="00165833">
        <w:rPr>
          <w:rFonts w:ascii="Book Antiqua" w:hAnsi="Book Antiqua"/>
        </w:rPr>
        <w:t>81</w:t>
      </w:r>
      <w:r w:rsidR="00FA3072" w:rsidRPr="00165833">
        <w:rPr>
          <w:rFonts w:ascii="Book Antiqua" w:hAnsi="Book Antiqua"/>
        </w:rPr>
        <w:t>), total bilirubin &gt;</w:t>
      </w:r>
      <w:r w:rsidR="00165833">
        <w:rPr>
          <w:rFonts w:ascii="Book Antiqua" w:eastAsiaTheme="minorEastAsia" w:hAnsi="Book Antiqua" w:hint="eastAsia"/>
          <w:lang w:eastAsia="zh-CN"/>
        </w:rPr>
        <w:t xml:space="preserve"> </w:t>
      </w:r>
      <w:r w:rsidR="00FA3072" w:rsidRPr="00165833">
        <w:rPr>
          <w:rFonts w:ascii="Book Antiqua" w:hAnsi="Book Antiqua"/>
        </w:rPr>
        <w:t>4</w:t>
      </w:r>
      <w:r w:rsidR="00165833">
        <w:rPr>
          <w:rFonts w:ascii="Book Antiqua" w:eastAsiaTheme="minorEastAsia" w:hAnsi="Book Antiqua" w:hint="eastAsia"/>
          <w:lang w:eastAsia="zh-CN"/>
        </w:rPr>
        <w:t xml:space="preserve"> </w:t>
      </w:r>
      <w:r w:rsidR="00FA3072" w:rsidRPr="00165833">
        <w:rPr>
          <w:rFonts w:ascii="Book Antiqua" w:hAnsi="Book Antiqua"/>
        </w:rPr>
        <w:t>mg/dL (</w:t>
      </w:r>
      <w:r w:rsidR="000367AF" w:rsidRPr="00165833">
        <w:rPr>
          <w:rFonts w:ascii="Book Antiqua" w:hAnsi="Book Antiqua"/>
        </w:rPr>
        <w:t>OR:</w:t>
      </w:r>
      <w:r w:rsidR="00165833">
        <w:rPr>
          <w:rFonts w:ascii="Book Antiqua" w:eastAsiaTheme="minorEastAsia" w:hAnsi="Book Antiqua" w:hint="eastAsia"/>
          <w:lang w:eastAsia="zh-CN"/>
        </w:rPr>
        <w:t xml:space="preserve"> </w:t>
      </w:r>
      <w:r w:rsidR="000367AF" w:rsidRPr="00165833">
        <w:rPr>
          <w:rFonts w:ascii="Book Antiqua" w:hAnsi="Book Antiqua"/>
        </w:rPr>
        <w:t>1.79, 95%CI</w:t>
      </w:r>
      <w:r w:rsidR="00165833">
        <w:rPr>
          <w:rFonts w:ascii="Book Antiqua" w:eastAsiaTheme="minorEastAsia" w:hAnsi="Book Antiqua" w:hint="eastAsia"/>
          <w:lang w:eastAsia="zh-CN"/>
        </w:rPr>
        <w:t>:</w:t>
      </w:r>
      <w:r w:rsidR="000367AF" w:rsidRPr="00165833">
        <w:rPr>
          <w:rFonts w:ascii="Book Antiqua" w:hAnsi="Book Antiqua"/>
        </w:rPr>
        <w:t xml:space="preserve"> 1.04-3.</w:t>
      </w:r>
      <w:r w:rsidR="00F64B48" w:rsidRPr="00165833">
        <w:rPr>
          <w:rFonts w:ascii="Book Antiqua" w:hAnsi="Book Antiqua"/>
        </w:rPr>
        <w:t>08</w:t>
      </w:r>
      <w:r w:rsidR="000367AF" w:rsidRPr="00165833">
        <w:rPr>
          <w:rFonts w:ascii="Book Antiqua" w:hAnsi="Book Antiqua"/>
        </w:rPr>
        <w:t>), total bilirubin 1.</w:t>
      </w:r>
      <w:r w:rsidR="00FA3072" w:rsidRPr="00165833">
        <w:rPr>
          <w:rFonts w:ascii="Book Antiqua" w:hAnsi="Book Antiqua"/>
        </w:rPr>
        <w:t>8-4</w:t>
      </w:r>
      <w:r w:rsidR="00165833">
        <w:rPr>
          <w:rFonts w:ascii="Book Antiqua" w:eastAsiaTheme="minorEastAsia" w:hAnsi="Book Antiqua" w:hint="eastAsia"/>
          <w:lang w:eastAsia="zh-CN"/>
        </w:rPr>
        <w:t xml:space="preserve"> </w:t>
      </w:r>
      <w:r w:rsidR="00FA3072" w:rsidRPr="00165833">
        <w:rPr>
          <w:rFonts w:ascii="Book Antiqua" w:hAnsi="Book Antiqua"/>
        </w:rPr>
        <w:t>mg/dL (</w:t>
      </w:r>
      <w:r w:rsidR="000367AF" w:rsidRPr="00165833">
        <w:rPr>
          <w:rFonts w:ascii="Book Antiqua" w:hAnsi="Book Antiqua"/>
        </w:rPr>
        <w:t>OR:3.15, 95%CI</w:t>
      </w:r>
      <w:r w:rsidR="00165833">
        <w:rPr>
          <w:rFonts w:ascii="Book Antiqua" w:eastAsiaTheme="minorEastAsia" w:hAnsi="Book Antiqua" w:hint="eastAsia"/>
          <w:lang w:eastAsia="zh-CN"/>
        </w:rPr>
        <w:t>:</w:t>
      </w:r>
      <w:r w:rsidR="000367AF" w:rsidRPr="00165833">
        <w:rPr>
          <w:rFonts w:ascii="Book Antiqua" w:hAnsi="Book Antiqua"/>
        </w:rPr>
        <w:t xml:space="preserve"> 1.</w:t>
      </w:r>
      <w:r w:rsidR="00F64B48" w:rsidRPr="00165833">
        <w:rPr>
          <w:rFonts w:ascii="Book Antiqua" w:hAnsi="Book Antiqua"/>
        </w:rPr>
        <w:t>63-6</w:t>
      </w:r>
      <w:r w:rsidR="000367AF" w:rsidRPr="00165833">
        <w:rPr>
          <w:rFonts w:ascii="Book Antiqua" w:hAnsi="Book Antiqua"/>
        </w:rPr>
        <w:t>.</w:t>
      </w:r>
      <w:r w:rsidR="00F64B48" w:rsidRPr="00165833">
        <w:rPr>
          <w:rFonts w:ascii="Book Antiqua" w:hAnsi="Book Antiqua"/>
        </w:rPr>
        <w:t>08</w:t>
      </w:r>
      <w:r w:rsidR="00FA3072" w:rsidRPr="00165833">
        <w:rPr>
          <w:rFonts w:ascii="Book Antiqua" w:hAnsi="Book Antiqua"/>
        </w:rPr>
        <w:t>), dilated common bile duct on US (</w:t>
      </w:r>
      <w:r w:rsidR="00F64B48" w:rsidRPr="00165833">
        <w:rPr>
          <w:rFonts w:ascii="Book Antiqua" w:hAnsi="Book Antiqua"/>
        </w:rPr>
        <w:t>OR:5</w:t>
      </w:r>
      <w:r w:rsidR="000367AF" w:rsidRPr="00165833">
        <w:rPr>
          <w:rFonts w:ascii="Book Antiqua" w:hAnsi="Book Antiqua"/>
        </w:rPr>
        <w:t>.</w:t>
      </w:r>
      <w:r w:rsidR="00F64B48" w:rsidRPr="00165833">
        <w:rPr>
          <w:rFonts w:ascii="Book Antiqua" w:hAnsi="Book Antiqua"/>
        </w:rPr>
        <w:t>06, 95%CI</w:t>
      </w:r>
      <w:r w:rsidR="00165833">
        <w:rPr>
          <w:rFonts w:ascii="Book Antiqua" w:eastAsiaTheme="minorEastAsia" w:hAnsi="Book Antiqua" w:hint="eastAsia"/>
          <w:lang w:eastAsia="zh-CN"/>
        </w:rPr>
        <w:t>:</w:t>
      </w:r>
      <w:r w:rsidR="00F64B48" w:rsidRPr="00165833">
        <w:rPr>
          <w:rFonts w:ascii="Book Antiqua" w:hAnsi="Book Antiqua"/>
        </w:rPr>
        <w:t xml:space="preserve"> 2</w:t>
      </w:r>
      <w:r w:rsidR="000367AF" w:rsidRPr="00165833">
        <w:rPr>
          <w:rFonts w:ascii="Book Antiqua" w:hAnsi="Book Antiqua"/>
        </w:rPr>
        <w:t>.</w:t>
      </w:r>
      <w:r w:rsidR="00F64B48" w:rsidRPr="00165833">
        <w:rPr>
          <w:rFonts w:ascii="Book Antiqua" w:hAnsi="Book Antiqua"/>
        </w:rPr>
        <w:t>8</w:t>
      </w:r>
      <w:r w:rsidR="00F6238C" w:rsidRPr="00165833">
        <w:rPr>
          <w:rFonts w:ascii="Book Antiqua" w:hAnsi="Book Antiqua"/>
        </w:rPr>
        <w:t>5</w:t>
      </w:r>
      <w:r w:rsidR="00F64B48" w:rsidRPr="00165833">
        <w:rPr>
          <w:rFonts w:ascii="Book Antiqua" w:hAnsi="Book Antiqua"/>
        </w:rPr>
        <w:t>-8</w:t>
      </w:r>
      <w:r w:rsidR="000367AF" w:rsidRPr="00165833">
        <w:rPr>
          <w:rFonts w:ascii="Book Antiqua" w:hAnsi="Book Antiqua"/>
        </w:rPr>
        <w:t>.</w:t>
      </w:r>
      <w:r w:rsidR="00F64B48" w:rsidRPr="00165833">
        <w:rPr>
          <w:rFonts w:ascii="Book Antiqua" w:hAnsi="Book Antiqua"/>
        </w:rPr>
        <w:t>99</w:t>
      </w:r>
      <w:r w:rsidR="00FA3072" w:rsidRPr="00165833">
        <w:rPr>
          <w:rFonts w:ascii="Book Antiqua" w:hAnsi="Book Antiqua"/>
        </w:rPr>
        <w:t>), abnormal liver function test (</w:t>
      </w:r>
      <w:r w:rsidR="000367AF" w:rsidRPr="00165833">
        <w:rPr>
          <w:rFonts w:ascii="Book Antiqua" w:hAnsi="Book Antiqua"/>
        </w:rPr>
        <w:t>OR:2.43, 95%CI</w:t>
      </w:r>
      <w:r w:rsidR="00165833">
        <w:rPr>
          <w:rFonts w:ascii="Book Antiqua" w:eastAsiaTheme="minorEastAsia" w:hAnsi="Book Antiqua" w:hint="eastAsia"/>
          <w:lang w:eastAsia="zh-CN"/>
        </w:rPr>
        <w:t>:</w:t>
      </w:r>
      <w:r w:rsidR="000367AF" w:rsidRPr="00165833">
        <w:rPr>
          <w:rFonts w:ascii="Book Antiqua" w:hAnsi="Book Antiqua"/>
        </w:rPr>
        <w:t xml:space="preserve"> 1.20-4.</w:t>
      </w:r>
      <w:r w:rsidR="00F64B48" w:rsidRPr="00165833">
        <w:rPr>
          <w:rFonts w:ascii="Book Antiqua" w:hAnsi="Book Antiqua"/>
        </w:rPr>
        <w:t>90</w:t>
      </w:r>
      <w:r w:rsidR="00FA3072" w:rsidRPr="00165833">
        <w:rPr>
          <w:rFonts w:ascii="Book Antiqua" w:hAnsi="Book Antiqua"/>
        </w:rPr>
        <w:t>) and age &gt;</w:t>
      </w:r>
      <w:r w:rsidR="00165833">
        <w:rPr>
          <w:rFonts w:ascii="Book Antiqua" w:eastAsiaTheme="minorEastAsia" w:hAnsi="Book Antiqua" w:hint="eastAsia"/>
          <w:lang w:eastAsia="zh-CN"/>
        </w:rPr>
        <w:t xml:space="preserve"> </w:t>
      </w:r>
      <w:r w:rsidR="00FA3072" w:rsidRPr="00165833">
        <w:rPr>
          <w:rFonts w:ascii="Book Antiqua" w:hAnsi="Book Antiqua"/>
        </w:rPr>
        <w:t>55 years (</w:t>
      </w:r>
      <w:r w:rsidR="000367AF" w:rsidRPr="00165833">
        <w:rPr>
          <w:rFonts w:ascii="Book Antiqua" w:hAnsi="Book Antiqua"/>
        </w:rPr>
        <w:t>OR:2.37, 95%CI</w:t>
      </w:r>
      <w:r w:rsidR="00165833">
        <w:rPr>
          <w:rFonts w:ascii="Book Antiqua" w:eastAsiaTheme="minorEastAsia" w:hAnsi="Book Antiqua" w:hint="eastAsia"/>
          <w:lang w:eastAsia="zh-CN"/>
        </w:rPr>
        <w:t>:</w:t>
      </w:r>
      <w:r w:rsidR="000367AF" w:rsidRPr="00165833">
        <w:rPr>
          <w:rFonts w:ascii="Book Antiqua" w:hAnsi="Book Antiqua"/>
        </w:rPr>
        <w:t xml:space="preserve"> 1.36-4.</w:t>
      </w:r>
      <w:r w:rsidR="00F64B48" w:rsidRPr="00165833">
        <w:rPr>
          <w:rFonts w:ascii="Book Antiqua" w:hAnsi="Book Antiqua"/>
        </w:rPr>
        <w:t>15</w:t>
      </w:r>
      <w:r w:rsidR="00FA3072" w:rsidRPr="00165833">
        <w:rPr>
          <w:rFonts w:ascii="Book Antiqua" w:hAnsi="Book Antiqua"/>
        </w:rPr>
        <w:t>)</w:t>
      </w:r>
      <w:r w:rsidR="00750653" w:rsidRPr="00165833">
        <w:rPr>
          <w:rFonts w:ascii="Book Antiqua" w:hAnsi="Book Antiqua"/>
        </w:rPr>
        <w:t xml:space="preserve"> (</w:t>
      </w:r>
      <w:r w:rsidR="002744D8" w:rsidRPr="00165833">
        <w:rPr>
          <w:rFonts w:ascii="Book Antiqua" w:hAnsi="Book Antiqua"/>
        </w:rPr>
        <w:t>T</w:t>
      </w:r>
      <w:r w:rsidR="00750653" w:rsidRPr="00165833">
        <w:rPr>
          <w:rFonts w:ascii="Book Antiqua" w:hAnsi="Book Antiqua"/>
        </w:rPr>
        <w:t>able 2).</w:t>
      </w:r>
    </w:p>
    <w:p w:rsidR="00D71AEF" w:rsidRPr="00165833" w:rsidRDefault="00D71AEF" w:rsidP="00165833">
      <w:pPr>
        <w:spacing w:line="360" w:lineRule="auto"/>
        <w:jc w:val="both"/>
        <w:rPr>
          <w:rFonts w:ascii="Book Antiqua" w:hAnsi="Book Antiqua"/>
          <w:b/>
        </w:rPr>
      </w:pPr>
    </w:p>
    <w:p w:rsidR="00206600" w:rsidRPr="00165833" w:rsidRDefault="00EA33D4" w:rsidP="00165833">
      <w:pPr>
        <w:spacing w:line="360" w:lineRule="auto"/>
        <w:jc w:val="both"/>
        <w:rPr>
          <w:rFonts w:ascii="Book Antiqua" w:hAnsi="Book Antiqua"/>
          <w:b/>
          <w:i/>
        </w:rPr>
      </w:pPr>
      <w:r w:rsidRPr="00165833">
        <w:rPr>
          <w:rFonts w:ascii="Book Antiqua" w:hAnsi="Book Antiqua"/>
          <w:b/>
          <w:i/>
        </w:rPr>
        <w:t>Risk group for choledocholithiasis</w:t>
      </w:r>
    </w:p>
    <w:p w:rsidR="007F5BA0" w:rsidRPr="00165833" w:rsidRDefault="00022EDB" w:rsidP="00165833">
      <w:pPr>
        <w:spacing w:line="360" w:lineRule="auto"/>
        <w:jc w:val="both"/>
        <w:rPr>
          <w:rFonts w:ascii="Book Antiqua" w:hAnsi="Book Antiqua"/>
        </w:rPr>
      </w:pPr>
      <w:r w:rsidRPr="00165833">
        <w:rPr>
          <w:rFonts w:ascii="Book Antiqua" w:hAnsi="Book Antiqua"/>
        </w:rPr>
        <w:t>Of the 268 pati</w:t>
      </w:r>
      <w:r w:rsidR="00CB5D42" w:rsidRPr="00165833">
        <w:rPr>
          <w:rFonts w:ascii="Book Antiqua" w:hAnsi="Book Antiqua"/>
        </w:rPr>
        <w:t>ents</w:t>
      </w:r>
      <w:r w:rsidR="00BA2911" w:rsidRPr="00165833">
        <w:rPr>
          <w:rFonts w:ascii="Book Antiqua" w:hAnsi="Book Antiqua"/>
        </w:rPr>
        <w:t xml:space="preserve"> included in this study, 72% </w:t>
      </w:r>
      <w:r w:rsidR="00635B7D" w:rsidRPr="00165833">
        <w:rPr>
          <w:rFonts w:ascii="Book Antiqua" w:hAnsi="Book Antiqua"/>
        </w:rPr>
        <w:t xml:space="preserve">were stratified into the </w:t>
      </w:r>
      <w:r w:rsidR="00CB5D42" w:rsidRPr="00165833">
        <w:rPr>
          <w:rFonts w:ascii="Book Antiqua" w:hAnsi="Book Antiqua"/>
        </w:rPr>
        <w:t>high risk</w:t>
      </w:r>
      <w:r w:rsidR="00E13BB1" w:rsidRPr="00165833">
        <w:rPr>
          <w:rFonts w:ascii="Book Antiqua" w:hAnsi="Book Antiqua"/>
        </w:rPr>
        <w:t xml:space="preserve"> group. </w:t>
      </w:r>
      <w:r w:rsidR="00D51D61" w:rsidRPr="00165833">
        <w:rPr>
          <w:rFonts w:ascii="Book Antiqua" w:hAnsi="Book Antiqua"/>
        </w:rPr>
        <w:t>Of the</w:t>
      </w:r>
      <w:r w:rsidR="001942EF" w:rsidRPr="00165833">
        <w:rPr>
          <w:rFonts w:ascii="Book Antiqua" w:hAnsi="Book Antiqua"/>
        </w:rPr>
        <w:t xml:space="preserve"> remaining patients</w:t>
      </w:r>
      <w:r w:rsidR="003F32E8" w:rsidRPr="00165833">
        <w:rPr>
          <w:rFonts w:ascii="Book Antiqua" w:hAnsi="Book Antiqua"/>
        </w:rPr>
        <w:t>,</w:t>
      </w:r>
      <w:r w:rsidR="00D51D61" w:rsidRPr="00165833">
        <w:rPr>
          <w:rFonts w:ascii="Book Antiqua" w:hAnsi="Book Antiqua"/>
        </w:rPr>
        <w:t xml:space="preserve"> </w:t>
      </w:r>
      <w:r w:rsidR="00635B7D" w:rsidRPr="00165833">
        <w:rPr>
          <w:rFonts w:ascii="Book Antiqua" w:hAnsi="Book Antiqua"/>
        </w:rPr>
        <w:t>27.2%</w:t>
      </w:r>
      <w:r w:rsidR="001942EF" w:rsidRPr="00165833">
        <w:rPr>
          <w:rFonts w:ascii="Book Antiqua" w:hAnsi="Book Antiqua"/>
        </w:rPr>
        <w:t xml:space="preserve"> e 0.8%</w:t>
      </w:r>
      <w:r w:rsidR="00635B7D" w:rsidRPr="00165833">
        <w:rPr>
          <w:rFonts w:ascii="Book Antiqua" w:hAnsi="Book Antiqua"/>
        </w:rPr>
        <w:t xml:space="preserve"> </w:t>
      </w:r>
      <w:proofErr w:type="gramStart"/>
      <w:r w:rsidR="001942EF" w:rsidRPr="00165833">
        <w:rPr>
          <w:rFonts w:ascii="Book Antiqua" w:hAnsi="Book Antiqua"/>
        </w:rPr>
        <w:t>were</w:t>
      </w:r>
      <w:proofErr w:type="gramEnd"/>
      <w:r w:rsidR="001942EF" w:rsidRPr="00165833">
        <w:rPr>
          <w:rFonts w:ascii="Book Antiqua" w:hAnsi="Book Antiqua"/>
        </w:rPr>
        <w:t xml:space="preserve"> stratified into the</w:t>
      </w:r>
      <w:r w:rsidR="00635B7D" w:rsidRPr="00165833">
        <w:rPr>
          <w:rFonts w:ascii="Book Antiqua" w:hAnsi="Book Antiqua"/>
        </w:rPr>
        <w:t xml:space="preserve"> intermediate and low risk</w:t>
      </w:r>
      <w:r w:rsidR="001942EF" w:rsidRPr="00165833">
        <w:rPr>
          <w:rFonts w:ascii="Book Antiqua" w:hAnsi="Book Antiqua"/>
        </w:rPr>
        <w:t xml:space="preserve"> groups, respectively.</w:t>
      </w:r>
      <w:r w:rsidR="001064C7" w:rsidRPr="00165833">
        <w:rPr>
          <w:rFonts w:ascii="Book Antiqua" w:hAnsi="Book Antiqua"/>
        </w:rPr>
        <w:t xml:space="preserve"> </w:t>
      </w:r>
      <w:r w:rsidR="00E13BB1" w:rsidRPr="00165833">
        <w:rPr>
          <w:rFonts w:ascii="Book Antiqua" w:hAnsi="Book Antiqua"/>
        </w:rPr>
        <w:t xml:space="preserve">Approximately four fifths of patients in the high risk group (79.8%, 154/193 patients) had confirmed choledocholithiasis on ERCP. </w:t>
      </w:r>
      <w:r w:rsidR="001064C7" w:rsidRPr="00165833">
        <w:rPr>
          <w:rFonts w:ascii="Book Antiqua" w:hAnsi="Book Antiqua"/>
        </w:rPr>
        <w:t>The presence of choledocholithiasis was identified in 34.2% (25/73) of intermediate risk patients.</w:t>
      </w:r>
      <w:r w:rsidR="00E13BB1" w:rsidRPr="00165833">
        <w:rPr>
          <w:rFonts w:ascii="Book Antiqua" w:hAnsi="Book Antiqua"/>
        </w:rPr>
        <w:t xml:space="preserve"> </w:t>
      </w:r>
      <w:r w:rsidR="00D51D61" w:rsidRPr="00165833">
        <w:rPr>
          <w:rFonts w:ascii="Book Antiqua" w:hAnsi="Book Antiqua"/>
        </w:rPr>
        <w:t>Any patient in</w:t>
      </w:r>
      <w:r w:rsidR="001942EF" w:rsidRPr="00165833">
        <w:rPr>
          <w:rFonts w:ascii="Book Antiqua" w:hAnsi="Book Antiqua"/>
        </w:rPr>
        <w:t>to</w:t>
      </w:r>
      <w:r w:rsidR="00D51D61" w:rsidRPr="00165833">
        <w:rPr>
          <w:rFonts w:ascii="Book Antiqua" w:hAnsi="Book Antiqua"/>
        </w:rPr>
        <w:t xml:space="preserve"> the low risk group had choledocholithiasis on ERCP.</w:t>
      </w:r>
      <w:r w:rsidR="00D06BBE" w:rsidRPr="00165833">
        <w:rPr>
          <w:rFonts w:ascii="Book Antiqua" w:hAnsi="Book Antiqua"/>
        </w:rPr>
        <w:t xml:space="preserve"> </w:t>
      </w:r>
      <w:r w:rsidRPr="00165833">
        <w:rPr>
          <w:rFonts w:ascii="Book Antiqua" w:hAnsi="Book Antiqua"/>
        </w:rPr>
        <w:t xml:space="preserve">There was a statistically significant association between the presence of choledocholithiasis on </w:t>
      </w:r>
      <w:r w:rsidR="00141165" w:rsidRPr="00165833">
        <w:rPr>
          <w:rFonts w:ascii="Book Antiqua" w:hAnsi="Book Antiqua"/>
        </w:rPr>
        <w:t xml:space="preserve">ERCP and the risk </w:t>
      </w:r>
      <w:r w:rsidR="00376E80" w:rsidRPr="00165833">
        <w:rPr>
          <w:rFonts w:ascii="Book Antiqua" w:hAnsi="Book Antiqua"/>
        </w:rPr>
        <w:t xml:space="preserve">group </w:t>
      </w:r>
      <w:r w:rsidR="00141165" w:rsidRPr="00165833">
        <w:rPr>
          <w:rFonts w:ascii="Book Antiqua" w:hAnsi="Book Antiqua"/>
        </w:rPr>
        <w:t>(</w:t>
      </w:r>
      <w:r w:rsidR="00141165" w:rsidRPr="00165833">
        <w:rPr>
          <w:rFonts w:ascii="Book Antiqua" w:hAnsi="Book Antiqua"/>
          <w:i/>
        </w:rPr>
        <w:t>P</w:t>
      </w:r>
      <w:r w:rsidR="00CB5D42" w:rsidRPr="00165833">
        <w:rPr>
          <w:rFonts w:ascii="Book Antiqua" w:hAnsi="Book Antiqua"/>
        </w:rPr>
        <w:t>&lt;0.</w:t>
      </w:r>
      <w:r w:rsidRPr="00165833">
        <w:rPr>
          <w:rFonts w:ascii="Book Antiqua" w:hAnsi="Book Antiqua"/>
        </w:rPr>
        <w:t xml:space="preserve">001) (Table 3). </w:t>
      </w:r>
      <w:r w:rsidR="00B37524" w:rsidRPr="00165833">
        <w:rPr>
          <w:rFonts w:ascii="Book Antiqua" w:hAnsi="Book Antiqua"/>
        </w:rPr>
        <w:t>The odds ratio</w:t>
      </w:r>
      <w:r w:rsidR="00165833">
        <w:rPr>
          <w:rFonts w:ascii="Book Antiqua" w:eastAsiaTheme="minorEastAsia" w:hAnsi="Book Antiqua" w:hint="eastAsia"/>
          <w:lang w:eastAsia="zh-CN"/>
        </w:rPr>
        <w:t xml:space="preserve"> (OR)</w:t>
      </w:r>
      <w:r w:rsidR="0028136A" w:rsidRPr="00165833">
        <w:rPr>
          <w:rFonts w:ascii="Book Antiqua" w:hAnsi="Book Antiqua"/>
        </w:rPr>
        <w:t xml:space="preserve"> for</w:t>
      </w:r>
      <w:r w:rsidR="00B37524" w:rsidRPr="00165833">
        <w:rPr>
          <w:rFonts w:ascii="Book Antiqua" w:hAnsi="Book Antiqua"/>
        </w:rPr>
        <w:t xml:space="preserve"> choledocholithiasis in h</w:t>
      </w:r>
      <w:r w:rsidR="00581FED" w:rsidRPr="00165833">
        <w:rPr>
          <w:rFonts w:ascii="Book Antiqua" w:hAnsi="Book Antiqua"/>
        </w:rPr>
        <w:t>igh risk patients</w:t>
      </w:r>
      <w:r w:rsidR="00CB5D42" w:rsidRPr="00165833">
        <w:rPr>
          <w:rFonts w:ascii="Book Antiqua" w:hAnsi="Book Antiqua"/>
        </w:rPr>
        <w:t xml:space="preserve"> was 7.</w:t>
      </w:r>
      <w:r w:rsidR="00165833">
        <w:rPr>
          <w:rFonts w:ascii="Book Antiqua" w:hAnsi="Book Antiqua"/>
        </w:rPr>
        <w:t>89 (95%</w:t>
      </w:r>
      <w:r w:rsidR="00B37524" w:rsidRPr="00165833">
        <w:rPr>
          <w:rFonts w:ascii="Book Antiqua" w:hAnsi="Book Antiqua"/>
        </w:rPr>
        <w:t>CI</w:t>
      </w:r>
      <w:r w:rsidR="00165833">
        <w:rPr>
          <w:rFonts w:ascii="Book Antiqua" w:eastAsiaTheme="minorEastAsia" w:hAnsi="Book Antiqua" w:hint="eastAsia"/>
          <w:lang w:eastAsia="zh-CN"/>
        </w:rPr>
        <w:t>:</w:t>
      </w:r>
      <w:r w:rsidR="00B37524" w:rsidRPr="00165833">
        <w:rPr>
          <w:rFonts w:ascii="Book Antiqua" w:hAnsi="Book Antiqua"/>
        </w:rPr>
        <w:t xml:space="preserve"> 4</w:t>
      </w:r>
      <w:r w:rsidR="00CB5D42" w:rsidRPr="00165833">
        <w:rPr>
          <w:rFonts w:ascii="Book Antiqua" w:hAnsi="Book Antiqua"/>
        </w:rPr>
        <w:t>.</w:t>
      </w:r>
      <w:r w:rsidR="00B37524" w:rsidRPr="00165833">
        <w:rPr>
          <w:rFonts w:ascii="Book Antiqua" w:hAnsi="Book Antiqua"/>
        </w:rPr>
        <w:t>36-14</w:t>
      </w:r>
      <w:r w:rsidR="00CB5D42" w:rsidRPr="00165833">
        <w:rPr>
          <w:rFonts w:ascii="Book Antiqua" w:hAnsi="Book Antiqua"/>
        </w:rPr>
        <w:t>.</w:t>
      </w:r>
      <w:r w:rsidR="00B37524" w:rsidRPr="00165833">
        <w:rPr>
          <w:rFonts w:ascii="Book Antiqua" w:hAnsi="Book Antiqua"/>
        </w:rPr>
        <w:t>32).</w:t>
      </w:r>
      <w:r w:rsidR="00D71AEF" w:rsidRPr="00165833">
        <w:rPr>
          <w:rFonts w:ascii="Book Antiqua" w:hAnsi="Book Antiqua"/>
        </w:rPr>
        <w:t xml:space="preserve"> The combination </w:t>
      </w:r>
      <w:r w:rsidR="00DB32E0" w:rsidRPr="00165833">
        <w:rPr>
          <w:rFonts w:ascii="Book Antiqua" w:hAnsi="Book Antiqua"/>
        </w:rPr>
        <w:t>of any two or all</w:t>
      </w:r>
      <w:r w:rsidR="00D71AEF" w:rsidRPr="00165833">
        <w:rPr>
          <w:rFonts w:ascii="Book Antiqua" w:hAnsi="Book Antiqua"/>
        </w:rPr>
        <w:t xml:space="preserve"> very strong predictors elevated the probability of choledocholithiasis for 87</w:t>
      </w:r>
      <w:r w:rsidR="00CB5D42" w:rsidRPr="00165833">
        <w:rPr>
          <w:rFonts w:ascii="Book Antiqua" w:hAnsi="Book Antiqua"/>
        </w:rPr>
        <w:t>.</w:t>
      </w:r>
      <w:r w:rsidR="00D71AEF" w:rsidRPr="00165833">
        <w:rPr>
          <w:rFonts w:ascii="Book Antiqua" w:hAnsi="Book Antiqua"/>
        </w:rPr>
        <w:t>9%</w:t>
      </w:r>
      <w:r w:rsidR="003E332B" w:rsidRPr="00165833">
        <w:rPr>
          <w:rFonts w:ascii="Book Antiqua" w:hAnsi="Book Antiqua"/>
        </w:rPr>
        <w:t xml:space="preserve"> (</w:t>
      </w:r>
      <w:r w:rsidR="003B6420" w:rsidRPr="00165833">
        <w:rPr>
          <w:rFonts w:ascii="Book Antiqua" w:hAnsi="Book Antiqua"/>
        </w:rPr>
        <w:t>51/58</w:t>
      </w:r>
      <w:r w:rsidR="003E332B" w:rsidRPr="00165833">
        <w:rPr>
          <w:rFonts w:ascii="Book Antiqua" w:hAnsi="Book Antiqua"/>
        </w:rPr>
        <w:t>)</w:t>
      </w:r>
      <w:r w:rsidR="00D71AEF" w:rsidRPr="00165833">
        <w:rPr>
          <w:rFonts w:ascii="Book Antiqua" w:hAnsi="Book Antiqua"/>
        </w:rPr>
        <w:t xml:space="preserve"> and 100%</w:t>
      </w:r>
      <w:r w:rsidR="003B6420" w:rsidRPr="00165833">
        <w:rPr>
          <w:rFonts w:ascii="Book Antiqua" w:hAnsi="Book Antiqua"/>
        </w:rPr>
        <w:t xml:space="preserve"> (9/9)</w:t>
      </w:r>
      <w:r w:rsidR="00D71AEF" w:rsidRPr="00165833">
        <w:rPr>
          <w:rFonts w:ascii="Book Antiqua" w:hAnsi="Book Antiqua"/>
        </w:rPr>
        <w:t>, respectively.</w:t>
      </w:r>
      <w:r w:rsidR="0088664D" w:rsidRPr="00165833">
        <w:rPr>
          <w:rFonts w:ascii="Book Antiqua" w:hAnsi="Book Antiqua"/>
        </w:rPr>
        <w:t xml:space="preserve"> The combination of both strong predictors presented 83</w:t>
      </w:r>
      <w:r w:rsidR="00CB5D42" w:rsidRPr="00165833">
        <w:rPr>
          <w:rFonts w:ascii="Book Antiqua" w:hAnsi="Book Antiqua"/>
        </w:rPr>
        <w:t>.</w:t>
      </w:r>
      <w:r w:rsidR="0088664D" w:rsidRPr="00165833">
        <w:rPr>
          <w:rFonts w:ascii="Book Antiqua" w:hAnsi="Book Antiqua"/>
        </w:rPr>
        <w:t>3% (50/60) of probability of choledocolithiasis.</w:t>
      </w:r>
    </w:p>
    <w:p w:rsidR="00DB32E0" w:rsidRPr="00165833" w:rsidRDefault="00DB32E0" w:rsidP="00165833">
      <w:pPr>
        <w:spacing w:line="360" w:lineRule="auto"/>
        <w:jc w:val="both"/>
        <w:rPr>
          <w:rFonts w:ascii="Book Antiqua" w:hAnsi="Book Antiqua"/>
        </w:rPr>
      </w:pPr>
    </w:p>
    <w:p w:rsidR="004A2EB1" w:rsidRPr="00165833" w:rsidRDefault="00356994" w:rsidP="00165833">
      <w:pPr>
        <w:spacing w:line="360" w:lineRule="auto"/>
        <w:jc w:val="both"/>
        <w:rPr>
          <w:rFonts w:ascii="Book Antiqua" w:hAnsi="Book Antiqua"/>
          <w:b/>
          <w:i/>
        </w:rPr>
      </w:pPr>
      <w:r w:rsidRPr="00165833">
        <w:rPr>
          <w:rFonts w:ascii="Book Antiqua" w:hAnsi="Book Antiqua"/>
          <w:b/>
          <w:i/>
        </w:rPr>
        <w:t>Sensitivity, specificity, positive predictive values</w:t>
      </w:r>
      <w:r w:rsidR="003E1BA7" w:rsidRPr="00165833">
        <w:rPr>
          <w:rFonts w:ascii="Book Antiqua" w:hAnsi="Book Antiqua"/>
          <w:b/>
          <w:i/>
        </w:rPr>
        <w:t xml:space="preserve"> and negative predictive values</w:t>
      </w:r>
      <w:r w:rsidR="00B61445" w:rsidRPr="00165833">
        <w:rPr>
          <w:rFonts w:ascii="Book Antiqua" w:hAnsi="Book Antiqua"/>
          <w:b/>
          <w:i/>
        </w:rPr>
        <w:t xml:space="preserve"> for choledocolithiasis</w:t>
      </w:r>
    </w:p>
    <w:p w:rsidR="001743CD" w:rsidRPr="00165833" w:rsidRDefault="002A6178" w:rsidP="00165833">
      <w:pPr>
        <w:spacing w:line="360" w:lineRule="auto"/>
        <w:jc w:val="both"/>
        <w:rPr>
          <w:rFonts w:ascii="Book Antiqua" w:hAnsi="Book Antiqua"/>
        </w:rPr>
      </w:pPr>
      <w:r w:rsidRPr="00165833">
        <w:rPr>
          <w:rFonts w:ascii="Book Antiqua" w:hAnsi="Book Antiqua"/>
        </w:rPr>
        <w:t>C</w:t>
      </w:r>
      <w:r w:rsidR="006D5637" w:rsidRPr="00165833">
        <w:rPr>
          <w:rFonts w:ascii="Book Antiqua" w:hAnsi="Book Antiqua"/>
        </w:rPr>
        <w:t xml:space="preserve">holangitis was the parameter that had the higher sensitivity (96.6%), however for the same parameter the specificity was low. </w:t>
      </w:r>
      <w:r w:rsidRPr="00165833">
        <w:rPr>
          <w:rFonts w:ascii="Book Antiqua" w:hAnsi="Book Antiqua"/>
        </w:rPr>
        <w:t>Total bilirubin &gt;</w:t>
      </w:r>
      <w:r w:rsidR="00165833">
        <w:rPr>
          <w:rFonts w:ascii="Book Antiqua" w:eastAsiaTheme="minorEastAsia" w:hAnsi="Book Antiqua" w:hint="eastAsia"/>
          <w:lang w:eastAsia="zh-CN"/>
        </w:rPr>
        <w:t xml:space="preserve"> </w:t>
      </w:r>
      <w:r w:rsidRPr="00165833">
        <w:rPr>
          <w:rFonts w:ascii="Book Antiqua" w:hAnsi="Book Antiqua"/>
        </w:rPr>
        <w:t>4</w:t>
      </w:r>
      <w:r w:rsidR="00165833">
        <w:rPr>
          <w:rFonts w:ascii="Book Antiqua" w:eastAsiaTheme="minorEastAsia" w:hAnsi="Book Antiqua" w:hint="eastAsia"/>
          <w:lang w:eastAsia="zh-CN"/>
        </w:rPr>
        <w:t xml:space="preserve"> </w:t>
      </w:r>
      <w:r w:rsidRPr="00165833">
        <w:rPr>
          <w:rFonts w:ascii="Book Antiqua" w:hAnsi="Book Antiqua"/>
        </w:rPr>
        <w:t>mg/dL or t</w:t>
      </w:r>
      <w:r w:rsidR="008F6321" w:rsidRPr="00165833">
        <w:rPr>
          <w:rFonts w:ascii="Book Antiqua" w:hAnsi="Book Antiqua"/>
        </w:rPr>
        <w:t>he presence of CBD stones on US also presented a good specificity (89</w:t>
      </w:r>
      <w:r w:rsidR="00CB5D42" w:rsidRPr="00165833">
        <w:rPr>
          <w:rFonts w:ascii="Book Antiqua" w:hAnsi="Book Antiqua"/>
        </w:rPr>
        <w:t>.</w:t>
      </w:r>
      <w:r w:rsidR="008F6321" w:rsidRPr="00165833">
        <w:rPr>
          <w:rFonts w:ascii="Book Antiqua" w:hAnsi="Book Antiqua"/>
        </w:rPr>
        <w:t>9% and 70</w:t>
      </w:r>
      <w:r w:rsidR="00CB5D42" w:rsidRPr="00165833">
        <w:rPr>
          <w:rFonts w:ascii="Book Antiqua" w:hAnsi="Book Antiqua"/>
        </w:rPr>
        <w:t>.</w:t>
      </w:r>
      <w:r w:rsidR="008F6321" w:rsidRPr="00165833">
        <w:rPr>
          <w:rFonts w:ascii="Book Antiqua" w:hAnsi="Book Antiqua"/>
        </w:rPr>
        <w:t>8%, respectively). The PPV was high for very strong predictors, mainly clinical ascending cholangitis (</w:t>
      </w:r>
      <w:r w:rsidR="00501C1E" w:rsidRPr="00165833">
        <w:rPr>
          <w:rFonts w:ascii="Book Antiqua" w:hAnsi="Book Antiqua"/>
        </w:rPr>
        <w:t>PPV 91</w:t>
      </w:r>
      <w:r w:rsidR="00CB5D42" w:rsidRPr="00165833">
        <w:rPr>
          <w:rFonts w:ascii="Book Antiqua" w:hAnsi="Book Antiqua"/>
        </w:rPr>
        <w:t>.</w:t>
      </w:r>
      <w:r w:rsidR="00501C1E" w:rsidRPr="00165833">
        <w:rPr>
          <w:rFonts w:ascii="Book Antiqua" w:hAnsi="Book Antiqua"/>
        </w:rPr>
        <w:t>7</w:t>
      </w:r>
      <w:r w:rsidR="008F6321" w:rsidRPr="00165833">
        <w:rPr>
          <w:rFonts w:ascii="Book Antiqua" w:hAnsi="Book Antiqua"/>
        </w:rPr>
        <w:t>%) and CBD stones on US (PPV 91</w:t>
      </w:r>
      <w:r w:rsidR="00CB5D42" w:rsidRPr="00165833">
        <w:rPr>
          <w:rFonts w:ascii="Book Antiqua" w:hAnsi="Book Antiqua"/>
        </w:rPr>
        <w:t>.</w:t>
      </w:r>
      <w:r w:rsidR="008F6321" w:rsidRPr="00165833">
        <w:rPr>
          <w:rFonts w:ascii="Book Antiqua" w:hAnsi="Book Antiqua"/>
        </w:rPr>
        <w:t>7%). The high risk group had a high sensitivity (86%) and PPV (79</w:t>
      </w:r>
      <w:r w:rsidR="00CB5D42" w:rsidRPr="00165833">
        <w:rPr>
          <w:rFonts w:ascii="Book Antiqua" w:hAnsi="Book Antiqua"/>
        </w:rPr>
        <w:t>.</w:t>
      </w:r>
      <w:r w:rsidR="008F6321" w:rsidRPr="00165833">
        <w:rPr>
          <w:rFonts w:ascii="Book Antiqua" w:hAnsi="Book Antiqua"/>
        </w:rPr>
        <w:t>8%), but low specificity (56</w:t>
      </w:r>
      <w:r w:rsidR="00CB5D42" w:rsidRPr="00165833">
        <w:rPr>
          <w:rFonts w:ascii="Book Antiqua" w:hAnsi="Book Antiqua"/>
        </w:rPr>
        <w:t>.</w:t>
      </w:r>
      <w:r w:rsidR="008F6321" w:rsidRPr="00165833">
        <w:rPr>
          <w:rFonts w:ascii="Book Antiqua" w:hAnsi="Book Antiqua"/>
        </w:rPr>
        <w:t xml:space="preserve">2%) </w:t>
      </w:r>
      <w:r w:rsidR="0076168A" w:rsidRPr="00165833">
        <w:rPr>
          <w:rFonts w:ascii="Book Antiqua" w:hAnsi="Book Antiqua"/>
        </w:rPr>
        <w:t xml:space="preserve">for the presence of CBD stones </w:t>
      </w:r>
      <w:r w:rsidR="001A3C47" w:rsidRPr="00165833">
        <w:rPr>
          <w:rFonts w:ascii="Book Antiqua" w:hAnsi="Book Antiqua"/>
        </w:rPr>
        <w:t>(Table 4).</w:t>
      </w:r>
    </w:p>
    <w:p w:rsidR="00CF51F5" w:rsidRPr="00165833" w:rsidRDefault="00CF51F5" w:rsidP="00165833">
      <w:pPr>
        <w:spacing w:line="360" w:lineRule="auto"/>
        <w:jc w:val="both"/>
        <w:rPr>
          <w:rFonts w:ascii="Book Antiqua" w:hAnsi="Book Antiqua"/>
        </w:rPr>
      </w:pPr>
    </w:p>
    <w:p w:rsidR="00EB07FD" w:rsidRPr="00165833" w:rsidRDefault="00F71D65" w:rsidP="00165833">
      <w:pPr>
        <w:spacing w:line="360" w:lineRule="auto"/>
        <w:jc w:val="both"/>
        <w:rPr>
          <w:rFonts w:ascii="Book Antiqua" w:eastAsiaTheme="minorEastAsia" w:hAnsi="Book Antiqua"/>
          <w:b/>
          <w:lang w:eastAsia="zh-CN"/>
        </w:rPr>
      </w:pPr>
      <w:r w:rsidRPr="00165833">
        <w:rPr>
          <w:rFonts w:ascii="Book Antiqua" w:hAnsi="Book Antiqua"/>
          <w:b/>
        </w:rPr>
        <w:t>DISCUSSION</w:t>
      </w:r>
    </w:p>
    <w:p w:rsidR="00C35F0E" w:rsidRPr="00165833" w:rsidRDefault="00F71D65" w:rsidP="00165833">
      <w:pPr>
        <w:autoSpaceDE w:val="0"/>
        <w:autoSpaceDN w:val="0"/>
        <w:adjustRightInd w:val="0"/>
        <w:spacing w:line="360" w:lineRule="auto"/>
        <w:jc w:val="both"/>
        <w:rPr>
          <w:rFonts w:ascii="Book Antiqua" w:hAnsi="Book Antiqua"/>
        </w:rPr>
      </w:pPr>
      <w:r w:rsidRPr="00165833">
        <w:rPr>
          <w:rFonts w:ascii="Book Antiqua" w:hAnsi="Book Antiqua"/>
        </w:rPr>
        <w:t>According to ASGE guidelines, a patient stratified as high risk has &gt;50% of prob</w:t>
      </w:r>
      <w:r w:rsidR="003E465E" w:rsidRPr="00165833">
        <w:rPr>
          <w:rFonts w:ascii="Book Antiqua" w:hAnsi="Book Antiqua"/>
        </w:rPr>
        <w:t xml:space="preserve">ability of </w:t>
      </w:r>
      <w:proofErr w:type="gramStart"/>
      <w:r w:rsidR="003E465E" w:rsidRPr="00165833">
        <w:rPr>
          <w:rFonts w:ascii="Book Antiqua" w:hAnsi="Book Antiqua"/>
        </w:rPr>
        <w:t>choledocholithiasis</w:t>
      </w:r>
      <w:r w:rsidR="008B61B6" w:rsidRPr="00165833">
        <w:rPr>
          <w:rFonts w:ascii="Book Antiqua" w:hAnsi="Book Antiqua"/>
          <w:vertAlign w:val="superscript"/>
        </w:rPr>
        <w:t>[</w:t>
      </w:r>
      <w:proofErr w:type="gramEnd"/>
      <w:r w:rsidRPr="00165833">
        <w:rPr>
          <w:rFonts w:ascii="Book Antiqua" w:hAnsi="Book Antiqua"/>
          <w:vertAlign w:val="superscript"/>
        </w:rPr>
        <w:t>12</w:t>
      </w:r>
      <w:r w:rsidR="008B61B6" w:rsidRPr="00165833">
        <w:rPr>
          <w:rFonts w:ascii="Book Antiqua" w:hAnsi="Book Antiqua"/>
          <w:vertAlign w:val="superscript"/>
        </w:rPr>
        <w:t>]</w:t>
      </w:r>
      <w:r w:rsidRPr="00165833">
        <w:rPr>
          <w:rFonts w:ascii="Book Antiqua" w:hAnsi="Book Antiqua"/>
        </w:rPr>
        <w:t>. In our study, patients stratified as high risk following ASGE criteria had 79</w:t>
      </w:r>
      <w:r w:rsidR="00CB5D42" w:rsidRPr="00165833">
        <w:rPr>
          <w:rFonts w:ascii="Book Antiqua" w:hAnsi="Book Antiqua"/>
        </w:rPr>
        <w:t>.</w:t>
      </w:r>
      <w:r w:rsidRPr="00165833">
        <w:rPr>
          <w:rFonts w:ascii="Book Antiqua" w:hAnsi="Book Antiqua"/>
        </w:rPr>
        <w:t>8% probability of choledocholithiasis. These results are consistent with those presente</w:t>
      </w:r>
      <w:r w:rsidR="00165833">
        <w:rPr>
          <w:rFonts w:ascii="Book Antiqua" w:hAnsi="Book Antiqua"/>
        </w:rPr>
        <w:t xml:space="preserve">d in the study by Rubin </w:t>
      </w:r>
      <w:r w:rsidR="00165833" w:rsidRPr="00165833">
        <w:rPr>
          <w:rFonts w:ascii="Book Antiqua" w:hAnsi="Book Antiqua"/>
          <w:i/>
        </w:rPr>
        <w:t xml:space="preserve">et </w:t>
      </w:r>
      <w:proofErr w:type="gramStart"/>
      <w:r w:rsidR="00165833" w:rsidRPr="00165833">
        <w:rPr>
          <w:rFonts w:ascii="Book Antiqua" w:hAnsi="Book Antiqua"/>
          <w:i/>
        </w:rPr>
        <w:t>al</w:t>
      </w:r>
      <w:r w:rsidR="00906CA9" w:rsidRPr="00165833">
        <w:rPr>
          <w:rFonts w:ascii="Book Antiqua" w:hAnsi="Book Antiqua"/>
          <w:vertAlign w:val="superscript"/>
        </w:rPr>
        <w:t>[</w:t>
      </w:r>
      <w:proofErr w:type="gramEnd"/>
      <w:r w:rsidRPr="00165833">
        <w:rPr>
          <w:rFonts w:ascii="Book Antiqua" w:hAnsi="Book Antiqua"/>
          <w:vertAlign w:val="superscript"/>
        </w:rPr>
        <w:t>13</w:t>
      </w:r>
      <w:r w:rsidR="00906CA9" w:rsidRPr="00165833">
        <w:rPr>
          <w:rFonts w:ascii="Book Antiqua" w:hAnsi="Book Antiqua"/>
          <w:vertAlign w:val="superscript"/>
        </w:rPr>
        <w:t>]</w:t>
      </w:r>
      <w:r w:rsidRPr="00165833">
        <w:rPr>
          <w:rFonts w:ascii="Book Antiqua" w:hAnsi="Book Antiqua"/>
        </w:rPr>
        <w:t>. All the very strong predictors (clinical ascending cholangitis, CBD stones on US or total bilirubin &gt;</w:t>
      </w:r>
      <w:r w:rsidR="00165833">
        <w:rPr>
          <w:rFonts w:ascii="Book Antiqua" w:eastAsiaTheme="minorEastAsia" w:hAnsi="Book Antiqua" w:hint="eastAsia"/>
          <w:lang w:eastAsia="zh-CN"/>
        </w:rPr>
        <w:t xml:space="preserve"> </w:t>
      </w:r>
      <w:r w:rsidRPr="00165833">
        <w:rPr>
          <w:rFonts w:ascii="Book Antiqua" w:hAnsi="Book Antiqua"/>
        </w:rPr>
        <w:t>4</w:t>
      </w:r>
      <w:r w:rsidR="00165833">
        <w:rPr>
          <w:rFonts w:ascii="Book Antiqua" w:eastAsiaTheme="minorEastAsia" w:hAnsi="Book Antiqua" w:hint="eastAsia"/>
          <w:lang w:eastAsia="zh-CN"/>
        </w:rPr>
        <w:t xml:space="preserve"> </w:t>
      </w:r>
      <w:r w:rsidRPr="00165833">
        <w:rPr>
          <w:rFonts w:ascii="Book Antiqua" w:hAnsi="Book Antiqua"/>
        </w:rPr>
        <w:t>mg/dL) presented a statistically significant association with the presence of choledocholithiasis. The combination of any of two or three very strong predictors increased the probability of choledocholithiasis for 87</w:t>
      </w:r>
      <w:r w:rsidR="00CB5D42" w:rsidRPr="00165833">
        <w:rPr>
          <w:rFonts w:ascii="Book Antiqua" w:hAnsi="Book Antiqua"/>
        </w:rPr>
        <w:t>.</w:t>
      </w:r>
      <w:r w:rsidRPr="00165833">
        <w:rPr>
          <w:rFonts w:ascii="Book Antiqua" w:hAnsi="Book Antiqua"/>
        </w:rPr>
        <w:t xml:space="preserve">9% and 100%, respectively. </w:t>
      </w:r>
    </w:p>
    <w:p w:rsidR="00DB0FF6" w:rsidRPr="00165833" w:rsidRDefault="00F71D65" w:rsidP="00165833">
      <w:pPr>
        <w:autoSpaceDE w:val="0"/>
        <w:autoSpaceDN w:val="0"/>
        <w:adjustRightInd w:val="0"/>
        <w:spacing w:line="360" w:lineRule="auto"/>
        <w:ind w:firstLineChars="100" w:firstLine="240"/>
        <w:jc w:val="both"/>
        <w:rPr>
          <w:rFonts w:ascii="Book Antiqua" w:hAnsi="Book Antiqua"/>
        </w:rPr>
      </w:pPr>
      <w:r w:rsidRPr="00165833">
        <w:rPr>
          <w:rFonts w:ascii="Book Antiqua" w:hAnsi="Book Antiqua"/>
        </w:rPr>
        <w:t>Transabdominal ultrasound is the most commonly used initial imaging modality for suspected biliary stones. In our study, the presence of CBD stones detected during the US evaluation presented a</w:t>
      </w:r>
      <w:r w:rsidR="00221454" w:rsidRPr="00165833">
        <w:rPr>
          <w:rFonts w:ascii="Book Antiqua" w:hAnsi="Book Antiqua"/>
        </w:rPr>
        <w:t>n</w:t>
      </w:r>
      <w:r w:rsidRPr="00165833">
        <w:rPr>
          <w:rFonts w:ascii="Book Antiqua" w:hAnsi="Book Antiqua"/>
        </w:rPr>
        <w:t xml:space="preserve"> </w:t>
      </w:r>
      <w:r w:rsidR="00165833" w:rsidRPr="00165833">
        <w:rPr>
          <w:rFonts w:ascii="Book Antiqua" w:eastAsiaTheme="minorEastAsia" w:hAnsi="Book Antiqua"/>
          <w:lang w:eastAsia="zh-CN"/>
        </w:rPr>
        <w:t>OR</w:t>
      </w:r>
      <w:r w:rsidRPr="00165833">
        <w:rPr>
          <w:rFonts w:ascii="Book Antiqua" w:hAnsi="Book Antiqua"/>
        </w:rPr>
        <w:t xml:space="preserve"> of 11</w:t>
      </w:r>
      <w:r w:rsidR="0050186C" w:rsidRPr="00165833">
        <w:rPr>
          <w:rFonts w:ascii="Book Antiqua" w:hAnsi="Book Antiqua"/>
        </w:rPr>
        <w:t>.</w:t>
      </w:r>
      <w:r w:rsidRPr="00165833">
        <w:rPr>
          <w:rFonts w:ascii="Book Antiqua" w:hAnsi="Book Antiqua"/>
        </w:rPr>
        <w:t>25 f</w:t>
      </w:r>
      <w:r w:rsidR="00771AAB" w:rsidRPr="00165833">
        <w:rPr>
          <w:rFonts w:ascii="Book Antiqua" w:hAnsi="Book Antiqua"/>
        </w:rPr>
        <w:t>or choledocholithisis. T</w:t>
      </w:r>
      <w:r w:rsidR="00AF7832" w:rsidRPr="00165833">
        <w:rPr>
          <w:rFonts w:ascii="Book Antiqua" w:hAnsi="Book Antiqua"/>
        </w:rPr>
        <w:t xml:space="preserve">he </w:t>
      </w:r>
      <w:r w:rsidRPr="00165833">
        <w:rPr>
          <w:rFonts w:ascii="Book Antiqua" w:hAnsi="Book Antiqua"/>
        </w:rPr>
        <w:t>diagnosis of choledocholithiasis is often difficult,</w:t>
      </w:r>
      <w:r w:rsidR="00771AAB" w:rsidRPr="00165833">
        <w:rPr>
          <w:rFonts w:ascii="Book Antiqua" w:hAnsi="Book Antiqua"/>
        </w:rPr>
        <w:t xml:space="preserve"> with</w:t>
      </w:r>
      <w:r w:rsidRPr="00165833">
        <w:rPr>
          <w:rFonts w:ascii="Book Antiqua" w:hAnsi="Book Antiqua"/>
        </w:rPr>
        <w:t xml:space="preserve"> the </w:t>
      </w:r>
      <w:r w:rsidR="00AF7832" w:rsidRPr="00165833">
        <w:rPr>
          <w:rFonts w:ascii="Book Antiqua" w:hAnsi="Book Antiqua"/>
        </w:rPr>
        <w:t xml:space="preserve">sensitivity </w:t>
      </w:r>
      <w:r w:rsidR="00221454" w:rsidRPr="00165833">
        <w:rPr>
          <w:rFonts w:ascii="Book Antiqua" w:hAnsi="Book Antiqua"/>
        </w:rPr>
        <w:t>for the detection</w:t>
      </w:r>
      <w:r w:rsidR="00771AAB" w:rsidRPr="00165833">
        <w:rPr>
          <w:rFonts w:ascii="Book Antiqua" w:hAnsi="Book Antiqua"/>
        </w:rPr>
        <w:t xml:space="preserve"> </w:t>
      </w:r>
      <w:r w:rsidR="009F74E2" w:rsidRPr="00165833">
        <w:rPr>
          <w:rFonts w:ascii="Book Antiqua" w:hAnsi="Book Antiqua"/>
        </w:rPr>
        <w:t xml:space="preserve">of </w:t>
      </w:r>
      <w:r w:rsidR="00771AAB" w:rsidRPr="00165833">
        <w:rPr>
          <w:rFonts w:ascii="Book Antiqua" w:hAnsi="Book Antiqua"/>
        </w:rPr>
        <w:t>CBD</w:t>
      </w:r>
      <w:r w:rsidRPr="00165833">
        <w:rPr>
          <w:rFonts w:ascii="Book Antiqua" w:hAnsi="Book Antiqua"/>
        </w:rPr>
        <w:t xml:space="preserve"> </w:t>
      </w:r>
      <w:r w:rsidR="008B45C9" w:rsidRPr="00165833">
        <w:rPr>
          <w:rFonts w:ascii="Book Antiqua" w:hAnsi="Book Antiqua"/>
        </w:rPr>
        <w:t>stones</w:t>
      </w:r>
      <w:r w:rsidR="009F74E2" w:rsidRPr="00165833">
        <w:rPr>
          <w:rFonts w:ascii="Book Antiqua" w:hAnsi="Book Antiqua"/>
        </w:rPr>
        <w:t xml:space="preserve"> by US</w:t>
      </w:r>
      <w:r w:rsidR="008B45C9" w:rsidRPr="00165833">
        <w:rPr>
          <w:rFonts w:ascii="Book Antiqua" w:hAnsi="Book Antiqua"/>
        </w:rPr>
        <w:t xml:space="preserve"> </w:t>
      </w:r>
      <w:r w:rsidR="009F74E2" w:rsidRPr="00165833">
        <w:rPr>
          <w:rFonts w:ascii="Book Antiqua" w:hAnsi="Book Antiqua"/>
        </w:rPr>
        <w:t>ranging from 20</w:t>
      </w:r>
      <w:r w:rsidR="00165833">
        <w:rPr>
          <w:rFonts w:ascii="Book Antiqua" w:eastAsiaTheme="minorEastAsia" w:hAnsi="Book Antiqua" w:hint="eastAsia"/>
          <w:lang w:eastAsia="zh-CN"/>
        </w:rPr>
        <w:t>%</w:t>
      </w:r>
      <w:r w:rsidR="009F74E2" w:rsidRPr="00165833">
        <w:rPr>
          <w:rFonts w:ascii="Book Antiqua" w:hAnsi="Book Antiqua"/>
        </w:rPr>
        <w:t xml:space="preserve"> to </w:t>
      </w:r>
      <w:r w:rsidRPr="00165833">
        <w:rPr>
          <w:rFonts w:ascii="Book Antiqua" w:hAnsi="Book Antiqua"/>
        </w:rPr>
        <w:t>80%</w:t>
      </w:r>
      <w:r w:rsidR="00A86718" w:rsidRPr="00165833">
        <w:rPr>
          <w:rFonts w:ascii="Book Antiqua" w:hAnsi="Book Antiqua"/>
          <w:vertAlign w:val="superscript"/>
        </w:rPr>
        <w:t>[14]</w:t>
      </w:r>
      <w:r w:rsidR="00771AAB" w:rsidRPr="00165833">
        <w:rPr>
          <w:rFonts w:ascii="Book Antiqua" w:hAnsi="Book Antiqua"/>
        </w:rPr>
        <w:t xml:space="preserve">. The diagnostic accuracy of US </w:t>
      </w:r>
      <w:r w:rsidR="000F348C" w:rsidRPr="00165833">
        <w:rPr>
          <w:rFonts w:ascii="Book Antiqua" w:hAnsi="Book Antiqua"/>
        </w:rPr>
        <w:t xml:space="preserve">is operator dependent but </w:t>
      </w:r>
      <w:proofErr w:type="gramStart"/>
      <w:r w:rsidR="0016612F" w:rsidRPr="00165833">
        <w:rPr>
          <w:rFonts w:ascii="Book Antiqua" w:hAnsi="Book Antiqua"/>
        </w:rPr>
        <w:t xml:space="preserve">it </w:t>
      </w:r>
      <w:r w:rsidR="000F348C" w:rsidRPr="00165833">
        <w:rPr>
          <w:rFonts w:ascii="Book Antiqua" w:hAnsi="Book Antiqua"/>
        </w:rPr>
        <w:t>is also influenced by</w:t>
      </w:r>
      <w:r w:rsidR="0066320D" w:rsidRPr="00165833">
        <w:rPr>
          <w:rFonts w:ascii="Book Antiqua" w:hAnsi="Book Antiqua"/>
        </w:rPr>
        <w:t xml:space="preserve"> some clinical features of patients</w:t>
      </w:r>
      <w:proofErr w:type="gramEnd"/>
      <w:r w:rsidR="0066320D" w:rsidRPr="00165833">
        <w:rPr>
          <w:rFonts w:ascii="Book Antiqua" w:hAnsi="Book Antiqua"/>
        </w:rPr>
        <w:t xml:space="preserve"> (shadowing </w:t>
      </w:r>
      <w:r w:rsidR="000F348C" w:rsidRPr="00165833">
        <w:rPr>
          <w:rFonts w:ascii="Book Antiqua" w:hAnsi="Book Antiqua"/>
        </w:rPr>
        <w:t xml:space="preserve">from bowel gas, </w:t>
      </w:r>
      <w:r w:rsidR="0066320D" w:rsidRPr="00165833">
        <w:rPr>
          <w:rFonts w:ascii="Book Antiqua" w:hAnsi="Book Antiqua"/>
        </w:rPr>
        <w:t>overweight</w:t>
      </w:r>
      <w:r w:rsidR="00232158" w:rsidRPr="00165833">
        <w:rPr>
          <w:rFonts w:ascii="Book Antiqua" w:hAnsi="Book Antiqua"/>
        </w:rPr>
        <w:t xml:space="preserve"> and</w:t>
      </w:r>
      <w:r w:rsidR="0066320D" w:rsidRPr="00165833">
        <w:rPr>
          <w:rFonts w:ascii="Book Antiqua" w:hAnsi="Book Antiqua"/>
        </w:rPr>
        <w:t xml:space="preserve"> stone size</w:t>
      </w:r>
      <w:r w:rsidR="000F348C" w:rsidRPr="00165833">
        <w:rPr>
          <w:rFonts w:ascii="Book Antiqua" w:hAnsi="Book Antiqua"/>
        </w:rPr>
        <w:t>)</w:t>
      </w:r>
      <w:r w:rsidR="004F2F07" w:rsidRPr="00165833">
        <w:rPr>
          <w:rFonts w:ascii="Book Antiqua" w:hAnsi="Book Antiqua"/>
          <w:vertAlign w:val="superscript"/>
        </w:rPr>
        <w:t>[14]</w:t>
      </w:r>
      <w:r w:rsidR="004F2F07" w:rsidRPr="00165833">
        <w:rPr>
          <w:rFonts w:ascii="Book Antiqua" w:hAnsi="Book Antiqua"/>
        </w:rPr>
        <w:t>.</w:t>
      </w:r>
    </w:p>
    <w:p w:rsidR="00EA72A2" w:rsidRPr="00165833" w:rsidRDefault="008114B2" w:rsidP="00165833">
      <w:pPr>
        <w:autoSpaceDE w:val="0"/>
        <w:autoSpaceDN w:val="0"/>
        <w:adjustRightInd w:val="0"/>
        <w:spacing w:line="360" w:lineRule="auto"/>
        <w:ind w:firstLineChars="100" w:firstLine="240"/>
        <w:jc w:val="both"/>
        <w:rPr>
          <w:rFonts w:ascii="Book Antiqua" w:hAnsi="Book Antiqua"/>
        </w:rPr>
      </w:pPr>
      <w:r w:rsidRPr="00165833">
        <w:rPr>
          <w:rFonts w:ascii="Book Antiqua" w:hAnsi="Book Antiqua"/>
        </w:rPr>
        <w:t>In our study, t</w:t>
      </w:r>
      <w:r w:rsidR="00F71D65" w:rsidRPr="00165833">
        <w:rPr>
          <w:rFonts w:ascii="Book Antiqua" w:hAnsi="Book Antiqua"/>
        </w:rPr>
        <w:t>he combination of stron</w:t>
      </w:r>
      <w:r w:rsidR="0050186C" w:rsidRPr="00165833">
        <w:rPr>
          <w:rFonts w:ascii="Book Antiqua" w:hAnsi="Book Antiqua"/>
        </w:rPr>
        <w:t>g predictors (</w:t>
      </w:r>
      <w:r w:rsidR="00435C82" w:rsidRPr="00165833">
        <w:rPr>
          <w:rFonts w:ascii="Book Antiqua" w:hAnsi="Book Antiqua"/>
        </w:rPr>
        <w:t xml:space="preserve">dilated CBD on US, </w:t>
      </w:r>
      <w:r w:rsidR="0050186C" w:rsidRPr="00165833">
        <w:rPr>
          <w:rFonts w:ascii="Book Antiqua" w:hAnsi="Book Antiqua"/>
        </w:rPr>
        <w:t>total bilirubin 1.</w:t>
      </w:r>
      <w:r w:rsidR="00F71D65" w:rsidRPr="00165833">
        <w:rPr>
          <w:rFonts w:ascii="Book Antiqua" w:hAnsi="Book Antiqua"/>
        </w:rPr>
        <w:t>8-4</w:t>
      </w:r>
      <w:r w:rsidR="00165833">
        <w:rPr>
          <w:rFonts w:ascii="Book Antiqua" w:eastAsiaTheme="minorEastAsia" w:hAnsi="Book Antiqua" w:hint="eastAsia"/>
          <w:lang w:eastAsia="zh-CN"/>
        </w:rPr>
        <w:t xml:space="preserve"> </w:t>
      </w:r>
      <w:r w:rsidR="00F71D65" w:rsidRPr="00165833">
        <w:rPr>
          <w:rFonts w:ascii="Book Antiqua" w:hAnsi="Book Antiqua"/>
        </w:rPr>
        <w:t>mg/dL</w:t>
      </w:r>
      <w:r w:rsidR="0050186C" w:rsidRPr="00165833">
        <w:rPr>
          <w:rFonts w:ascii="Book Antiqua" w:hAnsi="Book Antiqua"/>
        </w:rPr>
        <w:t>) presented 83.</w:t>
      </w:r>
      <w:r w:rsidR="00F71D65" w:rsidRPr="00165833">
        <w:rPr>
          <w:rFonts w:ascii="Book Antiqua" w:hAnsi="Book Antiqua"/>
        </w:rPr>
        <w:t>3% of probability of choledocholithiasis confirmed at ERCP. Strong predictors</w:t>
      </w:r>
      <w:r w:rsidR="005B691A" w:rsidRPr="00165833">
        <w:rPr>
          <w:rFonts w:ascii="Book Antiqua" w:hAnsi="Book Antiqua"/>
        </w:rPr>
        <w:t xml:space="preserve"> </w:t>
      </w:r>
      <w:r w:rsidR="00F71D65" w:rsidRPr="00165833">
        <w:rPr>
          <w:rFonts w:ascii="Book Antiqua" w:hAnsi="Book Antiqua"/>
        </w:rPr>
        <w:t xml:space="preserve">presented a statistically significant association with the presence of choledocholithiasis, which is in line with other previously published </w:t>
      </w:r>
      <w:proofErr w:type="gramStart"/>
      <w:r w:rsidR="00F71D65" w:rsidRPr="00165833">
        <w:rPr>
          <w:rFonts w:ascii="Book Antiqua" w:hAnsi="Book Antiqua"/>
        </w:rPr>
        <w:t>data</w:t>
      </w:r>
      <w:r w:rsidR="00A45078" w:rsidRPr="00165833">
        <w:rPr>
          <w:rFonts w:ascii="Book Antiqua" w:hAnsi="Book Antiqua"/>
          <w:vertAlign w:val="superscript"/>
        </w:rPr>
        <w:t>[</w:t>
      </w:r>
      <w:proofErr w:type="gramEnd"/>
      <w:r w:rsidR="00F71D65" w:rsidRPr="00165833">
        <w:rPr>
          <w:rFonts w:ascii="Book Antiqua" w:hAnsi="Book Antiqua"/>
          <w:vertAlign w:val="superscript"/>
        </w:rPr>
        <w:t>15-18</w:t>
      </w:r>
      <w:r w:rsidR="00A45078" w:rsidRPr="00165833">
        <w:rPr>
          <w:rFonts w:ascii="Book Antiqua" w:hAnsi="Book Antiqua"/>
          <w:vertAlign w:val="superscript"/>
        </w:rPr>
        <w:t>]</w:t>
      </w:r>
      <w:r w:rsidR="001B050B" w:rsidRPr="00165833">
        <w:rPr>
          <w:rFonts w:ascii="Book Antiqua" w:hAnsi="Book Antiqua"/>
        </w:rPr>
        <w:t>. T</w:t>
      </w:r>
      <w:r w:rsidR="00F71D65" w:rsidRPr="00165833">
        <w:rPr>
          <w:rFonts w:ascii="Book Antiqua" w:hAnsi="Book Antiqua"/>
        </w:rPr>
        <w:t xml:space="preserve">he </w:t>
      </w:r>
      <w:r w:rsidR="00165833">
        <w:rPr>
          <w:rFonts w:ascii="Book Antiqua" w:eastAsiaTheme="minorEastAsia" w:hAnsi="Book Antiqua" w:hint="eastAsia"/>
          <w:lang w:eastAsia="zh-CN"/>
        </w:rPr>
        <w:t>OR</w:t>
      </w:r>
      <w:r w:rsidR="00F71D65" w:rsidRPr="00165833">
        <w:rPr>
          <w:rFonts w:ascii="Book Antiqua" w:hAnsi="Book Antiqua"/>
        </w:rPr>
        <w:t xml:space="preserve"> for choledoc</w:t>
      </w:r>
      <w:r w:rsidR="00F44685" w:rsidRPr="00165833">
        <w:rPr>
          <w:rFonts w:ascii="Book Antiqua" w:hAnsi="Book Antiqua"/>
        </w:rPr>
        <w:t xml:space="preserve">holithiasis in a patient with </w:t>
      </w:r>
      <w:proofErr w:type="gramStart"/>
      <w:r w:rsidR="00F44685" w:rsidRPr="00165833">
        <w:rPr>
          <w:rFonts w:ascii="Book Antiqua" w:hAnsi="Book Antiqua"/>
        </w:rPr>
        <w:t xml:space="preserve">a </w:t>
      </w:r>
      <w:r w:rsidR="00F71D65" w:rsidRPr="00165833">
        <w:rPr>
          <w:rFonts w:ascii="Book Antiqua" w:hAnsi="Book Antiqua"/>
        </w:rPr>
        <w:t>CBD</w:t>
      </w:r>
      <w:proofErr w:type="gramEnd"/>
      <w:r w:rsidR="00F71D65" w:rsidRPr="00165833">
        <w:rPr>
          <w:rFonts w:ascii="Book Antiqua" w:hAnsi="Book Antiqua"/>
        </w:rPr>
        <w:t xml:space="preserve"> dilation was 5</w:t>
      </w:r>
      <w:r w:rsidR="0050186C" w:rsidRPr="00165833">
        <w:rPr>
          <w:rFonts w:ascii="Book Antiqua" w:hAnsi="Book Antiqua"/>
        </w:rPr>
        <w:t>.</w:t>
      </w:r>
      <w:r w:rsidR="00F71D65" w:rsidRPr="00165833">
        <w:rPr>
          <w:rFonts w:ascii="Book Antiqua" w:hAnsi="Book Antiqua"/>
        </w:rPr>
        <w:t>06. However, the CBD dilation should always be interpreted according to patient characteristics, particularly pre</w:t>
      </w:r>
      <w:r w:rsidR="003E465E" w:rsidRPr="00165833">
        <w:rPr>
          <w:rFonts w:ascii="Book Antiqua" w:hAnsi="Book Antiqua"/>
        </w:rPr>
        <w:t xml:space="preserve">vious </w:t>
      </w:r>
      <w:r w:rsidR="00BB03AA" w:rsidRPr="00165833">
        <w:rPr>
          <w:rFonts w:ascii="Book Antiqua" w:hAnsi="Book Antiqua"/>
        </w:rPr>
        <w:t>cholecystectomy</w:t>
      </w:r>
      <w:r w:rsidR="003E465E" w:rsidRPr="00165833">
        <w:rPr>
          <w:rFonts w:ascii="Book Antiqua" w:hAnsi="Book Antiqua"/>
        </w:rPr>
        <w:t xml:space="preserve"> and </w:t>
      </w:r>
      <w:proofErr w:type="gramStart"/>
      <w:r w:rsidR="003E465E" w:rsidRPr="00165833">
        <w:rPr>
          <w:rFonts w:ascii="Book Antiqua" w:hAnsi="Book Antiqua"/>
        </w:rPr>
        <w:t>age</w:t>
      </w:r>
      <w:r w:rsidR="00601694" w:rsidRPr="00165833">
        <w:rPr>
          <w:rFonts w:ascii="Book Antiqua" w:hAnsi="Book Antiqua"/>
          <w:vertAlign w:val="superscript"/>
        </w:rPr>
        <w:t>[</w:t>
      </w:r>
      <w:proofErr w:type="gramEnd"/>
      <w:r w:rsidR="00F71D65" w:rsidRPr="00165833">
        <w:rPr>
          <w:rFonts w:ascii="Book Antiqua" w:hAnsi="Book Antiqua"/>
          <w:vertAlign w:val="superscript"/>
        </w:rPr>
        <w:t>19-21</w:t>
      </w:r>
      <w:r w:rsidR="00601694" w:rsidRPr="00165833">
        <w:rPr>
          <w:rFonts w:ascii="Book Antiqua" w:hAnsi="Book Antiqua"/>
          <w:vertAlign w:val="superscript"/>
        </w:rPr>
        <w:t>]</w:t>
      </w:r>
      <w:r w:rsidR="00F71D65" w:rsidRPr="00165833">
        <w:rPr>
          <w:rFonts w:ascii="Book Antiqua" w:hAnsi="Book Antiqua"/>
        </w:rPr>
        <w:t xml:space="preserve">. </w:t>
      </w:r>
      <w:r w:rsidR="00040996" w:rsidRPr="00165833">
        <w:rPr>
          <w:rFonts w:ascii="Book Antiqua" w:hAnsi="Book Antiqua"/>
        </w:rPr>
        <w:t xml:space="preserve">Previous </w:t>
      </w:r>
      <w:proofErr w:type="gramStart"/>
      <w:r w:rsidR="00040996" w:rsidRPr="00165833">
        <w:rPr>
          <w:rFonts w:ascii="Book Antiqua" w:hAnsi="Book Antiqua"/>
        </w:rPr>
        <w:t>studies</w:t>
      </w:r>
      <w:r w:rsidR="00601694" w:rsidRPr="00165833">
        <w:rPr>
          <w:rFonts w:ascii="Book Antiqua" w:hAnsi="Book Antiqua"/>
          <w:vertAlign w:val="superscript"/>
        </w:rPr>
        <w:t>[</w:t>
      </w:r>
      <w:proofErr w:type="gramEnd"/>
      <w:r w:rsidR="00165833">
        <w:rPr>
          <w:rFonts w:ascii="Book Antiqua" w:hAnsi="Book Antiqua"/>
          <w:vertAlign w:val="superscript"/>
        </w:rPr>
        <w:t>15-17,22,</w:t>
      </w:r>
      <w:r w:rsidR="00F71D65" w:rsidRPr="00165833">
        <w:rPr>
          <w:rFonts w:ascii="Book Antiqua" w:hAnsi="Book Antiqua"/>
          <w:vertAlign w:val="superscript"/>
        </w:rPr>
        <w:t>23</w:t>
      </w:r>
      <w:r w:rsidR="00601694" w:rsidRPr="00165833">
        <w:rPr>
          <w:rFonts w:ascii="Book Antiqua" w:hAnsi="Book Antiqua"/>
          <w:vertAlign w:val="superscript"/>
        </w:rPr>
        <w:t>]</w:t>
      </w:r>
      <w:r w:rsidR="00F71D65" w:rsidRPr="00165833">
        <w:rPr>
          <w:rFonts w:ascii="Book Antiqua" w:hAnsi="Book Antiqua"/>
        </w:rPr>
        <w:t xml:space="preserve"> have reported some utility of serum bilirubin levels as a predictor of CBD stones. </w:t>
      </w:r>
      <w:r w:rsidR="005E15D5" w:rsidRPr="00165833">
        <w:rPr>
          <w:rFonts w:ascii="Book Antiqua" w:hAnsi="Book Antiqua"/>
        </w:rPr>
        <w:t xml:space="preserve">In this </w:t>
      </w:r>
      <w:r w:rsidR="00F71D65" w:rsidRPr="00165833">
        <w:rPr>
          <w:rFonts w:ascii="Book Antiqua" w:hAnsi="Book Antiqua"/>
        </w:rPr>
        <w:t xml:space="preserve">study, a bilirubin </w:t>
      </w:r>
      <w:r w:rsidR="00BA735D" w:rsidRPr="00165833">
        <w:rPr>
          <w:rFonts w:ascii="Book Antiqua" w:hAnsi="Book Antiqua"/>
        </w:rPr>
        <w:t xml:space="preserve">value </w:t>
      </w:r>
      <w:r w:rsidR="00F71D65" w:rsidRPr="00165833">
        <w:rPr>
          <w:rFonts w:ascii="Book Antiqua" w:hAnsi="Book Antiqua"/>
        </w:rPr>
        <w:t>between 1</w:t>
      </w:r>
      <w:r w:rsidR="0050186C" w:rsidRPr="00165833">
        <w:rPr>
          <w:rFonts w:ascii="Book Antiqua" w:hAnsi="Book Antiqua"/>
        </w:rPr>
        <w:t>.</w:t>
      </w:r>
      <w:r w:rsidR="00F71D65" w:rsidRPr="00165833">
        <w:rPr>
          <w:rFonts w:ascii="Book Antiqua" w:hAnsi="Book Antiqua"/>
        </w:rPr>
        <w:t>8-4g/dl had a</w:t>
      </w:r>
      <w:r w:rsidR="001B050B" w:rsidRPr="00165833">
        <w:rPr>
          <w:rFonts w:ascii="Book Antiqua" w:hAnsi="Book Antiqua"/>
        </w:rPr>
        <w:t>n</w:t>
      </w:r>
      <w:r w:rsidR="00F71D65" w:rsidRPr="00165833">
        <w:rPr>
          <w:rFonts w:ascii="Book Antiqua" w:hAnsi="Book Antiqua"/>
        </w:rPr>
        <w:t xml:space="preserve"> </w:t>
      </w:r>
      <w:r w:rsidR="00165833">
        <w:rPr>
          <w:rFonts w:ascii="Book Antiqua" w:eastAsiaTheme="minorEastAsia" w:hAnsi="Book Antiqua" w:hint="eastAsia"/>
          <w:lang w:eastAsia="zh-CN"/>
        </w:rPr>
        <w:t xml:space="preserve">OR </w:t>
      </w:r>
      <w:r w:rsidR="0050186C" w:rsidRPr="00165833">
        <w:rPr>
          <w:rFonts w:ascii="Book Antiqua" w:hAnsi="Book Antiqua"/>
        </w:rPr>
        <w:t>of 3.</w:t>
      </w:r>
      <w:r w:rsidR="00F71D65" w:rsidRPr="00165833">
        <w:rPr>
          <w:rFonts w:ascii="Book Antiqua" w:hAnsi="Book Antiqua"/>
        </w:rPr>
        <w:t xml:space="preserve">15 </w:t>
      </w:r>
      <w:r w:rsidR="00CE682F" w:rsidRPr="00165833">
        <w:rPr>
          <w:rFonts w:ascii="Book Antiqua" w:hAnsi="Book Antiqua"/>
        </w:rPr>
        <w:t xml:space="preserve">and </w:t>
      </w:r>
      <w:r w:rsidR="00E03E8F" w:rsidRPr="00165833">
        <w:rPr>
          <w:rFonts w:ascii="Book Antiqua" w:hAnsi="Book Antiqua"/>
        </w:rPr>
        <w:t xml:space="preserve">a </w:t>
      </w:r>
      <w:r w:rsidR="00CE682F" w:rsidRPr="00165833">
        <w:rPr>
          <w:rFonts w:ascii="Book Antiqua" w:hAnsi="Book Antiqua"/>
        </w:rPr>
        <w:t xml:space="preserve">specificity of 66.6% </w:t>
      </w:r>
      <w:r w:rsidR="00E03E8F" w:rsidRPr="00165833">
        <w:rPr>
          <w:rFonts w:ascii="Book Antiqua" w:hAnsi="Book Antiqua"/>
        </w:rPr>
        <w:t xml:space="preserve">for choledocolithiasis. The specificity </w:t>
      </w:r>
      <w:r w:rsidR="0074721C" w:rsidRPr="00165833">
        <w:rPr>
          <w:rFonts w:ascii="Book Antiqua" w:hAnsi="Book Antiqua"/>
        </w:rPr>
        <w:t xml:space="preserve">increased </w:t>
      </w:r>
      <w:r w:rsidR="00E03E8F" w:rsidRPr="00165833">
        <w:rPr>
          <w:rFonts w:ascii="Book Antiqua" w:hAnsi="Book Antiqua"/>
        </w:rPr>
        <w:t xml:space="preserve">to 70% </w:t>
      </w:r>
      <w:r w:rsidR="0074721C" w:rsidRPr="00165833">
        <w:rPr>
          <w:rFonts w:ascii="Book Antiqua" w:hAnsi="Book Antiqua"/>
        </w:rPr>
        <w:t>when the</w:t>
      </w:r>
      <w:r w:rsidR="00E03E8F" w:rsidRPr="00165833">
        <w:rPr>
          <w:rFonts w:ascii="Book Antiqua" w:hAnsi="Book Antiqua"/>
        </w:rPr>
        <w:t xml:space="preserve"> bilirrubin value</w:t>
      </w:r>
      <w:r w:rsidR="0074721C" w:rsidRPr="00165833">
        <w:rPr>
          <w:rFonts w:ascii="Book Antiqua" w:hAnsi="Book Antiqua"/>
        </w:rPr>
        <w:t xml:space="preserve"> was</w:t>
      </w:r>
      <w:r w:rsidR="00E03E8F" w:rsidRPr="00165833">
        <w:rPr>
          <w:rFonts w:ascii="Book Antiqua" w:hAnsi="Book Antiqua"/>
        </w:rPr>
        <w:t xml:space="preserve"> &gt;</w:t>
      </w:r>
      <w:r w:rsidR="00165833">
        <w:rPr>
          <w:rFonts w:ascii="Book Antiqua" w:eastAsiaTheme="minorEastAsia" w:hAnsi="Book Antiqua" w:hint="eastAsia"/>
          <w:lang w:eastAsia="zh-CN"/>
        </w:rPr>
        <w:t xml:space="preserve"> </w:t>
      </w:r>
      <w:r w:rsidR="00E03E8F" w:rsidRPr="00165833">
        <w:rPr>
          <w:rFonts w:ascii="Book Antiqua" w:hAnsi="Book Antiqua"/>
        </w:rPr>
        <w:t xml:space="preserve">4 mg/dL. These results are in agreement with those previously reported by ASGE </w:t>
      </w:r>
      <w:proofErr w:type="gramStart"/>
      <w:r w:rsidR="00E03E8F" w:rsidRPr="00165833">
        <w:rPr>
          <w:rFonts w:ascii="Book Antiqua" w:hAnsi="Book Antiqua"/>
        </w:rPr>
        <w:t>guidelines</w:t>
      </w:r>
      <w:r w:rsidR="00E03E8F" w:rsidRPr="00165833">
        <w:rPr>
          <w:rFonts w:ascii="Book Antiqua" w:hAnsi="Book Antiqua"/>
          <w:vertAlign w:val="superscript"/>
        </w:rPr>
        <w:t>[</w:t>
      </w:r>
      <w:proofErr w:type="gramEnd"/>
      <w:r w:rsidR="00E03E8F" w:rsidRPr="00165833">
        <w:rPr>
          <w:rFonts w:ascii="Book Antiqua" w:hAnsi="Book Antiqua"/>
          <w:vertAlign w:val="superscript"/>
        </w:rPr>
        <w:t>12]</w:t>
      </w:r>
      <w:r w:rsidR="00E03E8F" w:rsidRPr="00165833">
        <w:rPr>
          <w:rFonts w:ascii="Book Antiqua" w:hAnsi="Book Antiqua"/>
        </w:rPr>
        <w:t>.</w:t>
      </w:r>
    </w:p>
    <w:p w:rsidR="005C6B81" w:rsidRPr="00165833" w:rsidRDefault="00F71D65" w:rsidP="00165833">
      <w:pPr>
        <w:autoSpaceDE w:val="0"/>
        <w:autoSpaceDN w:val="0"/>
        <w:adjustRightInd w:val="0"/>
        <w:spacing w:line="360" w:lineRule="auto"/>
        <w:ind w:firstLineChars="100" w:firstLine="240"/>
        <w:jc w:val="both"/>
        <w:rPr>
          <w:rFonts w:ascii="Book Antiqua" w:hAnsi="Book Antiqua"/>
        </w:rPr>
      </w:pPr>
      <w:r w:rsidRPr="00165833">
        <w:rPr>
          <w:rFonts w:ascii="Book Antiqua" w:hAnsi="Book Antiqua"/>
        </w:rPr>
        <w:t>Individually, moderate predictors, such as abnormal liver function test and age &gt;</w:t>
      </w:r>
      <w:r w:rsidR="00165833">
        <w:rPr>
          <w:rFonts w:ascii="Book Antiqua" w:eastAsiaTheme="minorEastAsia" w:hAnsi="Book Antiqua" w:hint="eastAsia"/>
          <w:lang w:eastAsia="zh-CN"/>
        </w:rPr>
        <w:t xml:space="preserve"> </w:t>
      </w:r>
      <w:r w:rsidRPr="00165833">
        <w:rPr>
          <w:rFonts w:ascii="Book Antiqua" w:hAnsi="Book Antiqua"/>
        </w:rPr>
        <w:t>55 years, presented a statistically significant association with the presence of choledocholithiasis in our</w:t>
      </w:r>
      <w:r w:rsidR="00D774EF" w:rsidRPr="00165833">
        <w:rPr>
          <w:rFonts w:ascii="Book Antiqua" w:hAnsi="Book Antiqua"/>
        </w:rPr>
        <w:t xml:space="preserve"> series and a sensitivity of 89.9% and 79.</w:t>
      </w:r>
      <w:r w:rsidRPr="00165833">
        <w:rPr>
          <w:rFonts w:ascii="Book Antiqua" w:hAnsi="Book Antiqua"/>
        </w:rPr>
        <w:t>3% for the prediction of choledocholithiasis on ER</w:t>
      </w:r>
      <w:r w:rsidR="00040996" w:rsidRPr="00165833">
        <w:rPr>
          <w:rFonts w:ascii="Book Antiqua" w:hAnsi="Book Antiqua"/>
        </w:rPr>
        <w:t xml:space="preserve">CP. In a study by Barkun </w:t>
      </w:r>
      <w:r w:rsidR="00040996" w:rsidRPr="00165833">
        <w:rPr>
          <w:rFonts w:ascii="Book Antiqua" w:hAnsi="Book Antiqua"/>
          <w:i/>
        </w:rPr>
        <w:t xml:space="preserve">et </w:t>
      </w:r>
      <w:proofErr w:type="gramStart"/>
      <w:r w:rsidR="00040996" w:rsidRPr="00165833">
        <w:rPr>
          <w:rFonts w:ascii="Book Antiqua" w:hAnsi="Book Antiqua"/>
          <w:i/>
        </w:rPr>
        <w:t>al</w:t>
      </w:r>
      <w:r w:rsidR="00C46F5F" w:rsidRPr="00165833">
        <w:rPr>
          <w:rFonts w:ascii="Book Antiqua" w:hAnsi="Book Antiqua"/>
          <w:vertAlign w:val="superscript"/>
        </w:rPr>
        <w:t>[</w:t>
      </w:r>
      <w:proofErr w:type="gramEnd"/>
      <w:r w:rsidRPr="00165833">
        <w:rPr>
          <w:rFonts w:ascii="Book Antiqua" w:hAnsi="Book Antiqua"/>
          <w:vertAlign w:val="superscript"/>
        </w:rPr>
        <w:t>16</w:t>
      </w:r>
      <w:r w:rsidR="00C46F5F" w:rsidRPr="00165833">
        <w:rPr>
          <w:rFonts w:ascii="Book Antiqua" w:hAnsi="Book Antiqua"/>
          <w:vertAlign w:val="superscript"/>
        </w:rPr>
        <w:t>]</w:t>
      </w:r>
      <w:r w:rsidRPr="00165833">
        <w:rPr>
          <w:rFonts w:ascii="Book Antiqua" w:hAnsi="Book Antiqua"/>
        </w:rPr>
        <w:t>, abnormal liver function tests, such as alkaline phosphatase &gt;</w:t>
      </w:r>
      <w:r w:rsidR="00165833">
        <w:rPr>
          <w:rFonts w:ascii="Book Antiqua" w:eastAsiaTheme="minorEastAsia" w:hAnsi="Book Antiqua" w:hint="eastAsia"/>
          <w:lang w:eastAsia="zh-CN"/>
        </w:rPr>
        <w:t xml:space="preserve"> </w:t>
      </w:r>
      <w:r w:rsidRPr="00165833">
        <w:rPr>
          <w:rFonts w:ascii="Book Antiqua" w:hAnsi="Book Antiqua"/>
        </w:rPr>
        <w:t>300</w:t>
      </w:r>
      <w:r w:rsidR="00165833">
        <w:rPr>
          <w:rFonts w:ascii="Book Antiqua" w:eastAsiaTheme="minorEastAsia" w:hAnsi="Book Antiqua" w:hint="eastAsia"/>
          <w:lang w:eastAsia="zh-CN"/>
        </w:rPr>
        <w:t xml:space="preserve"> </w:t>
      </w:r>
      <w:r w:rsidRPr="00165833">
        <w:rPr>
          <w:rFonts w:ascii="Book Antiqua" w:hAnsi="Book Antiqua"/>
        </w:rPr>
        <w:t>units/L and AST</w:t>
      </w:r>
      <w:r w:rsidR="00165833">
        <w:rPr>
          <w:rFonts w:ascii="Book Antiqua" w:eastAsiaTheme="minorEastAsia" w:hAnsi="Book Antiqua" w:hint="eastAsia"/>
          <w:lang w:eastAsia="zh-CN"/>
        </w:rPr>
        <w:t xml:space="preserve"> </w:t>
      </w:r>
      <w:r w:rsidRPr="00165833">
        <w:rPr>
          <w:rFonts w:ascii="Book Antiqua" w:hAnsi="Book Antiqua"/>
        </w:rPr>
        <w:t>&gt;</w:t>
      </w:r>
      <w:r w:rsidR="00165833">
        <w:rPr>
          <w:rFonts w:ascii="Book Antiqua" w:eastAsiaTheme="minorEastAsia" w:hAnsi="Book Antiqua" w:hint="eastAsia"/>
          <w:lang w:eastAsia="zh-CN"/>
        </w:rPr>
        <w:t xml:space="preserve"> </w:t>
      </w:r>
      <w:r w:rsidRPr="00165833">
        <w:rPr>
          <w:rFonts w:ascii="Book Antiqua" w:hAnsi="Book Antiqua"/>
        </w:rPr>
        <w:t>120</w:t>
      </w:r>
      <w:r w:rsidR="00165833">
        <w:rPr>
          <w:rFonts w:ascii="Book Antiqua" w:eastAsiaTheme="minorEastAsia" w:hAnsi="Book Antiqua" w:hint="eastAsia"/>
          <w:lang w:eastAsia="zh-CN"/>
        </w:rPr>
        <w:t xml:space="preserve"> </w:t>
      </w:r>
      <w:r w:rsidRPr="00165833">
        <w:rPr>
          <w:rFonts w:ascii="Book Antiqua" w:hAnsi="Book Antiqua"/>
        </w:rPr>
        <w:t>units/L present a sensitivity of 79% and 81% to predict choledocholithiasis, respectively. At the same study, age &gt;</w:t>
      </w:r>
      <w:r w:rsidR="00165833">
        <w:rPr>
          <w:rFonts w:ascii="Book Antiqua" w:eastAsiaTheme="minorEastAsia" w:hAnsi="Book Antiqua" w:hint="eastAsia"/>
          <w:lang w:eastAsia="zh-CN"/>
        </w:rPr>
        <w:t xml:space="preserve"> </w:t>
      </w:r>
      <w:r w:rsidRPr="00165833">
        <w:rPr>
          <w:rFonts w:ascii="Book Antiqua" w:hAnsi="Book Antiqua"/>
        </w:rPr>
        <w:t xml:space="preserve">55 years, only presented a sensitivity of 57%, however, when combined with other predictors (elevated bilirubin and CBD dilation on US) the model predicted with 94% of probability the presence of choledocholithiasis. </w:t>
      </w:r>
    </w:p>
    <w:p w:rsidR="00F71D65" w:rsidRPr="00165833" w:rsidRDefault="00897006" w:rsidP="00165833">
      <w:pPr>
        <w:autoSpaceDE w:val="0"/>
        <w:autoSpaceDN w:val="0"/>
        <w:adjustRightInd w:val="0"/>
        <w:spacing w:line="360" w:lineRule="auto"/>
        <w:ind w:firstLineChars="100" w:firstLine="240"/>
        <w:jc w:val="both"/>
        <w:rPr>
          <w:rFonts w:ascii="Book Antiqua" w:hAnsi="Book Antiqua"/>
        </w:rPr>
      </w:pPr>
      <w:r w:rsidRPr="00165833">
        <w:rPr>
          <w:rFonts w:ascii="Book Antiqua" w:hAnsi="Book Antiqua"/>
        </w:rPr>
        <w:t>As previ</w:t>
      </w:r>
      <w:r w:rsidR="00165833">
        <w:rPr>
          <w:rFonts w:ascii="Book Antiqua" w:hAnsi="Book Antiqua"/>
        </w:rPr>
        <w:t xml:space="preserve">ously reported by other </w:t>
      </w:r>
      <w:proofErr w:type="gramStart"/>
      <w:r w:rsidR="00165833">
        <w:rPr>
          <w:rFonts w:ascii="Book Antiqua" w:hAnsi="Book Antiqua"/>
        </w:rPr>
        <w:t>authors</w:t>
      </w:r>
      <w:r w:rsidR="00811742" w:rsidRPr="00165833">
        <w:rPr>
          <w:rFonts w:ascii="Book Antiqua" w:hAnsi="Book Antiqua"/>
          <w:vertAlign w:val="superscript"/>
        </w:rPr>
        <w:t>[</w:t>
      </w:r>
      <w:proofErr w:type="gramEnd"/>
      <w:r w:rsidR="00F71D65" w:rsidRPr="00165833">
        <w:rPr>
          <w:rFonts w:ascii="Book Antiqua" w:hAnsi="Book Antiqua"/>
          <w:vertAlign w:val="superscript"/>
        </w:rPr>
        <w:t>13</w:t>
      </w:r>
      <w:r w:rsidR="00165833">
        <w:rPr>
          <w:rFonts w:ascii="Book Antiqua" w:hAnsi="Book Antiqua"/>
          <w:vertAlign w:val="superscript"/>
        </w:rPr>
        <w:t>,</w:t>
      </w:r>
      <w:r w:rsidRPr="00165833">
        <w:rPr>
          <w:rFonts w:ascii="Book Antiqua" w:hAnsi="Book Antiqua"/>
          <w:vertAlign w:val="superscript"/>
        </w:rPr>
        <w:t>24</w:t>
      </w:r>
      <w:r w:rsidR="00811742" w:rsidRPr="00165833">
        <w:rPr>
          <w:rFonts w:ascii="Book Antiqua" w:hAnsi="Book Antiqua"/>
          <w:vertAlign w:val="superscript"/>
        </w:rPr>
        <w:t>]</w:t>
      </w:r>
      <w:r w:rsidR="00F71D65" w:rsidRPr="00165833">
        <w:rPr>
          <w:rFonts w:ascii="Book Antiqua" w:hAnsi="Book Antiqua"/>
        </w:rPr>
        <w:t xml:space="preserve">, also in our </w:t>
      </w:r>
      <w:r w:rsidRPr="00165833">
        <w:rPr>
          <w:rFonts w:ascii="Book Antiqua" w:hAnsi="Book Antiqua"/>
        </w:rPr>
        <w:t xml:space="preserve">results </w:t>
      </w:r>
      <w:r w:rsidR="00F71D65" w:rsidRPr="00165833">
        <w:rPr>
          <w:rFonts w:ascii="Book Antiqua" w:hAnsi="Book Antiqua"/>
        </w:rPr>
        <w:t xml:space="preserve">the diagnosis of gallstone pancreatitis was not </w:t>
      </w:r>
      <w:r w:rsidR="00275571" w:rsidRPr="00165833">
        <w:rPr>
          <w:rFonts w:ascii="Book Antiqua" w:hAnsi="Book Antiqua"/>
        </w:rPr>
        <w:t>related</w:t>
      </w:r>
      <w:r w:rsidR="00F71D65" w:rsidRPr="00165833">
        <w:rPr>
          <w:rFonts w:ascii="Book Antiqua" w:hAnsi="Book Antiqua"/>
        </w:rPr>
        <w:t xml:space="preserve"> with </w:t>
      </w:r>
      <w:r w:rsidR="00275571" w:rsidRPr="00165833">
        <w:rPr>
          <w:rFonts w:ascii="Book Antiqua" w:hAnsi="Book Antiqua"/>
        </w:rPr>
        <w:t xml:space="preserve">the presence </w:t>
      </w:r>
      <w:r w:rsidR="00F71D65" w:rsidRPr="00165833">
        <w:rPr>
          <w:rFonts w:ascii="Book Antiqua" w:hAnsi="Book Antiqua"/>
        </w:rPr>
        <w:t xml:space="preserve">of </w:t>
      </w:r>
      <w:r w:rsidR="00275571" w:rsidRPr="00165833">
        <w:rPr>
          <w:rFonts w:ascii="Book Antiqua" w:hAnsi="Book Antiqua"/>
        </w:rPr>
        <w:t xml:space="preserve">choledocholithiasis at ERCP </w:t>
      </w:r>
      <w:r w:rsidR="00536188" w:rsidRPr="00165833">
        <w:rPr>
          <w:rFonts w:ascii="Book Antiqua" w:hAnsi="Book Antiqua"/>
        </w:rPr>
        <w:t>(</w:t>
      </w:r>
      <w:r w:rsidR="00536188" w:rsidRPr="00165833">
        <w:rPr>
          <w:rFonts w:ascii="Book Antiqua" w:hAnsi="Book Antiqua"/>
          <w:i/>
        </w:rPr>
        <w:t>P</w:t>
      </w:r>
      <w:r w:rsidR="00165833">
        <w:rPr>
          <w:rFonts w:ascii="Book Antiqua" w:eastAsiaTheme="minorEastAsia" w:hAnsi="Book Antiqua" w:hint="eastAsia"/>
          <w:i/>
          <w:lang w:eastAsia="zh-CN"/>
        </w:rPr>
        <w:t xml:space="preserve"> </w:t>
      </w:r>
      <w:r w:rsidR="00536188" w:rsidRPr="00165833">
        <w:rPr>
          <w:rFonts w:ascii="Book Antiqua" w:hAnsi="Book Antiqua"/>
        </w:rPr>
        <w:t>&gt;</w:t>
      </w:r>
      <w:r w:rsidR="00165833">
        <w:rPr>
          <w:rFonts w:ascii="Book Antiqua" w:eastAsiaTheme="minorEastAsia" w:hAnsi="Book Antiqua" w:hint="eastAsia"/>
          <w:lang w:eastAsia="zh-CN"/>
        </w:rPr>
        <w:t xml:space="preserve"> </w:t>
      </w:r>
      <w:r w:rsidR="00536188" w:rsidRPr="00165833">
        <w:rPr>
          <w:rFonts w:ascii="Book Antiqua" w:hAnsi="Book Antiqua"/>
        </w:rPr>
        <w:t>0.</w:t>
      </w:r>
      <w:r w:rsidR="00F71D65" w:rsidRPr="00165833">
        <w:rPr>
          <w:rFonts w:ascii="Book Antiqua" w:hAnsi="Book Antiqua"/>
        </w:rPr>
        <w:t xml:space="preserve">05). </w:t>
      </w:r>
      <w:r w:rsidR="00135AB2" w:rsidRPr="00165833">
        <w:rPr>
          <w:rFonts w:ascii="Book Antiqua" w:hAnsi="Book Antiqua"/>
        </w:rPr>
        <w:t xml:space="preserve">Stone size may be an explanation, as larger stones are less likely to </w:t>
      </w:r>
      <w:proofErr w:type="gramStart"/>
      <w:r w:rsidR="00135AB2" w:rsidRPr="00165833">
        <w:rPr>
          <w:rFonts w:ascii="Book Antiqua" w:hAnsi="Book Antiqua"/>
        </w:rPr>
        <w:t>migrate</w:t>
      </w:r>
      <w:r w:rsidR="00135AB2" w:rsidRPr="00165833">
        <w:rPr>
          <w:rFonts w:ascii="Book Antiqua" w:hAnsi="Book Antiqua"/>
          <w:vertAlign w:val="superscript"/>
        </w:rPr>
        <w:t>[</w:t>
      </w:r>
      <w:proofErr w:type="gramEnd"/>
      <w:r w:rsidR="00D14BEE" w:rsidRPr="00165833">
        <w:rPr>
          <w:rFonts w:ascii="Book Antiqua" w:hAnsi="Book Antiqua"/>
          <w:vertAlign w:val="superscript"/>
        </w:rPr>
        <w:t>24</w:t>
      </w:r>
      <w:r w:rsidR="00135AB2" w:rsidRPr="00165833">
        <w:rPr>
          <w:rFonts w:ascii="Book Antiqua" w:hAnsi="Book Antiqua"/>
          <w:vertAlign w:val="superscript"/>
        </w:rPr>
        <w:t>]</w:t>
      </w:r>
      <w:r w:rsidR="00135AB2" w:rsidRPr="00165833">
        <w:rPr>
          <w:rFonts w:ascii="Book Antiqua" w:hAnsi="Book Antiqua"/>
        </w:rPr>
        <w:t xml:space="preserve"> and the small gallstones, that most commonly</w:t>
      </w:r>
      <w:r w:rsidR="00165833">
        <w:rPr>
          <w:rFonts w:ascii="Book Antiqua" w:hAnsi="Book Antiqua"/>
        </w:rPr>
        <w:t xml:space="preserve"> are the source of pancreatitis</w:t>
      </w:r>
      <w:r w:rsidR="00D14BEE" w:rsidRPr="00165833">
        <w:rPr>
          <w:rFonts w:ascii="Book Antiqua" w:hAnsi="Book Antiqua"/>
          <w:vertAlign w:val="superscript"/>
        </w:rPr>
        <w:t>[25</w:t>
      </w:r>
      <w:r w:rsidR="00135AB2" w:rsidRPr="00165833">
        <w:rPr>
          <w:rFonts w:ascii="Book Antiqua" w:hAnsi="Book Antiqua"/>
          <w:vertAlign w:val="superscript"/>
        </w:rPr>
        <w:t>]</w:t>
      </w:r>
      <w:r w:rsidR="0007671D" w:rsidRPr="00165833">
        <w:rPr>
          <w:rFonts w:ascii="Book Antiqua" w:hAnsi="Book Antiqua"/>
        </w:rPr>
        <w:t>, f</w:t>
      </w:r>
      <w:r w:rsidR="00135AB2" w:rsidRPr="00165833">
        <w:rPr>
          <w:rFonts w:ascii="Book Antiqua" w:hAnsi="Book Antiqua"/>
        </w:rPr>
        <w:t xml:space="preserve">requently pass </w:t>
      </w:r>
      <w:r w:rsidR="000627CC" w:rsidRPr="00165833">
        <w:rPr>
          <w:rFonts w:ascii="Book Antiqua" w:hAnsi="Book Antiqua"/>
        </w:rPr>
        <w:t>spontaneously</w:t>
      </w:r>
      <w:r w:rsidR="00135AB2" w:rsidRPr="00165833">
        <w:rPr>
          <w:rFonts w:ascii="Book Antiqua" w:hAnsi="Book Antiqua"/>
        </w:rPr>
        <w:t xml:space="preserve">. </w:t>
      </w:r>
      <w:r w:rsidR="00F71D65" w:rsidRPr="00165833">
        <w:rPr>
          <w:rFonts w:ascii="Book Antiqua" w:hAnsi="Book Antiqua"/>
        </w:rPr>
        <w:t>Some studies have reported that</w:t>
      </w:r>
      <w:r w:rsidR="000627CC" w:rsidRPr="00165833">
        <w:rPr>
          <w:rFonts w:ascii="Book Antiqua" w:hAnsi="Book Antiqua"/>
        </w:rPr>
        <w:t xml:space="preserve"> in the absence of cholangitis, patients with gallstone pancreatitis</w:t>
      </w:r>
      <w:r w:rsidR="00165833">
        <w:rPr>
          <w:rFonts w:ascii="Book Antiqua" w:hAnsi="Book Antiqua"/>
        </w:rPr>
        <w:t xml:space="preserve"> do not benefit from early </w:t>
      </w:r>
      <w:proofErr w:type="gramStart"/>
      <w:r w:rsidR="00165833">
        <w:rPr>
          <w:rFonts w:ascii="Book Antiqua" w:hAnsi="Book Antiqua"/>
        </w:rPr>
        <w:t>ERCP</w:t>
      </w:r>
      <w:r w:rsidR="00811742" w:rsidRPr="00165833">
        <w:rPr>
          <w:rFonts w:ascii="Book Antiqua" w:hAnsi="Book Antiqua"/>
          <w:vertAlign w:val="superscript"/>
        </w:rPr>
        <w:t>[</w:t>
      </w:r>
      <w:proofErr w:type="gramEnd"/>
      <w:r w:rsidR="000627CC" w:rsidRPr="00165833">
        <w:rPr>
          <w:rFonts w:ascii="Book Antiqua" w:hAnsi="Book Antiqua"/>
          <w:vertAlign w:val="superscript"/>
        </w:rPr>
        <w:t>2</w:t>
      </w:r>
      <w:r w:rsidR="00D14BEE" w:rsidRPr="00165833">
        <w:rPr>
          <w:rFonts w:ascii="Book Antiqua" w:hAnsi="Book Antiqua"/>
          <w:vertAlign w:val="superscript"/>
        </w:rPr>
        <w:t>6</w:t>
      </w:r>
      <w:r w:rsidR="00165833">
        <w:rPr>
          <w:rFonts w:ascii="Book Antiqua" w:hAnsi="Book Antiqua"/>
          <w:vertAlign w:val="superscript"/>
        </w:rPr>
        <w:t>,</w:t>
      </w:r>
      <w:r w:rsidR="00F71D65" w:rsidRPr="00165833">
        <w:rPr>
          <w:rFonts w:ascii="Book Antiqua" w:hAnsi="Book Antiqua"/>
          <w:vertAlign w:val="superscript"/>
        </w:rPr>
        <w:t>27</w:t>
      </w:r>
      <w:r w:rsidR="00811742" w:rsidRPr="00165833">
        <w:rPr>
          <w:rFonts w:ascii="Book Antiqua" w:hAnsi="Book Antiqua"/>
          <w:vertAlign w:val="superscript"/>
        </w:rPr>
        <w:t>]</w:t>
      </w:r>
      <w:r w:rsidR="00F71D65" w:rsidRPr="00165833">
        <w:rPr>
          <w:rFonts w:ascii="Book Antiqua" w:hAnsi="Book Antiqua"/>
        </w:rPr>
        <w:t xml:space="preserve">. </w:t>
      </w:r>
    </w:p>
    <w:p w:rsidR="00C6177F" w:rsidRPr="00165833" w:rsidRDefault="001420A1" w:rsidP="00165833">
      <w:pPr>
        <w:autoSpaceDE w:val="0"/>
        <w:autoSpaceDN w:val="0"/>
        <w:adjustRightInd w:val="0"/>
        <w:spacing w:line="360" w:lineRule="auto"/>
        <w:ind w:firstLineChars="100" w:firstLine="240"/>
        <w:jc w:val="both"/>
        <w:rPr>
          <w:rFonts w:ascii="Book Antiqua" w:eastAsiaTheme="minorEastAsia" w:hAnsi="Book Antiqua"/>
          <w:lang w:eastAsia="zh-CN"/>
        </w:rPr>
      </w:pPr>
      <w:r w:rsidRPr="00165833">
        <w:rPr>
          <w:rFonts w:ascii="Book Antiqua" w:hAnsi="Book Antiqua"/>
        </w:rPr>
        <w:t>In patients stratified into the</w:t>
      </w:r>
      <w:r w:rsidR="00F71D65" w:rsidRPr="00165833">
        <w:rPr>
          <w:rFonts w:ascii="Book Antiqua" w:hAnsi="Book Antiqua"/>
        </w:rPr>
        <w:t xml:space="preserve"> intermediate and low risk </w:t>
      </w:r>
      <w:r w:rsidR="00BB4193" w:rsidRPr="00165833">
        <w:rPr>
          <w:rFonts w:ascii="Book Antiqua" w:hAnsi="Book Antiqua"/>
        </w:rPr>
        <w:t xml:space="preserve">group, </w:t>
      </w:r>
      <w:r w:rsidR="00F71D65" w:rsidRPr="00165833">
        <w:rPr>
          <w:rFonts w:ascii="Book Antiqua" w:hAnsi="Book Antiqua"/>
        </w:rPr>
        <w:t>the proba</w:t>
      </w:r>
      <w:r w:rsidRPr="00165833">
        <w:rPr>
          <w:rFonts w:ascii="Book Antiqua" w:hAnsi="Book Antiqua"/>
        </w:rPr>
        <w:t>b</w:t>
      </w:r>
      <w:r w:rsidR="008C560E" w:rsidRPr="00165833">
        <w:rPr>
          <w:rFonts w:ascii="Book Antiqua" w:hAnsi="Book Antiqua"/>
        </w:rPr>
        <w:t>ility of choledocholithiasis is</w:t>
      </w:r>
      <w:r w:rsidR="00F71D65" w:rsidRPr="00165833">
        <w:rPr>
          <w:rFonts w:ascii="Book Antiqua" w:hAnsi="Book Antiqua"/>
        </w:rPr>
        <w:t xml:space="preserve"> 10</w:t>
      </w:r>
      <w:r w:rsidR="00165833">
        <w:rPr>
          <w:rFonts w:ascii="Book Antiqua" w:eastAsiaTheme="minorEastAsia" w:hAnsi="Book Antiqua" w:hint="eastAsia"/>
          <w:lang w:eastAsia="zh-CN"/>
        </w:rPr>
        <w:t>%</w:t>
      </w:r>
      <w:r w:rsidR="00F71D65" w:rsidRPr="00165833">
        <w:rPr>
          <w:rFonts w:ascii="Book Antiqua" w:hAnsi="Book Antiqua"/>
        </w:rPr>
        <w:t>-50% and &lt;</w:t>
      </w:r>
      <w:r w:rsidR="00165833">
        <w:rPr>
          <w:rFonts w:ascii="Book Antiqua" w:eastAsiaTheme="minorEastAsia" w:hAnsi="Book Antiqua" w:hint="eastAsia"/>
          <w:lang w:eastAsia="zh-CN"/>
        </w:rPr>
        <w:t xml:space="preserve"> </w:t>
      </w:r>
      <w:r w:rsidR="00F71D65" w:rsidRPr="00165833">
        <w:rPr>
          <w:rFonts w:ascii="Book Antiqua" w:hAnsi="Book Antiqua"/>
        </w:rPr>
        <w:t>10</w:t>
      </w:r>
      <w:r w:rsidR="00040996" w:rsidRPr="00165833">
        <w:rPr>
          <w:rFonts w:ascii="Book Antiqua" w:hAnsi="Book Antiqua"/>
        </w:rPr>
        <w:t xml:space="preserve">%, </w:t>
      </w:r>
      <w:proofErr w:type="gramStart"/>
      <w:r w:rsidR="00040996" w:rsidRPr="00165833">
        <w:rPr>
          <w:rFonts w:ascii="Book Antiqua" w:hAnsi="Book Antiqua"/>
        </w:rPr>
        <w:t>respectively</w:t>
      </w:r>
      <w:r w:rsidR="00811742" w:rsidRPr="00165833">
        <w:rPr>
          <w:rFonts w:ascii="Book Antiqua" w:hAnsi="Book Antiqua"/>
          <w:vertAlign w:val="superscript"/>
        </w:rPr>
        <w:t>[</w:t>
      </w:r>
      <w:proofErr w:type="gramEnd"/>
      <w:r w:rsidR="00F71D65" w:rsidRPr="00165833">
        <w:rPr>
          <w:rFonts w:ascii="Book Antiqua" w:hAnsi="Book Antiqua"/>
          <w:vertAlign w:val="superscript"/>
        </w:rPr>
        <w:t>12</w:t>
      </w:r>
      <w:r w:rsidR="00811742" w:rsidRPr="00165833">
        <w:rPr>
          <w:rFonts w:ascii="Book Antiqua" w:hAnsi="Book Antiqua"/>
          <w:vertAlign w:val="superscript"/>
        </w:rPr>
        <w:t>]</w:t>
      </w:r>
      <w:r w:rsidRPr="00165833">
        <w:rPr>
          <w:rFonts w:ascii="Book Antiqua" w:hAnsi="Book Antiqua"/>
        </w:rPr>
        <w:t>. In this</w:t>
      </w:r>
      <w:r w:rsidR="00F71D65" w:rsidRPr="00165833">
        <w:rPr>
          <w:rFonts w:ascii="Book Antiqua" w:hAnsi="Book Antiqua"/>
        </w:rPr>
        <w:t xml:space="preserve"> study</w:t>
      </w:r>
      <w:r w:rsidR="008C560E" w:rsidRPr="00165833">
        <w:rPr>
          <w:rFonts w:ascii="Book Antiqua" w:hAnsi="Book Antiqua"/>
        </w:rPr>
        <w:t>,</w:t>
      </w:r>
      <w:r w:rsidR="00F71D65" w:rsidRPr="00165833">
        <w:rPr>
          <w:rFonts w:ascii="Book Antiqua" w:hAnsi="Book Antiqua"/>
        </w:rPr>
        <w:t xml:space="preserve"> the probability of choledocholithia</w:t>
      </w:r>
      <w:r w:rsidR="00536188" w:rsidRPr="00165833">
        <w:rPr>
          <w:rFonts w:ascii="Book Antiqua" w:hAnsi="Book Antiqua"/>
        </w:rPr>
        <w:t>sis was 34.</w:t>
      </w:r>
      <w:r w:rsidR="00F71D65" w:rsidRPr="00165833">
        <w:rPr>
          <w:rFonts w:ascii="Book Antiqua" w:hAnsi="Book Antiqua"/>
        </w:rPr>
        <w:t xml:space="preserve">2% (25/73) and 0 (0/2) for intermediate and low risk groups, respectively. </w:t>
      </w:r>
      <w:r w:rsidR="0076168A" w:rsidRPr="00165833">
        <w:rPr>
          <w:rFonts w:ascii="Book Antiqua" w:hAnsi="Book Antiqua"/>
        </w:rPr>
        <w:t>For these risk groups the sensitivity, specificity, PPV and NPV</w:t>
      </w:r>
      <w:r w:rsidR="00383237" w:rsidRPr="00165833">
        <w:rPr>
          <w:rFonts w:ascii="Book Antiqua" w:hAnsi="Book Antiqua"/>
        </w:rPr>
        <w:t xml:space="preserve"> did not show values with clinical interest</w:t>
      </w:r>
      <w:r w:rsidR="0076168A" w:rsidRPr="00165833">
        <w:rPr>
          <w:rFonts w:ascii="Book Antiqua" w:hAnsi="Book Antiqua"/>
        </w:rPr>
        <w:t xml:space="preserve">. </w:t>
      </w:r>
      <w:r w:rsidR="00F71D65" w:rsidRPr="00165833">
        <w:rPr>
          <w:rFonts w:ascii="Book Antiqua" w:hAnsi="Book Antiqua"/>
        </w:rPr>
        <w:t>In the intermedia</w:t>
      </w:r>
      <w:r w:rsidR="00040996" w:rsidRPr="00165833">
        <w:rPr>
          <w:rFonts w:ascii="Book Antiqua" w:hAnsi="Book Antiqua"/>
        </w:rPr>
        <w:t xml:space="preserve">te risk group, ASGE </w:t>
      </w:r>
      <w:proofErr w:type="gramStart"/>
      <w:r w:rsidR="00040996" w:rsidRPr="00165833">
        <w:rPr>
          <w:rFonts w:ascii="Book Antiqua" w:hAnsi="Book Antiqua"/>
        </w:rPr>
        <w:t>guidelines</w:t>
      </w:r>
      <w:r w:rsidR="00811742" w:rsidRPr="00165833">
        <w:rPr>
          <w:rFonts w:ascii="Book Antiqua" w:hAnsi="Book Antiqua"/>
          <w:vertAlign w:val="superscript"/>
        </w:rPr>
        <w:t>[</w:t>
      </w:r>
      <w:proofErr w:type="gramEnd"/>
      <w:r w:rsidR="00F71D65" w:rsidRPr="00165833">
        <w:rPr>
          <w:rFonts w:ascii="Book Antiqua" w:hAnsi="Book Antiqua"/>
          <w:vertAlign w:val="superscript"/>
        </w:rPr>
        <w:t>12</w:t>
      </w:r>
      <w:r w:rsidR="00811742" w:rsidRPr="00165833">
        <w:rPr>
          <w:rFonts w:ascii="Book Antiqua" w:hAnsi="Book Antiqua"/>
          <w:vertAlign w:val="superscript"/>
        </w:rPr>
        <w:t>]</w:t>
      </w:r>
      <w:r w:rsidR="00F71D65" w:rsidRPr="00165833">
        <w:rPr>
          <w:rFonts w:ascii="Book Antiqua" w:hAnsi="Book Antiqua"/>
        </w:rPr>
        <w:t xml:space="preserve"> recommended less invasive options for detecting choledocholithiasis, such as MRCP or EUS. The two techniques showed a good sensitivity and speci</w:t>
      </w:r>
      <w:r w:rsidR="00040996" w:rsidRPr="00165833">
        <w:rPr>
          <w:rFonts w:ascii="Book Antiqua" w:hAnsi="Book Antiqua"/>
        </w:rPr>
        <w:t xml:space="preserve">ficity for </w:t>
      </w:r>
      <w:proofErr w:type="gramStart"/>
      <w:r w:rsidR="00040996" w:rsidRPr="00165833">
        <w:rPr>
          <w:rFonts w:ascii="Book Antiqua" w:hAnsi="Book Antiqua"/>
        </w:rPr>
        <w:t>choledocholithiasis</w:t>
      </w:r>
      <w:r w:rsidR="00811742" w:rsidRPr="00165833">
        <w:rPr>
          <w:rFonts w:ascii="Book Antiqua" w:hAnsi="Book Antiqua"/>
          <w:vertAlign w:val="superscript"/>
        </w:rPr>
        <w:t>[</w:t>
      </w:r>
      <w:proofErr w:type="gramEnd"/>
      <w:r w:rsidR="00165833">
        <w:rPr>
          <w:rFonts w:ascii="Book Antiqua" w:hAnsi="Book Antiqua"/>
          <w:vertAlign w:val="superscript"/>
        </w:rPr>
        <w:t>28,</w:t>
      </w:r>
      <w:r w:rsidR="00F71D65" w:rsidRPr="00165833">
        <w:rPr>
          <w:rFonts w:ascii="Book Antiqua" w:hAnsi="Book Antiqua"/>
          <w:vertAlign w:val="superscript"/>
        </w:rPr>
        <w:t>29</w:t>
      </w:r>
      <w:r w:rsidR="00811742" w:rsidRPr="00165833">
        <w:rPr>
          <w:rFonts w:ascii="Book Antiqua" w:hAnsi="Book Antiqua"/>
          <w:vertAlign w:val="superscript"/>
        </w:rPr>
        <w:t>]</w:t>
      </w:r>
      <w:r w:rsidR="00F71D65" w:rsidRPr="00165833">
        <w:rPr>
          <w:rFonts w:ascii="Book Antiqua" w:hAnsi="Book Antiqua"/>
        </w:rPr>
        <w:t xml:space="preserve">, so deciding which test should be performed first depends on various factors such as availability, cost, patient-related factors and the suspicion for a small stone. Because it is noninvasive, MRCP is the first test performed to look for CBD stones. However, </w:t>
      </w:r>
      <w:r w:rsidR="00DC71F4" w:rsidRPr="00165833">
        <w:rPr>
          <w:rFonts w:ascii="Book Antiqua" w:hAnsi="Book Antiqua"/>
        </w:rPr>
        <w:t>for small CBD stones (&lt;</w:t>
      </w:r>
      <w:r w:rsidR="00165833">
        <w:rPr>
          <w:rFonts w:ascii="Book Antiqua" w:eastAsiaTheme="minorEastAsia" w:hAnsi="Book Antiqua" w:hint="eastAsia"/>
          <w:lang w:eastAsia="zh-CN"/>
        </w:rPr>
        <w:t xml:space="preserve"> </w:t>
      </w:r>
      <w:r w:rsidR="00DC71F4" w:rsidRPr="00165833">
        <w:rPr>
          <w:rFonts w:ascii="Book Antiqua" w:hAnsi="Book Antiqua"/>
        </w:rPr>
        <w:t>5</w:t>
      </w:r>
      <w:r w:rsidR="00165833">
        <w:rPr>
          <w:rFonts w:ascii="Book Antiqua" w:eastAsiaTheme="minorEastAsia" w:hAnsi="Book Antiqua" w:hint="eastAsia"/>
          <w:lang w:eastAsia="zh-CN"/>
        </w:rPr>
        <w:t xml:space="preserve"> </w:t>
      </w:r>
      <w:r w:rsidR="00DC71F4" w:rsidRPr="00165833">
        <w:rPr>
          <w:rFonts w:ascii="Book Antiqua" w:hAnsi="Book Antiqua"/>
        </w:rPr>
        <w:t xml:space="preserve">mm) </w:t>
      </w:r>
      <w:r w:rsidR="00F71D65" w:rsidRPr="00165833">
        <w:rPr>
          <w:rFonts w:ascii="Book Antiqua" w:hAnsi="Book Antiqua"/>
        </w:rPr>
        <w:t>the sensitivity of MRCP</w:t>
      </w:r>
      <w:r w:rsidR="00DA4B7E" w:rsidRPr="00165833">
        <w:rPr>
          <w:rFonts w:ascii="Book Antiqua" w:hAnsi="Book Antiqua"/>
        </w:rPr>
        <w:t xml:space="preserve"> is </w:t>
      </w:r>
      <w:proofErr w:type="gramStart"/>
      <w:r w:rsidR="00DA4B7E" w:rsidRPr="00165833">
        <w:rPr>
          <w:rFonts w:ascii="Book Antiqua" w:hAnsi="Book Antiqua"/>
        </w:rPr>
        <w:t>lower</w:t>
      </w:r>
      <w:r w:rsidR="00811742" w:rsidRPr="00165833">
        <w:rPr>
          <w:rFonts w:ascii="Book Antiqua" w:hAnsi="Book Antiqua"/>
          <w:vertAlign w:val="superscript"/>
        </w:rPr>
        <w:t>[</w:t>
      </w:r>
      <w:proofErr w:type="gramEnd"/>
      <w:r w:rsidR="00F71D65" w:rsidRPr="00165833">
        <w:rPr>
          <w:rFonts w:ascii="Book Antiqua" w:hAnsi="Book Antiqua"/>
          <w:vertAlign w:val="superscript"/>
        </w:rPr>
        <w:t>30</w:t>
      </w:r>
      <w:r w:rsidR="00811742" w:rsidRPr="00165833">
        <w:rPr>
          <w:rFonts w:ascii="Book Antiqua" w:hAnsi="Book Antiqua"/>
          <w:vertAlign w:val="superscript"/>
        </w:rPr>
        <w:t>]</w:t>
      </w:r>
      <w:r w:rsidR="00F71D65" w:rsidRPr="00165833">
        <w:rPr>
          <w:rFonts w:ascii="Book Antiqua" w:hAnsi="Book Antiqua"/>
        </w:rPr>
        <w:t xml:space="preserve">, so, if the MRCP is negative, but the suspicion for a common bile duct stone remains moderate to high, EUS is an appropriate next step. </w:t>
      </w:r>
    </w:p>
    <w:p w:rsidR="00F71D65" w:rsidRPr="00165833" w:rsidRDefault="00165833" w:rsidP="00165833">
      <w:pPr>
        <w:autoSpaceDE w:val="0"/>
        <w:autoSpaceDN w:val="0"/>
        <w:adjustRightInd w:val="0"/>
        <w:spacing w:line="360" w:lineRule="auto"/>
        <w:ind w:firstLineChars="100" w:firstLine="240"/>
        <w:jc w:val="both"/>
        <w:rPr>
          <w:rFonts w:ascii="Book Antiqua" w:eastAsiaTheme="minorEastAsia" w:hAnsi="Book Antiqua"/>
          <w:b/>
          <w:lang w:eastAsia="zh-CN"/>
        </w:rPr>
      </w:pPr>
      <w:r w:rsidRPr="00165833">
        <w:rPr>
          <w:rFonts w:ascii="Book Antiqua" w:eastAsiaTheme="minorEastAsia" w:hAnsi="Book Antiqua"/>
          <w:lang w:eastAsia="zh-CN"/>
        </w:rPr>
        <w:t>I</w:t>
      </w:r>
      <w:r w:rsidRPr="00165833">
        <w:rPr>
          <w:rFonts w:ascii="Book Antiqua" w:eastAsiaTheme="minorEastAsia" w:hAnsi="Book Antiqua" w:hint="eastAsia"/>
          <w:lang w:eastAsia="zh-CN"/>
        </w:rPr>
        <w:t xml:space="preserve">n conclusion, </w:t>
      </w:r>
      <w:r w:rsidRPr="00165833">
        <w:rPr>
          <w:rFonts w:ascii="Book Antiqua" w:hAnsi="Book Antiqua"/>
        </w:rPr>
        <w:t>o</w:t>
      </w:r>
      <w:r w:rsidR="00F71D65" w:rsidRPr="00165833">
        <w:rPr>
          <w:rFonts w:ascii="Book Antiqua" w:hAnsi="Book Antiqua"/>
        </w:rPr>
        <w:t>ur study confirms that the combination of choledocolithiasis predictors</w:t>
      </w:r>
      <w:r w:rsidR="00811742" w:rsidRPr="00165833">
        <w:rPr>
          <w:rFonts w:ascii="Book Antiqua" w:hAnsi="Book Antiqua"/>
        </w:rPr>
        <w:t xml:space="preserve">, according to ASGE </w:t>
      </w:r>
      <w:proofErr w:type="gramStart"/>
      <w:r w:rsidR="00A97A03" w:rsidRPr="00165833">
        <w:rPr>
          <w:rFonts w:ascii="Book Antiqua" w:hAnsi="Book Antiqua"/>
        </w:rPr>
        <w:t>guidelines</w:t>
      </w:r>
      <w:r w:rsidR="00811742" w:rsidRPr="00165833">
        <w:rPr>
          <w:rFonts w:ascii="Book Antiqua" w:hAnsi="Book Antiqua"/>
          <w:vertAlign w:val="superscript"/>
        </w:rPr>
        <w:t>[</w:t>
      </w:r>
      <w:proofErr w:type="gramEnd"/>
      <w:r w:rsidR="00F71D65" w:rsidRPr="00165833">
        <w:rPr>
          <w:rFonts w:ascii="Book Antiqua" w:hAnsi="Book Antiqua"/>
          <w:vertAlign w:val="superscript"/>
        </w:rPr>
        <w:t>12</w:t>
      </w:r>
      <w:r w:rsidR="00811742" w:rsidRPr="00165833">
        <w:rPr>
          <w:rFonts w:ascii="Book Antiqua" w:hAnsi="Book Antiqua"/>
          <w:vertAlign w:val="superscript"/>
        </w:rPr>
        <w:t>]</w:t>
      </w:r>
      <w:r w:rsidR="00F71D65" w:rsidRPr="00165833">
        <w:rPr>
          <w:rFonts w:ascii="Book Antiqua" w:hAnsi="Book Antiqua"/>
        </w:rPr>
        <w:t>, enables risk stratification of patients based on the likelihood for the presence of choledocholithiasis. However, for high risk patients th</w:t>
      </w:r>
      <w:r w:rsidR="00536188" w:rsidRPr="00165833">
        <w:rPr>
          <w:rFonts w:ascii="Book Antiqua" w:hAnsi="Book Antiqua"/>
        </w:rPr>
        <w:t>e specificity was still low (56.</w:t>
      </w:r>
      <w:r w:rsidR="00F71D65" w:rsidRPr="00165833">
        <w:rPr>
          <w:rFonts w:ascii="Book Antiqua" w:hAnsi="Book Antiqua"/>
        </w:rPr>
        <w:t>2%), with 39 patients</w:t>
      </w:r>
      <w:r w:rsidR="0028136A" w:rsidRPr="00165833">
        <w:rPr>
          <w:rFonts w:ascii="Book Antiqua" w:hAnsi="Book Antiqua"/>
        </w:rPr>
        <w:t xml:space="preserve"> (20%)</w:t>
      </w:r>
      <w:r w:rsidR="00F71D65" w:rsidRPr="00165833">
        <w:rPr>
          <w:rFonts w:ascii="Book Antiqua" w:hAnsi="Book Antiqua"/>
        </w:rPr>
        <w:t xml:space="preserve"> false positive, meaning that a significant proportion of patients will be submitted to ERCP unnecessarily. In the future, the inclusion of new predictors or different combinations of previous predictors will be essential to improve the classification of patients as high risk, obviating the need of other imaging tests (MRCP/EUS) before ERCP. However, at this point, it seems advisable that also “high risk” patients undergo further testing with MRCP and/or EUS before being submitted to ERCP, similarly to those patients with “intermediate risk”, while for patients with “low-risk” of choledocholithiasis a watchful waiting strategy seems adequate.</w:t>
      </w:r>
    </w:p>
    <w:p w:rsidR="00637D77" w:rsidRPr="00165833" w:rsidRDefault="00637D77" w:rsidP="00165833">
      <w:pPr>
        <w:spacing w:line="360" w:lineRule="auto"/>
        <w:jc w:val="both"/>
        <w:rPr>
          <w:rFonts w:ascii="Book Antiqua" w:hAnsi="Book Antiqua"/>
          <w:b/>
        </w:rPr>
      </w:pPr>
    </w:p>
    <w:p w:rsidR="00637D77" w:rsidRPr="00165833" w:rsidRDefault="001D7217" w:rsidP="00165833">
      <w:pPr>
        <w:spacing w:line="360" w:lineRule="auto"/>
        <w:jc w:val="both"/>
        <w:rPr>
          <w:rFonts w:ascii="Book Antiqua" w:eastAsiaTheme="minorEastAsia" w:hAnsi="Book Antiqua"/>
          <w:b/>
          <w:lang w:eastAsia="zh-CN"/>
        </w:rPr>
      </w:pPr>
      <w:r w:rsidRPr="00165833">
        <w:rPr>
          <w:rFonts w:ascii="Book Antiqua" w:eastAsiaTheme="minorEastAsia" w:hAnsi="Book Antiqua"/>
          <w:b/>
          <w:lang w:eastAsia="zh-CN"/>
        </w:rPr>
        <w:t>COMMENTS</w:t>
      </w:r>
    </w:p>
    <w:p w:rsidR="00637D77" w:rsidRPr="00165833" w:rsidRDefault="00E725D9" w:rsidP="00165833">
      <w:pPr>
        <w:spacing w:line="360" w:lineRule="auto"/>
        <w:jc w:val="both"/>
        <w:rPr>
          <w:rFonts w:ascii="Book Antiqua" w:hAnsi="Book Antiqua"/>
          <w:b/>
          <w:bCs/>
          <w:i/>
        </w:rPr>
      </w:pPr>
      <w:r w:rsidRPr="00165833">
        <w:rPr>
          <w:rFonts w:ascii="Book Antiqua" w:hAnsi="Book Antiqua"/>
          <w:b/>
          <w:bCs/>
          <w:i/>
        </w:rPr>
        <w:t>Background</w:t>
      </w:r>
    </w:p>
    <w:p w:rsidR="00E725D9" w:rsidRPr="00165833" w:rsidRDefault="002B7B7E" w:rsidP="00165833">
      <w:pPr>
        <w:spacing w:line="360" w:lineRule="auto"/>
        <w:jc w:val="both"/>
        <w:rPr>
          <w:rFonts w:ascii="Book Antiqua" w:hAnsi="Book Antiqua"/>
        </w:rPr>
      </w:pPr>
      <w:r w:rsidRPr="00165833">
        <w:rPr>
          <w:rFonts w:ascii="Book Antiqua" w:hAnsi="Book Antiqua"/>
        </w:rPr>
        <w:t xml:space="preserve">Patients suspected of having choledocholithiasis are diagnosed with a combination of laboratory tests and/or imaging studies. </w:t>
      </w:r>
      <w:r w:rsidR="00E725D9" w:rsidRPr="00165833">
        <w:rPr>
          <w:rFonts w:ascii="Book Antiqua" w:eastAsia="CenturySchoolbook" w:hAnsi="Book Antiqua"/>
        </w:rPr>
        <w:t xml:space="preserve">Endoscopic retrograde cholangiopancreatography </w:t>
      </w:r>
      <w:r w:rsidR="00F96F8F" w:rsidRPr="00165833">
        <w:rPr>
          <w:rFonts w:ascii="Book Antiqua" w:eastAsia="CenturySchoolbook" w:hAnsi="Book Antiqua"/>
        </w:rPr>
        <w:t xml:space="preserve">(ERCP) </w:t>
      </w:r>
      <w:r w:rsidR="00E725D9" w:rsidRPr="00165833">
        <w:rPr>
          <w:rFonts w:ascii="Book Antiqua" w:eastAsia="CenturySchoolbook" w:hAnsi="Book Antiqua"/>
        </w:rPr>
        <w:t>has been established as the standard method for the management of bile duct stones, but it may be associated with substantial morbidity and mortality.</w:t>
      </w:r>
      <w:r w:rsidR="00604D1D" w:rsidRPr="00165833">
        <w:rPr>
          <w:rFonts w:ascii="Book Antiqua" w:eastAsia="CenturySchoolbook" w:hAnsi="Book Antiqua"/>
        </w:rPr>
        <w:t xml:space="preserve"> In the evaluation of suspected choledocolithiasis, t</w:t>
      </w:r>
      <w:r w:rsidR="00E725D9" w:rsidRPr="00165833">
        <w:rPr>
          <w:rFonts w:ascii="Book Antiqua" w:hAnsi="Book Antiqua"/>
        </w:rPr>
        <w:t>he American Society for Gastrointestinal Endoscopy</w:t>
      </w:r>
      <w:r w:rsidR="00983713" w:rsidRPr="00165833">
        <w:rPr>
          <w:rFonts w:ascii="Book Antiqua" w:hAnsi="Book Antiqua"/>
        </w:rPr>
        <w:t xml:space="preserve"> (ASGE)</w:t>
      </w:r>
      <w:r w:rsidR="00E725D9" w:rsidRPr="00165833">
        <w:rPr>
          <w:rFonts w:ascii="Book Antiqua" w:hAnsi="Book Antiqua"/>
        </w:rPr>
        <w:t xml:space="preserve"> proposes to stratify a patient as high risk, intermediate risk or low risk for having choledocholithiasis. Subsequent management will vary depending on the patient’s level of risk.</w:t>
      </w:r>
    </w:p>
    <w:p w:rsidR="00C6177F" w:rsidRPr="00165833" w:rsidRDefault="00C6177F" w:rsidP="00165833">
      <w:pPr>
        <w:spacing w:line="360" w:lineRule="auto"/>
        <w:jc w:val="both"/>
        <w:rPr>
          <w:rFonts w:ascii="Book Antiqua" w:hAnsi="Book Antiqua"/>
          <w:b/>
          <w:bCs/>
        </w:rPr>
      </w:pPr>
    </w:p>
    <w:p w:rsidR="00E725D9" w:rsidRPr="00165833" w:rsidRDefault="00E725D9" w:rsidP="00165833">
      <w:pPr>
        <w:spacing w:line="360" w:lineRule="auto"/>
        <w:jc w:val="both"/>
        <w:rPr>
          <w:rFonts w:ascii="Book Antiqua" w:hAnsi="Book Antiqua"/>
          <w:b/>
          <w:bCs/>
          <w:i/>
        </w:rPr>
      </w:pPr>
      <w:r w:rsidRPr="00165833">
        <w:rPr>
          <w:rFonts w:ascii="Book Antiqua" w:hAnsi="Book Antiqua"/>
          <w:b/>
          <w:bCs/>
          <w:i/>
        </w:rPr>
        <w:t>Research frontiers</w:t>
      </w:r>
    </w:p>
    <w:p w:rsidR="00604D1D" w:rsidRPr="00165833" w:rsidRDefault="00604D1D" w:rsidP="00165833">
      <w:pPr>
        <w:spacing w:line="360" w:lineRule="auto"/>
        <w:jc w:val="both"/>
        <w:rPr>
          <w:rFonts w:ascii="Book Antiqua" w:hAnsi="Book Antiqua"/>
        </w:rPr>
      </w:pPr>
      <w:r w:rsidRPr="00165833">
        <w:rPr>
          <w:rFonts w:ascii="Book Antiqua" w:eastAsiaTheme="minorEastAsia" w:hAnsi="Book Antiqua" w:cs="ArialNarrow"/>
        </w:rPr>
        <w:t xml:space="preserve">In this study, the authors aimed </w:t>
      </w:r>
      <w:r w:rsidRPr="00165833">
        <w:rPr>
          <w:rFonts w:ascii="Book Antiqua" w:hAnsi="Book Antiqua"/>
        </w:rPr>
        <w:t xml:space="preserve">to assess the practical applicability and to validate the current ASGE guidelines in a population of patients undergoing </w:t>
      </w:r>
      <w:r w:rsidR="00F96F8F" w:rsidRPr="00165833">
        <w:rPr>
          <w:rFonts w:ascii="Book Antiqua" w:hAnsi="Book Antiqua"/>
        </w:rPr>
        <w:t>ERCP</w:t>
      </w:r>
      <w:r w:rsidR="00F96F8F" w:rsidRPr="00165833">
        <w:rPr>
          <w:rFonts w:ascii="Book Antiqua" w:eastAsia="CenturySchoolbook" w:hAnsi="Book Antiqua"/>
        </w:rPr>
        <w:t xml:space="preserve"> </w:t>
      </w:r>
      <w:r w:rsidRPr="00165833">
        <w:rPr>
          <w:rFonts w:ascii="Book Antiqua" w:hAnsi="Book Antiqua"/>
        </w:rPr>
        <w:t>for suspected choledocholithiasis.</w:t>
      </w:r>
    </w:p>
    <w:p w:rsidR="00C6177F" w:rsidRPr="00165833" w:rsidRDefault="00C6177F" w:rsidP="00165833">
      <w:pPr>
        <w:spacing w:line="360" w:lineRule="auto"/>
        <w:jc w:val="both"/>
        <w:rPr>
          <w:rFonts w:ascii="Book Antiqua" w:hAnsi="Book Antiqua"/>
        </w:rPr>
      </w:pPr>
    </w:p>
    <w:p w:rsidR="00E725D9" w:rsidRPr="00165833" w:rsidRDefault="00125C63" w:rsidP="00165833">
      <w:pPr>
        <w:spacing w:line="360" w:lineRule="auto"/>
        <w:jc w:val="both"/>
        <w:rPr>
          <w:rFonts w:ascii="Book Antiqua" w:hAnsi="Book Antiqua"/>
          <w:b/>
          <w:bCs/>
          <w:i/>
        </w:rPr>
      </w:pPr>
      <w:r w:rsidRPr="00165833">
        <w:rPr>
          <w:rFonts w:ascii="Book Antiqua" w:hAnsi="Book Antiqua"/>
          <w:b/>
          <w:bCs/>
          <w:i/>
        </w:rPr>
        <w:t>Innovations and breakthroughs</w:t>
      </w:r>
    </w:p>
    <w:p w:rsidR="00FB209C" w:rsidRPr="00165833" w:rsidRDefault="00165833" w:rsidP="00165833">
      <w:pPr>
        <w:spacing w:line="360" w:lineRule="auto"/>
        <w:jc w:val="both"/>
        <w:rPr>
          <w:rFonts w:ascii="Book Antiqua" w:hAnsi="Book Antiqua"/>
        </w:rPr>
      </w:pPr>
      <w:r>
        <w:rPr>
          <w:rFonts w:ascii="Book Antiqua" w:eastAsiaTheme="minorEastAsia" w:hAnsi="Book Antiqua" w:hint="eastAsia"/>
          <w:lang w:eastAsia="zh-CN"/>
        </w:rPr>
        <w:t>The</w:t>
      </w:r>
      <w:r w:rsidR="00FB209C" w:rsidRPr="00165833">
        <w:rPr>
          <w:rFonts w:ascii="Book Antiqua" w:hAnsi="Book Antiqua"/>
        </w:rPr>
        <w:t xml:space="preserve"> study confirms that the combination of choledocolithiasis predictors, according to ASGE guidelines</w:t>
      </w:r>
      <w:r w:rsidR="00405106" w:rsidRPr="00165833">
        <w:rPr>
          <w:rFonts w:ascii="Book Antiqua" w:hAnsi="Book Antiqua"/>
        </w:rPr>
        <w:t xml:space="preserve"> may improve risk estimation of choledocholithiasis and should be considered to optimize patients’ selection for ERCP. However, even in the “high risk group” the specificity was low (56</w:t>
      </w:r>
      <w:r>
        <w:rPr>
          <w:rFonts w:ascii="Book Antiqua" w:eastAsiaTheme="minorEastAsia" w:hAnsi="Book Antiqua" w:hint="eastAsia"/>
          <w:lang w:eastAsia="zh-CN"/>
        </w:rPr>
        <w:t>.</w:t>
      </w:r>
      <w:r w:rsidR="00405106" w:rsidRPr="00165833">
        <w:rPr>
          <w:rFonts w:ascii="Book Antiqua" w:hAnsi="Book Antiqua"/>
        </w:rPr>
        <w:t>2%), meaning that a significant proportion of patients will still perform ERCP unnecessarily.</w:t>
      </w:r>
    </w:p>
    <w:p w:rsidR="00C6177F" w:rsidRPr="00165833" w:rsidRDefault="00C6177F" w:rsidP="00165833">
      <w:pPr>
        <w:spacing w:line="360" w:lineRule="auto"/>
        <w:jc w:val="both"/>
        <w:rPr>
          <w:rFonts w:ascii="Book Antiqua" w:eastAsiaTheme="minorEastAsia" w:hAnsi="Book Antiqua" w:cs="ArialNarrow"/>
        </w:rPr>
      </w:pPr>
    </w:p>
    <w:p w:rsidR="00125C63" w:rsidRPr="00165833" w:rsidRDefault="00125C63" w:rsidP="00165833">
      <w:pPr>
        <w:spacing w:line="360" w:lineRule="auto"/>
        <w:jc w:val="both"/>
        <w:rPr>
          <w:rFonts w:ascii="Book Antiqua" w:hAnsi="Book Antiqua"/>
          <w:b/>
          <w:bCs/>
          <w:i/>
        </w:rPr>
      </w:pPr>
      <w:r w:rsidRPr="00165833">
        <w:rPr>
          <w:rFonts w:ascii="Book Antiqua" w:hAnsi="Book Antiqua"/>
          <w:b/>
          <w:bCs/>
          <w:i/>
        </w:rPr>
        <w:t>Applications</w:t>
      </w:r>
    </w:p>
    <w:p w:rsidR="007B0E59" w:rsidRPr="00165833" w:rsidRDefault="007B0E59" w:rsidP="00165833">
      <w:pPr>
        <w:spacing w:line="360" w:lineRule="auto"/>
        <w:jc w:val="both"/>
        <w:rPr>
          <w:rFonts w:ascii="Book Antiqua" w:hAnsi="Book Antiqua" w:cs="Arial"/>
        </w:rPr>
      </w:pPr>
      <w:r w:rsidRPr="00165833">
        <w:rPr>
          <w:rFonts w:ascii="Book Antiqua" w:eastAsiaTheme="minorEastAsia" w:hAnsi="Book Antiqua" w:cs="ArialNarrow"/>
        </w:rPr>
        <w:t xml:space="preserve">The results of this study suggest that </w:t>
      </w:r>
      <w:r w:rsidRPr="00165833">
        <w:rPr>
          <w:rFonts w:ascii="Book Antiqua" w:hAnsi="Book Antiqua"/>
        </w:rPr>
        <w:t xml:space="preserve">the inclusion of new predictors of choledocholithisis or different combinations of previous predictors will be essential to improve the classification of patients as high risk, obviating the need of other imaging tests before </w:t>
      </w:r>
      <w:r w:rsidRPr="00165833">
        <w:rPr>
          <w:rFonts w:ascii="Book Antiqua" w:eastAsia="CenturySchoolbook" w:hAnsi="Book Antiqua"/>
        </w:rPr>
        <w:t>endoscopic retrograde cholangiopancreatography</w:t>
      </w:r>
      <w:r w:rsidRPr="00165833">
        <w:rPr>
          <w:rFonts w:ascii="Book Antiqua" w:hAnsi="Book Antiqua"/>
        </w:rPr>
        <w:t xml:space="preserve">. </w:t>
      </w:r>
      <w:r w:rsidR="00E43A2C" w:rsidRPr="00165833">
        <w:rPr>
          <w:rFonts w:ascii="Book Antiqua" w:hAnsi="Book Antiqua" w:cs="Arial"/>
        </w:rPr>
        <w:t>Thus, at this point, it seems advisable that also “high risk” patients undergo further testing before being submitted to ERCP, similarly to those patients with “intermediate risk”, while for patients with “low-risk” of choledocholithiasis a watchful waiting strategy seems adequate</w:t>
      </w:r>
      <w:r w:rsidR="00CB078B" w:rsidRPr="00165833">
        <w:rPr>
          <w:rFonts w:ascii="Book Antiqua" w:hAnsi="Book Antiqua" w:cs="Arial"/>
        </w:rPr>
        <w:t>.</w:t>
      </w:r>
    </w:p>
    <w:p w:rsidR="00C6177F" w:rsidRPr="00165833" w:rsidRDefault="00C6177F" w:rsidP="00165833">
      <w:pPr>
        <w:spacing w:line="360" w:lineRule="auto"/>
        <w:jc w:val="both"/>
        <w:rPr>
          <w:rFonts w:ascii="Book Antiqua" w:hAnsi="Book Antiqua"/>
        </w:rPr>
      </w:pPr>
    </w:p>
    <w:p w:rsidR="00637D77" w:rsidRPr="00165833" w:rsidRDefault="00727947" w:rsidP="00165833">
      <w:pPr>
        <w:spacing w:line="360" w:lineRule="auto"/>
        <w:jc w:val="both"/>
        <w:rPr>
          <w:rFonts w:ascii="Book Antiqua" w:hAnsi="Book Antiqua"/>
          <w:b/>
          <w:i/>
        </w:rPr>
      </w:pPr>
      <w:r w:rsidRPr="00165833">
        <w:rPr>
          <w:rFonts w:ascii="Book Antiqua" w:hAnsi="Book Antiqua" w:cs="Arial"/>
          <w:b/>
          <w:bCs/>
          <w:i/>
        </w:rPr>
        <w:t>T</w:t>
      </w:r>
      <w:r w:rsidR="007B0E59" w:rsidRPr="00165833">
        <w:rPr>
          <w:rFonts w:ascii="Book Antiqua" w:hAnsi="Book Antiqua" w:cs="Arial"/>
          <w:b/>
          <w:bCs/>
          <w:i/>
        </w:rPr>
        <w:t>erminology</w:t>
      </w:r>
    </w:p>
    <w:p w:rsidR="00707ABA" w:rsidRPr="00165833" w:rsidRDefault="00727947" w:rsidP="00165833">
      <w:pPr>
        <w:spacing w:line="360" w:lineRule="auto"/>
        <w:jc w:val="both"/>
        <w:rPr>
          <w:rFonts w:ascii="Book Antiqua" w:hAnsi="Book Antiqua" w:cs="Arial"/>
        </w:rPr>
      </w:pPr>
      <w:r w:rsidRPr="00165833">
        <w:rPr>
          <w:rFonts w:ascii="Book Antiqua" w:hAnsi="Book Antiqua" w:cs="Arial"/>
        </w:rPr>
        <w:t xml:space="preserve">Choledocholithiasis is </w:t>
      </w:r>
      <w:r w:rsidR="004E50AA" w:rsidRPr="00165833">
        <w:rPr>
          <w:rFonts w:ascii="Book Antiqua" w:hAnsi="Book Antiqua" w:cs="Arial"/>
        </w:rPr>
        <w:t>defined as the occurrence of stones in the bile duct and has a propensity for life-threatening complications such as cholangitis and acute pancreatitis.</w:t>
      </w:r>
      <w:r w:rsidR="00165833">
        <w:rPr>
          <w:rFonts w:ascii="Book Antiqua" w:eastAsiaTheme="minorEastAsia" w:hAnsi="Book Antiqua" w:cs="Arial" w:hint="eastAsia"/>
          <w:lang w:eastAsia="zh-CN"/>
        </w:rPr>
        <w:t xml:space="preserve"> </w:t>
      </w:r>
      <w:r w:rsidR="004E50AA" w:rsidRPr="00165833">
        <w:rPr>
          <w:rFonts w:ascii="Book Antiqua" w:eastAsia="CenturySchoolbook" w:hAnsi="Book Antiqua"/>
        </w:rPr>
        <w:t xml:space="preserve">Endoscopic retrograde cholangiopancreatography </w:t>
      </w:r>
      <w:r w:rsidR="004E50AA" w:rsidRPr="00165833">
        <w:rPr>
          <w:rFonts w:ascii="Book Antiqua" w:hAnsi="Book Antiqua" w:cs="Arial"/>
        </w:rPr>
        <w:t>is a technique that combines the use of</w:t>
      </w:r>
      <w:r w:rsidR="004E50AA" w:rsidRPr="00165833">
        <w:rPr>
          <w:rStyle w:val="apple-converted-space"/>
          <w:rFonts w:ascii="Book Antiqua" w:hAnsi="Book Antiqua" w:cs="Arial"/>
        </w:rPr>
        <w:t> </w:t>
      </w:r>
      <w:hyperlink r:id="rId10" w:tooltip="Endoscopy" w:history="1">
        <w:r w:rsidR="004E50AA" w:rsidRPr="00165833">
          <w:rPr>
            <w:rStyle w:val="Hyperlink"/>
            <w:rFonts w:ascii="Book Antiqua" w:hAnsi="Book Antiqua" w:cs="Arial"/>
            <w:color w:val="auto"/>
            <w:u w:val="none"/>
          </w:rPr>
          <w:t>endoscopy</w:t>
        </w:r>
      </w:hyperlink>
      <w:r w:rsidR="004E50AA" w:rsidRPr="00165833">
        <w:rPr>
          <w:rStyle w:val="apple-converted-space"/>
          <w:rFonts w:ascii="Book Antiqua" w:hAnsi="Book Antiqua" w:cs="Arial"/>
        </w:rPr>
        <w:t> </w:t>
      </w:r>
      <w:r w:rsidR="004E50AA" w:rsidRPr="00165833">
        <w:rPr>
          <w:rFonts w:ascii="Book Antiqua" w:hAnsi="Book Antiqua" w:cs="Arial"/>
        </w:rPr>
        <w:t>and</w:t>
      </w:r>
      <w:r w:rsidR="004E50AA" w:rsidRPr="00165833">
        <w:rPr>
          <w:rStyle w:val="apple-converted-space"/>
          <w:rFonts w:ascii="Book Antiqua" w:hAnsi="Book Antiqua" w:cs="Arial"/>
        </w:rPr>
        <w:t> </w:t>
      </w:r>
      <w:hyperlink r:id="rId11" w:tooltip="Fluoroscopy" w:history="1">
        <w:r w:rsidR="004E50AA" w:rsidRPr="00165833">
          <w:rPr>
            <w:rStyle w:val="Hyperlink"/>
            <w:rFonts w:ascii="Book Antiqua" w:hAnsi="Book Antiqua" w:cs="Arial"/>
            <w:color w:val="auto"/>
            <w:u w:val="none"/>
          </w:rPr>
          <w:t>fluoroscopy</w:t>
        </w:r>
      </w:hyperlink>
      <w:r w:rsidR="004E50AA" w:rsidRPr="00165833">
        <w:rPr>
          <w:rStyle w:val="apple-converted-space"/>
          <w:rFonts w:ascii="Book Antiqua" w:hAnsi="Book Antiqua" w:cs="Arial"/>
        </w:rPr>
        <w:t> </w:t>
      </w:r>
      <w:r w:rsidR="007D2AC1" w:rsidRPr="00165833">
        <w:rPr>
          <w:rFonts w:ascii="Book Antiqua" w:hAnsi="Book Antiqua" w:cs="Arial"/>
        </w:rPr>
        <w:t xml:space="preserve">to diagnose and treat </w:t>
      </w:r>
      <w:r w:rsidR="004E50AA" w:rsidRPr="00165833">
        <w:rPr>
          <w:rFonts w:ascii="Book Antiqua" w:hAnsi="Book Antiqua" w:cs="Arial"/>
        </w:rPr>
        <w:t>problems of the</w:t>
      </w:r>
      <w:r w:rsidR="004E50AA" w:rsidRPr="00165833">
        <w:rPr>
          <w:rStyle w:val="apple-converted-space"/>
          <w:rFonts w:ascii="Book Antiqua" w:hAnsi="Book Antiqua" w:cs="Arial"/>
        </w:rPr>
        <w:t> </w:t>
      </w:r>
      <w:hyperlink r:id="rId12" w:tooltip="Bile duct" w:history="1">
        <w:r w:rsidR="004E50AA" w:rsidRPr="00165833">
          <w:rPr>
            <w:rStyle w:val="Hyperlink"/>
            <w:rFonts w:ascii="Book Antiqua" w:hAnsi="Book Antiqua" w:cs="Arial"/>
            <w:color w:val="auto"/>
            <w:u w:val="none"/>
          </w:rPr>
          <w:t>biliary</w:t>
        </w:r>
      </w:hyperlink>
      <w:r w:rsidR="004E50AA" w:rsidRPr="00165833">
        <w:rPr>
          <w:rStyle w:val="apple-converted-space"/>
          <w:rFonts w:ascii="Book Antiqua" w:hAnsi="Book Antiqua" w:cs="Arial"/>
        </w:rPr>
        <w:t> </w:t>
      </w:r>
      <w:r w:rsidR="004E50AA" w:rsidRPr="00165833">
        <w:rPr>
          <w:rFonts w:ascii="Book Antiqua" w:hAnsi="Book Antiqua" w:cs="Arial"/>
        </w:rPr>
        <w:t>or</w:t>
      </w:r>
      <w:r w:rsidR="004E50AA" w:rsidRPr="00165833">
        <w:rPr>
          <w:rStyle w:val="apple-converted-space"/>
          <w:rFonts w:ascii="Book Antiqua" w:hAnsi="Book Antiqua" w:cs="Arial"/>
        </w:rPr>
        <w:t> </w:t>
      </w:r>
      <w:hyperlink r:id="rId13" w:tooltip="Pancreatic duct" w:history="1">
        <w:r w:rsidR="00EC2A70" w:rsidRPr="00165833">
          <w:rPr>
            <w:rStyle w:val="Hyperlink"/>
            <w:rFonts w:ascii="Book Antiqua" w:hAnsi="Book Antiqua" w:cs="Arial"/>
            <w:color w:val="auto"/>
            <w:u w:val="none"/>
          </w:rPr>
          <w:t xml:space="preserve">pancreatic </w:t>
        </w:r>
        <w:r w:rsidR="004E50AA" w:rsidRPr="00165833">
          <w:rPr>
            <w:rStyle w:val="Hyperlink"/>
            <w:rFonts w:ascii="Book Antiqua" w:hAnsi="Book Antiqua" w:cs="Arial"/>
            <w:color w:val="auto"/>
            <w:u w:val="none"/>
          </w:rPr>
          <w:t>ductal</w:t>
        </w:r>
      </w:hyperlink>
      <w:r w:rsidR="004E50AA" w:rsidRPr="00165833">
        <w:rPr>
          <w:rStyle w:val="apple-converted-space"/>
          <w:rFonts w:ascii="Book Antiqua" w:hAnsi="Book Antiqua" w:cs="Arial"/>
        </w:rPr>
        <w:t> </w:t>
      </w:r>
      <w:r w:rsidR="004E50AA" w:rsidRPr="00165833">
        <w:rPr>
          <w:rFonts w:ascii="Book Antiqua" w:hAnsi="Book Antiqua" w:cs="Arial"/>
        </w:rPr>
        <w:t>systems. It</w:t>
      </w:r>
      <w:r w:rsidR="004E50AA" w:rsidRPr="00165833">
        <w:rPr>
          <w:rFonts w:ascii="Book Antiqua" w:eastAsia="CenturySchoolbook" w:hAnsi="Book Antiqua"/>
        </w:rPr>
        <w:t xml:space="preserve"> has evolved from a diagnostic</w:t>
      </w:r>
      <w:r w:rsidR="00EC2A70" w:rsidRPr="00165833">
        <w:rPr>
          <w:rFonts w:ascii="Book Antiqua" w:eastAsia="CenturySchoolbook" w:hAnsi="Book Antiqua"/>
        </w:rPr>
        <w:t xml:space="preserve"> procedure </w:t>
      </w:r>
      <w:r w:rsidR="004E50AA" w:rsidRPr="00165833">
        <w:rPr>
          <w:rFonts w:ascii="Book Antiqua" w:eastAsia="CenturySchoolbook" w:hAnsi="Book Antiqua"/>
        </w:rPr>
        <w:t xml:space="preserve">to an </w:t>
      </w:r>
      <w:r w:rsidR="00EC2A70" w:rsidRPr="00165833">
        <w:rPr>
          <w:rFonts w:ascii="Book Antiqua" w:eastAsia="CenturySchoolbook" w:hAnsi="Book Antiqua"/>
        </w:rPr>
        <w:t>almost exclusively therapeutic technique</w:t>
      </w:r>
      <w:r w:rsidR="004E50AA" w:rsidRPr="00165833">
        <w:rPr>
          <w:rFonts w:ascii="Book Antiqua" w:eastAsia="CenturySchoolbook" w:hAnsi="Book Antiqua"/>
        </w:rPr>
        <w:t>.</w:t>
      </w:r>
    </w:p>
    <w:p w:rsidR="00637D77" w:rsidRDefault="00637D77" w:rsidP="00165833">
      <w:pPr>
        <w:spacing w:line="360" w:lineRule="auto"/>
        <w:jc w:val="both"/>
        <w:rPr>
          <w:rFonts w:ascii="Book Antiqua" w:eastAsiaTheme="minorEastAsia" w:hAnsi="Book Antiqua"/>
          <w:b/>
          <w:lang w:eastAsia="zh-CN"/>
        </w:rPr>
      </w:pPr>
    </w:p>
    <w:p w:rsidR="00165833" w:rsidRDefault="00165833" w:rsidP="00165833">
      <w:pPr>
        <w:spacing w:line="360" w:lineRule="auto"/>
        <w:jc w:val="both"/>
        <w:rPr>
          <w:rFonts w:ascii="Book Antiqua" w:eastAsiaTheme="minorEastAsia" w:hAnsi="Book Antiqua"/>
          <w:b/>
          <w:i/>
          <w:lang w:eastAsia="zh-CN"/>
        </w:rPr>
      </w:pPr>
      <w:r w:rsidRPr="00165833">
        <w:rPr>
          <w:rFonts w:ascii="Book Antiqua" w:eastAsiaTheme="minorEastAsia" w:hAnsi="Book Antiqua"/>
          <w:b/>
          <w:i/>
          <w:lang w:eastAsia="zh-CN"/>
        </w:rPr>
        <w:t>P</w:t>
      </w:r>
      <w:r w:rsidRPr="00165833">
        <w:rPr>
          <w:rFonts w:ascii="Book Antiqua" w:eastAsiaTheme="minorEastAsia" w:hAnsi="Book Antiqua" w:hint="eastAsia"/>
          <w:b/>
          <w:i/>
          <w:lang w:eastAsia="zh-CN"/>
        </w:rPr>
        <w:t>eer review</w:t>
      </w:r>
    </w:p>
    <w:p w:rsidR="00165833" w:rsidRDefault="00165833" w:rsidP="00165833">
      <w:pPr>
        <w:spacing w:line="360" w:lineRule="auto"/>
        <w:jc w:val="both"/>
        <w:rPr>
          <w:rFonts w:ascii="Book Antiqua" w:eastAsiaTheme="minorEastAsia" w:hAnsi="Book Antiqua"/>
          <w:lang w:eastAsia="zh-CN"/>
        </w:rPr>
      </w:pPr>
      <w:r>
        <w:rPr>
          <w:rFonts w:ascii="Book Antiqua" w:hAnsi="Book Antiqua"/>
        </w:rPr>
        <w:t>Title and running title accurately reflects the topic and contents of the paper key words</w:t>
      </w:r>
      <w:r>
        <w:rPr>
          <w:rFonts w:ascii="Book Antiqua" w:eastAsiaTheme="minorEastAsia" w:hAnsi="Book Antiqua" w:hint="eastAsia"/>
          <w:lang w:eastAsia="zh-CN"/>
        </w:rPr>
        <w:t>.</w:t>
      </w:r>
    </w:p>
    <w:p w:rsidR="00707ABA" w:rsidRPr="00165833" w:rsidRDefault="00707ABA" w:rsidP="00165833">
      <w:pPr>
        <w:spacing w:line="360" w:lineRule="auto"/>
        <w:jc w:val="both"/>
        <w:rPr>
          <w:rFonts w:ascii="Book Antiqua" w:eastAsiaTheme="minorEastAsia" w:hAnsi="Book Antiqua"/>
          <w:b/>
          <w:lang w:eastAsia="zh-CN"/>
        </w:rPr>
      </w:pPr>
    </w:p>
    <w:p w:rsidR="005A71BD" w:rsidRPr="00121543" w:rsidRDefault="00877662" w:rsidP="00121543">
      <w:pPr>
        <w:spacing w:line="360" w:lineRule="auto"/>
        <w:jc w:val="both"/>
        <w:rPr>
          <w:rFonts w:ascii="Book Antiqua" w:eastAsiaTheme="minorEastAsia" w:hAnsi="Book Antiqua"/>
          <w:b/>
          <w:lang w:eastAsia="zh-CN"/>
        </w:rPr>
      </w:pPr>
      <w:r w:rsidRPr="00121543">
        <w:rPr>
          <w:rFonts w:ascii="Book Antiqua" w:hAnsi="Book Antiqua"/>
          <w:b/>
        </w:rPr>
        <w:t>REFERENCES</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1 </w:t>
      </w:r>
      <w:r w:rsidRPr="00121543">
        <w:rPr>
          <w:rFonts w:ascii="Book Antiqua" w:eastAsia="宋体" w:hAnsi="Book Antiqua" w:cs="宋体"/>
          <w:b/>
          <w:bCs/>
          <w:color w:val="000000"/>
          <w:lang w:eastAsia="zh-CN"/>
        </w:rPr>
        <w:t>Kaltenthaler E</w:t>
      </w:r>
      <w:r w:rsidRPr="00121543">
        <w:rPr>
          <w:rFonts w:ascii="Book Antiqua" w:eastAsia="宋体" w:hAnsi="Book Antiqua" w:cs="宋体"/>
          <w:color w:val="000000"/>
          <w:lang w:eastAsia="zh-CN"/>
        </w:rPr>
        <w:t>, Vergel YB, Chilcott J, Thomas S, Blakeborough T, Walters SJ, Bouchier H. A systematic review and economic evaluation of magnetic resonance cholangiopancreatography compared with diagnostic endoscopic retrograde cholangiopancreatography. </w:t>
      </w:r>
      <w:r w:rsidRPr="00121543">
        <w:rPr>
          <w:rFonts w:ascii="Book Antiqua" w:eastAsia="宋体" w:hAnsi="Book Antiqua" w:cs="宋体"/>
          <w:i/>
          <w:iCs/>
          <w:color w:val="000000"/>
          <w:lang w:eastAsia="zh-CN"/>
        </w:rPr>
        <w:t>Health Technol Assess</w:t>
      </w:r>
      <w:r w:rsidRPr="00121543">
        <w:rPr>
          <w:rFonts w:ascii="Book Antiqua" w:eastAsia="宋体" w:hAnsi="Book Antiqua" w:cs="宋体"/>
          <w:color w:val="000000"/>
          <w:lang w:eastAsia="zh-CN"/>
        </w:rPr>
        <w:t> 2004; </w:t>
      </w:r>
      <w:r w:rsidRPr="00121543">
        <w:rPr>
          <w:rFonts w:ascii="Book Antiqua" w:eastAsia="宋体" w:hAnsi="Book Antiqua" w:cs="宋体"/>
          <w:b/>
          <w:bCs/>
          <w:color w:val="000000"/>
          <w:lang w:eastAsia="zh-CN"/>
        </w:rPr>
        <w:t>8</w:t>
      </w:r>
      <w:r w:rsidRPr="00121543">
        <w:rPr>
          <w:rFonts w:ascii="Book Antiqua" w:eastAsia="宋体" w:hAnsi="Book Antiqua" w:cs="宋体"/>
          <w:color w:val="000000"/>
          <w:lang w:eastAsia="zh-CN"/>
        </w:rPr>
        <w:t>: iii, 1-89 [PMID: 14982656]</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2 </w:t>
      </w:r>
      <w:r w:rsidRPr="00121543">
        <w:rPr>
          <w:rFonts w:ascii="Book Antiqua" w:eastAsia="宋体" w:hAnsi="Book Antiqua" w:cs="宋体"/>
          <w:b/>
          <w:bCs/>
          <w:color w:val="000000"/>
          <w:lang w:eastAsia="zh-CN"/>
        </w:rPr>
        <w:t>Ko CW</w:t>
      </w:r>
      <w:r w:rsidRPr="00121543">
        <w:rPr>
          <w:rFonts w:ascii="Book Antiqua" w:eastAsia="宋体" w:hAnsi="Book Antiqua" w:cs="宋体"/>
          <w:color w:val="000000"/>
          <w:lang w:eastAsia="zh-CN"/>
        </w:rPr>
        <w:t>, Lee SP. Epidemiology and natural history of common bile duct stones and prediction of disease. </w:t>
      </w:r>
      <w:r w:rsidRPr="00121543">
        <w:rPr>
          <w:rFonts w:ascii="Book Antiqua" w:eastAsia="宋体" w:hAnsi="Book Antiqua" w:cs="宋体"/>
          <w:i/>
          <w:iCs/>
          <w:color w:val="000000"/>
          <w:lang w:eastAsia="zh-CN"/>
        </w:rPr>
        <w:t>Gastrointest Endosc</w:t>
      </w:r>
      <w:r w:rsidRPr="00121543">
        <w:rPr>
          <w:rFonts w:ascii="Book Antiqua" w:eastAsia="宋体" w:hAnsi="Book Antiqua" w:cs="宋体"/>
          <w:color w:val="000000"/>
          <w:lang w:eastAsia="zh-CN"/>
        </w:rPr>
        <w:t> 2002; </w:t>
      </w:r>
      <w:r w:rsidRPr="00121543">
        <w:rPr>
          <w:rFonts w:ascii="Book Antiqua" w:eastAsia="宋体" w:hAnsi="Book Antiqua" w:cs="宋体"/>
          <w:b/>
          <w:bCs/>
          <w:color w:val="000000"/>
          <w:lang w:eastAsia="zh-CN"/>
        </w:rPr>
        <w:t>56</w:t>
      </w:r>
      <w:r w:rsidRPr="00121543">
        <w:rPr>
          <w:rFonts w:ascii="Book Antiqua" w:eastAsia="宋体" w:hAnsi="Book Antiqua" w:cs="宋体"/>
          <w:color w:val="000000"/>
          <w:lang w:eastAsia="zh-CN"/>
        </w:rPr>
        <w:t>: S165-S169 [PMID: 12447261]</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3 </w:t>
      </w:r>
      <w:r w:rsidRPr="00121543">
        <w:rPr>
          <w:rFonts w:ascii="Book Antiqua" w:eastAsia="宋体" w:hAnsi="Book Antiqua" w:cs="宋体"/>
          <w:b/>
          <w:bCs/>
          <w:color w:val="000000"/>
          <w:lang w:eastAsia="zh-CN"/>
        </w:rPr>
        <w:t>Tazuma S</w:t>
      </w:r>
      <w:r w:rsidRPr="00121543">
        <w:rPr>
          <w:rFonts w:ascii="Book Antiqua" w:eastAsia="宋体" w:hAnsi="Book Antiqua" w:cs="宋体"/>
          <w:color w:val="000000"/>
          <w:lang w:eastAsia="zh-CN"/>
        </w:rPr>
        <w:t>. Gallstone disease: Epidemiology, pathogenesis, and classification of biliary stones (common bile duct and intrahepatic). </w:t>
      </w:r>
      <w:r w:rsidRPr="00121543">
        <w:rPr>
          <w:rFonts w:ascii="Book Antiqua" w:eastAsia="宋体" w:hAnsi="Book Antiqua" w:cs="宋体"/>
          <w:i/>
          <w:iCs/>
          <w:color w:val="000000"/>
          <w:lang w:eastAsia="zh-CN"/>
        </w:rPr>
        <w:t>Best Pract Res Clin Gastroenterol</w:t>
      </w:r>
      <w:r w:rsidRPr="00121543">
        <w:rPr>
          <w:rFonts w:ascii="Book Antiqua" w:eastAsia="宋体" w:hAnsi="Book Antiqua" w:cs="宋体"/>
          <w:color w:val="000000"/>
          <w:lang w:eastAsia="zh-CN"/>
        </w:rPr>
        <w:t> 2006; </w:t>
      </w:r>
      <w:r w:rsidRPr="00121543">
        <w:rPr>
          <w:rFonts w:ascii="Book Antiqua" w:eastAsia="宋体" w:hAnsi="Book Antiqua" w:cs="宋体"/>
          <w:b/>
          <w:bCs/>
          <w:color w:val="000000"/>
          <w:lang w:eastAsia="zh-CN"/>
        </w:rPr>
        <w:t>20</w:t>
      </w:r>
      <w:r w:rsidRPr="00121543">
        <w:rPr>
          <w:rFonts w:ascii="Book Antiqua" w:eastAsia="宋体" w:hAnsi="Book Antiqua" w:cs="宋体"/>
          <w:color w:val="000000"/>
          <w:lang w:eastAsia="zh-CN"/>
        </w:rPr>
        <w:t>: 1075-1083 [PMID: 17127189]</w:t>
      </w:r>
    </w:p>
    <w:p w:rsidR="00121543" w:rsidRPr="00121543" w:rsidRDefault="00121543" w:rsidP="00121543">
      <w:pPr>
        <w:spacing w:line="360" w:lineRule="auto"/>
        <w:jc w:val="both"/>
        <w:rPr>
          <w:rFonts w:ascii="Book Antiqua" w:eastAsia="宋体" w:hAnsi="Book Antiqua" w:cs="宋体"/>
          <w:color w:val="000000"/>
          <w:lang w:eastAsia="zh-CN"/>
        </w:rPr>
      </w:pPr>
      <w:proofErr w:type="gramStart"/>
      <w:r w:rsidRPr="00121543">
        <w:rPr>
          <w:rFonts w:ascii="Book Antiqua" w:eastAsia="宋体" w:hAnsi="Book Antiqua" w:cs="宋体"/>
          <w:color w:val="000000"/>
          <w:lang w:eastAsia="zh-CN"/>
        </w:rPr>
        <w:t>4 </w:t>
      </w:r>
      <w:r w:rsidRPr="00121543">
        <w:rPr>
          <w:rFonts w:ascii="Book Antiqua" w:eastAsia="宋体" w:hAnsi="Book Antiqua" w:cs="宋体"/>
          <w:b/>
          <w:bCs/>
          <w:color w:val="000000"/>
          <w:lang w:eastAsia="zh-CN"/>
        </w:rPr>
        <w:t>Caddy</w:t>
      </w:r>
      <w:proofErr w:type="gramEnd"/>
      <w:r w:rsidRPr="00121543">
        <w:rPr>
          <w:rFonts w:ascii="Book Antiqua" w:eastAsia="宋体" w:hAnsi="Book Antiqua" w:cs="宋体"/>
          <w:b/>
          <w:bCs/>
          <w:color w:val="000000"/>
          <w:lang w:eastAsia="zh-CN"/>
        </w:rPr>
        <w:t xml:space="preserve"> GR</w:t>
      </w:r>
      <w:r w:rsidRPr="00121543">
        <w:rPr>
          <w:rFonts w:ascii="Book Antiqua" w:eastAsia="宋体" w:hAnsi="Book Antiqua" w:cs="宋体"/>
          <w:color w:val="000000"/>
          <w:lang w:eastAsia="zh-CN"/>
        </w:rPr>
        <w:t>, Tham TC. Gallstone disease: Symptoms, diagnosis and endoscopic management of common bile duct stones. </w:t>
      </w:r>
      <w:r w:rsidRPr="00121543">
        <w:rPr>
          <w:rFonts w:ascii="Book Antiqua" w:eastAsia="宋体" w:hAnsi="Book Antiqua" w:cs="宋体"/>
          <w:i/>
          <w:iCs/>
          <w:color w:val="000000"/>
          <w:lang w:eastAsia="zh-CN"/>
        </w:rPr>
        <w:t>Best Pract Res Clin Gastroenterol</w:t>
      </w:r>
      <w:r w:rsidRPr="00121543">
        <w:rPr>
          <w:rFonts w:ascii="Book Antiqua" w:eastAsia="宋体" w:hAnsi="Book Antiqua" w:cs="宋体"/>
          <w:color w:val="000000"/>
          <w:lang w:eastAsia="zh-CN"/>
        </w:rPr>
        <w:t> 2006; </w:t>
      </w:r>
      <w:r w:rsidRPr="00121543">
        <w:rPr>
          <w:rFonts w:ascii="Book Antiqua" w:eastAsia="宋体" w:hAnsi="Book Antiqua" w:cs="宋体"/>
          <w:b/>
          <w:bCs/>
          <w:color w:val="000000"/>
          <w:lang w:eastAsia="zh-CN"/>
        </w:rPr>
        <w:t>20</w:t>
      </w:r>
      <w:r w:rsidRPr="00121543">
        <w:rPr>
          <w:rFonts w:ascii="Book Antiqua" w:eastAsia="宋体" w:hAnsi="Book Antiqua" w:cs="宋体"/>
          <w:color w:val="000000"/>
          <w:lang w:eastAsia="zh-CN"/>
        </w:rPr>
        <w:t>: 1085-1101 [PMID: 17127190]</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5 </w:t>
      </w:r>
      <w:r w:rsidRPr="00121543">
        <w:rPr>
          <w:rFonts w:ascii="Book Antiqua" w:eastAsia="宋体" w:hAnsi="Book Antiqua" w:cs="宋体"/>
          <w:b/>
          <w:bCs/>
          <w:color w:val="000000"/>
          <w:lang w:eastAsia="zh-CN"/>
        </w:rPr>
        <w:t>Williams EJ</w:t>
      </w:r>
      <w:r w:rsidRPr="00121543">
        <w:rPr>
          <w:rFonts w:ascii="Book Antiqua" w:eastAsia="宋体" w:hAnsi="Book Antiqua" w:cs="宋体"/>
          <w:color w:val="000000"/>
          <w:lang w:eastAsia="zh-CN"/>
        </w:rPr>
        <w:t>, Green J, Beckingham I, Parks R, Martin D, Lombard M. Guidelines on the management of common bile duct stones (CBDS). </w:t>
      </w:r>
      <w:r w:rsidRPr="00121543">
        <w:rPr>
          <w:rFonts w:ascii="Book Antiqua" w:eastAsia="宋体" w:hAnsi="Book Antiqua" w:cs="宋体"/>
          <w:i/>
          <w:iCs/>
          <w:color w:val="000000"/>
          <w:lang w:eastAsia="zh-CN"/>
        </w:rPr>
        <w:t>Gut</w:t>
      </w:r>
      <w:r w:rsidRPr="00121543">
        <w:rPr>
          <w:rFonts w:ascii="Book Antiqua" w:eastAsia="宋体" w:hAnsi="Book Antiqua" w:cs="宋体"/>
          <w:color w:val="000000"/>
          <w:lang w:eastAsia="zh-CN"/>
        </w:rPr>
        <w:t> 2008; </w:t>
      </w:r>
      <w:r w:rsidRPr="00121543">
        <w:rPr>
          <w:rFonts w:ascii="Book Antiqua" w:eastAsia="宋体" w:hAnsi="Book Antiqua" w:cs="宋体"/>
          <w:b/>
          <w:bCs/>
          <w:color w:val="000000"/>
          <w:lang w:eastAsia="zh-CN"/>
        </w:rPr>
        <w:t>57</w:t>
      </w:r>
      <w:r w:rsidRPr="00121543">
        <w:rPr>
          <w:rFonts w:ascii="Book Antiqua" w:eastAsia="宋体" w:hAnsi="Book Antiqua" w:cs="宋体"/>
          <w:color w:val="000000"/>
          <w:lang w:eastAsia="zh-CN"/>
        </w:rPr>
        <w:t>: 1004-1021 [PMID: 18321943]</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 xml:space="preserve">6 </w:t>
      </w:r>
      <w:r w:rsidRPr="00165833">
        <w:rPr>
          <w:rFonts w:ascii="Book Antiqua" w:hAnsi="Book Antiqua"/>
          <w:b/>
        </w:rPr>
        <w:t>Paul A</w:t>
      </w:r>
      <w:r w:rsidRPr="00165833">
        <w:rPr>
          <w:rFonts w:ascii="Book Antiqua" w:hAnsi="Book Antiqua"/>
        </w:rPr>
        <w:t>, Millat B, Holthausen U, Sauerland S, Neugebauer E.</w:t>
      </w:r>
      <w:r w:rsidRPr="00121543">
        <w:rPr>
          <w:rFonts w:ascii="Book Antiqua" w:eastAsia="宋体" w:hAnsi="Book Antiqua" w:cs="宋体"/>
          <w:color w:val="000000"/>
          <w:lang w:eastAsia="zh-CN"/>
        </w:rPr>
        <w:t xml:space="preserve"> Diagnosis and treatment of common bile duct stones (CBDS). </w:t>
      </w:r>
      <w:proofErr w:type="gramStart"/>
      <w:r w:rsidRPr="00121543">
        <w:rPr>
          <w:rFonts w:ascii="Book Antiqua" w:eastAsia="宋体" w:hAnsi="Book Antiqua" w:cs="宋体"/>
          <w:color w:val="000000"/>
          <w:lang w:eastAsia="zh-CN"/>
        </w:rPr>
        <w:t>Results of a consensus development conference.</w:t>
      </w:r>
      <w:proofErr w:type="gramEnd"/>
      <w:r w:rsidRPr="00121543">
        <w:rPr>
          <w:rFonts w:ascii="Book Antiqua" w:eastAsia="宋体" w:hAnsi="Book Antiqua" w:cs="宋体"/>
          <w:color w:val="000000"/>
          <w:lang w:eastAsia="zh-CN"/>
        </w:rPr>
        <w:t> </w:t>
      </w:r>
      <w:r w:rsidRPr="00121543">
        <w:rPr>
          <w:rFonts w:ascii="Book Antiqua" w:eastAsia="宋体" w:hAnsi="Book Antiqua" w:cs="宋体"/>
          <w:i/>
          <w:iCs/>
          <w:color w:val="000000"/>
          <w:lang w:eastAsia="zh-CN"/>
        </w:rPr>
        <w:t>Surg Endosc</w:t>
      </w:r>
      <w:r w:rsidRPr="00121543">
        <w:rPr>
          <w:rFonts w:ascii="Book Antiqua" w:eastAsia="宋体" w:hAnsi="Book Antiqua" w:cs="宋体"/>
          <w:color w:val="000000"/>
          <w:lang w:eastAsia="zh-CN"/>
        </w:rPr>
        <w:t> 1998; </w:t>
      </w:r>
      <w:r w:rsidRPr="00121543">
        <w:rPr>
          <w:rFonts w:ascii="Book Antiqua" w:eastAsia="宋体" w:hAnsi="Book Antiqua" w:cs="宋体"/>
          <w:b/>
          <w:bCs/>
          <w:color w:val="000000"/>
          <w:lang w:eastAsia="zh-CN"/>
        </w:rPr>
        <w:t>12</w:t>
      </w:r>
      <w:r w:rsidRPr="00121543">
        <w:rPr>
          <w:rFonts w:ascii="Book Antiqua" w:eastAsia="宋体" w:hAnsi="Book Antiqua" w:cs="宋体"/>
          <w:color w:val="000000"/>
          <w:lang w:eastAsia="zh-CN"/>
        </w:rPr>
        <w:t>: 856-864 [PMID: 9602006]</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7 </w:t>
      </w:r>
      <w:r w:rsidRPr="00121543">
        <w:rPr>
          <w:rFonts w:ascii="Book Antiqua" w:eastAsia="宋体" w:hAnsi="Book Antiqua" w:cs="宋体"/>
          <w:b/>
          <w:bCs/>
          <w:color w:val="000000"/>
          <w:lang w:eastAsia="zh-CN"/>
        </w:rPr>
        <w:t>Maple JT</w:t>
      </w:r>
      <w:r w:rsidRPr="00121543">
        <w:rPr>
          <w:rFonts w:ascii="Book Antiqua" w:eastAsia="宋体" w:hAnsi="Book Antiqua" w:cs="宋体"/>
          <w:color w:val="000000"/>
          <w:lang w:eastAsia="zh-CN"/>
        </w:rPr>
        <w:t xml:space="preserve">, Ikenberry SO, Anderson MA, Appalaneni V, Decker GA, Early D, Evans JA, Fanelli RD, Fisher D, Fisher L, Fukami N, Hwang JH, Jain R, Jue T, Khan K, Krinsky ML, Malpas P, Ben-Menachem T, Sharaf RN, Dominitz JA. </w:t>
      </w:r>
      <w:proofErr w:type="gramStart"/>
      <w:r w:rsidRPr="00121543">
        <w:rPr>
          <w:rFonts w:ascii="Book Antiqua" w:eastAsia="宋体" w:hAnsi="Book Antiqua" w:cs="宋体"/>
          <w:color w:val="000000"/>
          <w:lang w:eastAsia="zh-CN"/>
        </w:rPr>
        <w:t>The role of endoscopy in the management of choledocholithiasis.</w:t>
      </w:r>
      <w:proofErr w:type="gramEnd"/>
      <w:r w:rsidRPr="00121543">
        <w:rPr>
          <w:rFonts w:ascii="Book Antiqua" w:eastAsia="宋体" w:hAnsi="Book Antiqua" w:cs="宋体"/>
          <w:color w:val="000000"/>
          <w:lang w:eastAsia="zh-CN"/>
        </w:rPr>
        <w:t> </w:t>
      </w:r>
      <w:r w:rsidRPr="00121543">
        <w:rPr>
          <w:rFonts w:ascii="Book Antiqua" w:eastAsia="宋体" w:hAnsi="Book Antiqua" w:cs="宋体"/>
          <w:i/>
          <w:iCs/>
          <w:color w:val="000000"/>
          <w:lang w:eastAsia="zh-CN"/>
        </w:rPr>
        <w:t>Gastrointest Endosc</w:t>
      </w:r>
      <w:r w:rsidRPr="00121543">
        <w:rPr>
          <w:rFonts w:ascii="Book Antiqua" w:eastAsia="宋体" w:hAnsi="Book Antiqua" w:cs="宋体"/>
          <w:color w:val="000000"/>
          <w:lang w:eastAsia="zh-CN"/>
        </w:rPr>
        <w:t> 2011; </w:t>
      </w:r>
      <w:r w:rsidRPr="00121543">
        <w:rPr>
          <w:rFonts w:ascii="Book Antiqua" w:eastAsia="宋体" w:hAnsi="Book Antiqua" w:cs="宋体"/>
          <w:b/>
          <w:bCs/>
          <w:color w:val="000000"/>
          <w:lang w:eastAsia="zh-CN"/>
        </w:rPr>
        <w:t>74</w:t>
      </w:r>
      <w:r w:rsidRPr="00121543">
        <w:rPr>
          <w:rFonts w:ascii="Book Antiqua" w:eastAsia="宋体" w:hAnsi="Book Antiqua" w:cs="宋体"/>
          <w:color w:val="000000"/>
          <w:lang w:eastAsia="zh-CN"/>
        </w:rPr>
        <w:t>: 731-744 [PMID: 21951472]</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8 </w:t>
      </w:r>
      <w:r w:rsidRPr="00121543">
        <w:rPr>
          <w:rFonts w:ascii="Book Antiqua" w:eastAsia="宋体" w:hAnsi="Book Antiqua" w:cs="宋体"/>
          <w:b/>
          <w:bCs/>
          <w:color w:val="000000"/>
          <w:lang w:eastAsia="zh-CN"/>
        </w:rPr>
        <w:t>Loperfido S</w:t>
      </w:r>
      <w:r w:rsidRPr="00121543">
        <w:rPr>
          <w:rFonts w:ascii="Book Antiqua" w:eastAsia="宋体" w:hAnsi="Book Antiqua" w:cs="宋体"/>
          <w:color w:val="000000"/>
          <w:lang w:eastAsia="zh-CN"/>
        </w:rPr>
        <w:t>, Angelini G, Benedetti G, Chilovi F, Costan F, De Berardinis F, De Bernardin M, Ederle A, Fina P, Fratton A. Major early complications from diagnostic and therapeutic ERCP: a prospective multicenter study. </w:t>
      </w:r>
      <w:r w:rsidRPr="00121543">
        <w:rPr>
          <w:rFonts w:ascii="Book Antiqua" w:eastAsia="宋体" w:hAnsi="Book Antiqua" w:cs="宋体"/>
          <w:i/>
          <w:iCs/>
          <w:color w:val="000000"/>
          <w:lang w:eastAsia="zh-CN"/>
        </w:rPr>
        <w:t>Gastrointest Endosc</w:t>
      </w:r>
      <w:r w:rsidRPr="00121543">
        <w:rPr>
          <w:rFonts w:ascii="Book Antiqua" w:eastAsia="宋体" w:hAnsi="Book Antiqua" w:cs="宋体"/>
          <w:color w:val="000000"/>
          <w:lang w:eastAsia="zh-CN"/>
        </w:rPr>
        <w:t> 1998; </w:t>
      </w:r>
      <w:r w:rsidRPr="00121543">
        <w:rPr>
          <w:rFonts w:ascii="Book Antiqua" w:eastAsia="宋体" w:hAnsi="Book Antiqua" w:cs="宋体"/>
          <w:b/>
          <w:bCs/>
          <w:color w:val="000000"/>
          <w:lang w:eastAsia="zh-CN"/>
        </w:rPr>
        <w:t>48</w:t>
      </w:r>
      <w:r w:rsidRPr="00121543">
        <w:rPr>
          <w:rFonts w:ascii="Book Antiqua" w:eastAsia="宋体" w:hAnsi="Book Antiqua" w:cs="宋体"/>
          <w:color w:val="000000"/>
          <w:lang w:eastAsia="zh-CN"/>
        </w:rPr>
        <w:t>: 1-10 [PMID: 9684657]</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9 </w:t>
      </w:r>
      <w:r w:rsidRPr="00121543">
        <w:rPr>
          <w:rFonts w:ascii="Book Antiqua" w:eastAsia="宋体" w:hAnsi="Book Antiqua" w:cs="宋体"/>
          <w:b/>
          <w:bCs/>
          <w:color w:val="000000"/>
          <w:lang w:eastAsia="zh-CN"/>
        </w:rPr>
        <w:t>Masci E</w:t>
      </w:r>
      <w:r w:rsidRPr="00121543">
        <w:rPr>
          <w:rFonts w:ascii="Book Antiqua" w:eastAsia="宋体" w:hAnsi="Book Antiqua" w:cs="宋体"/>
          <w:color w:val="000000"/>
          <w:lang w:eastAsia="zh-CN"/>
        </w:rPr>
        <w:t>, Toti G, Mariani A, Curioni S, Lomazzi A, Dinelli M, Minoli G, Crosta C, Comin U, Fertitta A, Prada A, Passoni GR, Testoni PA. Complications of diagnostic and therapeutic ERCP: a prospective multicenter study. </w:t>
      </w:r>
      <w:r w:rsidRPr="00121543">
        <w:rPr>
          <w:rFonts w:ascii="Book Antiqua" w:eastAsia="宋体" w:hAnsi="Book Antiqua" w:cs="宋体"/>
          <w:i/>
          <w:iCs/>
          <w:color w:val="000000"/>
          <w:lang w:eastAsia="zh-CN"/>
        </w:rPr>
        <w:t>Am J Gastroenterol</w:t>
      </w:r>
      <w:r w:rsidRPr="00121543">
        <w:rPr>
          <w:rFonts w:ascii="Book Antiqua" w:eastAsia="宋体" w:hAnsi="Book Antiqua" w:cs="宋体"/>
          <w:color w:val="000000"/>
          <w:lang w:eastAsia="zh-CN"/>
        </w:rPr>
        <w:t> 2001; </w:t>
      </w:r>
      <w:r w:rsidRPr="00121543">
        <w:rPr>
          <w:rFonts w:ascii="Book Antiqua" w:eastAsia="宋体" w:hAnsi="Book Antiqua" w:cs="宋体"/>
          <w:b/>
          <w:bCs/>
          <w:color w:val="000000"/>
          <w:lang w:eastAsia="zh-CN"/>
        </w:rPr>
        <w:t>96</w:t>
      </w:r>
      <w:r w:rsidRPr="00121543">
        <w:rPr>
          <w:rFonts w:ascii="Book Antiqua" w:eastAsia="宋体" w:hAnsi="Book Antiqua" w:cs="宋体"/>
          <w:color w:val="000000"/>
          <w:lang w:eastAsia="zh-CN"/>
        </w:rPr>
        <w:t>: 417-423 [PMID: 11232684]</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10 </w:t>
      </w:r>
      <w:r w:rsidRPr="00121543">
        <w:rPr>
          <w:rFonts w:ascii="Book Antiqua" w:eastAsia="宋体" w:hAnsi="Book Antiqua" w:cs="宋体"/>
          <w:b/>
          <w:bCs/>
          <w:color w:val="000000"/>
          <w:lang w:eastAsia="zh-CN"/>
        </w:rPr>
        <w:t>Christensen M</w:t>
      </w:r>
      <w:r w:rsidRPr="00121543">
        <w:rPr>
          <w:rFonts w:ascii="Book Antiqua" w:eastAsia="宋体" w:hAnsi="Book Antiqua" w:cs="宋体"/>
          <w:color w:val="000000"/>
          <w:lang w:eastAsia="zh-CN"/>
        </w:rPr>
        <w:t>, Matzen P, Schulze S, Rosenberg J. Complications of ERCP: a prospective study. </w:t>
      </w:r>
      <w:r w:rsidRPr="00121543">
        <w:rPr>
          <w:rFonts w:ascii="Book Antiqua" w:eastAsia="宋体" w:hAnsi="Book Antiqua" w:cs="宋体"/>
          <w:i/>
          <w:iCs/>
          <w:color w:val="000000"/>
          <w:lang w:eastAsia="zh-CN"/>
        </w:rPr>
        <w:t>Gastrointest Endosc</w:t>
      </w:r>
      <w:r w:rsidRPr="00121543">
        <w:rPr>
          <w:rFonts w:ascii="Book Antiqua" w:eastAsia="宋体" w:hAnsi="Book Antiqua" w:cs="宋体"/>
          <w:color w:val="000000"/>
          <w:lang w:eastAsia="zh-CN"/>
        </w:rPr>
        <w:t> 2004; </w:t>
      </w:r>
      <w:r w:rsidRPr="00121543">
        <w:rPr>
          <w:rFonts w:ascii="Book Antiqua" w:eastAsia="宋体" w:hAnsi="Book Antiqua" w:cs="宋体"/>
          <w:b/>
          <w:bCs/>
          <w:color w:val="000000"/>
          <w:lang w:eastAsia="zh-CN"/>
        </w:rPr>
        <w:t>60</w:t>
      </w:r>
      <w:r w:rsidRPr="00121543">
        <w:rPr>
          <w:rFonts w:ascii="Book Antiqua" w:eastAsia="宋体" w:hAnsi="Book Antiqua" w:cs="宋体"/>
          <w:color w:val="000000"/>
          <w:lang w:eastAsia="zh-CN"/>
        </w:rPr>
        <w:t>: 721-731 [PMID: 15557948]</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11 </w:t>
      </w:r>
      <w:r w:rsidRPr="00121543">
        <w:rPr>
          <w:rFonts w:ascii="Book Antiqua" w:eastAsia="宋体" w:hAnsi="Book Antiqua" w:cs="宋体"/>
          <w:b/>
          <w:bCs/>
          <w:color w:val="000000"/>
          <w:lang w:eastAsia="zh-CN"/>
        </w:rPr>
        <w:t>Anderson MA</w:t>
      </w:r>
      <w:r w:rsidRPr="00121543">
        <w:rPr>
          <w:rFonts w:ascii="Book Antiqua" w:eastAsia="宋体" w:hAnsi="Book Antiqua" w:cs="宋体"/>
          <w:color w:val="000000"/>
          <w:lang w:eastAsia="zh-CN"/>
        </w:rPr>
        <w:t xml:space="preserve">, Fisher L, Jain R, Evans JA, Appalaneni V, Ben-Menachem T, Cash BD, Decker GA, Early DS, Fanelli RD, Fisher DA, Fukami N, Hwang JH, Ikenberry SO, Jue TL, Khan KM, Krinsky ML, Malpas PM, Maple JT, Sharaf RN, Shergill AK, Dominitz JA. </w:t>
      </w:r>
      <w:proofErr w:type="gramStart"/>
      <w:r w:rsidRPr="00121543">
        <w:rPr>
          <w:rFonts w:ascii="Book Antiqua" w:eastAsia="宋体" w:hAnsi="Book Antiqua" w:cs="宋体"/>
          <w:color w:val="000000"/>
          <w:lang w:eastAsia="zh-CN"/>
        </w:rPr>
        <w:t>Complications of ERCP.</w:t>
      </w:r>
      <w:proofErr w:type="gramEnd"/>
      <w:r w:rsidRPr="00121543">
        <w:rPr>
          <w:rFonts w:ascii="Book Antiqua" w:eastAsia="宋体" w:hAnsi="Book Antiqua" w:cs="宋体"/>
          <w:color w:val="000000"/>
          <w:lang w:eastAsia="zh-CN"/>
        </w:rPr>
        <w:t> </w:t>
      </w:r>
      <w:r w:rsidRPr="00121543">
        <w:rPr>
          <w:rFonts w:ascii="Book Antiqua" w:eastAsia="宋体" w:hAnsi="Book Antiqua" w:cs="宋体"/>
          <w:i/>
          <w:iCs/>
          <w:color w:val="000000"/>
          <w:lang w:eastAsia="zh-CN"/>
        </w:rPr>
        <w:t>Gastrointest Endosc</w:t>
      </w:r>
      <w:r w:rsidRPr="00121543">
        <w:rPr>
          <w:rFonts w:ascii="Book Antiqua" w:eastAsia="宋体" w:hAnsi="Book Antiqua" w:cs="宋体"/>
          <w:color w:val="000000"/>
          <w:lang w:eastAsia="zh-CN"/>
        </w:rPr>
        <w:t> 2012; </w:t>
      </w:r>
      <w:r w:rsidRPr="00121543">
        <w:rPr>
          <w:rFonts w:ascii="Book Antiqua" w:eastAsia="宋体" w:hAnsi="Book Antiqua" w:cs="宋体"/>
          <w:b/>
          <w:bCs/>
          <w:color w:val="000000"/>
          <w:lang w:eastAsia="zh-CN"/>
        </w:rPr>
        <w:t>75</w:t>
      </w:r>
      <w:r w:rsidRPr="00121543">
        <w:rPr>
          <w:rFonts w:ascii="Book Antiqua" w:eastAsia="宋体" w:hAnsi="Book Antiqua" w:cs="宋体"/>
          <w:color w:val="000000"/>
          <w:lang w:eastAsia="zh-CN"/>
        </w:rPr>
        <w:t>: 467-473 [PMID: 22341094]</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12 </w:t>
      </w:r>
      <w:r w:rsidRPr="00121543">
        <w:rPr>
          <w:rFonts w:ascii="Book Antiqua" w:eastAsia="宋体" w:hAnsi="Book Antiqua" w:cs="宋体"/>
          <w:b/>
          <w:bCs/>
          <w:color w:val="000000"/>
          <w:lang w:eastAsia="zh-CN"/>
        </w:rPr>
        <w:t>Maple JT</w:t>
      </w:r>
      <w:r w:rsidRPr="00121543">
        <w:rPr>
          <w:rFonts w:ascii="Book Antiqua" w:eastAsia="宋体" w:hAnsi="Book Antiqua" w:cs="宋体"/>
          <w:color w:val="000000"/>
          <w:lang w:eastAsia="zh-CN"/>
        </w:rPr>
        <w:t xml:space="preserve">, Ben-Menachem T, Anderson MA, Appalaneni V, Banerjee S, Cash BD, Fisher L, Harrison ME, Fanelli RD, Fukami N, Ikenberry SO, Jain R, Khan K, Krinsky ML, Strohmeyer L, Dominitz JA. </w:t>
      </w:r>
      <w:proofErr w:type="gramStart"/>
      <w:r w:rsidRPr="00121543">
        <w:rPr>
          <w:rFonts w:ascii="Book Antiqua" w:eastAsia="宋体" w:hAnsi="Book Antiqua" w:cs="宋体"/>
          <w:color w:val="000000"/>
          <w:lang w:eastAsia="zh-CN"/>
        </w:rPr>
        <w:t>The role of endoscopy in the evaluation of suspected choledocholithiasis.</w:t>
      </w:r>
      <w:proofErr w:type="gramEnd"/>
      <w:r w:rsidRPr="00121543">
        <w:rPr>
          <w:rFonts w:ascii="Book Antiqua" w:eastAsia="宋体" w:hAnsi="Book Antiqua" w:cs="宋体"/>
          <w:color w:val="000000"/>
          <w:lang w:eastAsia="zh-CN"/>
        </w:rPr>
        <w:t> </w:t>
      </w:r>
      <w:r w:rsidRPr="00121543">
        <w:rPr>
          <w:rFonts w:ascii="Book Antiqua" w:eastAsia="宋体" w:hAnsi="Book Antiqua" w:cs="宋体"/>
          <w:i/>
          <w:iCs/>
          <w:color w:val="000000"/>
          <w:lang w:eastAsia="zh-CN"/>
        </w:rPr>
        <w:t>Gastrointest Endosc</w:t>
      </w:r>
      <w:r w:rsidRPr="00121543">
        <w:rPr>
          <w:rFonts w:ascii="Book Antiqua" w:eastAsia="宋体" w:hAnsi="Book Antiqua" w:cs="宋体"/>
          <w:color w:val="000000"/>
          <w:lang w:eastAsia="zh-CN"/>
        </w:rPr>
        <w:t> 2010; </w:t>
      </w:r>
      <w:r w:rsidRPr="00121543">
        <w:rPr>
          <w:rFonts w:ascii="Book Antiqua" w:eastAsia="宋体" w:hAnsi="Book Antiqua" w:cs="宋体"/>
          <w:b/>
          <w:bCs/>
          <w:color w:val="000000"/>
          <w:lang w:eastAsia="zh-CN"/>
        </w:rPr>
        <w:t>71</w:t>
      </w:r>
      <w:r w:rsidRPr="00121543">
        <w:rPr>
          <w:rFonts w:ascii="Book Antiqua" w:eastAsia="宋体" w:hAnsi="Book Antiqua" w:cs="宋体"/>
          <w:color w:val="000000"/>
          <w:lang w:eastAsia="zh-CN"/>
        </w:rPr>
        <w:t>: 1-9 [PMID: 20105473]</w:t>
      </w:r>
    </w:p>
    <w:p w:rsidR="00121543" w:rsidRPr="00121543" w:rsidRDefault="00121543" w:rsidP="00121543">
      <w:pPr>
        <w:spacing w:line="360" w:lineRule="auto"/>
        <w:jc w:val="both"/>
        <w:rPr>
          <w:rFonts w:ascii="Book Antiqua" w:eastAsia="宋体" w:hAnsi="Book Antiqua" w:cs="宋体"/>
          <w:color w:val="000000"/>
          <w:lang w:eastAsia="zh-CN"/>
        </w:rPr>
      </w:pPr>
      <w:proofErr w:type="gramStart"/>
      <w:r w:rsidRPr="00121543">
        <w:rPr>
          <w:rFonts w:ascii="Book Antiqua" w:eastAsia="宋体" w:hAnsi="Book Antiqua" w:cs="宋体"/>
          <w:color w:val="000000"/>
          <w:lang w:eastAsia="zh-CN"/>
        </w:rPr>
        <w:t>13 </w:t>
      </w:r>
      <w:r w:rsidRPr="00121543">
        <w:rPr>
          <w:rFonts w:ascii="Book Antiqua" w:eastAsia="宋体" w:hAnsi="Book Antiqua" w:cs="宋体"/>
          <w:b/>
          <w:bCs/>
          <w:color w:val="000000"/>
          <w:lang w:eastAsia="zh-CN"/>
        </w:rPr>
        <w:t>Rubin MI</w:t>
      </w:r>
      <w:r w:rsidRPr="00121543">
        <w:rPr>
          <w:rFonts w:ascii="Book Antiqua" w:eastAsia="宋体" w:hAnsi="Book Antiqua" w:cs="宋体"/>
          <w:color w:val="000000"/>
          <w:lang w:eastAsia="zh-CN"/>
        </w:rPr>
        <w:t>, Thosani NC, Tanikella R, Wolf DS, Fallon MB, Lukens FJ.</w:t>
      </w:r>
      <w:proofErr w:type="gramEnd"/>
      <w:r w:rsidRPr="00121543">
        <w:rPr>
          <w:rFonts w:ascii="Book Antiqua" w:eastAsia="宋体" w:hAnsi="Book Antiqua" w:cs="宋体"/>
          <w:color w:val="000000"/>
          <w:lang w:eastAsia="zh-CN"/>
        </w:rPr>
        <w:t xml:space="preserve"> Endoscopic retrograde cholangiopancreatography for suspected choledocholithiasis: testing the current guidelines. </w:t>
      </w:r>
      <w:r w:rsidRPr="00121543">
        <w:rPr>
          <w:rFonts w:ascii="Book Antiqua" w:eastAsia="宋体" w:hAnsi="Book Antiqua" w:cs="宋体"/>
          <w:i/>
          <w:iCs/>
          <w:color w:val="000000"/>
          <w:lang w:eastAsia="zh-CN"/>
        </w:rPr>
        <w:t>Dig Liver Dis</w:t>
      </w:r>
      <w:r w:rsidRPr="00121543">
        <w:rPr>
          <w:rFonts w:ascii="Book Antiqua" w:eastAsia="宋体" w:hAnsi="Book Antiqua" w:cs="宋体"/>
          <w:color w:val="000000"/>
          <w:lang w:eastAsia="zh-CN"/>
        </w:rPr>
        <w:t> 2013; </w:t>
      </w:r>
      <w:r w:rsidRPr="00121543">
        <w:rPr>
          <w:rFonts w:ascii="Book Antiqua" w:eastAsia="宋体" w:hAnsi="Book Antiqua" w:cs="宋体"/>
          <w:b/>
          <w:bCs/>
          <w:color w:val="000000"/>
          <w:lang w:eastAsia="zh-CN"/>
        </w:rPr>
        <w:t>45</w:t>
      </w:r>
      <w:r w:rsidRPr="00121543">
        <w:rPr>
          <w:rFonts w:ascii="Book Antiqua" w:eastAsia="宋体" w:hAnsi="Book Antiqua" w:cs="宋体"/>
          <w:color w:val="000000"/>
          <w:lang w:eastAsia="zh-CN"/>
        </w:rPr>
        <w:t>: 744-749 [PMID: 23540659]</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14 </w:t>
      </w:r>
      <w:r w:rsidRPr="00121543">
        <w:rPr>
          <w:rFonts w:ascii="Book Antiqua" w:eastAsia="宋体" w:hAnsi="Book Antiqua" w:cs="宋体"/>
          <w:b/>
          <w:bCs/>
          <w:color w:val="000000"/>
          <w:lang w:eastAsia="zh-CN"/>
        </w:rPr>
        <w:t>Mandelia A</w:t>
      </w:r>
      <w:r w:rsidRPr="00121543">
        <w:rPr>
          <w:rFonts w:ascii="Book Antiqua" w:eastAsia="宋体" w:hAnsi="Book Antiqua" w:cs="宋体"/>
          <w:color w:val="000000"/>
          <w:lang w:eastAsia="zh-CN"/>
        </w:rPr>
        <w:t xml:space="preserve">, Gupta AK, Verma DK, Sharma S. </w:t>
      </w:r>
      <w:proofErr w:type="gramStart"/>
      <w:r w:rsidRPr="00121543">
        <w:rPr>
          <w:rFonts w:ascii="Book Antiqua" w:eastAsia="宋体" w:hAnsi="Book Antiqua" w:cs="宋体"/>
          <w:color w:val="000000"/>
          <w:lang w:eastAsia="zh-CN"/>
        </w:rPr>
        <w:t>The Value of Magnetic Resonance Cholangio-Pancreatography (MRCP) in the Detection of Choledocholithiasis.</w:t>
      </w:r>
      <w:proofErr w:type="gramEnd"/>
      <w:r w:rsidRPr="00121543">
        <w:rPr>
          <w:rFonts w:ascii="Book Antiqua" w:eastAsia="宋体" w:hAnsi="Book Antiqua" w:cs="宋体"/>
          <w:color w:val="000000"/>
          <w:lang w:eastAsia="zh-CN"/>
        </w:rPr>
        <w:t> </w:t>
      </w:r>
      <w:r w:rsidRPr="00121543">
        <w:rPr>
          <w:rFonts w:ascii="Book Antiqua" w:eastAsia="宋体" w:hAnsi="Book Antiqua" w:cs="宋体"/>
          <w:i/>
          <w:iCs/>
          <w:color w:val="000000"/>
          <w:lang w:eastAsia="zh-CN"/>
        </w:rPr>
        <w:t>J Clin Diagn Res</w:t>
      </w:r>
      <w:r w:rsidRPr="00121543">
        <w:rPr>
          <w:rFonts w:ascii="Book Antiqua" w:eastAsia="宋体" w:hAnsi="Book Antiqua" w:cs="宋体"/>
          <w:color w:val="000000"/>
          <w:lang w:eastAsia="zh-CN"/>
        </w:rPr>
        <w:t> 2013; </w:t>
      </w:r>
      <w:r w:rsidRPr="00121543">
        <w:rPr>
          <w:rFonts w:ascii="Book Antiqua" w:eastAsia="宋体" w:hAnsi="Book Antiqua" w:cs="宋体"/>
          <w:b/>
          <w:bCs/>
          <w:color w:val="000000"/>
          <w:lang w:eastAsia="zh-CN"/>
        </w:rPr>
        <w:t>7</w:t>
      </w:r>
      <w:r w:rsidRPr="00121543">
        <w:rPr>
          <w:rFonts w:ascii="Book Antiqua" w:eastAsia="宋体" w:hAnsi="Book Antiqua" w:cs="宋体"/>
          <w:color w:val="000000"/>
          <w:lang w:eastAsia="zh-CN"/>
        </w:rPr>
        <w:t>: 1941-1945 [PMID: 24179904]</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15 </w:t>
      </w:r>
      <w:r w:rsidRPr="00121543">
        <w:rPr>
          <w:rFonts w:ascii="Book Antiqua" w:eastAsia="宋体" w:hAnsi="Book Antiqua" w:cs="宋体"/>
          <w:b/>
          <w:bCs/>
          <w:color w:val="000000"/>
          <w:lang w:eastAsia="zh-CN"/>
        </w:rPr>
        <w:t>Abboud PA</w:t>
      </w:r>
      <w:r w:rsidRPr="00121543">
        <w:rPr>
          <w:rFonts w:ascii="Book Antiqua" w:eastAsia="宋体" w:hAnsi="Book Antiqua" w:cs="宋体"/>
          <w:color w:val="000000"/>
          <w:lang w:eastAsia="zh-CN"/>
        </w:rPr>
        <w:t>, Malet PF, Berlin JA, Staroscik R, Cabana MD, Clarke JR, Shea JA, Schwartz JS, Williams SV. Predictors of common bile duct stones prior to cholecystectomy: a meta-analysis. </w:t>
      </w:r>
      <w:r w:rsidRPr="00121543">
        <w:rPr>
          <w:rFonts w:ascii="Book Antiqua" w:eastAsia="宋体" w:hAnsi="Book Antiqua" w:cs="宋体"/>
          <w:i/>
          <w:iCs/>
          <w:color w:val="000000"/>
          <w:lang w:eastAsia="zh-CN"/>
        </w:rPr>
        <w:t>Gastrointest Endosc</w:t>
      </w:r>
      <w:r w:rsidRPr="00121543">
        <w:rPr>
          <w:rFonts w:ascii="Book Antiqua" w:eastAsia="宋体" w:hAnsi="Book Antiqua" w:cs="宋体"/>
          <w:color w:val="000000"/>
          <w:lang w:eastAsia="zh-CN"/>
        </w:rPr>
        <w:t> 1996; </w:t>
      </w:r>
      <w:r w:rsidRPr="00121543">
        <w:rPr>
          <w:rFonts w:ascii="Book Antiqua" w:eastAsia="宋体" w:hAnsi="Book Antiqua" w:cs="宋体"/>
          <w:b/>
          <w:bCs/>
          <w:color w:val="000000"/>
          <w:lang w:eastAsia="zh-CN"/>
        </w:rPr>
        <w:t>44</w:t>
      </w:r>
      <w:r w:rsidRPr="00121543">
        <w:rPr>
          <w:rFonts w:ascii="Book Antiqua" w:eastAsia="宋体" w:hAnsi="Book Antiqua" w:cs="宋体"/>
          <w:color w:val="000000"/>
          <w:lang w:eastAsia="zh-CN"/>
        </w:rPr>
        <w:t>: 450-455 [PMID: 8905367]</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16 </w:t>
      </w:r>
      <w:r w:rsidRPr="00121543">
        <w:rPr>
          <w:rFonts w:ascii="Book Antiqua" w:eastAsia="宋体" w:hAnsi="Book Antiqua" w:cs="宋体"/>
          <w:b/>
          <w:bCs/>
          <w:color w:val="000000"/>
          <w:lang w:eastAsia="zh-CN"/>
        </w:rPr>
        <w:t>Barkun AN</w:t>
      </w:r>
      <w:r w:rsidRPr="00121543">
        <w:rPr>
          <w:rFonts w:ascii="Book Antiqua" w:eastAsia="宋体" w:hAnsi="Book Antiqua" w:cs="宋体"/>
          <w:color w:val="000000"/>
          <w:lang w:eastAsia="zh-CN"/>
        </w:rPr>
        <w:t>, Barkun JS, Fried GM, Ghitulescu G, Steinmetz O, Pham C, Meakins JL, Goresky CA. Useful predictors of bile duct stones in patients undergoing laparoscopic cholecystectomy. McGill Gallstone Treatment Group. </w:t>
      </w:r>
      <w:r w:rsidRPr="00121543">
        <w:rPr>
          <w:rFonts w:ascii="Book Antiqua" w:eastAsia="宋体" w:hAnsi="Book Antiqua" w:cs="宋体"/>
          <w:i/>
          <w:iCs/>
          <w:color w:val="000000"/>
          <w:lang w:eastAsia="zh-CN"/>
        </w:rPr>
        <w:t>Ann Surg</w:t>
      </w:r>
      <w:r w:rsidRPr="00121543">
        <w:rPr>
          <w:rFonts w:ascii="Book Antiqua" w:eastAsia="宋体" w:hAnsi="Book Antiqua" w:cs="宋体"/>
          <w:color w:val="000000"/>
          <w:lang w:eastAsia="zh-CN"/>
        </w:rPr>
        <w:t> 1994; </w:t>
      </w:r>
      <w:r w:rsidRPr="00121543">
        <w:rPr>
          <w:rFonts w:ascii="Book Antiqua" w:eastAsia="宋体" w:hAnsi="Book Antiqua" w:cs="宋体"/>
          <w:b/>
          <w:bCs/>
          <w:color w:val="000000"/>
          <w:lang w:eastAsia="zh-CN"/>
        </w:rPr>
        <w:t>220</w:t>
      </w:r>
      <w:r w:rsidRPr="00121543">
        <w:rPr>
          <w:rFonts w:ascii="Book Antiqua" w:eastAsia="宋体" w:hAnsi="Book Antiqua" w:cs="宋体"/>
          <w:color w:val="000000"/>
          <w:lang w:eastAsia="zh-CN"/>
        </w:rPr>
        <w:t>: 32-39 [PMID: 7517657]</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17 </w:t>
      </w:r>
      <w:r w:rsidRPr="00121543">
        <w:rPr>
          <w:rFonts w:ascii="Book Antiqua" w:eastAsia="宋体" w:hAnsi="Book Antiqua" w:cs="宋体"/>
          <w:b/>
          <w:bCs/>
          <w:color w:val="000000"/>
          <w:lang w:eastAsia="zh-CN"/>
        </w:rPr>
        <w:t>Yang MH</w:t>
      </w:r>
      <w:r w:rsidRPr="00121543">
        <w:rPr>
          <w:rFonts w:ascii="Book Antiqua" w:eastAsia="宋体" w:hAnsi="Book Antiqua" w:cs="宋体"/>
          <w:color w:val="000000"/>
          <w:lang w:eastAsia="zh-CN"/>
        </w:rPr>
        <w:t xml:space="preserve">, Chen TH, Wang SE, Tsai YF, Su CH, Wu CW, Lui WY, Shyr YM. </w:t>
      </w:r>
      <w:proofErr w:type="gramStart"/>
      <w:r w:rsidRPr="00121543">
        <w:rPr>
          <w:rFonts w:ascii="Book Antiqua" w:eastAsia="宋体" w:hAnsi="Book Antiqua" w:cs="宋体"/>
          <w:color w:val="000000"/>
          <w:lang w:eastAsia="zh-CN"/>
        </w:rPr>
        <w:t>Biochemical predictors for absence of common bile duct stones in patients undergoing laparoscopic cholecystectomy.</w:t>
      </w:r>
      <w:proofErr w:type="gramEnd"/>
      <w:r w:rsidRPr="00121543">
        <w:rPr>
          <w:rFonts w:ascii="Book Antiqua" w:eastAsia="宋体" w:hAnsi="Book Antiqua" w:cs="宋体"/>
          <w:color w:val="000000"/>
          <w:lang w:eastAsia="zh-CN"/>
        </w:rPr>
        <w:t> </w:t>
      </w:r>
      <w:r w:rsidRPr="00121543">
        <w:rPr>
          <w:rFonts w:ascii="Book Antiqua" w:eastAsia="宋体" w:hAnsi="Book Antiqua" w:cs="宋体"/>
          <w:i/>
          <w:iCs/>
          <w:color w:val="000000"/>
          <w:lang w:eastAsia="zh-CN"/>
        </w:rPr>
        <w:t>Surg Endosc</w:t>
      </w:r>
      <w:r w:rsidRPr="00121543">
        <w:rPr>
          <w:rFonts w:ascii="Book Antiqua" w:eastAsia="宋体" w:hAnsi="Book Antiqua" w:cs="宋体"/>
          <w:color w:val="000000"/>
          <w:lang w:eastAsia="zh-CN"/>
        </w:rPr>
        <w:t> 2008; </w:t>
      </w:r>
      <w:r w:rsidRPr="00121543">
        <w:rPr>
          <w:rFonts w:ascii="Book Antiqua" w:eastAsia="宋体" w:hAnsi="Book Antiqua" w:cs="宋体"/>
          <w:b/>
          <w:bCs/>
          <w:color w:val="000000"/>
          <w:lang w:eastAsia="zh-CN"/>
        </w:rPr>
        <w:t>22</w:t>
      </w:r>
      <w:r w:rsidRPr="00121543">
        <w:rPr>
          <w:rFonts w:ascii="Book Antiqua" w:eastAsia="宋体" w:hAnsi="Book Antiqua" w:cs="宋体"/>
          <w:color w:val="000000"/>
          <w:lang w:eastAsia="zh-CN"/>
        </w:rPr>
        <w:t>: 1620-1624 [PMID: 18000708]</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18 </w:t>
      </w:r>
      <w:r w:rsidRPr="00121543">
        <w:rPr>
          <w:rFonts w:ascii="Book Antiqua" w:eastAsia="宋体" w:hAnsi="Book Antiqua" w:cs="宋体"/>
          <w:b/>
          <w:bCs/>
          <w:color w:val="000000"/>
          <w:lang w:eastAsia="zh-CN"/>
        </w:rPr>
        <w:t>Prat F</w:t>
      </w:r>
      <w:r w:rsidRPr="00121543">
        <w:rPr>
          <w:rFonts w:ascii="Book Antiqua" w:eastAsia="宋体" w:hAnsi="Book Antiqua" w:cs="宋体"/>
          <w:color w:val="000000"/>
          <w:lang w:eastAsia="zh-CN"/>
        </w:rPr>
        <w:t>, Meduri B, Ducot B, Chiche R, Salimbeni-Bartolini R, Pelletier G. Prediction of common bile duct stones by noninvasive tests. </w:t>
      </w:r>
      <w:r w:rsidRPr="00121543">
        <w:rPr>
          <w:rFonts w:ascii="Book Antiqua" w:eastAsia="宋体" w:hAnsi="Book Antiqua" w:cs="宋体"/>
          <w:i/>
          <w:iCs/>
          <w:color w:val="000000"/>
          <w:lang w:eastAsia="zh-CN"/>
        </w:rPr>
        <w:t>Ann Surg</w:t>
      </w:r>
      <w:r w:rsidRPr="00121543">
        <w:rPr>
          <w:rFonts w:ascii="Book Antiqua" w:eastAsia="宋体" w:hAnsi="Book Antiqua" w:cs="宋体"/>
          <w:color w:val="000000"/>
          <w:lang w:eastAsia="zh-CN"/>
        </w:rPr>
        <w:t> 1999; </w:t>
      </w:r>
      <w:r w:rsidRPr="00121543">
        <w:rPr>
          <w:rFonts w:ascii="Book Antiqua" w:eastAsia="宋体" w:hAnsi="Book Antiqua" w:cs="宋体"/>
          <w:b/>
          <w:bCs/>
          <w:color w:val="000000"/>
          <w:lang w:eastAsia="zh-CN"/>
        </w:rPr>
        <w:t>229</w:t>
      </w:r>
      <w:r w:rsidRPr="00121543">
        <w:rPr>
          <w:rFonts w:ascii="Book Antiqua" w:eastAsia="宋体" w:hAnsi="Book Antiqua" w:cs="宋体"/>
          <w:color w:val="000000"/>
          <w:lang w:eastAsia="zh-CN"/>
        </w:rPr>
        <w:t>: 362-368 [PMID: 10077048]</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19 </w:t>
      </w:r>
      <w:r w:rsidRPr="00121543">
        <w:rPr>
          <w:rFonts w:ascii="Book Antiqua" w:eastAsia="宋体" w:hAnsi="Book Antiqua" w:cs="宋体"/>
          <w:b/>
          <w:bCs/>
          <w:color w:val="000000"/>
          <w:lang w:eastAsia="zh-CN"/>
        </w:rPr>
        <w:t>Daradkeh S</w:t>
      </w:r>
      <w:r w:rsidRPr="00121543">
        <w:rPr>
          <w:rFonts w:ascii="Book Antiqua" w:eastAsia="宋体" w:hAnsi="Book Antiqua" w:cs="宋体"/>
          <w:color w:val="000000"/>
          <w:lang w:eastAsia="zh-CN"/>
        </w:rPr>
        <w:t>, Tarawneh E, Al-Hadidy A. Factors affecting common bile duct diameter. </w:t>
      </w:r>
      <w:r w:rsidRPr="00121543">
        <w:rPr>
          <w:rFonts w:ascii="Book Antiqua" w:eastAsia="宋体" w:hAnsi="Book Antiqua" w:cs="宋体"/>
          <w:i/>
          <w:iCs/>
          <w:color w:val="000000"/>
          <w:lang w:eastAsia="zh-CN"/>
        </w:rPr>
        <w:t>Hepatogastroenterology</w:t>
      </w:r>
      <w:r w:rsidRPr="00121543">
        <w:rPr>
          <w:rFonts w:ascii="Book Antiqua" w:eastAsia="宋体" w:hAnsi="Book Antiqua" w:cs="宋体"/>
          <w:color w:val="000000"/>
          <w:lang w:eastAsia="zh-CN"/>
        </w:rPr>
        <w:t> </w:t>
      </w:r>
      <w:r>
        <w:rPr>
          <w:rFonts w:ascii="Book Antiqua" w:eastAsia="宋体" w:hAnsi="Book Antiqua" w:cs="宋体" w:hint="eastAsia"/>
          <w:color w:val="000000"/>
          <w:lang w:eastAsia="zh-CN"/>
        </w:rPr>
        <w:t>2005</w:t>
      </w:r>
      <w:r w:rsidRPr="00121543">
        <w:rPr>
          <w:rFonts w:ascii="Book Antiqua" w:eastAsia="宋体" w:hAnsi="Book Antiqua" w:cs="宋体"/>
          <w:color w:val="000000"/>
          <w:lang w:eastAsia="zh-CN"/>
        </w:rPr>
        <w:t>; </w:t>
      </w:r>
      <w:r w:rsidRPr="00121543">
        <w:rPr>
          <w:rFonts w:ascii="Book Antiqua" w:eastAsia="宋体" w:hAnsi="Book Antiqua" w:cs="宋体"/>
          <w:b/>
          <w:bCs/>
          <w:color w:val="000000"/>
          <w:lang w:eastAsia="zh-CN"/>
        </w:rPr>
        <w:t>52</w:t>
      </w:r>
      <w:r w:rsidRPr="00121543">
        <w:rPr>
          <w:rFonts w:ascii="Book Antiqua" w:eastAsia="宋体" w:hAnsi="Book Antiqua" w:cs="宋体"/>
          <w:color w:val="000000"/>
          <w:lang w:eastAsia="zh-CN"/>
        </w:rPr>
        <w:t>: 1659-1661 [PMID: 16334751]</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20 </w:t>
      </w:r>
      <w:r w:rsidRPr="00121543">
        <w:rPr>
          <w:rFonts w:ascii="Book Antiqua" w:eastAsia="宋体" w:hAnsi="Book Antiqua" w:cs="宋体"/>
          <w:b/>
          <w:bCs/>
          <w:color w:val="000000"/>
          <w:lang w:eastAsia="zh-CN"/>
        </w:rPr>
        <w:t>Park SM</w:t>
      </w:r>
      <w:r w:rsidRPr="00121543">
        <w:rPr>
          <w:rFonts w:ascii="Book Antiqua" w:eastAsia="宋体" w:hAnsi="Book Antiqua" w:cs="宋体"/>
          <w:color w:val="000000"/>
          <w:lang w:eastAsia="zh-CN"/>
        </w:rPr>
        <w:t>, Kim WS, Bae IH, Kim JH, Ryu DH, Jang LC, Choi JW. Common bile duct dilatation after cholecystectomy: a one-year prospective study. </w:t>
      </w:r>
      <w:r w:rsidRPr="00121543">
        <w:rPr>
          <w:rFonts w:ascii="Book Antiqua" w:eastAsia="宋体" w:hAnsi="Book Antiqua" w:cs="宋体"/>
          <w:i/>
          <w:iCs/>
          <w:color w:val="000000"/>
          <w:lang w:eastAsia="zh-CN"/>
        </w:rPr>
        <w:t>J Korean Surg Soc</w:t>
      </w:r>
      <w:r w:rsidRPr="00121543">
        <w:rPr>
          <w:rFonts w:ascii="Book Antiqua" w:eastAsia="宋体" w:hAnsi="Book Antiqua" w:cs="宋体"/>
          <w:color w:val="000000"/>
          <w:lang w:eastAsia="zh-CN"/>
        </w:rPr>
        <w:t> 2012; </w:t>
      </w:r>
      <w:r w:rsidRPr="00121543">
        <w:rPr>
          <w:rFonts w:ascii="Book Antiqua" w:eastAsia="宋体" w:hAnsi="Book Antiqua" w:cs="宋体"/>
          <w:b/>
          <w:bCs/>
          <w:color w:val="000000"/>
          <w:lang w:eastAsia="zh-CN"/>
        </w:rPr>
        <w:t>83</w:t>
      </w:r>
      <w:r w:rsidRPr="00121543">
        <w:rPr>
          <w:rFonts w:ascii="Book Antiqua" w:eastAsia="宋体" w:hAnsi="Book Antiqua" w:cs="宋体"/>
          <w:color w:val="000000"/>
          <w:lang w:eastAsia="zh-CN"/>
        </w:rPr>
        <w:t>: 97-101 [PMID: 22880184]</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21 </w:t>
      </w:r>
      <w:r w:rsidRPr="00121543">
        <w:rPr>
          <w:rFonts w:ascii="Book Antiqua" w:eastAsia="宋体" w:hAnsi="Book Antiqua" w:cs="宋体"/>
          <w:b/>
          <w:bCs/>
          <w:color w:val="000000"/>
          <w:lang w:eastAsia="zh-CN"/>
        </w:rPr>
        <w:t>Kaim A</w:t>
      </w:r>
      <w:r w:rsidRPr="00121543">
        <w:rPr>
          <w:rFonts w:ascii="Book Antiqua" w:eastAsia="宋体" w:hAnsi="Book Antiqua" w:cs="宋体"/>
          <w:color w:val="000000"/>
          <w:lang w:eastAsia="zh-CN"/>
        </w:rPr>
        <w:t>, Steinke K, Frank M, Enriquez R, Kirsch E, Bongartz G, Steinbrich W. Diameter of the common bile duct in the elderly patient: measurement by ultrasound. </w:t>
      </w:r>
      <w:r w:rsidRPr="00121543">
        <w:rPr>
          <w:rFonts w:ascii="Book Antiqua" w:eastAsia="宋体" w:hAnsi="Book Antiqua" w:cs="宋体"/>
          <w:i/>
          <w:iCs/>
          <w:color w:val="000000"/>
          <w:lang w:eastAsia="zh-CN"/>
        </w:rPr>
        <w:t>Eur Radiol</w:t>
      </w:r>
      <w:r w:rsidRPr="00121543">
        <w:rPr>
          <w:rFonts w:ascii="Book Antiqua" w:eastAsia="宋体" w:hAnsi="Book Antiqua" w:cs="宋体"/>
          <w:color w:val="000000"/>
          <w:lang w:eastAsia="zh-CN"/>
        </w:rPr>
        <w:t> 1998; </w:t>
      </w:r>
      <w:r w:rsidRPr="00121543">
        <w:rPr>
          <w:rFonts w:ascii="Book Antiqua" w:eastAsia="宋体" w:hAnsi="Book Antiqua" w:cs="宋体"/>
          <w:b/>
          <w:bCs/>
          <w:color w:val="000000"/>
          <w:lang w:eastAsia="zh-CN"/>
        </w:rPr>
        <w:t>8</w:t>
      </w:r>
      <w:r w:rsidRPr="00121543">
        <w:rPr>
          <w:rFonts w:ascii="Book Antiqua" w:eastAsia="宋体" w:hAnsi="Book Antiqua" w:cs="宋体"/>
          <w:color w:val="000000"/>
          <w:lang w:eastAsia="zh-CN"/>
        </w:rPr>
        <w:t>: 1413-1415 [PMID: 9853225]</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22 </w:t>
      </w:r>
      <w:r w:rsidRPr="00121543">
        <w:rPr>
          <w:rFonts w:ascii="Book Antiqua" w:eastAsia="宋体" w:hAnsi="Book Antiqua" w:cs="宋体"/>
          <w:b/>
          <w:bCs/>
          <w:color w:val="000000"/>
          <w:lang w:eastAsia="zh-CN"/>
        </w:rPr>
        <w:t>Onken JE</w:t>
      </w:r>
      <w:r w:rsidRPr="00121543">
        <w:rPr>
          <w:rFonts w:ascii="Book Antiqua" w:eastAsia="宋体" w:hAnsi="Book Antiqua" w:cs="宋体"/>
          <w:color w:val="000000"/>
          <w:lang w:eastAsia="zh-CN"/>
        </w:rPr>
        <w:t>, Brazer SR, Eisen GM, Williams DM, Bouras EP, DeLong ER, Long TT, Pancotto FS, Rhodes DL, Cotton PB. Predicting the presence of choledocholithiasis in patients with symptomatic cholelithiasis. </w:t>
      </w:r>
      <w:r w:rsidRPr="00121543">
        <w:rPr>
          <w:rFonts w:ascii="Book Antiqua" w:eastAsia="宋体" w:hAnsi="Book Antiqua" w:cs="宋体"/>
          <w:i/>
          <w:iCs/>
          <w:color w:val="000000"/>
          <w:lang w:eastAsia="zh-CN"/>
        </w:rPr>
        <w:t>Am J Gastroenterol</w:t>
      </w:r>
      <w:r w:rsidRPr="00121543">
        <w:rPr>
          <w:rFonts w:ascii="Book Antiqua" w:eastAsia="宋体" w:hAnsi="Book Antiqua" w:cs="宋体"/>
          <w:color w:val="000000"/>
          <w:lang w:eastAsia="zh-CN"/>
        </w:rPr>
        <w:t> 1996; </w:t>
      </w:r>
      <w:r w:rsidRPr="00121543">
        <w:rPr>
          <w:rFonts w:ascii="Book Antiqua" w:eastAsia="宋体" w:hAnsi="Book Antiqua" w:cs="宋体"/>
          <w:b/>
          <w:bCs/>
          <w:color w:val="000000"/>
          <w:lang w:eastAsia="zh-CN"/>
        </w:rPr>
        <w:t>91</w:t>
      </w:r>
      <w:r w:rsidRPr="00121543">
        <w:rPr>
          <w:rFonts w:ascii="Book Antiqua" w:eastAsia="宋体" w:hAnsi="Book Antiqua" w:cs="宋体"/>
          <w:color w:val="000000"/>
          <w:lang w:eastAsia="zh-CN"/>
        </w:rPr>
        <w:t>: 762-767 [PMID: 8677945]</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23 </w:t>
      </w:r>
      <w:r w:rsidRPr="00121543">
        <w:rPr>
          <w:rFonts w:ascii="Book Antiqua" w:eastAsia="宋体" w:hAnsi="Book Antiqua" w:cs="宋体"/>
          <w:b/>
          <w:bCs/>
          <w:color w:val="000000"/>
          <w:lang w:eastAsia="zh-CN"/>
        </w:rPr>
        <w:t>Peng WK</w:t>
      </w:r>
      <w:r w:rsidRPr="00121543">
        <w:rPr>
          <w:rFonts w:ascii="Book Antiqua" w:eastAsia="宋体" w:hAnsi="Book Antiqua" w:cs="宋体"/>
          <w:color w:val="000000"/>
          <w:lang w:eastAsia="zh-CN"/>
        </w:rPr>
        <w:t>, Sheikh Z, Paterson-Brown S, Nixon SJ. Role of liver function tests in predicting common bile duct stones in acute calculous cholecystitis. </w:t>
      </w:r>
      <w:r w:rsidRPr="00121543">
        <w:rPr>
          <w:rFonts w:ascii="Book Antiqua" w:eastAsia="宋体" w:hAnsi="Book Antiqua" w:cs="宋体"/>
          <w:i/>
          <w:iCs/>
          <w:color w:val="000000"/>
          <w:lang w:eastAsia="zh-CN"/>
        </w:rPr>
        <w:t>Br J Surg</w:t>
      </w:r>
      <w:r w:rsidRPr="00121543">
        <w:rPr>
          <w:rFonts w:ascii="Book Antiqua" w:eastAsia="宋体" w:hAnsi="Book Antiqua" w:cs="宋体"/>
          <w:color w:val="000000"/>
          <w:lang w:eastAsia="zh-CN"/>
        </w:rPr>
        <w:t> 2005; </w:t>
      </w:r>
      <w:r w:rsidRPr="00121543">
        <w:rPr>
          <w:rFonts w:ascii="Book Antiqua" w:eastAsia="宋体" w:hAnsi="Book Antiqua" w:cs="宋体"/>
          <w:b/>
          <w:bCs/>
          <w:color w:val="000000"/>
          <w:lang w:eastAsia="zh-CN"/>
        </w:rPr>
        <w:t>92</w:t>
      </w:r>
      <w:r w:rsidRPr="00121543">
        <w:rPr>
          <w:rFonts w:ascii="Book Antiqua" w:eastAsia="宋体" w:hAnsi="Book Antiqua" w:cs="宋体"/>
          <w:color w:val="000000"/>
          <w:lang w:eastAsia="zh-CN"/>
        </w:rPr>
        <w:t>: 1241-1247 [PMID: 16078299]</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24 </w:t>
      </w:r>
      <w:r w:rsidRPr="00121543">
        <w:rPr>
          <w:rFonts w:ascii="Book Antiqua" w:eastAsia="宋体" w:hAnsi="Book Antiqua" w:cs="宋体"/>
          <w:b/>
          <w:bCs/>
          <w:color w:val="000000"/>
          <w:lang w:eastAsia="zh-CN"/>
        </w:rPr>
        <w:t>Tranter SE</w:t>
      </w:r>
      <w:r w:rsidRPr="00121543">
        <w:rPr>
          <w:rFonts w:ascii="Book Antiqua" w:eastAsia="宋体" w:hAnsi="Book Antiqua" w:cs="宋体"/>
          <w:color w:val="000000"/>
          <w:lang w:eastAsia="zh-CN"/>
        </w:rPr>
        <w:t>, Thompson MH. Spontaneous passage of bile duct stones: frequency of occurrence and relation to clinical presentation. </w:t>
      </w:r>
      <w:r w:rsidRPr="00121543">
        <w:rPr>
          <w:rFonts w:ascii="Book Antiqua" w:eastAsia="宋体" w:hAnsi="Book Antiqua" w:cs="宋体"/>
          <w:i/>
          <w:iCs/>
          <w:color w:val="000000"/>
          <w:lang w:eastAsia="zh-CN"/>
        </w:rPr>
        <w:t>Ann R Coll Surg Engl</w:t>
      </w:r>
      <w:r w:rsidRPr="00121543">
        <w:rPr>
          <w:rFonts w:ascii="Book Antiqua" w:eastAsia="宋体" w:hAnsi="Book Antiqua" w:cs="宋体"/>
          <w:color w:val="000000"/>
          <w:lang w:eastAsia="zh-CN"/>
        </w:rPr>
        <w:t> 2003; </w:t>
      </w:r>
      <w:r w:rsidRPr="00121543">
        <w:rPr>
          <w:rFonts w:ascii="Book Antiqua" w:eastAsia="宋体" w:hAnsi="Book Antiqua" w:cs="宋体"/>
          <w:b/>
          <w:bCs/>
          <w:color w:val="000000"/>
          <w:lang w:eastAsia="zh-CN"/>
        </w:rPr>
        <w:t>85</w:t>
      </w:r>
      <w:r w:rsidRPr="00121543">
        <w:rPr>
          <w:rFonts w:ascii="Book Antiqua" w:eastAsia="宋体" w:hAnsi="Book Antiqua" w:cs="宋体"/>
          <w:color w:val="000000"/>
          <w:lang w:eastAsia="zh-CN"/>
        </w:rPr>
        <w:t>: 174-177 [PMID: 12831489]</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25 </w:t>
      </w:r>
      <w:r w:rsidRPr="00121543">
        <w:rPr>
          <w:rFonts w:ascii="Book Antiqua" w:eastAsia="宋体" w:hAnsi="Book Antiqua" w:cs="宋体"/>
          <w:b/>
          <w:bCs/>
          <w:color w:val="000000"/>
          <w:lang w:eastAsia="zh-CN"/>
        </w:rPr>
        <w:t>Venneman NG</w:t>
      </w:r>
      <w:r w:rsidRPr="00121543">
        <w:rPr>
          <w:rFonts w:ascii="Book Antiqua" w:eastAsia="宋体" w:hAnsi="Book Antiqua" w:cs="宋体"/>
          <w:color w:val="000000"/>
          <w:lang w:eastAsia="zh-CN"/>
        </w:rPr>
        <w:t>, Buskens E, Besselink MG, Stads S, Go PM, Bosscha K, van Berge-Henegouwen GP, van Erpecum KJ. Small gallstones are associated with increased risk of acute pancreatitis: potential benefits of prophylactic cholecystectomy? </w:t>
      </w:r>
      <w:r w:rsidRPr="00121543">
        <w:rPr>
          <w:rFonts w:ascii="Book Antiqua" w:eastAsia="宋体" w:hAnsi="Book Antiqua" w:cs="宋体"/>
          <w:i/>
          <w:iCs/>
          <w:color w:val="000000"/>
          <w:lang w:eastAsia="zh-CN"/>
        </w:rPr>
        <w:t>Am J Gastroenterol</w:t>
      </w:r>
      <w:r w:rsidRPr="00121543">
        <w:rPr>
          <w:rFonts w:ascii="Book Antiqua" w:eastAsia="宋体" w:hAnsi="Book Antiqua" w:cs="宋体"/>
          <w:color w:val="000000"/>
          <w:lang w:eastAsia="zh-CN"/>
        </w:rPr>
        <w:t> 2005; </w:t>
      </w:r>
      <w:r w:rsidRPr="00121543">
        <w:rPr>
          <w:rFonts w:ascii="Book Antiqua" w:eastAsia="宋体" w:hAnsi="Book Antiqua" w:cs="宋体"/>
          <w:b/>
          <w:bCs/>
          <w:color w:val="000000"/>
          <w:lang w:eastAsia="zh-CN"/>
        </w:rPr>
        <w:t>100</w:t>
      </w:r>
      <w:r w:rsidRPr="00121543">
        <w:rPr>
          <w:rFonts w:ascii="Book Antiqua" w:eastAsia="宋体" w:hAnsi="Book Antiqua" w:cs="宋体"/>
          <w:color w:val="000000"/>
          <w:lang w:eastAsia="zh-CN"/>
        </w:rPr>
        <w:t>: 2540-2550 [PMID: 16279912]</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26 </w:t>
      </w:r>
      <w:r w:rsidRPr="00121543">
        <w:rPr>
          <w:rFonts w:ascii="Book Antiqua" w:eastAsia="宋体" w:hAnsi="Book Antiqua" w:cs="宋体"/>
          <w:b/>
          <w:bCs/>
          <w:color w:val="000000"/>
          <w:lang w:eastAsia="zh-CN"/>
        </w:rPr>
        <w:t>Chang L</w:t>
      </w:r>
      <w:r w:rsidRPr="00121543">
        <w:rPr>
          <w:rFonts w:ascii="Book Antiqua" w:eastAsia="宋体" w:hAnsi="Book Antiqua" w:cs="宋体"/>
          <w:color w:val="000000"/>
          <w:lang w:eastAsia="zh-CN"/>
        </w:rPr>
        <w:t>, Lo SK, Stabile BE, Lewis RJ, de Virgilio C. Gallstone pancreatitis: a prospective study on the incidence of cholangitis and clinical predictors of retained common bile duct stones. </w:t>
      </w:r>
      <w:r w:rsidRPr="00121543">
        <w:rPr>
          <w:rFonts w:ascii="Book Antiqua" w:eastAsia="宋体" w:hAnsi="Book Antiqua" w:cs="宋体"/>
          <w:i/>
          <w:iCs/>
          <w:color w:val="000000"/>
          <w:lang w:eastAsia="zh-CN"/>
        </w:rPr>
        <w:t>Am J Gastroenterol</w:t>
      </w:r>
      <w:r w:rsidRPr="00121543">
        <w:rPr>
          <w:rFonts w:ascii="Book Antiqua" w:eastAsia="宋体" w:hAnsi="Book Antiqua" w:cs="宋体"/>
          <w:color w:val="000000"/>
          <w:lang w:eastAsia="zh-CN"/>
        </w:rPr>
        <w:t> 1998; </w:t>
      </w:r>
      <w:r w:rsidRPr="00121543">
        <w:rPr>
          <w:rFonts w:ascii="Book Antiqua" w:eastAsia="宋体" w:hAnsi="Book Antiqua" w:cs="宋体"/>
          <w:b/>
          <w:bCs/>
          <w:color w:val="000000"/>
          <w:lang w:eastAsia="zh-CN"/>
        </w:rPr>
        <w:t>93</w:t>
      </w:r>
      <w:r w:rsidRPr="00121543">
        <w:rPr>
          <w:rFonts w:ascii="Book Antiqua" w:eastAsia="宋体" w:hAnsi="Book Antiqua" w:cs="宋体"/>
          <w:color w:val="000000"/>
          <w:lang w:eastAsia="zh-CN"/>
        </w:rPr>
        <w:t>: 527-531 [PMID: 9576442]</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27 </w:t>
      </w:r>
      <w:r w:rsidRPr="00121543">
        <w:rPr>
          <w:rFonts w:ascii="Book Antiqua" w:eastAsia="宋体" w:hAnsi="Book Antiqua" w:cs="宋体"/>
          <w:b/>
          <w:bCs/>
          <w:color w:val="000000"/>
          <w:lang w:eastAsia="zh-CN"/>
        </w:rPr>
        <w:t>Sakai Y</w:t>
      </w:r>
      <w:r w:rsidRPr="00121543">
        <w:rPr>
          <w:rFonts w:ascii="Book Antiqua" w:eastAsia="宋体" w:hAnsi="Book Antiqua" w:cs="宋体"/>
          <w:color w:val="000000"/>
          <w:lang w:eastAsia="zh-CN"/>
        </w:rPr>
        <w:t>, Tsuyuguchi T, Ishihara T, Yukisawa S, Ohara T, Tsuboi M, Ooka Y, Kato K, Katsuura K, Kimura M, Takahashi M, Nemoto K, Miyazaki M, Yokosuka O. Is ERCP really necessary in case of suspected spontaneous passage of bile duct stones? </w:t>
      </w:r>
      <w:r w:rsidRPr="00121543">
        <w:rPr>
          <w:rFonts w:ascii="Book Antiqua" w:eastAsia="宋体" w:hAnsi="Book Antiqua" w:cs="宋体"/>
          <w:i/>
          <w:iCs/>
          <w:color w:val="000000"/>
          <w:lang w:eastAsia="zh-CN"/>
        </w:rPr>
        <w:t>World J Gastroenterol</w:t>
      </w:r>
      <w:r w:rsidRPr="00121543">
        <w:rPr>
          <w:rFonts w:ascii="Book Antiqua" w:eastAsia="宋体" w:hAnsi="Book Antiqua" w:cs="宋体"/>
          <w:color w:val="000000"/>
          <w:lang w:eastAsia="zh-CN"/>
        </w:rPr>
        <w:t> 2009; </w:t>
      </w:r>
      <w:r w:rsidRPr="00121543">
        <w:rPr>
          <w:rFonts w:ascii="Book Antiqua" w:eastAsia="宋体" w:hAnsi="Book Antiqua" w:cs="宋体"/>
          <w:b/>
          <w:bCs/>
          <w:color w:val="000000"/>
          <w:lang w:eastAsia="zh-CN"/>
        </w:rPr>
        <w:t>15</w:t>
      </w:r>
      <w:r w:rsidRPr="00121543">
        <w:rPr>
          <w:rFonts w:ascii="Book Antiqua" w:eastAsia="宋体" w:hAnsi="Book Antiqua" w:cs="宋体"/>
          <w:color w:val="000000"/>
          <w:lang w:eastAsia="zh-CN"/>
        </w:rPr>
        <w:t>: 3283-3287 [PMID: 19598305]</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28 </w:t>
      </w:r>
      <w:r w:rsidRPr="00121543">
        <w:rPr>
          <w:rFonts w:ascii="Book Antiqua" w:eastAsia="宋体" w:hAnsi="Book Antiqua" w:cs="宋体"/>
          <w:b/>
          <w:bCs/>
          <w:color w:val="000000"/>
          <w:lang w:eastAsia="zh-CN"/>
        </w:rPr>
        <w:t>Verma D</w:t>
      </w:r>
      <w:r w:rsidRPr="00121543">
        <w:rPr>
          <w:rFonts w:ascii="Book Antiqua" w:eastAsia="宋体" w:hAnsi="Book Antiqua" w:cs="宋体"/>
          <w:color w:val="000000"/>
          <w:lang w:eastAsia="zh-CN"/>
        </w:rPr>
        <w:t xml:space="preserve">, Kapadia A, Eisen GM, Adler DG. </w:t>
      </w:r>
      <w:proofErr w:type="gramStart"/>
      <w:r w:rsidRPr="00121543">
        <w:rPr>
          <w:rFonts w:ascii="Book Antiqua" w:eastAsia="宋体" w:hAnsi="Book Antiqua" w:cs="宋体"/>
          <w:color w:val="000000"/>
          <w:lang w:eastAsia="zh-CN"/>
        </w:rPr>
        <w:t>EUS vs MRCP for detection of choledocholithiasis.</w:t>
      </w:r>
      <w:proofErr w:type="gramEnd"/>
      <w:r w:rsidRPr="00121543">
        <w:rPr>
          <w:rFonts w:ascii="Book Antiqua" w:eastAsia="宋体" w:hAnsi="Book Antiqua" w:cs="宋体"/>
          <w:color w:val="000000"/>
          <w:lang w:eastAsia="zh-CN"/>
        </w:rPr>
        <w:t> </w:t>
      </w:r>
      <w:r w:rsidRPr="00121543">
        <w:rPr>
          <w:rFonts w:ascii="Book Antiqua" w:eastAsia="宋体" w:hAnsi="Book Antiqua" w:cs="宋体"/>
          <w:i/>
          <w:iCs/>
          <w:color w:val="000000"/>
          <w:lang w:eastAsia="zh-CN"/>
        </w:rPr>
        <w:t>Gastrointest Endosc</w:t>
      </w:r>
      <w:r w:rsidRPr="00121543">
        <w:rPr>
          <w:rFonts w:ascii="Book Antiqua" w:eastAsia="宋体" w:hAnsi="Book Antiqua" w:cs="宋体"/>
          <w:color w:val="000000"/>
          <w:lang w:eastAsia="zh-CN"/>
        </w:rPr>
        <w:t> 2006; </w:t>
      </w:r>
      <w:r w:rsidRPr="00121543">
        <w:rPr>
          <w:rFonts w:ascii="Book Antiqua" w:eastAsia="宋体" w:hAnsi="Book Antiqua" w:cs="宋体"/>
          <w:b/>
          <w:bCs/>
          <w:color w:val="000000"/>
          <w:lang w:eastAsia="zh-CN"/>
        </w:rPr>
        <w:t>64</w:t>
      </w:r>
      <w:r w:rsidRPr="00121543">
        <w:rPr>
          <w:rFonts w:ascii="Book Antiqua" w:eastAsia="宋体" w:hAnsi="Book Antiqua" w:cs="宋体"/>
          <w:color w:val="000000"/>
          <w:lang w:eastAsia="zh-CN"/>
        </w:rPr>
        <w:t>: 248-254 [PMID: 16860077]</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29 </w:t>
      </w:r>
      <w:r w:rsidRPr="00121543">
        <w:rPr>
          <w:rFonts w:ascii="Book Antiqua" w:eastAsia="宋体" w:hAnsi="Book Antiqua" w:cs="宋体"/>
          <w:b/>
          <w:bCs/>
          <w:color w:val="000000"/>
          <w:lang w:eastAsia="zh-CN"/>
        </w:rPr>
        <w:t>Ledro-Cano D</w:t>
      </w:r>
      <w:r w:rsidRPr="00121543">
        <w:rPr>
          <w:rFonts w:ascii="Book Antiqua" w:eastAsia="宋体" w:hAnsi="Book Antiqua" w:cs="宋体"/>
          <w:color w:val="000000"/>
          <w:lang w:eastAsia="zh-CN"/>
        </w:rPr>
        <w:t xml:space="preserve">. Suspected choledocholithiasis: endoscopic ultrasound or magnetic resonance cholangio-pancreatography? </w:t>
      </w:r>
      <w:proofErr w:type="gramStart"/>
      <w:r w:rsidRPr="00121543">
        <w:rPr>
          <w:rFonts w:ascii="Book Antiqua" w:eastAsia="宋体" w:hAnsi="Book Antiqua" w:cs="宋体"/>
          <w:color w:val="000000"/>
          <w:lang w:eastAsia="zh-CN"/>
        </w:rPr>
        <w:t>A systematic review.</w:t>
      </w:r>
      <w:proofErr w:type="gramEnd"/>
      <w:r w:rsidRPr="00121543">
        <w:rPr>
          <w:rFonts w:ascii="Book Antiqua" w:eastAsia="宋体" w:hAnsi="Book Antiqua" w:cs="宋体"/>
          <w:color w:val="000000"/>
          <w:lang w:eastAsia="zh-CN"/>
        </w:rPr>
        <w:t> </w:t>
      </w:r>
      <w:r w:rsidRPr="00121543">
        <w:rPr>
          <w:rFonts w:ascii="Book Antiqua" w:eastAsia="宋体" w:hAnsi="Book Antiqua" w:cs="宋体"/>
          <w:i/>
          <w:iCs/>
          <w:color w:val="000000"/>
          <w:lang w:eastAsia="zh-CN"/>
        </w:rPr>
        <w:t>Eur J Gastroenterol Hepatol</w:t>
      </w:r>
      <w:r w:rsidRPr="00121543">
        <w:rPr>
          <w:rFonts w:ascii="Book Antiqua" w:eastAsia="宋体" w:hAnsi="Book Antiqua" w:cs="宋体"/>
          <w:color w:val="000000"/>
          <w:lang w:eastAsia="zh-CN"/>
        </w:rPr>
        <w:t> 2007; </w:t>
      </w:r>
      <w:r w:rsidRPr="00121543">
        <w:rPr>
          <w:rFonts w:ascii="Book Antiqua" w:eastAsia="宋体" w:hAnsi="Book Antiqua" w:cs="宋体"/>
          <w:b/>
          <w:bCs/>
          <w:color w:val="000000"/>
          <w:lang w:eastAsia="zh-CN"/>
        </w:rPr>
        <w:t>19</w:t>
      </w:r>
      <w:r w:rsidRPr="00121543">
        <w:rPr>
          <w:rFonts w:ascii="Book Antiqua" w:eastAsia="宋体" w:hAnsi="Book Antiqua" w:cs="宋体"/>
          <w:color w:val="000000"/>
          <w:lang w:eastAsia="zh-CN"/>
        </w:rPr>
        <w:t>: 1007-1011 [PMID: 18049172]</w:t>
      </w:r>
    </w:p>
    <w:p w:rsidR="00121543" w:rsidRPr="00121543" w:rsidRDefault="00121543" w:rsidP="00121543">
      <w:pPr>
        <w:spacing w:line="360" w:lineRule="auto"/>
        <w:jc w:val="both"/>
        <w:rPr>
          <w:rFonts w:ascii="Book Antiqua" w:eastAsia="宋体" w:hAnsi="Book Antiqua" w:cs="宋体"/>
          <w:color w:val="000000"/>
          <w:lang w:eastAsia="zh-CN"/>
        </w:rPr>
      </w:pPr>
      <w:r w:rsidRPr="00121543">
        <w:rPr>
          <w:rFonts w:ascii="Book Antiqua" w:eastAsia="宋体" w:hAnsi="Book Antiqua" w:cs="宋体"/>
          <w:color w:val="000000"/>
          <w:lang w:eastAsia="zh-CN"/>
        </w:rPr>
        <w:t>30 </w:t>
      </w:r>
      <w:r w:rsidRPr="00121543">
        <w:rPr>
          <w:rFonts w:ascii="Book Antiqua" w:eastAsia="宋体" w:hAnsi="Book Antiqua" w:cs="宋体"/>
          <w:b/>
          <w:bCs/>
          <w:color w:val="000000"/>
          <w:lang w:eastAsia="zh-CN"/>
        </w:rPr>
        <w:t>Kondo S</w:t>
      </w:r>
      <w:r w:rsidRPr="00121543">
        <w:rPr>
          <w:rFonts w:ascii="Book Antiqua" w:eastAsia="宋体" w:hAnsi="Book Antiqua" w:cs="宋体"/>
          <w:color w:val="000000"/>
          <w:lang w:eastAsia="zh-CN"/>
        </w:rPr>
        <w:t>, Isayama H, Akahane M, Toda N, Sasahira N, Nakai Y, Yamamoto N, Hirano K, Komatsu Y, Tada M, Yoshida H, Kawabe T, Ohtomo K, Omata M. Detection of common bile duct stones: comparison between endoscopic ultrasonography, magnetic resonance cholangiography, and helical-computed-tomographic cholangiography. </w:t>
      </w:r>
      <w:r w:rsidRPr="00121543">
        <w:rPr>
          <w:rFonts w:ascii="Book Antiqua" w:eastAsia="宋体" w:hAnsi="Book Antiqua" w:cs="宋体"/>
          <w:i/>
          <w:iCs/>
          <w:color w:val="000000"/>
          <w:lang w:eastAsia="zh-CN"/>
        </w:rPr>
        <w:t>Eur J Radiol</w:t>
      </w:r>
      <w:r w:rsidRPr="00121543">
        <w:rPr>
          <w:rFonts w:ascii="Book Antiqua" w:eastAsia="宋体" w:hAnsi="Book Antiqua" w:cs="宋体"/>
          <w:color w:val="000000"/>
          <w:lang w:eastAsia="zh-CN"/>
        </w:rPr>
        <w:t> 2005; </w:t>
      </w:r>
      <w:r w:rsidRPr="00121543">
        <w:rPr>
          <w:rFonts w:ascii="Book Antiqua" w:eastAsia="宋体" w:hAnsi="Book Antiqua" w:cs="宋体"/>
          <w:b/>
          <w:bCs/>
          <w:color w:val="000000"/>
          <w:lang w:eastAsia="zh-CN"/>
        </w:rPr>
        <w:t>54</w:t>
      </w:r>
      <w:r w:rsidRPr="00121543">
        <w:rPr>
          <w:rFonts w:ascii="Book Antiqua" w:eastAsia="宋体" w:hAnsi="Book Antiqua" w:cs="宋体"/>
          <w:color w:val="000000"/>
          <w:lang w:eastAsia="zh-CN"/>
        </w:rPr>
        <w:t>: 271-275 [PMID: 15837409]</w:t>
      </w:r>
    </w:p>
    <w:p w:rsidR="00165833" w:rsidRPr="00121543" w:rsidRDefault="00165833" w:rsidP="00121543">
      <w:pPr>
        <w:spacing w:line="360" w:lineRule="auto"/>
        <w:jc w:val="both"/>
        <w:rPr>
          <w:rFonts w:ascii="Book Antiqua" w:eastAsiaTheme="minorEastAsia" w:hAnsi="Book Antiqua"/>
          <w:b/>
          <w:lang w:eastAsia="zh-CN"/>
        </w:rPr>
      </w:pPr>
    </w:p>
    <w:p w:rsidR="00165833" w:rsidRPr="00121543" w:rsidRDefault="00165833" w:rsidP="00121543">
      <w:pPr>
        <w:pStyle w:val="PlainText"/>
        <w:spacing w:line="360" w:lineRule="auto"/>
        <w:jc w:val="right"/>
        <w:rPr>
          <w:rFonts w:ascii="Book Antiqua" w:hAnsi="Book Antiqua"/>
          <w:b/>
          <w:sz w:val="24"/>
          <w:szCs w:val="24"/>
        </w:rPr>
      </w:pPr>
      <w:r w:rsidRPr="00121543">
        <w:rPr>
          <w:rFonts w:ascii="Book Antiqua" w:hAnsi="Book Antiqua"/>
          <w:b/>
          <w:sz w:val="24"/>
          <w:szCs w:val="24"/>
        </w:rPr>
        <w:t>P-Reviewer:</w:t>
      </w:r>
      <w:r w:rsidRPr="00121543">
        <w:rPr>
          <w:rFonts w:ascii="Book Antiqua" w:hAnsi="Book Antiqua" w:cs="Tahoma"/>
          <w:color w:val="000000"/>
          <w:sz w:val="24"/>
          <w:szCs w:val="24"/>
        </w:rPr>
        <w:t xml:space="preserve"> Lee CL, Muguruma N, Skok P, Yu B</w:t>
      </w:r>
      <w:r w:rsidRPr="00121543">
        <w:rPr>
          <w:rFonts w:ascii="Book Antiqua" w:hAnsi="Book Antiqua"/>
          <w:b/>
          <w:sz w:val="24"/>
          <w:szCs w:val="24"/>
        </w:rPr>
        <w:t xml:space="preserve"> S-Editor: </w:t>
      </w:r>
      <w:r w:rsidRPr="00121543">
        <w:rPr>
          <w:rFonts w:ascii="Book Antiqua" w:hAnsi="Book Antiqua"/>
          <w:sz w:val="24"/>
          <w:szCs w:val="24"/>
        </w:rPr>
        <w:t>Ji FF</w:t>
      </w:r>
      <w:r w:rsidRPr="00121543">
        <w:rPr>
          <w:rFonts w:ascii="Book Antiqua" w:hAnsi="Book Antiqua"/>
          <w:b/>
          <w:sz w:val="24"/>
          <w:szCs w:val="24"/>
        </w:rPr>
        <w:t xml:space="preserve"> L-Editor: E-Editor:</w:t>
      </w:r>
    </w:p>
    <w:p w:rsidR="00165833" w:rsidRPr="00165833" w:rsidRDefault="00165833" w:rsidP="00165833">
      <w:pPr>
        <w:spacing w:line="360" w:lineRule="auto"/>
        <w:jc w:val="both"/>
        <w:rPr>
          <w:rFonts w:ascii="Book Antiqua" w:eastAsiaTheme="minorEastAsia" w:hAnsi="Book Antiqua"/>
          <w:lang w:eastAsia="zh-CN"/>
        </w:rPr>
      </w:pPr>
    </w:p>
    <w:p w:rsidR="00121543" w:rsidRDefault="00121543" w:rsidP="00165833">
      <w:pPr>
        <w:spacing w:line="360" w:lineRule="auto"/>
        <w:jc w:val="both"/>
        <w:rPr>
          <w:rFonts w:ascii="Book Antiqua" w:eastAsiaTheme="minorEastAsia" w:hAnsi="Book Antiqua"/>
          <w:b/>
          <w:lang w:eastAsia="zh-CN"/>
        </w:rPr>
      </w:pPr>
    </w:p>
    <w:p w:rsidR="00121543" w:rsidRDefault="00121543" w:rsidP="00165833">
      <w:pPr>
        <w:spacing w:line="360" w:lineRule="auto"/>
        <w:jc w:val="both"/>
        <w:rPr>
          <w:rFonts w:ascii="Book Antiqua" w:eastAsiaTheme="minorEastAsia" w:hAnsi="Book Antiqua"/>
          <w:b/>
          <w:lang w:eastAsia="zh-CN"/>
        </w:rPr>
      </w:pPr>
    </w:p>
    <w:p w:rsidR="00121543" w:rsidRDefault="00121543" w:rsidP="00165833">
      <w:pPr>
        <w:spacing w:line="360" w:lineRule="auto"/>
        <w:jc w:val="both"/>
        <w:rPr>
          <w:rFonts w:ascii="Book Antiqua" w:eastAsiaTheme="minorEastAsia" w:hAnsi="Book Antiqua"/>
          <w:b/>
          <w:lang w:eastAsia="zh-CN"/>
        </w:rPr>
      </w:pPr>
    </w:p>
    <w:p w:rsidR="00121543" w:rsidRDefault="00121543" w:rsidP="00165833">
      <w:pPr>
        <w:spacing w:line="360" w:lineRule="auto"/>
        <w:jc w:val="both"/>
        <w:rPr>
          <w:rFonts w:ascii="Book Antiqua" w:eastAsiaTheme="minorEastAsia" w:hAnsi="Book Antiqua"/>
          <w:b/>
          <w:lang w:eastAsia="zh-CN"/>
        </w:rPr>
      </w:pPr>
    </w:p>
    <w:p w:rsidR="00121543" w:rsidRDefault="00121543" w:rsidP="00165833">
      <w:pPr>
        <w:spacing w:line="360" w:lineRule="auto"/>
        <w:jc w:val="both"/>
        <w:rPr>
          <w:rFonts w:ascii="Book Antiqua" w:eastAsiaTheme="minorEastAsia" w:hAnsi="Book Antiqua"/>
          <w:b/>
          <w:lang w:eastAsia="zh-CN"/>
        </w:rPr>
      </w:pPr>
    </w:p>
    <w:p w:rsidR="00121543" w:rsidRDefault="00121543" w:rsidP="00165833">
      <w:pPr>
        <w:spacing w:line="360" w:lineRule="auto"/>
        <w:jc w:val="both"/>
        <w:rPr>
          <w:rFonts w:ascii="Book Antiqua" w:eastAsiaTheme="minorEastAsia" w:hAnsi="Book Antiqua"/>
          <w:b/>
          <w:lang w:eastAsia="zh-CN"/>
        </w:rPr>
      </w:pPr>
    </w:p>
    <w:p w:rsidR="00121543" w:rsidRDefault="00121543" w:rsidP="00165833">
      <w:pPr>
        <w:spacing w:line="360" w:lineRule="auto"/>
        <w:jc w:val="both"/>
        <w:rPr>
          <w:rFonts w:ascii="Book Antiqua" w:eastAsiaTheme="minorEastAsia" w:hAnsi="Book Antiqua"/>
          <w:b/>
          <w:lang w:eastAsia="zh-CN"/>
        </w:rPr>
      </w:pPr>
    </w:p>
    <w:p w:rsidR="00121543" w:rsidRDefault="00121543" w:rsidP="00165833">
      <w:pPr>
        <w:spacing w:line="360" w:lineRule="auto"/>
        <w:jc w:val="both"/>
        <w:rPr>
          <w:rFonts w:ascii="Book Antiqua" w:eastAsiaTheme="minorEastAsia" w:hAnsi="Book Antiqua"/>
          <w:b/>
          <w:lang w:eastAsia="zh-CN"/>
        </w:rPr>
      </w:pPr>
    </w:p>
    <w:p w:rsidR="00121543" w:rsidRDefault="00121543" w:rsidP="00165833">
      <w:pPr>
        <w:spacing w:line="360" w:lineRule="auto"/>
        <w:jc w:val="both"/>
        <w:rPr>
          <w:rFonts w:ascii="Book Antiqua" w:eastAsiaTheme="minorEastAsia" w:hAnsi="Book Antiqua"/>
          <w:b/>
          <w:lang w:eastAsia="zh-CN"/>
        </w:rPr>
      </w:pPr>
    </w:p>
    <w:p w:rsidR="00C6177F" w:rsidRPr="00165833" w:rsidRDefault="00165833" w:rsidP="00165833">
      <w:pPr>
        <w:spacing w:line="360" w:lineRule="auto"/>
        <w:jc w:val="both"/>
        <w:rPr>
          <w:rFonts w:ascii="Book Antiqua" w:hAnsi="Book Antiqua"/>
          <w:b/>
        </w:rPr>
      </w:pPr>
      <w:r w:rsidRPr="00165833">
        <w:rPr>
          <w:rFonts w:ascii="Book Antiqua" w:hAnsi="Book Antiqua"/>
          <w:b/>
        </w:rPr>
        <w:t xml:space="preserve">Table 1 </w:t>
      </w:r>
      <w:r w:rsidRPr="00165833">
        <w:rPr>
          <w:rFonts w:ascii="Book Antiqua" w:hAnsi="Book Antiqua" w:cs="Garamond"/>
          <w:b/>
        </w:rPr>
        <w:t>Baseline characteristics of the study population</w:t>
      </w:r>
    </w:p>
    <w:p w:rsidR="00C6177F" w:rsidRPr="00165833" w:rsidRDefault="00C6177F" w:rsidP="00165833">
      <w:pPr>
        <w:spacing w:line="360" w:lineRule="auto"/>
        <w:jc w:val="both"/>
        <w:rPr>
          <w:rFonts w:ascii="Book Antiqua" w:hAnsi="Book Antiqua"/>
        </w:rPr>
      </w:pPr>
    </w:p>
    <w:tbl>
      <w:tblPr>
        <w:tblStyle w:val="TableGrid"/>
        <w:tblW w:w="55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1540"/>
      </w:tblGrid>
      <w:tr w:rsidR="00165833" w:rsidRPr="00165833" w:rsidTr="0074441D">
        <w:trPr>
          <w:trHeight w:val="610"/>
        </w:trPr>
        <w:tc>
          <w:tcPr>
            <w:tcW w:w="4006"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Variable</w:t>
            </w:r>
          </w:p>
        </w:tc>
        <w:tc>
          <w:tcPr>
            <w:tcW w:w="1540"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Total</w:t>
            </w:r>
          </w:p>
          <w:p w:rsidR="005A71BD" w:rsidRPr="00165833" w:rsidRDefault="00165833" w:rsidP="00165833">
            <w:pPr>
              <w:spacing w:line="360" w:lineRule="auto"/>
              <w:jc w:val="both"/>
              <w:rPr>
                <w:rFonts w:ascii="Book Antiqua" w:hAnsi="Book Antiqua"/>
              </w:rPr>
            </w:pPr>
            <w:r w:rsidRPr="00165833">
              <w:rPr>
                <w:rFonts w:ascii="Book Antiqua" w:hAnsi="Book Antiqua"/>
                <w:i/>
              </w:rPr>
              <w:t>n</w:t>
            </w:r>
            <w:r>
              <w:rPr>
                <w:rFonts w:ascii="Book Antiqua" w:eastAsiaTheme="minorEastAsia" w:hAnsi="Book Antiqua" w:hint="eastAsia"/>
                <w:i/>
                <w:lang w:eastAsia="zh-CN"/>
              </w:rPr>
              <w:t xml:space="preserve"> </w:t>
            </w:r>
            <w:r w:rsidR="005A71BD" w:rsidRPr="00165833">
              <w:rPr>
                <w:rFonts w:ascii="Book Antiqua" w:hAnsi="Book Antiqua"/>
              </w:rPr>
              <w:t>=</w:t>
            </w:r>
            <w:r>
              <w:rPr>
                <w:rFonts w:ascii="Book Antiqua" w:eastAsiaTheme="minorEastAsia" w:hAnsi="Book Antiqua" w:hint="eastAsia"/>
                <w:lang w:eastAsia="zh-CN"/>
              </w:rPr>
              <w:t xml:space="preserve"> </w:t>
            </w:r>
            <w:r w:rsidR="005A71BD" w:rsidRPr="00165833">
              <w:rPr>
                <w:rFonts w:ascii="Book Antiqua" w:hAnsi="Book Antiqua"/>
              </w:rPr>
              <w:t>268</w:t>
            </w:r>
          </w:p>
        </w:tc>
      </w:tr>
      <w:tr w:rsidR="00165833" w:rsidRPr="00165833" w:rsidTr="0074441D">
        <w:trPr>
          <w:trHeight w:val="314"/>
        </w:trPr>
        <w:tc>
          <w:tcPr>
            <w:tcW w:w="4006" w:type="dxa"/>
            <w:tcBorders>
              <w:top w:val="single" w:sz="4" w:space="0" w:color="auto"/>
            </w:tcBorders>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Gender, female</w:t>
            </w:r>
            <w:r w:rsidRPr="00165833">
              <w:rPr>
                <w:rFonts w:ascii="Book Antiqua" w:hAnsi="Book Antiqua"/>
                <w:i/>
              </w:rPr>
              <w:t xml:space="preserve"> n</w:t>
            </w:r>
            <w:r w:rsidR="00165833">
              <w:rPr>
                <w:rFonts w:ascii="Book Antiqua" w:eastAsiaTheme="minorEastAsia" w:hAnsi="Book Antiqua" w:hint="eastAsia"/>
                <w:i/>
                <w:lang w:eastAsia="zh-CN"/>
              </w:rPr>
              <w:t xml:space="preserve"> </w:t>
            </w:r>
            <w:r w:rsidRPr="00165833">
              <w:rPr>
                <w:rFonts w:ascii="Book Antiqua" w:hAnsi="Book Antiqua"/>
              </w:rPr>
              <w:t>(%)</w:t>
            </w:r>
          </w:p>
        </w:tc>
        <w:tc>
          <w:tcPr>
            <w:tcW w:w="1540" w:type="dxa"/>
            <w:tcBorders>
              <w:top w:val="single" w:sz="4" w:space="0" w:color="auto"/>
            </w:tcBorders>
            <w:vAlign w:val="center"/>
          </w:tcPr>
          <w:p w:rsidR="005A71BD" w:rsidRPr="00165833" w:rsidRDefault="005F1A68" w:rsidP="00165833">
            <w:pPr>
              <w:spacing w:line="360" w:lineRule="auto"/>
              <w:jc w:val="both"/>
              <w:rPr>
                <w:rFonts w:ascii="Book Antiqua" w:hAnsi="Book Antiqua"/>
              </w:rPr>
            </w:pPr>
            <w:r w:rsidRPr="00165833">
              <w:rPr>
                <w:rFonts w:ascii="Book Antiqua" w:hAnsi="Book Antiqua"/>
              </w:rPr>
              <w:t>161 (60.</w:t>
            </w:r>
            <w:r w:rsidR="005A71BD" w:rsidRPr="00165833">
              <w:rPr>
                <w:rFonts w:ascii="Book Antiqua" w:hAnsi="Book Antiqua"/>
              </w:rPr>
              <w:t>1)</w:t>
            </w:r>
          </w:p>
        </w:tc>
      </w:tr>
      <w:tr w:rsidR="00165833" w:rsidRPr="00165833" w:rsidTr="0074441D">
        <w:trPr>
          <w:trHeight w:val="314"/>
        </w:trPr>
        <w:tc>
          <w:tcPr>
            <w:tcW w:w="4006"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 xml:space="preserve">Age </w:t>
            </w:r>
            <w:r w:rsidRPr="00165833">
              <w:rPr>
                <w:rFonts w:ascii="Book Antiqua" w:hAnsi="Book Antiqua"/>
              </w:rPr>
              <w:t>mean</w:t>
            </w:r>
            <w:r w:rsidR="00165833">
              <w:rPr>
                <w:rFonts w:ascii="Book Antiqua" w:eastAsiaTheme="minorEastAsia" w:hAnsi="Book Antiqua" w:hint="eastAsia"/>
                <w:lang w:eastAsia="zh-CN"/>
              </w:rPr>
              <w:t xml:space="preserve"> </w:t>
            </w:r>
            <w:r w:rsidRPr="00165833">
              <w:rPr>
                <w:rFonts w:ascii="Book Antiqua" w:hAnsi="Book Antiqua"/>
              </w:rPr>
              <w:t>±</w:t>
            </w:r>
            <w:r w:rsidR="00165833">
              <w:rPr>
                <w:rFonts w:ascii="Book Antiqua" w:eastAsiaTheme="minorEastAsia" w:hAnsi="Book Antiqua" w:hint="eastAsia"/>
                <w:lang w:eastAsia="zh-CN"/>
              </w:rPr>
              <w:t xml:space="preserve"> </w:t>
            </w:r>
            <w:r w:rsidRPr="00165833">
              <w:rPr>
                <w:rFonts w:ascii="Book Antiqua" w:hAnsi="Book Antiqua"/>
              </w:rPr>
              <w:t>SD</w:t>
            </w:r>
          </w:p>
        </w:tc>
        <w:tc>
          <w:tcPr>
            <w:tcW w:w="1540" w:type="dxa"/>
            <w:vAlign w:val="center"/>
          </w:tcPr>
          <w:p w:rsidR="005A71BD" w:rsidRPr="00165833" w:rsidRDefault="005F1A68" w:rsidP="00165833">
            <w:pPr>
              <w:spacing w:line="360" w:lineRule="auto"/>
              <w:jc w:val="both"/>
              <w:rPr>
                <w:rFonts w:ascii="Book Antiqua" w:hAnsi="Book Antiqua"/>
              </w:rPr>
            </w:pPr>
            <w:r w:rsidRPr="00165833">
              <w:rPr>
                <w:rFonts w:ascii="Book Antiqua" w:hAnsi="Book Antiqua"/>
              </w:rPr>
              <w:t>66.8</w:t>
            </w:r>
            <w:r w:rsidR="00165833">
              <w:rPr>
                <w:rFonts w:ascii="Book Antiqua" w:eastAsiaTheme="minorEastAsia" w:hAnsi="Book Antiqua" w:hint="eastAsia"/>
                <w:lang w:eastAsia="zh-CN"/>
              </w:rPr>
              <w:t xml:space="preserve"> </w:t>
            </w:r>
            <w:r w:rsidRPr="00165833">
              <w:rPr>
                <w:rFonts w:ascii="Book Antiqua" w:hAnsi="Book Antiqua"/>
              </w:rPr>
              <w:t>±</w:t>
            </w:r>
            <w:r w:rsidR="00165833">
              <w:rPr>
                <w:rFonts w:ascii="Book Antiqua" w:eastAsiaTheme="minorEastAsia" w:hAnsi="Book Antiqua" w:hint="eastAsia"/>
                <w:lang w:eastAsia="zh-CN"/>
              </w:rPr>
              <w:t xml:space="preserve"> </w:t>
            </w:r>
            <w:r w:rsidRPr="00165833">
              <w:rPr>
                <w:rFonts w:ascii="Book Antiqua" w:hAnsi="Book Antiqua"/>
              </w:rPr>
              <w:t>16.</w:t>
            </w:r>
            <w:r w:rsidR="005A71BD" w:rsidRPr="00165833">
              <w:rPr>
                <w:rFonts w:ascii="Book Antiqua" w:hAnsi="Book Antiqua"/>
              </w:rPr>
              <w:t>8</w:t>
            </w:r>
          </w:p>
        </w:tc>
      </w:tr>
      <w:tr w:rsidR="00165833" w:rsidRPr="00165833" w:rsidTr="0074441D">
        <w:trPr>
          <w:trHeight w:val="314"/>
        </w:trPr>
        <w:tc>
          <w:tcPr>
            <w:tcW w:w="4006"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 xml:space="preserve">Very Strong Predictors </w:t>
            </w:r>
            <w:r w:rsidRPr="00165833">
              <w:rPr>
                <w:rFonts w:ascii="Book Antiqua" w:hAnsi="Book Antiqua"/>
                <w:i/>
              </w:rPr>
              <w:t>n</w:t>
            </w:r>
            <w:r w:rsidR="00165833">
              <w:rPr>
                <w:rFonts w:ascii="Book Antiqua" w:eastAsiaTheme="minorEastAsia" w:hAnsi="Book Antiqua" w:hint="eastAsia"/>
                <w:i/>
                <w:lang w:eastAsia="zh-CN"/>
              </w:rPr>
              <w:t xml:space="preserve"> </w:t>
            </w:r>
            <w:r w:rsidRPr="00165833">
              <w:rPr>
                <w:rFonts w:ascii="Book Antiqua" w:hAnsi="Book Antiqua"/>
              </w:rPr>
              <w:t>(%)</w:t>
            </w:r>
          </w:p>
        </w:tc>
        <w:tc>
          <w:tcPr>
            <w:tcW w:w="1540" w:type="dxa"/>
            <w:vAlign w:val="center"/>
          </w:tcPr>
          <w:p w:rsidR="005A71BD" w:rsidRPr="00165833" w:rsidRDefault="005A71BD" w:rsidP="00165833">
            <w:pPr>
              <w:spacing w:line="360" w:lineRule="auto"/>
              <w:jc w:val="both"/>
              <w:rPr>
                <w:rFonts w:ascii="Book Antiqua" w:hAnsi="Book Antiqua"/>
              </w:rPr>
            </w:pPr>
          </w:p>
        </w:tc>
      </w:tr>
      <w:tr w:rsidR="00165833" w:rsidRPr="00165833" w:rsidTr="0074441D">
        <w:trPr>
          <w:trHeight w:val="314"/>
        </w:trPr>
        <w:tc>
          <w:tcPr>
            <w:tcW w:w="4006"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w:t>
            </w:r>
            <w:r w:rsidR="008207FA">
              <w:rPr>
                <w:rFonts w:ascii="Book Antiqua" w:eastAsiaTheme="minorEastAsia" w:hAnsi="Book Antiqua" w:hint="eastAsia"/>
                <w:lang w:eastAsia="zh-CN"/>
              </w:rPr>
              <w:t xml:space="preserve"> </w:t>
            </w:r>
            <w:r w:rsidRPr="00165833">
              <w:rPr>
                <w:rFonts w:ascii="Book Antiqua" w:hAnsi="Book Antiqua"/>
              </w:rPr>
              <w:t>Clinical ascending cholangitis</w:t>
            </w:r>
          </w:p>
        </w:tc>
        <w:tc>
          <w:tcPr>
            <w:tcW w:w="1540" w:type="dxa"/>
            <w:vAlign w:val="center"/>
          </w:tcPr>
          <w:p w:rsidR="005A71BD" w:rsidRPr="00165833" w:rsidRDefault="005F1A68" w:rsidP="00165833">
            <w:pPr>
              <w:spacing w:line="360" w:lineRule="auto"/>
              <w:jc w:val="both"/>
              <w:rPr>
                <w:rFonts w:ascii="Book Antiqua" w:hAnsi="Book Antiqua"/>
              </w:rPr>
            </w:pPr>
            <w:r w:rsidRPr="00165833">
              <w:rPr>
                <w:rFonts w:ascii="Book Antiqua" w:hAnsi="Book Antiqua"/>
              </w:rPr>
              <w:t>36 (13.</w:t>
            </w:r>
            <w:r w:rsidR="005A71BD" w:rsidRPr="00165833">
              <w:rPr>
                <w:rFonts w:ascii="Book Antiqua" w:hAnsi="Book Antiqua"/>
              </w:rPr>
              <w:t>4)</w:t>
            </w:r>
          </w:p>
        </w:tc>
      </w:tr>
      <w:tr w:rsidR="00165833" w:rsidRPr="00165833" w:rsidTr="0074441D">
        <w:trPr>
          <w:trHeight w:val="296"/>
        </w:trPr>
        <w:tc>
          <w:tcPr>
            <w:tcW w:w="4006"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Common bile duct stone on US</w:t>
            </w:r>
          </w:p>
        </w:tc>
        <w:tc>
          <w:tcPr>
            <w:tcW w:w="1540" w:type="dxa"/>
            <w:vAlign w:val="center"/>
          </w:tcPr>
          <w:p w:rsidR="005A71BD" w:rsidRPr="00165833" w:rsidRDefault="005F1A68" w:rsidP="00165833">
            <w:pPr>
              <w:spacing w:line="360" w:lineRule="auto"/>
              <w:jc w:val="both"/>
              <w:rPr>
                <w:rFonts w:ascii="Book Antiqua" w:hAnsi="Book Antiqua"/>
              </w:rPr>
            </w:pPr>
            <w:r w:rsidRPr="00165833">
              <w:rPr>
                <w:rFonts w:ascii="Book Antiqua" w:hAnsi="Book Antiqua"/>
              </w:rPr>
              <w:t>109 (40.</w:t>
            </w:r>
            <w:r w:rsidR="005A71BD" w:rsidRPr="00165833">
              <w:rPr>
                <w:rFonts w:ascii="Book Antiqua" w:hAnsi="Book Antiqua"/>
              </w:rPr>
              <w:t>7)</w:t>
            </w:r>
          </w:p>
        </w:tc>
      </w:tr>
      <w:tr w:rsidR="00165833" w:rsidRPr="00165833" w:rsidTr="0074441D">
        <w:trPr>
          <w:trHeight w:val="314"/>
        </w:trPr>
        <w:tc>
          <w:tcPr>
            <w:tcW w:w="4006"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Total bilirubin &gt;</w:t>
            </w:r>
            <w:r w:rsidR="00165833">
              <w:rPr>
                <w:rFonts w:ascii="Book Antiqua" w:eastAsiaTheme="minorEastAsia" w:hAnsi="Book Antiqua" w:hint="eastAsia"/>
                <w:lang w:eastAsia="zh-CN"/>
              </w:rPr>
              <w:t xml:space="preserve"> </w:t>
            </w:r>
            <w:r w:rsidRPr="00165833">
              <w:rPr>
                <w:rFonts w:ascii="Book Antiqua" w:hAnsi="Book Antiqua"/>
              </w:rPr>
              <w:t>4</w:t>
            </w:r>
            <w:r w:rsidR="00165833">
              <w:rPr>
                <w:rFonts w:ascii="Book Antiqua" w:eastAsiaTheme="minorEastAsia" w:hAnsi="Book Antiqua" w:hint="eastAsia"/>
                <w:lang w:eastAsia="zh-CN"/>
              </w:rPr>
              <w:t xml:space="preserve"> </w:t>
            </w:r>
            <w:r w:rsidRPr="00165833">
              <w:rPr>
                <w:rFonts w:ascii="Book Antiqua" w:hAnsi="Book Antiqua"/>
              </w:rPr>
              <w:t>mg/dL</w:t>
            </w:r>
          </w:p>
        </w:tc>
        <w:tc>
          <w:tcPr>
            <w:tcW w:w="1540" w:type="dxa"/>
            <w:vAlign w:val="center"/>
          </w:tcPr>
          <w:p w:rsidR="005A71BD" w:rsidRPr="00165833" w:rsidRDefault="005F1A68" w:rsidP="00165833">
            <w:pPr>
              <w:spacing w:line="360" w:lineRule="auto"/>
              <w:jc w:val="both"/>
              <w:rPr>
                <w:rFonts w:ascii="Book Antiqua" w:hAnsi="Book Antiqua"/>
              </w:rPr>
            </w:pPr>
            <w:r w:rsidRPr="00165833">
              <w:rPr>
                <w:rFonts w:ascii="Book Antiqua" w:hAnsi="Book Antiqua"/>
              </w:rPr>
              <w:t>102 (38.</w:t>
            </w:r>
            <w:r w:rsidR="005A71BD" w:rsidRPr="00165833">
              <w:rPr>
                <w:rFonts w:ascii="Book Antiqua" w:hAnsi="Book Antiqua"/>
              </w:rPr>
              <w:t>1)</w:t>
            </w:r>
          </w:p>
        </w:tc>
      </w:tr>
      <w:tr w:rsidR="00165833" w:rsidRPr="00165833" w:rsidTr="0074441D">
        <w:trPr>
          <w:trHeight w:val="296"/>
        </w:trPr>
        <w:tc>
          <w:tcPr>
            <w:tcW w:w="4006"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 xml:space="preserve">Strong Predictors </w:t>
            </w:r>
            <w:r w:rsidRPr="00165833">
              <w:rPr>
                <w:rFonts w:ascii="Book Antiqua" w:hAnsi="Book Antiqua"/>
                <w:i/>
              </w:rPr>
              <w:t>n</w:t>
            </w:r>
            <w:r w:rsidR="00165833">
              <w:rPr>
                <w:rFonts w:ascii="Book Antiqua" w:eastAsiaTheme="minorEastAsia" w:hAnsi="Book Antiqua" w:hint="eastAsia"/>
                <w:i/>
                <w:lang w:eastAsia="zh-CN"/>
              </w:rPr>
              <w:t xml:space="preserve"> </w:t>
            </w:r>
            <w:r w:rsidRPr="00165833">
              <w:rPr>
                <w:rFonts w:ascii="Book Antiqua" w:hAnsi="Book Antiqua"/>
              </w:rPr>
              <w:t>(%)</w:t>
            </w:r>
          </w:p>
        </w:tc>
        <w:tc>
          <w:tcPr>
            <w:tcW w:w="1540" w:type="dxa"/>
            <w:vAlign w:val="center"/>
          </w:tcPr>
          <w:p w:rsidR="005A71BD" w:rsidRPr="00165833" w:rsidRDefault="005A71BD" w:rsidP="00165833">
            <w:pPr>
              <w:spacing w:line="360" w:lineRule="auto"/>
              <w:jc w:val="both"/>
              <w:rPr>
                <w:rFonts w:ascii="Book Antiqua" w:hAnsi="Book Antiqua"/>
              </w:rPr>
            </w:pPr>
          </w:p>
        </w:tc>
      </w:tr>
      <w:tr w:rsidR="00165833" w:rsidRPr="00165833" w:rsidTr="0074441D">
        <w:trPr>
          <w:trHeight w:val="314"/>
        </w:trPr>
        <w:tc>
          <w:tcPr>
            <w:tcW w:w="4006"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w:t>
            </w:r>
            <w:r w:rsidR="005F1A68" w:rsidRPr="00165833">
              <w:rPr>
                <w:rFonts w:ascii="Book Antiqua" w:hAnsi="Book Antiqua"/>
              </w:rPr>
              <w:t>Total bilirubin 1.</w:t>
            </w:r>
            <w:r w:rsidRPr="00165833">
              <w:rPr>
                <w:rFonts w:ascii="Book Antiqua" w:hAnsi="Book Antiqua"/>
              </w:rPr>
              <w:t>8-4</w:t>
            </w:r>
            <w:r w:rsidR="00165833">
              <w:rPr>
                <w:rFonts w:ascii="Book Antiqua" w:eastAsiaTheme="minorEastAsia" w:hAnsi="Book Antiqua" w:hint="eastAsia"/>
                <w:lang w:eastAsia="zh-CN"/>
              </w:rPr>
              <w:t xml:space="preserve"> </w:t>
            </w:r>
            <w:r w:rsidRPr="00165833">
              <w:rPr>
                <w:rFonts w:ascii="Book Antiqua" w:hAnsi="Book Antiqua"/>
              </w:rPr>
              <w:t>mg/dL</w:t>
            </w:r>
          </w:p>
        </w:tc>
        <w:tc>
          <w:tcPr>
            <w:tcW w:w="1540" w:type="dxa"/>
            <w:vAlign w:val="center"/>
          </w:tcPr>
          <w:p w:rsidR="005A71BD" w:rsidRPr="00165833" w:rsidRDefault="005F1A68" w:rsidP="00165833">
            <w:pPr>
              <w:spacing w:line="360" w:lineRule="auto"/>
              <w:jc w:val="both"/>
              <w:rPr>
                <w:rFonts w:ascii="Book Antiqua" w:hAnsi="Book Antiqua"/>
              </w:rPr>
            </w:pPr>
            <w:r w:rsidRPr="00165833">
              <w:rPr>
                <w:rFonts w:ascii="Book Antiqua" w:hAnsi="Book Antiqua"/>
              </w:rPr>
              <w:t>84 (31.</w:t>
            </w:r>
            <w:r w:rsidR="005A71BD" w:rsidRPr="00165833">
              <w:rPr>
                <w:rFonts w:ascii="Book Antiqua" w:hAnsi="Book Antiqua"/>
              </w:rPr>
              <w:t>3)</w:t>
            </w:r>
          </w:p>
        </w:tc>
      </w:tr>
      <w:tr w:rsidR="00165833" w:rsidRPr="00165833" w:rsidTr="0074441D">
        <w:trPr>
          <w:trHeight w:val="296"/>
        </w:trPr>
        <w:tc>
          <w:tcPr>
            <w:tcW w:w="4006"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Dilated common bile duct on US</w:t>
            </w:r>
          </w:p>
        </w:tc>
        <w:tc>
          <w:tcPr>
            <w:tcW w:w="1540" w:type="dxa"/>
            <w:vAlign w:val="center"/>
          </w:tcPr>
          <w:p w:rsidR="005A71BD" w:rsidRPr="00165833" w:rsidRDefault="005F1A68" w:rsidP="00165833">
            <w:pPr>
              <w:spacing w:line="360" w:lineRule="auto"/>
              <w:jc w:val="both"/>
              <w:rPr>
                <w:rFonts w:ascii="Book Antiqua" w:hAnsi="Book Antiqua"/>
              </w:rPr>
            </w:pPr>
            <w:r w:rsidRPr="00165833">
              <w:rPr>
                <w:rFonts w:ascii="Book Antiqua" w:hAnsi="Book Antiqua"/>
              </w:rPr>
              <w:t>195 (72.</w:t>
            </w:r>
            <w:r w:rsidR="005A71BD" w:rsidRPr="00165833">
              <w:rPr>
                <w:rFonts w:ascii="Book Antiqua" w:hAnsi="Book Antiqua"/>
              </w:rPr>
              <w:t>8)</w:t>
            </w:r>
          </w:p>
        </w:tc>
      </w:tr>
      <w:tr w:rsidR="00165833" w:rsidRPr="00165833" w:rsidTr="0074441D">
        <w:trPr>
          <w:trHeight w:val="314"/>
        </w:trPr>
        <w:tc>
          <w:tcPr>
            <w:tcW w:w="4006"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 xml:space="preserve">Moderate predictors </w:t>
            </w:r>
            <w:r w:rsidRPr="00165833">
              <w:rPr>
                <w:rFonts w:ascii="Book Antiqua" w:hAnsi="Book Antiqua"/>
                <w:i/>
              </w:rPr>
              <w:t>n</w:t>
            </w:r>
            <w:r w:rsidR="00165833">
              <w:rPr>
                <w:rFonts w:ascii="Book Antiqua" w:eastAsiaTheme="minorEastAsia" w:hAnsi="Book Antiqua" w:hint="eastAsia"/>
                <w:i/>
                <w:lang w:eastAsia="zh-CN"/>
              </w:rPr>
              <w:t xml:space="preserve"> </w:t>
            </w:r>
            <w:r w:rsidRPr="00165833">
              <w:rPr>
                <w:rFonts w:ascii="Book Antiqua" w:hAnsi="Book Antiqua"/>
              </w:rPr>
              <w:t>(%)</w:t>
            </w:r>
          </w:p>
        </w:tc>
        <w:tc>
          <w:tcPr>
            <w:tcW w:w="1540" w:type="dxa"/>
            <w:vAlign w:val="center"/>
          </w:tcPr>
          <w:p w:rsidR="005A71BD" w:rsidRPr="00165833" w:rsidRDefault="005A71BD" w:rsidP="00165833">
            <w:pPr>
              <w:spacing w:line="360" w:lineRule="auto"/>
              <w:jc w:val="both"/>
              <w:rPr>
                <w:rFonts w:ascii="Book Antiqua" w:hAnsi="Book Antiqua"/>
              </w:rPr>
            </w:pPr>
          </w:p>
        </w:tc>
      </w:tr>
      <w:tr w:rsidR="00165833" w:rsidRPr="00165833" w:rsidTr="0074441D">
        <w:trPr>
          <w:trHeight w:val="314"/>
        </w:trPr>
        <w:tc>
          <w:tcPr>
            <w:tcW w:w="4006"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Abnormal liver function test</w:t>
            </w:r>
          </w:p>
        </w:tc>
        <w:tc>
          <w:tcPr>
            <w:tcW w:w="154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231 (86</w:t>
            </w:r>
            <w:r w:rsidR="005F1A68" w:rsidRPr="00165833">
              <w:rPr>
                <w:rFonts w:ascii="Book Antiqua" w:hAnsi="Book Antiqua"/>
              </w:rPr>
              <w:t>.</w:t>
            </w:r>
            <w:r w:rsidRPr="00165833">
              <w:rPr>
                <w:rFonts w:ascii="Book Antiqua" w:hAnsi="Book Antiqua"/>
              </w:rPr>
              <w:t>2)</w:t>
            </w:r>
          </w:p>
        </w:tc>
      </w:tr>
      <w:tr w:rsidR="00165833" w:rsidRPr="00165833" w:rsidTr="0074441D">
        <w:trPr>
          <w:trHeight w:val="314"/>
        </w:trPr>
        <w:tc>
          <w:tcPr>
            <w:tcW w:w="4006"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Age &gt;</w:t>
            </w:r>
            <w:r w:rsidR="00165833">
              <w:rPr>
                <w:rFonts w:ascii="Book Antiqua" w:eastAsiaTheme="minorEastAsia" w:hAnsi="Book Antiqua" w:hint="eastAsia"/>
                <w:lang w:eastAsia="zh-CN"/>
              </w:rPr>
              <w:t xml:space="preserve"> </w:t>
            </w:r>
            <w:r w:rsidRPr="00165833">
              <w:rPr>
                <w:rFonts w:ascii="Book Antiqua" w:hAnsi="Book Antiqua"/>
              </w:rPr>
              <w:t>55 years</w:t>
            </w:r>
          </w:p>
        </w:tc>
        <w:tc>
          <w:tcPr>
            <w:tcW w:w="154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197 (73</w:t>
            </w:r>
            <w:r w:rsidR="005F1A68" w:rsidRPr="00165833">
              <w:rPr>
                <w:rFonts w:ascii="Book Antiqua" w:hAnsi="Book Antiqua"/>
              </w:rPr>
              <w:t>.</w:t>
            </w:r>
            <w:r w:rsidRPr="00165833">
              <w:rPr>
                <w:rFonts w:ascii="Book Antiqua" w:hAnsi="Book Antiqua"/>
              </w:rPr>
              <w:t>5)</w:t>
            </w:r>
          </w:p>
        </w:tc>
      </w:tr>
      <w:tr w:rsidR="00165833" w:rsidRPr="00165833" w:rsidTr="0074441D">
        <w:trPr>
          <w:trHeight w:val="314"/>
        </w:trPr>
        <w:tc>
          <w:tcPr>
            <w:tcW w:w="4006"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Gallstone pancreatitis</w:t>
            </w:r>
          </w:p>
        </w:tc>
        <w:tc>
          <w:tcPr>
            <w:tcW w:w="154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63 (23</w:t>
            </w:r>
            <w:r w:rsidR="005F1A68" w:rsidRPr="00165833">
              <w:rPr>
                <w:rFonts w:ascii="Book Antiqua" w:hAnsi="Book Antiqua"/>
              </w:rPr>
              <w:t>.</w:t>
            </w:r>
            <w:r w:rsidRPr="00165833">
              <w:rPr>
                <w:rFonts w:ascii="Book Antiqua" w:hAnsi="Book Antiqua"/>
              </w:rPr>
              <w:t>5)</w:t>
            </w:r>
          </w:p>
        </w:tc>
      </w:tr>
    </w:tbl>
    <w:p w:rsidR="005A71BD" w:rsidRPr="0074441D" w:rsidRDefault="005A71BD" w:rsidP="00165833">
      <w:pPr>
        <w:spacing w:line="360" w:lineRule="auto"/>
        <w:jc w:val="both"/>
        <w:rPr>
          <w:rFonts w:ascii="Book Antiqua" w:eastAsiaTheme="minorEastAsia" w:hAnsi="Book Antiqua"/>
          <w:lang w:eastAsia="zh-CN"/>
        </w:rPr>
      </w:pPr>
    </w:p>
    <w:p w:rsidR="00C6177F" w:rsidRPr="0074441D" w:rsidRDefault="0074441D" w:rsidP="00165833">
      <w:pPr>
        <w:spacing w:line="360" w:lineRule="auto"/>
        <w:jc w:val="both"/>
        <w:rPr>
          <w:rFonts w:ascii="Book Antiqua" w:hAnsi="Book Antiqua"/>
        </w:rPr>
      </w:pPr>
      <w:r w:rsidRPr="0074441D">
        <w:rPr>
          <w:rFonts w:ascii="Book Antiqua" w:hAnsi="Book Antiqua"/>
        </w:rPr>
        <w:t>US</w:t>
      </w:r>
      <w:r w:rsidRPr="0074441D">
        <w:rPr>
          <w:rFonts w:ascii="Book Antiqua" w:hAnsi="Book Antiqua" w:hint="eastAsia"/>
        </w:rPr>
        <w:t>:</w:t>
      </w:r>
      <w:r w:rsidRPr="0074441D">
        <w:rPr>
          <w:rFonts w:ascii="Book Antiqua" w:hAnsi="Book Antiqua"/>
        </w:rPr>
        <w:t xml:space="preserve"> Ultrasonography</w:t>
      </w:r>
      <w:r w:rsidRPr="0074441D">
        <w:rPr>
          <w:rFonts w:ascii="Book Antiqua" w:hAnsi="Book Antiqua" w:hint="eastAsia"/>
        </w:rPr>
        <w:t>.</w:t>
      </w:r>
    </w:p>
    <w:p w:rsidR="00C6177F" w:rsidRPr="00165833" w:rsidRDefault="00C6177F" w:rsidP="00165833">
      <w:pPr>
        <w:spacing w:line="360" w:lineRule="auto"/>
        <w:jc w:val="both"/>
        <w:rPr>
          <w:rFonts w:ascii="Book Antiqua" w:hAnsi="Book Antiqua"/>
        </w:rPr>
      </w:pPr>
    </w:p>
    <w:p w:rsidR="00C6177F" w:rsidRPr="00165833" w:rsidRDefault="00C6177F" w:rsidP="00165833">
      <w:pPr>
        <w:spacing w:line="360" w:lineRule="auto"/>
        <w:jc w:val="both"/>
        <w:rPr>
          <w:rFonts w:ascii="Book Antiqua" w:hAnsi="Book Antiqua"/>
        </w:rPr>
      </w:pPr>
    </w:p>
    <w:p w:rsidR="00C6177F" w:rsidRPr="00165833" w:rsidRDefault="00C6177F" w:rsidP="00165833">
      <w:pPr>
        <w:spacing w:line="360" w:lineRule="auto"/>
        <w:jc w:val="both"/>
        <w:rPr>
          <w:rFonts w:ascii="Book Antiqua" w:hAnsi="Book Antiqua"/>
        </w:rPr>
      </w:pPr>
    </w:p>
    <w:p w:rsidR="00C6177F" w:rsidRPr="00165833" w:rsidRDefault="00C6177F" w:rsidP="00165833">
      <w:pPr>
        <w:spacing w:line="360" w:lineRule="auto"/>
        <w:jc w:val="both"/>
        <w:rPr>
          <w:rFonts w:ascii="Book Antiqua" w:hAnsi="Book Antiqua"/>
        </w:rPr>
      </w:pPr>
    </w:p>
    <w:p w:rsidR="00C6177F" w:rsidRPr="00165833" w:rsidRDefault="00C6177F" w:rsidP="00165833">
      <w:pPr>
        <w:spacing w:line="360" w:lineRule="auto"/>
        <w:jc w:val="both"/>
        <w:rPr>
          <w:rFonts w:ascii="Book Antiqua" w:hAnsi="Book Antiqua"/>
        </w:rPr>
      </w:pPr>
    </w:p>
    <w:p w:rsidR="00C6177F" w:rsidRPr="00165833" w:rsidRDefault="00C6177F" w:rsidP="00165833">
      <w:pPr>
        <w:spacing w:line="360" w:lineRule="auto"/>
        <w:jc w:val="both"/>
        <w:rPr>
          <w:rFonts w:ascii="Book Antiqua" w:hAnsi="Book Antiqua"/>
        </w:rPr>
      </w:pPr>
    </w:p>
    <w:p w:rsidR="00C6177F" w:rsidRPr="00165833" w:rsidRDefault="00C6177F" w:rsidP="00165833">
      <w:pPr>
        <w:spacing w:line="360" w:lineRule="auto"/>
        <w:jc w:val="both"/>
        <w:rPr>
          <w:rFonts w:ascii="Book Antiqua" w:hAnsi="Book Antiqua"/>
        </w:rPr>
      </w:pPr>
    </w:p>
    <w:p w:rsidR="00C6177F" w:rsidRPr="00165833" w:rsidRDefault="00C6177F" w:rsidP="00165833">
      <w:pPr>
        <w:spacing w:line="360" w:lineRule="auto"/>
        <w:jc w:val="both"/>
        <w:rPr>
          <w:rFonts w:ascii="Book Antiqua" w:hAnsi="Book Antiqua"/>
        </w:rPr>
      </w:pPr>
    </w:p>
    <w:p w:rsidR="00C6177F" w:rsidRPr="00165833" w:rsidRDefault="00C6177F" w:rsidP="00165833">
      <w:pPr>
        <w:spacing w:line="360" w:lineRule="auto"/>
        <w:jc w:val="both"/>
        <w:rPr>
          <w:rFonts w:ascii="Book Antiqua" w:hAnsi="Book Antiqua"/>
        </w:rPr>
      </w:pPr>
    </w:p>
    <w:p w:rsidR="00C6177F" w:rsidRPr="00165833" w:rsidRDefault="00C6177F" w:rsidP="00165833">
      <w:pPr>
        <w:spacing w:line="360" w:lineRule="auto"/>
        <w:jc w:val="both"/>
        <w:rPr>
          <w:rFonts w:ascii="Book Antiqua" w:hAnsi="Book Antiqua"/>
        </w:rPr>
      </w:pPr>
    </w:p>
    <w:p w:rsidR="00C6177F" w:rsidRPr="0074441D" w:rsidRDefault="0074441D" w:rsidP="00165833">
      <w:pPr>
        <w:spacing w:line="360" w:lineRule="auto"/>
        <w:jc w:val="both"/>
        <w:rPr>
          <w:rFonts w:ascii="Book Antiqua" w:hAnsi="Book Antiqua"/>
          <w:b/>
        </w:rPr>
      </w:pPr>
      <w:r w:rsidRPr="0074441D">
        <w:rPr>
          <w:rFonts w:ascii="Book Antiqua" w:hAnsi="Book Antiqua"/>
          <w:b/>
        </w:rPr>
        <w:t>Table 2 Predictors of choledocholithiasis – univariate analysis</w:t>
      </w:r>
    </w:p>
    <w:tbl>
      <w:tblPr>
        <w:tblStyle w:val="TableGrid"/>
        <w:tblW w:w="11518" w:type="dxa"/>
        <w:tblInd w:w="-10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2668"/>
        <w:gridCol w:w="2860"/>
        <w:gridCol w:w="851"/>
        <w:gridCol w:w="1134"/>
        <w:gridCol w:w="975"/>
      </w:tblGrid>
      <w:tr w:rsidR="0074441D" w:rsidRPr="00165833" w:rsidTr="0074441D">
        <w:trPr>
          <w:trHeight w:val="610"/>
        </w:trPr>
        <w:tc>
          <w:tcPr>
            <w:tcW w:w="3030"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Variable</w:t>
            </w:r>
          </w:p>
        </w:tc>
        <w:tc>
          <w:tcPr>
            <w:tcW w:w="2668"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Choledocholithiasis on ERCP</w:t>
            </w:r>
          </w:p>
          <w:p w:rsidR="005A71BD" w:rsidRPr="00165833" w:rsidRDefault="005A71BD" w:rsidP="00165833">
            <w:pPr>
              <w:spacing w:line="360" w:lineRule="auto"/>
              <w:jc w:val="both"/>
              <w:rPr>
                <w:rFonts w:ascii="Book Antiqua" w:hAnsi="Book Antiqua"/>
              </w:rPr>
            </w:pPr>
            <w:proofErr w:type="gramStart"/>
            <w:r w:rsidRPr="00165833">
              <w:rPr>
                <w:rFonts w:ascii="Book Antiqua" w:hAnsi="Book Antiqua"/>
                <w:i/>
              </w:rPr>
              <w:t>n</w:t>
            </w:r>
            <w:proofErr w:type="gramEnd"/>
            <w:r w:rsidR="0074441D">
              <w:rPr>
                <w:rFonts w:ascii="Book Antiqua" w:eastAsiaTheme="minorEastAsia" w:hAnsi="Book Antiqua" w:hint="eastAsia"/>
                <w:i/>
                <w:lang w:eastAsia="zh-CN"/>
              </w:rPr>
              <w:t xml:space="preserve"> </w:t>
            </w:r>
            <w:r w:rsidRPr="00165833">
              <w:rPr>
                <w:rFonts w:ascii="Book Antiqua" w:hAnsi="Book Antiqua"/>
              </w:rPr>
              <w:t>(%)</w:t>
            </w:r>
          </w:p>
        </w:tc>
        <w:tc>
          <w:tcPr>
            <w:tcW w:w="2860"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No Choledocholithiasis on ERCP</w:t>
            </w:r>
          </w:p>
          <w:p w:rsidR="005A71BD" w:rsidRPr="00165833" w:rsidRDefault="005A71BD" w:rsidP="00165833">
            <w:pPr>
              <w:spacing w:line="360" w:lineRule="auto"/>
              <w:jc w:val="both"/>
              <w:rPr>
                <w:rFonts w:ascii="Book Antiqua" w:hAnsi="Book Antiqua"/>
              </w:rPr>
            </w:pPr>
            <w:proofErr w:type="gramStart"/>
            <w:r w:rsidRPr="00165833">
              <w:rPr>
                <w:rFonts w:ascii="Book Antiqua" w:hAnsi="Book Antiqua"/>
                <w:i/>
              </w:rPr>
              <w:t>n</w:t>
            </w:r>
            <w:proofErr w:type="gramEnd"/>
            <w:r w:rsidR="0074441D">
              <w:rPr>
                <w:rFonts w:ascii="Book Antiqua" w:eastAsiaTheme="minorEastAsia" w:hAnsi="Book Antiqua" w:hint="eastAsia"/>
                <w:i/>
                <w:lang w:eastAsia="zh-CN"/>
              </w:rPr>
              <w:t xml:space="preserve"> </w:t>
            </w:r>
            <w:r w:rsidRPr="00165833">
              <w:rPr>
                <w:rFonts w:ascii="Book Antiqua" w:hAnsi="Book Antiqua"/>
              </w:rPr>
              <w:t>(%)</w:t>
            </w:r>
          </w:p>
        </w:tc>
        <w:tc>
          <w:tcPr>
            <w:tcW w:w="851"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OR</w:t>
            </w:r>
          </w:p>
        </w:tc>
        <w:tc>
          <w:tcPr>
            <w:tcW w:w="1134" w:type="dxa"/>
            <w:tcBorders>
              <w:top w:val="single" w:sz="4" w:space="0" w:color="auto"/>
              <w:bottom w:val="single" w:sz="4" w:space="0" w:color="auto"/>
            </w:tcBorders>
            <w:vAlign w:val="center"/>
          </w:tcPr>
          <w:p w:rsidR="005A71BD" w:rsidRPr="00165833" w:rsidRDefault="0074441D" w:rsidP="00165833">
            <w:pPr>
              <w:spacing w:line="360" w:lineRule="auto"/>
              <w:jc w:val="both"/>
              <w:rPr>
                <w:rFonts w:ascii="Book Antiqua" w:hAnsi="Book Antiqua"/>
              </w:rPr>
            </w:pPr>
            <w:r>
              <w:rPr>
                <w:rFonts w:ascii="Book Antiqua" w:hAnsi="Book Antiqua"/>
              </w:rPr>
              <w:t>95%</w:t>
            </w:r>
            <w:r w:rsidR="005A71BD" w:rsidRPr="00165833">
              <w:rPr>
                <w:rFonts w:ascii="Book Antiqua" w:hAnsi="Book Antiqua"/>
              </w:rPr>
              <w:t>CI</w:t>
            </w:r>
          </w:p>
        </w:tc>
        <w:tc>
          <w:tcPr>
            <w:tcW w:w="975" w:type="dxa"/>
            <w:tcBorders>
              <w:top w:val="single" w:sz="4" w:space="0" w:color="auto"/>
              <w:bottom w:val="single" w:sz="4" w:space="0" w:color="auto"/>
            </w:tcBorders>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i/>
              </w:rPr>
              <w:t>P</w:t>
            </w:r>
            <w:r w:rsidR="005A71BD" w:rsidRPr="00165833">
              <w:rPr>
                <w:rFonts w:ascii="Book Antiqua" w:hAnsi="Book Antiqua"/>
              </w:rPr>
              <w:t xml:space="preserve"> value</w:t>
            </w:r>
          </w:p>
        </w:tc>
      </w:tr>
      <w:tr w:rsidR="0074441D" w:rsidRPr="00165833" w:rsidTr="0074441D">
        <w:trPr>
          <w:trHeight w:val="313"/>
        </w:trPr>
        <w:tc>
          <w:tcPr>
            <w:tcW w:w="3030" w:type="dxa"/>
            <w:tcBorders>
              <w:top w:val="single" w:sz="4" w:space="0" w:color="auto"/>
            </w:tcBorders>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Very Strong Predictors</w:t>
            </w:r>
          </w:p>
        </w:tc>
        <w:tc>
          <w:tcPr>
            <w:tcW w:w="2668"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p>
        </w:tc>
        <w:tc>
          <w:tcPr>
            <w:tcW w:w="2860"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p>
        </w:tc>
        <w:tc>
          <w:tcPr>
            <w:tcW w:w="851"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p>
        </w:tc>
        <w:tc>
          <w:tcPr>
            <w:tcW w:w="1134"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p>
        </w:tc>
        <w:tc>
          <w:tcPr>
            <w:tcW w:w="975"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313"/>
        </w:trPr>
        <w:tc>
          <w:tcPr>
            <w:tcW w:w="303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Clinical ascending cholangitis</w:t>
            </w:r>
          </w:p>
        </w:tc>
        <w:tc>
          <w:tcPr>
            <w:tcW w:w="2668"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33 (91.</w:t>
            </w:r>
            <w:r w:rsidR="005A71BD" w:rsidRPr="00165833">
              <w:rPr>
                <w:rFonts w:ascii="Book Antiqua" w:hAnsi="Book Antiqua"/>
              </w:rPr>
              <w:t>7)</w:t>
            </w:r>
          </w:p>
        </w:tc>
        <w:tc>
          <w:tcPr>
            <w:tcW w:w="2860"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3 (8.</w:t>
            </w:r>
            <w:r w:rsidR="005A71BD" w:rsidRPr="00165833">
              <w:rPr>
                <w:rFonts w:ascii="Book Antiqua" w:hAnsi="Book Antiqua"/>
              </w:rPr>
              <w:t>3)</w:t>
            </w:r>
          </w:p>
        </w:tc>
        <w:tc>
          <w:tcPr>
            <w:tcW w:w="851"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6.</w:t>
            </w:r>
            <w:r w:rsidR="005A71BD" w:rsidRPr="00165833">
              <w:rPr>
                <w:rFonts w:ascii="Book Antiqua" w:hAnsi="Book Antiqua"/>
              </w:rPr>
              <w:t>48</w:t>
            </w:r>
          </w:p>
        </w:tc>
        <w:tc>
          <w:tcPr>
            <w:tcW w:w="1134"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1.93-21.</w:t>
            </w:r>
            <w:r w:rsidR="005A71BD" w:rsidRPr="00165833">
              <w:rPr>
                <w:rFonts w:ascii="Book Antiqua" w:hAnsi="Book Antiqua"/>
              </w:rPr>
              <w:t>80</w:t>
            </w:r>
          </w:p>
        </w:tc>
        <w:tc>
          <w:tcPr>
            <w:tcW w:w="975" w:type="dxa"/>
            <w:vAlign w:val="center"/>
          </w:tcPr>
          <w:p w:rsidR="005A71BD" w:rsidRPr="00165833" w:rsidRDefault="004C2C11" w:rsidP="00165833">
            <w:pPr>
              <w:spacing w:line="360" w:lineRule="auto"/>
              <w:jc w:val="both"/>
              <w:rPr>
                <w:rFonts w:ascii="Book Antiqua" w:hAnsi="Book Antiqua"/>
                <w:b/>
              </w:rPr>
            </w:pPr>
            <w:r w:rsidRPr="00165833">
              <w:rPr>
                <w:rFonts w:ascii="Book Antiqua" w:hAnsi="Book Antiqua"/>
                <w:b/>
              </w:rPr>
              <w:t>0.</w:t>
            </w:r>
            <w:r w:rsidR="005A71BD" w:rsidRPr="00165833">
              <w:rPr>
                <w:rFonts w:ascii="Book Antiqua" w:hAnsi="Book Antiqua"/>
                <w:b/>
              </w:rPr>
              <w:t>001</w:t>
            </w:r>
          </w:p>
        </w:tc>
      </w:tr>
      <w:tr w:rsidR="0074441D" w:rsidRPr="00165833" w:rsidTr="0074441D">
        <w:trPr>
          <w:trHeight w:val="296"/>
        </w:trPr>
        <w:tc>
          <w:tcPr>
            <w:tcW w:w="303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Common bile duct stone on US</w:t>
            </w:r>
          </w:p>
        </w:tc>
        <w:tc>
          <w:tcPr>
            <w:tcW w:w="2668"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100 (91.</w:t>
            </w:r>
            <w:r w:rsidR="005A71BD" w:rsidRPr="00165833">
              <w:rPr>
                <w:rFonts w:ascii="Book Antiqua" w:hAnsi="Book Antiqua"/>
              </w:rPr>
              <w:t>7)</w:t>
            </w:r>
          </w:p>
        </w:tc>
        <w:tc>
          <w:tcPr>
            <w:tcW w:w="2860"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9 (8.</w:t>
            </w:r>
            <w:r w:rsidR="005A71BD" w:rsidRPr="00165833">
              <w:rPr>
                <w:rFonts w:ascii="Book Antiqua" w:hAnsi="Book Antiqua"/>
              </w:rPr>
              <w:t>3)</w:t>
            </w:r>
          </w:p>
        </w:tc>
        <w:tc>
          <w:tcPr>
            <w:tcW w:w="851"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11.</w:t>
            </w:r>
            <w:r w:rsidR="005A71BD" w:rsidRPr="00165833">
              <w:rPr>
                <w:rFonts w:ascii="Book Antiqua" w:hAnsi="Book Antiqua"/>
              </w:rPr>
              <w:t>25</w:t>
            </w:r>
          </w:p>
        </w:tc>
        <w:tc>
          <w:tcPr>
            <w:tcW w:w="1134"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5.32-23.</w:t>
            </w:r>
            <w:r w:rsidR="005A71BD" w:rsidRPr="00165833">
              <w:rPr>
                <w:rFonts w:ascii="Book Antiqua" w:hAnsi="Book Antiqua"/>
              </w:rPr>
              <w:t>81</w:t>
            </w:r>
          </w:p>
        </w:tc>
        <w:tc>
          <w:tcPr>
            <w:tcW w:w="975"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&lt;</w:t>
            </w:r>
            <w:r w:rsidR="0074441D">
              <w:rPr>
                <w:rFonts w:ascii="Book Antiqua" w:eastAsiaTheme="minorEastAsia" w:hAnsi="Book Antiqua" w:hint="eastAsia"/>
                <w:b/>
                <w:lang w:eastAsia="zh-CN"/>
              </w:rPr>
              <w:t xml:space="preserve"> </w:t>
            </w:r>
            <w:r w:rsidRPr="00165833">
              <w:rPr>
                <w:rFonts w:ascii="Book Antiqua" w:hAnsi="Book Antiqua"/>
                <w:b/>
              </w:rPr>
              <w:t>0</w:t>
            </w:r>
            <w:r w:rsidR="004C2C11" w:rsidRPr="00165833">
              <w:rPr>
                <w:rFonts w:ascii="Book Antiqua" w:hAnsi="Book Antiqua"/>
                <w:b/>
              </w:rPr>
              <w:t>.</w:t>
            </w:r>
            <w:r w:rsidRPr="00165833">
              <w:rPr>
                <w:rFonts w:ascii="Book Antiqua" w:hAnsi="Book Antiqua"/>
                <w:b/>
              </w:rPr>
              <w:t>001</w:t>
            </w:r>
          </w:p>
        </w:tc>
      </w:tr>
      <w:tr w:rsidR="0074441D" w:rsidRPr="00165833" w:rsidTr="0074441D">
        <w:trPr>
          <w:trHeight w:val="313"/>
        </w:trPr>
        <w:tc>
          <w:tcPr>
            <w:tcW w:w="303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Total bilirubin &gt;</w:t>
            </w:r>
            <w:r w:rsidR="0074441D">
              <w:rPr>
                <w:rFonts w:ascii="Book Antiqua" w:eastAsiaTheme="minorEastAsia" w:hAnsi="Book Antiqua" w:hint="eastAsia"/>
                <w:lang w:eastAsia="zh-CN"/>
              </w:rPr>
              <w:t xml:space="preserve"> </w:t>
            </w:r>
            <w:r w:rsidRPr="00165833">
              <w:rPr>
                <w:rFonts w:ascii="Book Antiqua" w:hAnsi="Book Antiqua"/>
              </w:rPr>
              <w:t>4</w:t>
            </w:r>
            <w:r w:rsidR="0074441D">
              <w:rPr>
                <w:rFonts w:ascii="Book Antiqua" w:eastAsiaTheme="minorEastAsia" w:hAnsi="Book Antiqua" w:hint="eastAsia"/>
                <w:lang w:eastAsia="zh-CN"/>
              </w:rPr>
              <w:t xml:space="preserve"> </w:t>
            </w:r>
            <w:r w:rsidRPr="00165833">
              <w:rPr>
                <w:rFonts w:ascii="Book Antiqua" w:hAnsi="Book Antiqua"/>
              </w:rPr>
              <w:t>mg/dL</w:t>
            </w:r>
          </w:p>
        </w:tc>
        <w:tc>
          <w:tcPr>
            <w:tcW w:w="2668"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76 (74.</w:t>
            </w:r>
            <w:r w:rsidR="005A71BD" w:rsidRPr="00165833">
              <w:rPr>
                <w:rFonts w:ascii="Book Antiqua" w:hAnsi="Book Antiqua"/>
              </w:rPr>
              <w:t>5)</w:t>
            </w:r>
          </w:p>
        </w:tc>
        <w:tc>
          <w:tcPr>
            <w:tcW w:w="2860"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26 (25.</w:t>
            </w:r>
            <w:r w:rsidR="005A71BD" w:rsidRPr="00165833">
              <w:rPr>
                <w:rFonts w:ascii="Book Antiqua" w:hAnsi="Book Antiqua"/>
              </w:rPr>
              <w:t>5)</w:t>
            </w:r>
          </w:p>
        </w:tc>
        <w:tc>
          <w:tcPr>
            <w:tcW w:w="851"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1.</w:t>
            </w:r>
            <w:r w:rsidR="005A71BD" w:rsidRPr="00165833">
              <w:rPr>
                <w:rFonts w:ascii="Book Antiqua" w:hAnsi="Book Antiqua"/>
              </w:rPr>
              <w:t>79</w:t>
            </w:r>
          </w:p>
        </w:tc>
        <w:tc>
          <w:tcPr>
            <w:tcW w:w="1134"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1.04-3.</w:t>
            </w:r>
            <w:r w:rsidR="005A71BD" w:rsidRPr="00165833">
              <w:rPr>
                <w:rFonts w:ascii="Book Antiqua" w:hAnsi="Book Antiqua"/>
              </w:rPr>
              <w:t>08</w:t>
            </w:r>
          </w:p>
        </w:tc>
        <w:tc>
          <w:tcPr>
            <w:tcW w:w="975" w:type="dxa"/>
            <w:vAlign w:val="center"/>
          </w:tcPr>
          <w:p w:rsidR="005A71BD" w:rsidRPr="00165833" w:rsidRDefault="004C2C11" w:rsidP="00165833">
            <w:pPr>
              <w:spacing w:line="360" w:lineRule="auto"/>
              <w:jc w:val="both"/>
              <w:rPr>
                <w:rFonts w:ascii="Book Antiqua" w:hAnsi="Book Antiqua"/>
                <w:b/>
              </w:rPr>
            </w:pPr>
            <w:r w:rsidRPr="00165833">
              <w:rPr>
                <w:rFonts w:ascii="Book Antiqua" w:hAnsi="Book Antiqua"/>
                <w:b/>
              </w:rPr>
              <w:t>0.</w:t>
            </w:r>
            <w:r w:rsidR="005A71BD" w:rsidRPr="00165833">
              <w:rPr>
                <w:rFonts w:ascii="Book Antiqua" w:hAnsi="Book Antiqua"/>
                <w:b/>
              </w:rPr>
              <w:t>035</w:t>
            </w:r>
          </w:p>
        </w:tc>
      </w:tr>
      <w:tr w:rsidR="0074441D" w:rsidRPr="00165833" w:rsidTr="0074441D">
        <w:trPr>
          <w:trHeight w:val="296"/>
        </w:trPr>
        <w:tc>
          <w:tcPr>
            <w:tcW w:w="3030"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Strong Predictors</w:t>
            </w:r>
          </w:p>
        </w:tc>
        <w:tc>
          <w:tcPr>
            <w:tcW w:w="2668" w:type="dxa"/>
            <w:vAlign w:val="center"/>
          </w:tcPr>
          <w:p w:rsidR="005A71BD" w:rsidRPr="00165833" w:rsidRDefault="005A71BD" w:rsidP="00165833">
            <w:pPr>
              <w:spacing w:line="360" w:lineRule="auto"/>
              <w:jc w:val="both"/>
              <w:rPr>
                <w:rFonts w:ascii="Book Antiqua" w:hAnsi="Book Antiqua"/>
              </w:rPr>
            </w:pPr>
          </w:p>
        </w:tc>
        <w:tc>
          <w:tcPr>
            <w:tcW w:w="2860" w:type="dxa"/>
            <w:vAlign w:val="center"/>
          </w:tcPr>
          <w:p w:rsidR="005A71BD" w:rsidRPr="00165833" w:rsidRDefault="005A71BD" w:rsidP="00165833">
            <w:pPr>
              <w:spacing w:line="360" w:lineRule="auto"/>
              <w:jc w:val="both"/>
              <w:rPr>
                <w:rFonts w:ascii="Book Antiqua" w:hAnsi="Book Antiqua"/>
              </w:rPr>
            </w:pPr>
          </w:p>
        </w:tc>
        <w:tc>
          <w:tcPr>
            <w:tcW w:w="851" w:type="dxa"/>
            <w:vAlign w:val="center"/>
          </w:tcPr>
          <w:p w:rsidR="005A71BD" w:rsidRPr="00165833" w:rsidRDefault="005A71BD" w:rsidP="00165833">
            <w:pPr>
              <w:spacing w:line="360" w:lineRule="auto"/>
              <w:jc w:val="both"/>
              <w:rPr>
                <w:rFonts w:ascii="Book Antiqua" w:hAnsi="Book Antiqua"/>
              </w:rPr>
            </w:pPr>
          </w:p>
        </w:tc>
        <w:tc>
          <w:tcPr>
            <w:tcW w:w="1134" w:type="dxa"/>
            <w:vAlign w:val="center"/>
          </w:tcPr>
          <w:p w:rsidR="005A71BD" w:rsidRPr="00165833" w:rsidRDefault="005A71BD" w:rsidP="00165833">
            <w:pPr>
              <w:spacing w:line="360" w:lineRule="auto"/>
              <w:jc w:val="both"/>
              <w:rPr>
                <w:rFonts w:ascii="Book Antiqua" w:hAnsi="Book Antiqua"/>
              </w:rPr>
            </w:pPr>
          </w:p>
        </w:tc>
        <w:tc>
          <w:tcPr>
            <w:tcW w:w="975" w:type="dxa"/>
            <w:vAlign w:val="center"/>
          </w:tcPr>
          <w:p w:rsidR="005A71BD" w:rsidRPr="00165833" w:rsidRDefault="005A71BD" w:rsidP="00165833">
            <w:pPr>
              <w:spacing w:line="360" w:lineRule="auto"/>
              <w:jc w:val="both"/>
              <w:rPr>
                <w:rFonts w:ascii="Book Antiqua" w:hAnsi="Book Antiqua"/>
                <w:b/>
              </w:rPr>
            </w:pPr>
          </w:p>
        </w:tc>
      </w:tr>
      <w:tr w:rsidR="0074441D" w:rsidRPr="00165833" w:rsidTr="0074441D">
        <w:trPr>
          <w:trHeight w:val="313"/>
        </w:trPr>
        <w:tc>
          <w:tcPr>
            <w:tcW w:w="303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w:t>
            </w:r>
            <w:r w:rsidR="004C2C11" w:rsidRPr="00165833">
              <w:rPr>
                <w:rFonts w:ascii="Book Antiqua" w:hAnsi="Book Antiqua"/>
              </w:rPr>
              <w:t>Total bilirubin 1.</w:t>
            </w:r>
            <w:r w:rsidRPr="00165833">
              <w:rPr>
                <w:rFonts w:ascii="Book Antiqua" w:hAnsi="Book Antiqua"/>
              </w:rPr>
              <w:t>8-4</w:t>
            </w:r>
            <w:r w:rsidR="0074441D">
              <w:rPr>
                <w:rFonts w:ascii="Book Antiqua" w:eastAsiaTheme="minorEastAsia" w:hAnsi="Book Antiqua" w:hint="eastAsia"/>
                <w:lang w:eastAsia="zh-CN"/>
              </w:rPr>
              <w:t xml:space="preserve"> </w:t>
            </w:r>
            <w:r w:rsidRPr="00165833">
              <w:rPr>
                <w:rFonts w:ascii="Book Antiqua" w:hAnsi="Book Antiqua"/>
              </w:rPr>
              <w:t>mg/dL</w:t>
            </w:r>
          </w:p>
        </w:tc>
        <w:tc>
          <w:tcPr>
            <w:tcW w:w="2668"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63 (75.</w:t>
            </w:r>
            <w:r w:rsidR="005A71BD" w:rsidRPr="00165833">
              <w:rPr>
                <w:rFonts w:ascii="Book Antiqua" w:hAnsi="Book Antiqua"/>
              </w:rPr>
              <w:t>0)</w:t>
            </w:r>
          </w:p>
        </w:tc>
        <w:tc>
          <w:tcPr>
            <w:tcW w:w="2860"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21 (25.</w:t>
            </w:r>
            <w:r w:rsidR="005A71BD" w:rsidRPr="00165833">
              <w:rPr>
                <w:rFonts w:ascii="Book Antiqua" w:hAnsi="Book Antiqua"/>
              </w:rPr>
              <w:t>0)</w:t>
            </w:r>
          </w:p>
        </w:tc>
        <w:tc>
          <w:tcPr>
            <w:tcW w:w="851"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3.</w:t>
            </w:r>
            <w:r w:rsidR="005A71BD" w:rsidRPr="00165833">
              <w:rPr>
                <w:rFonts w:ascii="Book Antiqua" w:hAnsi="Book Antiqua"/>
              </w:rPr>
              <w:t>15</w:t>
            </w:r>
          </w:p>
        </w:tc>
        <w:tc>
          <w:tcPr>
            <w:tcW w:w="1134"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1.63-6.</w:t>
            </w:r>
            <w:r w:rsidR="005A71BD" w:rsidRPr="00165833">
              <w:rPr>
                <w:rFonts w:ascii="Book Antiqua" w:hAnsi="Book Antiqua"/>
              </w:rPr>
              <w:t>08</w:t>
            </w:r>
          </w:p>
        </w:tc>
        <w:tc>
          <w:tcPr>
            <w:tcW w:w="975"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0</w:t>
            </w:r>
            <w:r w:rsidR="004C2C11" w:rsidRPr="00165833">
              <w:rPr>
                <w:rFonts w:ascii="Book Antiqua" w:hAnsi="Book Antiqua"/>
                <w:b/>
              </w:rPr>
              <w:t>.</w:t>
            </w:r>
            <w:r w:rsidRPr="00165833">
              <w:rPr>
                <w:rFonts w:ascii="Book Antiqua" w:hAnsi="Book Antiqua"/>
                <w:b/>
              </w:rPr>
              <w:t>001</w:t>
            </w:r>
          </w:p>
        </w:tc>
      </w:tr>
      <w:tr w:rsidR="0074441D" w:rsidRPr="00165833" w:rsidTr="0074441D">
        <w:trPr>
          <w:trHeight w:val="296"/>
        </w:trPr>
        <w:tc>
          <w:tcPr>
            <w:tcW w:w="303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Dilated common bile duct on US</w:t>
            </w:r>
          </w:p>
        </w:tc>
        <w:tc>
          <w:tcPr>
            <w:tcW w:w="2668"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150 (76</w:t>
            </w:r>
            <w:r w:rsidR="004C2C11" w:rsidRPr="00165833">
              <w:rPr>
                <w:rFonts w:ascii="Book Antiqua" w:hAnsi="Book Antiqua"/>
              </w:rPr>
              <w:t>.</w:t>
            </w:r>
            <w:r w:rsidRPr="00165833">
              <w:rPr>
                <w:rFonts w:ascii="Book Antiqua" w:hAnsi="Book Antiqua"/>
              </w:rPr>
              <w:t>9)</w:t>
            </w:r>
          </w:p>
        </w:tc>
        <w:tc>
          <w:tcPr>
            <w:tcW w:w="2860" w:type="dxa"/>
            <w:vAlign w:val="center"/>
          </w:tcPr>
          <w:p w:rsidR="005A71BD" w:rsidRPr="00165833" w:rsidRDefault="004C2C11" w:rsidP="00165833">
            <w:pPr>
              <w:spacing w:line="360" w:lineRule="auto"/>
              <w:jc w:val="both"/>
              <w:rPr>
                <w:rFonts w:ascii="Book Antiqua" w:hAnsi="Book Antiqua"/>
              </w:rPr>
            </w:pPr>
            <w:r w:rsidRPr="00165833">
              <w:rPr>
                <w:rFonts w:ascii="Book Antiqua" w:hAnsi="Book Antiqua"/>
              </w:rPr>
              <w:t>45 (23.</w:t>
            </w:r>
            <w:r w:rsidR="005A71BD" w:rsidRPr="00165833">
              <w:rPr>
                <w:rFonts w:ascii="Book Antiqua" w:hAnsi="Book Antiqua"/>
              </w:rPr>
              <w:t>1)</w:t>
            </w:r>
          </w:p>
        </w:tc>
        <w:tc>
          <w:tcPr>
            <w:tcW w:w="851"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5</w:t>
            </w:r>
            <w:r w:rsidR="004C2C11" w:rsidRPr="00165833">
              <w:rPr>
                <w:rFonts w:ascii="Book Antiqua" w:hAnsi="Book Antiqua"/>
              </w:rPr>
              <w:t>.</w:t>
            </w:r>
            <w:r w:rsidRPr="00165833">
              <w:rPr>
                <w:rFonts w:ascii="Book Antiqua" w:hAnsi="Book Antiqua"/>
              </w:rPr>
              <w:t>06</w:t>
            </w:r>
          </w:p>
        </w:tc>
        <w:tc>
          <w:tcPr>
            <w:tcW w:w="113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2</w:t>
            </w:r>
            <w:r w:rsidR="004C2C11" w:rsidRPr="00165833">
              <w:rPr>
                <w:rFonts w:ascii="Book Antiqua" w:hAnsi="Book Antiqua"/>
              </w:rPr>
              <w:t>.</w:t>
            </w:r>
            <w:r w:rsidRPr="00165833">
              <w:rPr>
                <w:rFonts w:ascii="Book Antiqua" w:hAnsi="Book Antiqua"/>
              </w:rPr>
              <w:t>85-8</w:t>
            </w:r>
            <w:r w:rsidR="004C2C11" w:rsidRPr="00165833">
              <w:rPr>
                <w:rFonts w:ascii="Book Antiqua" w:hAnsi="Book Antiqua"/>
              </w:rPr>
              <w:t>.</w:t>
            </w:r>
            <w:r w:rsidRPr="00165833">
              <w:rPr>
                <w:rFonts w:ascii="Book Antiqua" w:hAnsi="Book Antiqua"/>
              </w:rPr>
              <w:t>99</w:t>
            </w:r>
          </w:p>
        </w:tc>
        <w:tc>
          <w:tcPr>
            <w:tcW w:w="975"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&lt;</w:t>
            </w:r>
            <w:r w:rsidR="0074441D">
              <w:rPr>
                <w:rFonts w:ascii="Book Antiqua" w:eastAsiaTheme="minorEastAsia" w:hAnsi="Book Antiqua" w:hint="eastAsia"/>
                <w:b/>
                <w:lang w:eastAsia="zh-CN"/>
              </w:rPr>
              <w:t xml:space="preserve"> </w:t>
            </w:r>
            <w:r w:rsidRPr="00165833">
              <w:rPr>
                <w:rFonts w:ascii="Book Antiqua" w:hAnsi="Book Antiqua"/>
                <w:b/>
              </w:rPr>
              <w:t>0</w:t>
            </w:r>
            <w:r w:rsidR="004C2C11" w:rsidRPr="00165833">
              <w:rPr>
                <w:rFonts w:ascii="Book Antiqua" w:hAnsi="Book Antiqua"/>
                <w:b/>
              </w:rPr>
              <w:t>.</w:t>
            </w:r>
            <w:r w:rsidRPr="00165833">
              <w:rPr>
                <w:rFonts w:ascii="Book Antiqua" w:hAnsi="Book Antiqua"/>
                <w:b/>
              </w:rPr>
              <w:t>001</w:t>
            </w:r>
          </w:p>
        </w:tc>
      </w:tr>
      <w:tr w:rsidR="0074441D" w:rsidRPr="00165833" w:rsidTr="0074441D">
        <w:trPr>
          <w:trHeight w:val="313"/>
        </w:trPr>
        <w:tc>
          <w:tcPr>
            <w:tcW w:w="3030"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Moderate predictors</w:t>
            </w:r>
          </w:p>
        </w:tc>
        <w:tc>
          <w:tcPr>
            <w:tcW w:w="2668" w:type="dxa"/>
            <w:vAlign w:val="center"/>
          </w:tcPr>
          <w:p w:rsidR="005A71BD" w:rsidRPr="00165833" w:rsidRDefault="005A71BD" w:rsidP="00165833">
            <w:pPr>
              <w:spacing w:line="360" w:lineRule="auto"/>
              <w:jc w:val="both"/>
              <w:rPr>
                <w:rFonts w:ascii="Book Antiqua" w:hAnsi="Book Antiqua"/>
              </w:rPr>
            </w:pPr>
          </w:p>
        </w:tc>
        <w:tc>
          <w:tcPr>
            <w:tcW w:w="2860" w:type="dxa"/>
            <w:vAlign w:val="center"/>
          </w:tcPr>
          <w:p w:rsidR="005A71BD" w:rsidRPr="00165833" w:rsidRDefault="005A71BD" w:rsidP="00165833">
            <w:pPr>
              <w:spacing w:line="360" w:lineRule="auto"/>
              <w:jc w:val="both"/>
              <w:rPr>
                <w:rFonts w:ascii="Book Antiqua" w:hAnsi="Book Antiqua"/>
              </w:rPr>
            </w:pPr>
          </w:p>
        </w:tc>
        <w:tc>
          <w:tcPr>
            <w:tcW w:w="851" w:type="dxa"/>
            <w:vAlign w:val="center"/>
          </w:tcPr>
          <w:p w:rsidR="005A71BD" w:rsidRPr="00165833" w:rsidRDefault="005A71BD" w:rsidP="00165833">
            <w:pPr>
              <w:spacing w:line="360" w:lineRule="auto"/>
              <w:jc w:val="both"/>
              <w:rPr>
                <w:rFonts w:ascii="Book Antiqua" w:hAnsi="Book Antiqua"/>
              </w:rPr>
            </w:pPr>
          </w:p>
        </w:tc>
        <w:tc>
          <w:tcPr>
            <w:tcW w:w="1134" w:type="dxa"/>
            <w:vAlign w:val="center"/>
          </w:tcPr>
          <w:p w:rsidR="005A71BD" w:rsidRPr="00165833" w:rsidRDefault="005A71BD" w:rsidP="00165833">
            <w:pPr>
              <w:spacing w:line="360" w:lineRule="auto"/>
              <w:jc w:val="both"/>
              <w:rPr>
                <w:rFonts w:ascii="Book Antiqua" w:hAnsi="Book Antiqua"/>
              </w:rPr>
            </w:pPr>
          </w:p>
        </w:tc>
        <w:tc>
          <w:tcPr>
            <w:tcW w:w="975" w:type="dxa"/>
            <w:vAlign w:val="center"/>
          </w:tcPr>
          <w:p w:rsidR="005A71BD" w:rsidRPr="00165833" w:rsidRDefault="005A71BD" w:rsidP="00165833">
            <w:pPr>
              <w:spacing w:line="360" w:lineRule="auto"/>
              <w:jc w:val="both"/>
              <w:rPr>
                <w:rFonts w:ascii="Book Antiqua" w:hAnsi="Book Antiqua"/>
                <w:b/>
              </w:rPr>
            </w:pPr>
          </w:p>
        </w:tc>
      </w:tr>
      <w:tr w:rsidR="0074441D" w:rsidRPr="00165833" w:rsidTr="0074441D">
        <w:trPr>
          <w:trHeight w:val="313"/>
        </w:trPr>
        <w:tc>
          <w:tcPr>
            <w:tcW w:w="303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Abnormal liver function test</w:t>
            </w:r>
          </w:p>
        </w:tc>
        <w:tc>
          <w:tcPr>
            <w:tcW w:w="2668"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161 (69</w:t>
            </w:r>
            <w:r w:rsidR="004C2C11" w:rsidRPr="00165833">
              <w:rPr>
                <w:rFonts w:ascii="Book Antiqua" w:hAnsi="Book Antiqua"/>
              </w:rPr>
              <w:t>.</w:t>
            </w:r>
            <w:r w:rsidRPr="00165833">
              <w:rPr>
                <w:rFonts w:ascii="Book Antiqua" w:hAnsi="Book Antiqua"/>
              </w:rPr>
              <w:t>7)</w:t>
            </w:r>
          </w:p>
        </w:tc>
        <w:tc>
          <w:tcPr>
            <w:tcW w:w="286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70 (30</w:t>
            </w:r>
            <w:r w:rsidR="004C2C11" w:rsidRPr="00165833">
              <w:rPr>
                <w:rFonts w:ascii="Book Antiqua" w:hAnsi="Book Antiqua"/>
              </w:rPr>
              <w:t>.</w:t>
            </w:r>
            <w:r w:rsidRPr="00165833">
              <w:rPr>
                <w:rFonts w:ascii="Book Antiqua" w:hAnsi="Book Antiqua"/>
              </w:rPr>
              <w:t>3)</w:t>
            </w:r>
          </w:p>
        </w:tc>
        <w:tc>
          <w:tcPr>
            <w:tcW w:w="851"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2</w:t>
            </w:r>
            <w:r w:rsidR="004C2C11" w:rsidRPr="00165833">
              <w:rPr>
                <w:rFonts w:ascii="Book Antiqua" w:hAnsi="Book Antiqua"/>
              </w:rPr>
              <w:t>.</w:t>
            </w:r>
            <w:r w:rsidRPr="00165833">
              <w:rPr>
                <w:rFonts w:ascii="Book Antiqua" w:hAnsi="Book Antiqua"/>
              </w:rPr>
              <w:t>43</w:t>
            </w:r>
          </w:p>
        </w:tc>
        <w:tc>
          <w:tcPr>
            <w:tcW w:w="113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1</w:t>
            </w:r>
            <w:r w:rsidR="004C2C11" w:rsidRPr="00165833">
              <w:rPr>
                <w:rFonts w:ascii="Book Antiqua" w:hAnsi="Book Antiqua"/>
              </w:rPr>
              <w:t>.</w:t>
            </w:r>
            <w:r w:rsidRPr="00165833">
              <w:rPr>
                <w:rFonts w:ascii="Book Antiqua" w:hAnsi="Book Antiqua"/>
              </w:rPr>
              <w:t>20-4</w:t>
            </w:r>
            <w:r w:rsidR="004C2C11" w:rsidRPr="00165833">
              <w:rPr>
                <w:rFonts w:ascii="Book Antiqua" w:hAnsi="Book Antiqua"/>
              </w:rPr>
              <w:t>.</w:t>
            </w:r>
            <w:r w:rsidRPr="00165833">
              <w:rPr>
                <w:rFonts w:ascii="Book Antiqua" w:hAnsi="Book Antiqua"/>
              </w:rPr>
              <w:t>90</w:t>
            </w:r>
          </w:p>
        </w:tc>
        <w:tc>
          <w:tcPr>
            <w:tcW w:w="975"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0</w:t>
            </w:r>
            <w:r w:rsidR="004C2C11" w:rsidRPr="00165833">
              <w:rPr>
                <w:rFonts w:ascii="Book Antiqua" w:hAnsi="Book Antiqua"/>
                <w:b/>
              </w:rPr>
              <w:t>.</w:t>
            </w:r>
            <w:r w:rsidRPr="00165833">
              <w:rPr>
                <w:rFonts w:ascii="Book Antiqua" w:hAnsi="Book Antiqua"/>
                <w:b/>
              </w:rPr>
              <w:t>012</w:t>
            </w:r>
          </w:p>
        </w:tc>
      </w:tr>
      <w:tr w:rsidR="0074441D" w:rsidRPr="00165833" w:rsidTr="0074441D">
        <w:trPr>
          <w:trHeight w:val="313"/>
        </w:trPr>
        <w:tc>
          <w:tcPr>
            <w:tcW w:w="303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Age &gt;</w:t>
            </w:r>
            <w:r w:rsidR="0074441D">
              <w:rPr>
                <w:rFonts w:ascii="Book Antiqua" w:eastAsiaTheme="minorEastAsia" w:hAnsi="Book Antiqua" w:hint="eastAsia"/>
                <w:lang w:eastAsia="zh-CN"/>
              </w:rPr>
              <w:t xml:space="preserve"> </w:t>
            </w:r>
            <w:r w:rsidRPr="00165833">
              <w:rPr>
                <w:rFonts w:ascii="Book Antiqua" w:hAnsi="Book Antiqua"/>
              </w:rPr>
              <w:t>55 years</w:t>
            </w:r>
          </w:p>
        </w:tc>
        <w:tc>
          <w:tcPr>
            <w:tcW w:w="2668"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142 (72</w:t>
            </w:r>
            <w:r w:rsidR="004C2C11" w:rsidRPr="00165833">
              <w:rPr>
                <w:rFonts w:ascii="Book Antiqua" w:hAnsi="Book Antiqua"/>
              </w:rPr>
              <w:t>.</w:t>
            </w:r>
            <w:r w:rsidRPr="00165833">
              <w:rPr>
                <w:rFonts w:ascii="Book Antiqua" w:hAnsi="Book Antiqua"/>
              </w:rPr>
              <w:t>1)</w:t>
            </w:r>
          </w:p>
        </w:tc>
        <w:tc>
          <w:tcPr>
            <w:tcW w:w="286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55 (27</w:t>
            </w:r>
            <w:r w:rsidR="004C2C11" w:rsidRPr="00165833">
              <w:rPr>
                <w:rFonts w:ascii="Book Antiqua" w:hAnsi="Book Antiqua"/>
              </w:rPr>
              <w:t>.</w:t>
            </w:r>
            <w:r w:rsidRPr="00165833">
              <w:rPr>
                <w:rFonts w:ascii="Book Antiqua" w:hAnsi="Book Antiqua"/>
              </w:rPr>
              <w:t>9)</w:t>
            </w:r>
          </w:p>
        </w:tc>
        <w:tc>
          <w:tcPr>
            <w:tcW w:w="851"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2</w:t>
            </w:r>
            <w:r w:rsidR="004C2C11" w:rsidRPr="00165833">
              <w:rPr>
                <w:rFonts w:ascii="Book Antiqua" w:hAnsi="Book Antiqua"/>
              </w:rPr>
              <w:t>.</w:t>
            </w:r>
            <w:r w:rsidRPr="00165833">
              <w:rPr>
                <w:rFonts w:ascii="Book Antiqua" w:hAnsi="Book Antiqua"/>
              </w:rPr>
              <w:t>37</w:t>
            </w:r>
          </w:p>
        </w:tc>
        <w:tc>
          <w:tcPr>
            <w:tcW w:w="113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1</w:t>
            </w:r>
            <w:r w:rsidR="004C2C11" w:rsidRPr="00165833">
              <w:rPr>
                <w:rFonts w:ascii="Book Antiqua" w:hAnsi="Book Antiqua"/>
              </w:rPr>
              <w:t>.</w:t>
            </w:r>
            <w:r w:rsidRPr="00165833">
              <w:rPr>
                <w:rFonts w:ascii="Book Antiqua" w:hAnsi="Book Antiqua"/>
              </w:rPr>
              <w:t>36-4</w:t>
            </w:r>
            <w:r w:rsidR="004C2C11" w:rsidRPr="00165833">
              <w:rPr>
                <w:rFonts w:ascii="Book Antiqua" w:hAnsi="Book Antiqua"/>
              </w:rPr>
              <w:t>.</w:t>
            </w:r>
            <w:r w:rsidRPr="00165833">
              <w:rPr>
                <w:rFonts w:ascii="Book Antiqua" w:hAnsi="Book Antiqua"/>
              </w:rPr>
              <w:t>15</w:t>
            </w:r>
          </w:p>
        </w:tc>
        <w:tc>
          <w:tcPr>
            <w:tcW w:w="975"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0</w:t>
            </w:r>
            <w:r w:rsidR="004C2C11" w:rsidRPr="00165833">
              <w:rPr>
                <w:rFonts w:ascii="Book Antiqua" w:hAnsi="Book Antiqua"/>
                <w:b/>
              </w:rPr>
              <w:t>.</w:t>
            </w:r>
            <w:r w:rsidRPr="00165833">
              <w:rPr>
                <w:rFonts w:ascii="Book Antiqua" w:hAnsi="Book Antiqua"/>
                <w:b/>
              </w:rPr>
              <w:t>002</w:t>
            </w:r>
          </w:p>
        </w:tc>
      </w:tr>
      <w:tr w:rsidR="0074441D" w:rsidRPr="00165833" w:rsidTr="0074441D">
        <w:trPr>
          <w:trHeight w:val="313"/>
        </w:trPr>
        <w:tc>
          <w:tcPr>
            <w:tcW w:w="303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 xml:space="preserve">    Gallstone pancreatitis</w:t>
            </w:r>
          </w:p>
        </w:tc>
        <w:tc>
          <w:tcPr>
            <w:tcW w:w="2668"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36 (57</w:t>
            </w:r>
            <w:r w:rsidR="004C2C11" w:rsidRPr="00165833">
              <w:rPr>
                <w:rFonts w:ascii="Book Antiqua" w:hAnsi="Book Antiqua"/>
              </w:rPr>
              <w:t>.</w:t>
            </w:r>
            <w:r w:rsidRPr="00165833">
              <w:rPr>
                <w:rFonts w:ascii="Book Antiqua" w:hAnsi="Book Antiqua"/>
              </w:rPr>
              <w:t>2)</w:t>
            </w:r>
          </w:p>
        </w:tc>
        <w:tc>
          <w:tcPr>
            <w:tcW w:w="2860"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27 (42</w:t>
            </w:r>
            <w:r w:rsidR="004C2C11" w:rsidRPr="00165833">
              <w:rPr>
                <w:rFonts w:ascii="Book Antiqua" w:hAnsi="Book Antiqua"/>
              </w:rPr>
              <w:t>.</w:t>
            </w:r>
            <w:r w:rsidRPr="00165833">
              <w:rPr>
                <w:rFonts w:ascii="Book Antiqua" w:hAnsi="Book Antiqua"/>
              </w:rPr>
              <w:t>8)</w:t>
            </w:r>
          </w:p>
        </w:tc>
        <w:tc>
          <w:tcPr>
            <w:tcW w:w="851"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0</w:t>
            </w:r>
            <w:r w:rsidR="004C2C11" w:rsidRPr="00165833">
              <w:rPr>
                <w:rFonts w:ascii="Book Antiqua" w:hAnsi="Book Antiqua"/>
              </w:rPr>
              <w:t>.</w:t>
            </w:r>
            <w:r w:rsidRPr="00165833">
              <w:rPr>
                <w:rFonts w:ascii="Book Antiqua" w:hAnsi="Book Antiqua"/>
              </w:rPr>
              <w:t>58</w:t>
            </w:r>
          </w:p>
        </w:tc>
        <w:tc>
          <w:tcPr>
            <w:tcW w:w="113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0</w:t>
            </w:r>
            <w:r w:rsidR="004C2C11" w:rsidRPr="00165833">
              <w:rPr>
                <w:rFonts w:ascii="Book Antiqua" w:hAnsi="Book Antiqua"/>
              </w:rPr>
              <w:t>.</w:t>
            </w:r>
            <w:r w:rsidRPr="00165833">
              <w:rPr>
                <w:rFonts w:ascii="Book Antiqua" w:hAnsi="Book Antiqua"/>
              </w:rPr>
              <w:t>32-1</w:t>
            </w:r>
            <w:r w:rsidR="004C2C11" w:rsidRPr="00165833">
              <w:rPr>
                <w:rFonts w:ascii="Book Antiqua" w:hAnsi="Book Antiqua"/>
              </w:rPr>
              <w:t>.</w:t>
            </w:r>
            <w:r w:rsidRPr="00165833">
              <w:rPr>
                <w:rFonts w:ascii="Book Antiqua" w:hAnsi="Book Antiqua"/>
              </w:rPr>
              <w:t>03</w:t>
            </w:r>
          </w:p>
        </w:tc>
        <w:tc>
          <w:tcPr>
            <w:tcW w:w="975"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0</w:t>
            </w:r>
            <w:r w:rsidR="004C2C11" w:rsidRPr="00165833">
              <w:rPr>
                <w:rFonts w:ascii="Book Antiqua" w:hAnsi="Book Antiqua"/>
              </w:rPr>
              <w:t>.</w:t>
            </w:r>
            <w:r w:rsidRPr="00165833">
              <w:rPr>
                <w:rFonts w:ascii="Book Antiqua" w:hAnsi="Book Antiqua"/>
              </w:rPr>
              <w:t>063</w:t>
            </w:r>
          </w:p>
        </w:tc>
      </w:tr>
    </w:tbl>
    <w:p w:rsidR="0074441D" w:rsidRPr="0074441D" w:rsidRDefault="005A71BD" w:rsidP="0074441D">
      <w:pPr>
        <w:spacing w:line="360" w:lineRule="auto"/>
        <w:jc w:val="both"/>
        <w:rPr>
          <w:rFonts w:ascii="Book Antiqua" w:hAnsi="Book Antiqua"/>
        </w:rPr>
      </w:pPr>
      <w:r w:rsidRPr="00165833">
        <w:rPr>
          <w:rFonts w:ascii="Book Antiqua" w:hAnsi="Book Antiqua"/>
        </w:rPr>
        <w:t xml:space="preserve">ERCP: </w:t>
      </w:r>
      <w:r w:rsidR="0074441D" w:rsidRPr="00165833">
        <w:rPr>
          <w:rFonts w:ascii="Book Antiqua" w:hAnsi="Book Antiqua"/>
        </w:rPr>
        <w:t>E</w:t>
      </w:r>
      <w:r w:rsidRPr="00165833">
        <w:rPr>
          <w:rFonts w:ascii="Book Antiqua" w:hAnsi="Book Antiqua"/>
        </w:rPr>
        <w:t xml:space="preserve">ndoscopic retrograde cholangiopancreatography; </w:t>
      </w:r>
      <w:r w:rsidR="0074441D" w:rsidRPr="0074441D">
        <w:rPr>
          <w:rFonts w:ascii="Book Antiqua" w:hAnsi="Book Antiqua"/>
        </w:rPr>
        <w:t>US</w:t>
      </w:r>
      <w:r w:rsidR="0074441D" w:rsidRPr="0074441D">
        <w:rPr>
          <w:rFonts w:ascii="Book Antiqua" w:hAnsi="Book Antiqua" w:hint="eastAsia"/>
        </w:rPr>
        <w:t>:</w:t>
      </w:r>
      <w:r w:rsidR="0074441D" w:rsidRPr="0074441D">
        <w:rPr>
          <w:rFonts w:ascii="Book Antiqua" w:hAnsi="Book Antiqua"/>
        </w:rPr>
        <w:t xml:space="preserve"> Ultrasonography</w:t>
      </w:r>
      <w:r w:rsidR="0074441D" w:rsidRPr="0074441D">
        <w:rPr>
          <w:rFonts w:ascii="Book Antiqua" w:hAnsi="Book Antiqua" w:hint="eastAsia"/>
        </w:rPr>
        <w:t>.</w:t>
      </w: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C6177F" w:rsidRPr="0074441D" w:rsidRDefault="0074441D" w:rsidP="00165833">
      <w:pPr>
        <w:spacing w:line="360" w:lineRule="auto"/>
        <w:jc w:val="both"/>
        <w:rPr>
          <w:rFonts w:ascii="Book Antiqua" w:hAnsi="Book Antiqua"/>
          <w:b/>
        </w:rPr>
      </w:pPr>
      <w:r w:rsidRPr="0074441D">
        <w:rPr>
          <w:rFonts w:ascii="Book Antiqua" w:hAnsi="Book Antiqua"/>
          <w:b/>
        </w:rPr>
        <w:t>Table 3 Risk group for choledocholithiasis – univariate analysis</w:t>
      </w:r>
    </w:p>
    <w:tbl>
      <w:tblPr>
        <w:tblStyle w:val="TableGrid"/>
        <w:tblW w:w="12181" w:type="dxa"/>
        <w:tblInd w:w="-15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1134"/>
        <w:gridCol w:w="3544"/>
        <w:gridCol w:w="3544"/>
        <w:gridCol w:w="1009"/>
      </w:tblGrid>
      <w:tr w:rsidR="0074441D" w:rsidRPr="00165833" w:rsidTr="0074441D">
        <w:trPr>
          <w:trHeight w:val="595"/>
        </w:trPr>
        <w:tc>
          <w:tcPr>
            <w:tcW w:w="2950"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Variable</w:t>
            </w:r>
          </w:p>
        </w:tc>
        <w:tc>
          <w:tcPr>
            <w:tcW w:w="1134"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Total</w:t>
            </w:r>
          </w:p>
          <w:p w:rsidR="005A71BD" w:rsidRPr="00165833" w:rsidRDefault="005A71BD" w:rsidP="00165833">
            <w:pPr>
              <w:spacing w:line="360" w:lineRule="auto"/>
              <w:jc w:val="both"/>
              <w:rPr>
                <w:rFonts w:ascii="Book Antiqua" w:hAnsi="Book Antiqua"/>
              </w:rPr>
            </w:pPr>
            <w:proofErr w:type="gramStart"/>
            <w:r w:rsidRPr="00165833">
              <w:rPr>
                <w:rFonts w:ascii="Book Antiqua" w:hAnsi="Book Antiqua"/>
                <w:i/>
              </w:rPr>
              <w:t>n</w:t>
            </w:r>
            <w:proofErr w:type="gramEnd"/>
            <w:r w:rsidR="0074441D">
              <w:rPr>
                <w:rFonts w:ascii="Book Antiqua" w:eastAsiaTheme="minorEastAsia" w:hAnsi="Book Antiqua" w:hint="eastAsia"/>
                <w:i/>
                <w:lang w:eastAsia="zh-CN"/>
              </w:rPr>
              <w:t xml:space="preserve"> </w:t>
            </w:r>
            <w:r w:rsidRPr="00165833">
              <w:rPr>
                <w:rFonts w:ascii="Book Antiqua" w:hAnsi="Book Antiqua"/>
              </w:rPr>
              <w:t>(%)</w:t>
            </w:r>
          </w:p>
        </w:tc>
        <w:tc>
          <w:tcPr>
            <w:tcW w:w="3544"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Choledocholithiasis on ERCP</w:t>
            </w:r>
          </w:p>
          <w:p w:rsidR="005A71BD" w:rsidRPr="00165833" w:rsidRDefault="005A71BD" w:rsidP="00165833">
            <w:pPr>
              <w:spacing w:line="360" w:lineRule="auto"/>
              <w:jc w:val="both"/>
              <w:rPr>
                <w:rFonts w:ascii="Book Antiqua" w:hAnsi="Book Antiqua"/>
              </w:rPr>
            </w:pPr>
            <w:proofErr w:type="gramStart"/>
            <w:r w:rsidRPr="00165833">
              <w:rPr>
                <w:rFonts w:ascii="Book Antiqua" w:hAnsi="Book Antiqua"/>
                <w:i/>
              </w:rPr>
              <w:t>n</w:t>
            </w:r>
            <w:proofErr w:type="gramEnd"/>
            <w:r w:rsidR="0074441D">
              <w:rPr>
                <w:rFonts w:ascii="Book Antiqua" w:eastAsiaTheme="minorEastAsia" w:hAnsi="Book Antiqua" w:hint="eastAsia"/>
                <w:i/>
                <w:lang w:eastAsia="zh-CN"/>
              </w:rPr>
              <w:t xml:space="preserve"> </w:t>
            </w:r>
            <w:r w:rsidRPr="00165833">
              <w:rPr>
                <w:rFonts w:ascii="Book Antiqua" w:hAnsi="Book Antiqua"/>
              </w:rPr>
              <w:t>(%)</w:t>
            </w:r>
          </w:p>
        </w:tc>
        <w:tc>
          <w:tcPr>
            <w:tcW w:w="3544" w:type="dxa"/>
            <w:tcBorders>
              <w:top w:val="single" w:sz="4" w:space="0" w:color="auto"/>
              <w:bottom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No Choledocholithiasis on ERCP</w:t>
            </w:r>
          </w:p>
          <w:p w:rsidR="005A71BD" w:rsidRPr="00165833" w:rsidRDefault="0074441D" w:rsidP="00165833">
            <w:pPr>
              <w:spacing w:line="360" w:lineRule="auto"/>
              <w:jc w:val="both"/>
              <w:rPr>
                <w:rFonts w:ascii="Book Antiqua" w:hAnsi="Book Antiqua"/>
              </w:rPr>
            </w:pPr>
            <w:proofErr w:type="gramStart"/>
            <w:r w:rsidRPr="00165833">
              <w:rPr>
                <w:rFonts w:ascii="Book Antiqua" w:hAnsi="Book Antiqua"/>
                <w:i/>
              </w:rPr>
              <w:t>n</w:t>
            </w:r>
            <w:proofErr w:type="gramEnd"/>
            <w:r>
              <w:rPr>
                <w:rFonts w:ascii="Book Antiqua" w:eastAsiaTheme="minorEastAsia" w:hAnsi="Book Antiqua" w:hint="eastAsia"/>
                <w:i/>
                <w:lang w:eastAsia="zh-CN"/>
              </w:rPr>
              <w:t xml:space="preserve"> </w:t>
            </w:r>
            <w:r w:rsidRPr="00165833">
              <w:rPr>
                <w:rFonts w:ascii="Book Antiqua" w:hAnsi="Book Antiqua"/>
              </w:rPr>
              <w:t>(%)</w:t>
            </w:r>
          </w:p>
        </w:tc>
        <w:tc>
          <w:tcPr>
            <w:tcW w:w="1009" w:type="dxa"/>
            <w:tcBorders>
              <w:top w:val="single" w:sz="4" w:space="0" w:color="auto"/>
              <w:bottom w:val="single" w:sz="4" w:space="0" w:color="auto"/>
            </w:tcBorders>
            <w:vAlign w:val="center"/>
          </w:tcPr>
          <w:p w:rsidR="005A71BD" w:rsidRPr="00165833" w:rsidRDefault="0074441D" w:rsidP="00165833">
            <w:pPr>
              <w:spacing w:line="360" w:lineRule="auto"/>
              <w:jc w:val="both"/>
              <w:rPr>
                <w:rFonts w:ascii="Book Antiqua" w:hAnsi="Book Antiqua"/>
              </w:rPr>
            </w:pPr>
            <w:r w:rsidRPr="00165833">
              <w:rPr>
                <w:rFonts w:ascii="Book Antiqua" w:hAnsi="Book Antiqua"/>
                <w:i/>
              </w:rPr>
              <w:t>P</w:t>
            </w:r>
            <w:r w:rsidR="005A71BD" w:rsidRPr="00165833">
              <w:rPr>
                <w:rFonts w:ascii="Book Antiqua" w:hAnsi="Book Antiqua"/>
              </w:rPr>
              <w:t xml:space="preserve"> value</w:t>
            </w:r>
          </w:p>
        </w:tc>
      </w:tr>
      <w:tr w:rsidR="0074441D" w:rsidRPr="00165833" w:rsidTr="0074441D">
        <w:trPr>
          <w:trHeight w:val="306"/>
        </w:trPr>
        <w:tc>
          <w:tcPr>
            <w:tcW w:w="2950" w:type="dxa"/>
            <w:tcBorders>
              <w:top w:val="single" w:sz="4" w:space="0" w:color="auto"/>
            </w:tcBorders>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High risk group</w:t>
            </w:r>
          </w:p>
        </w:tc>
        <w:tc>
          <w:tcPr>
            <w:tcW w:w="1134"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193 (72</w:t>
            </w:r>
            <w:r w:rsidR="004C2C11" w:rsidRPr="00165833">
              <w:rPr>
                <w:rFonts w:ascii="Book Antiqua" w:hAnsi="Book Antiqua"/>
              </w:rPr>
              <w:t>.</w:t>
            </w:r>
            <w:r w:rsidRPr="00165833">
              <w:rPr>
                <w:rFonts w:ascii="Book Antiqua" w:hAnsi="Book Antiqua"/>
              </w:rPr>
              <w:t>0)</w:t>
            </w:r>
          </w:p>
        </w:tc>
        <w:tc>
          <w:tcPr>
            <w:tcW w:w="3544"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154 (79</w:t>
            </w:r>
            <w:r w:rsidR="004C2C11" w:rsidRPr="00165833">
              <w:rPr>
                <w:rFonts w:ascii="Book Antiqua" w:hAnsi="Book Antiqua"/>
              </w:rPr>
              <w:t>.</w:t>
            </w:r>
            <w:r w:rsidRPr="00165833">
              <w:rPr>
                <w:rFonts w:ascii="Book Antiqua" w:hAnsi="Book Antiqua"/>
              </w:rPr>
              <w:t>8)</w:t>
            </w:r>
          </w:p>
        </w:tc>
        <w:tc>
          <w:tcPr>
            <w:tcW w:w="3544"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39 (20</w:t>
            </w:r>
            <w:r w:rsidR="004C2C11" w:rsidRPr="00165833">
              <w:rPr>
                <w:rFonts w:ascii="Book Antiqua" w:hAnsi="Book Antiqua"/>
              </w:rPr>
              <w:t>.</w:t>
            </w:r>
            <w:r w:rsidRPr="00165833">
              <w:rPr>
                <w:rFonts w:ascii="Book Antiqua" w:hAnsi="Book Antiqua"/>
              </w:rPr>
              <w:t>2)</w:t>
            </w:r>
          </w:p>
        </w:tc>
        <w:tc>
          <w:tcPr>
            <w:tcW w:w="1009" w:type="dxa"/>
            <w:vMerge w:val="restart"/>
            <w:tcBorders>
              <w:top w:val="single" w:sz="4" w:space="0" w:color="auto"/>
            </w:tcBorders>
            <w:vAlign w:val="center"/>
          </w:tcPr>
          <w:p w:rsidR="005A71BD" w:rsidRPr="00165833" w:rsidRDefault="005A71BD" w:rsidP="00165833">
            <w:pPr>
              <w:spacing w:line="360" w:lineRule="auto"/>
              <w:jc w:val="both"/>
              <w:rPr>
                <w:rFonts w:ascii="Book Antiqua" w:hAnsi="Book Antiqua"/>
              </w:rPr>
            </w:pPr>
          </w:p>
          <w:p w:rsidR="005A71BD" w:rsidRPr="00165833" w:rsidRDefault="004C2C11" w:rsidP="00165833">
            <w:pPr>
              <w:spacing w:line="360" w:lineRule="auto"/>
              <w:jc w:val="both"/>
              <w:rPr>
                <w:rFonts w:ascii="Book Antiqua" w:hAnsi="Book Antiqua"/>
              </w:rPr>
            </w:pPr>
            <w:r w:rsidRPr="00165833">
              <w:rPr>
                <w:rFonts w:ascii="Book Antiqua" w:hAnsi="Book Antiqua"/>
              </w:rPr>
              <w:t>&lt;</w:t>
            </w:r>
            <w:r w:rsidR="0074441D">
              <w:rPr>
                <w:rFonts w:ascii="Book Antiqua" w:eastAsiaTheme="minorEastAsia" w:hAnsi="Book Antiqua" w:hint="eastAsia"/>
                <w:lang w:eastAsia="zh-CN"/>
              </w:rPr>
              <w:t xml:space="preserve"> </w:t>
            </w:r>
            <w:r w:rsidRPr="00165833">
              <w:rPr>
                <w:rFonts w:ascii="Book Antiqua" w:hAnsi="Book Antiqua"/>
              </w:rPr>
              <w:t>0.</w:t>
            </w:r>
            <w:r w:rsidR="005A71BD" w:rsidRPr="00165833">
              <w:rPr>
                <w:rFonts w:ascii="Book Antiqua" w:hAnsi="Book Antiqua"/>
              </w:rPr>
              <w:t>001</w:t>
            </w:r>
          </w:p>
          <w:p w:rsidR="005A71BD" w:rsidRPr="00165833" w:rsidRDefault="005A71BD" w:rsidP="00165833">
            <w:pPr>
              <w:spacing w:line="360" w:lineRule="auto"/>
              <w:jc w:val="both"/>
              <w:rPr>
                <w:rFonts w:ascii="Book Antiqua" w:hAnsi="Book Antiqua"/>
              </w:rPr>
            </w:pPr>
          </w:p>
        </w:tc>
      </w:tr>
      <w:tr w:rsidR="0074441D" w:rsidRPr="00165833" w:rsidTr="0074441D">
        <w:trPr>
          <w:trHeight w:val="306"/>
        </w:trPr>
        <w:tc>
          <w:tcPr>
            <w:tcW w:w="2950"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 xml:space="preserve">Intermediate risk group </w:t>
            </w:r>
          </w:p>
        </w:tc>
        <w:tc>
          <w:tcPr>
            <w:tcW w:w="113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73 (27</w:t>
            </w:r>
            <w:r w:rsidR="00191252" w:rsidRPr="00165833">
              <w:rPr>
                <w:rFonts w:ascii="Book Antiqua" w:hAnsi="Book Antiqua"/>
              </w:rPr>
              <w:t>.</w:t>
            </w:r>
            <w:r w:rsidRPr="00165833">
              <w:rPr>
                <w:rFonts w:ascii="Book Antiqua" w:hAnsi="Book Antiqua"/>
              </w:rPr>
              <w:t>2)</w:t>
            </w:r>
          </w:p>
        </w:tc>
        <w:tc>
          <w:tcPr>
            <w:tcW w:w="354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25 (34</w:t>
            </w:r>
            <w:r w:rsidR="00191252" w:rsidRPr="00165833">
              <w:rPr>
                <w:rFonts w:ascii="Book Antiqua" w:hAnsi="Book Antiqua"/>
              </w:rPr>
              <w:t>.</w:t>
            </w:r>
            <w:r w:rsidRPr="00165833">
              <w:rPr>
                <w:rFonts w:ascii="Book Antiqua" w:hAnsi="Book Antiqua"/>
              </w:rPr>
              <w:t>2)</w:t>
            </w:r>
          </w:p>
        </w:tc>
        <w:tc>
          <w:tcPr>
            <w:tcW w:w="354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48 (65</w:t>
            </w:r>
            <w:r w:rsidR="00191252" w:rsidRPr="00165833">
              <w:rPr>
                <w:rFonts w:ascii="Book Antiqua" w:hAnsi="Book Antiqua"/>
              </w:rPr>
              <w:t>.</w:t>
            </w:r>
            <w:r w:rsidRPr="00165833">
              <w:rPr>
                <w:rFonts w:ascii="Book Antiqua" w:hAnsi="Book Antiqua"/>
              </w:rPr>
              <w:t>8)</w:t>
            </w:r>
          </w:p>
        </w:tc>
        <w:tc>
          <w:tcPr>
            <w:tcW w:w="1009" w:type="dxa"/>
            <w:vMerge/>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306"/>
        </w:trPr>
        <w:tc>
          <w:tcPr>
            <w:tcW w:w="2950" w:type="dxa"/>
            <w:vAlign w:val="center"/>
          </w:tcPr>
          <w:p w:rsidR="005A71BD" w:rsidRPr="00165833" w:rsidRDefault="005A71BD" w:rsidP="00165833">
            <w:pPr>
              <w:spacing w:line="360" w:lineRule="auto"/>
              <w:jc w:val="both"/>
              <w:rPr>
                <w:rFonts w:ascii="Book Antiqua" w:hAnsi="Book Antiqua"/>
                <w:b/>
              </w:rPr>
            </w:pPr>
            <w:r w:rsidRPr="00165833">
              <w:rPr>
                <w:rFonts w:ascii="Book Antiqua" w:hAnsi="Book Antiqua"/>
                <w:b/>
              </w:rPr>
              <w:t>Low risk group</w:t>
            </w:r>
          </w:p>
        </w:tc>
        <w:tc>
          <w:tcPr>
            <w:tcW w:w="113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2 (0.</w:t>
            </w:r>
            <w:r w:rsidR="005A71BD" w:rsidRPr="00165833">
              <w:rPr>
                <w:rFonts w:ascii="Book Antiqua" w:hAnsi="Book Antiqua"/>
              </w:rPr>
              <w:t>8)</w:t>
            </w:r>
          </w:p>
        </w:tc>
        <w:tc>
          <w:tcPr>
            <w:tcW w:w="354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0 (0)</w:t>
            </w:r>
          </w:p>
        </w:tc>
        <w:tc>
          <w:tcPr>
            <w:tcW w:w="354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2 (100)</w:t>
            </w:r>
          </w:p>
        </w:tc>
        <w:tc>
          <w:tcPr>
            <w:tcW w:w="1009" w:type="dxa"/>
            <w:vMerge/>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306"/>
        </w:trPr>
        <w:tc>
          <w:tcPr>
            <w:tcW w:w="2950" w:type="dxa"/>
          </w:tcPr>
          <w:p w:rsidR="005A71BD" w:rsidRPr="00165833" w:rsidRDefault="005A71BD" w:rsidP="00165833">
            <w:pPr>
              <w:spacing w:line="360" w:lineRule="auto"/>
              <w:jc w:val="both"/>
              <w:rPr>
                <w:rFonts w:ascii="Book Antiqua" w:hAnsi="Book Antiqua"/>
                <w:b/>
              </w:rPr>
            </w:pPr>
            <w:r w:rsidRPr="00165833">
              <w:rPr>
                <w:rFonts w:ascii="Book Antiqua" w:hAnsi="Book Antiqua"/>
                <w:b/>
              </w:rPr>
              <w:t xml:space="preserve">Very </w:t>
            </w:r>
            <w:r w:rsidR="0074441D" w:rsidRPr="00165833">
              <w:rPr>
                <w:rFonts w:ascii="Book Antiqua" w:hAnsi="Book Antiqua"/>
                <w:b/>
              </w:rPr>
              <w:t>s</w:t>
            </w:r>
            <w:r w:rsidRPr="00165833">
              <w:rPr>
                <w:rFonts w:ascii="Book Antiqua" w:hAnsi="Book Antiqua"/>
                <w:b/>
              </w:rPr>
              <w:t>trong predictors</w:t>
            </w:r>
          </w:p>
        </w:tc>
        <w:tc>
          <w:tcPr>
            <w:tcW w:w="1134" w:type="dxa"/>
            <w:vAlign w:val="center"/>
          </w:tcPr>
          <w:p w:rsidR="005A71BD" w:rsidRPr="00165833" w:rsidRDefault="005A71BD" w:rsidP="00165833">
            <w:pPr>
              <w:spacing w:line="360" w:lineRule="auto"/>
              <w:jc w:val="both"/>
              <w:rPr>
                <w:rFonts w:ascii="Book Antiqua" w:hAnsi="Book Antiqua"/>
              </w:rPr>
            </w:pPr>
          </w:p>
        </w:tc>
        <w:tc>
          <w:tcPr>
            <w:tcW w:w="3544" w:type="dxa"/>
          </w:tcPr>
          <w:p w:rsidR="005A71BD" w:rsidRPr="00165833" w:rsidRDefault="005A71BD" w:rsidP="00165833">
            <w:pPr>
              <w:spacing w:line="360" w:lineRule="auto"/>
              <w:jc w:val="both"/>
              <w:rPr>
                <w:rFonts w:ascii="Book Antiqua" w:hAnsi="Book Antiqua"/>
              </w:rPr>
            </w:pPr>
          </w:p>
        </w:tc>
        <w:tc>
          <w:tcPr>
            <w:tcW w:w="3544" w:type="dxa"/>
          </w:tcPr>
          <w:p w:rsidR="005A71BD" w:rsidRPr="00165833" w:rsidRDefault="005A71BD" w:rsidP="00165833">
            <w:pPr>
              <w:spacing w:line="360" w:lineRule="auto"/>
              <w:jc w:val="both"/>
              <w:rPr>
                <w:rFonts w:ascii="Book Antiqua" w:hAnsi="Book Antiqua"/>
              </w:rPr>
            </w:pPr>
          </w:p>
        </w:tc>
        <w:tc>
          <w:tcPr>
            <w:tcW w:w="1009" w:type="dxa"/>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306"/>
        </w:trPr>
        <w:tc>
          <w:tcPr>
            <w:tcW w:w="2950" w:type="dxa"/>
          </w:tcPr>
          <w:p w:rsidR="005A71BD" w:rsidRPr="00165833" w:rsidRDefault="005A71BD" w:rsidP="00165833">
            <w:pPr>
              <w:spacing w:line="360" w:lineRule="auto"/>
              <w:jc w:val="both"/>
              <w:rPr>
                <w:rFonts w:ascii="Book Antiqua" w:hAnsi="Book Antiqua"/>
              </w:rPr>
            </w:pPr>
            <w:r w:rsidRPr="00165833">
              <w:rPr>
                <w:rFonts w:ascii="Book Antiqua" w:hAnsi="Book Antiqua"/>
              </w:rPr>
              <w:t>None</w:t>
            </w:r>
          </w:p>
        </w:tc>
        <w:tc>
          <w:tcPr>
            <w:tcW w:w="113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97 (36</w:t>
            </w:r>
            <w:r w:rsidR="00191252" w:rsidRPr="00165833">
              <w:rPr>
                <w:rFonts w:ascii="Book Antiqua" w:hAnsi="Book Antiqua"/>
              </w:rPr>
              <w:t>.</w:t>
            </w:r>
            <w:r w:rsidRPr="00165833">
              <w:rPr>
                <w:rFonts w:ascii="Book Antiqua" w:hAnsi="Book Antiqua"/>
              </w:rPr>
              <w:t>2)</w:t>
            </w:r>
          </w:p>
        </w:tc>
        <w:tc>
          <w:tcPr>
            <w:tcW w:w="3544" w:type="dxa"/>
          </w:tcPr>
          <w:p w:rsidR="005A71BD" w:rsidRPr="00165833" w:rsidRDefault="00191252" w:rsidP="00165833">
            <w:pPr>
              <w:spacing w:line="360" w:lineRule="auto"/>
              <w:jc w:val="both"/>
              <w:rPr>
                <w:rFonts w:ascii="Book Antiqua" w:hAnsi="Book Antiqua"/>
              </w:rPr>
            </w:pPr>
            <w:r w:rsidRPr="00165833">
              <w:rPr>
                <w:rFonts w:ascii="Book Antiqua" w:hAnsi="Book Antiqua"/>
              </w:rPr>
              <w:t>39 (40.</w:t>
            </w:r>
            <w:r w:rsidR="005A71BD" w:rsidRPr="00165833">
              <w:rPr>
                <w:rFonts w:ascii="Book Antiqua" w:hAnsi="Book Antiqua"/>
              </w:rPr>
              <w:t>2)</w:t>
            </w:r>
          </w:p>
        </w:tc>
        <w:tc>
          <w:tcPr>
            <w:tcW w:w="3544" w:type="dxa"/>
          </w:tcPr>
          <w:p w:rsidR="005A71BD" w:rsidRPr="00165833" w:rsidRDefault="005A71BD" w:rsidP="00165833">
            <w:pPr>
              <w:spacing w:line="360" w:lineRule="auto"/>
              <w:jc w:val="both"/>
              <w:rPr>
                <w:rFonts w:ascii="Book Antiqua" w:hAnsi="Book Antiqua"/>
              </w:rPr>
            </w:pPr>
            <w:r w:rsidRPr="00165833">
              <w:rPr>
                <w:rFonts w:ascii="Book Antiqua" w:hAnsi="Book Antiqua"/>
              </w:rPr>
              <w:t>58 (59</w:t>
            </w:r>
            <w:r w:rsidR="00191252" w:rsidRPr="00165833">
              <w:rPr>
                <w:rFonts w:ascii="Book Antiqua" w:hAnsi="Book Antiqua"/>
              </w:rPr>
              <w:t>.</w:t>
            </w:r>
            <w:r w:rsidRPr="00165833">
              <w:rPr>
                <w:rFonts w:ascii="Book Antiqua" w:hAnsi="Book Antiqua"/>
              </w:rPr>
              <w:t>8)</w:t>
            </w:r>
          </w:p>
        </w:tc>
        <w:tc>
          <w:tcPr>
            <w:tcW w:w="1009" w:type="dxa"/>
            <w:vMerge w:val="restart"/>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&lt;</w:t>
            </w:r>
            <w:r w:rsidR="0074441D">
              <w:rPr>
                <w:rFonts w:ascii="Book Antiqua" w:eastAsiaTheme="minorEastAsia" w:hAnsi="Book Antiqua" w:hint="eastAsia"/>
                <w:lang w:eastAsia="zh-CN"/>
              </w:rPr>
              <w:t xml:space="preserve"> </w:t>
            </w:r>
            <w:r w:rsidRPr="00165833">
              <w:rPr>
                <w:rFonts w:ascii="Book Antiqua" w:hAnsi="Book Antiqua"/>
              </w:rPr>
              <w:t>0.</w:t>
            </w:r>
            <w:r w:rsidR="005A71BD" w:rsidRPr="00165833">
              <w:rPr>
                <w:rFonts w:ascii="Book Antiqua" w:hAnsi="Book Antiqua"/>
              </w:rPr>
              <w:t>001</w:t>
            </w:r>
          </w:p>
        </w:tc>
      </w:tr>
      <w:tr w:rsidR="0074441D" w:rsidRPr="00165833" w:rsidTr="0074441D">
        <w:trPr>
          <w:trHeight w:val="306"/>
        </w:trPr>
        <w:tc>
          <w:tcPr>
            <w:tcW w:w="2950" w:type="dxa"/>
          </w:tcPr>
          <w:p w:rsidR="005A71BD" w:rsidRPr="00165833" w:rsidRDefault="005A71BD" w:rsidP="00165833">
            <w:pPr>
              <w:spacing w:line="360" w:lineRule="auto"/>
              <w:jc w:val="both"/>
              <w:rPr>
                <w:rFonts w:ascii="Book Antiqua" w:hAnsi="Book Antiqua"/>
              </w:rPr>
            </w:pPr>
            <w:r w:rsidRPr="00165833">
              <w:rPr>
                <w:rFonts w:ascii="Book Antiqua" w:hAnsi="Book Antiqua"/>
              </w:rPr>
              <w:t>One</w:t>
            </w:r>
          </w:p>
        </w:tc>
        <w:tc>
          <w:tcPr>
            <w:tcW w:w="113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104 (38</w:t>
            </w:r>
            <w:r w:rsidR="00191252" w:rsidRPr="00165833">
              <w:rPr>
                <w:rFonts w:ascii="Book Antiqua" w:hAnsi="Book Antiqua"/>
              </w:rPr>
              <w:t>.</w:t>
            </w:r>
            <w:r w:rsidRPr="00165833">
              <w:rPr>
                <w:rFonts w:ascii="Book Antiqua" w:hAnsi="Book Antiqua"/>
              </w:rPr>
              <w:t>8)</w:t>
            </w:r>
          </w:p>
        </w:tc>
        <w:tc>
          <w:tcPr>
            <w:tcW w:w="3544" w:type="dxa"/>
          </w:tcPr>
          <w:p w:rsidR="005A71BD" w:rsidRPr="00165833" w:rsidRDefault="005A71BD" w:rsidP="00165833">
            <w:pPr>
              <w:spacing w:line="360" w:lineRule="auto"/>
              <w:jc w:val="both"/>
              <w:rPr>
                <w:rFonts w:ascii="Book Antiqua" w:hAnsi="Book Antiqua"/>
              </w:rPr>
            </w:pPr>
            <w:r w:rsidRPr="00165833">
              <w:rPr>
                <w:rFonts w:ascii="Book Antiqua" w:hAnsi="Book Antiqua"/>
              </w:rPr>
              <w:t>80 (76</w:t>
            </w:r>
            <w:r w:rsidR="00191252" w:rsidRPr="00165833">
              <w:rPr>
                <w:rFonts w:ascii="Book Antiqua" w:hAnsi="Book Antiqua"/>
              </w:rPr>
              <w:t>.</w:t>
            </w:r>
            <w:r w:rsidRPr="00165833">
              <w:rPr>
                <w:rFonts w:ascii="Book Antiqua" w:hAnsi="Book Antiqua"/>
              </w:rPr>
              <w:t>9)</w:t>
            </w:r>
          </w:p>
        </w:tc>
        <w:tc>
          <w:tcPr>
            <w:tcW w:w="3544" w:type="dxa"/>
          </w:tcPr>
          <w:p w:rsidR="005A71BD" w:rsidRPr="00165833" w:rsidRDefault="005A71BD" w:rsidP="00165833">
            <w:pPr>
              <w:spacing w:line="360" w:lineRule="auto"/>
              <w:jc w:val="both"/>
              <w:rPr>
                <w:rFonts w:ascii="Book Antiqua" w:hAnsi="Book Antiqua"/>
              </w:rPr>
            </w:pPr>
            <w:r w:rsidRPr="00165833">
              <w:rPr>
                <w:rFonts w:ascii="Book Antiqua" w:hAnsi="Book Antiqua"/>
              </w:rPr>
              <w:t>24 (23</w:t>
            </w:r>
            <w:r w:rsidR="00191252" w:rsidRPr="00165833">
              <w:rPr>
                <w:rFonts w:ascii="Book Antiqua" w:hAnsi="Book Antiqua"/>
              </w:rPr>
              <w:t>.</w:t>
            </w:r>
            <w:r w:rsidRPr="00165833">
              <w:rPr>
                <w:rFonts w:ascii="Book Antiqua" w:hAnsi="Book Antiqua"/>
              </w:rPr>
              <w:t>1)</w:t>
            </w:r>
          </w:p>
        </w:tc>
        <w:tc>
          <w:tcPr>
            <w:tcW w:w="1009" w:type="dxa"/>
            <w:vMerge/>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306"/>
        </w:trPr>
        <w:tc>
          <w:tcPr>
            <w:tcW w:w="2950" w:type="dxa"/>
          </w:tcPr>
          <w:p w:rsidR="005A71BD" w:rsidRPr="00165833" w:rsidRDefault="005A71BD" w:rsidP="00165833">
            <w:pPr>
              <w:spacing w:line="360" w:lineRule="auto"/>
              <w:jc w:val="both"/>
              <w:rPr>
                <w:rFonts w:ascii="Book Antiqua" w:hAnsi="Book Antiqua"/>
              </w:rPr>
            </w:pPr>
            <w:r w:rsidRPr="00165833">
              <w:rPr>
                <w:rFonts w:ascii="Book Antiqua" w:hAnsi="Book Antiqua"/>
              </w:rPr>
              <w:t>Two</w:t>
            </w:r>
          </w:p>
        </w:tc>
        <w:tc>
          <w:tcPr>
            <w:tcW w:w="113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58 (21.</w:t>
            </w:r>
            <w:r w:rsidR="005A71BD" w:rsidRPr="00165833">
              <w:rPr>
                <w:rFonts w:ascii="Book Antiqua" w:hAnsi="Book Antiqua"/>
              </w:rPr>
              <w:t>6)</w:t>
            </w:r>
          </w:p>
        </w:tc>
        <w:tc>
          <w:tcPr>
            <w:tcW w:w="3544" w:type="dxa"/>
          </w:tcPr>
          <w:p w:rsidR="005A71BD" w:rsidRPr="00165833" w:rsidRDefault="00191252" w:rsidP="00165833">
            <w:pPr>
              <w:spacing w:line="360" w:lineRule="auto"/>
              <w:jc w:val="both"/>
              <w:rPr>
                <w:rFonts w:ascii="Book Antiqua" w:hAnsi="Book Antiqua"/>
              </w:rPr>
            </w:pPr>
            <w:r w:rsidRPr="00165833">
              <w:rPr>
                <w:rFonts w:ascii="Book Antiqua" w:hAnsi="Book Antiqua"/>
              </w:rPr>
              <w:t>51 (87.</w:t>
            </w:r>
            <w:r w:rsidR="005A71BD" w:rsidRPr="00165833">
              <w:rPr>
                <w:rFonts w:ascii="Book Antiqua" w:hAnsi="Book Antiqua"/>
              </w:rPr>
              <w:t>9)</w:t>
            </w:r>
          </w:p>
        </w:tc>
        <w:tc>
          <w:tcPr>
            <w:tcW w:w="3544" w:type="dxa"/>
          </w:tcPr>
          <w:p w:rsidR="005A71BD" w:rsidRPr="00165833" w:rsidRDefault="00191252" w:rsidP="00165833">
            <w:pPr>
              <w:spacing w:line="360" w:lineRule="auto"/>
              <w:jc w:val="both"/>
              <w:rPr>
                <w:rFonts w:ascii="Book Antiqua" w:hAnsi="Book Antiqua"/>
              </w:rPr>
            </w:pPr>
            <w:r w:rsidRPr="00165833">
              <w:rPr>
                <w:rFonts w:ascii="Book Antiqua" w:hAnsi="Book Antiqua"/>
              </w:rPr>
              <w:t>7 (12.</w:t>
            </w:r>
            <w:r w:rsidR="005A71BD" w:rsidRPr="00165833">
              <w:rPr>
                <w:rFonts w:ascii="Book Antiqua" w:hAnsi="Book Antiqua"/>
              </w:rPr>
              <w:t>1)</w:t>
            </w:r>
          </w:p>
        </w:tc>
        <w:tc>
          <w:tcPr>
            <w:tcW w:w="1009" w:type="dxa"/>
            <w:vMerge/>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306"/>
        </w:trPr>
        <w:tc>
          <w:tcPr>
            <w:tcW w:w="2950" w:type="dxa"/>
          </w:tcPr>
          <w:p w:rsidR="005A71BD" w:rsidRPr="00165833" w:rsidRDefault="005A71BD" w:rsidP="00165833">
            <w:pPr>
              <w:spacing w:line="360" w:lineRule="auto"/>
              <w:jc w:val="both"/>
              <w:rPr>
                <w:rFonts w:ascii="Book Antiqua" w:hAnsi="Book Antiqua"/>
              </w:rPr>
            </w:pPr>
            <w:r w:rsidRPr="00165833">
              <w:rPr>
                <w:rFonts w:ascii="Book Antiqua" w:hAnsi="Book Antiqua"/>
              </w:rPr>
              <w:t>Three</w:t>
            </w:r>
          </w:p>
        </w:tc>
        <w:tc>
          <w:tcPr>
            <w:tcW w:w="113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9 (3.</w:t>
            </w:r>
            <w:r w:rsidR="005A71BD" w:rsidRPr="00165833">
              <w:rPr>
                <w:rFonts w:ascii="Book Antiqua" w:hAnsi="Book Antiqua"/>
              </w:rPr>
              <w:t>4)</w:t>
            </w:r>
          </w:p>
        </w:tc>
        <w:tc>
          <w:tcPr>
            <w:tcW w:w="354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9 (100)</w:t>
            </w:r>
          </w:p>
        </w:tc>
        <w:tc>
          <w:tcPr>
            <w:tcW w:w="354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0 (0)</w:t>
            </w:r>
          </w:p>
        </w:tc>
        <w:tc>
          <w:tcPr>
            <w:tcW w:w="1009" w:type="dxa"/>
            <w:vMerge/>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306"/>
        </w:trPr>
        <w:tc>
          <w:tcPr>
            <w:tcW w:w="2950" w:type="dxa"/>
          </w:tcPr>
          <w:p w:rsidR="005A71BD" w:rsidRPr="00165833" w:rsidRDefault="005A71BD" w:rsidP="00165833">
            <w:pPr>
              <w:spacing w:line="360" w:lineRule="auto"/>
              <w:jc w:val="both"/>
              <w:rPr>
                <w:rFonts w:ascii="Book Antiqua" w:hAnsi="Book Antiqua"/>
                <w:b/>
              </w:rPr>
            </w:pPr>
            <w:r w:rsidRPr="00165833">
              <w:rPr>
                <w:rFonts w:ascii="Book Antiqua" w:hAnsi="Book Antiqua"/>
                <w:b/>
              </w:rPr>
              <w:t xml:space="preserve">Strong </w:t>
            </w:r>
            <w:r w:rsidR="0074441D" w:rsidRPr="00165833">
              <w:rPr>
                <w:rFonts w:ascii="Book Antiqua" w:hAnsi="Book Antiqua"/>
                <w:b/>
              </w:rPr>
              <w:t>p</w:t>
            </w:r>
            <w:r w:rsidRPr="00165833">
              <w:rPr>
                <w:rFonts w:ascii="Book Antiqua" w:hAnsi="Book Antiqua"/>
                <w:b/>
              </w:rPr>
              <w:t>redictors</w:t>
            </w:r>
          </w:p>
        </w:tc>
        <w:tc>
          <w:tcPr>
            <w:tcW w:w="1134" w:type="dxa"/>
            <w:vAlign w:val="center"/>
          </w:tcPr>
          <w:p w:rsidR="005A71BD" w:rsidRPr="00165833" w:rsidRDefault="005A71BD" w:rsidP="00165833">
            <w:pPr>
              <w:spacing w:line="360" w:lineRule="auto"/>
              <w:jc w:val="both"/>
              <w:rPr>
                <w:rFonts w:ascii="Book Antiqua" w:hAnsi="Book Antiqua"/>
              </w:rPr>
            </w:pPr>
          </w:p>
        </w:tc>
        <w:tc>
          <w:tcPr>
            <w:tcW w:w="3544" w:type="dxa"/>
            <w:vAlign w:val="center"/>
          </w:tcPr>
          <w:p w:rsidR="005A71BD" w:rsidRPr="00165833" w:rsidRDefault="005A71BD" w:rsidP="00165833">
            <w:pPr>
              <w:spacing w:line="360" w:lineRule="auto"/>
              <w:jc w:val="both"/>
              <w:rPr>
                <w:rFonts w:ascii="Book Antiqua" w:hAnsi="Book Antiqua"/>
              </w:rPr>
            </w:pPr>
          </w:p>
        </w:tc>
        <w:tc>
          <w:tcPr>
            <w:tcW w:w="3544" w:type="dxa"/>
            <w:vAlign w:val="center"/>
          </w:tcPr>
          <w:p w:rsidR="005A71BD" w:rsidRPr="00165833" w:rsidRDefault="005A71BD" w:rsidP="00165833">
            <w:pPr>
              <w:spacing w:line="360" w:lineRule="auto"/>
              <w:jc w:val="both"/>
              <w:rPr>
                <w:rFonts w:ascii="Book Antiqua" w:hAnsi="Book Antiqua"/>
              </w:rPr>
            </w:pPr>
          </w:p>
        </w:tc>
        <w:tc>
          <w:tcPr>
            <w:tcW w:w="1009" w:type="dxa"/>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306"/>
        </w:trPr>
        <w:tc>
          <w:tcPr>
            <w:tcW w:w="2950" w:type="dxa"/>
          </w:tcPr>
          <w:p w:rsidR="005A71BD" w:rsidRPr="00165833" w:rsidRDefault="005A71BD" w:rsidP="00165833">
            <w:pPr>
              <w:spacing w:line="360" w:lineRule="auto"/>
              <w:jc w:val="both"/>
              <w:rPr>
                <w:rFonts w:ascii="Book Antiqua" w:hAnsi="Book Antiqua"/>
              </w:rPr>
            </w:pPr>
            <w:r w:rsidRPr="00165833">
              <w:rPr>
                <w:rFonts w:ascii="Book Antiqua" w:hAnsi="Book Antiqua"/>
              </w:rPr>
              <w:t>None</w:t>
            </w:r>
          </w:p>
        </w:tc>
        <w:tc>
          <w:tcPr>
            <w:tcW w:w="113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27 (16.</w:t>
            </w:r>
            <w:r w:rsidR="005A71BD" w:rsidRPr="00165833">
              <w:rPr>
                <w:rFonts w:ascii="Book Antiqua" w:hAnsi="Book Antiqua"/>
              </w:rPr>
              <w:t>4)</w:t>
            </w:r>
          </w:p>
        </w:tc>
        <w:tc>
          <w:tcPr>
            <w:tcW w:w="354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3 (11.</w:t>
            </w:r>
            <w:r w:rsidR="005A71BD" w:rsidRPr="00165833">
              <w:rPr>
                <w:rFonts w:ascii="Book Antiqua" w:hAnsi="Book Antiqua"/>
              </w:rPr>
              <w:t>1)</w:t>
            </w:r>
          </w:p>
        </w:tc>
        <w:tc>
          <w:tcPr>
            <w:tcW w:w="354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24 (88</w:t>
            </w:r>
            <w:r w:rsidR="00191252" w:rsidRPr="00165833">
              <w:rPr>
                <w:rFonts w:ascii="Book Antiqua" w:hAnsi="Book Antiqua"/>
              </w:rPr>
              <w:t>.</w:t>
            </w:r>
            <w:r w:rsidRPr="00165833">
              <w:rPr>
                <w:rFonts w:ascii="Book Antiqua" w:hAnsi="Book Antiqua"/>
              </w:rPr>
              <w:t>9)</w:t>
            </w:r>
          </w:p>
        </w:tc>
        <w:tc>
          <w:tcPr>
            <w:tcW w:w="1009" w:type="dxa"/>
            <w:vMerge w:val="restart"/>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&lt;</w:t>
            </w:r>
            <w:r w:rsidR="0074441D">
              <w:rPr>
                <w:rFonts w:ascii="Book Antiqua" w:eastAsiaTheme="minorEastAsia" w:hAnsi="Book Antiqua" w:hint="eastAsia"/>
                <w:lang w:eastAsia="zh-CN"/>
              </w:rPr>
              <w:t xml:space="preserve"> </w:t>
            </w:r>
            <w:r w:rsidRPr="00165833">
              <w:rPr>
                <w:rFonts w:ascii="Book Antiqua" w:hAnsi="Book Antiqua"/>
              </w:rPr>
              <w:t>0.</w:t>
            </w:r>
            <w:r w:rsidR="005A71BD" w:rsidRPr="00165833">
              <w:rPr>
                <w:rFonts w:ascii="Book Antiqua" w:hAnsi="Book Antiqua"/>
              </w:rPr>
              <w:t>001</w:t>
            </w:r>
          </w:p>
        </w:tc>
      </w:tr>
      <w:tr w:rsidR="0074441D" w:rsidRPr="00165833" w:rsidTr="0074441D">
        <w:trPr>
          <w:trHeight w:val="306"/>
        </w:trPr>
        <w:tc>
          <w:tcPr>
            <w:tcW w:w="2950" w:type="dxa"/>
          </w:tcPr>
          <w:p w:rsidR="005A71BD" w:rsidRPr="00165833" w:rsidRDefault="005A71BD" w:rsidP="00165833">
            <w:pPr>
              <w:spacing w:line="360" w:lineRule="auto"/>
              <w:jc w:val="both"/>
              <w:rPr>
                <w:rFonts w:ascii="Book Antiqua" w:hAnsi="Book Antiqua"/>
              </w:rPr>
            </w:pPr>
            <w:r w:rsidRPr="00165833">
              <w:rPr>
                <w:rFonts w:ascii="Book Antiqua" w:hAnsi="Book Antiqua"/>
              </w:rPr>
              <w:t>One</w:t>
            </w:r>
          </w:p>
        </w:tc>
        <w:tc>
          <w:tcPr>
            <w:tcW w:w="113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78 (47.</w:t>
            </w:r>
            <w:r w:rsidR="005A71BD" w:rsidRPr="00165833">
              <w:rPr>
                <w:rFonts w:ascii="Book Antiqua" w:hAnsi="Book Antiqua"/>
              </w:rPr>
              <w:t>3)</w:t>
            </w:r>
          </w:p>
        </w:tc>
        <w:tc>
          <w:tcPr>
            <w:tcW w:w="354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50 (64.</w:t>
            </w:r>
            <w:r w:rsidR="005A71BD" w:rsidRPr="00165833">
              <w:rPr>
                <w:rFonts w:ascii="Book Antiqua" w:hAnsi="Book Antiqua"/>
              </w:rPr>
              <w:t>1)</w:t>
            </w:r>
          </w:p>
        </w:tc>
        <w:tc>
          <w:tcPr>
            <w:tcW w:w="354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28 (35.</w:t>
            </w:r>
            <w:r w:rsidR="005A71BD" w:rsidRPr="00165833">
              <w:rPr>
                <w:rFonts w:ascii="Book Antiqua" w:hAnsi="Book Antiqua"/>
              </w:rPr>
              <w:t>9)</w:t>
            </w:r>
          </w:p>
        </w:tc>
        <w:tc>
          <w:tcPr>
            <w:tcW w:w="1009" w:type="dxa"/>
            <w:vMerge/>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306"/>
        </w:trPr>
        <w:tc>
          <w:tcPr>
            <w:tcW w:w="2950" w:type="dxa"/>
          </w:tcPr>
          <w:p w:rsidR="005A71BD" w:rsidRPr="00165833" w:rsidRDefault="005A71BD" w:rsidP="00165833">
            <w:pPr>
              <w:spacing w:line="360" w:lineRule="auto"/>
              <w:jc w:val="both"/>
              <w:rPr>
                <w:rFonts w:ascii="Book Antiqua" w:hAnsi="Book Antiqua"/>
              </w:rPr>
            </w:pPr>
            <w:r w:rsidRPr="00165833">
              <w:rPr>
                <w:rFonts w:ascii="Book Antiqua" w:hAnsi="Book Antiqua"/>
              </w:rPr>
              <w:t>Two</w:t>
            </w:r>
          </w:p>
        </w:tc>
        <w:tc>
          <w:tcPr>
            <w:tcW w:w="113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60 (36.</w:t>
            </w:r>
            <w:r w:rsidR="005A71BD" w:rsidRPr="00165833">
              <w:rPr>
                <w:rFonts w:ascii="Book Antiqua" w:hAnsi="Book Antiqua"/>
              </w:rPr>
              <w:t>4)</w:t>
            </w:r>
          </w:p>
        </w:tc>
        <w:tc>
          <w:tcPr>
            <w:tcW w:w="3544" w:type="dxa"/>
            <w:vAlign w:val="center"/>
          </w:tcPr>
          <w:p w:rsidR="005A71BD" w:rsidRPr="00165833" w:rsidRDefault="005A71BD" w:rsidP="00165833">
            <w:pPr>
              <w:spacing w:line="360" w:lineRule="auto"/>
              <w:jc w:val="both"/>
              <w:rPr>
                <w:rFonts w:ascii="Book Antiqua" w:hAnsi="Book Antiqua"/>
              </w:rPr>
            </w:pPr>
            <w:r w:rsidRPr="00165833">
              <w:rPr>
                <w:rFonts w:ascii="Book Antiqua" w:hAnsi="Book Antiqua"/>
              </w:rPr>
              <w:t>50 (83</w:t>
            </w:r>
            <w:r w:rsidR="00191252" w:rsidRPr="00165833">
              <w:rPr>
                <w:rFonts w:ascii="Book Antiqua" w:hAnsi="Book Antiqua"/>
              </w:rPr>
              <w:t>.</w:t>
            </w:r>
            <w:r w:rsidRPr="00165833">
              <w:rPr>
                <w:rFonts w:ascii="Book Antiqua" w:hAnsi="Book Antiqua"/>
              </w:rPr>
              <w:t>3)</w:t>
            </w:r>
          </w:p>
        </w:tc>
        <w:tc>
          <w:tcPr>
            <w:tcW w:w="3544" w:type="dxa"/>
            <w:vAlign w:val="center"/>
          </w:tcPr>
          <w:p w:rsidR="005A71BD" w:rsidRPr="00165833" w:rsidRDefault="00191252" w:rsidP="00165833">
            <w:pPr>
              <w:spacing w:line="360" w:lineRule="auto"/>
              <w:jc w:val="both"/>
              <w:rPr>
                <w:rFonts w:ascii="Book Antiqua" w:hAnsi="Book Antiqua"/>
              </w:rPr>
            </w:pPr>
            <w:r w:rsidRPr="00165833">
              <w:rPr>
                <w:rFonts w:ascii="Book Antiqua" w:hAnsi="Book Antiqua"/>
              </w:rPr>
              <w:t>10 (16.</w:t>
            </w:r>
            <w:r w:rsidR="005A71BD" w:rsidRPr="00165833">
              <w:rPr>
                <w:rFonts w:ascii="Book Antiqua" w:hAnsi="Book Antiqua"/>
              </w:rPr>
              <w:t>7)</w:t>
            </w:r>
          </w:p>
        </w:tc>
        <w:tc>
          <w:tcPr>
            <w:tcW w:w="1009" w:type="dxa"/>
            <w:vMerge/>
            <w:vAlign w:val="center"/>
          </w:tcPr>
          <w:p w:rsidR="005A71BD" w:rsidRPr="00165833" w:rsidRDefault="005A71BD" w:rsidP="00165833">
            <w:pPr>
              <w:spacing w:line="360" w:lineRule="auto"/>
              <w:jc w:val="both"/>
              <w:rPr>
                <w:rFonts w:ascii="Book Antiqua" w:hAnsi="Book Antiqua"/>
              </w:rPr>
            </w:pPr>
          </w:p>
        </w:tc>
      </w:tr>
    </w:tbl>
    <w:p w:rsidR="005A71BD" w:rsidRPr="0074441D" w:rsidRDefault="005A71BD" w:rsidP="00165833">
      <w:pPr>
        <w:spacing w:line="360" w:lineRule="auto"/>
        <w:jc w:val="both"/>
        <w:rPr>
          <w:rFonts w:ascii="Book Antiqua" w:eastAsiaTheme="minorEastAsia" w:hAnsi="Book Antiqua"/>
          <w:lang w:eastAsia="zh-CN"/>
        </w:rPr>
      </w:pPr>
      <w:r w:rsidRPr="00165833">
        <w:rPr>
          <w:rFonts w:ascii="Book Antiqua" w:hAnsi="Book Antiqua"/>
        </w:rPr>
        <w:t xml:space="preserve">ERCP: </w:t>
      </w:r>
      <w:r w:rsidR="0074441D" w:rsidRPr="00165833">
        <w:rPr>
          <w:rFonts w:ascii="Book Antiqua" w:hAnsi="Book Antiqua"/>
        </w:rPr>
        <w:t>E</w:t>
      </w:r>
      <w:r w:rsidRPr="00165833">
        <w:rPr>
          <w:rFonts w:ascii="Book Antiqua" w:hAnsi="Book Antiqua"/>
        </w:rPr>
        <w:t>ndoscopic retrograde cholangiopancreatography</w:t>
      </w:r>
      <w:r w:rsidR="0074441D">
        <w:rPr>
          <w:rFonts w:ascii="Book Antiqua" w:eastAsiaTheme="minorEastAsia" w:hAnsi="Book Antiqua" w:hint="eastAsia"/>
          <w:lang w:eastAsia="zh-CN"/>
        </w:rPr>
        <w:t>.</w:t>
      </w: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165833" w:rsidRDefault="005A71BD" w:rsidP="00165833">
      <w:pPr>
        <w:spacing w:line="360" w:lineRule="auto"/>
        <w:jc w:val="both"/>
        <w:rPr>
          <w:rFonts w:ascii="Book Antiqua" w:hAnsi="Book Antiqua"/>
        </w:rPr>
      </w:pPr>
    </w:p>
    <w:p w:rsidR="005A71BD" w:rsidRPr="0074441D" w:rsidRDefault="0074441D" w:rsidP="00165833">
      <w:pPr>
        <w:spacing w:line="360" w:lineRule="auto"/>
        <w:jc w:val="both"/>
        <w:rPr>
          <w:rFonts w:ascii="Book Antiqua" w:hAnsi="Book Antiqua"/>
          <w:b/>
        </w:rPr>
      </w:pPr>
      <w:r w:rsidRPr="0074441D">
        <w:rPr>
          <w:rFonts w:ascii="Book Antiqua" w:hAnsi="Book Antiqua"/>
          <w:b/>
        </w:rPr>
        <w:t>Table 4 Sensitivity, specificity, positive predictive values and negative predictive values for choledocolithiasis</w:t>
      </w:r>
    </w:p>
    <w:tbl>
      <w:tblPr>
        <w:tblStyle w:val="TableGrid"/>
        <w:tblW w:w="11161" w:type="dxa"/>
        <w:tblInd w:w="-11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1927"/>
        <w:gridCol w:w="1927"/>
        <w:gridCol w:w="1927"/>
        <w:gridCol w:w="1927"/>
      </w:tblGrid>
      <w:tr w:rsidR="0074441D" w:rsidRPr="00165833" w:rsidTr="0074441D">
        <w:trPr>
          <w:trHeight w:val="474"/>
        </w:trPr>
        <w:tc>
          <w:tcPr>
            <w:tcW w:w="3453" w:type="dxa"/>
            <w:tcBorders>
              <w:top w:val="single" w:sz="4" w:space="0" w:color="auto"/>
              <w:bottom w:val="single" w:sz="4" w:space="0" w:color="auto"/>
            </w:tcBorders>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Variable</w:t>
            </w:r>
          </w:p>
        </w:tc>
        <w:tc>
          <w:tcPr>
            <w:tcW w:w="1927" w:type="dxa"/>
            <w:tcBorders>
              <w:top w:val="single" w:sz="4" w:space="0" w:color="auto"/>
              <w:bottom w:val="single" w:sz="4" w:space="0" w:color="auto"/>
            </w:tcBorders>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Sensitivity</w:t>
            </w:r>
          </w:p>
        </w:tc>
        <w:tc>
          <w:tcPr>
            <w:tcW w:w="1927" w:type="dxa"/>
            <w:tcBorders>
              <w:top w:val="single" w:sz="4" w:space="0" w:color="auto"/>
              <w:bottom w:val="single" w:sz="4" w:space="0" w:color="auto"/>
            </w:tcBorders>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Specificity</w:t>
            </w:r>
          </w:p>
        </w:tc>
        <w:tc>
          <w:tcPr>
            <w:tcW w:w="1927" w:type="dxa"/>
            <w:tcBorders>
              <w:top w:val="single" w:sz="4" w:space="0" w:color="auto"/>
              <w:bottom w:val="single" w:sz="4" w:space="0" w:color="auto"/>
            </w:tcBorders>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PPV</w:t>
            </w:r>
          </w:p>
        </w:tc>
        <w:tc>
          <w:tcPr>
            <w:tcW w:w="1927" w:type="dxa"/>
            <w:tcBorders>
              <w:top w:val="single" w:sz="4" w:space="0" w:color="auto"/>
              <w:bottom w:val="single" w:sz="4" w:space="0" w:color="auto"/>
            </w:tcBorders>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NPV</w:t>
            </w:r>
          </w:p>
        </w:tc>
      </w:tr>
      <w:tr w:rsidR="0074441D" w:rsidRPr="00165833" w:rsidTr="0074441D">
        <w:trPr>
          <w:trHeight w:val="244"/>
        </w:trPr>
        <w:tc>
          <w:tcPr>
            <w:tcW w:w="3453" w:type="dxa"/>
            <w:tcBorders>
              <w:top w:val="single" w:sz="4" w:space="0" w:color="auto"/>
            </w:tcBorders>
            <w:vAlign w:val="center"/>
            <w:hideMark/>
          </w:tcPr>
          <w:p w:rsidR="005A71BD" w:rsidRPr="00165833" w:rsidRDefault="005A71BD" w:rsidP="00165833">
            <w:pPr>
              <w:spacing w:line="360" w:lineRule="auto"/>
              <w:jc w:val="both"/>
              <w:rPr>
                <w:rFonts w:ascii="Book Antiqua" w:hAnsi="Book Antiqua"/>
                <w:b/>
              </w:rPr>
            </w:pPr>
            <w:r w:rsidRPr="00165833">
              <w:rPr>
                <w:rFonts w:ascii="Book Antiqua" w:hAnsi="Book Antiqua"/>
                <w:b/>
              </w:rPr>
              <w:t xml:space="preserve">Very </w:t>
            </w:r>
            <w:r w:rsidR="0074441D" w:rsidRPr="00165833">
              <w:rPr>
                <w:rFonts w:ascii="Book Antiqua" w:hAnsi="Book Antiqua"/>
                <w:b/>
              </w:rPr>
              <w:t>strong pr</w:t>
            </w:r>
            <w:r w:rsidRPr="00165833">
              <w:rPr>
                <w:rFonts w:ascii="Book Antiqua" w:hAnsi="Book Antiqua"/>
                <w:b/>
              </w:rPr>
              <w:t>edictors</w:t>
            </w:r>
          </w:p>
        </w:tc>
        <w:tc>
          <w:tcPr>
            <w:tcW w:w="1927"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p>
        </w:tc>
        <w:tc>
          <w:tcPr>
            <w:tcW w:w="1927"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p>
        </w:tc>
        <w:tc>
          <w:tcPr>
            <w:tcW w:w="1927"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p>
        </w:tc>
        <w:tc>
          <w:tcPr>
            <w:tcW w:w="1927" w:type="dxa"/>
            <w:tcBorders>
              <w:top w:val="single" w:sz="4" w:space="0" w:color="auto"/>
            </w:tcBorders>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244"/>
        </w:trPr>
        <w:tc>
          <w:tcPr>
            <w:tcW w:w="3453"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Clinical ascending cholangitis</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18.</w:t>
            </w:r>
            <w:r w:rsidR="005A71BD" w:rsidRPr="00165833">
              <w:rPr>
                <w:rFonts w:ascii="Book Antiqua" w:hAnsi="Book Antiqua"/>
              </w:rPr>
              <w:t>4</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96.</w:t>
            </w:r>
            <w:r w:rsidR="005A71BD" w:rsidRPr="00165833">
              <w:rPr>
                <w:rFonts w:ascii="Book Antiqua" w:hAnsi="Book Antiqua"/>
              </w:rPr>
              <w:t>6</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91.</w:t>
            </w:r>
            <w:r w:rsidR="005A71BD" w:rsidRPr="00165833">
              <w:rPr>
                <w:rFonts w:ascii="Book Antiqua" w:hAnsi="Book Antiqua"/>
              </w:rPr>
              <w:t>7</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37.</w:t>
            </w:r>
            <w:r w:rsidR="005A71BD" w:rsidRPr="00165833">
              <w:rPr>
                <w:rFonts w:ascii="Book Antiqua" w:hAnsi="Book Antiqua"/>
              </w:rPr>
              <w:t>0</w:t>
            </w:r>
          </w:p>
        </w:tc>
      </w:tr>
      <w:tr w:rsidR="0074441D" w:rsidRPr="00165833" w:rsidTr="0074441D">
        <w:trPr>
          <w:trHeight w:val="230"/>
        </w:trPr>
        <w:tc>
          <w:tcPr>
            <w:tcW w:w="3453"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Common bile duct stone on US</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55.</w:t>
            </w:r>
            <w:r w:rsidR="005A71BD" w:rsidRPr="00165833">
              <w:rPr>
                <w:rFonts w:ascii="Book Antiqua" w:hAnsi="Book Antiqua"/>
              </w:rPr>
              <w:t>9</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89.</w:t>
            </w:r>
            <w:r w:rsidR="005A71BD" w:rsidRPr="00165833">
              <w:rPr>
                <w:rFonts w:ascii="Book Antiqua" w:hAnsi="Book Antiqua"/>
              </w:rPr>
              <w:t>9</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91.</w:t>
            </w:r>
            <w:r w:rsidR="005A71BD" w:rsidRPr="00165833">
              <w:rPr>
                <w:rFonts w:ascii="Book Antiqua" w:hAnsi="Book Antiqua"/>
              </w:rPr>
              <w:t>7</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50.</w:t>
            </w:r>
            <w:r w:rsidR="005A71BD" w:rsidRPr="00165833">
              <w:rPr>
                <w:rFonts w:ascii="Book Antiqua" w:hAnsi="Book Antiqua"/>
              </w:rPr>
              <w:t>3</w:t>
            </w:r>
          </w:p>
        </w:tc>
      </w:tr>
      <w:tr w:rsidR="0074441D" w:rsidRPr="00165833" w:rsidTr="0074441D">
        <w:trPr>
          <w:trHeight w:val="244"/>
        </w:trPr>
        <w:tc>
          <w:tcPr>
            <w:tcW w:w="3453"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Total bilirubin &gt;</w:t>
            </w:r>
            <w:r w:rsidR="0074441D">
              <w:rPr>
                <w:rFonts w:ascii="Book Antiqua" w:eastAsiaTheme="minorEastAsia" w:hAnsi="Book Antiqua" w:hint="eastAsia"/>
                <w:lang w:eastAsia="zh-CN"/>
              </w:rPr>
              <w:t xml:space="preserve"> </w:t>
            </w:r>
            <w:r w:rsidRPr="00165833">
              <w:rPr>
                <w:rFonts w:ascii="Book Antiqua" w:hAnsi="Book Antiqua"/>
              </w:rPr>
              <w:t>4</w:t>
            </w:r>
            <w:r w:rsidR="0074441D">
              <w:rPr>
                <w:rFonts w:ascii="Book Antiqua" w:eastAsiaTheme="minorEastAsia" w:hAnsi="Book Antiqua" w:hint="eastAsia"/>
                <w:lang w:eastAsia="zh-CN"/>
              </w:rPr>
              <w:t xml:space="preserve"> </w:t>
            </w:r>
            <w:r w:rsidRPr="00165833">
              <w:rPr>
                <w:rFonts w:ascii="Book Antiqua" w:hAnsi="Book Antiqua"/>
              </w:rPr>
              <w:t>mg/dL</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42.</w:t>
            </w:r>
            <w:r w:rsidR="005A71BD" w:rsidRPr="00165833">
              <w:rPr>
                <w:rFonts w:ascii="Book Antiqua" w:hAnsi="Book Antiqua"/>
              </w:rPr>
              <w:t>5</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70.</w:t>
            </w:r>
            <w:r w:rsidR="005A71BD" w:rsidRPr="00165833">
              <w:rPr>
                <w:rFonts w:ascii="Book Antiqua" w:hAnsi="Book Antiqua"/>
              </w:rPr>
              <w:t>8</w:t>
            </w:r>
          </w:p>
        </w:tc>
        <w:tc>
          <w:tcPr>
            <w:tcW w:w="1927"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74</w:t>
            </w:r>
            <w:r w:rsidR="00A25421" w:rsidRPr="00165833">
              <w:rPr>
                <w:rFonts w:ascii="Book Antiqua" w:hAnsi="Book Antiqua"/>
              </w:rPr>
              <w:t>.</w:t>
            </w:r>
            <w:r w:rsidRPr="00165833">
              <w:rPr>
                <w:rFonts w:ascii="Book Antiqua" w:hAnsi="Book Antiqua"/>
              </w:rPr>
              <w:t>5</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37.</w:t>
            </w:r>
            <w:r w:rsidR="005A71BD" w:rsidRPr="00165833">
              <w:rPr>
                <w:rFonts w:ascii="Book Antiqua" w:hAnsi="Book Antiqua"/>
              </w:rPr>
              <w:t>8</w:t>
            </w:r>
          </w:p>
        </w:tc>
      </w:tr>
      <w:tr w:rsidR="0074441D" w:rsidRPr="00165833" w:rsidTr="0074441D">
        <w:trPr>
          <w:trHeight w:val="230"/>
        </w:trPr>
        <w:tc>
          <w:tcPr>
            <w:tcW w:w="3453" w:type="dxa"/>
            <w:vAlign w:val="center"/>
            <w:hideMark/>
          </w:tcPr>
          <w:p w:rsidR="005A71BD" w:rsidRPr="00165833" w:rsidRDefault="005A71BD" w:rsidP="00165833">
            <w:pPr>
              <w:spacing w:line="360" w:lineRule="auto"/>
              <w:jc w:val="both"/>
              <w:rPr>
                <w:rFonts w:ascii="Book Antiqua" w:hAnsi="Book Antiqua"/>
                <w:b/>
              </w:rPr>
            </w:pPr>
            <w:r w:rsidRPr="00165833">
              <w:rPr>
                <w:rFonts w:ascii="Book Antiqua" w:hAnsi="Book Antiqua"/>
                <w:b/>
              </w:rPr>
              <w:t>Strong Predictors</w:t>
            </w:r>
          </w:p>
        </w:tc>
        <w:tc>
          <w:tcPr>
            <w:tcW w:w="1927" w:type="dxa"/>
            <w:vAlign w:val="center"/>
          </w:tcPr>
          <w:p w:rsidR="005A71BD" w:rsidRPr="00165833" w:rsidRDefault="005A71BD" w:rsidP="00165833">
            <w:pPr>
              <w:spacing w:line="360" w:lineRule="auto"/>
              <w:jc w:val="both"/>
              <w:rPr>
                <w:rFonts w:ascii="Book Antiqua" w:hAnsi="Book Antiqua"/>
              </w:rPr>
            </w:pPr>
          </w:p>
        </w:tc>
        <w:tc>
          <w:tcPr>
            <w:tcW w:w="1927" w:type="dxa"/>
            <w:vAlign w:val="center"/>
          </w:tcPr>
          <w:p w:rsidR="005A71BD" w:rsidRPr="00165833" w:rsidRDefault="005A71BD" w:rsidP="00165833">
            <w:pPr>
              <w:spacing w:line="360" w:lineRule="auto"/>
              <w:jc w:val="both"/>
              <w:rPr>
                <w:rFonts w:ascii="Book Antiqua" w:hAnsi="Book Antiqua"/>
              </w:rPr>
            </w:pPr>
          </w:p>
        </w:tc>
        <w:tc>
          <w:tcPr>
            <w:tcW w:w="1927" w:type="dxa"/>
            <w:vAlign w:val="center"/>
          </w:tcPr>
          <w:p w:rsidR="005A71BD" w:rsidRPr="00165833" w:rsidRDefault="005A71BD" w:rsidP="00165833">
            <w:pPr>
              <w:spacing w:line="360" w:lineRule="auto"/>
              <w:jc w:val="both"/>
              <w:rPr>
                <w:rFonts w:ascii="Book Antiqua" w:hAnsi="Book Antiqua"/>
              </w:rPr>
            </w:pPr>
          </w:p>
        </w:tc>
        <w:tc>
          <w:tcPr>
            <w:tcW w:w="1927" w:type="dxa"/>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244"/>
        </w:trPr>
        <w:tc>
          <w:tcPr>
            <w:tcW w:w="3453" w:type="dxa"/>
            <w:vAlign w:val="center"/>
            <w:hideMark/>
          </w:tcPr>
          <w:p w:rsidR="005A71BD" w:rsidRPr="00165833" w:rsidRDefault="005A71BD" w:rsidP="0074441D">
            <w:pPr>
              <w:spacing w:line="360" w:lineRule="auto"/>
              <w:jc w:val="both"/>
              <w:rPr>
                <w:rFonts w:ascii="Book Antiqua" w:hAnsi="Book Antiqua"/>
              </w:rPr>
            </w:pPr>
            <w:r w:rsidRPr="00165833">
              <w:rPr>
                <w:rFonts w:ascii="Book Antiqua" w:hAnsi="Book Antiqua"/>
              </w:rPr>
              <w:t>Total bilirubin 1</w:t>
            </w:r>
            <w:r w:rsidR="0074441D">
              <w:rPr>
                <w:rFonts w:ascii="Book Antiqua" w:eastAsiaTheme="minorEastAsia" w:hAnsi="Book Antiqua" w:hint="eastAsia"/>
                <w:lang w:eastAsia="zh-CN"/>
              </w:rPr>
              <w:t>.</w:t>
            </w:r>
            <w:r w:rsidRPr="00165833">
              <w:rPr>
                <w:rFonts w:ascii="Book Antiqua" w:hAnsi="Book Antiqua"/>
              </w:rPr>
              <w:t>8-4</w:t>
            </w:r>
            <w:r w:rsidR="0074441D">
              <w:rPr>
                <w:rFonts w:ascii="Book Antiqua" w:eastAsiaTheme="minorEastAsia" w:hAnsi="Book Antiqua" w:hint="eastAsia"/>
                <w:lang w:eastAsia="zh-CN"/>
              </w:rPr>
              <w:t xml:space="preserve"> </w:t>
            </w:r>
            <w:r w:rsidRPr="00165833">
              <w:rPr>
                <w:rFonts w:ascii="Book Antiqua" w:hAnsi="Book Antiqua"/>
              </w:rPr>
              <w:t>mg/dL</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61.</w:t>
            </w:r>
            <w:r w:rsidR="005A71BD" w:rsidRPr="00165833">
              <w:rPr>
                <w:rFonts w:ascii="Book Antiqua" w:hAnsi="Book Antiqua"/>
              </w:rPr>
              <w:t>1</w:t>
            </w:r>
          </w:p>
        </w:tc>
        <w:tc>
          <w:tcPr>
            <w:tcW w:w="1927"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66</w:t>
            </w:r>
            <w:r w:rsidR="00A25421" w:rsidRPr="00165833">
              <w:rPr>
                <w:rFonts w:ascii="Book Antiqua" w:hAnsi="Book Antiqua"/>
              </w:rPr>
              <w:t>.</w:t>
            </w:r>
            <w:r w:rsidRPr="00165833">
              <w:rPr>
                <w:rFonts w:ascii="Book Antiqua" w:hAnsi="Book Antiqua"/>
              </w:rPr>
              <w:t>6</w:t>
            </w:r>
          </w:p>
        </w:tc>
        <w:tc>
          <w:tcPr>
            <w:tcW w:w="1927"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75</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51.</w:t>
            </w:r>
            <w:r w:rsidR="005A71BD" w:rsidRPr="00165833">
              <w:rPr>
                <w:rFonts w:ascii="Book Antiqua" w:hAnsi="Book Antiqua"/>
              </w:rPr>
              <w:t>2</w:t>
            </w:r>
          </w:p>
        </w:tc>
      </w:tr>
      <w:tr w:rsidR="0074441D" w:rsidRPr="00165833" w:rsidTr="0074441D">
        <w:trPr>
          <w:trHeight w:val="230"/>
        </w:trPr>
        <w:tc>
          <w:tcPr>
            <w:tcW w:w="3453"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Dilated common bile duct on US</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83.</w:t>
            </w:r>
            <w:r w:rsidR="005A71BD" w:rsidRPr="00165833">
              <w:rPr>
                <w:rFonts w:ascii="Book Antiqua" w:hAnsi="Book Antiqua"/>
              </w:rPr>
              <w:t>8</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49.</w:t>
            </w:r>
            <w:r w:rsidR="005A71BD" w:rsidRPr="00165833">
              <w:rPr>
                <w:rFonts w:ascii="Book Antiqua" w:hAnsi="Book Antiqua"/>
              </w:rPr>
              <w:t>4</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76.</w:t>
            </w:r>
            <w:r w:rsidR="005A71BD" w:rsidRPr="00165833">
              <w:rPr>
                <w:rFonts w:ascii="Book Antiqua" w:hAnsi="Book Antiqua"/>
              </w:rPr>
              <w:t>9</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60.</w:t>
            </w:r>
            <w:r w:rsidR="005A71BD" w:rsidRPr="00165833">
              <w:rPr>
                <w:rFonts w:ascii="Book Antiqua" w:hAnsi="Book Antiqua"/>
              </w:rPr>
              <w:t>3</w:t>
            </w:r>
          </w:p>
        </w:tc>
      </w:tr>
      <w:tr w:rsidR="0074441D" w:rsidRPr="00165833" w:rsidTr="0074441D">
        <w:trPr>
          <w:trHeight w:val="244"/>
        </w:trPr>
        <w:tc>
          <w:tcPr>
            <w:tcW w:w="3453" w:type="dxa"/>
            <w:vAlign w:val="center"/>
            <w:hideMark/>
          </w:tcPr>
          <w:p w:rsidR="005A71BD" w:rsidRPr="00165833" w:rsidRDefault="005A71BD" w:rsidP="00165833">
            <w:pPr>
              <w:spacing w:line="360" w:lineRule="auto"/>
              <w:jc w:val="both"/>
              <w:rPr>
                <w:rFonts w:ascii="Book Antiqua" w:hAnsi="Book Antiqua"/>
                <w:b/>
              </w:rPr>
            </w:pPr>
            <w:r w:rsidRPr="00165833">
              <w:rPr>
                <w:rFonts w:ascii="Book Antiqua" w:hAnsi="Book Antiqua"/>
                <w:b/>
              </w:rPr>
              <w:t>Moderate predictors</w:t>
            </w:r>
          </w:p>
        </w:tc>
        <w:tc>
          <w:tcPr>
            <w:tcW w:w="1927" w:type="dxa"/>
            <w:vAlign w:val="center"/>
          </w:tcPr>
          <w:p w:rsidR="005A71BD" w:rsidRPr="00165833" w:rsidRDefault="005A71BD" w:rsidP="00165833">
            <w:pPr>
              <w:spacing w:line="360" w:lineRule="auto"/>
              <w:jc w:val="both"/>
              <w:rPr>
                <w:rFonts w:ascii="Book Antiqua" w:hAnsi="Book Antiqua"/>
              </w:rPr>
            </w:pPr>
          </w:p>
        </w:tc>
        <w:tc>
          <w:tcPr>
            <w:tcW w:w="1927" w:type="dxa"/>
            <w:vAlign w:val="center"/>
          </w:tcPr>
          <w:p w:rsidR="005A71BD" w:rsidRPr="00165833" w:rsidRDefault="005A71BD" w:rsidP="00165833">
            <w:pPr>
              <w:spacing w:line="360" w:lineRule="auto"/>
              <w:jc w:val="both"/>
              <w:rPr>
                <w:rFonts w:ascii="Book Antiqua" w:hAnsi="Book Antiqua"/>
              </w:rPr>
            </w:pPr>
          </w:p>
        </w:tc>
        <w:tc>
          <w:tcPr>
            <w:tcW w:w="1927" w:type="dxa"/>
            <w:vAlign w:val="center"/>
          </w:tcPr>
          <w:p w:rsidR="005A71BD" w:rsidRPr="00165833" w:rsidRDefault="005A71BD" w:rsidP="00165833">
            <w:pPr>
              <w:spacing w:line="360" w:lineRule="auto"/>
              <w:jc w:val="both"/>
              <w:rPr>
                <w:rFonts w:ascii="Book Antiqua" w:hAnsi="Book Antiqua"/>
              </w:rPr>
            </w:pPr>
          </w:p>
        </w:tc>
        <w:tc>
          <w:tcPr>
            <w:tcW w:w="1927" w:type="dxa"/>
            <w:vAlign w:val="center"/>
          </w:tcPr>
          <w:p w:rsidR="005A71BD" w:rsidRPr="00165833" w:rsidRDefault="005A71BD" w:rsidP="00165833">
            <w:pPr>
              <w:spacing w:line="360" w:lineRule="auto"/>
              <w:jc w:val="both"/>
              <w:rPr>
                <w:rFonts w:ascii="Book Antiqua" w:hAnsi="Book Antiqua"/>
              </w:rPr>
            </w:pPr>
          </w:p>
        </w:tc>
      </w:tr>
      <w:tr w:rsidR="0074441D" w:rsidRPr="00165833" w:rsidTr="0074441D">
        <w:trPr>
          <w:trHeight w:val="244"/>
        </w:trPr>
        <w:tc>
          <w:tcPr>
            <w:tcW w:w="3453"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Abnormal liver function test</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89.</w:t>
            </w:r>
            <w:r w:rsidR="005A71BD" w:rsidRPr="00165833">
              <w:rPr>
                <w:rFonts w:ascii="Book Antiqua" w:hAnsi="Book Antiqua"/>
              </w:rPr>
              <w:t>9</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21.</w:t>
            </w:r>
            <w:r w:rsidR="005A71BD" w:rsidRPr="00165833">
              <w:rPr>
                <w:rFonts w:ascii="Book Antiqua" w:hAnsi="Book Antiqua"/>
              </w:rPr>
              <w:t>3</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69.</w:t>
            </w:r>
            <w:r w:rsidR="005A71BD" w:rsidRPr="00165833">
              <w:rPr>
                <w:rFonts w:ascii="Book Antiqua" w:hAnsi="Book Antiqua"/>
              </w:rPr>
              <w:t>7</w:t>
            </w:r>
          </w:p>
        </w:tc>
        <w:tc>
          <w:tcPr>
            <w:tcW w:w="1927"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51</w:t>
            </w:r>
            <w:r w:rsidR="00A25421" w:rsidRPr="00165833">
              <w:rPr>
                <w:rFonts w:ascii="Book Antiqua" w:hAnsi="Book Antiqua"/>
              </w:rPr>
              <w:t>.</w:t>
            </w:r>
            <w:r w:rsidRPr="00165833">
              <w:rPr>
                <w:rFonts w:ascii="Book Antiqua" w:hAnsi="Book Antiqua"/>
              </w:rPr>
              <w:t>3</w:t>
            </w:r>
          </w:p>
        </w:tc>
      </w:tr>
      <w:tr w:rsidR="0074441D" w:rsidRPr="00165833" w:rsidTr="0074441D">
        <w:trPr>
          <w:trHeight w:val="244"/>
        </w:trPr>
        <w:tc>
          <w:tcPr>
            <w:tcW w:w="3453"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Age &gt;</w:t>
            </w:r>
            <w:r w:rsidR="0074441D">
              <w:rPr>
                <w:rFonts w:ascii="Book Antiqua" w:eastAsiaTheme="minorEastAsia" w:hAnsi="Book Antiqua" w:hint="eastAsia"/>
                <w:lang w:eastAsia="zh-CN"/>
              </w:rPr>
              <w:t xml:space="preserve"> </w:t>
            </w:r>
            <w:r w:rsidRPr="00165833">
              <w:rPr>
                <w:rFonts w:ascii="Book Antiqua" w:hAnsi="Book Antiqua"/>
              </w:rPr>
              <w:t>55 years</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79.</w:t>
            </w:r>
            <w:r w:rsidR="005A71BD" w:rsidRPr="00165833">
              <w:rPr>
                <w:rFonts w:ascii="Book Antiqua" w:hAnsi="Book Antiqua"/>
              </w:rPr>
              <w:t>3</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38.</w:t>
            </w:r>
            <w:r w:rsidR="005A71BD" w:rsidRPr="00165833">
              <w:rPr>
                <w:rFonts w:ascii="Book Antiqua" w:hAnsi="Book Antiqua"/>
              </w:rPr>
              <w:t>2</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72.</w:t>
            </w:r>
            <w:r w:rsidR="005A71BD" w:rsidRPr="00165833">
              <w:rPr>
                <w:rFonts w:ascii="Book Antiqua" w:hAnsi="Book Antiqua"/>
              </w:rPr>
              <w:t>1</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47.</w:t>
            </w:r>
            <w:r w:rsidR="005A71BD" w:rsidRPr="00165833">
              <w:rPr>
                <w:rFonts w:ascii="Book Antiqua" w:hAnsi="Book Antiqua"/>
              </w:rPr>
              <w:t>9</w:t>
            </w:r>
          </w:p>
        </w:tc>
      </w:tr>
      <w:tr w:rsidR="0074441D" w:rsidRPr="00165833" w:rsidTr="0074441D">
        <w:trPr>
          <w:trHeight w:val="244"/>
        </w:trPr>
        <w:tc>
          <w:tcPr>
            <w:tcW w:w="3453"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Gallstone pancreatitis</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20.</w:t>
            </w:r>
            <w:r w:rsidR="005A71BD" w:rsidRPr="00165833">
              <w:rPr>
                <w:rFonts w:ascii="Book Antiqua" w:hAnsi="Book Antiqua"/>
              </w:rPr>
              <w:t>1</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69.</w:t>
            </w:r>
            <w:r w:rsidR="005A71BD" w:rsidRPr="00165833">
              <w:rPr>
                <w:rFonts w:ascii="Book Antiqua" w:hAnsi="Book Antiqua"/>
              </w:rPr>
              <w:t>7</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57.</w:t>
            </w:r>
            <w:r w:rsidR="005A71BD" w:rsidRPr="00165833">
              <w:rPr>
                <w:rFonts w:ascii="Book Antiqua" w:hAnsi="Book Antiqua"/>
              </w:rPr>
              <w:t>1</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30.</w:t>
            </w:r>
            <w:r w:rsidR="005A71BD" w:rsidRPr="00165833">
              <w:rPr>
                <w:rFonts w:ascii="Book Antiqua" w:hAnsi="Book Antiqua"/>
              </w:rPr>
              <w:t>2</w:t>
            </w:r>
          </w:p>
        </w:tc>
      </w:tr>
      <w:tr w:rsidR="0074441D" w:rsidRPr="00165833" w:rsidTr="0074441D">
        <w:trPr>
          <w:trHeight w:val="244"/>
        </w:trPr>
        <w:tc>
          <w:tcPr>
            <w:tcW w:w="3453" w:type="dxa"/>
            <w:vAlign w:val="center"/>
            <w:hideMark/>
          </w:tcPr>
          <w:p w:rsidR="005A71BD" w:rsidRPr="00165833" w:rsidRDefault="005A71BD" w:rsidP="00165833">
            <w:pPr>
              <w:spacing w:line="360" w:lineRule="auto"/>
              <w:jc w:val="both"/>
              <w:rPr>
                <w:rFonts w:ascii="Book Antiqua" w:hAnsi="Book Antiqua"/>
                <w:b/>
              </w:rPr>
            </w:pPr>
            <w:r w:rsidRPr="00165833">
              <w:rPr>
                <w:rFonts w:ascii="Book Antiqua" w:hAnsi="Book Antiqua"/>
                <w:b/>
              </w:rPr>
              <w:t>High risk group</w:t>
            </w:r>
          </w:p>
        </w:tc>
        <w:tc>
          <w:tcPr>
            <w:tcW w:w="1927"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86</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56.</w:t>
            </w:r>
            <w:r w:rsidR="005A71BD" w:rsidRPr="00165833">
              <w:rPr>
                <w:rFonts w:ascii="Book Antiqua" w:hAnsi="Book Antiqua"/>
              </w:rPr>
              <w:t>2</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79.</w:t>
            </w:r>
            <w:r w:rsidR="005A71BD" w:rsidRPr="00165833">
              <w:rPr>
                <w:rFonts w:ascii="Book Antiqua" w:hAnsi="Book Antiqua"/>
              </w:rPr>
              <w:t>8</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66.</w:t>
            </w:r>
            <w:r w:rsidR="005A71BD" w:rsidRPr="00165833">
              <w:rPr>
                <w:rFonts w:ascii="Book Antiqua" w:hAnsi="Book Antiqua"/>
              </w:rPr>
              <w:t>7</w:t>
            </w:r>
          </w:p>
        </w:tc>
      </w:tr>
      <w:tr w:rsidR="0074441D" w:rsidRPr="00165833" w:rsidTr="0074441D">
        <w:trPr>
          <w:trHeight w:val="244"/>
        </w:trPr>
        <w:tc>
          <w:tcPr>
            <w:tcW w:w="3453" w:type="dxa"/>
            <w:vAlign w:val="center"/>
            <w:hideMark/>
          </w:tcPr>
          <w:p w:rsidR="005A71BD" w:rsidRPr="00165833" w:rsidRDefault="005A71BD" w:rsidP="00165833">
            <w:pPr>
              <w:spacing w:line="360" w:lineRule="auto"/>
              <w:jc w:val="both"/>
              <w:rPr>
                <w:rFonts w:ascii="Book Antiqua" w:hAnsi="Book Antiqua"/>
                <w:b/>
              </w:rPr>
            </w:pPr>
            <w:r w:rsidRPr="00165833">
              <w:rPr>
                <w:rFonts w:ascii="Book Antiqua" w:hAnsi="Book Antiqua"/>
                <w:b/>
              </w:rPr>
              <w:t>Intermediate risk group</w:t>
            </w:r>
          </w:p>
        </w:tc>
        <w:tc>
          <w:tcPr>
            <w:tcW w:w="1927" w:type="dxa"/>
            <w:vAlign w:val="center"/>
            <w:hideMark/>
          </w:tcPr>
          <w:p w:rsidR="005A71BD" w:rsidRPr="00165833" w:rsidRDefault="00A25421" w:rsidP="00165833">
            <w:pPr>
              <w:spacing w:line="360" w:lineRule="auto"/>
              <w:jc w:val="both"/>
              <w:rPr>
                <w:rFonts w:ascii="Book Antiqua" w:hAnsi="Book Antiqua"/>
              </w:rPr>
            </w:pPr>
            <w:r w:rsidRPr="00165833">
              <w:rPr>
                <w:rFonts w:ascii="Book Antiqua" w:hAnsi="Book Antiqua"/>
              </w:rPr>
              <w:t>13.</w:t>
            </w:r>
            <w:r w:rsidR="005A71BD" w:rsidRPr="00165833">
              <w:rPr>
                <w:rFonts w:ascii="Book Antiqua" w:hAnsi="Book Antiqua"/>
              </w:rPr>
              <w:t>9</w:t>
            </w:r>
          </w:p>
        </w:tc>
        <w:tc>
          <w:tcPr>
            <w:tcW w:w="1927"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46</w:t>
            </w:r>
          </w:p>
        </w:tc>
        <w:tc>
          <w:tcPr>
            <w:tcW w:w="1927"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34,2</w:t>
            </w:r>
          </w:p>
        </w:tc>
        <w:tc>
          <w:tcPr>
            <w:tcW w:w="1927" w:type="dxa"/>
            <w:vAlign w:val="center"/>
            <w:hideMark/>
          </w:tcPr>
          <w:p w:rsidR="005A71BD" w:rsidRPr="00165833" w:rsidRDefault="005A71BD" w:rsidP="00165833">
            <w:pPr>
              <w:spacing w:line="360" w:lineRule="auto"/>
              <w:jc w:val="both"/>
              <w:rPr>
                <w:rFonts w:ascii="Book Antiqua" w:hAnsi="Book Antiqua"/>
              </w:rPr>
            </w:pPr>
            <w:r w:rsidRPr="00165833">
              <w:rPr>
                <w:rFonts w:ascii="Book Antiqua" w:hAnsi="Book Antiqua"/>
              </w:rPr>
              <w:t>21</w:t>
            </w:r>
          </w:p>
        </w:tc>
      </w:tr>
    </w:tbl>
    <w:p w:rsidR="005A71BD" w:rsidRPr="0074441D" w:rsidRDefault="005A71BD" w:rsidP="00165833">
      <w:pPr>
        <w:spacing w:line="360" w:lineRule="auto"/>
        <w:jc w:val="both"/>
        <w:rPr>
          <w:rFonts w:ascii="Book Antiqua" w:eastAsiaTheme="minorEastAsia" w:hAnsi="Book Antiqua"/>
          <w:b/>
          <w:lang w:eastAsia="zh-CN"/>
        </w:rPr>
      </w:pPr>
      <w:r w:rsidRPr="00165833">
        <w:rPr>
          <w:rFonts w:ascii="Book Antiqua" w:hAnsi="Book Antiqua"/>
        </w:rPr>
        <w:t xml:space="preserve">PPV: </w:t>
      </w:r>
      <w:r w:rsidR="0074441D" w:rsidRPr="00165833">
        <w:rPr>
          <w:rFonts w:ascii="Book Antiqua" w:hAnsi="Book Antiqua"/>
        </w:rPr>
        <w:t>P</w:t>
      </w:r>
      <w:r w:rsidRPr="00165833">
        <w:rPr>
          <w:rFonts w:ascii="Book Antiqua" w:hAnsi="Book Antiqua"/>
        </w:rPr>
        <w:t xml:space="preserve">ositive predictive values; NPV: </w:t>
      </w:r>
      <w:r w:rsidR="0074441D" w:rsidRPr="00165833">
        <w:rPr>
          <w:rFonts w:ascii="Book Antiqua" w:hAnsi="Book Antiqua"/>
        </w:rPr>
        <w:t>N</w:t>
      </w:r>
      <w:r w:rsidRPr="00165833">
        <w:rPr>
          <w:rFonts w:ascii="Book Antiqua" w:hAnsi="Book Antiqua"/>
        </w:rPr>
        <w:t>egative predictive values</w:t>
      </w:r>
      <w:r w:rsidR="0074441D">
        <w:rPr>
          <w:rFonts w:ascii="Book Antiqua" w:eastAsiaTheme="minorEastAsia" w:hAnsi="Book Antiqua" w:hint="eastAsia"/>
          <w:lang w:eastAsia="zh-CN"/>
        </w:rPr>
        <w:t xml:space="preserve">; </w:t>
      </w:r>
      <w:r w:rsidR="0074441D" w:rsidRPr="0074441D">
        <w:rPr>
          <w:rFonts w:ascii="Book Antiqua" w:hAnsi="Book Antiqua"/>
        </w:rPr>
        <w:t>US</w:t>
      </w:r>
      <w:r w:rsidR="0074441D" w:rsidRPr="0074441D">
        <w:rPr>
          <w:rFonts w:ascii="Book Antiqua" w:hAnsi="Book Antiqua" w:hint="eastAsia"/>
        </w:rPr>
        <w:t>:</w:t>
      </w:r>
      <w:r w:rsidR="0074441D" w:rsidRPr="0074441D">
        <w:rPr>
          <w:rFonts w:ascii="Book Antiqua" w:hAnsi="Book Antiqua"/>
        </w:rPr>
        <w:t xml:space="preserve"> Ultrasonography</w:t>
      </w:r>
      <w:r w:rsidR="0074441D" w:rsidRPr="0074441D">
        <w:rPr>
          <w:rFonts w:ascii="Book Antiqua" w:hAnsi="Book Antiqua" w:hint="eastAsia"/>
        </w:rPr>
        <w:t>.</w:t>
      </w:r>
    </w:p>
    <w:p w:rsidR="005A71BD" w:rsidRPr="00165833" w:rsidRDefault="005A71BD" w:rsidP="00165833">
      <w:pPr>
        <w:spacing w:line="360" w:lineRule="auto"/>
        <w:jc w:val="both"/>
        <w:rPr>
          <w:rFonts w:ascii="Book Antiqua" w:hAnsi="Book Antiqua"/>
        </w:rPr>
      </w:pPr>
    </w:p>
    <w:p w:rsidR="001D7217" w:rsidRPr="00165833" w:rsidRDefault="001D7217" w:rsidP="00165833">
      <w:pPr>
        <w:spacing w:line="360" w:lineRule="auto"/>
        <w:jc w:val="both"/>
        <w:rPr>
          <w:rFonts w:ascii="Book Antiqua" w:hAnsi="Book Antiqua"/>
        </w:rPr>
      </w:pPr>
    </w:p>
    <w:sectPr w:rsidR="001D7217" w:rsidRPr="001658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7B" w:rsidRDefault="004D717B" w:rsidP="001D7217">
      <w:r>
        <w:separator/>
      </w:r>
    </w:p>
  </w:endnote>
  <w:endnote w:type="continuationSeparator" w:id="0">
    <w:p w:rsidR="004D717B" w:rsidRDefault="004D717B" w:rsidP="001D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CenturySchoolbook">
    <w:altName w:val="MS Mincho"/>
    <w:panose1 w:val="00000000000000000000"/>
    <w:charset w:val="80"/>
    <w:family w:val="auto"/>
    <w:notTrueType/>
    <w:pitch w:val="default"/>
    <w:sig w:usb0="00000001" w:usb1="08070000" w:usb2="00000010" w:usb3="00000000" w:csb0="00020000"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7B" w:rsidRDefault="004D717B" w:rsidP="001D7217">
      <w:r>
        <w:separator/>
      </w:r>
    </w:p>
  </w:footnote>
  <w:footnote w:type="continuationSeparator" w:id="0">
    <w:p w:rsidR="004D717B" w:rsidRDefault="004D717B" w:rsidP="001D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15"/>
    <w:rsid w:val="00000127"/>
    <w:rsid w:val="000012AE"/>
    <w:rsid w:val="00002BD7"/>
    <w:rsid w:val="0000325C"/>
    <w:rsid w:val="00005E3C"/>
    <w:rsid w:val="00015B60"/>
    <w:rsid w:val="00020418"/>
    <w:rsid w:val="00020F82"/>
    <w:rsid w:val="00021E65"/>
    <w:rsid w:val="000224C4"/>
    <w:rsid w:val="00022EDB"/>
    <w:rsid w:val="00025DF1"/>
    <w:rsid w:val="0002665A"/>
    <w:rsid w:val="0003091C"/>
    <w:rsid w:val="00035285"/>
    <w:rsid w:val="000367AF"/>
    <w:rsid w:val="00037A15"/>
    <w:rsid w:val="00037B19"/>
    <w:rsid w:val="00037EB4"/>
    <w:rsid w:val="0004066C"/>
    <w:rsid w:val="00040996"/>
    <w:rsid w:val="00040AB0"/>
    <w:rsid w:val="000412C3"/>
    <w:rsid w:val="00044AF4"/>
    <w:rsid w:val="000462AA"/>
    <w:rsid w:val="00053941"/>
    <w:rsid w:val="00054E45"/>
    <w:rsid w:val="000559D9"/>
    <w:rsid w:val="0005688D"/>
    <w:rsid w:val="00061038"/>
    <w:rsid w:val="000627CC"/>
    <w:rsid w:val="000630A7"/>
    <w:rsid w:val="00070C96"/>
    <w:rsid w:val="0007671D"/>
    <w:rsid w:val="000811F1"/>
    <w:rsid w:val="00084A46"/>
    <w:rsid w:val="00090038"/>
    <w:rsid w:val="000A0C08"/>
    <w:rsid w:val="000A2A8C"/>
    <w:rsid w:val="000A3610"/>
    <w:rsid w:val="000A7065"/>
    <w:rsid w:val="000B5CC5"/>
    <w:rsid w:val="000B6A02"/>
    <w:rsid w:val="000C319F"/>
    <w:rsid w:val="000C31C4"/>
    <w:rsid w:val="000C4469"/>
    <w:rsid w:val="000D42F7"/>
    <w:rsid w:val="000E0B42"/>
    <w:rsid w:val="000E7F5D"/>
    <w:rsid w:val="000F0D47"/>
    <w:rsid w:val="000F2C3D"/>
    <w:rsid w:val="000F330E"/>
    <w:rsid w:val="000F348C"/>
    <w:rsid w:val="000F34B8"/>
    <w:rsid w:val="000F7C4A"/>
    <w:rsid w:val="00100DA3"/>
    <w:rsid w:val="001016B5"/>
    <w:rsid w:val="00101992"/>
    <w:rsid w:val="001042AF"/>
    <w:rsid w:val="00104CF3"/>
    <w:rsid w:val="001064C7"/>
    <w:rsid w:val="00114F9C"/>
    <w:rsid w:val="0011562F"/>
    <w:rsid w:val="00116F36"/>
    <w:rsid w:val="00121543"/>
    <w:rsid w:val="00121582"/>
    <w:rsid w:val="00125C63"/>
    <w:rsid w:val="00125E50"/>
    <w:rsid w:val="0012618E"/>
    <w:rsid w:val="00127EB0"/>
    <w:rsid w:val="00135A87"/>
    <w:rsid w:val="00135AB2"/>
    <w:rsid w:val="00140B76"/>
    <w:rsid w:val="00141165"/>
    <w:rsid w:val="001420A1"/>
    <w:rsid w:val="001458A7"/>
    <w:rsid w:val="00146351"/>
    <w:rsid w:val="001474EF"/>
    <w:rsid w:val="001536E3"/>
    <w:rsid w:val="00155AFD"/>
    <w:rsid w:val="00156A0A"/>
    <w:rsid w:val="001609ED"/>
    <w:rsid w:val="0016177A"/>
    <w:rsid w:val="001638E0"/>
    <w:rsid w:val="00165833"/>
    <w:rsid w:val="0016612F"/>
    <w:rsid w:val="00166853"/>
    <w:rsid w:val="00172B44"/>
    <w:rsid w:val="001743CD"/>
    <w:rsid w:val="00174A6E"/>
    <w:rsid w:val="00176B00"/>
    <w:rsid w:val="001872C3"/>
    <w:rsid w:val="001905CA"/>
    <w:rsid w:val="00191252"/>
    <w:rsid w:val="001942EF"/>
    <w:rsid w:val="00195DB7"/>
    <w:rsid w:val="001960FF"/>
    <w:rsid w:val="001976A6"/>
    <w:rsid w:val="001A16CD"/>
    <w:rsid w:val="001A18C9"/>
    <w:rsid w:val="001A2445"/>
    <w:rsid w:val="001A3C47"/>
    <w:rsid w:val="001A5FB5"/>
    <w:rsid w:val="001B050B"/>
    <w:rsid w:val="001B4008"/>
    <w:rsid w:val="001B51FE"/>
    <w:rsid w:val="001C06A4"/>
    <w:rsid w:val="001C0C89"/>
    <w:rsid w:val="001D4609"/>
    <w:rsid w:val="001D7217"/>
    <w:rsid w:val="001E165F"/>
    <w:rsid w:val="001E6324"/>
    <w:rsid w:val="001F0BD8"/>
    <w:rsid w:val="001F2822"/>
    <w:rsid w:val="001F3705"/>
    <w:rsid w:val="001F46C1"/>
    <w:rsid w:val="002032A9"/>
    <w:rsid w:val="00203EF5"/>
    <w:rsid w:val="00206600"/>
    <w:rsid w:val="0021297B"/>
    <w:rsid w:val="00221454"/>
    <w:rsid w:val="0022372A"/>
    <w:rsid w:val="00224794"/>
    <w:rsid w:val="00224BF0"/>
    <w:rsid w:val="002301F2"/>
    <w:rsid w:val="0023020F"/>
    <w:rsid w:val="00232158"/>
    <w:rsid w:val="0023502A"/>
    <w:rsid w:val="00235AD9"/>
    <w:rsid w:val="00240139"/>
    <w:rsid w:val="00242CB0"/>
    <w:rsid w:val="00242DD4"/>
    <w:rsid w:val="002455DC"/>
    <w:rsid w:val="002478E6"/>
    <w:rsid w:val="002579CD"/>
    <w:rsid w:val="00257ED2"/>
    <w:rsid w:val="0026038D"/>
    <w:rsid w:val="00264AD3"/>
    <w:rsid w:val="0026623E"/>
    <w:rsid w:val="00272029"/>
    <w:rsid w:val="002744D8"/>
    <w:rsid w:val="00275571"/>
    <w:rsid w:val="0028136A"/>
    <w:rsid w:val="0028145F"/>
    <w:rsid w:val="00281BC5"/>
    <w:rsid w:val="00281CCA"/>
    <w:rsid w:val="00285D13"/>
    <w:rsid w:val="00286EB9"/>
    <w:rsid w:val="00291FA1"/>
    <w:rsid w:val="002927BC"/>
    <w:rsid w:val="00295FF6"/>
    <w:rsid w:val="00297CDB"/>
    <w:rsid w:val="002A100C"/>
    <w:rsid w:val="002A2723"/>
    <w:rsid w:val="002A2AD6"/>
    <w:rsid w:val="002A6178"/>
    <w:rsid w:val="002A6438"/>
    <w:rsid w:val="002B2706"/>
    <w:rsid w:val="002B468A"/>
    <w:rsid w:val="002B5F83"/>
    <w:rsid w:val="002B7B7E"/>
    <w:rsid w:val="002C06F8"/>
    <w:rsid w:val="002C4153"/>
    <w:rsid w:val="002C48A1"/>
    <w:rsid w:val="002C4D67"/>
    <w:rsid w:val="002C697A"/>
    <w:rsid w:val="002D15D6"/>
    <w:rsid w:val="002D2BD8"/>
    <w:rsid w:val="002D4E4D"/>
    <w:rsid w:val="002D5532"/>
    <w:rsid w:val="002E26DF"/>
    <w:rsid w:val="002E460E"/>
    <w:rsid w:val="002F2651"/>
    <w:rsid w:val="002F53D2"/>
    <w:rsid w:val="002F73D2"/>
    <w:rsid w:val="002F74AD"/>
    <w:rsid w:val="002F7DC2"/>
    <w:rsid w:val="00306513"/>
    <w:rsid w:val="00307B6C"/>
    <w:rsid w:val="00310A86"/>
    <w:rsid w:val="00312225"/>
    <w:rsid w:val="00313ACE"/>
    <w:rsid w:val="00317FDF"/>
    <w:rsid w:val="003200CC"/>
    <w:rsid w:val="00320A66"/>
    <w:rsid w:val="00321954"/>
    <w:rsid w:val="00322823"/>
    <w:rsid w:val="00324536"/>
    <w:rsid w:val="00330101"/>
    <w:rsid w:val="00335D64"/>
    <w:rsid w:val="00342084"/>
    <w:rsid w:val="00350553"/>
    <w:rsid w:val="00350987"/>
    <w:rsid w:val="00352BC6"/>
    <w:rsid w:val="003554A5"/>
    <w:rsid w:val="0035597B"/>
    <w:rsid w:val="0035674B"/>
    <w:rsid w:val="00356994"/>
    <w:rsid w:val="00360005"/>
    <w:rsid w:val="00361538"/>
    <w:rsid w:val="00363459"/>
    <w:rsid w:val="003703CB"/>
    <w:rsid w:val="00373E33"/>
    <w:rsid w:val="00376463"/>
    <w:rsid w:val="00376E80"/>
    <w:rsid w:val="00377028"/>
    <w:rsid w:val="00381A50"/>
    <w:rsid w:val="00382BDB"/>
    <w:rsid w:val="00383035"/>
    <w:rsid w:val="00383237"/>
    <w:rsid w:val="003842AC"/>
    <w:rsid w:val="00387479"/>
    <w:rsid w:val="0039573F"/>
    <w:rsid w:val="0039721E"/>
    <w:rsid w:val="003A0782"/>
    <w:rsid w:val="003A13EF"/>
    <w:rsid w:val="003A1774"/>
    <w:rsid w:val="003A27D5"/>
    <w:rsid w:val="003A4219"/>
    <w:rsid w:val="003A572F"/>
    <w:rsid w:val="003A6E4A"/>
    <w:rsid w:val="003B040E"/>
    <w:rsid w:val="003B54E5"/>
    <w:rsid w:val="003B6420"/>
    <w:rsid w:val="003C6FBB"/>
    <w:rsid w:val="003D0759"/>
    <w:rsid w:val="003D78DF"/>
    <w:rsid w:val="003D7936"/>
    <w:rsid w:val="003E1BA7"/>
    <w:rsid w:val="003E1C29"/>
    <w:rsid w:val="003E332B"/>
    <w:rsid w:val="003E465E"/>
    <w:rsid w:val="003E7931"/>
    <w:rsid w:val="003F1341"/>
    <w:rsid w:val="003F1F54"/>
    <w:rsid w:val="003F32E8"/>
    <w:rsid w:val="003F3C11"/>
    <w:rsid w:val="004024B9"/>
    <w:rsid w:val="00403197"/>
    <w:rsid w:val="00405106"/>
    <w:rsid w:val="00421283"/>
    <w:rsid w:val="00421B61"/>
    <w:rsid w:val="00424148"/>
    <w:rsid w:val="00424970"/>
    <w:rsid w:val="00425230"/>
    <w:rsid w:val="00426069"/>
    <w:rsid w:val="00426E1A"/>
    <w:rsid w:val="004276FF"/>
    <w:rsid w:val="00430FB7"/>
    <w:rsid w:val="00432985"/>
    <w:rsid w:val="004330A4"/>
    <w:rsid w:val="004339FB"/>
    <w:rsid w:val="004359FA"/>
    <w:rsid w:val="00435C82"/>
    <w:rsid w:val="00442459"/>
    <w:rsid w:val="004453C0"/>
    <w:rsid w:val="00446A8C"/>
    <w:rsid w:val="00450E23"/>
    <w:rsid w:val="00455195"/>
    <w:rsid w:val="0045606A"/>
    <w:rsid w:val="00456526"/>
    <w:rsid w:val="004572CD"/>
    <w:rsid w:val="00466A95"/>
    <w:rsid w:val="00471675"/>
    <w:rsid w:val="00473AA8"/>
    <w:rsid w:val="00477D55"/>
    <w:rsid w:val="00480F4D"/>
    <w:rsid w:val="00481669"/>
    <w:rsid w:val="00482525"/>
    <w:rsid w:val="0048656A"/>
    <w:rsid w:val="004869EF"/>
    <w:rsid w:val="0049133A"/>
    <w:rsid w:val="004955B5"/>
    <w:rsid w:val="00496351"/>
    <w:rsid w:val="00497D54"/>
    <w:rsid w:val="004A1524"/>
    <w:rsid w:val="004A2EB1"/>
    <w:rsid w:val="004A55C1"/>
    <w:rsid w:val="004A6C92"/>
    <w:rsid w:val="004B6F30"/>
    <w:rsid w:val="004C0F3C"/>
    <w:rsid w:val="004C2C11"/>
    <w:rsid w:val="004D2F0A"/>
    <w:rsid w:val="004D4B6D"/>
    <w:rsid w:val="004D717B"/>
    <w:rsid w:val="004E082B"/>
    <w:rsid w:val="004E26AC"/>
    <w:rsid w:val="004E356E"/>
    <w:rsid w:val="004E50AA"/>
    <w:rsid w:val="004E5950"/>
    <w:rsid w:val="004F2F07"/>
    <w:rsid w:val="004F324C"/>
    <w:rsid w:val="004F53C1"/>
    <w:rsid w:val="004F7F50"/>
    <w:rsid w:val="0050186C"/>
    <w:rsid w:val="00501C1E"/>
    <w:rsid w:val="00507B73"/>
    <w:rsid w:val="00513EBD"/>
    <w:rsid w:val="00515C69"/>
    <w:rsid w:val="00517140"/>
    <w:rsid w:val="00523995"/>
    <w:rsid w:val="0052729D"/>
    <w:rsid w:val="0053426D"/>
    <w:rsid w:val="00534C9A"/>
    <w:rsid w:val="00535069"/>
    <w:rsid w:val="00535A22"/>
    <w:rsid w:val="00536188"/>
    <w:rsid w:val="00540509"/>
    <w:rsid w:val="00543390"/>
    <w:rsid w:val="00543BD4"/>
    <w:rsid w:val="00545097"/>
    <w:rsid w:val="0054741A"/>
    <w:rsid w:val="00557F17"/>
    <w:rsid w:val="00562767"/>
    <w:rsid w:val="00565B0B"/>
    <w:rsid w:val="0056779E"/>
    <w:rsid w:val="005678C2"/>
    <w:rsid w:val="00573076"/>
    <w:rsid w:val="00574A8C"/>
    <w:rsid w:val="0057523A"/>
    <w:rsid w:val="005763C7"/>
    <w:rsid w:val="0057692A"/>
    <w:rsid w:val="005770F9"/>
    <w:rsid w:val="00581C84"/>
    <w:rsid w:val="00581FED"/>
    <w:rsid w:val="005866A2"/>
    <w:rsid w:val="00586A02"/>
    <w:rsid w:val="005873D7"/>
    <w:rsid w:val="00593B24"/>
    <w:rsid w:val="00596A04"/>
    <w:rsid w:val="00596B2C"/>
    <w:rsid w:val="005A138B"/>
    <w:rsid w:val="005A40D3"/>
    <w:rsid w:val="005A71BD"/>
    <w:rsid w:val="005B1C6D"/>
    <w:rsid w:val="005B3031"/>
    <w:rsid w:val="005B691A"/>
    <w:rsid w:val="005B6A41"/>
    <w:rsid w:val="005B7FC9"/>
    <w:rsid w:val="005C5368"/>
    <w:rsid w:val="005C5D65"/>
    <w:rsid w:val="005C623E"/>
    <w:rsid w:val="005C6B81"/>
    <w:rsid w:val="005D397A"/>
    <w:rsid w:val="005D5FB8"/>
    <w:rsid w:val="005D63BB"/>
    <w:rsid w:val="005E15D5"/>
    <w:rsid w:val="005E2F64"/>
    <w:rsid w:val="005E3159"/>
    <w:rsid w:val="005E486E"/>
    <w:rsid w:val="005F0D1D"/>
    <w:rsid w:val="005F1A68"/>
    <w:rsid w:val="005F1FB4"/>
    <w:rsid w:val="005F4804"/>
    <w:rsid w:val="00601694"/>
    <w:rsid w:val="00604370"/>
    <w:rsid w:val="00604D1D"/>
    <w:rsid w:val="006067F1"/>
    <w:rsid w:val="00611444"/>
    <w:rsid w:val="00612C6B"/>
    <w:rsid w:val="006137E3"/>
    <w:rsid w:val="00616575"/>
    <w:rsid w:val="006310F2"/>
    <w:rsid w:val="00631DBE"/>
    <w:rsid w:val="006350B4"/>
    <w:rsid w:val="00635719"/>
    <w:rsid w:val="00635B7D"/>
    <w:rsid w:val="00637D77"/>
    <w:rsid w:val="00642521"/>
    <w:rsid w:val="00642A66"/>
    <w:rsid w:val="006431EF"/>
    <w:rsid w:val="00650830"/>
    <w:rsid w:val="0065207D"/>
    <w:rsid w:val="00654774"/>
    <w:rsid w:val="00655AD7"/>
    <w:rsid w:val="00660F74"/>
    <w:rsid w:val="00662E70"/>
    <w:rsid w:val="0066320D"/>
    <w:rsid w:val="006638B7"/>
    <w:rsid w:val="006644E6"/>
    <w:rsid w:val="006648D9"/>
    <w:rsid w:val="00664E6D"/>
    <w:rsid w:val="00672BE0"/>
    <w:rsid w:val="00673570"/>
    <w:rsid w:val="00677F31"/>
    <w:rsid w:val="006830F2"/>
    <w:rsid w:val="006833D9"/>
    <w:rsid w:val="00683E42"/>
    <w:rsid w:val="00687483"/>
    <w:rsid w:val="006929A0"/>
    <w:rsid w:val="0069641B"/>
    <w:rsid w:val="006B2D31"/>
    <w:rsid w:val="006B7535"/>
    <w:rsid w:val="006C0FBC"/>
    <w:rsid w:val="006C1571"/>
    <w:rsid w:val="006C4565"/>
    <w:rsid w:val="006C66D1"/>
    <w:rsid w:val="006C6D4B"/>
    <w:rsid w:val="006D20AD"/>
    <w:rsid w:val="006D22E0"/>
    <w:rsid w:val="006D301C"/>
    <w:rsid w:val="006D4AA5"/>
    <w:rsid w:val="006D5637"/>
    <w:rsid w:val="006D5B29"/>
    <w:rsid w:val="006D7ED1"/>
    <w:rsid w:val="006E016B"/>
    <w:rsid w:val="006E2678"/>
    <w:rsid w:val="006E588D"/>
    <w:rsid w:val="006E6400"/>
    <w:rsid w:val="006F2915"/>
    <w:rsid w:val="006F2FD2"/>
    <w:rsid w:val="006F37AD"/>
    <w:rsid w:val="006F56CE"/>
    <w:rsid w:val="006F5CF9"/>
    <w:rsid w:val="006F67ED"/>
    <w:rsid w:val="007014E3"/>
    <w:rsid w:val="0070400A"/>
    <w:rsid w:val="00704642"/>
    <w:rsid w:val="00704754"/>
    <w:rsid w:val="00707ABA"/>
    <w:rsid w:val="00714227"/>
    <w:rsid w:val="00717BFB"/>
    <w:rsid w:val="00722285"/>
    <w:rsid w:val="00725FC7"/>
    <w:rsid w:val="00727947"/>
    <w:rsid w:val="00733A32"/>
    <w:rsid w:val="00735B1A"/>
    <w:rsid w:val="00735B3A"/>
    <w:rsid w:val="00743FE1"/>
    <w:rsid w:val="007442C4"/>
    <w:rsid w:val="0074441D"/>
    <w:rsid w:val="0074721C"/>
    <w:rsid w:val="00750649"/>
    <w:rsid w:val="00750653"/>
    <w:rsid w:val="00754E4C"/>
    <w:rsid w:val="007575E5"/>
    <w:rsid w:val="00757ED8"/>
    <w:rsid w:val="007611A3"/>
    <w:rsid w:val="0076168A"/>
    <w:rsid w:val="00761F06"/>
    <w:rsid w:val="007636AA"/>
    <w:rsid w:val="00763849"/>
    <w:rsid w:val="00764A07"/>
    <w:rsid w:val="00770DDB"/>
    <w:rsid w:val="00770E03"/>
    <w:rsid w:val="00771AAB"/>
    <w:rsid w:val="00774E63"/>
    <w:rsid w:val="00776096"/>
    <w:rsid w:val="007768A9"/>
    <w:rsid w:val="00781CDB"/>
    <w:rsid w:val="007831EF"/>
    <w:rsid w:val="00783A76"/>
    <w:rsid w:val="0078549F"/>
    <w:rsid w:val="00790DE4"/>
    <w:rsid w:val="00793ECF"/>
    <w:rsid w:val="007A1E95"/>
    <w:rsid w:val="007A2393"/>
    <w:rsid w:val="007B09D8"/>
    <w:rsid w:val="007B0AEF"/>
    <w:rsid w:val="007B0E59"/>
    <w:rsid w:val="007B3464"/>
    <w:rsid w:val="007C2E22"/>
    <w:rsid w:val="007C5253"/>
    <w:rsid w:val="007C556B"/>
    <w:rsid w:val="007C69D4"/>
    <w:rsid w:val="007D2AC1"/>
    <w:rsid w:val="007E658B"/>
    <w:rsid w:val="007E7E4E"/>
    <w:rsid w:val="007F5BA0"/>
    <w:rsid w:val="007F70E0"/>
    <w:rsid w:val="00800387"/>
    <w:rsid w:val="008027E1"/>
    <w:rsid w:val="008047AA"/>
    <w:rsid w:val="008114B2"/>
    <w:rsid w:val="00811742"/>
    <w:rsid w:val="00811F30"/>
    <w:rsid w:val="00814131"/>
    <w:rsid w:val="00815B7E"/>
    <w:rsid w:val="00816A54"/>
    <w:rsid w:val="008173E6"/>
    <w:rsid w:val="008207FA"/>
    <w:rsid w:val="0082404A"/>
    <w:rsid w:val="00824F28"/>
    <w:rsid w:val="0082541B"/>
    <w:rsid w:val="00832EAE"/>
    <w:rsid w:val="00835757"/>
    <w:rsid w:val="008360C9"/>
    <w:rsid w:val="0083715D"/>
    <w:rsid w:val="00842858"/>
    <w:rsid w:val="008444EA"/>
    <w:rsid w:val="00847B64"/>
    <w:rsid w:val="008517AD"/>
    <w:rsid w:val="0085209D"/>
    <w:rsid w:val="008525AE"/>
    <w:rsid w:val="00854D57"/>
    <w:rsid w:val="00854D78"/>
    <w:rsid w:val="00854EE1"/>
    <w:rsid w:val="008571E2"/>
    <w:rsid w:val="00861E69"/>
    <w:rsid w:val="008654AB"/>
    <w:rsid w:val="00866621"/>
    <w:rsid w:val="00871B6D"/>
    <w:rsid w:val="00875673"/>
    <w:rsid w:val="00877662"/>
    <w:rsid w:val="00881E8D"/>
    <w:rsid w:val="0088664D"/>
    <w:rsid w:val="00886AE8"/>
    <w:rsid w:val="00887991"/>
    <w:rsid w:val="00892D66"/>
    <w:rsid w:val="00893E79"/>
    <w:rsid w:val="00897006"/>
    <w:rsid w:val="008B00DB"/>
    <w:rsid w:val="008B342F"/>
    <w:rsid w:val="008B45C9"/>
    <w:rsid w:val="008B5A1C"/>
    <w:rsid w:val="008B61B6"/>
    <w:rsid w:val="008C181F"/>
    <w:rsid w:val="008C27B5"/>
    <w:rsid w:val="008C560E"/>
    <w:rsid w:val="008D0429"/>
    <w:rsid w:val="008D077F"/>
    <w:rsid w:val="008D26B1"/>
    <w:rsid w:val="008D491D"/>
    <w:rsid w:val="008D7E86"/>
    <w:rsid w:val="008E0DBB"/>
    <w:rsid w:val="008E1CEB"/>
    <w:rsid w:val="008E6BFC"/>
    <w:rsid w:val="008E76A9"/>
    <w:rsid w:val="008F427E"/>
    <w:rsid w:val="008F6321"/>
    <w:rsid w:val="00900310"/>
    <w:rsid w:val="00900C96"/>
    <w:rsid w:val="00902E3B"/>
    <w:rsid w:val="00906CA9"/>
    <w:rsid w:val="00906E5F"/>
    <w:rsid w:val="0091082A"/>
    <w:rsid w:val="009110F7"/>
    <w:rsid w:val="00924AEA"/>
    <w:rsid w:val="009258BF"/>
    <w:rsid w:val="0092673A"/>
    <w:rsid w:val="009271F8"/>
    <w:rsid w:val="00941D20"/>
    <w:rsid w:val="009429AA"/>
    <w:rsid w:val="00945C60"/>
    <w:rsid w:val="009544A5"/>
    <w:rsid w:val="00957BB4"/>
    <w:rsid w:val="009601DF"/>
    <w:rsid w:val="00961028"/>
    <w:rsid w:val="00963297"/>
    <w:rsid w:val="00964F4C"/>
    <w:rsid w:val="0097767E"/>
    <w:rsid w:val="00977DE6"/>
    <w:rsid w:val="00981FD1"/>
    <w:rsid w:val="00983713"/>
    <w:rsid w:val="00985E13"/>
    <w:rsid w:val="00986D6C"/>
    <w:rsid w:val="00987D6F"/>
    <w:rsid w:val="0099056C"/>
    <w:rsid w:val="009917F7"/>
    <w:rsid w:val="00994312"/>
    <w:rsid w:val="00994CD1"/>
    <w:rsid w:val="00996F43"/>
    <w:rsid w:val="009A356A"/>
    <w:rsid w:val="009A4F53"/>
    <w:rsid w:val="009B0BDD"/>
    <w:rsid w:val="009B3106"/>
    <w:rsid w:val="009B4BE4"/>
    <w:rsid w:val="009C3E58"/>
    <w:rsid w:val="009C467D"/>
    <w:rsid w:val="009C5084"/>
    <w:rsid w:val="009C55B4"/>
    <w:rsid w:val="009D0F63"/>
    <w:rsid w:val="009D1709"/>
    <w:rsid w:val="009D20E5"/>
    <w:rsid w:val="009D24E3"/>
    <w:rsid w:val="009D490C"/>
    <w:rsid w:val="009D66B7"/>
    <w:rsid w:val="009E30A4"/>
    <w:rsid w:val="009E4BF8"/>
    <w:rsid w:val="009E687C"/>
    <w:rsid w:val="009E7052"/>
    <w:rsid w:val="009E7078"/>
    <w:rsid w:val="009F1421"/>
    <w:rsid w:val="009F2E8F"/>
    <w:rsid w:val="009F4039"/>
    <w:rsid w:val="009F4690"/>
    <w:rsid w:val="009F63F3"/>
    <w:rsid w:val="009F74E2"/>
    <w:rsid w:val="00A01733"/>
    <w:rsid w:val="00A02144"/>
    <w:rsid w:val="00A04AD4"/>
    <w:rsid w:val="00A11A02"/>
    <w:rsid w:val="00A13595"/>
    <w:rsid w:val="00A15F3D"/>
    <w:rsid w:val="00A160E3"/>
    <w:rsid w:val="00A16478"/>
    <w:rsid w:val="00A2269B"/>
    <w:rsid w:val="00A25421"/>
    <w:rsid w:val="00A274A4"/>
    <w:rsid w:val="00A27C3D"/>
    <w:rsid w:val="00A33DEE"/>
    <w:rsid w:val="00A3496A"/>
    <w:rsid w:val="00A41E95"/>
    <w:rsid w:val="00A42CD0"/>
    <w:rsid w:val="00A43FB1"/>
    <w:rsid w:val="00A45078"/>
    <w:rsid w:val="00A5453B"/>
    <w:rsid w:val="00A5661A"/>
    <w:rsid w:val="00A569C1"/>
    <w:rsid w:val="00A577B2"/>
    <w:rsid w:val="00A57CC0"/>
    <w:rsid w:val="00A60006"/>
    <w:rsid w:val="00A65A17"/>
    <w:rsid w:val="00A72936"/>
    <w:rsid w:val="00A7661C"/>
    <w:rsid w:val="00A771BE"/>
    <w:rsid w:val="00A83539"/>
    <w:rsid w:val="00A86718"/>
    <w:rsid w:val="00A875DA"/>
    <w:rsid w:val="00A90C40"/>
    <w:rsid w:val="00A91190"/>
    <w:rsid w:val="00A97A03"/>
    <w:rsid w:val="00AA044F"/>
    <w:rsid w:val="00AA1A04"/>
    <w:rsid w:val="00AA4464"/>
    <w:rsid w:val="00AA7EE0"/>
    <w:rsid w:val="00AB1605"/>
    <w:rsid w:val="00AB33E9"/>
    <w:rsid w:val="00AB3B16"/>
    <w:rsid w:val="00AB3DD8"/>
    <w:rsid w:val="00AB4705"/>
    <w:rsid w:val="00AB61D8"/>
    <w:rsid w:val="00AC0EB1"/>
    <w:rsid w:val="00AC3C1A"/>
    <w:rsid w:val="00AC56D0"/>
    <w:rsid w:val="00AC677A"/>
    <w:rsid w:val="00AC6E95"/>
    <w:rsid w:val="00AD5AAD"/>
    <w:rsid w:val="00AE1C72"/>
    <w:rsid w:val="00AE4B61"/>
    <w:rsid w:val="00AE4E96"/>
    <w:rsid w:val="00AE71A5"/>
    <w:rsid w:val="00AF0FCA"/>
    <w:rsid w:val="00AF1B77"/>
    <w:rsid w:val="00AF3487"/>
    <w:rsid w:val="00AF5208"/>
    <w:rsid w:val="00AF7832"/>
    <w:rsid w:val="00B005C2"/>
    <w:rsid w:val="00B1213C"/>
    <w:rsid w:val="00B1448F"/>
    <w:rsid w:val="00B15605"/>
    <w:rsid w:val="00B16A72"/>
    <w:rsid w:val="00B17BA7"/>
    <w:rsid w:val="00B201F8"/>
    <w:rsid w:val="00B23290"/>
    <w:rsid w:val="00B23E31"/>
    <w:rsid w:val="00B26986"/>
    <w:rsid w:val="00B3353B"/>
    <w:rsid w:val="00B36DF7"/>
    <w:rsid w:val="00B37524"/>
    <w:rsid w:val="00B425BB"/>
    <w:rsid w:val="00B426EE"/>
    <w:rsid w:val="00B50396"/>
    <w:rsid w:val="00B5133B"/>
    <w:rsid w:val="00B53FA7"/>
    <w:rsid w:val="00B56653"/>
    <w:rsid w:val="00B60772"/>
    <w:rsid w:val="00B61445"/>
    <w:rsid w:val="00B6194B"/>
    <w:rsid w:val="00B665CA"/>
    <w:rsid w:val="00B716C7"/>
    <w:rsid w:val="00B721FF"/>
    <w:rsid w:val="00B72B47"/>
    <w:rsid w:val="00B76480"/>
    <w:rsid w:val="00B81D51"/>
    <w:rsid w:val="00BA12D1"/>
    <w:rsid w:val="00BA1EBC"/>
    <w:rsid w:val="00BA28A7"/>
    <w:rsid w:val="00BA2911"/>
    <w:rsid w:val="00BA2A8B"/>
    <w:rsid w:val="00BA3D9D"/>
    <w:rsid w:val="00BA6C5D"/>
    <w:rsid w:val="00BA735D"/>
    <w:rsid w:val="00BB03AA"/>
    <w:rsid w:val="00BB03CB"/>
    <w:rsid w:val="00BB0AD3"/>
    <w:rsid w:val="00BB11FC"/>
    <w:rsid w:val="00BB14C7"/>
    <w:rsid w:val="00BB4193"/>
    <w:rsid w:val="00BB4880"/>
    <w:rsid w:val="00BC0AA0"/>
    <w:rsid w:val="00BC2FCE"/>
    <w:rsid w:val="00BC3B45"/>
    <w:rsid w:val="00BD158C"/>
    <w:rsid w:val="00BD5BF3"/>
    <w:rsid w:val="00BD6D3E"/>
    <w:rsid w:val="00BD6EBB"/>
    <w:rsid w:val="00BE653E"/>
    <w:rsid w:val="00BF4907"/>
    <w:rsid w:val="00BF77A2"/>
    <w:rsid w:val="00C0222E"/>
    <w:rsid w:val="00C02E11"/>
    <w:rsid w:val="00C24713"/>
    <w:rsid w:val="00C24FD2"/>
    <w:rsid w:val="00C25CD3"/>
    <w:rsid w:val="00C301F5"/>
    <w:rsid w:val="00C3146B"/>
    <w:rsid w:val="00C34A89"/>
    <w:rsid w:val="00C35F0E"/>
    <w:rsid w:val="00C364E0"/>
    <w:rsid w:val="00C43442"/>
    <w:rsid w:val="00C45A4C"/>
    <w:rsid w:val="00C46F5F"/>
    <w:rsid w:val="00C57F59"/>
    <w:rsid w:val="00C603E8"/>
    <w:rsid w:val="00C6177F"/>
    <w:rsid w:val="00C61847"/>
    <w:rsid w:val="00C61A8A"/>
    <w:rsid w:val="00C626CB"/>
    <w:rsid w:val="00C62FAC"/>
    <w:rsid w:val="00C633BC"/>
    <w:rsid w:val="00C66F27"/>
    <w:rsid w:val="00C705F5"/>
    <w:rsid w:val="00C71FF0"/>
    <w:rsid w:val="00C73D22"/>
    <w:rsid w:val="00C73EC6"/>
    <w:rsid w:val="00C75A3A"/>
    <w:rsid w:val="00C816B3"/>
    <w:rsid w:val="00C83C78"/>
    <w:rsid w:val="00C86207"/>
    <w:rsid w:val="00C8714D"/>
    <w:rsid w:val="00C9064A"/>
    <w:rsid w:val="00C90814"/>
    <w:rsid w:val="00C9430F"/>
    <w:rsid w:val="00C954E2"/>
    <w:rsid w:val="00C96CAD"/>
    <w:rsid w:val="00C97279"/>
    <w:rsid w:val="00CA2F5A"/>
    <w:rsid w:val="00CA36B6"/>
    <w:rsid w:val="00CB078B"/>
    <w:rsid w:val="00CB0BA9"/>
    <w:rsid w:val="00CB14DB"/>
    <w:rsid w:val="00CB1F24"/>
    <w:rsid w:val="00CB23EE"/>
    <w:rsid w:val="00CB43C9"/>
    <w:rsid w:val="00CB53A9"/>
    <w:rsid w:val="00CB53E0"/>
    <w:rsid w:val="00CB5D42"/>
    <w:rsid w:val="00CC0029"/>
    <w:rsid w:val="00CC1FD4"/>
    <w:rsid w:val="00CD7858"/>
    <w:rsid w:val="00CE0B2B"/>
    <w:rsid w:val="00CE113F"/>
    <w:rsid w:val="00CE2D3A"/>
    <w:rsid w:val="00CE6584"/>
    <w:rsid w:val="00CE682F"/>
    <w:rsid w:val="00CE73E9"/>
    <w:rsid w:val="00CF0E1E"/>
    <w:rsid w:val="00CF51F5"/>
    <w:rsid w:val="00CF7A2F"/>
    <w:rsid w:val="00D03DC5"/>
    <w:rsid w:val="00D053F1"/>
    <w:rsid w:val="00D0590A"/>
    <w:rsid w:val="00D06BBE"/>
    <w:rsid w:val="00D106EE"/>
    <w:rsid w:val="00D12000"/>
    <w:rsid w:val="00D130F2"/>
    <w:rsid w:val="00D14BEE"/>
    <w:rsid w:val="00D1659E"/>
    <w:rsid w:val="00D21C34"/>
    <w:rsid w:val="00D31C96"/>
    <w:rsid w:val="00D37B08"/>
    <w:rsid w:val="00D452A3"/>
    <w:rsid w:val="00D4687D"/>
    <w:rsid w:val="00D469E7"/>
    <w:rsid w:val="00D5081E"/>
    <w:rsid w:val="00D51D61"/>
    <w:rsid w:val="00D56332"/>
    <w:rsid w:val="00D56C16"/>
    <w:rsid w:val="00D60E3C"/>
    <w:rsid w:val="00D620BE"/>
    <w:rsid w:val="00D63BB4"/>
    <w:rsid w:val="00D66D9E"/>
    <w:rsid w:val="00D71755"/>
    <w:rsid w:val="00D71AEF"/>
    <w:rsid w:val="00D736A2"/>
    <w:rsid w:val="00D751BE"/>
    <w:rsid w:val="00D76A4C"/>
    <w:rsid w:val="00D76E0B"/>
    <w:rsid w:val="00D774EF"/>
    <w:rsid w:val="00D80FA1"/>
    <w:rsid w:val="00D90E1C"/>
    <w:rsid w:val="00D925FC"/>
    <w:rsid w:val="00D9304A"/>
    <w:rsid w:val="00DA0122"/>
    <w:rsid w:val="00DA4B7E"/>
    <w:rsid w:val="00DA57A0"/>
    <w:rsid w:val="00DA61B8"/>
    <w:rsid w:val="00DA61C7"/>
    <w:rsid w:val="00DB0FF6"/>
    <w:rsid w:val="00DB1A89"/>
    <w:rsid w:val="00DB1D96"/>
    <w:rsid w:val="00DB32E0"/>
    <w:rsid w:val="00DB5289"/>
    <w:rsid w:val="00DB5EFC"/>
    <w:rsid w:val="00DB7F95"/>
    <w:rsid w:val="00DC049E"/>
    <w:rsid w:val="00DC1406"/>
    <w:rsid w:val="00DC71F4"/>
    <w:rsid w:val="00DD37C8"/>
    <w:rsid w:val="00DD6D5E"/>
    <w:rsid w:val="00DE30CD"/>
    <w:rsid w:val="00DE385C"/>
    <w:rsid w:val="00DE5012"/>
    <w:rsid w:val="00DF36A9"/>
    <w:rsid w:val="00DF5F72"/>
    <w:rsid w:val="00E005AB"/>
    <w:rsid w:val="00E02944"/>
    <w:rsid w:val="00E02FCA"/>
    <w:rsid w:val="00E03E8F"/>
    <w:rsid w:val="00E06C32"/>
    <w:rsid w:val="00E10D49"/>
    <w:rsid w:val="00E13826"/>
    <w:rsid w:val="00E13BB1"/>
    <w:rsid w:val="00E15DA1"/>
    <w:rsid w:val="00E2310A"/>
    <w:rsid w:val="00E240A7"/>
    <w:rsid w:val="00E31894"/>
    <w:rsid w:val="00E437CB"/>
    <w:rsid w:val="00E43A2C"/>
    <w:rsid w:val="00E43DEB"/>
    <w:rsid w:val="00E44286"/>
    <w:rsid w:val="00E44B7D"/>
    <w:rsid w:val="00E463EF"/>
    <w:rsid w:val="00E4709F"/>
    <w:rsid w:val="00E47881"/>
    <w:rsid w:val="00E507E6"/>
    <w:rsid w:val="00E50BF9"/>
    <w:rsid w:val="00E53BD7"/>
    <w:rsid w:val="00E54E45"/>
    <w:rsid w:val="00E55B26"/>
    <w:rsid w:val="00E55FF7"/>
    <w:rsid w:val="00E57591"/>
    <w:rsid w:val="00E62BA8"/>
    <w:rsid w:val="00E6786B"/>
    <w:rsid w:val="00E725D9"/>
    <w:rsid w:val="00E77F30"/>
    <w:rsid w:val="00E80617"/>
    <w:rsid w:val="00E80AB3"/>
    <w:rsid w:val="00E90539"/>
    <w:rsid w:val="00E91F95"/>
    <w:rsid w:val="00E94302"/>
    <w:rsid w:val="00E97560"/>
    <w:rsid w:val="00EA13FB"/>
    <w:rsid w:val="00EA33D4"/>
    <w:rsid w:val="00EA42B0"/>
    <w:rsid w:val="00EA72A2"/>
    <w:rsid w:val="00EA737D"/>
    <w:rsid w:val="00EB07FD"/>
    <w:rsid w:val="00EB43FC"/>
    <w:rsid w:val="00EB55BD"/>
    <w:rsid w:val="00EC22D3"/>
    <w:rsid w:val="00EC2A70"/>
    <w:rsid w:val="00EC3E34"/>
    <w:rsid w:val="00EC49E8"/>
    <w:rsid w:val="00ED2194"/>
    <w:rsid w:val="00ED2538"/>
    <w:rsid w:val="00ED3281"/>
    <w:rsid w:val="00EE42A0"/>
    <w:rsid w:val="00EE566B"/>
    <w:rsid w:val="00EE6AE6"/>
    <w:rsid w:val="00EE73B9"/>
    <w:rsid w:val="00EE7BD2"/>
    <w:rsid w:val="00EF1A06"/>
    <w:rsid w:val="00F00032"/>
    <w:rsid w:val="00F04110"/>
    <w:rsid w:val="00F06ACE"/>
    <w:rsid w:val="00F1187A"/>
    <w:rsid w:val="00F15C6A"/>
    <w:rsid w:val="00F20143"/>
    <w:rsid w:val="00F202F1"/>
    <w:rsid w:val="00F262DB"/>
    <w:rsid w:val="00F372D8"/>
    <w:rsid w:val="00F42EE8"/>
    <w:rsid w:val="00F43A79"/>
    <w:rsid w:val="00F44685"/>
    <w:rsid w:val="00F47099"/>
    <w:rsid w:val="00F54409"/>
    <w:rsid w:val="00F55B50"/>
    <w:rsid w:val="00F60CB4"/>
    <w:rsid w:val="00F6238C"/>
    <w:rsid w:val="00F64B48"/>
    <w:rsid w:val="00F64D4D"/>
    <w:rsid w:val="00F70967"/>
    <w:rsid w:val="00F71D65"/>
    <w:rsid w:val="00F722B9"/>
    <w:rsid w:val="00F85A7B"/>
    <w:rsid w:val="00F85BF5"/>
    <w:rsid w:val="00F860B3"/>
    <w:rsid w:val="00F96F8F"/>
    <w:rsid w:val="00F97BF5"/>
    <w:rsid w:val="00FA1088"/>
    <w:rsid w:val="00FA3072"/>
    <w:rsid w:val="00FA7F7A"/>
    <w:rsid w:val="00FB13A6"/>
    <w:rsid w:val="00FB1971"/>
    <w:rsid w:val="00FB209C"/>
    <w:rsid w:val="00FB2354"/>
    <w:rsid w:val="00FB3C89"/>
    <w:rsid w:val="00FB3F52"/>
    <w:rsid w:val="00FB4139"/>
    <w:rsid w:val="00FB58B9"/>
    <w:rsid w:val="00FB65CD"/>
    <w:rsid w:val="00FC18D8"/>
    <w:rsid w:val="00FC471D"/>
    <w:rsid w:val="00FC5647"/>
    <w:rsid w:val="00FD097F"/>
    <w:rsid w:val="00FD7134"/>
    <w:rsid w:val="00FE044F"/>
    <w:rsid w:val="00FE1B57"/>
    <w:rsid w:val="00FF2F07"/>
    <w:rsid w:val="00FF5E6F"/>
    <w:rsid w:val="00FF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1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577B2"/>
  </w:style>
  <w:style w:type="paragraph" w:styleId="ListParagraph">
    <w:name w:val="List Paragraph"/>
    <w:basedOn w:val="Normal"/>
    <w:uiPriority w:val="99"/>
    <w:qFormat/>
    <w:rsid w:val="008B5A1C"/>
    <w:pPr>
      <w:spacing w:after="200" w:line="276" w:lineRule="auto"/>
      <w:ind w:left="720"/>
      <w:contextualSpacing/>
    </w:pPr>
    <w:rPr>
      <w:rFonts w:asciiTheme="minorHAnsi" w:eastAsiaTheme="minorHAnsi" w:hAnsiTheme="minorHAnsi" w:cstheme="minorBidi"/>
      <w:sz w:val="22"/>
      <w:szCs w:val="22"/>
    </w:rPr>
  </w:style>
  <w:style w:type="character" w:customStyle="1" w:styleId="highlight1">
    <w:name w:val="highlight1"/>
    <w:basedOn w:val="DefaultParagraphFont"/>
    <w:uiPriority w:val="99"/>
    <w:rsid w:val="008B5A1C"/>
    <w:rPr>
      <w:shd w:val="clear" w:color="auto" w:fill="F2F5F8"/>
    </w:rPr>
  </w:style>
  <w:style w:type="character" w:styleId="Hyperlink">
    <w:name w:val="Hyperlink"/>
    <w:basedOn w:val="DefaultParagraphFont"/>
    <w:uiPriority w:val="99"/>
    <w:unhideWhenUsed/>
    <w:rsid w:val="000A7065"/>
    <w:rPr>
      <w:color w:val="0000FF" w:themeColor="hyperlink"/>
      <w:u w:val="single"/>
    </w:rPr>
  </w:style>
  <w:style w:type="character" w:customStyle="1" w:styleId="highlight2">
    <w:name w:val="highlight2"/>
    <w:basedOn w:val="DefaultParagraphFont"/>
    <w:uiPriority w:val="99"/>
    <w:rsid w:val="00A11A02"/>
  </w:style>
  <w:style w:type="paragraph" w:styleId="BalloonText">
    <w:name w:val="Balloon Text"/>
    <w:basedOn w:val="Normal"/>
    <w:link w:val="BalloonTextChar"/>
    <w:uiPriority w:val="99"/>
    <w:semiHidden/>
    <w:rsid w:val="00877662"/>
    <w:rPr>
      <w:rFonts w:ascii="Tahoma" w:hAnsi="Tahoma" w:cs="Tahoma"/>
      <w:sz w:val="16"/>
      <w:szCs w:val="16"/>
    </w:rPr>
  </w:style>
  <w:style w:type="character" w:customStyle="1" w:styleId="BalloonTextChar">
    <w:name w:val="Balloon Text Char"/>
    <w:basedOn w:val="DefaultParagraphFont"/>
    <w:link w:val="BalloonText"/>
    <w:uiPriority w:val="99"/>
    <w:semiHidden/>
    <w:rsid w:val="00877662"/>
    <w:rPr>
      <w:rFonts w:ascii="Tahoma" w:eastAsia="Times New Roman" w:hAnsi="Tahoma" w:cs="Tahoma"/>
      <w:sz w:val="16"/>
      <w:szCs w:val="16"/>
    </w:rPr>
  </w:style>
  <w:style w:type="character" w:styleId="CommentReference">
    <w:name w:val="annotation reference"/>
    <w:basedOn w:val="DefaultParagraphFont"/>
    <w:uiPriority w:val="99"/>
    <w:semiHidden/>
    <w:rsid w:val="00877662"/>
    <w:rPr>
      <w:rFonts w:cs="Times New Roman"/>
      <w:sz w:val="16"/>
      <w:szCs w:val="16"/>
    </w:rPr>
  </w:style>
  <w:style w:type="paragraph" w:styleId="CommentText">
    <w:name w:val="annotation text"/>
    <w:basedOn w:val="Normal"/>
    <w:link w:val="CommentTextChar"/>
    <w:uiPriority w:val="99"/>
    <w:semiHidden/>
    <w:rsid w:val="00877662"/>
    <w:rPr>
      <w:sz w:val="20"/>
      <w:szCs w:val="20"/>
    </w:rPr>
  </w:style>
  <w:style w:type="character" w:customStyle="1" w:styleId="CommentTextChar">
    <w:name w:val="Comment Text Char"/>
    <w:basedOn w:val="DefaultParagraphFont"/>
    <w:link w:val="CommentText"/>
    <w:uiPriority w:val="99"/>
    <w:semiHidden/>
    <w:rsid w:val="00877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77662"/>
    <w:rPr>
      <w:b/>
      <w:bCs/>
    </w:rPr>
  </w:style>
  <w:style w:type="character" w:customStyle="1" w:styleId="CommentSubjectChar">
    <w:name w:val="Comment Subject Char"/>
    <w:basedOn w:val="CommentTextChar"/>
    <w:link w:val="CommentSubject"/>
    <w:uiPriority w:val="99"/>
    <w:semiHidden/>
    <w:rsid w:val="0087766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D72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D7217"/>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D72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D7217"/>
    <w:rPr>
      <w:rFonts w:ascii="Times New Roman" w:eastAsia="Times New Roman" w:hAnsi="Times New Roman" w:cs="Times New Roman"/>
      <w:sz w:val="18"/>
      <w:szCs w:val="18"/>
    </w:rPr>
  </w:style>
  <w:style w:type="character" w:customStyle="1" w:styleId="hui1218">
    <w:name w:val="hui1218"/>
    <w:basedOn w:val="DefaultParagraphFont"/>
    <w:rsid w:val="00642521"/>
  </w:style>
  <w:style w:type="character" w:customStyle="1" w:styleId="apple-converted-space">
    <w:name w:val="apple-converted-space"/>
    <w:basedOn w:val="DefaultParagraphFont"/>
    <w:rsid w:val="008654AB"/>
  </w:style>
  <w:style w:type="character" w:customStyle="1" w:styleId="highlight">
    <w:name w:val="highlight"/>
    <w:basedOn w:val="DefaultParagraphFont"/>
    <w:rsid w:val="008654AB"/>
  </w:style>
  <w:style w:type="character" w:styleId="Emphasis">
    <w:name w:val="Emphasis"/>
    <w:basedOn w:val="DefaultParagraphFont"/>
    <w:uiPriority w:val="20"/>
    <w:qFormat/>
    <w:rsid w:val="00815B7E"/>
    <w:rPr>
      <w:i/>
      <w:iCs/>
    </w:rPr>
  </w:style>
  <w:style w:type="paragraph" w:styleId="PlainText">
    <w:name w:val="Plain Text"/>
    <w:basedOn w:val="Normal"/>
    <w:link w:val="PlainTextChar"/>
    <w:rsid w:val="00165833"/>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65833"/>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1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577B2"/>
  </w:style>
  <w:style w:type="paragraph" w:styleId="ListParagraph">
    <w:name w:val="List Paragraph"/>
    <w:basedOn w:val="Normal"/>
    <w:uiPriority w:val="99"/>
    <w:qFormat/>
    <w:rsid w:val="008B5A1C"/>
    <w:pPr>
      <w:spacing w:after="200" w:line="276" w:lineRule="auto"/>
      <w:ind w:left="720"/>
      <w:contextualSpacing/>
    </w:pPr>
    <w:rPr>
      <w:rFonts w:asciiTheme="minorHAnsi" w:eastAsiaTheme="minorHAnsi" w:hAnsiTheme="minorHAnsi" w:cstheme="minorBidi"/>
      <w:sz w:val="22"/>
      <w:szCs w:val="22"/>
    </w:rPr>
  </w:style>
  <w:style w:type="character" w:customStyle="1" w:styleId="highlight1">
    <w:name w:val="highlight1"/>
    <w:basedOn w:val="DefaultParagraphFont"/>
    <w:uiPriority w:val="99"/>
    <w:rsid w:val="008B5A1C"/>
    <w:rPr>
      <w:shd w:val="clear" w:color="auto" w:fill="F2F5F8"/>
    </w:rPr>
  </w:style>
  <w:style w:type="character" w:styleId="Hyperlink">
    <w:name w:val="Hyperlink"/>
    <w:basedOn w:val="DefaultParagraphFont"/>
    <w:uiPriority w:val="99"/>
    <w:unhideWhenUsed/>
    <w:rsid w:val="000A7065"/>
    <w:rPr>
      <w:color w:val="0000FF" w:themeColor="hyperlink"/>
      <w:u w:val="single"/>
    </w:rPr>
  </w:style>
  <w:style w:type="character" w:customStyle="1" w:styleId="highlight2">
    <w:name w:val="highlight2"/>
    <w:basedOn w:val="DefaultParagraphFont"/>
    <w:uiPriority w:val="99"/>
    <w:rsid w:val="00A11A02"/>
  </w:style>
  <w:style w:type="paragraph" w:styleId="BalloonText">
    <w:name w:val="Balloon Text"/>
    <w:basedOn w:val="Normal"/>
    <w:link w:val="BalloonTextChar"/>
    <w:uiPriority w:val="99"/>
    <w:semiHidden/>
    <w:rsid w:val="00877662"/>
    <w:rPr>
      <w:rFonts w:ascii="Tahoma" w:hAnsi="Tahoma" w:cs="Tahoma"/>
      <w:sz w:val="16"/>
      <w:szCs w:val="16"/>
    </w:rPr>
  </w:style>
  <w:style w:type="character" w:customStyle="1" w:styleId="BalloonTextChar">
    <w:name w:val="Balloon Text Char"/>
    <w:basedOn w:val="DefaultParagraphFont"/>
    <w:link w:val="BalloonText"/>
    <w:uiPriority w:val="99"/>
    <w:semiHidden/>
    <w:rsid w:val="00877662"/>
    <w:rPr>
      <w:rFonts w:ascii="Tahoma" w:eastAsia="Times New Roman" w:hAnsi="Tahoma" w:cs="Tahoma"/>
      <w:sz w:val="16"/>
      <w:szCs w:val="16"/>
    </w:rPr>
  </w:style>
  <w:style w:type="character" w:styleId="CommentReference">
    <w:name w:val="annotation reference"/>
    <w:basedOn w:val="DefaultParagraphFont"/>
    <w:uiPriority w:val="99"/>
    <w:semiHidden/>
    <w:rsid w:val="00877662"/>
    <w:rPr>
      <w:rFonts w:cs="Times New Roman"/>
      <w:sz w:val="16"/>
      <w:szCs w:val="16"/>
    </w:rPr>
  </w:style>
  <w:style w:type="paragraph" w:styleId="CommentText">
    <w:name w:val="annotation text"/>
    <w:basedOn w:val="Normal"/>
    <w:link w:val="CommentTextChar"/>
    <w:uiPriority w:val="99"/>
    <w:semiHidden/>
    <w:rsid w:val="00877662"/>
    <w:rPr>
      <w:sz w:val="20"/>
      <w:szCs w:val="20"/>
    </w:rPr>
  </w:style>
  <w:style w:type="character" w:customStyle="1" w:styleId="CommentTextChar">
    <w:name w:val="Comment Text Char"/>
    <w:basedOn w:val="DefaultParagraphFont"/>
    <w:link w:val="CommentText"/>
    <w:uiPriority w:val="99"/>
    <w:semiHidden/>
    <w:rsid w:val="00877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77662"/>
    <w:rPr>
      <w:b/>
      <w:bCs/>
    </w:rPr>
  </w:style>
  <w:style w:type="character" w:customStyle="1" w:styleId="CommentSubjectChar">
    <w:name w:val="Comment Subject Char"/>
    <w:basedOn w:val="CommentTextChar"/>
    <w:link w:val="CommentSubject"/>
    <w:uiPriority w:val="99"/>
    <w:semiHidden/>
    <w:rsid w:val="0087766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D72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D7217"/>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D72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D7217"/>
    <w:rPr>
      <w:rFonts w:ascii="Times New Roman" w:eastAsia="Times New Roman" w:hAnsi="Times New Roman" w:cs="Times New Roman"/>
      <w:sz w:val="18"/>
      <w:szCs w:val="18"/>
    </w:rPr>
  </w:style>
  <w:style w:type="character" w:customStyle="1" w:styleId="hui1218">
    <w:name w:val="hui1218"/>
    <w:basedOn w:val="DefaultParagraphFont"/>
    <w:rsid w:val="00642521"/>
  </w:style>
  <w:style w:type="character" w:customStyle="1" w:styleId="apple-converted-space">
    <w:name w:val="apple-converted-space"/>
    <w:basedOn w:val="DefaultParagraphFont"/>
    <w:rsid w:val="008654AB"/>
  </w:style>
  <w:style w:type="character" w:customStyle="1" w:styleId="highlight">
    <w:name w:val="highlight"/>
    <w:basedOn w:val="DefaultParagraphFont"/>
    <w:rsid w:val="008654AB"/>
  </w:style>
  <w:style w:type="character" w:styleId="Emphasis">
    <w:name w:val="Emphasis"/>
    <w:basedOn w:val="DefaultParagraphFont"/>
    <w:uiPriority w:val="20"/>
    <w:qFormat/>
    <w:rsid w:val="00815B7E"/>
    <w:rPr>
      <w:i/>
      <w:iCs/>
    </w:rPr>
  </w:style>
  <w:style w:type="paragraph" w:styleId="PlainText">
    <w:name w:val="Plain Text"/>
    <w:basedOn w:val="Normal"/>
    <w:link w:val="PlainTextChar"/>
    <w:rsid w:val="00165833"/>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65833"/>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2681">
      <w:bodyDiv w:val="1"/>
      <w:marLeft w:val="0"/>
      <w:marRight w:val="0"/>
      <w:marTop w:val="0"/>
      <w:marBottom w:val="0"/>
      <w:divBdr>
        <w:top w:val="none" w:sz="0" w:space="0" w:color="auto"/>
        <w:left w:val="none" w:sz="0" w:space="0" w:color="auto"/>
        <w:bottom w:val="none" w:sz="0" w:space="0" w:color="auto"/>
        <w:right w:val="none" w:sz="0" w:space="0" w:color="auto"/>
      </w:divBdr>
    </w:div>
    <w:div w:id="309605105">
      <w:bodyDiv w:val="1"/>
      <w:marLeft w:val="0"/>
      <w:marRight w:val="0"/>
      <w:marTop w:val="0"/>
      <w:marBottom w:val="0"/>
      <w:divBdr>
        <w:top w:val="none" w:sz="0" w:space="0" w:color="auto"/>
        <w:left w:val="none" w:sz="0" w:space="0" w:color="auto"/>
        <w:bottom w:val="none" w:sz="0" w:space="0" w:color="auto"/>
        <w:right w:val="none" w:sz="0" w:space="0" w:color="auto"/>
      </w:divBdr>
    </w:div>
    <w:div w:id="371807269">
      <w:bodyDiv w:val="1"/>
      <w:marLeft w:val="0"/>
      <w:marRight w:val="0"/>
      <w:marTop w:val="0"/>
      <w:marBottom w:val="0"/>
      <w:divBdr>
        <w:top w:val="none" w:sz="0" w:space="0" w:color="auto"/>
        <w:left w:val="none" w:sz="0" w:space="0" w:color="auto"/>
        <w:bottom w:val="none" w:sz="0" w:space="0" w:color="auto"/>
        <w:right w:val="none" w:sz="0" w:space="0" w:color="auto"/>
      </w:divBdr>
      <w:divsChild>
        <w:div w:id="1023825176">
          <w:marLeft w:val="0"/>
          <w:marRight w:val="0"/>
          <w:marTop w:val="0"/>
          <w:marBottom w:val="0"/>
          <w:divBdr>
            <w:top w:val="none" w:sz="0" w:space="0" w:color="auto"/>
            <w:left w:val="none" w:sz="0" w:space="0" w:color="auto"/>
            <w:bottom w:val="none" w:sz="0" w:space="0" w:color="auto"/>
            <w:right w:val="none" w:sz="0" w:space="0" w:color="auto"/>
          </w:divBdr>
          <w:divsChild>
            <w:div w:id="739980447">
              <w:marLeft w:val="450"/>
              <w:marRight w:val="900"/>
              <w:marTop w:val="450"/>
              <w:marBottom w:val="450"/>
              <w:divBdr>
                <w:top w:val="none" w:sz="0" w:space="0" w:color="auto"/>
                <w:left w:val="none" w:sz="0" w:space="0" w:color="auto"/>
                <w:bottom w:val="none" w:sz="0" w:space="0" w:color="auto"/>
                <w:right w:val="none" w:sz="0" w:space="0" w:color="auto"/>
              </w:divBdr>
              <w:divsChild>
                <w:div w:id="13553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86951">
      <w:bodyDiv w:val="1"/>
      <w:marLeft w:val="0"/>
      <w:marRight w:val="0"/>
      <w:marTop w:val="0"/>
      <w:marBottom w:val="0"/>
      <w:divBdr>
        <w:top w:val="none" w:sz="0" w:space="0" w:color="auto"/>
        <w:left w:val="none" w:sz="0" w:space="0" w:color="auto"/>
        <w:bottom w:val="none" w:sz="0" w:space="0" w:color="auto"/>
        <w:right w:val="none" w:sz="0" w:space="0" w:color="auto"/>
      </w:divBdr>
    </w:div>
    <w:div w:id="781219757">
      <w:bodyDiv w:val="1"/>
      <w:marLeft w:val="0"/>
      <w:marRight w:val="0"/>
      <w:marTop w:val="0"/>
      <w:marBottom w:val="0"/>
      <w:divBdr>
        <w:top w:val="none" w:sz="0" w:space="0" w:color="auto"/>
        <w:left w:val="none" w:sz="0" w:space="0" w:color="auto"/>
        <w:bottom w:val="none" w:sz="0" w:space="0" w:color="auto"/>
        <w:right w:val="none" w:sz="0" w:space="0" w:color="auto"/>
      </w:divBdr>
    </w:div>
    <w:div w:id="916283137">
      <w:bodyDiv w:val="1"/>
      <w:marLeft w:val="0"/>
      <w:marRight w:val="0"/>
      <w:marTop w:val="0"/>
      <w:marBottom w:val="0"/>
      <w:divBdr>
        <w:top w:val="none" w:sz="0" w:space="0" w:color="auto"/>
        <w:left w:val="none" w:sz="0" w:space="0" w:color="auto"/>
        <w:bottom w:val="none" w:sz="0" w:space="0" w:color="auto"/>
        <w:right w:val="none" w:sz="0" w:space="0" w:color="auto"/>
      </w:divBdr>
    </w:div>
    <w:div w:id="974798052">
      <w:bodyDiv w:val="1"/>
      <w:marLeft w:val="0"/>
      <w:marRight w:val="0"/>
      <w:marTop w:val="0"/>
      <w:marBottom w:val="0"/>
      <w:divBdr>
        <w:top w:val="none" w:sz="0" w:space="0" w:color="auto"/>
        <w:left w:val="none" w:sz="0" w:space="0" w:color="auto"/>
        <w:bottom w:val="none" w:sz="0" w:space="0" w:color="auto"/>
        <w:right w:val="none" w:sz="0" w:space="0" w:color="auto"/>
      </w:divBdr>
      <w:divsChild>
        <w:div w:id="343747939">
          <w:marLeft w:val="0"/>
          <w:marRight w:val="0"/>
          <w:marTop w:val="0"/>
          <w:marBottom w:val="0"/>
          <w:divBdr>
            <w:top w:val="none" w:sz="0" w:space="0" w:color="auto"/>
            <w:left w:val="none" w:sz="0" w:space="0" w:color="auto"/>
            <w:bottom w:val="none" w:sz="0" w:space="0" w:color="auto"/>
            <w:right w:val="none" w:sz="0" w:space="0" w:color="auto"/>
          </w:divBdr>
        </w:div>
        <w:div w:id="1456289421">
          <w:marLeft w:val="0"/>
          <w:marRight w:val="0"/>
          <w:marTop w:val="0"/>
          <w:marBottom w:val="0"/>
          <w:divBdr>
            <w:top w:val="none" w:sz="0" w:space="0" w:color="auto"/>
            <w:left w:val="none" w:sz="0" w:space="0" w:color="auto"/>
            <w:bottom w:val="none" w:sz="0" w:space="0" w:color="auto"/>
            <w:right w:val="none" w:sz="0" w:space="0" w:color="auto"/>
          </w:divBdr>
        </w:div>
        <w:div w:id="1684554021">
          <w:marLeft w:val="0"/>
          <w:marRight w:val="0"/>
          <w:marTop w:val="0"/>
          <w:marBottom w:val="0"/>
          <w:divBdr>
            <w:top w:val="none" w:sz="0" w:space="0" w:color="auto"/>
            <w:left w:val="none" w:sz="0" w:space="0" w:color="auto"/>
            <w:bottom w:val="none" w:sz="0" w:space="0" w:color="auto"/>
            <w:right w:val="none" w:sz="0" w:space="0" w:color="auto"/>
          </w:divBdr>
        </w:div>
        <w:div w:id="1079212963">
          <w:marLeft w:val="0"/>
          <w:marRight w:val="0"/>
          <w:marTop w:val="0"/>
          <w:marBottom w:val="0"/>
          <w:divBdr>
            <w:top w:val="none" w:sz="0" w:space="0" w:color="auto"/>
            <w:left w:val="none" w:sz="0" w:space="0" w:color="auto"/>
            <w:bottom w:val="none" w:sz="0" w:space="0" w:color="auto"/>
            <w:right w:val="none" w:sz="0" w:space="0" w:color="auto"/>
          </w:divBdr>
        </w:div>
        <w:div w:id="1066150101">
          <w:marLeft w:val="0"/>
          <w:marRight w:val="0"/>
          <w:marTop w:val="0"/>
          <w:marBottom w:val="0"/>
          <w:divBdr>
            <w:top w:val="none" w:sz="0" w:space="0" w:color="auto"/>
            <w:left w:val="none" w:sz="0" w:space="0" w:color="auto"/>
            <w:bottom w:val="none" w:sz="0" w:space="0" w:color="auto"/>
            <w:right w:val="none" w:sz="0" w:space="0" w:color="auto"/>
          </w:divBdr>
        </w:div>
        <w:div w:id="304546896">
          <w:marLeft w:val="0"/>
          <w:marRight w:val="0"/>
          <w:marTop w:val="0"/>
          <w:marBottom w:val="0"/>
          <w:divBdr>
            <w:top w:val="none" w:sz="0" w:space="0" w:color="auto"/>
            <w:left w:val="none" w:sz="0" w:space="0" w:color="auto"/>
            <w:bottom w:val="none" w:sz="0" w:space="0" w:color="auto"/>
            <w:right w:val="none" w:sz="0" w:space="0" w:color="auto"/>
          </w:divBdr>
        </w:div>
        <w:div w:id="1897084798">
          <w:marLeft w:val="0"/>
          <w:marRight w:val="0"/>
          <w:marTop w:val="0"/>
          <w:marBottom w:val="0"/>
          <w:divBdr>
            <w:top w:val="none" w:sz="0" w:space="0" w:color="auto"/>
            <w:left w:val="none" w:sz="0" w:space="0" w:color="auto"/>
            <w:bottom w:val="none" w:sz="0" w:space="0" w:color="auto"/>
            <w:right w:val="none" w:sz="0" w:space="0" w:color="auto"/>
          </w:divBdr>
        </w:div>
        <w:div w:id="2089812106">
          <w:marLeft w:val="0"/>
          <w:marRight w:val="0"/>
          <w:marTop w:val="0"/>
          <w:marBottom w:val="0"/>
          <w:divBdr>
            <w:top w:val="none" w:sz="0" w:space="0" w:color="auto"/>
            <w:left w:val="none" w:sz="0" w:space="0" w:color="auto"/>
            <w:bottom w:val="none" w:sz="0" w:space="0" w:color="auto"/>
            <w:right w:val="none" w:sz="0" w:space="0" w:color="auto"/>
          </w:divBdr>
        </w:div>
        <w:div w:id="660423574">
          <w:marLeft w:val="0"/>
          <w:marRight w:val="0"/>
          <w:marTop w:val="0"/>
          <w:marBottom w:val="0"/>
          <w:divBdr>
            <w:top w:val="none" w:sz="0" w:space="0" w:color="auto"/>
            <w:left w:val="none" w:sz="0" w:space="0" w:color="auto"/>
            <w:bottom w:val="none" w:sz="0" w:space="0" w:color="auto"/>
            <w:right w:val="none" w:sz="0" w:space="0" w:color="auto"/>
          </w:divBdr>
        </w:div>
        <w:div w:id="1603298984">
          <w:marLeft w:val="0"/>
          <w:marRight w:val="0"/>
          <w:marTop w:val="0"/>
          <w:marBottom w:val="0"/>
          <w:divBdr>
            <w:top w:val="none" w:sz="0" w:space="0" w:color="auto"/>
            <w:left w:val="none" w:sz="0" w:space="0" w:color="auto"/>
            <w:bottom w:val="none" w:sz="0" w:space="0" w:color="auto"/>
            <w:right w:val="none" w:sz="0" w:space="0" w:color="auto"/>
          </w:divBdr>
        </w:div>
        <w:div w:id="1318876465">
          <w:marLeft w:val="0"/>
          <w:marRight w:val="0"/>
          <w:marTop w:val="0"/>
          <w:marBottom w:val="0"/>
          <w:divBdr>
            <w:top w:val="none" w:sz="0" w:space="0" w:color="auto"/>
            <w:left w:val="none" w:sz="0" w:space="0" w:color="auto"/>
            <w:bottom w:val="none" w:sz="0" w:space="0" w:color="auto"/>
            <w:right w:val="none" w:sz="0" w:space="0" w:color="auto"/>
          </w:divBdr>
        </w:div>
        <w:div w:id="340667337">
          <w:marLeft w:val="0"/>
          <w:marRight w:val="0"/>
          <w:marTop w:val="0"/>
          <w:marBottom w:val="0"/>
          <w:divBdr>
            <w:top w:val="none" w:sz="0" w:space="0" w:color="auto"/>
            <w:left w:val="none" w:sz="0" w:space="0" w:color="auto"/>
            <w:bottom w:val="none" w:sz="0" w:space="0" w:color="auto"/>
            <w:right w:val="none" w:sz="0" w:space="0" w:color="auto"/>
          </w:divBdr>
        </w:div>
        <w:div w:id="1183126185">
          <w:marLeft w:val="0"/>
          <w:marRight w:val="0"/>
          <w:marTop w:val="0"/>
          <w:marBottom w:val="0"/>
          <w:divBdr>
            <w:top w:val="none" w:sz="0" w:space="0" w:color="auto"/>
            <w:left w:val="none" w:sz="0" w:space="0" w:color="auto"/>
            <w:bottom w:val="none" w:sz="0" w:space="0" w:color="auto"/>
            <w:right w:val="none" w:sz="0" w:space="0" w:color="auto"/>
          </w:divBdr>
        </w:div>
        <w:div w:id="2028209837">
          <w:marLeft w:val="0"/>
          <w:marRight w:val="0"/>
          <w:marTop w:val="0"/>
          <w:marBottom w:val="0"/>
          <w:divBdr>
            <w:top w:val="none" w:sz="0" w:space="0" w:color="auto"/>
            <w:left w:val="none" w:sz="0" w:space="0" w:color="auto"/>
            <w:bottom w:val="none" w:sz="0" w:space="0" w:color="auto"/>
            <w:right w:val="none" w:sz="0" w:space="0" w:color="auto"/>
          </w:divBdr>
        </w:div>
        <w:div w:id="671877613">
          <w:marLeft w:val="0"/>
          <w:marRight w:val="0"/>
          <w:marTop w:val="0"/>
          <w:marBottom w:val="0"/>
          <w:divBdr>
            <w:top w:val="none" w:sz="0" w:space="0" w:color="auto"/>
            <w:left w:val="none" w:sz="0" w:space="0" w:color="auto"/>
            <w:bottom w:val="none" w:sz="0" w:space="0" w:color="auto"/>
            <w:right w:val="none" w:sz="0" w:space="0" w:color="auto"/>
          </w:divBdr>
        </w:div>
        <w:div w:id="1711879675">
          <w:marLeft w:val="0"/>
          <w:marRight w:val="0"/>
          <w:marTop w:val="0"/>
          <w:marBottom w:val="0"/>
          <w:divBdr>
            <w:top w:val="none" w:sz="0" w:space="0" w:color="auto"/>
            <w:left w:val="none" w:sz="0" w:space="0" w:color="auto"/>
            <w:bottom w:val="none" w:sz="0" w:space="0" w:color="auto"/>
            <w:right w:val="none" w:sz="0" w:space="0" w:color="auto"/>
          </w:divBdr>
        </w:div>
        <w:div w:id="1797679256">
          <w:marLeft w:val="0"/>
          <w:marRight w:val="0"/>
          <w:marTop w:val="0"/>
          <w:marBottom w:val="0"/>
          <w:divBdr>
            <w:top w:val="none" w:sz="0" w:space="0" w:color="auto"/>
            <w:left w:val="none" w:sz="0" w:space="0" w:color="auto"/>
            <w:bottom w:val="none" w:sz="0" w:space="0" w:color="auto"/>
            <w:right w:val="none" w:sz="0" w:space="0" w:color="auto"/>
          </w:divBdr>
        </w:div>
        <w:div w:id="1075542579">
          <w:marLeft w:val="0"/>
          <w:marRight w:val="0"/>
          <w:marTop w:val="0"/>
          <w:marBottom w:val="0"/>
          <w:divBdr>
            <w:top w:val="none" w:sz="0" w:space="0" w:color="auto"/>
            <w:left w:val="none" w:sz="0" w:space="0" w:color="auto"/>
            <w:bottom w:val="none" w:sz="0" w:space="0" w:color="auto"/>
            <w:right w:val="none" w:sz="0" w:space="0" w:color="auto"/>
          </w:divBdr>
        </w:div>
        <w:div w:id="892692834">
          <w:marLeft w:val="0"/>
          <w:marRight w:val="0"/>
          <w:marTop w:val="0"/>
          <w:marBottom w:val="0"/>
          <w:divBdr>
            <w:top w:val="none" w:sz="0" w:space="0" w:color="auto"/>
            <w:left w:val="none" w:sz="0" w:space="0" w:color="auto"/>
            <w:bottom w:val="none" w:sz="0" w:space="0" w:color="auto"/>
            <w:right w:val="none" w:sz="0" w:space="0" w:color="auto"/>
          </w:divBdr>
        </w:div>
        <w:div w:id="238368456">
          <w:marLeft w:val="0"/>
          <w:marRight w:val="0"/>
          <w:marTop w:val="0"/>
          <w:marBottom w:val="0"/>
          <w:divBdr>
            <w:top w:val="none" w:sz="0" w:space="0" w:color="auto"/>
            <w:left w:val="none" w:sz="0" w:space="0" w:color="auto"/>
            <w:bottom w:val="none" w:sz="0" w:space="0" w:color="auto"/>
            <w:right w:val="none" w:sz="0" w:space="0" w:color="auto"/>
          </w:divBdr>
        </w:div>
        <w:div w:id="1047101111">
          <w:marLeft w:val="0"/>
          <w:marRight w:val="0"/>
          <w:marTop w:val="0"/>
          <w:marBottom w:val="0"/>
          <w:divBdr>
            <w:top w:val="none" w:sz="0" w:space="0" w:color="auto"/>
            <w:left w:val="none" w:sz="0" w:space="0" w:color="auto"/>
            <w:bottom w:val="none" w:sz="0" w:space="0" w:color="auto"/>
            <w:right w:val="none" w:sz="0" w:space="0" w:color="auto"/>
          </w:divBdr>
        </w:div>
        <w:div w:id="1489252174">
          <w:marLeft w:val="0"/>
          <w:marRight w:val="0"/>
          <w:marTop w:val="0"/>
          <w:marBottom w:val="0"/>
          <w:divBdr>
            <w:top w:val="none" w:sz="0" w:space="0" w:color="auto"/>
            <w:left w:val="none" w:sz="0" w:space="0" w:color="auto"/>
            <w:bottom w:val="none" w:sz="0" w:space="0" w:color="auto"/>
            <w:right w:val="none" w:sz="0" w:space="0" w:color="auto"/>
          </w:divBdr>
        </w:div>
        <w:div w:id="1441029409">
          <w:marLeft w:val="0"/>
          <w:marRight w:val="0"/>
          <w:marTop w:val="0"/>
          <w:marBottom w:val="0"/>
          <w:divBdr>
            <w:top w:val="none" w:sz="0" w:space="0" w:color="auto"/>
            <w:left w:val="none" w:sz="0" w:space="0" w:color="auto"/>
            <w:bottom w:val="none" w:sz="0" w:space="0" w:color="auto"/>
            <w:right w:val="none" w:sz="0" w:space="0" w:color="auto"/>
          </w:divBdr>
        </w:div>
        <w:div w:id="1338535395">
          <w:marLeft w:val="0"/>
          <w:marRight w:val="0"/>
          <w:marTop w:val="0"/>
          <w:marBottom w:val="0"/>
          <w:divBdr>
            <w:top w:val="none" w:sz="0" w:space="0" w:color="auto"/>
            <w:left w:val="none" w:sz="0" w:space="0" w:color="auto"/>
            <w:bottom w:val="none" w:sz="0" w:space="0" w:color="auto"/>
            <w:right w:val="none" w:sz="0" w:space="0" w:color="auto"/>
          </w:divBdr>
        </w:div>
        <w:div w:id="1121651122">
          <w:marLeft w:val="0"/>
          <w:marRight w:val="0"/>
          <w:marTop w:val="0"/>
          <w:marBottom w:val="0"/>
          <w:divBdr>
            <w:top w:val="none" w:sz="0" w:space="0" w:color="auto"/>
            <w:left w:val="none" w:sz="0" w:space="0" w:color="auto"/>
            <w:bottom w:val="none" w:sz="0" w:space="0" w:color="auto"/>
            <w:right w:val="none" w:sz="0" w:space="0" w:color="auto"/>
          </w:divBdr>
        </w:div>
        <w:div w:id="2006594496">
          <w:marLeft w:val="0"/>
          <w:marRight w:val="0"/>
          <w:marTop w:val="0"/>
          <w:marBottom w:val="0"/>
          <w:divBdr>
            <w:top w:val="none" w:sz="0" w:space="0" w:color="auto"/>
            <w:left w:val="none" w:sz="0" w:space="0" w:color="auto"/>
            <w:bottom w:val="none" w:sz="0" w:space="0" w:color="auto"/>
            <w:right w:val="none" w:sz="0" w:space="0" w:color="auto"/>
          </w:divBdr>
        </w:div>
        <w:div w:id="1853572247">
          <w:marLeft w:val="0"/>
          <w:marRight w:val="0"/>
          <w:marTop w:val="0"/>
          <w:marBottom w:val="0"/>
          <w:divBdr>
            <w:top w:val="none" w:sz="0" w:space="0" w:color="auto"/>
            <w:left w:val="none" w:sz="0" w:space="0" w:color="auto"/>
            <w:bottom w:val="none" w:sz="0" w:space="0" w:color="auto"/>
            <w:right w:val="none" w:sz="0" w:space="0" w:color="auto"/>
          </w:divBdr>
        </w:div>
        <w:div w:id="1596209097">
          <w:marLeft w:val="0"/>
          <w:marRight w:val="0"/>
          <w:marTop w:val="0"/>
          <w:marBottom w:val="0"/>
          <w:divBdr>
            <w:top w:val="none" w:sz="0" w:space="0" w:color="auto"/>
            <w:left w:val="none" w:sz="0" w:space="0" w:color="auto"/>
            <w:bottom w:val="none" w:sz="0" w:space="0" w:color="auto"/>
            <w:right w:val="none" w:sz="0" w:space="0" w:color="auto"/>
          </w:divBdr>
        </w:div>
        <w:div w:id="546531468">
          <w:marLeft w:val="0"/>
          <w:marRight w:val="0"/>
          <w:marTop w:val="0"/>
          <w:marBottom w:val="0"/>
          <w:divBdr>
            <w:top w:val="none" w:sz="0" w:space="0" w:color="auto"/>
            <w:left w:val="none" w:sz="0" w:space="0" w:color="auto"/>
            <w:bottom w:val="none" w:sz="0" w:space="0" w:color="auto"/>
            <w:right w:val="none" w:sz="0" w:space="0" w:color="auto"/>
          </w:divBdr>
        </w:div>
        <w:div w:id="1701929262">
          <w:marLeft w:val="0"/>
          <w:marRight w:val="0"/>
          <w:marTop w:val="0"/>
          <w:marBottom w:val="0"/>
          <w:divBdr>
            <w:top w:val="none" w:sz="0" w:space="0" w:color="auto"/>
            <w:left w:val="none" w:sz="0" w:space="0" w:color="auto"/>
            <w:bottom w:val="none" w:sz="0" w:space="0" w:color="auto"/>
            <w:right w:val="none" w:sz="0" w:space="0" w:color="auto"/>
          </w:divBdr>
        </w:div>
      </w:divsChild>
    </w:div>
    <w:div w:id="1301106223">
      <w:bodyDiv w:val="1"/>
      <w:marLeft w:val="0"/>
      <w:marRight w:val="0"/>
      <w:marTop w:val="0"/>
      <w:marBottom w:val="0"/>
      <w:divBdr>
        <w:top w:val="none" w:sz="0" w:space="0" w:color="auto"/>
        <w:left w:val="none" w:sz="0" w:space="0" w:color="auto"/>
        <w:bottom w:val="none" w:sz="0" w:space="0" w:color="auto"/>
        <w:right w:val="none" w:sz="0" w:space="0" w:color="auto"/>
      </w:divBdr>
    </w:div>
    <w:div w:id="1596132937">
      <w:bodyDiv w:val="1"/>
      <w:marLeft w:val="0"/>
      <w:marRight w:val="0"/>
      <w:marTop w:val="0"/>
      <w:marBottom w:val="0"/>
      <w:divBdr>
        <w:top w:val="none" w:sz="0" w:space="0" w:color="auto"/>
        <w:left w:val="none" w:sz="0" w:space="0" w:color="auto"/>
        <w:bottom w:val="none" w:sz="0" w:space="0" w:color="auto"/>
        <w:right w:val="none" w:sz="0" w:space="0" w:color="auto"/>
      </w:divBdr>
    </w:div>
    <w:div w:id="1665820546">
      <w:bodyDiv w:val="1"/>
      <w:marLeft w:val="0"/>
      <w:marRight w:val="0"/>
      <w:marTop w:val="0"/>
      <w:marBottom w:val="0"/>
      <w:divBdr>
        <w:top w:val="none" w:sz="0" w:space="0" w:color="auto"/>
        <w:left w:val="none" w:sz="0" w:space="0" w:color="auto"/>
        <w:bottom w:val="none" w:sz="0" w:space="0" w:color="auto"/>
        <w:right w:val="none" w:sz="0" w:space="0" w:color="auto"/>
      </w:divBdr>
    </w:div>
    <w:div w:id="1848905570">
      <w:bodyDiv w:val="1"/>
      <w:marLeft w:val="0"/>
      <w:marRight w:val="0"/>
      <w:marTop w:val="0"/>
      <w:marBottom w:val="0"/>
      <w:divBdr>
        <w:top w:val="none" w:sz="0" w:space="0" w:color="auto"/>
        <w:left w:val="none" w:sz="0" w:space="0" w:color="auto"/>
        <w:bottom w:val="none" w:sz="0" w:space="0" w:color="auto"/>
        <w:right w:val="none" w:sz="0" w:space="0" w:color="auto"/>
      </w:divBdr>
    </w:div>
    <w:div w:id="1964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Fluoroscopy" TargetMode="External"/><Relationship Id="rId12" Type="http://schemas.openxmlformats.org/officeDocument/2006/relationships/hyperlink" Target="http://en.wikipedia.org/wiki/Bile_duct" TargetMode="External"/><Relationship Id="rId13" Type="http://schemas.openxmlformats.org/officeDocument/2006/relationships/hyperlink" Target="http://en.wikipedia.org/wiki/Pancreatic_duc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agalhaes@chaa.min-saude.pt" TargetMode="External"/><Relationship Id="rId9" Type="http://schemas.openxmlformats.org/officeDocument/2006/relationships/hyperlink" Target="mailto:jmagalhaes@chaa.min-saude.pt" TargetMode="External"/><Relationship Id="rId10" Type="http://schemas.openxmlformats.org/officeDocument/2006/relationships/hyperlink" Target="http://en.wikipedia.org/wiki/Endoscop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E09C-A9CF-0042-8A7E-8660D2A2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4958</Words>
  <Characters>28263</Characters>
  <Application>Microsoft Macintosh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Magalhães</dc:creator>
  <cp:lastModifiedBy>NA MA</cp:lastModifiedBy>
  <cp:revision>2</cp:revision>
  <cp:lastPrinted>2014-09-16T22:06:00Z</cp:lastPrinted>
  <dcterms:created xsi:type="dcterms:W3CDTF">2014-12-30T22:44:00Z</dcterms:created>
  <dcterms:modified xsi:type="dcterms:W3CDTF">2014-12-30T22:44:00Z</dcterms:modified>
</cp:coreProperties>
</file>