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389C" w:rsidRPr="00420686" w:rsidRDefault="008B389C" w:rsidP="00420686">
      <w:pPr>
        <w:spacing w:after="0" w:line="360" w:lineRule="auto"/>
        <w:jc w:val="both"/>
        <w:rPr>
          <w:rFonts w:ascii="Book Antiqua" w:hAnsi="Book Antiqua" w:cs="Times New Roman"/>
          <w:b/>
          <w:color w:val="000000" w:themeColor="text1"/>
          <w:sz w:val="24"/>
          <w:szCs w:val="24"/>
          <w:lang w:eastAsia="zh-CN"/>
        </w:rPr>
      </w:pPr>
      <w:r w:rsidRPr="00420686">
        <w:rPr>
          <w:rFonts w:ascii="Book Antiqua" w:hAnsi="Book Antiqua" w:cs="Times New Roman"/>
          <w:b/>
          <w:color w:val="000000" w:themeColor="text1"/>
          <w:sz w:val="24"/>
          <w:szCs w:val="24"/>
          <w:lang w:eastAsia="zh-CN"/>
        </w:rPr>
        <w:t>Name of journal: World Journal of Dermatology</w:t>
      </w:r>
    </w:p>
    <w:p w:rsidR="008B389C" w:rsidRPr="00420686" w:rsidRDefault="008B389C" w:rsidP="00420686">
      <w:pPr>
        <w:spacing w:after="0" w:line="360" w:lineRule="auto"/>
        <w:jc w:val="both"/>
        <w:rPr>
          <w:rFonts w:ascii="Book Antiqua" w:hAnsi="Book Antiqua" w:cs="Times New Roman"/>
          <w:b/>
          <w:color w:val="000000" w:themeColor="text1"/>
          <w:sz w:val="24"/>
          <w:szCs w:val="24"/>
          <w:lang w:eastAsia="zh-CN"/>
        </w:rPr>
      </w:pPr>
      <w:r w:rsidRPr="00420686">
        <w:rPr>
          <w:rFonts w:ascii="Book Antiqua" w:hAnsi="Book Antiqua" w:cs="Times New Roman"/>
          <w:b/>
          <w:color w:val="000000" w:themeColor="text1"/>
          <w:sz w:val="24"/>
          <w:szCs w:val="24"/>
          <w:lang w:eastAsia="zh-CN"/>
        </w:rPr>
        <w:t>ESPS Manuscript NO: 14147</w:t>
      </w:r>
    </w:p>
    <w:p w:rsidR="008B389C" w:rsidRPr="00420686" w:rsidRDefault="008B389C" w:rsidP="00420686">
      <w:pPr>
        <w:spacing w:after="0" w:line="360" w:lineRule="auto"/>
        <w:jc w:val="both"/>
        <w:rPr>
          <w:rFonts w:ascii="Book Antiqua" w:hAnsi="Book Antiqua" w:cs="Times New Roman"/>
          <w:b/>
          <w:color w:val="000000" w:themeColor="text1"/>
          <w:sz w:val="24"/>
          <w:szCs w:val="24"/>
          <w:lang w:eastAsia="zh-CN"/>
        </w:rPr>
      </w:pPr>
      <w:r w:rsidRPr="00420686">
        <w:rPr>
          <w:rFonts w:ascii="Book Antiqua" w:hAnsi="Book Antiqua" w:cs="Times New Roman"/>
          <w:b/>
          <w:color w:val="000000" w:themeColor="text1"/>
          <w:sz w:val="24"/>
          <w:szCs w:val="24"/>
          <w:lang w:eastAsia="zh-CN"/>
        </w:rPr>
        <w:t>Columns: REVIEW</w:t>
      </w:r>
    </w:p>
    <w:p w:rsidR="008B389C" w:rsidRPr="00420686" w:rsidRDefault="008B389C" w:rsidP="00420686">
      <w:pPr>
        <w:spacing w:after="0" w:line="360" w:lineRule="auto"/>
        <w:jc w:val="both"/>
        <w:rPr>
          <w:rFonts w:ascii="Book Antiqua" w:hAnsi="Book Antiqua" w:cs="Times New Roman"/>
          <w:b/>
          <w:color w:val="000000" w:themeColor="text1"/>
          <w:sz w:val="24"/>
          <w:szCs w:val="24"/>
          <w:lang w:eastAsia="zh-CN"/>
        </w:rPr>
      </w:pPr>
    </w:p>
    <w:p w:rsidR="008B389C" w:rsidRPr="00420686" w:rsidRDefault="008B389C" w:rsidP="00420686">
      <w:pPr>
        <w:spacing w:after="0" w:line="360" w:lineRule="auto"/>
        <w:jc w:val="both"/>
        <w:rPr>
          <w:rFonts w:ascii="Book Antiqua" w:hAnsi="Book Antiqua" w:cs="Times New Roman"/>
          <w:b/>
          <w:color w:val="000000" w:themeColor="text1"/>
          <w:sz w:val="24"/>
          <w:szCs w:val="24"/>
        </w:rPr>
      </w:pPr>
      <w:r w:rsidRPr="00420686">
        <w:rPr>
          <w:rFonts w:ascii="Book Antiqua" w:hAnsi="Book Antiqua" w:cs="Times New Roman"/>
          <w:b/>
          <w:color w:val="000000" w:themeColor="text1"/>
          <w:sz w:val="24"/>
          <w:szCs w:val="24"/>
        </w:rPr>
        <w:t xml:space="preserve">From the outside-in: </w:t>
      </w:r>
      <w:r w:rsidR="00E2427D" w:rsidRPr="00420686">
        <w:rPr>
          <w:rFonts w:ascii="Book Antiqua" w:hAnsi="Book Antiqua" w:cs="Times New Roman"/>
          <w:b/>
          <w:color w:val="000000" w:themeColor="text1"/>
          <w:sz w:val="24"/>
          <w:szCs w:val="24"/>
        </w:rPr>
        <w:t xml:space="preserve">Epidermal </w:t>
      </w:r>
      <w:r w:rsidRPr="00420686">
        <w:rPr>
          <w:rFonts w:ascii="Book Antiqua" w:hAnsi="Book Antiqua" w:cs="Times New Roman"/>
          <w:b/>
          <w:color w:val="000000" w:themeColor="text1"/>
          <w:sz w:val="24"/>
          <w:szCs w:val="24"/>
        </w:rPr>
        <w:t>targeting as a paradigm for atopic disease therapy</w:t>
      </w:r>
    </w:p>
    <w:p w:rsidR="008B389C" w:rsidRPr="00420686" w:rsidRDefault="008B389C" w:rsidP="00420686">
      <w:pPr>
        <w:spacing w:after="0" w:line="360" w:lineRule="auto"/>
        <w:jc w:val="both"/>
        <w:rPr>
          <w:rFonts w:ascii="Book Antiqua" w:hAnsi="Book Antiqua" w:cs="Times New Roman"/>
          <w:sz w:val="24"/>
          <w:szCs w:val="24"/>
          <w:lang w:eastAsia="zh-CN"/>
        </w:rPr>
      </w:pPr>
    </w:p>
    <w:p w:rsidR="008B389C" w:rsidRPr="00420686" w:rsidRDefault="008B389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sz w:val="24"/>
          <w:szCs w:val="24"/>
        </w:rPr>
        <w:t xml:space="preserve">Gillespie </w:t>
      </w:r>
      <w:r w:rsidR="00815E81" w:rsidRPr="00420686">
        <w:rPr>
          <w:rFonts w:ascii="Book Antiqua" w:hAnsi="Book Antiqua" w:cs="Times New Roman"/>
          <w:sz w:val="24"/>
          <w:szCs w:val="24"/>
          <w:lang w:eastAsia="zh-CN"/>
        </w:rPr>
        <w:t xml:space="preserve">RMC </w:t>
      </w:r>
      <w:r w:rsidR="00815E81" w:rsidRPr="00420686">
        <w:rPr>
          <w:rFonts w:ascii="Book Antiqua" w:hAnsi="Book Antiqua" w:cs="Times New Roman"/>
          <w:i/>
          <w:sz w:val="24"/>
          <w:szCs w:val="24"/>
          <w:lang w:eastAsia="zh-CN"/>
        </w:rPr>
        <w:t>et al</w:t>
      </w:r>
      <w:r w:rsidRPr="00420686">
        <w:rPr>
          <w:rFonts w:ascii="Book Antiqua" w:hAnsi="Book Antiqua" w:cs="Times New Roman"/>
          <w:sz w:val="24"/>
          <w:szCs w:val="24"/>
        </w:rPr>
        <w:t>. Epidermal targeting for atopic disease therapy</w:t>
      </w:r>
    </w:p>
    <w:p w:rsidR="008B389C" w:rsidRPr="00420686" w:rsidRDefault="008B389C" w:rsidP="00420686">
      <w:pPr>
        <w:spacing w:after="0" w:line="360" w:lineRule="auto"/>
        <w:jc w:val="both"/>
        <w:rPr>
          <w:rFonts w:ascii="Book Antiqua" w:hAnsi="Book Antiqua" w:cs="Times New Roman"/>
          <w:sz w:val="24"/>
          <w:szCs w:val="24"/>
          <w:lang w:eastAsia="zh-CN"/>
        </w:rPr>
      </w:pPr>
    </w:p>
    <w:p w:rsidR="008B389C" w:rsidRPr="00420686" w:rsidRDefault="00C374AC" w:rsidP="00420686">
      <w:pPr>
        <w:spacing w:after="0" w:line="360" w:lineRule="auto"/>
        <w:jc w:val="both"/>
        <w:rPr>
          <w:rFonts w:ascii="Book Antiqua" w:hAnsi="Book Antiqua" w:cs="Times New Roman"/>
          <w:sz w:val="24"/>
          <w:szCs w:val="24"/>
          <w:lang w:val="fr-FR" w:eastAsia="zh-CN"/>
        </w:rPr>
      </w:pPr>
      <w:r>
        <w:rPr>
          <w:rFonts w:ascii="Book Antiqua" w:hAnsi="Book Antiqua" w:cs="Times New Roman"/>
          <w:sz w:val="24"/>
          <w:szCs w:val="24"/>
          <w:lang w:val="fr-FR"/>
        </w:rPr>
        <w:t>Rachel M</w:t>
      </w:r>
      <w:r w:rsidR="008B389C" w:rsidRPr="00420686">
        <w:rPr>
          <w:rFonts w:ascii="Book Antiqua" w:hAnsi="Book Antiqua" w:cs="Times New Roman"/>
          <w:sz w:val="24"/>
          <w:szCs w:val="24"/>
          <w:lang w:val="fr-FR"/>
        </w:rPr>
        <w:t>C Gillespie, Sara J Brown</w:t>
      </w:r>
    </w:p>
    <w:p w:rsidR="008B389C" w:rsidRPr="00420686" w:rsidRDefault="008B389C" w:rsidP="00420686">
      <w:pPr>
        <w:spacing w:after="0" w:line="360" w:lineRule="auto"/>
        <w:jc w:val="both"/>
        <w:rPr>
          <w:rFonts w:ascii="Book Antiqua" w:hAnsi="Book Antiqua" w:cs="Times New Roman"/>
          <w:sz w:val="24"/>
          <w:szCs w:val="24"/>
          <w:lang w:val="fr-FR" w:eastAsia="zh-CN"/>
        </w:rPr>
      </w:pPr>
    </w:p>
    <w:p w:rsidR="00420686" w:rsidRDefault="00815E81"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b/>
          <w:sz w:val="24"/>
          <w:szCs w:val="24"/>
        </w:rPr>
        <w:t>Rachel MC</w:t>
      </w:r>
      <w:r w:rsidR="008B389C" w:rsidRPr="00420686">
        <w:rPr>
          <w:rFonts w:ascii="Book Antiqua" w:hAnsi="Book Antiqua" w:cs="Times New Roman"/>
          <w:b/>
          <w:sz w:val="24"/>
          <w:szCs w:val="24"/>
        </w:rPr>
        <w:t xml:space="preserve"> Gillespie,</w:t>
      </w:r>
      <w:r w:rsidR="008B389C" w:rsidRPr="00420686">
        <w:rPr>
          <w:rFonts w:ascii="Book Antiqua" w:hAnsi="Book Antiqua"/>
          <w:i/>
          <w:sz w:val="24"/>
          <w:szCs w:val="24"/>
        </w:rPr>
        <w:t xml:space="preserve"> </w:t>
      </w:r>
      <w:r w:rsidRPr="00420686">
        <w:rPr>
          <w:rFonts w:ascii="Book Antiqua" w:hAnsi="Book Antiqua" w:cs="Times New Roman"/>
          <w:b/>
          <w:sz w:val="24"/>
          <w:szCs w:val="24"/>
        </w:rPr>
        <w:t>Sara J</w:t>
      </w:r>
      <w:r w:rsidR="008B389C" w:rsidRPr="00420686">
        <w:rPr>
          <w:rFonts w:ascii="Book Antiqua" w:hAnsi="Book Antiqua" w:cs="Times New Roman"/>
          <w:b/>
          <w:sz w:val="24"/>
          <w:szCs w:val="24"/>
        </w:rPr>
        <w:t xml:space="preserve"> Brown, </w:t>
      </w:r>
      <w:bookmarkStart w:id="0" w:name="aff1"/>
      <w:bookmarkEnd w:id="0"/>
      <w:r w:rsidR="008B389C" w:rsidRPr="00420686">
        <w:rPr>
          <w:rFonts w:ascii="Book Antiqua" w:hAnsi="Book Antiqua" w:cs="Times New Roman"/>
          <w:sz w:val="24"/>
          <w:szCs w:val="24"/>
        </w:rPr>
        <w:t xml:space="preserve">Dermatology </w:t>
      </w:r>
      <w:r w:rsidR="002172E5">
        <w:rPr>
          <w:rFonts w:ascii="Book Antiqua" w:hAnsi="Book Antiqua" w:cs="Times New Roman" w:hint="eastAsia"/>
          <w:sz w:val="24"/>
          <w:szCs w:val="24"/>
          <w:lang w:eastAsia="zh-CN"/>
        </w:rPr>
        <w:t>and</w:t>
      </w:r>
      <w:r w:rsidR="008B389C" w:rsidRPr="00420686">
        <w:rPr>
          <w:rFonts w:ascii="Book Antiqua" w:hAnsi="Book Antiqua" w:cs="Times New Roman"/>
          <w:sz w:val="24"/>
          <w:szCs w:val="24"/>
        </w:rPr>
        <w:t xml:space="preserve"> Genetic Medicine, College of Medicine, Dentistry </w:t>
      </w:r>
      <w:r w:rsidR="002172E5">
        <w:rPr>
          <w:rFonts w:ascii="Book Antiqua" w:hAnsi="Book Antiqua" w:cs="Times New Roman" w:hint="eastAsia"/>
          <w:sz w:val="24"/>
          <w:szCs w:val="24"/>
          <w:lang w:eastAsia="zh-CN"/>
        </w:rPr>
        <w:t>and</w:t>
      </w:r>
      <w:r w:rsidR="008B389C" w:rsidRPr="00420686">
        <w:rPr>
          <w:rFonts w:ascii="Book Antiqua" w:hAnsi="Book Antiqua" w:cs="Times New Roman"/>
          <w:sz w:val="24"/>
          <w:szCs w:val="24"/>
        </w:rPr>
        <w:t xml:space="preserve"> Nursing, University of Dundee, James Arrott Drive,</w:t>
      </w:r>
      <w:r w:rsidR="00420686">
        <w:rPr>
          <w:rFonts w:ascii="Book Antiqua" w:hAnsi="Book Antiqua" w:cs="Times New Roman" w:hint="eastAsia"/>
          <w:sz w:val="24"/>
          <w:szCs w:val="24"/>
          <w:lang w:eastAsia="zh-CN"/>
        </w:rPr>
        <w:t xml:space="preserve"> </w:t>
      </w:r>
      <w:r w:rsidR="00420686" w:rsidRPr="00420686">
        <w:rPr>
          <w:rFonts w:ascii="Book Antiqua" w:hAnsi="Book Antiqua" w:cs="Times New Roman"/>
          <w:sz w:val="24"/>
          <w:szCs w:val="24"/>
        </w:rPr>
        <w:t>Dundee DD1 5EH, United Kingdom</w:t>
      </w:r>
    </w:p>
    <w:p w:rsidR="00420686" w:rsidRDefault="00420686" w:rsidP="00420686">
      <w:pPr>
        <w:spacing w:after="0" w:line="360" w:lineRule="auto"/>
        <w:jc w:val="both"/>
        <w:rPr>
          <w:rFonts w:ascii="Book Antiqua" w:hAnsi="Book Antiqua" w:cs="Times New Roman"/>
          <w:sz w:val="24"/>
          <w:szCs w:val="24"/>
          <w:lang w:eastAsia="zh-CN"/>
        </w:rPr>
      </w:pPr>
    </w:p>
    <w:p w:rsidR="008B389C" w:rsidRDefault="00420686"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b/>
          <w:sz w:val="24"/>
          <w:szCs w:val="24"/>
        </w:rPr>
        <w:t>Rachel MC Gillespie,</w:t>
      </w:r>
      <w:r w:rsidRPr="00420686">
        <w:rPr>
          <w:rFonts w:ascii="Book Antiqua" w:hAnsi="Book Antiqua"/>
          <w:i/>
          <w:sz w:val="24"/>
          <w:szCs w:val="24"/>
        </w:rPr>
        <w:t xml:space="preserve"> </w:t>
      </w:r>
      <w:r w:rsidRPr="00420686">
        <w:rPr>
          <w:rFonts w:ascii="Book Antiqua" w:hAnsi="Book Antiqua" w:cs="Times New Roman"/>
          <w:b/>
          <w:sz w:val="24"/>
          <w:szCs w:val="24"/>
        </w:rPr>
        <w:t>Sara J Brown,</w:t>
      </w:r>
      <w:r w:rsidR="008B389C" w:rsidRPr="00420686">
        <w:rPr>
          <w:rFonts w:ascii="Book Antiqua" w:hAnsi="Book Antiqua" w:cs="Times New Roman"/>
          <w:sz w:val="24"/>
          <w:szCs w:val="24"/>
        </w:rPr>
        <w:t xml:space="preserve"> Ninewells Hospital and Medical School, Dundee DD1 9SY Scotland, U</w:t>
      </w:r>
      <w:r w:rsidRPr="00420686">
        <w:rPr>
          <w:rFonts w:ascii="Book Antiqua" w:hAnsi="Book Antiqua" w:cs="Times New Roman"/>
          <w:sz w:val="24"/>
          <w:szCs w:val="24"/>
          <w:lang w:eastAsia="zh-CN"/>
        </w:rPr>
        <w:t>nited Kingdom</w:t>
      </w:r>
    </w:p>
    <w:p w:rsidR="00815E81" w:rsidRPr="00420686" w:rsidRDefault="00815E81" w:rsidP="00420686">
      <w:pPr>
        <w:spacing w:after="0" w:line="360" w:lineRule="auto"/>
        <w:jc w:val="both"/>
        <w:rPr>
          <w:rFonts w:ascii="Book Antiqua" w:hAnsi="Book Antiqua"/>
          <w:i/>
          <w:sz w:val="24"/>
          <w:szCs w:val="24"/>
          <w:lang w:eastAsia="zh-CN"/>
        </w:rPr>
      </w:pPr>
    </w:p>
    <w:p w:rsidR="008B389C" w:rsidRPr="00420686" w:rsidRDefault="008B389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b/>
          <w:sz w:val="24"/>
          <w:szCs w:val="24"/>
        </w:rPr>
        <w:t>Author contributions:</w:t>
      </w:r>
      <w:r w:rsidRPr="00420686">
        <w:rPr>
          <w:rFonts w:ascii="Book Antiqua" w:hAnsi="Book Antiqua" w:cs="Times New Roman"/>
          <w:sz w:val="24"/>
          <w:szCs w:val="24"/>
        </w:rPr>
        <w:t xml:space="preserve"> Gillespie RMC performed the literature review, drafted the article and created the figures. Brown SJ supervised the work, reviewed and revised the manuscript and figures, and provided the clinical images with patient/parental consent. </w:t>
      </w:r>
    </w:p>
    <w:p w:rsidR="00815E81" w:rsidRPr="00420686" w:rsidRDefault="00815E81" w:rsidP="00420686">
      <w:pPr>
        <w:spacing w:after="0" w:line="360" w:lineRule="auto"/>
        <w:jc w:val="both"/>
        <w:rPr>
          <w:rFonts w:ascii="Book Antiqua" w:hAnsi="Book Antiqua" w:cs="Times New Roman"/>
          <w:sz w:val="24"/>
          <w:szCs w:val="24"/>
          <w:lang w:eastAsia="zh-CN"/>
        </w:rPr>
      </w:pPr>
    </w:p>
    <w:p w:rsidR="00420686" w:rsidRPr="00420686" w:rsidRDefault="00420686" w:rsidP="00420686">
      <w:pPr>
        <w:spacing w:after="0" w:line="360" w:lineRule="auto"/>
        <w:jc w:val="both"/>
        <w:rPr>
          <w:rFonts w:ascii="Book Antiqua" w:hAnsi="Book Antiqua" w:cs="Times New Roman"/>
          <w:sz w:val="24"/>
          <w:szCs w:val="24"/>
          <w:lang w:eastAsia="zh-CN"/>
        </w:rPr>
      </w:pPr>
      <w:r w:rsidRPr="00420686">
        <w:rPr>
          <w:rFonts w:ascii="Book Antiqua" w:hAnsi="Book Antiqua"/>
          <w:b/>
          <w:sz w:val="24"/>
          <w:szCs w:val="24"/>
          <w:lang w:eastAsia="zh-CN"/>
        </w:rPr>
        <w:t xml:space="preserve">Supported by </w:t>
      </w:r>
      <w:r w:rsidRPr="00420686">
        <w:rPr>
          <w:rFonts w:ascii="Book Antiqua" w:hAnsi="Book Antiqua" w:cs="Times New Roman"/>
          <w:sz w:val="24"/>
          <w:szCs w:val="24"/>
        </w:rPr>
        <w:t>Wellcome Trust Intermediate Clin</w:t>
      </w:r>
      <w:r>
        <w:rPr>
          <w:rFonts w:ascii="Book Antiqua" w:hAnsi="Book Antiqua" w:cs="Times New Roman"/>
          <w:sz w:val="24"/>
          <w:szCs w:val="24"/>
        </w:rPr>
        <w:t>ical Fellowship</w:t>
      </w:r>
      <w:r w:rsidR="002172E5">
        <w:rPr>
          <w:rFonts w:ascii="Book Antiqua" w:hAnsi="Book Antiqua" w:cs="Times New Roman" w:hint="eastAsia"/>
          <w:sz w:val="24"/>
          <w:szCs w:val="24"/>
          <w:lang w:eastAsia="zh-CN"/>
        </w:rPr>
        <w:t xml:space="preserve">, No. </w:t>
      </w:r>
      <w:r w:rsidR="002172E5">
        <w:rPr>
          <w:rFonts w:ascii="Book Antiqua" w:hAnsi="Book Antiqua" w:cs="Times New Roman"/>
          <w:sz w:val="24"/>
          <w:szCs w:val="24"/>
        </w:rPr>
        <w:t>086398/Z/08/Z</w:t>
      </w:r>
    </w:p>
    <w:p w:rsidR="00420686" w:rsidRPr="00420686" w:rsidRDefault="00420686" w:rsidP="00420686">
      <w:pPr>
        <w:spacing w:after="0" w:line="360" w:lineRule="auto"/>
        <w:jc w:val="both"/>
        <w:rPr>
          <w:rFonts w:ascii="Book Antiqua" w:hAnsi="Book Antiqua"/>
          <w:b/>
          <w:sz w:val="24"/>
          <w:szCs w:val="24"/>
          <w:lang w:eastAsia="zh-CN"/>
        </w:rPr>
      </w:pPr>
    </w:p>
    <w:p w:rsidR="00420686" w:rsidRPr="00420686" w:rsidRDefault="00420686" w:rsidP="00420686">
      <w:pPr>
        <w:pStyle w:val="BodyTextIndent"/>
        <w:spacing w:after="0" w:line="360" w:lineRule="auto"/>
        <w:ind w:leftChars="0" w:left="0"/>
        <w:rPr>
          <w:rFonts w:eastAsia="宋体"/>
          <w:sz w:val="24"/>
          <w:szCs w:val="24"/>
          <w:lang w:eastAsia="zh-CN"/>
        </w:rPr>
      </w:pPr>
      <w:r w:rsidRPr="00420686">
        <w:rPr>
          <w:rFonts w:eastAsia="Times New Roman" w:cs="Gulim"/>
          <w:b/>
          <w:color w:val="000000"/>
          <w:sz w:val="24"/>
          <w:szCs w:val="24"/>
        </w:rPr>
        <w:t>Conflict-of-interest</w:t>
      </w:r>
      <w:r w:rsidRPr="00420686">
        <w:rPr>
          <w:rFonts w:cs="Gulim"/>
          <w:b/>
          <w:color w:val="000000"/>
          <w:sz w:val="24"/>
          <w:szCs w:val="24"/>
          <w:lang w:eastAsia="zh-CN"/>
        </w:rPr>
        <w:t>:</w:t>
      </w:r>
      <w:r w:rsidRPr="00420686">
        <w:rPr>
          <w:rFonts w:eastAsia="宋体" w:cs="Gulim"/>
          <w:b/>
          <w:color w:val="000000"/>
          <w:sz w:val="24"/>
          <w:szCs w:val="24"/>
          <w:lang w:eastAsia="zh-CN"/>
        </w:rPr>
        <w:t xml:space="preserve"> </w:t>
      </w:r>
      <w:r w:rsidRPr="00420686">
        <w:rPr>
          <w:sz w:val="24"/>
          <w:szCs w:val="24"/>
        </w:rPr>
        <w:t>The authors declare that they have no competing interests.</w:t>
      </w:r>
    </w:p>
    <w:p w:rsidR="00420686" w:rsidRPr="00420686" w:rsidRDefault="00420686" w:rsidP="00420686">
      <w:pPr>
        <w:pStyle w:val="CommentText"/>
        <w:adjustRightInd w:val="0"/>
        <w:snapToGrid w:val="0"/>
        <w:spacing w:after="0" w:line="360" w:lineRule="auto"/>
        <w:jc w:val="both"/>
        <w:rPr>
          <w:rFonts w:ascii="Book Antiqua" w:hAnsi="Book Antiqua" w:cs="Gulim"/>
          <w:b/>
          <w:color w:val="000000"/>
          <w:sz w:val="24"/>
          <w:szCs w:val="24"/>
          <w:lang w:eastAsia="zh-CN"/>
        </w:rPr>
      </w:pPr>
      <w:r w:rsidRPr="00420686">
        <w:rPr>
          <w:rFonts w:ascii="Book Antiqua" w:eastAsia="Times New Roman" w:hAnsi="Book Antiqua" w:cs="Gulim"/>
          <w:b/>
          <w:color w:val="000000"/>
          <w:sz w:val="24"/>
          <w:szCs w:val="24"/>
        </w:rPr>
        <w:t xml:space="preserve"> </w:t>
      </w:r>
    </w:p>
    <w:p w:rsidR="00420686" w:rsidRPr="00420686" w:rsidRDefault="00420686" w:rsidP="00420686">
      <w:pPr>
        <w:spacing w:after="0" w:line="360" w:lineRule="auto"/>
        <w:jc w:val="both"/>
        <w:rPr>
          <w:rFonts w:ascii="Book Antiqua" w:hAnsi="Book Antiqua" w:cs="宋体"/>
          <w:sz w:val="24"/>
          <w:szCs w:val="24"/>
        </w:rPr>
      </w:pPr>
      <w:r w:rsidRPr="00420686">
        <w:rPr>
          <w:rFonts w:ascii="Book Antiqua" w:hAnsi="Book Antiqua"/>
          <w:b/>
          <w:color w:val="000000"/>
          <w:sz w:val="24"/>
          <w:szCs w:val="24"/>
        </w:rPr>
        <w:t xml:space="preserve">Open-Access: </w:t>
      </w:r>
      <w:r w:rsidRPr="00420686">
        <w:rPr>
          <w:rFonts w:ascii="Book Antiqua" w:hAnsi="Book Antiqua"/>
          <w:color w:val="000000"/>
          <w:sz w:val="24"/>
          <w:szCs w:val="24"/>
        </w:rPr>
        <w:t xml:space="preserve">This article is an </w:t>
      </w:r>
      <w:r w:rsidRPr="00420686">
        <w:rPr>
          <w:rFonts w:ascii="Book Antiqua" w:hAnsi="Book Antiqua" w:cs="宋体"/>
          <w:sz w:val="24"/>
          <w:szCs w:val="24"/>
        </w:rPr>
        <w:t xml:space="preserve">open-access article which </w:t>
      </w:r>
      <w:r w:rsidRPr="00420686">
        <w:rPr>
          <w:rFonts w:ascii="Book Antiqua" w:hAnsi="Book Antiqua"/>
          <w:sz w:val="24"/>
          <w:szCs w:val="24"/>
        </w:rPr>
        <w:t xml:space="preserve">selected by an in-house editor and fully peer-reviewed by external reviewers. It </w:t>
      </w:r>
      <w:r w:rsidRPr="00420686">
        <w:rPr>
          <w:rFonts w:ascii="Book Antiqua" w:hAnsi="Book Antiqua" w:cs="宋体"/>
          <w:sz w:val="24"/>
          <w:szCs w:val="24"/>
        </w:rPr>
        <w:t xml:space="preserve">distributed in accordance with </w:t>
      </w:r>
      <w:r w:rsidRPr="00420686">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w:t>
      </w:r>
      <w:r w:rsidRPr="00420686">
        <w:rPr>
          <w:rFonts w:ascii="Book Antiqua" w:hAnsi="Book Antiqua"/>
          <w:sz w:val="24"/>
          <w:szCs w:val="24"/>
        </w:rPr>
        <w:lastRenderedPageBreak/>
        <w:t>provided the original work is properly cited and the use is non-commercial. See: http://creativecommons.org/licenses/by-nc/4.0/</w:t>
      </w:r>
    </w:p>
    <w:p w:rsidR="00420686" w:rsidRPr="00420686" w:rsidRDefault="00420686" w:rsidP="00420686">
      <w:pPr>
        <w:spacing w:after="0" w:line="360" w:lineRule="auto"/>
        <w:jc w:val="both"/>
        <w:rPr>
          <w:rFonts w:ascii="Book Antiqua" w:hAnsi="Book Antiqua"/>
          <w:b/>
          <w:sz w:val="24"/>
          <w:szCs w:val="24"/>
          <w:lang w:eastAsia="zh-CN"/>
        </w:rPr>
      </w:pPr>
    </w:p>
    <w:p w:rsidR="00420686" w:rsidRPr="00420686" w:rsidRDefault="00420686" w:rsidP="00420686">
      <w:pPr>
        <w:spacing w:after="0" w:line="360" w:lineRule="auto"/>
        <w:jc w:val="both"/>
        <w:rPr>
          <w:rFonts w:ascii="Book Antiqua" w:hAnsi="Book Antiqua" w:cs="Times New Roman"/>
          <w:sz w:val="24"/>
          <w:szCs w:val="24"/>
          <w:lang w:eastAsia="zh-CN"/>
        </w:rPr>
      </w:pPr>
      <w:bookmarkStart w:id="1" w:name="OLE_LINK1"/>
      <w:bookmarkStart w:id="2" w:name="OLE_LINK2"/>
      <w:r w:rsidRPr="00420686">
        <w:rPr>
          <w:rFonts w:ascii="Book Antiqua" w:hAnsi="Book Antiqua"/>
          <w:b/>
          <w:color w:val="000000"/>
          <w:sz w:val="24"/>
          <w:szCs w:val="24"/>
        </w:rPr>
        <w:t>Correspondence to:</w:t>
      </w:r>
      <w:r w:rsidRPr="00420686">
        <w:rPr>
          <w:rFonts w:ascii="Book Antiqua" w:hAnsi="Book Antiqua"/>
          <w:b/>
          <w:color w:val="000000"/>
          <w:sz w:val="24"/>
          <w:szCs w:val="24"/>
          <w:lang w:eastAsia="zh-CN"/>
        </w:rPr>
        <w:t xml:space="preserve"> </w:t>
      </w:r>
      <w:r w:rsidRPr="00420686">
        <w:rPr>
          <w:rFonts w:ascii="Book Antiqua" w:hAnsi="Book Antiqua" w:cs="Times New Roman"/>
          <w:b/>
          <w:sz w:val="24"/>
          <w:szCs w:val="24"/>
        </w:rPr>
        <w:t>Sara J Brown, MD,</w:t>
      </w:r>
      <w:r w:rsidRPr="00420686">
        <w:rPr>
          <w:rFonts w:ascii="Book Antiqua" w:hAnsi="Book Antiqua" w:cs="Times New Roman"/>
          <w:sz w:val="24"/>
          <w:szCs w:val="24"/>
        </w:rPr>
        <w:t xml:space="preserve"> Centre for Dermatology and Genetic Medicine, Division of Molecular Medicine, Colleges of Life Sciences and Medicine, Dentistry </w:t>
      </w:r>
      <w:r w:rsidR="002172E5">
        <w:rPr>
          <w:rFonts w:ascii="Book Antiqua" w:hAnsi="Book Antiqua" w:cs="Times New Roman" w:hint="eastAsia"/>
          <w:sz w:val="24"/>
          <w:szCs w:val="24"/>
          <w:lang w:eastAsia="zh-CN"/>
        </w:rPr>
        <w:t>and</w:t>
      </w:r>
      <w:r w:rsidRPr="00420686">
        <w:rPr>
          <w:rFonts w:ascii="Book Antiqua" w:hAnsi="Book Antiqua" w:cs="Times New Roman"/>
          <w:sz w:val="24"/>
          <w:szCs w:val="24"/>
        </w:rPr>
        <w:t xml:space="preserve"> Nursing, University of Dundee, James Arrott Drive,</w:t>
      </w:r>
      <w:r>
        <w:rPr>
          <w:rFonts w:ascii="Book Antiqua" w:hAnsi="Book Antiqua" w:cs="Times New Roman" w:hint="eastAsia"/>
          <w:sz w:val="24"/>
          <w:szCs w:val="24"/>
          <w:lang w:eastAsia="zh-CN"/>
        </w:rPr>
        <w:t xml:space="preserve"> </w:t>
      </w:r>
      <w:r w:rsidRPr="00420686">
        <w:rPr>
          <w:rFonts w:ascii="Book Antiqua" w:hAnsi="Book Antiqua" w:cs="Times New Roman"/>
          <w:sz w:val="24"/>
          <w:szCs w:val="24"/>
        </w:rPr>
        <w:t xml:space="preserve">Dundee DD1 5EH, United Kingdom. </w:t>
      </w:r>
      <w:hyperlink r:id="rId8" w:history="1">
        <w:r w:rsidRPr="00420686">
          <w:rPr>
            <w:rStyle w:val="Hyperlink"/>
            <w:rFonts w:ascii="Book Antiqua" w:hAnsi="Book Antiqua" w:cs="Times New Roman"/>
            <w:sz w:val="24"/>
            <w:szCs w:val="24"/>
          </w:rPr>
          <w:t>s.j.brown@dundee.ac.uk</w:t>
        </w:r>
      </w:hyperlink>
    </w:p>
    <w:bookmarkEnd w:id="1"/>
    <w:bookmarkEnd w:id="2"/>
    <w:p w:rsidR="00420686" w:rsidRPr="00420686" w:rsidRDefault="00420686" w:rsidP="00420686">
      <w:pPr>
        <w:spacing w:after="0" w:line="360" w:lineRule="auto"/>
        <w:jc w:val="both"/>
        <w:rPr>
          <w:rFonts w:ascii="Book Antiqua" w:hAnsi="Book Antiqua"/>
          <w:b/>
          <w:sz w:val="24"/>
          <w:szCs w:val="24"/>
          <w:lang w:eastAsia="zh-CN"/>
        </w:rPr>
      </w:pPr>
    </w:p>
    <w:p w:rsidR="00420686" w:rsidRPr="00420686" w:rsidRDefault="00420686" w:rsidP="00420686">
      <w:pPr>
        <w:spacing w:after="0" w:line="360" w:lineRule="auto"/>
        <w:jc w:val="both"/>
        <w:rPr>
          <w:rFonts w:ascii="Book Antiqua" w:eastAsia="宋体" w:hAnsi="Book Antiqua" w:cs="Times New Roman"/>
          <w:sz w:val="24"/>
          <w:szCs w:val="24"/>
          <w:lang w:eastAsia="zh-CN"/>
        </w:rPr>
      </w:pPr>
      <w:r w:rsidRPr="00420686">
        <w:rPr>
          <w:rFonts w:ascii="Book Antiqua" w:hAnsi="Book Antiqua" w:cs="Times New Roman"/>
          <w:b/>
          <w:sz w:val="24"/>
          <w:szCs w:val="24"/>
        </w:rPr>
        <w:t>Telephone:</w:t>
      </w:r>
      <w:r w:rsidRPr="00420686">
        <w:rPr>
          <w:rFonts w:ascii="Book Antiqua" w:hAnsi="Book Antiqua" w:cs="Times New Roman"/>
          <w:b/>
          <w:sz w:val="24"/>
          <w:szCs w:val="24"/>
          <w:lang w:eastAsia="zh-CN"/>
        </w:rPr>
        <w:t xml:space="preserve"> </w:t>
      </w:r>
      <w:r w:rsidRPr="00420686">
        <w:rPr>
          <w:rFonts w:ascii="Book Antiqua" w:hAnsi="Book Antiqua" w:cs="Times New Roman"/>
          <w:sz w:val="24"/>
          <w:szCs w:val="24"/>
        </w:rPr>
        <w:t>+44-13-82381056</w:t>
      </w:r>
      <w:r w:rsidRPr="00420686">
        <w:rPr>
          <w:rFonts w:ascii="Book Antiqua" w:eastAsia="宋体" w:hAnsi="Book Antiqua" w:cs="Times New Roman"/>
          <w:sz w:val="24"/>
          <w:szCs w:val="24"/>
          <w:lang w:eastAsia="zh-CN"/>
        </w:rPr>
        <w:tab/>
      </w:r>
      <w:r w:rsidRPr="00420686">
        <w:rPr>
          <w:rFonts w:ascii="Book Antiqua" w:eastAsia="宋体" w:hAnsi="Book Antiqua" w:cs="Times New Roman"/>
          <w:sz w:val="24"/>
          <w:szCs w:val="24"/>
          <w:lang w:eastAsia="zh-CN"/>
        </w:rPr>
        <w:tab/>
      </w:r>
      <w:r w:rsidRPr="00420686">
        <w:rPr>
          <w:rFonts w:ascii="Book Antiqua" w:hAnsi="Book Antiqua" w:cs="Times New Roman"/>
          <w:b/>
          <w:sz w:val="24"/>
          <w:szCs w:val="24"/>
        </w:rPr>
        <w:t>Fax:</w:t>
      </w:r>
      <w:r w:rsidRPr="00420686">
        <w:rPr>
          <w:rFonts w:ascii="Book Antiqua" w:hAnsi="Book Antiqua" w:cs="Times New Roman"/>
          <w:sz w:val="24"/>
          <w:szCs w:val="24"/>
        </w:rPr>
        <w:t xml:space="preserve"> +44</w:t>
      </w:r>
      <w:r w:rsidR="00E36CA1">
        <w:rPr>
          <w:rFonts w:ascii="Book Antiqua" w:hAnsi="Book Antiqua" w:cs="Times New Roman" w:hint="eastAsia"/>
          <w:sz w:val="24"/>
          <w:szCs w:val="24"/>
          <w:lang w:eastAsia="zh-CN"/>
        </w:rPr>
        <w:t>-</w:t>
      </w:r>
      <w:r w:rsidRPr="00420686">
        <w:rPr>
          <w:rFonts w:ascii="Book Antiqua" w:hAnsi="Book Antiqua" w:cs="Times New Roman"/>
          <w:sz w:val="24"/>
          <w:szCs w:val="24"/>
        </w:rPr>
        <w:t>13</w:t>
      </w:r>
      <w:r w:rsidR="00E36CA1">
        <w:rPr>
          <w:rFonts w:ascii="Book Antiqua" w:hAnsi="Book Antiqua" w:cs="Times New Roman" w:hint="eastAsia"/>
          <w:sz w:val="24"/>
          <w:szCs w:val="24"/>
          <w:lang w:eastAsia="zh-CN"/>
        </w:rPr>
        <w:t>-</w:t>
      </w:r>
      <w:r w:rsidR="00E36CA1">
        <w:rPr>
          <w:rFonts w:ascii="Book Antiqua" w:hAnsi="Book Antiqua" w:cs="Times New Roman"/>
          <w:sz w:val="24"/>
          <w:szCs w:val="24"/>
        </w:rPr>
        <w:t>82</w:t>
      </w:r>
      <w:r w:rsidRPr="00420686">
        <w:rPr>
          <w:rFonts w:ascii="Book Antiqua" w:hAnsi="Book Antiqua" w:cs="Times New Roman"/>
          <w:sz w:val="24"/>
          <w:szCs w:val="24"/>
        </w:rPr>
        <w:t>740359</w:t>
      </w:r>
    </w:p>
    <w:p w:rsidR="00420686" w:rsidRPr="00420686" w:rsidRDefault="00420686" w:rsidP="00420686">
      <w:pPr>
        <w:spacing w:after="0" w:line="360" w:lineRule="auto"/>
        <w:jc w:val="both"/>
        <w:rPr>
          <w:rFonts w:ascii="Book Antiqua" w:hAnsi="Book Antiqua"/>
          <w:b/>
          <w:sz w:val="24"/>
          <w:szCs w:val="24"/>
          <w:lang w:eastAsia="zh-CN"/>
        </w:rPr>
      </w:pPr>
      <w:r w:rsidRPr="00420686">
        <w:rPr>
          <w:rFonts w:ascii="Book Antiqua" w:hAnsi="Book Antiqua"/>
          <w:b/>
          <w:sz w:val="24"/>
          <w:szCs w:val="24"/>
        </w:rPr>
        <w:t xml:space="preserve">Received: </w:t>
      </w:r>
      <w:r w:rsidR="00E2427D" w:rsidRPr="00E2427D">
        <w:rPr>
          <w:rFonts w:ascii="Book Antiqua" w:hAnsi="Book Antiqua"/>
          <w:sz w:val="24"/>
          <w:szCs w:val="24"/>
          <w:lang w:eastAsia="zh-CN"/>
        </w:rPr>
        <w:t xml:space="preserve">September </w:t>
      </w:r>
      <w:r w:rsidR="00E2427D" w:rsidRPr="00E2427D">
        <w:rPr>
          <w:rFonts w:ascii="Book Antiqua" w:hAnsi="Book Antiqua" w:hint="eastAsia"/>
          <w:sz w:val="24"/>
          <w:szCs w:val="24"/>
          <w:lang w:eastAsia="zh-CN"/>
        </w:rPr>
        <w:t>21, 2014</w:t>
      </w:r>
    </w:p>
    <w:p w:rsidR="00420686" w:rsidRPr="00420686" w:rsidRDefault="00420686" w:rsidP="00420686">
      <w:pPr>
        <w:spacing w:after="0" w:line="360" w:lineRule="auto"/>
        <w:jc w:val="both"/>
        <w:rPr>
          <w:rFonts w:ascii="Book Antiqua" w:hAnsi="Book Antiqua"/>
          <w:b/>
          <w:sz w:val="24"/>
          <w:szCs w:val="24"/>
          <w:lang w:eastAsia="zh-CN"/>
        </w:rPr>
      </w:pPr>
      <w:r w:rsidRPr="00420686">
        <w:rPr>
          <w:rFonts w:ascii="Book Antiqua" w:hAnsi="Book Antiqua"/>
          <w:b/>
          <w:sz w:val="24"/>
          <w:szCs w:val="24"/>
        </w:rPr>
        <w:t>Peer-review started:</w:t>
      </w:r>
      <w:r>
        <w:rPr>
          <w:rFonts w:ascii="Book Antiqua" w:hAnsi="Book Antiqua" w:hint="eastAsia"/>
          <w:b/>
          <w:sz w:val="24"/>
          <w:szCs w:val="24"/>
          <w:lang w:eastAsia="zh-CN"/>
        </w:rPr>
        <w:t xml:space="preserve"> </w:t>
      </w:r>
      <w:r w:rsidR="00E2427D" w:rsidRPr="00E2427D">
        <w:rPr>
          <w:rFonts w:ascii="Book Antiqua" w:hAnsi="Book Antiqua"/>
          <w:sz w:val="24"/>
          <w:szCs w:val="24"/>
          <w:lang w:eastAsia="zh-CN"/>
        </w:rPr>
        <w:t xml:space="preserve">September </w:t>
      </w:r>
      <w:r w:rsidR="00E2427D" w:rsidRPr="00E2427D">
        <w:rPr>
          <w:rFonts w:ascii="Book Antiqua" w:hAnsi="Book Antiqua" w:hint="eastAsia"/>
          <w:sz w:val="24"/>
          <w:szCs w:val="24"/>
          <w:lang w:eastAsia="zh-CN"/>
        </w:rPr>
        <w:t>2</w:t>
      </w:r>
      <w:r w:rsidR="00E2427D">
        <w:rPr>
          <w:rFonts w:ascii="Book Antiqua" w:hAnsi="Book Antiqua" w:hint="eastAsia"/>
          <w:sz w:val="24"/>
          <w:szCs w:val="24"/>
          <w:lang w:eastAsia="zh-CN"/>
        </w:rPr>
        <w:t>2</w:t>
      </w:r>
      <w:r w:rsidR="00E2427D" w:rsidRPr="00E2427D">
        <w:rPr>
          <w:rFonts w:ascii="Book Antiqua" w:hAnsi="Book Antiqua" w:hint="eastAsia"/>
          <w:sz w:val="24"/>
          <w:szCs w:val="24"/>
          <w:lang w:eastAsia="zh-CN"/>
        </w:rPr>
        <w:t>, 2014</w:t>
      </w:r>
    </w:p>
    <w:p w:rsidR="00420686" w:rsidRPr="00420686" w:rsidRDefault="00420686" w:rsidP="00420686">
      <w:pPr>
        <w:spacing w:after="0" w:line="360" w:lineRule="auto"/>
        <w:jc w:val="both"/>
        <w:rPr>
          <w:rFonts w:ascii="Book Antiqua" w:hAnsi="Book Antiqua"/>
          <w:b/>
          <w:sz w:val="24"/>
          <w:szCs w:val="24"/>
          <w:lang w:eastAsia="zh-CN"/>
        </w:rPr>
      </w:pPr>
      <w:r w:rsidRPr="00420686">
        <w:rPr>
          <w:rFonts w:ascii="Book Antiqua" w:hAnsi="Book Antiqua"/>
          <w:b/>
          <w:sz w:val="24"/>
          <w:szCs w:val="24"/>
        </w:rPr>
        <w:t>First decision:</w:t>
      </w:r>
      <w:r>
        <w:rPr>
          <w:rFonts w:ascii="Book Antiqua" w:hAnsi="Book Antiqua" w:hint="eastAsia"/>
          <w:b/>
          <w:sz w:val="24"/>
          <w:szCs w:val="24"/>
          <w:lang w:eastAsia="zh-CN"/>
        </w:rPr>
        <w:t xml:space="preserve"> </w:t>
      </w:r>
      <w:r w:rsidR="00E2427D" w:rsidRPr="00E2427D">
        <w:rPr>
          <w:rFonts w:ascii="Book Antiqua" w:hAnsi="Book Antiqua"/>
          <w:sz w:val="24"/>
          <w:szCs w:val="24"/>
          <w:lang w:eastAsia="zh-CN"/>
        </w:rPr>
        <w:t xml:space="preserve">November </w:t>
      </w:r>
      <w:r w:rsidR="00E2427D" w:rsidRPr="00E2427D">
        <w:rPr>
          <w:rFonts w:ascii="Book Antiqua" w:hAnsi="Book Antiqua" w:hint="eastAsia"/>
          <w:sz w:val="24"/>
          <w:szCs w:val="24"/>
          <w:lang w:eastAsia="zh-CN"/>
        </w:rPr>
        <w:t>1, 2014</w:t>
      </w:r>
    </w:p>
    <w:p w:rsidR="00420686" w:rsidRPr="00E2427D" w:rsidRDefault="00420686" w:rsidP="00420686">
      <w:pPr>
        <w:spacing w:after="0" w:line="360" w:lineRule="auto"/>
        <w:jc w:val="both"/>
        <w:rPr>
          <w:rFonts w:ascii="Book Antiqua" w:hAnsi="Book Antiqua"/>
          <w:b/>
          <w:sz w:val="24"/>
          <w:szCs w:val="24"/>
          <w:lang w:eastAsia="zh-CN"/>
        </w:rPr>
      </w:pPr>
      <w:r>
        <w:rPr>
          <w:rFonts w:ascii="Book Antiqua" w:hAnsi="Book Antiqua"/>
          <w:b/>
          <w:sz w:val="24"/>
          <w:szCs w:val="24"/>
        </w:rPr>
        <w:t xml:space="preserve">Revised: </w:t>
      </w:r>
      <w:r w:rsidR="00E2427D" w:rsidRPr="00E2427D">
        <w:rPr>
          <w:rFonts w:ascii="Book Antiqua" w:hAnsi="Book Antiqua"/>
          <w:sz w:val="24"/>
          <w:szCs w:val="24"/>
          <w:lang w:eastAsia="zh-CN"/>
        </w:rPr>
        <w:t xml:space="preserve">November </w:t>
      </w:r>
      <w:r w:rsidR="00E2427D">
        <w:rPr>
          <w:rFonts w:ascii="Book Antiqua" w:hAnsi="Book Antiqua" w:hint="eastAsia"/>
          <w:sz w:val="24"/>
          <w:szCs w:val="24"/>
          <w:lang w:eastAsia="zh-CN"/>
        </w:rPr>
        <w:t>29</w:t>
      </w:r>
      <w:r w:rsidR="00E2427D" w:rsidRPr="00E2427D">
        <w:rPr>
          <w:rFonts w:ascii="Book Antiqua" w:hAnsi="Book Antiqua" w:hint="eastAsia"/>
          <w:sz w:val="24"/>
          <w:szCs w:val="24"/>
          <w:lang w:eastAsia="zh-CN"/>
        </w:rPr>
        <w:t>, 2014</w:t>
      </w:r>
    </w:p>
    <w:p w:rsidR="00420686" w:rsidRPr="00420686" w:rsidRDefault="00420686" w:rsidP="00420686">
      <w:pPr>
        <w:spacing w:after="0" w:line="360" w:lineRule="auto"/>
        <w:jc w:val="both"/>
        <w:rPr>
          <w:rFonts w:ascii="Book Antiqua" w:hAnsi="Book Antiqua"/>
          <w:b/>
          <w:sz w:val="24"/>
          <w:szCs w:val="24"/>
        </w:rPr>
      </w:pPr>
      <w:r w:rsidRPr="00420686">
        <w:rPr>
          <w:rFonts w:ascii="Book Antiqua" w:hAnsi="Book Antiqua"/>
          <w:b/>
          <w:sz w:val="24"/>
          <w:szCs w:val="24"/>
        </w:rPr>
        <w:t xml:space="preserve">Accepted: </w:t>
      </w:r>
      <w:r w:rsidR="00735AF7" w:rsidRPr="00735AF7">
        <w:rPr>
          <w:rFonts w:ascii="Book Antiqua" w:hAnsi="Book Antiqua"/>
          <w:sz w:val="24"/>
          <w:szCs w:val="24"/>
        </w:rPr>
        <w:t>December 16, 2014</w:t>
      </w:r>
      <w:r w:rsidRPr="00420686">
        <w:rPr>
          <w:rFonts w:ascii="Book Antiqua" w:hAnsi="Book Antiqua"/>
          <w:b/>
          <w:sz w:val="24"/>
          <w:szCs w:val="24"/>
        </w:rPr>
        <w:t xml:space="preserve"> </w:t>
      </w:r>
    </w:p>
    <w:p w:rsidR="00420686" w:rsidRPr="00420686" w:rsidRDefault="00420686" w:rsidP="00420686">
      <w:pPr>
        <w:spacing w:after="0" w:line="360" w:lineRule="auto"/>
        <w:jc w:val="both"/>
        <w:rPr>
          <w:rFonts w:ascii="Book Antiqua" w:hAnsi="Book Antiqua"/>
          <w:b/>
          <w:sz w:val="24"/>
          <w:szCs w:val="24"/>
        </w:rPr>
      </w:pPr>
      <w:r w:rsidRPr="00420686">
        <w:rPr>
          <w:rFonts w:ascii="Book Antiqua" w:hAnsi="Book Antiqua"/>
          <w:b/>
          <w:sz w:val="24"/>
          <w:szCs w:val="24"/>
        </w:rPr>
        <w:t>Article in press:</w:t>
      </w:r>
    </w:p>
    <w:p w:rsidR="00420686" w:rsidRPr="00420686" w:rsidRDefault="00420686" w:rsidP="00420686">
      <w:pPr>
        <w:spacing w:after="0" w:line="360" w:lineRule="auto"/>
        <w:jc w:val="both"/>
        <w:rPr>
          <w:rFonts w:ascii="Book Antiqua" w:hAnsi="Book Antiqua"/>
          <w:b/>
          <w:sz w:val="24"/>
          <w:szCs w:val="24"/>
        </w:rPr>
      </w:pPr>
      <w:r w:rsidRPr="00420686">
        <w:rPr>
          <w:rFonts w:ascii="Book Antiqua" w:hAnsi="Book Antiqua"/>
          <w:b/>
          <w:sz w:val="24"/>
          <w:szCs w:val="24"/>
        </w:rPr>
        <w:t xml:space="preserve">Published online: </w:t>
      </w:r>
    </w:p>
    <w:p w:rsidR="00420686" w:rsidRPr="00420686" w:rsidRDefault="00420686" w:rsidP="00420686">
      <w:pPr>
        <w:pStyle w:val="BodyText"/>
        <w:adjustRightInd w:val="0"/>
        <w:snapToGrid w:val="0"/>
        <w:spacing w:line="360" w:lineRule="auto"/>
        <w:rPr>
          <w:rFonts w:ascii="Book Antiqua" w:hAnsi="Book Antiqua"/>
          <w:b/>
          <w:color w:val="000000"/>
        </w:rPr>
      </w:pPr>
    </w:p>
    <w:p w:rsidR="008B389C" w:rsidRPr="00420686" w:rsidRDefault="008B389C" w:rsidP="00420686">
      <w:pPr>
        <w:spacing w:after="0" w:line="360" w:lineRule="auto"/>
        <w:jc w:val="both"/>
        <w:rPr>
          <w:rFonts w:ascii="Book Antiqua" w:hAnsi="Book Antiqua" w:cs="Times New Roman"/>
          <w:b/>
          <w:color w:val="000000" w:themeColor="text1"/>
          <w:sz w:val="24"/>
          <w:szCs w:val="24"/>
        </w:rPr>
      </w:pPr>
      <w:r w:rsidRPr="00420686">
        <w:rPr>
          <w:rFonts w:ascii="Book Antiqua" w:hAnsi="Book Antiqua" w:cs="Times New Roman"/>
          <w:b/>
          <w:color w:val="000000" w:themeColor="text1"/>
          <w:sz w:val="24"/>
          <w:szCs w:val="24"/>
        </w:rPr>
        <w:t>Abstract</w:t>
      </w:r>
    </w:p>
    <w:p w:rsidR="008B389C" w:rsidRPr="00420686" w:rsidRDefault="008B389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sz w:val="24"/>
          <w:szCs w:val="24"/>
        </w:rPr>
        <w:t xml:space="preserve">Atopic dermatitis (AD) is a chronic inflammatory skin disorder which can precede asthma and allergic rhinitis in a disease trajectory known as the atopic march. The pathophysiology of AD includes cutaneous inflammation, disrupted epidermal barrier function, xerosis and propensity to secondary infections. AD had previously been thought to arise from the systemic atopic immune response and therapies are therefore directed towards ameliorating Th2-mediated inflammation. However in recent years the focus has shifted towards primary defects in the skin barrier as an initiating event in AD. Links between loss-of-function variants in the gene encoding filaggrin and disrupted activity of epidermal serine proteases and AD have been reported. Based on these observations, a mechanism has been described by which epidermal barrier dysfunction may lead to inflammation and allergic sensitization. Exogenous and endogenous stressors can further exacerbate inherited barrier abnormalities to promote disease activity. Pathways underlying progression of the atopic march remain unclear, but recent findings implicate thymic stromal lymphophoietin as a factor linking AD to subsequent airway inflammation in asthma. This new appreciation of the epidermis in the development of AD should lead to deployment of more specific strategies to restore barrier function in atopic patients and potentially halt the atopic march. </w:t>
      </w:r>
    </w:p>
    <w:p w:rsidR="00815E81" w:rsidRDefault="00815E81" w:rsidP="00420686">
      <w:pPr>
        <w:spacing w:after="0" w:line="360" w:lineRule="auto"/>
        <w:jc w:val="both"/>
        <w:rPr>
          <w:rFonts w:ascii="Book Antiqua" w:hAnsi="Book Antiqua" w:cs="Times New Roman"/>
          <w:sz w:val="24"/>
          <w:szCs w:val="24"/>
          <w:lang w:eastAsia="zh-CN"/>
        </w:rPr>
      </w:pPr>
    </w:p>
    <w:p w:rsidR="00837A12" w:rsidRDefault="00837A12" w:rsidP="00837A12">
      <w:pPr>
        <w:spacing w:line="360" w:lineRule="auto"/>
        <w:jc w:val="both"/>
        <w:rPr>
          <w:rFonts w:ascii="Book Antiqua" w:hAnsi="Book Antiqua"/>
          <w:i/>
          <w:iCs/>
          <w:sz w:val="24"/>
          <w:szCs w:val="24"/>
        </w:rPr>
      </w:pPr>
      <w:r>
        <w:rPr>
          <w:rFonts w:ascii="Book Antiqua" w:hAnsi="Book Antiqua" w:cs="Tahoma"/>
          <w:color w:val="000000"/>
          <w:sz w:val="24"/>
          <w:szCs w:val="24"/>
          <w:lang w:eastAsia="ja-JP"/>
        </w:rPr>
        <w:t xml:space="preserve">© </w:t>
      </w:r>
      <w:r>
        <w:rPr>
          <w:rFonts w:ascii="Book Antiqua" w:eastAsia="AdvTimes" w:hAnsi="Book Antiqua" w:cs="AdvTimes"/>
          <w:color w:val="000000"/>
          <w:sz w:val="24"/>
          <w:szCs w:val="24"/>
          <w:lang w:val="fr-FR" w:eastAsia="ja-JP"/>
        </w:rPr>
        <w:t xml:space="preserve">The Author(s) 2015. Published by </w:t>
      </w:r>
      <w:r>
        <w:rPr>
          <w:rFonts w:ascii="Book Antiqua" w:hAnsi="Book Antiqua" w:cs="Arial Unicode MS"/>
          <w:color w:val="000000"/>
          <w:sz w:val="24"/>
          <w:szCs w:val="24"/>
          <w:lang w:eastAsia="ja-JP"/>
        </w:rPr>
        <w:t>Baishideng Publishing Group Inc.</w:t>
      </w:r>
      <w:r>
        <w:rPr>
          <w:rFonts w:ascii="Book Antiqua" w:hAnsi="Book Antiqua" w:cs="Arial Unicode MS"/>
          <w:sz w:val="24"/>
          <w:szCs w:val="24"/>
          <w:lang w:eastAsia="ja-JP"/>
        </w:rPr>
        <w:t xml:space="preserve"> </w:t>
      </w:r>
      <w:r>
        <w:rPr>
          <w:rFonts w:ascii="Book Antiqua" w:hAnsi="Book Antiqua" w:cs="Arial Unicode MS"/>
          <w:sz w:val="24"/>
          <w:szCs w:val="24"/>
          <w:lang w:val="fr-FR" w:eastAsia="ja-JP"/>
        </w:rPr>
        <w:t>All rights reserved</w:t>
      </w:r>
      <w:r>
        <w:rPr>
          <w:rFonts w:ascii="Book Antiqua" w:hAnsi="Book Antiqua" w:cs="Arial Unicode MS"/>
          <w:sz w:val="24"/>
          <w:szCs w:val="24"/>
          <w:lang w:val="fr-FR"/>
        </w:rPr>
        <w:t>.</w:t>
      </w:r>
    </w:p>
    <w:p w:rsidR="00420686" w:rsidRPr="00837A12" w:rsidRDefault="00420686" w:rsidP="00420686">
      <w:pPr>
        <w:spacing w:after="0" w:line="360" w:lineRule="auto"/>
        <w:jc w:val="both"/>
        <w:rPr>
          <w:rFonts w:ascii="Book Antiqua" w:hAnsi="Book Antiqua" w:cs="Times New Roman"/>
          <w:sz w:val="24"/>
          <w:szCs w:val="24"/>
          <w:lang w:eastAsia="zh-CN"/>
        </w:rPr>
      </w:pPr>
    </w:p>
    <w:p w:rsidR="008B389C" w:rsidRPr="00420686" w:rsidRDefault="008B389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b/>
          <w:sz w:val="24"/>
          <w:szCs w:val="24"/>
        </w:rPr>
        <w:t>Key</w:t>
      </w:r>
      <w:r w:rsidR="00815E81" w:rsidRPr="00420686">
        <w:rPr>
          <w:rFonts w:ascii="Book Antiqua" w:hAnsi="Book Antiqua" w:cs="Times New Roman"/>
          <w:b/>
          <w:sz w:val="24"/>
          <w:szCs w:val="24"/>
          <w:lang w:eastAsia="zh-CN"/>
        </w:rPr>
        <w:t xml:space="preserve"> </w:t>
      </w:r>
      <w:r w:rsidRPr="00420686">
        <w:rPr>
          <w:rFonts w:ascii="Book Antiqua" w:hAnsi="Book Antiqua" w:cs="Times New Roman"/>
          <w:b/>
          <w:sz w:val="24"/>
          <w:szCs w:val="24"/>
        </w:rPr>
        <w:t xml:space="preserve">words: </w:t>
      </w:r>
      <w:r w:rsidR="00815E81" w:rsidRPr="00420686">
        <w:rPr>
          <w:rFonts w:ascii="Book Antiqua" w:hAnsi="Book Antiqua" w:cs="Times New Roman"/>
          <w:sz w:val="24"/>
          <w:szCs w:val="24"/>
        </w:rPr>
        <w:t xml:space="preserve">Atopic </w:t>
      </w:r>
      <w:r w:rsidRPr="00420686">
        <w:rPr>
          <w:rFonts w:ascii="Book Antiqua" w:hAnsi="Book Antiqua" w:cs="Times New Roman"/>
          <w:sz w:val="24"/>
          <w:szCs w:val="24"/>
        </w:rPr>
        <w:t xml:space="preserve">dermatitis; </w:t>
      </w:r>
      <w:r w:rsidR="00815E81" w:rsidRPr="00420686">
        <w:rPr>
          <w:rFonts w:ascii="Book Antiqua" w:hAnsi="Book Antiqua" w:cs="Times New Roman"/>
          <w:sz w:val="24"/>
          <w:szCs w:val="24"/>
        </w:rPr>
        <w:t>Eczema</w:t>
      </w:r>
      <w:r w:rsidRPr="00420686">
        <w:rPr>
          <w:rFonts w:ascii="Book Antiqua" w:hAnsi="Book Antiqua" w:cs="Times New Roman"/>
          <w:sz w:val="24"/>
          <w:szCs w:val="24"/>
        </w:rPr>
        <w:t xml:space="preserve">; </w:t>
      </w:r>
      <w:r w:rsidR="00815E81" w:rsidRPr="00420686">
        <w:rPr>
          <w:rFonts w:ascii="Book Antiqua" w:hAnsi="Book Antiqua" w:cs="Times New Roman"/>
          <w:sz w:val="24"/>
          <w:szCs w:val="24"/>
        </w:rPr>
        <w:t>Filaggrin</w:t>
      </w:r>
      <w:r w:rsidRPr="00420686">
        <w:rPr>
          <w:rFonts w:ascii="Book Antiqua" w:hAnsi="Book Antiqua" w:cs="Times New Roman"/>
          <w:sz w:val="24"/>
          <w:szCs w:val="24"/>
        </w:rPr>
        <w:t xml:space="preserve">; </w:t>
      </w:r>
      <w:r w:rsidR="00815E81" w:rsidRPr="00420686">
        <w:rPr>
          <w:rFonts w:ascii="Book Antiqua" w:hAnsi="Book Antiqua" w:cs="Times New Roman"/>
          <w:sz w:val="24"/>
          <w:szCs w:val="24"/>
        </w:rPr>
        <w:t xml:space="preserve">Skin </w:t>
      </w:r>
      <w:r w:rsidRPr="00420686">
        <w:rPr>
          <w:rFonts w:ascii="Book Antiqua" w:hAnsi="Book Antiqua" w:cs="Times New Roman"/>
          <w:sz w:val="24"/>
          <w:szCs w:val="24"/>
        </w:rPr>
        <w:t xml:space="preserve">barrier; </w:t>
      </w:r>
      <w:r w:rsidR="00815E81" w:rsidRPr="00420686">
        <w:rPr>
          <w:rFonts w:ascii="Book Antiqua" w:hAnsi="Book Antiqua" w:cs="Times New Roman"/>
          <w:sz w:val="24"/>
          <w:szCs w:val="24"/>
        </w:rPr>
        <w:t>Kallikrein</w:t>
      </w:r>
      <w:r w:rsidRPr="00420686">
        <w:rPr>
          <w:rFonts w:ascii="Book Antiqua" w:hAnsi="Book Antiqua" w:cs="Times New Roman"/>
          <w:sz w:val="24"/>
          <w:szCs w:val="24"/>
        </w:rPr>
        <w:t xml:space="preserve">; </w:t>
      </w:r>
      <w:r w:rsidR="00815E81" w:rsidRPr="00420686">
        <w:rPr>
          <w:rFonts w:ascii="Book Antiqua" w:hAnsi="Book Antiqua" w:cs="Times New Roman"/>
          <w:sz w:val="24"/>
          <w:szCs w:val="24"/>
        </w:rPr>
        <w:t xml:space="preserve">Thymic </w:t>
      </w:r>
      <w:r w:rsidRPr="00420686">
        <w:rPr>
          <w:rFonts w:ascii="Book Antiqua" w:hAnsi="Book Antiqua" w:cs="Times New Roman"/>
          <w:sz w:val="24"/>
          <w:szCs w:val="24"/>
        </w:rPr>
        <w:t>stromal lymphopoietin</w:t>
      </w:r>
      <w:r w:rsidR="00815E81" w:rsidRPr="00420686">
        <w:rPr>
          <w:rFonts w:ascii="Book Antiqua" w:hAnsi="Book Antiqua" w:cs="Times New Roman"/>
          <w:sz w:val="24"/>
          <w:szCs w:val="24"/>
        </w:rPr>
        <w:t xml:space="preserve">; Allergic </w:t>
      </w:r>
      <w:r w:rsidRPr="00420686">
        <w:rPr>
          <w:rFonts w:ascii="Book Antiqua" w:hAnsi="Book Antiqua" w:cs="Times New Roman"/>
          <w:sz w:val="24"/>
          <w:szCs w:val="24"/>
        </w:rPr>
        <w:t xml:space="preserve">sensitization; </w:t>
      </w:r>
      <w:r w:rsidR="00815E81" w:rsidRPr="00420686">
        <w:rPr>
          <w:rFonts w:ascii="Book Antiqua" w:hAnsi="Book Antiqua" w:cs="Times New Roman"/>
          <w:sz w:val="24"/>
          <w:szCs w:val="24"/>
        </w:rPr>
        <w:t xml:space="preserve">Atopic </w:t>
      </w:r>
      <w:r w:rsidRPr="00420686">
        <w:rPr>
          <w:rFonts w:ascii="Book Antiqua" w:hAnsi="Book Antiqua" w:cs="Times New Roman"/>
          <w:sz w:val="24"/>
          <w:szCs w:val="24"/>
        </w:rPr>
        <w:t>march</w:t>
      </w:r>
    </w:p>
    <w:p w:rsidR="00815E81" w:rsidRPr="00420686" w:rsidRDefault="00815E81" w:rsidP="00420686">
      <w:pPr>
        <w:spacing w:after="0" w:line="360" w:lineRule="auto"/>
        <w:jc w:val="both"/>
        <w:rPr>
          <w:rFonts w:ascii="Book Antiqua" w:hAnsi="Book Antiqua" w:cs="Times New Roman"/>
          <w:sz w:val="24"/>
          <w:szCs w:val="24"/>
          <w:lang w:eastAsia="zh-CN"/>
        </w:rPr>
      </w:pPr>
    </w:p>
    <w:p w:rsidR="008B389C" w:rsidRDefault="008B389C" w:rsidP="00420686">
      <w:pPr>
        <w:spacing w:after="0" w:line="360" w:lineRule="auto"/>
        <w:jc w:val="both"/>
        <w:rPr>
          <w:rFonts w:ascii="Book Antiqua" w:hAnsi="Book Antiqua" w:cs="Times New Roman"/>
          <w:color w:val="0D0D0D" w:themeColor="text1" w:themeTint="F2"/>
          <w:sz w:val="24"/>
          <w:szCs w:val="24"/>
          <w:lang w:eastAsia="zh-CN"/>
        </w:rPr>
      </w:pPr>
      <w:r w:rsidRPr="00420686">
        <w:rPr>
          <w:rFonts w:ascii="Book Antiqua" w:hAnsi="Book Antiqua" w:cs="Times New Roman"/>
          <w:b/>
          <w:color w:val="0D0D0D" w:themeColor="text1" w:themeTint="F2"/>
          <w:sz w:val="24"/>
          <w:szCs w:val="24"/>
        </w:rPr>
        <w:t xml:space="preserve">Core tip: </w:t>
      </w:r>
      <w:r w:rsidRPr="00420686">
        <w:rPr>
          <w:rFonts w:ascii="Book Antiqua" w:hAnsi="Book Antiqua" w:cs="Times New Roman"/>
          <w:color w:val="0D0D0D" w:themeColor="text1" w:themeTint="F2"/>
          <w:sz w:val="24"/>
          <w:szCs w:val="24"/>
        </w:rPr>
        <w:t xml:space="preserve">Atopic diseases (including atopic dermatitis (AD), allergic rhinitis and asthma) are characterised by Th2-type inflammation. Research over the past decade has highlighted a crucial role for primary skin barrier impairment in the pathogenesis of AD and associated atopic phenotypes. Notably, the epidermal protein, filaggrin, epidermal serine proteases, and the pro-Th2 cytokine thymic stromal lymphopoietin, have been implicated in disease development. We review the evidence upholding a role for epidermal defects in the initiation of skin inflammation in AD, allergic sensitization and pathogenesis of the “atopic march”, and discuss the clinical implications of these findings. </w:t>
      </w:r>
    </w:p>
    <w:p w:rsidR="00E2427D" w:rsidRDefault="00E2427D" w:rsidP="00E2427D">
      <w:pPr>
        <w:spacing w:after="0" w:line="360" w:lineRule="auto"/>
        <w:jc w:val="both"/>
        <w:rPr>
          <w:rFonts w:ascii="Book Antiqua" w:hAnsi="Book Antiqua" w:cs="Times New Roman"/>
          <w:b/>
          <w:color w:val="000000" w:themeColor="text1"/>
          <w:sz w:val="24"/>
          <w:szCs w:val="24"/>
          <w:lang w:eastAsia="zh-CN"/>
        </w:rPr>
      </w:pPr>
    </w:p>
    <w:p w:rsidR="00E2427D" w:rsidRPr="00E2427D" w:rsidRDefault="00E2427D" w:rsidP="00E2427D">
      <w:pPr>
        <w:spacing w:after="0" w:line="360" w:lineRule="auto"/>
        <w:jc w:val="both"/>
        <w:rPr>
          <w:rFonts w:ascii="Book Antiqua" w:hAnsi="Book Antiqua" w:cs="Times New Roman"/>
          <w:color w:val="000000" w:themeColor="text1"/>
          <w:sz w:val="24"/>
          <w:szCs w:val="24"/>
          <w:lang w:eastAsia="zh-CN"/>
        </w:rPr>
      </w:pPr>
      <w:r w:rsidRPr="00420686">
        <w:rPr>
          <w:rFonts w:ascii="Book Antiqua" w:hAnsi="Book Antiqua" w:cs="Times New Roman"/>
          <w:sz w:val="24"/>
          <w:szCs w:val="24"/>
        </w:rPr>
        <w:t xml:space="preserve">Gillespie </w:t>
      </w:r>
      <w:r w:rsidRPr="00420686">
        <w:rPr>
          <w:rFonts w:ascii="Book Antiqua" w:hAnsi="Book Antiqua" w:cs="Times New Roman"/>
          <w:sz w:val="24"/>
          <w:szCs w:val="24"/>
          <w:lang w:eastAsia="zh-CN"/>
        </w:rPr>
        <w:t>RMC</w:t>
      </w:r>
      <w:r>
        <w:rPr>
          <w:rFonts w:ascii="Book Antiqua" w:hAnsi="Book Antiqua" w:cs="Times New Roman" w:hint="eastAsia"/>
          <w:sz w:val="24"/>
          <w:szCs w:val="24"/>
          <w:lang w:eastAsia="zh-CN"/>
        </w:rPr>
        <w:t xml:space="preserve">, </w:t>
      </w:r>
      <w:r w:rsidRPr="00420686">
        <w:rPr>
          <w:rFonts w:ascii="Book Antiqua" w:hAnsi="Book Antiqua" w:cs="Times New Roman"/>
          <w:sz w:val="24"/>
          <w:szCs w:val="24"/>
          <w:lang w:val="fr-FR"/>
        </w:rPr>
        <w:t>Brown</w:t>
      </w:r>
      <w:r>
        <w:rPr>
          <w:rFonts w:ascii="Book Antiqua" w:hAnsi="Book Antiqua" w:cs="Times New Roman" w:hint="eastAsia"/>
          <w:sz w:val="24"/>
          <w:szCs w:val="24"/>
          <w:lang w:val="fr-FR" w:eastAsia="zh-CN"/>
        </w:rPr>
        <w:t xml:space="preserve"> SJ. </w:t>
      </w:r>
      <w:r w:rsidRPr="00E2427D">
        <w:rPr>
          <w:rFonts w:ascii="Book Antiqua" w:hAnsi="Book Antiqua" w:cs="Times New Roman"/>
          <w:color w:val="000000" w:themeColor="text1"/>
          <w:sz w:val="24"/>
          <w:szCs w:val="24"/>
        </w:rPr>
        <w:t>From the outside-in: epidermal targeting as a paradigm for atopic disease therapy</w:t>
      </w:r>
      <w:r>
        <w:rPr>
          <w:rFonts w:ascii="Book Antiqua" w:hAnsi="Book Antiqua" w:cs="Times New Roman" w:hint="eastAsia"/>
          <w:color w:val="000000" w:themeColor="text1"/>
          <w:sz w:val="24"/>
          <w:szCs w:val="24"/>
          <w:lang w:eastAsia="zh-CN"/>
        </w:rPr>
        <w:t xml:space="preserve">. </w:t>
      </w:r>
      <w:r w:rsidR="00D344BF" w:rsidRPr="00C341A0">
        <w:rPr>
          <w:rFonts w:ascii="Book Antiqua" w:hAnsi="Book Antiqua"/>
          <w:i/>
          <w:iCs/>
          <w:sz w:val="24"/>
          <w:szCs w:val="24"/>
        </w:rPr>
        <w:t>World J Dermatol</w:t>
      </w:r>
      <w:r w:rsidR="00D344BF">
        <w:rPr>
          <w:rFonts w:ascii="Book Antiqua" w:hAnsi="Book Antiqua" w:hint="eastAsia"/>
          <w:sz w:val="24"/>
          <w:szCs w:val="24"/>
          <w:lang w:eastAsia="zh-CN"/>
        </w:rPr>
        <w:t xml:space="preserve"> 2014; In press</w:t>
      </w:r>
    </w:p>
    <w:p w:rsidR="008B389C" w:rsidRPr="00420686" w:rsidRDefault="008B389C" w:rsidP="00420686">
      <w:pPr>
        <w:spacing w:after="0" w:line="360" w:lineRule="auto"/>
        <w:jc w:val="both"/>
        <w:rPr>
          <w:rFonts w:ascii="Book Antiqua" w:hAnsi="Book Antiqua" w:cs="Times New Roman"/>
          <w:b/>
          <w:sz w:val="24"/>
          <w:szCs w:val="24"/>
          <w:lang w:eastAsia="zh-CN"/>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INTRODUCTION</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Atopic diseases ar</w:t>
      </w:r>
      <w:r w:rsidR="00815E81" w:rsidRPr="00420686">
        <w:rPr>
          <w:rFonts w:ascii="Book Antiqua" w:hAnsi="Book Antiqua" w:cs="Times New Roman"/>
          <w:sz w:val="24"/>
          <w:szCs w:val="24"/>
        </w:rPr>
        <w:t>e reaching epidemic proportions</w:t>
      </w:r>
      <w:r w:rsidRPr="00420686">
        <w:rPr>
          <w:rFonts w:ascii="Book Antiqua" w:hAnsi="Book Antiqua" w:cs="Times New Roman"/>
          <w:noProof/>
          <w:sz w:val="24"/>
          <w:szCs w:val="24"/>
          <w:vertAlign w:val="superscript"/>
        </w:rPr>
        <w:t>[1-4]</w:t>
      </w:r>
      <w:r w:rsidRPr="00420686">
        <w:rPr>
          <w:rFonts w:ascii="Book Antiqua" w:hAnsi="Book Antiqua" w:cs="Times New Roman"/>
          <w:sz w:val="24"/>
          <w:szCs w:val="24"/>
        </w:rPr>
        <w:t>, affecting up to 20 - 30% o</w:t>
      </w:r>
      <w:r w:rsidR="00815E81" w:rsidRPr="00420686">
        <w:rPr>
          <w:rFonts w:ascii="Book Antiqua" w:hAnsi="Book Antiqua" w:cs="Times New Roman"/>
          <w:sz w:val="24"/>
          <w:szCs w:val="24"/>
        </w:rPr>
        <w:t>f children in developed nations</w:t>
      </w:r>
      <w:r w:rsidRPr="00420686">
        <w:rPr>
          <w:rFonts w:ascii="Book Antiqua" w:hAnsi="Book Antiqua" w:cs="Times New Roman"/>
          <w:noProof/>
          <w:sz w:val="24"/>
          <w:szCs w:val="24"/>
          <w:vertAlign w:val="superscript"/>
        </w:rPr>
        <w:t>[5-7]</w:t>
      </w:r>
      <w:r w:rsidRPr="00420686">
        <w:rPr>
          <w:rFonts w:ascii="Book Antiqua" w:hAnsi="Book Antiqua" w:cs="Times New Roman"/>
          <w:sz w:val="24"/>
          <w:szCs w:val="24"/>
        </w:rPr>
        <w:t>. Prominent among these disorders are atopic dermatitis (AD, synonymous with atopic eczema), atopic asthma and allergic rhinitis. Atopic diseases constitute a major source of phy</w:t>
      </w:r>
      <w:r w:rsidR="00815E81" w:rsidRPr="00420686">
        <w:rPr>
          <w:rFonts w:ascii="Book Antiqua" w:hAnsi="Book Antiqua" w:cs="Times New Roman"/>
          <w:sz w:val="24"/>
          <w:szCs w:val="24"/>
        </w:rPr>
        <w:t>sical and psychosocial distress</w:t>
      </w:r>
      <w:r w:rsidRPr="00420686">
        <w:rPr>
          <w:rFonts w:ascii="Book Antiqua" w:hAnsi="Book Antiqua" w:cs="Times New Roman"/>
          <w:noProof/>
          <w:sz w:val="24"/>
          <w:szCs w:val="24"/>
          <w:vertAlign w:val="superscript"/>
        </w:rPr>
        <w:t>[8-10]</w:t>
      </w:r>
      <w:r w:rsidRPr="00420686">
        <w:rPr>
          <w:rFonts w:ascii="Book Antiqua" w:hAnsi="Book Antiqua" w:cs="Times New Roman"/>
          <w:sz w:val="24"/>
          <w:szCs w:val="24"/>
        </w:rPr>
        <w:t xml:space="preserve"> and account for a large portion of general paediatric practice </w:t>
      </w:r>
      <w:r w:rsidRPr="00420686">
        <w:rPr>
          <w:rFonts w:ascii="Book Antiqua" w:hAnsi="Book Antiqua" w:cs="Times New Roman"/>
          <w:noProof/>
          <w:sz w:val="24"/>
          <w:szCs w:val="24"/>
          <w:vertAlign w:val="superscript"/>
        </w:rPr>
        <w:t>[11]</w:t>
      </w:r>
      <w:r w:rsidRPr="00420686">
        <w:rPr>
          <w:rFonts w:ascii="Book Antiqua" w:hAnsi="Book Antiqua" w:cs="Times New Roman"/>
          <w:sz w:val="24"/>
          <w:szCs w:val="24"/>
        </w:rPr>
        <w:t>. Atopic diseases demonstrate complex inheritance patterns and extensive phenotypic variation, and as such their</w:t>
      </w:r>
      <w:r w:rsidR="00815E81" w:rsidRPr="00420686">
        <w:rPr>
          <w:rFonts w:ascii="Book Antiqua" w:hAnsi="Book Antiqua" w:cs="Times New Roman"/>
          <w:sz w:val="24"/>
          <w:szCs w:val="24"/>
        </w:rPr>
        <w:t xml:space="preserve"> aetiology is poorly understood</w:t>
      </w:r>
      <w:r w:rsidRPr="00420686">
        <w:rPr>
          <w:rFonts w:ascii="Book Antiqua" w:hAnsi="Book Antiqua" w:cs="Times New Roman"/>
          <w:noProof/>
          <w:sz w:val="24"/>
          <w:szCs w:val="24"/>
          <w:vertAlign w:val="superscript"/>
        </w:rPr>
        <w:t>[12]</w:t>
      </w:r>
      <w:r w:rsidRPr="00420686">
        <w:rPr>
          <w:rFonts w:ascii="Book Antiqua" w:hAnsi="Book Antiqua" w:cs="Times New Roman"/>
          <w:sz w:val="24"/>
          <w:szCs w:val="24"/>
        </w:rPr>
        <w:t xml:space="preserve">. However the disorders appear to be underpinned by some common features: they are often associated with elevated levels of total serum IgE and with </w:t>
      </w:r>
      <w:r w:rsidR="002172E5">
        <w:rPr>
          <w:rFonts w:ascii="Book Antiqua" w:hAnsi="Book Antiqua" w:cs="Times New Roman"/>
          <w:sz w:val="24"/>
          <w:szCs w:val="24"/>
          <w:lang w:eastAsia="zh-CN"/>
        </w:rPr>
        <w:t>“</w:t>
      </w:r>
      <w:r w:rsidRPr="00420686">
        <w:rPr>
          <w:rFonts w:ascii="Book Antiqua" w:hAnsi="Book Antiqua" w:cs="Times New Roman"/>
          <w:sz w:val="24"/>
          <w:szCs w:val="24"/>
        </w:rPr>
        <w:t>atopy</w:t>
      </w:r>
      <w:r w:rsidR="002172E5">
        <w:rPr>
          <w:rFonts w:ascii="Book Antiqua" w:hAnsi="Book Antiqua" w:cs="Times New Roman"/>
          <w:sz w:val="24"/>
          <w:szCs w:val="24"/>
          <w:lang w:eastAsia="zh-CN"/>
        </w:rPr>
        <w:t>”</w:t>
      </w:r>
      <w:r w:rsidRPr="00420686">
        <w:rPr>
          <w:rFonts w:ascii="Book Antiqua" w:hAnsi="Book Antiqua" w:cs="Times New Roman"/>
          <w:sz w:val="24"/>
          <w:szCs w:val="24"/>
        </w:rPr>
        <w:t xml:space="preserve"> - a personal and/or familial tendency to become sensitized and produce specific IgE against environmental </w:t>
      </w:r>
      <w:r w:rsidR="00815E81" w:rsidRPr="00420686">
        <w:rPr>
          <w:rFonts w:ascii="Book Antiqua" w:hAnsi="Book Antiqua" w:cs="Times New Roman"/>
          <w:sz w:val="24"/>
          <w:szCs w:val="24"/>
        </w:rPr>
        <w:t>allergens</w:t>
      </w:r>
      <w:r w:rsidRPr="00420686">
        <w:rPr>
          <w:rFonts w:ascii="Book Antiqua" w:hAnsi="Book Antiqua" w:cs="Times New Roman"/>
          <w:noProof/>
          <w:sz w:val="24"/>
          <w:szCs w:val="24"/>
          <w:vertAlign w:val="superscript"/>
        </w:rPr>
        <w:t>[13]</w:t>
      </w:r>
      <w:r w:rsidRPr="00420686">
        <w:rPr>
          <w:rFonts w:ascii="Book Antiqua" w:hAnsi="Book Antiqua" w:cs="Times New Roman"/>
          <w:sz w:val="24"/>
          <w:szCs w:val="24"/>
        </w:rPr>
        <w:t xml:space="preserve"> </w:t>
      </w:r>
      <w:r w:rsidR="00815E81"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but th</w:t>
      </w:r>
      <w:r w:rsidR="00815E81" w:rsidRPr="00420686">
        <w:rPr>
          <w:rFonts w:ascii="Book Antiqua" w:hAnsi="Book Antiqua" w:cs="Times New Roman"/>
          <w:sz w:val="24"/>
          <w:szCs w:val="24"/>
        </w:rPr>
        <w:t>is association is hotly debated</w:t>
      </w:r>
      <w:r w:rsidR="00815E81" w:rsidRPr="00420686">
        <w:rPr>
          <w:rFonts w:ascii="Book Antiqua" w:hAnsi="Book Antiqua" w:cs="Times New Roman"/>
          <w:noProof/>
          <w:sz w:val="24"/>
          <w:szCs w:val="24"/>
          <w:vertAlign w:val="superscript"/>
        </w:rPr>
        <w:t>[14,</w:t>
      </w:r>
      <w:r w:rsidRPr="00420686">
        <w:rPr>
          <w:rFonts w:ascii="Book Antiqua" w:hAnsi="Book Antiqua" w:cs="Times New Roman"/>
          <w:noProof/>
          <w:sz w:val="24"/>
          <w:szCs w:val="24"/>
          <w:vertAlign w:val="superscript"/>
        </w:rPr>
        <w:t>15]</w:t>
      </w:r>
      <w:r w:rsidRPr="00420686">
        <w:rPr>
          <w:rFonts w:ascii="Book Antiqua" w:hAnsi="Book Antiqua" w:cs="Times New Roman"/>
          <w:sz w:val="24"/>
          <w:szCs w:val="24"/>
        </w:rPr>
        <w:t>. Atopic diseases are thus presumed to arise as a result of interplay between inherited dispos</w:t>
      </w:r>
      <w:r w:rsidR="00815E81" w:rsidRPr="00420686">
        <w:rPr>
          <w:rFonts w:ascii="Book Antiqua" w:hAnsi="Book Antiqua" w:cs="Times New Roman"/>
          <w:sz w:val="24"/>
          <w:szCs w:val="24"/>
        </w:rPr>
        <w:t>ition and environmental factors</w:t>
      </w:r>
      <w:r w:rsidR="00815E81" w:rsidRPr="00420686">
        <w:rPr>
          <w:rFonts w:ascii="Book Antiqua" w:hAnsi="Book Antiqua" w:cs="Times New Roman"/>
          <w:noProof/>
          <w:sz w:val="24"/>
          <w:szCs w:val="24"/>
          <w:vertAlign w:val="superscript"/>
        </w:rPr>
        <w:t>[16,</w:t>
      </w:r>
      <w:r w:rsidRPr="00420686">
        <w:rPr>
          <w:rFonts w:ascii="Book Antiqua" w:hAnsi="Book Antiqua" w:cs="Times New Roman"/>
          <w:noProof/>
          <w:sz w:val="24"/>
          <w:szCs w:val="24"/>
          <w:vertAlign w:val="superscript"/>
        </w:rPr>
        <w:t>17]</w:t>
      </w:r>
      <w:r w:rsidRPr="00420686">
        <w:rPr>
          <w:rFonts w:ascii="Book Antiqua" w:hAnsi="Book Antiqua" w:cs="Times New Roman"/>
          <w:sz w:val="24"/>
          <w:szCs w:val="24"/>
        </w:rPr>
        <w:t>.</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Longitudinal studies have revealed that approximately half of patients with AD develop asthma later in life and two-thirds go </w:t>
      </w:r>
      <w:r w:rsidR="00815E81" w:rsidRPr="00420686">
        <w:rPr>
          <w:rFonts w:ascii="Book Antiqua" w:hAnsi="Book Antiqua" w:cs="Times New Roman"/>
          <w:sz w:val="24"/>
          <w:szCs w:val="24"/>
        </w:rPr>
        <w:t>on to exhibit allergic rhinitis</w:t>
      </w:r>
      <w:r w:rsidRPr="00420686">
        <w:rPr>
          <w:rFonts w:ascii="Book Antiqua" w:hAnsi="Book Antiqua" w:cs="Times New Roman"/>
          <w:noProof/>
          <w:sz w:val="24"/>
          <w:szCs w:val="24"/>
          <w:vertAlign w:val="superscript"/>
        </w:rPr>
        <w:t>[18]</w:t>
      </w:r>
      <w:r w:rsidRPr="00420686">
        <w:rPr>
          <w:rFonts w:ascii="Book Antiqua" w:hAnsi="Book Antiqua" w:cs="Times New Roman"/>
          <w:sz w:val="24"/>
          <w:szCs w:val="24"/>
        </w:rPr>
        <w:t>. This phenomenon, dubbed the “atopic march” describes the tendency for AD (usually apparent within the first two years of life) to precede the development of food allergies, asthma and allergic rhinitis</w:t>
      </w:r>
      <w:r w:rsidR="00815E81" w:rsidRPr="00420686">
        <w:rPr>
          <w:rFonts w:ascii="Book Antiqua" w:hAnsi="Book Antiqua" w:cs="Times New Roman"/>
          <w:sz w:val="24"/>
          <w:szCs w:val="24"/>
        </w:rPr>
        <w:t xml:space="preserve"> in a typical temporal sequence</w:t>
      </w:r>
      <w:r w:rsidR="00815E81" w:rsidRPr="00420686">
        <w:rPr>
          <w:rFonts w:ascii="Book Antiqua" w:hAnsi="Book Antiqua" w:cs="Times New Roman"/>
          <w:noProof/>
          <w:sz w:val="24"/>
          <w:szCs w:val="24"/>
          <w:vertAlign w:val="superscript"/>
        </w:rPr>
        <w:t>[17,19,</w:t>
      </w:r>
      <w:r w:rsidRPr="00420686">
        <w:rPr>
          <w:rFonts w:ascii="Book Antiqua" w:hAnsi="Book Antiqua" w:cs="Times New Roman"/>
          <w:noProof/>
          <w:sz w:val="24"/>
          <w:szCs w:val="24"/>
          <w:vertAlign w:val="superscript"/>
        </w:rPr>
        <w:t>20]</w:t>
      </w:r>
      <w:r w:rsidRPr="00420686">
        <w:rPr>
          <w:rFonts w:ascii="Book Antiqua" w:hAnsi="Book Antiqua" w:cs="Times New Roman"/>
          <w:sz w:val="24"/>
          <w:szCs w:val="24"/>
        </w:rPr>
        <w:t>. As AD is now a recognised “gateway” to the atopic march, its diagnosis in infants often prompts parental enquiries about disease prognosis as regards the deve</w:t>
      </w:r>
      <w:r w:rsidR="00815E81" w:rsidRPr="00420686">
        <w:rPr>
          <w:rFonts w:ascii="Book Antiqua" w:hAnsi="Book Antiqua" w:cs="Times New Roman"/>
          <w:sz w:val="24"/>
          <w:szCs w:val="24"/>
        </w:rPr>
        <w:t>lopment of subsequent disorders</w:t>
      </w:r>
      <w:r w:rsidRPr="00420686">
        <w:rPr>
          <w:rFonts w:ascii="Book Antiqua" w:hAnsi="Book Antiqua" w:cs="Times New Roman"/>
          <w:noProof/>
          <w:sz w:val="24"/>
          <w:szCs w:val="24"/>
          <w:vertAlign w:val="superscript"/>
        </w:rPr>
        <w:t>[17]</w:t>
      </w:r>
      <w:r w:rsidRPr="00420686">
        <w:rPr>
          <w:rFonts w:ascii="Book Antiqua" w:hAnsi="Book Antiqua" w:cs="Times New Roman"/>
          <w:sz w:val="24"/>
          <w:szCs w:val="24"/>
        </w:rPr>
        <w:t>. AD therefore represents an important focus for interventions which may modify the natural course of atopic disease in high-risk patients.</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AD is a chronic, inflammatory skin dise</w:t>
      </w:r>
      <w:r w:rsidR="00815E81" w:rsidRPr="00420686">
        <w:rPr>
          <w:rFonts w:ascii="Book Antiqua" w:hAnsi="Book Antiqua" w:cs="Times New Roman"/>
          <w:sz w:val="24"/>
          <w:szCs w:val="24"/>
        </w:rPr>
        <w:t>ase affecting an estimated 10</w:t>
      </w:r>
      <w:r w:rsidR="00815E81" w:rsidRPr="00420686">
        <w:rPr>
          <w:rFonts w:ascii="Book Antiqua" w:hAnsi="Book Antiqua" w:cs="Times New Roman"/>
          <w:sz w:val="24"/>
          <w:szCs w:val="24"/>
          <w:lang w:eastAsia="zh-CN"/>
        </w:rPr>
        <w:t>-</w:t>
      </w:r>
      <w:r w:rsidRPr="00420686">
        <w:rPr>
          <w:rFonts w:ascii="Book Antiqua" w:hAnsi="Book Antiqua" w:cs="Times New Roman"/>
          <w:sz w:val="24"/>
          <w:szCs w:val="24"/>
        </w:rPr>
        <w:t>20% o</w:t>
      </w:r>
      <w:r w:rsidR="00815E81" w:rsidRPr="00420686">
        <w:rPr>
          <w:rFonts w:ascii="Book Antiqua" w:hAnsi="Book Antiqua" w:cs="Times New Roman"/>
          <w:sz w:val="24"/>
          <w:szCs w:val="24"/>
        </w:rPr>
        <w:t>f children and 1</w:t>
      </w:r>
      <w:r w:rsidR="00815E81" w:rsidRPr="00420686">
        <w:rPr>
          <w:rFonts w:ascii="Book Antiqua" w:hAnsi="Book Antiqua" w:cs="Times New Roman"/>
          <w:sz w:val="24"/>
          <w:szCs w:val="24"/>
          <w:lang w:eastAsia="zh-CN"/>
        </w:rPr>
        <w:t>-</w:t>
      </w:r>
      <w:r w:rsidR="00815E81" w:rsidRPr="00420686">
        <w:rPr>
          <w:rFonts w:ascii="Book Antiqua" w:hAnsi="Book Antiqua" w:cs="Times New Roman"/>
          <w:sz w:val="24"/>
          <w:szCs w:val="24"/>
        </w:rPr>
        <w:t>3% of adults</w:t>
      </w:r>
      <w:r w:rsidRPr="00420686">
        <w:rPr>
          <w:rFonts w:ascii="Book Antiqua" w:hAnsi="Book Antiqua" w:cs="Times New Roman"/>
          <w:noProof/>
          <w:sz w:val="24"/>
          <w:szCs w:val="24"/>
          <w:vertAlign w:val="superscript"/>
        </w:rPr>
        <w:t>[6]</w:t>
      </w:r>
      <w:r w:rsidRPr="00420686">
        <w:rPr>
          <w:rFonts w:ascii="Book Antiqua" w:hAnsi="Book Antiqua" w:cs="Times New Roman"/>
          <w:sz w:val="24"/>
          <w:szCs w:val="24"/>
        </w:rPr>
        <w:t>. The skin of AD patients shows widespread xerosis (dryness) and a disturbance of epidermal barrier function. AD lesions (Figure 1</w:t>
      </w:r>
      <w:r w:rsidR="00815E81" w:rsidRPr="00420686">
        <w:rPr>
          <w:rFonts w:ascii="Book Antiqua" w:hAnsi="Book Antiqua" w:cs="Times New Roman"/>
          <w:sz w:val="24"/>
          <w:szCs w:val="24"/>
          <w:lang w:eastAsia="zh-CN"/>
        </w:rPr>
        <w:t>A and B</w:t>
      </w:r>
      <w:r w:rsidRPr="00420686">
        <w:rPr>
          <w:rFonts w:ascii="Book Antiqua" w:hAnsi="Book Antiqua" w:cs="Times New Roman"/>
          <w:sz w:val="24"/>
          <w:szCs w:val="24"/>
        </w:rPr>
        <w:t>) are additionally characterised by pruritus and a propensity to secondary infections (Figure 1</w:t>
      </w:r>
      <w:r w:rsidR="00815E81" w:rsidRPr="00420686">
        <w:rPr>
          <w:rFonts w:ascii="Book Antiqua" w:hAnsi="Book Antiqua" w:cs="Times New Roman"/>
          <w:sz w:val="24"/>
          <w:szCs w:val="24"/>
        </w:rPr>
        <w:t>C</w:t>
      </w:r>
      <w:r w:rsidRPr="00420686">
        <w:rPr>
          <w:rFonts w:ascii="Book Antiqua" w:hAnsi="Book Antiqua" w:cs="Times New Roman"/>
          <w:sz w:val="24"/>
          <w:szCs w:val="24"/>
        </w:rPr>
        <w:t>). Th2-deviated inflammation is widely accepted in the pathogenesis of atopic disease however inflammation in AD may be biphasic, with an initial Th2 response leading to a Th0/Th1 dominated phase in chronic le</w:t>
      </w:r>
      <w:r w:rsidR="00815E81" w:rsidRPr="00420686">
        <w:rPr>
          <w:rFonts w:ascii="Book Antiqua" w:hAnsi="Book Antiqua" w:cs="Times New Roman"/>
          <w:sz w:val="24"/>
          <w:szCs w:val="24"/>
        </w:rPr>
        <w:t>sions</w:t>
      </w:r>
      <w:r w:rsidRPr="00420686">
        <w:rPr>
          <w:rFonts w:ascii="Book Antiqua" w:hAnsi="Book Antiqua" w:cs="Times New Roman"/>
          <w:noProof/>
          <w:sz w:val="24"/>
          <w:szCs w:val="24"/>
          <w:vertAlign w:val="superscript"/>
        </w:rPr>
        <w:t>[21]</w:t>
      </w:r>
      <w:r w:rsidRPr="00420686">
        <w:rPr>
          <w:rFonts w:ascii="Book Antiqua" w:hAnsi="Book Antiqua" w:cs="Times New Roman"/>
          <w:sz w:val="24"/>
          <w:szCs w:val="24"/>
        </w:rPr>
        <w:t>. Traditionally it has been presumed that epidermal barrier dysfunction in AD is a downstream consequence of primary immunologic abnormality (the “inside-outside” hypothesis)</w:t>
      </w:r>
      <w:r w:rsidRPr="00420686">
        <w:rPr>
          <w:rFonts w:ascii="Book Antiqua" w:hAnsi="Book Antiqua" w:cs="Times New Roman"/>
          <w:noProof/>
          <w:sz w:val="24"/>
          <w:szCs w:val="24"/>
          <w:vertAlign w:val="superscript"/>
        </w:rPr>
        <w:t>[22]</w:t>
      </w:r>
      <w:r w:rsidRPr="00420686">
        <w:rPr>
          <w:rFonts w:ascii="Book Antiqua" w:hAnsi="Book Antiqua" w:cs="Times New Roman"/>
          <w:sz w:val="24"/>
          <w:szCs w:val="24"/>
        </w:rPr>
        <w:t>. In recent years this view has been challenged, with new evidence shifting the focus towards an “outside-inside” model in which epidermal abnormality is not the result but rath</w:t>
      </w:r>
      <w:r w:rsidR="00815E81" w:rsidRPr="00420686">
        <w:rPr>
          <w:rFonts w:ascii="Book Antiqua" w:hAnsi="Book Antiqua" w:cs="Times New Roman"/>
          <w:sz w:val="24"/>
          <w:szCs w:val="24"/>
        </w:rPr>
        <w:t>er the stimulus of inflammation</w:t>
      </w:r>
      <w:r w:rsidRPr="00420686">
        <w:rPr>
          <w:rFonts w:ascii="Book Antiqua" w:hAnsi="Book Antiqua" w:cs="Times New Roman"/>
          <w:noProof/>
          <w:sz w:val="24"/>
          <w:szCs w:val="24"/>
          <w:vertAlign w:val="superscript"/>
        </w:rPr>
        <w:t>[23]</w:t>
      </w:r>
      <w:r w:rsidRPr="00420686">
        <w:rPr>
          <w:rFonts w:ascii="Book Antiqua" w:hAnsi="Book Antiqua" w:cs="Times New Roman"/>
          <w:sz w:val="24"/>
          <w:szCs w:val="24"/>
        </w:rPr>
        <w:t xml:space="preserve">. In light of this concept, this review will evaluate the evidence upholding a pivotal role for the epidermis in atopic disease pathogenesis, and consider the practical implications for therapy. </w:t>
      </w:r>
    </w:p>
    <w:p w:rsidR="008B389C" w:rsidRPr="00420686" w:rsidRDefault="008B389C" w:rsidP="00420686">
      <w:pPr>
        <w:spacing w:after="0" w:line="360" w:lineRule="auto"/>
        <w:jc w:val="both"/>
        <w:rPr>
          <w:rFonts w:ascii="Book Antiqua" w:hAnsi="Book Antiqua" w:cs="Times New Roman"/>
          <w:b/>
          <w:sz w:val="24"/>
          <w:szCs w:val="24"/>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BARRIER DISRUPTION IN ATOPIC DERMATITIS</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color w:val="000000" w:themeColor="text1"/>
          <w:sz w:val="24"/>
          <w:szCs w:val="24"/>
        </w:rPr>
        <w:t>The skin forms an essential barrier between the interior of the body and the external environment. Multiple</w:t>
      </w:r>
      <w:r w:rsidRPr="00420686">
        <w:rPr>
          <w:rFonts w:ascii="Book Antiqua" w:hAnsi="Book Antiqua" w:cs="Times New Roman"/>
          <w:sz w:val="24"/>
          <w:szCs w:val="24"/>
        </w:rPr>
        <w:t xml:space="preserve"> protective roles are fulfilled by the epidermis and many are mediated by its outermost layer (and end product of keratinocyte differentiation), the</w:t>
      </w:r>
      <w:r w:rsidR="00815E81" w:rsidRPr="00420686">
        <w:rPr>
          <w:rFonts w:ascii="Book Antiqua" w:hAnsi="Book Antiqua" w:cs="Times New Roman"/>
          <w:sz w:val="24"/>
          <w:szCs w:val="24"/>
        </w:rPr>
        <w:t xml:space="preserve"> stratum corneum (SC; Figure 2)</w:t>
      </w:r>
      <w:r w:rsidRPr="00420686">
        <w:rPr>
          <w:rFonts w:ascii="Book Antiqua" w:hAnsi="Book Antiqua" w:cs="Times New Roman"/>
          <w:noProof/>
          <w:sz w:val="24"/>
          <w:szCs w:val="24"/>
          <w:vertAlign w:val="superscript"/>
        </w:rPr>
        <w:t>[24, 25]</w:t>
      </w:r>
      <w:r w:rsidRPr="00420686">
        <w:rPr>
          <w:rFonts w:ascii="Book Antiqua" w:hAnsi="Book Antiqua" w:cs="Times New Roman"/>
          <w:sz w:val="24"/>
          <w:szCs w:val="24"/>
        </w:rPr>
        <w:t>.</w:t>
      </w:r>
      <w:r w:rsidR="00815E81" w:rsidRPr="00420686">
        <w:rPr>
          <w:rFonts w:ascii="Book Antiqua" w:hAnsi="Book Antiqua" w:cs="Times New Roman"/>
          <w:sz w:val="24"/>
          <w:szCs w:val="24"/>
        </w:rPr>
        <w:t xml:space="preserve"> </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The SC comprises layers of protein-rich anucleate corneocytes interconnected by corneodesmosomes and enclosed within a coat of cross-linked proteins and lipids which together f</w:t>
      </w:r>
      <w:r w:rsidR="00815E81" w:rsidRPr="00420686">
        <w:rPr>
          <w:rFonts w:ascii="Book Antiqua" w:hAnsi="Book Antiqua" w:cs="Times New Roman"/>
          <w:sz w:val="24"/>
          <w:szCs w:val="24"/>
        </w:rPr>
        <w:t>orm the cornified envelope (CE)</w:t>
      </w:r>
      <w:r w:rsidRPr="00420686">
        <w:rPr>
          <w:rFonts w:ascii="Book Antiqua" w:hAnsi="Book Antiqua" w:cs="Times New Roman"/>
          <w:noProof/>
          <w:sz w:val="24"/>
          <w:szCs w:val="24"/>
          <w:vertAlign w:val="superscript"/>
        </w:rPr>
        <w:t>[26]</w:t>
      </w:r>
      <w:r w:rsidRPr="00420686">
        <w:rPr>
          <w:rFonts w:ascii="Book Antiqua" w:hAnsi="Book Antiqua" w:cs="Times New Roman"/>
          <w:sz w:val="24"/>
          <w:szCs w:val="24"/>
        </w:rPr>
        <w:t xml:space="preserve">. The CE replaces the plasma membrane during terminal differentiation of keratinocytes into corneocytes and is in turn surrounded by a matrix of intercellular lamellar sheets enriched by 50% ceramides, 25% cholesterol </w:t>
      </w:r>
      <w:r w:rsidR="006A5BC3" w:rsidRPr="00420686">
        <w:rPr>
          <w:rFonts w:ascii="Book Antiqua" w:hAnsi="Book Antiqua" w:cs="Times New Roman"/>
          <w:sz w:val="24"/>
          <w:szCs w:val="24"/>
        </w:rPr>
        <w:t>and 15% free fatty acids (FFAs)</w:t>
      </w:r>
      <w:r w:rsidRPr="00420686">
        <w:rPr>
          <w:rFonts w:ascii="Book Antiqua" w:hAnsi="Book Antiqua" w:cs="Times New Roman"/>
          <w:noProof/>
          <w:sz w:val="24"/>
          <w:szCs w:val="24"/>
          <w:vertAlign w:val="superscript"/>
        </w:rPr>
        <w:t>[27]</w:t>
      </w:r>
      <w:r w:rsidRPr="00420686">
        <w:rPr>
          <w:rFonts w:ascii="Book Antiqua" w:hAnsi="Book Antiqua" w:cs="Times New Roman"/>
          <w:sz w:val="24"/>
          <w:szCs w:val="24"/>
        </w:rPr>
        <w:t xml:space="preserve">. This amalgam of highly hydrophobic lipids, together with the CE, provides selective permeability to the epidermis.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Intercellular lipids are secreted as precursors from a unique epidermal organelle, the lamellar body (LB), along with the hydrolytic enzymes required for precursor transformation</w:t>
      </w:r>
      <w:r w:rsidRPr="00420686">
        <w:rPr>
          <w:rFonts w:ascii="Book Antiqua" w:hAnsi="Book Antiqua" w:cs="Times New Roman"/>
          <w:noProof/>
          <w:sz w:val="24"/>
          <w:szCs w:val="24"/>
          <w:vertAlign w:val="superscript"/>
        </w:rPr>
        <w:t>[24]</w:t>
      </w:r>
      <w:r w:rsidRPr="00420686">
        <w:rPr>
          <w:rFonts w:ascii="Book Antiqua" w:hAnsi="Book Antiqua" w:cs="Times New Roman"/>
          <w:sz w:val="24"/>
          <w:szCs w:val="24"/>
        </w:rPr>
        <w:t xml:space="preserve">. At the granular cell-to-corneocyte transition, LBs fuse with the plasma membrane and discharge their contents into the intercellular spaceby exocytosis.LB extrusion also delivers antimicrobial peptides (AMPs) and the proteases and inhibitors which together orchestrate corneodesmosome cleavage during desquamation. Beneath the SC, the stratum granulosum (SG) provides a second barrier to environmental stressors; keratinocytes in the outer SG layers are intimately connected by tight junctions (TJs) </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multi-protein complexes which control paracellular transport. </w:t>
      </w:r>
    </w:p>
    <w:p w:rsidR="008B389C" w:rsidRPr="00420686" w:rsidRDefault="008B389C" w:rsidP="00420686">
      <w:pPr>
        <w:spacing w:after="0" w:line="360" w:lineRule="auto"/>
        <w:ind w:firstLineChars="100" w:firstLine="240"/>
        <w:jc w:val="both"/>
        <w:rPr>
          <w:rFonts w:ascii="Book Antiqua" w:hAnsi="Book Antiqua" w:cs="Times New Roman"/>
          <w:sz w:val="24"/>
          <w:szCs w:val="24"/>
        </w:rPr>
      </w:pPr>
      <w:r w:rsidRPr="00420686">
        <w:rPr>
          <w:rFonts w:ascii="Book Antiqua" w:hAnsi="Book Antiqua" w:cs="Times New Roman"/>
          <w:sz w:val="24"/>
          <w:szCs w:val="24"/>
        </w:rPr>
        <w:t>AD is characterised by widespread skin barrier dysfunction in both</w:t>
      </w:r>
      <w:r w:rsidR="006A5BC3" w:rsidRPr="00420686">
        <w:rPr>
          <w:rFonts w:ascii="Book Antiqua" w:hAnsi="Book Antiqua" w:cs="Times New Roman"/>
          <w:sz w:val="24"/>
          <w:szCs w:val="24"/>
        </w:rPr>
        <w:t xml:space="preserve"> lesional and non-lesional skin</w:t>
      </w:r>
      <w:r w:rsidRPr="00420686">
        <w:rPr>
          <w:rFonts w:ascii="Book Antiqua" w:hAnsi="Book Antiqua" w:cs="Times New Roman"/>
          <w:noProof/>
          <w:sz w:val="24"/>
          <w:szCs w:val="24"/>
          <w:vertAlign w:val="superscript"/>
        </w:rPr>
        <w:t>[28]</w:t>
      </w:r>
      <w:r w:rsidRPr="00420686">
        <w:rPr>
          <w:rFonts w:ascii="Book Antiqua" w:hAnsi="Book Antiqua" w:cs="Times New Roman"/>
          <w:sz w:val="24"/>
          <w:szCs w:val="24"/>
        </w:rPr>
        <w:t>, as indicated by increases in</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transepidermal water loss (TEWL)</w:t>
      </w:r>
      <w:r w:rsidRPr="00420686">
        <w:rPr>
          <w:rFonts w:ascii="Book Antiqua" w:hAnsi="Book Antiqua" w:cs="Times New Roman"/>
          <w:noProof/>
          <w:sz w:val="24"/>
          <w:szCs w:val="24"/>
          <w:vertAlign w:val="superscript"/>
        </w:rPr>
        <w:t>[29-31]</w:t>
      </w:r>
      <w:r w:rsidR="006A5BC3" w:rsidRPr="00420686">
        <w:rPr>
          <w:rFonts w:ascii="Book Antiqua" w:hAnsi="Book Antiqua" w:cs="Times New Roman"/>
          <w:sz w:val="24"/>
          <w:szCs w:val="24"/>
        </w:rPr>
        <w:t xml:space="preserve"> and percutaneous penetration</w:t>
      </w:r>
      <w:r w:rsidRPr="00420686">
        <w:rPr>
          <w:rFonts w:ascii="Book Antiqua" w:hAnsi="Book Antiqua" w:cs="Times New Roman"/>
          <w:noProof/>
          <w:sz w:val="24"/>
          <w:szCs w:val="24"/>
          <w:vertAlign w:val="superscript"/>
        </w:rPr>
        <w:t>[32]</w:t>
      </w:r>
      <w:r w:rsidRPr="00420686">
        <w:rPr>
          <w:rFonts w:ascii="Book Antiqua" w:hAnsi="Book Antiqua" w:cs="Times New Roman"/>
          <w:sz w:val="24"/>
          <w:szCs w:val="24"/>
        </w:rPr>
        <w:t>. This enhanced permeability has been attributed to abnormalities in the composition and architecture of extracellular lipid bilayers, reductions in total lipid</w:t>
      </w:r>
      <w:r w:rsidR="00815E81" w:rsidRPr="00420686">
        <w:rPr>
          <w:rFonts w:ascii="Book Antiqua" w:hAnsi="Book Antiqua" w:cs="Times New Roman"/>
          <w:sz w:val="24"/>
          <w:szCs w:val="24"/>
        </w:rPr>
        <w:t xml:space="preserve"> </w:t>
      </w:r>
      <w:r w:rsidR="006A5BC3" w:rsidRPr="00420686">
        <w:rPr>
          <w:rFonts w:ascii="Book Antiqua" w:hAnsi="Book Antiqua" w:cs="Times New Roman"/>
          <w:sz w:val="24"/>
          <w:szCs w:val="24"/>
        </w:rPr>
        <w:t>and ceramide content</w:t>
      </w:r>
      <w:r w:rsidRPr="00420686">
        <w:rPr>
          <w:rFonts w:ascii="Book Antiqua" w:hAnsi="Book Antiqua" w:cs="Times New Roman"/>
          <w:noProof/>
          <w:sz w:val="24"/>
          <w:szCs w:val="24"/>
          <w:vertAlign w:val="superscript"/>
        </w:rPr>
        <w:t>[33]</w:t>
      </w:r>
      <w:r w:rsidRPr="00420686">
        <w:rPr>
          <w:rFonts w:ascii="Book Antiqua" w:hAnsi="Book Antiqua" w:cs="Times New Roman"/>
          <w:sz w:val="24"/>
          <w:szCs w:val="24"/>
        </w:rPr>
        <w:t xml:space="preserve"> and average ceramide chain </w:t>
      </w:r>
      <w:r w:rsidR="006A5BC3" w:rsidRPr="00420686">
        <w:rPr>
          <w:rFonts w:ascii="Book Antiqua" w:hAnsi="Book Antiqua" w:cs="Times New Roman"/>
          <w:sz w:val="24"/>
          <w:szCs w:val="24"/>
        </w:rPr>
        <w:t>length</w:t>
      </w:r>
      <w:r w:rsidRPr="00420686">
        <w:rPr>
          <w:rFonts w:ascii="Book Antiqua" w:hAnsi="Book Antiqua" w:cs="Times New Roman"/>
          <w:noProof/>
          <w:sz w:val="24"/>
          <w:szCs w:val="24"/>
          <w:vertAlign w:val="superscript"/>
        </w:rPr>
        <w:t>[34]</w:t>
      </w:r>
      <w:r w:rsidRPr="00420686">
        <w:rPr>
          <w:rFonts w:ascii="Book Antiqua" w:hAnsi="Book Antiqua" w:cs="Times New Roman"/>
          <w:sz w:val="24"/>
          <w:szCs w:val="24"/>
        </w:rPr>
        <w:t>, as well</w:t>
      </w:r>
      <w:r w:rsidR="006A5BC3" w:rsidRPr="00420686">
        <w:rPr>
          <w:rFonts w:ascii="Book Antiqua" w:hAnsi="Book Antiqua" w:cs="Times New Roman"/>
          <w:sz w:val="24"/>
          <w:szCs w:val="24"/>
        </w:rPr>
        <w:t xml:space="preserve"> as an altered ceramide profile</w:t>
      </w:r>
      <w:r w:rsidR="006A5BC3" w:rsidRPr="00420686">
        <w:rPr>
          <w:rFonts w:ascii="Book Antiqua" w:hAnsi="Book Antiqua" w:cs="Times New Roman"/>
          <w:noProof/>
          <w:sz w:val="24"/>
          <w:szCs w:val="24"/>
          <w:vertAlign w:val="superscript"/>
        </w:rPr>
        <w:t>[33,</w:t>
      </w:r>
      <w:r w:rsidRPr="00420686">
        <w:rPr>
          <w:rFonts w:ascii="Book Antiqua" w:hAnsi="Book Antiqua" w:cs="Times New Roman"/>
          <w:noProof/>
          <w:sz w:val="24"/>
          <w:szCs w:val="24"/>
          <w:vertAlign w:val="superscript"/>
        </w:rPr>
        <w:t>35]</w:t>
      </w:r>
      <w:r w:rsidRPr="00420686">
        <w:rPr>
          <w:rFonts w:ascii="Book Antiqua" w:hAnsi="Book Antiqua" w:cs="Times New Roman"/>
          <w:sz w:val="24"/>
          <w:szCs w:val="24"/>
        </w:rPr>
        <w:t>. The resultant barrier defect renders the skin of AD patients more permissive to the ingress of irritants, allergens and pathogens.</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Atopic skin is more susceptible to bacterial and viral infectio</w:t>
      </w:r>
      <w:r w:rsidR="006A5BC3" w:rsidRPr="00420686">
        <w:rPr>
          <w:rFonts w:ascii="Book Antiqua" w:hAnsi="Book Antiqua" w:cs="Times New Roman"/>
          <w:sz w:val="24"/>
          <w:szCs w:val="24"/>
        </w:rPr>
        <w:t>ns</w:t>
      </w:r>
      <w:r w:rsidRPr="00420686">
        <w:rPr>
          <w:rFonts w:ascii="Book Antiqua" w:hAnsi="Book Antiqua" w:cs="Times New Roman"/>
          <w:noProof/>
          <w:sz w:val="24"/>
          <w:szCs w:val="24"/>
          <w:vertAlign w:val="superscript"/>
        </w:rPr>
        <w:t>[10]</w:t>
      </w:r>
      <w:r w:rsidRPr="00420686">
        <w:rPr>
          <w:rFonts w:ascii="Book Antiqua" w:hAnsi="Book Antiqua" w:cs="Times New Roman"/>
          <w:sz w:val="24"/>
          <w:szCs w:val="24"/>
        </w:rPr>
        <w:t>, reflecting defects in the antimicrobial barrier. 80</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100% of AD patients show colonisation by </w:t>
      </w:r>
      <w:r w:rsidRPr="00420686">
        <w:rPr>
          <w:rFonts w:ascii="Book Antiqua" w:hAnsi="Book Antiqua" w:cs="Times New Roman"/>
          <w:i/>
          <w:sz w:val="24"/>
          <w:szCs w:val="24"/>
        </w:rPr>
        <w:t>Staphylococcus aureus</w:t>
      </w:r>
      <w:r w:rsidR="006A5BC3" w:rsidRPr="00420686">
        <w:rPr>
          <w:rFonts w:ascii="Book Antiqua" w:hAnsi="Book Antiqua" w:cs="Times New Roman"/>
          <w:i/>
          <w:sz w:val="24"/>
          <w:szCs w:val="24"/>
          <w:lang w:eastAsia="zh-CN"/>
        </w:rPr>
        <w:t xml:space="preserve"> </w:t>
      </w:r>
      <w:r w:rsidR="006A5BC3" w:rsidRPr="00420686">
        <w:rPr>
          <w:rFonts w:ascii="Book Antiqua" w:hAnsi="Book Antiqua" w:cs="Times New Roman"/>
          <w:sz w:val="24"/>
          <w:szCs w:val="24"/>
          <w:lang w:eastAsia="zh-CN"/>
        </w:rPr>
        <w:t>(</w:t>
      </w:r>
      <w:r w:rsidR="006A5BC3" w:rsidRPr="00420686">
        <w:rPr>
          <w:rFonts w:ascii="Book Antiqua" w:hAnsi="Book Antiqua" w:cs="Times New Roman"/>
          <w:i/>
          <w:sz w:val="24"/>
          <w:szCs w:val="24"/>
        </w:rPr>
        <w:t>S. aureus</w:t>
      </w:r>
      <w:r w:rsidR="006A5BC3" w:rsidRPr="00420686">
        <w:rPr>
          <w:rFonts w:ascii="Book Antiqua" w:hAnsi="Book Antiqua" w:cs="Times New Roman"/>
          <w:sz w:val="24"/>
          <w:szCs w:val="24"/>
          <w:lang w:eastAsia="zh-CN"/>
        </w:rPr>
        <w:t>)</w:t>
      </w:r>
      <w:r w:rsidRPr="00420686">
        <w:rPr>
          <w:rFonts w:ascii="Book Antiqua" w:hAnsi="Book Antiqua" w:cs="Times New Roman"/>
          <w:i/>
          <w:sz w:val="24"/>
          <w:szCs w:val="24"/>
        </w:rPr>
        <w:t xml:space="preserve"> </w:t>
      </w:r>
      <w:r w:rsidRPr="00420686">
        <w:rPr>
          <w:rFonts w:ascii="Book Antiqua" w:hAnsi="Book Antiqua" w:cs="Times New Roman"/>
          <w:sz w:val="24"/>
          <w:szCs w:val="24"/>
        </w:rPr>
        <w:t>compared with 5</w:t>
      </w:r>
      <w:r w:rsidR="006A5BC3" w:rsidRPr="00420686">
        <w:rPr>
          <w:rFonts w:ascii="Book Antiqua" w:hAnsi="Book Antiqua" w:cs="Times New Roman"/>
          <w:sz w:val="24"/>
          <w:szCs w:val="24"/>
          <w:lang w:eastAsia="zh-CN"/>
        </w:rPr>
        <w:t>-</w:t>
      </w:r>
      <w:r w:rsidR="006A5BC3" w:rsidRPr="00420686">
        <w:rPr>
          <w:rFonts w:ascii="Book Antiqua" w:hAnsi="Book Antiqua" w:cs="Times New Roman"/>
          <w:sz w:val="24"/>
          <w:szCs w:val="24"/>
        </w:rPr>
        <w:t>30% of non-atopic individuals</w:t>
      </w:r>
      <w:r w:rsidRPr="00420686">
        <w:rPr>
          <w:rFonts w:ascii="Book Antiqua" w:hAnsi="Book Antiqua" w:cs="Times New Roman"/>
          <w:noProof/>
          <w:sz w:val="24"/>
          <w:szCs w:val="24"/>
          <w:vertAlign w:val="superscript"/>
        </w:rPr>
        <w:t>[36-38]</w:t>
      </w:r>
      <w:r w:rsidRPr="00420686">
        <w:rPr>
          <w:rFonts w:ascii="Book Antiqua" w:hAnsi="Book Antiqua" w:cs="Times New Roman"/>
          <w:sz w:val="24"/>
          <w:szCs w:val="24"/>
        </w:rPr>
        <w:t xml:space="preserve">. Flare-ups of AD are often associated with </w:t>
      </w:r>
      <w:r w:rsidRPr="00420686">
        <w:rPr>
          <w:rFonts w:ascii="Book Antiqua" w:hAnsi="Book Antiqua" w:cs="Times New Roman"/>
          <w:i/>
          <w:sz w:val="24"/>
          <w:szCs w:val="24"/>
        </w:rPr>
        <w:t>S. aureus</w:t>
      </w:r>
      <w:r w:rsidRPr="00420686">
        <w:rPr>
          <w:rFonts w:ascii="Book Antiqua" w:hAnsi="Book Antiqua" w:cs="Times New Roman"/>
          <w:sz w:val="24"/>
          <w:szCs w:val="24"/>
        </w:rPr>
        <w:t xml:space="preserve"> infection, but whether infection represents a cause or consequence of inflammation remains unclear.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In healthy individuals, the desiccating surface, acidic pH and resident microflora of the skin cooperate with AMPs and lipids to to provide protection against invading pathogen</w:t>
      </w:r>
      <w:r w:rsidR="006A5BC3" w:rsidRPr="00420686">
        <w:rPr>
          <w:rFonts w:ascii="Book Antiqua" w:hAnsi="Book Antiqua" w:cs="Times New Roman"/>
          <w:sz w:val="24"/>
          <w:szCs w:val="24"/>
        </w:rPr>
        <w:t>s</w:t>
      </w:r>
      <w:r w:rsidRPr="00420686">
        <w:rPr>
          <w:rFonts w:ascii="Book Antiqua" w:hAnsi="Book Antiqua" w:cs="Times New Roman"/>
          <w:noProof/>
          <w:sz w:val="24"/>
          <w:szCs w:val="24"/>
          <w:vertAlign w:val="superscript"/>
        </w:rPr>
        <w:t>[39]</w:t>
      </w:r>
      <w:r w:rsidRPr="00420686">
        <w:rPr>
          <w:rFonts w:ascii="Book Antiqua" w:hAnsi="Book Antiqua" w:cs="Times New Roman"/>
          <w:sz w:val="24"/>
          <w:szCs w:val="24"/>
        </w:rPr>
        <w:t xml:space="preserve">. In AD, a number of factors - including the defective epidermal barrier, attenuated innate immune response and increased bacterial adhesion - may promote skin colonisation by </w:t>
      </w:r>
      <w:r w:rsidRPr="00420686">
        <w:rPr>
          <w:rFonts w:ascii="Book Antiqua" w:hAnsi="Book Antiqua" w:cs="Times New Roman"/>
          <w:i/>
          <w:sz w:val="24"/>
          <w:szCs w:val="24"/>
        </w:rPr>
        <w:t>S. aureus</w:t>
      </w:r>
      <w:r w:rsidRPr="00420686">
        <w:rPr>
          <w:rFonts w:ascii="Book Antiqua" w:hAnsi="Book Antiqua" w:cs="Times New Roman"/>
          <w:noProof/>
          <w:sz w:val="24"/>
          <w:szCs w:val="24"/>
          <w:vertAlign w:val="superscript"/>
        </w:rPr>
        <w:t>[40]</w:t>
      </w:r>
      <w:r w:rsidRPr="00420686">
        <w:rPr>
          <w:rFonts w:ascii="Book Antiqua" w:hAnsi="Book Antiqua" w:cs="Times New Roman"/>
          <w:sz w:val="24"/>
          <w:szCs w:val="24"/>
        </w:rPr>
        <w:t>. Among the human AMPs, levels of the cathelicidin, LL-37, and human beta-defensin-2 (h</w:t>
      </w:r>
      <w:r w:rsidR="006A5BC3" w:rsidRPr="00420686">
        <w:rPr>
          <w:rFonts w:ascii="Book Antiqua" w:hAnsi="Book Antiqua" w:cs="Times New Roman"/>
          <w:sz w:val="24"/>
          <w:szCs w:val="24"/>
        </w:rPr>
        <w:t>BD-2) are reduced in AD lesions</w:t>
      </w:r>
      <w:r w:rsidRPr="00420686">
        <w:rPr>
          <w:rFonts w:ascii="Book Antiqua" w:hAnsi="Book Antiqua" w:cs="Times New Roman"/>
          <w:noProof/>
          <w:sz w:val="24"/>
          <w:szCs w:val="24"/>
          <w:vertAlign w:val="superscript"/>
        </w:rPr>
        <w:t>[41]</w:t>
      </w:r>
      <w:r w:rsidRPr="00420686">
        <w:rPr>
          <w:rFonts w:ascii="Book Antiqua" w:hAnsi="Book Antiqua" w:cs="Times New Roman"/>
          <w:sz w:val="24"/>
          <w:szCs w:val="24"/>
        </w:rPr>
        <w:t xml:space="preserve">, and deficiency of sphingosine </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a natural cera</w:t>
      </w:r>
      <w:r w:rsidR="006A5BC3" w:rsidRPr="00420686">
        <w:rPr>
          <w:rFonts w:ascii="Book Antiqua" w:hAnsi="Book Antiqua" w:cs="Times New Roman"/>
          <w:sz w:val="24"/>
          <w:szCs w:val="24"/>
        </w:rPr>
        <w:t>mide metabolite and potent anti</w:t>
      </w:r>
      <w:r w:rsidR="006A5BC3" w:rsidRPr="00420686">
        <w:rPr>
          <w:rFonts w:ascii="Book Antiqua" w:hAnsi="Book Antiqua" w:cs="Times New Roman"/>
          <w:sz w:val="24"/>
          <w:szCs w:val="24"/>
          <w:lang w:eastAsia="zh-CN"/>
        </w:rPr>
        <w:t>-</w:t>
      </w:r>
      <w:r w:rsidRPr="00420686">
        <w:rPr>
          <w:rFonts w:ascii="Book Antiqua" w:hAnsi="Book Antiqua" w:cs="Times New Roman"/>
          <w:i/>
          <w:sz w:val="24"/>
          <w:szCs w:val="24"/>
        </w:rPr>
        <w:t xml:space="preserve">S. aureus </w:t>
      </w:r>
      <w:r w:rsidRPr="00420686">
        <w:rPr>
          <w:rFonts w:ascii="Book Antiqua" w:hAnsi="Book Antiqua" w:cs="Times New Roman"/>
          <w:sz w:val="24"/>
          <w:szCs w:val="24"/>
        </w:rPr>
        <w:t xml:space="preserve">agent </w:t>
      </w:r>
      <w:r w:rsidR="006A5BC3" w:rsidRPr="00420686">
        <w:rPr>
          <w:rFonts w:ascii="Book Antiqua" w:hAnsi="Book Antiqua" w:cs="Times New Roman"/>
          <w:sz w:val="24"/>
          <w:szCs w:val="24"/>
          <w:lang w:eastAsia="zh-CN"/>
        </w:rPr>
        <w:t>-</w:t>
      </w:r>
      <w:r w:rsidR="006A5BC3" w:rsidRPr="00420686">
        <w:rPr>
          <w:rFonts w:ascii="Book Antiqua" w:hAnsi="Book Antiqua" w:cs="Times New Roman"/>
          <w:sz w:val="24"/>
          <w:szCs w:val="24"/>
        </w:rPr>
        <w:t xml:space="preserve"> is also evident in the SC</w:t>
      </w:r>
      <w:r w:rsidRPr="00420686">
        <w:rPr>
          <w:rFonts w:ascii="Book Antiqua" w:hAnsi="Book Antiqua" w:cs="Times New Roman"/>
          <w:noProof/>
          <w:sz w:val="24"/>
          <w:szCs w:val="24"/>
          <w:vertAlign w:val="superscript"/>
        </w:rPr>
        <w:t>[42]</w:t>
      </w:r>
      <w:r w:rsidRPr="00420686">
        <w:rPr>
          <w:rFonts w:ascii="Book Antiqua" w:hAnsi="Book Antiqua" w:cs="Times New Roman"/>
          <w:sz w:val="24"/>
          <w:szCs w:val="24"/>
        </w:rPr>
        <w:t xml:space="preserve">. Furthermore, </w:t>
      </w:r>
      <w:r w:rsidRPr="00420686">
        <w:rPr>
          <w:rFonts w:ascii="Book Antiqua" w:hAnsi="Book Antiqua" w:cs="Times New Roman"/>
          <w:i/>
          <w:sz w:val="24"/>
          <w:szCs w:val="24"/>
        </w:rPr>
        <w:t xml:space="preserve">in vitro </w:t>
      </w:r>
      <w:r w:rsidRPr="00420686">
        <w:rPr>
          <w:rFonts w:ascii="Book Antiqua" w:hAnsi="Book Antiqua" w:cs="Times New Roman"/>
          <w:sz w:val="24"/>
          <w:szCs w:val="24"/>
        </w:rPr>
        <w:t xml:space="preserve">studies have suggested that the Th2 inflammatory response in AD may feed back to the epidermis to </w:t>
      </w:r>
      <w:r w:rsidR="006A5BC3" w:rsidRPr="00420686">
        <w:rPr>
          <w:rFonts w:ascii="Book Antiqua" w:hAnsi="Book Antiqua" w:cs="Times New Roman"/>
          <w:sz w:val="24"/>
          <w:szCs w:val="24"/>
        </w:rPr>
        <w:t>promote bacterial colonisation</w:t>
      </w:r>
      <w:r w:rsidR="006A5BC3" w:rsidRPr="00420686">
        <w:rPr>
          <w:rFonts w:ascii="Book Antiqua" w:hAnsi="Book Antiqua" w:cs="Times New Roman"/>
          <w:noProof/>
          <w:sz w:val="24"/>
          <w:szCs w:val="24"/>
          <w:vertAlign w:val="superscript"/>
        </w:rPr>
        <w:t>[41,</w:t>
      </w:r>
      <w:r w:rsidRPr="00420686">
        <w:rPr>
          <w:rFonts w:ascii="Book Antiqua" w:hAnsi="Book Antiqua" w:cs="Times New Roman"/>
          <w:noProof/>
          <w:sz w:val="24"/>
          <w:szCs w:val="24"/>
          <w:vertAlign w:val="superscript"/>
        </w:rPr>
        <w:t>43]</w:t>
      </w:r>
      <w:r w:rsidR="006A5BC3" w:rsidRPr="00420686">
        <w:rPr>
          <w:rFonts w:ascii="Book Antiqua" w:hAnsi="Book Antiqua" w:cs="Times New Roman"/>
          <w:sz w:val="24"/>
          <w:szCs w:val="24"/>
          <w:lang w:eastAsia="zh-CN"/>
        </w:rPr>
        <w:t xml:space="preserve">. </w:t>
      </w:r>
      <w:r w:rsidRPr="00420686">
        <w:rPr>
          <w:rFonts w:ascii="Book Antiqua" w:hAnsi="Book Antiqua" w:cs="Times New Roman"/>
          <w:sz w:val="24"/>
          <w:szCs w:val="24"/>
        </w:rPr>
        <w:t xml:space="preserve">For instance, IL-4, which </w:t>
      </w:r>
      <w:r w:rsidRPr="00420686">
        <w:rPr>
          <w:rFonts w:ascii="Book Antiqua" w:hAnsi="Book Antiqua" w:cs="Times New Roman"/>
          <w:color w:val="000000" w:themeColor="text1"/>
          <w:sz w:val="24"/>
          <w:szCs w:val="24"/>
        </w:rPr>
        <w:t>is over-expressed in AD skin,</w:t>
      </w:r>
      <w:r w:rsidR="00815E81" w:rsidRPr="00420686">
        <w:rPr>
          <w:rFonts w:ascii="Book Antiqua" w:hAnsi="Book Antiqua" w:cs="Times New Roman"/>
          <w:color w:val="000000" w:themeColor="text1"/>
          <w:sz w:val="24"/>
          <w:szCs w:val="24"/>
        </w:rPr>
        <w:t xml:space="preserve"> </w:t>
      </w:r>
      <w:r w:rsidRPr="00420686">
        <w:rPr>
          <w:rFonts w:ascii="Book Antiqua" w:hAnsi="Book Antiqua" w:cs="Times New Roman"/>
          <w:sz w:val="24"/>
          <w:szCs w:val="24"/>
        </w:rPr>
        <w:t xml:space="preserve">has been reported to increase skin expression of fibronectin and fibrinogen – receptors which may facilitate attachment of </w:t>
      </w:r>
      <w:r w:rsidRPr="00420686">
        <w:rPr>
          <w:rFonts w:ascii="Book Antiqua" w:hAnsi="Book Antiqua" w:cs="Times New Roman"/>
          <w:i/>
          <w:sz w:val="24"/>
          <w:szCs w:val="24"/>
        </w:rPr>
        <w:t xml:space="preserve">S. aureus </w:t>
      </w:r>
      <w:r w:rsidR="006A5BC3" w:rsidRPr="00420686">
        <w:rPr>
          <w:rFonts w:ascii="Book Antiqua" w:hAnsi="Book Antiqua" w:cs="Times New Roman"/>
          <w:sz w:val="24"/>
          <w:szCs w:val="24"/>
        </w:rPr>
        <w:t>to the SC</w:t>
      </w:r>
      <w:r w:rsidRPr="00420686">
        <w:rPr>
          <w:rFonts w:ascii="Book Antiqua" w:hAnsi="Book Antiqua" w:cs="Times New Roman"/>
          <w:noProof/>
          <w:sz w:val="24"/>
          <w:szCs w:val="24"/>
          <w:vertAlign w:val="superscript"/>
        </w:rPr>
        <w:t>[43]</w:t>
      </w:r>
      <w:r w:rsidRPr="00420686">
        <w:rPr>
          <w:rFonts w:ascii="Book Antiqua" w:hAnsi="Book Antiqua" w:cs="Times New Roman"/>
          <w:sz w:val="24"/>
          <w:szCs w:val="24"/>
        </w:rPr>
        <w:t xml:space="preserve">.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Finally, it should be noted that several other protective functions of the skin barrier are impaired in AD. The skin of AD patients shows disrupted SC integ</w:t>
      </w:r>
      <w:r w:rsidR="006A5BC3" w:rsidRPr="00420686">
        <w:rPr>
          <w:rFonts w:ascii="Book Antiqua" w:hAnsi="Book Antiqua" w:cs="Times New Roman"/>
          <w:sz w:val="24"/>
          <w:szCs w:val="24"/>
        </w:rPr>
        <w:t>rity (reflected by excess scale</w:t>
      </w:r>
      <w:r w:rsidRPr="00420686">
        <w:rPr>
          <w:rFonts w:ascii="Book Antiqua" w:hAnsi="Book Antiqua" w:cs="Times New Roman"/>
          <w:noProof/>
          <w:sz w:val="24"/>
          <w:szCs w:val="24"/>
          <w:vertAlign w:val="superscript"/>
        </w:rPr>
        <w:t>[31]</w:t>
      </w:r>
      <w:r w:rsidRPr="00420686">
        <w:rPr>
          <w:rFonts w:ascii="Book Antiqua" w:hAnsi="Book Antiqua" w:cs="Times New Roman"/>
          <w:sz w:val="24"/>
          <w:szCs w:val="24"/>
        </w:rPr>
        <w:t>) and widespread xerosis, indica</w:t>
      </w:r>
      <w:r w:rsidR="006A5BC3" w:rsidRPr="00420686">
        <w:rPr>
          <w:rFonts w:ascii="Book Antiqua" w:hAnsi="Book Antiqua" w:cs="Times New Roman"/>
          <w:sz w:val="24"/>
          <w:szCs w:val="24"/>
        </w:rPr>
        <w:t>ted by reduced SC water content</w:t>
      </w:r>
      <w:r w:rsidRPr="00420686">
        <w:rPr>
          <w:rFonts w:ascii="Book Antiqua" w:hAnsi="Book Antiqua" w:cs="Times New Roman"/>
          <w:noProof/>
          <w:sz w:val="24"/>
          <w:szCs w:val="24"/>
          <w:vertAlign w:val="superscript"/>
        </w:rPr>
        <w:t>[30]</w:t>
      </w:r>
      <w:r w:rsidRPr="00420686">
        <w:rPr>
          <w:rFonts w:ascii="Book Antiqua" w:hAnsi="Book Antiqua" w:cs="Times New Roman"/>
          <w:sz w:val="24"/>
          <w:szCs w:val="24"/>
        </w:rPr>
        <w:t>. Additionally, pruritus – a</w:t>
      </w:r>
      <w:r w:rsidR="006A5BC3" w:rsidRPr="00420686">
        <w:rPr>
          <w:rFonts w:ascii="Book Antiqua" w:hAnsi="Book Antiqua" w:cs="Times New Roman"/>
          <w:sz w:val="24"/>
          <w:szCs w:val="24"/>
        </w:rPr>
        <w:t xml:space="preserve"> prominent characteristic of AD</w:t>
      </w:r>
      <w:r w:rsidRPr="00420686">
        <w:rPr>
          <w:rFonts w:ascii="Book Antiqua" w:hAnsi="Book Antiqua" w:cs="Times New Roman"/>
          <w:noProof/>
          <w:sz w:val="24"/>
          <w:szCs w:val="24"/>
          <w:vertAlign w:val="superscript"/>
        </w:rPr>
        <w:t>[44]</w:t>
      </w:r>
      <w:r w:rsidRPr="00420686">
        <w:rPr>
          <w:rFonts w:ascii="Book Antiqua" w:hAnsi="Book Antiqua" w:cs="Times New Roman"/>
          <w:sz w:val="24"/>
          <w:szCs w:val="24"/>
        </w:rPr>
        <w:t xml:space="preserve"> </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indirectly aggravates skin barrier impairment via the resultant scratching. The itch sensation is believed to result from cross-talk between the SC, keratinocytes</w:t>
      </w:r>
      <w:r w:rsidR="006A5BC3" w:rsidRPr="00420686">
        <w:rPr>
          <w:rFonts w:ascii="Book Antiqua" w:hAnsi="Book Antiqua" w:cs="Times New Roman"/>
          <w:sz w:val="24"/>
          <w:szCs w:val="24"/>
        </w:rPr>
        <w:t>, immune cells and nerve fibres</w:t>
      </w:r>
      <w:r w:rsidRPr="00420686">
        <w:rPr>
          <w:rFonts w:ascii="Book Antiqua" w:hAnsi="Book Antiqua" w:cs="Times New Roman"/>
          <w:noProof/>
          <w:sz w:val="24"/>
          <w:szCs w:val="24"/>
          <w:vertAlign w:val="superscript"/>
        </w:rPr>
        <w:t>[45]</w:t>
      </w:r>
      <w:r w:rsidRPr="00420686">
        <w:rPr>
          <w:rFonts w:ascii="Book Antiqua" w:hAnsi="Book Antiqua" w:cs="Times New Roman"/>
          <w:sz w:val="24"/>
          <w:szCs w:val="24"/>
        </w:rPr>
        <w:t>. Excoriations directly disrupt the mechanical barrier of skin, creating additional portals of entry for pathogens. Moreover, it has been reported that a subset of AD patients develop serum IgE which is auto-reactive against a v</w:t>
      </w:r>
      <w:r w:rsidR="006A5BC3" w:rsidRPr="00420686">
        <w:rPr>
          <w:rFonts w:ascii="Book Antiqua" w:hAnsi="Book Antiqua" w:cs="Times New Roman"/>
          <w:sz w:val="24"/>
          <w:szCs w:val="24"/>
        </w:rPr>
        <w:t>ariety of keratinocyte proteins</w:t>
      </w:r>
      <w:r w:rsidRPr="00420686">
        <w:rPr>
          <w:rFonts w:ascii="Book Antiqua" w:hAnsi="Book Antiqua" w:cs="Times New Roman"/>
          <w:noProof/>
          <w:sz w:val="24"/>
          <w:szCs w:val="24"/>
          <w:vertAlign w:val="superscript"/>
        </w:rPr>
        <w:t>[46]</w:t>
      </w:r>
      <w:r w:rsidRPr="00420686">
        <w:rPr>
          <w:rFonts w:ascii="Book Antiqua" w:hAnsi="Book Antiqua" w:cs="Times New Roman"/>
          <w:sz w:val="24"/>
          <w:szCs w:val="24"/>
        </w:rPr>
        <w:t>. Thus damage to the epidermis may itself</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intensify pruritus, driving</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the vic</w:t>
      </w:r>
      <w:r w:rsidR="006A5BC3" w:rsidRPr="00420686">
        <w:rPr>
          <w:rFonts w:ascii="Book Antiqua" w:hAnsi="Book Antiqua" w:cs="Times New Roman"/>
          <w:sz w:val="24"/>
          <w:szCs w:val="24"/>
        </w:rPr>
        <w:t>ious “itch-scratch” cycle of AD</w:t>
      </w:r>
      <w:r w:rsidRPr="00420686">
        <w:rPr>
          <w:rFonts w:ascii="Book Antiqua" w:hAnsi="Book Antiqua" w:cs="Times New Roman"/>
          <w:noProof/>
          <w:sz w:val="24"/>
          <w:szCs w:val="24"/>
          <w:vertAlign w:val="superscript"/>
        </w:rPr>
        <w:t>[45]</w:t>
      </w:r>
      <w:r w:rsidRPr="00420686">
        <w:rPr>
          <w:rFonts w:ascii="Book Antiqua" w:hAnsi="Book Antiqua" w:cs="Times New Roman"/>
          <w:sz w:val="24"/>
          <w:szCs w:val="24"/>
        </w:rPr>
        <w:t>.</w:t>
      </w:r>
    </w:p>
    <w:p w:rsidR="008B389C" w:rsidRPr="00420686" w:rsidRDefault="008B389C" w:rsidP="00420686">
      <w:pPr>
        <w:spacing w:after="0" w:line="360" w:lineRule="auto"/>
        <w:jc w:val="both"/>
        <w:rPr>
          <w:rFonts w:ascii="Book Antiqua" w:hAnsi="Book Antiqua" w:cs="Times New Roman"/>
          <w:sz w:val="24"/>
          <w:szCs w:val="24"/>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EPIDERMAL DIFFERENTIATION PROTEINS</w:t>
      </w:r>
    </w:p>
    <w:p w:rsidR="008B389C" w:rsidRPr="00420686" w:rsidRDefault="006A5BC3" w:rsidP="00420686">
      <w:pPr>
        <w:spacing w:after="0" w:line="360" w:lineRule="auto"/>
        <w:jc w:val="both"/>
        <w:rPr>
          <w:rFonts w:ascii="Book Antiqua" w:hAnsi="Book Antiqua" w:cs="Times New Roman"/>
          <w:b/>
          <w:i/>
          <w:sz w:val="24"/>
          <w:szCs w:val="24"/>
        </w:rPr>
      </w:pPr>
      <w:r w:rsidRPr="00420686">
        <w:rPr>
          <w:rFonts w:ascii="Book Antiqua" w:hAnsi="Book Antiqua" w:cs="Times New Roman"/>
          <w:b/>
          <w:i/>
          <w:sz w:val="24"/>
          <w:szCs w:val="24"/>
        </w:rPr>
        <w:t>Filaggrin–related barrier dysfunction</w:t>
      </w:r>
    </w:p>
    <w:p w:rsidR="008B389C" w:rsidRPr="00420686" w:rsidRDefault="008B389C" w:rsidP="00420686">
      <w:pPr>
        <w:spacing w:after="0" w:line="360" w:lineRule="auto"/>
        <w:ind w:left="66"/>
        <w:jc w:val="both"/>
        <w:rPr>
          <w:rFonts w:ascii="Book Antiqua" w:hAnsi="Book Antiqua" w:cs="Times New Roman"/>
          <w:sz w:val="24"/>
          <w:szCs w:val="24"/>
        </w:rPr>
      </w:pPr>
      <w:r w:rsidRPr="00420686">
        <w:rPr>
          <w:rFonts w:ascii="Book Antiqua" w:hAnsi="Book Antiqua" w:cs="Times New Roman"/>
          <w:sz w:val="24"/>
          <w:szCs w:val="24"/>
        </w:rPr>
        <w:t>The outside-inside phenomenon of AD drew sharp attention from the research community when a significant link between loss-of-function variants in the gene encoding filaggrin (</w:t>
      </w:r>
      <w:r w:rsidRPr="00420686">
        <w:rPr>
          <w:rFonts w:ascii="Book Antiqua" w:hAnsi="Book Antiqua" w:cs="Times New Roman"/>
          <w:i/>
          <w:sz w:val="24"/>
          <w:szCs w:val="24"/>
        </w:rPr>
        <w:t>FLG</w:t>
      </w:r>
      <w:r w:rsidRPr="00420686">
        <w:rPr>
          <w:rFonts w:ascii="Book Antiqua" w:hAnsi="Book Antiqua" w:cs="Times New Roman"/>
          <w:sz w:val="24"/>
          <w:szCs w:val="24"/>
        </w:rPr>
        <w:t xml:space="preserve">) and AD was demonstrated in </w:t>
      </w:r>
      <w:r w:rsidR="006A5BC3" w:rsidRPr="00420686">
        <w:rPr>
          <w:rFonts w:ascii="Book Antiqua" w:hAnsi="Book Antiqua" w:cs="Times New Roman"/>
          <w:sz w:val="24"/>
          <w:szCs w:val="24"/>
        </w:rPr>
        <w:t>three European case collections</w:t>
      </w:r>
      <w:r w:rsidRPr="00420686">
        <w:rPr>
          <w:rFonts w:ascii="Book Antiqua" w:hAnsi="Book Antiqua" w:cs="Times New Roman"/>
          <w:noProof/>
          <w:sz w:val="24"/>
          <w:szCs w:val="24"/>
          <w:vertAlign w:val="superscript"/>
        </w:rPr>
        <w:t>[47]</w:t>
      </w:r>
      <w:r w:rsidRPr="00420686">
        <w:rPr>
          <w:rFonts w:ascii="Book Antiqua" w:hAnsi="Book Antiqua" w:cs="Times New Roman"/>
          <w:sz w:val="24"/>
          <w:szCs w:val="24"/>
        </w:rPr>
        <w:t xml:space="preserve">. </w:t>
      </w:r>
      <w:r w:rsidRPr="00420686">
        <w:rPr>
          <w:rFonts w:ascii="Book Antiqua" w:hAnsi="Book Antiqua" w:cs="Times New Roman"/>
          <w:i/>
          <w:sz w:val="24"/>
          <w:szCs w:val="24"/>
        </w:rPr>
        <w:t xml:space="preserve">FLG </w:t>
      </w:r>
      <w:r w:rsidRPr="00420686">
        <w:rPr>
          <w:rFonts w:ascii="Book Antiqua" w:hAnsi="Book Antiqua" w:cs="Times New Roman"/>
          <w:sz w:val="24"/>
          <w:szCs w:val="24"/>
        </w:rPr>
        <w:t>mutations were originally identified as the ca</w:t>
      </w:r>
      <w:r w:rsidR="006A5BC3" w:rsidRPr="00420686">
        <w:rPr>
          <w:rFonts w:ascii="Book Antiqua" w:hAnsi="Book Antiqua" w:cs="Times New Roman"/>
          <w:sz w:val="24"/>
          <w:szCs w:val="24"/>
        </w:rPr>
        <w:t>use of ichthyosis vulgaris (IV)</w:t>
      </w:r>
      <w:r w:rsidRPr="00420686">
        <w:rPr>
          <w:rFonts w:ascii="Book Antiqua" w:hAnsi="Book Antiqua" w:cs="Times New Roman"/>
          <w:noProof/>
          <w:sz w:val="24"/>
          <w:szCs w:val="24"/>
          <w:vertAlign w:val="superscript"/>
        </w:rPr>
        <w:t>[48]</w:t>
      </w:r>
      <w:r w:rsidRPr="00420686">
        <w:rPr>
          <w:rFonts w:ascii="Book Antiqua" w:hAnsi="Book Antiqua" w:cs="Times New Roman"/>
          <w:sz w:val="24"/>
          <w:szCs w:val="24"/>
        </w:rPr>
        <w:t xml:space="preserve"> and have since been demonstrated to be the strongest known risk factor for AD in</w:t>
      </w:r>
      <w:r w:rsidR="006A5BC3" w:rsidRPr="00420686">
        <w:rPr>
          <w:rFonts w:ascii="Book Antiqua" w:hAnsi="Book Antiqua" w:cs="Times New Roman"/>
          <w:sz w:val="24"/>
          <w:szCs w:val="24"/>
        </w:rPr>
        <w:t xml:space="preserve"> European and Asian populations</w:t>
      </w:r>
      <w:r w:rsidRPr="00420686">
        <w:rPr>
          <w:rFonts w:ascii="Book Antiqua" w:hAnsi="Book Antiqua" w:cs="Times New Roman"/>
          <w:noProof/>
          <w:sz w:val="24"/>
          <w:szCs w:val="24"/>
          <w:vertAlign w:val="superscript"/>
        </w:rPr>
        <w:t>[49-56]</w:t>
      </w:r>
      <w:r w:rsidRPr="00420686">
        <w:rPr>
          <w:rFonts w:ascii="Book Antiqua" w:hAnsi="Book Antiqua" w:cs="Times New Roman"/>
          <w:sz w:val="24"/>
          <w:szCs w:val="24"/>
        </w:rPr>
        <w:t xml:space="preserve">. Cases of AD associated with </w:t>
      </w:r>
      <w:r w:rsidRPr="00420686">
        <w:rPr>
          <w:rFonts w:ascii="Book Antiqua" w:hAnsi="Book Antiqua" w:cs="Times New Roman"/>
          <w:i/>
          <w:sz w:val="24"/>
          <w:szCs w:val="24"/>
        </w:rPr>
        <w:t xml:space="preserve">FLG </w:t>
      </w:r>
      <w:r w:rsidRPr="00420686">
        <w:rPr>
          <w:rFonts w:ascii="Book Antiqua" w:hAnsi="Book Antiqua" w:cs="Times New Roman"/>
          <w:sz w:val="24"/>
          <w:szCs w:val="24"/>
        </w:rPr>
        <w:t>mutations are more likely</w:t>
      </w:r>
      <w:r w:rsidR="006A5BC3" w:rsidRPr="00420686">
        <w:rPr>
          <w:rFonts w:ascii="Book Antiqua" w:hAnsi="Book Antiqua" w:cs="Times New Roman"/>
          <w:sz w:val="24"/>
          <w:szCs w:val="24"/>
        </w:rPr>
        <w:t xml:space="preserve"> to be severe, persistent</w:t>
      </w:r>
      <w:r w:rsidRPr="00420686">
        <w:rPr>
          <w:rFonts w:ascii="Book Antiqua" w:hAnsi="Book Antiqua" w:cs="Times New Roman"/>
          <w:noProof/>
          <w:sz w:val="24"/>
          <w:szCs w:val="24"/>
          <w:vertAlign w:val="superscript"/>
        </w:rPr>
        <w:t>[57-60]</w:t>
      </w:r>
      <w:r w:rsidRPr="00420686">
        <w:rPr>
          <w:rFonts w:ascii="Book Antiqua" w:hAnsi="Book Antiqua" w:cs="Times New Roman"/>
          <w:sz w:val="24"/>
          <w:szCs w:val="24"/>
        </w:rPr>
        <w:t>, and comp</w:t>
      </w:r>
      <w:r w:rsidR="006A5BC3" w:rsidRPr="00420686">
        <w:rPr>
          <w:rFonts w:ascii="Book Antiqua" w:hAnsi="Book Antiqua" w:cs="Times New Roman"/>
          <w:sz w:val="24"/>
          <w:szCs w:val="24"/>
        </w:rPr>
        <w:t>licated by secondary infections</w:t>
      </w:r>
      <w:r w:rsidR="006A5BC3" w:rsidRPr="00420686">
        <w:rPr>
          <w:rFonts w:ascii="Book Antiqua" w:hAnsi="Book Antiqua" w:cs="Times New Roman"/>
          <w:noProof/>
          <w:sz w:val="24"/>
          <w:szCs w:val="24"/>
          <w:vertAlign w:val="superscript"/>
        </w:rPr>
        <w:t>[61,</w:t>
      </w:r>
      <w:r w:rsidRPr="00420686">
        <w:rPr>
          <w:rFonts w:ascii="Book Antiqua" w:hAnsi="Book Antiqua" w:cs="Times New Roman"/>
          <w:noProof/>
          <w:sz w:val="24"/>
          <w:szCs w:val="24"/>
          <w:vertAlign w:val="superscript"/>
        </w:rPr>
        <w:t>62]</w:t>
      </w:r>
      <w:r w:rsidRPr="00420686">
        <w:rPr>
          <w:rFonts w:ascii="Book Antiqua" w:hAnsi="Book Antiqua" w:cs="Times New Roman"/>
          <w:sz w:val="24"/>
          <w:szCs w:val="24"/>
        </w:rPr>
        <w:t xml:space="preserve"> than non-</w:t>
      </w:r>
      <w:r w:rsidRPr="00420686">
        <w:rPr>
          <w:rFonts w:ascii="Book Antiqua" w:hAnsi="Book Antiqua" w:cs="Times New Roman"/>
          <w:i/>
          <w:sz w:val="24"/>
          <w:szCs w:val="24"/>
        </w:rPr>
        <w:t>FLG-</w:t>
      </w:r>
      <w:r w:rsidRPr="00420686">
        <w:rPr>
          <w:rFonts w:ascii="Book Antiqua" w:hAnsi="Book Antiqua" w:cs="Times New Roman"/>
          <w:sz w:val="24"/>
          <w:szCs w:val="24"/>
        </w:rPr>
        <w:t>related</w:t>
      </w:r>
      <w:r w:rsidRPr="00420686">
        <w:rPr>
          <w:rFonts w:ascii="Book Antiqua" w:hAnsi="Book Antiqua" w:cs="Times New Roman"/>
          <w:i/>
          <w:sz w:val="24"/>
          <w:szCs w:val="24"/>
        </w:rPr>
        <w:t xml:space="preserve"> </w:t>
      </w:r>
      <w:r w:rsidRPr="00420686">
        <w:rPr>
          <w:rFonts w:ascii="Book Antiqua" w:hAnsi="Book Antiqua" w:cs="Times New Roman"/>
          <w:sz w:val="24"/>
          <w:szCs w:val="24"/>
        </w:rPr>
        <w:t xml:space="preserve">cases. Importantly, </w:t>
      </w:r>
      <w:r w:rsidRPr="00420686">
        <w:rPr>
          <w:rFonts w:ascii="Book Antiqua" w:hAnsi="Book Antiqua" w:cs="Times New Roman"/>
          <w:i/>
          <w:sz w:val="24"/>
          <w:szCs w:val="24"/>
        </w:rPr>
        <w:t>FLG</w:t>
      </w:r>
      <w:r w:rsidRPr="00420686">
        <w:rPr>
          <w:rFonts w:ascii="Book Antiqua" w:hAnsi="Book Antiqua" w:cs="Times New Roman"/>
          <w:sz w:val="24"/>
          <w:szCs w:val="24"/>
        </w:rPr>
        <w:t xml:space="preserve"> mutations are now established as an independent risk factor at every step of the atopic march i</w:t>
      </w:r>
      <w:r w:rsidR="006A5BC3" w:rsidRPr="00420686">
        <w:rPr>
          <w:rFonts w:ascii="Book Antiqua" w:hAnsi="Book Antiqua" w:cs="Times New Roman"/>
          <w:sz w:val="24"/>
          <w:szCs w:val="24"/>
        </w:rPr>
        <w:t>ncluding allergic sensitization</w:t>
      </w:r>
      <w:r w:rsidRPr="00420686">
        <w:rPr>
          <w:rFonts w:ascii="Book Antiqua" w:hAnsi="Book Antiqua" w:cs="Times New Roman"/>
          <w:noProof/>
          <w:sz w:val="24"/>
          <w:szCs w:val="24"/>
          <w:vertAlign w:val="superscript"/>
        </w:rPr>
        <w:t>[60, 63-68]</w:t>
      </w:r>
      <w:r w:rsidR="006A5BC3" w:rsidRPr="00420686">
        <w:rPr>
          <w:rFonts w:ascii="Book Antiqua" w:hAnsi="Book Antiqua" w:cs="Times New Roman"/>
          <w:sz w:val="24"/>
          <w:szCs w:val="24"/>
        </w:rPr>
        <w:t>, allergic rhinitis</w:t>
      </w:r>
      <w:r w:rsidR="006A5BC3" w:rsidRPr="00420686">
        <w:rPr>
          <w:rFonts w:ascii="Book Antiqua" w:hAnsi="Book Antiqua" w:cs="Times New Roman"/>
          <w:noProof/>
          <w:sz w:val="24"/>
          <w:szCs w:val="24"/>
          <w:vertAlign w:val="superscript"/>
        </w:rPr>
        <w:t>[60,64,</w:t>
      </w:r>
      <w:r w:rsidRPr="00420686">
        <w:rPr>
          <w:rFonts w:ascii="Book Antiqua" w:hAnsi="Book Antiqua" w:cs="Times New Roman"/>
          <w:noProof/>
          <w:sz w:val="24"/>
          <w:szCs w:val="24"/>
          <w:vertAlign w:val="superscript"/>
        </w:rPr>
        <w:t>66-68]</w:t>
      </w:r>
      <w:r w:rsidR="006A5BC3" w:rsidRPr="00420686">
        <w:rPr>
          <w:rFonts w:ascii="Book Antiqua" w:hAnsi="Book Antiqua" w:cs="Times New Roman"/>
          <w:sz w:val="24"/>
          <w:szCs w:val="24"/>
        </w:rPr>
        <w:t>, food allergies</w:t>
      </w:r>
      <w:r w:rsidR="006A5BC3" w:rsidRPr="00420686">
        <w:rPr>
          <w:rFonts w:ascii="Book Antiqua" w:hAnsi="Book Antiqua" w:cs="Times New Roman"/>
          <w:noProof/>
          <w:sz w:val="24"/>
          <w:szCs w:val="24"/>
          <w:vertAlign w:val="superscript"/>
        </w:rPr>
        <w:t>[69</w:t>
      </w:r>
      <w:r w:rsidR="006A5BC3" w:rsidRPr="00420686">
        <w:rPr>
          <w:rFonts w:ascii="Book Antiqua" w:hAnsi="Book Antiqua" w:cs="Times New Roman"/>
          <w:noProof/>
          <w:sz w:val="24"/>
          <w:szCs w:val="24"/>
          <w:vertAlign w:val="superscript"/>
          <w:lang w:eastAsia="zh-CN"/>
        </w:rPr>
        <w:t>,</w:t>
      </w:r>
      <w:r w:rsidRPr="00420686">
        <w:rPr>
          <w:rFonts w:ascii="Book Antiqua" w:hAnsi="Book Antiqua" w:cs="Times New Roman"/>
          <w:noProof/>
          <w:sz w:val="24"/>
          <w:szCs w:val="24"/>
          <w:vertAlign w:val="superscript"/>
        </w:rPr>
        <w:t>70]</w:t>
      </w:r>
      <w:r w:rsidRPr="00420686">
        <w:rPr>
          <w:rFonts w:ascii="Book Antiqua" w:hAnsi="Book Antiqua" w:cs="Times New Roman"/>
          <w:sz w:val="24"/>
          <w:szCs w:val="24"/>
        </w:rPr>
        <w:t xml:space="preserve"> and the sub-phenotype of asthma associated with AD</w:t>
      </w:r>
      <w:r w:rsidR="006A5BC3" w:rsidRPr="00420686">
        <w:rPr>
          <w:rFonts w:ascii="Book Antiqua" w:hAnsi="Book Antiqua" w:cs="Times New Roman"/>
          <w:noProof/>
          <w:sz w:val="24"/>
          <w:szCs w:val="24"/>
          <w:vertAlign w:val="superscript"/>
        </w:rPr>
        <w:t>[7,60,63,64,</w:t>
      </w:r>
      <w:r w:rsidRPr="00420686">
        <w:rPr>
          <w:rFonts w:ascii="Book Antiqua" w:hAnsi="Book Antiqua" w:cs="Times New Roman"/>
          <w:noProof/>
          <w:sz w:val="24"/>
          <w:szCs w:val="24"/>
          <w:vertAlign w:val="superscript"/>
        </w:rPr>
        <w:t>66-68]</w:t>
      </w:r>
      <w:r w:rsidRPr="00420686">
        <w:rPr>
          <w:rFonts w:ascii="Book Antiqua" w:hAnsi="Book Antiqua" w:cs="Times New Roman"/>
          <w:sz w:val="24"/>
          <w:szCs w:val="24"/>
        </w:rPr>
        <w:t>.</w:t>
      </w:r>
    </w:p>
    <w:p w:rsidR="008B389C" w:rsidRPr="00420686" w:rsidRDefault="008B389C" w:rsidP="00420686">
      <w:pPr>
        <w:spacing w:after="0" w:line="360" w:lineRule="auto"/>
        <w:ind w:left="66" w:firstLineChars="200" w:firstLine="480"/>
        <w:jc w:val="both"/>
        <w:rPr>
          <w:rFonts w:ascii="Book Antiqua" w:hAnsi="Book Antiqua" w:cs="Times New Roman"/>
          <w:noProof/>
          <w:sz w:val="24"/>
          <w:szCs w:val="24"/>
          <w:lang w:eastAsia="en-GB"/>
        </w:rPr>
      </w:pPr>
      <w:r w:rsidRPr="00420686">
        <w:rPr>
          <w:rFonts w:ascii="Book Antiqua" w:hAnsi="Book Antiqua" w:cs="Times New Roman"/>
          <w:sz w:val="24"/>
          <w:szCs w:val="24"/>
        </w:rPr>
        <w:t>Profilaggrin is a large precursor molecule (&gt;</w:t>
      </w:r>
      <w:r w:rsidR="006A5BC3" w:rsidRPr="00420686">
        <w:rPr>
          <w:rFonts w:ascii="Book Antiqua" w:hAnsi="Book Antiqua" w:cs="Times New Roman"/>
          <w:sz w:val="24"/>
          <w:szCs w:val="24"/>
          <w:lang w:eastAsia="zh-CN"/>
        </w:rPr>
        <w:t xml:space="preserve"> </w:t>
      </w:r>
      <w:r w:rsidRPr="00420686">
        <w:rPr>
          <w:rFonts w:ascii="Book Antiqua" w:hAnsi="Book Antiqua" w:cs="Times New Roman"/>
          <w:sz w:val="24"/>
          <w:szCs w:val="24"/>
        </w:rPr>
        <w:t>400kDa) containing 10, 11 or 12 tandem repeats of the 37kDa fila</w:t>
      </w:r>
      <w:r w:rsidR="006A5BC3" w:rsidRPr="00420686">
        <w:rPr>
          <w:rFonts w:ascii="Book Antiqua" w:hAnsi="Book Antiqua" w:cs="Times New Roman"/>
          <w:sz w:val="24"/>
          <w:szCs w:val="24"/>
        </w:rPr>
        <w:t>ggrin peptide</w:t>
      </w:r>
      <w:r w:rsidRPr="00420686">
        <w:rPr>
          <w:rFonts w:ascii="Book Antiqua" w:hAnsi="Book Antiqua" w:cs="Times New Roman"/>
          <w:noProof/>
          <w:sz w:val="24"/>
          <w:szCs w:val="24"/>
          <w:vertAlign w:val="superscript"/>
        </w:rPr>
        <w:t>[71]</w:t>
      </w:r>
      <w:r w:rsidRPr="00420686">
        <w:rPr>
          <w:rFonts w:ascii="Book Antiqua" w:hAnsi="Book Antiqua" w:cs="Times New Roman"/>
          <w:sz w:val="24"/>
          <w:szCs w:val="24"/>
        </w:rPr>
        <w:t>. Insoluble, heavily phosphorylated profilaggrin is the main constituent of keratohyalin granules in the SG. During terminal differentiation, profilaggrin is dephosphorylated and cleaved in a multistep process to release filaggrin monomers, which bind and aggregate keratin filaments facilitating the collapse of the cytoskeleton contributing to the flattening of kerat</w:t>
      </w:r>
      <w:r w:rsidR="006A5BC3" w:rsidRPr="00420686">
        <w:rPr>
          <w:rFonts w:ascii="Book Antiqua" w:hAnsi="Book Antiqua" w:cs="Times New Roman"/>
          <w:sz w:val="24"/>
          <w:szCs w:val="24"/>
        </w:rPr>
        <w:t>inocytes to produce corneocytes</w:t>
      </w:r>
      <w:r w:rsidRPr="00420686">
        <w:rPr>
          <w:rFonts w:ascii="Book Antiqua" w:hAnsi="Book Antiqua" w:cs="Times New Roman"/>
          <w:noProof/>
          <w:sz w:val="24"/>
          <w:szCs w:val="24"/>
          <w:vertAlign w:val="superscript"/>
        </w:rPr>
        <w:t>[72]</w:t>
      </w:r>
      <w:r w:rsidRPr="00420686">
        <w:rPr>
          <w:rFonts w:ascii="Book Antiqua" w:hAnsi="Book Antiqua" w:cs="Times New Roman"/>
          <w:sz w:val="24"/>
          <w:szCs w:val="24"/>
        </w:rPr>
        <w:t xml:space="preserve">. Filaggrin, along with several other cytosolic proteins, is cross-linked into the CE by transglutaminases. As corneocytes move outwards through the SC, filaggrin detaches from the CE and undergoes further degradation within the cytosol, ultimately generating a hygroscopic pool of amino acids and derivatives thereof </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including pyrrolidone carboxylic acid (PCA) and</w:t>
      </w:r>
      <w:r w:rsidRPr="00420686">
        <w:rPr>
          <w:rFonts w:ascii="Book Antiqua" w:hAnsi="Book Antiqua" w:cs="Times New Roman"/>
          <w:i/>
          <w:sz w:val="24"/>
          <w:szCs w:val="24"/>
        </w:rPr>
        <w:t xml:space="preserve"> trans</w:t>
      </w:r>
      <w:r w:rsidRPr="00420686">
        <w:rPr>
          <w:rFonts w:ascii="Book Antiqua" w:hAnsi="Book Antiqua" w:cs="Times New Roman"/>
          <w:sz w:val="24"/>
          <w:szCs w:val="24"/>
        </w:rPr>
        <w:t>-urocanic acid (UCA)</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contributing to na</w:t>
      </w:r>
      <w:r w:rsidR="006A5BC3" w:rsidRPr="00420686">
        <w:rPr>
          <w:rFonts w:ascii="Book Antiqua" w:hAnsi="Book Antiqua" w:cs="Times New Roman"/>
          <w:sz w:val="24"/>
          <w:szCs w:val="24"/>
        </w:rPr>
        <w:t>tural moisturising factor (NMF)</w:t>
      </w:r>
      <w:r w:rsidRPr="00420686">
        <w:rPr>
          <w:rFonts w:ascii="Book Antiqua" w:hAnsi="Book Antiqua" w:cs="Times New Roman"/>
          <w:noProof/>
          <w:sz w:val="24"/>
          <w:szCs w:val="24"/>
          <w:vertAlign w:val="superscript"/>
        </w:rPr>
        <w:t>[73]</w:t>
      </w:r>
      <w:r w:rsidRPr="00420686">
        <w:rPr>
          <w:rFonts w:ascii="Book Antiqua" w:hAnsi="Book Antiqua" w:cs="Times New Roman"/>
          <w:sz w:val="24"/>
          <w:szCs w:val="24"/>
        </w:rPr>
        <w:t>. NMF appears to play a role in multiple aspects of epidermal hom</w:t>
      </w:r>
      <w:r w:rsidR="006A5BC3" w:rsidRPr="00420686">
        <w:rPr>
          <w:rFonts w:ascii="Book Antiqua" w:hAnsi="Book Antiqua" w:cs="Times New Roman"/>
          <w:sz w:val="24"/>
          <w:szCs w:val="24"/>
        </w:rPr>
        <w:t>eostasis including SC hydration</w:t>
      </w:r>
      <w:r w:rsidRPr="00420686">
        <w:rPr>
          <w:rFonts w:ascii="Book Antiqua" w:hAnsi="Book Antiqua" w:cs="Times New Roman"/>
          <w:noProof/>
          <w:sz w:val="24"/>
          <w:szCs w:val="24"/>
          <w:vertAlign w:val="superscript"/>
        </w:rPr>
        <w:t>[73, 74]</w:t>
      </w:r>
      <w:r w:rsidRPr="00420686">
        <w:rPr>
          <w:rFonts w:ascii="Book Antiqua" w:hAnsi="Book Antiqua" w:cs="Times New Roman"/>
          <w:sz w:val="24"/>
          <w:szCs w:val="24"/>
        </w:rPr>
        <w:t>, UV photo-protection</w:t>
      </w:r>
      <w:r w:rsidRPr="00420686">
        <w:rPr>
          <w:rFonts w:ascii="Book Antiqua" w:hAnsi="Book Antiqua" w:cs="Times New Roman"/>
          <w:noProof/>
          <w:sz w:val="24"/>
          <w:szCs w:val="24"/>
          <w:vertAlign w:val="superscript"/>
        </w:rPr>
        <w:t>[75]</w:t>
      </w:r>
      <w:r w:rsidR="006A5BC3" w:rsidRPr="00420686">
        <w:rPr>
          <w:rFonts w:ascii="Book Antiqua" w:hAnsi="Book Antiqua" w:cs="Times New Roman"/>
          <w:sz w:val="24"/>
          <w:szCs w:val="24"/>
        </w:rPr>
        <w:t>, immunosuppression</w:t>
      </w:r>
      <w:r w:rsidRPr="00420686">
        <w:rPr>
          <w:rFonts w:ascii="Book Antiqua" w:hAnsi="Book Antiqua" w:cs="Times New Roman"/>
          <w:noProof/>
          <w:sz w:val="24"/>
          <w:szCs w:val="24"/>
          <w:vertAlign w:val="superscript"/>
        </w:rPr>
        <w:t>[</w:t>
      </w:r>
      <w:r w:rsidR="006A5BC3" w:rsidRPr="00420686">
        <w:rPr>
          <w:rFonts w:ascii="Book Antiqua" w:hAnsi="Book Antiqua" w:cs="Times New Roman"/>
          <w:noProof/>
          <w:sz w:val="24"/>
          <w:szCs w:val="24"/>
          <w:vertAlign w:val="superscript"/>
        </w:rPr>
        <w:t>76,</w:t>
      </w:r>
      <w:r w:rsidRPr="00420686">
        <w:rPr>
          <w:rFonts w:ascii="Book Antiqua" w:hAnsi="Book Antiqua" w:cs="Times New Roman"/>
          <w:noProof/>
          <w:sz w:val="24"/>
          <w:szCs w:val="24"/>
          <w:vertAlign w:val="superscript"/>
        </w:rPr>
        <w:t>77]</w:t>
      </w:r>
      <w:r w:rsidRPr="00420686">
        <w:rPr>
          <w:rFonts w:ascii="Book Antiqua" w:hAnsi="Book Antiqua" w:cs="Times New Roman"/>
          <w:sz w:val="24"/>
          <w:szCs w:val="24"/>
        </w:rPr>
        <w:t xml:space="preserve"> and by acting as a natural acidifier, modulation of enzymatic activity</w:t>
      </w:r>
      <w:r w:rsidRPr="00420686">
        <w:rPr>
          <w:rFonts w:ascii="Book Antiqua" w:hAnsi="Book Antiqua" w:cs="Times New Roman"/>
          <w:noProof/>
          <w:sz w:val="24"/>
          <w:szCs w:val="24"/>
          <w:vertAlign w:val="superscript"/>
        </w:rPr>
        <w:t>[78-80]</w:t>
      </w:r>
      <w:r w:rsidR="006A5BC3" w:rsidRPr="00420686">
        <w:rPr>
          <w:rFonts w:ascii="Book Antiqua" w:hAnsi="Book Antiqua" w:cs="Times New Roman"/>
          <w:sz w:val="24"/>
          <w:szCs w:val="24"/>
        </w:rPr>
        <w:t xml:space="preserve"> and antimicrobial defence</w:t>
      </w:r>
      <w:r w:rsidRPr="00420686">
        <w:rPr>
          <w:rFonts w:ascii="Book Antiqua" w:hAnsi="Book Antiqua" w:cs="Times New Roman"/>
          <w:noProof/>
          <w:sz w:val="24"/>
          <w:szCs w:val="24"/>
          <w:vertAlign w:val="superscript"/>
        </w:rPr>
        <w:t>[81]</w:t>
      </w:r>
      <w:r w:rsidRPr="00420686">
        <w:rPr>
          <w:rFonts w:ascii="Book Antiqua" w:hAnsi="Book Antiqua" w:cs="Times New Roman"/>
          <w:sz w:val="24"/>
          <w:szCs w:val="24"/>
        </w:rPr>
        <w:t>.</w:t>
      </w:r>
      <w:r w:rsidR="00815E81" w:rsidRPr="00420686">
        <w:rPr>
          <w:rFonts w:ascii="Book Antiqua" w:hAnsi="Book Antiqua" w:cs="Times New Roman"/>
          <w:sz w:val="24"/>
          <w:szCs w:val="24"/>
        </w:rPr>
        <w:t xml:space="preserve">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Each of the reported</w:t>
      </w:r>
      <w:r w:rsidRPr="00420686">
        <w:rPr>
          <w:rFonts w:ascii="Book Antiqua" w:hAnsi="Book Antiqua" w:cs="Times New Roman"/>
          <w:i/>
          <w:sz w:val="24"/>
          <w:szCs w:val="24"/>
        </w:rPr>
        <w:t xml:space="preserve"> </w:t>
      </w:r>
      <w:r w:rsidRPr="00420686">
        <w:rPr>
          <w:rFonts w:ascii="Book Antiqua" w:hAnsi="Book Antiqua" w:cs="Times New Roman"/>
          <w:sz w:val="24"/>
          <w:szCs w:val="24"/>
        </w:rPr>
        <w:t xml:space="preserve">null mutations in </w:t>
      </w:r>
      <w:r w:rsidRPr="00420686">
        <w:rPr>
          <w:rFonts w:ascii="Book Antiqua" w:hAnsi="Book Antiqua" w:cs="Times New Roman"/>
          <w:i/>
          <w:sz w:val="24"/>
          <w:szCs w:val="24"/>
        </w:rPr>
        <w:t>FLG</w:t>
      </w:r>
      <w:r w:rsidRPr="00420686">
        <w:rPr>
          <w:rFonts w:ascii="Book Antiqua" w:hAnsi="Book Antiqua" w:cs="Times New Roman"/>
          <w:sz w:val="24"/>
          <w:szCs w:val="24"/>
        </w:rPr>
        <w:t xml:space="preserve"> has an equivalent biological effect, producing a </w:t>
      </w:r>
      <w:r w:rsidR="006A5BC3" w:rsidRPr="00420686">
        <w:rPr>
          <w:rFonts w:ascii="Book Antiqua" w:hAnsi="Book Antiqua" w:cs="Times New Roman"/>
          <w:sz w:val="24"/>
          <w:szCs w:val="24"/>
        </w:rPr>
        <w:t>truncated profilaggrin molecule</w:t>
      </w:r>
      <w:r w:rsidRPr="00420686">
        <w:rPr>
          <w:rFonts w:ascii="Book Antiqua" w:hAnsi="Book Antiqua" w:cs="Times New Roman"/>
          <w:noProof/>
          <w:sz w:val="24"/>
          <w:szCs w:val="24"/>
          <w:vertAlign w:val="superscript"/>
        </w:rPr>
        <w:t>[82]</w:t>
      </w:r>
      <w:r w:rsidRPr="00420686">
        <w:rPr>
          <w:rFonts w:ascii="Book Antiqua" w:hAnsi="Book Antiqua" w:cs="Times New Roman"/>
          <w:sz w:val="24"/>
          <w:szCs w:val="24"/>
        </w:rPr>
        <w:t xml:space="preserve">. This precursor cannot be fully processed into filaggrin monomers thus individuals with two </w:t>
      </w:r>
      <w:r w:rsidRPr="00420686">
        <w:rPr>
          <w:rFonts w:ascii="Book Antiqua" w:hAnsi="Book Antiqua" w:cs="Times New Roman"/>
          <w:i/>
          <w:sz w:val="24"/>
          <w:szCs w:val="24"/>
        </w:rPr>
        <w:t xml:space="preserve">FLG </w:t>
      </w:r>
      <w:r w:rsidRPr="00420686">
        <w:rPr>
          <w:rFonts w:ascii="Book Antiqua" w:hAnsi="Book Antiqua" w:cs="Times New Roman"/>
          <w:sz w:val="24"/>
          <w:szCs w:val="24"/>
        </w:rPr>
        <w:t>null alleles</w:t>
      </w:r>
      <w:r w:rsidRPr="00420686">
        <w:rPr>
          <w:rFonts w:ascii="Book Antiqua" w:hAnsi="Book Antiqua" w:cs="Times New Roman"/>
          <w:i/>
          <w:sz w:val="24"/>
          <w:szCs w:val="24"/>
        </w:rPr>
        <w:t xml:space="preserve"> </w:t>
      </w:r>
      <w:r w:rsidRPr="00420686">
        <w:rPr>
          <w:rFonts w:ascii="Book Antiqua" w:hAnsi="Book Antiqua" w:cs="Times New Roman"/>
          <w:sz w:val="24"/>
          <w:szCs w:val="24"/>
        </w:rPr>
        <w:t xml:space="preserve">(homozygous or compound heterozygous, </w:t>
      </w:r>
      <w:r w:rsidRPr="00420686">
        <w:rPr>
          <w:rFonts w:ascii="Book Antiqua" w:hAnsi="Book Antiqua" w:cs="Times New Roman"/>
          <w:i/>
          <w:sz w:val="24"/>
          <w:szCs w:val="24"/>
        </w:rPr>
        <w:t>FLG-/-</w:t>
      </w:r>
      <w:r w:rsidRPr="00420686">
        <w:rPr>
          <w:rFonts w:ascii="Book Antiqua" w:hAnsi="Book Antiqua" w:cs="Times New Roman"/>
          <w:sz w:val="24"/>
          <w:szCs w:val="24"/>
        </w:rPr>
        <w:t>)</w:t>
      </w:r>
      <w:r w:rsidRPr="00420686">
        <w:rPr>
          <w:rFonts w:ascii="Book Antiqua" w:hAnsi="Book Antiqua" w:cs="Times New Roman"/>
          <w:i/>
          <w:sz w:val="24"/>
          <w:szCs w:val="24"/>
        </w:rPr>
        <w:t xml:space="preserve"> </w:t>
      </w:r>
      <w:r w:rsidRPr="00420686">
        <w:rPr>
          <w:rFonts w:ascii="Book Antiqua" w:hAnsi="Book Antiqua" w:cs="Times New Roman"/>
          <w:sz w:val="24"/>
          <w:szCs w:val="24"/>
        </w:rPr>
        <w:t xml:space="preserve">exhibit an almost complete </w:t>
      </w:r>
      <w:r w:rsidR="006A5BC3" w:rsidRPr="00420686">
        <w:rPr>
          <w:rFonts w:ascii="Book Antiqua" w:hAnsi="Book Antiqua" w:cs="Times New Roman"/>
          <w:sz w:val="24"/>
          <w:szCs w:val="24"/>
        </w:rPr>
        <w:t>absence of functional filaggrin</w:t>
      </w:r>
      <w:r w:rsidRPr="00420686">
        <w:rPr>
          <w:rFonts w:ascii="Book Antiqua" w:hAnsi="Book Antiqua" w:cs="Times New Roman"/>
          <w:noProof/>
          <w:sz w:val="24"/>
          <w:szCs w:val="24"/>
          <w:vertAlign w:val="superscript"/>
        </w:rPr>
        <w:t>[82]</w:t>
      </w:r>
      <w:r w:rsidRPr="00420686">
        <w:rPr>
          <w:rFonts w:ascii="Book Antiqua" w:hAnsi="Book Antiqua" w:cs="Times New Roman"/>
          <w:sz w:val="24"/>
          <w:szCs w:val="24"/>
        </w:rPr>
        <w:t xml:space="preserve">. Inherited filaggrin deficiency results in both intracellular and extracellular changes in keratinocyte architecture and altered epidermal physiology. Histological examination of skin from </w:t>
      </w:r>
      <w:r w:rsidRPr="00420686">
        <w:rPr>
          <w:rFonts w:ascii="Book Antiqua" w:hAnsi="Book Antiqua" w:cs="Times New Roman"/>
          <w:i/>
          <w:sz w:val="24"/>
          <w:szCs w:val="24"/>
        </w:rPr>
        <w:t>FLG</w:t>
      </w:r>
      <w:r w:rsidRPr="00420686">
        <w:rPr>
          <w:rFonts w:ascii="Book Antiqua" w:hAnsi="Book Antiqua" w:cs="Times New Roman"/>
          <w:sz w:val="24"/>
          <w:szCs w:val="24"/>
        </w:rPr>
        <w:t>-deficient AD and IV patients</w:t>
      </w:r>
      <w:r w:rsidR="006A5BC3" w:rsidRPr="00420686">
        <w:rPr>
          <w:rFonts w:ascii="Book Antiqua" w:hAnsi="Book Antiqua" w:cs="Times New Roman"/>
          <w:sz w:val="24"/>
          <w:szCs w:val="24"/>
        </w:rPr>
        <w:t xml:space="preserve"> reveals increased SC thickness</w:t>
      </w:r>
      <w:r w:rsidRPr="00420686">
        <w:rPr>
          <w:rFonts w:ascii="Book Antiqua" w:hAnsi="Book Antiqua" w:cs="Times New Roman"/>
          <w:noProof/>
          <w:sz w:val="24"/>
          <w:szCs w:val="24"/>
          <w:vertAlign w:val="superscript"/>
        </w:rPr>
        <w:t>[83]</w:t>
      </w:r>
      <w:r w:rsidRPr="00420686">
        <w:rPr>
          <w:rFonts w:ascii="Book Antiqua" w:hAnsi="Book Antiqua" w:cs="Times New Roman"/>
          <w:sz w:val="24"/>
          <w:szCs w:val="24"/>
        </w:rPr>
        <w:t xml:space="preserve"> and a granular cell layer that is either s</w:t>
      </w:r>
      <w:r w:rsidR="006A5BC3" w:rsidRPr="00420686">
        <w:rPr>
          <w:rFonts w:ascii="Book Antiqua" w:hAnsi="Book Antiqua" w:cs="Times New Roman"/>
          <w:sz w:val="24"/>
          <w:szCs w:val="24"/>
        </w:rPr>
        <w:t>trongly reduced or absent</w:t>
      </w:r>
      <w:r w:rsidRPr="00420686">
        <w:rPr>
          <w:rFonts w:ascii="Book Antiqua" w:hAnsi="Book Antiqua" w:cs="Times New Roman"/>
          <w:noProof/>
          <w:sz w:val="24"/>
          <w:szCs w:val="24"/>
          <w:vertAlign w:val="superscript"/>
        </w:rPr>
        <w:t>[84]</w:t>
      </w:r>
      <w:r w:rsidRPr="00420686">
        <w:rPr>
          <w:rFonts w:ascii="Book Antiqua" w:hAnsi="Book Antiqua" w:cs="Times New Roman"/>
          <w:sz w:val="24"/>
          <w:szCs w:val="24"/>
        </w:rPr>
        <w:t>. At the ultrastructural level, reduction in filaggrin correlates with perinuclear retraction of granular cell keratin filaments, impaired corneocyte integrity and reduced corneodesmosome density, concomitant with reduced SC c</w:t>
      </w:r>
      <w:r w:rsidR="006A5BC3" w:rsidRPr="00420686">
        <w:rPr>
          <w:rFonts w:ascii="Book Antiqua" w:hAnsi="Book Antiqua" w:cs="Times New Roman"/>
          <w:sz w:val="24"/>
          <w:szCs w:val="24"/>
        </w:rPr>
        <w:t>ohesion</w:t>
      </w:r>
      <w:r w:rsidRPr="00420686">
        <w:rPr>
          <w:rFonts w:ascii="Book Antiqua" w:hAnsi="Book Antiqua" w:cs="Times New Roman"/>
          <w:noProof/>
          <w:sz w:val="24"/>
          <w:szCs w:val="24"/>
          <w:vertAlign w:val="superscript"/>
        </w:rPr>
        <w:t>[84]</w:t>
      </w:r>
      <w:r w:rsidRPr="00420686">
        <w:rPr>
          <w:rFonts w:ascii="Book Antiqua" w:hAnsi="Book Antiqua" w:cs="Times New Roman"/>
          <w:sz w:val="24"/>
          <w:szCs w:val="24"/>
        </w:rPr>
        <w:t xml:space="preserve">. The molecular mechanisms by which deficiency in filaggrin </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an intracellular protein - impairs the paracellular skin barrier in AD remains unclear.However it is plausible that the cytoskeletal abnormalities associated with filaggrin deficiency impede the granular cell-to-corneocyte transition and thus formation of the SC extracellular environment. Consistent with this hypothesis, impaired cargo loading into LBs, partially compromised LB secretion and disorganised lamellar bilayers are observed in</w:t>
      </w:r>
      <w:r w:rsidR="006A5BC3" w:rsidRPr="00420686">
        <w:rPr>
          <w:rFonts w:ascii="Book Antiqua" w:hAnsi="Book Antiqua" w:cs="Times New Roman"/>
          <w:sz w:val="24"/>
          <w:szCs w:val="24"/>
        </w:rPr>
        <w:t xml:space="preserve"> the skin of AD and IV patients</w:t>
      </w:r>
      <w:r w:rsidR="006A5BC3" w:rsidRPr="00420686">
        <w:rPr>
          <w:rFonts w:ascii="Book Antiqua" w:hAnsi="Book Antiqua" w:cs="Times New Roman"/>
          <w:noProof/>
          <w:sz w:val="24"/>
          <w:szCs w:val="24"/>
          <w:vertAlign w:val="superscript"/>
        </w:rPr>
        <w:t>[84,</w:t>
      </w:r>
      <w:r w:rsidRPr="00420686">
        <w:rPr>
          <w:rFonts w:ascii="Book Antiqua" w:hAnsi="Book Antiqua" w:cs="Times New Roman"/>
          <w:noProof/>
          <w:sz w:val="24"/>
          <w:szCs w:val="24"/>
          <w:vertAlign w:val="superscript"/>
        </w:rPr>
        <w:t>85]</w:t>
      </w:r>
      <w:r w:rsidRPr="00420686">
        <w:rPr>
          <w:rFonts w:ascii="Book Antiqua" w:hAnsi="Book Antiqua" w:cs="Times New Roman"/>
          <w:sz w:val="24"/>
          <w:szCs w:val="24"/>
        </w:rPr>
        <w:t>. Reduc</w:t>
      </w:r>
      <w:r w:rsidR="006A5BC3" w:rsidRPr="00420686">
        <w:rPr>
          <w:rFonts w:ascii="Book Antiqua" w:hAnsi="Book Antiqua" w:cs="Times New Roman"/>
          <w:sz w:val="24"/>
          <w:szCs w:val="24"/>
        </w:rPr>
        <w:t>ed expression of SG TJ proteins</w:t>
      </w:r>
      <w:r w:rsidRPr="00420686">
        <w:rPr>
          <w:rFonts w:ascii="Book Antiqua" w:hAnsi="Book Antiqua" w:cs="Times New Roman"/>
          <w:noProof/>
          <w:sz w:val="24"/>
          <w:szCs w:val="24"/>
          <w:vertAlign w:val="superscript"/>
        </w:rPr>
        <w:t>[84]</w:t>
      </w:r>
      <w:r w:rsidRPr="00420686">
        <w:rPr>
          <w:rFonts w:ascii="Book Antiqua" w:hAnsi="Book Antiqua" w:cs="Times New Roman"/>
          <w:sz w:val="24"/>
          <w:szCs w:val="24"/>
        </w:rPr>
        <w:t xml:space="preserve"> is also likely to further contribute to barrier impairment.</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Alternatively or in addition, it may be the biochemical consequences of filaggrin deficiency that are important in AD pathogenesis. </w:t>
      </w:r>
      <w:r w:rsidRPr="00420686">
        <w:rPr>
          <w:rFonts w:ascii="Book Antiqua" w:hAnsi="Book Antiqua" w:cs="Times New Roman"/>
          <w:i/>
          <w:sz w:val="24"/>
          <w:szCs w:val="24"/>
        </w:rPr>
        <w:t xml:space="preserve">FLG </w:t>
      </w:r>
      <w:r w:rsidRPr="00420686">
        <w:rPr>
          <w:rFonts w:ascii="Book Antiqua" w:hAnsi="Book Antiqua" w:cs="Times New Roman"/>
          <w:sz w:val="24"/>
          <w:szCs w:val="24"/>
        </w:rPr>
        <w:t>null mutations effect a dose-depen</w:t>
      </w:r>
      <w:r w:rsidR="006A5BC3" w:rsidRPr="00420686">
        <w:rPr>
          <w:rFonts w:ascii="Book Antiqua" w:hAnsi="Book Antiqua" w:cs="Times New Roman"/>
          <w:sz w:val="24"/>
          <w:szCs w:val="24"/>
        </w:rPr>
        <w:t>dent reduction in SC NMF levels</w:t>
      </w:r>
      <w:r w:rsidRPr="00420686">
        <w:rPr>
          <w:rFonts w:ascii="Book Antiqua" w:hAnsi="Book Antiqua" w:cs="Times New Roman"/>
          <w:noProof/>
          <w:sz w:val="24"/>
          <w:szCs w:val="24"/>
          <w:vertAlign w:val="superscript"/>
        </w:rPr>
        <w:t>[86-89]</w:t>
      </w:r>
      <w:r w:rsidRPr="00420686">
        <w:rPr>
          <w:rFonts w:ascii="Book Antiqua" w:hAnsi="Book Antiqua" w:cs="Times New Roman"/>
          <w:sz w:val="24"/>
          <w:szCs w:val="24"/>
        </w:rPr>
        <w:t>, which in turn correlate</w:t>
      </w:r>
      <w:r w:rsidR="006A5BC3" w:rsidRPr="00420686">
        <w:rPr>
          <w:rFonts w:ascii="Book Antiqua" w:hAnsi="Book Antiqua" w:cs="Times New Roman"/>
          <w:sz w:val="24"/>
          <w:szCs w:val="24"/>
        </w:rPr>
        <w:t xml:space="preserve"> inversely with skin surface pH</w:t>
      </w:r>
      <w:r w:rsidR="006A5BC3" w:rsidRPr="00420686">
        <w:rPr>
          <w:rFonts w:ascii="Book Antiqua" w:hAnsi="Book Antiqua" w:cs="Times New Roman"/>
          <w:noProof/>
          <w:sz w:val="24"/>
          <w:szCs w:val="24"/>
          <w:vertAlign w:val="superscript"/>
        </w:rPr>
        <w:t>[87,</w:t>
      </w:r>
      <w:r w:rsidRPr="00420686">
        <w:rPr>
          <w:rFonts w:ascii="Book Antiqua" w:hAnsi="Book Antiqua" w:cs="Times New Roman"/>
          <w:noProof/>
          <w:sz w:val="24"/>
          <w:szCs w:val="24"/>
          <w:vertAlign w:val="superscript"/>
        </w:rPr>
        <w:t>89]</w:t>
      </w:r>
      <w:r w:rsidR="006A5BC3" w:rsidRPr="00420686">
        <w:rPr>
          <w:rFonts w:ascii="Book Antiqua" w:hAnsi="Book Antiqua" w:cs="Times New Roman"/>
          <w:sz w:val="24"/>
          <w:szCs w:val="24"/>
        </w:rPr>
        <w:t xml:space="preserve"> and TEWL</w:t>
      </w:r>
      <w:r w:rsidRPr="00420686">
        <w:rPr>
          <w:rFonts w:ascii="Book Antiqua" w:hAnsi="Book Antiqua" w:cs="Times New Roman"/>
          <w:noProof/>
          <w:sz w:val="24"/>
          <w:szCs w:val="24"/>
          <w:vertAlign w:val="superscript"/>
        </w:rPr>
        <w:t>[89]</w:t>
      </w:r>
      <w:r w:rsidRPr="00420686">
        <w:rPr>
          <w:rFonts w:ascii="Book Antiqua" w:hAnsi="Book Antiqua" w:cs="Times New Roman"/>
          <w:sz w:val="24"/>
          <w:szCs w:val="24"/>
        </w:rPr>
        <w:t>.</w:t>
      </w:r>
      <w:r w:rsidRPr="00420686">
        <w:rPr>
          <w:rFonts w:ascii="Book Antiqua" w:hAnsi="Book Antiqua" w:cs="Times New Roman"/>
          <w:color w:val="FF0000"/>
          <w:sz w:val="24"/>
          <w:szCs w:val="24"/>
        </w:rPr>
        <w:t xml:space="preserve"> </w:t>
      </w:r>
      <w:r w:rsidRPr="00420686">
        <w:rPr>
          <w:rFonts w:ascii="Book Antiqua" w:hAnsi="Book Antiqua" w:cs="Times New Roman"/>
          <w:sz w:val="24"/>
          <w:szCs w:val="24"/>
        </w:rPr>
        <w:t xml:space="preserve">Additionally, </w:t>
      </w:r>
      <w:r w:rsidRPr="00420686">
        <w:rPr>
          <w:rFonts w:ascii="Book Antiqua" w:hAnsi="Book Antiqua" w:cs="Times New Roman"/>
          <w:i/>
          <w:sz w:val="24"/>
          <w:szCs w:val="24"/>
        </w:rPr>
        <w:t xml:space="preserve">FLG </w:t>
      </w:r>
      <w:r w:rsidRPr="00420686">
        <w:rPr>
          <w:rFonts w:ascii="Book Antiqua" w:hAnsi="Book Antiqua" w:cs="Times New Roman"/>
          <w:sz w:val="24"/>
          <w:szCs w:val="24"/>
        </w:rPr>
        <w:t>exhibits intragenic copy number variation, and a lower number of repeats correl</w:t>
      </w:r>
      <w:r w:rsidR="006A5BC3" w:rsidRPr="00420686">
        <w:rPr>
          <w:rFonts w:ascii="Book Antiqua" w:hAnsi="Book Antiqua" w:cs="Times New Roman"/>
          <w:sz w:val="24"/>
          <w:szCs w:val="24"/>
        </w:rPr>
        <w:t>ates significantly with AD risk</w:t>
      </w:r>
      <w:r w:rsidRPr="00420686">
        <w:rPr>
          <w:rFonts w:ascii="Book Antiqua" w:hAnsi="Book Antiqua" w:cs="Times New Roman"/>
          <w:noProof/>
          <w:sz w:val="24"/>
          <w:szCs w:val="24"/>
          <w:vertAlign w:val="superscript"/>
        </w:rPr>
        <w:t>[90]</w:t>
      </w:r>
      <w:r w:rsidR="006A5BC3" w:rsidRPr="00420686">
        <w:rPr>
          <w:rFonts w:ascii="Book Antiqua" w:hAnsi="Book Antiqua" w:cs="Times New Roman"/>
          <w:sz w:val="24"/>
          <w:szCs w:val="24"/>
        </w:rPr>
        <w:t>, SC UCA levels</w:t>
      </w:r>
      <w:r w:rsidRPr="00420686">
        <w:rPr>
          <w:rFonts w:ascii="Book Antiqua" w:hAnsi="Book Antiqua" w:cs="Times New Roman"/>
          <w:noProof/>
          <w:sz w:val="24"/>
          <w:szCs w:val="24"/>
          <w:vertAlign w:val="superscript"/>
        </w:rPr>
        <w:t>[90]</w:t>
      </w:r>
      <w:r w:rsidRPr="00420686">
        <w:rPr>
          <w:rFonts w:ascii="Book Antiqua" w:hAnsi="Book Antiqua" w:cs="Times New Roman"/>
          <w:sz w:val="24"/>
          <w:szCs w:val="24"/>
        </w:rPr>
        <w:t xml:space="preserve"> and the presen</w:t>
      </w:r>
      <w:r w:rsidR="006A5BC3" w:rsidRPr="00420686">
        <w:rPr>
          <w:rFonts w:ascii="Book Antiqua" w:hAnsi="Book Antiqua" w:cs="Times New Roman"/>
          <w:sz w:val="24"/>
          <w:szCs w:val="24"/>
        </w:rPr>
        <w:t>ce of self-perceived ‘dry skin’</w:t>
      </w:r>
      <w:r w:rsidRPr="00420686">
        <w:rPr>
          <w:rFonts w:ascii="Book Antiqua" w:hAnsi="Book Antiqua" w:cs="Times New Roman"/>
          <w:noProof/>
          <w:sz w:val="24"/>
          <w:szCs w:val="24"/>
          <w:vertAlign w:val="superscript"/>
        </w:rPr>
        <w:t>[91]</w:t>
      </w:r>
      <w:r w:rsidRPr="00420686">
        <w:rPr>
          <w:rFonts w:ascii="Book Antiqua" w:hAnsi="Book Antiqua" w:cs="Times New Roman"/>
          <w:sz w:val="24"/>
          <w:szCs w:val="24"/>
        </w:rPr>
        <w:t xml:space="preserve">. Thus enhanced TEWL in </w:t>
      </w:r>
      <w:r w:rsidRPr="00420686">
        <w:rPr>
          <w:rFonts w:ascii="Book Antiqua" w:hAnsi="Book Antiqua" w:cs="Times New Roman"/>
          <w:i/>
          <w:sz w:val="24"/>
          <w:szCs w:val="24"/>
        </w:rPr>
        <w:t>FLG</w:t>
      </w:r>
      <w:r w:rsidRPr="00420686">
        <w:rPr>
          <w:rFonts w:ascii="Book Antiqua" w:hAnsi="Book Antiqua" w:cs="Times New Roman"/>
          <w:sz w:val="24"/>
          <w:szCs w:val="24"/>
        </w:rPr>
        <w:t>-associated AD can be explained in part by reduced SC hydration; deficiency of hygroscopic NMF components would be expected to result in lower SC water content hence a steeper water gradient across the epidermis. In addition, altered skin pH is likely to perturb the natural balance of enzymatic activities in the SC. The elevated pH of AD patient skin would be predicted to favour the net activity of SC-</w:t>
      </w:r>
      <w:r w:rsidR="006A5BC3" w:rsidRPr="00420686">
        <w:rPr>
          <w:rFonts w:ascii="Book Antiqua" w:hAnsi="Book Antiqua" w:cs="Times New Roman"/>
          <w:sz w:val="24"/>
          <w:szCs w:val="24"/>
        </w:rPr>
        <w:t>resident serine proteases (SPs)</w:t>
      </w:r>
      <w:r w:rsidR="006A5BC3" w:rsidRPr="00420686">
        <w:rPr>
          <w:rFonts w:ascii="Book Antiqua" w:hAnsi="Book Antiqua" w:cs="Times New Roman"/>
          <w:noProof/>
          <w:sz w:val="24"/>
          <w:szCs w:val="24"/>
          <w:vertAlign w:val="superscript"/>
        </w:rPr>
        <w:t>[78,</w:t>
      </w:r>
      <w:r w:rsidRPr="00420686">
        <w:rPr>
          <w:rFonts w:ascii="Book Antiqua" w:hAnsi="Book Antiqua" w:cs="Times New Roman"/>
          <w:noProof/>
          <w:sz w:val="24"/>
          <w:szCs w:val="24"/>
          <w:vertAlign w:val="superscript"/>
        </w:rPr>
        <w:t>80]</w:t>
      </w:r>
      <w:r w:rsidRPr="00420686">
        <w:rPr>
          <w:rFonts w:ascii="Book Antiqua" w:hAnsi="Book Antiqua" w:cs="Times New Roman"/>
          <w:sz w:val="24"/>
          <w:szCs w:val="24"/>
        </w:rPr>
        <w:t xml:space="preserve"> whilst reducing that of key SC lipid biosynthesis enzymes. SP hyperactivity drives premature degradation of corneodesmosom</w:t>
      </w:r>
      <w:r w:rsidR="006A5BC3" w:rsidRPr="00420686">
        <w:rPr>
          <w:rFonts w:ascii="Book Antiqua" w:hAnsi="Book Antiqua" w:cs="Times New Roman"/>
          <w:sz w:val="24"/>
          <w:szCs w:val="24"/>
        </w:rPr>
        <w:t>es and lipid-processing enzymes</w:t>
      </w:r>
      <w:r w:rsidRPr="00420686">
        <w:rPr>
          <w:rFonts w:ascii="Book Antiqua" w:hAnsi="Book Antiqua" w:cs="Times New Roman"/>
          <w:noProof/>
          <w:sz w:val="24"/>
          <w:szCs w:val="24"/>
          <w:vertAlign w:val="superscript"/>
        </w:rPr>
        <w:t>[80]</w:t>
      </w:r>
      <w:r w:rsidRPr="00420686">
        <w:rPr>
          <w:rFonts w:ascii="Book Antiqua" w:hAnsi="Book Antiqua" w:cs="Times New Roman"/>
          <w:sz w:val="24"/>
          <w:szCs w:val="24"/>
        </w:rPr>
        <w:t xml:space="preserve">, likely contributing to defective lamellar bilayer formation. In line with the proposed mechanisms, it has been demonstrated that levels of filaggrin breakdown products correlate with aberrant SC lipid organisation and decreased </w:t>
      </w:r>
      <w:r w:rsidR="006A5BC3" w:rsidRPr="00420686">
        <w:rPr>
          <w:rFonts w:ascii="Book Antiqua" w:hAnsi="Book Antiqua" w:cs="Times New Roman"/>
          <w:sz w:val="24"/>
          <w:szCs w:val="24"/>
        </w:rPr>
        <w:t>barrier function in AD patients</w:t>
      </w:r>
      <w:r w:rsidRPr="00420686">
        <w:rPr>
          <w:rFonts w:ascii="Book Antiqua" w:hAnsi="Book Antiqua" w:cs="Times New Roman"/>
          <w:noProof/>
          <w:sz w:val="24"/>
          <w:szCs w:val="24"/>
          <w:vertAlign w:val="superscript"/>
        </w:rPr>
        <w:t>[3</w:t>
      </w:r>
      <w:r w:rsidR="006A5BC3" w:rsidRPr="00420686">
        <w:rPr>
          <w:rFonts w:ascii="Book Antiqua" w:hAnsi="Book Antiqua" w:cs="Times New Roman"/>
          <w:noProof/>
          <w:sz w:val="24"/>
          <w:szCs w:val="24"/>
          <w:vertAlign w:val="superscript"/>
        </w:rPr>
        <w:t>4,86,</w:t>
      </w:r>
      <w:r w:rsidRPr="00420686">
        <w:rPr>
          <w:rFonts w:ascii="Book Antiqua" w:hAnsi="Book Antiqua" w:cs="Times New Roman"/>
          <w:noProof/>
          <w:sz w:val="24"/>
          <w:szCs w:val="24"/>
          <w:vertAlign w:val="superscript"/>
        </w:rPr>
        <w:t>92]</w:t>
      </w:r>
      <w:r w:rsidRPr="00420686">
        <w:rPr>
          <w:rFonts w:ascii="Book Antiqua" w:hAnsi="Book Antiqua" w:cs="Times New Roman"/>
          <w:sz w:val="24"/>
          <w:szCs w:val="24"/>
        </w:rPr>
        <w:t>. A recent study using a reconstructed human epidermis model has suggested that filaggrin deficiency may also promote enhanc</w:t>
      </w:r>
      <w:r w:rsidR="006A5BC3" w:rsidRPr="00420686">
        <w:rPr>
          <w:rFonts w:ascii="Book Antiqua" w:hAnsi="Book Antiqua" w:cs="Times New Roman"/>
          <w:sz w:val="24"/>
          <w:szCs w:val="24"/>
        </w:rPr>
        <w:t>ed epidermal sensitivity to UVB</w:t>
      </w:r>
      <w:r w:rsidRPr="00420686">
        <w:rPr>
          <w:rFonts w:ascii="Book Antiqua" w:hAnsi="Book Antiqua" w:cs="Times New Roman"/>
          <w:noProof/>
          <w:sz w:val="24"/>
          <w:szCs w:val="24"/>
          <w:vertAlign w:val="superscript"/>
        </w:rPr>
        <w:t>[93]</w:t>
      </w:r>
      <w:r w:rsidRPr="00420686">
        <w:rPr>
          <w:rFonts w:ascii="Book Antiqua" w:hAnsi="Book Antiqua" w:cs="Times New Roman"/>
          <w:sz w:val="24"/>
          <w:szCs w:val="24"/>
        </w:rPr>
        <w:t>, but this connection remains to be demonstrated in patients.</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Finally, filaggrin deficiency in AD has implications for the antimicrobial skin barrier. As described, the natural acidity of the SC in healthy individuals provides innate antimicrobial protection – a function which is likely to be diminished in NMF-deficient AD patients. Furthermore, recent data suggest that filaggrin may play a unique role in protection against </w:t>
      </w:r>
      <w:r w:rsidRPr="00420686">
        <w:rPr>
          <w:rFonts w:ascii="Book Antiqua" w:hAnsi="Book Antiqua" w:cs="Times New Roman"/>
          <w:i/>
          <w:sz w:val="24"/>
          <w:szCs w:val="24"/>
        </w:rPr>
        <w:t xml:space="preserve">S. aureus </w:t>
      </w:r>
      <w:r w:rsidRPr="00420686">
        <w:rPr>
          <w:rFonts w:ascii="Book Antiqua" w:hAnsi="Book Antiqua" w:cs="Times New Roman"/>
          <w:sz w:val="24"/>
          <w:szCs w:val="24"/>
        </w:rPr>
        <w:t xml:space="preserve">infection, by mediating keratinocyte secretion of sphingomyelinase - an enzyme which reduces the number of </w:t>
      </w:r>
      <w:r w:rsidRPr="00420686">
        <w:rPr>
          <w:rFonts w:ascii="Book Antiqua" w:hAnsi="Book Antiqua" w:cs="Times New Roman"/>
          <w:i/>
          <w:sz w:val="24"/>
          <w:szCs w:val="24"/>
        </w:rPr>
        <w:t xml:space="preserve">S. aureus </w:t>
      </w:r>
      <w:r w:rsidR="006A5BC3" w:rsidRPr="00420686">
        <w:rPr>
          <w:rFonts w:ascii="Book Antiqua" w:hAnsi="Book Antiqua" w:cs="Times New Roman"/>
          <w:i/>
          <w:sz w:val="24"/>
          <w:szCs w:val="24"/>
          <w:lang w:eastAsia="zh-CN"/>
        </w:rPr>
        <w:t>α</w:t>
      </w:r>
      <w:r w:rsidRPr="00420686">
        <w:rPr>
          <w:rFonts w:ascii="Book Antiqua" w:hAnsi="Book Antiqua" w:cs="Times New Roman"/>
          <w:sz w:val="24"/>
          <w:szCs w:val="24"/>
        </w:rPr>
        <w:t>-toxin binding sites on the keratinocy</w:t>
      </w:r>
      <w:r w:rsidR="006A5BC3" w:rsidRPr="00420686">
        <w:rPr>
          <w:rFonts w:ascii="Book Antiqua" w:hAnsi="Book Antiqua" w:cs="Times New Roman"/>
          <w:sz w:val="24"/>
          <w:szCs w:val="24"/>
        </w:rPr>
        <w:t>te surface</w:t>
      </w:r>
      <w:r w:rsidRPr="00420686">
        <w:rPr>
          <w:rFonts w:ascii="Book Antiqua" w:hAnsi="Book Antiqua" w:cs="Times New Roman"/>
          <w:noProof/>
          <w:sz w:val="24"/>
          <w:szCs w:val="24"/>
          <w:vertAlign w:val="superscript"/>
        </w:rPr>
        <w:t>[94]</w:t>
      </w:r>
      <w:r w:rsidRPr="00420686">
        <w:rPr>
          <w:rFonts w:ascii="Book Antiqua" w:hAnsi="Book Antiqua" w:cs="Times New Roman"/>
          <w:sz w:val="24"/>
          <w:szCs w:val="24"/>
        </w:rPr>
        <w:t xml:space="preserve">. These findings indicate a mechanism by which filaggrin-deficient skin may be preferentially targeted by </w:t>
      </w:r>
      <w:r w:rsidRPr="00420686">
        <w:rPr>
          <w:rFonts w:ascii="Book Antiqua" w:hAnsi="Book Antiqua" w:cs="Times New Roman"/>
          <w:i/>
          <w:sz w:val="24"/>
          <w:szCs w:val="24"/>
        </w:rPr>
        <w:t>S. aureus</w:t>
      </w:r>
      <w:r w:rsidRPr="00420686">
        <w:rPr>
          <w:rFonts w:ascii="Book Antiqua" w:hAnsi="Book Antiqua" w:cs="Times New Roman"/>
          <w:sz w:val="24"/>
          <w:szCs w:val="24"/>
        </w:rPr>
        <w:t xml:space="preserve">-induced cytotoxicity. Clinically, the consequences of </w:t>
      </w:r>
      <w:r w:rsidRPr="00420686">
        <w:rPr>
          <w:rFonts w:ascii="Book Antiqua" w:hAnsi="Book Antiqua" w:cs="Times New Roman"/>
          <w:i/>
          <w:sz w:val="24"/>
          <w:szCs w:val="24"/>
        </w:rPr>
        <w:t xml:space="preserve">FLG </w:t>
      </w:r>
      <w:r w:rsidRPr="00420686">
        <w:rPr>
          <w:rFonts w:ascii="Book Antiqua" w:hAnsi="Book Antiqua" w:cs="Times New Roman"/>
          <w:sz w:val="24"/>
          <w:szCs w:val="24"/>
        </w:rPr>
        <w:t xml:space="preserve">null mutations in AD manifest as a 7-fold increase in the risk of recurrent bacterial infections relative to wild-type </w:t>
      </w:r>
      <w:r w:rsidRPr="00420686">
        <w:rPr>
          <w:rFonts w:ascii="Book Antiqua" w:hAnsi="Book Antiqua" w:cs="Times New Roman"/>
          <w:i/>
          <w:sz w:val="24"/>
          <w:szCs w:val="24"/>
        </w:rPr>
        <w:t>FLG</w:t>
      </w:r>
      <w:r w:rsidR="006A5BC3" w:rsidRPr="00420686">
        <w:rPr>
          <w:rFonts w:ascii="Book Antiqua" w:hAnsi="Book Antiqua" w:cs="Times New Roman"/>
          <w:sz w:val="24"/>
          <w:szCs w:val="24"/>
        </w:rPr>
        <w:t xml:space="preserve"> patients</w:t>
      </w:r>
      <w:r w:rsidRPr="00420686">
        <w:rPr>
          <w:rFonts w:ascii="Book Antiqua" w:hAnsi="Book Antiqua" w:cs="Times New Roman"/>
          <w:noProof/>
          <w:sz w:val="24"/>
          <w:szCs w:val="24"/>
          <w:vertAlign w:val="superscript"/>
        </w:rPr>
        <w:t>[62]</w:t>
      </w:r>
      <w:r w:rsidRPr="00420686">
        <w:rPr>
          <w:rFonts w:ascii="Book Antiqua" w:hAnsi="Book Antiqua" w:cs="Times New Roman"/>
          <w:sz w:val="24"/>
          <w:szCs w:val="24"/>
        </w:rPr>
        <w:t>.</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Thus our understanding of the mechanisms by which </w:t>
      </w:r>
      <w:r w:rsidRPr="00420686">
        <w:rPr>
          <w:rFonts w:ascii="Book Antiqua" w:hAnsi="Book Antiqua" w:cs="Times New Roman"/>
          <w:i/>
          <w:sz w:val="24"/>
          <w:szCs w:val="24"/>
        </w:rPr>
        <w:t>FLG</w:t>
      </w:r>
      <w:r w:rsidRPr="00420686">
        <w:rPr>
          <w:rFonts w:ascii="Book Antiqua" w:hAnsi="Book Antiqua" w:cs="Times New Roman"/>
          <w:sz w:val="24"/>
          <w:szCs w:val="24"/>
        </w:rPr>
        <w:t xml:space="preserve"> genotype translates to disease phenotype remains incomplete. Furthermore, recent findings indicate additional levels of complexity to the </w:t>
      </w:r>
      <w:r w:rsidRPr="00420686">
        <w:rPr>
          <w:rFonts w:ascii="Book Antiqua" w:hAnsi="Book Antiqua" w:cs="Times New Roman"/>
          <w:i/>
          <w:sz w:val="24"/>
          <w:szCs w:val="24"/>
        </w:rPr>
        <w:t>FLG</w:t>
      </w:r>
      <w:r w:rsidRPr="00420686">
        <w:rPr>
          <w:rFonts w:ascii="Book Antiqua" w:hAnsi="Book Antiqua" w:cs="Times New Roman"/>
          <w:sz w:val="24"/>
          <w:szCs w:val="24"/>
        </w:rPr>
        <w:t xml:space="preserve">-AD relationship which are likely to influence the pathogenic mechanisms discussed above. For instance, preliminary data indicate that epigenetic, as well as genetic variation can influence disease outcome. Indeed, a recent study has shown that methylation of a specific CpG site adjacent to </w:t>
      </w:r>
      <w:r w:rsidRPr="00420686">
        <w:rPr>
          <w:rFonts w:ascii="Book Antiqua" w:hAnsi="Book Antiqua" w:cs="Times New Roman"/>
          <w:i/>
          <w:sz w:val="24"/>
          <w:szCs w:val="24"/>
        </w:rPr>
        <w:t>FLG</w:t>
      </w:r>
      <w:r w:rsidRPr="00420686">
        <w:rPr>
          <w:rFonts w:ascii="Book Antiqua" w:hAnsi="Book Antiqua" w:cs="Times New Roman"/>
          <w:sz w:val="24"/>
          <w:szCs w:val="24"/>
        </w:rPr>
        <w:t xml:space="preserve"> can modify the influence of </w:t>
      </w:r>
      <w:r w:rsidRPr="00420686">
        <w:rPr>
          <w:rFonts w:ascii="Book Antiqua" w:hAnsi="Book Antiqua" w:cs="Times New Roman"/>
          <w:i/>
          <w:sz w:val="24"/>
          <w:szCs w:val="24"/>
        </w:rPr>
        <w:t>FLG</w:t>
      </w:r>
      <w:r w:rsidR="006A5BC3" w:rsidRPr="00420686">
        <w:rPr>
          <w:rFonts w:ascii="Book Antiqua" w:hAnsi="Book Antiqua" w:cs="Times New Roman"/>
          <w:sz w:val="24"/>
          <w:szCs w:val="24"/>
        </w:rPr>
        <w:t xml:space="preserve"> null mutations on AD risk</w:t>
      </w:r>
      <w:r w:rsidRPr="00420686">
        <w:rPr>
          <w:rFonts w:ascii="Book Antiqua" w:hAnsi="Book Antiqua" w:cs="Times New Roman"/>
          <w:noProof/>
          <w:sz w:val="24"/>
          <w:szCs w:val="24"/>
          <w:vertAlign w:val="superscript"/>
        </w:rPr>
        <w:t>[95]</w:t>
      </w:r>
      <w:r w:rsidRPr="00420686">
        <w:rPr>
          <w:rFonts w:ascii="Book Antiqua" w:hAnsi="Book Antiqua" w:cs="Times New Roman"/>
          <w:sz w:val="24"/>
          <w:szCs w:val="24"/>
        </w:rPr>
        <w:t>. Whether inherent variation in enzymes involved in profilaggrin biosynthesis and maturation can also affect atopic disease pathogenesis has yet to be ascertained. Future lines of investigation should clarify how individual variations in filaggrin biology at the DNA, RNA and protein levels interact to determine distinct atopic phenotypes.</w:t>
      </w:r>
    </w:p>
    <w:p w:rsidR="008B389C" w:rsidRPr="00420686" w:rsidRDefault="008B389C" w:rsidP="00420686">
      <w:pPr>
        <w:spacing w:after="0" w:line="360" w:lineRule="auto"/>
        <w:jc w:val="both"/>
        <w:rPr>
          <w:rFonts w:ascii="Book Antiqua" w:hAnsi="Book Antiqua" w:cs="Times New Roman"/>
          <w:sz w:val="24"/>
          <w:szCs w:val="24"/>
        </w:rPr>
      </w:pPr>
    </w:p>
    <w:p w:rsidR="008B389C" w:rsidRPr="00420686" w:rsidRDefault="006A5BC3" w:rsidP="00420686">
      <w:pPr>
        <w:spacing w:after="0" w:line="360" w:lineRule="auto"/>
        <w:jc w:val="both"/>
        <w:rPr>
          <w:rFonts w:ascii="Book Antiqua" w:hAnsi="Book Antiqua" w:cs="Times New Roman"/>
          <w:b/>
          <w:i/>
          <w:sz w:val="24"/>
          <w:szCs w:val="24"/>
        </w:rPr>
      </w:pPr>
      <w:r w:rsidRPr="00420686">
        <w:rPr>
          <w:rFonts w:ascii="Book Antiqua" w:hAnsi="Book Antiqua" w:cs="Times New Roman"/>
          <w:b/>
          <w:i/>
          <w:sz w:val="24"/>
          <w:szCs w:val="24"/>
        </w:rPr>
        <w:t>Epidermal differentiation genes in addition to FLG</w:t>
      </w:r>
    </w:p>
    <w:p w:rsidR="008B389C" w:rsidRPr="00420686" w:rsidRDefault="008B389C" w:rsidP="00420686">
      <w:pPr>
        <w:spacing w:after="0" w:line="360" w:lineRule="auto"/>
        <w:contextualSpacing/>
        <w:jc w:val="both"/>
        <w:rPr>
          <w:rFonts w:ascii="Book Antiqua" w:hAnsi="Book Antiqua" w:cs="Times New Roman"/>
          <w:color w:val="000000" w:themeColor="text1"/>
          <w:sz w:val="24"/>
          <w:szCs w:val="24"/>
        </w:rPr>
      </w:pPr>
      <w:r w:rsidRPr="00420686">
        <w:rPr>
          <w:rFonts w:ascii="Book Antiqua" w:hAnsi="Book Antiqua" w:cs="Times New Roman"/>
          <w:color w:val="000000" w:themeColor="text1"/>
          <w:sz w:val="24"/>
          <w:szCs w:val="24"/>
        </w:rPr>
        <w:t xml:space="preserve">Whilst inherited variation in </w:t>
      </w:r>
      <w:r w:rsidRPr="00420686">
        <w:rPr>
          <w:rFonts w:ascii="Book Antiqua" w:hAnsi="Book Antiqua" w:cs="Times New Roman"/>
          <w:i/>
          <w:color w:val="000000" w:themeColor="text1"/>
          <w:sz w:val="24"/>
          <w:szCs w:val="24"/>
        </w:rPr>
        <w:t xml:space="preserve">FLG </w:t>
      </w:r>
      <w:r w:rsidRPr="00420686">
        <w:rPr>
          <w:rFonts w:ascii="Book Antiqua" w:hAnsi="Book Antiqua" w:cs="Times New Roman"/>
          <w:color w:val="000000" w:themeColor="text1"/>
          <w:sz w:val="24"/>
          <w:szCs w:val="24"/>
        </w:rPr>
        <w:t xml:space="preserve">undoubtedly contributes to skin barrier dysfunction in AD, </w:t>
      </w:r>
      <w:r w:rsidRPr="00420686">
        <w:rPr>
          <w:rFonts w:ascii="Book Antiqua" w:hAnsi="Book Antiqua" w:cs="Times New Roman"/>
          <w:i/>
          <w:sz w:val="24"/>
          <w:szCs w:val="24"/>
        </w:rPr>
        <w:t>FLG</w:t>
      </w:r>
      <w:r w:rsidRPr="00420686">
        <w:rPr>
          <w:rFonts w:ascii="Book Antiqua" w:hAnsi="Book Antiqua" w:cs="Times New Roman"/>
          <w:sz w:val="24"/>
          <w:szCs w:val="24"/>
        </w:rPr>
        <w:t xml:space="preserve"> null variants are carried by less than one-thi</w:t>
      </w:r>
      <w:r w:rsidR="006A5BC3" w:rsidRPr="00420686">
        <w:rPr>
          <w:rFonts w:ascii="Book Antiqua" w:hAnsi="Book Antiqua" w:cs="Times New Roman"/>
          <w:sz w:val="24"/>
          <w:szCs w:val="24"/>
        </w:rPr>
        <w:t>rd of European patients with AD</w:t>
      </w:r>
      <w:r w:rsidRPr="00420686">
        <w:rPr>
          <w:rFonts w:ascii="Book Antiqua" w:hAnsi="Book Antiqua" w:cs="Times New Roman"/>
          <w:noProof/>
          <w:sz w:val="24"/>
          <w:szCs w:val="24"/>
          <w:vertAlign w:val="superscript"/>
        </w:rPr>
        <w:t>[66]</w:t>
      </w:r>
      <w:r w:rsidRPr="00420686">
        <w:rPr>
          <w:rFonts w:ascii="Book Antiqua" w:hAnsi="Book Antiqua" w:cs="Times New Roman"/>
          <w:sz w:val="24"/>
          <w:szCs w:val="24"/>
        </w:rPr>
        <w:t xml:space="preserve"> and broad defects </w:t>
      </w:r>
      <w:r w:rsidRPr="00420686">
        <w:rPr>
          <w:rFonts w:ascii="Book Antiqua" w:hAnsi="Book Antiqua" w:cs="Times New Roman"/>
          <w:color w:val="000000" w:themeColor="text1"/>
          <w:sz w:val="24"/>
          <w:szCs w:val="24"/>
        </w:rPr>
        <w:t xml:space="preserve">in epidermal differentiation are characteristic of the disease regardless of </w:t>
      </w:r>
      <w:r w:rsidRPr="00420686">
        <w:rPr>
          <w:rFonts w:ascii="Book Antiqua" w:hAnsi="Book Antiqua" w:cs="Times New Roman"/>
          <w:i/>
          <w:color w:val="000000" w:themeColor="text1"/>
          <w:sz w:val="24"/>
          <w:szCs w:val="24"/>
        </w:rPr>
        <w:t>FLG</w:t>
      </w:r>
      <w:r w:rsidR="006A5BC3" w:rsidRPr="00420686">
        <w:rPr>
          <w:rFonts w:ascii="Book Antiqua" w:hAnsi="Book Antiqua" w:cs="Times New Roman"/>
          <w:color w:val="000000" w:themeColor="text1"/>
          <w:sz w:val="24"/>
          <w:szCs w:val="24"/>
        </w:rPr>
        <w:t xml:space="preserve"> genetic status</w:t>
      </w:r>
      <w:r w:rsidRPr="00420686">
        <w:rPr>
          <w:rFonts w:ascii="Book Antiqua" w:hAnsi="Book Antiqua" w:cs="Times New Roman"/>
          <w:noProof/>
          <w:color w:val="000000" w:themeColor="text1"/>
          <w:sz w:val="24"/>
          <w:szCs w:val="24"/>
          <w:vertAlign w:val="superscript"/>
        </w:rPr>
        <w:t>[96]</w:t>
      </w:r>
      <w:r w:rsidRPr="00420686">
        <w:rPr>
          <w:rFonts w:ascii="Book Antiqua" w:hAnsi="Book Antiqua" w:cs="Times New Roman"/>
          <w:color w:val="000000" w:themeColor="text1"/>
          <w:sz w:val="24"/>
          <w:szCs w:val="24"/>
        </w:rPr>
        <w:t xml:space="preserve">. Taken together, these observations suggest that other factors must modify epidermal homeostasis. Genetic association studies have identified links between AD and gene variants distinct from </w:t>
      </w:r>
      <w:r w:rsidRPr="00420686">
        <w:rPr>
          <w:rFonts w:ascii="Book Antiqua" w:hAnsi="Book Antiqua" w:cs="Times New Roman"/>
          <w:i/>
          <w:color w:val="000000" w:themeColor="text1"/>
          <w:sz w:val="24"/>
          <w:szCs w:val="24"/>
        </w:rPr>
        <w:t>FLG</w:t>
      </w:r>
      <w:r w:rsidRPr="00420686">
        <w:rPr>
          <w:rFonts w:ascii="Book Antiqua" w:hAnsi="Book Antiqua" w:cs="Times New Roman"/>
          <w:color w:val="000000" w:themeColor="text1"/>
          <w:sz w:val="24"/>
          <w:szCs w:val="24"/>
        </w:rPr>
        <w:t xml:space="preserve"> but also located on chromosome 1q21 within the Epidermal Differentiation Complex (EDC) </w:t>
      </w:r>
      <w:r w:rsidR="006A5BC3" w:rsidRPr="00420686">
        <w:rPr>
          <w:rFonts w:ascii="Book Antiqua" w:hAnsi="Book Antiqua" w:cs="Times New Roman"/>
          <w:color w:val="000000" w:themeColor="text1"/>
          <w:sz w:val="24"/>
          <w:szCs w:val="24"/>
          <w:lang w:eastAsia="zh-CN"/>
        </w:rPr>
        <w:t>-</w:t>
      </w:r>
      <w:r w:rsidRPr="00420686">
        <w:rPr>
          <w:rFonts w:ascii="Book Antiqua" w:hAnsi="Book Antiqua" w:cs="Times New Roman"/>
          <w:color w:val="000000" w:themeColor="text1"/>
          <w:sz w:val="24"/>
          <w:szCs w:val="24"/>
        </w:rPr>
        <w:t xml:space="preserve"> a region comprising over sixty genes essential for e</w:t>
      </w:r>
      <w:r w:rsidR="006A5BC3" w:rsidRPr="00420686">
        <w:rPr>
          <w:rFonts w:ascii="Book Antiqua" w:hAnsi="Book Antiqua" w:cs="Times New Roman"/>
          <w:color w:val="000000" w:themeColor="text1"/>
          <w:sz w:val="24"/>
          <w:szCs w:val="24"/>
        </w:rPr>
        <w:t>pidermal structure and function</w:t>
      </w:r>
      <w:r w:rsidRPr="00420686">
        <w:rPr>
          <w:rFonts w:ascii="Book Antiqua" w:hAnsi="Book Antiqua" w:cs="Times New Roman"/>
          <w:noProof/>
          <w:color w:val="000000" w:themeColor="text1"/>
          <w:sz w:val="24"/>
          <w:szCs w:val="24"/>
          <w:vertAlign w:val="superscript"/>
        </w:rPr>
        <w:t>[97]</w:t>
      </w:r>
      <w:r w:rsidRPr="00420686">
        <w:rPr>
          <w:rFonts w:ascii="Book Antiqua" w:hAnsi="Book Antiqua" w:cs="Times New Roman"/>
          <w:color w:val="000000" w:themeColor="text1"/>
          <w:sz w:val="24"/>
          <w:szCs w:val="24"/>
        </w:rPr>
        <w:t>. Of note, a single nucleotide polymorphism (SNP) 7kb downstream of the gene encoding hornerin (</w:t>
      </w:r>
      <w:r w:rsidRPr="00420686">
        <w:rPr>
          <w:rFonts w:ascii="Book Antiqua" w:hAnsi="Book Antiqua" w:cs="Times New Roman"/>
          <w:i/>
          <w:color w:val="000000" w:themeColor="text1"/>
          <w:sz w:val="24"/>
          <w:szCs w:val="24"/>
        </w:rPr>
        <w:t>HRNR</w:t>
      </w:r>
      <w:r w:rsidRPr="00420686">
        <w:rPr>
          <w:rFonts w:ascii="Book Antiqua" w:hAnsi="Book Antiqua" w:cs="Times New Roman"/>
          <w:color w:val="000000" w:themeColor="text1"/>
          <w:sz w:val="24"/>
          <w:szCs w:val="24"/>
        </w:rPr>
        <w:t>) and an 8-amino acid insertion in the gene encoding small proline-rich protein 3 (</w:t>
      </w:r>
      <w:r w:rsidRPr="00420686">
        <w:rPr>
          <w:rFonts w:ascii="Book Antiqua" w:hAnsi="Book Antiqua" w:cs="Times New Roman"/>
          <w:i/>
          <w:color w:val="000000" w:themeColor="text1"/>
          <w:sz w:val="24"/>
          <w:szCs w:val="24"/>
        </w:rPr>
        <w:t>SPRR3</w:t>
      </w:r>
      <w:r w:rsidRPr="00420686">
        <w:rPr>
          <w:rFonts w:ascii="Book Antiqua" w:hAnsi="Book Antiqua" w:cs="Times New Roman"/>
          <w:color w:val="000000" w:themeColor="text1"/>
          <w:sz w:val="24"/>
          <w:szCs w:val="24"/>
        </w:rPr>
        <w:t>) have been id</w:t>
      </w:r>
      <w:r w:rsidR="006A5BC3" w:rsidRPr="00420686">
        <w:rPr>
          <w:rFonts w:ascii="Book Antiqua" w:hAnsi="Book Antiqua" w:cs="Times New Roman"/>
          <w:color w:val="000000" w:themeColor="text1"/>
          <w:sz w:val="24"/>
          <w:szCs w:val="24"/>
        </w:rPr>
        <w:t>entified as risk factors for AD</w:t>
      </w:r>
      <w:r w:rsidR="006A5BC3" w:rsidRPr="00420686">
        <w:rPr>
          <w:rFonts w:ascii="Book Antiqua" w:hAnsi="Book Antiqua" w:cs="Times New Roman"/>
          <w:noProof/>
          <w:color w:val="000000" w:themeColor="text1"/>
          <w:sz w:val="24"/>
          <w:szCs w:val="24"/>
          <w:vertAlign w:val="superscript"/>
        </w:rPr>
        <w:t>[98,</w:t>
      </w:r>
      <w:r w:rsidRPr="00420686">
        <w:rPr>
          <w:rFonts w:ascii="Book Antiqua" w:hAnsi="Book Antiqua" w:cs="Times New Roman"/>
          <w:noProof/>
          <w:color w:val="000000" w:themeColor="text1"/>
          <w:sz w:val="24"/>
          <w:szCs w:val="24"/>
          <w:vertAlign w:val="superscript"/>
        </w:rPr>
        <w:t>99]</w:t>
      </w:r>
      <w:r w:rsidRPr="00420686">
        <w:rPr>
          <w:rFonts w:ascii="Book Antiqua" w:hAnsi="Book Antiqua" w:cs="Times New Roman"/>
          <w:color w:val="000000" w:themeColor="text1"/>
          <w:sz w:val="24"/>
          <w:szCs w:val="24"/>
        </w:rPr>
        <w:t xml:space="preserve">. Additionally, a recent study by Margolis </w:t>
      </w:r>
      <w:r w:rsidR="006A5BC3" w:rsidRPr="00420686">
        <w:rPr>
          <w:rFonts w:ascii="Book Antiqua" w:hAnsi="Book Antiqua" w:cs="Times New Roman"/>
          <w:i/>
          <w:color w:val="000000" w:themeColor="text1"/>
          <w:sz w:val="24"/>
          <w:szCs w:val="24"/>
        </w:rPr>
        <w:t>et al</w:t>
      </w:r>
      <w:r w:rsidR="006A5BC3" w:rsidRPr="00420686">
        <w:rPr>
          <w:rFonts w:ascii="Book Antiqua" w:hAnsi="Book Antiqua" w:cs="Times New Roman"/>
          <w:noProof/>
          <w:color w:val="000000" w:themeColor="text1"/>
          <w:sz w:val="24"/>
          <w:szCs w:val="24"/>
          <w:vertAlign w:val="superscript"/>
        </w:rPr>
        <w:t>[100]</w:t>
      </w:r>
      <w:r w:rsidRPr="00420686">
        <w:rPr>
          <w:rFonts w:ascii="Book Antiqua" w:hAnsi="Book Antiqua" w:cs="Times New Roman"/>
          <w:color w:val="000000" w:themeColor="text1"/>
          <w:sz w:val="24"/>
          <w:szCs w:val="24"/>
        </w:rPr>
        <w:t xml:space="preserve"> using whole-exome sequencing and targeted analysis in an African American cohort has identified mutations in </w:t>
      </w:r>
      <w:r w:rsidRPr="00420686">
        <w:rPr>
          <w:rFonts w:ascii="Book Antiqua" w:hAnsi="Book Antiqua" w:cs="Times New Roman"/>
          <w:i/>
          <w:color w:val="000000" w:themeColor="text1"/>
          <w:sz w:val="24"/>
          <w:szCs w:val="24"/>
        </w:rPr>
        <w:t xml:space="preserve">FLG2 </w:t>
      </w:r>
      <w:r w:rsidRPr="00420686">
        <w:rPr>
          <w:rFonts w:ascii="Book Antiqua" w:hAnsi="Book Antiqua" w:cs="Times New Roman"/>
          <w:color w:val="000000" w:themeColor="text1"/>
          <w:sz w:val="24"/>
          <w:szCs w:val="24"/>
        </w:rPr>
        <w:t>(encoding filaggrin-2) that show a significant</w:t>
      </w:r>
      <w:r w:rsidR="006A5BC3" w:rsidRPr="00420686">
        <w:rPr>
          <w:rFonts w:ascii="Book Antiqua" w:hAnsi="Book Antiqua" w:cs="Times New Roman"/>
          <w:color w:val="000000" w:themeColor="text1"/>
          <w:sz w:val="24"/>
          <w:szCs w:val="24"/>
        </w:rPr>
        <w:t xml:space="preserve"> association with persistent AD</w:t>
      </w:r>
      <w:r w:rsidRPr="00420686">
        <w:rPr>
          <w:rFonts w:ascii="Book Antiqua" w:hAnsi="Book Antiqua" w:cs="Times New Roman"/>
          <w:color w:val="000000" w:themeColor="text1"/>
          <w:sz w:val="24"/>
          <w:szCs w:val="24"/>
        </w:rPr>
        <w:t xml:space="preserve"> </w:t>
      </w:r>
      <w:r w:rsidR="006A5BC3" w:rsidRPr="00420686">
        <w:rPr>
          <w:rFonts w:ascii="Book Antiqua" w:hAnsi="Book Antiqua" w:cs="Times New Roman"/>
          <w:color w:val="000000" w:themeColor="text1"/>
          <w:sz w:val="24"/>
          <w:szCs w:val="24"/>
          <w:lang w:eastAsia="zh-CN"/>
        </w:rPr>
        <w:t>-</w:t>
      </w:r>
      <w:r w:rsidRPr="00420686">
        <w:rPr>
          <w:rFonts w:ascii="Book Antiqua" w:hAnsi="Book Antiqua" w:cs="Times New Roman"/>
          <w:color w:val="000000" w:themeColor="text1"/>
          <w:sz w:val="24"/>
          <w:szCs w:val="24"/>
        </w:rPr>
        <w:t xml:space="preserve"> the first established link between a skin barrier gene and AD in subjects of African descent. However, it should be noted that these risk variants lie within a block of linkage disequilibrium and it remains possible that they are tagging unidentified variants within </w:t>
      </w:r>
      <w:r w:rsidRPr="00420686">
        <w:rPr>
          <w:rFonts w:ascii="Book Antiqua" w:hAnsi="Book Antiqua" w:cs="Times New Roman"/>
          <w:i/>
          <w:color w:val="000000" w:themeColor="text1"/>
          <w:sz w:val="24"/>
          <w:szCs w:val="24"/>
        </w:rPr>
        <w:t xml:space="preserve">FLG. </w:t>
      </w:r>
      <w:r w:rsidRPr="00420686">
        <w:rPr>
          <w:rFonts w:ascii="Book Antiqua" w:hAnsi="Book Antiqua" w:cs="Times New Roman"/>
          <w:color w:val="000000" w:themeColor="text1"/>
          <w:sz w:val="24"/>
          <w:szCs w:val="24"/>
        </w:rPr>
        <w:t xml:space="preserve">Hornerin and filaggrin-2 are S100-fused type proteins, and thus share a structural organisation similar to filaggrin. Both proteins mirror the subcellular localisation of filaggrin in the differentiating epidermis are believed ultimately (along with SPRR3) to </w:t>
      </w:r>
      <w:r w:rsidR="006A5BC3" w:rsidRPr="00420686">
        <w:rPr>
          <w:rFonts w:ascii="Book Antiqua" w:hAnsi="Book Antiqua" w:cs="Times New Roman"/>
          <w:color w:val="000000" w:themeColor="text1"/>
          <w:sz w:val="24"/>
          <w:szCs w:val="24"/>
        </w:rPr>
        <w:t>become incorporated into the CE</w:t>
      </w:r>
      <w:r w:rsidRPr="00420686">
        <w:rPr>
          <w:rFonts w:ascii="Book Antiqua" w:hAnsi="Book Antiqua" w:cs="Times New Roman"/>
          <w:noProof/>
          <w:color w:val="000000" w:themeColor="text1"/>
          <w:sz w:val="24"/>
          <w:szCs w:val="24"/>
          <w:vertAlign w:val="superscript"/>
        </w:rPr>
        <w:t>[97]</w:t>
      </w:r>
      <w:r w:rsidRPr="00420686">
        <w:rPr>
          <w:rFonts w:ascii="Book Antiqua" w:hAnsi="Book Antiqua" w:cs="Times New Roman"/>
          <w:color w:val="000000" w:themeColor="text1"/>
          <w:sz w:val="24"/>
          <w:szCs w:val="24"/>
        </w:rPr>
        <w:t>. The precise contributions of these proteins to skin barrier function remain unknown, but available data indicate that filaggrin, hornerin and filaggrin-2 have overlapping or complemen</w:t>
      </w:r>
      <w:r w:rsidR="006A5BC3" w:rsidRPr="00420686">
        <w:rPr>
          <w:rFonts w:ascii="Book Antiqua" w:hAnsi="Book Antiqua" w:cs="Times New Roman"/>
          <w:color w:val="000000" w:themeColor="text1"/>
          <w:sz w:val="24"/>
          <w:szCs w:val="24"/>
        </w:rPr>
        <w:t>tary functions in the epidermis</w:t>
      </w:r>
      <w:r w:rsidRPr="00420686">
        <w:rPr>
          <w:rFonts w:ascii="Book Antiqua" w:hAnsi="Book Antiqua" w:cs="Times New Roman"/>
          <w:noProof/>
          <w:color w:val="000000" w:themeColor="text1"/>
          <w:sz w:val="24"/>
          <w:szCs w:val="24"/>
          <w:vertAlign w:val="superscript"/>
        </w:rPr>
        <w:t>[97]</w:t>
      </w:r>
      <w:r w:rsidRPr="00420686">
        <w:rPr>
          <w:rFonts w:ascii="Book Antiqua" w:hAnsi="Book Antiqua" w:cs="Times New Roman"/>
          <w:color w:val="000000" w:themeColor="text1"/>
          <w:sz w:val="24"/>
          <w:szCs w:val="24"/>
        </w:rPr>
        <w:t xml:space="preserve"> and the expression of each m</w:t>
      </w:r>
      <w:r w:rsidR="006A5BC3" w:rsidRPr="00420686">
        <w:rPr>
          <w:rFonts w:ascii="Book Antiqua" w:hAnsi="Book Antiqua" w:cs="Times New Roman"/>
          <w:color w:val="000000" w:themeColor="text1"/>
          <w:sz w:val="24"/>
          <w:szCs w:val="24"/>
        </w:rPr>
        <w:t>ay be down-regulated in AD skin</w:t>
      </w:r>
      <w:r w:rsidRPr="00420686">
        <w:rPr>
          <w:rFonts w:ascii="Book Antiqua" w:hAnsi="Book Antiqua" w:cs="Times New Roman"/>
          <w:noProof/>
          <w:color w:val="000000" w:themeColor="text1"/>
          <w:sz w:val="24"/>
          <w:szCs w:val="24"/>
          <w:vertAlign w:val="superscript"/>
        </w:rPr>
        <w:t>[96]</w:t>
      </w:r>
      <w:r w:rsidRPr="00420686">
        <w:rPr>
          <w:rFonts w:ascii="Book Antiqua" w:hAnsi="Book Antiqua" w:cs="Times New Roman"/>
          <w:color w:val="000000" w:themeColor="text1"/>
          <w:sz w:val="24"/>
          <w:szCs w:val="24"/>
        </w:rPr>
        <w:t xml:space="preserve">. </w:t>
      </w:r>
    </w:p>
    <w:p w:rsidR="008B389C" w:rsidRPr="00420686" w:rsidRDefault="008B389C" w:rsidP="00420686">
      <w:pPr>
        <w:spacing w:after="0" w:line="360" w:lineRule="auto"/>
        <w:ind w:firstLineChars="200" w:firstLine="480"/>
        <w:contextualSpacing/>
        <w:jc w:val="both"/>
        <w:rPr>
          <w:rFonts w:ascii="Book Antiqua" w:hAnsi="Book Antiqua" w:cs="Times New Roman"/>
          <w:color w:val="000000" w:themeColor="text1"/>
          <w:sz w:val="24"/>
          <w:szCs w:val="24"/>
        </w:rPr>
      </w:pPr>
      <w:r w:rsidRPr="00420686">
        <w:rPr>
          <w:rFonts w:ascii="Book Antiqua" w:hAnsi="Book Antiqua" w:cs="Times New Roman"/>
          <w:sz w:val="24"/>
          <w:szCs w:val="24"/>
        </w:rPr>
        <w:t>TJs comprise both cytoplasmic and transmembrane proteins, key among which are the claudins, representing the main determinants of barrier sel</w:t>
      </w:r>
      <w:r w:rsidR="006A5BC3" w:rsidRPr="00420686">
        <w:rPr>
          <w:rFonts w:ascii="Book Antiqua" w:hAnsi="Book Antiqua" w:cs="Times New Roman"/>
          <w:sz w:val="24"/>
          <w:szCs w:val="24"/>
        </w:rPr>
        <w:t>ectivity against macromolecules</w:t>
      </w:r>
      <w:r w:rsidRPr="00420686">
        <w:rPr>
          <w:rFonts w:ascii="Book Antiqua" w:hAnsi="Book Antiqua" w:cs="Times New Roman"/>
          <w:noProof/>
          <w:sz w:val="24"/>
          <w:szCs w:val="24"/>
          <w:vertAlign w:val="superscript"/>
        </w:rPr>
        <w:t>[101]</w:t>
      </w:r>
      <w:r w:rsidRPr="00420686">
        <w:rPr>
          <w:rFonts w:ascii="Book Antiqua" w:hAnsi="Book Antiqua" w:cs="Times New Roman"/>
          <w:sz w:val="24"/>
          <w:szCs w:val="24"/>
        </w:rPr>
        <w:t>.</w:t>
      </w:r>
      <w:r w:rsidRPr="00420686">
        <w:rPr>
          <w:rFonts w:ascii="Book Antiqua" w:hAnsi="Book Antiqua" w:cs="Times New Roman"/>
          <w:color w:val="000000" w:themeColor="text1"/>
          <w:sz w:val="24"/>
          <w:szCs w:val="24"/>
        </w:rPr>
        <w:t xml:space="preserve"> Claudin-1 expression is down-regulated in non-lesional AD skin and inversely correlated with Th2 cytokines. Variants within the claudin-1 gene, </w:t>
      </w:r>
      <w:r w:rsidRPr="00420686">
        <w:rPr>
          <w:rFonts w:ascii="Book Antiqua" w:hAnsi="Book Antiqua" w:cs="Times New Roman"/>
          <w:i/>
          <w:color w:val="000000" w:themeColor="text1"/>
          <w:sz w:val="24"/>
          <w:szCs w:val="24"/>
        </w:rPr>
        <w:t>CLDN1</w:t>
      </w:r>
      <w:r w:rsidRPr="00420686">
        <w:rPr>
          <w:rFonts w:ascii="Book Antiqua" w:hAnsi="Book Antiqua" w:cs="Times New Roman"/>
          <w:color w:val="000000" w:themeColor="text1"/>
          <w:sz w:val="24"/>
          <w:szCs w:val="24"/>
        </w:rPr>
        <w:t>,</w:t>
      </w:r>
      <w:r w:rsidRPr="00420686">
        <w:rPr>
          <w:rFonts w:ascii="Book Antiqua" w:hAnsi="Book Antiqua" w:cs="Times New Roman"/>
          <w:i/>
          <w:color w:val="000000" w:themeColor="text1"/>
          <w:sz w:val="24"/>
          <w:szCs w:val="24"/>
        </w:rPr>
        <w:t xml:space="preserve"> </w:t>
      </w:r>
      <w:r w:rsidRPr="00420686">
        <w:rPr>
          <w:rFonts w:ascii="Book Antiqua" w:hAnsi="Book Antiqua" w:cs="Times New Roman"/>
          <w:color w:val="000000" w:themeColor="text1"/>
          <w:sz w:val="24"/>
          <w:szCs w:val="24"/>
        </w:rPr>
        <w:t>have shown association with AD in two ethnically dist</w:t>
      </w:r>
      <w:r w:rsidR="006A5BC3" w:rsidRPr="00420686">
        <w:rPr>
          <w:rFonts w:ascii="Book Antiqua" w:hAnsi="Book Antiqua" w:cs="Times New Roman"/>
          <w:color w:val="000000" w:themeColor="text1"/>
          <w:sz w:val="24"/>
          <w:szCs w:val="24"/>
        </w:rPr>
        <w:t>inct North American populations</w:t>
      </w:r>
      <w:r w:rsidRPr="00420686">
        <w:rPr>
          <w:rFonts w:ascii="Book Antiqua" w:hAnsi="Book Antiqua" w:cs="Times New Roman"/>
          <w:noProof/>
          <w:color w:val="000000" w:themeColor="text1"/>
          <w:sz w:val="24"/>
          <w:szCs w:val="24"/>
          <w:vertAlign w:val="superscript"/>
        </w:rPr>
        <w:t>[102]</w:t>
      </w:r>
      <w:r w:rsidRPr="00420686">
        <w:rPr>
          <w:rFonts w:ascii="Book Antiqua" w:hAnsi="Book Antiqua" w:cs="Times New Roman"/>
          <w:color w:val="000000" w:themeColor="text1"/>
          <w:sz w:val="24"/>
          <w:szCs w:val="24"/>
        </w:rPr>
        <w:t xml:space="preserve">. Interestingly, this study also demonstrated links between </w:t>
      </w:r>
      <w:r w:rsidRPr="00420686">
        <w:rPr>
          <w:rFonts w:ascii="Book Antiqua" w:hAnsi="Book Antiqua" w:cs="Times New Roman"/>
          <w:i/>
          <w:color w:val="000000" w:themeColor="text1"/>
          <w:sz w:val="24"/>
          <w:szCs w:val="24"/>
        </w:rPr>
        <w:t xml:space="preserve">CLDN1 </w:t>
      </w:r>
      <w:r w:rsidRPr="00420686">
        <w:rPr>
          <w:rFonts w:ascii="Book Antiqua" w:hAnsi="Book Antiqua" w:cs="Times New Roman"/>
          <w:color w:val="000000" w:themeColor="text1"/>
          <w:sz w:val="24"/>
          <w:szCs w:val="24"/>
        </w:rPr>
        <w:t xml:space="preserve">variants </w:t>
      </w:r>
      <w:r w:rsidRPr="00420686">
        <w:rPr>
          <w:rFonts w:ascii="Book Antiqua" w:hAnsi="Book Antiqua" w:cs="Times New Roman"/>
          <w:sz w:val="24"/>
          <w:szCs w:val="24"/>
        </w:rPr>
        <w:t xml:space="preserve">and </w:t>
      </w:r>
      <w:r w:rsidRPr="00420686">
        <w:rPr>
          <w:rFonts w:ascii="Book Antiqua" w:hAnsi="Book Antiqua" w:cs="Times New Roman"/>
          <w:color w:val="000000" w:themeColor="text1"/>
          <w:sz w:val="24"/>
          <w:szCs w:val="24"/>
        </w:rPr>
        <w:t xml:space="preserve">AD severity, total serum IgE and asthma in subjects of African, but not European ancestry. Given that at present, </w:t>
      </w:r>
      <w:r w:rsidRPr="00420686">
        <w:rPr>
          <w:rFonts w:ascii="Book Antiqua" w:hAnsi="Book Antiqua" w:cs="Times New Roman"/>
          <w:i/>
          <w:color w:val="000000" w:themeColor="text1"/>
          <w:sz w:val="24"/>
          <w:szCs w:val="24"/>
        </w:rPr>
        <w:t xml:space="preserve">FLG </w:t>
      </w:r>
      <w:r w:rsidRPr="00420686">
        <w:rPr>
          <w:rFonts w:ascii="Book Antiqua" w:hAnsi="Book Antiqua" w:cs="Times New Roman"/>
          <w:color w:val="000000" w:themeColor="text1"/>
          <w:sz w:val="24"/>
          <w:szCs w:val="24"/>
        </w:rPr>
        <w:t>null mutations appear to be considerably less prevalentin African populations relati</w:t>
      </w:r>
      <w:r w:rsidR="006A5BC3" w:rsidRPr="00420686">
        <w:rPr>
          <w:rFonts w:ascii="Book Antiqua" w:hAnsi="Book Antiqua" w:cs="Times New Roman"/>
          <w:color w:val="000000" w:themeColor="text1"/>
          <w:sz w:val="24"/>
          <w:szCs w:val="24"/>
        </w:rPr>
        <w:t>ve to European or Asian cohorts</w:t>
      </w:r>
      <w:r w:rsidRPr="00420686">
        <w:rPr>
          <w:rFonts w:ascii="Book Antiqua" w:hAnsi="Book Antiqua" w:cs="Times New Roman"/>
          <w:noProof/>
          <w:color w:val="000000" w:themeColor="text1"/>
          <w:sz w:val="24"/>
          <w:szCs w:val="24"/>
          <w:vertAlign w:val="superscript"/>
        </w:rPr>
        <w:t>[89]</w:t>
      </w:r>
      <w:r w:rsidRPr="00420686">
        <w:rPr>
          <w:rFonts w:ascii="Book Antiqua" w:hAnsi="Book Antiqua" w:cs="Times New Roman"/>
          <w:color w:val="000000" w:themeColor="text1"/>
          <w:sz w:val="24"/>
          <w:szCs w:val="24"/>
        </w:rPr>
        <w:t xml:space="preserve">, these findings (together with those of Margolis </w:t>
      </w:r>
      <w:r w:rsidRPr="00420686">
        <w:rPr>
          <w:rFonts w:ascii="Book Antiqua" w:hAnsi="Book Antiqua" w:cs="Times New Roman"/>
          <w:i/>
          <w:color w:val="000000" w:themeColor="text1"/>
          <w:sz w:val="24"/>
          <w:szCs w:val="24"/>
        </w:rPr>
        <w:t>et al</w:t>
      </w:r>
      <w:r w:rsidR="006A5BC3" w:rsidRPr="00420686">
        <w:rPr>
          <w:rFonts w:ascii="Book Antiqua" w:hAnsi="Book Antiqua" w:cs="Times New Roman"/>
          <w:color w:val="000000" w:themeColor="text1"/>
          <w:sz w:val="24"/>
          <w:szCs w:val="24"/>
          <w:vertAlign w:val="superscript"/>
          <w:lang w:eastAsia="zh-CN"/>
        </w:rPr>
        <w:t>[100]</w:t>
      </w:r>
      <w:r w:rsidRPr="00420686">
        <w:rPr>
          <w:rFonts w:ascii="Book Antiqua" w:hAnsi="Book Antiqua" w:cs="Times New Roman"/>
          <w:color w:val="000000" w:themeColor="text1"/>
          <w:sz w:val="24"/>
          <w:szCs w:val="24"/>
        </w:rPr>
        <w:t xml:space="preserve"> regarding </w:t>
      </w:r>
      <w:r w:rsidRPr="00420686">
        <w:rPr>
          <w:rFonts w:ascii="Book Antiqua" w:hAnsi="Book Antiqua" w:cs="Times New Roman"/>
          <w:i/>
          <w:color w:val="000000" w:themeColor="text1"/>
          <w:sz w:val="24"/>
          <w:szCs w:val="24"/>
        </w:rPr>
        <w:t>FLG2</w:t>
      </w:r>
      <w:r w:rsidRPr="00420686">
        <w:rPr>
          <w:rFonts w:ascii="Book Antiqua" w:hAnsi="Book Antiqua" w:cs="Times New Roman"/>
          <w:color w:val="000000" w:themeColor="text1"/>
          <w:sz w:val="24"/>
          <w:szCs w:val="24"/>
        </w:rPr>
        <w:t>) indicate population specificity in the genetic mechanisms which dominate skin barrier dysfunction in AD.</w:t>
      </w:r>
    </w:p>
    <w:p w:rsidR="008B389C" w:rsidRPr="00420686" w:rsidRDefault="008B389C" w:rsidP="00420686">
      <w:pPr>
        <w:spacing w:after="0" w:line="360" w:lineRule="auto"/>
        <w:contextualSpacing/>
        <w:jc w:val="both"/>
        <w:rPr>
          <w:rFonts w:ascii="Book Antiqua" w:hAnsi="Book Antiqua" w:cs="Times New Roman"/>
          <w:color w:val="000000" w:themeColor="text1"/>
          <w:sz w:val="24"/>
          <w:szCs w:val="24"/>
        </w:rPr>
      </w:pPr>
    </w:p>
    <w:p w:rsidR="008B389C" w:rsidRPr="00420686" w:rsidRDefault="008B389C" w:rsidP="00420686">
      <w:pPr>
        <w:spacing w:after="0" w:line="360" w:lineRule="auto"/>
        <w:ind w:firstLineChars="200" w:firstLine="480"/>
        <w:contextualSpacing/>
        <w:jc w:val="both"/>
        <w:rPr>
          <w:rFonts w:ascii="Book Antiqua" w:hAnsi="Book Antiqua" w:cs="Times New Roman"/>
          <w:color w:val="000000" w:themeColor="text1"/>
          <w:sz w:val="24"/>
          <w:szCs w:val="24"/>
        </w:rPr>
      </w:pPr>
      <w:r w:rsidRPr="00420686">
        <w:rPr>
          <w:rFonts w:ascii="Book Antiqua" w:hAnsi="Book Antiqua" w:cs="Times New Roman"/>
          <w:color w:val="000000" w:themeColor="text1"/>
          <w:sz w:val="24"/>
          <w:szCs w:val="24"/>
        </w:rPr>
        <w:t>Finally, protein regulators of lamellar bilayer formation have been implicated in the pathogenesis of AD. Mutations in the gene encoding fatty acid transporter 4 (</w:t>
      </w:r>
      <w:r w:rsidRPr="00420686">
        <w:rPr>
          <w:rFonts w:ascii="Book Antiqua" w:hAnsi="Book Antiqua" w:cs="Times New Roman"/>
          <w:i/>
          <w:color w:val="000000" w:themeColor="text1"/>
          <w:sz w:val="24"/>
          <w:szCs w:val="24"/>
        </w:rPr>
        <w:t>FATP4</w:t>
      </w:r>
      <w:r w:rsidR="006A5BC3" w:rsidRPr="00420686">
        <w:rPr>
          <w:rFonts w:ascii="Book Antiqua" w:hAnsi="Book Antiqua" w:cs="Times New Roman"/>
          <w:color w:val="000000" w:themeColor="text1"/>
          <w:sz w:val="24"/>
          <w:szCs w:val="24"/>
        </w:rPr>
        <w:t>)</w:t>
      </w:r>
      <w:r w:rsidRPr="00420686">
        <w:rPr>
          <w:rFonts w:ascii="Book Antiqua" w:hAnsi="Book Antiqua" w:cs="Times New Roman"/>
          <w:noProof/>
          <w:color w:val="000000" w:themeColor="text1"/>
          <w:sz w:val="24"/>
          <w:szCs w:val="24"/>
          <w:vertAlign w:val="superscript"/>
        </w:rPr>
        <w:t>[103]</w:t>
      </w:r>
      <w:r w:rsidRPr="00420686">
        <w:rPr>
          <w:rFonts w:ascii="Book Antiqua" w:hAnsi="Book Antiqua" w:cs="Times New Roman"/>
          <w:color w:val="000000" w:themeColor="text1"/>
          <w:sz w:val="24"/>
          <w:szCs w:val="24"/>
        </w:rPr>
        <w:t xml:space="preserve"> and </w:t>
      </w:r>
      <w:r w:rsidRPr="00420686">
        <w:rPr>
          <w:rFonts w:ascii="Book Antiqua" w:hAnsi="Book Antiqua" w:cs="Times New Roman"/>
          <w:i/>
          <w:color w:val="000000" w:themeColor="text1"/>
          <w:sz w:val="24"/>
          <w:szCs w:val="24"/>
        </w:rPr>
        <w:t>MATT</w:t>
      </w:r>
      <w:r w:rsidRPr="00420686">
        <w:rPr>
          <w:rFonts w:ascii="Book Antiqua" w:hAnsi="Book Antiqua" w:cs="Times New Roman"/>
          <w:color w:val="000000" w:themeColor="text1"/>
          <w:sz w:val="24"/>
          <w:szCs w:val="24"/>
        </w:rPr>
        <w:t xml:space="preserve"> (encoding mattrin, a component of the LB secretory system in flaky tail (</w:t>
      </w:r>
      <w:r w:rsidRPr="00420686">
        <w:rPr>
          <w:rFonts w:ascii="Book Antiqua" w:hAnsi="Book Antiqua" w:cs="Times New Roman"/>
          <w:i/>
          <w:color w:val="000000" w:themeColor="text1"/>
          <w:sz w:val="24"/>
          <w:szCs w:val="24"/>
        </w:rPr>
        <w:t>maft</w:t>
      </w:r>
      <w:r w:rsidR="006A5BC3" w:rsidRPr="00420686">
        <w:rPr>
          <w:rFonts w:ascii="Book Antiqua" w:hAnsi="Book Antiqua" w:cs="Times New Roman"/>
          <w:color w:val="000000" w:themeColor="text1"/>
          <w:sz w:val="24"/>
          <w:szCs w:val="24"/>
        </w:rPr>
        <w:t>) mice</w:t>
      </w:r>
      <w:r w:rsidRPr="00420686">
        <w:rPr>
          <w:rFonts w:ascii="Book Antiqua" w:hAnsi="Book Antiqua" w:cs="Times New Roman"/>
          <w:noProof/>
          <w:color w:val="000000" w:themeColor="text1"/>
          <w:sz w:val="24"/>
          <w:szCs w:val="24"/>
          <w:vertAlign w:val="superscript"/>
        </w:rPr>
        <w:t>[104]</w:t>
      </w:r>
      <w:r w:rsidRPr="00420686">
        <w:rPr>
          <w:rFonts w:ascii="Book Antiqua" w:hAnsi="Book Antiqua" w:cs="Times New Roman"/>
          <w:color w:val="000000" w:themeColor="text1"/>
          <w:sz w:val="24"/>
          <w:szCs w:val="24"/>
        </w:rPr>
        <w:t>) are assoc</w:t>
      </w:r>
      <w:r w:rsidR="006A5BC3" w:rsidRPr="00420686">
        <w:rPr>
          <w:rFonts w:ascii="Book Antiqua" w:hAnsi="Book Antiqua" w:cs="Times New Roman"/>
          <w:color w:val="000000" w:themeColor="text1"/>
          <w:sz w:val="24"/>
          <w:szCs w:val="24"/>
        </w:rPr>
        <w:t>iated with increased risk of AD</w:t>
      </w:r>
      <w:r w:rsidRPr="00420686">
        <w:rPr>
          <w:rFonts w:ascii="Book Antiqua" w:hAnsi="Book Antiqua" w:cs="Times New Roman"/>
          <w:noProof/>
          <w:color w:val="000000" w:themeColor="text1"/>
          <w:sz w:val="24"/>
          <w:szCs w:val="24"/>
          <w:vertAlign w:val="superscript"/>
        </w:rPr>
        <w:t>[105]</w:t>
      </w:r>
      <w:r w:rsidRPr="00420686">
        <w:rPr>
          <w:rFonts w:ascii="Book Antiqua" w:hAnsi="Book Antiqua" w:cs="Times New Roman"/>
          <w:color w:val="000000" w:themeColor="text1"/>
          <w:sz w:val="24"/>
          <w:szCs w:val="24"/>
        </w:rPr>
        <w:t xml:space="preserve">. </w:t>
      </w:r>
      <w:r w:rsidRPr="00420686">
        <w:rPr>
          <w:rFonts w:ascii="Book Antiqua" w:hAnsi="Book Antiqua" w:cs="Times New Roman"/>
          <w:i/>
          <w:color w:val="000000" w:themeColor="text1"/>
          <w:sz w:val="24"/>
          <w:szCs w:val="24"/>
        </w:rPr>
        <w:t xml:space="preserve">Maft </w:t>
      </w:r>
      <w:r w:rsidRPr="00420686">
        <w:rPr>
          <w:rFonts w:ascii="Book Antiqua" w:hAnsi="Book Antiqua" w:cs="Times New Roman"/>
          <w:color w:val="000000" w:themeColor="text1"/>
          <w:sz w:val="24"/>
          <w:szCs w:val="24"/>
        </w:rPr>
        <w:t xml:space="preserve">mice harbour mutations in both </w:t>
      </w:r>
      <w:r w:rsidRPr="00420686">
        <w:rPr>
          <w:rFonts w:ascii="Book Antiqua" w:hAnsi="Book Antiqua" w:cs="Times New Roman"/>
          <w:i/>
          <w:color w:val="000000" w:themeColor="text1"/>
          <w:sz w:val="24"/>
          <w:szCs w:val="24"/>
        </w:rPr>
        <w:t xml:space="preserve">Flg </w:t>
      </w:r>
      <w:r w:rsidRPr="00420686">
        <w:rPr>
          <w:rFonts w:ascii="Book Antiqua" w:hAnsi="Book Antiqua" w:cs="Times New Roman"/>
          <w:color w:val="000000" w:themeColor="text1"/>
          <w:sz w:val="24"/>
          <w:szCs w:val="24"/>
        </w:rPr>
        <w:t xml:space="preserve">and </w:t>
      </w:r>
      <w:r w:rsidRPr="00420686">
        <w:rPr>
          <w:rFonts w:ascii="Book Antiqua" w:hAnsi="Book Antiqua" w:cs="Times New Roman"/>
          <w:i/>
          <w:color w:val="000000" w:themeColor="text1"/>
          <w:sz w:val="24"/>
          <w:szCs w:val="24"/>
        </w:rPr>
        <w:t xml:space="preserve">Matt </w:t>
      </w:r>
      <w:r w:rsidRPr="00420686">
        <w:rPr>
          <w:rFonts w:ascii="Book Antiqua" w:hAnsi="Book Antiqua" w:cs="Times New Roman"/>
          <w:color w:val="000000" w:themeColor="text1"/>
          <w:sz w:val="24"/>
          <w:szCs w:val="24"/>
        </w:rPr>
        <w:t xml:space="preserve">genes, and have been used for many years as an experimental model of AD. However, it has recently been shown that </w:t>
      </w:r>
      <w:r w:rsidRPr="00420686">
        <w:rPr>
          <w:rFonts w:ascii="Book Antiqua" w:hAnsi="Book Antiqua" w:cs="Times New Roman"/>
          <w:i/>
          <w:color w:val="000000" w:themeColor="text1"/>
          <w:sz w:val="24"/>
          <w:szCs w:val="24"/>
        </w:rPr>
        <w:t xml:space="preserve">ma/ma </w:t>
      </w:r>
      <w:r w:rsidRPr="00420686">
        <w:rPr>
          <w:rFonts w:ascii="Book Antiqua" w:hAnsi="Book Antiqua" w:cs="Times New Roman"/>
          <w:color w:val="000000" w:themeColor="text1"/>
          <w:sz w:val="24"/>
          <w:szCs w:val="24"/>
        </w:rPr>
        <w:t xml:space="preserve">mice, which carry mutations in </w:t>
      </w:r>
      <w:r w:rsidRPr="00420686">
        <w:rPr>
          <w:rFonts w:ascii="Book Antiqua" w:hAnsi="Book Antiqua" w:cs="Times New Roman"/>
          <w:i/>
          <w:color w:val="000000" w:themeColor="text1"/>
          <w:sz w:val="24"/>
          <w:szCs w:val="24"/>
        </w:rPr>
        <w:t>Matt</w:t>
      </w:r>
      <w:r w:rsidRPr="00420686">
        <w:rPr>
          <w:rFonts w:ascii="Book Antiqua" w:hAnsi="Book Antiqua" w:cs="Times New Roman"/>
          <w:color w:val="000000" w:themeColor="text1"/>
          <w:sz w:val="24"/>
          <w:szCs w:val="24"/>
        </w:rPr>
        <w:t xml:space="preserve"> but not in </w:t>
      </w:r>
      <w:r w:rsidRPr="00420686">
        <w:rPr>
          <w:rFonts w:ascii="Book Antiqua" w:hAnsi="Book Antiqua" w:cs="Times New Roman"/>
          <w:i/>
          <w:color w:val="000000" w:themeColor="text1"/>
          <w:sz w:val="24"/>
          <w:szCs w:val="24"/>
        </w:rPr>
        <w:t>Flg</w:t>
      </w:r>
      <w:r w:rsidRPr="00420686">
        <w:rPr>
          <w:rFonts w:ascii="Book Antiqua" w:hAnsi="Book Antiqua" w:cs="Times New Roman"/>
          <w:color w:val="000000" w:themeColor="text1"/>
          <w:sz w:val="24"/>
          <w:szCs w:val="24"/>
        </w:rPr>
        <w:t xml:space="preserve">, exhibit enhanced TEWL and decreased SC hydration, and develop the spontaneous dermatitis and atopy exhibited by </w:t>
      </w:r>
      <w:r w:rsidRPr="00420686">
        <w:rPr>
          <w:rFonts w:ascii="Book Antiqua" w:hAnsi="Book Antiqua" w:cs="Times New Roman"/>
          <w:i/>
          <w:color w:val="000000" w:themeColor="text1"/>
          <w:sz w:val="24"/>
          <w:szCs w:val="24"/>
        </w:rPr>
        <w:t>maft</w:t>
      </w:r>
      <w:r w:rsidRPr="00420686">
        <w:rPr>
          <w:rFonts w:ascii="Book Antiqua" w:hAnsi="Book Antiqua" w:cs="Times New Roman"/>
          <w:color w:val="000000" w:themeColor="text1"/>
          <w:sz w:val="24"/>
          <w:szCs w:val="24"/>
        </w:rPr>
        <w:t xml:space="preserve"> mice to a greater extent than the filaggrin-null (</w:t>
      </w:r>
      <w:r w:rsidRPr="00420686">
        <w:rPr>
          <w:rFonts w:ascii="Book Antiqua" w:hAnsi="Book Antiqua" w:cs="Times New Roman"/>
          <w:i/>
          <w:color w:val="000000" w:themeColor="text1"/>
          <w:sz w:val="24"/>
          <w:szCs w:val="24"/>
        </w:rPr>
        <w:t>Flg</w:t>
      </w:r>
      <w:r w:rsidRPr="00420686">
        <w:rPr>
          <w:rFonts w:ascii="Book Antiqua" w:hAnsi="Book Antiqua" w:cs="Times New Roman"/>
          <w:i/>
          <w:color w:val="000000" w:themeColor="text1"/>
          <w:sz w:val="24"/>
          <w:szCs w:val="24"/>
          <w:vertAlign w:val="superscript"/>
        </w:rPr>
        <w:t>-/-</w:t>
      </w:r>
      <w:r w:rsidR="006A5BC3" w:rsidRPr="00420686">
        <w:rPr>
          <w:rFonts w:ascii="Book Antiqua" w:hAnsi="Book Antiqua" w:cs="Times New Roman"/>
          <w:color w:val="000000" w:themeColor="text1"/>
          <w:sz w:val="24"/>
          <w:szCs w:val="24"/>
        </w:rPr>
        <w:t>) mice</w:t>
      </w:r>
      <w:r w:rsidRPr="00420686">
        <w:rPr>
          <w:rFonts w:ascii="Book Antiqua" w:hAnsi="Book Antiqua" w:cs="Times New Roman"/>
          <w:noProof/>
          <w:color w:val="000000" w:themeColor="text1"/>
          <w:sz w:val="24"/>
          <w:szCs w:val="24"/>
          <w:vertAlign w:val="superscript"/>
        </w:rPr>
        <w:t>[104</w:t>
      </w:r>
      <w:r w:rsidR="006A5BC3" w:rsidRPr="00420686">
        <w:rPr>
          <w:rFonts w:ascii="Book Antiqua" w:hAnsi="Book Antiqua" w:cs="Times New Roman"/>
          <w:noProof/>
          <w:color w:val="000000" w:themeColor="text1"/>
          <w:sz w:val="24"/>
          <w:szCs w:val="24"/>
          <w:vertAlign w:val="superscript"/>
          <w:lang w:eastAsia="zh-CN"/>
        </w:rPr>
        <w:t>-</w:t>
      </w:r>
      <w:r w:rsidRPr="00420686">
        <w:rPr>
          <w:rFonts w:ascii="Book Antiqua" w:hAnsi="Book Antiqua" w:cs="Times New Roman"/>
          <w:noProof/>
          <w:color w:val="000000" w:themeColor="text1"/>
          <w:sz w:val="24"/>
          <w:szCs w:val="24"/>
          <w:vertAlign w:val="superscript"/>
        </w:rPr>
        <w:t>106]</w:t>
      </w:r>
      <w:r w:rsidRPr="00420686">
        <w:rPr>
          <w:rFonts w:ascii="Book Antiqua" w:hAnsi="Book Antiqua" w:cs="Times New Roman"/>
          <w:color w:val="000000" w:themeColor="text1"/>
          <w:sz w:val="24"/>
          <w:szCs w:val="24"/>
        </w:rPr>
        <w:t xml:space="preserve">. </w:t>
      </w:r>
      <w:r w:rsidRPr="00420686">
        <w:rPr>
          <w:rFonts w:ascii="Book Antiqua" w:hAnsi="Book Antiqua" w:cs="Times New Roman"/>
          <w:i/>
          <w:color w:val="000000" w:themeColor="text1"/>
          <w:sz w:val="24"/>
          <w:szCs w:val="24"/>
        </w:rPr>
        <w:t>Matt</w:t>
      </w:r>
      <w:r w:rsidRPr="00420686">
        <w:rPr>
          <w:rFonts w:ascii="Book Antiqua" w:hAnsi="Book Antiqua" w:cs="Times New Roman"/>
          <w:color w:val="000000" w:themeColor="text1"/>
          <w:sz w:val="24"/>
          <w:szCs w:val="24"/>
        </w:rPr>
        <w:t xml:space="preserve"> may therefore play a greater role than </w:t>
      </w:r>
      <w:r w:rsidRPr="00420686">
        <w:rPr>
          <w:rFonts w:ascii="Book Antiqua" w:hAnsi="Book Antiqua" w:cs="Times New Roman"/>
          <w:i/>
          <w:color w:val="000000" w:themeColor="text1"/>
          <w:sz w:val="24"/>
          <w:szCs w:val="24"/>
        </w:rPr>
        <w:t>Flg</w:t>
      </w:r>
      <w:r w:rsidRPr="00420686">
        <w:rPr>
          <w:rFonts w:ascii="Book Antiqua" w:hAnsi="Book Antiqua" w:cs="Times New Roman"/>
          <w:color w:val="000000" w:themeColor="text1"/>
          <w:sz w:val="24"/>
          <w:szCs w:val="24"/>
        </w:rPr>
        <w:t xml:space="preserve"> in driving the dermatitis phenotype in </w:t>
      </w:r>
      <w:r w:rsidRPr="00420686">
        <w:rPr>
          <w:rFonts w:ascii="Book Antiqua" w:hAnsi="Book Antiqua" w:cs="Times New Roman"/>
          <w:i/>
          <w:color w:val="000000" w:themeColor="text1"/>
          <w:sz w:val="24"/>
          <w:szCs w:val="24"/>
        </w:rPr>
        <w:t xml:space="preserve">maft </w:t>
      </w:r>
      <w:r w:rsidRPr="00420686">
        <w:rPr>
          <w:rFonts w:ascii="Book Antiqua" w:hAnsi="Book Antiqua" w:cs="Times New Roman"/>
          <w:color w:val="000000" w:themeColor="text1"/>
          <w:sz w:val="24"/>
          <w:szCs w:val="24"/>
        </w:rPr>
        <w:t>mice, supporting a key role for SC lipid secretion in the development of AD.</w:t>
      </w:r>
    </w:p>
    <w:p w:rsidR="008B389C" w:rsidRPr="00420686" w:rsidRDefault="008B389C" w:rsidP="00420686">
      <w:pPr>
        <w:spacing w:after="0" w:line="360" w:lineRule="auto"/>
        <w:ind w:firstLineChars="200" w:firstLine="480"/>
        <w:jc w:val="both"/>
        <w:rPr>
          <w:rFonts w:ascii="Book Antiqua" w:hAnsi="Book Antiqua" w:cs="Times New Roman"/>
          <w:color w:val="FF0000"/>
          <w:sz w:val="24"/>
          <w:szCs w:val="24"/>
        </w:rPr>
      </w:pPr>
      <w:r w:rsidRPr="00420686">
        <w:rPr>
          <w:rFonts w:ascii="Book Antiqua" w:hAnsi="Book Antiqua" w:cs="Times New Roman"/>
          <w:sz w:val="24"/>
          <w:szCs w:val="24"/>
        </w:rPr>
        <w:t xml:space="preserve">Thus skin barrier genes may act alone or in combination with </w:t>
      </w:r>
      <w:r w:rsidRPr="00420686">
        <w:rPr>
          <w:rFonts w:ascii="Book Antiqua" w:hAnsi="Book Antiqua" w:cs="Times New Roman"/>
          <w:i/>
          <w:sz w:val="24"/>
          <w:szCs w:val="24"/>
        </w:rPr>
        <w:t xml:space="preserve">FLG </w:t>
      </w:r>
      <w:r w:rsidRPr="00420686">
        <w:rPr>
          <w:rFonts w:ascii="Book Antiqua" w:hAnsi="Book Antiqua" w:cs="Times New Roman"/>
          <w:sz w:val="24"/>
          <w:szCs w:val="24"/>
        </w:rPr>
        <w:t>to modify AD pathogenesis. Whether or not the same genes are also associated with subsequent steps of the atopic march remains to be elucidated.</w:t>
      </w:r>
    </w:p>
    <w:p w:rsidR="008B389C" w:rsidRPr="00420686" w:rsidRDefault="008B389C" w:rsidP="00420686">
      <w:pPr>
        <w:pStyle w:val="ListParagraph"/>
        <w:spacing w:after="0" w:line="360" w:lineRule="auto"/>
        <w:jc w:val="both"/>
        <w:rPr>
          <w:rFonts w:ascii="Book Antiqua" w:hAnsi="Book Antiqua" w:cs="Times New Roman"/>
          <w:color w:val="000000" w:themeColor="text1"/>
          <w:sz w:val="24"/>
          <w:szCs w:val="24"/>
        </w:rPr>
      </w:pPr>
    </w:p>
    <w:p w:rsidR="008B389C" w:rsidRPr="00420686" w:rsidRDefault="006A5BC3" w:rsidP="00420686">
      <w:pPr>
        <w:spacing w:after="0" w:line="360" w:lineRule="auto"/>
        <w:jc w:val="both"/>
        <w:rPr>
          <w:rFonts w:ascii="Book Antiqua" w:hAnsi="Book Antiqua" w:cs="Times New Roman"/>
          <w:b/>
          <w:i/>
          <w:sz w:val="24"/>
          <w:szCs w:val="24"/>
        </w:rPr>
      </w:pPr>
      <w:r w:rsidRPr="00420686">
        <w:rPr>
          <w:rFonts w:ascii="Book Antiqua" w:hAnsi="Book Antiqua" w:cs="Times New Roman"/>
          <w:b/>
          <w:i/>
          <w:sz w:val="24"/>
          <w:szCs w:val="24"/>
        </w:rPr>
        <w:t>Epidermal proteases and protease inhibitors</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 xml:space="preserve">Maintenance of epidermal physiology is dependent on the coordinated activities of skin-resident proteases and anti-proteases. Perturbation of this balance in favour of protease hyperactivity can result in pathogenic barrier disruption, as exemplified in Netherton syndrome (NS). NS is an autosomal recessive disorder featuring ichthyosis and atopic manifestations, which is caused by loss-of-function mutations in </w:t>
      </w:r>
      <w:r w:rsidR="006A5BC3" w:rsidRPr="00420686">
        <w:rPr>
          <w:rFonts w:ascii="Book Antiqua" w:hAnsi="Book Antiqua" w:cs="Times New Roman"/>
          <w:i/>
          <w:sz w:val="24"/>
          <w:szCs w:val="24"/>
        </w:rPr>
        <w:t>SPINK5</w:t>
      </w:r>
      <w:r w:rsidRPr="00420686">
        <w:rPr>
          <w:rFonts w:ascii="Book Antiqua" w:hAnsi="Book Antiqua" w:cs="Times New Roman"/>
          <w:noProof/>
          <w:sz w:val="24"/>
          <w:szCs w:val="24"/>
          <w:vertAlign w:val="superscript"/>
        </w:rPr>
        <w:t>[107]</w:t>
      </w:r>
      <w:r w:rsidRPr="00420686">
        <w:rPr>
          <w:rFonts w:ascii="Book Antiqua" w:hAnsi="Book Antiqua" w:cs="Times New Roman"/>
          <w:sz w:val="24"/>
          <w:szCs w:val="24"/>
        </w:rPr>
        <w:t xml:space="preserve"> </w:t>
      </w:r>
      <w:r w:rsidR="006A5BC3"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the gene encoding lympho-epithelial Kazal</w:t>
      </w:r>
      <w:r w:rsidR="006A5BC3" w:rsidRPr="00420686">
        <w:rPr>
          <w:rFonts w:ascii="Book Antiqua" w:hAnsi="Book Antiqua" w:cs="Times New Roman"/>
          <w:sz w:val="24"/>
          <w:szCs w:val="24"/>
        </w:rPr>
        <w:t>-type-related inhibitor (LEKTI)</w:t>
      </w:r>
      <w:r w:rsidRPr="00420686">
        <w:rPr>
          <w:rFonts w:ascii="Book Antiqua" w:hAnsi="Book Antiqua" w:cs="Times New Roman"/>
          <w:noProof/>
          <w:sz w:val="24"/>
          <w:szCs w:val="24"/>
          <w:vertAlign w:val="superscript"/>
        </w:rPr>
        <w:t>[108]</w:t>
      </w:r>
      <w:r w:rsidRPr="00420686">
        <w:rPr>
          <w:rFonts w:ascii="Book Antiqua" w:hAnsi="Book Antiqua" w:cs="Times New Roman"/>
          <w:sz w:val="24"/>
          <w:szCs w:val="24"/>
        </w:rPr>
        <w:t>. In healthy skin, proteolytic LEKTI fragments specifically co-localise with and regulate the activity of multiple SPs, including members of the kallikrein (KLK) family. K</w:t>
      </w:r>
      <w:r w:rsidR="006A5BC3" w:rsidRPr="00420686">
        <w:rPr>
          <w:rFonts w:ascii="Book Antiqua" w:hAnsi="Book Antiqua" w:cs="Times New Roman"/>
          <w:sz w:val="24"/>
          <w:szCs w:val="24"/>
        </w:rPr>
        <w:t>LKs are central to desquamation</w:t>
      </w:r>
      <w:r w:rsidRPr="00420686">
        <w:rPr>
          <w:rFonts w:ascii="Book Antiqua" w:hAnsi="Book Antiqua" w:cs="Times New Roman"/>
          <w:noProof/>
          <w:sz w:val="24"/>
          <w:szCs w:val="24"/>
          <w:vertAlign w:val="superscript"/>
        </w:rPr>
        <w:t>[109]</w:t>
      </w:r>
      <w:r w:rsidRPr="00420686">
        <w:rPr>
          <w:rFonts w:ascii="Book Antiqua" w:hAnsi="Book Antiqua" w:cs="Times New Roman"/>
          <w:sz w:val="24"/>
          <w:szCs w:val="24"/>
        </w:rPr>
        <w:t xml:space="preserve"> and also indirectly promote profilaggrin proteoly</w:t>
      </w:r>
      <w:r w:rsidR="006A5BC3" w:rsidRPr="00420686">
        <w:rPr>
          <w:rFonts w:ascii="Book Antiqua" w:hAnsi="Book Antiqua" w:cs="Times New Roman"/>
          <w:sz w:val="24"/>
          <w:szCs w:val="24"/>
        </w:rPr>
        <w:t>sis</w:t>
      </w:r>
      <w:r w:rsidRPr="00420686">
        <w:rPr>
          <w:rFonts w:ascii="Book Antiqua" w:hAnsi="Book Antiqua" w:cs="Times New Roman"/>
          <w:noProof/>
          <w:sz w:val="24"/>
          <w:szCs w:val="24"/>
          <w:vertAlign w:val="superscript"/>
        </w:rPr>
        <w:t>[110]</w:t>
      </w:r>
      <w:r w:rsidRPr="00420686">
        <w:rPr>
          <w:rFonts w:ascii="Book Antiqua" w:hAnsi="Book Antiqua" w:cs="Times New Roman"/>
          <w:sz w:val="24"/>
          <w:szCs w:val="24"/>
        </w:rPr>
        <w:t>. In the skin of NS patients, residual LEKTI expression correlates inver</w:t>
      </w:r>
      <w:r w:rsidR="006A5BC3" w:rsidRPr="00420686">
        <w:rPr>
          <w:rFonts w:ascii="Book Antiqua" w:hAnsi="Book Antiqua" w:cs="Times New Roman"/>
          <w:sz w:val="24"/>
          <w:szCs w:val="24"/>
        </w:rPr>
        <w:t>sely with enhanced KLK activity</w:t>
      </w:r>
      <w:r w:rsidRPr="00420686">
        <w:rPr>
          <w:rFonts w:ascii="Book Antiqua" w:hAnsi="Book Antiqua" w:cs="Times New Roman"/>
          <w:noProof/>
          <w:sz w:val="24"/>
          <w:szCs w:val="24"/>
          <w:vertAlign w:val="superscript"/>
        </w:rPr>
        <w:t>[111]</w:t>
      </w:r>
      <w:r w:rsidRPr="00420686">
        <w:rPr>
          <w:rFonts w:ascii="Book Antiqua" w:hAnsi="Book Antiqua" w:cs="Times New Roman"/>
          <w:sz w:val="24"/>
          <w:szCs w:val="24"/>
        </w:rPr>
        <w:t xml:space="preserve"> resulting in dramatic SC thinning and attenuation of the permeability barrier through unrestricted </w:t>
      </w:r>
      <w:r w:rsidR="006A5BC3" w:rsidRPr="00420686">
        <w:rPr>
          <w:rFonts w:ascii="Book Antiqua" w:hAnsi="Book Antiqua" w:cs="Times New Roman"/>
          <w:sz w:val="24"/>
          <w:szCs w:val="24"/>
        </w:rPr>
        <w:t>degradation of corneodesmosomes</w:t>
      </w:r>
      <w:r w:rsidRPr="00420686">
        <w:rPr>
          <w:rFonts w:ascii="Book Antiqua" w:hAnsi="Book Antiqua" w:cs="Times New Roman"/>
          <w:noProof/>
          <w:sz w:val="24"/>
          <w:szCs w:val="24"/>
          <w:vertAlign w:val="superscript"/>
        </w:rPr>
        <w:t>[109]</w:t>
      </w:r>
      <w:r w:rsidRPr="00420686">
        <w:rPr>
          <w:rFonts w:ascii="Book Antiqua" w:hAnsi="Book Antiqua" w:cs="Times New Roman"/>
          <w:sz w:val="24"/>
          <w:szCs w:val="24"/>
        </w:rPr>
        <w:t xml:space="preserve"> and lipid-processing enzymes </w:t>
      </w:r>
      <w:r w:rsidRPr="00420686">
        <w:rPr>
          <w:rFonts w:ascii="Book Antiqua" w:hAnsi="Book Antiqua" w:cs="Times New Roman"/>
          <w:noProof/>
          <w:sz w:val="24"/>
          <w:szCs w:val="24"/>
          <w:vertAlign w:val="superscript"/>
        </w:rPr>
        <w:t>[111]</w:t>
      </w:r>
      <w:r w:rsidRPr="00420686">
        <w:rPr>
          <w:rFonts w:ascii="Book Antiqua" w:hAnsi="Book Antiqua" w:cs="Times New Roman"/>
          <w:sz w:val="24"/>
          <w:szCs w:val="24"/>
        </w:rPr>
        <w:t xml:space="preserve"> respectively. Permeability barrier function may additionally be compromised through activation of protease-activated receptor 2 (PAR-2), which is expressed in nucleated epidermal layers and can be induced by specific SPs </w:t>
      </w:r>
      <w:r w:rsidR="006A5BC3" w:rsidRPr="00420686">
        <w:rPr>
          <w:rFonts w:ascii="Book Antiqua" w:hAnsi="Book Antiqua" w:cs="Times New Roman"/>
          <w:sz w:val="24"/>
          <w:szCs w:val="24"/>
        </w:rPr>
        <w:t>to down-regulate LB secretion</w:t>
      </w:r>
      <w:r w:rsidRPr="00420686">
        <w:rPr>
          <w:rFonts w:ascii="Book Antiqua" w:hAnsi="Book Antiqua" w:cs="Times New Roman"/>
          <w:noProof/>
          <w:sz w:val="24"/>
          <w:szCs w:val="24"/>
          <w:vertAlign w:val="superscript"/>
        </w:rPr>
        <w:t>[112-114]</w:t>
      </w:r>
      <w:r w:rsidRPr="00420686">
        <w:rPr>
          <w:rFonts w:ascii="Book Antiqua" w:hAnsi="Book Antiqua" w:cs="Times New Roman"/>
          <w:sz w:val="24"/>
          <w:szCs w:val="24"/>
        </w:rPr>
        <w:t>.</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A number of association studies have identified SNPs in </w:t>
      </w:r>
      <w:r w:rsidRPr="00420686">
        <w:rPr>
          <w:rFonts w:ascii="Book Antiqua" w:hAnsi="Book Antiqua" w:cs="Times New Roman"/>
          <w:i/>
          <w:sz w:val="24"/>
          <w:szCs w:val="24"/>
        </w:rPr>
        <w:t xml:space="preserve">SPINK5 </w:t>
      </w:r>
      <w:r w:rsidRPr="00420686">
        <w:rPr>
          <w:rFonts w:ascii="Book Antiqua" w:hAnsi="Book Antiqua" w:cs="Times New Roman"/>
          <w:sz w:val="24"/>
          <w:szCs w:val="24"/>
        </w:rPr>
        <w:t>which are associated with A</w:t>
      </w:r>
      <w:r w:rsidR="006A5BC3" w:rsidRPr="00420686">
        <w:rPr>
          <w:rFonts w:ascii="Book Antiqua" w:hAnsi="Book Antiqua" w:cs="Times New Roman"/>
          <w:sz w:val="24"/>
          <w:szCs w:val="24"/>
        </w:rPr>
        <w:t>D risk in different ethnicities</w:t>
      </w:r>
      <w:r w:rsidRPr="00420686">
        <w:rPr>
          <w:rFonts w:ascii="Book Antiqua" w:hAnsi="Book Antiqua" w:cs="Times New Roman"/>
          <w:noProof/>
          <w:sz w:val="24"/>
          <w:szCs w:val="24"/>
          <w:vertAlign w:val="superscript"/>
        </w:rPr>
        <w:t>[115-119]</w:t>
      </w:r>
      <w:r w:rsidRPr="00420686">
        <w:rPr>
          <w:rFonts w:ascii="Book Antiqua" w:hAnsi="Book Antiqua" w:cs="Times New Roman"/>
          <w:sz w:val="24"/>
          <w:szCs w:val="24"/>
        </w:rPr>
        <w:t>. In particular, one such variant, LEKTI E420K, has also been linked to elevated ser</w:t>
      </w:r>
      <w:r w:rsidR="006A5BC3" w:rsidRPr="00420686">
        <w:rPr>
          <w:rFonts w:ascii="Book Antiqua" w:hAnsi="Book Antiqua" w:cs="Times New Roman"/>
          <w:sz w:val="24"/>
          <w:szCs w:val="24"/>
        </w:rPr>
        <w:t>um IgE</w:t>
      </w:r>
      <w:r w:rsidRPr="00420686">
        <w:rPr>
          <w:rFonts w:ascii="Book Antiqua" w:hAnsi="Book Antiqua" w:cs="Times New Roman"/>
          <w:noProof/>
          <w:sz w:val="24"/>
          <w:szCs w:val="24"/>
          <w:vertAlign w:val="superscript"/>
        </w:rPr>
        <w:t>[118]</w:t>
      </w:r>
      <w:r w:rsidR="006A5BC3" w:rsidRPr="00420686">
        <w:rPr>
          <w:rFonts w:ascii="Book Antiqua" w:hAnsi="Book Antiqua" w:cs="Times New Roman"/>
          <w:sz w:val="24"/>
          <w:szCs w:val="24"/>
        </w:rPr>
        <w:t>, food allergies</w:t>
      </w:r>
      <w:r w:rsidRPr="00420686">
        <w:rPr>
          <w:rFonts w:ascii="Book Antiqua" w:hAnsi="Book Antiqua" w:cs="Times New Roman"/>
          <w:noProof/>
          <w:sz w:val="24"/>
          <w:szCs w:val="24"/>
          <w:vertAlign w:val="superscript"/>
        </w:rPr>
        <w:t>[116]</w:t>
      </w:r>
      <w:r w:rsidR="006A5BC3" w:rsidRPr="00420686">
        <w:rPr>
          <w:rFonts w:ascii="Book Antiqua" w:hAnsi="Book Antiqua" w:cs="Times New Roman"/>
          <w:sz w:val="24"/>
          <w:szCs w:val="24"/>
        </w:rPr>
        <w:t>, AD severity</w:t>
      </w:r>
      <w:r w:rsidRPr="00420686">
        <w:rPr>
          <w:rFonts w:ascii="Book Antiqua" w:hAnsi="Book Antiqua" w:cs="Times New Roman"/>
          <w:noProof/>
          <w:sz w:val="24"/>
          <w:szCs w:val="24"/>
          <w:vertAlign w:val="superscript"/>
        </w:rPr>
        <w:t>[116]</w:t>
      </w:r>
      <w:r w:rsidR="006A5BC3" w:rsidRPr="00420686">
        <w:rPr>
          <w:rFonts w:ascii="Book Antiqua" w:hAnsi="Book Antiqua" w:cs="Times New Roman"/>
          <w:sz w:val="24"/>
          <w:szCs w:val="24"/>
        </w:rPr>
        <w:t xml:space="preserve"> and AD-associated asthma</w:t>
      </w:r>
      <w:r w:rsidRPr="00420686">
        <w:rPr>
          <w:rFonts w:ascii="Book Antiqua" w:hAnsi="Book Antiqua" w:cs="Times New Roman"/>
          <w:noProof/>
          <w:sz w:val="24"/>
          <w:szCs w:val="24"/>
          <w:vertAlign w:val="superscript"/>
        </w:rPr>
        <w:t>[120]</w:t>
      </w:r>
      <w:r w:rsidRPr="00420686">
        <w:rPr>
          <w:rFonts w:ascii="Book Antiqua" w:hAnsi="Book Antiqua" w:cs="Times New Roman"/>
          <w:sz w:val="24"/>
          <w:szCs w:val="24"/>
        </w:rPr>
        <w:t xml:space="preserve">. </w:t>
      </w:r>
      <w:r w:rsidRPr="00420686">
        <w:rPr>
          <w:rFonts w:ascii="Book Antiqua" w:hAnsi="Book Antiqua" w:cs="Times New Roman"/>
          <w:i/>
          <w:sz w:val="24"/>
          <w:szCs w:val="24"/>
        </w:rPr>
        <w:t xml:space="preserve">In vitro </w:t>
      </w:r>
      <w:r w:rsidRPr="00420686">
        <w:rPr>
          <w:rFonts w:ascii="Book Antiqua" w:hAnsi="Book Antiqua" w:cs="Times New Roman"/>
          <w:sz w:val="24"/>
          <w:szCs w:val="24"/>
        </w:rPr>
        <w:t>analysis has shown protease hyperactivity resulting from the E420K mutation to result in increased corneodesmosomal destabilisation and premature profilaggrin pr</w:t>
      </w:r>
      <w:r w:rsidR="006A5BC3" w:rsidRPr="00420686">
        <w:rPr>
          <w:rFonts w:ascii="Book Antiqua" w:hAnsi="Book Antiqua" w:cs="Times New Roman"/>
          <w:sz w:val="24"/>
          <w:szCs w:val="24"/>
        </w:rPr>
        <w:t>oteolysis</w:t>
      </w:r>
      <w:r w:rsidRPr="00420686">
        <w:rPr>
          <w:rFonts w:ascii="Book Antiqua" w:hAnsi="Book Antiqua" w:cs="Times New Roman"/>
          <w:noProof/>
          <w:sz w:val="24"/>
          <w:szCs w:val="24"/>
          <w:vertAlign w:val="superscript"/>
        </w:rPr>
        <w:t>[121]</w:t>
      </w:r>
      <w:r w:rsidRPr="00420686">
        <w:rPr>
          <w:rFonts w:ascii="Book Antiqua" w:hAnsi="Book Antiqua" w:cs="Times New Roman"/>
          <w:sz w:val="24"/>
          <w:szCs w:val="24"/>
        </w:rPr>
        <w:t>, suggesting a functional pathway by which E420K may contribute to</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 xml:space="preserve">filaggrin deficiency and the development of AD. In addition to </w:t>
      </w:r>
      <w:r w:rsidRPr="00420686">
        <w:rPr>
          <w:rFonts w:ascii="Book Antiqua" w:hAnsi="Book Antiqua" w:cs="Times New Roman"/>
          <w:i/>
          <w:sz w:val="24"/>
          <w:szCs w:val="24"/>
        </w:rPr>
        <w:t xml:space="preserve">SPINK5 </w:t>
      </w:r>
      <w:r w:rsidRPr="00420686">
        <w:rPr>
          <w:rFonts w:ascii="Book Antiqua" w:hAnsi="Book Antiqua" w:cs="Times New Roman"/>
          <w:sz w:val="24"/>
          <w:szCs w:val="24"/>
        </w:rPr>
        <w:t xml:space="preserve">polymorphisms, a mutant allele of the </w:t>
      </w:r>
      <w:r w:rsidRPr="00420686">
        <w:rPr>
          <w:rFonts w:ascii="Book Antiqua" w:hAnsi="Book Antiqua" w:cs="Times New Roman"/>
          <w:i/>
          <w:sz w:val="24"/>
          <w:szCs w:val="24"/>
        </w:rPr>
        <w:t>CSTA</w:t>
      </w:r>
      <w:r w:rsidRPr="00420686">
        <w:rPr>
          <w:rFonts w:ascii="Book Antiqua" w:hAnsi="Book Antiqua" w:cs="Times New Roman"/>
          <w:sz w:val="24"/>
          <w:szCs w:val="24"/>
        </w:rPr>
        <w:t xml:space="preserve"> gene (which encodes the skin-resident cysteine protease inhibitor, cystatin A) has been reported to associate with AD in a small UK </w:t>
      </w:r>
      <w:r w:rsidR="006A5BC3" w:rsidRPr="00420686">
        <w:rPr>
          <w:rFonts w:ascii="Book Antiqua" w:hAnsi="Book Antiqua" w:cs="Times New Roman"/>
          <w:sz w:val="24"/>
          <w:szCs w:val="24"/>
        </w:rPr>
        <w:t>cohort</w:t>
      </w:r>
      <w:r w:rsidRPr="00420686">
        <w:rPr>
          <w:rFonts w:ascii="Book Antiqua" w:hAnsi="Book Antiqua" w:cs="Times New Roman"/>
          <w:noProof/>
          <w:sz w:val="24"/>
          <w:szCs w:val="24"/>
          <w:vertAlign w:val="superscript"/>
        </w:rPr>
        <w:t>[122]</w:t>
      </w:r>
      <w:r w:rsidRPr="00420686">
        <w:rPr>
          <w:rFonts w:ascii="Book Antiqua" w:hAnsi="Book Antiqua" w:cs="Times New Roman"/>
          <w:sz w:val="24"/>
          <w:szCs w:val="24"/>
        </w:rPr>
        <w:t xml:space="preserve">. Fewer data exist for associations between AD and epidermal protease genes; an association between AD and a putative gain-of-function insertion in the 3’ UTR of </w:t>
      </w:r>
      <w:r w:rsidRPr="00420686">
        <w:rPr>
          <w:rFonts w:ascii="Book Antiqua" w:hAnsi="Book Antiqua" w:cs="Times New Roman"/>
          <w:i/>
          <w:sz w:val="24"/>
          <w:szCs w:val="24"/>
        </w:rPr>
        <w:t xml:space="preserve">KLK7 </w:t>
      </w:r>
      <w:r w:rsidRPr="00420686">
        <w:rPr>
          <w:rFonts w:ascii="Book Antiqua" w:hAnsi="Book Antiqua" w:cs="Times New Roman"/>
          <w:sz w:val="24"/>
          <w:szCs w:val="24"/>
        </w:rPr>
        <w:t>has been described in a British case-control study</w:t>
      </w:r>
      <w:r w:rsidRPr="00420686">
        <w:rPr>
          <w:rFonts w:ascii="Book Antiqua" w:hAnsi="Book Antiqua" w:cs="Times New Roman"/>
          <w:noProof/>
          <w:sz w:val="24"/>
          <w:szCs w:val="24"/>
          <w:vertAlign w:val="superscript"/>
        </w:rPr>
        <w:t>[122]</w:t>
      </w:r>
      <w:r w:rsidRPr="00420686">
        <w:rPr>
          <w:rFonts w:ascii="Book Antiqua" w:hAnsi="Book Antiqua" w:cs="Times New Roman"/>
          <w:sz w:val="24"/>
          <w:szCs w:val="24"/>
        </w:rPr>
        <w:t xml:space="preserve"> but failed to be confirm</w:t>
      </w:r>
      <w:r w:rsidR="006A5BC3" w:rsidRPr="00420686">
        <w:rPr>
          <w:rFonts w:ascii="Book Antiqua" w:hAnsi="Book Antiqua" w:cs="Times New Roman"/>
          <w:sz w:val="24"/>
          <w:szCs w:val="24"/>
        </w:rPr>
        <w:t>ed in subsequent investigations</w:t>
      </w:r>
      <w:r w:rsidR="006A5BC3" w:rsidRPr="00420686">
        <w:rPr>
          <w:rFonts w:ascii="Book Antiqua" w:hAnsi="Book Antiqua" w:cs="Times New Roman"/>
          <w:noProof/>
          <w:sz w:val="24"/>
          <w:szCs w:val="24"/>
          <w:vertAlign w:val="superscript"/>
        </w:rPr>
        <w:t>[123,</w:t>
      </w:r>
      <w:r w:rsidRPr="00420686">
        <w:rPr>
          <w:rFonts w:ascii="Book Antiqua" w:hAnsi="Book Antiqua" w:cs="Times New Roman"/>
          <w:noProof/>
          <w:sz w:val="24"/>
          <w:szCs w:val="24"/>
          <w:vertAlign w:val="superscript"/>
        </w:rPr>
        <w:t>124]</w:t>
      </w:r>
      <w:r w:rsidRPr="00420686">
        <w:rPr>
          <w:rFonts w:ascii="Book Antiqua" w:hAnsi="Book Antiqua" w:cs="Times New Roman"/>
          <w:sz w:val="24"/>
          <w:szCs w:val="24"/>
        </w:rPr>
        <w:t xml:space="preserve">. </w:t>
      </w:r>
    </w:p>
    <w:p w:rsidR="008B389C" w:rsidRPr="00420686" w:rsidRDefault="008B389C" w:rsidP="00420686">
      <w:pPr>
        <w:spacing w:after="0" w:line="360" w:lineRule="auto"/>
        <w:jc w:val="both"/>
        <w:rPr>
          <w:rFonts w:ascii="Book Antiqua" w:hAnsi="Book Antiqua" w:cs="Times New Roman"/>
          <w:sz w:val="24"/>
          <w:szCs w:val="24"/>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 xml:space="preserve">BASIS FOR BARRIER-INITIATED INFLAMMATION </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The above pathways together may account for the skin barrier phenotype in AD, but the mechanisms linking epidermal disruption and concomitant allergic inflammation remain unclear.</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 xml:space="preserve">The </w:t>
      </w:r>
      <w:r w:rsidRPr="00420686">
        <w:rPr>
          <w:rFonts w:ascii="Book Antiqua" w:hAnsi="Book Antiqua" w:cs="Times New Roman"/>
          <w:i/>
          <w:sz w:val="24"/>
          <w:szCs w:val="24"/>
        </w:rPr>
        <w:t xml:space="preserve">maft </w:t>
      </w:r>
      <w:r w:rsidRPr="00420686">
        <w:rPr>
          <w:rFonts w:ascii="Book Antiqua" w:hAnsi="Book Antiqua" w:cs="Times New Roman"/>
          <w:sz w:val="24"/>
          <w:szCs w:val="24"/>
        </w:rPr>
        <w:t xml:space="preserve">and more recently generated </w:t>
      </w:r>
      <w:r w:rsidRPr="00420686">
        <w:rPr>
          <w:rFonts w:ascii="Book Antiqua" w:hAnsi="Book Antiqua" w:cs="Times New Roman"/>
          <w:i/>
          <w:sz w:val="24"/>
          <w:szCs w:val="24"/>
        </w:rPr>
        <w:t>Flg</w:t>
      </w:r>
      <w:r w:rsidRPr="00420686">
        <w:rPr>
          <w:rFonts w:ascii="Book Antiqua" w:hAnsi="Book Antiqua" w:cs="Times New Roman"/>
          <w:i/>
          <w:sz w:val="24"/>
          <w:szCs w:val="24"/>
          <w:vertAlign w:val="superscript"/>
        </w:rPr>
        <w:t xml:space="preserve">-/- </w:t>
      </w:r>
      <w:r w:rsidR="006A5BC3" w:rsidRPr="00420686">
        <w:rPr>
          <w:rFonts w:ascii="Book Antiqua" w:hAnsi="Book Antiqua" w:cs="Times New Roman"/>
          <w:sz w:val="24"/>
          <w:szCs w:val="24"/>
        </w:rPr>
        <w:t>mouse models</w:t>
      </w:r>
      <w:r w:rsidR="006A5BC3" w:rsidRPr="00420686">
        <w:rPr>
          <w:rFonts w:ascii="Book Antiqua" w:hAnsi="Book Antiqua" w:cs="Times New Roman"/>
          <w:noProof/>
          <w:sz w:val="24"/>
          <w:szCs w:val="24"/>
          <w:vertAlign w:val="superscript"/>
        </w:rPr>
        <w:t>[106,</w:t>
      </w:r>
      <w:r w:rsidRPr="00420686">
        <w:rPr>
          <w:rFonts w:ascii="Book Antiqua" w:hAnsi="Book Antiqua" w:cs="Times New Roman"/>
          <w:noProof/>
          <w:sz w:val="24"/>
          <w:szCs w:val="24"/>
          <w:vertAlign w:val="superscript"/>
        </w:rPr>
        <w:t>125]</w:t>
      </w:r>
      <w:r w:rsidRPr="00420686">
        <w:rPr>
          <w:rFonts w:ascii="Book Antiqua" w:hAnsi="Book Antiqua" w:cs="Times New Roman"/>
          <w:sz w:val="24"/>
          <w:szCs w:val="24"/>
        </w:rPr>
        <w:t xml:space="preserve"> serve as useful systems in which to study the aetiology of the immune response in the context of inherited barrier impairment. Although showing differences in disease phenotype, both mice exhibit increased percutaneous allergen penetration and a reduced inflammatory threshold to skin irritants and allergens</w:t>
      </w:r>
      <w:r w:rsidR="00F1178C" w:rsidRPr="00420686">
        <w:rPr>
          <w:rFonts w:ascii="Book Antiqua" w:hAnsi="Book Antiqua" w:cs="Times New Roman"/>
          <w:noProof/>
          <w:sz w:val="24"/>
          <w:szCs w:val="24"/>
          <w:vertAlign w:val="superscript"/>
        </w:rPr>
        <w:t>[106,</w:t>
      </w:r>
      <w:r w:rsidRPr="00420686">
        <w:rPr>
          <w:rFonts w:ascii="Book Antiqua" w:hAnsi="Book Antiqua" w:cs="Times New Roman"/>
          <w:noProof/>
          <w:sz w:val="24"/>
          <w:szCs w:val="24"/>
          <w:vertAlign w:val="superscript"/>
        </w:rPr>
        <w:t>126]</w:t>
      </w:r>
      <w:r w:rsidR="006A5BC3" w:rsidRPr="00420686">
        <w:rPr>
          <w:rFonts w:ascii="Book Antiqua" w:hAnsi="Book Antiqua" w:cs="Times New Roman"/>
          <w:sz w:val="24"/>
          <w:szCs w:val="24"/>
        </w:rPr>
        <w:t>.</w:t>
      </w:r>
      <w:r w:rsidRPr="00420686">
        <w:rPr>
          <w:rFonts w:ascii="Book Antiqua" w:hAnsi="Book Antiqua" w:cs="Times New Roman"/>
          <w:sz w:val="24"/>
          <w:szCs w:val="24"/>
        </w:rPr>
        <w:t xml:space="preserve"> Based on these observations, it is widely postulated that inflammation in AD is a secondary reaction to increased entry of allergens and irritants through the compromised skin barrier. Whilst this is yet to be confirmed in human subjects, it is worth noting that AD patients with </w:t>
      </w:r>
      <w:r w:rsidRPr="00420686">
        <w:rPr>
          <w:rFonts w:ascii="Book Antiqua" w:hAnsi="Book Antiqua" w:cs="Times New Roman"/>
          <w:i/>
          <w:sz w:val="24"/>
          <w:szCs w:val="24"/>
        </w:rPr>
        <w:t>FLG</w:t>
      </w:r>
      <w:r w:rsidRPr="00420686">
        <w:rPr>
          <w:rFonts w:ascii="Book Antiqua" w:hAnsi="Book Antiqua" w:cs="Times New Roman"/>
          <w:sz w:val="24"/>
          <w:szCs w:val="24"/>
        </w:rPr>
        <w:t xml:space="preserve"> null mutations have a significantly increased</w:t>
      </w:r>
      <w:r w:rsidR="006A5BC3" w:rsidRPr="00420686">
        <w:rPr>
          <w:rFonts w:ascii="Book Antiqua" w:hAnsi="Book Antiqua" w:cs="Times New Roman"/>
          <w:sz w:val="24"/>
          <w:szCs w:val="24"/>
        </w:rPr>
        <w:t xml:space="preserve"> risk of allergic sensitization</w:t>
      </w:r>
      <w:r w:rsidRPr="00420686">
        <w:rPr>
          <w:rFonts w:ascii="Book Antiqua" w:hAnsi="Book Antiqua" w:cs="Times New Roman"/>
          <w:noProof/>
          <w:sz w:val="24"/>
          <w:szCs w:val="24"/>
          <w:vertAlign w:val="superscript"/>
        </w:rPr>
        <w:t>[60]</w:t>
      </w:r>
      <w:r w:rsidRPr="00420686">
        <w:rPr>
          <w:rFonts w:ascii="Book Antiqua" w:hAnsi="Book Antiqua" w:cs="Times New Roman"/>
          <w:sz w:val="24"/>
          <w:szCs w:val="24"/>
        </w:rPr>
        <w:t xml:space="preserve"> </w:t>
      </w:r>
      <w:r w:rsidR="006A5BC3" w:rsidRPr="00420686">
        <w:rPr>
          <w:rFonts w:ascii="Book Antiqua" w:hAnsi="Book Antiqua" w:cs="Times New Roman"/>
          <w:sz w:val="24"/>
          <w:szCs w:val="24"/>
        </w:rPr>
        <w:t>and irritant contact dermatitis</w:t>
      </w:r>
      <w:r w:rsidRPr="00420686">
        <w:rPr>
          <w:rFonts w:ascii="Book Antiqua" w:hAnsi="Book Antiqua" w:cs="Times New Roman"/>
          <w:noProof/>
          <w:sz w:val="24"/>
          <w:szCs w:val="24"/>
          <w:vertAlign w:val="superscript"/>
        </w:rPr>
        <w:t>[127]</w:t>
      </w:r>
      <w:r w:rsidRPr="00420686">
        <w:rPr>
          <w:rFonts w:ascii="Book Antiqua" w:hAnsi="Book Antiqua" w:cs="Times New Roman"/>
          <w:sz w:val="24"/>
          <w:szCs w:val="24"/>
        </w:rPr>
        <w:t>, and display elevated numbers of allergen-specific CD4</w:t>
      </w:r>
      <w:r w:rsidRPr="00420686">
        <w:rPr>
          <w:rFonts w:ascii="Book Antiqua" w:hAnsi="Book Antiqua" w:cs="Times New Roman"/>
          <w:sz w:val="24"/>
          <w:szCs w:val="24"/>
          <w:vertAlign w:val="superscript"/>
        </w:rPr>
        <w:t>+</w:t>
      </w:r>
      <w:r w:rsidRPr="00420686">
        <w:rPr>
          <w:rFonts w:ascii="Book Antiqua" w:hAnsi="Book Antiqua" w:cs="Times New Roman"/>
          <w:sz w:val="24"/>
          <w:szCs w:val="24"/>
        </w:rPr>
        <w:t xml:space="preserve"> T cells compared with wild-type</w:t>
      </w:r>
      <w:r w:rsidRPr="00420686">
        <w:rPr>
          <w:rFonts w:ascii="Book Antiqua" w:hAnsi="Book Antiqua" w:cs="Times New Roman"/>
          <w:i/>
          <w:sz w:val="24"/>
          <w:szCs w:val="24"/>
        </w:rPr>
        <w:t xml:space="preserve"> FLG</w:t>
      </w:r>
      <w:r w:rsidR="006A5BC3" w:rsidRPr="00420686">
        <w:rPr>
          <w:rFonts w:ascii="Book Antiqua" w:hAnsi="Book Antiqua" w:cs="Times New Roman"/>
          <w:sz w:val="24"/>
          <w:szCs w:val="24"/>
        </w:rPr>
        <w:t xml:space="preserve"> patients</w:t>
      </w:r>
      <w:r w:rsidRPr="00420686">
        <w:rPr>
          <w:rFonts w:ascii="Book Antiqua" w:hAnsi="Book Antiqua" w:cs="Times New Roman"/>
          <w:noProof/>
          <w:sz w:val="24"/>
          <w:szCs w:val="24"/>
          <w:vertAlign w:val="superscript"/>
        </w:rPr>
        <w:t>[128]</w:t>
      </w:r>
      <w:r w:rsidRPr="00420686">
        <w:rPr>
          <w:rFonts w:ascii="Book Antiqua" w:hAnsi="Book Antiqua" w:cs="Times New Roman"/>
          <w:sz w:val="24"/>
          <w:szCs w:val="24"/>
        </w:rPr>
        <w:t xml:space="preserve">. Furthermore, it seems likely that in addition to the inflammatory response to penetrating antigens, barrier impairment itself may intrinsically promote downstream inflammation. For instance, elevated SP activity (induced in AD along the pathways described above) not only promotes epidermal barrier breakdown but leads to increased release of </w:t>
      </w:r>
      <w:r w:rsidR="006A5BC3" w:rsidRPr="00420686">
        <w:rPr>
          <w:rFonts w:ascii="Book Antiqua" w:hAnsi="Book Antiqua" w:cs="Times New Roman"/>
          <w:sz w:val="24"/>
          <w:szCs w:val="24"/>
        </w:rPr>
        <w:t>active IL-1</w:t>
      </w:r>
      <w:r w:rsidR="006A5BC3" w:rsidRPr="00420686">
        <w:rPr>
          <w:rFonts w:ascii="Book Antiqua" w:hAnsi="Book Antiqua" w:cs="Times New Roman"/>
          <w:i/>
          <w:sz w:val="24"/>
          <w:szCs w:val="24"/>
          <w:lang w:eastAsia="zh-CN"/>
        </w:rPr>
        <w:t xml:space="preserve">α </w:t>
      </w:r>
      <w:r w:rsidR="006A5BC3" w:rsidRPr="00420686">
        <w:rPr>
          <w:rFonts w:ascii="Book Antiqua" w:hAnsi="Book Antiqua" w:cs="Times New Roman"/>
          <w:sz w:val="24"/>
          <w:szCs w:val="24"/>
        </w:rPr>
        <w:t>and IL-1 beta</w:t>
      </w:r>
      <w:r w:rsidRPr="00420686">
        <w:rPr>
          <w:rFonts w:ascii="Book Antiqua" w:hAnsi="Book Antiqua" w:cs="Times New Roman"/>
          <w:noProof/>
          <w:sz w:val="24"/>
          <w:szCs w:val="24"/>
          <w:vertAlign w:val="superscript"/>
        </w:rPr>
        <w:t>[129, 130]</w:t>
      </w:r>
      <w:r w:rsidRPr="00420686">
        <w:rPr>
          <w:rFonts w:ascii="Book Antiqua" w:hAnsi="Book Antiqua" w:cs="Times New Roman"/>
          <w:sz w:val="24"/>
          <w:szCs w:val="24"/>
        </w:rPr>
        <w:t xml:space="preserve"> from the corneocyte cytoplasm, thereby initiating inflammation. Furthermore, SP hyperactivity may stimulate inflammation indirectly by accelerating the degradation of transition desmosomes, leading to secretion of IL-1 beta, IL-8 and TNF</w:t>
      </w:r>
      <w:r w:rsidR="006A5BC3" w:rsidRPr="00420686">
        <w:rPr>
          <w:rFonts w:ascii="Book Antiqua" w:hAnsi="Book Antiqua" w:cs="Times New Roman"/>
          <w:sz w:val="24"/>
          <w:szCs w:val="24"/>
          <w:lang w:eastAsia="zh-CN"/>
        </w:rPr>
        <w:t>-</w:t>
      </w:r>
      <w:r w:rsidR="006A5BC3" w:rsidRPr="00420686">
        <w:rPr>
          <w:rFonts w:ascii="Book Antiqua" w:hAnsi="Book Antiqua" w:cs="Times New Roman"/>
          <w:i/>
          <w:sz w:val="24"/>
          <w:szCs w:val="24"/>
          <w:lang w:eastAsia="zh-CN"/>
        </w:rPr>
        <w:t xml:space="preserve">α </w:t>
      </w:r>
      <w:r w:rsidRPr="00420686">
        <w:rPr>
          <w:rFonts w:ascii="Book Antiqua" w:hAnsi="Book Antiqua" w:cs="Times New Roman"/>
          <w:sz w:val="24"/>
          <w:szCs w:val="24"/>
        </w:rPr>
        <w:t xml:space="preserve">from mechanically stressed keratinocytes </w:t>
      </w:r>
      <w:r w:rsidRPr="00420686">
        <w:rPr>
          <w:rFonts w:ascii="Book Antiqua" w:hAnsi="Book Antiqua" w:cs="Times New Roman"/>
          <w:noProof/>
          <w:sz w:val="24"/>
          <w:szCs w:val="24"/>
          <w:vertAlign w:val="superscript"/>
        </w:rPr>
        <w:t>[131]</w:t>
      </w:r>
      <w:r w:rsidRPr="00420686">
        <w:rPr>
          <w:rFonts w:ascii="Book Antiqua" w:hAnsi="Book Antiqua" w:cs="Times New Roman"/>
          <w:sz w:val="24"/>
          <w:szCs w:val="24"/>
        </w:rPr>
        <w:t>. Finally, accumulated data indicate that fol</w:t>
      </w:r>
      <w:r w:rsidR="00F1178C" w:rsidRPr="00420686">
        <w:rPr>
          <w:rFonts w:ascii="Book Antiqua" w:hAnsi="Book Antiqua" w:cs="Times New Roman"/>
          <w:sz w:val="24"/>
          <w:szCs w:val="24"/>
        </w:rPr>
        <w:t>lowing activation by SPs, PAR-2</w:t>
      </w:r>
      <w:r w:rsidRPr="00420686">
        <w:rPr>
          <w:rFonts w:ascii="Book Antiqua" w:hAnsi="Book Antiqua" w:cs="Times New Roman"/>
          <w:noProof/>
          <w:sz w:val="24"/>
          <w:szCs w:val="24"/>
          <w:vertAlign w:val="superscript"/>
        </w:rPr>
        <w:t>[131]</w:t>
      </w:r>
      <w:r w:rsidRPr="00420686">
        <w:rPr>
          <w:rFonts w:ascii="Book Antiqua" w:hAnsi="Book Antiqua" w:cs="Times New Roman"/>
          <w:sz w:val="24"/>
          <w:szCs w:val="24"/>
        </w:rPr>
        <w:t>, together with pro-inflammatory cytokines, induces NF-kappa B-mediated over-expression of the pro-Th2 cytokine, thym</w:t>
      </w:r>
      <w:r w:rsidR="00F1178C" w:rsidRPr="00420686">
        <w:rPr>
          <w:rFonts w:ascii="Book Antiqua" w:hAnsi="Book Antiqua" w:cs="Times New Roman"/>
          <w:sz w:val="24"/>
          <w:szCs w:val="24"/>
        </w:rPr>
        <w:t>ic stromal lymphopoietin (TSLP)</w:t>
      </w:r>
      <w:r w:rsidRPr="00420686">
        <w:rPr>
          <w:rFonts w:ascii="Book Antiqua" w:hAnsi="Book Antiqua" w:cs="Times New Roman"/>
          <w:noProof/>
          <w:sz w:val="24"/>
          <w:szCs w:val="24"/>
          <w:vertAlign w:val="superscript"/>
        </w:rPr>
        <w:t>[132]</w:t>
      </w:r>
      <w:r w:rsidR="00F1178C" w:rsidRPr="00420686">
        <w:rPr>
          <w:rFonts w:ascii="Book Antiqua" w:hAnsi="Book Antiqua" w:cs="Times New Roman"/>
          <w:sz w:val="24"/>
          <w:szCs w:val="24"/>
        </w:rPr>
        <w:t>, and IL-6</w:t>
      </w:r>
      <w:r w:rsidRPr="00420686">
        <w:rPr>
          <w:rFonts w:ascii="Book Antiqua" w:hAnsi="Book Antiqua" w:cs="Times New Roman"/>
          <w:noProof/>
          <w:sz w:val="24"/>
          <w:szCs w:val="24"/>
          <w:vertAlign w:val="superscript"/>
        </w:rPr>
        <w:t>[133]</w:t>
      </w:r>
      <w:r w:rsidRPr="00420686">
        <w:rPr>
          <w:rFonts w:ascii="Book Antiqua" w:hAnsi="Book Antiqua" w:cs="Times New Roman"/>
          <w:sz w:val="24"/>
          <w:szCs w:val="24"/>
        </w:rPr>
        <w:t xml:space="preserve">. Evidence in support of the latter pathway has been observed in studies of </w:t>
      </w:r>
      <w:r w:rsidRPr="00420686">
        <w:rPr>
          <w:rFonts w:ascii="Book Antiqua" w:hAnsi="Book Antiqua" w:cs="Times New Roman"/>
          <w:i/>
          <w:sz w:val="24"/>
          <w:szCs w:val="24"/>
        </w:rPr>
        <w:t xml:space="preserve">maft </w:t>
      </w:r>
      <w:r w:rsidRPr="00420686">
        <w:rPr>
          <w:rFonts w:ascii="Book Antiqua" w:hAnsi="Book Antiqua" w:cs="Times New Roman"/>
          <w:sz w:val="24"/>
          <w:szCs w:val="24"/>
        </w:rPr>
        <w:t xml:space="preserve">mice and </w:t>
      </w:r>
      <w:r w:rsidRPr="00420686">
        <w:rPr>
          <w:rFonts w:ascii="Book Antiqua" w:hAnsi="Book Antiqua" w:cs="Times New Roman"/>
          <w:i/>
          <w:sz w:val="24"/>
          <w:szCs w:val="24"/>
        </w:rPr>
        <w:t>FLG</w:t>
      </w:r>
      <w:r w:rsidRPr="00420686">
        <w:rPr>
          <w:rFonts w:ascii="Book Antiqua" w:hAnsi="Book Antiqua" w:cs="Times New Roman"/>
          <w:sz w:val="24"/>
          <w:szCs w:val="24"/>
        </w:rPr>
        <w:t xml:space="preserve"> knock-down keratinocytes </w:t>
      </w:r>
      <w:r w:rsidRPr="00420686">
        <w:rPr>
          <w:rFonts w:ascii="Book Antiqua" w:hAnsi="Book Antiqua" w:cs="Times New Roman"/>
          <w:i/>
          <w:sz w:val="24"/>
          <w:szCs w:val="24"/>
        </w:rPr>
        <w:t>in vitro</w:t>
      </w:r>
      <w:r w:rsidRPr="00420686">
        <w:rPr>
          <w:rFonts w:ascii="Book Antiqua" w:hAnsi="Book Antiqua" w:cs="Times New Roman"/>
          <w:noProof/>
          <w:sz w:val="24"/>
          <w:szCs w:val="24"/>
          <w:vertAlign w:val="superscript"/>
        </w:rPr>
        <w:t>[134]</w:t>
      </w:r>
      <w:r w:rsidRPr="00420686">
        <w:rPr>
          <w:rFonts w:ascii="Book Antiqua" w:hAnsi="Book Antiqua" w:cs="Times New Roman"/>
          <w:sz w:val="24"/>
          <w:szCs w:val="24"/>
        </w:rPr>
        <w:t xml:space="preserve">, suggesting that this immunologic cascade may operate downstream of a primary filaggrin deficiency.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Whilst these data are compelling, the same pathogenic mechanisms have yet to be demonstrated in human AD.</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 xml:space="preserve">Nonetheless, the strength and number of independent associations between </w:t>
      </w:r>
      <w:r w:rsidRPr="00420686">
        <w:rPr>
          <w:rFonts w:ascii="Book Antiqua" w:hAnsi="Book Antiqua" w:cs="Times New Roman"/>
          <w:i/>
          <w:sz w:val="24"/>
          <w:szCs w:val="24"/>
        </w:rPr>
        <w:t xml:space="preserve">FLG </w:t>
      </w:r>
      <w:r w:rsidRPr="00420686">
        <w:rPr>
          <w:rFonts w:ascii="Book Antiqua" w:hAnsi="Book Antiqua" w:cs="Times New Roman"/>
          <w:sz w:val="24"/>
          <w:szCs w:val="24"/>
        </w:rPr>
        <w:t>and atopic disorders greatly surpass those of any other gen</w:t>
      </w:r>
      <w:r w:rsidR="00F1178C" w:rsidRPr="00420686">
        <w:rPr>
          <w:rFonts w:ascii="Book Antiqua" w:hAnsi="Book Antiqua" w:cs="Times New Roman"/>
          <w:sz w:val="24"/>
          <w:szCs w:val="24"/>
        </w:rPr>
        <w:t>e expressed in the skin to date</w:t>
      </w:r>
      <w:r w:rsidRPr="00420686">
        <w:rPr>
          <w:rFonts w:ascii="Book Antiqua" w:hAnsi="Book Antiqua" w:cs="Times New Roman"/>
          <w:noProof/>
          <w:sz w:val="24"/>
          <w:szCs w:val="24"/>
          <w:vertAlign w:val="superscript"/>
        </w:rPr>
        <w:t>[123]</w:t>
      </w:r>
      <w:r w:rsidRPr="00420686">
        <w:rPr>
          <w:rFonts w:ascii="Book Antiqua" w:hAnsi="Book Antiqua" w:cs="Times New Roman"/>
          <w:sz w:val="24"/>
          <w:szCs w:val="24"/>
        </w:rPr>
        <w:t>. As such, filaggrin deficiency is widely regarded as a primary abnormality lea</w:t>
      </w:r>
      <w:r w:rsidR="00F1178C" w:rsidRPr="00420686">
        <w:rPr>
          <w:rFonts w:ascii="Book Antiqua" w:hAnsi="Book Antiqua" w:cs="Times New Roman"/>
          <w:sz w:val="24"/>
          <w:szCs w:val="24"/>
        </w:rPr>
        <w:t>ding to skin inflammation in AD</w:t>
      </w:r>
      <w:r w:rsidRPr="00420686">
        <w:rPr>
          <w:rFonts w:ascii="Book Antiqua" w:hAnsi="Book Antiqua" w:cs="Times New Roman"/>
          <w:noProof/>
          <w:sz w:val="24"/>
          <w:szCs w:val="24"/>
          <w:vertAlign w:val="superscript"/>
        </w:rPr>
        <w:t>[135-138]</w:t>
      </w:r>
      <w:r w:rsidRPr="00420686">
        <w:rPr>
          <w:rFonts w:ascii="Book Antiqua" w:hAnsi="Book Antiqua" w:cs="Times New Roman"/>
          <w:sz w:val="24"/>
          <w:szCs w:val="24"/>
        </w:rPr>
        <w:t>. Leading on from this, a putative pathogenic pathway has been described in which the reduction in filaggrin acts as a central stimulus for increased SP activity, which in turn tri</w:t>
      </w:r>
      <w:r w:rsidR="00F1178C" w:rsidRPr="00420686">
        <w:rPr>
          <w:rFonts w:ascii="Book Antiqua" w:hAnsi="Book Antiqua" w:cs="Times New Roman"/>
          <w:sz w:val="24"/>
          <w:szCs w:val="24"/>
        </w:rPr>
        <w:t>ggers the inflammatory response</w:t>
      </w:r>
      <w:r w:rsidRPr="00420686">
        <w:rPr>
          <w:rFonts w:ascii="Book Antiqua" w:hAnsi="Book Antiqua" w:cs="Times New Roman"/>
          <w:noProof/>
          <w:sz w:val="24"/>
          <w:szCs w:val="24"/>
          <w:vertAlign w:val="superscript"/>
        </w:rPr>
        <w:t>[139]</w:t>
      </w:r>
      <w:r w:rsidRPr="00420686">
        <w:rPr>
          <w:rFonts w:ascii="Book Antiqua" w:hAnsi="Book Antiqua" w:cs="Times New Roman"/>
          <w:sz w:val="24"/>
          <w:szCs w:val="24"/>
        </w:rPr>
        <w:t>.</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 xml:space="preserve">AD patients with </w:t>
      </w:r>
      <w:r w:rsidRPr="00420686">
        <w:rPr>
          <w:rFonts w:ascii="Book Antiqua" w:hAnsi="Book Antiqua" w:cs="Times New Roman"/>
          <w:i/>
          <w:sz w:val="24"/>
          <w:szCs w:val="24"/>
        </w:rPr>
        <w:t xml:space="preserve">FLG </w:t>
      </w:r>
      <w:r w:rsidRPr="00420686">
        <w:rPr>
          <w:rFonts w:ascii="Book Antiqua" w:hAnsi="Book Antiqua" w:cs="Times New Roman"/>
          <w:sz w:val="24"/>
          <w:szCs w:val="24"/>
        </w:rPr>
        <w:t>null mutations exhibit increased skin levels of IL-1 cytokines, in a manner invers</w:t>
      </w:r>
      <w:r w:rsidR="00F1178C" w:rsidRPr="00420686">
        <w:rPr>
          <w:rFonts w:ascii="Book Antiqua" w:hAnsi="Book Antiqua" w:cs="Times New Roman"/>
          <w:sz w:val="24"/>
          <w:szCs w:val="24"/>
        </w:rPr>
        <w:t>ely correlating with NMF levels</w:t>
      </w:r>
      <w:r w:rsidRPr="00420686">
        <w:rPr>
          <w:rFonts w:ascii="Book Antiqua" w:hAnsi="Book Antiqua" w:cs="Times New Roman"/>
          <w:noProof/>
          <w:sz w:val="24"/>
          <w:szCs w:val="24"/>
          <w:vertAlign w:val="superscript"/>
        </w:rPr>
        <w:t>[87]</w:t>
      </w:r>
      <w:r w:rsidRPr="00420686">
        <w:rPr>
          <w:rFonts w:ascii="Book Antiqua" w:hAnsi="Book Antiqua" w:cs="Times New Roman"/>
          <w:sz w:val="24"/>
          <w:szCs w:val="24"/>
        </w:rPr>
        <w:t xml:space="preserve">. This observation has been attributed to pH-induced stimulation of SPs, which can promote inflammation by the mechanisms described </w:t>
      </w:r>
      <w:r w:rsidR="00F1178C" w:rsidRPr="00420686">
        <w:rPr>
          <w:rFonts w:ascii="Book Antiqua" w:hAnsi="Book Antiqua" w:cs="Times New Roman"/>
          <w:sz w:val="24"/>
          <w:szCs w:val="24"/>
        </w:rPr>
        <w:t>above</w:t>
      </w:r>
      <w:r w:rsidRPr="00420686">
        <w:rPr>
          <w:rFonts w:ascii="Book Antiqua" w:hAnsi="Book Antiqua" w:cs="Times New Roman"/>
          <w:noProof/>
          <w:sz w:val="24"/>
          <w:szCs w:val="24"/>
          <w:vertAlign w:val="superscript"/>
        </w:rPr>
        <w:t>[139]</w:t>
      </w:r>
      <w:r w:rsidRPr="00420686">
        <w:rPr>
          <w:rFonts w:ascii="Book Antiqua" w:hAnsi="Book Antiqua" w:cs="Times New Roman"/>
          <w:sz w:val="24"/>
          <w:szCs w:val="24"/>
        </w:rPr>
        <w:t>. However, no correlation between SC pH and levels of either IL-1</w:t>
      </w:r>
      <w:r w:rsidR="006A5BC3" w:rsidRPr="00420686">
        <w:rPr>
          <w:rFonts w:ascii="Book Antiqua" w:hAnsi="Book Antiqua" w:cs="Times New Roman"/>
          <w:i/>
          <w:sz w:val="24"/>
          <w:szCs w:val="24"/>
          <w:lang w:eastAsia="zh-CN"/>
        </w:rPr>
        <w:t xml:space="preserve">α </w:t>
      </w:r>
      <w:r w:rsidRPr="00420686">
        <w:rPr>
          <w:rFonts w:ascii="Book Antiqua" w:hAnsi="Book Antiqua" w:cs="Times New Roman"/>
          <w:sz w:val="24"/>
          <w:szCs w:val="24"/>
        </w:rPr>
        <w:t xml:space="preserve">or IL-1 beta could be demonstrated in the same study, and recent findings have indicated that </w:t>
      </w:r>
      <w:r w:rsidRPr="00420686">
        <w:rPr>
          <w:rFonts w:ascii="Book Antiqua" w:hAnsi="Book Antiqua" w:cs="Times New Roman"/>
          <w:i/>
          <w:sz w:val="24"/>
          <w:szCs w:val="24"/>
        </w:rPr>
        <w:t xml:space="preserve">FLG </w:t>
      </w:r>
      <w:r w:rsidRPr="00420686">
        <w:rPr>
          <w:rFonts w:ascii="Book Antiqua" w:hAnsi="Book Antiqua" w:cs="Times New Roman"/>
          <w:sz w:val="24"/>
          <w:szCs w:val="24"/>
        </w:rPr>
        <w:t>status is not an</w:t>
      </w:r>
      <w:r w:rsidR="00F1178C" w:rsidRPr="00420686">
        <w:rPr>
          <w:rFonts w:ascii="Book Antiqua" w:hAnsi="Book Antiqua" w:cs="Times New Roman"/>
          <w:sz w:val="24"/>
          <w:szCs w:val="24"/>
        </w:rPr>
        <w:t xml:space="preserve"> essential determinant of SC pH</w:t>
      </w:r>
      <w:r w:rsidR="00F1178C" w:rsidRPr="00420686">
        <w:rPr>
          <w:rFonts w:ascii="Book Antiqua" w:hAnsi="Book Antiqua" w:cs="Times New Roman"/>
          <w:noProof/>
          <w:sz w:val="24"/>
          <w:szCs w:val="24"/>
          <w:vertAlign w:val="superscript"/>
        </w:rPr>
        <w:t>[79,93,</w:t>
      </w:r>
      <w:r w:rsidRPr="00420686">
        <w:rPr>
          <w:rFonts w:ascii="Book Antiqua" w:hAnsi="Book Antiqua" w:cs="Times New Roman"/>
          <w:noProof/>
          <w:sz w:val="24"/>
          <w:szCs w:val="24"/>
          <w:vertAlign w:val="superscript"/>
        </w:rPr>
        <w:t>106]</w:t>
      </w:r>
      <w:r w:rsidRPr="00420686">
        <w:rPr>
          <w:rFonts w:ascii="Book Antiqua" w:hAnsi="Book Antiqua" w:cs="Times New Roman"/>
          <w:sz w:val="24"/>
          <w:szCs w:val="24"/>
        </w:rPr>
        <w:t xml:space="preserve">. Thus whilst these data do not rule out a role for skin pH changes in initiation of inflammation in </w:t>
      </w:r>
      <w:r w:rsidRPr="00420686">
        <w:rPr>
          <w:rFonts w:ascii="Book Antiqua" w:hAnsi="Book Antiqua" w:cs="Times New Roman"/>
          <w:i/>
          <w:sz w:val="24"/>
          <w:szCs w:val="24"/>
        </w:rPr>
        <w:t>FLG-</w:t>
      </w:r>
      <w:r w:rsidRPr="00420686">
        <w:rPr>
          <w:rFonts w:ascii="Book Antiqua" w:hAnsi="Book Antiqua" w:cs="Times New Roman"/>
          <w:sz w:val="24"/>
          <w:szCs w:val="24"/>
        </w:rPr>
        <w:t xml:space="preserve">related AD, it is likely that protease activity and consequently IL-1 levels are modulated by additional factors. For instance, Kezic </w:t>
      </w:r>
      <w:r w:rsidRPr="00420686">
        <w:rPr>
          <w:rFonts w:ascii="Book Antiqua" w:hAnsi="Book Antiqua" w:cs="Times New Roman"/>
          <w:i/>
          <w:sz w:val="24"/>
          <w:szCs w:val="24"/>
        </w:rPr>
        <w:t>et al</w:t>
      </w:r>
      <w:r w:rsidR="00955B11" w:rsidRPr="00420686">
        <w:rPr>
          <w:rFonts w:ascii="Book Antiqua" w:hAnsi="Book Antiqua" w:cs="Times New Roman"/>
          <w:noProof/>
          <w:sz w:val="24"/>
          <w:szCs w:val="24"/>
          <w:vertAlign w:val="superscript"/>
        </w:rPr>
        <w:t>[87]</w:t>
      </w:r>
      <w:r w:rsidRPr="00420686">
        <w:rPr>
          <w:rFonts w:ascii="Book Antiqua" w:hAnsi="Book Antiqua" w:cs="Times New Roman"/>
          <w:i/>
          <w:sz w:val="24"/>
          <w:szCs w:val="24"/>
        </w:rPr>
        <w:t xml:space="preserve"> </w:t>
      </w:r>
      <w:r w:rsidRPr="00420686">
        <w:rPr>
          <w:rFonts w:ascii="Book Antiqua" w:hAnsi="Book Antiqua" w:cs="Times New Roman"/>
          <w:sz w:val="24"/>
          <w:szCs w:val="24"/>
        </w:rPr>
        <w:t>have proposed that increased SC calcium concentration (resulting from reduced SC hydration) may favour the acti</w:t>
      </w:r>
      <w:r w:rsidR="00F1178C" w:rsidRPr="00420686">
        <w:rPr>
          <w:rFonts w:ascii="Book Antiqua" w:hAnsi="Book Antiqua" w:cs="Times New Roman"/>
          <w:sz w:val="24"/>
          <w:szCs w:val="24"/>
        </w:rPr>
        <w:t>vation of calcium-dependent SPs</w:t>
      </w:r>
      <w:r w:rsidRPr="00420686">
        <w:rPr>
          <w:rFonts w:ascii="Book Antiqua" w:hAnsi="Book Antiqua" w:cs="Times New Roman"/>
          <w:sz w:val="24"/>
          <w:szCs w:val="24"/>
        </w:rPr>
        <w:t>, but based on our current knowledge, this pathophysiological pathway remains entirely speculative.</w:t>
      </w:r>
    </w:p>
    <w:p w:rsidR="008B389C" w:rsidRPr="00420686" w:rsidRDefault="008B389C" w:rsidP="00420686">
      <w:pPr>
        <w:spacing w:after="0" w:line="360" w:lineRule="auto"/>
        <w:jc w:val="both"/>
        <w:rPr>
          <w:rFonts w:ascii="Book Antiqua" w:hAnsi="Book Antiqua" w:cs="Times New Roman"/>
          <w:b/>
          <w:sz w:val="24"/>
          <w:szCs w:val="24"/>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INSIDE-OUTSIDE PATHOGENIC MECHANISMS</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 xml:space="preserve">Despite the undisputed involvement of </w:t>
      </w:r>
      <w:r w:rsidRPr="00420686">
        <w:rPr>
          <w:rFonts w:ascii="Book Antiqua" w:hAnsi="Book Antiqua" w:cs="Times New Roman"/>
          <w:i/>
          <w:sz w:val="24"/>
          <w:szCs w:val="24"/>
        </w:rPr>
        <w:t>FLG</w:t>
      </w:r>
      <w:r w:rsidRPr="00420686">
        <w:rPr>
          <w:rFonts w:ascii="Book Antiqua" w:hAnsi="Book Antiqua" w:cs="Times New Roman"/>
          <w:sz w:val="24"/>
          <w:szCs w:val="24"/>
        </w:rPr>
        <w:t xml:space="preserve"> null variants in the atopic march, it is important to note that filaggrin deficiency is observed in AD patients even in the absence of known </w:t>
      </w:r>
      <w:r w:rsidRPr="00420686">
        <w:rPr>
          <w:rFonts w:ascii="Book Antiqua" w:hAnsi="Book Antiqua" w:cs="Times New Roman"/>
          <w:i/>
          <w:sz w:val="24"/>
          <w:szCs w:val="24"/>
        </w:rPr>
        <w:t>FLG</w:t>
      </w:r>
      <w:r w:rsidRPr="00420686">
        <w:rPr>
          <w:rFonts w:ascii="Book Antiqua" w:hAnsi="Book Antiqua" w:cs="Times New Roman"/>
          <w:sz w:val="24"/>
          <w:szCs w:val="24"/>
        </w:rPr>
        <w:t xml:space="preserve"> mutations </w:t>
      </w:r>
      <w:r w:rsidRPr="00420686">
        <w:rPr>
          <w:rFonts w:ascii="Book Antiqua" w:hAnsi="Book Antiqua" w:cs="Times New Roman"/>
          <w:noProof/>
          <w:sz w:val="24"/>
          <w:szCs w:val="24"/>
          <w:vertAlign w:val="superscript"/>
        </w:rPr>
        <w:t>[96]</w:t>
      </w:r>
      <w:r w:rsidRPr="00420686">
        <w:rPr>
          <w:rFonts w:ascii="Book Antiqua" w:hAnsi="Book Antiqua" w:cs="Times New Roman"/>
          <w:sz w:val="24"/>
          <w:szCs w:val="24"/>
        </w:rPr>
        <w:t>. Whilst this may be explained in part by other forms of genetic regulation, it is apparent that a number of additional factors can reduce expression of functional filaggrin, resulting in barrier disruption. In particular, accumulating evidence points to components of the acquired immune response as key players in endogenous barrier impairment, prompting the proposition of a self-sustaining “outside-inside</w:t>
      </w:r>
      <w:r w:rsidR="00F1178C" w:rsidRPr="00420686">
        <w:rPr>
          <w:rFonts w:ascii="Book Antiqua" w:hAnsi="Book Antiqua" w:cs="Times New Roman"/>
          <w:sz w:val="24"/>
          <w:szCs w:val="24"/>
        </w:rPr>
        <w:t>-outside” pathogenic loop in AD</w:t>
      </w:r>
      <w:r w:rsidRPr="00420686">
        <w:rPr>
          <w:rFonts w:ascii="Book Antiqua" w:hAnsi="Book Antiqua" w:cs="Times New Roman"/>
          <w:noProof/>
          <w:sz w:val="24"/>
          <w:szCs w:val="24"/>
          <w:vertAlign w:val="superscript"/>
        </w:rPr>
        <w:t>[139]</w:t>
      </w:r>
      <w:r w:rsidRPr="00420686">
        <w:rPr>
          <w:rFonts w:ascii="Book Antiqua" w:hAnsi="Book Antiqua" w:cs="Times New Roman"/>
          <w:sz w:val="24"/>
          <w:szCs w:val="24"/>
        </w:rPr>
        <w:t>.</w:t>
      </w:r>
    </w:p>
    <w:p w:rsidR="008B389C" w:rsidRPr="00420686" w:rsidRDefault="008B389C" w:rsidP="00420686">
      <w:pPr>
        <w:spacing w:after="0" w:line="360" w:lineRule="auto"/>
        <w:ind w:firstLineChars="100" w:firstLine="240"/>
        <w:jc w:val="both"/>
        <w:rPr>
          <w:rFonts w:ascii="Book Antiqua" w:hAnsi="Book Antiqua" w:cs="Times New Roman"/>
          <w:sz w:val="24"/>
          <w:szCs w:val="24"/>
          <w:lang w:eastAsia="zh-CN"/>
        </w:rPr>
      </w:pPr>
      <w:r w:rsidRPr="00420686">
        <w:rPr>
          <w:rFonts w:ascii="Book Antiqua" w:hAnsi="Book Antiqua" w:cs="Times New Roman"/>
          <w:sz w:val="24"/>
          <w:szCs w:val="24"/>
        </w:rPr>
        <w:t xml:space="preserve">Studies in </w:t>
      </w:r>
      <w:r w:rsidRPr="00420686">
        <w:rPr>
          <w:rFonts w:ascii="Book Antiqua" w:hAnsi="Book Antiqua" w:cs="Times New Roman"/>
          <w:i/>
          <w:sz w:val="24"/>
          <w:szCs w:val="24"/>
        </w:rPr>
        <w:t>maft</w:t>
      </w:r>
      <w:r w:rsidRPr="00420686">
        <w:rPr>
          <w:rFonts w:ascii="Book Antiqua" w:hAnsi="Book Antiqua" w:cs="Times New Roman"/>
          <w:sz w:val="24"/>
          <w:szCs w:val="24"/>
        </w:rPr>
        <w:t xml:space="preserve"> mice have shown that following initial sensitization, further defects in barrier function occur, suggesting exacerbation of the primary barrier impairment by th</w:t>
      </w:r>
      <w:r w:rsidR="00F1178C" w:rsidRPr="00420686">
        <w:rPr>
          <w:rFonts w:ascii="Book Antiqua" w:hAnsi="Book Antiqua" w:cs="Times New Roman"/>
          <w:sz w:val="24"/>
          <w:szCs w:val="24"/>
        </w:rPr>
        <w:t>e induced inflammatory response</w:t>
      </w:r>
      <w:r w:rsidRPr="00420686">
        <w:rPr>
          <w:rFonts w:ascii="Book Antiqua" w:hAnsi="Book Antiqua" w:cs="Times New Roman"/>
          <w:noProof/>
          <w:sz w:val="24"/>
          <w:szCs w:val="24"/>
          <w:vertAlign w:val="superscript"/>
        </w:rPr>
        <w:t>[126]</w:t>
      </w:r>
      <w:r w:rsidRPr="00420686">
        <w:rPr>
          <w:rFonts w:ascii="Book Antiqua" w:hAnsi="Book Antiqua" w:cs="Times New Roman"/>
          <w:sz w:val="24"/>
          <w:szCs w:val="24"/>
        </w:rPr>
        <w:t>. Consistent with this, the Th2 cytokines, IL-4, IL-13, IL-22 and IL-25, which are over-expressed in AD lesions, have been shown to inhibit expression of filaggrin</w:t>
      </w:r>
      <w:r w:rsidRPr="00420686">
        <w:rPr>
          <w:rFonts w:ascii="Book Antiqua" w:hAnsi="Book Antiqua" w:cs="Times New Roman"/>
          <w:noProof/>
          <w:sz w:val="24"/>
          <w:szCs w:val="24"/>
          <w:vertAlign w:val="superscript"/>
        </w:rPr>
        <w:t>[</w:t>
      </w:r>
      <w:hyperlink w:anchor="_ENREF_136" w:tooltip="Gutowska-Owsiak, 2011 #130" w:history="1">
        <w:r w:rsidRPr="00420686">
          <w:rPr>
            <w:rFonts w:ascii="Book Antiqua" w:hAnsi="Book Antiqua" w:cs="Times New Roman"/>
            <w:noProof/>
            <w:sz w:val="24"/>
            <w:szCs w:val="24"/>
            <w:vertAlign w:val="superscript"/>
          </w:rPr>
          <w:t>136-138</w:t>
        </w:r>
      </w:hyperlink>
      <w:r w:rsidRPr="00420686">
        <w:rPr>
          <w:rFonts w:ascii="Book Antiqua" w:hAnsi="Book Antiqua" w:cs="Times New Roman"/>
          <w:noProof/>
          <w:sz w:val="24"/>
          <w:szCs w:val="24"/>
          <w:vertAlign w:val="superscript"/>
        </w:rPr>
        <w:t>]</w:t>
      </w:r>
      <w:r w:rsidRPr="00420686">
        <w:rPr>
          <w:rFonts w:ascii="Book Antiqua" w:hAnsi="Book Antiqua" w:cs="Times New Roman"/>
          <w:sz w:val="24"/>
          <w:szCs w:val="24"/>
        </w:rPr>
        <w:t xml:space="preserve"> and </w:t>
      </w:r>
      <w:r w:rsidR="00F1178C" w:rsidRPr="00420686">
        <w:rPr>
          <w:rFonts w:ascii="Book Antiqua" w:hAnsi="Book Antiqua" w:cs="Times New Roman"/>
          <w:sz w:val="24"/>
          <w:szCs w:val="24"/>
        </w:rPr>
        <w:t>profilaggrin-processing enzymes</w:t>
      </w:r>
      <w:r w:rsidR="00F1178C" w:rsidRPr="00420686">
        <w:rPr>
          <w:rFonts w:ascii="Book Antiqua" w:hAnsi="Book Antiqua" w:cs="Times New Roman"/>
          <w:noProof/>
          <w:sz w:val="24"/>
          <w:szCs w:val="24"/>
          <w:vertAlign w:val="superscript"/>
        </w:rPr>
        <w:t>[140,</w:t>
      </w:r>
      <w:r w:rsidRPr="00420686">
        <w:rPr>
          <w:rFonts w:ascii="Book Antiqua" w:hAnsi="Book Antiqua" w:cs="Times New Roman"/>
          <w:noProof/>
          <w:sz w:val="24"/>
          <w:szCs w:val="24"/>
          <w:vertAlign w:val="superscript"/>
        </w:rPr>
        <w:t>141]</w:t>
      </w:r>
      <w:r w:rsidRPr="00420686">
        <w:rPr>
          <w:rFonts w:ascii="Book Antiqua" w:hAnsi="Book Antiqua" w:cs="Times New Roman"/>
          <w:sz w:val="24"/>
          <w:szCs w:val="24"/>
        </w:rPr>
        <w:t xml:space="preserve"> </w:t>
      </w:r>
      <w:r w:rsidRPr="00420686">
        <w:rPr>
          <w:rFonts w:ascii="Book Antiqua" w:hAnsi="Book Antiqua" w:cs="Times New Roman"/>
          <w:i/>
          <w:sz w:val="24"/>
          <w:szCs w:val="24"/>
        </w:rPr>
        <w:t>in vitro</w:t>
      </w:r>
      <w:r w:rsidRPr="00420686">
        <w:rPr>
          <w:rFonts w:ascii="Book Antiqua" w:hAnsi="Book Antiqua" w:cs="Times New Roman"/>
          <w:sz w:val="24"/>
          <w:szCs w:val="24"/>
        </w:rPr>
        <w:t>. Inflammation in AD may also compromise skin barrier function by a number of filaggrin-independent mechanisms. The epidermal AMPs, LL-37, hBD-2 and hBD-3, are down-regulated in a Th2-dependent manner</w:t>
      </w:r>
      <w:r w:rsidR="00F1178C" w:rsidRPr="00420686">
        <w:rPr>
          <w:rFonts w:ascii="Book Antiqua" w:hAnsi="Book Antiqua" w:cs="Times New Roman"/>
          <w:noProof/>
          <w:sz w:val="24"/>
          <w:szCs w:val="24"/>
          <w:vertAlign w:val="superscript"/>
        </w:rPr>
        <w:t>[41,</w:t>
      </w:r>
      <w:r w:rsidRPr="00420686">
        <w:rPr>
          <w:rFonts w:ascii="Book Antiqua" w:hAnsi="Book Antiqua" w:cs="Times New Roman"/>
          <w:noProof/>
          <w:sz w:val="24"/>
          <w:szCs w:val="24"/>
          <w:vertAlign w:val="superscript"/>
        </w:rPr>
        <w:t>142-144]</w:t>
      </w:r>
      <w:r w:rsidRPr="00420686">
        <w:rPr>
          <w:rFonts w:ascii="Book Antiqua" w:hAnsi="Book Antiqua" w:cs="Times New Roman"/>
          <w:sz w:val="24"/>
          <w:szCs w:val="24"/>
        </w:rPr>
        <w:t xml:space="preserve"> and roles for Th2 cytokines in d</w:t>
      </w:r>
      <w:r w:rsidR="00F1178C" w:rsidRPr="00420686">
        <w:rPr>
          <w:rFonts w:ascii="Book Antiqua" w:hAnsi="Book Antiqua" w:cs="Times New Roman"/>
          <w:sz w:val="24"/>
          <w:szCs w:val="24"/>
        </w:rPr>
        <w:t>isruption of SC lipid synthesis</w:t>
      </w:r>
      <w:r w:rsidRPr="00420686">
        <w:rPr>
          <w:rFonts w:ascii="Book Antiqua" w:hAnsi="Book Antiqua" w:cs="Times New Roman"/>
          <w:noProof/>
          <w:sz w:val="24"/>
          <w:szCs w:val="24"/>
          <w:vertAlign w:val="superscript"/>
        </w:rPr>
        <w:t>[145-147]</w:t>
      </w:r>
      <w:r w:rsidR="00F1178C" w:rsidRPr="00420686">
        <w:rPr>
          <w:rFonts w:ascii="Book Antiqua" w:hAnsi="Book Antiqua" w:cs="Times New Roman"/>
          <w:sz w:val="24"/>
          <w:szCs w:val="24"/>
        </w:rPr>
        <w:t>, SC protease activity</w:t>
      </w:r>
      <w:r w:rsidR="00F1178C" w:rsidRPr="00420686">
        <w:rPr>
          <w:rFonts w:ascii="Book Antiqua" w:hAnsi="Book Antiqua" w:cs="Times New Roman"/>
          <w:noProof/>
          <w:sz w:val="24"/>
          <w:szCs w:val="24"/>
          <w:vertAlign w:val="superscript"/>
        </w:rPr>
        <w:t>[148,</w:t>
      </w:r>
      <w:r w:rsidRPr="00420686">
        <w:rPr>
          <w:rFonts w:ascii="Book Antiqua" w:hAnsi="Book Antiqua" w:cs="Times New Roman"/>
          <w:noProof/>
          <w:sz w:val="24"/>
          <w:szCs w:val="24"/>
          <w:vertAlign w:val="superscript"/>
        </w:rPr>
        <w:t>149]</w:t>
      </w:r>
      <w:r w:rsidRPr="00420686">
        <w:rPr>
          <w:rFonts w:ascii="Book Antiqua" w:hAnsi="Book Antiqua" w:cs="Times New Roman"/>
          <w:sz w:val="24"/>
          <w:szCs w:val="24"/>
        </w:rPr>
        <w:t xml:space="preserve"> and multiple process</w:t>
      </w:r>
      <w:r w:rsidR="00F1178C" w:rsidRPr="00420686">
        <w:rPr>
          <w:rFonts w:ascii="Book Antiqua" w:hAnsi="Book Antiqua" w:cs="Times New Roman"/>
          <w:sz w:val="24"/>
          <w:szCs w:val="24"/>
        </w:rPr>
        <w:t>es in epidermal differentiation</w:t>
      </w:r>
      <w:r w:rsidR="00F1178C" w:rsidRPr="00420686">
        <w:rPr>
          <w:rFonts w:ascii="Book Antiqua" w:hAnsi="Book Antiqua" w:cs="Times New Roman"/>
          <w:noProof/>
          <w:sz w:val="24"/>
          <w:szCs w:val="24"/>
          <w:vertAlign w:val="superscript"/>
        </w:rPr>
        <w:t>[147,</w:t>
      </w:r>
      <w:r w:rsidRPr="00420686">
        <w:rPr>
          <w:rFonts w:ascii="Book Antiqua" w:hAnsi="Book Antiqua" w:cs="Times New Roman"/>
          <w:noProof/>
          <w:sz w:val="24"/>
          <w:szCs w:val="24"/>
          <w:vertAlign w:val="superscript"/>
        </w:rPr>
        <w:t>149-151]</w:t>
      </w:r>
      <w:r w:rsidRPr="00420686">
        <w:rPr>
          <w:rFonts w:ascii="Book Antiqua" w:hAnsi="Book Antiqua" w:cs="Times New Roman"/>
          <w:color w:val="FF0000"/>
          <w:sz w:val="24"/>
          <w:szCs w:val="24"/>
        </w:rPr>
        <w:t xml:space="preserve"> </w:t>
      </w:r>
      <w:r w:rsidRPr="00420686">
        <w:rPr>
          <w:rFonts w:ascii="Book Antiqua" w:hAnsi="Book Antiqua" w:cs="Times New Roman"/>
          <w:sz w:val="24"/>
          <w:szCs w:val="24"/>
        </w:rPr>
        <w:t xml:space="preserve">have been reported. Finally, whilst not endogenously perturbing the skin barrier </w:t>
      </w:r>
      <w:r w:rsidRPr="00420686">
        <w:rPr>
          <w:rFonts w:ascii="Book Antiqua" w:hAnsi="Book Antiqua" w:cs="Times New Roman"/>
          <w:i/>
          <w:sz w:val="24"/>
          <w:szCs w:val="24"/>
        </w:rPr>
        <w:t>per se</w:t>
      </w:r>
      <w:r w:rsidRPr="00420686">
        <w:rPr>
          <w:rFonts w:ascii="Book Antiqua" w:hAnsi="Book Antiqua" w:cs="Times New Roman"/>
          <w:sz w:val="24"/>
          <w:szCs w:val="24"/>
        </w:rPr>
        <w:t>, the cytok</w:t>
      </w:r>
      <w:r w:rsidR="00F1178C" w:rsidRPr="00420686">
        <w:rPr>
          <w:rFonts w:ascii="Book Antiqua" w:hAnsi="Book Antiqua" w:cs="Times New Roman"/>
          <w:sz w:val="24"/>
          <w:szCs w:val="24"/>
        </w:rPr>
        <w:t>ines TSLP and IL-31 induce itch</w:t>
      </w:r>
      <w:r w:rsidR="00F1178C" w:rsidRPr="00420686">
        <w:rPr>
          <w:rFonts w:ascii="Book Antiqua" w:hAnsi="Book Antiqua" w:cs="Times New Roman"/>
          <w:noProof/>
          <w:sz w:val="24"/>
          <w:szCs w:val="24"/>
          <w:vertAlign w:val="superscript"/>
        </w:rPr>
        <w:t>[152,</w:t>
      </w:r>
      <w:r w:rsidRPr="00420686">
        <w:rPr>
          <w:rFonts w:ascii="Book Antiqua" w:hAnsi="Book Antiqua" w:cs="Times New Roman"/>
          <w:noProof/>
          <w:sz w:val="24"/>
          <w:szCs w:val="24"/>
          <w:vertAlign w:val="superscript"/>
        </w:rPr>
        <w:t>153]</w:t>
      </w:r>
      <w:r w:rsidRPr="00420686">
        <w:rPr>
          <w:rFonts w:ascii="Book Antiqua" w:hAnsi="Book Antiqua" w:cs="Times New Roman"/>
          <w:sz w:val="24"/>
          <w:szCs w:val="24"/>
        </w:rPr>
        <w:t>, thereby aggravating the itch-scratch cycle.</w:t>
      </w:r>
    </w:p>
    <w:p w:rsidR="00F1178C" w:rsidRPr="00420686" w:rsidRDefault="00F1178C" w:rsidP="00420686">
      <w:pPr>
        <w:spacing w:after="0" w:line="360" w:lineRule="auto"/>
        <w:ind w:firstLineChars="100" w:firstLine="240"/>
        <w:jc w:val="both"/>
        <w:rPr>
          <w:rFonts w:ascii="Book Antiqua" w:hAnsi="Book Antiqua" w:cs="Times New Roman"/>
          <w:sz w:val="24"/>
          <w:szCs w:val="24"/>
          <w:lang w:eastAsia="zh-CN"/>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ENVIRONMENTAL STRESSORS PLAY UPON BARRIER DEFECTS TO EXACERBATE DISEASE ACTIVITY</w:t>
      </w:r>
    </w:p>
    <w:p w:rsidR="008B389C" w:rsidRPr="00420686" w:rsidRDefault="008B389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sz w:val="24"/>
          <w:szCs w:val="24"/>
        </w:rPr>
        <w:t>The avoidance of exogenous irritants is an important part of atopic disease management. Diverse environmental factors are known to exacerbate atopic disorders, but several are now recognised as having detrimental effects on the skin barrier. For instance, prolonged exposure to reduced ambient humidity (as may occur in centrally heated homes) has been shown to accelerate TEWL and p</w:t>
      </w:r>
      <w:r w:rsidR="00F1178C" w:rsidRPr="00420686">
        <w:rPr>
          <w:rFonts w:ascii="Book Antiqua" w:hAnsi="Book Antiqua" w:cs="Times New Roman"/>
          <w:sz w:val="24"/>
          <w:szCs w:val="24"/>
        </w:rPr>
        <w:t>romote profilaggrin proteolysis</w:t>
      </w:r>
      <w:r w:rsidRPr="00420686">
        <w:rPr>
          <w:rFonts w:ascii="Book Antiqua" w:hAnsi="Book Antiqua" w:cs="Times New Roman"/>
          <w:noProof/>
          <w:sz w:val="24"/>
          <w:szCs w:val="24"/>
          <w:vertAlign w:val="superscript"/>
        </w:rPr>
        <w:t>[73]</w:t>
      </w:r>
      <w:r w:rsidRPr="00420686">
        <w:rPr>
          <w:rFonts w:ascii="Book Antiqua" w:hAnsi="Book Antiqua" w:cs="Times New Roman"/>
          <w:sz w:val="24"/>
          <w:szCs w:val="24"/>
        </w:rPr>
        <w:t>, potentially driving further d</w:t>
      </w:r>
      <w:r w:rsidR="00F1178C" w:rsidRPr="00420686">
        <w:rPr>
          <w:rFonts w:ascii="Book Antiqua" w:hAnsi="Book Antiqua" w:cs="Times New Roman"/>
          <w:sz w:val="24"/>
          <w:szCs w:val="24"/>
        </w:rPr>
        <w:t>epletion of cutaneous filaggrin</w:t>
      </w:r>
      <w:r w:rsidRPr="00420686">
        <w:rPr>
          <w:rFonts w:ascii="Book Antiqua" w:hAnsi="Book Antiqua" w:cs="Times New Roman"/>
          <w:noProof/>
          <w:sz w:val="24"/>
          <w:szCs w:val="24"/>
          <w:vertAlign w:val="superscript"/>
        </w:rPr>
        <w:t>[139]</w:t>
      </w:r>
      <w:r w:rsidRPr="00420686">
        <w:rPr>
          <w:rFonts w:ascii="Book Antiqua" w:hAnsi="Book Antiqua" w:cs="Times New Roman"/>
          <w:sz w:val="24"/>
          <w:szCs w:val="24"/>
        </w:rPr>
        <w:t>. External modifiers of skin surface pH may also aggravate disease activity via enzyme-mediated pathways; use of neutral-to-alkaline soaps is known to induce SC thinni</w:t>
      </w:r>
      <w:r w:rsidR="00F1178C" w:rsidRPr="00420686">
        <w:rPr>
          <w:rFonts w:ascii="Book Antiqua" w:hAnsi="Book Antiqua" w:cs="Times New Roman"/>
          <w:sz w:val="24"/>
          <w:szCs w:val="24"/>
        </w:rPr>
        <w:t>ng and precipitate flares of AD</w:t>
      </w:r>
      <w:r w:rsidRPr="00420686">
        <w:rPr>
          <w:rFonts w:ascii="Book Antiqua" w:hAnsi="Book Antiqua" w:cs="Times New Roman"/>
          <w:noProof/>
          <w:sz w:val="24"/>
          <w:szCs w:val="24"/>
          <w:vertAlign w:val="superscript"/>
        </w:rPr>
        <w:t>[154]</w:t>
      </w:r>
      <w:r w:rsidRPr="00420686">
        <w:rPr>
          <w:rFonts w:ascii="Book Antiqua" w:hAnsi="Book Antiqua" w:cs="Times New Roman"/>
          <w:sz w:val="24"/>
          <w:szCs w:val="24"/>
        </w:rPr>
        <w:t>. Protease activity in the epidermis of AD patients may be further intensified by airborne proteins; proteolytic allergens produced by house dust mites and cockroaches have been shown to penetrate the skin and can</w:t>
      </w:r>
      <w:r w:rsidR="00F1178C" w:rsidRPr="00420686">
        <w:rPr>
          <w:rFonts w:ascii="Book Antiqua" w:hAnsi="Book Antiqua" w:cs="Times New Roman"/>
          <w:sz w:val="24"/>
          <w:szCs w:val="24"/>
        </w:rPr>
        <w:t xml:space="preserve"> exacerbate barrier dysfunction</w:t>
      </w:r>
      <w:r w:rsidR="00F1178C" w:rsidRPr="00420686">
        <w:rPr>
          <w:rFonts w:ascii="Book Antiqua" w:hAnsi="Book Antiqua" w:cs="Times New Roman"/>
          <w:noProof/>
          <w:sz w:val="24"/>
          <w:szCs w:val="24"/>
          <w:vertAlign w:val="superscript"/>
        </w:rPr>
        <w:t>[155,</w:t>
      </w:r>
      <w:r w:rsidRPr="00420686">
        <w:rPr>
          <w:rFonts w:ascii="Book Antiqua" w:hAnsi="Book Antiqua" w:cs="Times New Roman"/>
          <w:noProof/>
          <w:sz w:val="24"/>
          <w:szCs w:val="24"/>
          <w:vertAlign w:val="superscript"/>
        </w:rPr>
        <w:t>156]</w:t>
      </w:r>
      <w:r w:rsidRPr="00420686">
        <w:rPr>
          <w:rFonts w:ascii="Book Antiqua" w:hAnsi="Book Antiqua" w:cs="Times New Roman"/>
          <w:sz w:val="24"/>
          <w:szCs w:val="24"/>
        </w:rPr>
        <w:t xml:space="preserve"> both directly, </w:t>
      </w:r>
      <w:r w:rsidR="00F1178C" w:rsidRPr="00420686">
        <w:rPr>
          <w:rFonts w:ascii="Book Antiqua" w:hAnsi="Book Antiqua" w:cs="Times New Roman"/>
          <w:sz w:val="24"/>
          <w:szCs w:val="24"/>
        </w:rPr>
        <w:t>by degrading barrier components</w:t>
      </w:r>
      <w:r w:rsidR="00F1178C" w:rsidRPr="00420686">
        <w:rPr>
          <w:rFonts w:ascii="Book Antiqua" w:hAnsi="Book Antiqua" w:cs="Times New Roman"/>
          <w:noProof/>
          <w:sz w:val="24"/>
          <w:szCs w:val="24"/>
          <w:vertAlign w:val="superscript"/>
        </w:rPr>
        <w:t>[157,</w:t>
      </w:r>
      <w:r w:rsidRPr="00420686">
        <w:rPr>
          <w:rFonts w:ascii="Book Antiqua" w:hAnsi="Book Antiqua" w:cs="Times New Roman"/>
          <w:noProof/>
          <w:sz w:val="24"/>
          <w:szCs w:val="24"/>
          <w:vertAlign w:val="superscript"/>
        </w:rPr>
        <w:t>158]</w:t>
      </w:r>
      <w:r w:rsidRPr="00420686">
        <w:rPr>
          <w:rFonts w:ascii="Book Antiqua" w:hAnsi="Book Antiqua" w:cs="Times New Roman"/>
          <w:sz w:val="24"/>
          <w:szCs w:val="24"/>
        </w:rPr>
        <w:t xml:space="preserve"> and indirectly, through ac</w:t>
      </w:r>
      <w:r w:rsidR="00F1178C" w:rsidRPr="00420686">
        <w:rPr>
          <w:rFonts w:ascii="Book Antiqua" w:hAnsi="Book Antiqua" w:cs="Times New Roman"/>
          <w:sz w:val="24"/>
          <w:szCs w:val="24"/>
        </w:rPr>
        <w:t>tivation of PAR-2</w:t>
      </w:r>
      <w:r w:rsidRPr="00420686">
        <w:rPr>
          <w:rFonts w:ascii="Book Antiqua" w:hAnsi="Book Antiqua" w:cs="Times New Roman"/>
          <w:noProof/>
          <w:sz w:val="24"/>
          <w:szCs w:val="24"/>
          <w:vertAlign w:val="superscript"/>
        </w:rPr>
        <w:t>[159-161]</w:t>
      </w:r>
      <w:r w:rsidRPr="00420686">
        <w:rPr>
          <w:rFonts w:ascii="Book Antiqua" w:hAnsi="Book Antiqua" w:cs="Times New Roman"/>
          <w:sz w:val="24"/>
          <w:szCs w:val="24"/>
        </w:rPr>
        <w:t xml:space="preserve">. Staphylococcal infection also has a number of implications for skin barrier function. Essential </w:t>
      </w:r>
      <w:r w:rsidRPr="00420686">
        <w:rPr>
          <w:rFonts w:ascii="Book Antiqua" w:hAnsi="Book Antiqua" w:cs="Times New Roman"/>
          <w:i/>
          <w:sz w:val="24"/>
          <w:szCs w:val="24"/>
        </w:rPr>
        <w:t xml:space="preserve">S. aureus </w:t>
      </w:r>
      <w:r w:rsidRPr="00420686">
        <w:rPr>
          <w:rFonts w:ascii="Book Antiqua" w:hAnsi="Book Antiqua" w:cs="Times New Roman"/>
          <w:sz w:val="24"/>
          <w:szCs w:val="24"/>
        </w:rPr>
        <w:t>surface proteins confer resistance to the bactericidal action o</w:t>
      </w:r>
      <w:r w:rsidR="00F1178C" w:rsidRPr="00420686">
        <w:rPr>
          <w:rFonts w:ascii="Book Antiqua" w:hAnsi="Book Antiqua" w:cs="Times New Roman"/>
          <w:sz w:val="24"/>
          <w:szCs w:val="24"/>
        </w:rPr>
        <w:t>f human epidermal FFAs and AMPs</w:t>
      </w:r>
      <w:r w:rsidRPr="00420686">
        <w:rPr>
          <w:rFonts w:ascii="Book Antiqua" w:hAnsi="Book Antiqua" w:cs="Times New Roman"/>
          <w:noProof/>
          <w:sz w:val="24"/>
          <w:szCs w:val="24"/>
          <w:vertAlign w:val="superscript"/>
        </w:rPr>
        <w:t>[162]</w:t>
      </w:r>
      <w:r w:rsidRPr="00420686">
        <w:rPr>
          <w:rFonts w:ascii="Book Antiqua" w:hAnsi="Book Antiqua" w:cs="Times New Roman"/>
          <w:sz w:val="24"/>
          <w:szCs w:val="24"/>
        </w:rPr>
        <w:t xml:space="preserve"> and once established on the skin, coagulase-negative staphylococci can secrete </w:t>
      </w:r>
      <w:r w:rsidR="00F1178C" w:rsidRPr="00420686">
        <w:rPr>
          <w:rFonts w:ascii="Book Antiqua" w:hAnsi="Book Antiqua" w:cs="Times New Roman"/>
          <w:sz w:val="24"/>
          <w:szCs w:val="24"/>
        </w:rPr>
        <w:t>peptidases and lipid hydrolases</w:t>
      </w:r>
      <w:r w:rsidRPr="00420686">
        <w:rPr>
          <w:rFonts w:ascii="Book Antiqua" w:hAnsi="Book Antiqua" w:cs="Times New Roman"/>
          <w:noProof/>
          <w:sz w:val="24"/>
          <w:szCs w:val="24"/>
          <w:vertAlign w:val="superscript"/>
        </w:rPr>
        <w:t>[163]</w:t>
      </w:r>
      <w:r w:rsidRPr="00420686">
        <w:rPr>
          <w:rFonts w:ascii="Book Antiqua" w:hAnsi="Book Antiqua" w:cs="Times New Roman"/>
          <w:sz w:val="24"/>
          <w:szCs w:val="24"/>
        </w:rPr>
        <w:t xml:space="preserve"> which may further erode the skin barrier.</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Indeed it has been shown that elevated levels of the enzyme ceramidase (which catalyses the degradation of ceramide to sphingosine and FFAs) are secreted by the bacterial flora of AD patient sk</w:t>
      </w:r>
      <w:r w:rsidR="00F1178C" w:rsidRPr="00420686">
        <w:rPr>
          <w:rFonts w:ascii="Book Antiqua" w:hAnsi="Book Antiqua" w:cs="Times New Roman"/>
          <w:sz w:val="24"/>
          <w:szCs w:val="24"/>
        </w:rPr>
        <w:t>in relative to healthy controls</w:t>
      </w:r>
      <w:r w:rsidRPr="00420686">
        <w:rPr>
          <w:rFonts w:ascii="Book Antiqua" w:hAnsi="Book Antiqua" w:cs="Times New Roman"/>
          <w:noProof/>
          <w:sz w:val="24"/>
          <w:szCs w:val="24"/>
          <w:vertAlign w:val="superscript"/>
        </w:rPr>
        <w:t>[164]</w:t>
      </w:r>
      <w:r w:rsidRPr="00420686">
        <w:rPr>
          <w:rFonts w:ascii="Book Antiqua" w:hAnsi="Book Antiqua" w:cs="Times New Roman"/>
          <w:sz w:val="24"/>
          <w:szCs w:val="24"/>
        </w:rPr>
        <w:t xml:space="preserve">. Finally, psychological stress (PS) </w:t>
      </w:r>
      <w:r w:rsidR="00F1178C" w:rsidRPr="00420686">
        <w:rPr>
          <w:rFonts w:ascii="Book Antiqua" w:hAnsi="Book Antiqua" w:cs="Times New Roman"/>
          <w:sz w:val="24"/>
          <w:szCs w:val="24"/>
        </w:rPr>
        <w:t>may precipitate atopic diseases</w:t>
      </w:r>
      <w:r w:rsidRPr="00420686">
        <w:rPr>
          <w:rFonts w:ascii="Book Antiqua" w:hAnsi="Book Antiqua" w:cs="Times New Roman"/>
          <w:noProof/>
          <w:sz w:val="24"/>
          <w:szCs w:val="24"/>
          <w:vertAlign w:val="superscript"/>
        </w:rPr>
        <w:t>[165]</w:t>
      </w:r>
      <w:r w:rsidRPr="00420686">
        <w:rPr>
          <w:rFonts w:ascii="Book Antiqua" w:hAnsi="Book Antiqua" w:cs="Times New Roman"/>
          <w:sz w:val="24"/>
          <w:szCs w:val="24"/>
        </w:rPr>
        <w:t xml:space="preserve"> by dist</w:t>
      </w:r>
      <w:r w:rsidR="00F1178C" w:rsidRPr="00420686">
        <w:rPr>
          <w:rFonts w:ascii="Book Antiqua" w:hAnsi="Book Antiqua" w:cs="Times New Roman"/>
          <w:sz w:val="24"/>
          <w:szCs w:val="24"/>
        </w:rPr>
        <w:t>urbing the permeability barrier</w:t>
      </w:r>
      <w:r w:rsidR="00F1178C" w:rsidRPr="00420686">
        <w:rPr>
          <w:rFonts w:ascii="Book Antiqua" w:hAnsi="Book Antiqua" w:cs="Times New Roman"/>
          <w:noProof/>
          <w:sz w:val="24"/>
          <w:szCs w:val="24"/>
          <w:vertAlign w:val="superscript"/>
        </w:rPr>
        <w:t>[166,</w:t>
      </w:r>
      <w:r w:rsidRPr="00420686">
        <w:rPr>
          <w:rFonts w:ascii="Book Antiqua" w:hAnsi="Book Antiqua" w:cs="Times New Roman"/>
          <w:noProof/>
          <w:sz w:val="24"/>
          <w:szCs w:val="24"/>
          <w:vertAlign w:val="superscript"/>
        </w:rPr>
        <w:t>167]</w:t>
      </w:r>
      <w:r w:rsidR="00F1178C" w:rsidRPr="00420686">
        <w:rPr>
          <w:rFonts w:ascii="Book Antiqua" w:hAnsi="Book Antiqua" w:cs="Times New Roman"/>
          <w:sz w:val="24"/>
          <w:szCs w:val="24"/>
        </w:rPr>
        <w:t>, SC integrity</w:t>
      </w:r>
      <w:r w:rsidRPr="00420686">
        <w:rPr>
          <w:rFonts w:ascii="Book Antiqua" w:hAnsi="Book Antiqua" w:cs="Times New Roman"/>
          <w:noProof/>
          <w:sz w:val="24"/>
          <w:szCs w:val="24"/>
          <w:vertAlign w:val="superscript"/>
        </w:rPr>
        <w:t>[166]</w:t>
      </w:r>
      <w:r w:rsidR="00F1178C" w:rsidRPr="00420686">
        <w:rPr>
          <w:rFonts w:ascii="Book Antiqua" w:hAnsi="Book Antiqua" w:cs="Times New Roman"/>
          <w:sz w:val="24"/>
          <w:szCs w:val="24"/>
        </w:rPr>
        <w:t xml:space="preserve"> and antimicrobial defences</w:t>
      </w:r>
      <w:r w:rsidRPr="00420686">
        <w:rPr>
          <w:rFonts w:ascii="Book Antiqua" w:hAnsi="Book Antiqua" w:cs="Times New Roman"/>
          <w:noProof/>
          <w:sz w:val="24"/>
          <w:szCs w:val="24"/>
          <w:vertAlign w:val="superscript"/>
        </w:rPr>
        <w:t>[168]</w:t>
      </w:r>
      <w:r w:rsidRPr="00420686">
        <w:rPr>
          <w:rFonts w:ascii="Book Antiqua" w:hAnsi="Book Antiqua" w:cs="Times New Roman"/>
          <w:sz w:val="24"/>
          <w:szCs w:val="24"/>
        </w:rPr>
        <w:t xml:space="preserve"> in the skin of mouse models, via a mechanism thought to be mediated by increased production of endogenous glucocorticoids </w:t>
      </w:r>
      <w:r w:rsidRPr="00420686">
        <w:rPr>
          <w:rFonts w:ascii="Book Antiqua" w:hAnsi="Book Antiqua" w:cs="Times New Roman"/>
          <w:noProof/>
          <w:sz w:val="24"/>
          <w:szCs w:val="24"/>
          <w:vertAlign w:val="superscript"/>
        </w:rPr>
        <w:t>[167-169]</w:t>
      </w:r>
      <w:r w:rsidRPr="00420686">
        <w:rPr>
          <w:rFonts w:ascii="Book Antiqua" w:hAnsi="Book Antiqua" w:cs="Times New Roman"/>
          <w:sz w:val="24"/>
          <w:szCs w:val="24"/>
        </w:rPr>
        <w:t xml:space="preserve">. </w:t>
      </w:r>
    </w:p>
    <w:p w:rsidR="00F1178C" w:rsidRPr="00420686" w:rsidRDefault="00F1178C" w:rsidP="00420686">
      <w:pPr>
        <w:spacing w:after="0" w:line="360" w:lineRule="auto"/>
        <w:jc w:val="both"/>
        <w:rPr>
          <w:rFonts w:ascii="Book Antiqua" w:hAnsi="Book Antiqua" w:cs="Times New Roman"/>
          <w:strike/>
          <w:sz w:val="24"/>
          <w:szCs w:val="24"/>
          <w:lang w:eastAsia="zh-CN"/>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ALLERGIC SENSITIZATION AND TSLP:</w:t>
      </w:r>
      <w:r w:rsidR="00815E81" w:rsidRPr="00420686">
        <w:rPr>
          <w:rFonts w:ascii="Book Antiqua" w:hAnsi="Book Antiqua" w:cs="Times New Roman"/>
          <w:b/>
          <w:sz w:val="24"/>
          <w:szCs w:val="24"/>
        </w:rPr>
        <w:t xml:space="preserve"> </w:t>
      </w:r>
      <w:r w:rsidRPr="00420686">
        <w:rPr>
          <w:rFonts w:ascii="Book Antiqua" w:hAnsi="Book Antiqua" w:cs="Times New Roman"/>
          <w:b/>
          <w:sz w:val="24"/>
          <w:szCs w:val="24"/>
        </w:rPr>
        <w:t>THE ATOPIC MARCH</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The mechanistic link between AD and subsequent phenotypes in the atopic march remains unclear and has been the subject of intensive research in recent years. Generally, current data favour a model in which the downstream systemic effects of allergen penetration through the impaired skin barrier cause immune cells to mount an exaggerated inflammatory response at any alle</w:t>
      </w:r>
      <w:r w:rsidR="00F1178C" w:rsidRPr="00420686">
        <w:rPr>
          <w:rFonts w:ascii="Book Antiqua" w:hAnsi="Book Antiqua" w:cs="Times New Roman"/>
          <w:sz w:val="24"/>
          <w:szCs w:val="24"/>
        </w:rPr>
        <w:t>rgen-exposed epithelial surface</w:t>
      </w:r>
      <w:r w:rsidR="00F1178C" w:rsidRPr="00420686">
        <w:rPr>
          <w:rFonts w:ascii="Book Antiqua" w:hAnsi="Book Antiqua" w:cs="Times New Roman"/>
          <w:noProof/>
          <w:sz w:val="24"/>
          <w:szCs w:val="24"/>
          <w:vertAlign w:val="superscript"/>
        </w:rPr>
        <w:t>[136,154,</w:t>
      </w:r>
      <w:r w:rsidRPr="00420686">
        <w:rPr>
          <w:rFonts w:ascii="Book Antiqua" w:hAnsi="Book Antiqua" w:cs="Times New Roman"/>
          <w:noProof/>
          <w:sz w:val="24"/>
          <w:szCs w:val="24"/>
          <w:vertAlign w:val="superscript"/>
        </w:rPr>
        <w:t>170]</w:t>
      </w:r>
      <w:r w:rsidRPr="00420686">
        <w:rPr>
          <w:rFonts w:ascii="Book Antiqua" w:hAnsi="Book Antiqua" w:cs="Times New Roman"/>
          <w:sz w:val="24"/>
          <w:szCs w:val="24"/>
        </w:rPr>
        <w:t>. This theory fits with several observations: (1) AD is usually t</w:t>
      </w:r>
      <w:r w:rsidR="00F1178C" w:rsidRPr="00420686">
        <w:rPr>
          <w:rFonts w:ascii="Book Antiqua" w:hAnsi="Book Antiqua" w:cs="Times New Roman"/>
          <w:sz w:val="24"/>
          <w:szCs w:val="24"/>
        </w:rPr>
        <w:t>he first manifestation of atopy</w:t>
      </w:r>
      <w:r w:rsidRPr="00420686">
        <w:rPr>
          <w:rFonts w:ascii="Book Antiqua" w:hAnsi="Book Antiqua" w:cs="Times New Roman"/>
          <w:noProof/>
          <w:sz w:val="24"/>
          <w:szCs w:val="24"/>
          <w:vertAlign w:val="superscript"/>
        </w:rPr>
        <w:t>[18]</w:t>
      </w:r>
      <w:r w:rsidRPr="00420686">
        <w:rPr>
          <w:rFonts w:ascii="Book Antiqua" w:hAnsi="Book Antiqua" w:cs="Times New Roman"/>
          <w:sz w:val="24"/>
          <w:szCs w:val="24"/>
        </w:rPr>
        <w:t xml:space="preserve">; (2) </w:t>
      </w:r>
      <w:r w:rsidRPr="00420686">
        <w:rPr>
          <w:rFonts w:ascii="Book Antiqua" w:hAnsi="Book Antiqua" w:cs="Times New Roman"/>
          <w:i/>
          <w:sz w:val="24"/>
          <w:szCs w:val="24"/>
        </w:rPr>
        <w:t>FLG</w:t>
      </w:r>
      <w:r w:rsidRPr="00420686">
        <w:rPr>
          <w:rFonts w:ascii="Book Antiqua" w:hAnsi="Book Antiqua" w:cs="Times New Roman"/>
          <w:sz w:val="24"/>
          <w:szCs w:val="24"/>
        </w:rPr>
        <w:t xml:space="preserve"> is not expressed in</w:t>
      </w:r>
      <w:r w:rsidR="00F1178C" w:rsidRPr="00420686">
        <w:rPr>
          <w:rFonts w:ascii="Book Antiqua" w:hAnsi="Book Antiqua" w:cs="Times New Roman"/>
          <w:sz w:val="24"/>
          <w:szCs w:val="24"/>
        </w:rPr>
        <w:t xml:space="preserve"> bronchial airways</w:t>
      </w:r>
      <w:r w:rsidRPr="00420686">
        <w:rPr>
          <w:rFonts w:ascii="Book Antiqua" w:hAnsi="Book Antiqua" w:cs="Times New Roman"/>
          <w:noProof/>
          <w:sz w:val="24"/>
          <w:szCs w:val="24"/>
          <w:vertAlign w:val="superscript"/>
        </w:rPr>
        <w:t>[171]</w:t>
      </w:r>
      <w:r w:rsidRPr="00420686">
        <w:rPr>
          <w:rFonts w:ascii="Book Antiqua" w:hAnsi="Book Antiqua" w:cs="Times New Roman"/>
          <w:sz w:val="24"/>
          <w:szCs w:val="24"/>
        </w:rPr>
        <w:t xml:space="preserve"> nor the oesophageal epithelium b</w:t>
      </w:r>
      <w:r w:rsidR="00F1178C" w:rsidRPr="00420686">
        <w:rPr>
          <w:rFonts w:ascii="Book Antiqua" w:hAnsi="Book Antiqua" w:cs="Times New Roman"/>
          <w:sz w:val="24"/>
          <w:szCs w:val="24"/>
        </w:rPr>
        <w:t>eyond the oro-pharyngeal mucosa</w:t>
      </w:r>
      <w:r w:rsidRPr="00420686">
        <w:rPr>
          <w:rFonts w:ascii="Book Antiqua" w:hAnsi="Book Antiqua" w:cs="Times New Roman"/>
          <w:noProof/>
          <w:sz w:val="24"/>
          <w:szCs w:val="24"/>
          <w:vertAlign w:val="superscript"/>
        </w:rPr>
        <w:t>[172]</w:t>
      </w:r>
      <w:r w:rsidRPr="00420686">
        <w:rPr>
          <w:rFonts w:ascii="Book Antiqua" w:hAnsi="Book Antiqua" w:cs="Times New Roman"/>
          <w:sz w:val="24"/>
          <w:szCs w:val="24"/>
        </w:rPr>
        <w:t>, suggesting that filaggrin does not directly influence permeability of these epithelia</w:t>
      </w:r>
      <w:r w:rsidR="00F1178C"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and (3) allergic sensitization induced by epicutaneous exposure to peanut allergen inhibits su</w:t>
      </w:r>
      <w:r w:rsidR="00F1178C" w:rsidRPr="00420686">
        <w:rPr>
          <w:rFonts w:ascii="Book Antiqua" w:hAnsi="Book Antiqua" w:cs="Times New Roman"/>
          <w:sz w:val="24"/>
          <w:szCs w:val="24"/>
        </w:rPr>
        <w:t>bsequent oral tolerance in mice</w:t>
      </w:r>
      <w:r w:rsidRPr="00420686">
        <w:rPr>
          <w:rFonts w:ascii="Book Antiqua" w:hAnsi="Book Antiqua" w:cs="Times New Roman"/>
          <w:noProof/>
          <w:sz w:val="24"/>
          <w:szCs w:val="24"/>
          <w:vertAlign w:val="superscript"/>
        </w:rPr>
        <w:t>[173]</w:t>
      </w:r>
      <w:r w:rsidRPr="00420686">
        <w:rPr>
          <w:rFonts w:ascii="Book Antiqua" w:hAnsi="Book Antiqua" w:cs="Times New Roman"/>
          <w:sz w:val="24"/>
          <w:szCs w:val="24"/>
        </w:rPr>
        <w:t xml:space="preserve">.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Central to the uncertainty over the atopic march is the strength of the connection between early allergic sensitization in AD and the risk of allergic airway disease, with the epidemiological dat</w:t>
      </w:r>
      <w:r w:rsidR="00F1178C" w:rsidRPr="00420686">
        <w:rPr>
          <w:rFonts w:ascii="Book Antiqua" w:hAnsi="Book Antiqua" w:cs="Times New Roman"/>
          <w:sz w:val="24"/>
          <w:szCs w:val="24"/>
        </w:rPr>
        <w:t>a being somewhat inconsistent</w:t>
      </w:r>
      <w:r w:rsidRPr="00420686">
        <w:rPr>
          <w:rFonts w:ascii="Book Antiqua" w:hAnsi="Book Antiqua" w:cs="Times New Roman"/>
          <w:noProof/>
          <w:sz w:val="24"/>
          <w:szCs w:val="24"/>
          <w:vertAlign w:val="superscript"/>
        </w:rPr>
        <w:t>[14]</w:t>
      </w:r>
      <w:r w:rsidRPr="00420686">
        <w:rPr>
          <w:rFonts w:ascii="Book Antiqua" w:hAnsi="Book Antiqua" w:cs="Times New Roman"/>
          <w:sz w:val="24"/>
          <w:szCs w:val="24"/>
        </w:rPr>
        <w:t>. Functional studies on the atopic march have identified a prominent role for the cytokine TSLP as a promoter of the Th2 response in AD and a trigger linking epicutaneous sen</w:t>
      </w:r>
      <w:r w:rsidR="00F1178C" w:rsidRPr="00420686">
        <w:rPr>
          <w:rFonts w:ascii="Book Antiqua" w:hAnsi="Book Antiqua" w:cs="Times New Roman"/>
          <w:sz w:val="24"/>
          <w:szCs w:val="24"/>
        </w:rPr>
        <w:t>sitization to subsequent asthma</w:t>
      </w:r>
      <w:r w:rsidR="00F1178C" w:rsidRPr="00420686">
        <w:rPr>
          <w:rFonts w:ascii="Book Antiqua" w:hAnsi="Book Antiqua" w:cs="Times New Roman"/>
          <w:noProof/>
          <w:sz w:val="24"/>
          <w:szCs w:val="24"/>
          <w:vertAlign w:val="superscript"/>
        </w:rPr>
        <w:t>[174,</w:t>
      </w:r>
      <w:r w:rsidRPr="00420686">
        <w:rPr>
          <w:rFonts w:ascii="Book Antiqua" w:hAnsi="Book Antiqua" w:cs="Times New Roman"/>
          <w:noProof/>
          <w:sz w:val="24"/>
          <w:szCs w:val="24"/>
          <w:vertAlign w:val="superscript"/>
        </w:rPr>
        <w:t>175]</w:t>
      </w:r>
      <w:r w:rsidRPr="00420686">
        <w:rPr>
          <w:rFonts w:ascii="Book Antiqua" w:hAnsi="Book Antiqua" w:cs="Times New Roman"/>
          <w:sz w:val="24"/>
          <w:szCs w:val="24"/>
        </w:rPr>
        <w:t>. TSLP is expressed prima</w:t>
      </w:r>
      <w:r w:rsidR="00F1178C" w:rsidRPr="00420686">
        <w:rPr>
          <w:rFonts w:ascii="Book Antiqua" w:hAnsi="Book Antiqua" w:cs="Times New Roman"/>
          <w:sz w:val="24"/>
          <w:szCs w:val="24"/>
        </w:rPr>
        <w:t>rily in lung and skin epithelia</w:t>
      </w:r>
      <w:r w:rsidRPr="00420686">
        <w:rPr>
          <w:rFonts w:ascii="Book Antiqua" w:hAnsi="Book Antiqua" w:cs="Times New Roman"/>
          <w:noProof/>
          <w:sz w:val="24"/>
          <w:szCs w:val="24"/>
          <w:vertAlign w:val="superscript"/>
        </w:rPr>
        <w:t>[176]</w:t>
      </w:r>
      <w:r w:rsidRPr="00420686">
        <w:rPr>
          <w:rFonts w:ascii="Book Antiqua" w:hAnsi="Book Antiqua" w:cs="Times New Roman"/>
          <w:sz w:val="24"/>
          <w:szCs w:val="24"/>
        </w:rPr>
        <w:t xml:space="preserve"> where it is recognised as a “master switch” from epithelial barrier</w:t>
      </w:r>
      <w:r w:rsidR="00F1178C" w:rsidRPr="00420686">
        <w:rPr>
          <w:rFonts w:ascii="Book Antiqua" w:hAnsi="Book Antiqua" w:cs="Times New Roman"/>
          <w:sz w:val="24"/>
          <w:szCs w:val="24"/>
        </w:rPr>
        <w:t xml:space="preserve"> disruption to Th2 inflammation</w:t>
      </w:r>
      <w:r w:rsidR="00F1178C" w:rsidRPr="00420686">
        <w:rPr>
          <w:rFonts w:ascii="Book Antiqua" w:hAnsi="Book Antiqua" w:cs="Times New Roman"/>
          <w:noProof/>
          <w:sz w:val="24"/>
          <w:szCs w:val="24"/>
          <w:vertAlign w:val="superscript"/>
        </w:rPr>
        <w:t>[177,</w:t>
      </w:r>
      <w:r w:rsidRPr="00420686">
        <w:rPr>
          <w:rFonts w:ascii="Book Antiqua" w:hAnsi="Book Antiqua" w:cs="Times New Roman"/>
          <w:noProof/>
          <w:sz w:val="24"/>
          <w:szCs w:val="24"/>
          <w:vertAlign w:val="superscript"/>
        </w:rPr>
        <w:t>178]</w:t>
      </w:r>
      <w:r w:rsidRPr="00420686">
        <w:rPr>
          <w:rFonts w:ascii="Book Antiqua" w:hAnsi="Book Antiqua" w:cs="Times New Roman"/>
          <w:sz w:val="24"/>
          <w:szCs w:val="24"/>
        </w:rPr>
        <w:t>. Accordingly, TSLP expression is up-regulated in the SC of AD patients compared with heal</w:t>
      </w:r>
      <w:r w:rsidR="00F1178C" w:rsidRPr="00420686">
        <w:rPr>
          <w:rFonts w:ascii="Book Antiqua" w:hAnsi="Book Antiqua" w:cs="Times New Roman"/>
          <w:sz w:val="24"/>
          <w:szCs w:val="24"/>
        </w:rPr>
        <w:t>thy subjects</w:t>
      </w:r>
      <w:r w:rsidRPr="00420686">
        <w:rPr>
          <w:rFonts w:ascii="Book Antiqua" w:hAnsi="Book Antiqua" w:cs="Times New Roman"/>
          <w:noProof/>
          <w:sz w:val="24"/>
          <w:szCs w:val="24"/>
          <w:vertAlign w:val="superscript"/>
        </w:rPr>
        <w:t>[179]</w:t>
      </w:r>
      <w:r w:rsidRPr="00420686">
        <w:rPr>
          <w:rFonts w:ascii="Book Antiqua" w:hAnsi="Book Antiqua" w:cs="Times New Roman"/>
          <w:sz w:val="24"/>
          <w:szCs w:val="24"/>
        </w:rPr>
        <w:t>. Notably, a recent study using mice in which TSLP is selectively and inducibly ablated in epidermal keratinocytes suggests that skin-derived TSLP is essential for skin allergic inflammation and epicutaneous sensitization, which in turn l</w:t>
      </w:r>
      <w:r w:rsidR="00F1178C" w:rsidRPr="00420686">
        <w:rPr>
          <w:rFonts w:ascii="Book Antiqua" w:hAnsi="Book Antiqua" w:cs="Times New Roman"/>
          <w:sz w:val="24"/>
          <w:szCs w:val="24"/>
        </w:rPr>
        <w:t>eads to allergic asthma</w:t>
      </w:r>
      <w:r w:rsidRPr="00420686">
        <w:rPr>
          <w:rFonts w:ascii="Book Antiqua" w:hAnsi="Book Antiqua" w:cs="Times New Roman"/>
          <w:noProof/>
          <w:sz w:val="24"/>
          <w:szCs w:val="24"/>
          <w:vertAlign w:val="superscript"/>
        </w:rPr>
        <w:t>[180]</w:t>
      </w:r>
      <w:r w:rsidRPr="00420686">
        <w:rPr>
          <w:rFonts w:ascii="Book Antiqua" w:hAnsi="Book Antiqua" w:cs="Times New Roman"/>
          <w:sz w:val="24"/>
          <w:szCs w:val="24"/>
        </w:rPr>
        <w:t>. This study, i</w:t>
      </w:r>
      <w:r w:rsidR="00F1178C" w:rsidRPr="00420686">
        <w:rPr>
          <w:rFonts w:ascii="Book Antiqua" w:hAnsi="Book Antiqua" w:cs="Times New Roman"/>
          <w:sz w:val="24"/>
          <w:szCs w:val="24"/>
        </w:rPr>
        <w:t>n contrast to previous findings</w:t>
      </w:r>
      <w:r w:rsidR="00F1178C" w:rsidRPr="00420686">
        <w:rPr>
          <w:rFonts w:ascii="Book Antiqua" w:hAnsi="Book Antiqua" w:cs="Times New Roman"/>
          <w:noProof/>
          <w:sz w:val="24"/>
          <w:szCs w:val="24"/>
          <w:vertAlign w:val="superscript"/>
        </w:rPr>
        <w:t>[181,</w:t>
      </w:r>
      <w:r w:rsidRPr="00420686">
        <w:rPr>
          <w:rFonts w:ascii="Book Antiqua" w:hAnsi="Book Antiqua" w:cs="Times New Roman"/>
          <w:noProof/>
          <w:sz w:val="24"/>
          <w:szCs w:val="24"/>
          <w:vertAlign w:val="superscript"/>
        </w:rPr>
        <w:t>182]</w:t>
      </w:r>
      <w:r w:rsidRPr="00420686">
        <w:rPr>
          <w:rFonts w:ascii="Book Antiqua" w:hAnsi="Book Antiqua" w:cs="Times New Roman"/>
          <w:sz w:val="24"/>
          <w:szCs w:val="24"/>
        </w:rPr>
        <w:t>, indicated that keratinocyte-derived TSLP acts as an essential “adjuvant” to the Th2 response induced by topical allergen treatment, but that skin expression of TSLP caused by barrier disruption alone (</w:t>
      </w:r>
      <w:r w:rsidRPr="00420686">
        <w:rPr>
          <w:rFonts w:ascii="Book Antiqua" w:hAnsi="Book Antiqua" w:cs="Times New Roman"/>
          <w:i/>
          <w:sz w:val="24"/>
          <w:szCs w:val="24"/>
        </w:rPr>
        <w:t>i.e.</w:t>
      </w:r>
      <w:r w:rsidR="00955B11" w:rsidRPr="00420686">
        <w:rPr>
          <w:rFonts w:ascii="Book Antiqua" w:hAnsi="Book Antiqua" w:cs="Times New Roman"/>
          <w:i/>
          <w:sz w:val="24"/>
          <w:szCs w:val="24"/>
          <w:lang w:eastAsia="zh-CN"/>
        </w:rPr>
        <w:t>,</w:t>
      </w:r>
      <w:r w:rsidRPr="00420686">
        <w:rPr>
          <w:rFonts w:ascii="Book Antiqua" w:hAnsi="Book Antiqua" w:cs="Times New Roman"/>
          <w:sz w:val="24"/>
          <w:szCs w:val="24"/>
        </w:rPr>
        <w:t xml:space="preserve"> without allergen) is not sufficient to promote the full inflammatory phenotype. It is also noteworthy that in this model sensitization was achieved through barrier-defective skin (as opposed to intraperitoneal or intra</w:t>
      </w:r>
      <w:r w:rsidR="00F1178C" w:rsidRPr="00420686">
        <w:rPr>
          <w:rFonts w:ascii="Book Antiqua" w:hAnsi="Book Antiqua" w:cs="Times New Roman"/>
          <w:sz w:val="24"/>
          <w:szCs w:val="24"/>
        </w:rPr>
        <w:t>dermal injection of allergen</w:t>
      </w:r>
      <w:r w:rsidR="00F1178C" w:rsidRPr="00420686">
        <w:rPr>
          <w:rFonts w:ascii="Book Antiqua" w:hAnsi="Book Antiqua" w:cs="Times New Roman"/>
          <w:noProof/>
          <w:sz w:val="24"/>
          <w:szCs w:val="24"/>
          <w:vertAlign w:val="superscript"/>
        </w:rPr>
        <w:t>[181,</w:t>
      </w:r>
      <w:r w:rsidRPr="00420686">
        <w:rPr>
          <w:rFonts w:ascii="Book Antiqua" w:hAnsi="Book Antiqua" w:cs="Times New Roman"/>
          <w:noProof/>
          <w:sz w:val="24"/>
          <w:szCs w:val="24"/>
          <w:vertAlign w:val="superscript"/>
        </w:rPr>
        <w:t>183]</w:t>
      </w:r>
      <w:r w:rsidRPr="00420686">
        <w:rPr>
          <w:rFonts w:ascii="Book Antiqua" w:hAnsi="Book Antiqua" w:cs="Times New Roman"/>
          <w:sz w:val="24"/>
          <w:szCs w:val="24"/>
        </w:rPr>
        <w:t>), followed by airway challenge, conditions representative of those in human AD. Airway inflammation appears to require an antigen-specific memory CD4</w:t>
      </w:r>
      <w:r w:rsidRPr="00420686">
        <w:rPr>
          <w:rFonts w:ascii="Book Antiqua" w:hAnsi="Book Antiqua" w:cs="Times New Roman"/>
          <w:sz w:val="24"/>
          <w:szCs w:val="24"/>
          <w:vertAlign w:val="superscript"/>
        </w:rPr>
        <w:t>+</w:t>
      </w:r>
      <w:r w:rsidRPr="00420686">
        <w:rPr>
          <w:rFonts w:ascii="Book Antiqua" w:hAnsi="Book Antiqua" w:cs="Times New Roman"/>
          <w:sz w:val="24"/>
          <w:szCs w:val="24"/>
        </w:rPr>
        <w:t xml:space="preserve"> T cell response </w:t>
      </w:r>
      <w:r w:rsidRPr="00420686">
        <w:rPr>
          <w:rFonts w:ascii="Book Antiqua" w:hAnsi="Book Antiqua" w:cs="Times New Roman"/>
          <w:noProof/>
          <w:sz w:val="24"/>
          <w:szCs w:val="24"/>
          <w:vertAlign w:val="superscript"/>
        </w:rPr>
        <w:t>[180, 183]</w:t>
      </w:r>
      <w:r w:rsidRPr="00420686">
        <w:rPr>
          <w:rFonts w:ascii="Book Antiqua" w:hAnsi="Book Antiqua" w:cs="Times New Roman"/>
          <w:sz w:val="24"/>
          <w:szCs w:val="24"/>
        </w:rPr>
        <w:t>, but occurs independently of TSLP pres</w:t>
      </w:r>
      <w:r w:rsidR="00F1178C" w:rsidRPr="00420686">
        <w:rPr>
          <w:rFonts w:ascii="Book Antiqua" w:hAnsi="Book Antiqua" w:cs="Times New Roman"/>
          <w:sz w:val="24"/>
          <w:szCs w:val="24"/>
        </w:rPr>
        <w:t>ence in the lung</w:t>
      </w:r>
      <w:r w:rsidR="00F1178C" w:rsidRPr="00420686">
        <w:rPr>
          <w:rFonts w:ascii="Book Antiqua" w:hAnsi="Book Antiqua" w:cs="Times New Roman"/>
          <w:noProof/>
          <w:sz w:val="24"/>
          <w:szCs w:val="24"/>
          <w:vertAlign w:val="superscript"/>
        </w:rPr>
        <w:t>[175,180,</w:t>
      </w:r>
      <w:r w:rsidRPr="00420686">
        <w:rPr>
          <w:rFonts w:ascii="Book Antiqua" w:hAnsi="Book Antiqua" w:cs="Times New Roman"/>
          <w:noProof/>
          <w:sz w:val="24"/>
          <w:szCs w:val="24"/>
          <w:vertAlign w:val="superscript"/>
        </w:rPr>
        <w:t>183]</w:t>
      </w:r>
      <w:r w:rsidR="00F1178C" w:rsidRPr="00420686">
        <w:rPr>
          <w:rFonts w:ascii="Book Antiqua" w:hAnsi="Book Antiqua" w:cs="Times New Roman"/>
          <w:sz w:val="24"/>
          <w:szCs w:val="24"/>
        </w:rPr>
        <w:t xml:space="preserve"> and circulating TSLP</w:t>
      </w:r>
      <w:r w:rsidRPr="00420686">
        <w:rPr>
          <w:rFonts w:ascii="Book Antiqua" w:hAnsi="Book Antiqua" w:cs="Times New Roman"/>
          <w:noProof/>
          <w:sz w:val="24"/>
          <w:szCs w:val="24"/>
          <w:vertAlign w:val="superscript"/>
        </w:rPr>
        <w:t>[183]</w:t>
      </w:r>
      <w:r w:rsidRPr="00420686">
        <w:rPr>
          <w:rFonts w:ascii="Book Antiqua" w:hAnsi="Book Antiqua" w:cs="Times New Roman"/>
          <w:sz w:val="24"/>
          <w:szCs w:val="24"/>
        </w:rPr>
        <w:t xml:space="preserve">, suggesting that skin-derived TSLP is both necessary and sufficient for manifestation of asthma symptoms.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The relative importance of TSLP in the human atopic march remains to be clarified. A recent study in an American paediatric AD cohort identified the </w:t>
      </w:r>
      <w:r w:rsidRPr="00420686">
        <w:rPr>
          <w:rFonts w:ascii="Book Antiqua" w:hAnsi="Book Antiqua" w:cs="Times New Roman"/>
          <w:i/>
          <w:sz w:val="24"/>
          <w:szCs w:val="24"/>
        </w:rPr>
        <w:t xml:space="preserve">TSLP </w:t>
      </w:r>
      <w:r w:rsidRPr="00420686">
        <w:rPr>
          <w:rFonts w:ascii="Book Antiqua" w:hAnsi="Book Antiqua" w:cs="Times New Roman"/>
          <w:sz w:val="24"/>
          <w:szCs w:val="24"/>
        </w:rPr>
        <w:t xml:space="preserve">variant rs1898671 (which produces attenuated TSLP) as protective against the development of persistent AD </w:t>
      </w:r>
      <w:r w:rsidRPr="00420686">
        <w:rPr>
          <w:rFonts w:ascii="Book Antiqua" w:hAnsi="Book Antiqua" w:cs="Times New Roman"/>
          <w:noProof/>
          <w:sz w:val="24"/>
          <w:szCs w:val="24"/>
          <w:vertAlign w:val="superscript"/>
        </w:rPr>
        <w:t>[184]</w:t>
      </w:r>
      <w:r w:rsidRPr="00420686">
        <w:rPr>
          <w:rFonts w:ascii="Book Antiqua" w:hAnsi="Book Antiqua" w:cs="Times New Roman"/>
          <w:sz w:val="24"/>
          <w:szCs w:val="24"/>
        </w:rPr>
        <w:t xml:space="preserve"> however no association with</w:t>
      </w:r>
      <w:r w:rsidR="00F1178C" w:rsidRPr="00420686">
        <w:rPr>
          <w:rFonts w:ascii="Book Antiqua" w:hAnsi="Book Antiqua" w:cs="Times New Roman"/>
          <w:sz w:val="24"/>
          <w:szCs w:val="24"/>
        </w:rPr>
        <w:t xml:space="preserve"> comorbid asthma was identified</w:t>
      </w:r>
      <w:r w:rsidRPr="00420686">
        <w:rPr>
          <w:rFonts w:ascii="Book Antiqua" w:hAnsi="Book Antiqua" w:cs="Times New Roman"/>
          <w:noProof/>
          <w:sz w:val="24"/>
          <w:szCs w:val="24"/>
          <w:vertAlign w:val="superscript"/>
        </w:rPr>
        <w:t>[184]</w:t>
      </w:r>
      <w:r w:rsidRPr="00420686">
        <w:rPr>
          <w:rFonts w:ascii="Book Antiqua" w:hAnsi="Book Antiqua" w:cs="Times New Roman"/>
          <w:sz w:val="24"/>
          <w:szCs w:val="24"/>
        </w:rPr>
        <w:t>.</w:t>
      </w:r>
      <w:r w:rsidRPr="00420686">
        <w:rPr>
          <w:rFonts w:ascii="Book Antiqua" w:hAnsi="Book Antiqua" w:cs="Times New Roman"/>
          <w:b/>
          <w:i/>
          <w:sz w:val="24"/>
          <w:szCs w:val="24"/>
        </w:rPr>
        <w:t xml:space="preserve"> </w:t>
      </w:r>
      <w:r w:rsidRPr="00420686">
        <w:rPr>
          <w:rFonts w:ascii="Book Antiqua" w:hAnsi="Book Antiqua" w:cs="Times New Roman"/>
          <w:sz w:val="24"/>
          <w:szCs w:val="24"/>
        </w:rPr>
        <w:t xml:space="preserve">It has further been demonstrated that risk of childhood asthma is influenced by epistasis between </w:t>
      </w:r>
      <w:r w:rsidRPr="00420686">
        <w:rPr>
          <w:rFonts w:ascii="Book Antiqua" w:hAnsi="Book Antiqua" w:cs="Times New Roman"/>
          <w:i/>
          <w:sz w:val="24"/>
          <w:szCs w:val="24"/>
        </w:rPr>
        <w:t xml:space="preserve">SPINK5 </w:t>
      </w:r>
      <w:r w:rsidRPr="00420686">
        <w:rPr>
          <w:rFonts w:ascii="Book Antiqua" w:hAnsi="Book Antiqua" w:cs="Times New Roman"/>
          <w:sz w:val="24"/>
          <w:szCs w:val="24"/>
        </w:rPr>
        <w:t xml:space="preserve">and </w:t>
      </w:r>
      <w:r w:rsidR="00F1178C" w:rsidRPr="00420686">
        <w:rPr>
          <w:rFonts w:ascii="Book Antiqua" w:hAnsi="Book Antiqua" w:cs="Times New Roman"/>
          <w:i/>
          <w:sz w:val="24"/>
          <w:szCs w:val="24"/>
        </w:rPr>
        <w:t>TSLP</w:t>
      </w:r>
      <w:r w:rsidRPr="00420686">
        <w:rPr>
          <w:rFonts w:ascii="Book Antiqua" w:hAnsi="Book Antiqua" w:cs="Times New Roman"/>
          <w:noProof/>
          <w:sz w:val="24"/>
          <w:szCs w:val="24"/>
          <w:vertAlign w:val="superscript"/>
        </w:rPr>
        <w:t>[185]</w:t>
      </w:r>
      <w:r w:rsidRPr="00420686">
        <w:rPr>
          <w:rFonts w:ascii="Book Antiqua" w:hAnsi="Book Antiqua" w:cs="Times New Roman"/>
          <w:sz w:val="24"/>
          <w:szCs w:val="24"/>
        </w:rPr>
        <w:t>.</w:t>
      </w:r>
      <w:r w:rsidRPr="00420686">
        <w:rPr>
          <w:rFonts w:ascii="Book Antiqua" w:hAnsi="Book Antiqua" w:cs="Times New Roman"/>
          <w:i/>
          <w:sz w:val="24"/>
          <w:szCs w:val="24"/>
        </w:rPr>
        <w:t xml:space="preserve"> </w:t>
      </w:r>
      <w:r w:rsidRPr="00420686">
        <w:rPr>
          <w:rFonts w:ascii="Book Antiqua" w:hAnsi="Book Antiqua" w:cs="Times New Roman"/>
          <w:sz w:val="24"/>
          <w:szCs w:val="24"/>
        </w:rPr>
        <w:t xml:space="preserve">The authors postulate that </w:t>
      </w:r>
      <w:r w:rsidRPr="00420686">
        <w:rPr>
          <w:rFonts w:ascii="Book Antiqua" w:hAnsi="Book Antiqua" w:cs="Times New Roman"/>
          <w:i/>
          <w:sz w:val="24"/>
          <w:szCs w:val="24"/>
        </w:rPr>
        <w:t>TSLP</w:t>
      </w:r>
      <w:r w:rsidRPr="00420686">
        <w:rPr>
          <w:rFonts w:ascii="Book Antiqua" w:hAnsi="Book Antiqua" w:cs="Times New Roman"/>
          <w:sz w:val="24"/>
          <w:szCs w:val="24"/>
        </w:rPr>
        <w:t xml:space="preserve"> and </w:t>
      </w:r>
      <w:r w:rsidRPr="00420686">
        <w:rPr>
          <w:rFonts w:ascii="Book Antiqua" w:hAnsi="Book Antiqua" w:cs="Times New Roman"/>
          <w:i/>
          <w:sz w:val="24"/>
          <w:szCs w:val="24"/>
        </w:rPr>
        <w:t>SPINK5</w:t>
      </w:r>
      <w:r w:rsidRPr="00420686">
        <w:rPr>
          <w:rFonts w:ascii="Book Antiqua" w:hAnsi="Book Antiqua" w:cs="Times New Roman"/>
          <w:sz w:val="24"/>
          <w:szCs w:val="24"/>
        </w:rPr>
        <w:t xml:space="preserve"> function in a common pathway in which LEKTI deficiency ultimately leads to TSLP production, an exaggerated Th2 response</w:t>
      </w:r>
      <w:r w:rsidR="00F1178C" w:rsidRPr="00420686">
        <w:rPr>
          <w:rFonts w:ascii="Book Antiqua" w:hAnsi="Book Antiqua" w:cs="Times New Roman"/>
          <w:sz w:val="24"/>
          <w:szCs w:val="24"/>
        </w:rPr>
        <w:t xml:space="preserve"> and allergic lung inflammation</w:t>
      </w:r>
      <w:r w:rsidRPr="00420686">
        <w:rPr>
          <w:rFonts w:ascii="Book Antiqua" w:hAnsi="Book Antiqua" w:cs="Times New Roman"/>
          <w:noProof/>
          <w:sz w:val="24"/>
          <w:szCs w:val="24"/>
          <w:vertAlign w:val="superscript"/>
        </w:rPr>
        <w:t>[185]</w:t>
      </w:r>
      <w:r w:rsidRPr="00420686">
        <w:rPr>
          <w:rFonts w:ascii="Book Antiqua" w:hAnsi="Book Antiqua" w:cs="Times New Roman"/>
          <w:sz w:val="24"/>
          <w:szCs w:val="24"/>
        </w:rPr>
        <w:t>. Although the analysed cohort comprised both asthmatic patients with and without concomitant AD, these findings support the view that the systemic consequences of an epidermal pathway are sufficient to induce inflammation at remote epithelia in the human atopic march (Figure 3). Thus it will be interesting to see if evidence for a similar pathway in patients with AD-associated asthma emerges in the coming years. Together, the above findings reinforce the attractive idea that early and aggressive intervention directed towards the skin barrier may impede the progression from AD to subsequent airway inflammation in atopic patients.</w:t>
      </w:r>
    </w:p>
    <w:p w:rsidR="008B389C" w:rsidRPr="00420686" w:rsidRDefault="008B389C" w:rsidP="00420686">
      <w:pPr>
        <w:spacing w:after="0" w:line="360" w:lineRule="auto"/>
        <w:jc w:val="both"/>
        <w:rPr>
          <w:rFonts w:ascii="Book Antiqua" w:hAnsi="Book Antiqua" w:cs="Times New Roman"/>
          <w:sz w:val="24"/>
          <w:szCs w:val="24"/>
        </w:rPr>
      </w:pP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b/>
          <w:sz w:val="24"/>
          <w:szCs w:val="24"/>
        </w:rPr>
        <w:t>CLINICAL IMPLICATIONS: A PARADIGM FOR THERAPY?</w:t>
      </w:r>
      <w:r w:rsidRPr="00420686">
        <w:rPr>
          <w:rFonts w:ascii="Book Antiqua" w:hAnsi="Book Antiqua" w:cs="Times New Roman"/>
          <w:sz w:val="24"/>
          <w:szCs w:val="24"/>
        </w:rPr>
        <w:t xml:space="preserve"> </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 xml:space="preserve">The pathogenic mechanisms described above create a strong case for prioritising protection and restoration of the skin barrier in atopic individuals. The current foundations of general AD management include the avoidance of triggering factors and optimal skin care </w:t>
      </w:r>
      <w:r w:rsidRPr="00420686">
        <w:rPr>
          <w:rFonts w:ascii="Book Antiqua" w:hAnsi="Book Antiqua" w:cs="Times New Roman"/>
          <w:noProof/>
          <w:sz w:val="24"/>
          <w:szCs w:val="24"/>
          <w:vertAlign w:val="superscript"/>
        </w:rPr>
        <w:t>[165]</w:t>
      </w:r>
      <w:r w:rsidRPr="00420686">
        <w:rPr>
          <w:rFonts w:ascii="Book Antiqua" w:hAnsi="Book Antiqua" w:cs="Times New Roman"/>
          <w:sz w:val="24"/>
          <w:szCs w:val="24"/>
        </w:rPr>
        <w:t>, with efforts to address epidermal barrier defects centred on the regular use of emollients. Emollients help to hydra</w:t>
      </w:r>
      <w:r w:rsidR="00F1178C" w:rsidRPr="00420686">
        <w:rPr>
          <w:rFonts w:ascii="Book Antiqua" w:hAnsi="Book Antiqua" w:cs="Times New Roman"/>
          <w:sz w:val="24"/>
          <w:szCs w:val="24"/>
        </w:rPr>
        <w:t>te the skin and soothe pruritus</w:t>
      </w:r>
      <w:r w:rsidRPr="00420686">
        <w:rPr>
          <w:rFonts w:ascii="Book Antiqua" w:hAnsi="Book Antiqua" w:cs="Times New Roman"/>
          <w:noProof/>
          <w:sz w:val="24"/>
          <w:szCs w:val="24"/>
          <w:vertAlign w:val="superscript"/>
        </w:rPr>
        <w:t>[186]</w:t>
      </w:r>
      <w:r w:rsidRPr="00420686">
        <w:rPr>
          <w:rFonts w:ascii="Book Antiqua" w:hAnsi="Book Antiqua" w:cs="Times New Roman"/>
          <w:sz w:val="24"/>
          <w:szCs w:val="24"/>
        </w:rPr>
        <w:t>; when applied liberally, they can provide a short-term artificial barrier to reduce TEWL and protect against the penetration of allergens and irritants. The benefits of emollient therapy in controlling the cutaneous symptoms of AD are accepted on t</w:t>
      </w:r>
      <w:r w:rsidR="00F1178C" w:rsidRPr="00420686">
        <w:rPr>
          <w:rFonts w:ascii="Book Antiqua" w:hAnsi="Book Antiqua" w:cs="Times New Roman"/>
          <w:sz w:val="24"/>
          <w:szCs w:val="24"/>
        </w:rPr>
        <w:t>he basis of clinical experience</w:t>
      </w:r>
      <w:r w:rsidRPr="00420686">
        <w:rPr>
          <w:rFonts w:ascii="Book Antiqua" w:hAnsi="Book Antiqua" w:cs="Times New Roman"/>
          <w:noProof/>
          <w:sz w:val="24"/>
          <w:szCs w:val="24"/>
          <w:vertAlign w:val="superscript"/>
        </w:rPr>
        <w:t>[186]</w:t>
      </w:r>
      <w:r w:rsidRPr="00420686">
        <w:rPr>
          <w:rFonts w:ascii="Book Antiqua" w:hAnsi="Book Antiqua" w:cs="Times New Roman"/>
          <w:sz w:val="24"/>
          <w:szCs w:val="24"/>
        </w:rPr>
        <w:t>. A recent feasibility study of early emollient therapy for AD prevention has shown promising preliminary results</w:t>
      </w:r>
      <w:r w:rsidRPr="00420686">
        <w:rPr>
          <w:rFonts w:ascii="Book Antiqua" w:hAnsi="Book Antiqua" w:cs="Times New Roman"/>
          <w:noProof/>
          <w:sz w:val="24"/>
          <w:szCs w:val="24"/>
          <w:vertAlign w:val="superscript"/>
        </w:rPr>
        <w:t>[187]</w:t>
      </w:r>
      <w:r w:rsidRPr="00420686">
        <w:rPr>
          <w:rFonts w:ascii="Book Antiqua" w:hAnsi="Book Antiqua" w:cs="Times New Roman"/>
          <w:sz w:val="24"/>
          <w:szCs w:val="24"/>
        </w:rPr>
        <w:t>, but further trials are warranted before the efficacy of this approach can be confirmed. Thus far, emollient monotherapy has rarely proved sufficient for disease resolution in moderate-to-severe AD, in which the use of anti-inflammatory agents is often necess</w:t>
      </w:r>
      <w:r w:rsidR="00F1178C" w:rsidRPr="00420686">
        <w:rPr>
          <w:rFonts w:ascii="Book Antiqua" w:hAnsi="Book Antiqua" w:cs="Times New Roman"/>
          <w:sz w:val="24"/>
          <w:szCs w:val="24"/>
        </w:rPr>
        <w:t>ary for exacerbation management</w:t>
      </w:r>
      <w:r w:rsidRPr="00420686">
        <w:rPr>
          <w:rFonts w:ascii="Book Antiqua" w:hAnsi="Book Antiqua" w:cs="Times New Roman"/>
          <w:noProof/>
          <w:sz w:val="24"/>
          <w:szCs w:val="24"/>
          <w:vertAlign w:val="superscript"/>
        </w:rPr>
        <w:t>[165]</w:t>
      </w:r>
      <w:r w:rsidRPr="00420686">
        <w:rPr>
          <w:rFonts w:ascii="Book Antiqua" w:hAnsi="Book Antiqua" w:cs="Times New Roman"/>
          <w:sz w:val="24"/>
          <w:szCs w:val="24"/>
        </w:rPr>
        <w:t>.</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However, corticosteroids and topical calcineurin inhibitors are associated with a spectrum of cuta</w:t>
      </w:r>
      <w:r w:rsidR="00F1178C" w:rsidRPr="00420686">
        <w:rPr>
          <w:rFonts w:ascii="Book Antiqua" w:hAnsi="Book Antiqua" w:cs="Times New Roman"/>
          <w:sz w:val="24"/>
          <w:szCs w:val="24"/>
        </w:rPr>
        <w:t>neous and systemic side effects</w:t>
      </w:r>
      <w:r w:rsidR="00F1178C" w:rsidRPr="00420686">
        <w:rPr>
          <w:rFonts w:ascii="Book Antiqua" w:hAnsi="Book Antiqua" w:cs="Times New Roman"/>
          <w:noProof/>
          <w:sz w:val="24"/>
          <w:szCs w:val="24"/>
          <w:vertAlign w:val="superscript"/>
        </w:rPr>
        <w:t>[165,</w:t>
      </w:r>
      <w:r w:rsidRPr="00420686">
        <w:rPr>
          <w:rFonts w:ascii="Book Antiqua" w:hAnsi="Book Antiqua" w:cs="Times New Roman"/>
          <w:noProof/>
          <w:sz w:val="24"/>
          <w:szCs w:val="24"/>
          <w:vertAlign w:val="superscript"/>
        </w:rPr>
        <w:t>188]</w:t>
      </w:r>
      <w:r w:rsidRPr="00420686">
        <w:rPr>
          <w:rFonts w:ascii="Book Antiqua" w:hAnsi="Book Antiqua" w:cs="Times New Roman"/>
          <w:sz w:val="24"/>
          <w:szCs w:val="24"/>
        </w:rPr>
        <w:t xml:space="preserve"> including the impairment of both permeability and antimicrobi</w:t>
      </w:r>
      <w:r w:rsidR="00F1178C" w:rsidRPr="00420686">
        <w:rPr>
          <w:rFonts w:ascii="Book Antiqua" w:hAnsi="Book Antiqua" w:cs="Times New Roman"/>
          <w:sz w:val="24"/>
          <w:szCs w:val="24"/>
        </w:rPr>
        <w:t>al barrier functions in AD skin</w:t>
      </w:r>
      <w:r w:rsidRPr="00420686">
        <w:rPr>
          <w:rFonts w:ascii="Book Antiqua" w:hAnsi="Book Antiqua" w:cs="Times New Roman"/>
          <w:noProof/>
          <w:sz w:val="24"/>
          <w:szCs w:val="24"/>
          <w:vertAlign w:val="superscript"/>
        </w:rPr>
        <w:t>[189-191]</w:t>
      </w:r>
      <w:r w:rsidRPr="00420686">
        <w:rPr>
          <w:rFonts w:ascii="Book Antiqua" w:hAnsi="Book Antiqua" w:cs="Times New Roman"/>
          <w:sz w:val="24"/>
          <w:szCs w:val="24"/>
        </w:rPr>
        <w:t>. Interestingly, selected emollients have also been reported to disrupt the skin barrier. The majority of over-the-counter (OTC) moisturisers contain non-physiological ingredients (</w:t>
      </w:r>
      <w:r w:rsidRPr="00420686">
        <w:rPr>
          <w:rFonts w:ascii="Book Antiqua" w:hAnsi="Book Antiqua" w:cs="Times New Roman"/>
          <w:i/>
          <w:sz w:val="24"/>
          <w:szCs w:val="24"/>
        </w:rPr>
        <w:t>e.g.</w:t>
      </w:r>
      <w:r w:rsidR="00F1178C" w:rsidRPr="00420686">
        <w:rPr>
          <w:rFonts w:ascii="Book Antiqua" w:hAnsi="Book Antiqua" w:cs="Times New Roman"/>
          <w:i/>
          <w:sz w:val="24"/>
          <w:szCs w:val="24"/>
          <w:lang w:eastAsia="zh-CN"/>
        </w:rPr>
        <w:t>,</w:t>
      </w:r>
      <w:r w:rsidRPr="00420686">
        <w:rPr>
          <w:rFonts w:ascii="Book Antiqua" w:hAnsi="Book Antiqua" w:cs="Times New Roman"/>
          <w:sz w:val="24"/>
          <w:szCs w:val="24"/>
        </w:rPr>
        <w:t xml:space="preserve"> petrolatum and lanolin) which function by undefined biological mechanisms and in certain cases have been found to compromise SC integrity</w:t>
      </w:r>
      <w:r w:rsidR="00F1178C" w:rsidRPr="00420686">
        <w:rPr>
          <w:rFonts w:ascii="Book Antiqua" w:hAnsi="Book Antiqua" w:cs="Times New Roman"/>
          <w:sz w:val="24"/>
          <w:szCs w:val="24"/>
        </w:rPr>
        <w:t>, permeability barrier function</w:t>
      </w:r>
      <w:r w:rsidRPr="00420686">
        <w:rPr>
          <w:rFonts w:ascii="Book Antiqua" w:hAnsi="Book Antiqua" w:cs="Times New Roman"/>
          <w:noProof/>
          <w:sz w:val="24"/>
          <w:szCs w:val="24"/>
          <w:vertAlign w:val="superscript"/>
        </w:rPr>
        <w:t>[192]</w:t>
      </w:r>
      <w:r w:rsidR="00F1178C" w:rsidRPr="00420686">
        <w:rPr>
          <w:rFonts w:ascii="Book Antiqua" w:hAnsi="Book Antiqua" w:cs="Times New Roman"/>
          <w:sz w:val="24"/>
          <w:szCs w:val="24"/>
        </w:rPr>
        <w:t xml:space="preserve"> and epidermal differentiation</w:t>
      </w:r>
      <w:r w:rsidRPr="00420686">
        <w:rPr>
          <w:rFonts w:ascii="Book Antiqua" w:hAnsi="Book Antiqua" w:cs="Times New Roman"/>
          <w:noProof/>
          <w:sz w:val="24"/>
          <w:szCs w:val="24"/>
          <w:vertAlign w:val="superscript"/>
        </w:rPr>
        <w:t>[193]</w:t>
      </w:r>
      <w:r w:rsidRPr="00420686">
        <w:rPr>
          <w:rFonts w:ascii="Book Antiqua" w:hAnsi="Book Antiqua" w:cs="Times New Roman"/>
          <w:sz w:val="24"/>
          <w:szCs w:val="24"/>
        </w:rPr>
        <w:t>. The above findings, together with recent advances in our understanding of skin pathophysiology, have shifted interest towards novel ‘barrier replacement strategies’. Such therapies aim to correct underlying biochemical abnormalities; they are based upon physiological components and may therefore minimise the likelih</w:t>
      </w:r>
      <w:r w:rsidR="00F1178C" w:rsidRPr="00420686">
        <w:rPr>
          <w:rFonts w:ascii="Book Antiqua" w:hAnsi="Book Antiqua" w:cs="Times New Roman"/>
          <w:sz w:val="24"/>
          <w:szCs w:val="24"/>
        </w:rPr>
        <w:t>ood of an unfavourable response</w:t>
      </w:r>
      <w:r w:rsidRPr="00420686">
        <w:rPr>
          <w:rFonts w:ascii="Book Antiqua" w:hAnsi="Book Antiqua" w:cs="Times New Roman"/>
          <w:noProof/>
          <w:sz w:val="24"/>
          <w:szCs w:val="24"/>
          <w:vertAlign w:val="superscript"/>
        </w:rPr>
        <w:t>[194]</w:t>
      </w:r>
      <w:r w:rsidRPr="00420686">
        <w:rPr>
          <w:rFonts w:ascii="Book Antiqua" w:hAnsi="Book Antiqua" w:cs="Times New Roman"/>
          <w:sz w:val="24"/>
          <w:szCs w:val="24"/>
        </w:rPr>
        <w:t>. For instance, prescription barrier repair creams (BRCs) are based on SC lipids and differ from their non-physiological counterparts in that they are taken up by keratinocytes, packaged into LBs and ultimately sec</w:t>
      </w:r>
      <w:r w:rsidR="00F1178C" w:rsidRPr="00420686">
        <w:rPr>
          <w:rFonts w:ascii="Book Antiqua" w:hAnsi="Book Antiqua" w:cs="Times New Roman"/>
          <w:sz w:val="24"/>
          <w:szCs w:val="24"/>
        </w:rPr>
        <w:t>reted to form lamellar bilayers</w:t>
      </w:r>
      <w:r w:rsidRPr="00420686">
        <w:rPr>
          <w:rFonts w:ascii="Book Antiqua" w:hAnsi="Book Antiqua" w:cs="Times New Roman"/>
          <w:noProof/>
          <w:sz w:val="24"/>
          <w:szCs w:val="24"/>
          <w:vertAlign w:val="superscript"/>
        </w:rPr>
        <w:t>[195]</w:t>
      </w:r>
      <w:r w:rsidRPr="00420686">
        <w:rPr>
          <w:rFonts w:ascii="Book Antiqua" w:hAnsi="Book Antiqua" w:cs="Times New Roman"/>
          <w:sz w:val="24"/>
          <w:szCs w:val="24"/>
        </w:rPr>
        <w:t>. In accordance with the lipid deficits in AD skin, a number of “designer” ceramide-dominant and triple-lipid-based barrier repair formulations have</w:t>
      </w:r>
      <w:r w:rsidR="00F1178C" w:rsidRPr="00420686">
        <w:rPr>
          <w:rFonts w:ascii="Book Antiqua" w:hAnsi="Book Antiqua" w:cs="Times New Roman"/>
          <w:sz w:val="24"/>
          <w:szCs w:val="24"/>
        </w:rPr>
        <w:t xml:space="preserve"> now been tested in AD patients</w:t>
      </w:r>
      <w:r w:rsidRPr="00420686">
        <w:rPr>
          <w:rFonts w:ascii="Book Antiqua" w:hAnsi="Book Antiqua" w:cs="Times New Roman"/>
          <w:noProof/>
          <w:sz w:val="24"/>
          <w:szCs w:val="24"/>
          <w:vertAlign w:val="superscript"/>
        </w:rPr>
        <w:t>[196]</w:t>
      </w:r>
      <w:r w:rsidRPr="00420686">
        <w:rPr>
          <w:rFonts w:ascii="Book Antiqua" w:hAnsi="Book Antiqua" w:cs="Times New Roman"/>
          <w:sz w:val="24"/>
          <w:szCs w:val="24"/>
        </w:rPr>
        <w:t>. Trials of one ceramide-dominant BRC demonstrated significant</w:t>
      </w:r>
      <w:r w:rsidR="00F1178C" w:rsidRPr="00420686">
        <w:rPr>
          <w:rFonts w:ascii="Book Antiqua" w:hAnsi="Book Antiqua" w:cs="Times New Roman"/>
          <w:sz w:val="24"/>
          <w:szCs w:val="24"/>
        </w:rPr>
        <w:t xml:space="preserve"> reductions in disease severity</w:t>
      </w:r>
      <w:r w:rsidR="00F1178C" w:rsidRPr="00420686">
        <w:rPr>
          <w:rFonts w:ascii="Book Antiqua" w:hAnsi="Book Antiqua" w:cs="Times New Roman"/>
          <w:noProof/>
          <w:sz w:val="24"/>
          <w:szCs w:val="24"/>
          <w:vertAlign w:val="superscript"/>
        </w:rPr>
        <w:t>[197,</w:t>
      </w:r>
      <w:r w:rsidRPr="00420686">
        <w:rPr>
          <w:rFonts w:ascii="Book Antiqua" w:hAnsi="Book Antiqua" w:cs="Times New Roman"/>
          <w:noProof/>
          <w:sz w:val="24"/>
          <w:szCs w:val="24"/>
          <w:vertAlign w:val="superscript"/>
        </w:rPr>
        <w:t>198]</w:t>
      </w:r>
      <w:r w:rsidRPr="00420686">
        <w:rPr>
          <w:rFonts w:ascii="Book Antiqua" w:hAnsi="Book Antiqua" w:cs="Times New Roman"/>
          <w:sz w:val="24"/>
          <w:szCs w:val="24"/>
        </w:rPr>
        <w:t xml:space="preserve"> and marked restoration of the epidermal barrier when used as adjunct</w:t>
      </w:r>
      <w:r w:rsidR="00F1178C" w:rsidRPr="00420686">
        <w:rPr>
          <w:rFonts w:ascii="Book Antiqua" w:hAnsi="Book Antiqua" w:cs="Times New Roman"/>
          <w:sz w:val="24"/>
          <w:szCs w:val="24"/>
        </w:rPr>
        <w:t xml:space="preserve"> to topical anti-inflammatories</w:t>
      </w:r>
      <w:r w:rsidRPr="00420686">
        <w:rPr>
          <w:rFonts w:ascii="Book Antiqua" w:hAnsi="Book Antiqua" w:cs="Times New Roman"/>
          <w:noProof/>
          <w:sz w:val="24"/>
          <w:szCs w:val="24"/>
          <w:vertAlign w:val="superscript"/>
        </w:rPr>
        <w:t>[197]</w:t>
      </w:r>
      <w:r w:rsidRPr="00420686">
        <w:rPr>
          <w:rFonts w:ascii="Book Antiqua" w:hAnsi="Book Antiqua" w:cs="Times New Roman"/>
          <w:sz w:val="24"/>
          <w:szCs w:val="24"/>
        </w:rPr>
        <w:t>. Moreover, improvements in severity, pruritus and sleep were comparable to the</w:t>
      </w:r>
      <w:r w:rsidR="00F1178C" w:rsidRPr="00420686">
        <w:rPr>
          <w:rFonts w:ascii="Book Antiqua" w:hAnsi="Book Antiqua" w:cs="Times New Roman"/>
          <w:sz w:val="24"/>
          <w:szCs w:val="24"/>
        </w:rPr>
        <w:t xml:space="preserve"> effects of the TCS fluticasone</w:t>
      </w:r>
      <w:r w:rsidRPr="00420686">
        <w:rPr>
          <w:rFonts w:ascii="Book Antiqua" w:hAnsi="Book Antiqua" w:cs="Times New Roman"/>
          <w:noProof/>
          <w:sz w:val="24"/>
          <w:szCs w:val="24"/>
          <w:vertAlign w:val="superscript"/>
        </w:rPr>
        <w:t>[198]</w:t>
      </w:r>
      <w:r w:rsidRPr="00420686">
        <w:rPr>
          <w:rFonts w:ascii="Book Antiqua" w:hAnsi="Book Antiqua" w:cs="Times New Roman"/>
          <w:sz w:val="24"/>
          <w:szCs w:val="24"/>
        </w:rPr>
        <w:t>, suggesting that BRCs hold potential steroid-sparing effects. However small study size, variation in study design, commercial pressures and the possibility of publication bias make such data difficult to interpret. Furthermore, it is worth noting that the direct comparison of OTC emollients with BRCs has demonstrated equal efficacy for the t</w:t>
      </w:r>
      <w:r w:rsidR="00F1178C" w:rsidRPr="00420686">
        <w:rPr>
          <w:rFonts w:ascii="Book Antiqua" w:hAnsi="Book Antiqua" w:cs="Times New Roman"/>
          <w:sz w:val="24"/>
          <w:szCs w:val="24"/>
        </w:rPr>
        <w:t>reatment of mild-to-moderate AD</w:t>
      </w:r>
      <w:r w:rsidRPr="00420686">
        <w:rPr>
          <w:rFonts w:ascii="Book Antiqua" w:hAnsi="Book Antiqua" w:cs="Times New Roman"/>
          <w:noProof/>
          <w:sz w:val="24"/>
          <w:szCs w:val="24"/>
          <w:vertAlign w:val="superscript"/>
        </w:rPr>
        <w:t>[199]</w:t>
      </w:r>
      <w:r w:rsidRPr="00420686">
        <w:rPr>
          <w:rFonts w:ascii="Book Antiqua" w:hAnsi="Book Antiqua" w:cs="Times New Roman"/>
          <w:sz w:val="24"/>
          <w:szCs w:val="24"/>
        </w:rPr>
        <w:t>, with a notably significant cost disparity between the two treatments. Thus the prescription of BRCs over cheaper and simpler OTC alternatives remains contentious. Large-scale randomized control trials will be necessary to determine whether BRCs are indeed superior for long-term management of AD.</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The identification of filaggrin deficiency as a strong predisposing factor for atopic disorders has opened the prospect of filaggrin or NMF restoration as another barrier repair strategy. Topically applied recombinant filaggrin peptide has been shown to penetrate to the SG of reconstructed human epidermis, and is internalised and processed to restore epidermal structure in </w:t>
      </w:r>
      <w:r w:rsidRPr="00420686">
        <w:rPr>
          <w:rFonts w:ascii="Book Antiqua" w:hAnsi="Book Antiqua" w:cs="Times New Roman"/>
          <w:i/>
          <w:sz w:val="24"/>
          <w:szCs w:val="24"/>
        </w:rPr>
        <w:t>maft</w:t>
      </w:r>
      <w:r w:rsidR="00F1178C" w:rsidRPr="00420686">
        <w:rPr>
          <w:rFonts w:ascii="Book Antiqua" w:hAnsi="Book Antiqua" w:cs="Times New Roman"/>
          <w:sz w:val="24"/>
          <w:szCs w:val="24"/>
        </w:rPr>
        <w:t xml:space="preserve"> mice</w:t>
      </w:r>
      <w:r w:rsidRPr="00420686">
        <w:rPr>
          <w:rFonts w:ascii="Book Antiqua" w:hAnsi="Book Antiqua" w:cs="Times New Roman"/>
          <w:noProof/>
          <w:sz w:val="24"/>
          <w:szCs w:val="24"/>
          <w:vertAlign w:val="superscript"/>
        </w:rPr>
        <w:t>[200]</w:t>
      </w:r>
      <w:r w:rsidRPr="00420686">
        <w:rPr>
          <w:rFonts w:ascii="Book Antiqua" w:hAnsi="Book Antiqua" w:cs="Times New Roman"/>
          <w:sz w:val="24"/>
          <w:szCs w:val="24"/>
        </w:rPr>
        <w:t xml:space="preserve">. Furthermore, a recent study has identified a candidate drug that promotes filaggrin mRNA and protein expression </w:t>
      </w:r>
      <w:r w:rsidRPr="00420686">
        <w:rPr>
          <w:rFonts w:ascii="Book Antiqua" w:hAnsi="Book Antiqua" w:cs="Times New Roman"/>
          <w:i/>
          <w:sz w:val="24"/>
          <w:szCs w:val="24"/>
        </w:rPr>
        <w:t>in vitro</w:t>
      </w:r>
      <w:r w:rsidRPr="00420686">
        <w:rPr>
          <w:rFonts w:ascii="Book Antiqua" w:hAnsi="Book Antiqua" w:cs="Times New Roman"/>
          <w:sz w:val="24"/>
          <w:szCs w:val="24"/>
        </w:rPr>
        <w:t xml:space="preserve">, and suppresses the development of skin inflammation when administered orally </w:t>
      </w:r>
      <w:r w:rsidR="00F1178C" w:rsidRPr="00420686">
        <w:rPr>
          <w:rFonts w:ascii="Book Antiqua" w:hAnsi="Book Antiqua" w:cs="Times New Roman"/>
          <w:sz w:val="24"/>
          <w:szCs w:val="24"/>
        </w:rPr>
        <w:t>in the NC/Nga mouse model of AD</w:t>
      </w:r>
      <w:r w:rsidRPr="00420686">
        <w:rPr>
          <w:rFonts w:ascii="Book Antiqua" w:hAnsi="Book Antiqua" w:cs="Times New Roman"/>
          <w:noProof/>
          <w:sz w:val="24"/>
          <w:szCs w:val="24"/>
          <w:vertAlign w:val="superscript"/>
        </w:rPr>
        <w:t>[201]</w:t>
      </w:r>
      <w:r w:rsidRPr="00420686">
        <w:rPr>
          <w:rFonts w:ascii="Book Antiqua" w:hAnsi="Book Antiqua" w:cs="Times New Roman"/>
          <w:sz w:val="24"/>
          <w:szCs w:val="24"/>
        </w:rPr>
        <w:t xml:space="preserve">. These findings, whilst preliminary, hold promise for filaggrin restoration as part of future AD therapy. Clarification of the relative importance of the functions of profilaggrin, filaggrin and filaggrin degradation products will be useful in </w:t>
      </w:r>
      <w:r w:rsidR="00F1178C" w:rsidRPr="00420686">
        <w:rPr>
          <w:rFonts w:ascii="Book Antiqua" w:hAnsi="Book Antiqua" w:cs="Times New Roman"/>
          <w:sz w:val="24"/>
          <w:szCs w:val="24"/>
        </w:rPr>
        <w:t>directing research in this area</w:t>
      </w:r>
      <w:r w:rsidRPr="00420686">
        <w:rPr>
          <w:rFonts w:ascii="Book Antiqua" w:hAnsi="Book Antiqua" w:cs="Times New Roman"/>
          <w:noProof/>
          <w:sz w:val="24"/>
          <w:szCs w:val="24"/>
          <w:vertAlign w:val="superscript"/>
        </w:rPr>
        <w:t>[202]</w:t>
      </w:r>
      <w:r w:rsidRPr="00420686">
        <w:rPr>
          <w:rFonts w:ascii="Book Antiqua" w:hAnsi="Book Antiqua" w:cs="Times New Roman"/>
          <w:sz w:val="24"/>
          <w:szCs w:val="24"/>
        </w:rPr>
        <w:t>.</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Thus the new appreciation of skin barrier pathophysiology should encourage greater clinical emphasis on the optimization of skin care and avoidance of barrier-breaching products in neonates and children. Yet a number of important questions remain. For instance, can restoration of the</w:t>
      </w:r>
      <w:r w:rsidRPr="00420686">
        <w:rPr>
          <w:rFonts w:ascii="Book Antiqua" w:hAnsi="Book Antiqua" w:cs="Times New Roman"/>
          <w:color w:val="000000" w:themeColor="text1"/>
          <w:sz w:val="24"/>
          <w:szCs w:val="24"/>
        </w:rPr>
        <w:t xml:space="preserve"> permeability </w:t>
      </w:r>
      <w:r w:rsidRPr="00420686">
        <w:rPr>
          <w:rFonts w:ascii="Book Antiqua" w:hAnsi="Book Antiqua" w:cs="Times New Roman"/>
          <w:sz w:val="24"/>
          <w:szCs w:val="24"/>
        </w:rPr>
        <w:t>barrier alone help to normalise epidermal gene expression? Will barrier-based interventions also protect against inflammation and the development of comorbid atopic disorders in patients with AD? Long-term follow-up studies with examination of treatment efficacy at the molecular level will be required. Finally, additional potential treatment avenues (</w:t>
      </w:r>
      <w:r w:rsidRPr="00420686">
        <w:rPr>
          <w:rFonts w:ascii="Book Antiqua" w:hAnsi="Book Antiqua" w:cs="Times New Roman"/>
          <w:i/>
          <w:sz w:val="24"/>
          <w:szCs w:val="24"/>
        </w:rPr>
        <w:t>e.g.</w:t>
      </w:r>
      <w:r w:rsidR="00F1178C" w:rsidRPr="00420686">
        <w:rPr>
          <w:rFonts w:ascii="Book Antiqua" w:hAnsi="Book Antiqua" w:cs="Times New Roman"/>
          <w:i/>
          <w:sz w:val="24"/>
          <w:szCs w:val="24"/>
          <w:lang w:eastAsia="zh-CN"/>
        </w:rPr>
        <w:t>,</w:t>
      </w:r>
      <w:r w:rsidRPr="00420686">
        <w:rPr>
          <w:rFonts w:ascii="Book Antiqua" w:hAnsi="Book Antiqua" w:cs="Times New Roman"/>
          <w:sz w:val="24"/>
          <w:szCs w:val="24"/>
        </w:rPr>
        <w:t xml:space="preserve"> selective inhibition of SPs and TSLP) have yet to be explored and it is expected that further elucidation of the mechanisms of skin barrier dysfunction in the coming years will identify practicable therapeutic targets. </w:t>
      </w:r>
    </w:p>
    <w:p w:rsidR="008B389C" w:rsidRPr="00420686" w:rsidRDefault="008B389C" w:rsidP="00420686">
      <w:pPr>
        <w:spacing w:after="0" w:line="360" w:lineRule="auto"/>
        <w:jc w:val="both"/>
        <w:rPr>
          <w:rFonts w:ascii="Book Antiqua" w:hAnsi="Book Antiqua" w:cs="Times New Roman"/>
          <w:sz w:val="24"/>
          <w:szCs w:val="24"/>
        </w:rPr>
      </w:pPr>
    </w:p>
    <w:p w:rsidR="008B389C" w:rsidRPr="00420686" w:rsidRDefault="008B389C" w:rsidP="00420686">
      <w:pPr>
        <w:spacing w:after="0" w:line="360" w:lineRule="auto"/>
        <w:jc w:val="both"/>
        <w:rPr>
          <w:rFonts w:ascii="Book Antiqua" w:hAnsi="Book Antiqua" w:cs="Times New Roman"/>
          <w:b/>
          <w:sz w:val="24"/>
          <w:szCs w:val="24"/>
        </w:rPr>
      </w:pPr>
      <w:r w:rsidRPr="00420686">
        <w:rPr>
          <w:rFonts w:ascii="Book Antiqua" w:hAnsi="Book Antiqua" w:cs="Times New Roman"/>
          <w:b/>
          <w:sz w:val="24"/>
          <w:szCs w:val="24"/>
        </w:rPr>
        <w:t>CONCLUSION</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sz w:val="24"/>
          <w:szCs w:val="24"/>
        </w:rPr>
        <w:t xml:space="preserve">The discovery of loss-of-function mutations in </w:t>
      </w:r>
      <w:r w:rsidRPr="00420686">
        <w:rPr>
          <w:rFonts w:ascii="Book Antiqua" w:hAnsi="Book Antiqua" w:cs="Times New Roman"/>
          <w:i/>
          <w:sz w:val="24"/>
          <w:szCs w:val="24"/>
        </w:rPr>
        <w:t xml:space="preserve">FLG </w:t>
      </w:r>
      <w:r w:rsidRPr="00420686">
        <w:rPr>
          <w:rFonts w:ascii="Book Antiqua" w:hAnsi="Book Antiqua" w:cs="Times New Roman"/>
          <w:sz w:val="24"/>
          <w:szCs w:val="24"/>
        </w:rPr>
        <w:t>has led to a new appreciation of skin barrier dysfunction as primary pathogenic mechanism in atopic disease. Undoubtedly one of the greatest challenges</w:t>
      </w:r>
      <w:r w:rsidRPr="00420686">
        <w:rPr>
          <w:rFonts w:ascii="Book Antiqua" w:hAnsi="Book Antiqua" w:cs="Times New Roman"/>
          <w:b/>
          <w:sz w:val="24"/>
          <w:szCs w:val="24"/>
        </w:rPr>
        <w:t xml:space="preserve"> </w:t>
      </w:r>
      <w:r w:rsidRPr="00420686">
        <w:rPr>
          <w:rFonts w:ascii="Book Antiqua" w:hAnsi="Book Antiqua" w:cs="Times New Roman"/>
          <w:sz w:val="24"/>
          <w:szCs w:val="24"/>
        </w:rPr>
        <w:t>for future research is the</w:t>
      </w:r>
      <w:r w:rsidRPr="00420686">
        <w:rPr>
          <w:rFonts w:ascii="Book Antiqua" w:hAnsi="Book Antiqua" w:cs="Times New Roman"/>
          <w:b/>
          <w:sz w:val="24"/>
          <w:szCs w:val="24"/>
        </w:rPr>
        <w:t xml:space="preserve"> </w:t>
      </w:r>
      <w:r w:rsidRPr="00420686">
        <w:rPr>
          <w:rFonts w:ascii="Book Antiqua" w:hAnsi="Book Antiqua" w:cs="Times New Roman"/>
          <w:sz w:val="24"/>
          <w:szCs w:val="24"/>
        </w:rPr>
        <w:t xml:space="preserve">dissection of the complex interactions between multiple genetic, environmental and immunologic factors which influence disease pathogenesis (Figure 4). Some interactions with </w:t>
      </w:r>
      <w:r w:rsidRPr="00420686">
        <w:rPr>
          <w:rFonts w:ascii="Book Antiqua" w:hAnsi="Book Antiqua" w:cs="Times New Roman"/>
          <w:i/>
          <w:sz w:val="24"/>
          <w:szCs w:val="24"/>
        </w:rPr>
        <w:t xml:space="preserve">FLG </w:t>
      </w:r>
      <w:r w:rsidRPr="00420686">
        <w:rPr>
          <w:rFonts w:ascii="Book Antiqua" w:hAnsi="Book Antiqua" w:cs="Times New Roman"/>
          <w:sz w:val="24"/>
          <w:szCs w:val="24"/>
        </w:rPr>
        <w:t xml:space="preserve">have already been identified. Of note, the combined occurrence of mutations in </w:t>
      </w:r>
      <w:r w:rsidRPr="00420686">
        <w:rPr>
          <w:rFonts w:ascii="Book Antiqua" w:hAnsi="Book Antiqua" w:cs="Times New Roman"/>
          <w:i/>
          <w:sz w:val="24"/>
          <w:szCs w:val="24"/>
        </w:rPr>
        <w:t>FLG</w:t>
      </w:r>
      <w:r w:rsidRPr="00420686">
        <w:rPr>
          <w:rFonts w:ascii="Book Antiqua" w:hAnsi="Book Antiqua" w:cs="Times New Roman"/>
          <w:sz w:val="24"/>
          <w:szCs w:val="24"/>
        </w:rPr>
        <w:t>, an epidermal gene, and in the genes encoding IL-10 and IL-13, mediators of acquired immunity, have been shown to have a m</w:t>
      </w:r>
      <w:r w:rsidR="00F1178C" w:rsidRPr="00420686">
        <w:rPr>
          <w:rFonts w:ascii="Book Antiqua" w:hAnsi="Book Antiqua" w:cs="Times New Roman"/>
          <w:sz w:val="24"/>
          <w:szCs w:val="24"/>
        </w:rPr>
        <w:t>ultiplicative effect on AD risk</w:t>
      </w:r>
      <w:r w:rsidRPr="00420686">
        <w:rPr>
          <w:rFonts w:ascii="Book Antiqua" w:hAnsi="Book Antiqua" w:cs="Times New Roman"/>
          <w:noProof/>
          <w:sz w:val="24"/>
          <w:szCs w:val="24"/>
          <w:vertAlign w:val="superscript"/>
        </w:rPr>
        <w:t>[203]</w:t>
      </w:r>
      <w:r w:rsidR="00815E81" w:rsidRPr="00420686">
        <w:rPr>
          <w:rFonts w:ascii="Book Antiqua" w:hAnsi="Book Antiqua" w:cs="Times New Roman"/>
          <w:sz w:val="24"/>
          <w:szCs w:val="24"/>
        </w:rPr>
        <w:t xml:space="preserve"> </w:t>
      </w:r>
      <w:r w:rsidRPr="00420686">
        <w:rPr>
          <w:rFonts w:ascii="Book Antiqua" w:hAnsi="Book Antiqua" w:cs="Times New Roman"/>
          <w:sz w:val="24"/>
          <w:szCs w:val="24"/>
        </w:rPr>
        <w:t>and inter-regulation by SC and SG skin barriers at the mRNA and p</w:t>
      </w:r>
      <w:r w:rsidR="00F1178C" w:rsidRPr="00420686">
        <w:rPr>
          <w:rFonts w:ascii="Book Antiqua" w:hAnsi="Book Antiqua" w:cs="Times New Roman"/>
          <w:sz w:val="24"/>
          <w:szCs w:val="24"/>
        </w:rPr>
        <w:t>rotein levels has been reported</w:t>
      </w:r>
      <w:r w:rsidR="00F1178C" w:rsidRPr="00420686">
        <w:rPr>
          <w:rFonts w:ascii="Book Antiqua" w:hAnsi="Book Antiqua" w:cs="Times New Roman"/>
          <w:noProof/>
          <w:sz w:val="24"/>
          <w:szCs w:val="24"/>
          <w:vertAlign w:val="superscript"/>
        </w:rPr>
        <w:t>[</w:t>
      </w:r>
      <w:r w:rsidR="00F1178C" w:rsidRPr="00420686">
        <w:rPr>
          <w:rFonts w:ascii="Book Antiqua" w:hAnsi="Book Antiqua" w:cs="Times New Roman"/>
          <w:noProof/>
          <w:sz w:val="24"/>
          <w:szCs w:val="24"/>
          <w:vertAlign w:val="superscript"/>
          <w:lang w:eastAsia="zh-CN"/>
        </w:rPr>
        <w:t>101,</w:t>
      </w:r>
      <w:r w:rsidR="00F1178C" w:rsidRPr="00420686">
        <w:rPr>
          <w:rFonts w:ascii="Book Antiqua" w:hAnsi="Book Antiqua" w:cs="Times New Roman"/>
          <w:noProof/>
          <w:sz w:val="24"/>
          <w:szCs w:val="24"/>
          <w:vertAlign w:val="superscript"/>
        </w:rPr>
        <w:t>204</w:t>
      </w:r>
      <w:r w:rsidRPr="00420686">
        <w:rPr>
          <w:rFonts w:ascii="Book Antiqua" w:hAnsi="Book Antiqua" w:cs="Times New Roman"/>
          <w:noProof/>
          <w:sz w:val="24"/>
          <w:szCs w:val="24"/>
          <w:vertAlign w:val="superscript"/>
        </w:rPr>
        <w:t>]</w:t>
      </w:r>
      <w:r w:rsidRPr="00420686">
        <w:rPr>
          <w:rFonts w:ascii="Book Antiqua" w:hAnsi="Book Antiqua" w:cs="Times New Roman"/>
          <w:sz w:val="24"/>
          <w:szCs w:val="24"/>
        </w:rPr>
        <w:t xml:space="preserve">. These interactions, whilst yet to be demonstrated in human patients, may present further difficulties in determining the relative importance of individual barrier components in AD pathogenesis. Progress in the molecular genetics of atopic disease has been accelerated by advances in next-generation sequencing techniques, but the additional complexity of multiple gene-gene and gene-environment interactions requires further development of bioinformatics analysis. The integration of genetic, transcriptomic and proteomic analyses is also computationally demanding. However, a recent transcriptomic analysis of AD skin used </w:t>
      </w:r>
      <w:r w:rsidRPr="00420686">
        <w:rPr>
          <w:rFonts w:ascii="Book Antiqua" w:hAnsi="Book Antiqua" w:cs="Times New Roman"/>
          <w:i/>
          <w:sz w:val="24"/>
          <w:szCs w:val="24"/>
        </w:rPr>
        <w:t>FLG</w:t>
      </w:r>
      <w:r w:rsidRPr="00420686">
        <w:rPr>
          <w:rFonts w:ascii="Book Antiqua" w:hAnsi="Book Antiqua" w:cs="Times New Roman"/>
          <w:sz w:val="24"/>
          <w:szCs w:val="24"/>
        </w:rPr>
        <w:t xml:space="preserve"> genotype to stratify data and has offered insight into novel pathways and</w:t>
      </w:r>
      <w:r w:rsidR="00F1178C" w:rsidRPr="00420686">
        <w:rPr>
          <w:rFonts w:ascii="Book Antiqua" w:hAnsi="Book Antiqua" w:cs="Times New Roman"/>
          <w:sz w:val="24"/>
          <w:szCs w:val="24"/>
        </w:rPr>
        <w:t xml:space="preserve"> predicted functional networks</w:t>
      </w:r>
      <w:r w:rsidRPr="00420686">
        <w:rPr>
          <w:rFonts w:ascii="Book Antiqua" w:hAnsi="Book Antiqua" w:cs="Times New Roman"/>
          <w:noProof/>
          <w:sz w:val="24"/>
          <w:szCs w:val="24"/>
          <w:vertAlign w:val="superscript"/>
        </w:rPr>
        <w:t>[20</w:t>
      </w:r>
      <w:r w:rsidR="00F1178C" w:rsidRPr="00420686">
        <w:rPr>
          <w:rFonts w:ascii="Book Antiqua" w:hAnsi="Book Antiqua" w:cs="Times New Roman"/>
          <w:noProof/>
          <w:sz w:val="24"/>
          <w:szCs w:val="24"/>
          <w:vertAlign w:val="superscript"/>
          <w:lang w:eastAsia="zh-CN"/>
        </w:rPr>
        <w:t>5</w:t>
      </w:r>
      <w:r w:rsidRPr="00420686">
        <w:rPr>
          <w:rFonts w:ascii="Book Antiqua" w:hAnsi="Book Antiqua" w:cs="Times New Roman"/>
          <w:noProof/>
          <w:sz w:val="24"/>
          <w:szCs w:val="24"/>
          <w:vertAlign w:val="superscript"/>
        </w:rPr>
        <w:t>]</w:t>
      </w:r>
      <w:r w:rsidRPr="00420686">
        <w:rPr>
          <w:rFonts w:ascii="Book Antiqua" w:hAnsi="Book Antiqua" w:cs="Times New Roman"/>
          <w:sz w:val="24"/>
          <w:szCs w:val="24"/>
        </w:rPr>
        <w:t>. The expanding understanding of epigenetic variation is also predicted to contribute further novel mechanistic insights in the coming years.</w:t>
      </w:r>
      <w:r w:rsidR="00815E81" w:rsidRPr="00420686">
        <w:rPr>
          <w:rFonts w:ascii="Book Antiqua" w:hAnsi="Book Antiqua" w:cs="Times New Roman"/>
          <w:sz w:val="24"/>
          <w:szCs w:val="24"/>
        </w:rPr>
        <w:t xml:space="preserve"> </w:t>
      </w:r>
    </w:p>
    <w:p w:rsidR="008B389C" w:rsidRPr="00420686" w:rsidRDefault="008B389C" w:rsidP="00420686">
      <w:pPr>
        <w:spacing w:after="0" w:line="360" w:lineRule="auto"/>
        <w:ind w:firstLineChars="200" w:firstLine="480"/>
        <w:jc w:val="both"/>
        <w:rPr>
          <w:rFonts w:ascii="Book Antiqua" w:hAnsi="Book Antiqua" w:cs="Times New Roman"/>
          <w:sz w:val="24"/>
          <w:szCs w:val="24"/>
        </w:rPr>
      </w:pPr>
      <w:r w:rsidRPr="00420686">
        <w:rPr>
          <w:rFonts w:ascii="Book Antiqua" w:hAnsi="Book Antiqua" w:cs="Times New Roman"/>
          <w:sz w:val="24"/>
          <w:szCs w:val="24"/>
        </w:rPr>
        <w:t xml:space="preserve">Understanding the interplay between atopic genes and environmental factors will be vital to explaining (and perhaps controlling) the rising prevalence of atopic diseases. This will require long-term epidemiological studies in which early genetic profiling of </w:t>
      </w:r>
      <w:r w:rsidRPr="00420686">
        <w:rPr>
          <w:rFonts w:ascii="Book Antiqua" w:hAnsi="Book Antiqua" w:cs="Times New Roman"/>
          <w:i/>
          <w:sz w:val="24"/>
          <w:szCs w:val="24"/>
        </w:rPr>
        <w:t>FLG</w:t>
      </w:r>
      <w:r w:rsidRPr="00420686">
        <w:rPr>
          <w:rFonts w:ascii="Book Antiqua" w:hAnsi="Book Antiqua" w:cs="Times New Roman"/>
          <w:sz w:val="24"/>
          <w:szCs w:val="24"/>
        </w:rPr>
        <w:t xml:space="preserve"> and other disease genes </w:t>
      </w:r>
      <w:r w:rsidR="00F1178C" w:rsidRPr="00420686">
        <w:rPr>
          <w:rFonts w:ascii="Book Antiqua" w:hAnsi="Book Antiqua" w:cs="Times New Roman"/>
          <w:sz w:val="24"/>
          <w:szCs w:val="24"/>
          <w:lang w:eastAsia="zh-CN"/>
        </w:rPr>
        <w:t>are</w:t>
      </w:r>
      <w:r w:rsidRPr="00420686">
        <w:rPr>
          <w:rFonts w:ascii="Book Antiqua" w:hAnsi="Book Antiqua" w:cs="Times New Roman"/>
          <w:sz w:val="24"/>
          <w:szCs w:val="24"/>
        </w:rPr>
        <w:t xml:space="preserve"> coupled with careful monitoring of patient environment. Such studies may help to explain how specific gene variants act in the context of different external insults to induce a range of related yet distinct atopic phenotypes. Evaluation of </w:t>
      </w:r>
      <w:r w:rsidRPr="00420686">
        <w:rPr>
          <w:rFonts w:ascii="Book Antiqua" w:hAnsi="Book Antiqua" w:cs="Times New Roman"/>
          <w:i/>
          <w:sz w:val="24"/>
          <w:szCs w:val="24"/>
        </w:rPr>
        <w:t>FLG</w:t>
      </w:r>
      <w:r w:rsidRPr="00420686">
        <w:rPr>
          <w:rFonts w:ascii="Book Antiqua" w:hAnsi="Book Antiqua" w:cs="Times New Roman"/>
          <w:sz w:val="24"/>
          <w:szCs w:val="24"/>
        </w:rPr>
        <w:t xml:space="preserve"> genetic status is not commonplace in pharmacogenetic studies or current clinical management of AD. However careful clinical examination can identify </w:t>
      </w:r>
      <w:r w:rsidRPr="00420686">
        <w:rPr>
          <w:rFonts w:ascii="Book Antiqua" w:hAnsi="Book Antiqua" w:cs="Times New Roman"/>
          <w:i/>
          <w:sz w:val="24"/>
          <w:szCs w:val="24"/>
        </w:rPr>
        <w:t xml:space="preserve">FLG </w:t>
      </w:r>
      <w:r w:rsidRPr="00420686">
        <w:rPr>
          <w:rFonts w:ascii="Book Antiqua" w:hAnsi="Book Antiqua" w:cs="Times New Roman"/>
          <w:sz w:val="24"/>
          <w:szCs w:val="24"/>
        </w:rPr>
        <w:t>null genotype</w:t>
      </w:r>
      <w:r w:rsidRPr="00420686">
        <w:rPr>
          <w:rFonts w:ascii="Book Antiqua" w:hAnsi="Book Antiqua" w:cs="Times New Roman"/>
          <w:noProof/>
          <w:sz w:val="24"/>
          <w:szCs w:val="24"/>
          <w:vertAlign w:val="superscript"/>
        </w:rPr>
        <w:t>[20</w:t>
      </w:r>
      <w:r w:rsidR="00F1178C" w:rsidRPr="00420686">
        <w:rPr>
          <w:rFonts w:ascii="Book Antiqua" w:hAnsi="Book Antiqua" w:cs="Times New Roman"/>
          <w:noProof/>
          <w:sz w:val="24"/>
          <w:szCs w:val="24"/>
          <w:vertAlign w:val="superscript"/>
          <w:lang w:eastAsia="zh-CN"/>
        </w:rPr>
        <w:t>6</w:t>
      </w:r>
      <w:r w:rsidRPr="00420686">
        <w:rPr>
          <w:rFonts w:ascii="Book Antiqua" w:hAnsi="Book Antiqua" w:cs="Times New Roman"/>
          <w:noProof/>
          <w:sz w:val="24"/>
          <w:szCs w:val="24"/>
          <w:vertAlign w:val="superscript"/>
        </w:rPr>
        <w:t>]</w:t>
      </w:r>
      <w:r w:rsidRPr="00420686">
        <w:rPr>
          <w:rFonts w:ascii="Book Antiqua" w:hAnsi="Book Antiqua" w:cs="Times New Roman"/>
          <w:sz w:val="24"/>
          <w:szCs w:val="24"/>
        </w:rPr>
        <w:t xml:space="preserve"> and as the multiple influences of filaggrin on atopic disease trajectory are clarified, this will benefit clinical care and prognostic predictions. More detailed knowledge of</w:t>
      </w:r>
      <w:r w:rsidRPr="00420686">
        <w:rPr>
          <w:rFonts w:ascii="Book Antiqua" w:hAnsi="Book Antiqua" w:cs="Times New Roman"/>
          <w:i/>
          <w:sz w:val="24"/>
          <w:szCs w:val="24"/>
        </w:rPr>
        <w:t xml:space="preserve"> </w:t>
      </w:r>
      <w:r w:rsidRPr="00420686">
        <w:rPr>
          <w:rFonts w:ascii="Book Antiqua" w:hAnsi="Book Antiqua" w:cs="Times New Roman"/>
          <w:sz w:val="24"/>
          <w:szCs w:val="24"/>
        </w:rPr>
        <w:t>genotypes associated with atopic phenotypes could in the future help to direct the prescription of personalised therapeutic regimes, including focused instructions for disease prevention and targeted treatment. Thus early control of skin barrier function in high-risk patients may in future prevent allergic sensitization and what had previously been considered the inevitable path through the atopic march.</w:t>
      </w:r>
    </w:p>
    <w:p w:rsidR="008B389C" w:rsidRPr="00420686" w:rsidRDefault="008B389C" w:rsidP="00420686">
      <w:pPr>
        <w:spacing w:after="0" w:line="360" w:lineRule="auto"/>
        <w:jc w:val="both"/>
        <w:rPr>
          <w:rFonts w:ascii="Book Antiqua" w:hAnsi="Book Antiqua"/>
          <w:sz w:val="24"/>
          <w:szCs w:val="24"/>
        </w:rPr>
      </w:pPr>
    </w:p>
    <w:p w:rsidR="00955B11" w:rsidRPr="00420686" w:rsidRDefault="008B389C" w:rsidP="00420686">
      <w:pPr>
        <w:spacing w:after="0" w:line="360" w:lineRule="auto"/>
        <w:jc w:val="both"/>
        <w:rPr>
          <w:rFonts w:ascii="Book Antiqua" w:hAnsi="Book Antiqua" w:cs="Times New Roman"/>
          <w:b/>
          <w:sz w:val="24"/>
          <w:szCs w:val="24"/>
          <w:lang w:eastAsia="zh-CN"/>
        </w:rPr>
      </w:pPr>
      <w:r w:rsidRPr="00420686">
        <w:rPr>
          <w:rFonts w:ascii="Book Antiqua" w:hAnsi="Book Antiqua" w:cs="Times New Roman"/>
          <w:b/>
          <w:sz w:val="24"/>
          <w:szCs w:val="24"/>
        </w:rPr>
        <w:t>REFERENCES</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 </w:t>
      </w:r>
      <w:r w:rsidRPr="00420686">
        <w:rPr>
          <w:rFonts w:ascii="Book Antiqua" w:eastAsia="宋体" w:hAnsi="Book Antiqua" w:cs="宋体"/>
          <w:b/>
          <w:bCs/>
          <w:sz w:val="24"/>
          <w:szCs w:val="24"/>
        </w:rPr>
        <w:t>Galassi C</w:t>
      </w:r>
      <w:r w:rsidRPr="00420686">
        <w:rPr>
          <w:rFonts w:ascii="Book Antiqua" w:eastAsia="宋体" w:hAnsi="Book Antiqua" w:cs="宋体"/>
          <w:sz w:val="24"/>
          <w:szCs w:val="24"/>
        </w:rPr>
        <w:t xml:space="preserve">, De Sario M, Biggeri A, Bisanti L, Chellini E, Ciccone G, Petronio MG, Piffer S, Sestini P, Rusconi F, Viegi G, Forastiere F. Changes in prevalence of asthma and allergies among children and adolescents in Italy: 1994-2002. </w:t>
      </w:r>
      <w:r w:rsidRPr="00420686">
        <w:rPr>
          <w:rFonts w:ascii="Book Antiqua" w:eastAsia="宋体" w:hAnsi="Book Antiqua" w:cs="宋体"/>
          <w:i/>
          <w:iCs/>
          <w:sz w:val="24"/>
          <w:szCs w:val="24"/>
        </w:rPr>
        <w:t>Pediatrics</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117</w:t>
      </w:r>
      <w:r w:rsidRPr="00420686">
        <w:rPr>
          <w:rFonts w:ascii="Book Antiqua" w:eastAsia="宋体" w:hAnsi="Book Antiqua" w:cs="宋体"/>
          <w:sz w:val="24"/>
          <w:szCs w:val="24"/>
        </w:rPr>
        <w:t>: 34-42 [PMID: 16396858 DOI: 10.1542/peds.2004-2709]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 </w:t>
      </w:r>
      <w:r w:rsidRPr="00420686">
        <w:rPr>
          <w:rFonts w:ascii="Book Antiqua" w:eastAsia="宋体" w:hAnsi="Book Antiqua" w:cs="宋体"/>
          <w:b/>
          <w:bCs/>
          <w:sz w:val="24"/>
          <w:szCs w:val="24"/>
        </w:rPr>
        <w:t>Deckers IA</w:t>
      </w:r>
      <w:r w:rsidRPr="00420686">
        <w:rPr>
          <w:rFonts w:ascii="Book Antiqua" w:eastAsia="宋体" w:hAnsi="Book Antiqua" w:cs="宋体"/>
          <w:sz w:val="24"/>
          <w:szCs w:val="24"/>
        </w:rPr>
        <w:t xml:space="preserve">, McLean S, Linssen S, Mommers M, van Schayck CP, Sheikh A. Investigating international time trends in the incidence and prevalence of atopic eczema 1990-2010: a systematic review of epidemiological studies. </w:t>
      </w:r>
      <w:r w:rsidRPr="00420686">
        <w:rPr>
          <w:rFonts w:ascii="Book Antiqua" w:eastAsia="宋体" w:hAnsi="Book Antiqua" w:cs="宋体"/>
          <w:i/>
          <w:iCs/>
          <w:sz w:val="24"/>
          <w:szCs w:val="24"/>
        </w:rPr>
        <w:t>PLoS One</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7</w:t>
      </w:r>
      <w:r w:rsidRPr="00420686">
        <w:rPr>
          <w:rFonts w:ascii="Book Antiqua" w:eastAsia="宋体" w:hAnsi="Book Antiqua" w:cs="宋体"/>
          <w:sz w:val="24"/>
          <w:szCs w:val="24"/>
        </w:rPr>
        <w:t>: e39803 [PMID: 22808063 DOI: 10.1371/journal.pone.0039803]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 </w:t>
      </w:r>
      <w:r w:rsidRPr="00420686">
        <w:rPr>
          <w:rFonts w:ascii="Book Antiqua" w:eastAsia="宋体" w:hAnsi="Book Antiqua" w:cs="宋体"/>
          <w:b/>
          <w:bCs/>
          <w:sz w:val="24"/>
          <w:szCs w:val="24"/>
        </w:rPr>
        <w:t>Kjaer HF</w:t>
      </w:r>
      <w:r w:rsidRPr="00420686">
        <w:rPr>
          <w:rFonts w:ascii="Book Antiqua" w:eastAsia="宋体" w:hAnsi="Book Antiqua" w:cs="宋体"/>
          <w:sz w:val="24"/>
          <w:szCs w:val="24"/>
        </w:rPr>
        <w:t xml:space="preserve">, Eller E, Høst A, Andersen KE, Bindslev-Jensen C. The prevalence of allergic diseases in an unselected group of 6-year-old children. The DARC birth cohort study. </w:t>
      </w:r>
      <w:r w:rsidRPr="00420686">
        <w:rPr>
          <w:rFonts w:ascii="Book Antiqua" w:eastAsia="宋体" w:hAnsi="Book Antiqua" w:cs="宋体"/>
          <w:i/>
          <w:iCs/>
          <w:sz w:val="24"/>
          <w:szCs w:val="24"/>
        </w:rPr>
        <w:t>Pediatr Allergy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19</w:t>
      </w:r>
      <w:r w:rsidRPr="00420686">
        <w:rPr>
          <w:rFonts w:ascii="Book Antiqua" w:eastAsia="宋体" w:hAnsi="Book Antiqua" w:cs="宋体"/>
          <w:sz w:val="24"/>
          <w:szCs w:val="24"/>
        </w:rPr>
        <w:t>: 737-745 [PMID: 18318699 DOI: 10.1111/j.1399-3038.2008.00733.x]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 </w:t>
      </w:r>
      <w:r w:rsidRPr="00420686">
        <w:rPr>
          <w:rFonts w:ascii="Book Antiqua" w:eastAsia="宋体" w:hAnsi="Book Antiqua" w:cs="宋体"/>
          <w:b/>
          <w:bCs/>
          <w:sz w:val="24"/>
          <w:szCs w:val="24"/>
        </w:rPr>
        <w:t>Schernhammer ES</w:t>
      </w:r>
      <w:r w:rsidRPr="00420686">
        <w:rPr>
          <w:rFonts w:ascii="Book Antiqua" w:eastAsia="宋体" w:hAnsi="Book Antiqua" w:cs="宋体"/>
          <w:sz w:val="24"/>
          <w:szCs w:val="24"/>
        </w:rPr>
        <w:t xml:space="preserve">, Vutuc C, Waldhör T, Haidinger G. Time trends of the prevalence of asthma and allergic disease in Austrian children. </w:t>
      </w:r>
      <w:r w:rsidRPr="00420686">
        <w:rPr>
          <w:rFonts w:ascii="Book Antiqua" w:eastAsia="宋体" w:hAnsi="Book Antiqua" w:cs="宋体"/>
          <w:i/>
          <w:iCs/>
          <w:sz w:val="24"/>
          <w:szCs w:val="24"/>
        </w:rPr>
        <w:t>Pediatr Allergy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19</w:t>
      </w:r>
      <w:r w:rsidRPr="00420686">
        <w:rPr>
          <w:rFonts w:ascii="Book Antiqua" w:eastAsia="宋体" w:hAnsi="Book Antiqua" w:cs="宋体"/>
          <w:sz w:val="24"/>
          <w:szCs w:val="24"/>
        </w:rPr>
        <w:t>: 125-131 [PMID: 18086231 DOI: 10.1111/j.1399-3038.2007.00597.x]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 </w:t>
      </w:r>
      <w:r w:rsidRPr="00420686">
        <w:rPr>
          <w:rFonts w:ascii="Book Antiqua" w:eastAsia="宋体" w:hAnsi="Book Antiqua" w:cs="宋体"/>
          <w:b/>
          <w:bCs/>
          <w:sz w:val="24"/>
          <w:szCs w:val="24"/>
        </w:rPr>
        <w:t>McNeill G</w:t>
      </w:r>
      <w:r w:rsidRPr="00420686">
        <w:rPr>
          <w:rFonts w:ascii="Book Antiqua" w:eastAsia="宋体" w:hAnsi="Book Antiqua" w:cs="宋体"/>
          <w:sz w:val="24"/>
          <w:szCs w:val="24"/>
        </w:rPr>
        <w:t xml:space="preserve">, Tagiyeva N, Aucott L, Russell G, Helms PJ. Changes in the prevalence of asthma, eczema and hay fever in pre-pubertal children: a 40-year perspective. </w:t>
      </w:r>
      <w:r w:rsidRPr="00420686">
        <w:rPr>
          <w:rFonts w:ascii="Book Antiqua" w:eastAsia="宋体" w:hAnsi="Book Antiqua" w:cs="宋体"/>
          <w:i/>
          <w:iCs/>
          <w:sz w:val="24"/>
          <w:szCs w:val="24"/>
        </w:rPr>
        <w:t>Paediatr Perinat Epidemiol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23</w:t>
      </w:r>
      <w:r w:rsidRPr="00420686">
        <w:rPr>
          <w:rFonts w:ascii="Book Antiqua" w:eastAsia="宋体" w:hAnsi="Book Antiqua" w:cs="宋体"/>
          <w:sz w:val="24"/>
          <w:szCs w:val="24"/>
        </w:rPr>
        <w:t>: 506-512 [PMID: 19840286 DOI: 10.1111/j.1365-3016.2009.01057.x]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 </w:t>
      </w:r>
      <w:r w:rsidRPr="00420686">
        <w:rPr>
          <w:rFonts w:ascii="Book Antiqua" w:eastAsia="宋体" w:hAnsi="Book Antiqua" w:cs="宋体"/>
          <w:b/>
          <w:bCs/>
          <w:sz w:val="24"/>
          <w:szCs w:val="24"/>
        </w:rPr>
        <w:t>Odhiambo JA</w:t>
      </w:r>
      <w:r w:rsidRPr="00420686">
        <w:rPr>
          <w:rFonts w:ascii="Book Antiqua" w:eastAsia="宋体" w:hAnsi="Book Antiqua" w:cs="宋体"/>
          <w:sz w:val="24"/>
          <w:szCs w:val="24"/>
        </w:rPr>
        <w:t xml:space="preserve">, Williams HC, Clayton TO, Robertson CF, Asher MI. Global variations in prevalence of eczema symptoms in children from ISAAC Phase Three.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124</w:t>
      </w:r>
      <w:r w:rsidRPr="00420686">
        <w:rPr>
          <w:rFonts w:ascii="Book Antiqua" w:eastAsia="宋体" w:hAnsi="Book Antiqua" w:cs="宋体"/>
          <w:sz w:val="24"/>
          <w:szCs w:val="24"/>
        </w:rPr>
        <w:t>: 1251-</w:t>
      </w:r>
      <w:r w:rsidR="00CC1208">
        <w:rPr>
          <w:rFonts w:ascii="Book Antiqua" w:eastAsia="宋体" w:hAnsi="Book Antiqua" w:cs="宋体" w:hint="eastAsia"/>
          <w:sz w:val="24"/>
          <w:szCs w:val="24"/>
          <w:lang w:eastAsia="zh-CN"/>
        </w:rPr>
        <w:t>125</w:t>
      </w:r>
      <w:r w:rsidRPr="00420686">
        <w:rPr>
          <w:rFonts w:ascii="Book Antiqua" w:eastAsia="宋体" w:hAnsi="Book Antiqua" w:cs="宋体"/>
          <w:sz w:val="24"/>
          <w:szCs w:val="24"/>
        </w:rPr>
        <w:t>8.e23 [PMID: 20004783 DOI: 10.1016/j.jaci.2009.10.009]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 </w:t>
      </w:r>
      <w:r w:rsidRPr="00420686">
        <w:rPr>
          <w:rFonts w:ascii="Book Antiqua" w:eastAsia="宋体" w:hAnsi="Book Antiqua" w:cs="宋体"/>
          <w:b/>
          <w:bCs/>
          <w:sz w:val="24"/>
          <w:szCs w:val="24"/>
        </w:rPr>
        <w:t>Brown SJ</w:t>
      </w:r>
      <w:r w:rsidRPr="00420686">
        <w:rPr>
          <w:rFonts w:ascii="Book Antiqua" w:eastAsia="宋体" w:hAnsi="Book Antiqua" w:cs="宋体"/>
          <w:sz w:val="24"/>
          <w:szCs w:val="24"/>
        </w:rPr>
        <w:t xml:space="preserve">, Relton CL, Liao H, Zhao Y, Sandilands A, Wilson IJ, Burn J, Reynolds NJ, McLean WH, Cordell HJ. Filaggrin null mutations and childhood atopic eczema: a population-based case-control study.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121</w:t>
      </w:r>
      <w:r w:rsidRPr="00420686">
        <w:rPr>
          <w:rFonts w:ascii="Book Antiqua" w:eastAsia="宋体" w:hAnsi="Book Antiqua" w:cs="宋体"/>
          <w:sz w:val="24"/>
          <w:szCs w:val="24"/>
        </w:rPr>
        <w:t>: 940-</w:t>
      </w:r>
      <w:r w:rsidR="00CC1208">
        <w:rPr>
          <w:rFonts w:ascii="Book Antiqua" w:eastAsia="宋体" w:hAnsi="Book Antiqua" w:cs="宋体" w:hint="eastAsia"/>
          <w:sz w:val="24"/>
          <w:szCs w:val="24"/>
          <w:lang w:eastAsia="zh-CN"/>
        </w:rPr>
        <w:t>9</w:t>
      </w:r>
      <w:r w:rsidRPr="00420686">
        <w:rPr>
          <w:rFonts w:ascii="Book Antiqua" w:eastAsia="宋体" w:hAnsi="Book Antiqua" w:cs="宋体"/>
          <w:sz w:val="24"/>
          <w:szCs w:val="24"/>
        </w:rPr>
        <w:t>46.e3 [PMID: 18313126 DOI: 10.1016/j.jaci.2008.01.013]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 </w:t>
      </w:r>
      <w:r w:rsidRPr="00420686">
        <w:rPr>
          <w:rFonts w:ascii="Book Antiqua" w:eastAsia="宋体" w:hAnsi="Book Antiqua" w:cs="宋体"/>
          <w:b/>
          <w:bCs/>
          <w:sz w:val="24"/>
          <w:szCs w:val="24"/>
        </w:rPr>
        <w:t>Casolaro V</w:t>
      </w:r>
      <w:r w:rsidRPr="00420686">
        <w:rPr>
          <w:rFonts w:ascii="Book Antiqua" w:eastAsia="宋体" w:hAnsi="Book Antiqua" w:cs="宋体"/>
          <w:sz w:val="24"/>
          <w:szCs w:val="24"/>
        </w:rPr>
        <w:t xml:space="preserve">, Georas SN, Song Z, Ono SJ. Biology and genetics of atopic disease. </w:t>
      </w:r>
      <w:r w:rsidRPr="00420686">
        <w:rPr>
          <w:rFonts w:ascii="Book Antiqua" w:eastAsia="宋体" w:hAnsi="Book Antiqua" w:cs="宋体"/>
          <w:i/>
          <w:iCs/>
          <w:sz w:val="24"/>
          <w:szCs w:val="24"/>
        </w:rPr>
        <w:t>Curr Opin Immunol</w:t>
      </w:r>
      <w:r w:rsidRPr="00420686">
        <w:rPr>
          <w:rFonts w:ascii="Book Antiqua" w:eastAsia="宋体" w:hAnsi="Book Antiqua" w:cs="宋体"/>
          <w:sz w:val="24"/>
          <w:szCs w:val="24"/>
        </w:rPr>
        <w:t xml:space="preserve"> 1996; </w:t>
      </w:r>
      <w:r w:rsidRPr="00420686">
        <w:rPr>
          <w:rFonts w:ascii="Book Antiqua" w:eastAsia="宋体" w:hAnsi="Book Antiqua" w:cs="宋体"/>
          <w:b/>
          <w:bCs/>
          <w:sz w:val="24"/>
          <w:szCs w:val="24"/>
        </w:rPr>
        <w:t>8</w:t>
      </w:r>
      <w:r w:rsidRPr="00420686">
        <w:rPr>
          <w:rFonts w:ascii="Book Antiqua" w:eastAsia="宋体" w:hAnsi="Book Antiqua" w:cs="宋体"/>
          <w:sz w:val="24"/>
          <w:szCs w:val="24"/>
        </w:rPr>
        <w:t>: 796-803 [PMID: 8994858 DOI: 10.1016/S0952-7915(96)80007-0]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 </w:t>
      </w:r>
      <w:r w:rsidRPr="00420686">
        <w:rPr>
          <w:rFonts w:ascii="Book Antiqua" w:eastAsia="宋体" w:hAnsi="Book Antiqua" w:cs="宋体"/>
          <w:b/>
          <w:bCs/>
          <w:sz w:val="24"/>
          <w:szCs w:val="24"/>
        </w:rPr>
        <w:t>Lewis-Jones S</w:t>
      </w:r>
      <w:r w:rsidRPr="00420686">
        <w:rPr>
          <w:rFonts w:ascii="Book Antiqua" w:eastAsia="宋体" w:hAnsi="Book Antiqua" w:cs="宋体"/>
          <w:sz w:val="24"/>
          <w:szCs w:val="24"/>
        </w:rPr>
        <w:t xml:space="preserve">. Quality of life and childhood atopic dermatitis: the misery of living with childhood eczema. </w:t>
      </w:r>
      <w:r w:rsidRPr="00420686">
        <w:rPr>
          <w:rFonts w:ascii="Book Antiqua" w:eastAsia="宋体" w:hAnsi="Book Antiqua" w:cs="宋体"/>
          <w:i/>
          <w:iCs/>
          <w:sz w:val="24"/>
          <w:szCs w:val="24"/>
        </w:rPr>
        <w:t>Int J Clin Pract</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60</w:t>
      </w:r>
      <w:r w:rsidRPr="00420686">
        <w:rPr>
          <w:rFonts w:ascii="Book Antiqua" w:eastAsia="宋体" w:hAnsi="Book Antiqua" w:cs="宋体"/>
          <w:sz w:val="24"/>
          <w:szCs w:val="24"/>
        </w:rPr>
        <w:t>: 984-992 [PMID: 16893440 DOI: 10.1111/j.1742-1241.2006.01047.x]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 </w:t>
      </w:r>
      <w:r w:rsidRPr="00420686">
        <w:rPr>
          <w:rFonts w:ascii="Book Antiqua" w:eastAsia="宋体" w:hAnsi="Book Antiqua" w:cs="宋体"/>
          <w:b/>
          <w:bCs/>
          <w:sz w:val="24"/>
          <w:szCs w:val="24"/>
        </w:rPr>
        <w:t>Williams HC</w:t>
      </w:r>
      <w:r w:rsidRPr="00420686">
        <w:rPr>
          <w:rFonts w:ascii="Book Antiqua" w:eastAsia="宋体" w:hAnsi="Book Antiqua" w:cs="宋体"/>
          <w:sz w:val="24"/>
          <w:szCs w:val="24"/>
        </w:rPr>
        <w:t xml:space="preserve">. Clinical practice. Atopic dermatitis. </w:t>
      </w:r>
      <w:r w:rsidRPr="00420686">
        <w:rPr>
          <w:rFonts w:ascii="Book Antiqua" w:eastAsia="宋体" w:hAnsi="Book Antiqua" w:cs="宋体"/>
          <w:i/>
          <w:iCs/>
          <w:sz w:val="24"/>
          <w:szCs w:val="24"/>
        </w:rPr>
        <w:t>N Engl J Med</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352</w:t>
      </w:r>
      <w:r w:rsidRPr="00420686">
        <w:rPr>
          <w:rFonts w:ascii="Book Antiqua" w:eastAsia="宋体" w:hAnsi="Book Antiqua" w:cs="宋体"/>
          <w:sz w:val="24"/>
          <w:szCs w:val="24"/>
        </w:rPr>
        <w:t>: 2314-2324 [PMID: 15930422 DOI: doi: 10.1056/NEJMcp042803]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 </w:t>
      </w:r>
      <w:r w:rsidRPr="00420686">
        <w:rPr>
          <w:rFonts w:ascii="Book Antiqua" w:eastAsia="宋体" w:hAnsi="Book Antiqua" w:cs="宋体"/>
          <w:b/>
          <w:bCs/>
          <w:sz w:val="24"/>
          <w:szCs w:val="24"/>
        </w:rPr>
        <w:t>Stone KD</w:t>
      </w:r>
      <w:r w:rsidRPr="00420686">
        <w:rPr>
          <w:rFonts w:ascii="Book Antiqua" w:eastAsia="宋体" w:hAnsi="Book Antiqua" w:cs="宋体"/>
          <w:sz w:val="24"/>
          <w:szCs w:val="24"/>
        </w:rPr>
        <w:t xml:space="preserve">. Atopic diseases of childhood. </w:t>
      </w:r>
      <w:r w:rsidRPr="00420686">
        <w:rPr>
          <w:rFonts w:ascii="Book Antiqua" w:eastAsia="宋体" w:hAnsi="Book Antiqua" w:cs="宋体"/>
          <w:i/>
          <w:iCs/>
          <w:sz w:val="24"/>
          <w:szCs w:val="24"/>
        </w:rPr>
        <w:t>Curr Opin Pediatr</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15</w:t>
      </w:r>
      <w:r w:rsidRPr="00420686">
        <w:rPr>
          <w:rFonts w:ascii="Book Antiqua" w:eastAsia="宋体" w:hAnsi="Book Antiqua" w:cs="宋体"/>
          <w:sz w:val="24"/>
          <w:szCs w:val="24"/>
        </w:rPr>
        <w:t>: 495-511 [PMID: 14508299 DOI: 10.1097/00008480-200310000-00009]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 </w:t>
      </w:r>
      <w:r w:rsidRPr="00420686">
        <w:rPr>
          <w:rFonts w:ascii="Book Antiqua" w:eastAsia="宋体" w:hAnsi="Book Antiqua" w:cs="宋体"/>
          <w:b/>
          <w:bCs/>
          <w:sz w:val="24"/>
          <w:szCs w:val="24"/>
        </w:rPr>
        <w:t>MacLean JA</w:t>
      </w:r>
      <w:r w:rsidRPr="00420686">
        <w:rPr>
          <w:rFonts w:ascii="Book Antiqua" w:eastAsia="宋体" w:hAnsi="Book Antiqua" w:cs="宋体"/>
          <w:sz w:val="24"/>
          <w:szCs w:val="24"/>
        </w:rPr>
        <w:t xml:space="preserve">, Eidelman FJ. The genetics of atopy and atopic eczema. </w:t>
      </w:r>
      <w:r w:rsidRPr="00420686">
        <w:rPr>
          <w:rFonts w:ascii="Book Antiqua" w:eastAsia="宋体" w:hAnsi="Book Antiqua" w:cs="宋体"/>
          <w:i/>
          <w:iCs/>
          <w:sz w:val="24"/>
          <w:szCs w:val="24"/>
        </w:rPr>
        <w:t>Arch Dermatol</w:t>
      </w:r>
      <w:r w:rsidRPr="00420686">
        <w:rPr>
          <w:rFonts w:ascii="Book Antiqua" w:eastAsia="宋体" w:hAnsi="Book Antiqua" w:cs="宋体"/>
          <w:sz w:val="24"/>
          <w:szCs w:val="24"/>
        </w:rPr>
        <w:t xml:space="preserve"> 2001; </w:t>
      </w:r>
      <w:r w:rsidRPr="00420686">
        <w:rPr>
          <w:rFonts w:ascii="Book Antiqua" w:eastAsia="宋体" w:hAnsi="Book Antiqua" w:cs="宋体"/>
          <w:b/>
          <w:bCs/>
          <w:sz w:val="24"/>
          <w:szCs w:val="24"/>
        </w:rPr>
        <w:t>137</w:t>
      </w:r>
      <w:r w:rsidRPr="00420686">
        <w:rPr>
          <w:rFonts w:ascii="Book Antiqua" w:eastAsia="宋体" w:hAnsi="Book Antiqua" w:cs="宋体"/>
          <w:sz w:val="24"/>
          <w:szCs w:val="24"/>
        </w:rPr>
        <w:t>: 1474-1476 [PMID: 11708950 DOI: 10.1001/archderm.137.11.1474]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 </w:t>
      </w:r>
      <w:r w:rsidRPr="00420686">
        <w:rPr>
          <w:rFonts w:ascii="Book Antiqua" w:eastAsia="宋体" w:hAnsi="Book Antiqua" w:cs="宋体"/>
          <w:b/>
          <w:bCs/>
          <w:sz w:val="24"/>
          <w:szCs w:val="24"/>
        </w:rPr>
        <w:t>Johansson SG</w:t>
      </w:r>
      <w:r w:rsidRPr="00420686">
        <w:rPr>
          <w:rFonts w:ascii="Book Antiqua" w:eastAsia="宋体" w:hAnsi="Book Antiqua" w:cs="宋体"/>
          <w:sz w:val="24"/>
          <w:szCs w:val="24"/>
        </w:rPr>
        <w:t xml:space="preserve">, Hourihane JO, Bousquet J, Bruijnzeel-Koomen C, Dreborg S, Haahtela T, Kowalski ML, Mygind N, Ring J, van Cauwenberge P, van Hage-Hamsten M, Wüthrich B. A revised nomenclature for allergy. An EAACI position statement from the EAACI nomenclature task force.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2001; </w:t>
      </w:r>
      <w:r w:rsidRPr="00420686">
        <w:rPr>
          <w:rFonts w:ascii="Book Antiqua" w:eastAsia="宋体" w:hAnsi="Book Antiqua" w:cs="宋体"/>
          <w:b/>
          <w:bCs/>
          <w:sz w:val="24"/>
          <w:szCs w:val="24"/>
        </w:rPr>
        <w:t>56</w:t>
      </w:r>
      <w:r w:rsidRPr="00420686">
        <w:rPr>
          <w:rFonts w:ascii="Book Antiqua" w:eastAsia="宋体" w:hAnsi="Book Antiqua" w:cs="宋体"/>
          <w:sz w:val="24"/>
          <w:szCs w:val="24"/>
        </w:rPr>
        <w:t>: 813-824 [PMID: 11551246 DOI: 10.1034/j.1398-9995.2001.t01-1-00001.x]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 </w:t>
      </w:r>
      <w:r w:rsidRPr="00420686">
        <w:rPr>
          <w:rFonts w:ascii="Book Antiqua" w:eastAsia="宋体" w:hAnsi="Book Antiqua" w:cs="宋体"/>
          <w:b/>
          <w:bCs/>
          <w:sz w:val="24"/>
          <w:szCs w:val="24"/>
        </w:rPr>
        <w:t>Flohr C</w:t>
      </w:r>
      <w:r w:rsidRPr="00420686">
        <w:rPr>
          <w:rFonts w:ascii="Book Antiqua" w:eastAsia="宋体" w:hAnsi="Book Antiqua" w:cs="宋体"/>
          <w:sz w:val="24"/>
          <w:szCs w:val="24"/>
        </w:rPr>
        <w:t xml:space="preserve">, Johansson SG, Wahlgren CF, Williams H. How atopic is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2004; </w:t>
      </w:r>
      <w:r w:rsidRPr="00420686">
        <w:rPr>
          <w:rFonts w:ascii="Book Antiqua" w:eastAsia="宋体" w:hAnsi="Book Antiqua" w:cs="宋体"/>
          <w:b/>
          <w:bCs/>
          <w:sz w:val="24"/>
          <w:szCs w:val="24"/>
        </w:rPr>
        <w:t>114</w:t>
      </w:r>
      <w:r w:rsidRPr="00420686">
        <w:rPr>
          <w:rFonts w:ascii="Book Antiqua" w:eastAsia="宋体" w:hAnsi="Book Antiqua" w:cs="宋体"/>
          <w:sz w:val="24"/>
          <w:szCs w:val="24"/>
        </w:rPr>
        <w:t>: 150-158 [PMID: 15241359 DOI: DOI: 10.1016/j.jaci.2004.04.027]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 </w:t>
      </w:r>
      <w:r w:rsidRPr="00420686">
        <w:rPr>
          <w:rFonts w:ascii="Book Antiqua" w:eastAsia="宋体" w:hAnsi="Book Antiqua" w:cs="宋体"/>
          <w:b/>
          <w:bCs/>
          <w:sz w:val="24"/>
          <w:szCs w:val="24"/>
        </w:rPr>
        <w:t>Novak N</w:t>
      </w:r>
      <w:r w:rsidRPr="00420686">
        <w:rPr>
          <w:rFonts w:ascii="Book Antiqua" w:eastAsia="宋体" w:hAnsi="Book Antiqua" w:cs="宋体"/>
          <w:sz w:val="24"/>
          <w:szCs w:val="24"/>
        </w:rPr>
        <w:t xml:space="preserve">, Bieber T. Allergic and nonallergic forms of atopic diseases.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112</w:t>
      </w:r>
      <w:r w:rsidRPr="00420686">
        <w:rPr>
          <w:rFonts w:ascii="Book Antiqua" w:eastAsia="宋体" w:hAnsi="Book Antiqua" w:cs="宋体"/>
          <w:sz w:val="24"/>
          <w:szCs w:val="24"/>
        </w:rPr>
        <w:t>: 252-262 [PMID: 12897728 DOI: 10.1067/mai.2003.1595]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 </w:t>
      </w:r>
      <w:r w:rsidRPr="00420686">
        <w:rPr>
          <w:rFonts w:ascii="Book Antiqua" w:eastAsia="宋体" w:hAnsi="Book Antiqua" w:cs="宋体"/>
          <w:b/>
          <w:bCs/>
          <w:sz w:val="24"/>
          <w:szCs w:val="24"/>
        </w:rPr>
        <w:t>Grammatikos AP</w:t>
      </w:r>
      <w:r w:rsidRPr="00420686">
        <w:rPr>
          <w:rFonts w:ascii="Book Antiqua" w:eastAsia="宋体" w:hAnsi="Book Antiqua" w:cs="宋体"/>
          <w:sz w:val="24"/>
          <w:szCs w:val="24"/>
        </w:rPr>
        <w:t xml:space="preserve">. The genetic and environmental basis of atopic diseases. </w:t>
      </w:r>
      <w:r w:rsidRPr="00420686">
        <w:rPr>
          <w:rFonts w:ascii="Book Antiqua" w:eastAsia="宋体" w:hAnsi="Book Antiqua" w:cs="宋体"/>
          <w:i/>
          <w:iCs/>
          <w:sz w:val="24"/>
          <w:szCs w:val="24"/>
        </w:rPr>
        <w:t>Ann Med</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40</w:t>
      </w:r>
      <w:r w:rsidRPr="00420686">
        <w:rPr>
          <w:rFonts w:ascii="Book Antiqua" w:eastAsia="宋体" w:hAnsi="Book Antiqua" w:cs="宋体"/>
          <w:sz w:val="24"/>
          <w:szCs w:val="24"/>
        </w:rPr>
        <w:t>: 482-495 [PMID: 18608118 DOI: 10.1080/07853890802082096]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 </w:t>
      </w:r>
      <w:r w:rsidRPr="00420686">
        <w:rPr>
          <w:rFonts w:ascii="Book Antiqua" w:eastAsia="宋体" w:hAnsi="Book Antiqua" w:cs="宋体"/>
          <w:b/>
          <w:bCs/>
          <w:sz w:val="24"/>
          <w:szCs w:val="24"/>
        </w:rPr>
        <w:t>Hahn EL</w:t>
      </w:r>
      <w:r w:rsidRPr="00420686">
        <w:rPr>
          <w:rFonts w:ascii="Book Antiqua" w:eastAsia="宋体" w:hAnsi="Book Antiqua" w:cs="宋体"/>
          <w:sz w:val="24"/>
          <w:szCs w:val="24"/>
        </w:rPr>
        <w:t xml:space="preserve">, Bacharier LB. The atopic march: the pattern of allergic disease development in childhood. </w:t>
      </w:r>
      <w:r w:rsidRPr="00420686">
        <w:rPr>
          <w:rFonts w:ascii="Book Antiqua" w:eastAsia="宋体" w:hAnsi="Book Antiqua" w:cs="宋体"/>
          <w:i/>
          <w:iCs/>
          <w:sz w:val="24"/>
          <w:szCs w:val="24"/>
        </w:rPr>
        <w:t>Immunol Allergy Clin North Am</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25</w:t>
      </w:r>
      <w:r w:rsidRPr="00420686">
        <w:rPr>
          <w:rFonts w:ascii="Book Antiqua" w:eastAsia="宋体" w:hAnsi="Book Antiqua" w:cs="宋体"/>
          <w:sz w:val="24"/>
          <w:szCs w:val="24"/>
        </w:rPr>
        <w:t>: 231-246, v [PMID: 15878453 DOI: 10.1016/j.iac.2005.02.004]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 </w:t>
      </w:r>
      <w:r w:rsidRPr="00420686">
        <w:rPr>
          <w:rFonts w:ascii="Book Antiqua" w:eastAsia="宋体" w:hAnsi="Book Antiqua" w:cs="宋体"/>
          <w:b/>
          <w:bCs/>
          <w:sz w:val="24"/>
          <w:szCs w:val="24"/>
        </w:rPr>
        <w:t>Spergel JM</w:t>
      </w:r>
      <w:r w:rsidRPr="00420686">
        <w:rPr>
          <w:rFonts w:ascii="Book Antiqua" w:eastAsia="宋体" w:hAnsi="Book Antiqua" w:cs="宋体"/>
          <w:sz w:val="24"/>
          <w:szCs w:val="24"/>
        </w:rPr>
        <w:t xml:space="preserve">, Paller AS. Atopic dermatitis and the atopic march.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112</w:t>
      </w:r>
      <w:r w:rsidRPr="00420686">
        <w:rPr>
          <w:rFonts w:ascii="Book Antiqua" w:eastAsia="宋体" w:hAnsi="Book Antiqua" w:cs="宋体"/>
          <w:sz w:val="24"/>
          <w:szCs w:val="24"/>
        </w:rPr>
        <w:t>: S118-S127 [PMID: 14657842 DOI: 10.1016/j.jaci.2003.09.033]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 </w:t>
      </w:r>
      <w:r w:rsidRPr="00420686">
        <w:rPr>
          <w:rFonts w:ascii="Book Antiqua" w:eastAsia="宋体" w:hAnsi="Book Antiqua" w:cs="宋体"/>
          <w:b/>
          <w:bCs/>
          <w:sz w:val="24"/>
          <w:szCs w:val="24"/>
        </w:rPr>
        <w:t>Gustafsson D</w:t>
      </w:r>
      <w:r w:rsidRPr="00420686">
        <w:rPr>
          <w:rFonts w:ascii="Book Antiqua" w:eastAsia="宋体" w:hAnsi="Book Antiqua" w:cs="宋体"/>
          <w:sz w:val="24"/>
          <w:szCs w:val="24"/>
        </w:rPr>
        <w:t xml:space="preserve">, Sjöberg O, Foucard T. Development of allergies and asthma in infants and young children with atopic dermatitis--a prospective follow-up to 7 years of age.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2000; </w:t>
      </w:r>
      <w:r w:rsidRPr="00420686">
        <w:rPr>
          <w:rFonts w:ascii="Book Antiqua" w:eastAsia="宋体" w:hAnsi="Book Antiqua" w:cs="宋体"/>
          <w:b/>
          <w:bCs/>
          <w:sz w:val="24"/>
          <w:szCs w:val="24"/>
        </w:rPr>
        <w:t>55</w:t>
      </w:r>
      <w:r w:rsidRPr="00420686">
        <w:rPr>
          <w:rFonts w:ascii="Book Antiqua" w:eastAsia="宋体" w:hAnsi="Book Antiqua" w:cs="宋体"/>
          <w:sz w:val="24"/>
          <w:szCs w:val="24"/>
        </w:rPr>
        <w:t>: 240-245 [PMID: 10753014 DOI: 10.1034/j.1398-9995.2000.00391.x]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 </w:t>
      </w:r>
      <w:r w:rsidRPr="00420686">
        <w:rPr>
          <w:rFonts w:ascii="Book Antiqua" w:eastAsia="宋体" w:hAnsi="Book Antiqua" w:cs="宋体"/>
          <w:b/>
          <w:bCs/>
          <w:sz w:val="24"/>
          <w:szCs w:val="24"/>
        </w:rPr>
        <w:t>Spergel JM</w:t>
      </w:r>
      <w:r w:rsidRPr="00420686">
        <w:rPr>
          <w:rFonts w:ascii="Book Antiqua" w:eastAsia="宋体" w:hAnsi="Book Antiqua" w:cs="宋体"/>
          <w:sz w:val="24"/>
          <w:szCs w:val="24"/>
        </w:rPr>
        <w:t xml:space="preserve">. From atopic dermatitis to asthma: the atopic march. </w:t>
      </w:r>
      <w:r w:rsidRPr="00420686">
        <w:rPr>
          <w:rFonts w:ascii="Book Antiqua" w:eastAsia="宋体" w:hAnsi="Book Antiqua" w:cs="宋体"/>
          <w:i/>
          <w:iCs/>
          <w:sz w:val="24"/>
          <w:szCs w:val="24"/>
        </w:rPr>
        <w:t>Ann Allergy Asthma Immunol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105</w:t>
      </w:r>
      <w:r w:rsidRPr="00420686">
        <w:rPr>
          <w:rFonts w:ascii="Book Antiqua" w:eastAsia="宋体" w:hAnsi="Book Antiqua" w:cs="宋体"/>
          <w:sz w:val="24"/>
          <w:szCs w:val="24"/>
        </w:rPr>
        <w:t>: 99-106; quiz 107-</w:t>
      </w:r>
      <w:r w:rsidR="00440290">
        <w:rPr>
          <w:rFonts w:ascii="Book Antiqua" w:eastAsia="宋体" w:hAnsi="Book Antiqua" w:cs="宋体" w:hint="eastAsia"/>
          <w:sz w:val="24"/>
          <w:szCs w:val="24"/>
          <w:lang w:eastAsia="zh-CN"/>
        </w:rPr>
        <w:t>10</w:t>
      </w:r>
      <w:r w:rsidRPr="00420686">
        <w:rPr>
          <w:rFonts w:ascii="Book Antiqua" w:eastAsia="宋体" w:hAnsi="Book Antiqua" w:cs="宋体"/>
          <w:sz w:val="24"/>
          <w:szCs w:val="24"/>
        </w:rPr>
        <w:t>9, 117 [PMID: 20674819 DOI: 10.1016/j.anai.2009.10.002]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21 </w:t>
      </w:r>
      <w:r w:rsidRPr="00420686">
        <w:rPr>
          <w:rFonts w:ascii="Book Antiqua" w:eastAsia="宋体" w:hAnsi="Book Antiqua" w:cs="宋体"/>
          <w:b/>
          <w:bCs/>
          <w:sz w:val="24"/>
          <w:szCs w:val="24"/>
        </w:rPr>
        <w:t>Bieber T</w:t>
      </w:r>
      <w:r w:rsidRPr="00420686">
        <w:rPr>
          <w:rFonts w:ascii="Book Antiqua" w:eastAsia="宋体" w:hAnsi="Book Antiqua" w:cs="宋体"/>
          <w:sz w:val="24"/>
          <w:szCs w:val="24"/>
        </w:rPr>
        <w:t xml:space="preserve">. Atopic dermatitis. </w:t>
      </w:r>
      <w:r w:rsidRPr="00420686">
        <w:rPr>
          <w:rFonts w:ascii="Book Antiqua" w:eastAsia="宋体" w:hAnsi="Book Antiqua" w:cs="宋体"/>
          <w:i/>
          <w:iCs/>
          <w:sz w:val="24"/>
          <w:szCs w:val="24"/>
        </w:rPr>
        <w:t>Ann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22</w:t>
      </w:r>
      <w:r w:rsidRPr="00420686">
        <w:rPr>
          <w:rFonts w:ascii="Book Antiqua" w:eastAsia="宋体" w:hAnsi="Book Antiqua" w:cs="宋体"/>
          <w:sz w:val="24"/>
          <w:szCs w:val="24"/>
        </w:rPr>
        <w:t>: 125-137 [PMID: 20548901 DOI: 10.5021/ad.2010.22.2.125]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22 </w:t>
      </w:r>
      <w:r w:rsidRPr="00420686">
        <w:rPr>
          <w:rFonts w:ascii="Book Antiqua" w:eastAsia="宋体" w:hAnsi="Book Antiqua" w:cs="宋体"/>
          <w:b/>
          <w:sz w:val="24"/>
          <w:szCs w:val="24"/>
        </w:rPr>
        <w:t>Brandt EB,</w:t>
      </w:r>
      <w:r w:rsidRPr="00420686">
        <w:rPr>
          <w:rFonts w:ascii="Book Antiqua" w:eastAsia="宋体" w:hAnsi="Book Antiqua" w:cs="宋体"/>
          <w:sz w:val="24"/>
          <w:szCs w:val="24"/>
        </w:rPr>
        <w:t xml:space="preserve"> Sivaprasad U. Th2 Cytokines and Atopic Dermatitis. </w:t>
      </w:r>
      <w:r w:rsidRPr="00420686">
        <w:rPr>
          <w:rFonts w:ascii="Book Antiqua" w:eastAsia="宋体" w:hAnsi="Book Antiqua" w:cs="宋体"/>
          <w:i/>
          <w:sz w:val="24"/>
          <w:szCs w:val="24"/>
        </w:rPr>
        <w:t>Journal of clinical &amp; cellular immunology</w:t>
      </w:r>
      <w:r w:rsidRPr="00420686">
        <w:rPr>
          <w:rFonts w:ascii="Book Antiqua" w:eastAsia="宋体" w:hAnsi="Book Antiqua" w:cs="宋体"/>
          <w:sz w:val="24"/>
          <w:szCs w:val="24"/>
        </w:rPr>
        <w:t xml:space="preserve"> 2011; </w:t>
      </w:r>
      <w:r w:rsidRPr="00420686">
        <w:rPr>
          <w:rFonts w:ascii="Book Antiqua" w:eastAsia="宋体" w:hAnsi="Book Antiqua" w:cs="宋体"/>
          <w:b/>
          <w:sz w:val="24"/>
          <w:szCs w:val="24"/>
        </w:rPr>
        <w:t>2</w:t>
      </w:r>
      <w:r w:rsidRPr="00420686">
        <w:rPr>
          <w:rFonts w:ascii="Book Antiqua" w:eastAsia="宋体" w:hAnsi="Book Antiqua" w:cs="宋体"/>
          <w:sz w:val="24"/>
          <w:szCs w:val="24"/>
        </w:rPr>
        <w:t xml:space="preserve">: 110 [DOI: 10.4172/2155-9899.1000110] </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23 </w:t>
      </w:r>
      <w:r w:rsidRPr="00420686">
        <w:rPr>
          <w:rFonts w:ascii="Book Antiqua" w:eastAsia="宋体" w:hAnsi="Book Antiqua" w:cs="宋体"/>
          <w:b/>
          <w:bCs/>
          <w:sz w:val="24"/>
          <w:szCs w:val="24"/>
        </w:rPr>
        <w:t>Elias PM</w:t>
      </w:r>
      <w:r w:rsidRPr="00420686">
        <w:rPr>
          <w:rFonts w:ascii="Book Antiqua" w:eastAsia="宋体" w:hAnsi="Book Antiqua" w:cs="宋体"/>
          <w:sz w:val="24"/>
          <w:szCs w:val="24"/>
        </w:rPr>
        <w:t xml:space="preserve">, Steinhoff M. "Outside-to-inside" (and now back to "outside") pathogenic mechanisms in atopic dermatitis.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1067-1070 [PMID: 18408746 DOI: 10.1038/jid.2008.88]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24 </w:t>
      </w:r>
      <w:r w:rsidRPr="00420686">
        <w:rPr>
          <w:rFonts w:ascii="Book Antiqua" w:eastAsia="宋体" w:hAnsi="Book Antiqua" w:cs="宋体"/>
          <w:b/>
          <w:bCs/>
          <w:sz w:val="24"/>
          <w:szCs w:val="24"/>
        </w:rPr>
        <w:t>Madison KC</w:t>
      </w:r>
      <w:r w:rsidRPr="00420686">
        <w:rPr>
          <w:rFonts w:ascii="Book Antiqua" w:eastAsia="宋体" w:hAnsi="Book Antiqua" w:cs="宋体"/>
          <w:sz w:val="24"/>
          <w:szCs w:val="24"/>
        </w:rPr>
        <w:t xml:space="preserve">. Barrier function of the skin: "la raison d'être" of the epidermis.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121</w:t>
      </w:r>
      <w:r w:rsidRPr="00420686">
        <w:rPr>
          <w:rFonts w:ascii="Book Antiqua" w:eastAsia="宋体" w:hAnsi="Book Antiqua" w:cs="宋体"/>
          <w:sz w:val="24"/>
          <w:szCs w:val="24"/>
        </w:rPr>
        <w:t>: 231-241 [PMID: 12880413 DOI: 10.1046/j.1523-1747.2003.12359.x]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25 </w:t>
      </w:r>
      <w:r w:rsidRPr="00420686">
        <w:rPr>
          <w:rFonts w:ascii="Book Antiqua" w:eastAsia="宋体" w:hAnsi="Book Antiqua" w:cs="宋体"/>
          <w:b/>
          <w:bCs/>
          <w:sz w:val="24"/>
          <w:szCs w:val="24"/>
        </w:rPr>
        <w:t>Proksch E</w:t>
      </w:r>
      <w:r w:rsidRPr="00420686">
        <w:rPr>
          <w:rFonts w:ascii="Book Antiqua" w:eastAsia="宋体" w:hAnsi="Book Antiqua" w:cs="宋体"/>
          <w:sz w:val="24"/>
          <w:szCs w:val="24"/>
        </w:rPr>
        <w:t xml:space="preserve">, Brandner JM, Jensen JM. The skin: an indispensable barrier.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17</w:t>
      </w:r>
      <w:r w:rsidRPr="00420686">
        <w:rPr>
          <w:rFonts w:ascii="Book Antiqua" w:eastAsia="宋体" w:hAnsi="Book Antiqua" w:cs="宋体"/>
          <w:sz w:val="24"/>
          <w:szCs w:val="24"/>
        </w:rPr>
        <w:t>: 1063-1072 [PMID: 19043850 DOI: 10.1111/j.1600-0625.2008.00786.x]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26 </w:t>
      </w:r>
      <w:r w:rsidRPr="00420686">
        <w:rPr>
          <w:rFonts w:ascii="Book Antiqua" w:eastAsia="宋体" w:hAnsi="Book Antiqua" w:cs="宋体"/>
          <w:b/>
          <w:bCs/>
          <w:sz w:val="24"/>
          <w:szCs w:val="24"/>
        </w:rPr>
        <w:t>Candi E</w:t>
      </w:r>
      <w:r w:rsidRPr="00420686">
        <w:rPr>
          <w:rFonts w:ascii="Book Antiqua" w:eastAsia="宋体" w:hAnsi="Book Antiqua" w:cs="宋体"/>
          <w:sz w:val="24"/>
          <w:szCs w:val="24"/>
        </w:rPr>
        <w:t xml:space="preserve">, Schmidt R, Melino G. The cornified envelope: a model of cell death in the skin. </w:t>
      </w:r>
      <w:r w:rsidRPr="00420686">
        <w:rPr>
          <w:rFonts w:ascii="Book Antiqua" w:eastAsia="宋体" w:hAnsi="Book Antiqua" w:cs="宋体"/>
          <w:i/>
          <w:iCs/>
          <w:sz w:val="24"/>
          <w:szCs w:val="24"/>
        </w:rPr>
        <w:t>Nat Rev Mol Cell Biol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6</w:t>
      </w:r>
      <w:r w:rsidRPr="00420686">
        <w:rPr>
          <w:rFonts w:ascii="Book Antiqua" w:eastAsia="宋体" w:hAnsi="Book Antiqua" w:cs="宋体"/>
          <w:sz w:val="24"/>
          <w:szCs w:val="24"/>
        </w:rPr>
        <w:t>: 328-340 [PMID: 15803139 DOI: 10.1038/nrm1619]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27 </w:t>
      </w:r>
      <w:r w:rsidRPr="00420686">
        <w:rPr>
          <w:rFonts w:ascii="Book Antiqua" w:eastAsia="宋体" w:hAnsi="Book Antiqua" w:cs="宋体"/>
          <w:b/>
          <w:sz w:val="24"/>
          <w:szCs w:val="24"/>
        </w:rPr>
        <w:t>Feingold KR,</w:t>
      </w:r>
      <w:r w:rsidRPr="00420686">
        <w:rPr>
          <w:rFonts w:ascii="Book Antiqua" w:eastAsia="宋体" w:hAnsi="Book Antiqua" w:cs="宋体"/>
          <w:sz w:val="24"/>
          <w:szCs w:val="24"/>
        </w:rPr>
        <w:t xml:space="preserve"> Elias PM. Role of lipids in the formation and maintenance of the cutaneous permeability barrier. </w:t>
      </w:r>
      <w:bookmarkStart w:id="3" w:name="OLE_LINK12"/>
      <w:bookmarkStart w:id="4" w:name="OLE_LINK13"/>
      <w:r w:rsidRPr="00420686">
        <w:rPr>
          <w:rFonts w:ascii="Book Antiqua" w:eastAsia="宋体" w:hAnsi="Book Antiqua" w:cs="宋体"/>
          <w:i/>
          <w:sz w:val="24"/>
          <w:szCs w:val="24"/>
        </w:rPr>
        <w:t>Biochim Biophys Acta</w:t>
      </w:r>
      <w:r w:rsidRPr="00420686">
        <w:rPr>
          <w:rFonts w:ascii="Book Antiqua" w:eastAsia="宋体" w:hAnsi="Book Antiqua" w:cs="宋体"/>
          <w:sz w:val="24"/>
          <w:szCs w:val="24"/>
        </w:rPr>
        <w:t xml:space="preserve"> 2014; </w:t>
      </w:r>
      <w:r w:rsidRPr="00420686">
        <w:rPr>
          <w:rFonts w:ascii="Book Antiqua" w:eastAsia="宋体" w:hAnsi="Book Antiqua" w:cs="宋体"/>
          <w:b/>
          <w:sz w:val="24"/>
          <w:szCs w:val="24"/>
        </w:rPr>
        <w:t>1841</w:t>
      </w:r>
      <w:r w:rsidRPr="00420686">
        <w:rPr>
          <w:rFonts w:ascii="Book Antiqua" w:eastAsia="宋体" w:hAnsi="Book Antiqua" w:cs="宋体"/>
          <w:sz w:val="24"/>
          <w:szCs w:val="24"/>
        </w:rPr>
        <w:t xml:space="preserve">: 280-294 </w:t>
      </w:r>
      <w:bookmarkEnd w:id="3"/>
      <w:bookmarkEnd w:id="4"/>
      <w:r w:rsidRPr="00420686">
        <w:rPr>
          <w:rFonts w:ascii="Book Antiqua" w:eastAsia="宋体" w:hAnsi="Book Antiqua" w:cs="宋体"/>
          <w:sz w:val="24"/>
          <w:szCs w:val="24"/>
        </w:rPr>
        <w:t xml:space="preserve">[PMID: 24262790 DOI: 10.1016/j.bbalip.2013.11.007] </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28</w:t>
      </w:r>
      <w:r w:rsidRPr="00420686">
        <w:rPr>
          <w:rFonts w:ascii="Book Antiqua" w:eastAsia="宋体" w:hAnsi="Book Antiqua" w:cs="宋体"/>
          <w:b/>
          <w:sz w:val="24"/>
          <w:szCs w:val="24"/>
        </w:rPr>
        <w:t xml:space="preserve"> Jakasa I,</w:t>
      </w:r>
      <w:r w:rsidRPr="00420686">
        <w:rPr>
          <w:rFonts w:ascii="Book Antiqua" w:eastAsia="宋体" w:hAnsi="Book Antiqua" w:cs="宋体"/>
          <w:sz w:val="24"/>
          <w:szCs w:val="24"/>
        </w:rPr>
        <w:t xml:space="preserve"> Verberk MM, Esposito M, Bos JD, Kezic S. Altered penetration of polyethylene glycols into uninvolved skin of atopic dermatitis patients. </w:t>
      </w:r>
      <w:r w:rsidRPr="00420686">
        <w:rPr>
          <w:rFonts w:ascii="Book Antiqua" w:eastAsia="宋体" w:hAnsi="Book Antiqua" w:cs="宋体"/>
          <w:i/>
          <w:sz w:val="24"/>
          <w:szCs w:val="24"/>
        </w:rPr>
        <w:t>J Invest Dermatol</w:t>
      </w:r>
      <w:r w:rsidRPr="00420686">
        <w:rPr>
          <w:rFonts w:ascii="Book Antiqua" w:eastAsia="宋体" w:hAnsi="Book Antiqua" w:cs="宋体"/>
          <w:sz w:val="24"/>
          <w:szCs w:val="24"/>
        </w:rPr>
        <w:t xml:space="preserve"> 2007; </w:t>
      </w:r>
      <w:r w:rsidRPr="00420686">
        <w:rPr>
          <w:rFonts w:ascii="Book Antiqua" w:eastAsia="宋体" w:hAnsi="Book Antiqua" w:cs="宋体"/>
          <w:b/>
          <w:sz w:val="24"/>
          <w:szCs w:val="24"/>
        </w:rPr>
        <w:t>127</w:t>
      </w:r>
      <w:r w:rsidRPr="00420686">
        <w:rPr>
          <w:rFonts w:ascii="Book Antiqua" w:eastAsia="宋体" w:hAnsi="Book Antiqua" w:cs="宋体"/>
          <w:sz w:val="24"/>
          <w:szCs w:val="24"/>
        </w:rPr>
        <w:t>: 129-34 [PMID: 17039242 DOI: 10.1016/j.bbalip.2013.11.007]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29 </w:t>
      </w:r>
      <w:r w:rsidRPr="00420686">
        <w:rPr>
          <w:rFonts w:ascii="Book Antiqua" w:eastAsia="宋体" w:hAnsi="Book Antiqua" w:cs="宋体"/>
          <w:b/>
          <w:bCs/>
          <w:sz w:val="24"/>
          <w:szCs w:val="24"/>
        </w:rPr>
        <w:t>Gupta J</w:t>
      </w:r>
      <w:r w:rsidRPr="00420686">
        <w:rPr>
          <w:rFonts w:ascii="Book Antiqua" w:eastAsia="宋体" w:hAnsi="Book Antiqua" w:cs="宋体"/>
          <w:sz w:val="24"/>
          <w:szCs w:val="24"/>
        </w:rPr>
        <w:t xml:space="preserve">, Grube E, Ericksen MB, Stevenson MD, Lucky AW, Sheth AP, Assa'ad AH, Khurana Hershey GK. Intrinsically defective skin barrier function in children with atopic dermatitis correlates with disease severity.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121</w:t>
      </w:r>
      <w:r w:rsidRPr="00420686">
        <w:rPr>
          <w:rFonts w:ascii="Book Antiqua" w:eastAsia="宋体" w:hAnsi="Book Antiqua" w:cs="宋体"/>
          <w:sz w:val="24"/>
          <w:szCs w:val="24"/>
        </w:rPr>
        <w:t>: 725-730.e2 [PMID: 18249438 DOI: 10.1016/j.jaci.2007.12.1161]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30 </w:t>
      </w:r>
      <w:r w:rsidRPr="00420686">
        <w:rPr>
          <w:rFonts w:ascii="Book Antiqua" w:eastAsia="宋体" w:hAnsi="Book Antiqua" w:cs="宋体"/>
          <w:b/>
          <w:bCs/>
          <w:sz w:val="24"/>
          <w:szCs w:val="24"/>
        </w:rPr>
        <w:t>Linde YW</w:t>
      </w:r>
      <w:r w:rsidRPr="00420686">
        <w:rPr>
          <w:rFonts w:ascii="Book Antiqua" w:eastAsia="宋体" w:hAnsi="Book Antiqua" w:cs="宋体"/>
          <w:sz w:val="24"/>
          <w:szCs w:val="24"/>
        </w:rPr>
        <w:t xml:space="preserve">. Dry skin in atopic dermatitis. </w:t>
      </w:r>
      <w:r w:rsidRPr="00420686">
        <w:rPr>
          <w:rFonts w:ascii="Book Antiqua" w:eastAsia="宋体" w:hAnsi="Book Antiqua" w:cs="宋体"/>
          <w:i/>
          <w:iCs/>
          <w:sz w:val="24"/>
          <w:szCs w:val="24"/>
        </w:rPr>
        <w:t xml:space="preserve">Acta Derm Venereol Suppl </w:t>
      </w:r>
      <w:r w:rsidRPr="00420686">
        <w:rPr>
          <w:rFonts w:ascii="Book Antiqua" w:eastAsia="宋体" w:hAnsi="Book Antiqua" w:cs="宋体"/>
          <w:iCs/>
          <w:sz w:val="24"/>
          <w:szCs w:val="24"/>
        </w:rPr>
        <w:t>(Stockh)</w:t>
      </w:r>
      <w:r w:rsidRPr="00420686">
        <w:rPr>
          <w:rFonts w:ascii="Book Antiqua" w:eastAsia="宋体" w:hAnsi="Book Antiqua" w:cs="宋体"/>
          <w:sz w:val="24"/>
          <w:szCs w:val="24"/>
        </w:rPr>
        <w:t xml:space="preserve"> 1992; </w:t>
      </w:r>
      <w:r w:rsidRPr="00420686">
        <w:rPr>
          <w:rFonts w:ascii="Book Antiqua" w:eastAsia="宋体" w:hAnsi="Book Antiqua" w:cs="宋体"/>
          <w:b/>
          <w:bCs/>
          <w:sz w:val="24"/>
          <w:szCs w:val="24"/>
        </w:rPr>
        <w:t>177</w:t>
      </w:r>
      <w:r w:rsidRPr="00420686">
        <w:rPr>
          <w:rFonts w:ascii="Book Antiqua" w:eastAsia="宋体" w:hAnsi="Book Antiqua" w:cs="宋体"/>
          <w:sz w:val="24"/>
          <w:szCs w:val="24"/>
        </w:rPr>
        <w:t>: 9-13 [PMID: 1466189]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31 </w:t>
      </w:r>
      <w:r w:rsidRPr="00420686">
        <w:rPr>
          <w:rFonts w:ascii="Book Antiqua" w:eastAsia="宋体" w:hAnsi="Book Antiqua" w:cs="宋体"/>
          <w:b/>
          <w:bCs/>
          <w:sz w:val="24"/>
          <w:szCs w:val="24"/>
        </w:rPr>
        <w:t>Watanabe M</w:t>
      </w:r>
      <w:r w:rsidRPr="00420686">
        <w:rPr>
          <w:rFonts w:ascii="Book Antiqua" w:eastAsia="宋体" w:hAnsi="Book Antiqua" w:cs="宋体"/>
          <w:sz w:val="24"/>
          <w:szCs w:val="24"/>
        </w:rPr>
        <w:t xml:space="preserve">, Tagami H, Horii I, Takahashi M, Kligman AM. Functional analyses of the superficial stratum corneum in atopic xerosis. </w:t>
      </w:r>
      <w:r w:rsidRPr="00420686">
        <w:rPr>
          <w:rFonts w:ascii="Book Antiqua" w:eastAsia="宋体" w:hAnsi="Book Antiqua" w:cs="宋体"/>
          <w:i/>
          <w:iCs/>
          <w:sz w:val="24"/>
          <w:szCs w:val="24"/>
        </w:rPr>
        <w:t>Arch Dermatol</w:t>
      </w:r>
      <w:r w:rsidRPr="00420686">
        <w:rPr>
          <w:rFonts w:ascii="Book Antiqua" w:eastAsia="宋体" w:hAnsi="Book Antiqua" w:cs="宋体"/>
          <w:sz w:val="24"/>
          <w:szCs w:val="24"/>
        </w:rPr>
        <w:t xml:space="preserve"> 1991; </w:t>
      </w:r>
      <w:r w:rsidRPr="00420686">
        <w:rPr>
          <w:rFonts w:ascii="Book Antiqua" w:eastAsia="宋体" w:hAnsi="Book Antiqua" w:cs="宋体"/>
          <w:b/>
          <w:bCs/>
          <w:sz w:val="24"/>
          <w:szCs w:val="24"/>
        </w:rPr>
        <w:t>127</w:t>
      </w:r>
      <w:r w:rsidRPr="00420686">
        <w:rPr>
          <w:rFonts w:ascii="Book Antiqua" w:eastAsia="宋体" w:hAnsi="Book Antiqua" w:cs="宋体"/>
          <w:sz w:val="24"/>
          <w:szCs w:val="24"/>
        </w:rPr>
        <w:t>: 1689-1692 [PMID: 1952974 DOI: 10.1001/archderm.1991.01680100089010]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32 </w:t>
      </w:r>
      <w:r w:rsidRPr="00420686">
        <w:rPr>
          <w:rFonts w:ascii="Book Antiqua" w:eastAsia="宋体" w:hAnsi="Book Antiqua" w:cs="宋体"/>
          <w:b/>
          <w:bCs/>
          <w:sz w:val="24"/>
          <w:szCs w:val="24"/>
        </w:rPr>
        <w:t>Jensen JM</w:t>
      </w:r>
      <w:r w:rsidRPr="00420686">
        <w:rPr>
          <w:rFonts w:ascii="Book Antiqua" w:eastAsia="宋体" w:hAnsi="Book Antiqua" w:cs="宋体"/>
          <w:sz w:val="24"/>
          <w:szCs w:val="24"/>
        </w:rPr>
        <w:t xml:space="preserve">, Pfeiffer S, Witt M, Bräutigam M, Neumann C, Weichenthal M, Schwarz T, Fölster-Holst R, Proksch E. Different effects of pimecrolimus and betamethasone on the skin barrier in patients with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124</w:t>
      </w:r>
      <w:r w:rsidRPr="00420686">
        <w:rPr>
          <w:rFonts w:ascii="Book Antiqua" w:eastAsia="宋体" w:hAnsi="Book Antiqua" w:cs="宋体"/>
          <w:sz w:val="24"/>
          <w:szCs w:val="24"/>
        </w:rPr>
        <w:t>: R19-R28 [PMID: 19720208 DOI: 10.1016/j.jaci.2009.07.015]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33 </w:t>
      </w:r>
      <w:r w:rsidRPr="00420686">
        <w:rPr>
          <w:rFonts w:ascii="Book Antiqua" w:eastAsia="宋体" w:hAnsi="Book Antiqua" w:cs="宋体"/>
          <w:b/>
          <w:bCs/>
          <w:sz w:val="24"/>
          <w:szCs w:val="24"/>
        </w:rPr>
        <w:t>Ishikawa J</w:t>
      </w:r>
      <w:r w:rsidRPr="00420686">
        <w:rPr>
          <w:rFonts w:ascii="Book Antiqua" w:eastAsia="宋体" w:hAnsi="Book Antiqua" w:cs="宋体"/>
          <w:sz w:val="24"/>
          <w:szCs w:val="24"/>
        </w:rPr>
        <w:t xml:space="preserve">, Narita H, Kondo N, Hotta M, Takagi Y, Masukawa Y, Kitahara T, Takema Y, Koyano S, Yamazaki S, Hatamochi A. Changes in the ceramide profile of atopic dermatitis patients.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130</w:t>
      </w:r>
      <w:r w:rsidRPr="00420686">
        <w:rPr>
          <w:rFonts w:ascii="Book Antiqua" w:eastAsia="宋体" w:hAnsi="Book Antiqua" w:cs="宋体"/>
          <w:sz w:val="24"/>
          <w:szCs w:val="24"/>
        </w:rPr>
        <w:t>: 2511-2514 [PMID: 20574438 DOI: 10.1038/jid.2010.161]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34 </w:t>
      </w:r>
      <w:r w:rsidRPr="00420686">
        <w:rPr>
          <w:rFonts w:ascii="Book Antiqua" w:eastAsia="宋体" w:hAnsi="Book Antiqua" w:cs="宋体"/>
          <w:b/>
          <w:bCs/>
          <w:sz w:val="24"/>
          <w:szCs w:val="24"/>
        </w:rPr>
        <w:t>Janssens M</w:t>
      </w:r>
      <w:r w:rsidRPr="00420686">
        <w:rPr>
          <w:rFonts w:ascii="Book Antiqua" w:eastAsia="宋体" w:hAnsi="Book Antiqua" w:cs="宋体"/>
          <w:sz w:val="24"/>
          <w:szCs w:val="24"/>
        </w:rPr>
        <w:t xml:space="preserve">, van Smeden J, Gooris GS, Bras W, Portale G, Caspers PJ, Vreeken RJ, Hankemeier T, Kezic S, Wolterbeek R, Lavrijsen AP, Bouwstra JA. Increase in short-chain ceramides correlates with an altered lipid organization and decreased barrier function in atopic eczema patients. </w:t>
      </w:r>
      <w:r w:rsidRPr="00420686">
        <w:rPr>
          <w:rFonts w:ascii="Book Antiqua" w:eastAsia="宋体" w:hAnsi="Book Antiqua" w:cs="宋体"/>
          <w:i/>
          <w:iCs/>
          <w:sz w:val="24"/>
          <w:szCs w:val="24"/>
        </w:rPr>
        <w:t>J Lipid Res</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53</w:t>
      </w:r>
      <w:r w:rsidRPr="00420686">
        <w:rPr>
          <w:rFonts w:ascii="Book Antiqua" w:eastAsia="宋体" w:hAnsi="Book Antiqua" w:cs="宋体"/>
          <w:sz w:val="24"/>
          <w:szCs w:val="24"/>
        </w:rPr>
        <w:t>: 2755-2766 [PMID: 23024286 DOI: 10.1194/jlr.P030338]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35 </w:t>
      </w:r>
      <w:r w:rsidRPr="00420686">
        <w:rPr>
          <w:rFonts w:ascii="Book Antiqua" w:eastAsia="宋体" w:hAnsi="Book Antiqua" w:cs="宋体"/>
          <w:b/>
          <w:bCs/>
          <w:sz w:val="24"/>
          <w:szCs w:val="24"/>
        </w:rPr>
        <w:t>Jungersted JM</w:t>
      </w:r>
      <w:r w:rsidRPr="00420686">
        <w:rPr>
          <w:rFonts w:ascii="Book Antiqua" w:eastAsia="宋体" w:hAnsi="Book Antiqua" w:cs="宋体"/>
          <w:sz w:val="24"/>
          <w:szCs w:val="24"/>
        </w:rPr>
        <w:t xml:space="preserve">, Scheer H, Mempel M, Baurecht H, Cifuentes L, Høgh JK, Hellgren LI, Jemec GB, Agner T, Weidinger S. Stratum corneum lipids, skin barrier function and filaggrin mutations in patients with atopic eczema.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65</w:t>
      </w:r>
      <w:r w:rsidRPr="00420686">
        <w:rPr>
          <w:rFonts w:ascii="Book Antiqua" w:eastAsia="宋体" w:hAnsi="Book Antiqua" w:cs="宋体"/>
          <w:sz w:val="24"/>
          <w:szCs w:val="24"/>
        </w:rPr>
        <w:t>: 911-918 [PMID: 20132155 DOI: 10.1111/j.1398-9995.2010.02326.x]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36 </w:t>
      </w:r>
      <w:r w:rsidRPr="00420686">
        <w:rPr>
          <w:rFonts w:ascii="Book Antiqua" w:eastAsia="宋体" w:hAnsi="Book Antiqua" w:cs="宋体"/>
          <w:b/>
          <w:bCs/>
          <w:sz w:val="24"/>
          <w:szCs w:val="24"/>
        </w:rPr>
        <w:t>Breuer K</w:t>
      </w:r>
      <w:r w:rsidRPr="00420686">
        <w:rPr>
          <w:rFonts w:ascii="Book Antiqua" w:eastAsia="宋体" w:hAnsi="Book Antiqua" w:cs="宋体"/>
          <w:sz w:val="24"/>
          <w:szCs w:val="24"/>
        </w:rPr>
        <w:t xml:space="preserve">, HAussler S, Kapp A, Werfel T. Staphylococcus aureus: colonizing features and influence of an antibacterial treatment in adults with atopic dermatitis.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2002; </w:t>
      </w:r>
      <w:r w:rsidRPr="00420686">
        <w:rPr>
          <w:rFonts w:ascii="Book Antiqua" w:eastAsia="宋体" w:hAnsi="Book Antiqua" w:cs="宋体"/>
          <w:b/>
          <w:bCs/>
          <w:sz w:val="24"/>
          <w:szCs w:val="24"/>
        </w:rPr>
        <w:t>147</w:t>
      </w:r>
      <w:r w:rsidRPr="00420686">
        <w:rPr>
          <w:rFonts w:ascii="Book Antiqua" w:eastAsia="宋体" w:hAnsi="Book Antiqua" w:cs="宋体"/>
          <w:sz w:val="24"/>
          <w:szCs w:val="24"/>
        </w:rPr>
        <w:t>: 55-61 [PMID: 12100185 DOI: 10.1046/j.1365-2133.2002.04872.x]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37 </w:t>
      </w:r>
      <w:r w:rsidRPr="00420686">
        <w:rPr>
          <w:rFonts w:ascii="Book Antiqua" w:eastAsia="宋体" w:hAnsi="Book Antiqua" w:cs="宋体"/>
          <w:b/>
          <w:bCs/>
          <w:sz w:val="24"/>
          <w:szCs w:val="24"/>
        </w:rPr>
        <w:t>David TJ</w:t>
      </w:r>
      <w:r w:rsidRPr="00420686">
        <w:rPr>
          <w:rFonts w:ascii="Book Antiqua" w:eastAsia="宋体" w:hAnsi="Book Antiqua" w:cs="宋体"/>
          <w:sz w:val="24"/>
          <w:szCs w:val="24"/>
        </w:rPr>
        <w:t xml:space="preserve">, Cambridge GC. Bacterial infection and atopic eczema. </w:t>
      </w:r>
      <w:r w:rsidRPr="00420686">
        <w:rPr>
          <w:rFonts w:ascii="Book Antiqua" w:eastAsia="宋体" w:hAnsi="Book Antiqua" w:cs="宋体"/>
          <w:i/>
          <w:iCs/>
          <w:sz w:val="24"/>
          <w:szCs w:val="24"/>
        </w:rPr>
        <w:t>Arch Dis Child</w:t>
      </w:r>
      <w:r w:rsidRPr="00420686">
        <w:rPr>
          <w:rFonts w:ascii="Book Antiqua" w:eastAsia="宋体" w:hAnsi="Book Antiqua" w:cs="宋体"/>
          <w:sz w:val="24"/>
          <w:szCs w:val="24"/>
        </w:rPr>
        <w:t xml:space="preserve"> 1986; </w:t>
      </w:r>
      <w:r w:rsidRPr="00420686">
        <w:rPr>
          <w:rFonts w:ascii="Book Antiqua" w:eastAsia="宋体" w:hAnsi="Book Antiqua" w:cs="宋体"/>
          <w:b/>
          <w:bCs/>
          <w:sz w:val="24"/>
          <w:szCs w:val="24"/>
        </w:rPr>
        <w:t>61</w:t>
      </w:r>
      <w:r w:rsidRPr="00420686">
        <w:rPr>
          <w:rFonts w:ascii="Book Antiqua" w:eastAsia="宋体" w:hAnsi="Book Antiqua" w:cs="宋体"/>
          <w:sz w:val="24"/>
          <w:szCs w:val="24"/>
        </w:rPr>
        <w:t>: 20-23 [PMID: 3954415 DOI: 10.1136/adc.61.1.20]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38 </w:t>
      </w:r>
      <w:r w:rsidRPr="00420686">
        <w:rPr>
          <w:rFonts w:ascii="Book Antiqua" w:eastAsia="宋体" w:hAnsi="Book Antiqua" w:cs="宋体"/>
          <w:b/>
          <w:bCs/>
          <w:sz w:val="24"/>
          <w:szCs w:val="24"/>
        </w:rPr>
        <w:t>Leyden JJ</w:t>
      </w:r>
      <w:r w:rsidRPr="00420686">
        <w:rPr>
          <w:rFonts w:ascii="Book Antiqua" w:eastAsia="宋体" w:hAnsi="Book Antiqua" w:cs="宋体"/>
          <w:sz w:val="24"/>
          <w:szCs w:val="24"/>
        </w:rPr>
        <w:t xml:space="preserve">, Marples RR, Kligman AM. Staphylococcus aureus in the lesions of atopic dermatitis.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1974; </w:t>
      </w:r>
      <w:r w:rsidRPr="00420686">
        <w:rPr>
          <w:rFonts w:ascii="Book Antiqua" w:eastAsia="宋体" w:hAnsi="Book Antiqua" w:cs="宋体"/>
          <w:b/>
          <w:bCs/>
          <w:sz w:val="24"/>
          <w:szCs w:val="24"/>
        </w:rPr>
        <w:t>90</w:t>
      </w:r>
      <w:r w:rsidRPr="00420686">
        <w:rPr>
          <w:rFonts w:ascii="Book Antiqua" w:eastAsia="宋体" w:hAnsi="Book Antiqua" w:cs="宋体"/>
          <w:sz w:val="24"/>
          <w:szCs w:val="24"/>
        </w:rPr>
        <w:t>: 525-530 [PMID: 4601016 DOI: 10.1111/j.1365-2133.1974.tb06447.x]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39 </w:t>
      </w:r>
      <w:r w:rsidRPr="00420686">
        <w:rPr>
          <w:rFonts w:ascii="Book Antiqua" w:eastAsia="宋体" w:hAnsi="Book Antiqua" w:cs="宋体"/>
          <w:b/>
          <w:bCs/>
          <w:sz w:val="24"/>
          <w:szCs w:val="24"/>
        </w:rPr>
        <w:t>Bibel DJ</w:t>
      </w:r>
      <w:r w:rsidRPr="00420686">
        <w:rPr>
          <w:rFonts w:ascii="Book Antiqua" w:eastAsia="宋体" w:hAnsi="Book Antiqua" w:cs="宋体"/>
          <w:sz w:val="24"/>
          <w:szCs w:val="24"/>
        </w:rPr>
        <w:t xml:space="preserve">, Miller SJ, Brown BE, Pandey BB, Elias PM, Shinefield HR, Aly R. Antimicrobial activity of stratum corneum lipids from normal and essential fatty acid-deficient mice.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1989; </w:t>
      </w:r>
      <w:r w:rsidRPr="00420686">
        <w:rPr>
          <w:rFonts w:ascii="Book Antiqua" w:eastAsia="宋体" w:hAnsi="Book Antiqua" w:cs="宋体"/>
          <w:b/>
          <w:bCs/>
          <w:sz w:val="24"/>
          <w:szCs w:val="24"/>
        </w:rPr>
        <w:t>92</w:t>
      </w:r>
      <w:r w:rsidRPr="00420686">
        <w:rPr>
          <w:rFonts w:ascii="Book Antiqua" w:eastAsia="宋体" w:hAnsi="Book Antiqua" w:cs="宋体"/>
          <w:sz w:val="24"/>
          <w:szCs w:val="24"/>
        </w:rPr>
        <w:t>: 632-638 [PMID: 2649598]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40 </w:t>
      </w:r>
      <w:r w:rsidRPr="00420686">
        <w:rPr>
          <w:rFonts w:ascii="Book Antiqua" w:eastAsia="宋体" w:hAnsi="Book Antiqua" w:cs="宋体"/>
          <w:b/>
          <w:bCs/>
          <w:sz w:val="24"/>
          <w:szCs w:val="24"/>
        </w:rPr>
        <w:t>Baker BS</w:t>
      </w:r>
      <w:r w:rsidRPr="00420686">
        <w:rPr>
          <w:rFonts w:ascii="Book Antiqua" w:eastAsia="宋体" w:hAnsi="Book Antiqua" w:cs="宋体"/>
          <w:sz w:val="24"/>
          <w:szCs w:val="24"/>
        </w:rPr>
        <w:t xml:space="preserve">. The role of microorganisms in atopic dermatitis. </w:t>
      </w:r>
      <w:r w:rsidRPr="00420686">
        <w:rPr>
          <w:rFonts w:ascii="Book Antiqua" w:eastAsia="宋体" w:hAnsi="Book Antiqua" w:cs="宋体"/>
          <w:i/>
          <w:iCs/>
          <w:sz w:val="24"/>
          <w:szCs w:val="24"/>
        </w:rPr>
        <w:t>Clin Exp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144</w:t>
      </w:r>
      <w:r w:rsidRPr="00420686">
        <w:rPr>
          <w:rFonts w:ascii="Book Antiqua" w:eastAsia="宋体" w:hAnsi="Book Antiqua" w:cs="宋体"/>
          <w:sz w:val="24"/>
          <w:szCs w:val="24"/>
        </w:rPr>
        <w:t>: 1-9 [PMID: 16542358 DOI: 10.1111/j.1365-2249.2005.02980.x]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41 </w:t>
      </w:r>
      <w:r w:rsidRPr="00420686">
        <w:rPr>
          <w:rFonts w:ascii="Book Antiqua" w:eastAsia="宋体" w:hAnsi="Book Antiqua" w:cs="宋体"/>
          <w:b/>
          <w:bCs/>
          <w:sz w:val="24"/>
          <w:szCs w:val="24"/>
        </w:rPr>
        <w:t>Ong PY</w:t>
      </w:r>
      <w:r w:rsidRPr="00420686">
        <w:rPr>
          <w:rFonts w:ascii="Book Antiqua" w:eastAsia="宋体" w:hAnsi="Book Antiqua" w:cs="宋体"/>
          <w:sz w:val="24"/>
          <w:szCs w:val="24"/>
        </w:rPr>
        <w:t xml:space="preserve">, Ohtake T, Brandt C, Strickland I, Boguniewicz M, Ganz T, Gallo RL, Leung DY. Endogenous antimicrobial peptides and skin infections in atopic dermatitis. </w:t>
      </w:r>
      <w:r w:rsidRPr="00420686">
        <w:rPr>
          <w:rFonts w:ascii="Book Antiqua" w:eastAsia="宋体" w:hAnsi="Book Antiqua" w:cs="宋体"/>
          <w:i/>
          <w:iCs/>
          <w:sz w:val="24"/>
          <w:szCs w:val="24"/>
        </w:rPr>
        <w:t>N Engl J Med</w:t>
      </w:r>
      <w:r w:rsidRPr="00420686">
        <w:rPr>
          <w:rFonts w:ascii="Book Antiqua" w:eastAsia="宋体" w:hAnsi="Book Antiqua" w:cs="宋体"/>
          <w:sz w:val="24"/>
          <w:szCs w:val="24"/>
        </w:rPr>
        <w:t xml:space="preserve"> 2002; </w:t>
      </w:r>
      <w:r w:rsidRPr="00420686">
        <w:rPr>
          <w:rFonts w:ascii="Book Antiqua" w:eastAsia="宋体" w:hAnsi="Book Antiqua" w:cs="宋体"/>
          <w:b/>
          <w:bCs/>
          <w:sz w:val="24"/>
          <w:szCs w:val="24"/>
        </w:rPr>
        <w:t>347</w:t>
      </w:r>
      <w:r w:rsidRPr="00420686">
        <w:rPr>
          <w:rFonts w:ascii="Book Antiqua" w:eastAsia="宋体" w:hAnsi="Book Antiqua" w:cs="宋体"/>
          <w:sz w:val="24"/>
          <w:szCs w:val="24"/>
        </w:rPr>
        <w:t>: 1151-1160 [PMID: 12374875 DOI: 10.1056/NEJMoa021481]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42 </w:t>
      </w:r>
      <w:r w:rsidRPr="00420686">
        <w:rPr>
          <w:rFonts w:ascii="Book Antiqua" w:eastAsia="宋体" w:hAnsi="Book Antiqua" w:cs="宋体"/>
          <w:b/>
          <w:bCs/>
          <w:sz w:val="24"/>
          <w:szCs w:val="24"/>
        </w:rPr>
        <w:t>Arikawa J</w:t>
      </w:r>
      <w:r w:rsidRPr="00420686">
        <w:rPr>
          <w:rFonts w:ascii="Book Antiqua" w:eastAsia="宋体" w:hAnsi="Book Antiqua" w:cs="宋体"/>
          <w:sz w:val="24"/>
          <w:szCs w:val="24"/>
        </w:rPr>
        <w:t xml:space="preserve">, Ishibashi M, Kawashima M, Takagi Y, Ichikawa Y, Imokawa G. Decreased levels of sphingosine, a natural antimicrobial agent, may be associated with vulnerability of the stratum corneum from patients with atopic dermatitis to colonization by Staphylococcus aureus.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2002; </w:t>
      </w:r>
      <w:r w:rsidRPr="00420686">
        <w:rPr>
          <w:rFonts w:ascii="Book Antiqua" w:eastAsia="宋体" w:hAnsi="Book Antiqua" w:cs="宋体"/>
          <w:b/>
          <w:bCs/>
          <w:sz w:val="24"/>
          <w:szCs w:val="24"/>
        </w:rPr>
        <w:t>119</w:t>
      </w:r>
      <w:r w:rsidRPr="00420686">
        <w:rPr>
          <w:rFonts w:ascii="Book Antiqua" w:eastAsia="宋体" w:hAnsi="Book Antiqua" w:cs="宋体"/>
          <w:sz w:val="24"/>
          <w:szCs w:val="24"/>
        </w:rPr>
        <w:t>: 433-439 [PMID: 12190867 DOI: 10.1046/j.1523-1747.2002.01846.x]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43 </w:t>
      </w:r>
      <w:r w:rsidRPr="00420686">
        <w:rPr>
          <w:rFonts w:ascii="Book Antiqua" w:eastAsia="宋体" w:hAnsi="Book Antiqua" w:cs="宋体"/>
          <w:b/>
          <w:bCs/>
          <w:sz w:val="24"/>
          <w:szCs w:val="24"/>
        </w:rPr>
        <w:t>Cho SH</w:t>
      </w:r>
      <w:r w:rsidRPr="00420686">
        <w:rPr>
          <w:rFonts w:ascii="Book Antiqua" w:eastAsia="宋体" w:hAnsi="Book Antiqua" w:cs="宋体"/>
          <w:sz w:val="24"/>
          <w:szCs w:val="24"/>
        </w:rPr>
        <w:t xml:space="preserve">, Strickland I, Tomkinson A, Fehringer AP, Gelfand EW, Leung DY. Preferential binding of Staphylococcus aureus to skin sites of Th2-mediated inflammation in a murine model.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2001; </w:t>
      </w:r>
      <w:r w:rsidRPr="00420686">
        <w:rPr>
          <w:rFonts w:ascii="Book Antiqua" w:eastAsia="宋体" w:hAnsi="Book Antiqua" w:cs="宋体"/>
          <w:b/>
          <w:bCs/>
          <w:sz w:val="24"/>
          <w:szCs w:val="24"/>
        </w:rPr>
        <w:t>116</w:t>
      </w:r>
      <w:r w:rsidRPr="00420686">
        <w:rPr>
          <w:rFonts w:ascii="Book Antiqua" w:eastAsia="宋体" w:hAnsi="Book Antiqua" w:cs="宋体"/>
          <w:sz w:val="24"/>
          <w:szCs w:val="24"/>
        </w:rPr>
        <w:t>: 658-663 [PMID: 11348452 DOI: 10.1046/j.0022-202x.2001.01331.x]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44 </w:t>
      </w:r>
      <w:r w:rsidRPr="00420686">
        <w:rPr>
          <w:rFonts w:ascii="Book Antiqua" w:eastAsia="宋体" w:hAnsi="Book Antiqua" w:cs="宋体"/>
          <w:b/>
          <w:bCs/>
          <w:sz w:val="24"/>
          <w:szCs w:val="24"/>
        </w:rPr>
        <w:t>Correale CE</w:t>
      </w:r>
      <w:r w:rsidRPr="00420686">
        <w:rPr>
          <w:rFonts w:ascii="Book Antiqua" w:eastAsia="宋体" w:hAnsi="Book Antiqua" w:cs="宋体"/>
          <w:sz w:val="24"/>
          <w:szCs w:val="24"/>
        </w:rPr>
        <w:t xml:space="preserve">, Walker C, Murphy L, Craig TJ. Atopic dermatitis: a review of diagnosis and treatment. </w:t>
      </w:r>
      <w:r w:rsidRPr="00420686">
        <w:rPr>
          <w:rFonts w:ascii="Book Antiqua" w:eastAsia="宋体" w:hAnsi="Book Antiqua" w:cs="宋体"/>
          <w:i/>
          <w:iCs/>
          <w:sz w:val="24"/>
          <w:szCs w:val="24"/>
        </w:rPr>
        <w:t>Am Fam Physician</w:t>
      </w:r>
      <w:r w:rsidRPr="00420686">
        <w:rPr>
          <w:rFonts w:ascii="Book Antiqua" w:eastAsia="宋体" w:hAnsi="Book Antiqua" w:cs="宋体"/>
          <w:sz w:val="24"/>
          <w:szCs w:val="24"/>
        </w:rPr>
        <w:t xml:space="preserve"> 1999; </w:t>
      </w:r>
      <w:r w:rsidRPr="00420686">
        <w:rPr>
          <w:rFonts w:ascii="Book Antiqua" w:eastAsia="宋体" w:hAnsi="Book Antiqua" w:cs="宋体"/>
          <w:b/>
          <w:bCs/>
          <w:sz w:val="24"/>
          <w:szCs w:val="24"/>
        </w:rPr>
        <w:t>60</w:t>
      </w:r>
      <w:r w:rsidRPr="00420686">
        <w:rPr>
          <w:rFonts w:ascii="Book Antiqua" w:eastAsia="宋体" w:hAnsi="Book Antiqua" w:cs="宋体"/>
          <w:sz w:val="24"/>
          <w:szCs w:val="24"/>
        </w:rPr>
        <w:t xml:space="preserve">: 1191-1188, 1209-1210 [PMID: </w:t>
      </w:r>
      <w:bookmarkStart w:id="5" w:name="OLE_LINK14"/>
      <w:bookmarkStart w:id="6" w:name="OLE_LINK15"/>
      <w:r w:rsidRPr="00420686">
        <w:rPr>
          <w:rFonts w:ascii="Book Antiqua" w:eastAsia="宋体" w:hAnsi="Book Antiqua" w:cs="宋体"/>
          <w:sz w:val="24"/>
          <w:szCs w:val="24"/>
        </w:rPr>
        <w:t>10507748</w:t>
      </w:r>
      <w:bookmarkEnd w:id="5"/>
      <w:bookmarkEnd w:id="6"/>
      <w:r w:rsidRPr="00420686">
        <w:rPr>
          <w:rFonts w:ascii="Book Antiqua" w:eastAsia="宋体" w:hAnsi="Book Antiqua" w:cs="宋体"/>
          <w:sz w:val="24"/>
          <w:szCs w:val="24"/>
        </w:rPr>
        <w:t>]</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45 </w:t>
      </w:r>
      <w:r w:rsidRPr="00420686">
        <w:rPr>
          <w:rFonts w:ascii="Book Antiqua" w:eastAsia="宋体" w:hAnsi="Book Antiqua" w:cs="宋体"/>
          <w:b/>
          <w:bCs/>
          <w:sz w:val="24"/>
          <w:szCs w:val="24"/>
        </w:rPr>
        <w:t>Yosipovitch G</w:t>
      </w:r>
      <w:r w:rsidRPr="00420686">
        <w:rPr>
          <w:rFonts w:ascii="Book Antiqua" w:eastAsia="宋体" w:hAnsi="Book Antiqua" w:cs="宋体"/>
          <w:sz w:val="24"/>
          <w:szCs w:val="24"/>
        </w:rPr>
        <w:t xml:space="preserve">, Papoiu AD. What causes itch in atopic dermatitis? </w:t>
      </w:r>
      <w:r w:rsidRPr="00420686">
        <w:rPr>
          <w:rFonts w:ascii="Book Antiqua" w:eastAsia="宋体" w:hAnsi="Book Antiqua" w:cs="宋体"/>
          <w:i/>
          <w:iCs/>
          <w:sz w:val="24"/>
          <w:szCs w:val="24"/>
        </w:rPr>
        <w:t>Curr Allergy Asthma Rep</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8</w:t>
      </w:r>
      <w:r w:rsidRPr="00420686">
        <w:rPr>
          <w:rFonts w:ascii="Book Antiqua" w:eastAsia="宋体" w:hAnsi="Book Antiqua" w:cs="宋体"/>
          <w:sz w:val="24"/>
          <w:szCs w:val="24"/>
        </w:rPr>
        <w:t>: 306-311 [PMID: 18606082]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46 </w:t>
      </w:r>
      <w:r w:rsidRPr="00420686">
        <w:rPr>
          <w:rFonts w:ascii="Book Antiqua" w:eastAsia="宋体" w:hAnsi="Book Antiqua" w:cs="宋体"/>
          <w:b/>
          <w:bCs/>
          <w:sz w:val="24"/>
          <w:szCs w:val="24"/>
        </w:rPr>
        <w:t>Altrichter S</w:t>
      </w:r>
      <w:r w:rsidRPr="00420686">
        <w:rPr>
          <w:rFonts w:ascii="Book Antiqua" w:eastAsia="宋体" w:hAnsi="Book Antiqua" w:cs="宋体"/>
          <w:sz w:val="24"/>
          <w:szCs w:val="24"/>
        </w:rPr>
        <w:t xml:space="preserve">, Kriehuber E, Moser J, Valenta R, Kopp T, Stingl G. Serum IgE autoantibodies target keratinocytes in patients with atopic dermatitis.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2232-2239 [PMID: 18480840 DOI: 10.1038/jid.2008.80]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47 </w:t>
      </w:r>
      <w:r w:rsidRPr="00420686">
        <w:rPr>
          <w:rFonts w:ascii="Book Antiqua" w:eastAsia="宋体" w:hAnsi="Book Antiqua" w:cs="宋体"/>
          <w:b/>
          <w:bCs/>
          <w:sz w:val="24"/>
          <w:szCs w:val="24"/>
        </w:rPr>
        <w:t>Palmer CN</w:t>
      </w:r>
      <w:r w:rsidRPr="00420686">
        <w:rPr>
          <w:rFonts w:ascii="Book Antiqua" w:eastAsia="宋体" w:hAnsi="Book Antiqua" w:cs="宋体"/>
          <w:sz w:val="24"/>
          <w:szCs w:val="24"/>
        </w:rPr>
        <w:t xml:space="preserve">, Irvine AD, Terron-Kwiatkowski A, Zhao Y, Liao H, Lee SP, Goudie DR, Sandilands A, Campbell LE, Smith FJ, O'Regan GM, Watson RM, Cecil JE, Bale SJ, Compton JG, DiGiovanna JJ, Fleckman P, Lewis-Jones S, Arseculeratne G, Sergeant A, Munro CS, El Houate B, McElreavey K, Halkjaer LB, Bisgaard H, Mukhopadhyay S, McLean WH. Common loss-of-function variants of the epidermal barrier protein filaggrin are a major predisposing factor for atopic dermatitis.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38</w:t>
      </w:r>
      <w:r w:rsidRPr="00420686">
        <w:rPr>
          <w:rFonts w:ascii="Book Antiqua" w:eastAsia="宋体" w:hAnsi="Book Antiqua" w:cs="宋体"/>
          <w:sz w:val="24"/>
          <w:szCs w:val="24"/>
        </w:rPr>
        <w:t>: 441-446 [PMID: 16550169 DOI: 10.1038/ng1767]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48 </w:t>
      </w:r>
      <w:r w:rsidRPr="00420686">
        <w:rPr>
          <w:rFonts w:ascii="Book Antiqua" w:eastAsia="宋体" w:hAnsi="Book Antiqua" w:cs="宋体"/>
          <w:b/>
          <w:bCs/>
          <w:sz w:val="24"/>
          <w:szCs w:val="24"/>
        </w:rPr>
        <w:t>Smith FJ</w:t>
      </w:r>
      <w:r w:rsidRPr="00420686">
        <w:rPr>
          <w:rFonts w:ascii="Book Antiqua" w:eastAsia="宋体" w:hAnsi="Book Antiqua" w:cs="宋体"/>
          <w:sz w:val="24"/>
          <w:szCs w:val="24"/>
        </w:rPr>
        <w:t xml:space="preserve">, Irvine AD, Terron-Kwiatkowski A, Sandilands A, Campbell LE, Zhao Y, Liao H, Evans AT, Goudie DR, Lewis-Jones S, Arseculeratne G, Munro CS, Sergeant A, O'Regan G, Bale SJ, Compton JG, DiGiovanna JJ, Presland RB, Fleckman P, McLean WH. Loss-of-function mutations in the gene encoding filaggrin cause ichthyosis vulgaris.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38</w:t>
      </w:r>
      <w:r w:rsidRPr="00420686">
        <w:rPr>
          <w:rFonts w:ascii="Book Antiqua" w:eastAsia="宋体" w:hAnsi="Book Antiqua" w:cs="宋体"/>
          <w:sz w:val="24"/>
          <w:szCs w:val="24"/>
        </w:rPr>
        <w:t>: 337-342 [PMID: 16444271 DOI: 10.1038/ng1743]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49 </w:t>
      </w:r>
      <w:r w:rsidRPr="00420686">
        <w:rPr>
          <w:rFonts w:ascii="Book Antiqua" w:eastAsia="宋体" w:hAnsi="Book Antiqua" w:cs="宋体"/>
          <w:b/>
          <w:bCs/>
          <w:sz w:val="24"/>
          <w:szCs w:val="24"/>
        </w:rPr>
        <w:t>Rodríguez E</w:t>
      </w:r>
      <w:r w:rsidRPr="00420686">
        <w:rPr>
          <w:rFonts w:ascii="Book Antiqua" w:eastAsia="宋体" w:hAnsi="Book Antiqua" w:cs="宋体"/>
          <w:sz w:val="24"/>
          <w:szCs w:val="24"/>
        </w:rPr>
        <w:t xml:space="preserve">, Baurecht H, Herberich E, Wagenpfeil S, Brown SJ, Cordell HJ, Irvine AD, Weidinger S. Meta-analysis of filaggrin polymorphisms in eczema and asthma: robust risk factors in atopic disease.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123</w:t>
      </w:r>
      <w:r w:rsidRPr="00420686">
        <w:rPr>
          <w:rFonts w:ascii="Book Antiqua" w:eastAsia="宋体" w:hAnsi="Book Antiqua" w:cs="宋体"/>
          <w:sz w:val="24"/>
          <w:szCs w:val="24"/>
        </w:rPr>
        <w:t>: 1361-1370.e7 [PMID: 19501237 DOI: 10.1016/j.jaci.2009.03.036]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50 </w:t>
      </w:r>
      <w:r w:rsidRPr="00420686">
        <w:rPr>
          <w:rFonts w:ascii="Book Antiqua" w:eastAsia="宋体" w:hAnsi="Book Antiqua" w:cs="宋体"/>
          <w:b/>
          <w:bCs/>
          <w:sz w:val="24"/>
          <w:szCs w:val="24"/>
        </w:rPr>
        <w:t>Chen H</w:t>
      </w:r>
      <w:r w:rsidRPr="00420686">
        <w:rPr>
          <w:rFonts w:ascii="Book Antiqua" w:eastAsia="宋体" w:hAnsi="Book Antiqua" w:cs="宋体"/>
          <w:sz w:val="24"/>
          <w:szCs w:val="24"/>
        </w:rPr>
        <w:t xml:space="preserve">, Common JE, Haines RL, Balakrishnan A, Brown SJ, Goh CS, Cordell HJ, Sandilands A, Campbell LE, Kroboth K, Irvine AD, Goh DL, Tang MB, van Bever HP, Giam YC, McLean WH, Lane EB. Wide spectrum of filaggrin-null mutations in atopic dermatitis highlights differences between Singaporean Chinese and European populations.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165</w:t>
      </w:r>
      <w:r w:rsidRPr="00420686">
        <w:rPr>
          <w:rFonts w:ascii="Book Antiqua" w:eastAsia="宋体" w:hAnsi="Book Antiqua" w:cs="宋体"/>
          <w:sz w:val="24"/>
          <w:szCs w:val="24"/>
        </w:rPr>
        <w:t>: 106-114 [PMID: 21428977 DOI: 10.1111/j.1365-2133.2011.10331.x]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51 </w:t>
      </w:r>
      <w:r w:rsidRPr="00420686">
        <w:rPr>
          <w:rFonts w:ascii="Book Antiqua" w:eastAsia="宋体" w:hAnsi="Book Antiqua" w:cs="宋体"/>
          <w:b/>
          <w:bCs/>
          <w:sz w:val="24"/>
          <w:szCs w:val="24"/>
        </w:rPr>
        <w:t>Enomoto H</w:t>
      </w:r>
      <w:r w:rsidRPr="00420686">
        <w:rPr>
          <w:rFonts w:ascii="Book Antiqua" w:eastAsia="宋体" w:hAnsi="Book Antiqua" w:cs="宋体"/>
          <w:sz w:val="24"/>
          <w:szCs w:val="24"/>
        </w:rPr>
        <w:t xml:space="preserve">, Hirata K, Otsuka K, Kawai T, Takahashi T, Hirota T, Suzuki Y, Tamari M, Otsuka F, Fujieda S, Arinami T, Noguchi E. Filaggrin null mutations are associated with atopic dermatitis and elevated levels of IgE in the Japanese population: a family and case-control study. </w:t>
      </w:r>
      <w:r w:rsidRPr="00420686">
        <w:rPr>
          <w:rFonts w:ascii="Book Antiqua" w:eastAsia="宋体" w:hAnsi="Book Antiqua" w:cs="宋体"/>
          <w:i/>
          <w:iCs/>
          <w:sz w:val="24"/>
          <w:szCs w:val="24"/>
        </w:rPr>
        <w:t>J Hum Genet</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53</w:t>
      </w:r>
      <w:r w:rsidRPr="00420686">
        <w:rPr>
          <w:rFonts w:ascii="Book Antiqua" w:eastAsia="宋体" w:hAnsi="Book Antiqua" w:cs="宋体"/>
          <w:sz w:val="24"/>
          <w:szCs w:val="24"/>
        </w:rPr>
        <w:t>: 615-621 [PMID: 18521703 DOI: 10.1007/s10038-008-0293-z]</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52 </w:t>
      </w:r>
      <w:r w:rsidRPr="00420686">
        <w:rPr>
          <w:rFonts w:ascii="Book Antiqua" w:eastAsia="宋体" w:hAnsi="Book Antiqua" w:cs="宋体"/>
          <w:b/>
          <w:bCs/>
          <w:sz w:val="24"/>
          <w:szCs w:val="24"/>
        </w:rPr>
        <w:t>Nemoto-Hasebe I</w:t>
      </w:r>
      <w:r w:rsidRPr="00420686">
        <w:rPr>
          <w:rFonts w:ascii="Book Antiqua" w:eastAsia="宋体" w:hAnsi="Book Antiqua" w:cs="宋体"/>
          <w:sz w:val="24"/>
          <w:szCs w:val="24"/>
        </w:rPr>
        <w:t xml:space="preserve">, Akiyama M, Nomura T, Sandilands A, McLean WH, Shimizu H. FLG mutation p.Lys4021X in the C-terminal imperfect filaggrin repeat in Japanese patients with atopic eczema.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161</w:t>
      </w:r>
      <w:r w:rsidRPr="00420686">
        <w:rPr>
          <w:rFonts w:ascii="Book Antiqua" w:eastAsia="宋体" w:hAnsi="Book Antiqua" w:cs="宋体"/>
          <w:sz w:val="24"/>
          <w:szCs w:val="24"/>
        </w:rPr>
        <w:t>: 1387-1390 [PMID: 19663875 DOI: 10.1111/j.1365-2133.2009.09406.x]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53 </w:t>
      </w:r>
      <w:r w:rsidRPr="00420686">
        <w:rPr>
          <w:rFonts w:ascii="Book Antiqua" w:eastAsia="宋体" w:hAnsi="Book Antiqua" w:cs="宋体"/>
          <w:b/>
          <w:bCs/>
          <w:sz w:val="24"/>
          <w:szCs w:val="24"/>
        </w:rPr>
        <w:t>Nomura T</w:t>
      </w:r>
      <w:r w:rsidRPr="00420686">
        <w:rPr>
          <w:rFonts w:ascii="Book Antiqua" w:eastAsia="宋体" w:hAnsi="Book Antiqua" w:cs="宋体"/>
          <w:sz w:val="24"/>
          <w:szCs w:val="24"/>
        </w:rPr>
        <w:t xml:space="preserve">, Akiyama M, Sandilands A, Nemoto-Hasebe I, Sakai K, Nagasaki A, Ota M, Hata H, Evans AT, Palmer CN, Shimizu H, McLean WH. Specific filaggrin mutations cause ichthyosis vulgaris and are significantly associated with atopic dermatitis in Japan.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1436-1441 [PMID: 18200065 DOI: 10.1038/sj.jid.5701205]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54 </w:t>
      </w:r>
      <w:r w:rsidRPr="00420686">
        <w:rPr>
          <w:rFonts w:ascii="Book Antiqua" w:eastAsia="宋体" w:hAnsi="Book Antiqua" w:cs="宋体"/>
          <w:b/>
          <w:bCs/>
          <w:sz w:val="24"/>
          <w:szCs w:val="24"/>
        </w:rPr>
        <w:t>Nomura T</w:t>
      </w:r>
      <w:r w:rsidRPr="00420686">
        <w:rPr>
          <w:rFonts w:ascii="Book Antiqua" w:eastAsia="宋体" w:hAnsi="Book Antiqua" w:cs="宋体"/>
          <w:sz w:val="24"/>
          <w:szCs w:val="24"/>
        </w:rPr>
        <w:t xml:space="preserve">, Sandilands A, Akiyama M, Liao H, Evans AT, Sakai K, Ota M, Sugiura H, Yamamoto K, Sato H, Palmer CN, Smith FJ, McLean WH, Shimizu H. Unique mutations in the filaggrin gene in Japanese patients with ichthyosis vulgaris and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119</w:t>
      </w:r>
      <w:r w:rsidRPr="00420686">
        <w:rPr>
          <w:rFonts w:ascii="Book Antiqua" w:eastAsia="宋体" w:hAnsi="Book Antiqua" w:cs="宋体"/>
          <w:sz w:val="24"/>
          <w:szCs w:val="24"/>
        </w:rPr>
        <w:t>: 434-440 [PMID: 17291859 DOI: 10.1016/j.jaci.2006.12.646]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55 </w:t>
      </w:r>
      <w:r w:rsidRPr="00420686">
        <w:rPr>
          <w:rFonts w:ascii="Book Antiqua" w:eastAsia="宋体" w:hAnsi="Book Antiqua" w:cs="宋体"/>
          <w:b/>
          <w:bCs/>
          <w:sz w:val="24"/>
          <w:szCs w:val="24"/>
        </w:rPr>
        <w:t>Osawa R</w:t>
      </w:r>
      <w:r w:rsidRPr="00420686">
        <w:rPr>
          <w:rFonts w:ascii="Book Antiqua" w:eastAsia="宋体" w:hAnsi="Book Antiqua" w:cs="宋体"/>
          <w:sz w:val="24"/>
          <w:szCs w:val="24"/>
        </w:rPr>
        <w:t xml:space="preserve">, Konno S, Akiyama M, Nemoto-Hasebe I, Nomura T, Nomura Y, Abe R, Sandilands A, McLean WH, Hizawa N, Nishimura M, Shimizu H. Japanese-specific filaggrin gene mutations in Japanese patients suffering from atopic eczema and asthma.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130</w:t>
      </w:r>
      <w:r w:rsidRPr="00420686">
        <w:rPr>
          <w:rFonts w:ascii="Book Antiqua" w:eastAsia="宋体" w:hAnsi="Book Antiqua" w:cs="宋体"/>
          <w:sz w:val="24"/>
          <w:szCs w:val="24"/>
        </w:rPr>
        <w:t>: 2834-2836 [PMID: 20686498 DOI: 10.1038/jid.2010.218]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56 </w:t>
      </w:r>
      <w:r w:rsidRPr="00420686">
        <w:rPr>
          <w:rFonts w:ascii="Book Antiqua" w:eastAsia="宋体" w:hAnsi="Book Antiqua" w:cs="宋体"/>
          <w:b/>
          <w:bCs/>
          <w:sz w:val="24"/>
          <w:szCs w:val="24"/>
        </w:rPr>
        <w:t>Zhang H</w:t>
      </w:r>
      <w:r w:rsidRPr="00420686">
        <w:rPr>
          <w:rFonts w:ascii="Book Antiqua" w:eastAsia="宋体" w:hAnsi="Book Antiqua" w:cs="宋体"/>
          <w:sz w:val="24"/>
          <w:szCs w:val="24"/>
        </w:rPr>
        <w:t xml:space="preserve">, Guo Y, Wang W, Yu X, Yao Z. Associations of FLG mutations between ichthyosis vulgaris and atopic dermatitis in Han Chinese.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66</w:t>
      </w:r>
      <w:r w:rsidRPr="00420686">
        <w:rPr>
          <w:rFonts w:ascii="Book Antiqua" w:eastAsia="宋体" w:hAnsi="Book Antiqua" w:cs="宋体"/>
          <w:sz w:val="24"/>
          <w:szCs w:val="24"/>
        </w:rPr>
        <w:t>: 1253-1254 [PMID: 21496060 DOI: 10.1111/j.1398-9995.2011.02597.x]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57 </w:t>
      </w:r>
      <w:r w:rsidRPr="00420686">
        <w:rPr>
          <w:rFonts w:ascii="Book Antiqua" w:eastAsia="宋体" w:hAnsi="Book Antiqua" w:cs="宋体"/>
          <w:b/>
          <w:bCs/>
          <w:sz w:val="24"/>
          <w:szCs w:val="24"/>
        </w:rPr>
        <w:t>Barker JN</w:t>
      </w:r>
      <w:r w:rsidRPr="00420686">
        <w:rPr>
          <w:rFonts w:ascii="Book Antiqua" w:eastAsia="宋体" w:hAnsi="Book Antiqua" w:cs="宋体"/>
          <w:sz w:val="24"/>
          <w:szCs w:val="24"/>
        </w:rPr>
        <w:t xml:space="preserve">, Palmer CN, Zhao Y, Liao H, Hull PR, Lee SP, Allen MH, Meggitt SJ, Reynolds NJ, Trembath RC, McLean WH. Null mutations in the filaggrin gene (FLG) determine major susceptibility to early-onset atopic dermatitis that persists into adulthood.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127</w:t>
      </w:r>
      <w:r w:rsidRPr="00420686">
        <w:rPr>
          <w:rFonts w:ascii="Book Antiqua" w:eastAsia="宋体" w:hAnsi="Book Antiqua" w:cs="宋体"/>
          <w:sz w:val="24"/>
          <w:szCs w:val="24"/>
        </w:rPr>
        <w:t>: 564-567 [PMID: 16990802 DOI: 10.1038/sj.jid.5700587]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58 </w:t>
      </w:r>
      <w:r w:rsidRPr="00420686">
        <w:rPr>
          <w:rFonts w:ascii="Book Antiqua" w:eastAsia="宋体" w:hAnsi="Book Antiqua" w:cs="宋体"/>
          <w:b/>
          <w:bCs/>
          <w:sz w:val="24"/>
          <w:szCs w:val="24"/>
        </w:rPr>
        <w:t>Brown SJ</w:t>
      </w:r>
      <w:r w:rsidRPr="00420686">
        <w:rPr>
          <w:rFonts w:ascii="Book Antiqua" w:eastAsia="宋体" w:hAnsi="Book Antiqua" w:cs="宋体"/>
          <w:sz w:val="24"/>
          <w:szCs w:val="24"/>
        </w:rPr>
        <w:t xml:space="preserve">, Sandilands A, Zhao Y, Liao H, Relton CL, Meggitt SJ, Trembath RC, Barker JN, Reynolds NJ, Cordell HJ, McLean WH. Prevalent and low-frequency null mutations in the filaggrin gene are associated with early-onset and persistent atopic eczema.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1591-1594 [PMID: 18094728 DOI: 10.1038/sj.jid.5701206]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59 </w:t>
      </w:r>
      <w:r w:rsidRPr="00420686">
        <w:rPr>
          <w:rFonts w:ascii="Book Antiqua" w:eastAsia="宋体" w:hAnsi="Book Antiqua" w:cs="宋体"/>
          <w:b/>
          <w:bCs/>
          <w:sz w:val="24"/>
          <w:szCs w:val="24"/>
        </w:rPr>
        <w:t>Margolis DJ</w:t>
      </w:r>
      <w:r w:rsidRPr="00420686">
        <w:rPr>
          <w:rFonts w:ascii="Book Antiqua" w:eastAsia="宋体" w:hAnsi="Book Antiqua" w:cs="宋体"/>
          <w:sz w:val="24"/>
          <w:szCs w:val="24"/>
        </w:rPr>
        <w:t xml:space="preserve">, Apter AJ, Gupta J, Hoffstad O, Papadopoulos M, Campbell LE, Sandilands A, McLean WH, Rebbeck TR, Mitra N. The persistence of atopic dermatitis and filaggrin (FLG) mutations in a US longitudinal cohort.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130</w:t>
      </w:r>
      <w:r w:rsidRPr="00420686">
        <w:rPr>
          <w:rFonts w:ascii="Book Antiqua" w:eastAsia="宋体" w:hAnsi="Book Antiqua" w:cs="宋体"/>
          <w:sz w:val="24"/>
          <w:szCs w:val="24"/>
        </w:rPr>
        <w:t>: 912-917 [PMID: 22951058 DOI: 10.1016/j.jaci.2012.07.008]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60 </w:t>
      </w:r>
      <w:r w:rsidRPr="00420686">
        <w:rPr>
          <w:rFonts w:ascii="Book Antiqua" w:eastAsia="宋体" w:hAnsi="Book Antiqua" w:cs="宋体"/>
          <w:b/>
          <w:bCs/>
          <w:sz w:val="24"/>
          <w:szCs w:val="24"/>
        </w:rPr>
        <w:t>van den Oord RA</w:t>
      </w:r>
      <w:r w:rsidRPr="00420686">
        <w:rPr>
          <w:rFonts w:ascii="Book Antiqua" w:eastAsia="宋体" w:hAnsi="Book Antiqua" w:cs="宋体"/>
          <w:sz w:val="24"/>
          <w:szCs w:val="24"/>
        </w:rPr>
        <w:t xml:space="preserve">, Sheikh A. Filaggrin gene defects and risk of developing allergic sensitisation and allergic disorders: systematic review and meta-analysis. </w:t>
      </w:r>
      <w:r w:rsidRPr="00420686">
        <w:rPr>
          <w:rFonts w:ascii="Book Antiqua" w:eastAsia="宋体" w:hAnsi="Book Antiqua" w:cs="宋体"/>
          <w:i/>
          <w:iCs/>
          <w:sz w:val="24"/>
          <w:szCs w:val="24"/>
        </w:rPr>
        <w:t>BMJ</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339</w:t>
      </w:r>
      <w:r w:rsidRPr="00420686">
        <w:rPr>
          <w:rFonts w:ascii="Book Antiqua" w:eastAsia="宋体" w:hAnsi="Book Antiqua" w:cs="宋体"/>
          <w:sz w:val="24"/>
          <w:szCs w:val="24"/>
        </w:rPr>
        <w:t>: b2433 [PMID: 19589816 DOI: 10.1136/bmj.b2433]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61 </w:t>
      </w:r>
      <w:r w:rsidRPr="00420686">
        <w:rPr>
          <w:rFonts w:ascii="Book Antiqua" w:eastAsia="宋体" w:hAnsi="Book Antiqua" w:cs="宋体"/>
          <w:b/>
          <w:bCs/>
          <w:sz w:val="24"/>
          <w:szCs w:val="24"/>
        </w:rPr>
        <w:t>Gao PS</w:t>
      </w:r>
      <w:r w:rsidRPr="00420686">
        <w:rPr>
          <w:rFonts w:ascii="Book Antiqua" w:eastAsia="宋体" w:hAnsi="Book Antiqua" w:cs="宋体"/>
          <w:sz w:val="24"/>
          <w:szCs w:val="24"/>
        </w:rPr>
        <w:t xml:space="preserve">, Rafaels NM, Hand T, Murray T, Boguniewicz M, Hata T, Schneider L, Hanifin JM, Gallo RL, Gao L, Beaty TH, Beck LA, Barnes KC, Leung DY. Filaggrin mutations that confer risk of atopic dermatitis confer greater risk for eczema herpeticum.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124</w:t>
      </w:r>
      <w:r w:rsidRPr="00420686">
        <w:rPr>
          <w:rFonts w:ascii="Book Antiqua" w:eastAsia="宋体" w:hAnsi="Book Antiqua" w:cs="宋体"/>
          <w:sz w:val="24"/>
          <w:szCs w:val="24"/>
        </w:rPr>
        <w:t>: 507-513, 513.e1-7 [PMID: 19733298 DOI: 10.1016/j.jaci.2009.07.034]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62 </w:t>
      </w:r>
      <w:r w:rsidRPr="00420686">
        <w:rPr>
          <w:rFonts w:ascii="Book Antiqua" w:eastAsia="宋体" w:hAnsi="Book Antiqua" w:cs="宋体"/>
          <w:b/>
          <w:bCs/>
          <w:sz w:val="24"/>
          <w:szCs w:val="24"/>
        </w:rPr>
        <w:t>Cai SC</w:t>
      </w:r>
      <w:r w:rsidRPr="00420686">
        <w:rPr>
          <w:rFonts w:ascii="Book Antiqua" w:eastAsia="宋体" w:hAnsi="Book Antiqua" w:cs="宋体"/>
          <w:sz w:val="24"/>
          <w:szCs w:val="24"/>
        </w:rPr>
        <w:t xml:space="preserve">, Chen H, Koh WP, Common JE, van Bever HP, McLean WH, Lane EB, Giam YC, Tang MB. Filaggrin mutations are associated with recurrent skin infection in Singaporean Chinese patients with atopic dermatitis.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166</w:t>
      </w:r>
      <w:r w:rsidRPr="00420686">
        <w:rPr>
          <w:rFonts w:ascii="Book Antiqua" w:eastAsia="宋体" w:hAnsi="Book Antiqua" w:cs="宋体"/>
          <w:sz w:val="24"/>
          <w:szCs w:val="24"/>
        </w:rPr>
        <w:t>: 200-203 [PMID: 21790526 DOI: 10.1111/j.1365-2133.2011.10541.x]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63 </w:t>
      </w:r>
      <w:r w:rsidRPr="00420686">
        <w:rPr>
          <w:rFonts w:ascii="Book Antiqua" w:eastAsia="宋体" w:hAnsi="Book Antiqua" w:cs="宋体"/>
          <w:b/>
          <w:bCs/>
          <w:sz w:val="24"/>
          <w:szCs w:val="24"/>
        </w:rPr>
        <w:t>Henderson J</w:t>
      </w:r>
      <w:r w:rsidRPr="00420686">
        <w:rPr>
          <w:rFonts w:ascii="Book Antiqua" w:eastAsia="宋体" w:hAnsi="Book Antiqua" w:cs="宋体"/>
          <w:sz w:val="24"/>
          <w:szCs w:val="24"/>
        </w:rPr>
        <w:t xml:space="preserve">, Northstone K, Lee SP, Liao H, Zhao Y, Pembrey M, Mukhopadhyay S, Smith GD, Palmer CN, McLean WH, Irvine AD. The burden of disease associated with filaggrin mutations: a population-based, longitudinal birth cohort study.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121</w:t>
      </w:r>
      <w:r w:rsidRPr="00420686">
        <w:rPr>
          <w:rFonts w:ascii="Book Antiqua" w:eastAsia="宋体" w:hAnsi="Book Antiqua" w:cs="宋体"/>
          <w:sz w:val="24"/>
          <w:szCs w:val="24"/>
        </w:rPr>
        <w:t>: 872-877.e9 [PMID: 18325573 DOI: 10.1016/j.jaci.2008.01.026]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64 </w:t>
      </w:r>
      <w:r w:rsidRPr="00420686">
        <w:rPr>
          <w:rFonts w:ascii="Book Antiqua" w:eastAsia="宋体" w:hAnsi="Book Antiqua" w:cs="宋体"/>
          <w:b/>
          <w:bCs/>
          <w:sz w:val="24"/>
          <w:szCs w:val="24"/>
        </w:rPr>
        <w:t>Marenholz I</w:t>
      </w:r>
      <w:r w:rsidRPr="00420686">
        <w:rPr>
          <w:rFonts w:ascii="Book Antiqua" w:eastAsia="宋体" w:hAnsi="Book Antiqua" w:cs="宋体"/>
          <w:sz w:val="24"/>
          <w:szCs w:val="24"/>
        </w:rPr>
        <w:t xml:space="preserve">, Nickel R, Rüschendorf F, Schulz F, Esparza-Gordillo J, Kerscher T, Grüber C, Lau S, Worm M, Keil T, Kurek M, Zaluga E, Wahn U, Lee YA. Filaggrin loss-of-function mutations predispose to phenotypes involved in the atopic march.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118</w:t>
      </w:r>
      <w:r w:rsidRPr="00420686">
        <w:rPr>
          <w:rFonts w:ascii="Book Antiqua" w:eastAsia="宋体" w:hAnsi="Book Antiqua" w:cs="宋体"/>
          <w:sz w:val="24"/>
          <w:szCs w:val="24"/>
        </w:rPr>
        <w:t>: 866-871 [PMID: 17030239 DOI: 10.1016/j.jaci.2006.07.026]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65 </w:t>
      </w:r>
      <w:r w:rsidRPr="00420686">
        <w:rPr>
          <w:rFonts w:ascii="Book Antiqua" w:eastAsia="宋体" w:hAnsi="Book Antiqua" w:cs="宋体"/>
          <w:b/>
          <w:bCs/>
          <w:sz w:val="24"/>
          <w:szCs w:val="24"/>
        </w:rPr>
        <w:t>Weidinger S</w:t>
      </w:r>
      <w:r w:rsidRPr="00420686">
        <w:rPr>
          <w:rFonts w:ascii="Book Antiqua" w:eastAsia="宋体" w:hAnsi="Book Antiqua" w:cs="宋体"/>
          <w:sz w:val="24"/>
          <w:szCs w:val="24"/>
        </w:rPr>
        <w:t xml:space="preserve">, Illig T, Baurecht H, Irvine AD, Rodriguez E, Diaz-Lacava A, Klopp N, Wagenpfeil S, Zhao Y, Liao H, Lee SP, Palmer CN, Jenneck C, Maintz L, Hagemann T, Behrendt H, Ring J, Nothen MM, McLean WH, Novak N. Loss-of-function variations within the filaggrin gene predispose for atopic dermatitis with allergic sensitizations.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118</w:t>
      </w:r>
      <w:r w:rsidRPr="00420686">
        <w:rPr>
          <w:rFonts w:ascii="Book Antiqua" w:eastAsia="宋体" w:hAnsi="Book Antiqua" w:cs="宋体"/>
          <w:sz w:val="24"/>
          <w:szCs w:val="24"/>
        </w:rPr>
        <w:t>: 214-219 [PMID: 16815158 DOI: 10.1016/j.jaci.2006.05.004]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66 </w:t>
      </w:r>
      <w:r w:rsidRPr="00420686">
        <w:rPr>
          <w:rFonts w:ascii="Book Antiqua" w:eastAsia="宋体" w:hAnsi="Book Antiqua" w:cs="宋体"/>
          <w:b/>
          <w:bCs/>
          <w:sz w:val="24"/>
          <w:szCs w:val="24"/>
        </w:rPr>
        <w:t>Weidinger S</w:t>
      </w:r>
      <w:r w:rsidRPr="00420686">
        <w:rPr>
          <w:rFonts w:ascii="Book Antiqua" w:eastAsia="宋体" w:hAnsi="Book Antiqua" w:cs="宋体"/>
          <w:sz w:val="24"/>
          <w:szCs w:val="24"/>
        </w:rPr>
        <w:t xml:space="preserve">, O'Sullivan M, Illig T, Baurecht H, Depner M, Rodriguez E, Ruether A, Klopp N, Vogelberg C, Weiland SK, McLean WH, von Mutius E, Irvine AD, Kabesch M. Filaggrin mutations, atopic eczema, hay fever, and asthma in children.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121</w:t>
      </w:r>
      <w:r w:rsidRPr="00420686">
        <w:rPr>
          <w:rFonts w:ascii="Book Antiqua" w:eastAsia="宋体" w:hAnsi="Book Antiqua" w:cs="宋体"/>
          <w:sz w:val="24"/>
          <w:szCs w:val="24"/>
        </w:rPr>
        <w:t>: 1203-1209.e1 [PMID: 18396323 DOI: 10.1016/j.jaci.2008.02.014]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67 </w:t>
      </w:r>
      <w:r w:rsidRPr="00420686">
        <w:rPr>
          <w:rFonts w:ascii="Book Antiqua" w:eastAsia="宋体" w:hAnsi="Book Antiqua" w:cs="宋体"/>
          <w:b/>
          <w:bCs/>
          <w:sz w:val="24"/>
          <w:szCs w:val="24"/>
        </w:rPr>
        <w:t>Weidinger S</w:t>
      </w:r>
      <w:r w:rsidRPr="00420686">
        <w:rPr>
          <w:rFonts w:ascii="Book Antiqua" w:eastAsia="宋体" w:hAnsi="Book Antiqua" w:cs="宋体"/>
          <w:sz w:val="24"/>
          <w:szCs w:val="24"/>
        </w:rPr>
        <w:t xml:space="preserve">, Rodríguez E, Stahl C, Wagenpfeil S, Klopp N, Illig T, Novak N. Filaggrin mutations strongly predispose to early-onset and extrinsic atopic dermatitis.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127</w:t>
      </w:r>
      <w:r w:rsidRPr="00420686">
        <w:rPr>
          <w:rFonts w:ascii="Book Antiqua" w:eastAsia="宋体" w:hAnsi="Book Antiqua" w:cs="宋体"/>
          <w:sz w:val="24"/>
          <w:szCs w:val="24"/>
        </w:rPr>
        <w:t>: 724-726 [PMID: 17096018 DOI: 10.1038/sj.jid.5700630]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68 </w:t>
      </w:r>
      <w:r w:rsidRPr="00420686">
        <w:rPr>
          <w:rFonts w:ascii="Book Antiqua" w:eastAsia="宋体" w:hAnsi="Book Antiqua" w:cs="宋体"/>
          <w:b/>
          <w:bCs/>
          <w:sz w:val="24"/>
          <w:szCs w:val="24"/>
        </w:rPr>
        <w:t>Schuttelaar ML</w:t>
      </w:r>
      <w:r w:rsidRPr="00420686">
        <w:rPr>
          <w:rFonts w:ascii="Book Antiqua" w:eastAsia="宋体" w:hAnsi="Book Antiqua" w:cs="宋体"/>
          <w:sz w:val="24"/>
          <w:szCs w:val="24"/>
        </w:rPr>
        <w:t xml:space="preserve">, Kerkhof M, Jonkman MF, Koppelman GH, Brunekreef B, de Jongste JC, Wijga A, McLean WH, Postma DS. Filaggrin mutations in the onset of eczema, sensitization, asthma, hay fever and the interaction with cat exposure.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64</w:t>
      </w:r>
      <w:r w:rsidRPr="00420686">
        <w:rPr>
          <w:rFonts w:ascii="Book Antiqua" w:eastAsia="宋体" w:hAnsi="Book Antiqua" w:cs="宋体"/>
          <w:sz w:val="24"/>
          <w:szCs w:val="24"/>
        </w:rPr>
        <w:t>: 1758-1765 [PMID: 19839980 DOI: 10.1111/j.1398-9995.2009.02080.x]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69 </w:t>
      </w:r>
      <w:r w:rsidRPr="00420686">
        <w:rPr>
          <w:rFonts w:ascii="Book Antiqua" w:eastAsia="宋体" w:hAnsi="Book Antiqua" w:cs="宋体"/>
          <w:b/>
          <w:bCs/>
          <w:sz w:val="24"/>
          <w:szCs w:val="24"/>
        </w:rPr>
        <w:t>Brown SJ</w:t>
      </w:r>
      <w:r w:rsidRPr="00420686">
        <w:rPr>
          <w:rFonts w:ascii="Book Antiqua" w:eastAsia="宋体" w:hAnsi="Book Antiqua" w:cs="宋体"/>
          <w:sz w:val="24"/>
          <w:szCs w:val="24"/>
        </w:rPr>
        <w:t xml:space="preserve">, Asai Y, Cordell HJ, Campbell LE, Zhao Y, Liao H, Northstone K, Henderson J, Alizadehfar R, Ben-Shoshan M, Morgan K, Roberts G, Masthoff LJ, Pasmans SG, van den Akker PC, Wijmenga C, Hourihane JO, Palmer CN, Lack G, Clarke A, Hull PR, Irvine AD, McLean WH. Loss-of-function variants in the filaggrin gene are a significant risk factor for peanut allergy.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127</w:t>
      </w:r>
      <w:r w:rsidRPr="00420686">
        <w:rPr>
          <w:rFonts w:ascii="Book Antiqua" w:eastAsia="宋体" w:hAnsi="Book Antiqua" w:cs="宋体"/>
          <w:sz w:val="24"/>
          <w:szCs w:val="24"/>
        </w:rPr>
        <w:t>: 661-667 [PMID: 21377035 DOI: 10.1016/j.jaci.2011.01.031]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70 </w:t>
      </w:r>
      <w:r w:rsidRPr="00420686">
        <w:rPr>
          <w:rFonts w:ascii="Book Antiqua" w:eastAsia="宋体" w:hAnsi="Book Antiqua" w:cs="宋体"/>
          <w:b/>
          <w:bCs/>
          <w:sz w:val="24"/>
          <w:szCs w:val="24"/>
        </w:rPr>
        <w:t>Meng L</w:t>
      </w:r>
      <w:r w:rsidRPr="00420686">
        <w:rPr>
          <w:rFonts w:ascii="Book Antiqua" w:eastAsia="宋体" w:hAnsi="Book Antiqua" w:cs="宋体"/>
          <w:sz w:val="24"/>
          <w:szCs w:val="24"/>
        </w:rPr>
        <w:t xml:space="preserve">, Wang L, Tang H, Tang X, Jiang X, Zhao J, Gao J, Li B, Fu X, Chen Y, Yao W, Zhan W, Wu B, Duan D, Shen C, Cheng H, Zuo X, Yang S, Sun L, Zhang X. Filaggrin gene mutation c.3321delA is associated with various clinical features of atopic dermatitis in the Chinese Han population. </w:t>
      </w:r>
      <w:r w:rsidRPr="00420686">
        <w:rPr>
          <w:rFonts w:ascii="Book Antiqua" w:eastAsia="宋体" w:hAnsi="Book Antiqua" w:cs="宋体"/>
          <w:i/>
          <w:iCs/>
          <w:sz w:val="24"/>
          <w:szCs w:val="24"/>
        </w:rPr>
        <w:t>PLoS One</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9</w:t>
      </w:r>
      <w:r w:rsidRPr="00420686">
        <w:rPr>
          <w:rFonts w:ascii="Book Antiqua" w:eastAsia="宋体" w:hAnsi="Book Antiqua" w:cs="宋体"/>
          <w:sz w:val="24"/>
          <w:szCs w:val="24"/>
        </w:rPr>
        <w:t>: e98235 [PMID: 24858702 DOI: 10.1371/journal.pone.0098235]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71 </w:t>
      </w:r>
      <w:r w:rsidRPr="00420686">
        <w:rPr>
          <w:rFonts w:ascii="Book Antiqua" w:eastAsia="宋体" w:hAnsi="Book Antiqua" w:cs="宋体"/>
          <w:b/>
          <w:sz w:val="24"/>
          <w:szCs w:val="24"/>
        </w:rPr>
        <w:t>Sandilands A,</w:t>
      </w:r>
      <w:r w:rsidRPr="00420686">
        <w:rPr>
          <w:rFonts w:ascii="Book Antiqua" w:eastAsia="宋体" w:hAnsi="Book Antiqua" w:cs="宋体"/>
          <w:sz w:val="24"/>
          <w:szCs w:val="24"/>
        </w:rPr>
        <w:t xml:space="preserve"> Sutherland C, Irvine AD, McLean WH. Filaggrin in the frontline: role in skin barrier function and disease. </w:t>
      </w:r>
      <w:r w:rsidRPr="00420686">
        <w:rPr>
          <w:rFonts w:ascii="Book Antiqua" w:eastAsia="宋体" w:hAnsi="Book Antiqua" w:cs="宋体"/>
          <w:i/>
          <w:sz w:val="24"/>
          <w:szCs w:val="24"/>
        </w:rPr>
        <w:t>J Cell Sci</w:t>
      </w:r>
      <w:r w:rsidRPr="00420686">
        <w:rPr>
          <w:rFonts w:ascii="Book Antiqua" w:eastAsia="宋体" w:hAnsi="Book Antiqua" w:cs="宋体"/>
          <w:sz w:val="24"/>
          <w:szCs w:val="24"/>
        </w:rPr>
        <w:t xml:space="preserve"> 2009; </w:t>
      </w:r>
      <w:r w:rsidRPr="00420686">
        <w:rPr>
          <w:rFonts w:ascii="Book Antiqua" w:eastAsia="宋体" w:hAnsi="Book Antiqua" w:cs="宋体"/>
          <w:b/>
          <w:sz w:val="24"/>
          <w:szCs w:val="24"/>
        </w:rPr>
        <w:t>122</w:t>
      </w:r>
      <w:r w:rsidRPr="00420686">
        <w:rPr>
          <w:rFonts w:ascii="Book Antiqua" w:eastAsia="宋体" w:hAnsi="Book Antiqua" w:cs="宋体"/>
          <w:sz w:val="24"/>
          <w:szCs w:val="24"/>
        </w:rPr>
        <w:t>: 1285-1294 [PMID: 19386895 DOI: 10.1242/jcs.033969]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72 </w:t>
      </w:r>
      <w:r w:rsidRPr="00420686">
        <w:rPr>
          <w:rFonts w:ascii="Book Antiqua" w:eastAsia="宋体" w:hAnsi="Book Antiqua" w:cs="宋体"/>
          <w:b/>
          <w:bCs/>
          <w:sz w:val="24"/>
          <w:szCs w:val="24"/>
        </w:rPr>
        <w:t>Manabe M</w:t>
      </w:r>
      <w:r w:rsidRPr="00420686">
        <w:rPr>
          <w:rFonts w:ascii="Book Antiqua" w:eastAsia="宋体" w:hAnsi="Book Antiqua" w:cs="宋体"/>
          <w:sz w:val="24"/>
          <w:szCs w:val="24"/>
        </w:rPr>
        <w:t xml:space="preserve">, Sanchez M, Sun TT, Dale BA. Interaction of filaggrin with keratin filaments during advanced stages of normal human epidermal differentiation and in ichthyosis vulgaris. </w:t>
      </w:r>
      <w:r w:rsidRPr="00420686">
        <w:rPr>
          <w:rFonts w:ascii="Book Antiqua" w:eastAsia="宋体" w:hAnsi="Book Antiqua" w:cs="宋体"/>
          <w:i/>
          <w:iCs/>
          <w:sz w:val="24"/>
          <w:szCs w:val="24"/>
        </w:rPr>
        <w:t>Differentiation</w:t>
      </w:r>
      <w:r w:rsidRPr="00420686">
        <w:rPr>
          <w:rFonts w:ascii="Book Antiqua" w:eastAsia="宋体" w:hAnsi="Book Antiqua" w:cs="宋体"/>
          <w:sz w:val="24"/>
          <w:szCs w:val="24"/>
        </w:rPr>
        <w:t xml:space="preserve"> 1991; </w:t>
      </w:r>
      <w:r w:rsidRPr="00420686">
        <w:rPr>
          <w:rFonts w:ascii="Book Antiqua" w:eastAsia="宋体" w:hAnsi="Book Antiqua" w:cs="宋体"/>
          <w:b/>
          <w:bCs/>
          <w:sz w:val="24"/>
          <w:szCs w:val="24"/>
        </w:rPr>
        <w:t>48</w:t>
      </w:r>
      <w:r w:rsidRPr="00420686">
        <w:rPr>
          <w:rFonts w:ascii="Book Antiqua" w:eastAsia="宋体" w:hAnsi="Book Antiqua" w:cs="宋体"/>
          <w:sz w:val="24"/>
          <w:szCs w:val="24"/>
        </w:rPr>
        <w:t>: 43-50 [PMID: 1720750]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73 </w:t>
      </w:r>
      <w:r w:rsidRPr="00420686">
        <w:rPr>
          <w:rFonts w:ascii="Book Antiqua" w:eastAsia="宋体" w:hAnsi="Book Antiqua" w:cs="宋体"/>
          <w:b/>
          <w:bCs/>
          <w:sz w:val="24"/>
          <w:szCs w:val="24"/>
        </w:rPr>
        <w:t>Scott IR</w:t>
      </w:r>
      <w:r w:rsidRPr="00420686">
        <w:rPr>
          <w:rFonts w:ascii="Book Antiqua" w:eastAsia="宋体" w:hAnsi="Book Antiqua" w:cs="宋体"/>
          <w:sz w:val="24"/>
          <w:szCs w:val="24"/>
        </w:rPr>
        <w:t xml:space="preserve">, Harding CR. Filaggrin breakdown to water binding compounds during development of the rat stratum corneum is controlled by the water activity of the environment. </w:t>
      </w:r>
      <w:r w:rsidRPr="00420686">
        <w:rPr>
          <w:rFonts w:ascii="Book Antiqua" w:eastAsia="宋体" w:hAnsi="Book Antiqua" w:cs="宋体"/>
          <w:i/>
          <w:iCs/>
          <w:sz w:val="24"/>
          <w:szCs w:val="24"/>
        </w:rPr>
        <w:t>Dev Biol</w:t>
      </w:r>
      <w:r w:rsidRPr="00420686">
        <w:rPr>
          <w:rFonts w:ascii="Book Antiqua" w:eastAsia="宋体" w:hAnsi="Book Antiqua" w:cs="宋体"/>
          <w:sz w:val="24"/>
          <w:szCs w:val="24"/>
        </w:rPr>
        <w:t xml:space="preserve"> 1986; </w:t>
      </w:r>
      <w:r w:rsidRPr="00420686">
        <w:rPr>
          <w:rFonts w:ascii="Book Antiqua" w:eastAsia="宋体" w:hAnsi="Book Antiqua" w:cs="宋体"/>
          <w:b/>
          <w:bCs/>
          <w:sz w:val="24"/>
          <w:szCs w:val="24"/>
        </w:rPr>
        <w:t>115</w:t>
      </w:r>
      <w:r w:rsidRPr="00420686">
        <w:rPr>
          <w:rFonts w:ascii="Book Antiqua" w:eastAsia="宋体" w:hAnsi="Book Antiqua" w:cs="宋体"/>
          <w:sz w:val="24"/>
          <w:szCs w:val="24"/>
        </w:rPr>
        <w:t>: 84-92 [PMID: 3516761 DOI: 10.1016/0012-1606(86)90230-7]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74 </w:t>
      </w:r>
      <w:r w:rsidRPr="00420686">
        <w:rPr>
          <w:rFonts w:ascii="Book Antiqua" w:eastAsia="宋体" w:hAnsi="Book Antiqua" w:cs="宋体"/>
          <w:b/>
          <w:bCs/>
          <w:sz w:val="24"/>
          <w:szCs w:val="24"/>
        </w:rPr>
        <w:t>Rawlings AV</w:t>
      </w:r>
      <w:r w:rsidRPr="00420686">
        <w:rPr>
          <w:rFonts w:ascii="Book Antiqua" w:eastAsia="宋体" w:hAnsi="Book Antiqua" w:cs="宋体"/>
          <w:sz w:val="24"/>
          <w:szCs w:val="24"/>
        </w:rPr>
        <w:t xml:space="preserve">, Harding CR. Moisturization and skin barrier function. </w:t>
      </w:r>
      <w:r w:rsidRPr="00420686">
        <w:rPr>
          <w:rFonts w:ascii="Book Antiqua" w:eastAsia="宋体" w:hAnsi="Book Antiqua" w:cs="宋体"/>
          <w:i/>
          <w:iCs/>
          <w:sz w:val="24"/>
          <w:szCs w:val="24"/>
        </w:rPr>
        <w:t>Dermatol Ther</w:t>
      </w:r>
      <w:r w:rsidRPr="00420686">
        <w:rPr>
          <w:rFonts w:ascii="Book Antiqua" w:eastAsia="宋体" w:hAnsi="Book Antiqua" w:cs="宋体"/>
          <w:sz w:val="24"/>
          <w:szCs w:val="24"/>
        </w:rPr>
        <w:t xml:space="preserve"> 2004; </w:t>
      </w:r>
      <w:r w:rsidRPr="00420686">
        <w:rPr>
          <w:rFonts w:ascii="Book Antiqua" w:eastAsia="宋体" w:hAnsi="Book Antiqua" w:cs="宋体"/>
          <w:b/>
          <w:bCs/>
          <w:sz w:val="24"/>
          <w:szCs w:val="24"/>
        </w:rPr>
        <w:t xml:space="preserve">17 </w:t>
      </w:r>
      <w:r w:rsidRPr="00420686">
        <w:rPr>
          <w:rFonts w:ascii="Book Antiqua" w:eastAsia="宋体" w:hAnsi="Book Antiqua" w:cs="宋体"/>
          <w:bCs/>
          <w:sz w:val="24"/>
          <w:szCs w:val="24"/>
        </w:rPr>
        <w:t>Suppl 1</w:t>
      </w:r>
      <w:r w:rsidRPr="00420686">
        <w:rPr>
          <w:rFonts w:ascii="Book Antiqua" w:eastAsia="宋体" w:hAnsi="Book Antiqua" w:cs="宋体"/>
          <w:sz w:val="24"/>
          <w:szCs w:val="24"/>
        </w:rPr>
        <w:t>: 43-48 [PMID: 14728698 DOI: 10.1111/j.1396-0296.2004.04S1005.x]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75 </w:t>
      </w:r>
      <w:r w:rsidRPr="00420686">
        <w:rPr>
          <w:rFonts w:ascii="Book Antiqua" w:eastAsia="宋体" w:hAnsi="Book Antiqua" w:cs="宋体"/>
          <w:b/>
          <w:bCs/>
          <w:sz w:val="24"/>
          <w:szCs w:val="24"/>
        </w:rPr>
        <w:t>Elias PM</w:t>
      </w:r>
      <w:r w:rsidRPr="00420686">
        <w:rPr>
          <w:rFonts w:ascii="Book Antiqua" w:eastAsia="宋体" w:hAnsi="Book Antiqua" w:cs="宋体"/>
          <w:sz w:val="24"/>
          <w:szCs w:val="24"/>
        </w:rPr>
        <w:t xml:space="preserve">, Choi EH. Interactions among stratum corneum defensive functions.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14</w:t>
      </w:r>
      <w:r w:rsidRPr="00420686">
        <w:rPr>
          <w:rFonts w:ascii="Book Antiqua" w:eastAsia="宋体" w:hAnsi="Book Antiqua" w:cs="宋体"/>
          <w:sz w:val="24"/>
          <w:szCs w:val="24"/>
        </w:rPr>
        <w:t>: 719-726 [PMID: 16176279 DOI: 10.1111/j.1600-0625.2005.00363.x]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76 </w:t>
      </w:r>
      <w:r w:rsidRPr="00420686">
        <w:rPr>
          <w:rFonts w:ascii="Book Antiqua" w:eastAsia="宋体" w:hAnsi="Book Antiqua" w:cs="宋体"/>
          <w:b/>
          <w:bCs/>
          <w:sz w:val="24"/>
          <w:szCs w:val="24"/>
        </w:rPr>
        <w:t>Gilmour JW</w:t>
      </w:r>
      <w:r w:rsidRPr="00420686">
        <w:rPr>
          <w:rFonts w:ascii="Book Antiqua" w:eastAsia="宋体" w:hAnsi="Book Antiqua" w:cs="宋体"/>
          <w:sz w:val="24"/>
          <w:szCs w:val="24"/>
        </w:rPr>
        <w:t xml:space="preserve">, Vestey JP, George S, Norval M. Effect of phototherapy and urocanic acid isomers on natural killer cell function.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1993; </w:t>
      </w:r>
      <w:r w:rsidRPr="00420686">
        <w:rPr>
          <w:rFonts w:ascii="Book Antiqua" w:eastAsia="宋体" w:hAnsi="Book Antiqua" w:cs="宋体"/>
          <w:b/>
          <w:bCs/>
          <w:sz w:val="24"/>
          <w:szCs w:val="24"/>
        </w:rPr>
        <w:t>101</w:t>
      </w:r>
      <w:r w:rsidRPr="00420686">
        <w:rPr>
          <w:rFonts w:ascii="Book Antiqua" w:eastAsia="宋体" w:hAnsi="Book Antiqua" w:cs="宋体"/>
          <w:sz w:val="24"/>
          <w:szCs w:val="24"/>
        </w:rPr>
        <w:t>: 169-174 [PMID: 8345217 DOI: 10.1111/1523-1747.ep12363652]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77 </w:t>
      </w:r>
      <w:r w:rsidRPr="00420686">
        <w:rPr>
          <w:rFonts w:ascii="Book Antiqua" w:eastAsia="宋体" w:hAnsi="Book Antiqua" w:cs="宋体"/>
          <w:b/>
          <w:bCs/>
          <w:sz w:val="24"/>
          <w:szCs w:val="24"/>
        </w:rPr>
        <w:t>Jaksic A</w:t>
      </w:r>
      <w:r w:rsidRPr="00420686">
        <w:rPr>
          <w:rFonts w:ascii="Book Antiqua" w:eastAsia="宋体" w:hAnsi="Book Antiqua" w:cs="宋体"/>
          <w:sz w:val="24"/>
          <w:szCs w:val="24"/>
        </w:rPr>
        <w:t xml:space="preserve">, Finlay-Jones JJ, Watson CJ, Spencer LK, Santucci I, Hart PH. Cis-urocanic acid synergizes with histamine for increased PGE2 production by human keratinocytes: link to indomethacin-inhibitable UVB-induced immunosuppression. </w:t>
      </w:r>
      <w:r w:rsidRPr="00420686">
        <w:rPr>
          <w:rFonts w:ascii="Book Antiqua" w:eastAsia="宋体" w:hAnsi="Book Antiqua" w:cs="宋体"/>
          <w:i/>
          <w:iCs/>
          <w:sz w:val="24"/>
          <w:szCs w:val="24"/>
        </w:rPr>
        <w:t>Photochem Photobiol</w:t>
      </w:r>
      <w:r w:rsidRPr="00420686">
        <w:rPr>
          <w:rFonts w:ascii="Book Antiqua" w:eastAsia="宋体" w:hAnsi="Book Antiqua" w:cs="宋体"/>
          <w:sz w:val="24"/>
          <w:szCs w:val="24"/>
        </w:rPr>
        <w:t xml:space="preserve"> 1995; </w:t>
      </w:r>
      <w:r w:rsidRPr="00420686">
        <w:rPr>
          <w:rFonts w:ascii="Book Antiqua" w:eastAsia="宋体" w:hAnsi="Book Antiqua" w:cs="宋体"/>
          <w:b/>
          <w:bCs/>
          <w:sz w:val="24"/>
          <w:szCs w:val="24"/>
        </w:rPr>
        <w:t>61</w:t>
      </w:r>
      <w:r w:rsidRPr="00420686">
        <w:rPr>
          <w:rFonts w:ascii="Book Antiqua" w:eastAsia="宋体" w:hAnsi="Book Antiqua" w:cs="宋体"/>
          <w:sz w:val="24"/>
          <w:szCs w:val="24"/>
        </w:rPr>
        <w:t>: 303-309 [PMID: 7716191]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78 </w:t>
      </w:r>
      <w:r w:rsidRPr="00420686">
        <w:rPr>
          <w:rFonts w:ascii="Book Antiqua" w:eastAsia="宋体" w:hAnsi="Book Antiqua" w:cs="宋体"/>
          <w:b/>
          <w:bCs/>
          <w:sz w:val="24"/>
          <w:szCs w:val="24"/>
        </w:rPr>
        <w:t>Brattsand M</w:t>
      </w:r>
      <w:r w:rsidRPr="00420686">
        <w:rPr>
          <w:rFonts w:ascii="Book Antiqua" w:eastAsia="宋体" w:hAnsi="Book Antiqua" w:cs="宋体"/>
          <w:sz w:val="24"/>
          <w:szCs w:val="24"/>
        </w:rPr>
        <w:t xml:space="preserve">, Stefansson K, Lundh C, Haasum Y, Egelrud T. A proteolytic cascade of kallikreins in the stratum corneum.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124</w:t>
      </w:r>
      <w:r w:rsidRPr="00420686">
        <w:rPr>
          <w:rFonts w:ascii="Book Antiqua" w:eastAsia="宋体" w:hAnsi="Book Antiqua" w:cs="宋体"/>
          <w:sz w:val="24"/>
          <w:szCs w:val="24"/>
        </w:rPr>
        <w:t>: 198-203 [PMID: 15654974 DOI: 10.1111/j.0022-202X.2004.23547.x]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79 </w:t>
      </w:r>
      <w:r w:rsidRPr="00420686">
        <w:rPr>
          <w:rFonts w:ascii="Book Antiqua" w:eastAsia="宋体" w:hAnsi="Book Antiqua" w:cs="宋体"/>
          <w:b/>
          <w:bCs/>
          <w:sz w:val="24"/>
          <w:szCs w:val="24"/>
        </w:rPr>
        <w:t>Fluhr JW</w:t>
      </w:r>
      <w:r w:rsidRPr="00420686">
        <w:rPr>
          <w:rFonts w:ascii="Book Antiqua" w:eastAsia="宋体" w:hAnsi="Book Antiqua" w:cs="宋体"/>
          <w:sz w:val="24"/>
          <w:szCs w:val="24"/>
        </w:rPr>
        <w:t xml:space="preserve">, Elias PM, Man MQ, Hupe M, Selden C, Sundberg JP, Tschachler E, Eckhart L, Mauro TM, Feingold KR. Is the filaggrin-histidine-urocanic acid pathway essential for stratum corneum acidification?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130</w:t>
      </w:r>
      <w:r w:rsidRPr="00420686">
        <w:rPr>
          <w:rFonts w:ascii="Book Antiqua" w:eastAsia="宋体" w:hAnsi="Book Antiqua" w:cs="宋体"/>
          <w:sz w:val="24"/>
          <w:szCs w:val="24"/>
        </w:rPr>
        <w:t>: 2141-2144 [PMID: 20376063 DOI: 10.1038/jid.2010.74]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80 </w:t>
      </w:r>
      <w:r w:rsidRPr="00420686">
        <w:rPr>
          <w:rFonts w:ascii="Book Antiqua" w:eastAsia="宋体" w:hAnsi="Book Antiqua" w:cs="宋体"/>
          <w:b/>
          <w:bCs/>
          <w:sz w:val="24"/>
          <w:szCs w:val="24"/>
        </w:rPr>
        <w:t>Hachem JP</w:t>
      </w:r>
      <w:r w:rsidRPr="00420686">
        <w:rPr>
          <w:rFonts w:ascii="Book Antiqua" w:eastAsia="宋体" w:hAnsi="Book Antiqua" w:cs="宋体"/>
          <w:sz w:val="24"/>
          <w:szCs w:val="24"/>
        </w:rPr>
        <w:t xml:space="preserve">, Man MQ, Crumrine D, Uchida Y, Brown BE, Rogiers V, Roseeuw D, Feingold KR, Elias PM. Sustained serine proteases activity by prolonged increase in pH leads to degradation of lipid processing enzymes and profound alterations of barrier function and stratum corneum integrity.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125</w:t>
      </w:r>
      <w:r w:rsidRPr="00420686">
        <w:rPr>
          <w:rFonts w:ascii="Book Antiqua" w:eastAsia="宋体" w:hAnsi="Book Antiqua" w:cs="宋体"/>
          <w:sz w:val="24"/>
          <w:szCs w:val="24"/>
        </w:rPr>
        <w:t>: 510-520 [PMID: 16117792 DOI: 10.1111/j.0022-202X.2005.23838.x]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81 </w:t>
      </w:r>
      <w:r w:rsidRPr="00420686">
        <w:rPr>
          <w:rFonts w:ascii="Book Antiqua" w:eastAsia="宋体" w:hAnsi="Book Antiqua" w:cs="宋体"/>
          <w:b/>
          <w:bCs/>
          <w:sz w:val="24"/>
          <w:szCs w:val="24"/>
        </w:rPr>
        <w:t>Miajlovic H</w:t>
      </w:r>
      <w:r w:rsidRPr="00420686">
        <w:rPr>
          <w:rFonts w:ascii="Book Antiqua" w:eastAsia="宋体" w:hAnsi="Book Antiqua" w:cs="宋体"/>
          <w:sz w:val="24"/>
          <w:szCs w:val="24"/>
        </w:rPr>
        <w:t xml:space="preserve">, Fallon PG, Irvine AD, Foster TJ. Effect of filaggrin breakdown products on growth of and protein expression by Staphylococcus aureus.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1184-1190.e3 [PMID: 21036388 DOI: 10.1016/j.jaci.2010.09.015]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82 </w:t>
      </w:r>
      <w:r w:rsidRPr="00420686">
        <w:rPr>
          <w:rFonts w:ascii="Book Antiqua" w:eastAsia="宋体" w:hAnsi="Book Antiqua" w:cs="宋体"/>
          <w:b/>
          <w:bCs/>
          <w:sz w:val="24"/>
          <w:szCs w:val="24"/>
        </w:rPr>
        <w:t>Sandilands A</w:t>
      </w:r>
      <w:r w:rsidRPr="00420686">
        <w:rPr>
          <w:rFonts w:ascii="Book Antiqua" w:eastAsia="宋体" w:hAnsi="Book Antiqua" w:cs="宋体"/>
          <w:sz w:val="24"/>
          <w:szCs w:val="24"/>
        </w:rPr>
        <w:t xml:space="preserve">, Terron-Kwiatkowski A, Hull PR, O'Regan GM, Clayton TH, Watson RM, Carrick T, Evans AT, Liao H, Zhao Y, Campbell LE, Schmuth M, Gruber R, Janecke AR, Elias PM, van Steensel MA, Nagtzaam I, van Geel M, Steijlen PM, Munro CS, Bradley DG, Palmer CN, Smith FJ, McLean WH, Irvine AD. Comprehensive analysis of the gene encoding filaggrin uncovers prevalent and rare mutations in ichthyosis vulgaris and atopic eczema.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39</w:t>
      </w:r>
      <w:r w:rsidRPr="00420686">
        <w:rPr>
          <w:rFonts w:ascii="Book Antiqua" w:eastAsia="宋体" w:hAnsi="Book Antiqua" w:cs="宋体"/>
          <w:sz w:val="24"/>
          <w:szCs w:val="24"/>
        </w:rPr>
        <w:t>: 650-654 [PMID: 17417636 DOI: 10.1038/ng2020]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83 </w:t>
      </w:r>
      <w:r w:rsidRPr="00420686">
        <w:rPr>
          <w:rFonts w:ascii="Book Antiqua" w:eastAsia="宋体" w:hAnsi="Book Antiqua" w:cs="宋体"/>
          <w:b/>
          <w:bCs/>
          <w:sz w:val="24"/>
          <w:szCs w:val="24"/>
        </w:rPr>
        <w:t>Thyssen JP</w:t>
      </w:r>
      <w:r w:rsidRPr="00420686">
        <w:rPr>
          <w:rFonts w:ascii="Book Antiqua" w:eastAsia="宋体" w:hAnsi="Book Antiqua" w:cs="宋体"/>
          <w:sz w:val="24"/>
          <w:szCs w:val="24"/>
        </w:rPr>
        <w:t xml:space="preserve">, Godoy-Gijon E, Elias PM. Ichthyosis vulgaris: the filaggrin mutation disease.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168</w:t>
      </w:r>
      <w:r w:rsidRPr="00420686">
        <w:rPr>
          <w:rFonts w:ascii="Book Antiqua" w:eastAsia="宋体" w:hAnsi="Book Antiqua" w:cs="宋体"/>
          <w:sz w:val="24"/>
          <w:szCs w:val="24"/>
        </w:rPr>
        <w:t>: 1155-1166 [PMID: 23301728 DOI: 10.1111/bjd.12219]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84 </w:t>
      </w:r>
      <w:r w:rsidRPr="00420686">
        <w:rPr>
          <w:rFonts w:ascii="Book Antiqua" w:eastAsia="宋体" w:hAnsi="Book Antiqua" w:cs="宋体"/>
          <w:b/>
          <w:bCs/>
          <w:sz w:val="24"/>
          <w:szCs w:val="24"/>
        </w:rPr>
        <w:t>Gruber R</w:t>
      </w:r>
      <w:r w:rsidRPr="00420686">
        <w:rPr>
          <w:rFonts w:ascii="Book Antiqua" w:eastAsia="宋体" w:hAnsi="Book Antiqua" w:cs="宋体"/>
          <w:sz w:val="24"/>
          <w:szCs w:val="24"/>
        </w:rPr>
        <w:t xml:space="preserve">, Elias PM, Crumrine D, Lin TK, Brandner JM, Hachem JP, Presland RB, Fleckman P, Janecke AR, Sandilands A, McLean WH, Fritsch PO, Mildner M, Tschachler E, Schmuth M. Filaggrin genotype in ichthyosis vulgaris predicts abnormalities in epidermal structure and function. </w:t>
      </w:r>
      <w:r w:rsidRPr="00420686">
        <w:rPr>
          <w:rFonts w:ascii="Book Antiqua" w:eastAsia="宋体" w:hAnsi="Book Antiqua" w:cs="宋体"/>
          <w:i/>
          <w:iCs/>
          <w:sz w:val="24"/>
          <w:szCs w:val="24"/>
        </w:rPr>
        <w:t>Am J Pathol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178</w:t>
      </w:r>
      <w:r w:rsidRPr="00420686">
        <w:rPr>
          <w:rFonts w:ascii="Book Antiqua" w:eastAsia="宋体" w:hAnsi="Book Antiqua" w:cs="宋体"/>
          <w:sz w:val="24"/>
          <w:szCs w:val="24"/>
        </w:rPr>
        <w:t>: 2252-2263 [PMID: 21514438 DOI: 10.1016/j.ajpath.2011.01.053]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85 </w:t>
      </w:r>
      <w:r w:rsidRPr="00420686">
        <w:rPr>
          <w:rFonts w:ascii="Book Antiqua" w:eastAsia="宋体" w:hAnsi="Book Antiqua" w:cs="宋体"/>
          <w:b/>
          <w:bCs/>
          <w:sz w:val="24"/>
          <w:szCs w:val="24"/>
        </w:rPr>
        <w:t>Angelova-Fischer I</w:t>
      </w:r>
      <w:r w:rsidRPr="00420686">
        <w:rPr>
          <w:rFonts w:ascii="Book Antiqua" w:eastAsia="宋体" w:hAnsi="Book Antiqua" w:cs="宋体"/>
          <w:sz w:val="24"/>
          <w:szCs w:val="24"/>
        </w:rPr>
        <w:t xml:space="preserve">, Mannheimer AC, Hinder A, Ruether A, Franke A, Neubert RH, Fischer TW, Zillikens D. Distinct barrier integrity phenotypes in filaggrin-related atopic eczema following sequential tape stripping and lipid profiling.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20</w:t>
      </w:r>
      <w:r w:rsidRPr="00420686">
        <w:rPr>
          <w:rFonts w:ascii="Book Antiqua" w:eastAsia="宋体" w:hAnsi="Book Antiqua" w:cs="宋体"/>
          <w:sz w:val="24"/>
          <w:szCs w:val="24"/>
        </w:rPr>
        <w:t>: 351-356 [PMID: 21410766 DOI: 10.1111/j.1600-0625.2011.01259.x]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86 </w:t>
      </w:r>
      <w:r w:rsidRPr="00420686">
        <w:rPr>
          <w:rFonts w:ascii="Book Antiqua" w:eastAsia="宋体" w:hAnsi="Book Antiqua" w:cs="宋体"/>
          <w:b/>
          <w:bCs/>
          <w:sz w:val="24"/>
          <w:szCs w:val="24"/>
        </w:rPr>
        <w:t>Kezic S</w:t>
      </w:r>
      <w:r w:rsidRPr="00420686">
        <w:rPr>
          <w:rFonts w:ascii="Book Antiqua" w:eastAsia="宋体" w:hAnsi="Book Antiqua" w:cs="宋体"/>
          <w:sz w:val="24"/>
          <w:szCs w:val="24"/>
        </w:rPr>
        <w:t xml:space="preserve">, Kemperman PM, Koster ES, de Jongh CM, Thio HB, Campbell LE, Irvine AD, McLean WH, Puppels GJ, Caspers PJ. Loss-of-function mutations in the filaggrin gene lead to reduced level of natural moisturizing factor in the stratum corneum.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2117-2119 [PMID: 18305568 DOI: 10.1038/jid.2008.29]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87 </w:t>
      </w:r>
      <w:r w:rsidRPr="00420686">
        <w:rPr>
          <w:rFonts w:ascii="Book Antiqua" w:eastAsia="宋体" w:hAnsi="Book Antiqua" w:cs="宋体"/>
          <w:b/>
          <w:bCs/>
          <w:sz w:val="24"/>
          <w:szCs w:val="24"/>
        </w:rPr>
        <w:t>Kezic S</w:t>
      </w:r>
      <w:r w:rsidRPr="00420686">
        <w:rPr>
          <w:rFonts w:ascii="Book Antiqua" w:eastAsia="宋体" w:hAnsi="Book Antiqua" w:cs="宋体"/>
          <w:sz w:val="24"/>
          <w:szCs w:val="24"/>
        </w:rPr>
        <w:t xml:space="preserve">, O'Regan GM, Lutter R, Jakasa I, Koster ES, Saunders S, Caspers P, Kemperman PM, Puppels GJ, Sandilands A, Chen H, Campbell LE, Kroboth K, Watson R, Fallon PG, McLean WH, Irvine AD. Filaggrin loss-of-function mutations are associated with enhanced expression of IL-1 cytokines in the stratum corneum of patients with atopic dermatitis and in a murine model of filaggrin deficiency.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129</w:t>
      </w:r>
      <w:r w:rsidRPr="00420686">
        <w:rPr>
          <w:rFonts w:ascii="Book Antiqua" w:eastAsia="宋体" w:hAnsi="Book Antiqua" w:cs="宋体"/>
          <w:sz w:val="24"/>
          <w:szCs w:val="24"/>
        </w:rPr>
        <w:t>: 1031-1039.e1 [PMID: 22322004 DOI: 10.1016/j.jaci.2011.12.989]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88 </w:t>
      </w:r>
      <w:r w:rsidRPr="00420686">
        <w:rPr>
          <w:rFonts w:ascii="Book Antiqua" w:eastAsia="宋体" w:hAnsi="Book Antiqua" w:cs="宋体"/>
          <w:b/>
          <w:bCs/>
          <w:sz w:val="24"/>
          <w:szCs w:val="24"/>
        </w:rPr>
        <w:t>O'Regan GM</w:t>
      </w:r>
      <w:r w:rsidRPr="00420686">
        <w:rPr>
          <w:rFonts w:ascii="Book Antiqua" w:eastAsia="宋体" w:hAnsi="Book Antiqua" w:cs="宋体"/>
          <w:sz w:val="24"/>
          <w:szCs w:val="24"/>
        </w:rPr>
        <w:t xml:space="preserve">, Kemperman PM, Sandilands A, Chen H, Campbell LE, Kroboth K, Watson R, Rowland M, Puppels GJ, McLean WH, Caspers PJ, Irvine AD. Raman profiles of the stratum corneum define 3 filaggrin genotype-determined atopic dermatitis endophenotypes.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574-580.e1 [PMID: 20621340 DOI: 10.1016/j.jaci.2010.04.038]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89 </w:t>
      </w:r>
      <w:r w:rsidRPr="00420686">
        <w:rPr>
          <w:rFonts w:ascii="Book Antiqua" w:eastAsia="宋体" w:hAnsi="Book Antiqua" w:cs="宋体"/>
          <w:b/>
          <w:bCs/>
          <w:sz w:val="24"/>
          <w:szCs w:val="24"/>
        </w:rPr>
        <w:t>Winge MC</w:t>
      </w:r>
      <w:r w:rsidRPr="00420686">
        <w:rPr>
          <w:rFonts w:ascii="Book Antiqua" w:eastAsia="宋体" w:hAnsi="Book Antiqua" w:cs="宋体"/>
          <w:sz w:val="24"/>
          <w:szCs w:val="24"/>
        </w:rPr>
        <w:t xml:space="preserve">, Hoppe T, Berne B, Vahlquist A, Nordenskjöld M, Bradley M, Törmä H. Filaggrin genotype determines functional and molecular alterations in skin of patients with atopic dermatitis and ichthyosis vulgaris. </w:t>
      </w:r>
      <w:r w:rsidRPr="00420686">
        <w:rPr>
          <w:rFonts w:ascii="Book Antiqua" w:eastAsia="宋体" w:hAnsi="Book Antiqua" w:cs="宋体"/>
          <w:i/>
          <w:iCs/>
          <w:sz w:val="24"/>
          <w:szCs w:val="24"/>
        </w:rPr>
        <w:t>PLoS One</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6</w:t>
      </w:r>
      <w:r w:rsidRPr="00420686">
        <w:rPr>
          <w:rFonts w:ascii="Book Antiqua" w:eastAsia="宋体" w:hAnsi="Book Antiqua" w:cs="宋体"/>
          <w:sz w:val="24"/>
          <w:szCs w:val="24"/>
        </w:rPr>
        <w:t>: e28254 [PMID: 22164253 DOI: 10.1371/journal.pone.0028254]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90 </w:t>
      </w:r>
      <w:r w:rsidRPr="00420686">
        <w:rPr>
          <w:rFonts w:ascii="Book Antiqua" w:eastAsia="宋体" w:hAnsi="Book Antiqua" w:cs="宋体"/>
          <w:b/>
          <w:bCs/>
          <w:sz w:val="24"/>
          <w:szCs w:val="24"/>
        </w:rPr>
        <w:t>Brown SJ</w:t>
      </w:r>
      <w:r w:rsidRPr="00420686">
        <w:rPr>
          <w:rFonts w:ascii="Book Antiqua" w:eastAsia="宋体" w:hAnsi="Book Antiqua" w:cs="宋体"/>
          <w:sz w:val="24"/>
          <w:szCs w:val="24"/>
        </w:rPr>
        <w:t xml:space="preserve">, Kroboth K, Sandilands A, Campbell LE, Pohler E, Kezic S, Cordell HJ, McLean WH, Irvine AD. Intragenic copy number variation within filaggrin contributes to the risk of atopic dermatitis with a dose-dependent effect.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132</w:t>
      </w:r>
      <w:r w:rsidRPr="00420686">
        <w:rPr>
          <w:rFonts w:ascii="Book Antiqua" w:eastAsia="宋体" w:hAnsi="Book Antiqua" w:cs="宋体"/>
          <w:sz w:val="24"/>
          <w:szCs w:val="24"/>
        </w:rPr>
        <w:t>: 98-104 [PMID: 22071473 DOI: 10.1038/jid.2011.342]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91 </w:t>
      </w:r>
      <w:r w:rsidRPr="00420686">
        <w:rPr>
          <w:rFonts w:ascii="Book Antiqua" w:eastAsia="宋体" w:hAnsi="Book Antiqua" w:cs="宋体"/>
          <w:b/>
          <w:bCs/>
          <w:sz w:val="24"/>
          <w:szCs w:val="24"/>
        </w:rPr>
        <w:t>Ginger RS</w:t>
      </w:r>
      <w:r w:rsidRPr="00420686">
        <w:rPr>
          <w:rFonts w:ascii="Book Antiqua" w:eastAsia="宋体" w:hAnsi="Book Antiqua" w:cs="宋体"/>
          <w:sz w:val="24"/>
          <w:szCs w:val="24"/>
        </w:rPr>
        <w:t xml:space="preserve">, Blachford S, Rowland J, Rowson M, Harding CR. Filaggrin repeat number polymorphism is associated with a dry skin phenotype. </w:t>
      </w:r>
      <w:r w:rsidRPr="00420686">
        <w:rPr>
          <w:rFonts w:ascii="Book Antiqua" w:eastAsia="宋体" w:hAnsi="Book Antiqua" w:cs="宋体"/>
          <w:i/>
          <w:iCs/>
          <w:sz w:val="24"/>
          <w:szCs w:val="24"/>
        </w:rPr>
        <w:t>Arch Dermatol Res</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297</w:t>
      </w:r>
      <w:r w:rsidRPr="00420686">
        <w:rPr>
          <w:rFonts w:ascii="Book Antiqua" w:eastAsia="宋体" w:hAnsi="Book Antiqua" w:cs="宋体"/>
          <w:sz w:val="24"/>
          <w:szCs w:val="24"/>
        </w:rPr>
        <w:t>: 235-241 [PMID: 16261374 DOI: 10.1007/s00403-005-0590-8]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92 </w:t>
      </w:r>
      <w:r w:rsidRPr="00420686">
        <w:rPr>
          <w:rFonts w:ascii="Book Antiqua" w:eastAsia="宋体" w:hAnsi="Book Antiqua" w:cs="宋体"/>
          <w:b/>
          <w:bCs/>
          <w:sz w:val="24"/>
          <w:szCs w:val="24"/>
        </w:rPr>
        <w:t>Kezic S</w:t>
      </w:r>
      <w:r w:rsidRPr="00420686">
        <w:rPr>
          <w:rFonts w:ascii="Book Antiqua" w:eastAsia="宋体" w:hAnsi="Book Antiqua" w:cs="宋体"/>
          <w:sz w:val="24"/>
          <w:szCs w:val="24"/>
        </w:rPr>
        <w:t xml:space="preserve">, O'Regan GM, Yau N, Sandilands A, Chen H, Campbell LE, Kroboth K, Watson R, Rowland M, McLean WH, Irvine AD. Levels of filaggrin degradation products are influenced by both filaggrin genotype and atopic dermatitis severity.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66</w:t>
      </w:r>
      <w:r w:rsidRPr="00420686">
        <w:rPr>
          <w:rFonts w:ascii="Book Antiqua" w:eastAsia="宋体" w:hAnsi="Book Antiqua" w:cs="宋体"/>
          <w:sz w:val="24"/>
          <w:szCs w:val="24"/>
        </w:rPr>
        <w:t>: 934-940 [PMID: 21261659 DOI: 10.1111/j.1398-9995.2010.02540.x]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93 </w:t>
      </w:r>
      <w:r w:rsidRPr="00420686">
        <w:rPr>
          <w:rFonts w:ascii="Book Antiqua" w:eastAsia="宋体" w:hAnsi="Book Antiqua" w:cs="宋体"/>
          <w:b/>
          <w:bCs/>
          <w:sz w:val="24"/>
          <w:szCs w:val="24"/>
        </w:rPr>
        <w:t>Pendaries V</w:t>
      </w:r>
      <w:r w:rsidRPr="00420686">
        <w:rPr>
          <w:rFonts w:ascii="Book Antiqua" w:eastAsia="宋体" w:hAnsi="Book Antiqua" w:cs="宋体"/>
          <w:sz w:val="24"/>
          <w:szCs w:val="24"/>
        </w:rPr>
        <w:t xml:space="preserve">, Malaisse J, Pellerin L, Le Lamer M, Nachat R, Kezic S, Schmitt AM, Paul C, Poumay Y, Serre G, Simon M. Knockdown of filaggrin in a three-dimensional reconstructed human epidermis impairs keratinocyte differentiation.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134</w:t>
      </w:r>
      <w:r w:rsidRPr="00420686">
        <w:rPr>
          <w:rFonts w:ascii="Book Antiqua" w:eastAsia="宋体" w:hAnsi="Book Antiqua" w:cs="宋体"/>
          <w:sz w:val="24"/>
          <w:szCs w:val="24"/>
        </w:rPr>
        <w:t>: 2938-2946 [PMID: 24940654 DOI: 10.1038/jid.2014.259]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94 </w:t>
      </w:r>
      <w:r w:rsidRPr="00420686">
        <w:rPr>
          <w:rFonts w:ascii="Book Antiqua" w:eastAsia="宋体" w:hAnsi="Book Antiqua" w:cs="宋体"/>
          <w:b/>
          <w:bCs/>
          <w:sz w:val="24"/>
          <w:szCs w:val="24"/>
        </w:rPr>
        <w:t>Brauweiler AM</w:t>
      </w:r>
      <w:r w:rsidRPr="00420686">
        <w:rPr>
          <w:rFonts w:ascii="Book Antiqua" w:eastAsia="宋体" w:hAnsi="Book Antiqua" w:cs="宋体"/>
          <w:sz w:val="24"/>
          <w:szCs w:val="24"/>
        </w:rPr>
        <w:t xml:space="preserve">, Bin L, Kim BE, Oyoshi MK, Geha RS, Goleva E, Leung DY. Filaggrin-dependent secretion of sphingomyelinase protects against staphylococcal α-toxin-induced keratinocyte death.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131</w:t>
      </w:r>
      <w:r w:rsidRPr="00420686">
        <w:rPr>
          <w:rFonts w:ascii="Book Antiqua" w:eastAsia="宋体" w:hAnsi="Book Antiqua" w:cs="宋体"/>
          <w:sz w:val="24"/>
          <w:szCs w:val="24"/>
        </w:rPr>
        <w:t>: 421-427.e1-2 [PMID: 23246020 DOI: 10.1016/j.jaci.2012.10.030]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95 </w:t>
      </w:r>
      <w:r w:rsidRPr="00420686">
        <w:rPr>
          <w:rFonts w:ascii="Book Antiqua" w:eastAsia="宋体" w:hAnsi="Book Antiqua" w:cs="宋体"/>
          <w:b/>
          <w:sz w:val="24"/>
          <w:szCs w:val="24"/>
        </w:rPr>
        <w:t>Ziyab AH,</w:t>
      </w:r>
      <w:r w:rsidRPr="00420686">
        <w:rPr>
          <w:rFonts w:ascii="Book Antiqua" w:eastAsia="宋体" w:hAnsi="Book Antiqua" w:cs="宋体"/>
          <w:sz w:val="24"/>
          <w:szCs w:val="24"/>
        </w:rPr>
        <w:t xml:space="preserve"> Karmaus W, Holloway JW, Zhang H, Ewart S, Arshad SH. DNA methylation of the filaggrin gene adds to the risk of eczema associated with loss-of-function variants. </w:t>
      </w:r>
      <w:r w:rsidRPr="00420686">
        <w:rPr>
          <w:rFonts w:ascii="Book Antiqua" w:eastAsia="宋体" w:hAnsi="Book Antiqua" w:cs="宋体"/>
          <w:i/>
          <w:sz w:val="24"/>
          <w:szCs w:val="24"/>
        </w:rPr>
        <w:t>J Eur Acad Dermatol Venereol</w:t>
      </w:r>
      <w:r w:rsidRPr="00420686">
        <w:rPr>
          <w:rFonts w:ascii="Book Antiqua" w:eastAsia="宋体" w:hAnsi="Book Antiqua" w:cs="宋体"/>
          <w:sz w:val="24"/>
          <w:szCs w:val="24"/>
        </w:rPr>
        <w:t xml:space="preserve"> 2013; </w:t>
      </w:r>
      <w:r w:rsidRPr="00420686">
        <w:rPr>
          <w:rFonts w:ascii="Book Antiqua" w:eastAsia="宋体" w:hAnsi="Book Antiqua" w:cs="宋体"/>
          <w:b/>
          <w:sz w:val="24"/>
          <w:szCs w:val="24"/>
        </w:rPr>
        <w:t>27</w:t>
      </w:r>
      <w:r w:rsidRPr="00420686">
        <w:rPr>
          <w:rFonts w:ascii="Book Antiqua" w:eastAsia="宋体" w:hAnsi="Book Antiqua" w:cs="宋体"/>
          <w:sz w:val="24"/>
          <w:szCs w:val="24"/>
        </w:rPr>
        <w:t>: e420-e423 [PMID: 23003573 DOI: 10.1111/jdv.12000]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96 </w:t>
      </w:r>
      <w:r w:rsidRPr="00420686">
        <w:rPr>
          <w:rFonts w:ascii="Book Antiqua" w:eastAsia="宋体" w:hAnsi="Book Antiqua" w:cs="宋体"/>
          <w:b/>
          <w:bCs/>
          <w:sz w:val="24"/>
          <w:szCs w:val="24"/>
        </w:rPr>
        <w:t>Pellerin L</w:t>
      </w:r>
      <w:r w:rsidRPr="00420686">
        <w:rPr>
          <w:rFonts w:ascii="Book Antiqua" w:eastAsia="宋体" w:hAnsi="Book Antiqua" w:cs="宋体"/>
          <w:sz w:val="24"/>
          <w:szCs w:val="24"/>
        </w:rPr>
        <w:t xml:space="preserve">, Henry J, Hsu CY, Balica S, Jean-Decoster C, Méchin MC, Hansmann B, Rodriguez E, Weindinger S, Schmitt AM, Serre G, Paul C, Simon M. Defects of filaggrin-like proteins in both lesional and nonlesional atopic skin.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131</w:t>
      </w:r>
      <w:r w:rsidRPr="00420686">
        <w:rPr>
          <w:rFonts w:ascii="Book Antiqua" w:eastAsia="宋体" w:hAnsi="Book Antiqua" w:cs="宋体"/>
          <w:sz w:val="24"/>
          <w:szCs w:val="24"/>
        </w:rPr>
        <w:t>: 1094-1102 [PMID: 23403047 DOI: 10.1016/j.jaci.2012.12.1566]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97 </w:t>
      </w:r>
      <w:r w:rsidRPr="00420686">
        <w:rPr>
          <w:rFonts w:ascii="Book Antiqua" w:eastAsia="宋体" w:hAnsi="Book Antiqua" w:cs="宋体"/>
          <w:b/>
          <w:bCs/>
          <w:sz w:val="24"/>
          <w:szCs w:val="24"/>
        </w:rPr>
        <w:t>Henry J</w:t>
      </w:r>
      <w:r w:rsidRPr="00420686">
        <w:rPr>
          <w:rFonts w:ascii="Book Antiqua" w:eastAsia="宋体" w:hAnsi="Book Antiqua" w:cs="宋体"/>
          <w:sz w:val="24"/>
          <w:szCs w:val="24"/>
        </w:rPr>
        <w:t xml:space="preserve">, Toulza E, Hsu CY, Pellerin L, Balica S, Mazereeuw-Hautier J, Paul C, Serre G, Jonca N, Simon M. Update on the epidermal differentiation complex. </w:t>
      </w:r>
      <w:r w:rsidRPr="00420686">
        <w:rPr>
          <w:rFonts w:ascii="Book Antiqua" w:eastAsia="宋体" w:hAnsi="Book Antiqua" w:cs="宋体"/>
          <w:i/>
          <w:iCs/>
          <w:sz w:val="24"/>
          <w:szCs w:val="24"/>
        </w:rPr>
        <w:t xml:space="preserve">Front Biosci </w:t>
      </w:r>
      <w:r w:rsidRPr="00420686">
        <w:rPr>
          <w:rFonts w:ascii="Book Antiqua" w:eastAsia="宋体" w:hAnsi="Book Antiqua" w:cs="宋体"/>
          <w:iCs/>
          <w:sz w:val="24"/>
          <w:szCs w:val="24"/>
        </w:rPr>
        <w:t>(Landmark Ed)</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17</w:t>
      </w:r>
      <w:r w:rsidRPr="00420686">
        <w:rPr>
          <w:rFonts w:ascii="Book Antiqua" w:eastAsia="宋体" w:hAnsi="Book Antiqua" w:cs="宋体"/>
          <w:sz w:val="24"/>
          <w:szCs w:val="24"/>
        </w:rPr>
        <w:t>: 1517-1532 [PMID: 22201818]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98 </w:t>
      </w:r>
      <w:r w:rsidRPr="00420686">
        <w:rPr>
          <w:rFonts w:ascii="Book Antiqua" w:eastAsia="宋体" w:hAnsi="Book Antiqua" w:cs="宋体"/>
          <w:b/>
          <w:bCs/>
          <w:sz w:val="24"/>
          <w:szCs w:val="24"/>
        </w:rPr>
        <w:t>Esparza-Gordillo J</w:t>
      </w:r>
      <w:r w:rsidRPr="00420686">
        <w:rPr>
          <w:rFonts w:ascii="Book Antiqua" w:eastAsia="宋体" w:hAnsi="Book Antiqua" w:cs="宋体"/>
          <w:sz w:val="24"/>
          <w:szCs w:val="24"/>
        </w:rPr>
        <w:t xml:space="preserve">, Weidinger S, Fölster-Holst R, Bauerfeind A, Ruschendorf F, Patone G, Rohde K, Marenholz I, Schulz F, Kerscher T, Hubner N, Wahn U, Schreiber S, Franke A, Vogler R, Heath S, Baurecht H, Novak N, Rodriguez E, Illig T, Lee-Kirsch MA, Ciechanowicz A, Kurek M, Piskackova T, Macek M, Lee YA, Ruether A. A common variant on chromosome 11q13 is associated with atopic dermatitis.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41</w:t>
      </w:r>
      <w:r w:rsidRPr="00420686">
        <w:rPr>
          <w:rFonts w:ascii="Book Antiqua" w:eastAsia="宋体" w:hAnsi="Book Antiqua" w:cs="宋体"/>
          <w:sz w:val="24"/>
          <w:szCs w:val="24"/>
        </w:rPr>
        <w:t>: 596-601 [PMID: 19349984]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99 </w:t>
      </w:r>
      <w:r w:rsidRPr="00420686">
        <w:rPr>
          <w:rFonts w:ascii="Book Antiqua" w:eastAsia="宋体" w:hAnsi="Book Antiqua" w:cs="宋体"/>
          <w:b/>
          <w:bCs/>
          <w:sz w:val="24"/>
          <w:szCs w:val="24"/>
        </w:rPr>
        <w:t>Marenholz I</w:t>
      </w:r>
      <w:r w:rsidRPr="00420686">
        <w:rPr>
          <w:rFonts w:ascii="Book Antiqua" w:eastAsia="宋体" w:hAnsi="Book Antiqua" w:cs="宋体"/>
          <w:sz w:val="24"/>
          <w:szCs w:val="24"/>
        </w:rPr>
        <w:t xml:space="preserve">, Rivera VA, Esparza-Gordillo J, Bauerfeind A, Lee-Kirsch MA, Ciechanowicz A, Kurek M, Piskackova T, Macek M, Lee YA. Association screening in the Epidermal Differentiation Complex (EDC) identifies an SPRR3 repeat number variant as a risk factor for eczema.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131</w:t>
      </w:r>
      <w:r w:rsidRPr="00420686">
        <w:rPr>
          <w:rFonts w:ascii="Book Antiqua" w:eastAsia="宋体" w:hAnsi="Book Antiqua" w:cs="宋体"/>
          <w:sz w:val="24"/>
          <w:szCs w:val="24"/>
        </w:rPr>
        <w:t>: 1644-1649 [PMID: 21490620 DOI: 10.1038/jid.2011.90]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100 </w:t>
      </w:r>
      <w:r w:rsidRPr="00420686">
        <w:rPr>
          <w:rFonts w:ascii="Book Antiqua" w:eastAsia="宋体" w:hAnsi="Book Antiqua" w:cs="宋体"/>
          <w:b/>
          <w:bCs/>
          <w:sz w:val="24"/>
          <w:szCs w:val="24"/>
        </w:rPr>
        <w:t>Margolis DJ</w:t>
      </w:r>
      <w:r w:rsidRPr="00420686">
        <w:rPr>
          <w:rFonts w:ascii="Book Antiqua" w:eastAsia="宋体" w:hAnsi="Book Antiqua" w:cs="宋体"/>
          <w:sz w:val="24"/>
          <w:szCs w:val="24"/>
        </w:rPr>
        <w:t xml:space="preserve">, Gupta J, Apter AJ, Ganguly T, Hoffstad O, Papadopoulos M, Rebbeck TR, Mitra N. Filaggrin-2 variation is associated with more persistent atopic dermatitis in African American subjects.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133</w:t>
      </w:r>
      <w:r w:rsidRPr="00420686">
        <w:rPr>
          <w:rFonts w:ascii="Book Antiqua" w:eastAsia="宋体" w:hAnsi="Book Antiqua" w:cs="宋体"/>
          <w:sz w:val="24"/>
          <w:szCs w:val="24"/>
        </w:rPr>
        <w:t>: 784-789 [PMID: 24184149 DOI: 10.1016/j.jaci.2013.09.015]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101 </w:t>
      </w:r>
      <w:r w:rsidRPr="00420686">
        <w:rPr>
          <w:rFonts w:ascii="Book Antiqua" w:eastAsia="宋体" w:hAnsi="Book Antiqua" w:cs="宋体"/>
          <w:b/>
          <w:bCs/>
          <w:sz w:val="24"/>
          <w:szCs w:val="24"/>
        </w:rPr>
        <w:t>Kirschner N</w:t>
      </w:r>
      <w:r w:rsidRPr="00420686">
        <w:rPr>
          <w:rFonts w:ascii="Book Antiqua" w:eastAsia="宋体" w:hAnsi="Book Antiqua" w:cs="宋体"/>
          <w:sz w:val="24"/>
          <w:szCs w:val="24"/>
        </w:rPr>
        <w:t xml:space="preserve">, Rosenthal R, Furuse M, Moll I, Fromm M, Brandner JM. Contribution of tight junction proteins to ion, macromolecule, and water barrier in keratinocytes.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133</w:t>
      </w:r>
      <w:r w:rsidRPr="00420686">
        <w:rPr>
          <w:rFonts w:ascii="Book Antiqua" w:eastAsia="宋体" w:hAnsi="Book Antiqua" w:cs="宋体"/>
          <w:sz w:val="24"/>
          <w:szCs w:val="24"/>
        </w:rPr>
        <w:t>: 1161-1169 [PMID: 23407391 DOI: 10.1038/jid.2012.507]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102 </w:t>
      </w:r>
      <w:r w:rsidRPr="00420686">
        <w:rPr>
          <w:rFonts w:ascii="Book Antiqua" w:eastAsia="宋体" w:hAnsi="Book Antiqua" w:cs="宋体"/>
          <w:b/>
          <w:bCs/>
          <w:sz w:val="24"/>
          <w:szCs w:val="24"/>
        </w:rPr>
        <w:t>De Benedetto A</w:t>
      </w:r>
      <w:r w:rsidRPr="00420686">
        <w:rPr>
          <w:rFonts w:ascii="Book Antiqua" w:eastAsia="宋体" w:hAnsi="Book Antiqua" w:cs="宋体"/>
          <w:sz w:val="24"/>
          <w:szCs w:val="24"/>
        </w:rPr>
        <w:t xml:space="preserve">, Rafaels NM, McGirt LY, Ivanov AI, Georas SN, Cheadle C, Berger AE, Zhang K, Vidyasagar S, Yoshida T, Boguniewicz M, Hata T, Schneider LC, Hanifin JM, Gallo RL, Novak N, Weidinger S, Beaty TH, Leung DY, Barnes KC, Beck LA. Tight junction defects in patients with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127</w:t>
      </w:r>
      <w:r w:rsidRPr="00420686">
        <w:rPr>
          <w:rFonts w:ascii="Book Antiqua" w:eastAsia="宋体" w:hAnsi="Book Antiqua" w:cs="宋体"/>
          <w:sz w:val="24"/>
          <w:szCs w:val="24"/>
        </w:rPr>
        <w:t>: 773-786.e1-7 [PMID: 21163515 DOI: 10.1016/j.jaci.2010.10.018]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103 </w:t>
      </w:r>
      <w:r w:rsidRPr="00420686">
        <w:rPr>
          <w:rFonts w:ascii="Book Antiqua" w:eastAsia="宋体" w:hAnsi="Book Antiqua" w:cs="宋体"/>
          <w:b/>
          <w:bCs/>
          <w:sz w:val="24"/>
          <w:szCs w:val="24"/>
        </w:rPr>
        <w:t>Khnykin D</w:t>
      </w:r>
      <w:r w:rsidRPr="00420686">
        <w:rPr>
          <w:rFonts w:ascii="Book Antiqua" w:eastAsia="宋体" w:hAnsi="Book Antiqua" w:cs="宋体"/>
          <w:sz w:val="24"/>
          <w:szCs w:val="24"/>
        </w:rPr>
        <w:t xml:space="preserve">, Rønnevig J, Johnsson M, Sitek JC, Blaas HG, Hausser I, Johansen FE, Jahnsen FL. Ichthyosis prematurity syndrome: clinical evaluation of 17 families with a rare disorder of lipid metabolism. </w:t>
      </w:r>
      <w:r w:rsidRPr="00420686">
        <w:rPr>
          <w:rFonts w:ascii="Book Antiqua" w:eastAsia="宋体" w:hAnsi="Book Antiqua" w:cs="宋体"/>
          <w:i/>
          <w:iCs/>
          <w:sz w:val="24"/>
          <w:szCs w:val="24"/>
        </w:rPr>
        <w:t>J Am Acad Dermatol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66</w:t>
      </w:r>
      <w:r w:rsidRPr="00420686">
        <w:rPr>
          <w:rFonts w:ascii="Book Antiqua" w:eastAsia="宋体" w:hAnsi="Book Antiqua" w:cs="宋体"/>
          <w:sz w:val="24"/>
          <w:szCs w:val="24"/>
        </w:rPr>
        <w:t>: 606-616 [PMID: 21856041 DOI: 10.1016/j.jaad.2011.04.014]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104 </w:t>
      </w:r>
      <w:r w:rsidRPr="00420686">
        <w:rPr>
          <w:rFonts w:ascii="Book Antiqua" w:eastAsia="宋体" w:hAnsi="Book Antiqua" w:cs="宋体"/>
          <w:b/>
          <w:bCs/>
          <w:sz w:val="24"/>
          <w:szCs w:val="24"/>
        </w:rPr>
        <w:t>Sasaki T</w:t>
      </w:r>
      <w:r w:rsidRPr="00420686">
        <w:rPr>
          <w:rFonts w:ascii="Book Antiqua" w:eastAsia="宋体" w:hAnsi="Book Antiqua" w:cs="宋体"/>
          <w:sz w:val="24"/>
          <w:szCs w:val="24"/>
        </w:rPr>
        <w:t xml:space="preserve">, Shiohama A, Kubo A, Kawasaki H, Ishida-Yamamoto A, Yamada T, Hachiya T, Shimizu A, Okano H, Kudoh J, Amagai M. A homozygous nonsense mutation in the gene for Tmem79, a component for the lamellar granule secretory system, produces spontaneous eczema in an experimental model of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132</w:t>
      </w:r>
      <w:r w:rsidRPr="00420686">
        <w:rPr>
          <w:rFonts w:ascii="Book Antiqua" w:eastAsia="宋体" w:hAnsi="Book Antiqua" w:cs="宋体"/>
          <w:sz w:val="24"/>
          <w:szCs w:val="24"/>
        </w:rPr>
        <w:t>: 1111-1120.e4 [PMID: 24060273 DOI: 10.1016/j.jaci.2013.08.027]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105 </w:t>
      </w:r>
      <w:r w:rsidRPr="00420686">
        <w:rPr>
          <w:rFonts w:ascii="Book Antiqua" w:eastAsia="宋体" w:hAnsi="Book Antiqua" w:cs="宋体"/>
          <w:b/>
          <w:bCs/>
          <w:sz w:val="24"/>
          <w:szCs w:val="24"/>
        </w:rPr>
        <w:t>Saunders SP</w:t>
      </w:r>
      <w:r w:rsidRPr="00420686">
        <w:rPr>
          <w:rFonts w:ascii="Book Antiqua" w:eastAsia="宋体" w:hAnsi="Book Antiqua" w:cs="宋体"/>
          <w:sz w:val="24"/>
          <w:szCs w:val="24"/>
        </w:rPr>
        <w:t xml:space="preserve">, Goh CS, Brown SJ, Palmer CN, Porter RM, Cole C, Campbell LE, Gierlinski M, Barton GJ, Schneider G, Balmain A, Prescott AR, Weidinger S, Baurecht H, Kabesch M, Gieger C, Lee YA, Tavendale R, Mukhopadhyay S, Turner SW, Madhok VB, Sullivan FM, Relton C, Burn J, Meggitt S, Smith CH, Allen MA, Barker JN, Reynolds NJ, Cordell HJ, Irvine AD, McLean WH, Sandilands A, Fallon PG. Tmem79/Matt is the matted mouse gene and is a predisposing gene for atopic dermatitis in human subjects.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132</w:t>
      </w:r>
      <w:r w:rsidRPr="00420686">
        <w:rPr>
          <w:rFonts w:ascii="Book Antiqua" w:eastAsia="宋体" w:hAnsi="Book Antiqua" w:cs="宋体"/>
          <w:sz w:val="24"/>
          <w:szCs w:val="24"/>
        </w:rPr>
        <w:t>: 1121-1129 [PMID: 24084074 DOI: 10.1016/j.jaci.2013.08.046]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106 </w:t>
      </w:r>
      <w:r w:rsidRPr="00420686">
        <w:rPr>
          <w:rFonts w:ascii="Book Antiqua" w:eastAsia="宋体" w:hAnsi="Book Antiqua" w:cs="宋体"/>
          <w:b/>
          <w:bCs/>
          <w:sz w:val="24"/>
          <w:szCs w:val="24"/>
        </w:rPr>
        <w:t>Kawasaki H</w:t>
      </w:r>
      <w:r w:rsidRPr="00420686">
        <w:rPr>
          <w:rFonts w:ascii="Book Antiqua" w:eastAsia="宋体" w:hAnsi="Book Antiqua" w:cs="宋体"/>
          <w:sz w:val="24"/>
          <w:szCs w:val="24"/>
        </w:rPr>
        <w:t xml:space="preserve">, Nagao K, Kubo A, Hata T, Shimizu A, Mizuno H, Yamada T, Amagai M. Altered stratum corneum barrier and enhanced percutaneous immune responses in filaggrin-null mice.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129</w:t>
      </w:r>
      <w:r w:rsidRPr="00420686">
        <w:rPr>
          <w:rFonts w:ascii="Book Antiqua" w:eastAsia="宋体" w:hAnsi="Book Antiqua" w:cs="宋体"/>
          <w:sz w:val="24"/>
          <w:szCs w:val="24"/>
        </w:rPr>
        <w:t>: 1538-1546.e6 [PMID: 22409988 DOI: 10.1016/j.jaci.2012.01.068]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107 </w:t>
      </w:r>
      <w:r w:rsidRPr="00420686">
        <w:rPr>
          <w:rFonts w:ascii="Book Antiqua" w:eastAsia="宋体" w:hAnsi="Book Antiqua" w:cs="宋体"/>
          <w:b/>
          <w:bCs/>
          <w:sz w:val="24"/>
          <w:szCs w:val="24"/>
        </w:rPr>
        <w:t>Chavanas S</w:t>
      </w:r>
      <w:r w:rsidRPr="00420686">
        <w:rPr>
          <w:rFonts w:ascii="Book Antiqua" w:eastAsia="宋体" w:hAnsi="Book Antiqua" w:cs="宋体"/>
          <w:sz w:val="24"/>
          <w:szCs w:val="24"/>
        </w:rPr>
        <w:t xml:space="preserve">, Bodemer C, Rochat A, Hamel-Teillac D, Ali M, Irvine AD, Bonafé JL, Wilkinson J, Taïeb A, Barrandon Y, Harper JI, de Prost Y, Hovnanian A. Mutations in SPINK5, encoding a serine protease inhibitor, cause Netherton syndrome.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2000; </w:t>
      </w:r>
      <w:r w:rsidRPr="00420686">
        <w:rPr>
          <w:rFonts w:ascii="Book Antiqua" w:eastAsia="宋体" w:hAnsi="Book Antiqua" w:cs="宋体"/>
          <w:b/>
          <w:bCs/>
          <w:sz w:val="24"/>
          <w:szCs w:val="24"/>
        </w:rPr>
        <w:t>25</w:t>
      </w:r>
      <w:r w:rsidRPr="00420686">
        <w:rPr>
          <w:rFonts w:ascii="Book Antiqua" w:eastAsia="宋体" w:hAnsi="Book Antiqua" w:cs="宋体"/>
          <w:sz w:val="24"/>
          <w:szCs w:val="24"/>
        </w:rPr>
        <w:t>: 141-142 [PMID: 10835624]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108 </w:t>
      </w:r>
      <w:r w:rsidRPr="00420686">
        <w:rPr>
          <w:rFonts w:ascii="Book Antiqua" w:eastAsia="宋体" w:hAnsi="Book Antiqua" w:cs="宋体"/>
          <w:b/>
          <w:bCs/>
          <w:sz w:val="24"/>
          <w:szCs w:val="24"/>
        </w:rPr>
        <w:t>Tartaglia-Polcini A</w:t>
      </w:r>
      <w:r w:rsidRPr="00420686">
        <w:rPr>
          <w:rFonts w:ascii="Book Antiqua" w:eastAsia="宋体" w:hAnsi="Book Antiqua" w:cs="宋体"/>
          <w:sz w:val="24"/>
          <w:szCs w:val="24"/>
        </w:rPr>
        <w:t xml:space="preserve">, Bonnart C, Micheloni A, Cianfarani F, Andrè A, Zambruno G, Hovnanian A, D'Alessio M. SPINK5, the defective gene in netherton syndrome, encodes multiple LEKTI isoforms derived from alternative pre-mRNA processing.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315-324 [PMID: 16374478 DOI: 10.1038/sj.jid.5700015]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109 </w:t>
      </w:r>
      <w:r w:rsidRPr="00420686">
        <w:rPr>
          <w:rFonts w:ascii="Book Antiqua" w:eastAsia="宋体" w:hAnsi="Book Antiqua" w:cs="宋体"/>
          <w:b/>
          <w:bCs/>
          <w:sz w:val="24"/>
          <w:szCs w:val="24"/>
        </w:rPr>
        <w:t>Descargues P</w:t>
      </w:r>
      <w:r w:rsidRPr="00420686">
        <w:rPr>
          <w:rFonts w:ascii="Book Antiqua" w:eastAsia="宋体" w:hAnsi="Book Antiqua" w:cs="宋体"/>
          <w:sz w:val="24"/>
          <w:szCs w:val="24"/>
        </w:rPr>
        <w:t xml:space="preserve">, Deraison C, Prost C, Fraitag S, Mazereeuw-Hautier J, D'Alessio M, Ishida-Yamamoto A, Bodemer C, Zambruno G, Hovnanian A. Corneodesmosomal cadherins are preferential targets of stratum corneum trypsin- and chymotrypsin-like hyperactivity in Netherton syndrome.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1622-1632 [PMID: 16628198 DOI: 10.1038/sj.jid.5700284]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110 </w:t>
      </w:r>
      <w:r w:rsidRPr="00420686">
        <w:rPr>
          <w:rFonts w:ascii="Book Antiqua" w:eastAsia="宋体" w:hAnsi="Book Antiqua" w:cs="宋体"/>
          <w:b/>
          <w:bCs/>
          <w:sz w:val="24"/>
          <w:szCs w:val="24"/>
        </w:rPr>
        <w:t>Bonnart C</w:t>
      </w:r>
      <w:r w:rsidRPr="00420686">
        <w:rPr>
          <w:rFonts w:ascii="Book Antiqua" w:eastAsia="宋体" w:hAnsi="Book Antiqua" w:cs="宋体"/>
          <w:sz w:val="24"/>
          <w:szCs w:val="24"/>
        </w:rPr>
        <w:t xml:space="preserve">, Deraison C, Lacroix M, Uchida Y, Besson C, Robin A, Briot A, Gonthier M, Lamant L, Dubus P, Monsarrat B, Hovnanian A. Elastase 2 is expressed in human and mouse epidermis and impairs skin barrier function in Netherton syndrome through filaggrin and lipid misprocessing. </w:t>
      </w:r>
      <w:r w:rsidRPr="00420686">
        <w:rPr>
          <w:rFonts w:ascii="Book Antiqua" w:eastAsia="宋体" w:hAnsi="Book Antiqua" w:cs="宋体"/>
          <w:i/>
          <w:iCs/>
          <w:sz w:val="24"/>
          <w:szCs w:val="24"/>
        </w:rPr>
        <w:t>J Clin Invest</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120</w:t>
      </w:r>
      <w:r w:rsidRPr="00420686">
        <w:rPr>
          <w:rFonts w:ascii="Book Antiqua" w:eastAsia="宋体" w:hAnsi="Book Antiqua" w:cs="宋体"/>
          <w:sz w:val="24"/>
          <w:szCs w:val="24"/>
        </w:rPr>
        <w:t>: 871-882 [PMID: 20179351 DOI: 10.1172/jci41440]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111 </w:t>
      </w:r>
      <w:r w:rsidRPr="00420686">
        <w:rPr>
          <w:rFonts w:ascii="Book Antiqua" w:eastAsia="宋体" w:hAnsi="Book Antiqua" w:cs="宋体"/>
          <w:b/>
          <w:bCs/>
          <w:sz w:val="24"/>
          <w:szCs w:val="24"/>
        </w:rPr>
        <w:t>Hachem JP</w:t>
      </w:r>
      <w:r w:rsidRPr="00420686">
        <w:rPr>
          <w:rFonts w:ascii="Book Antiqua" w:eastAsia="宋体" w:hAnsi="Book Antiqua" w:cs="宋体"/>
          <w:sz w:val="24"/>
          <w:szCs w:val="24"/>
        </w:rPr>
        <w:t xml:space="preserve">, Wagberg F, Schmuth M, Crumrine D, Lissens W, Jayakumar A, Houben E, Mauro TM, Leonardsson G, Brattsand M, Egelrud T, Roseeuw D, Clayman GL, Feingold KR, Williams ML, Elias PM. Serine protease activity and residual LEKTI expression determine phenotype in Netherton syndrome.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1609-1621 [PMID: 16601670 DOI: 10.1038/sj.jid.5700288]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112 </w:t>
      </w:r>
      <w:r w:rsidRPr="00420686">
        <w:rPr>
          <w:rFonts w:ascii="Book Antiqua" w:eastAsia="宋体" w:hAnsi="Book Antiqua" w:cs="宋体"/>
          <w:b/>
          <w:bCs/>
          <w:sz w:val="24"/>
          <w:szCs w:val="24"/>
        </w:rPr>
        <w:t>Demerjian M</w:t>
      </w:r>
      <w:r w:rsidRPr="00420686">
        <w:rPr>
          <w:rFonts w:ascii="Book Antiqua" w:eastAsia="宋体" w:hAnsi="Book Antiqua" w:cs="宋体"/>
          <w:sz w:val="24"/>
          <w:szCs w:val="24"/>
        </w:rPr>
        <w:t xml:space="preserve">, Hachem JP, Tschachler E, Denecker G, Declercq W, Vandenabeele P, Mauro T, Hupe M, Crumrine D, Roelandt T, Houben E, Elias PM, Feingold KR. Acute modulations in permeability barrier function regulate epidermal cornification: role of caspase-14 and the protease-activated receptor type 2. </w:t>
      </w:r>
      <w:r w:rsidRPr="00420686">
        <w:rPr>
          <w:rFonts w:ascii="Book Antiqua" w:eastAsia="宋体" w:hAnsi="Book Antiqua" w:cs="宋体"/>
          <w:i/>
          <w:iCs/>
          <w:sz w:val="24"/>
          <w:szCs w:val="24"/>
        </w:rPr>
        <w:t>Am J Pathol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172</w:t>
      </w:r>
      <w:r w:rsidRPr="00420686">
        <w:rPr>
          <w:rFonts w:ascii="Book Antiqua" w:eastAsia="宋体" w:hAnsi="Book Antiqua" w:cs="宋体"/>
          <w:sz w:val="24"/>
          <w:szCs w:val="24"/>
        </w:rPr>
        <w:t>: 86-97 [PMID: 18156206 DOI: 10.2353/ajpath.2008.070161]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113 </w:t>
      </w:r>
      <w:r w:rsidRPr="00420686">
        <w:rPr>
          <w:rFonts w:ascii="Book Antiqua" w:eastAsia="宋体" w:hAnsi="Book Antiqua" w:cs="宋体"/>
          <w:b/>
          <w:bCs/>
          <w:sz w:val="24"/>
          <w:szCs w:val="24"/>
        </w:rPr>
        <w:t>Hachem JP</w:t>
      </w:r>
      <w:r w:rsidRPr="00420686">
        <w:rPr>
          <w:rFonts w:ascii="Book Antiqua" w:eastAsia="宋体" w:hAnsi="Book Antiqua" w:cs="宋体"/>
          <w:sz w:val="24"/>
          <w:szCs w:val="24"/>
        </w:rPr>
        <w:t xml:space="preserve">, Houben E, Crumrine D, Man MQ, Schurer N, Roelandt T, Choi EH, Uchida Y, Brown BE, Feingold KR, Elias PM. Serine protease signaling of epidermal permeability barrier homeostasis.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2074-2086 [PMID: 16691196 DOI: 10.1038/sj.jid.5700351]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114 </w:t>
      </w:r>
      <w:r w:rsidRPr="00420686">
        <w:rPr>
          <w:rFonts w:ascii="Book Antiqua" w:eastAsia="宋体" w:hAnsi="Book Antiqua" w:cs="宋体"/>
          <w:b/>
          <w:bCs/>
          <w:sz w:val="24"/>
          <w:szCs w:val="24"/>
        </w:rPr>
        <w:t>Stefansson K</w:t>
      </w:r>
      <w:r w:rsidRPr="00420686">
        <w:rPr>
          <w:rFonts w:ascii="Book Antiqua" w:eastAsia="宋体" w:hAnsi="Book Antiqua" w:cs="宋体"/>
          <w:sz w:val="24"/>
          <w:szCs w:val="24"/>
        </w:rPr>
        <w:t xml:space="preserve">, Brattsand M, Roosterman D, Kempkes C, Bocheva G, Steinhoff M, Egelrud T. Activation of proteinase-activated receptor-2 by human kallikrein-related peptidases.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18-25 [PMID: 17625593 DOI: 10.1038/sj.jid.5700965]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115 </w:t>
      </w:r>
      <w:r w:rsidRPr="00420686">
        <w:rPr>
          <w:rFonts w:ascii="Book Antiqua" w:eastAsia="宋体" w:hAnsi="Book Antiqua" w:cs="宋体"/>
          <w:b/>
          <w:bCs/>
          <w:sz w:val="24"/>
          <w:szCs w:val="24"/>
        </w:rPr>
        <w:t>Kato A</w:t>
      </w:r>
      <w:r w:rsidRPr="00420686">
        <w:rPr>
          <w:rFonts w:ascii="Book Antiqua" w:eastAsia="宋体" w:hAnsi="Book Antiqua" w:cs="宋体"/>
          <w:sz w:val="24"/>
          <w:szCs w:val="24"/>
        </w:rPr>
        <w:t xml:space="preserve">, Fukai K, Oiso N, Hosomi N, Murakami T, Ishii M. Association of SPINK5 gene polymorphisms with atopic dermatitis in the Japanese population.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148</w:t>
      </w:r>
      <w:r w:rsidRPr="00420686">
        <w:rPr>
          <w:rFonts w:ascii="Book Antiqua" w:eastAsia="宋体" w:hAnsi="Book Antiqua" w:cs="宋体"/>
          <w:sz w:val="24"/>
          <w:szCs w:val="24"/>
        </w:rPr>
        <w:t>: 665-669 [PMID: 12752122]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116 </w:t>
      </w:r>
      <w:r w:rsidRPr="00420686">
        <w:rPr>
          <w:rFonts w:ascii="Book Antiqua" w:eastAsia="宋体" w:hAnsi="Book Antiqua" w:cs="宋体"/>
          <w:b/>
          <w:bCs/>
          <w:sz w:val="24"/>
          <w:szCs w:val="24"/>
        </w:rPr>
        <w:t>Kusunoki T</w:t>
      </w:r>
      <w:r w:rsidRPr="00420686">
        <w:rPr>
          <w:rFonts w:ascii="Book Antiqua" w:eastAsia="宋体" w:hAnsi="Book Antiqua" w:cs="宋体"/>
          <w:sz w:val="24"/>
          <w:szCs w:val="24"/>
        </w:rPr>
        <w:t xml:space="preserve">, Okafuji I, Yoshioka T, Saito M, Nishikomori R, Heike T, Sugai M, Shimizu A, Nakahata T. SPINK5 polymorphism is associated with disease severity and food allergy in children with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115</w:t>
      </w:r>
      <w:r w:rsidRPr="00420686">
        <w:rPr>
          <w:rFonts w:ascii="Book Antiqua" w:eastAsia="宋体" w:hAnsi="Book Antiqua" w:cs="宋体"/>
          <w:sz w:val="24"/>
          <w:szCs w:val="24"/>
        </w:rPr>
        <w:t>: 636-638 [PMID: 15753919 DOI: 10.1016/j.jaci.2004.12.1114]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117 </w:t>
      </w:r>
      <w:r w:rsidRPr="00420686">
        <w:rPr>
          <w:rFonts w:ascii="Book Antiqua" w:eastAsia="宋体" w:hAnsi="Book Antiqua" w:cs="宋体"/>
          <w:b/>
          <w:bCs/>
          <w:sz w:val="24"/>
          <w:szCs w:val="24"/>
        </w:rPr>
        <w:t>Nishio Y</w:t>
      </w:r>
      <w:r w:rsidRPr="00420686">
        <w:rPr>
          <w:rFonts w:ascii="Book Antiqua" w:eastAsia="宋体" w:hAnsi="Book Antiqua" w:cs="宋体"/>
          <w:sz w:val="24"/>
          <w:szCs w:val="24"/>
        </w:rPr>
        <w:t xml:space="preserve">, Noguchi E, Shibasaki M, Kamioka M, Ichikawa E, Ichikawa K, Umebayashi Y, Otsuka F, Arinami T. Association between polymorphisms in the SPINK5 gene and atopic dermatitis in the Japanese. </w:t>
      </w:r>
      <w:r w:rsidRPr="00420686">
        <w:rPr>
          <w:rFonts w:ascii="Book Antiqua" w:eastAsia="宋体" w:hAnsi="Book Antiqua" w:cs="宋体"/>
          <w:i/>
          <w:iCs/>
          <w:sz w:val="24"/>
          <w:szCs w:val="24"/>
        </w:rPr>
        <w:t>Genes Immun</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4</w:t>
      </w:r>
      <w:r w:rsidRPr="00420686">
        <w:rPr>
          <w:rFonts w:ascii="Book Antiqua" w:eastAsia="宋体" w:hAnsi="Book Antiqua" w:cs="宋体"/>
          <w:sz w:val="24"/>
          <w:szCs w:val="24"/>
        </w:rPr>
        <w:t>: 515-517 [PMID: 14551605 DOI: 10.1038/sj.gene.6363889]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118 </w:t>
      </w:r>
      <w:r w:rsidRPr="00420686">
        <w:rPr>
          <w:rFonts w:ascii="Book Antiqua" w:eastAsia="宋体" w:hAnsi="Book Antiqua" w:cs="宋体"/>
          <w:b/>
          <w:bCs/>
          <w:sz w:val="24"/>
          <w:szCs w:val="24"/>
        </w:rPr>
        <w:t>Walley AJ</w:t>
      </w:r>
      <w:r w:rsidRPr="00420686">
        <w:rPr>
          <w:rFonts w:ascii="Book Antiqua" w:eastAsia="宋体" w:hAnsi="Book Antiqua" w:cs="宋体"/>
          <w:sz w:val="24"/>
          <w:szCs w:val="24"/>
        </w:rPr>
        <w:t xml:space="preserve">, Chavanas S, Moffatt MF, Esnouf RM, Ubhi B, Lawrence R, Wong K, Abecasis GR, Jones EY, Harper JI, Hovnanian A, Cookson WO. Gene polymorphism in Netherton and common atopic disease.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2001; </w:t>
      </w:r>
      <w:r w:rsidRPr="00420686">
        <w:rPr>
          <w:rFonts w:ascii="Book Antiqua" w:eastAsia="宋体" w:hAnsi="Book Antiqua" w:cs="宋体"/>
          <w:b/>
          <w:bCs/>
          <w:sz w:val="24"/>
          <w:szCs w:val="24"/>
        </w:rPr>
        <w:t>29</w:t>
      </w:r>
      <w:r w:rsidRPr="00420686">
        <w:rPr>
          <w:rFonts w:ascii="Book Antiqua" w:eastAsia="宋体" w:hAnsi="Book Antiqua" w:cs="宋体"/>
          <w:sz w:val="24"/>
          <w:szCs w:val="24"/>
        </w:rPr>
        <w:t>: 175-178 [PMID: 11544479 DOI: 10.1038/ng728]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119 </w:t>
      </w:r>
      <w:r w:rsidRPr="00420686">
        <w:rPr>
          <w:rFonts w:ascii="Book Antiqua" w:eastAsia="宋体" w:hAnsi="Book Antiqua" w:cs="宋体"/>
          <w:b/>
          <w:bCs/>
          <w:sz w:val="24"/>
          <w:szCs w:val="24"/>
        </w:rPr>
        <w:t>Zhao LP</w:t>
      </w:r>
      <w:r w:rsidRPr="00420686">
        <w:rPr>
          <w:rFonts w:ascii="Book Antiqua" w:eastAsia="宋体" w:hAnsi="Book Antiqua" w:cs="宋体"/>
          <w:sz w:val="24"/>
          <w:szCs w:val="24"/>
        </w:rPr>
        <w:t xml:space="preserve">, Di Z, Zhang L, Wang L, Ma L, Lv Y, Hong Y, Wei H, Chen HD, Gao XH. Association of SPINK5 gene polymorphisms with atopic dermatitis in Northeast China. </w:t>
      </w:r>
      <w:r w:rsidRPr="00420686">
        <w:rPr>
          <w:rFonts w:ascii="Book Antiqua" w:eastAsia="宋体" w:hAnsi="Book Antiqua" w:cs="宋体"/>
          <w:i/>
          <w:iCs/>
          <w:sz w:val="24"/>
          <w:szCs w:val="24"/>
        </w:rPr>
        <w:t>J Eur Acad Dermatol Venereol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26</w:t>
      </w:r>
      <w:r w:rsidRPr="00420686">
        <w:rPr>
          <w:rFonts w:ascii="Book Antiqua" w:eastAsia="宋体" w:hAnsi="Book Antiqua" w:cs="宋体"/>
          <w:sz w:val="24"/>
          <w:szCs w:val="24"/>
        </w:rPr>
        <w:t>: 572-577 [PMID: 21585560 DOI: 10.1111/j.1468-3083.2011.04120.x]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120 </w:t>
      </w:r>
      <w:r w:rsidRPr="00420686">
        <w:rPr>
          <w:rFonts w:ascii="Book Antiqua" w:eastAsia="宋体" w:hAnsi="Book Antiqua" w:cs="宋体"/>
          <w:b/>
          <w:bCs/>
          <w:sz w:val="24"/>
          <w:szCs w:val="24"/>
        </w:rPr>
        <w:t>Kabesch M</w:t>
      </w:r>
      <w:r w:rsidRPr="00420686">
        <w:rPr>
          <w:rFonts w:ascii="Book Antiqua" w:eastAsia="宋体" w:hAnsi="Book Antiqua" w:cs="宋体"/>
          <w:sz w:val="24"/>
          <w:szCs w:val="24"/>
        </w:rPr>
        <w:t xml:space="preserve">, Carr D, Weiland SK, von Mutius E. Association between polymorphisms in serine protease inhibitor, kazal type 5 and asthma phenotypes in a large German population sample. </w:t>
      </w:r>
      <w:r w:rsidRPr="00420686">
        <w:rPr>
          <w:rFonts w:ascii="Book Antiqua" w:eastAsia="宋体" w:hAnsi="Book Antiqua" w:cs="宋体"/>
          <w:i/>
          <w:iCs/>
          <w:sz w:val="24"/>
          <w:szCs w:val="24"/>
        </w:rPr>
        <w:t>Clin Exp Allergy</w:t>
      </w:r>
      <w:r w:rsidRPr="00420686">
        <w:rPr>
          <w:rFonts w:ascii="Book Antiqua" w:eastAsia="宋体" w:hAnsi="Book Antiqua" w:cs="宋体"/>
          <w:sz w:val="24"/>
          <w:szCs w:val="24"/>
        </w:rPr>
        <w:t xml:space="preserve"> 2004; </w:t>
      </w:r>
      <w:r w:rsidRPr="00420686">
        <w:rPr>
          <w:rFonts w:ascii="Book Antiqua" w:eastAsia="宋体" w:hAnsi="Book Antiqua" w:cs="宋体"/>
          <w:b/>
          <w:bCs/>
          <w:sz w:val="24"/>
          <w:szCs w:val="24"/>
        </w:rPr>
        <w:t>34</w:t>
      </w:r>
      <w:r w:rsidRPr="00420686">
        <w:rPr>
          <w:rFonts w:ascii="Book Antiqua" w:eastAsia="宋体" w:hAnsi="Book Antiqua" w:cs="宋体"/>
          <w:sz w:val="24"/>
          <w:szCs w:val="24"/>
        </w:rPr>
        <w:t>: 340-345 [PMID: 15005725]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121 </w:t>
      </w:r>
      <w:r w:rsidRPr="00420686">
        <w:rPr>
          <w:rFonts w:ascii="Book Antiqua" w:eastAsia="宋体" w:hAnsi="Book Antiqua" w:cs="宋体"/>
          <w:b/>
          <w:bCs/>
          <w:sz w:val="24"/>
          <w:szCs w:val="24"/>
        </w:rPr>
        <w:t>Fortugno P</w:t>
      </w:r>
      <w:r w:rsidRPr="00420686">
        <w:rPr>
          <w:rFonts w:ascii="Book Antiqua" w:eastAsia="宋体" w:hAnsi="Book Antiqua" w:cs="宋体"/>
          <w:sz w:val="24"/>
          <w:szCs w:val="24"/>
        </w:rPr>
        <w:t xml:space="preserve">, Furio L, Teson M, Berretti M, El Hachem M, Zambruno G, Hovnanian A, D'Alessio M. The 420K LEKTI variant alters LEKTI proteolytic activation and results in protease deregulation: implications for atopic dermatitis. </w:t>
      </w:r>
      <w:r w:rsidRPr="00420686">
        <w:rPr>
          <w:rFonts w:ascii="Book Antiqua" w:eastAsia="宋体" w:hAnsi="Book Antiqua" w:cs="宋体"/>
          <w:i/>
          <w:iCs/>
          <w:sz w:val="24"/>
          <w:szCs w:val="24"/>
        </w:rPr>
        <w:t>Hum Mol Genet</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21</w:t>
      </w:r>
      <w:r w:rsidRPr="00420686">
        <w:rPr>
          <w:rFonts w:ascii="Book Antiqua" w:eastAsia="宋体" w:hAnsi="Book Antiqua" w:cs="宋体"/>
          <w:sz w:val="24"/>
          <w:szCs w:val="24"/>
        </w:rPr>
        <w:t>: 4187-4200 [PMID: 22730493 DOI: 10.1093/hmg/dds243]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122 </w:t>
      </w:r>
      <w:r w:rsidRPr="00420686">
        <w:rPr>
          <w:rFonts w:ascii="Book Antiqua" w:eastAsia="宋体" w:hAnsi="Book Antiqua" w:cs="宋体"/>
          <w:b/>
          <w:bCs/>
          <w:sz w:val="24"/>
          <w:szCs w:val="24"/>
        </w:rPr>
        <w:t>Vasilopoulos Y</w:t>
      </w:r>
      <w:r w:rsidRPr="00420686">
        <w:rPr>
          <w:rFonts w:ascii="Book Antiqua" w:eastAsia="宋体" w:hAnsi="Book Antiqua" w:cs="宋体"/>
          <w:sz w:val="24"/>
          <w:szCs w:val="24"/>
        </w:rPr>
        <w:t xml:space="preserve">, Cork MJ, Teare D, Marinou I, Ward SJ, Duff GW, Tazi-Ahnini R. A nonsynonymous substitution of cystatin A, a cysteine protease inhibitor of house dust mite protease, leads to decreased mRNA stability and shows a significant association with atopic dermatitis.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62</w:t>
      </w:r>
      <w:r w:rsidRPr="00420686">
        <w:rPr>
          <w:rFonts w:ascii="Book Antiqua" w:eastAsia="宋体" w:hAnsi="Book Antiqua" w:cs="宋体"/>
          <w:sz w:val="24"/>
          <w:szCs w:val="24"/>
        </w:rPr>
        <w:t>: 514-519 [PMID: 17441792 DOI: 10.1111/j.1398-9995.2007.01350.x]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123 </w:t>
      </w:r>
      <w:r w:rsidRPr="00420686">
        <w:rPr>
          <w:rFonts w:ascii="Book Antiqua" w:eastAsia="宋体" w:hAnsi="Book Antiqua" w:cs="宋体"/>
          <w:b/>
          <w:bCs/>
          <w:sz w:val="24"/>
          <w:szCs w:val="24"/>
        </w:rPr>
        <w:t>Hubiche T</w:t>
      </w:r>
      <w:r w:rsidRPr="00420686">
        <w:rPr>
          <w:rFonts w:ascii="Book Antiqua" w:eastAsia="宋体" w:hAnsi="Book Antiqua" w:cs="宋体"/>
          <w:sz w:val="24"/>
          <w:szCs w:val="24"/>
        </w:rPr>
        <w:t xml:space="preserve">, Ged C, Benard A, Léauté-Labrèze C, McElreavey K, de Verneuil H, Taïeb A, Boralevi F. Analysis of SPINK 5, KLK 7 and FLG genotypes in a French atopic dermatitis cohort. </w:t>
      </w:r>
      <w:r w:rsidRPr="00420686">
        <w:rPr>
          <w:rFonts w:ascii="Book Antiqua" w:eastAsia="宋体" w:hAnsi="Book Antiqua" w:cs="宋体"/>
          <w:i/>
          <w:iCs/>
          <w:sz w:val="24"/>
          <w:szCs w:val="24"/>
        </w:rPr>
        <w:t>Acta Derm Venereol</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87</w:t>
      </w:r>
      <w:r w:rsidRPr="00420686">
        <w:rPr>
          <w:rFonts w:ascii="Book Antiqua" w:eastAsia="宋体" w:hAnsi="Book Antiqua" w:cs="宋体"/>
          <w:sz w:val="24"/>
          <w:szCs w:val="24"/>
        </w:rPr>
        <w:t>: 499-505 [PMID: 17989887 DOI: 10.2340/00015555-0329]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124 </w:t>
      </w:r>
      <w:r w:rsidRPr="00420686">
        <w:rPr>
          <w:rFonts w:ascii="Book Antiqua" w:eastAsia="宋体" w:hAnsi="Book Antiqua" w:cs="宋体"/>
          <w:b/>
          <w:bCs/>
          <w:sz w:val="24"/>
          <w:szCs w:val="24"/>
        </w:rPr>
        <w:t>Weidinger S</w:t>
      </w:r>
      <w:r w:rsidRPr="00420686">
        <w:rPr>
          <w:rFonts w:ascii="Book Antiqua" w:eastAsia="宋体" w:hAnsi="Book Antiqua" w:cs="宋体"/>
          <w:sz w:val="24"/>
          <w:szCs w:val="24"/>
        </w:rPr>
        <w:t xml:space="preserve">, Baurecht H, Wagenpfeil S, Henderson J, Novak N, Sandilands A, Chen H, Rodriguez E, O'Regan GM, Watson R, Liao H, Zhao Y, Barker JN, Allen M, Reynolds N, Meggitt S, Northstone K, Smith GD, Strobl C, Stahl C, Kneib T, Klopp N, Bieber T, Behrendt H, Palmer CN, Wichmann HE, Ring J, Illig T, McLean WH, Irvine AD. Analysis of the individual and aggregate genetic contributions of previously identified serine peptidase inhibitor Kazal type 5 (SPINK5), kallikrein-related peptidase 7 (KLK7), and filaggrin (FLG) polymorphisms to eczema risk.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122</w:t>
      </w:r>
      <w:r w:rsidRPr="00420686">
        <w:rPr>
          <w:rFonts w:ascii="Book Antiqua" w:eastAsia="宋体" w:hAnsi="Book Antiqua" w:cs="宋体"/>
          <w:sz w:val="24"/>
          <w:szCs w:val="24"/>
        </w:rPr>
        <w:t>: 560-568.e4 [PMID: 18774391 DOI: 10.1016/j.jaci.2008.05.050]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125 </w:t>
      </w:r>
      <w:r w:rsidRPr="00420686">
        <w:rPr>
          <w:rFonts w:ascii="Book Antiqua" w:eastAsia="宋体" w:hAnsi="Book Antiqua" w:cs="宋体"/>
          <w:b/>
          <w:bCs/>
          <w:sz w:val="24"/>
          <w:szCs w:val="24"/>
        </w:rPr>
        <w:t>Moniaga CS</w:t>
      </w:r>
      <w:r w:rsidRPr="00420686">
        <w:rPr>
          <w:rFonts w:ascii="Book Antiqua" w:eastAsia="宋体" w:hAnsi="Book Antiqua" w:cs="宋体"/>
          <w:sz w:val="24"/>
          <w:szCs w:val="24"/>
        </w:rPr>
        <w:t xml:space="preserve">, Kabashima K. Filaggrin in atopic dermatitis: flaky tail mice as a novel model for developing drug targets in atopic dermatitis. </w:t>
      </w:r>
      <w:r w:rsidRPr="00420686">
        <w:rPr>
          <w:rFonts w:ascii="Book Antiqua" w:eastAsia="宋体" w:hAnsi="Book Antiqua" w:cs="宋体"/>
          <w:i/>
          <w:iCs/>
          <w:sz w:val="24"/>
          <w:szCs w:val="24"/>
        </w:rPr>
        <w:t>Inflamm Allergy Drug Targets</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10</w:t>
      </w:r>
      <w:r w:rsidRPr="00420686">
        <w:rPr>
          <w:rFonts w:ascii="Book Antiqua" w:eastAsia="宋体" w:hAnsi="Book Antiqua" w:cs="宋体"/>
          <w:sz w:val="24"/>
          <w:szCs w:val="24"/>
        </w:rPr>
        <w:t>: 477-485 [PMID: 21999178]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126 </w:t>
      </w:r>
      <w:r w:rsidRPr="00420686">
        <w:rPr>
          <w:rFonts w:ascii="Book Antiqua" w:eastAsia="宋体" w:hAnsi="Book Antiqua" w:cs="宋体"/>
          <w:b/>
          <w:bCs/>
          <w:sz w:val="24"/>
          <w:szCs w:val="24"/>
        </w:rPr>
        <w:t>Fallon PG</w:t>
      </w:r>
      <w:r w:rsidRPr="00420686">
        <w:rPr>
          <w:rFonts w:ascii="Book Antiqua" w:eastAsia="宋体" w:hAnsi="Book Antiqua" w:cs="宋体"/>
          <w:sz w:val="24"/>
          <w:szCs w:val="24"/>
        </w:rPr>
        <w:t xml:space="preserve">, Sasaki T, Sandilands A, Campbell LE, Saunders SP, Mangan NE, Callanan JJ, Kawasaki H, Shiohama A, Kubo A, Sundberg JP, Presland RB, Fleckman P, Shimizu N, Kudoh J, Irvine AD, Amagai M, McLean WH. A homozygous frameshift mutation in the mouse Flg gene facilitates enhanced percutaneous allergen priming.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41</w:t>
      </w:r>
      <w:r w:rsidRPr="00420686">
        <w:rPr>
          <w:rFonts w:ascii="Book Antiqua" w:eastAsia="宋体" w:hAnsi="Book Antiqua" w:cs="宋体"/>
          <w:sz w:val="24"/>
          <w:szCs w:val="24"/>
        </w:rPr>
        <w:t>: 602-608 [PMID: 19349982 DOI: 10.1038/ng.358]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127 </w:t>
      </w:r>
      <w:r w:rsidRPr="00420686">
        <w:rPr>
          <w:rFonts w:ascii="Book Antiqua" w:eastAsia="宋体" w:hAnsi="Book Antiqua" w:cs="宋体"/>
          <w:b/>
          <w:bCs/>
          <w:sz w:val="24"/>
          <w:szCs w:val="24"/>
        </w:rPr>
        <w:t>Visser MJ</w:t>
      </w:r>
      <w:r w:rsidRPr="00420686">
        <w:rPr>
          <w:rFonts w:ascii="Book Antiqua" w:eastAsia="宋体" w:hAnsi="Book Antiqua" w:cs="宋体"/>
          <w:sz w:val="24"/>
          <w:szCs w:val="24"/>
        </w:rPr>
        <w:t xml:space="preserve">, Landeck L, Campbell LE, McLean WH, Weidinger S, Calkoen F, John SM, Kezic S. Impact of atopic dermatitis and loss-of-function mutations in the filaggrin gene on the development of occupational irritant contact dermatitis.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168</w:t>
      </w:r>
      <w:r w:rsidRPr="00420686">
        <w:rPr>
          <w:rFonts w:ascii="Book Antiqua" w:eastAsia="宋体" w:hAnsi="Book Antiqua" w:cs="宋体"/>
          <w:sz w:val="24"/>
          <w:szCs w:val="24"/>
        </w:rPr>
        <w:t>: 326-332 [PMID: 23039796 DOI: 10.1111/bjd.12083]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128 </w:t>
      </w:r>
      <w:r w:rsidRPr="00420686">
        <w:rPr>
          <w:rFonts w:ascii="Book Antiqua" w:eastAsia="宋体" w:hAnsi="Book Antiqua" w:cs="宋体"/>
          <w:b/>
          <w:bCs/>
          <w:sz w:val="24"/>
          <w:szCs w:val="24"/>
        </w:rPr>
        <w:t>McPherson T</w:t>
      </w:r>
      <w:r w:rsidRPr="00420686">
        <w:rPr>
          <w:rFonts w:ascii="Book Antiqua" w:eastAsia="宋体" w:hAnsi="Book Antiqua" w:cs="宋体"/>
          <w:sz w:val="24"/>
          <w:szCs w:val="24"/>
        </w:rPr>
        <w:t xml:space="preserve">, Sherman VJ, Aslam A, Crack L, Chan H, Lloyd-Lavery A, Jones L, Ardern-Jones M, Ogg G. Filaggrin null mutations associate with increased frequencies of allergen-specific CD4+ T-helper 2 cells in patients with atopic eczema.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163</w:t>
      </w:r>
      <w:r w:rsidRPr="00420686">
        <w:rPr>
          <w:rFonts w:ascii="Book Antiqua" w:eastAsia="宋体" w:hAnsi="Book Antiqua" w:cs="宋体"/>
          <w:sz w:val="24"/>
          <w:szCs w:val="24"/>
        </w:rPr>
        <w:t>: 544-549 [PMID: 20500796 DOI: 10.1111/j.1365-2133.2010.09866.x]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129 </w:t>
      </w:r>
      <w:r w:rsidRPr="00420686">
        <w:rPr>
          <w:rFonts w:ascii="Book Antiqua" w:eastAsia="宋体" w:hAnsi="Book Antiqua" w:cs="宋体"/>
          <w:b/>
          <w:bCs/>
          <w:sz w:val="24"/>
          <w:szCs w:val="24"/>
        </w:rPr>
        <w:t>Nylander-Lundqvist E</w:t>
      </w:r>
      <w:r w:rsidRPr="00420686">
        <w:rPr>
          <w:rFonts w:ascii="Book Antiqua" w:eastAsia="宋体" w:hAnsi="Book Antiqua" w:cs="宋体"/>
          <w:sz w:val="24"/>
          <w:szCs w:val="24"/>
        </w:rPr>
        <w:t xml:space="preserve">, Bäck O, Egelrud T. IL-1 beta activation in human epidermis. </w:t>
      </w:r>
      <w:r w:rsidRPr="00420686">
        <w:rPr>
          <w:rFonts w:ascii="Book Antiqua" w:eastAsia="宋体" w:hAnsi="Book Antiqua" w:cs="宋体"/>
          <w:i/>
          <w:iCs/>
          <w:sz w:val="24"/>
          <w:szCs w:val="24"/>
        </w:rPr>
        <w:t>J Immunol</w:t>
      </w:r>
      <w:r w:rsidRPr="00420686">
        <w:rPr>
          <w:rFonts w:ascii="Book Antiqua" w:eastAsia="宋体" w:hAnsi="Book Antiqua" w:cs="宋体"/>
          <w:sz w:val="24"/>
          <w:szCs w:val="24"/>
        </w:rPr>
        <w:t xml:space="preserve"> 1996; </w:t>
      </w:r>
      <w:r w:rsidRPr="00420686">
        <w:rPr>
          <w:rFonts w:ascii="Book Antiqua" w:eastAsia="宋体" w:hAnsi="Book Antiqua" w:cs="宋体"/>
          <w:b/>
          <w:bCs/>
          <w:sz w:val="24"/>
          <w:szCs w:val="24"/>
        </w:rPr>
        <w:t>157</w:t>
      </w:r>
      <w:r w:rsidRPr="00420686">
        <w:rPr>
          <w:rFonts w:ascii="Book Antiqua" w:eastAsia="宋体" w:hAnsi="Book Antiqua" w:cs="宋体"/>
          <w:sz w:val="24"/>
          <w:szCs w:val="24"/>
        </w:rPr>
        <w:t>: 1699-1704 [PMID: 8759758]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130 </w:t>
      </w:r>
      <w:r w:rsidRPr="00420686">
        <w:rPr>
          <w:rFonts w:ascii="Book Antiqua" w:eastAsia="宋体" w:hAnsi="Book Antiqua" w:cs="宋体"/>
          <w:b/>
          <w:bCs/>
          <w:sz w:val="24"/>
          <w:szCs w:val="24"/>
        </w:rPr>
        <w:t>Stehlik C</w:t>
      </w:r>
      <w:r w:rsidRPr="00420686">
        <w:rPr>
          <w:rFonts w:ascii="Book Antiqua" w:eastAsia="宋体" w:hAnsi="Book Antiqua" w:cs="宋体"/>
          <w:sz w:val="24"/>
          <w:szCs w:val="24"/>
        </w:rPr>
        <w:t xml:space="preserve">. Multiple interleukin-1beta-converting enzymes contribute to inflammatory arthritis. </w:t>
      </w:r>
      <w:r w:rsidRPr="00420686">
        <w:rPr>
          <w:rFonts w:ascii="Book Antiqua" w:eastAsia="宋体" w:hAnsi="Book Antiqua" w:cs="宋体"/>
          <w:i/>
          <w:iCs/>
          <w:sz w:val="24"/>
          <w:szCs w:val="24"/>
        </w:rPr>
        <w:t>Arthritis Rheum</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60</w:t>
      </w:r>
      <w:r w:rsidRPr="00420686">
        <w:rPr>
          <w:rFonts w:ascii="Book Antiqua" w:eastAsia="宋体" w:hAnsi="Book Antiqua" w:cs="宋体"/>
          <w:sz w:val="24"/>
          <w:szCs w:val="24"/>
        </w:rPr>
        <w:t>: 3524-3530 [PMID: 19950297 DOI: 10.1002/art.24961]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131 </w:t>
      </w:r>
      <w:r w:rsidRPr="00420686">
        <w:rPr>
          <w:rFonts w:ascii="Book Antiqua" w:eastAsia="宋体" w:hAnsi="Book Antiqua" w:cs="宋体"/>
          <w:b/>
          <w:bCs/>
          <w:sz w:val="24"/>
          <w:szCs w:val="24"/>
        </w:rPr>
        <w:t>Briot A</w:t>
      </w:r>
      <w:r w:rsidRPr="00420686">
        <w:rPr>
          <w:rFonts w:ascii="Book Antiqua" w:eastAsia="宋体" w:hAnsi="Book Antiqua" w:cs="宋体"/>
          <w:sz w:val="24"/>
          <w:szCs w:val="24"/>
        </w:rPr>
        <w:t xml:space="preserve">, Deraison C, Lacroix M, Bonnart C, Robin A, Besson C, Dubus P, Hovnanian A. Kallikrein 5 induces atopic dermatitis-like lesions through PAR2-mediated thymic stromal lymphopoietin expression in Netherton syndrome. </w:t>
      </w:r>
      <w:r w:rsidRPr="00420686">
        <w:rPr>
          <w:rFonts w:ascii="Book Antiqua" w:eastAsia="宋体" w:hAnsi="Book Antiqua" w:cs="宋体"/>
          <w:i/>
          <w:iCs/>
          <w:sz w:val="24"/>
          <w:szCs w:val="24"/>
        </w:rPr>
        <w:t>J Exp Med</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206</w:t>
      </w:r>
      <w:r w:rsidRPr="00420686">
        <w:rPr>
          <w:rFonts w:ascii="Book Antiqua" w:eastAsia="宋体" w:hAnsi="Book Antiqua" w:cs="宋体"/>
          <w:sz w:val="24"/>
          <w:szCs w:val="24"/>
        </w:rPr>
        <w:t>: 1135-1147 [PMID: 19414552 DOI: 10.1084/jem.20082242]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132</w:t>
      </w:r>
      <w:r w:rsidRPr="00420686">
        <w:rPr>
          <w:rFonts w:ascii="Book Antiqua" w:eastAsia="宋体" w:hAnsi="Book Antiqua" w:cs="宋体"/>
          <w:sz w:val="24"/>
          <w:szCs w:val="24"/>
        </w:rPr>
        <w:tab/>
      </w:r>
      <w:r w:rsidRPr="00420686">
        <w:rPr>
          <w:rFonts w:ascii="Book Antiqua" w:eastAsia="宋体" w:hAnsi="Book Antiqua" w:cs="宋体"/>
          <w:b/>
          <w:sz w:val="24"/>
          <w:szCs w:val="24"/>
        </w:rPr>
        <w:t>Moniaga CS,</w:t>
      </w:r>
      <w:r w:rsidRPr="00420686">
        <w:rPr>
          <w:rFonts w:ascii="Book Antiqua" w:eastAsia="宋体" w:hAnsi="Book Antiqua" w:cs="宋体"/>
          <w:sz w:val="24"/>
          <w:szCs w:val="24"/>
        </w:rPr>
        <w:t xml:space="preserve"> Jeong SK, Egawa G, Nakajima S, Hara-Chikuma M, Jeon JE, Lee SH, Hibino T, Miyachi Y, Kabashima K. Protease Activity Enhances Production of Thymic Stromal Lymphopoietin and Basophil Accumulation in Flaky Tail Mice. </w:t>
      </w:r>
      <w:r w:rsidRPr="00420686">
        <w:rPr>
          <w:rFonts w:ascii="Book Antiqua" w:eastAsia="宋体" w:hAnsi="Book Antiqua" w:cs="宋体"/>
          <w:i/>
          <w:sz w:val="24"/>
          <w:szCs w:val="24"/>
        </w:rPr>
        <w:t>Am J Pathol</w:t>
      </w:r>
      <w:r w:rsidRPr="00420686">
        <w:rPr>
          <w:rFonts w:ascii="Book Antiqua" w:eastAsia="宋体" w:hAnsi="Book Antiqua" w:cs="宋体"/>
          <w:sz w:val="24"/>
          <w:szCs w:val="24"/>
        </w:rPr>
        <w:t xml:space="preserve"> 2013; </w:t>
      </w:r>
      <w:r w:rsidRPr="00420686">
        <w:rPr>
          <w:rFonts w:ascii="Book Antiqua" w:eastAsia="宋体" w:hAnsi="Book Antiqua" w:cs="宋体"/>
          <w:b/>
          <w:sz w:val="24"/>
          <w:szCs w:val="24"/>
        </w:rPr>
        <w:t>182</w:t>
      </w:r>
      <w:r w:rsidRPr="00420686">
        <w:rPr>
          <w:rFonts w:ascii="Book Antiqua" w:eastAsia="宋体" w:hAnsi="Book Antiqua" w:cs="宋体"/>
          <w:sz w:val="24"/>
          <w:szCs w:val="24"/>
        </w:rPr>
        <w:t>: 841-851 [PMID: 23333753 DOI: 10.1016/j.ajpath.2012.11.039]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133 </w:t>
      </w:r>
      <w:r w:rsidRPr="00420686">
        <w:rPr>
          <w:rFonts w:ascii="Book Antiqua" w:eastAsia="宋体" w:hAnsi="Book Antiqua" w:cs="宋体"/>
          <w:b/>
          <w:bCs/>
          <w:sz w:val="24"/>
          <w:szCs w:val="24"/>
        </w:rPr>
        <w:t>Kypriotou M</w:t>
      </w:r>
      <w:r w:rsidRPr="00420686">
        <w:rPr>
          <w:rFonts w:ascii="Book Antiqua" w:eastAsia="宋体" w:hAnsi="Book Antiqua" w:cs="宋体"/>
          <w:sz w:val="24"/>
          <w:szCs w:val="24"/>
        </w:rPr>
        <w:t xml:space="preserve">, Boéchat C, Huber M, Hohl D. Spontaneous atopic dermatitis-like symptoms in a/a ma ft/ma ft/J flaky tail mice appear early after birth. </w:t>
      </w:r>
      <w:r w:rsidRPr="00420686">
        <w:rPr>
          <w:rFonts w:ascii="Book Antiqua" w:eastAsia="宋体" w:hAnsi="Book Antiqua" w:cs="宋体"/>
          <w:i/>
          <w:iCs/>
          <w:sz w:val="24"/>
          <w:szCs w:val="24"/>
        </w:rPr>
        <w:t>PLoS One</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8</w:t>
      </w:r>
      <w:r w:rsidRPr="00420686">
        <w:rPr>
          <w:rFonts w:ascii="Book Antiqua" w:eastAsia="宋体" w:hAnsi="Book Antiqua" w:cs="宋体"/>
          <w:sz w:val="24"/>
          <w:szCs w:val="24"/>
        </w:rPr>
        <w:t>: e67869 [PMID: 23844115 DOI: 10.1371/journal.pone.0067869]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134 </w:t>
      </w:r>
      <w:r w:rsidRPr="00420686">
        <w:rPr>
          <w:rFonts w:ascii="Book Antiqua" w:eastAsia="宋体" w:hAnsi="Book Antiqua" w:cs="宋体"/>
          <w:b/>
          <w:bCs/>
          <w:sz w:val="24"/>
          <w:szCs w:val="24"/>
        </w:rPr>
        <w:t>Lee KH</w:t>
      </w:r>
      <w:r w:rsidRPr="00420686">
        <w:rPr>
          <w:rFonts w:ascii="Book Antiqua" w:eastAsia="宋体" w:hAnsi="Book Antiqua" w:cs="宋体"/>
          <w:sz w:val="24"/>
          <w:szCs w:val="24"/>
        </w:rPr>
        <w:t xml:space="preserve">, Cho KA, Kim JY, Kim JY, Baek JH, Woo SY, Kim JW. Filaggrin knockdown and Toll-like receptor 3 (TLR3) stimulation enhanced the production of thymic stromal lymphopoietin (TSLP) from epidermal layers.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20</w:t>
      </w:r>
      <w:r w:rsidRPr="00420686">
        <w:rPr>
          <w:rFonts w:ascii="Book Antiqua" w:eastAsia="宋体" w:hAnsi="Book Antiqua" w:cs="宋体"/>
          <w:sz w:val="24"/>
          <w:szCs w:val="24"/>
        </w:rPr>
        <w:t>: 149-151 [PMID: 21255094 DOI: 10.1111/j.1600-0625.2010.01203.x]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135 </w:t>
      </w:r>
      <w:r w:rsidRPr="00420686">
        <w:rPr>
          <w:rFonts w:ascii="Book Antiqua" w:eastAsia="宋体" w:hAnsi="Book Antiqua" w:cs="宋体"/>
          <w:b/>
          <w:bCs/>
          <w:sz w:val="24"/>
          <w:szCs w:val="24"/>
        </w:rPr>
        <w:t>Thyssen JP</w:t>
      </w:r>
      <w:r w:rsidRPr="00420686">
        <w:rPr>
          <w:rFonts w:ascii="Book Antiqua" w:eastAsia="宋体" w:hAnsi="Book Antiqua" w:cs="宋体"/>
          <w:sz w:val="24"/>
          <w:szCs w:val="24"/>
        </w:rPr>
        <w:t xml:space="preserve">, Kezic S. Causes of epidermal filaggrin reduction and their role in the pathogenesis of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134</w:t>
      </w:r>
      <w:r w:rsidRPr="00420686">
        <w:rPr>
          <w:rFonts w:ascii="Book Antiqua" w:eastAsia="宋体" w:hAnsi="Book Antiqua" w:cs="宋体"/>
          <w:sz w:val="24"/>
          <w:szCs w:val="24"/>
        </w:rPr>
        <w:t>: 792-799 [PMID: 25065719 DOI: 10.1016/j.jaci.2014.06.014]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136 </w:t>
      </w:r>
      <w:r w:rsidRPr="00420686">
        <w:rPr>
          <w:rFonts w:ascii="Book Antiqua" w:eastAsia="宋体" w:hAnsi="Book Antiqua" w:cs="宋体"/>
          <w:b/>
          <w:bCs/>
          <w:sz w:val="24"/>
          <w:szCs w:val="24"/>
        </w:rPr>
        <w:t>Hudson TJ</w:t>
      </w:r>
      <w:r w:rsidRPr="00420686">
        <w:rPr>
          <w:rFonts w:ascii="Book Antiqua" w:eastAsia="宋体" w:hAnsi="Book Antiqua" w:cs="宋体"/>
          <w:sz w:val="24"/>
          <w:szCs w:val="24"/>
        </w:rPr>
        <w:t xml:space="preserve">. Skin barrier function and allergic risk. </w:t>
      </w:r>
      <w:r w:rsidRPr="00420686">
        <w:rPr>
          <w:rFonts w:ascii="Book Antiqua" w:eastAsia="宋体" w:hAnsi="Book Antiqua" w:cs="宋体"/>
          <w:i/>
          <w:iCs/>
          <w:sz w:val="24"/>
          <w:szCs w:val="24"/>
        </w:rPr>
        <w:t>Nat Genet</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38</w:t>
      </w:r>
      <w:r w:rsidRPr="00420686">
        <w:rPr>
          <w:rFonts w:ascii="Book Antiqua" w:eastAsia="宋体" w:hAnsi="Book Antiqua" w:cs="宋体"/>
          <w:sz w:val="24"/>
          <w:szCs w:val="24"/>
        </w:rPr>
        <w:t>: 399-400 [PMID: 16570058]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137 </w:t>
      </w:r>
      <w:r w:rsidRPr="00420686">
        <w:rPr>
          <w:rFonts w:ascii="Book Antiqua" w:eastAsia="宋体" w:hAnsi="Book Antiqua" w:cs="宋体"/>
          <w:b/>
          <w:bCs/>
          <w:sz w:val="24"/>
          <w:szCs w:val="24"/>
        </w:rPr>
        <w:t>Irvine AD</w:t>
      </w:r>
      <w:r w:rsidRPr="00420686">
        <w:rPr>
          <w:rFonts w:ascii="Book Antiqua" w:eastAsia="宋体" w:hAnsi="Book Antiqua" w:cs="宋体"/>
          <w:sz w:val="24"/>
          <w:szCs w:val="24"/>
        </w:rPr>
        <w:t xml:space="preserve">, McLean WH. Breaking the (un)sound barrier: filaggrin is a major gene for atopic dermatitis.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1200-1202 [PMID: 16702964]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138 </w:t>
      </w:r>
      <w:r w:rsidRPr="00420686">
        <w:rPr>
          <w:rFonts w:ascii="Book Antiqua" w:eastAsia="宋体" w:hAnsi="Book Antiqua" w:cs="宋体"/>
          <w:b/>
          <w:sz w:val="24"/>
          <w:szCs w:val="24"/>
        </w:rPr>
        <w:t>McLean WH,</w:t>
      </w:r>
      <w:r w:rsidRPr="00420686">
        <w:rPr>
          <w:rFonts w:ascii="Book Antiqua" w:eastAsia="宋体" w:hAnsi="Book Antiqua" w:cs="宋体"/>
          <w:sz w:val="24"/>
          <w:szCs w:val="24"/>
        </w:rPr>
        <w:t xml:space="preserve"> Hull PR. Breach delivery: increased solute uptake points to a defective skin barrier in atopic dermatitis. </w:t>
      </w:r>
      <w:r w:rsidRPr="00420686">
        <w:rPr>
          <w:rFonts w:ascii="Book Antiqua" w:eastAsia="宋体" w:hAnsi="Book Antiqua" w:cs="宋体"/>
          <w:i/>
          <w:sz w:val="24"/>
          <w:szCs w:val="24"/>
        </w:rPr>
        <w:t>J Invest Dermatol</w:t>
      </w:r>
      <w:r w:rsidRPr="00420686">
        <w:rPr>
          <w:rFonts w:ascii="Book Antiqua" w:eastAsia="宋体" w:hAnsi="Book Antiqua" w:cs="宋体"/>
          <w:sz w:val="24"/>
          <w:szCs w:val="24"/>
        </w:rPr>
        <w:t xml:space="preserve"> 2007; </w:t>
      </w:r>
      <w:r w:rsidRPr="00420686">
        <w:rPr>
          <w:rFonts w:ascii="Book Antiqua" w:eastAsia="宋体" w:hAnsi="Book Antiqua" w:cs="宋体"/>
          <w:b/>
          <w:sz w:val="24"/>
          <w:szCs w:val="24"/>
        </w:rPr>
        <w:t>127</w:t>
      </w:r>
      <w:r w:rsidRPr="00420686">
        <w:rPr>
          <w:rFonts w:ascii="Book Antiqua" w:eastAsia="宋体" w:hAnsi="Book Antiqua" w:cs="宋体"/>
          <w:sz w:val="24"/>
          <w:szCs w:val="24"/>
        </w:rPr>
        <w:t>: 8-10 [PMID: 17170718 DOI: 10.1038/sj.jid.5700609]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139 </w:t>
      </w:r>
      <w:r w:rsidRPr="00420686">
        <w:rPr>
          <w:rFonts w:ascii="Book Antiqua" w:eastAsia="宋体" w:hAnsi="Book Antiqua" w:cs="宋体"/>
          <w:b/>
          <w:bCs/>
          <w:sz w:val="24"/>
          <w:szCs w:val="24"/>
        </w:rPr>
        <w:t>Elias PM</w:t>
      </w:r>
      <w:r w:rsidRPr="00420686">
        <w:rPr>
          <w:rFonts w:ascii="Book Antiqua" w:eastAsia="宋体" w:hAnsi="Book Antiqua" w:cs="宋体"/>
          <w:sz w:val="24"/>
          <w:szCs w:val="24"/>
        </w:rPr>
        <w:t xml:space="preserve">, Schmuth M. Abnormal skin barrier in the etiopathogenesis of atopic dermatitis. </w:t>
      </w:r>
      <w:r w:rsidRPr="00420686">
        <w:rPr>
          <w:rFonts w:ascii="Book Antiqua" w:eastAsia="宋体" w:hAnsi="Book Antiqua" w:cs="宋体"/>
          <w:i/>
          <w:iCs/>
          <w:sz w:val="24"/>
          <w:szCs w:val="24"/>
        </w:rPr>
        <w:t>Curr Opin Allergy Clin Immunol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9</w:t>
      </w:r>
      <w:r w:rsidRPr="00420686">
        <w:rPr>
          <w:rFonts w:ascii="Book Antiqua" w:eastAsia="宋体" w:hAnsi="Book Antiqua" w:cs="宋体"/>
          <w:sz w:val="24"/>
          <w:szCs w:val="24"/>
        </w:rPr>
        <w:t>: 437-446 [PMID: 19550302 DOI: 10.1097/ACI.0b013e32832e7d36]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140 </w:t>
      </w:r>
      <w:r w:rsidRPr="00420686">
        <w:rPr>
          <w:rFonts w:ascii="Book Antiqua" w:eastAsia="宋体" w:hAnsi="Book Antiqua" w:cs="宋体"/>
          <w:b/>
          <w:bCs/>
          <w:sz w:val="24"/>
          <w:szCs w:val="24"/>
        </w:rPr>
        <w:t>Gutowska-Owsiak D</w:t>
      </w:r>
      <w:r w:rsidRPr="00420686">
        <w:rPr>
          <w:rFonts w:ascii="Book Antiqua" w:eastAsia="宋体" w:hAnsi="Book Antiqua" w:cs="宋体"/>
          <w:sz w:val="24"/>
          <w:szCs w:val="24"/>
        </w:rPr>
        <w:t xml:space="preserve">, Schaupp AL, Salimi M, Taylor S, Ogg GS. Interleukin-22 downregulates filaggrin expression and affects expression of profilaggrin processing enzymes.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165</w:t>
      </w:r>
      <w:r w:rsidRPr="00420686">
        <w:rPr>
          <w:rFonts w:ascii="Book Antiqua" w:eastAsia="宋体" w:hAnsi="Book Antiqua" w:cs="宋体"/>
          <w:sz w:val="24"/>
          <w:szCs w:val="24"/>
        </w:rPr>
        <w:t>: 492-498 [PMID: 21564072 DOI: 10.1111/j.1365-2133.2011.10400.x]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141 </w:t>
      </w:r>
      <w:r w:rsidRPr="00420686">
        <w:rPr>
          <w:rFonts w:ascii="Book Antiqua" w:eastAsia="宋体" w:hAnsi="Book Antiqua" w:cs="宋体"/>
          <w:b/>
          <w:bCs/>
          <w:sz w:val="24"/>
          <w:szCs w:val="24"/>
        </w:rPr>
        <w:t>Hvid M</w:t>
      </w:r>
      <w:r w:rsidRPr="00420686">
        <w:rPr>
          <w:rFonts w:ascii="Book Antiqua" w:eastAsia="宋体" w:hAnsi="Book Antiqua" w:cs="宋体"/>
          <w:sz w:val="24"/>
          <w:szCs w:val="24"/>
        </w:rPr>
        <w:t xml:space="preserve">, Johansen C, Deleuran B, Kemp K, Deleuran M, Vestergaard C. Regulation of caspase 14 expression in keratinocytes by inflammatory cytokines--a possible link between reduced skin barrier function and inflammation?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20</w:t>
      </w:r>
      <w:r w:rsidRPr="00420686">
        <w:rPr>
          <w:rFonts w:ascii="Book Antiqua" w:eastAsia="宋体" w:hAnsi="Book Antiqua" w:cs="宋体"/>
          <w:sz w:val="24"/>
          <w:szCs w:val="24"/>
        </w:rPr>
        <w:t>: 633-636 [PMID: 21539619 DOI: 10.1111/j.1600-0625.2011.01280.x]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142 </w:t>
      </w:r>
      <w:r w:rsidRPr="00420686">
        <w:rPr>
          <w:rFonts w:ascii="Book Antiqua" w:eastAsia="宋体" w:hAnsi="Book Antiqua" w:cs="宋体"/>
          <w:b/>
          <w:bCs/>
          <w:sz w:val="24"/>
          <w:szCs w:val="24"/>
        </w:rPr>
        <w:t>Howell MD</w:t>
      </w:r>
      <w:r w:rsidRPr="00420686">
        <w:rPr>
          <w:rFonts w:ascii="Book Antiqua" w:eastAsia="宋体" w:hAnsi="Book Antiqua" w:cs="宋体"/>
          <w:sz w:val="24"/>
          <w:szCs w:val="24"/>
        </w:rPr>
        <w:t xml:space="preserve">, Boguniewicz M, Pastore S, Novak N, Bieber T, Girolomoni G, Leung DY. Mechanism of HBD-3 deficiency in atopic dermatitis. </w:t>
      </w:r>
      <w:r w:rsidRPr="00420686">
        <w:rPr>
          <w:rFonts w:ascii="Book Antiqua" w:eastAsia="宋体" w:hAnsi="Book Antiqua" w:cs="宋体"/>
          <w:i/>
          <w:iCs/>
          <w:sz w:val="24"/>
          <w:szCs w:val="24"/>
        </w:rPr>
        <w:t>Clin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121</w:t>
      </w:r>
      <w:r w:rsidRPr="00420686">
        <w:rPr>
          <w:rFonts w:ascii="Book Antiqua" w:eastAsia="宋体" w:hAnsi="Book Antiqua" w:cs="宋体"/>
          <w:sz w:val="24"/>
          <w:szCs w:val="24"/>
        </w:rPr>
        <w:t>: 332-338 [PMID: 17015038 DOI: 10.1016/j.clim.2006.08.008]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143 </w:t>
      </w:r>
      <w:r w:rsidRPr="00420686">
        <w:rPr>
          <w:rFonts w:ascii="Book Antiqua" w:eastAsia="宋体" w:hAnsi="Book Antiqua" w:cs="宋体"/>
          <w:b/>
          <w:bCs/>
          <w:sz w:val="24"/>
          <w:szCs w:val="24"/>
        </w:rPr>
        <w:t>Howell MD</w:t>
      </w:r>
      <w:r w:rsidRPr="00420686">
        <w:rPr>
          <w:rFonts w:ascii="Book Antiqua" w:eastAsia="宋体" w:hAnsi="Book Antiqua" w:cs="宋体"/>
          <w:sz w:val="24"/>
          <w:szCs w:val="24"/>
        </w:rPr>
        <w:t xml:space="preserve">, Gallo RL, Boguniewicz M, Jones JF, Wong C, Streib JE, Leung DY. Cytokine milieu of atopic dermatitis skin subverts the innate immune response to vaccinia virus. </w:t>
      </w:r>
      <w:r w:rsidRPr="00420686">
        <w:rPr>
          <w:rFonts w:ascii="Book Antiqua" w:eastAsia="宋体" w:hAnsi="Book Antiqua" w:cs="宋体"/>
          <w:i/>
          <w:iCs/>
          <w:sz w:val="24"/>
          <w:szCs w:val="24"/>
        </w:rPr>
        <w:t>Immunity</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24</w:t>
      </w:r>
      <w:r w:rsidRPr="00420686">
        <w:rPr>
          <w:rFonts w:ascii="Book Antiqua" w:eastAsia="宋体" w:hAnsi="Book Antiqua" w:cs="宋体"/>
          <w:sz w:val="24"/>
          <w:szCs w:val="24"/>
        </w:rPr>
        <w:t>: 341-348 [PMID: 16546102 DOI: 10.1016/j.immuni.2006.02.006]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144 </w:t>
      </w:r>
      <w:r w:rsidRPr="00420686">
        <w:rPr>
          <w:rFonts w:ascii="Book Antiqua" w:eastAsia="宋体" w:hAnsi="Book Antiqua" w:cs="宋体"/>
          <w:b/>
          <w:bCs/>
          <w:sz w:val="24"/>
          <w:szCs w:val="24"/>
        </w:rPr>
        <w:t>Kisich KO</w:t>
      </w:r>
      <w:r w:rsidRPr="00420686">
        <w:rPr>
          <w:rFonts w:ascii="Book Antiqua" w:eastAsia="宋体" w:hAnsi="Book Antiqua" w:cs="宋体"/>
          <w:sz w:val="24"/>
          <w:szCs w:val="24"/>
        </w:rPr>
        <w:t xml:space="preserve">, Carspecken CW, Fiéve S, Boguniewicz M, Leung DY. Defective killing of Staphylococcus aureus in atopic dermatitis is associated with reduced mobilization of human beta-defensin-3.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122</w:t>
      </w:r>
      <w:r w:rsidRPr="00420686">
        <w:rPr>
          <w:rFonts w:ascii="Book Antiqua" w:eastAsia="宋体" w:hAnsi="Book Antiqua" w:cs="宋体"/>
          <w:sz w:val="24"/>
          <w:szCs w:val="24"/>
        </w:rPr>
        <w:t>: 62-68 [PMID: 18538383 DOI: 10.1016/j.jaci.2008.04.022]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145 </w:t>
      </w:r>
      <w:r w:rsidRPr="00420686">
        <w:rPr>
          <w:rFonts w:ascii="Book Antiqua" w:eastAsia="宋体" w:hAnsi="Book Antiqua" w:cs="宋体"/>
          <w:b/>
          <w:bCs/>
          <w:sz w:val="24"/>
          <w:szCs w:val="24"/>
        </w:rPr>
        <w:t>Hatano Y</w:t>
      </w:r>
      <w:r w:rsidRPr="00420686">
        <w:rPr>
          <w:rFonts w:ascii="Book Antiqua" w:eastAsia="宋体" w:hAnsi="Book Antiqua" w:cs="宋体"/>
          <w:sz w:val="24"/>
          <w:szCs w:val="24"/>
        </w:rPr>
        <w:t xml:space="preserve">, Katagiri K, Arakawa S, Fujiwara S. Interleukin-4 depresses levels of transcripts for acid-sphingomyelinase and glucocerebrosidase and the amount of ceramide in acetone-wounded epidermis, as demonstrated in a living skin equivalent. </w:t>
      </w:r>
      <w:r w:rsidRPr="00420686">
        <w:rPr>
          <w:rFonts w:ascii="Book Antiqua" w:eastAsia="宋体" w:hAnsi="Book Antiqua" w:cs="宋体"/>
          <w:i/>
          <w:iCs/>
          <w:sz w:val="24"/>
          <w:szCs w:val="24"/>
        </w:rPr>
        <w:t>J Dermatol Sci</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47</w:t>
      </w:r>
      <w:r w:rsidRPr="00420686">
        <w:rPr>
          <w:rFonts w:ascii="Book Antiqua" w:eastAsia="宋体" w:hAnsi="Book Antiqua" w:cs="宋体"/>
          <w:sz w:val="24"/>
          <w:szCs w:val="24"/>
        </w:rPr>
        <w:t>: 45-47 [PMID: 17466493 DOI: 10.1016/j.jdermsci.2007.02.010]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146 </w:t>
      </w:r>
      <w:r w:rsidRPr="00420686">
        <w:rPr>
          <w:rFonts w:ascii="Book Antiqua" w:eastAsia="宋体" w:hAnsi="Book Antiqua" w:cs="宋体"/>
          <w:b/>
          <w:bCs/>
          <w:sz w:val="24"/>
          <w:szCs w:val="24"/>
        </w:rPr>
        <w:t>Hatano Y</w:t>
      </w:r>
      <w:r w:rsidRPr="00420686">
        <w:rPr>
          <w:rFonts w:ascii="Book Antiqua" w:eastAsia="宋体" w:hAnsi="Book Antiqua" w:cs="宋体"/>
          <w:sz w:val="24"/>
          <w:szCs w:val="24"/>
        </w:rPr>
        <w:t xml:space="preserve">, Terashi H, Arakawa S, Katagiri K. Interleukin-4 suppresses the enhancement of ceramide synthesis and cutaneous permeability barrier functions induced by tumor necrosis factor-alpha and interferon-gamma in human epidermis.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124</w:t>
      </w:r>
      <w:r w:rsidRPr="00420686">
        <w:rPr>
          <w:rFonts w:ascii="Book Antiqua" w:eastAsia="宋体" w:hAnsi="Book Antiqua" w:cs="宋体"/>
          <w:sz w:val="24"/>
          <w:szCs w:val="24"/>
        </w:rPr>
        <w:t>: 786-792 [PMID: 15816837 DOI: 10.1111/j.0022-202X.2005.23651.x]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147 </w:t>
      </w:r>
      <w:r w:rsidRPr="00420686">
        <w:rPr>
          <w:rFonts w:ascii="Book Antiqua" w:eastAsia="宋体" w:hAnsi="Book Antiqua" w:cs="宋体"/>
          <w:b/>
          <w:bCs/>
          <w:sz w:val="24"/>
          <w:szCs w:val="24"/>
        </w:rPr>
        <w:t>Danso MO</w:t>
      </w:r>
      <w:r w:rsidRPr="00420686">
        <w:rPr>
          <w:rFonts w:ascii="Book Antiqua" w:eastAsia="宋体" w:hAnsi="Book Antiqua" w:cs="宋体"/>
          <w:sz w:val="24"/>
          <w:szCs w:val="24"/>
        </w:rPr>
        <w:t xml:space="preserve">, van Drongelen V, Mulder A, van Esch J, Scott H, van Smeden J, El Ghalbzouri A, Bouwstra JA. TNF-α and Th2 cytokines induce atopic dermatitis-like features on epidermal differentiation proteins and stratum corneum lipids in human skin equivalents.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134</w:t>
      </w:r>
      <w:r w:rsidRPr="00420686">
        <w:rPr>
          <w:rFonts w:ascii="Book Antiqua" w:eastAsia="宋体" w:hAnsi="Book Antiqua" w:cs="宋体"/>
          <w:sz w:val="24"/>
          <w:szCs w:val="24"/>
        </w:rPr>
        <w:t>: 1941-1950 [PMID: 24518171 DOI: 10.1038/jid.2014.83]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148 </w:t>
      </w:r>
      <w:r w:rsidRPr="00420686">
        <w:rPr>
          <w:rFonts w:ascii="Book Antiqua" w:eastAsia="宋体" w:hAnsi="Book Antiqua" w:cs="宋体"/>
          <w:b/>
          <w:bCs/>
          <w:sz w:val="24"/>
          <w:szCs w:val="24"/>
        </w:rPr>
        <w:t>Morizane S</w:t>
      </w:r>
      <w:r w:rsidRPr="00420686">
        <w:rPr>
          <w:rFonts w:ascii="Book Antiqua" w:eastAsia="宋体" w:hAnsi="Book Antiqua" w:cs="宋体"/>
          <w:sz w:val="24"/>
          <w:szCs w:val="24"/>
        </w:rPr>
        <w:t xml:space="preserve">, Yamasaki K, Kajita A, Ikeda K, Zhan M, Aoyama Y, Gallo RL, Iwatsuki K. TH2 cytokines increase kallikrein 7 expression and function in patients with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130</w:t>
      </w:r>
      <w:r w:rsidRPr="00420686">
        <w:rPr>
          <w:rFonts w:ascii="Book Antiqua" w:eastAsia="宋体" w:hAnsi="Book Antiqua" w:cs="宋体"/>
          <w:sz w:val="24"/>
          <w:szCs w:val="24"/>
        </w:rPr>
        <w:t>: 259-261.e1 [PMID: 22521249 DOI: 10.1016/j.jaci.2012.03.006]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149 </w:t>
      </w:r>
      <w:r w:rsidRPr="00420686">
        <w:rPr>
          <w:rFonts w:ascii="Book Antiqua" w:eastAsia="宋体" w:hAnsi="Book Antiqua" w:cs="宋体"/>
          <w:b/>
          <w:bCs/>
          <w:sz w:val="24"/>
          <w:szCs w:val="24"/>
        </w:rPr>
        <w:t>Hatano Y</w:t>
      </w:r>
      <w:r w:rsidRPr="00420686">
        <w:rPr>
          <w:rFonts w:ascii="Book Antiqua" w:eastAsia="宋体" w:hAnsi="Book Antiqua" w:cs="宋体"/>
          <w:sz w:val="24"/>
          <w:szCs w:val="24"/>
        </w:rPr>
        <w:t xml:space="preserve">, Adachi Y, Elias PM, Crumrine D, Sakai T, Kurahashi R, Katagiri K, Fujiwara S. The Th2 cytokine, interleukin-4, abrogates the cohesion of normal stratum corneum in mice: implications for pathogenesis of atopic dermatitis.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22</w:t>
      </w:r>
      <w:r w:rsidRPr="00420686">
        <w:rPr>
          <w:rFonts w:ascii="Book Antiqua" w:eastAsia="宋体" w:hAnsi="Book Antiqua" w:cs="宋体"/>
          <w:sz w:val="24"/>
          <w:szCs w:val="24"/>
        </w:rPr>
        <w:t>: 30-35 [PMID: 23173934 DOI: 10.1111/exd.12047]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150 </w:t>
      </w:r>
      <w:r w:rsidRPr="00420686">
        <w:rPr>
          <w:rFonts w:ascii="Book Antiqua" w:eastAsia="宋体" w:hAnsi="Book Antiqua" w:cs="宋体"/>
          <w:b/>
          <w:bCs/>
          <w:sz w:val="24"/>
          <w:szCs w:val="24"/>
        </w:rPr>
        <w:t>Kim BE</w:t>
      </w:r>
      <w:r w:rsidRPr="00420686">
        <w:rPr>
          <w:rFonts w:ascii="Book Antiqua" w:eastAsia="宋体" w:hAnsi="Book Antiqua" w:cs="宋体"/>
          <w:sz w:val="24"/>
          <w:szCs w:val="24"/>
        </w:rPr>
        <w:t xml:space="preserve">, Leung DY, Boguniewicz M, Howell MD. Loricrin and involucrin expression is down-regulated by Th2 cytokines through STAT-6. </w:t>
      </w:r>
      <w:r w:rsidRPr="00420686">
        <w:rPr>
          <w:rFonts w:ascii="Book Antiqua" w:eastAsia="宋体" w:hAnsi="Book Antiqua" w:cs="宋体"/>
          <w:i/>
          <w:iCs/>
          <w:sz w:val="24"/>
          <w:szCs w:val="24"/>
        </w:rPr>
        <w:t>Clin Immunol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332-337 [PMID: 18166499 DOI: 10.1016/j.clim.2007.11.006]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151 </w:t>
      </w:r>
      <w:r w:rsidRPr="00420686">
        <w:rPr>
          <w:rFonts w:ascii="Book Antiqua" w:eastAsia="宋体" w:hAnsi="Book Antiqua" w:cs="宋体"/>
          <w:b/>
          <w:bCs/>
          <w:sz w:val="24"/>
          <w:szCs w:val="24"/>
        </w:rPr>
        <w:t>Kobayashi J</w:t>
      </w:r>
      <w:r w:rsidRPr="00420686">
        <w:rPr>
          <w:rFonts w:ascii="Book Antiqua" w:eastAsia="宋体" w:hAnsi="Book Antiqua" w:cs="宋体"/>
          <w:sz w:val="24"/>
          <w:szCs w:val="24"/>
        </w:rPr>
        <w:t xml:space="preserve">, Inai T, Morita K, Moroi Y, Urabe K, Shibata Y, Furue M. Reciprocal regulation of permeability through a cultured keratinocyte sheet by IFN-gamma and IL-4. </w:t>
      </w:r>
      <w:r w:rsidRPr="00420686">
        <w:rPr>
          <w:rFonts w:ascii="Book Antiqua" w:eastAsia="宋体" w:hAnsi="Book Antiqua" w:cs="宋体"/>
          <w:i/>
          <w:iCs/>
          <w:sz w:val="24"/>
          <w:szCs w:val="24"/>
        </w:rPr>
        <w:t>Cytokine</w:t>
      </w:r>
      <w:r w:rsidRPr="00420686">
        <w:rPr>
          <w:rFonts w:ascii="Book Antiqua" w:eastAsia="宋体" w:hAnsi="Book Antiqua" w:cs="宋体"/>
          <w:sz w:val="24"/>
          <w:szCs w:val="24"/>
        </w:rPr>
        <w:t xml:space="preserve"> 2004; </w:t>
      </w:r>
      <w:r w:rsidRPr="00420686">
        <w:rPr>
          <w:rFonts w:ascii="Book Antiqua" w:eastAsia="宋体" w:hAnsi="Book Antiqua" w:cs="宋体"/>
          <w:b/>
          <w:bCs/>
          <w:sz w:val="24"/>
          <w:szCs w:val="24"/>
        </w:rPr>
        <w:t>28</w:t>
      </w:r>
      <w:r w:rsidRPr="00420686">
        <w:rPr>
          <w:rFonts w:ascii="Book Antiqua" w:eastAsia="宋体" w:hAnsi="Book Antiqua" w:cs="宋体"/>
          <w:sz w:val="24"/>
          <w:szCs w:val="24"/>
        </w:rPr>
        <w:t>: 186-189 [PMID: 15588695 DOI: 10.1016/j.cyto.2004.08.003]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152 </w:t>
      </w:r>
      <w:r w:rsidRPr="00420686">
        <w:rPr>
          <w:rFonts w:ascii="Book Antiqua" w:eastAsia="宋体" w:hAnsi="Book Antiqua" w:cs="宋体"/>
          <w:b/>
          <w:bCs/>
          <w:sz w:val="24"/>
          <w:szCs w:val="24"/>
        </w:rPr>
        <w:t>Sonkoly E</w:t>
      </w:r>
      <w:r w:rsidRPr="00420686">
        <w:rPr>
          <w:rFonts w:ascii="Book Antiqua" w:eastAsia="宋体" w:hAnsi="Book Antiqua" w:cs="宋体"/>
          <w:sz w:val="24"/>
          <w:szCs w:val="24"/>
        </w:rPr>
        <w:t xml:space="preserve">, Muller A, Lauerma AI, Pivarcsi A, Soto H, Kemeny L, Alenius H, Dieu-Nosjean MC, Meller S, Rieker J, Steinhoff M, Hoffmann TK, Ruzicka T, Zlotnik A, Homey B. IL-31: a new link between T cells and pruritus in atopic skin inflammation.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117</w:t>
      </w:r>
      <w:r w:rsidRPr="00420686">
        <w:rPr>
          <w:rFonts w:ascii="Book Antiqua" w:eastAsia="宋体" w:hAnsi="Book Antiqua" w:cs="宋体"/>
          <w:sz w:val="24"/>
          <w:szCs w:val="24"/>
        </w:rPr>
        <w:t>: 411-417 [PMID: 16461142 DOI: 10.1016/j.jaci.2005.10.033]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153 </w:t>
      </w:r>
      <w:r w:rsidRPr="00420686">
        <w:rPr>
          <w:rFonts w:ascii="Book Antiqua" w:eastAsia="宋体" w:hAnsi="Book Antiqua" w:cs="宋体"/>
          <w:b/>
          <w:bCs/>
          <w:sz w:val="24"/>
          <w:szCs w:val="24"/>
        </w:rPr>
        <w:t>Wilson SR</w:t>
      </w:r>
      <w:r w:rsidRPr="00420686">
        <w:rPr>
          <w:rFonts w:ascii="Book Antiqua" w:eastAsia="宋体" w:hAnsi="Book Antiqua" w:cs="宋体"/>
          <w:sz w:val="24"/>
          <w:szCs w:val="24"/>
        </w:rPr>
        <w:t xml:space="preserve">, Thé L, Batia LM, Beattie K, Katibah GE, McClain SP, Pellegrino M, Estandian DM, Bautista DM. The epithelial cell-derived atopic dermatitis cytokine TSLP activates neurons to induce itch. </w:t>
      </w:r>
      <w:r w:rsidRPr="00420686">
        <w:rPr>
          <w:rFonts w:ascii="Book Antiqua" w:eastAsia="宋体" w:hAnsi="Book Antiqua" w:cs="宋体"/>
          <w:i/>
          <w:iCs/>
          <w:sz w:val="24"/>
          <w:szCs w:val="24"/>
        </w:rPr>
        <w:t>Cell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155</w:t>
      </w:r>
      <w:r w:rsidRPr="00420686">
        <w:rPr>
          <w:rFonts w:ascii="Book Antiqua" w:eastAsia="宋体" w:hAnsi="Book Antiqua" w:cs="宋体"/>
          <w:sz w:val="24"/>
          <w:szCs w:val="24"/>
        </w:rPr>
        <w:t>: 285-295 [PMID: 24094650 DOI: 10.1016/j.cell.2013.08.057]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154 </w:t>
      </w:r>
      <w:r w:rsidRPr="00420686">
        <w:rPr>
          <w:rFonts w:ascii="Book Antiqua" w:eastAsia="宋体" w:hAnsi="Book Antiqua" w:cs="宋体"/>
          <w:b/>
          <w:bCs/>
          <w:sz w:val="24"/>
          <w:szCs w:val="24"/>
        </w:rPr>
        <w:t>Cork MJ</w:t>
      </w:r>
      <w:r w:rsidRPr="00420686">
        <w:rPr>
          <w:rFonts w:ascii="Book Antiqua" w:eastAsia="宋体" w:hAnsi="Book Antiqua" w:cs="宋体"/>
          <w:sz w:val="24"/>
          <w:szCs w:val="24"/>
        </w:rPr>
        <w:t xml:space="preserve">, Robinson DA, Vasilopoulos Y, Ferguson A, Moustafa M, MacGowan A, Duff GW, Ward SJ, Tazi-Ahnini R. New perspectives on epidermal barrier dysfunction in atopic dermatitis: gene-environment interactions.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118</w:t>
      </w:r>
      <w:r w:rsidRPr="00420686">
        <w:rPr>
          <w:rFonts w:ascii="Book Antiqua" w:eastAsia="宋体" w:hAnsi="Book Antiqua" w:cs="宋体"/>
          <w:sz w:val="24"/>
          <w:szCs w:val="24"/>
        </w:rPr>
        <w:t>: 3-21; quiz 22-23 [PMID: 16815133 DOI: 10.1016/j.jaci.2006.04.042]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155 </w:t>
      </w:r>
      <w:r w:rsidRPr="00420686">
        <w:rPr>
          <w:rFonts w:ascii="Book Antiqua" w:eastAsia="宋体" w:hAnsi="Book Antiqua" w:cs="宋体"/>
          <w:b/>
          <w:bCs/>
          <w:sz w:val="24"/>
          <w:szCs w:val="24"/>
        </w:rPr>
        <w:t>Nakamura T</w:t>
      </w:r>
      <w:r w:rsidRPr="00420686">
        <w:rPr>
          <w:rFonts w:ascii="Book Antiqua" w:eastAsia="宋体" w:hAnsi="Book Antiqua" w:cs="宋体"/>
          <w:sz w:val="24"/>
          <w:szCs w:val="24"/>
        </w:rPr>
        <w:t xml:space="preserve">, Hirasawa Y, Takai T, Mitsuishi K, Okuda M, Kato T, Okumura K, Ikeda S, Ogawa H. Reduction of skin barrier function by proteolytic activity of a recombinant house dust mite major allergen Der f 1.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126</w:t>
      </w:r>
      <w:r w:rsidRPr="00420686">
        <w:rPr>
          <w:rFonts w:ascii="Book Antiqua" w:eastAsia="宋体" w:hAnsi="Book Antiqua" w:cs="宋体"/>
          <w:sz w:val="24"/>
          <w:szCs w:val="24"/>
        </w:rPr>
        <w:t>: 2719-2723 [PMID: 17008873]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156 </w:t>
      </w:r>
      <w:r w:rsidRPr="00420686">
        <w:rPr>
          <w:rFonts w:ascii="Book Antiqua" w:eastAsia="宋体" w:hAnsi="Book Antiqua" w:cs="宋体"/>
          <w:b/>
          <w:bCs/>
          <w:sz w:val="24"/>
          <w:szCs w:val="24"/>
        </w:rPr>
        <w:t>Roelandt T</w:t>
      </w:r>
      <w:r w:rsidRPr="00420686">
        <w:rPr>
          <w:rFonts w:ascii="Book Antiqua" w:eastAsia="宋体" w:hAnsi="Book Antiqua" w:cs="宋体"/>
          <w:sz w:val="24"/>
          <w:szCs w:val="24"/>
        </w:rPr>
        <w:t xml:space="preserve">, Heughebaert C, Hachem JP. Proteolytically active allergens cause barrier breakdown.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1878-1880 [PMID: 18626479 DOI: 10.1038/jid.2008.168]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157 </w:t>
      </w:r>
      <w:r w:rsidRPr="00420686">
        <w:rPr>
          <w:rFonts w:ascii="Book Antiqua" w:eastAsia="宋体" w:hAnsi="Book Antiqua" w:cs="宋体"/>
          <w:b/>
          <w:bCs/>
          <w:sz w:val="24"/>
          <w:szCs w:val="24"/>
        </w:rPr>
        <w:t>Wan H</w:t>
      </w:r>
      <w:r w:rsidRPr="00420686">
        <w:rPr>
          <w:rFonts w:ascii="Book Antiqua" w:eastAsia="宋体" w:hAnsi="Book Antiqua" w:cs="宋体"/>
          <w:sz w:val="24"/>
          <w:szCs w:val="24"/>
        </w:rPr>
        <w:t xml:space="preserve">, Winton HL, Soeller C, Tovey ER, Gruenert DC, Thompson PJ, Stewart GA, Taylor GW, Garrod DR, Cannell MB, Robinson C. Der p 1 facilitates transepithelial allergen delivery by disruption of tight junctions. </w:t>
      </w:r>
      <w:r w:rsidRPr="00420686">
        <w:rPr>
          <w:rFonts w:ascii="Book Antiqua" w:eastAsia="宋体" w:hAnsi="Book Antiqua" w:cs="宋体"/>
          <w:i/>
          <w:iCs/>
          <w:sz w:val="24"/>
          <w:szCs w:val="24"/>
        </w:rPr>
        <w:t>J Clin Invest</w:t>
      </w:r>
      <w:r w:rsidRPr="00420686">
        <w:rPr>
          <w:rFonts w:ascii="Book Antiqua" w:eastAsia="宋体" w:hAnsi="Book Antiqua" w:cs="宋体"/>
          <w:sz w:val="24"/>
          <w:szCs w:val="24"/>
        </w:rPr>
        <w:t xml:space="preserve"> 1999; </w:t>
      </w:r>
      <w:r w:rsidRPr="00420686">
        <w:rPr>
          <w:rFonts w:ascii="Book Antiqua" w:eastAsia="宋体" w:hAnsi="Book Antiqua" w:cs="宋体"/>
          <w:b/>
          <w:bCs/>
          <w:sz w:val="24"/>
          <w:szCs w:val="24"/>
        </w:rPr>
        <w:t>104</w:t>
      </w:r>
      <w:r w:rsidRPr="00420686">
        <w:rPr>
          <w:rFonts w:ascii="Book Antiqua" w:eastAsia="宋体" w:hAnsi="Book Antiqua" w:cs="宋体"/>
          <w:sz w:val="24"/>
          <w:szCs w:val="24"/>
        </w:rPr>
        <w:t>: 123-133 [PMID: 10393706 DOI: 10.1172/JCI5844]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158 </w:t>
      </w:r>
      <w:r w:rsidRPr="00420686">
        <w:rPr>
          <w:rFonts w:ascii="Book Antiqua" w:eastAsia="宋体" w:hAnsi="Book Antiqua" w:cs="宋体"/>
          <w:b/>
          <w:bCs/>
          <w:sz w:val="24"/>
          <w:szCs w:val="24"/>
        </w:rPr>
        <w:t>Wan H</w:t>
      </w:r>
      <w:r w:rsidRPr="00420686">
        <w:rPr>
          <w:rFonts w:ascii="Book Antiqua" w:eastAsia="宋体" w:hAnsi="Book Antiqua" w:cs="宋体"/>
          <w:sz w:val="24"/>
          <w:szCs w:val="24"/>
        </w:rPr>
        <w:t xml:space="preserve">, Winton HL, Soeller C, Taylor GW, Gruenert DC, Thompson PJ, Cannell MB, Stewart GA, Garrod DR, Robinson C. The transmembrane protein occludin of epithelial tight junctions is a functional target for serine peptidases from faecal pellets of Dermatophagoides pteronyssinus. </w:t>
      </w:r>
      <w:r w:rsidRPr="00420686">
        <w:rPr>
          <w:rFonts w:ascii="Book Antiqua" w:eastAsia="宋体" w:hAnsi="Book Antiqua" w:cs="宋体"/>
          <w:i/>
          <w:iCs/>
          <w:sz w:val="24"/>
          <w:szCs w:val="24"/>
        </w:rPr>
        <w:t>Clin Exp Allergy</w:t>
      </w:r>
      <w:r w:rsidRPr="00420686">
        <w:rPr>
          <w:rFonts w:ascii="Book Antiqua" w:eastAsia="宋体" w:hAnsi="Book Antiqua" w:cs="宋体"/>
          <w:sz w:val="24"/>
          <w:szCs w:val="24"/>
        </w:rPr>
        <w:t xml:space="preserve"> 2001; </w:t>
      </w:r>
      <w:r w:rsidRPr="00420686">
        <w:rPr>
          <w:rFonts w:ascii="Book Antiqua" w:eastAsia="宋体" w:hAnsi="Book Antiqua" w:cs="宋体"/>
          <w:b/>
          <w:bCs/>
          <w:sz w:val="24"/>
          <w:szCs w:val="24"/>
        </w:rPr>
        <w:t>31</w:t>
      </w:r>
      <w:r w:rsidRPr="00420686">
        <w:rPr>
          <w:rFonts w:ascii="Book Antiqua" w:eastAsia="宋体" w:hAnsi="Book Antiqua" w:cs="宋体"/>
          <w:sz w:val="24"/>
          <w:szCs w:val="24"/>
        </w:rPr>
        <w:t>: 279-294 [PMID: 11251630]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159 </w:t>
      </w:r>
      <w:r w:rsidRPr="00420686">
        <w:rPr>
          <w:rFonts w:ascii="Book Antiqua" w:eastAsia="宋体" w:hAnsi="Book Antiqua" w:cs="宋体"/>
          <w:b/>
          <w:bCs/>
          <w:sz w:val="24"/>
          <w:szCs w:val="24"/>
        </w:rPr>
        <w:t>Jeong SK</w:t>
      </w:r>
      <w:r w:rsidRPr="00420686">
        <w:rPr>
          <w:rFonts w:ascii="Book Antiqua" w:eastAsia="宋体" w:hAnsi="Book Antiqua" w:cs="宋体"/>
          <w:sz w:val="24"/>
          <w:szCs w:val="24"/>
        </w:rPr>
        <w:t xml:space="preserve">, Kim HJ, Youm JK, Ahn SK, Choi EH, Sohn MH, Kim KE, Hong JH, Shin DM, Lee SH. Mite and cockroach allergens activate protease-activated receptor 2 and delay epidermal permeability barrier recovery.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1930-1939 [PMID: 18305573 DOI: 10.1038/jid.2008.13]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160 </w:t>
      </w:r>
      <w:r w:rsidRPr="00420686">
        <w:rPr>
          <w:rFonts w:ascii="Book Antiqua" w:eastAsia="宋体" w:hAnsi="Book Antiqua" w:cs="宋体"/>
          <w:b/>
          <w:bCs/>
          <w:sz w:val="24"/>
          <w:szCs w:val="24"/>
        </w:rPr>
        <w:t>Kato T</w:t>
      </w:r>
      <w:r w:rsidRPr="00420686">
        <w:rPr>
          <w:rFonts w:ascii="Book Antiqua" w:eastAsia="宋体" w:hAnsi="Book Antiqua" w:cs="宋体"/>
          <w:sz w:val="24"/>
          <w:szCs w:val="24"/>
        </w:rPr>
        <w:t xml:space="preserve">, Takai T, Fujimura T, Matsuoka H, Ogawa T, Murayama K, Ishii A, Ikeda S, Okumura K, Ogawa H. Mite serine protease activates protease-activated receptor-2 and induces cytokine release in human keratinocytes.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64</w:t>
      </w:r>
      <w:r w:rsidRPr="00420686">
        <w:rPr>
          <w:rFonts w:ascii="Book Antiqua" w:eastAsia="宋体" w:hAnsi="Book Antiqua" w:cs="宋体"/>
          <w:sz w:val="24"/>
          <w:szCs w:val="24"/>
        </w:rPr>
        <w:t>: 1366-1374 [PMID: 19416145 DOI: 10.1111/j.1398-9995.2009.02023.x]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161 </w:t>
      </w:r>
      <w:r w:rsidRPr="00420686">
        <w:rPr>
          <w:rFonts w:ascii="Book Antiqua" w:eastAsia="宋体" w:hAnsi="Book Antiqua" w:cs="宋体"/>
          <w:b/>
          <w:bCs/>
          <w:sz w:val="24"/>
          <w:szCs w:val="24"/>
        </w:rPr>
        <w:t>Landheer J</w:t>
      </w:r>
      <w:r w:rsidRPr="00420686">
        <w:rPr>
          <w:rFonts w:ascii="Book Antiqua" w:eastAsia="宋体" w:hAnsi="Book Antiqua" w:cs="宋体"/>
          <w:sz w:val="24"/>
          <w:szCs w:val="24"/>
        </w:rPr>
        <w:t xml:space="preserve">, Giovannone B, Mattson JD, Tjabringa S, Bruijnzeel-Koomen CA, McClanahan T, de Waal Malefyt R, Knol E, Hijnen D. Epicutaneous application of house dust mite induces thymic stromal lymphopoietin in nonlesional skin of patients with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132</w:t>
      </w:r>
      <w:r w:rsidRPr="00420686">
        <w:rPr>
          <w:rFonts w:ascii="Book Antiqua" w:eastAsia="宋体" w:hAnsi="Book Antiqua" w:cs="宋体"/>
          <w:sz w:val="24"/>
          <w:szCs w:val="24"/>
        </w:rPr>
        <w:t>: 1252-1254 [PMID: 24112829 DOI: 10.1016/j.jaci.2013.07.051]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162 </w:t>
      </w:r>
      <w:r w:rsidRPr="00420686">
        <w:rPr>
          <w:rFonts w:ascii="Book Antiqua" w:eastAsia="宋体" w:hAnsi="Book Antiqua" w:cs="宋体"/>
          <w:b/>
          <w:bCs/>
          <w:sz w:val="24"/>
          <w:szCs w:val="24"/>
        </w:rPr>
        <w:t>Clarke SR</w:t>
      </w:r>
      <w:r w:rsidRPr="00420686">
        <w:rPr>
          <w:rFonts w:ascii="Book Antiqua" w:eastAsia="宋体" w:hAnsi="Book Antiqua" w:cs="宋体"/>
          <w:sz w:val="24"/>
          <w:szCs w:val="24"/>
        </w:rPr>
        <w:t xml:space="preserve">, Mohamed R, Bian L, Routh AF, Kokai-Kun JF, Mond JJ, </w:t>
      </w:r>
      <w:bookmarkStart w:id="7" w:name="_GoBack"/>
      <w:r w:rsidRPr="00420686">
        <w:rPr>
          <w:rFonts w:ascii="Book Antiqua" w:eastAsia="宋体" w:hAnsi="Book Antiqua" w:cs="宋体"/>
          <w:sz w:val="24"/>
          <w:szCs w:val="24"/>
        </w:rPr>
        <w:t xml:space="preserve">Tarkowski A, Foster SJ. The Staphylococcus aureus surface protein IsdA mediates resistance to innate defenses of human skin. </w:t>
      </w:r>
      <w:r w:rsidRPr="00420686">
        <w:rPr>
          <w:rFonts w:ascii="Book Antiqua" w:eastAsia="宋体" w:hAnsi="Book Antiqua" w:cs="宋体"/>
          <w:i/>
          <w:iCs/>
          <w:sz w:val="24"/>
          <w:szCs w:val="24"/>
        </w:rPr>
        <w:t>Cell Host Microbe</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1</w:t>
      </w:r>
      <w:r w:rsidRPr="00420686">
        <w:rPr>
          <w:rFonts w:ascii="Book Antiqua" w:eastAsia="宋体" w:hAnsi="Book Antiqua" w:cs="宋体"/>
          <w:sz w:val="24"/>
          <w:szCs w:val="24"/>
        </w:rPr>
        <w:t>: 199-212 [PMID: 18005699 DOI: 10.1016/j.chom.2007.04.005]</w:t>
      </w:r>
    </w:p>
    <w:bookmarkEnd w:id="7"/>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163 </w:t>
      </w:r>
      <w:r w:rsidRPr="00420686">
        <w:rPr>
          <w:rFonts w:ascii="Book Antiqua" w:eastAsia="宋体" w:hAnsi="Book Antiqua" w:cs="宋体"/>
          <w:b/>
          <w:bCs/>
          <w:sz w:val="24"/>
          <w:szCs w:val="24"/>
        </w:rPr>
        <w:t>Otto M</w:t>
      </w:r>
      <w:r w:rsidRPr="00420686">
        <w:rPr>
          <w:rFonts w:ascii="Book Antiqua" w:eastAsia="宋体" w:hAnsi="Book Antiqua" w:cs="宋体"/>
          <w:sz w:val="24"/>
          <w:szCs w:val="24"/>
        </w:rPr>
        <w:t xml:space="preserve">. Virulence factors of the coagulase-negative staphylococci. </w:t>
      </w:r>
      <w:r w:rsidRPr="00420686">
        <w:rPr>
          <w:rFonts w:ascii="Book Antiqua" w:eastAsia="宋体" w:hAnsi="Book Antiqua" w:cs="宋体"/>
          <w:i/>
          <w:iCs/>
          <w:sz w:val="24"/>
          <w:szCs w:val="24"/>
        </w:rPr>
        <w:t>Front Biosci</w:t>
      </w:r>
      <w:r w:rsidRPr="00420686">
        <w:rPr>
          <w:rFonts w:ascii="Book Antiqua" w:eastAsia="宋体" w:hAnsi="Book Antiqua" w:cs="宋体"/>
          <w:sz w:val="24"/>
          <w:szCs w:val="24"/>
        </w:rPr>
        <w:t xml:space="preserve"> 2004; </w:t>
      </w:r>
      <w:r w:rsidRPr="00420686">
        <w:rPr>
          <w:rFonts w:ascii="Book Antiqua" w:eastAsia="宋体" w:hAnsi="Book Antiqua" w:cs="宋体"/>
          <w:b/>
          <w:bCs/>
          <w:sz w:val="24"/>
          <w:szCs w:val="24"/>
        </w:rPr>
        <w:t>9</w:t>
      </w:r>
      <w:r w:rsidRPr="00420686">
        <w:rPr>
          <w:rFonts w:ascii="Book Antiqua" w:eastAsia="宋体" w:hAnsi="Book Antiqua" w:cs="宋体"/>
          <w:sz w:val="24"/>
          <w:szCs w:val="24"/>
        </w:rPr>
        <w:t>: 841-863 [PMID: 14766414]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164 </w:t>
      </w:r>
      <w:r w:rsidRPr="00420686">
        <w:rPr>
          <w:rFonts w:ascii="Book Antiqua" w:eastAsia="宋体" w:hAnsi="Book Antiqua" w:cs="宋体"/>
          <w:b/>
          <w:bCs/>
          <w:sz w:val="24"/>
          <w:szCs w:val="24"/>
        </w:rPr>
        <w:t>Ohnishi Y</w:t>
      </w:r>
      <w:r w:rsidRPr="00420686">
        <w:rPr>
          <w:rFonts w:ascii="Book Antiqua" w:eastAsia="宋体" w:hAnsi="Book Antiqua" w:cs="宋体"/>
          <w:sz w:val="24"/>
          <w:szCs w:val="24"/>
        </w:rPr>
        <w:t xml:space="preserve">, Okino N, Ito M, Imayama S. Ceramidase activity in bacterial skin flora as a possible cause of ceramide deficiency in atopic dermatitis. </w:t>
      </w:r>
      <w:r w:rsidRPr="00420686">
        <w:rPr>
          <w:rFonts w:ascii="Book Antiqua" w:eastAsia="宋体" w:hAnsi="Book Antiqua" w:cs="宋体"/>
          <w:i/>
          <w:iCs/>
          <w:sz w:val="24"/>
          <w:szCs w:val="24"/>
        </w:rPr>
        <w:t>Clin Diagn Lab Immunol</w:t>
      </w:r>
      <w:r w:rsidRPr="00420686">
        <w:rPr>
          <w:rFonts w:ascii="Book Antiqua" w:eastAsia="宋体" w:hAnsi="Book Antiqua" w:cs="宋体"/>
          <w:sz w:val="24"/>
          <w:szCs w:val="24"/>
        </w:rPr>
        <w:t xml:space="preserve"> 1999; </w:t>
      </w:r>
      <w:r w:rsidRPr="00420686">
        <w:rPr>
          <w:rFonts w:ascii="Book Antiqua" w:eastAsia="宋体" w:hAnsi="Book Antiqua" w:cs="宋体"/>
          <w:b/>
          <w:bCs/>
          <w:sz w:val="24"/>
          <w:szCs w:val="24"/>
        </w:rPr>
        <w:t>6</w:t>
      </w:r>
      <w:r w:rsidRPr="00420686">
        <w:rPr>
          <w:rFonts w:ascii="Book Antiqua" w:eastAsia="宋体" w:hAnsi="Book Antiqua" w:cs="宋体"/>
          <w:sz w:val="24"/>
          <w:szCs w:val="24"/>
        </w:rPr>
        <w:t>: 101-104 [PMID: 9874672]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165 </w:t>
      </w:r>
      <w:r w:rsidRPr="00420686">
        <w:rPr>
          <w:rFonts w:ascii="Book Antiqua" w:eastAsia="宋体" w:hAnsi="Book Antiqua" w:cs="宋体"/>
          <w:b/>
          <w:bCs/>
          <w:sz w:val="24"/>
          <w:szCs w:val="24"/>
        </w:rPr>
        <w:t>Akdis CA</w:t>
      </w:r>
      <w:r w:rsidRPr="00420686">
        <w:rPr>
          <w:rFonts w:ascii="Book Antiqua" w:eastAsia="宋体" w:hAnsi="Book Antiqua" w:cs="宋体"/>
          <w:sz w:val="24"/>
          <w:szCs w:val="24"/>
        </w:rPr>
        <w:t xml:space="preserve">, Akdis M, Bieber T, Bindslev-Jensen C, Boguniewicz M, Eigenmann P, Hamid Q, Kapp A, Leung DY, Lipozencic J, Luger TA, Muraro A, Novak N, Platts-Mills TA, Rosenwasser L, Scheynius A, Simons FE, Spergel J, Turjanmaa K, Wahn U, Weidinger S, Werfel T, Zuberbier T. Diagnosis and treatment of atopic dermatitis in children and adults: European Academy of Allergology and Clinical Immunology/American Academy of Allergy, Asthma and Immunology/PRACTALL Consensus Report. </w:t>
      </w:r>
      <w:r w:rsidRPr="00420686">
        <w:rPr>
          <w:rFonts w:ascii="Book Antiqua" w:eastAsia="宋体" w:hAnsi="Book Antiqua" w:cs="宋体"/>
          <w:i/>
          <w:iCs/>
          <w:sz w:val="24"/>
          <w:szCs w:val="24"/>
        </w:rPr>
        <w:t>Allergy</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61</w:t>
      </w:r>
      <w:r w:rsidRPr="00420686">
        <w:rPr>
          <w:rFonts w:ascii="Book Antiqua" w:eastAsia="宋体" w:hAnsi="Book Antiqua" w:cs="宋体"/>
          <w:sz w:val="24"/>
          <w:szCs w:val="24"/>
        </w:rPr>
        <w:t>: 969-987 [PMID: 16867052 DOI: 10.1111/j.1398-9995.2006.01153.x]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166 </w:t>
      </w:r>
      <w:r w:rsidRPr="00420686">
        <w:rPr>
          <w:rFonts w:ascii="Book Antiqua" w:eastAsia="宋体" w:hAnsi="Book Antiqua" w:cs="宋体"/>
          <w:b/>
          <w:bCs/>
          <w:sz w:val="24"/>
          <w:szCs w:val="24"/>
        </w:rPr>
        <w:t>Choi EH</w:t>
      </w:r>
      <w:r w:rsidRPr="00420686">
        <w:rPr>
          <w:rFonts w:ascii="Book Antiqua" w:eastAsia="宋体" w:hAnsi="Book Antiqua" w:cs="宋体"/>
          <w:sz w:val="24"/>
          <w:szCs w:val="24"/>
        </w:rPr>
        <w:t xml:space="preserve">, Brown BE, Crumrine D, Chang S, Man MQ, Elias PM, Feingold KR. Mechanisms by which psychologic stress alters cutaneous permeability barrier homeostasis and stratum corneum integrity.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124</w:t>
      </w:r>
      <w:r w:rsidRPr="00420686">
        <w:rPr>
          <w:rFonts w:ascii="Book Antiqua" w:eastAsia="宋体" w:hAnsi="Book Antiqua" w:cs="宋体"/>
          <w:sz w:val="24"/>
          <w:szCs w:val="24"/>
        </w:rPr>
        <w:t>: 587-595 [PMID: 15737200 DOI: 10.1111/j.0022-202X.2005.23589.x]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167 </w:t>
      </w:r>
      <w:r w:rsidRPr="00420686">
        <w:rPr>
          <w:rFonts w:ascii="Book Antiqua" w:eastAsia="宋体" w:hAnsi="Book Antiqua" w:cs="宋体"/>
          <w:b/>
          <w:bCs/>
          <w:sz w:val="24"/>
          <w:szCs w:val="24"/>
        </w:rPr>
        <w:t>Denda M</w:t>
      </w:r>
      <w:r w:rsidRPr="00420686">
        <w:rPr>
          <w:rFonts w:ascii="Book Antiqua" w:eastAsia="宋体" w:hAnsi="Book Antiqua" w:cs="宋体"/>
          <w:sz w:val="24"/>
          <w:szCs w:val="24"/>
        </w:rPr>
        <w:t xml:space="preserve">, Tsuchiya T, Elias PM, Feingold KR. Stress alters cutaneous permeability barrier homeostasis. </w:t>
      </w:r>
      <w:r w:rsidRPr="00420686">
        <w:rPr>
          <w:rFonts w:ascii="Book Antiqua" w:eastAsia="宋体" w:hAnsi="Book Antiqua" w:cs="宋体"/>
          <w:i/>
          <w:iCs/>
          <w:sz w:val="24"/>
          <w:szCs w:val="24"/>
        </w:rPr>
        <w:t>Am J Physiol Regul Integr Comp Physiol</w:t>
      </w:r>
      <w:r w:rsidRPr="00420686">
        <w:rPr>
          <w:rFonts w:ascii="Book Antiqua" w:eastAsia="宋体" w:hAnsi="Book Antiqua" w:cs="宋体"/>
          <w:sz w:val="24"/>
          <w:szCs w:val="24"/>
        </w:rPr>
        <w:t xml:space="preserve"> 2000; </w:t>
      </w:r>
      <w:r w:rsidRPr="00420686">
        <w:rPr>
          <w:rFonts w:ascii="Book Antiqua" w:eastAsia="宋体" w:hAnsi="Book Antiqua" w:cs="宋体"/>
          <w:b/>
          <w:bCs/>
          <w:sz w:val="24"/>
          <w:szCs w:val="24"/>
        </w:rPr>
        <w:t>278</w:t>
      </w:r>
      <w:r w:rsidRPr="00420686">
        <w:rPr>
          <w:rFonts w:ascii="Book Antiqua" w:eastAsia="宋体" w:hAnsi="Book Antiqua" w:cs="宋体"/>
          <w:sz w:val="24"/>
          <w:szCs w:val="24"/>
        </w:rPr>
        <w:t>: R367-R372 [PMID: 10666137]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168 </w:t>
      </w:r>
      <w:r w:rsidRPr="00420686">
        <w:rPr>
          <w:rFonts w:ascii="Book Antiqua" w:eastAsia="宋体" w:hAnsi="Book Antiqua" w:cs="宋体"/>
          <w:b/>
          <w:bCs/>
          <w:sz w:val="24"/>
          <w:szCs w:val="24"/>
        </w:rPr>
        <w:t>Aberg KM</w:t>
      </w:r>
      <w:r w:rsidRPr="00420686">
        <w:rPr>
          <w:rFonts w:ascii="Book Antiqua" w:eastAsia="宋体" w:hAnsi="Book Antiqua" w:cs="宋体"/>
          <w:sz w:val="24"/>
          <w:szCs w:val="24"/>
        </w:rPr>
        <w:t xml:space="preserve">, Radek KA, Choi EH, Kim DK, Demerjian M, Hupe M, Kerbleski J, Gallo RL, Ganz T, Mauro T, Feingold KR, Elias PM. Psychological stress downregulates epidermal antimicrobial peptide expression and increases severity of cutaneous infections in mice. </w:t>
      </w:r>
      <w:r w:rsidRPr="00420686">
        <w:rPr>
          <w:rFonts w:ascii="Book Antiqua" w:eastAsia="宋体" w:hAnsi="Book Antiqua" w:cs="宋体"/>
          <w:i/>
          <w:iCs/>
          <w:sz w:val="24"/>
          <w:szCs w:val="24"/>
        </w:rPr>
        <w:t>J Clin Invest</w:t>
      </w:r>
      <w:r w:rsidRPr="00420686">
        <w:rPr>
          <w:rFonts w:ascii="Book Antiqua" w:eastAsia="宋体" w:hAnsi="Book Antiqua" w:cs="宋体"/>
          <w:sz w:val="24"/>
          <w:szCs w:val="24"/>
        </w:rPr>
        <w:t xml:space="preserve"> 2007; </w:t>
      </w:r>
      <w:r w:rsidRPr="00420686">
        <w:rPr>
          <w:rFonts w:ascii="Book Antiqua" w:eastAsia="宋体" w:hAnsi="Book Antiqua" w:cs="宋体"/>
          <w:b/>
          <w:bCs/>
          <w:sz w:val="24"/>
          <w:szCs w:val="24"/>
        </w:rPr>
        <w:t>117</w:t>
      </w:r>
      <w:r w:rsidRPr="00420686">
        <w:rPr>
          <w:rFonts w:ascii="Book Antiqua" w:eastAsia="宋体" w:hAnsi="Book Antiqua" w:cs="宋体"/>
          <w:sz w:val="24"/>
          <w:szCs w:val="24"/>
        </w:rPr>
        <w:t>: 3339-3349 [PMID: 17975669 DOI: 10.1172/jci31726]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169 </w:t>
      </w:r>
      <w:r w:rsidRPr="00420686">
        <w:rPr>
          <w:rFonts w:ascii="Book Antiqua" w:eastAsia="宋体" w:hAnsi="Book Antiqua" w:cs="宋体"/>
          <w:b/>
          <w:bCs/>
          <w:sz w:val="24"/>
          <w:szCs w:val="24"/>
        </w:rPr>
        <w:t>Choi EH</w:t>
      </w:r>
      <w:r w:rsidRPr="00420686">
        <w:rPr>
          <w:rFonts w:ascii="Book Antiqua" w:eastAsia="宋体" w:hAnsi="Book Antiqua" w:cs="宋体"/>
          <w:sz w:val="24"/>
          <w:szCs w:val="24"/>
        </w:rPr>
        <w:t xml:space="preserve">, Demerjian M, Crumrine D, Brown BE, Mauro T, Elias PM, Feingold KR. Glucocorticoid blockade reverses psychological stress-induced abnormalities in epidermal structure and function. </w:t>
      </w:r>
      <w:r w:rsidRPr="00420686">
        <w:rPr>
          <w:rFonts w:ascii="Book Antiqua" w:eastAsia="宋体" w:hAnsi="Book Antiqua" w:cs="宋体"/>
          <w:i/>
          <w:iCs/>
          <w:sz w:val="24"/>
          <w:szCs w:val="24"/>
        </w:rPr>
        <w:t>Am J Physiol Regul Integr Comp Physiol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291</w:t>
      </w:r>
      <w:r w:rsidRPr="00420686">
        <w:rPr>
          <w:rFonts w:ascii="Book Antiqua" w:eastAsia="宋体" w:hAnsi="Book Antiqua" w:cs="宋体"/>
          <w:sz w:val="24"/>
          <w:szCs w:val="24"/>
        </w:rPr>
        <w:t>: R1657-R1662 [PMID: 16857896 DOI: 10.1152/ajpregu.00010.2006]</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170 </w:t>
      </w:r>
      <w:r w:rsidRPr="00420686">
        <w:rPr>
          <w:rFonts w:ascii="Book Antiqua" w:eastAsia="宋体" w:hAnsi="Book Antiqua" w:cs="宋体"/>
          <w:b/>
          <w:bCs/>
          <w:sz w:val="24"/>
          <w:szCs w:val="24"/>
        </w:rPr>
        <w:t>Spergel JM</w:t>
      </w:r>
      <w:r w:rsidRPr="00420686">
        <w:rPr>
          <w:rFonts w:ascii="Book Antiqua" w:eastAsia="宋体" w:hAnsi="Book Antiqua" w:cs="宋体"/>
          <w:sz w:val="24"/>
          <w:szCs w:val="24"/>
        </w:rPr>
        <w:t xml:space="preserve">, Mizoguchi E, Brewer JP, Martin TR, Bhan AK, Geha RS. Epicutaneous sensitization with protein antigen induces localized allergic dermatitis and hyperresponsiveness to methacholine after single exposure to aerosolized antigen in mice. </w:t>
      </w:r>
      <w:r w:rsidRPr="00420686">
        <w:rPr>
          <w:rFonts w:ascii="Book Antiqua" w:eastAsia="宋体" w:hAnsi="Book Antiqua" w:cs="宋体"/>
          <w:i/>
          <w:iCs/>
          <w:sz w:val="24"/>
          <w:szCs w:val="24"/>
        </w:rPr>
        <w:t>J Clin Invest</w:t>
      </w:r>
      <w:r w:rsidRPr="00420686">
        <w:rPr>
          <w:rFonts w:ascii="Book Antiqua" w:eastAsia="宋体" w:hAnsi="Book Antiqua" w:cs="宋体"/>
          <w:sz w:val="24"/>
          <w:szCs w:val="24"/>
        </w:rPr>
        <w:t xml:space="preserve"> 1998; </w:t>
      </w:r>
      <w:r w:rsidRPr="00420686">
        <w:rPr>
          <w:rFonts w:ascii="Book Antiqua" w:eastAsia="宋体" w:hAnsi="Book Antiqua" w:cs="宋体"/>
          <w:b/>
          <w:bCs/>
          <w:sz w:val="24"/>
          <w:szCs w:val="24"/>
        </w:rPr>
        <w:t>101</w:t>
      </w:r>
      <w:r w:rsidRPr="00420686">
        <w:rPr>
          <w:rFonts w:ascii="Book Antiqua" w:eastAsia="宋体" w:hAnsi="Book Antiqua" w:cs="宋体"/>
          <w:sz w:val="24"/>
          <w:szCs w:val="24"/>
        </w:rPr>
        <w:t>: 1614-1622 [PMID: 9541491 DOI: 10.1172/jci1647]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171 </w:t>
      </w:r>
      <w:r w:rsidRPr="00420686">
        <w:rPr>
          <w:rFonts w:ascii="Book Antiqua" w:eastAsia="宋体" w:hAnsi="Book Antiqua" w:cs="宋体"/>
          <w:b/>
          <w:bCs/>
          <w:sz w:val="24"/>
          <w:szCs w:val="24"/>
        </w:rPr>
        <w:t>Ying S</w:t>
      </w:r>
      <w:r w:rsidRPr="00420686">
        <w:rPr>
          <w:rFonts w:ascii="Book Antiqua" w:eastAsia="宋体" w:hAnsi="Book Antiqua" w:cs="宋体"/>
          <w:sz w:val="24"/>
          <w:szCs w:val="24"/>
        </w:rPr>
        <w:t xml:space="preserve">, Meng Q, Corrigan CJ, Lee TH. Lack of filaggrin expression in the human bronchial mucosa.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118</w:t>
      </w:r>
      <w:r w:rsidRPr="00420686">
        <w:rPr>
          <w:rFonts w:ascii="Book Antiqua" w:eastAsia="宋体" w:hAnsi="Book Antiqua" w:cs="宋体"/>
          <w:sz w:val="24"/>
          <w:szCs w:val="24"/>
        </w:rPr>
        <w:t>: 1386-1388 [PMID: 17157670 DOI: 10.1016/j.jaci.2006.08.030]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172 </w:t>
      </w:r>
      <w:r w:rsidRPr="00420686">
        <w:rPr>
          <w:rFonts w:ascii="Book Antiqua" w:eastAsia="宋体" w:hAnsi="Book Antiqua" w:cs="宋体"/>
          <w:b/>
          <w:sz w:val="24"/>
          <w:szCs w:val="24"/>
        </w:rPr>
        <w:t>De Benedetto A,</w:t>
      </w:r>
      <w:r w:rsidRPr="00420686">
        <w:rPr>
          <w:rFonts w:ascii="Book Antiqua" w:eastAsia="宋体" w:hAnsi="Book Antiqua" w:cs="宋体"/>
          <w:sz w:val="24"/>
          <w:szCs w:val="24"/>
        </w:rPr>
        <w:t xml:space="preserve"> Qualia CM, Baroody FM, Beck LA. Filaggrin Expression in Oral, Nasal, and Esophageal Mucosa. </w:t>
      </w:r>
      <w:r w:rsidRPr="00420686">
        <w:rPr>
          <w:rFonts w:ascii="Book Antiqua" w:eastAsia="宋体" w:hAnsi="Book Antiqua" w:cs="宋体"/>
          <w:i/>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sz w:val="24"/>
          <w:szCs w:val="24"/>
        </w:rPr>
        <w:t>128</w:t>
      </w:r>
      <w:r w:rsidRPr="00420686">
        <w:rPr>
          <w:rFonts w:ascii="Book Antiqua" w:eastAsia="宋体" w:hAnsi="Book Antiqua" w:cs="宋体"/>
          <w:sz w:val="24"/>
          <w:szCs w:val="24"/>
        </w:rPr>
        <w:t>: 1594-1597 [PMID: 18172455 DOI: 10.1038/sj.jid.5701208]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173 </w:t>
      </w:r>
      <w:r w:rsidRPr="00420686">
        <w:rPr>
          <w:rFonts w:ascii="Book Antiqua" w:eastAsia="宋体" w:hAnsi="Book Antiqua" w:cs="宋体"/>
          <w:b/>
          <w:bCs/>
          <w:sz w:val="24"/>
          <w:szCs w:val="24"/>
        </w:rPr>
        <w:t>Strid J</w:t>
      </w:r>
      <w:r w:rsidRPr="00420686">
        <w:rPr>
          <w:rFonts w:ascii="Book Antiqua" w:eastAsia="宋体" w:hAnsi="Book Antiqua" w:cs="宋体"/>
          <w:sz w:val="24"/>
          <w:szCs w:val="24"/>
        </w:rPr>
        <w:t xml:space="preserve">, Hourihane J, Kimber I, Callard R, Strobel S. Epicutaneous exposure to peanut protein prevents oral tolerance and enhances allergic sensitization. </w:t>
      </w:r>
      <w:r w:rsidRPr="00420686">
        <w:rPr>
          <w:rFonts w:ascii="Book Antiqua" w:eastAsia="宋体" w:hAnsi="Book Antiqua" w:cs="宋体"/>
          <w:i/>
          <w:iCs/>
          <w:sz w:val="24"/>
          <w:szCs w:val="24"/>
        </w:rPr>
        <w:t>Clin Exp Allergy</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35</w:t>
      </w:r>
      <w:r w:rsidRPr="00420686">
        <w:rPr>
          <w:rFonts w:ascii="Book Antiqua" w:eastAsia="宋体" w:hAnsi="Book Antiqua" w:cs="宋体"/>
          <w:sz w:val="24"/>
          <w:szCs w:val="24"/>
        </w:rPr>
        <w:t>: 757-766 [PMID: 15969667 DOI: 10.1111/j.1365-2222.2005.02260.x]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174 </w:t>
      </w:r>
      <w:r w:rsidRPr="00420686">
        <w:rPr>
          <w:rFonts w:ascii="Book Antiqua" w:eastAsia="宋体" w:hAnsi="Book Antiqua" w:cs="宋体"/>
          <w:b/>
          <w:bCs/>
          <w:sz w:val="24"/>
          <w:szCs w:val="24"/>
        </w:rPr>
        <w:t>Ziegler SF</w:t>
      </w:r>
      <w:r w:rsidRPr="00420686">
        <w:rPr>
          <w:rFonts w:ascii="Book Antiqua" w:eastAsia="宋体" w:hAnsi="Book Antiqua" w:cs="宋体"/>
          <w:sz w:val="24"/>
          <w:szCs w:val="24"/>
        </w:rPr>
        <w:t xml:space="preserve">. Thymic stromal lymphopoietin and allergic disease.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130</w:t>
      </w:r>
      <w:r w:rsidRPr="00420686">
        <w:rPr>
          <w:rFonts w:ascii="Book Antiqua" w:eastAsia="宋体" w:hAnsi="Book Antiqua" w:cs="宋体"/>
          <w:sz w:val="24"/>
          <w:szCs w:val="24"/>
        </w:rPr>
        <w:t>: 845-852 [PMID: 22939755 DOI: 10.1016/j.jaci.2012.07.010]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175 </w:t>
      </w:r>
      <w:r w:rsidRPr="00420686">
        <w:rPr>
          <w:rFonts w:ascii="Book Antiqua" w:eastAsia="宋体" w:hAnsi="Book Antiqua" w:cs="宋体"/>
          <w:b/>
          <w:bCs/>
          <w:sz w:val="24"/>
          <w:szCs w:val="24"/>
        </w:rPr>
        <w:t>Demehri S</w:t>
      </w:r>
      <w:r w:rsidRPr="00420686">
        <w:rPr>
          <w:rFonts w:ascii="Book Antiqua" w:eastAsia="宋体" w:hAnsi="Book Antiqua" w:cs="宋体"/>
          <w:sz w:val="24"/>
          <w:szCs w:val="24"/>
        </w:rPr>
        <w:t xml:space="preserve">, Morimoto M, Holtzman MJ, Kopan R. Skin-derived TSLP triggers progression from epidermal-barrier defects to asthma. </w:t>
      </w:r>
      <w:r w:rsidRPr="00420686">
        <w:rPr>
          <w:rFonts w:ascii="Book Antiqua" w:eastAsia="宋体" w:hAnsi="Book Antiqua" w:cs="宋体"/>
          <w:i/>
          <w:iCs/>
          <w:sz w:val="24"/>
          <w:szCs w:val="24"/>
        </w:rPr>
        <w:t>PLoS Biol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7</w:t>
      </w:r>
      <w:r w:rsidRPr="00420686">
        <w:rPr>
          <w:rFonts w:ascii="Book Antiqua" w:eastAsia="宋体" w:hAnsi="Book Antiqua" w:cs="宋体"/>
          <w:sz w:val="24"/>
          <w:szCs w:val="24"/>
        </w:rPr>
        <w:t>: e1000067 [PMID: 19557146 DOI: 10.1371/journal.pbio.1000067]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176 </w:t>
      </w:r>
      <w:r w:rsidRPr="00420686">
        <w:rPr>
          <w:rFonts w:ascii="Book Antiqua" w:eastAsia="宋体" w:hAnsi="Book Antiqua" w:cs="宋体"/>
          <w:b/>
          <w:bCs/>
          <w:sz w:val="24"/>
          <w:szCs w:val="24"/>
        </w:rPr>
        <w:t>Reche PA</w:t>
      </w:r>
      <w:r w:rsidRPr="00420686">
        <w:rPr>
          <w:rFonts w:ascii="Book Antiqua" w:eastAsia="宋体" w:hAnsi="Book Antiqua" w:cs="宋体"/>
          <w:sz w:val="24"/>
          <w:szCs w:val="24"/>
        </w:rPr>
        <w:t xml:space="preserve">, Soumelis V, Gorman DM, Clifford T, Liu Mr M, Zurawski SM, Johnston J, Liu YJ, Spits H, de Waal Malefyt R, Kastelein RA, Bazan JF. Human thymic stromal lymphopoietin preferentially stimulates myeloid cells. </w:t>
      </w:r>
      <w:r w:rsidRPr="00420686">
        <w:rPr>
          <w:rFonts w:ascii="Book Antiqua" w:eastAsia="宋体" w:hAnsi="Book Antiqua" w:cs="宋体"/>
          <w:i/>
          <w:iCs/>
          <w:sz w:val="24"/>
          <w:szCs w:val="24"/>
        </w:rPr>
        <w:t>J Immunol</w:t>
      </w:r>
      <w:r w:rsidRPr="00420686">
        <w:rPr>
          <w:rFonts w:ascii="Book Antiqua" w:eastAsia="宋体" w:hAnsi="Book Antiqua" w:cs="宋体"/>
          <w:sz w:val="24"/>
          <w:szCs w:val="24"/>
        </w:rPr>
        <w:t xml:space="preserve"> 2001; </w:t>
      </w:r>
      <w:r w:rsidRPr="00420686">
        <w:rPr>
          <w:rFonts w:ascii="Book Antiqua" w:eastAsia="宋体" w:hAnsi="Book Antiqua" w:cs="宋体"/>
          <w:b/>
          <w:bCs/>
          <w:sz w:val="24"/>
          <w:szCs w:val="24"/>
        </w:rPr>
        <w:t>167</w:t>
      </w:r>
      <w:r w:rsidRPr="00420686">
        <w:rPr>
          <w:rFonts w:ascii="Book Antiqua" w:eastAsia="宋体" w:hAnsi="Book Antiqua" w:cs="宋体"/>
          <w:sz w:val="24"/>
          <w:szCs w:val="24"/>
        </w:rPr>
        <w:t>: 336-343 [PMID: 11418668]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177 </w:t>
      </w:r>
      <w:r w:rsidRPr="00420686">
        <w:rPr>
          <w:rFonts w:ascii="Book Antiqua" w:eastAsia="宋体" w:hAnsi="Book Antiqua" w:cs="宋体"/>
          <w:b/>
          <w:bCs/>
          <w:sz w:val="24"/>
          <w:szCs w:val="24"/>
        </w:rPr>
        <w:t>Liu YJ</w:t>
      </w:r>
      <w:r w:rsidRPr="00420686">
        <w:rPr>
          <w:rFonts w:ascii="Book Antiqua" w:eastAsia="宋体" w:hAnsi="Book Antiqua" w:cs="宋体"/>
          <w:sz w:val="24"/>
          <w:szCs w:val="24"/>
        </w:rPr>
        <w:t xml:space="preserve">. Thymic stromal lymphopoietin: master switch for allergic inflammation. </w:t>
      </w:r>
      <w:r w:rsidRPr="00420686">
        <w:rPr>
          <w:rFonts w:ascii="Book Antiqua" w:eastAsia="宋体" w:hAnsi="Book Antiqua" w:cs="宋体"/>
          <w:i/>
          <w:iCs/>
          <w:sz w:val="24"/>
          <w:szCs w:val="24"/>
        </w:rPr>
        <w:t>J Exp Med</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203</w:t>
      </w:r>
      <w:r w:rsidRPr="00420686">
        <w:rPr>
          <w:rFonts w:ascii="Book Antiqua" w:eastAsia="宋体" w:hAnsi="Book Antiqua" w:cs="宋体"/>
          <w:sz w:val="24"/>
          <w:szCs w:val="24"/>
        </w:rPr>
        <w:t>: 269-273 [PMID: 16432252 DOI: 10.1084/jem.20051745]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178 </w:t>
      </w:r>
      <w:r w:rsidRPr="00420686">
        <w:rPr>
          <w:rFonts w:ascii="Book Antiqua" w:eastAsia="宋体" w:hAnsi="Book Antiqua" w:cs="宋体"/>
          <w:b/>
          <w:bCs/>
          <w:sz w:val="24"/>
          <w:szCs w:val="24"/>
        </w:rPr>
        <w:t>Soumelis V</w:t>
      </w:r>
      <w:r w:rsidRPr="00420686">
        <w:rPr>
          <w:rFonts w:ascii="Book Antiqua" w:eastAsia="宋体" w:hAnsi="Book Antiqua" w:cs="宋体"/>
          <w:sz w:val="24"/>
          <w:szCs w:val="24"/>
        </w:rPr>
        <w:t xml:space="preserve">, Liu YJ. Human thymic stromal lymphopoietin: a novel epithelial cell-derived cytokine and a potential key player in the induction of allergic inflammation. </w:t>
      </w:r>
      <w:r w:rsidRPr="00420686">
        <w:rPr>
          <w:rFonts w:ascii="Book Antiqua" w:eastAsia="宋体" w:hAnsi="Book Antiqua" w:cs="宋体"/>
          <w:i/>
          <w:iCs/>
          <w:sz w:val="24"/>
          <w:szCs w:val="24"/>
        </w:rPr>
        <w:t>Springer Semin Immunopathol</w:t>
      </w:r>
      <w:r w:rsidRPr="00420686">
        <w:rPr>
          <w:rFonts w:ascii="Book Antiqua" w:eastAsia="宋体" w:hAnsi="Book Antiqua" w:cs="宋体"/>
          <w:sz w:val="24"/>
          <w:szCs w:val="24"/>
        </w:rPr>
        <w:t xml:space="preserve"> 2004; </w:t>
      </w:r>
      <w:r w:rsidRPr="00420686">
        <w:rPr>
          <w:rFonts w:ascii="Book Antiqua" w:eastAsia="宋体" w:hAnsi="Book Antiqua" w:cs="宋体"/>
          <w:b/>
          <w:bCs/>
          <w:sz w:val="24"/>
          <w:szCs w:val="24"/>
        </w:rPr>
        <w:t>25</w:t>
      </w:r>
      <w:r w:rsidRPr="00420686">
        <w:rPr>
          <w:rFonts w:ascii="Book Antiqua" w:eastAsia="宋体" w:hAnsi="Book Antiqua" w:cs="宋体"/>
          <w:sz w:val="24"/>
          <w:szCs w:val="24"/>
        </w:rPr>
        <w:t>: 325-333 [PMID: 14999427 DOI: 10.1007/s00281-003-0152-0]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179 </w:t>
      </w:r>
      <w:r w:rsidRPr="00420686">
        <w:rPr>
          <w:rFonts w:ascii="Book Antiqua" w:eastAsia="宋体" w:hAnsi="Book Antiqua" w:cs="宋体"/>
          <w:b/>
          <w:bCs/>
          <w:sz w:val="24"/>
          <w:szCs w:val="24"/>
        </w:rPr>
        <w:t>Sano Y</w:t>
      </w:r>
      <w:r w:rsidRPr="00420686">
        <w:rPr>
          <w:rFonts w:ascii="Book Antiqua" w:eastAsia="宋体" w:hAnsi="Book Antiqua" w:cs="宋体"/>
          <w:sz w:val="24"/>
          <w:szCs w:val="24"/>
        </w:rPr>
        <w:t xml:space="preserve">, Masuda K, Tamagawa-Mineoka R, Matsunaka H, Murakami Y, Yamashita R, Morita E, Katoh N. Thymic stromal lymphopoietin expression is increased in the horny layer of patients with atopic dermatitis. </w:t>
      </w:r>
      <w:r w:rsidRPr="00420686">
        <w:rPr>
          <w:rFonts w:ascii="Book Antiqua" w:eastAsia="宋体" w:hAnsi="Book Antiqua" w:cs="宋体"/>
          <w:i/>
          <w:iCs/>
          <w:sz w:val="24"/>
          <w:szCs w:val="24"/>
        </w:rPr>
        <w:t>Clin Exp Immunol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171</w:t>
      </w:r>
      <w:r w:rsidRPr="00420686">
        <w:rPr>
          <w:rFonts w:ascii="Book Antiqua" w:eastAsia="宋体" w:hAnsi="Book Antiqua" w:cs="宋体"/>
          <w:sz w:val="24"/>
          <w:szCs w:val="24"/>
        </w:rPr>
        <w:t>: 330-337 [PMID: 23379440 DOI: 10.1111/cei.12021]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180 </w:t>
      </w:r>
      <w:r w:rsidRPr="00420686">
        <w:rPr>
          <w:rFonts w:ascii="Book Antiqua" w:eastAsia="宋体" w:hAnsi="Book Antiqua" w:cs="宋体"/>
          <w:b/>
          <w:bCs/>
          <w:sz w:val="24"/>
          <w:szCs w:val="24"/>
        </w:rPr>
        <w:t>Leyva-Castillo JM</w:t>
      </w:r>
      <w:r w:rsidRPr="00420686">
        <w:rPr>
          <w:rFonts w:ascii="Book Antiqua" w:eastAsia="宋体" w:hAnsi="Book Antiqua" w:cs="宋体"/>
          <w:sz w:val="24"/>
          <w:szCs w:val="24"/>
        </w:rPr>
        <w:t xml:space="preserve">, Hener P, Jiang H, Li M. TSLP produced by keratinocytes promotes allergen sensitization through skin and thereby triggers atopic march in mice.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133</w:t>
      </w:r>
      <w:r w:rsidRPr="00420686">
        <w:rPr>
          <w:rFonts w:ascii="Book Antiqua" w:eastAsia="宋体" w:hAnsi="Book Antiqua" w:cs="宋体"/>
          <w:sz w:val="24"/>
          <w:szCs w:val="24"/>
        </w:rPr>
        <w:t>: 154-163 [PMID: 22832486 DOI: 10.1038/jid.2012.239]</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181 </w:t>
      </w:r>
      <w:r w:rsidRPr="00420686">
        <w:rPr>
          <w:rFonts w:ascii="Book Antiqua" w:eastAsia="宋体" w:hAnsi="Book Antiqua" w:cs="宋体"/>
          <w:b/>
          <w:bCs/>
          <w:sz w:val="24"/>
          <w:szCs w:val="24"/>
        </w:rPr>
        <w:t>Yoo J</w:t>
      </w:r>
      <w:r w:rsidRPr="00420686">
        <w:rPr>
          <w:rFonts w:ascii="Book Antiqua" w:eastAsia="宋体" w:hAnsi="Book Antiqua" w:cs="宋体"/>
          <w:sz w:val="24"/>
          <w:szCs w:val="24"/>
        </w:rPr>
        <w:t xml:space="preserve">, Omori M, Gyarmati D, Zhou B, Aye T, Brewer A, Comeau MR, Campbell DJ, Ziegler SF. Spontaneous atopic dermatitis in mice expressing an inducible thymic stromal lymphopoietin transgene specifically in the skin. </w:t>
      </w:r>
      <w:r w:rsidRPr="00420686">
        <w:rPr>
          <w:rFonts w:ascii="Book Antiqua" w:eastAsia="宋体" w:hAnsi="Book Antiqua" w:cs="宋体"/>
          <w:i/>
          <w:iCs/>
          <w:sz w:val="24"/>
          <w:szCs w:val="24"/>
        </w:rPr>
        <w:t>J Exp Med</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202</w:t>
      </w:r>
      <w:r w:rsidRPr="00420686">
        <w:rPr>
          <w:rFonts w:ascii="Book Antiqua" w:eastAsia="宋体" w:hAnsi="Book Antiqua" w:cs="宋体"/>
          <w:sz w:val="24"/>
          <w:szCs w:val="24"/>
        </w:rPr>
        <w:t>: 541-549 [PMID: 16103410 DOI: 10.1084/jem.20041503]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182 </w:t>
      </w:r>
      <w:r w:rsidRPr="00420686">
        <w:rPr>
          <w:rFonts w:ascii="Book Antiqua" w:eastAsia="宋体" w:hAnsi="Book Antiqua" w:cs="宋体"/>
          <w:b/>
          <w:bCs/>
          <w:sz w:val="24"/>
          <w:szCs w:val="24"/>
        </w:rPr>
        <w:t>Li M</w:t>
      </w:r>
      <w:r w:rsidRPr="00420686">
        <w:rPr>
          <w:rFonts w:ascii="Book Antiqua" w:eastAsia="宋体" w:hAnsi="Book Antiqua" w:cs="宋体"/>
          <w:sz w:val="24"/>
          <w:szCs w:val="24"/>
        </w:rPr>
        <w:t xml:space="preserve">, Messaddeq N, Teletin M, Pasquali JL, Metzger D, Chambon P. Retinoid X receptor ablation in adult mouse keratinocytes generates an atopic dermatitis triggered by thymic stromal lymphopoietin. </w:t>
      </w:r>
      <w:r w:rsidRPr="00420686">
        <w:rPr>
          <w:rFonts w:ascii="Book Antiqua" w:eastAsia="宋体" w:hAnsi="Book Antiqua" w:cs="宋体"/>
          <w:i/>
          <w:iCs/>
          <w:sz w:val="24"/>
          <w:szCs w:val="24"/>
        </w:rPr>
        <w:t>Proc Natl Acad Sci U S A</w:t>
      </w:r>
      <w:r w:rsidRPr="00420686">
        <w:rPr>
          <w:rFonts w:ascii="Book Antiqua" w:eastAsia="宋体" w:hAnsi="Book Antiqua" w:cs="宋体"/>
          <w:sz w:val="24"/>
          <w:szCs w:val="24"/>
        </w:rPr>
        <w:t xml:space="preserve"> 2005; </w:t>
      </w:r>
      <w:r w:rsidRPr="00420686">
        <w:rPr>
          <w:rFonts w:ascii="Book Antiqua" w:eastAsia="宋体" w:hAnsi="Book Antiqua" w:cs="宋体"/>
          <w:b/>
          <w:bCs/>
          <w:sz w:val="24"/>
          <w:szCs w:val="24"/>
        </w:rPr>
        <w:t>102</w:t>
      </w:r>
      <w:r w:rsidRPr="00420686">
        <w:rPr>
          <w:rFonts w:ascii="Book Antiqua" w:eastAsia="宋体" w:hAnsi="Book Antiqua" w:cs="宋体"/>
          <w:sz w:val="24"/>
          <w:szCs w:val="24"/>
        </w:rPr>
        <w:t>: 14795-14800 [PMID: 16199515 DOI: 10.1073/pnas.0507385102]</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183 </w:t>
      </w:r>
      <w:r w:rsidRPr="00420686">
        <w:rPr>
          <w:rFonts w:ascii="Book Antiqua" w:eastAsia="宋体" w:hAnsi="Book Antiqua" w:cs="宋体"/>
          <w:b/>
          <w:bCs/>
          <w:sz w:val="24"/>
          <w:szCs w:val="24"/>
        </w:rPr>
        <w:t>Han H</w:t>
      </w:r>
      <w:r w:rsidRPr="00420686">
        <w:rPr>
          <w:rFonts w:ascii="Book Antiqua" w:eastAsia="宋体" w:hAnsi="Book Antiqua" w:cs="宋体"/>
          <w:sz w:val="24"/>
          <w:szCs w:val="24"/>
        </w:rPr>
        <w:t xml:space="preserve">, Xu W, Headley MB, Jessup HK, Lee KS, Omori M, Comeau MR, Marshak-Rothstein A, Ziegler SF. Thymic stromal lymphopoietin (TSLP)-mediated dermal inflammation aggravates experimental asthma. </w:t>
      </w:r>
      <w:r w:rsidRPr="00420686">
        <w:rPr>
          <w:rFonts w:ascii="Book Antiqua" w:eastAsia="宋体" w:hAnsi="Book Antiqua" w:cs="宋体"/>
          <w:i/>
          <w:iCs/>
          <w:sz w:val="24"/>
          <w:szCs w:val="24"/>
        </w:rPr>
        <w:t>Mucosal Immunol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5</w:t>
      </w:r>
      <w:r w:rsidRPr="00420686">
        <w:rPr>
          <w:rFonts w:ascii="Book Antiqua" w:eastAsia="宋体" w:hAnsi="Book Antiqua" w:cs="宋体"/>
          <w:sz w:val="24"/>
          <w:szCs w:val="24"/>
        </w:rPr>
        <w:t>: 342-351 [PMID: 22354320 DOI: 10.1038/mi.2012.14]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184 </w:t>
      </w:r>
      <w:r w:rsidRPr="00420686">
        <w:rPr>
          <w:rFonts w:ascii="Book Antiqua" w:eastAsia="宋体" w:hAnsi="Book Antiqua" w:cs="宋体"/>
          <w:b/>
          <w:bCs/>
          <w:sz w:val="24"/>
          <w:szCs w:val="24"/>
        </w:rPr>
        <w:t>Margolis DJ</w:t>
      </w:r>
      <w:r w:rsidRPr="00420686">
        <w:rPr>
          <w:rFonts w:ascii="Book Antiqua" w:eastAsia="宋体" w:hAnsi="Book Antiqua" w:cs="宋体"/>
          <w:sz w:val="24"/>
          <w:szCs w:val="24"/>
        </w:rPr>
        <w:t xml:space="preserve">, Kim B, Apter AJ, Gupta J, Hoffstad O, Papadopoulos M, Mitra N. Thymic stromal lymphopoietin variation, filaggrin loss of function, and the persistence of atopic dermatitis. </w:t>
      </w:r>
      <w:r w:rsidRPr="00420686">
        <w:rPr>
          <w:rFonts w:ascii="Book Antiqua" w:eastAsia="宋体" w:hAnsi="Book Antiqua" w:cs="宋体"/>
          <w:i/>
          <w:iCs/>
          <w:sz w:val="24"/>
          <w:szCs w:val="24"/>
        </w:rPr>
        <w:t>JAMA Dermatol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150</w:t>
      </w:r>
      <w:r w:rsidRPr="00420686">
        <w:rPr>
          <w:rFonts w:ascii="Book Antiqua" w:eastAsia="宋体" w:hAnsi="Book Antiqua" w:cs="宋体"/>
          <w:sz w:val="24"/>
          <w:szCs w:val="24"/>
        </w:rPr>
        <w:t>: 254-259 [PMID: 24401911 DOI: 10.1001/jamadermatol.2013.7954]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185 </w:t>
      </w:r>
      <w:r w:rsidRPr="00420686">
        <w:rPr>
          <w:rFonts w:ascii="Book Antiqua" w:eastAsia="宋体" w:hAnsi="Book Antiqua" w:cs="宋体"/>
          <w:b/>
          <w:bCs/>
          <w:sz w:val="24"/>
          <w:szCs w:val="24"/>
        </w:rPr>
        <w:t>Biagini Myers JM</w:t>
      </w:r>
      <w:r w:rsidRPr="00420686">
        <w:rPr>
          <w:rFonts w:ascii="Book Antiqua" w:eastAsia="宋体" w:hAnsi="Book Antiqua" w:cs="宋体"/>
          <w:sz w:val="24"/>
          <w:szCs w:val="24"/>
        </w:rPr>
        <w:t xml:space="preserve">, Martin LJ, Kovacic MB, Mersha TB, He H, Pilipenko V, Lindsey MA, Ericksen MB, Bernstein DI, LeMasters GK, Lockey JE, Khurana Hershey GK. Epistasis between serine protease inhibitor Kazal-type 5 (SPINK5) and thymic stromal lymphopoietin (TSLP) genes contributes to childhood asthma.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134</w:t>
      </w:r>
      <w:r w:rsidRPr="00420686">
        <w:rPr>
          <w:rFonts w:ascii="Book Antiqua" w:eastAsia="宋体" w:hAnsi="Book Antiqua" w:cs="宋体"/>
          <w:sz w:val="24"/>
          <w:szCs w:val="24"/>
        </w:rPr>
        <w:t>: 891-899.e3 [PMID: 24831437 DOI: 10.1016/j.jaci.2014.03.037]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186 </w:t>
      </w:r>
      <w:r w:rsidRPr="00420686">
        <w:rPr>
          <w:rFonts w:ascii="Book Antiqua" w:eastAsia="宋体" w:hAnsi="Book Antiqua" w:cs="宋体"/>
          <w:b/>
          <w:bCs/>
          <w:sz w:val="24"/>
          <w:szCs w:val="24"/>
        </w:rPr>
        <w:t>Catherine Mack Correa M</w:t>
      </w:r>
      <w:r w:rsidRPr="00420686">
        <w:rPr>
          <w:rFonts w:ascii="Book Antiqua" w:eastAsia="宋体" w:hAnsi="Book Antiqua" w:cs="宋体"/>
          <w:sz w:val="24"/>
          <w:szCs w:val="24"/>
        </w:rPr>
        <w:t xml:space="preserve">, Nebus J. Management of patients with atopic dermatitis: the role of emollient therapy. </w:t>
      </w:r>
      <w:r w:rsidRPr="00420686">
        <w:rPr>
          <w:rFonts w:ascii="Book Antiqua" w:eastAsia="宋体" w:hAnsi="Book Antiqua" w:cs="宋体"/>
          <w:i/>
          <w:iCs/>
          <w:sz w:val="24"/>
          <w:szCs w:val="24"/>
        </w:rPr>
        <w:t>Dermatol Res Pract</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2012</w:t>
      </w:r>
      <w:r w:rsidRPr="00420686">
        <w:rPr>
          <w:rFonts w:ascii="Book Antiqua" w:eastAsia="宋体" w:hAnsi="Book Antiqua" w:cs="宋体"/>
          <w:sz w:val="24"/>
          <w:szCs w:val="24"/>
        </w:rPr>
        <w:t>: 836931 [PMID: 23008699 DOI: 10.1155/2012/836931]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187 </w:t>
      </w:r>
      <w:r w:rsidRPr="00420686">
        <w:rPr>
          <w:rFonts w:ascii="Book Antiqua" w:eastAsia="宋体" w:hAnsi="Book Antiqua" w:cs="宋体"/>
          <w:b/>
          <w:bCs/>
          <w:sz w:val="24"/>
          <w:szCs w:val="24"/>
        </w:rPr>
        <w:t>Simpson EL</w:t>
      </w:r>
      <w:r w:rsidRPr="00420686">
        <w:rPr>
          <w:rFonts w:ascii="Book Antiqua" w:eastAsia="宋体" w:hAnsi="Book Antiqua" w:cs="宋体"/>
          <w:sz w:val="24"/>
          <w:szCs w:val="24"/>
        </w:rPr>
        <w:t xml:space="preserve">, Berry TM, Brown PA, Hanifin JM. A pilot study of emollient therapy for the primary prevention of atopic dermatitis. </w:t>
      </w:r>
      <w:r w:rsidRPr="00420686">
        <w:rPr>
          <w:rFonts w:ascii="Book Antiqua" w:eastAsia="宋体" w:hAnsi="Book Antiqua" w:cs="宋体"/>
          <w:i/>
          <w:iCs/>
          <w:sz w:val="24"/>
          <w:szCs w:val="24"/>
        </w:rPr>
        <w:t>J Am Acad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63</w:t>
      </w:r>
      <w:r w:rsidRPr="00420686">
        <w:rPr>
          <w:rFonts w:ascii="Book Antiqua" w:eastAsia="宋体" w:hAnsi="Book Antiqua" w:cs="宋体"/>
          <w:sz w:val="24"/>
          <w:szCs w:val="24"/>
        </w:rPr>
        <w:t>: 587-593 [PMID: 20692725 DOI: 10.1016/j.jaad.2009.11.011]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188 </w:t>
      </w:r>
      <w:r w:rsidRPr="00420686">
        <w:rPr>
          <w:rFonts w:ascii="Book Antiqua" w:eastAsia="宋体" w:hAnsi="Book Antiqua" w:cs="宋体"/>
          <w:b/>
          <w:bCs/>
          <w:sz w:val="24"/>
          <w:szCs w:val="24"/>
        </w:rPr>
        <w:t>Hengge UR</w:t>
      </w:r>
      <w:r w:rsidRPr="00420686">
        <w:rPr>
          <w:rFonts w:ascii="Book Antiqua" w:eastAsia="宋体" w:hAnsi="Book Antiqua" w:cs="宋体"/>
          <w:sz w:val="24"/>
          <w:szCs w:val="24"/>
        </w:rPr>
        <w:t xml:space="preserve">, Ruzicka T, Schwartz RA, Cork MJ. Adverse effects of topical glucocorticosteroids. </w:t>
      </w:r>
      <w:r w:rsidRPr="00420686">
        <w:rPr>
          <w:rFonts w:ascii="Book Antiqua" w:eastAsia="宋体" w:hAnsi="Book Antiqua" w:cs="宋体"/>
          <w:i/>
          <w:iCs/>
          <w:sz w:val="24"/>
          <w:szCs w:val="24"/>
        </w:rPr>
        <w:t>J Am Acad Dermatol</w:t>
      </w:r>
      <w:r w:rsidRPr="00420686">
        <w:rPr>
          <w:rFonts w:ascii="Book Antiqua" w:eastAsia="宋体" w:hAnsi="Book Antiqua" w:cs="宋体"/>
          <w:sz w:val="24"/>
          <w:szCs w:val="24"/>
        </w:rPr>
        <w:t xml:space="preserve"> 2006; </w:t>
      </w:r>
      <w:r w:rsidRPr="00420686">
        <w:rPr>
          <w:rFonts w:ascii="Book Antiqua" w:eastAsia="宋体" w:hAnsi="Book Antiqua" w:cs="宋体"/>
          <w:b/>
          <w:bCs/>
          <w:sz w:val="24"/>
          <w:szCs w:val="24"/>
        </w:rPr>
        <w:t>54</w:t>
      </w:r>
      <w:r w:rsidRPr="00420686">
        <w:rPr>
          <w:rFonts w:ascii="Book Antiqua" w:eastAsia="宋体" w:hAnsi="Book Antiqua" w:cs="宋体"/>
          <w:sz w:val="24"/>
          <w:szCs w:val="24"/>
        </w:rPr>
        <w:t>: 1-15; quiz 16-18 [PMID: 16384751 DOI: 10.1016/j.jaad.2005.01.010]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189 </w:t>
      </w:r>
      <w:r w:rsidRPr="00420686">
        <w:rPr>
          <w:rFonts w:ascii="Book Antiqua" w:eastAsia="宋体" w:hAnsi="Book Antiqua" w:cs="宋体"/>
          <w:b/>
          <w:bCs/>
          <w:sz w:val="24"/>
          <w:szCs w:val="24"/>
        </w:rPr>
        <w:t>Kim M</w:t>
      </w:r>
      <w:r w:rsidRPr="00420686">
        <w:rPr>
          <w:rFonts w:ascii="Book Antiqua" w:eastAsia="宋体" w:hAnsi="Book Antiqua" w:cs="宋体"/>
          <w:sz w:val="24"/>
          <w:szCs w:val="24"/>
        </w:rPr>
        <w:t xml:space="preserve">, Jung M, Hong SP, Jeon H, Kim MJ, Cho MY, Lee SH, Man MQ, Elias PM, Choi EH. Topical calcineurin inhibitors compromise stratum corneum integrity, epidermal permeability and antimicrobial barrier function.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2010; </w:t>
      </w:r>
      <w:r w:rsidRPr="00420686">
        <w:rPr>
          <w:rFonts w:ascii="Book Antiqua" w:eastAsia="宋体" w:hAnsi="Book Antiqua" w:cs="宋体"/>
          <w:b/>
          <w:bCs/>
          <w:sz w:val="24"/>
          <w:szCs w:val="24"/>
        </w:rPr>
        <w:t>19</w:t>
      </w:r>
      <w:r w:rsidRPr="00420686">
        <w:rPr>
          <w:rFonts w:ascii="Book Antiqua" w:eastAsia="宋体" w:hAnsi="Book Antiqua" w:cs="宋体"/>
          <w:sz w:val="24"/>
          <w:szCs w:val="24"/>
        </w:rPr>
        <w:t>: 501-510 [PMID: 19703225 DOI: 10.1111/j.1600-0625.2009.00941.x]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190 </w:t>
      </w:r>
      <w:r w:rsidRPr="00420686">
        <w:rPr>
          <w:rFonts w:ascii="Book Antiqua" w:eastAsia="宋体" w:hAnsi="Book Antiqua" w:cs="宋体"/>
          <w:b/>
          <w:bCs/>
          <w:sz w:val="24"/>
          <w:szCs w:val="24"/>
        </w:rPr>
        <w:t>Kao JS</w:t>
      </w:r>
      <w:r w:rsidRPr="00420686">
        <w:rPr>
          <w:rFonts w:ascii="Book Antiqua" w:eastAsia="宋体" w:hAnsi="Book Antiqua" w:cs="宋体"/>
          <w:sz w:val="24"/>
          <w:szCs w:val="24"/>
        </w:rPr>
        <w:t xml:space="preserve">, Fluhr JW, Man MQ, Fowler AJ, Hachem JP, Crumrine D, Ahn SK, Brown BE, Elias PM, Feingold KR. Short-term glucocorticoid treatment compromises both permeability barrier homeostasis and stratum corneum integrity: inhibition of epidermal lipid synthesis accounts for functional abnormalities.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2003; </w:t>
      </w:r>
      <w:r w:rsidRPr="00420686">
        <w:rPr>
          <w:rFonts w:ascii="Book Antiqua" w:eastAsia="宋体" w:hAnsi="Book Antiqua" w:cs="宋体"/>
          <w:b/>
          <w:bCs/>
          <w:sz w:val="24"/>
          <w:szCs w:val="24"/>
        </w:rPr>
        <w:t>120</w:t>
      </w:r>
      <w:r w:rsidRPr="00420686">
        <w:rPr>
          <w:rFonts w:ascii="Book Antiqua" w:eastAsia="宋体" w:hAnsi="Book Antiqua" w:cs="宋体"/>
          <w:sz w:val="24"/>
          <w:szCs w:val="24"/>
        </w:rPr>
        <w:t>: 456-464 [PMID: 12603860 DOI: 10.1046/j.1523-1747.2003.12053.x]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191 </w:t>
      </w:r>
      <w:r w:rsidRPr="00420686">
        <w:rPr>
          <w:rFonts w:ascii="Book Antiqua" w:eastAsia="宋体" w:hAnsi="Book Antiqua" w:cs="宋体"/>
          <w:b/>
          <w:bCs/>
          <w:sz w:val="24"/>
          <w:szCs w:val="24"/>
        </w:rPr>
        <w:t>Danby SG</w:t>
      </w:r>
      <w:r w:rsidRPr="00420686">
        <w:rPr>
          <w:rFonts w:ascii="Book Antiqua" w:eastAsia="宋体" w:hAnsi="Book Antiqua" w:cs="宋体"/>
          <w:sz w:val="24"/>
          <w:szCs w:val="24"/>
        </w:rPr>
        <w:t xml:space="preserve">, Chittock J, Brown K, Albenali LH, Cork MJ. The effect of tacrolimus compared with betamethasone valerate on the skin barrier in volunteers with quiescent atopic dermatitis.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170</w:t>
      </w:r>
      <w:r w:rsidRPr="00420686">
        <w:rPr>
          <w:rFonts w:ascii="Book Antiqua" w:eastAsia="宋体" w:hAnsi="Book Antiqua" w:cs="宋体"/>
          <w:sz w:val="24"/>
          <w:szCs w:val="24"/>
        </w:rPr>
        <w:t>: 914-921 [PMID: 24328907 DOI: 10.1111/bjd.12778]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192 </w:t>
      </w:r>
      <w:r w:rsidRPr="00420686">
        <w:rPr>
          <w:rFonts w:ascii="Book Antiqua" w:eastAsia="宋体" w:hAnsi="Book Antiqua" w:cs="宋体"/>
          <w:b/>
          <w:bCs/>
          <w:sz w:val="24"/>
          <w:szCs w:val="24"/>
        </w:rPr>
        <w:t>Angelova-Fischer I</w:t>
      </w:r>
      <w:r w:rsidRPr="00420686">
        <w:rPr>
          <w:rFonts w:ascii="Book Antiqua" w:eastAsia="宋体" w:hAnsi="Book Antiqua" w:cs="宋体"/>
          <w:sz w:val="24"/>
          <w:szCs w:val="24"/>
        </w:rPr>
        <w:t xml:space="preserve">, Dapic I, Hoek AK, Jakasa I, Fischer TW, Zillikens D, Kezic S. Skin barrier integrity and natural moisturising factor levels after cumulative dermal exposure to alkaline agents in atopic dermatitis. </w:t>
      </w:r>
      <w:r w:rsidRPr="00420686">
        <w:rPr>
          <w:rFonts w:ascii="Book Antiqua" w:eastAsia="宋体" w:hAnsi="Book Antiqua" w:cs="宋体"/>
          <w:i/>
          <w:iCs/>
          <w:sz w:val="24"/>
          <w:szCs w:val="24"/>
        </w:rPr>
        <w:t>Acta Derm Venereol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94</w:t>
      </w:r>
      <w:r w:rsidRPr="00420686">
        <w:rPr>
          <w:rFonts w:ascii="Book Antiqua" w:eastAsia="宋体" w:hAnsi="Book Antiqua" w:cs="宋体"/>
          <w:sz w:val="24"/>
          <w:szCs w:val="24"/>
        </w:rPr>
        <w:t>: 640-644 [PMID: 24531413 DOI: 10.2340/00015555-1815]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193 </w:t>
      </w:r>
      <w:r w:rsidRPr="00420686">
        <w:rPr>
          <w:rFonts w:ascii="Book Antiqua" w:eastAsia="宋体" w:hAnsi="Book Antiqua" w:cs="宋体"/>
          <w:b/>
          <w:bCs/>
          <w:sz w:val="24"/>
          <w:szCs w:val="24"/>
        </w:rPr>
        <w:t>Törmä H</w:t>
      </w:r>
      <w:r w:rsidRPr="00420686">
        <w:rPr>
          <w:rFonts w:ascii="Book Antiqua" w:eastAsia="宋体" w:hAnsi="Book Antiqua" w:cs="宋体"/>
          <w:sz w:val="24"/>
          <w:szCs w:val="24"/>
        </w:rPr>
        <w:t xml:space="preserve">, Lindberg M, Berne B. Skin barrier disruption by sodium lauryl sulfate-exposure alters the expressions of involucrin, transglutaminase 1, profilaggrin, and kallikreins during the repair phase in human skin in vivo.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2008; </w:t>
      </w:r>
      <w:r w:rsidRPr="00420686">
        <w:rPr>
          <w:rFonts w:ascii="Book Antiqua" w:eastAsia="宋体" w:hAnsi="Book Antiqua" w:cs="宋体"/>
          <w:b/>
          <w:bCs/>
          <w:sz w:val="24"/>
          <w:szCs w:val="24"/>
        </w:rPr>
        <w:t>128</w:t>
      </w:r>
      <w:r w:rsidRPr="00420686">
        <w:rPr>
          <w:rFonts w:ascii="Book Antiqua" w:eastAsia="宋体" w:hAnsi="Book Antiqua" w:cs="宋体"/>
          <w:sz w:val="24"/>
          <w:szCs w:val="24"/>
        </w:rPr>
        <w:t>: 1212-1219 [PMID: 18007579 DOI: 10.1038/sj.jid.5701170]</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194 </w:t>
      </w:r>
      <w:r w:rsidRPr="00420686">
        <w:rPr>
          <w:rFonts w:ascii="Book Antiqua" w:eastAsia="宋体" w:hAnsi="Book Antiqua" w:cs="宋体"/>
          <w:b/>
          <w:bCs/>
          <w:sz w:val="24"/>
          <w:szCs w:val="24"/>
        </w:rPr>
        <w:t>Hon KL</w:t>
      </w:r>
      <w:r w:rsidRPr="00420686">
        <w:rPr>
          <w:rFonts w:ascii="Book Antiqua" w:eastAsia="宋体" w:hAnsi="Book Antiqua" w:cs="宋体"/>
          <w:sz w:val="24"/>
          <w:szCs w:val="24"/>
        </w:rPr>
        <w:t xml:space="preserve">, Leung AK. Use of ceramides and related products for childhood-onset eczema. </w:t>
      </w:r>
      <w:r w:rsidRPr="00420686">
        <w:rPr>
          <w:rFonts w:ascii="Book Antiqua" w:eastAsia="宋体" w:hAnsi="Book Antiqua" w:cs="宋体"/>
          <w:i/>
          <w:iCs/>
          <w:sz w:val="24"/>
          <w:szCs w:val="24"/>
        </w:rPr>
        <w:t>Recent Pat Inflamm Allergy Drug Discov</w:t>
      </w:r>
      <w:r w:rsidRPr="00420686">
        <w:rPr>
          <w:rFonts w:ascii="Book Antiqua" w:eastAsia="宋体" w:hAnsi="Book Antiqua" w:cs="宋体"/>
          <w:sz w:val="24"/>
          <w:szCs w:val="24"/>
        </w:rPr>
        <w:t xml:space="preserve"> 2013; </w:t>
      </w:r>
      <w:r w:rsidRPr="00420686">
        <w:rPr>
          <w:rFonts w:ascii="Book Antiqua" w:eastAsia="宋体" w:hAnsi="Book Antiqua" w:cs="宋体"/>
          <w:b/>
          <w:bCs/>
          <w:sz w:val="24"/>
          <w:szCs w:val="24"/>
        </w:rPr>
        <w:t>7</w:t>
      </w:r>
      <w:r w:rsidRPr="00420686">
        <w:rPr>
          <w:rFonts w:ascii="Book Antiqua" w:eastAsia="宋体" w:hAnsi="Book Antiqua" w:cs="宋体"/>
          <w:sz w:val="24"/>
          <w:szCs w:val="24"/>
        </w:rPr>
        <w:t>: 12-19 [PMID: 23083072 DOI: 10.2174/187221313804004673]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195 </w:t>
      </w:r>
      <w:r w:rsidRPr="00420686">
        <w:rPr>
          <w:rFonts w:ascii="Book Antiqua" w:eastAsia="宋体" w:hAnsi="Book Antiqua" w:cs="宋体"/>
          <w:b/>
          <w:bCs/>
          <w:sz w:val="24"/>
          <w:szCs w:val="24"/>
        </w:rPr>
        <w:t>Valdman-Grinshpoun Y</w:t>
      </w:r>
      <w:r w:rsidRPr="00420686">
        <w:rPr>
          <w:rFonts w:ascii="Book Antiqua" w:eastAsia="宋体" w:hAnsi="Book Antiqua" w:cs="宋体"/>
          <w:sz w:val="24"/>
          <w:szCs w:val="24"/>
        </w:rPr>
        <w:t xml:space="preserve">, Ben-Amitai D, Zvulunov A. Barrier-restoring therapies in atopic dermatitis: current approaches and future perspectives. </w:t>
      </w:r>
      <w:r w:rsidRPr="00420686">
        <w:rPr>
          <w:rFonts w:ascii="Book Antiqua" w:eastAsia="宋体" w:hAnsi="Book Antiqua" w:cs="宋体"/>
          <w:i/>
          <w:iCs/>
          <w:sz w:val="24"/>
          <w:szCs w:val="24"/>
        </w:rPr>
        <w:t>Dermatol Res Pract</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2012</w:t>
      </w:r>
      <w:r w:rsidRPr="00420686">
        <w:rPr>
          <w:rFonts w:ascii="Book Antiqua" w:eastAsia="宋体" w:hAnsi="Book Antiqua" w:cs="宋体"/>
          <w:sz w:val="24"/>
          <w:szCs w:val="24"/>
        </w:rPr>
        <w:t>: 923134 [PMID: 22956938 DOI: 10.1155/2012/923134]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196 </w:t>
      </w:r>
      <w:r w:rsidRPr="00420686">
        <w:rPr>
          <w:rFonts w:ascii="Book Antiqua" w:eastAsia="宋体" w:hAnsi="Book Antiqua" w:cs="宋体"/>
          <w:b/>
          <w:bCs/>
          <w:sz w:val="24"/>
          <w:szCs w:val="24"/>
        </w:rPr>
        <w:t>Kircik LH</w:t>
      </w:r>
      <w:r w:rsidRPr="00420686">
        <w:rPr>
          <w:rFonts w:ascii="Book Antiqua" w:eastAsia="宋体" w:hAnsi="Book Antiqua" w:cs="宋体"/>
          <w:sz w:val="24"/>
          <w:szCs w:val="24"/>
        </w:rPr>
        <w:t xml:space="preserve">, Del Rosso JQ, Aversa D. Evaluating Clinical Use of a Ceramide-dominant, Physiologic Lipid-based Topical Emulsion for Atopic Dermatitis. </w:t>
      </w:r>
      <w:r w:rsidRPr="00420686">
        <w:rPr>
          <w:rFonts w:ascii="Book Antiqua" w:eastAsia="宋体" w:hAnsi="Book Antiqua" w:cs="宋体"/>
          <w:i/>
          <w:iCs/>
          <w:sz w:val="24"/>
          <w:szCs w:val="24"/>
        </w:rPr>
        <w:t>J Clin Aesthet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4</w:t>
      </w:r>
      <w:r w:rsidRPr="00420686">
        <w:rPr>
          <w:rFonts w:ascii="Book Antiqua" w:eastAsia="宋体" w:hAnsi="Book Antiqua" w:cs="宋体"/>
          <w:sz w:val="24"/>
          <w:szCs w:val="24"/>
        </w:rPr>
        <w:t>: 34-40 [PMID: 21464885]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197 </w:t>
      </w:r>
      <w:r w:rsidRPr="00420686">
        <w:rPr>
          <w:rFonts w:ascii="Book Antiqua" w:eastAsia="宋体" w:hAnsi="Book Antiqua" w:cs="宋体"/>
          <w:b/>
          <w:bCs/>
          <w:sz w:val="24"/>
          <w:szCs w:val="24"/>
        </w:rPr>
        <w:t>Chamlin SL</w:t>
      </w:r>
      <w:r w:rsidRPr="00420686">
        <w:rPr>
          <w:rFonts w:ascii="Book Antiqua" w:eastAsia="宋体" w:hAnsi="Book Antiqua" w:cs="宋体"/>
          <w:sz w:val="24"/>
          <w:szCs w:val="24"/>
        </w:rPr>
        <w:t xml:space="preserve">, Kao J, Frieden IJ, Sheu MY, Fowler AJ, Fluhr JW, Williams ML, Elias PM. Ceramide-dominant barrier repair lipids alleviate childhood atopic dermatitis: changes in barrier function provide a sensitive indicator of disease activity. </w:t>
      </w:r>
      <w:r w:rsidRPr="00420686">
        <w:rPr>
          <w:rFonts w:ascii="Book Antiqua" w:eastAsia="宋体" w:hAnsi="Book Antiqua" w:cs="宋体"/>
          <w:i/>
          <w:iCs/>
          <w:sz w:val="24"/>
          <w:szCs w:val="24"/>
        </w:rPr>
        <w:t>J Am Acad Dermatol</w:t>
      </w:r>
      <w:r w:rsidRPr="00420686">
        <w:rPr>
          <w:rFonts w:ascii="Book Antiqua" w:eastAsia="宋体" w:hAnsi="Book Antiqua" w:cs="宋体"/>
          <w:sz w:val="24"/>
          <w:szCs w:val="24"/>
        </w:rPr>
        <w:t xml:space="preserve"> 2002; </w:t>
      </w:r>
      <w:r w:rsidRPr="00420686">
        <w:rPr>
          <w:rFonts w:ascii="Book Antiqua" w:eastAsia="宋体" w:hAnsi="Book Antiqua" w:cs="宋体"/>
          <w:b/>
          <w:bCs/>
          <w:sz w:val="24"/>
          <w:szCs w:val="24"/>
        </w:rPr>
        <w:t>47</w:t>
      </w:r>
      <w:r w:rsidRPr="00420686">
        <w:rPr>
          <w:rFonts w:ascii="Book Antiqua" w:eastAsia="宋体" w:hAnsi="Book Antiqua" w:cs="宋体"/>
          <w:sz w:val="24"/>
          <w:szCs w:val="24"/>
        </w:rPr>
        <w:t>: 198-208 [PMID: 12140465 DOI: 10.1067/mjd.2002.124617]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198 </w:t>
      </w:r>
      <w:r w:rsidRPr="00420686">
        <w:rPr>
          <w:rFonts w:ascii="Book Antiqua" w:eastAsia="宋体" w:hAnsi="Book Antiqua" w:cs="宋体"/>
          <w:b/>
          <w:bCs/>
          <w:sz w:val="24"/>
          <w:szCs w:val="24"/>
        </w:rPr>
        <w:t>Sugarman JL</w:t>
      </w:r>
      <w:r w:rsidRPr="00420686">
        <w:rPr>
          <w:rFonts w:ascii="Book Antiqua" w:eastAsia="宋体" w:hAnsi="Book Antiqua" w:cs="宋体"/>
          <w:sz w:val="24"/>
          <w:szCs w:val="24"/>
        </w:rPr>
        <w:t xml:space="preserve">, Parish LC. Efficacy of a lipid-based barrier repair formulation in moderate-to-severe pediatric atopic dermatitis. </w:t>
      </w:r>
      <w:r w:rsidRPr="00420686">
        <w:rPr>
          <w:rFonts w:ascii="Book Antiqua" w:eastAsia="宋体" w:hAnsi="Book Antiqua" w:cs="宋体"/>
          <w:i/>
          <w:iCs/>
          <w:sz w:val="24"/>
          <w:szCs w:val="24"/>
        </w:rPr>
        <w:t>J Drugs Dermatol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8</w:t>
      </w:r>
      <w:r w:rsidRPr="00420686">
        <w:rPr>
          <w:rFonts w:ascii="Book Antiqua" w:eastAsia="宋体" w:hAnsi="Book Antiqua" w:cs="宋体"/>
          <w:sz w:val="24"/>
          <w:szCs w:val="24"/>
        </w:rPr>
        <w:t>: 1106-1111 [PMID: 20027938]</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199 </w:t>
      </w:r>
      <w:r w:rsidRPr="00420686">
        <w:rPr>
          <w:rFonts w:ascii="Book Antiqua" w:eastAsia="宋体" w:hAnsi="Book Antiqua" w:cs="宋体"/>
          <w:b/>
          <w:bCs/>
          <w:sz w:val="24"/>
          <w:szCs w:val="24"/>
        </w:rPr>
        <w:t>Miller DW</w:t>
      </w:r>
      <w:r w:rsidRPr="00420686">
        <w:rPr>
          <w:rFonts w:ascii="Book Antiqua" w:eastAsia="宋体" w:hAnsi="Book Antiqua" w:cs="宋体"/>
          <w:sz w:val="24"/>
          <w:szCs w:val="24"/>
        </w:rPr>
        <w:t xml:space="preserve">, Koch SB, Yentzer BA, Clark AR, O'Neill JR, Fountain J, Weber TM, Fleischer AB. An over-the-counter moisturizer is as clinically effective as, and more cost-effective than, prescription barrier creams in the treatment of children with mild-to-moderate atopic dermatitis: a randomized, controlled trial. </w:t>
      </w:r>
      <w:r w:rsidRPr="00420686">
        <w:rPr>
          <w:rFonts w:ascii="Book Antiqua" w:eastAsia="宋体" w:hAnsi="Book Antiqua" w:cs="宋体"/>
          <w:i/>
          <w:iCs/>
          <w:sz w:val="24"/>
          <w:szCs w:val="24"/>
        </w:rPr>
        <w:t>J Drugs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10</w:t>
      </w:r>
      <w:r w:rsidRPr="00420686">
        <w:rPr>
          <w:rFonts w:ascii="Book Antiqua" w:eastAsia="宋体" w:hAnsi="Book Antiqua" w:cs="宋体"/>
          <w:sz w:val="24"/>
          <w:szCs w:val="24"/>
        </w:rPr>
        <w:t>: 531-537 [PMID: 21533301]</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200 </w:t>
      </w:r>
      <w:r w:rsidRPr="00420686">
        <w:rPr>
          <w:rFonts w:ascii="Book Antiqua" w:eastAsia="宋体" w:hAnsi="Book Antiqua" w:cs="宋体"/>
          <w:b/>
          <w:bCs/>
          <w:sz w:val="24"/>
          <w:szCs w:val="24"/>
        </w:rPr>
        <w:t>Stout TE</w:t>
      </w:r>
      <w:r w:rsidRPr="00420686">
        <w:rPr>
          <w:rFonts w:ascii="Book Antiqua" w:eastAsia="宋体" w:hAnsi="Book Antiqua" w:cs="宋体"/>
          <w:sz w:val="24"/>
          <w:szCs w:val="24"/>
        </w:rPr>
        <w:t xml:space="preserve">, McFarland T, Mitchell JC, Appukuttan B, Stout JT. Recombinant filaggrin is internalized and processed to correct filaggrin deficiency.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134</w:t>
      </w:r>
      <w:r w:rsidRPr="00420686">
        <w:rPr>
          <w:rFonts w:ascii="Book Antiqua" w:eastAsia="宋体" w:hAnsi="Book Antiqua" w:cs="宋体"/>
          <w:sz w:val="24"/>
          <w:szCs w:val="24"/>
        </w:rPr>
        <w:t>: 423-429 [PMID: 23792461 DOI: 10.1038/jid.2013.284]</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201 </w:t>
      </w:r>
      <w:r w:rsidRPr="00420686">
        <w:rPr>
          <w:rFonts w:ascii="Book Antiqua" w:eastAsia="宋体" w:hAnsi="Book Antiqua" w:cs="宋体"/>
          <w:b/>
          <w:bCs/>
          <w:sz w:val="24"/>
          <w:szCs w:val="24"/>
        </w:rPr>
        <w:t>Otsuka A</w:t>
      </w:r>
      <w:r w:rsidRPr="00420686">
        <w:rPr>
          <w:rFonts w:ascii="Book Antiqua" w:eastAsia="宋体" w:hAnsi="Book Antiqua" w:cs="宋体"/>
          <w:sz w:val="24"/>
          <w:szCs w:val="24"/>
        </w:rPr>
        <w:t xml:space="preserve">, Doi H, Egawa G, Maekawa A, Fujita T, Nakamizo S, Nakashima C, Nakajima S, Watanabe T, Miyachi Y, Narumiya S, Kabashima K. Possible new therapeutic strategy to regulate atopic dermatitis through upregulating filaggrin expression.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133</w:t>
      </w:r>
      <w:r w:rsidRPr="00420686">
        <w:rPr>
          <w:rFonts w:ascii="Book Antiqua" w:eastAsia="宋体" w:hAnsi="Book Antiqua" w:cs="宋体"/>
          <w:sz w:val="24"/>
          <w:szCs w:val="24"/>
        </w:rPr>
        <w:t>: 139-46.e1-10 [PMID: 24055295 DOI: 10.1016/j.jaci.2013.07.027]</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202 </w:t>
      </w:r>
      <w:r w:rsidRPr="00420686">
        <w:rPr>
          <w:rFonts w:ascii="Book Antiqua" w:eastAsia="宋体" w:hAnsi="Book Antiqua" w:cs="宋体"/>
          <w:b/>
          <w:bCs/>
          <w:sz w:val="24"/>
          <w:szCs w:val="24"/>
        </w:rPr>
        <w:t>Brown SJ</w:t>
      </w:r>
      <w:r w:rsidRPr="00420686">
        <w:rPr>
          <w:rFonts w:ascii="Book Antiqua" w:eastAsia="宋体" w:hAnsi="Book Antiqua" w:cs="宋体"/>
          <w:sz w:val="24"/>
          <w:szCs w:val="24"/>
        </w:rPr>
        <w:t xml:space="preserve">, McLean WH. One remarkable molecule: filaggrin. </w:t>
      </w:r>
      <w:r w:rsidRPr="00420686">
        <w:rPr>
          <w:rFonts w:ascii="Book Antiqua" w:eastAsia="宋体" w:hAnsi="Book Antiqua" w:cs="宋体"/>
          <w:i/>
          <w:iCs/>
          <w:sz w:val="24"/>
          <w:szCs w:val="24"/>
        </w:rPr>
        <w:t>J Invest Dermatol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132</w:t>
      </w:r>
      <w:r w:rsidRPr="00420686">
        <w:rPr>
          <w:rFonts w:ascii="Book Antiqua" w:eastAsia="宋体" w:hAnsi="Book Antiqua" w:cs="宋体"/>
          <w:sz w:val="24"/>
          <w:szCs w:val="24"/>
        </w:rPr>
        <w:t>: 751-762 [PMID: 22158554 DOI: 10.1038/jid.2011.393]</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203 </w:t>
      </w:r>
      <w:r w:rsidRPr="00420686">
        <w:rPr>
          <w:rFonts w:ascii="Book Antiqua" w:eastAsia="宋体" w:hAnsi="Book Antiqua" w:cs="宋体"/>
          <w:b/>
          <w:bCs/>
          <w:sz w:val="24"/>
          <w:szCs w:val="24"/>
        </w:rPr>
        <w:t>Lesiak A</w:t>
      </w:r>
      <w:r w:rsidRPr="00420686">
        <w:rPr>
          <w:rFonts w:ascii="Book Antiqua" w:eastAsia="宋体" w:hAnsi="Book Antiqua" w:cs="宋体"/>
          <w:sz w:val="24"/>
          <w:szCs w:val="24"/>
        </w:rPr>
        <w:t xml:space="preserve">, Kuna P, Zakrzewski M, van Geel M, Bladergroen RS, Przybylowska K, Stelmach I, Majak P, Hawro T, Sysa-Jedrzejowska A, Narbutt J. Combined occurrence of filaggrin mutations and IL-10 or IL-13 polymorphisms predisposes to atopic dermatitis. </w:t>
      </w:r>
      <w:r w:rsidRPr="00420686">
        <w:rPr>
          <w:rFonts w:ascii="Book Antiqua" w:eastAsia="宋体" w:hAnsi="Book Antiqua" w:cs="宋体"/>
          <w:i/>
          <w:iCs/>
          <w:sz w:val="24"/>
          <w:szCs w:val="24"/>
        </w:rPr>
        <w:t>Exp Dermatol</w:t>
      </w:r>
      <w:r w:rsidRPr="00420686">
        <w:rPr>
          <w:rFonts w:ascii="Book Antiqua" w:eastAsia="宋体" w:hAnsi="Book Antiqua" w:cs="宋体"/>
          <w:sz w:val="24"/>
          <w:szCs w:val="24"/>
        </w:rPr>
        <w:t xml:space="preserve"> 2011; </w:t>
      </w:r>
      <w:r w:rsidRPr="00420686">
        <w:rPr>
          <w:rFonts w:ascii="Book Antiqua" w:eastAsia="宋体" w:hAnsi="Book Antiqua" w:cs="宋体"/>
          <w:b/>
          <w:bCs/>
          <w:sz w:val="24"/>
          <w:szCs w:val="24"/>
        </w:rPr>
        <w:t>20</w:t>
      </w:r>
      <w:r w:rsidRPr="00420686">
        <w:rPr>
          <w:rFonts w:ascii="Book Antiqua" w:eastAsia="宋体" w:hAnsi="Book Antiqua" w:cs="宋体"/>
          <w:sz w:val="24"/>
          <w:szCs w:val="24"/>
        </w:rPr>
        <w:t>: 491-495 [PMID: 21426411 DOI: 10.1111/j.1600-0625.2010.01243.x]</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204 </w:t>
      </w:r>
      <w:r w:rsidRPr="00420686">
        <w:rPr>
          <w:rFonts w:ascii="Book Antiqua" w:eastAsia="宋体" w:hAnsi="Book Antiqua" w:cs="宋体"/>
          <w:b/>
          <w:bCs/>
          <w:sz w:val="24"/>
          <w:szCs w:val="24"/>
        </w:rPr>
        <w:t>Nakai K</w:t>
      </w:r>
      <w:r w:rsidRPr="00420686">
        <w:rPr>
          <w:rFonts w:ascii="Book Antiqua" w:eastAsia="宋体" w:hAnsi="Book Antiqua" w:cs="宋体"/>
          <w:sz w:val="24"/>
          <w:szCs w:val="24"/>
        </w:rPr>
        <w:t xml:space="preserve">, Yoneda K, Hosokawa Y, Moriue T, Presland RB, Fallon PG, Kabashima K, Kosaka H, Kubota Y. Reduced expression of epidermal growth factor receptor, E-cadherin, and occludin in the skin of flaky tail mice is due to filaggrin and loricrin deficiencies. </w:t>
      </w:r>
      <w:r w:rsidRPr="00420686">
        <w:rPr>
          <w:rFonts w:ascii="Book Antiqua" w:eastAsia="宋体" w:hAnsi="Book Antiqua" w:cs="宋体"/>
          <w:i/>
          <w:iCs/>
          <w:sz w:val="24"/>
          <w:szCs w:val="24"/>
        </w:rPr>
        <w:t>Am J Pathol</w:t>
      </w:r>
      <w:r w:rsidRPr="00420686">
        <w:rPr>
          <w:rFonts w:ascii="Book Antiqua" w:eastAsia="宋体" w:hAnsi="Book Antiqua" w:cs="宋体"/>
          <w:sz w:val="24"/>
          <w:szCs w:val="24"/>
        </w:rPr>
        <w:t xml:space="preserve"> 2012; </w:t>
      </w:r>
      <w:r w:rsidRPr="00420686">
        <w:rPr>
          <w:rFonts w:ascii="Book Antiqua" w:eastAsia="宋体" w:hAnsi="Book Antiqua" w:cs="宋体"/>
          <w:b/>
          <w:bCs/>
          <w:sz w:val="24"/>
          <w:szCs w:val="24"/>
        </w:rPr>
        <w:t>181</w:t>
      </w:r>
      <w:r w:rsidRPr="00420686">
        <w:rPr>
          <w:rFonts w:ascii="Book Antiqua" w:eastAsia="宋体" w:hAnsi="Book Antiqua" w:cs="宋体"/>
          <w:sz w:val="24"/>
          <w:szCs w:val="24"/>
        </w:rPr>
        <w:t>: 969-977 [PMID: 22796440 DOI: 10.1016/j.ajpath.2012.06.005]</w:t>
      </w: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t xml:space="preserve">205 </w:t>
      </w:r>
      <w:r w:rsidRPr="00420686">
        <w:rPr>
          <w:rFonts w:ascii="Book Antiqua" w:eastAsia="宋体" w:hAnsi="Book Antiqua" w:cs="宋体"/>
          <w:b/>
          <w:bCs/>
          <w:sz w:val="24"/>
          <w:szCs w:val="24"/>
        </w:rPr>
        <w:t>Cole C</w:t>
      </w:r>
      <w:r w:rsidRPr="00420686">
        <w:rPr>
          <w:rFonts w:ascii="Book Antiqua" w:eastAsia="宋体" w:hAnsi="Book Antiqua" w:cs="宋体"/>
          <w:sz w:val="24"/>
          <w:szCs w:val="24"/>
        </w:rPr>
        <w:t xml:space="preserve">, Kroboth K, Schurch NJ, Sandilands A, Sherstnev A, O'Regan GM, Watson RM, Irwin McLean WH, Barton GJ, Irvine AD, Brown SJ. Filaggrin-stratified transcriptomic analysis of pediatric skin identifies mechanistic pathways in patients with atopic dermatitis. </w:t>
      </w:r>
      <w:r w:rsidRPr="00420686">
        <w:rPr>
          <w:rFonts w:ascii="Book Antiqua" w:eastAsia="宋体" w:hAnsi="Book Antiqua" w:cs="宋体"/>
          <w:i/>
          <w:iCs/>
          <w:sz w:val="24"/>
          <w:szCs w:val="24"/>
        </w:rPr>
        <w:t>J Allergy Clin Immunol</w:t>
      </w:r>
      <w:r w:rsidRPr="00420686">
        <w:rPr>
          <w:rFonts w:ascii="Book Antiqua" w:eastAsia="宋体" w:hAnsi="Book Antiqua" w:cs="宋体"/>
          <w:sz w:val="24"/>
          <w:szCs w:val="24"/>
        </w:rPr>
        <w:t xml:space="preserve"> 2014; </w:t>
      </w:r>
      <w:r w:rsidRPr="00420686">
        <w:rPr>
          <w:rFonts w:ascii="Book Antiqua" w:eastAsia="宋体" w:hAnsi="Book Antiqua" w:cs="宋体"/>
          <w:b/>
          <w:bCs/>
          <w:sz w:val="24"/>
          <w:szCs w:val="24"/>
        </w:rPr>
        <w:t>134</w:t>
      </w:r>
      <w:r w:rsidRPr="00420686">
        <w:rPr>
          <w:rFonts w:ascii="Book Antiqua" w:eastAsia="宋体" w:hAnsi="Book Antiqua" w:cs="宋体"/>
          <w:sz w:val="24"/>
          <w:szCs w:val="24"/>
        </w:rPr>
        <w:t>: 82-91 [PMID: 24880632 DOI: 10.1016/j.jaci.2014.04.021]</w:t>
      </w:r>
    </w:p>
    <w:p w:rsidR="00955B11" w:rsidRPr="00420686" w:rsidRDefault="00955B11" w:rsidP="00420686">
      <w:pPr>
        <w:spacing w:after="0" w:line="360" w:lineRule="auto"/>
        <w:jc w:val="both"/>
        <w:rPr>
          <w:rFonts w:ascii="Book Antiqua" w:eastAsia="宋体" w:hAnsi="Book Antiqua" w:cs="宋体"/>
          <w:sz w:val="24"/>
          <w:szCs w:val="24"/>
          <w:lang w:eastAsia="zh-CN"/>
        </w:rPr>
      </w:pPr>
      <w:r w:rsidRPr="00420686">
        <w:rPr>
          <w:rFonts w:ascii="Book Antiqua" w:eastAsia="宋体" w:hAnsi="Book Antiqua" w:cs="宋体"/>
          <w:sz w:val="24"/>
          <w:szCs w:val="24"/>
        </w:rPr>
        <w:t xml:space="preserve">206 </w:t>
      </w:r>
      <w:r w:rsidRPr="00420686">
        <w:rPr>
          <w:rFonts w:ascii="Book Antiqua" w:eastAsia="宋体" w:hAnsi="Book Antiqua" w:cs="宋体"/>
          <w:b/>
          <w:bCs/>
          <w:sz w:val="24"/>
          <w:szCs w:val="24"/>
        </w:rPr>
        <w:t>Brown SJ</w:t>
      </w:r>
      <w:r w:rsidRPr="00420686">
        <w:rPr>
          <w:rFonts w:ascii="Book Antiqua" w:eastAsia="宋体" w:hAnsi="Book Antiqua" w:cs="宋体"/>
          <w:sz w:val="24"/>
          <w:szCs w:val="24"/>
        </w:rPr>
        <w:t xml:space="preserve">, Relton CL, Liao H, Zhao Y, Sandilands A, McLean WH, Cordell HJ, Reynolds NJ. Filaggrin haploinsufficiency is highly penetrant and is associated with increased severity of eczema: further delineation of the skin phenotype in a prospective epidemiological study of 792 school children. </w:t>
      </w:r>
      <w:r w:rsidRPr="00420686">
        <w:rPr>
          <w:rFonts w:ascii="Book Antiqua" w:eastAsia="宋体" w:hAnsi="Book Antiqua" w:cs="宋体"/>
          <w:i/>
          <w:iCs/>
          <w:sz w:val="24"/>
          <w:szCs w:val="24"/>
        </w:rPr>
        <w:t>Br J Dermatol</w:t>
      </w:r>
      <w:r w:rsidRPr="00420686">
        <w:rPr>
          <w:rFonts w:ascii="Book Antiqua" w:eastAsia="宋体" w:hAnsi="Book Antiqua" w:cs="宋体"/>
          <w:sz w:val="24"/>
          <w:szCs w:val="24"/>
        </w:rPr>
        <w:t xml:space="preserve"> 2009; </w:t>
      </w:r>
      <w:r w:rsidRPr="00420686">
        <w:rPr>
          <w:rFonts w:ascii="Book Antiqua" w:eastAsia="宋体" w:hAnsi="Book Antiqua" w:cs="宋体"/>
          <w:b/>
          <w:bCs/>
          <w:sz w:val="24"/>
          <w:szCs w:val="24"/>
        </w:rPr>
        <w:t>161</w:t>
      </w:r>
      <w:r w:rsidRPr="00420686">
        <w:rPr>
          <w:rFonts w:ascii="Book Antiqua" w:eastAsia="宋体" w:hAnsi="Book Antiqua" w:cs="宋体"/>
          <w:sz w:val="24"/>
          <w:szCs w:val="24"/>
        </w:rPr>
        <w:t>: 884-889 [PMID: 19681860 DOI: 10.1111/j.1365-2133.2009.09339.x]</w:t>
      </w:r>
    </w:p>
    <w:p w:rsidR="00420686" w:rsidRPr="00420686" w:rsidRDefault="00420686" w:rsidP="00976EE9">
      <w:pPr>
        <w:adjustRightInd w:val="0"/>
        <w:snapToGrid w:val="0"/>
        <w:spacing w:after="0" w:line="360" w:lineRule="auto"/>
        <w:ind w:right="239"/>
        <w:jc w:val="right"/>
        <w:rPr>
          <w:rFonts w:ascii="Book Antiqua" w:hAnsi="Book Antiqua"/>
          <w:b/>
          <w:bCs/>
          <w:sz w:val="24"/>
          <w:szCs w:val="24"/>
        </w:rPr>
      </w:pPr>
      <w:r w:rsidRPr="00420686">
        <w:rPr>
          <w:rStyle w:val="Strong"/>
          <w:rFonts w:ascii="Book Antiqua" w:hAnsi="Book Antiqua" w:cs="Arial"/>
          <w:noProof/>
          <w:sz w:val="24"/>
          <w:szCs w:val="24"/>
        </w:rPr>
        <w:t>P-Reviewer:</w:t>
      </w:r>
      <w:r w:rsidRPr="00420686">
        <w:rPr>
          <w:rFonts w:ascii="Book Antiqua" w:hAnsi="Book Antiqua"/>
          <w:color w:val="000000"/>
          <w:sz w:val="24"/>
          <w:szCs w:val="24"/>
        </w:rPr>
        <w:t xml:space="preserve"> </w:t>
      </w:r>
      <w:r w:rsidR="00976EE9">
        <w:rPr>
          <w:rFonts w:ascii="Book Antiqua" w:hAnsi="Book Antiqua"/>
          <w:color w:val="000000"/>
          <w:sz w:val="24"/>
          <w:szCs w:val="24"/>
        </w:rPr>
        <w:t>Aksoy</w:t>
      </w:r>
      <w:r w:rsidR="00976EE9" w:rsidRPr="00976EE9">
        <w:rPr>
          <w:rFonts w:ascii="Book Antiqua" w:hAnsi="Book Antiqua"/>
          <w:color w:val="000000"/>
          <w:sz w:val="24"/>
          <w:szCs w:val="24"/>
        </w:rPr>
        <w:t xml:space="preserve"> B</w:t>
      </w:r>
      <w:r w:rsidRPr="00420686">
        <w:rPr>
          <w:rFonts w:ascii="Book Antiqua" w:hAnsi="Book Antiqua"/>
          <w:color w:val="000000"/>
          <w:sz w:val="24"/>
          <w:szCs w:val="24"/>
        </w:rPr>
        <w:t xml:space="preserve">, </w:t>
      </w:r>
      <w:r w:rsidR="00976EE9">
        <w:rPr>
          <w:rFonts w:ascii="Book Antiqua" w:hAnsi="Book Antiqua"/>
          <w:color w:val="000000"/>
          <w:sz w:val="24"/>
          <w:szCs w:val="24"/>
        </w:rPr>
        <w:t>Hu</w:t>
      </w:r>
      <w:r w:rsidR="00976EE9">
        <w:rPr>
          <w:rFonts w:ascii="Book Antiqua" w:hAnsi="Book Antiqua" w:hint="eastAsia"/>
          <w:color w:val="000000"/>
          <w:sz w:val="24"/>
          <w:szCs w:val="24"/>
          <w:lang w:eastAsia="zh-CN"/>
        </w:rPr>
        <w:t xml:space="preserve"> </w:t>
      </w:r>
      <w:r w:rsidR="00976EE9" w:rsidRPr="00976EE9">
        <w:rPr>
          <w:rFonts w:ascii="Book Antiqua" w:hAnsi="Book Antiqua"/>
          <w:color w:val="000000"/>
          <w:sz w:val="24"/>
          <w:szCs w:val="24"/>
        </w:rPr>
        <w:t>S</w:t>
      </w:r>
      <w:r w:rsidR="00976EE9">
        <w:rPr>
          <w:rFonts w:ascii="Book Antiqua" w:hAnsi="Book Antiqua"/>
          <w:color w:val="000000"/>
          <w:sz w:val="24"/>
          <w:szCs w:val="24"/>
        </w:rPr>
        <w:t>C</w:t>
      </w:r>
      <w:r w:rsidR="00976EE9" w:rsidRPr="00976EE9">
        <w:rPr>
          <w:rFonts w:ascii="Book Antiqua" w:hAnsi="Book Antiqua"/>
          <w:color w:val="000000"/>
          <w:sz w:val="24"/>
          <w:szCs w:val="24"/>
        </w:rPr>
        <w:t>S</w:t>
      </w:r>
      <w:r w:rsidRPr="00420686">
        <w:rPr>
          <w:rFonts w:ascii="Book Antiqua" w:hAnsi="Book Antiqua"/>
          <w:color w:val="000000"/>
          <w:sz w:val="24"/>
          <w:szCs w:val="24"/>
          <w:lang w:eastAsia="zh-CN"/>
        </w:rPr>
        <w:t xml:space="preserve">, </w:t>
      </w:r>
      <w:r w:rsidR="00976EE9">
        <w:rPr>
          <w:rFonts w:ascii="Book Antiqua" w:hAnsi="Book Antiqua"/>
          <w:color w:val="000000"/>
          <w:sz w:val="24"/>
          <w:szCs w:val="24"/>
          <w:lang w:eastAsia="zh-CN"/>
        </w:rPr>
        <w:t>Kaliyadan</w:t>
      </w:r>
      <w:r w:rsidR="00976EE9">
        <w:rPr>
          <w:rFonts w:ascii="Book Antiqua" w:hAnsi="Book Antiqua" w:hint="eastAsia"/>
          <w:color w:val="000000"/>
          <w:sz w:val="24"/>
          <w:szCs w:val="24"/>
          <w:lang w:eastAsia="zh-CN"/>
        </w:rPr>
        <w:t xml:space="preserve"> </w:t>
      </w:r>
      <w:r w:rsidR="00976EE9" w:rsidRPr="00976EE9">
        <w:rPr>
          <w:rFonts w:ascii="Book Antiqua" w:hAnsi="Book Antiqua"/>
          <w:color w:val="000000"/>
          <w:sz w:val="24"/>
          <w:szCs w:val="24"/>
          <w:lang w:eastAsia="zh-CN"/>
        </w:rPr>
        <w:t>F</w:t>
      </w:r>
      <w:r w:rsidRPr="00420686">
        <w:rPr>
          <w:rFonts w:ascii="Book Antiqua" w:hAnsi="Book Antiqua"/>
          <w:bCs/>
          <w:sz w:val="24"/>
          <w:szCs w:val="24"/>
        </w:rPr>
        <w:t xml:space="preserve"> </w:t>
      </w:r>
      <w:r w:rsidRPr="00420686">
        <w:rPr>
          <w:rFonts w:ascii="Book Antiqua" w:hAnsi="Book Antiqua"/>
          <w:b/>
          <w:bCs/>
          <w:sz w:val="24"/>
          <w:szCs w:val="24"/>
        </w:rPr>
        <w:t>S-Editor:</w:t>
      </w:r>
      <w:r w:rsidRPr="00420686">
        <w:rPr>
          <w:rFonts w:ascii="Book Antiqua" w:hAnsi="Book Antiqua"/>
          <w:bCs/>
          <w:sz w:val="24"/>
          <w:szCs w:val="24"/>
        </w:rPr>
        <w:t xml:space="preserve"> Tian YL</w:t>
      </w:r>
    </w:p>
    <w:p w:rsidR="00420686" w:rsidRPr="00420686" w:rsidRDefault="00420686" w:rsidP="00976EE9">
      <w:pPr>
        <w:adjustRightInd w:val="0"/>
        <w:snapToGrid w:val="0"/>
        <w:spacing w:after="0" w:line="360" w:lineRule="auto"/>
        <w:ind w:right="239"/>
        <w:jc w:val="right"/>
        <w:rPr>
          <w:rFonts w:ascii="Book Antiqua" w:hAnsi="Book Antiqua"/>
          <w:bCs/>
          <w:sz w:val="24"/>
          <w:szCs w:val="24"/>
        </w:rPr>
      </w:pPr>
      <w:r w:rsidRPr="00420686">
        <w:rPr>
          <w:rFonts w:ascii="Book Antiqua" w:hAnsi="Book Antiqua"/>
          <w:b/>
          <w:bCs/>
          <w:sz w:val="24"/>
          <w:szCs w:val="24"/>
        </w:rPr>
        <w:t>L-Editor:   E-Editor:</w:t>
      </w:r>
    </w:p>
    <w:p w:rsidR="00420686" w:rsidRPr="00420686" w:rsidRDefault="00420686" w:rsidP="00420686">
      <w:pPr>
        <w:spacing w:after="0" w:line="360" w:lineRule="auto"/>
        <w:jc w:val="both"/>
        <w:rPr>
          <w:rFonts w:ascii="Book Antiqua" w:eastAsia="宋体" w:hAnsi="Book Antiqua" w:cs="宋体"/>
          <w:sz w:val="24"/>
          <w:szCs w:val="24"/>
          <w:lang w:eastAsia="zh-CN"/>
        </w:rPr>
      </w:pPr>
    </w:p>
    <w:p w:rsidR="00955B11" w:rsidRPr="00420686" w:rsidRDefault="00955B11" w:rsidP="00420686">
      <w:pPr>
        <w:spacing w:after="0" w:line="360" w:lineRule="auto"/>
        <w:jc w:val="both"/>
        <w:rPr>
          <w:rFonts w:ascii="Book Antiqua" w:eastAsia="宋体" w:hAnsi="Book Antiqua" w:cs="宋体"/>
          <w:sz w:val="24"/>
          <w:szCs w:val="24"/>
        </w:rPr>
      </w:pPr>
      <w:r w:rsidRPr="00420686">
        <w:rPr>
          <w:rFonts w:ascii="Book Antiqua" w:eastAsia="宋体" w:hAnsi="Book Antiqua" w:cs="宋体"/>
          <w:sz w:val="24"/>
          <w:szCs w:val="24"/>
        </w:rPr>
        <w:br w:type="page"/>
      </w:r>
    </w:p>
    <w:p w:rsidR="00955B11" w:rsidRPr="00420686" w:rsidRDefault="00955B11" w:rsidP="00420686">
      <w:pPr>
        <w:spacing w:after="0" w:line="360" w:lineRule="auto"/>
        <w:jc w:val="both"/>
        <w:rPr>
          <w:rFonts w:ascii="Book Antiqua" w:eastAsia="宋体" w:hAnsi="Book Antiqua" w:cs="宋体"/>
          <w:sz w:val="24"/>
          <w:szCs w:val="24"/>
          <w:lang w:eastAsia="zh-CN"/>
        </w:rPr>
      </w:pPr>
    </w:p>
    <w:p w:rsidR="008B389C" w:rsidRPr="00420686" w:rsidRDefault="00F1178C" w:rsidP="00420686">
      <w:pPr>
        <w:spacing w:after="0" w:line="360" w:lineRule="auto"/>
        <w:jc w:val="both"/>
        <w:rPr>
          <w:rFonts w:ascii="Book Antiqua" w:hAnsi="Book Antiqua" w:cs="Times New Roman"/>
          <w:color w:val="000000" w:themeColor="text1"/>
          <w:sz w:val="24"/>
          <w:szCs w:val="24"/>
          <w:lang w:eastAsia="zh-CN"/>
        </w:rPr>
      </w:pPr>
      <w:r w:rsidRPr="00420686">
        <w:rPr>
          <w:rFonts w:ascii="Book Antiqua" w:hAnsi="Book Antiqua" w:cs="Times New Roman"/>
          <w:b/>
          <w:sz w:val="24"/>
          <w:szCs w:val="24"/>
        </w:rPr>
        <w:t>Figure 1</w:t>
      </w:r>
      <w:r w:rsidR="008B389C" w:rsidRPr="00420686">
        <w:rPr>
          <w:rFonts w:ascii="Book Antiqua" w:hAnsi="Book Antiqua" w:cs="Times New Roman"/>
          <w:b/>
          <w:sz w:val="24"/>
          <w:szCs w:val="24"/>
        </w:rPr>
        <w:t xml:space="preserve"> </w:t>
      </w:r>
      <w:r w:rsidRPr="00420686">
        <w:rPr>
          <w:rFonts w:ascii="Book Antiqua" w:hAnsi="Book Antiqua" w:cs="Times New Roman"/>
          <w:b/>
          <w:sz w:val="24"/>
          <w:szCs w:val="24"/>
        </w:rPr>
        <w:t xml:space="preserve">Clinical features of </w:t>
      </w:r>
      <w:r w:rsidR="00955B11" w:rsidRPr="00420686">
        <w:rPr>
          <w:rFonts w:ascii="Book Antiqua" w:hAnsi="Book Antiqua" w:cs="Times New Roman"/>
          <w:b/>
          <w:sz w:val="24"/>
          <w:szCs w:val="24"/>
        </w:rPr>
        <w:t>atopic dermatitis</w:t>
      </w:r>
      <w:r w:rsidRPr="00420686">
        <w:rPr>
          <w:rFonts w:ascii="Book Antiqua" w:hAnsi="Book Antiqua" w:cs="Times New Roman"/>
          <w:b/>
          <w:sz w:val="24"/>
          <w:szCs w:val="24"/>
        </w:rPr>
        <w:t>.</w:t>
      </w:r>
      <w:r w:rsidRPr="00420686">
        <w:rPr>
          <w:rFonts w:ascii="Book Antiqua" w:hAnsi="Book Antiqua" w:cs="Times New Roman"/>
          <w:sz w:val="24"/>
          <w:szCs w:val="24"/>
        </w:rPr>
        <w:t xml:space="preserve"> </w:t>
      </w:r>
      <w:r w:rsidR="008B389C" w:rsidRPr="00420686">
        <w:rPr>
          <w:rFonts w:ascii="Book Antiqua" w:hAnsi="Book Antiqua" w:cs="Times New Roman"/>
          <w:sz w:val="24"/>
          <w:szCs w:val="24"/>
        </w:rPr>
        <w:t>A</w:t>
      </w:r>
      <w:r w:rsidRPr="00420686">
        <w:rPr>
          <w:rFonts w:ascii="Book Antiqua" w:hAnsi="Book Antiqua" w:cs="Times New Roman"/>
          <w:sz w:val="24"/>
          <w:szCs w:val="24"/>
          <w:lang w:eastAsia="zh-CN"/>
        </w:rPr>
        <w:t>:</w:t>
      </w:r>
      <w:r w:rsidR="008B389C" w:rsidRPr="00420686">
        <w:rPr>
          <w:rFonts w:ascii="Book Antiqua" w:hAnsi="Book Antiqua" w:cs="Times New Roman"/>
          <w:sz w:val="24"/>
          <w:szCs w:val="24"/>
        </w:rPr>
        <w:t xml:space="preserve"> Flexural eczema</w:t>
      </w:r>
      <w:r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w:t>
      </w:r>
      <w:r w:rsidR="008B389C" w:rsidRPr="00420686">
        <w:rPr>
          <w:rFonts w:ascii="Book Antiqua" w:hAnsi="Book Antiqua" w:cs="Times New Roman"/>
          <w:sz w:val="24"/>
          <w:szCs w:val="24"/>
        </w:rPr>
        <w:t>B</w:t>
      </w:r>
      <w:r w:rsidRPr="00420686">
        <w:rPr>
          <w:rFonts w:ascii="Book Antiqua" w:hAnsi="Book Antiqua" w:cs="Times New Roman"/>
          <w:sz w:val="24"/>
          <w:szCs w:val="24"/>
          <w:lang w:eastAsia="zh-CN"/>
        </w:rPr>
        <w:t>:</w:t>
      </w:r>
      <w:r w:rsidR="008B389C" w:rsidRPr="00420686">
        <w:rPr>
          <w:rFonts w:ascii="Book Antiqua" w:hAnsi="Book Antiqua" w:cs="Times New Roman"/>
          <w:sz w:val="24"/>
          <w:szCs w:val="24"/>
        </w:rPr>
        <w:t xml:space="preserve"> Eczema and ichthyosis</w:t>
      </w:r>
      <w:r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w:t>
      </w:r>
      <w:r w:rsidR="008B389C" w:rsidRPr="00420686">
        <w:rPr>
          <w:rFonts w:ascii="Book Antiqua" w:hAnsi="Book Antiqua" w:cs="Times New Roman"/>
          <w:sz w:val="24"/>
          <w:szCs w:val="24"/>
        </w:rPr>
        <w:t>C</w:t>
      </w:r>
      <w:r w:rsidRPr="00420686">
        <w:rPr>
          <w:rFonts w:ascii="Book Antiqua" w:hAnsi="Book Antiqua" w:cs="Times New Roman"/>
          <w:sz w:val="24"/>
          <w:szCs w:val="24"/>
          <w:lang w:eastAsia="zh-CN"/>
        </w:rPr>
        <w:t xml:space="preserve">: </w:t>
      </w:r>
      <w:r w:rsidR="008B389C" w:rsidRPr="00420686">
        <w:rPr>
          <w:rFonts w:ascii="Book Antiqua" w:hAnsi="Book Antiqua" w:cs="Times New Roman"/>
          <w:sz w:val="24"/>
          <w:szCs w:val="24"/>
        </w:rPr>
        <w:t>nfected excoriation.</w:t>
      </w:r>
      <w:r w:rsidR="008B389C" w:rsidRPr="00420686">
        <w:rPr>
          <w:rFonts w:ascii="Book Antiqua" w:eastAsia="Times New Roman" w:hAnsi="Book Antiqua"/>
          <w:color w:val="000000"/>
          <w:sz w:val="24"/>
          <w:szCs w:val="24"/>
        </w:rPr>
        <w:t xml:space="preserve"> </w:t>
      </w:r>
      <w:r w:rsidR="008B389C" w:rsidRPr="00420686">
        <w:rPr>
          <w:rFonts w:ascii="Book Antiqua" w:eastAsia="Times New Roman" w:hAnsi="Book Antiqua" w:cs="Times New Roman"/>
          <w:color w:val="000000"/>
          <w:sz w:val="24"/>
          <w:szCs w:val="24"/>
        </w:rPr>
        <w:t>Clinical photographs (</w:t>
      </w:r>
      <w:r w:rsidR="008B389C" w:rsidRPr="00420686">
        <w:rPr>
          <w:rFonts w:ascii="Book Antiqua" w:eastAsia="Times New Roman" w:hAnsi="Book Antiqua" w:cs="Times New Roman"/>
          <w:sz w:val="24"/>
          <w:szCs w:val="24"/>
        </w:rPr>
        <w:t xml:space="preserve">University of Dundee Computing and Media Services, Ninewells Hospital and Medical School) </w:t>
      </w:r>
      <w:r w:rsidR="008B389C" w:rsidRPr="00420686">
        <w:rPr>
          <w:rFonts w:ascii="Book Antiqua" w:eastAsia="Times New Roman" w:hAnsi="Book Antiqua" w:cs="Times New Roman"/>
          <w:color w:val="000000"/>
          <w:sz w:val="24"/>
          <w:szCs w:val="24"/>
        </w:rPr>
        <w:t>reproduced with patient and/or parental consent.</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noProof/>
          <w:sz w:val="24"/>
          <w:szCs w:val="24"/>
          <w:lang w:val="en-US"/>
        </w:rPr>
        <w:drawing>
          <wp:inline distT="0" distB="0" distL="0" distR="0" wp14:anchorId="2E825122" wp14:editId="586F4929">
            <wp:extent cx="5400040" cy="17303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 combine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1730375"/>
                    </a:xfrm>
                    <a:prstGeom prst="rect">
                      <a:avLst/>
                    </a:prstGeom>
                  </pic:spPr>
                </pic:pic>
              </a:graphicData>
            </a:graphic>
          </wp:inline>
        </w:drawing>
      </w:r>
    </w:p>
    <w:p w:rsidR="008B389C" w:rsidRPr="00420686" w:rsidRDefault="008B389C" w:rsidP="00420686">
      <w:pPr>
        <w:autoSpaceDE w:val="0"/>
        <w:autoSpaceDN w:val="0"/>
        <w:adjustRightInd w:val="0"/>
        <w:spacing w:after="0" w:line="360" w:lineRule="auto"/>
        <w:jc w:val="both"/>
        <w:rPr>
          <w:rFonts w:ascii="Book Antiqua" w:hAnsi="Book Antiqua" w:cs="BookAntiqua"/>
          <w:sz w:val="24"/>
          <w:szCs w:val="24"/>
        </w:rPr>
      </w:pPr>
    </w:p>
    <w:p w:rsidR="008B389C" w:rsidRPr="00420686" w:rsidRDefault="00F1178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b/>
          <w:sz w:val="24"/>
          <w:szCs w:val="24"/>
        </w:rPr>
        <w:t>Figure 2</w:t>
      </w:r>
      <w:r w:rsidR="008B389C" w:rsidRPr="00420686">
        <w:rPr>
          <w:rFonts w:ascii="Book Antiqua" w:hAnsi="Book Antiqua" w:cs="Times New Roman"/>
          <w:b/>
          <w:sz w:val="24"/>
          <w:szCs w:val="24"/>
        </w:rPr>
        <w:t xml:space="preserve"> Outside-inside and inside-outside barrier functions of the epi</w:t>
      </w:r>
      <w:r w:rsidRPr="00420686">
        <w:rPr>
          <w:rFonts w:ascii="Book Antiqua" w:hAnsi="Book Antiqua" w:cs="Times New Roman"/>
          <w:b/>
          <w:sz w:val="24"/>
          <w:szCs w:val="24"/>
        </w:rPr>
        <w:t xml:space="preserve">dermis. </w:t>
      </w:r>
      <w:r w:rsidRPr="00420686">
        <w:rPr>
          <w:rFonts w:ascii="Book Antiqua" w:hAnsi="Book Antiqua" w:cs="Times New Roman"/>
          <w:sz w:val="24"/>
          <w:szCs w:val="24"/>
        </w:rPr>
        <w:t>A</w:t>
      </w:r>
      <w:r w:rsidRPr="00420686">
        <w:rPr>
          <w:rFonts w:ascii="Book Antiqua" w:hAnsi="Book Antiqua" w:cs="Times New Roman"/>
          <w:sz w:val="24"/>
          <w:szCs w:val="24"/>
          <w:lang w:eastAsia="zh-CN"/>
        </w:rPr>
        <w:t>:</w:t>
      </w:r>
      <w:r w:rsidR="008B389C" w:rsidRPr="00420686">
        <w:rPr>
          <w:rFonts w:ascii="Book Antiqua" w:hAnsi="Book Antiqua" w:cs="Times New Roman"/>
          <w:sz w:val="24"/>
          <w:szCs w:val="24"/>
        </w:rPr>
        <w:t xml:space="preserve"> The epidermis forms a barrier against multiple external threats and prevents excessive transepidermal water loss (TEWL, indicated by the dashed blue arrow) from the interior of the body</w:t>
      </w:r>
      <w:r w:rsidRPr="00420686">
        <w:rPr>
          <w:rFonts w:ascii="Book Antiqua" w:hAnsi="Book Antiqua" w:cs="Times New Roman"/>
          <w:sz w:val="24"/>
          <w:szCs w:val="24"/>
          <w:lang w:eastAsia="zh-CN"/>
        </w:rPr>
        <w:t>;</w:t>
      </w:r>
      <w:r w:rsidRPr="00420686">
        <w:rPr>
          <w:rFonts w:ascii="Book Antiqua" w:hAnsi="Book Antiqua" w:cs="Times New Roman"/>
          <w:sz w:val="24"/>
          <w:szCs w:val="24"/>
        </w:rPr>
        <w:t xml:space="preserve"> B</w:t>
      </w:r>
      <w:r w:rsidRPr="00420686">
        <w:rPr>
          <w:rFonts w:ascii="Book Antiqua" w:hAnsi="Book Antiqua" w:cs="Times New Roman"/>
          <w:sz w:val="24"/>
          <w:szCs w:val="24"/>
          <w:lang w:eastAsia="zh-CN"/>
        </w:rPr>
        <w:t>:</w:t>
      </w:r>
      <w:r w:rsidR="008B389C" w:rsidRPr="00420686">
        <w:rPr>
          <w:rFonts w:ascii="Book Antiqua" w:hAnsi="Book Antiqua" w:cs="Times New Roman"/>
          <w:sz w:val="24"/>
          <w:szCs w:val="24"/>
        </w:rPr>
        <w:t xml:space="preserve"> Components of the stratum corneum (SC) and stratum granulosum (SG) barriers. During terminal differentiation of SG keratinocytes into corneocytes, lamellar bodies (LBs) fuse with the plasma membrane and their contents is extruded at the SG-SC interface. LB-derived lipids are processed and arranged into continuous bilayers parallel to the corneocyte surface using the covalently bound corneocyte lipid envelope (pale blue) as a scaffold.</w:t>
      </w:r>
      <w:r w:rsidR="00EA0F47" w:rsidRPr="00420686">
        <w:rPr>
          <w:rFonts w:ascii="Book Antiqua" w:hAnsi="Book Antiqua" w:cs="Times New Roman"/>
          <w:sz w:val="24"/>
          <w:szCs w:val="24"/>
          <w:lang w:eastAsia="zh-CN"/>
        </w:rPr>
        <w:t xml:space="preserve"> NMF: </w:t>
      </w:r>
      <w:r w:rsidR="00EA0F47" w:rsidRPr="00420686">
        <w:rPr>
          <w:rFonts w:ascii="Book Antiqua" w:hAnsi="Book Antiqua" w:cs="Times New Roman"/>
          <w:sz w:val="24"/>
          <w:szCs w:val="24"/>
        </w:rPr>
        <w:t>Natural moisturising factor</w:t>
      </w:r>
      <w:r w:rsidR="00EA0F47" w:rsidRPr="00420686">
        <w:rPr>
          <w:rFonts w:ascii="Book Antiqua" w:hAnsi="Book Antiqua" w:cs="Times New Roman"/>
          <w:sz w:val="24"/>
          <w:szCs w:val="24"/>
          <w:lang w:eastAsia="zh-CN"/>
        </w:rPr>
        <w:t>.</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noProof/>
          <w:sz w:val="24"/>
          <w:szCs w:val="24"/>
          <w:lang w:val="en-US"/>
        </w:rPr>
        <w:drawing>
          <wp:inline distT="0" distB="0" distL="0" distR="0" wp14:anchorId="4056927F" wp14:editId="543EDB7E">
            <wp:extent cx="5400040" cy="1962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 composite cropped 600dpi.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1962150"/>
                    </a:xfrm>
                    <a:prstGeom prst="rect">
                      <a:avLst/>
                    </a:prstGeom>
                  </pic:spPr>
                </pic:pic>
              </a:graphicData>
            </a:graphic>
          </wp:inline>
        </w:drawing>
      </w:r>
    </w:p>
    <w:p w:rsidR="008B389C" w:rsidRPr="00420686" w:rsidRDefault="008B389C" w:rsidP="00420686">
      <w:pPr>
        <w:spacing w:after="0" w:line="360" w:lineRule="auto"/>
        <w:jc w:val="both"/>
        <w:rPr>
          <w:rFonts w:ascii="Book Antiqua" w:hAnsi="Book Antiqua" w:cs="Times New Roman"/>
          <w:sz w:val="24"/>
          <w:szCs w:val="24"/>
        </w:rPr>
      </w:pPr>
    </w:p>
    <w:p w:rsidR="008B389C" w:rsidRPr="00420686" w:rsidRDefault="008B389C" w:rsidP="00420686">
      <w:pPr>
        <w:spacing w:after="0" w:line="360" w:lineRule="auto"/>
        <w:jc w:val="both"/>
        <w:rPr>
          <w:rFonts w:ascii="Book Antiqua" w:hAnsi="Book Antiqua" w:cs="Times New Roman"/>
          <w:color w:val="002060"/>
          <w:sz w:val="24"/>
          <w:szCs w:val="24"/>
        </w:rPr>
      </w:pPr>
    </w:p>
    <w:p w:rsidR="008B389C" w:rsidRPr="00420686" w:rsidRDefault="008B389C" w:rsidP="00420686">
      <w:pPr>
        <w:spacing w:after="0" w:line="360" w:lineRule="auto"/>
        <w:jc w:val="both"/>
        <w:rPr>
          <w:rFonts w:ascii="Book Antiqua" w:hAnsi="Book Antiqua" w:cs="Times New Roman"/>
          <w:b/>
          <w:sz w:val="24"/>
          <w:szCs w:val="24"/>
        </w:rPr>
      </w:pPr>
    </w:p>
    <w:p w:rsidR="008B389C" w:rsidRPr="00420686" w:rsidRDefault="00F1178C" w:rsidP="00420686">
      <w:pPr>
        <w:spacing w:after="0" w:line="360" w:lineRule="auto"/>
        <w:jc w:val="both"/>
        <w:rPr>
          <w:rFonts w:ascii="Book Antiqua" w:hAnsi="Book Antiqua" w:cs="Times New Roman"/>
          <w:sz w:val="24"/>
          <w:szCs w:val="24"/>
          <w:lang w:eastAsia="zh-CN"/>
        </w:rPr>
      </w:pPr>
      <w:r w:rsidRPr="00420686">
        <w:rPr>
          <w:rFonts w:ascii="Book Antiqua" w:hAnsi="Book Antiqua" w:cs="Times New Roman"/>
          <w:b/>
          <w:sz w:val="24"/>
          <w:szCs w:val="24"/>
        </w:rPr>
        <w:t>Figure 3</w:t>
      </w:r>
      <w:r w:rsidR="008B389C" w:rsidRPr="00420686">
        <w:rPr>
          <w:rFonts w:ascii="Book Antiqua" w:hAnsi="Book Antiqua" w:cs="Times New Roman"/>
          <w:b/>
          <w:sz w:val="24"/>
          <w:szCs w:val="24"/>
        </w:rPr>
        <w:t xml:space="preserve"> Hypothesised pathways from skin barrier impairment to inflammation and the atopic march.</w:t>
      </w:r>
      <w:r w:rsidR="008B389C" w:rsidRPr="00420686">
        <w:rPr>
          <w:rFonts w:ascii="Book Antiqua" w:hAnsi="Book Antiqua" w:cs="Times New Roman"/>
          <w:sz w:val="24"/>
          <w:szCs w:val="24"/>
        </w:rPr>
        <w:t xml:space="preserve"> Deficiencies in </w:t>
      </w:r>
      <w:r w:rsidR="00EA0F47" w:rsidRPr="00420686">
        <w:rPr>
          <w:rFonts w:ascii="Book Antiqua" w:hAnsi="Book Antiqua" w:cs="Times New Roman"/>
          <w:sz w:val="24"/>
          <w:szCs w:val="24"/>
        </w:rPr>
        <w:t>FLG</w:t>
      </w:r>
      <w:r w:rsidR="008B389C" w:rsidRPr="00420686">
        <w:rPr>
          <w:rFonts w:ascii="Book Antiqua" w:hAnsi="Book Antiqua" w:cs="Times New Roman"/>
          <w:sz w:val="24"/>
          <w:szCs w:val="24"/>
        </w:rPr>
        <w:t xml:space="preserve"> and LEKTI, promote enhanced activity of kallikrein proteases (KLKs), which induce over-expression of TSLP and IL-6 through the PAR-2-NF-kB pathway. KLK hyperactivity also degrades transition desmosomes, inducing the release of pro-inflammatory cytokines from mechanically stressed keratinocytes. The pro-inflammatory environment triggers eosinophil and mast cell recruitment and activation. TSLP activates LCs), which promote the differentiation of naïve (Th0) T cells into Th2 cells in lymph nodes. Allergen ingress (dashed red arrow) promotes allergic sensitization and may, with TSLP, stimulate downstream airway inflammation.</w:t>
      </w:r>
      <w:r w:rsidR="008B389C" w:rsidRPr="00420686">
        <w:rPr>
          <w:rFonts w:ascii="Book Antiqua" w:hAnsi="Book Antiqua" w:cs="Times New Roman"/>
          <w:b/>
          <w:sz w:val="24"/>
          <w:szCs w:val="24"/>
        </w:rPr>
        <w:t xml:space="preserve"> </w:t>
      </w:r>
      <w:r w:rsidR="00EA0F47" w:rsidRPr="00420686">
        <w:rPr>
          <w:rFonts w:ascii="Book Antiqua" w:hAnsi="Book Antiqua" w:cs="Times New Roman"/>
          <w:sz w:val="24"/>
          <w:szCs w:val="24"/>
        </w:rPr>
        <w:t>FLG</w:t>
      </w:r>
      <w:r w:rsidR="00EA0F47" w:rsidRPr="00420686">
        <w:rPr>
          <w:rFonts w:ascii="Book Antiqua" w:hAnsi="Book Antiqua" w:cs="Times New Roman"/>
          <w:sz w:val="24"/>
          <w:szCs w:val="24"/>
          <w:lang w:eastAsia="zh-CN"/>
        </w:rPr>
        <w:t xml:space="preserve">: </w:t>
      </w:r>
      <w:r w:rsidR="00EA0F47" w:rsidRPr="00420686">
        <w:rPr>
          <w:rFonts w:ascii="Book Antiqua" w:hAnsi="Book Antiqua" w:cs="Times New Roman"/>
          <w:sz w:val="24"/>
          <w:szCs w:val="24"/>
        </w:rPr>
        <w:t>Filaggrin</w:t>
      </w:r>
      <w:r w:rsidR="00EA0F47" w:rsidRPr="00420686">
        <w:rPr>
          <w:rFonts w:ascii="Book Antiqua" w:hAnsi="Book Antiqua" w:cs="Times New Roman"/>
          <w:sz w:val="24"/>
          <w:szCs w:val="24"/>
          <w:lang w:eastAsia="zh-CN"/>
        </w:rPr>
        <w:t xml:space="preserve">; </w:t>
      </w:r>
      <w:r w:rsidR="00EA0F47" w:rsidRPr="00420686">
        <w:rPr>
          <w:rFonts w:ascii="Book Antiqua" w:hAnsi="Book Antiqua" w:cs="Times New Roman"/>
          <w:sz w:val="24"/>
          <w:szCs w:val="24"/>
        </w:rPr>
        <w:t>LEKTI</w:t>
      </w:r>
      <w:r w:rsidR="00EA0F47" w:rsidRPr="00420686">
        <w:rPr>
          <w:rFonts w:ascii="Book Antiqua" w:hAnsi="Book Antiqua" w:cs="Times New Roman"/>
          <w:sz w:val="24"/>
          <w:szCs w:val="24"/>
          <w:lang w:eastAsia="zh-CN"/>
        </w:rPr>
        <w:t>:</w:t>
      </w:r>
      <w:r w:rsidR="00EA0F47" w:rsidRPr="00420686">
        <w:rPr>
          <w:rFonts w:ascii="Book Antiqua" w:hAnsi="Book Antiqua" w:cs="Times New Roman"/>
          <w:sz w:val="24"/>
          <w:szCs w:val="24"/>
        </w:rPr>
        <w:t xml:space="preserve"> Lympho-epithelial Kazal-type-related inhibitor</w:t>
      </w:r>
      <w:r w:rsidR="00EA0F47" w:rsidRPr="00420686">
        <w:rPr>
          <w:rFonts w:ascii="Book Antiqua" w:hAnsi="Book Antiqua" w:cs="Times New Roman"/>
          <w:sz w:val="24"/>
          <w:szCs w:val="24"/>
          <w:lang w:eastAsia="zh-CN"/>
        </w:rPr>
        <w:t>;</w:t>
      </w:r>
      <w:r w:rsidR="00EA0F47" w:rsidRPr="00420686">
        <w:rPr>
          <w:rFonts w:ascii="Book Antiqua" w:hAnsi="Book Antiqua" w:cs="Times New Roman"/>
          <w:sz w:val="24"/>
          <w:szCs w:val="24"/>
        </w:rPr>
        <w:t xml:space="preserve"> TSLP</w:t>
      </w:r>
      <w:r w:rsidR="00EA0F47" w:rsidRPr="00420686">
        <w:rPr>
          <w:rFonts w:ascii="Book Antiqua" w:hAnsi="Book Antiqua" w:cs="Times New Roman"/>
          <w:sz w:val="24"/>
          <w:szCs w:val="24"/>
          <w:lang w:eastAsia="zh-CN"/>
        </w:rPr>
        <w:t>:</w:t>
      </w:r>
      <w:r w:rsidR="00EA0F47" w:rsidRPr="00420686">
        <w:rPr>
          <w:rFonts w:ascii="Book Antiqua" w:hAnsi="Book Antiqua" w:cs="Times New Roman"/>
          <w:sz w:val="24"/>
          <w:szCs w:val="24"/>
        </w:rPr>
        <w:t xml:space="preserve"> Thymic stromal lymphopoietin</w:t>
      </w:r>
      <w:r w:rsidR="00EA0F47" w:rsidRPr="00420686">
        <w:rPr>
          <w:rFonts w:ascii="Book Antiqua" w:hAnsi="Book Antiqua" w:cs="Times New Roman"/>
          <w:sz w:val="24"/>
          <w:szCs w:val="24"/>
          <w:lang w:eastAsia="zh-CN"/>
        </w:rPr>
        <w:t xml:space="preserve">; </w:t>
      </w:r>
      <w:r w:rsidR="00EA0F47" w:rsidRPr="00420686">
        <w:rPr>
          <w:rFonts w:ascii="Book Antiqua" w:hAnsi="Book Antiqua" w:cs="Times New Roman"/>
          <w:sz w:val="24"/>
          <w:szCs w:val="24"/>
        </w:rPr>
        <w:t>IL-6</w:t>
      </w:r>
      <w:r w:rsidR="00EA0F47" w:rsidRPr="00420686">
        <w:rPr>
          <w:rFonts w:ascii="Book Antiqua" w:hAnsi="Book Antiqua" w:cs="Times New Roman"/>
          <w:sz w:val="24"/>
          <w:szCs w:val="24"/>
          <w:lang w:eastAsia="zh-CN"/>
        </w:rPr>
        <w:t xml:space="preserve">: Interleukin-6; </w:t>
      </w:r>
      <w:r w:rsidR="00EA0F47" w:rsidRPr="00420686">
        <w:rPr>
          <w:rFonts w:ascii="Book Antiqua" w:hAnsi="Book Antiqua" w:cs="Times New Roman"/>
          <w:sz w:val="24"/>
          <w:szCs w:val="24"/>
        </w:rPr>
        <w:t>LCs</w:t>
      </w:r>
      <w:r w:rsidR="00EA0F47" w:rsidRPr="00420686">
        <w:rPr>
          <w:rFonts w:ascii="Book Antiqua" w:hAnsi="Book Antiqua" w:cs="Times New Roman"/>
          <w:sz w:val="24"/>
          <w:szCs w:val="24"/>
          <w:lang w:eastAsia="zh-CN"/>
        </w:rPr>
        <w:t xml:space="preserve">: </w:t>
      </w:r>
      <w:r w:rsidR="00EA0F47" w:rsidRPr="00420686">
        <w:rPr>
          <w:rFonts w:ascii="Book Antiqua" w:hAnsi="Book Antiqua" w:cs="Times New Roman"/>
          <w:sz w:val="24"/>
          <w:szCs w:val="24"/>
        </w:rPr>
        <w:t>Langerhans cells</w:t>
      </w:r>
      <w:r w:rsidR="00EA0F47" w:rsidRPr="00420686">
        <w:rPr>
          <w:rFonts w:ascii="Book Antiqua" w:hAnsi="Book Antiqua" w:cs="Times New Roman"/>
          <w:sz w:val="24"/>
          <w:szCs w:val="24"/>
          <w:lang w:eastAsia="zh-CN"/>
        </w:rPr>
        <w:t xml:space="preserve">; </w:t>
      </w:r>
      <w:r w:rsidR="00EA0F47" w:rsidRPr="00420686">
        <w:rPr>
          <w:rFonts w:ascii="Book Antiqua" w:hAnsi="Book Antiqua" w:cs="Times New Roman"/>
          <w:sz w:val="24"/>
          <w:szCs w:val="24"/>
        </w:rPr>
        <w:t>PAR-2</w:t>
      </w:r>
      <w:r w:rsidR="00EA0F47" w:rsidRPr="00420686">
        <w:rPr>
          <w:rFonts w:ascii="Book Antiqua" w:hAnsi="Book Antiqua" w:cs="Times New Roman"/>
          <w:sz w:val="24"/>
          <w:szCs w:val="24"/>
          <w:lang w:eastAsia="zh-CN"/>
        </w:rPr>
        <w:t xml:space="preserve">: Proteinase-activated receptor-2; </w:t>
      </w:r>
      <w:r w:rsidR="00EA0F47" w:rsidRPr="00420686">
        <w:rPr>
          <w:rFonts w:ascii="Book Antiqua" w:hAnsi="Book Antiqua" w:cs="Times New Roman"/>
          <w:sz w:val="24"/>
          <w:szCs w:val="24"/>
        </w:rPr>
        <w:t>NF-kB</w:t>
      </w:r>
      <w:r w:rsidR="00EA0F47" w:rsidRPr="00420686">
        <w:rPr>
          <w:rFonts w:ascii="Book Antiqua" w:hAnsi="Book Antiqua" w:cs="Times New Roman"/>
          <w:sz w:val="24"/>
          <w:szCs w:val="24"/>
          <w:lang w:eastAsia="zh-CN"/>
        </w:rPr>
        <w:t>: Nuclear factor kappa-light-chain-enhancer of activated B cells.</w:t>
      </w:r>
    </w:p>
    <w:p w:rsidR="008B389C" w:rsidRPr="00420686" w:rsidRDefault="008B389C" w:rsidP="00420686">
      <w:pPr>
        <w:spacing w:after="0" w:line="360" w:lineRule="auto"/>
        <w:jc w:val="both"/>
        <w:rPr>
          <w:rFonts w:ascii="Book Antiqua" w:hAnsi="Book Antiqua" w:cs="Times New Roman"/>
          <w:sz w:val="24"/>
          <w:szCs w:val="24"/>
        </w:rPr>
      </w:pPr>
      <w:r w:rsidRPr="00420686">
        <w:rPr>
          <w:rFonts w:ascii="Book Antiqua" w:hAnsi="Book Antiqua" w:cs="Times New Roman"/>
          <w:noProof/>
          <w:sz w:val="24"/>
          <w:szCs w:val="24"/>
          <w:lang w:val="en-US"/>
        </w:rPr>
        <w:drawing>
          <wp:inline distT="0" distB="0" distL="0" distR="0" wp14:anchorId="0A7743F3" wp14:editId="1C766638">
            <wp:extent cx="4558284" cy="3599688"/>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revise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58284" cy="3599688"/>
                    </a:xfrm>
                    <a:prstGeom prst="rect">
                      <a:avLst/>
                    </a:prstGeom>
                  </pic:spPr>
                </pic:pic>
              </a:graphicData>
            </a:graphic>
          </wp:inline>
        </w:drawing>
      </w:r>
      <w:r w:rsidRPr="00420686">
        <w:rPr>
          <w:rFonts w:ascii="Book Antiqua" w:hAnsi="Book Antiqua" w:cs="Times New Roman"/>
          <w:sz w:val="24"/>
          <w:szCs w:val="24"/>
        </w:rPr>
        <w:fldChar w:fldCharType="begin"/>
      </w:r>
      <w:r w:rsidRPr="00420686">
        <w:rPr>
          <w:rFonts w:ascii="Book Antiqua" w:hAnsi="Book Antiqua" w:cs="Times New Roman"/>
          <w:sz w:val="24"/>
          <w:szCs w:val="24"/>
        </w:rPr>
        <w:instrText xml:space="preserve"> ADDIN </w:instrText>
      </w:r>
      <w:r w:rsidRPr="00420686">
        <w:rPr>
          <w:rFonts w:ascii="Book Antiqua" w:hAnsi="Book Antiqua" w:cs="Times New Roman"/>
          <w:sz w:val="24"/>
          <w:szCs w:val="24"/>
        </w:rPr>
        <w:fldChar w:fldCharType="end"/>
      </w:r>
    </w:p>
    <w:p w:rsidR="00C876A0" w:rsidRPr="00420686" w:rsidRDefault="00F1178C" w:rsidP="00420686">
      <w:pPr>
        <w:spacing w:after="0" w:line="360" w:lineRule="auto"/>
        <w:jc w:val="both"/>
        <w:rPr>
          <w:rFonts w:ascii="Book Antiqua" w:hAnsi="Book Antiqua"/>
          <w:sz w:val="24"/>
          <w:szCs w:val="24"/>
          <w:lang w:eastAsia="zh-CN"/>
        </w:rPr>
      </w:pPr>
      <w:r w:rsidRPr="00420686">
        <w:rPr>
          <w:rFonts w:ascii="Book Antiqua" w:hAnsi="Book Antiqua"/>
          <w:b/>
          <w:sz w:val="24"/>
          <w:szCs w:val="24"/>
        </w:rPr>
        <w:t>Figure 4</w:t>
      </w:r>
      <w:r w:rsidR="008B389C" w:rsidRPr="00420686">
        <w:rPr>
          <w:rFonts w:ascii="Book Antiqua" w:hAnsi="Book Antiqua"/>
          <w:b/>
          <w:sz w:val="24"/>
          <w:szCs w:val="24"/>
        </w:rPr>
        <w:t xml:space="preserve"> </w:t>
      </w:r>
      <w:r w:rsidR="008B389C" w:rsidRPr="00420686">
        <w:rPr>
          <w:rFonts w:ascii="Book Antiqua" w:hAnsi="Book Antiqua"/>
          <w:sz w:val="24"/>
          <w:szCs w:val="24"/>
        </w:rPr>
        <w:t>The combination of genetic and environmental factors in the natural history of atopic disease. Note that some allergens (</w:t>
      </w:r>
      <w:r w:rsidR="008B389C" w:rsidRPr="00420686">
        <w:rPr>
          <w:rFonts w:ascii="Book Antiqua" w:hAnsi="Book Antiqua"/>
          <w:i/>
          <w:sz w:val="24"/>
          <w:szCs w:val="24"/>
        </w:rPr>
        <w:t>e.g.</w:t>
      </w:r>
      <w:r w:rsidRPr="00420686">
        <w:rPr>
          <w:rFonts w:ascii="Book Antiqua" w:hAnsi="Book Antiqua"/>
          <w:i/>
          <w:sz w:val="24"/>
          <w:szCs w:val="24"/>
          <w:lang w:eastAsia="zh-CN"/>
        </w:rPr>
        <w:t>,</w:t>
      </w:r>
      <w:r w:rsidR="008B389C" w:rsidRPr="00420686">
        <w:rPr>
          <w:rFonts w:ascii="Book Antiqua" w:hAnsi="Book Antiqua"/>
          <w:sz w:val="24"/>
          <w:szCs w:val="24"/>
        </w:rPr>
        <w:t xml:space="preserve"> house dust mite allergens) can also contribute to total protea</w:t>
      </w:r>
      <w:r w:rsidR="00D5304C" w:rsidRPr="00420686">
        <w:rPr>
          <w:rFonts w:ascii="Book Antiqua" w:hAnsi="Book Antiqua"/>
          <w:sz w:val="24"/>
          <w:szCs w:val="24"/>
        </w:rPr>
        <w:t>se activity in the skin. Stress</w:t>
      </w:r>
      <w:r w:rsidR="00D5304C" w:rsidRPr="00420686">
        <w:rPr>
          <w:rFonts w:ascii="Book Antiqua" w:hAnsi="Book Antiqua"/>
          <w:sz w:val="24"/>
          <w:szCs w:val="24"/>
          <w:lang w:eastAsia="zh-CN"/>
        </w:rPr>
        <w:t xml:space="preserve">: </w:t>
      </w:r>
      <w:r w:rsidR="00D5304C" w:rsidRPr="00420686">
        <w:rPr>
          <w:rFonts w:ascii="Book Antiqua" w:hAnsi="Book Antiqua"/>
          <w:sz w:val="24"/>
          <w:szCs w:val="24"/>
        </w:rPr>
        <w:t xml:space="preserve">Psychological </w:t>
      </w:r>
      <w:r w:rsidR="008B389C" w:rsidRPr="00420686">
        <w:rPr>
          <w:rFonts w:ascii="Book Antiqua" w:hAnsi="Book Antiqua"/>
          <w:sz w:val="24"/>
          <w:szCs w:val="24"/>
        </w:rPr>
        <w:t>stress</w:t>
      </w:r>
      <w:r w:rsidR="00D5304C" w:rsidRPr="00420686">
        <w:rPr>
          <w:rFonts w:ascii="Book Antiqua" w:hAnsi="Book Antiqua"/>
          <w:sz w:val="24"/>
          <w:szCs w:val="24"/>
          <w:lang w:eastAsia="zh-CN"/>
        </w:rPr>
        <w:t>;</w:t>
      </w:r>
      <w:r w:rsidR="008B389C" w:rsidRPr="00420686">
        <w:rPr>
          <w:rFonts w:ascii="Book Antiqua" w:hAnsi="Book Antiqua"/>
          <w:sz w:val="24"/>
          <w:szCs w:val="24"/>
        </w:rPr>
        <w:t xml:space="preserve"> TCS</w:t>
      </w:r>
      <w:r w:rsidR="00C876A0" w:rsidRPr="00420686">
        <w:rPr>
          <w:rFonts w:ascii="Book Antiqua" w:hAnsi="Book Antiqua"/>
          <w:sz w:val="24"/>
          <w:szCs w:val="24"/>
          <w:lang w:eastAsia="zh-CN"/>
        </w:rPr>
        <w:t>:</w:t>
      </w:r>
      <w:r w:rsidR="00C876A0" w:rsidRPr="00420686">
        <w:rPr>
          <w:rFonts w:ascii="Book Antiqua" w:hAnsi="Book Antiqua"/>
          <w:sz w:val="24"/>
          <w:szCs w:val="24"/>
        </w:rPr>
        <w:t xml:space="preserve"> topical corticosteroids</w:t>
      </w:r>
      <w:r w:rsidR="00C876A0" w:rsidRPr="00420686">
        <w:rPr>
          <w:rFonts w:ascii="Book Antiqua" w:hAnsi="Book Antiqua"/>
          <w:sz w:val="24"/>
          <w:szCs w:val="24"/>
          <w:lang w:eastAsia="zh-CN"/>
        </w:rPr>
        <w:t xml:space="preserve">; </w:t>
      </w:r>
      <w:r w:rsidR="00C876A0" w:rsidRPr="00420686">
        <w:rPr>
          <w:rFonts w:ascii="Book Antiqua" w:hAnsi="Book Antiqua" w:cs="Times New Roman"/>
          <w:i/>
          <w:sz w:val="24"/>
          <w:szCs w:val="24"/>
        </w:rPr>
        <w:t>S. aureus</w:t>
      </w:r>
      <w:r w:rsidR="00C876A0" w:rsidRPr="00420686">
        <w:rPr>
          <w:rFonts w:ascii="Book Antiqua" w:hAnsi="Book Antiqua" w:cs="Times New Roman"/>
          <w:sz w:val="24"/>
          <w:szCs w:val="24"/>
          <w:lang w:eastAsia="zh-CN"/>
        </w:rPr>
        <w:t xml:space="preserve">: </w:t>
      </w:r>
      <w:r w:rsidR="00C876A0" w:rsidRPr="00420686">
        <w:rPr>
          <w:rFonts w:ascii="Book Antiqua" w:hAnsi="Book Antiqua" w:cs="Times New Roman"/>
          <w:i/>
          <w:sz w:val="24"/>
          <w:szCs w:val="24"/>
        </w:rPr>
        <w:t>Staphylococcus aureus</w:t>
      </w:r>
      <w:r w:rsidR="00C876A0" w:rsidRPr="00420686">
        <w:rPr>
          <w:rFonts w:ascii="Book Antiqua" w:hAnsi="Book Antiqua" w:cs="Times New Roman"/>
          <w:i/>
          <w:sz w:val="24"/>
          <w:szCs w:val="24"/>
          <w:lang w:eastAsia="zh-CN"/>
        </w:rPr>
        <w:t>.</w:t>
      </w:r>
    </w:p>
    <w:p w:rsidR="008B389C" w:rsidRPr="00420686" w:rsidRDefault="008B389C" w:rsidP="00420686">
      <w:pPr>
        <w:spacing w:after="0" w:line="360" w:lineRule="auto"/>
        <w:jc w:val="both"/>
        <w:rPr>
          <w:rFonts w:ascii="Book Antiqua" w:hAnsi="Book Antiqua"/>
          <w:sz w:val="24"/>
          <w:szCs w:val="24"/>
        </w:rPr>
      </w:pPr>
    </w:p>
    <w:p w:rsidR="008B389C" w:rsidRPr="00420686" w:rsidRDefault="008B389C" w:rsidP="00420686">
      <w:pPr>
        <w:spacing w:after="0" w:line="360" w:lineRule="auto"/>
        <w:jc w:val="both"/>
        <w:rPr>
          <w:rFonts w:ascii="Book Antiqua" w:hAnsi="Book Antiqua"/>
          <w:sz w:val="24"/>
          <w:szCs w:val="24"/>
        </w:rPr>
      </w:pPr>
      <w:r w:rsidRPr="00420686">
        <w:rPr>
          <w:rFonts w:ascii="Book Antiqua" w:hAnsi="Book Antiqua"/>
          <w:noProof/>
          <w:sz w:val="24"/>
          <w:szCs w:val="24"/>
          <w:lang w:val="en-US"/>
        </w:rPr>
        <w:drawing>
          <wp:inline distT="0" distB="0" distL="0" distR="0" wp14:anchorId="053C3AE1" wp14:editId="72AB769E">
            <wp:extent cx="4824984" cy="395935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24984" cy="3959352"/>
                    </a:xfrm>
                    <a:prstGeom prst="rect">
                      <a:avLst/>
                    </a:prstGeom>
                  </pic:spPr>
                </pic:pic>
              </a:graphicData>
            </a:graphic>
          </wp:inline>
        </w:drawing>
      </w:r>
    </w:p>
    <w:p w:rsidR="008B389C" w:rsidRPr="00420686" w:rsidRDefault="008B389C" w:rsidP="00420686">
      <w:pPr>
        <w:spacing w:after="0" w:line="360" w:lineRule="auto"/>
        <w:jc w:val="both"/>
        <w:rPr>
          <w:rFonts w:ascii="Book Antiqua" w:hAnsi="Book Antiqua"/>
          <w:sz w:val="24"/>
          <w:szCs w:val="24"/>
        </w:rPr>
      </w:pPr>
    </w:p>
    <w:p w:rsidR="00815E81" w:rsidRPr="00420686" w:rsidRDefault="00815E81" w:rsidP="00420686">
      <w:pPr>
        <w:spacing w:after="0" w:line="360" w:lineRule="auto"/>
        <w:jc w:val="both"/>
        <w:rPr>
          <w:rFonts w:ascii="Book Antiqua" w:hAnsi="Book Antiqua"/>
          <w:sz w:val="24"/>
          <w:szCs w:val="24"/>
        </w:rPr>
      </w:pPr>
    </w:p>
    <w:sectPr w:rsidR="00815E81" w:rsidRPr="00420686" w:rsidSect="00815E81">
      <w:footerReference w:type="default" r:id="rId13"/>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4978" w:rsidRDefault="00B24978">
      <w:pPr>
        <w:spacing w:after="0" w:line="240" w:lineRule="auto"/>
      </w:pPr>
      <w:r>
        <w:separator/>
      </w:r>
    </w:p>
  </w:endnote>
  <w:endnote w:type="continuationSeparator" w:id="0">
    <w:p w:rsidR="00B24978" w:rsidRDefault="00B24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宋体">
    <w:charset w:val="50"/>
    <w:family w:val="auto"/>
    <w:pitch w:val="variable"/>
    <w:sig w:usb0="00000001" w:usb1="080E0000" w:usb2="00000010" w:usb3="00000000" w:csb0="0004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Gulim">
    <w:altName w:val="굴림"/>
    <w:charset w:val="81"/>
    <w:family w:val="swiss"/>
    <w:pitch w:val="variable"/>
    <w:sig w:usb0="B00002AF" w:usb1="69D77CFB" w:usb2="00000030" w:usb3="00000000" w:csb0="0008009F" w:csb1="00000000"/>
  </w:font>
  <w:font w:name="AdvTimes">
    <w:altName w:val="Arial Unicode MS"/>
    <w:panose1 w:val="00000000000000000000"/>
    <w:charset w:val="86"/>
    <w:family w:val="auto"/>
    <w:notTrueType/>
    <w:pitch w:val="default"/>
    <w:sig w:usb0="00000000" w:usb1="080E0000" w:usb2="00000010" w:usb3="00000000" w:csb0="00040000" w:csb1="00000000"/>
  </w:font>
  <w:font w:name="Arial Unicode MS">
    <w:panose1 w:val="020B0604020202020204"/>
    <w:charset w:val="00"/>
    <w:family w:val="auto"/>
    <w:pitch w:val="variable"/>
    <w:sig w:usb0="F7FFAFFF" w:usb1="E9DFFFFF" w:usb2="0000003F" w:usb3="00000000" w:csb0="003F01FF" w:csb1="00000000"/>
  </w:font>
  <w:font w:name="BookAntiqua">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6504373"/>
      <w:docPartObj>
        <w:docPartGallery w:val="Page Numbers (Bottom of Page)"/>
        <w:docPartUnique/>
      </w:docPartObj>
    </w:sdtPr>
    <w:sdtEndPr>
      <w:rPr>
        <w:noProof/>
      </w:rPr>
    </w:sdtEndPr>
    <w:sdtContent>
      <w:p w:rsidR="00815E81" w:rsidRDefault="00815E81">
        <w:pPr>
          <w:pStyle w:val="Footer"/>
          <w:jc w:val="center"/>
        </w:pPr>
        <w:r>
          <w:fldChar w:fldCharType="begin"/>
        </w:r>
        <w:r>
          <w:instrText xml:space="preserve"> PAGE   \* MERGEFORMAT </w:instrText>
        </w:r>
        <w:r>
          <w:fldChar w:fldCharType="separate"/>
        </w:r>
        <w:r w:rsidR="00735AF7">
          <w:rPr>
            <w:noProof/>
          </w:rPr>
          <w:t>0</w:t>
        </w:r>
        <w:r>
          <w:rPr>
            <w:noProof/>
          </w:rPr>
          <w:fldChar w:fldCharType="end"/>
        </w:r>
      </w:p>
    </w:sdtContent>
  </w:sdt>
  <w:p w:rsidR="00815E81" w:rsidRDefault="00815E81" w:rsidP="00815E81">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4978" w:rsidRDefault="00B24978">
      <w:pPr>
        <w:spacing w:after="0" w:line="240" w:lineRule="auto"/>
      </w:pPr>
      <w:r>
        <w:separator/>
      </w:r>
    </w:p>
  </w:footnote>
  <w:footnote w:type="continuationSeparator" w:id="0">
    <w:p w:rsidR="00B24978" w:rsidRDefault="00B2497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E19D0"/>
    <w:multiLevelType w:val="hybridMultilevel"/>
    <w:tmpl w:val="47FC0B66"/>
    <w:lvl w:ilvl="0" w:tplc="5624292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C0244B"/>
    <w:multiLevelType w:val="hybridMultilevel"/>
    <w:tmpl w:val="8A52E0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6982C13"/>
    <w:multiLevelType w:val="hybridMultilevel"/>
    <w:tmpl w:val="031A5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5F7515"/>
    <w:multiLevelType w:val="hybridMultilevel"/>
    <w:tmpl w:val="3AB486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16B71CC"/>
    <w:multiLevelType w:val="hybridMultilevel"/>
    <w:tmpl w:val="D516382A"/>
    <w:lvl w:ilvl="0" w:tplc="17161C9C">
      <w:start w:val="1"/>
      <w:numFmt w:val="decimal"/>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12BB3687"/>
    <w:multiLevelType w:val="hybridMultilevel"/>
    <w:tmpl w:val="1E343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B8F6A6A"/>
    <w:multiLevelType w:val="hybridMultilevel"/>
    <w:tmpl w:val="65E81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BFF3AB0"/>
    <w:multiLevelType w:val="hybridMultilevel"/>
    <w:tmpl w:val="C57EE752"/>
    <w:lvl w:ilvl="0" w:tplc="90EACBE6">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8C542E8"/>
    <w:multiLevelType w:val="hybridMultilevel"/>
    <w:tmpl w:val="2C40E1AE"/>
    <w:lvl w:ilvl="0" w:tplc="2B0A9546">
      <w:start w:val="1"/>
      <w:numFmt w:val="lowerRoman"/>
      <w:lvlText w:val="(%1)"/>
      <w:lvlJc w:val="left"/>
      <w:pPr>
        <w:ind w:left="1500" w:hanging="72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9">
    <w:nsid w:val="29AE3E5C"/>
    <w:multiLevelType w:val="hybridMultilevel"/>
    <w:tmpl w:val="930801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CB43AD5"/>
    <w:multiLevelType w:val="hybridMultilevel"/>
    <w:tmpl w:val="CFF8EE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D885DBB"/>
    <w:multiLevelType w:val="multilevel"/>
    <w:tmpl w:val="4126CF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ECB2E3F"/>
    <w:multiLevelType w:val="hybridMultilevel"/>
    <w:tmpl w:val="8CF636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EEB7CF5"/>
    <w:multiLevelType w:val="hybridMultilevel"/>
    <w:tmpl w:val="90FA649A"/>
    <w:lvl w:ilvl="0" w:tplc="3BE2ADCA">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nsid w:val="45DA6CC8"/>
    <w:multiLevelType w:val="hybridMultilevel"/>
    <w:tmpl w:val="63F4E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96C65DD"/>
    <w:multiLevelType w:val="hybridMultilevel"/>
    <w:tmpl w:val="49246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A4D2F84"/>
    <w:multiLevelType w:val="multilevel"/>
    <w:tmpl w:val="406262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F070183"/>
    <w:multiLevelType w:val="hybridMultilevel"/>
    <w:tmpl w:val="A770F1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18F2528"/>
    <w:multiLevelType w:val="hybridMultilevel"/>
    <w:tmpl w:val="570E1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33864A5"/>
    <w:multiLevelType w:val="hybridMultilevel"/>
    <w:tmpl w:val="FBF21B74"/>
    <w:lvl w:ilvl="0" w:tplc="1812F45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A3A2544"/>
    <w:multiLevelType w:val="hybridMultilevel"/>
    <w:tmpl w:val="099627F8"/>
    <w:lvl w:ilvl="0" w:tplc="B150B97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BF16D34"/>
    <w:multiLevelType w:val="hybridMultilevel"/>
    <w:tmpl w:val="CEDC7D30"/>
    <w:lvl w:ilvl="0" w:tplc="9E4AFD0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8914B02"/>
    <w:multiLevelType w:val="hybridMultilevel"/>
    <w:tmpl w:val="52ECB93E"/>
    <w:lvl w:ilvl="0" w:tplc="2EB65E7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C571B49"/>
    <w:multiLevelType w:val="hybridMultilevel"/>
    <w:tmpl w:val="C03EB23E"/>
    <w:lvl w:ilvl="0" w:tplc="1F684E0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0A25570"/>
    <w:multiLevelType w:val="hybridMultilevel"/>
    <w:tmpl w:val="7DBC2528"/>
    <w:lvl w:ilvl="0" w:tplc="FBDE0C76">
      <w:start w:val="1"/>
      <w:numFmt w:val="decimal"/>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71B615D5"/>
    <w:multiLevelType w:val="multilevel"/>
    <w:tmpl w:val="79E6D3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2A91EEF"/>
    <w:multiLevelType w:val="hybridMultilevel"/>
    <w:tmpl w:val="2D0A380A"/>
    <w:lvl w:ilvl="0" w:tplc="CC5092B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nsid w:val="740525B1"/>
    <w:multiLevelType w:val="hybridMultilevel"/>
    <w:tmpl w:val="A072C41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8">
    <w:nsid w:val="7765271F"/>
    <w:multiLevelType w:val="hybridMultilevel"/>
    <w:tmpl w:val="753E6756"/>
    <w:lvl w:ilvl="0" w:tplc="F4866E78">
      <w:start w:val="1"/>
      <w:numFmt w:val="decimal"/>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7DF62286"/>
    <w:multiLevelType w:val="hybridMultilevel"/>
    <w:tmpl w:val="D97CF288"/>
    <w:lvl w:ilvl="0" w:tplc="635403C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6"/>
  </w:num>
  <w:num w:numId="3">
    <w:abstractNumId w:val="5"/>
  </w:num>
  <w:num w:numId="4">
    <w:abstractNumId w:val="28"/>
  </w:num>
  <w:num w:numId="5">
    <w:abstractNumId w:val="14"/>
  </w:num>
  <w:num w:numId="6">
    <w:abstractNumId w:val="4"/>
  </w:num>
  <w:num w:numId="7">
    <w:abstractNumId w:val="24"/>
  </w:num>
  <w:num w:numId="8">
    <w:abstractNumId w:val="2"/>
  </w:num>
  <w:num w:numId="9">
    <w:abstractNumId w:val="16"/>
  </w:num>
  <w:num w:numId="10">
    <w:abstractNumId w:val="11"/>
  </w:num>
  <w:num w:numId="11">
    <w:abstractNumId w:val="12"/>
  </w:num>
  <w:num w:numId="12">
    <w:abstractNumId w:val="10"/>
  </w:num>
  <w:num w:numId="13">
    <w:abstractNumId w:val="1"/>
  </w:num>
  <w:num w:numId="14">
    <w:abstractNumId w:val="25"/>
  </w:num>
  <w:num w:numId="15">
    <w:abstractNumId w:val="21"/>
  </w:num>
  <w:num w:numId="16">
    <w:abstractNumId w:val="29"/>
  </w:num>
  <w:num w:numId="17">
    <w:abstractNumId w:val="23"/>
  </w:num>
  <w:num w:numId="18">
    <w:abstractNumId w:val="18"/>
  </w:num>
  <w:num w:numId="19">
    <w:abstractNumId w:val="22"/>
  </w:num>
  <w:num w:numId="20">
    <w:abstractNumId w:val="27"/>
  </w:num>
  <w:num w:numId="21">
    <w:abstractNumId w:val="8"/>
  </w:num>
  <w:num w:numId="22">
    <w:abstractNumId w:val="15"/>
  </w:num>
  <w:num w:numId="23">
    <w:abstractNumId w:val="19"/>
  </w:num>
  <w:num w:numId="24">
    <w:abstractNumId w:val="0"/>
  </w:num>
  <w:num w:numId="25">
    <w:abstractNumId w:val="7"/>
  </w:num>
  <w:num w:numId="26">
    <w:abstractNumId w:val="17"/>
  </w:num>
  <w:num w:numId="27">
    <w:abstractNumId w:val="26"/>
  </w:num>
  <w:num w:numId="28">
    <w:abstractNumId w:val="13"/>
  </w:num>
  <w:num w:numId="29">
    <w:abstractNumId w:val="3"/>
  </w:num>
  <w:num w:numId="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8B389C"/>
    <w:rsid w:val="002172E5"/>
    <w:rsid w:val="00246D80"/>
    <w:rsid w:val="00420686"/>
    <w:rsid w:val="00440290"/>
    <w:rsid w:val="005A620A"/>
    <w:rsid w:val="006A5BC3"/>
    <w:rsid w:val="00735AF7"/>
    <w:rsid w:val="00815E81"/>
    <w:rsid w:val="00837A12"/>
    <w:rsid w:val="0084043C"/>
    <w:rsid w:val="008973D5"/>
    <w:rsid w:val="008B389C"/>
    <w:rsid w:val="008D3115"/>
    <w:rsid w:val="00955B11"/>
    <w:rsid w:val="009627C0"/>
    <w:rsid w:val="00976EE9"/>
    <w:rsid w:val="00A01112"/>
    <w:rsid w:val="00B24978"/>
    <w:rsid w:val="00B25AD6"/>
    <w:rsid w:val="00C374AC"/>
    <w:rsid w:val="00C876A0"/>
    <w:rsid w:val="00C91D2E"/>
    <w:rsid w:val="00CC1208"/>
    <w:rsid w:val="00D344BF"/>
    <w:rsid w:val="00D5304C"/>
    <w:rsid w:val="00D908ED"/>
    <w:rsid w:val="00E2427D"/>
    <w:rsid w:val="00E36CA1"/>
    <w:rsid w:val="00EA0F47"/>
    <w:rsid w:val="00EA15EB"/>
    <w:rsid w:val="00EA75B8"/>
    <w:rsid w:val="00F1178C"/>
    <w:rsid w:val="00F92FF0"/>
    <w:rsid w:val="00FB2BE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389C"/>
  </w:style>
  <w:style w:type="paragraph" w:styleId="Heading1">
    <w:name w:val="heading 1"/>
    <w:basedOn w:val="Normal"/>
    <w:link w:val="Heading1Char"/>
    <w:uiPriority w:val="9"/>
    <w:qFormat/>
    <w:rsid w:val="008B389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8B38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8B389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89C"/>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8B389C"/>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8B389C"/>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8B389C"/>
    <w:pPr>
      <w:ind w:left="720"/>
      <w:contextualSpacing/>
    </w:pPr>
  </w:style>
  <w:style w:type="character" w:styleId="Hyperlink">
    <w:name w:val="Hyperlink"/>
    <w:basedOn w:val="DefaultParagraphFont"/>
    <w:uiPriority w:val="99"/>
    <w:unhideWhenUsed/>
    <w:rsid w:val="008B389C"/>
    <w:rPr>
      <w:color w:val="0000FF"/>
      <w:u w:val="single"/>
    </w:rPr>
  </w:style>
  <w:style w:type="character" w:customStyle="1" w:styleId="citation-abbreviation">
    <w:name w:val="citation-abbreviation"/>
    <w:basedOn w:val="DefaultParagraphFont"/>
    <w:rsid w:val="008B389C"/>
  </w:style>
  <w:style w:type="character" w:customStyle="1" w:styleId="citation-publication-date">
    <w:name w:val="citation-publication-date"/>
    <w:basedOn w:val="DefaultParagraphFont"/>
    <w:rsid w:val="008B389C"/>
  </w:style>
  <w:style w:type="character" w:customStyle="1" w:styleId="citation-volume">
    <w:name w:val="citation-volume"/>
    <w:basedOn w:val="DefaultParagraphFont"/>
    <w:rsid w:val="008B389C"/>
  </w:style>
  <w:style w:type="character" w:customStyle="1" w:styleId="citation-issue">
    <w:name w:val="citation-issue"/>
    <w:basedOn w:val="DefaultParagraphFont"/>
    <w:rsid w:val="008B389C"/>
  </w:style>
  <w:style w:type="character" w:customStyle="1" w:styleId="citation-flpages">
    <w:name w:val="citation-flpages"/>
    <w:basedOn w:val="DefaultParagraphFont"/>
    <w:rsid w:val="008B389C"/>
  </w:style>
  <w:style w:type="character" w:customStyle="1" w:styleId="fm-vol-iss-date">
    <w:name w:val="fm-vol-iss-date"/>
    <w:basedOn w:val="DefaultParagraphFont"/>
    <w:rsid w:val="008B389C"/>
  </w:style>
  <w:style w:type="character" w:customStyle="1" w:styleId="doi1">
    <w:name w:val="doi1"/>
    <w:basedOn w:val="DefaultParagraphFont"/>
    <w:rsid w:val="008B389C"/>
  </w:style>
  <w:style w:type="character" w:customStyle="1" w:styleId="fm-citation-ids-label">
    <w:name w:val="fm-citation-ids-label"/>
    <w:basedOn w:val="DefaultParagraphFont"/>
    <w:rsid w:val="008B389C"/>
  </w:style>
  <w:style w:type="character" w:customStyle="1" w:styleId="absnonlinkmetadata">
    <w:name w:val="abs_nonlink_metadata"/>
    <w:basedOn w:val="DefaultParagraphFont"/>
    <w:rsid w:val="008B389C"/>
  </w:style>
  <w:style w:type="paragraph" w:customStyle="1" w:styleId="citationline">
    <w:name w:val="citationline"/>
    <w:basedOn w:val="Normal"/>
    <w:rsid w:val="008B389C"/>
    <w:pPr>
      <w:spacing w:before="100" w:beforeAutospacing="1" w:after="100" w:afterAutospacing="1" w:line="336" w:lineRule="atLeast"/>
    </w:pPr>
    <w:rPr>
      <w:rFonts w:ascii="Times New Roman" w:eastAsia="Times New Roman" w:hAnsi="Times New Roman" w:cs="Times New Roman"/>
      <w:sz w:val="17"/>
      <w:szCs w:val="17"/>
      <w:lang w:eastAsia="en-GB"/>
    </w:rPr>
  </w:style>
  <w:style w:type="paragraph" w:customStyle="1" w:styleId="authors">
    <w:name w:val="authors"/>
    <w:basedOn w:val="Normal"/>
    <w:rsid w:val="008B389C"/>
    <w:pPr>
      <w:spacing w:before="100" w:beforeAutospacing="1" w:after="100" w:afterAutospacing="1" w:line="336" w:lineRule="atLeast"/>
    </w:pPr>
    <w:rPr>
      <w:rFonts w:ascii="Times New Roman" w:eastAsia="Times New Roman" w:hAnsi="Times New Roman" w:cs="Times New Roman"/>
      <w:sz w:val="17"/>
      <w:szCs w:val="17"/>
      <w:lang w:eastAsia="en-GB"/>
    </w:rPr>
  </w:style>
  <w:style w:type="character" w:customStyle="1" w:styleId="citation">
    <w:name w:val="citation"/>
    <w:basedOn w:val="DefaultParagraphFont"/>
    <w:rsid w:val="008B389C"/>
  </w:style>
  <w:style w:type="character" w:styleId="Emphasis">
    <w:name w:val="Emphasis"/>
    <w:basedOn w:val="DefaultParagraphFont"/>
    <w:uiPriority w:val="20"/>
    <w:qFormat/>
    <w:rsid w:val="008B389C"/>
    <w:rPr>
      <w:i/>
      <w:iCs/>
    </w:rPr>
  </w:style>
  <w:style w:type="character" w:customStyle="1" w:styleId="highlight">
    <w:name w:val="highlight"/>
    <w:basedOn w:val="DefaultParagraphFont"/>
    <w:rsid w:val="008B389C"/>
  </w:style>
  <w:style w:type="character" w:styleId="Strong">
    <w:name w:val="Strong"/>
    <w:basedOn w:val="DefaultParagraphFont"/>
    <w:qFormat/>
    <w:rsid w:val="008B389C"/>
    <w:rPr>
      <w:b/>
      <w:bCs/>
    </w:rPr>
  </w:style>
  <w:style w:type="paragraph" w:styleId="NormalWeb">
    <w:name w:val="Normal (Web)"/>
    <w:basedOn w:val="Normal"/>
    <w:uiPriority w:val="99"/>
    <w:semiHidden/>
    <w:unhideWhenUsed/>
    <w:rsid w:val="008B389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journalname1">
    <w:name w:val="journalname1"/>
    <w:basedOn w:val="DefaultParagraphFont"/>
    <w:rsid w:val="008B389C"/>
    <w:rPr>
      <w:i/>
      <w:iCs/>
    </w:rPr>
  </w:style>
  <w:style w:type="character" w:customStyle="1" w:styleId="b1">
    <w:name w:val="b1"/>
    <w:basedOn w:val="DefaultParagraphFont"/>
    <w:rsid w:val="008B389C"/>
    <w:rPr>
      <w:b/>
      <w:bCs/>
    </w:rPr>
  </w:style>
  <w:style w:type="character" w:customStyle="1" w:styleId="authordegrees">
    <w:name w:val="authordegrees"/>
    <w:basedOn w:val="DefaultParagraphFont"/>
    <w:rsid w:val="008B389C"/>
    <w:rPr>
      <w:sz w:val="24"/>
      <w:szCs w:val="24"/>
      <w:bdr w:val="none" w:sz="0" w:space="0" w:color="auto" w:frame="1"/>
      <w:vertAlign w:val="baseline"/>
    </w:rPr>
  </w:style>
  <w:style w:type="character" w:customStyle="1" w:styleId="authornames">
    <w:name w:val="authornames"/>
    <w:basedOn w:val="DefaultParagraphFont"/>
    <w:rsid w:val="008B389C"/>
  </w:style>
  <w:style w:type="character" w:customStyle="1" w:styleId="articlealttitle1">
    <w:name w:val="articlealttitle1"/>
    <w:basedOn w:val="DefaultParagraphFont"/>
    <w:rsid w:val="008B389C"/>
    <w:rPr>
      <w:sz w:val="24"/>
      <w:szCs w:val="24"/>
      <w:bdr w:val="none" w:sz="0" w:space="0" w:color="auto" w:frame="1"/>
      <w:vertAlign w:val="baseline"/>
    </w:rPr>
  </w:style>
  <w:style w:type="paragraph" w:styleId="Header">
    <w:name w:val="header"/>
    <w:basedOn w:val="Normal"/>
    <w:link w:val="HeaderChar"/>
    <w:uiPriority w:val="99"/>
    <w:unhideWhenUsed/>
    <w:rsid w:val="008B389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389C"/>
    <w:rPr>
      <w:rFonts w:eastAsiaTheme="minorEastAsia"/>
    </w:rPr>
  </w:style>
  <w:style w:type="paragraph" w:styleId="Footer">
    <w:name w:val="footer"/>
    <w:basedOn w:val="Normal"/>
    <w:link w:val="FooterChar"/>
    <w:uiPriority w:val="99"/>
    <w:unhideWhenUsed/>
    <w:rsid w:val="008B389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389C"/>
    <w:rPr>
      <w:rFonts w:eastAsiaTheme="minorEastAsia"/>
    </w:rPr>
  </w:style>
  <w:style w:type="paragraph" w:styleId="BalloonText">
    <w:name w:val="Balloon Text"/>
    <w:basedOn w:val="Normal"/>
    <w:link w:val="BalloonTextChar"/>
    <w:uiPriority w:val="99"/>
    <w:semiHidden/>
    <w:unhideWhenUsed/>
    <w:rsid w:val="008B38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389C"/>
    <w:rPr>
      <w:rFonts w:ascii="Tahoma" w:eastAsiaTheme="minorEastAsia" w:hAnsi="Tahoma" w:cs="Tahoma"/>
      <w:sz w:val="16"/>
      <w:szCs w:val="16"/>
    </w:rPr>
  </w:style>
  <w:style w:type="paragraph" w:styleId="TOCHeading">
    <w:name w:val="TOC Heading"/>
    <w:basedOn w:val="Heading1"/>
    <w:next w:val="Normal"/>
    <w:uiPriority w:val="39"/>
    <w:semiHidden/>
    <w:unhideWhenUsed/>
    <w:qFormat/>
    <w:rsid w:val="008B389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1">
    <w:name w:val="toc 1"/>
    <w:basedOn w:val="Normal"/>
    <w:next w:val="Normal"/>
    <w:autoRedefine/>
    <w:uiPriority w:val="39"/>
    <w:unhideWhenUsed/>
    <w:rsid w:val="008B389C"/>
    <w:pPr>
      <w:spacing w:after="100"/>
    </w:pPr>
  </w:style>
  <w:style w:type="paragraph" w:styleId="TOC2">
    <w:name w:val="toc 2"/>
    <w:basedOn w:val="Normal"/>
    <w:next w:val="Normal"/>
    <w:autoRedefine/>
    <w:uiPriority w:val="39"/>
    <w:unhideWhenUsed/>
    <w:rsid w:val="008B389C"/>
    <w:pPr>
      <w:spacing w:after="100"/>
      <w:ind w:left="220"/>
    </w:pPr>
  </w:style>
  <w:style w:type="character" w:customStyle="1" w:styleId="hit">
    <w:name w:val="hit"/>
    <w:basedOn w:val="DefaultParagraphFont"/>
    <w:rsid w:val="008B389C"/>
    <w:rPr>
      <w:shd w:val="clear" w:color="auto" w:fill="FFFF99"/>
    </w:rPr>
  </w:style>
  <w:style w:type="character" w:styleId="CommentReference">
    <w:name w:val="annotation reference"/>
    <w:basedOn w:val="DefaultParagraphFont"/>
    <w:uiPriority w:val="99"/>
    <w:semiHidden/>
    <w:unhideWhenUsed/>
    <w:rsid w:val="008B389C"/>
    <w:rPr>
      <w:sz w:val="16"/>
      <w:szCs w:val="16"/>
    </w:rPr>
  </w:style>
  <w:style w:type="paragraph" w:styleId="CommentText">
    <w:name w:val="annotation text"/>
    <w:basedOn w:val="Normal"/>
    <w:link w:val="CommentTextChar"/>
    <w:unhideWhenUsed/>
    <w:rsid w:val="008B389C"/>
    <w:pPr>
      <w:spacing w:line="240" w:lineRule="auto"/>
    </w:pPr>
    <w:rPr>
      <w:sz w:val="20"/>
      <w:szCs w:val="20"/>
    </w:rPr>
  </w:style>
  <w:style w:type="character" w:customStyle="1" w:styleId="CommentTextChar">
    <w:name w:val="Comment Text Char"/>
    <w:basedOn w:val="DefaultParagraphFont"/>
    <w:link w:val="CommentText"/>
    <w:rsid w:val="008B389C"/>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8B389C"/>
    <w:rPr>
      <w:b/>
      <w:bCs/>
    </w:rPr>
  </w:style>
  <w:style w:type="character" w:customStyle="1" w:styleId="CommentSubjectChar">
    <w:name w:val="Comment Subject Char"/>
    <w:basedOn w:val="CommentTextChar"/>
    <w:link w:val="CommentSubject"/>
    <w:uiPriority w:val="99"/>
    <w:semiHidden/>
    <w:rsid w:val="008B389C"/>
    <w:rPr>
      <w:rFonts w:eastAsiaTheme="minorEastAsia"/>
      <w:b/>
      <w:bCs/>
      <w:sz w:val="20"/>
      <w:szCs w:val="20"/>
    </w:rPr>
  </w:style>
  <w:style w:type="paragraph" w:styleId="Caption">
    <w:name w:val="caption"/>
    <w:basedOn w:val="Normal"/>
    <w:next w:val="Normal"/>
    <w:uiPriority w:val="35"/>
    <w:unhideWhenUsed/>
    <w:qFormat/>
    <w:rsid w:val="008B389C"/>
    <w:pPr>
      <w:spacing w:line="240" w:lineRule="auto"/>
    </w:pPr>
    <w:rPr>
      <w:b/>
      <w:bCs/>
      <w:color w:val="4F81BD" w:themeColor="accent1"/>
      <w:sz w:val="18"/>
      <w:szCs w:val="18"/>
    </w:rPr>
  </w:style>
  <w:style w:type="character" w:styleId="HTMLCite">
    <w:name w:val="HTML Cite"/>
    <w:basedOn w:val="DefaultParagraphFont"/>
    <w:uiPriority w:val="99"/>
    <w:semiHidden/>
    <w:unhideWhenUsed/>
    <w:rsid w:val="008B389C"/>
    <w:rPr>
      <w:i/>
      <w:iCs/>
    </w:rPr>
  </w:style>
  <w:style w:type="character" w:customStyle="1" w:styleId="cit-auth2">
    <w:name w:val="cit-auth2"/>
    <w:basedOn w:val="DefaultParagraphFont"/>
    <w:rsid w:val="008B389C"/>
  </w:style>
  <w:style w:type="character" w:customStyle="1" w:styleId="cit-name-surname">
    <w:name w:val="cit-name-surname"/>
    <w:basedOn w:val="DefaultParagraphFont"/>
    <w:rsid w:val="008B389C"/>
  </w:style>
  <w:style w:type="character" w:customStyle="1" w:styleId="cit-name-given-names">
    <w:name w:val="cit-name-given-names"/>
    <w:basedOn w:val="DefaultParagraphFont"/>
    <w:rsid w:val="008B389C"/>
  </w:style>
  <w:style w:type="character" w:customStyle="1" w:styleId="cit-etal">
    <w:name w:val="cit-etal"/>
    <w:basedOn w:val="DefaultParagraphFont"/>
    <w:rsid w:val="008B389C"/>
  </w:style>
  <w:style w:type="character" w:customStyle="1" w:styleId="cit-article-title">
    <w:name w:val="cit-article-title"/>
    <w:basedOn w:val="DefaultParagraphFont"/>
    <w:rsid w:val="008B389C"/>
  </w:style>
  <w:style w:type="character" w:customStyle="1" w:styleId="cit-pub-date">
    <w:name w:val="cit-pub-date"/>
    <w:basedOn w:val="DefaultParagraphFont"/>
    <w:rsid w:val="008B389C"/>
  </w:style>
  <w:style w:type="character" w:customStyle="1" w:styleId="cit-vol5">
    <w:name w:val="cit-vol5"/>
    <w:basedOn w:val="DefaultParagraphFont"/>
    <w:rsid w:val="008B389C"/>
  </w:style>
  <w:style w:type="character" w:customStyle="1" w:styleId="cit-fpage">
    <w:name w:val="cit-fpage"/>
    <w:basedOn w:val="DefaultParagraphFont"/>
    <w:rsid w:val="008B389C"/>
  </w:style>
  <w:style w:type="character" w:customStyle="1" w:styleId="cit-lpage">
    <w:name w:val="cit-lpage"/>
    <w:basedOn w:val="DefaultParagraphFont"/>
    <w:rsid w:val="008B389C"/>
  </w:style>
  <w:style w:type="paragraph" w:customStyle="1" w:styleId="EndNoteBibliographyTitle">
    <w:name w:val="EndNote Bibliography Title"/>
    <w:basedOn w:val="Normal"/>
    <w:link w:val="EndNoteBibliographyTitleChar"/>
    <w:rsid w:val="008B389C"/>
    <w:pPr>
      <w:spacing w:after="0"/>
      <w:jc w:val="center"/>
    </w:pPr>
    <w:rPr>
      <w:rFonts w:ascii="Calibri" w:eastAsia="Times New Roman" w:hAnsi="Calibri" w:cs="Times New Roman"/>
      <w:noProof/>
      <w:kern w:val="36"/>
      <w:sz w:val="48"/>
      <w:szCs w:val="48"/>
      <w:lang w:val="en-US" w:eastAsia="en-GB"/>
    </w:rPr>
  </w:style>
  <w:style w:type="character" w:customStyle="1" w:styleId="EndNoteBibliographyTitleChar">
    <w:name w:val="EndNote Bibliography Title Char"/>
    <w:basedOn w:val="Heading1Char"/>
    <w:link w:val="EndNoteBibliographyTitle"/>
    <w:rsid w:val="008B389C"/>
    <w:rPr>
      <w:rFonts w:ascii="Calibri" w:eastAsia="Times New Roman" w:hAnsi="Calibri" w:cs="Times New Roman"/>
      <w:b w:val="0"/>
      <w:bCs w:val="0"/>
      <w:noProof/>
      <w:kern w:val="36"/>
      <w:sz w:val="48"/>
      <w:szCs w:val="48"/>
      <w:lang w:val="en-US" w:eastAsia="en-GB"/>
    </w:rPr>
  </w:style>
  <w:style w:type="paragraph" w:customStyle="1" w:styleId="EndNoteBibliography">
    <w:name w:val="EndNote Bibliography"/>
    <w:basedOn w:val="Normal"/>
    <w:link w:val="EndNoteBibliographyChar"/>
    <w:rsid w:val="008B389C"/>
    <w:pPr>
      <w:spacing w:line="240" w:lineRule="auto"/>
    </w:pPr>
    <w:rPr>
      <w:rFonts w:ascii="Calibri" w:eastAsia="Times New Roman" w:hAnsi="Calibri" w:cs="Times New Roman"/>
      <w:noProof/>
      <w:kern w:val="36"/>
      <w:sz w:val="48"/>
      <w:szCs w:val="48"/>
      <w:lang w:val="en-US" w:eastAsia="en-GB"/>
    </w:rPr>
  </w:style>
  <w:style w:type="character" w:customStyle="1" w:styleId="EndNoteBibliographyChar">
    <w:name w:val="EndNote Bibliography Char"/>
    <w:basedOn w:val="Heading1Char"/>
    <w:link w:val="EndNoteBibliography"/>
    <w:rsid w:val="008B389C"/>
    <w:rPr>
      <w:rFonts w:ascii="Calibri" w:eastAsia="Times New Roman" w:hAnsi="Calibri" w:cs="Times New Roman"/>
      <w:b w:val="0"/>
      <w:bCs w:val="0"/>
      <w:noProof/>
      <w:kern w:val="36"/>
      <w:sz w:val="48"/>
      <w:szCs w:val="48"/>
      <w:lang w:val="en-US" w:eastAsia="en-GB"/>
    </w:rPr>
  </w:style>
  <w:style w:type="character" w:styleId="FollowedHyperlink">
    <w:name w:val="FollowedHyperlink"/>
    <w:basedOn w:val="DefaultParagraphFont"/>
    <w:uiPriority w:val="99"/>
    <w:semiHidden/>
    <w:unhideWhenUsed/>
    <w:rsid w:val="008B389C"/>
    <w:rPr>
      <w:color w:val="800080" w:themeColor="followedHyperlink"/>
      <w:u w:val="single"/>
    </w:rPr>
  </w:style>
  <w:style w:type="paragraph" w:styleId="Title">
    <w:name w:val="Title"/>
    <w:aliases w:val="title"/>
    <w:basedOn w:val="Normal"/>
    <w:link w:val="TitleChar"/>
    <w:uiPriority w:val="10"/>
    <w:qFormat/>
    <w:rsid w:val="008B389C"/>
    <w:pPr>
      <w:spacing w:before="100" w:beforeAutospacing="1" w:after="100" w:afterAutospacing="1" w:line="240" w:lineRule="auto"/>
    </w:pPr>
    <w:rPr>
      <w:rFonts w:ascii="Times" w:hAnsi="Times"/>
      <w:sz w:val="20"/>
      <w:szCs w:val="20"/>
    </w:rPr>
  </w:style>
  <w:style w:type="character" w:customStyle="1" w:styleId="TitleChar">
    <w:name w:val="Title Char"/>
    <w:aliases w:val="title Char"/>
    <w:basedOn w:val="DefaultParagraphFont"/>
    <w:link w:val="Title"/>
    <w:uiPriority w:val="10"/>
    <w:rsid w:val="008B389C"/>
    <w:rPr>
      <w:rFonts w:ascii="Times" w:eastAsiaTheme="minorEastAsia" w:hAnsi="Times"/>
      <w:sz w:val="20"/>
      <w:szCs w:val="20"/>
    </w:rPr>
  </w:style>
  <w:style w:type="paragraph" w:customStyle="1" w:styleId="desc">
    <w:name w:val="desc"/>
    <w:basedOn w:val="Normal"/>
    <w:rsid w:val="008B389C"/>
    <w:pPr>
      <w:spacing w:before="100" w:beforeAutospacing="1" w:after="100" w:afterAutospacing="1" w:line="240" w:lineRule="auto"/>
    </w:pPr>
    <w:rPr>
      <w:rFonts w:ascii="Times" w:hAnsi="Times"/>
      <w:sz w:val="20"/>
      <w:szCs w:val="20"/>
    </w:rPr>
  </w:style>
  <w:style w:type="paragraph" w:customStyle="1" w:styleId="details">
    <w:name w:val="details"/>
    <w:basedOn w:val="Normal"/>
    <w:rsid w:val="008B389C"/>
    <w:pPr>
      <w:spacing w:before="100" w:beforeAutospacing="1" w:after="100" w:afterAutospacing="1" w:line="240" w:lineRule="auto"/>
    </w:pPr>
    <w:rPr>
      <w:rFonts w:ascii="Times" w:hAnsi="Times"/>
      <w:sz w:val="20"/>
      <w:szCs w:val="20"/>
    </w:rPr>
  </w:style>
  <w:style w:type="character" w:customStyle="1" w:styleId="jrnl">
    <w:name w:val="jrnl"/>
    <w:basedOn w:val="DefaultParagraphFont"/>
    <w:rsid w:val="008B389C"/>
  </w:style>
  <w:style w:type="character" w:customStyle="1" w:styleId="email-label">
    <w:name w:val="email-label"/>
    <w:basedOn w:val="DefaultParagraphFont"/>
    <w:rsid w:val="008B389C"/>
  </w:style>
  <w:style w:type="paragraph" w:styleId="Revision">
    <w:name w:val="Revision"/>
    <w:hidden/>
    <w:uiPriority w:val="99"/>
    <w:semiHidden/>
    <w:rsid w:val="008B389C"/>
    <w:pPr>
      <w:spacing w:after="0" w:line="240" w:lineRule="auto"/>
    </w:pPr>
  </w:style>
  <w:style w:type="paragraph" w:styleId="BodyText">
    <w:name w:val="Body Text"/>
    <w:basedOn w:val="Normal"/>
    <w:link w:val="BodyTextChar"/>
    <w:semiHidden/>
    <w:rsid w:val="00420686"/>
    <w:pPr>
      <w:spacing w:after="0" w:line="240" w:lineRule="auto"/>
      <w:jc w:val="both"/>
    </w:pPr>
    <w:rPr>
      <w:rFonts w:ascii="Arial" w:eastAsia="宋体" w:hAnsi="Arial" w:cs="Arial"/>
      <w:sz w:val="24"/>
      <w:szCs w:val="24"/>
      <w:lang w:val="en" w:eastAsia="fr-FR"/>
    </w:rPr>
  </w:style>
  <w:style w:type="character" w:customStyle="1" w:styleId="BodyTextChar">
    <w:name w:val="Body Text Char"/>
    <w:basedOn w:val="DefaultParagraphFont"/>
    <w:link w:val="BodyText"/>
    <w:semiHidden/>
    <w:rsid w:val="00420686"/>
    <w:rPr>
      <w:rFonts w:ascii="Arial" w:eastAsia="宋体" w:hAnsi="Arial" w:cs="Arial"/>
      <w:sz w:val="24"/>
      <w:szCs w:val="24"/>
      <w:lang w:val="en" w:eastAsia="fr-FR"/>
    </w:rPr>
  </w:style>
  <w:style w:type="paragraph" w:styleId="BodyTextIndent">
    <w:name w:val="Body Text Indent"/>
    <w:basedOn w:val="Normal"/>
    <w:link w:val="BodyTextIndentChar"/>
    <w:uiPriority w:val="99"/>
    <w:unhideWhenUsed/>
    <w:rsid w:val="00420686"/>
    <w:pPr>
      <w:widowControl w:val="0"/>
      <w:spacing w:after="120" w:line="240" w:lineRule="auto"/>
      <w:ind w:leftChars="200" w:left="420"/>
      <w:jc w:val="both"/>
    </w:pPr>
    <w:rPr>
      <w:rFonts w:ascii="Book Antiqua" w:hAnsi="Book Antiqua" w:cs="Times New Roman"/>
      <w:sz w:val="20"/>
      <w:szCs w:val="20"/>
      <w:lang w:val="en-US" w:eastAsia="ja-JP"/>
    </w:rPr>
  </w:style>
  <w:style w:type="character" w:customStyle="1" w:styleId="BodyTextIndentChar">
    <w:name w:val="Body Text Indent Char"/>
    <w:basedOn w:val="DefaultParagraphFont"/>
    <w:link w:val="BodyTextIndent"/>
    <w:uiPriority w:val="99"/>
    <w:rsid w:val="00420686"/>
    <w:rPr>
      <w:rFonts w:ascii="Book Antiqua" w:hAnsi="Book Antiqua" w:cs="Times New Roman"/>
      <w:sz w:val="20"/>
      <w:szCs w:val="20"/>
      <w:lang w:val="en-US"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389C"/>
  </w:style>
  <w:style w:type="paragraph" w:styleId="Heading1">
    <w:name w:val="heading 1"/>
    <w:basedOn w:val="Normal"/>
    <w:link w:val="Heading1Char"/>
    <w:uiPriority w:val="9"/>
    <w:qFormat/>
    <w:rsid w:val="008B389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8B38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8B389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89C"/>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8B389C"/>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8B389C"/>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8B389C"/>
    <w:pPr>
      <w:ind w:left="720"/>
      <w:contextualSpacing/>
    </w:pPr>
  </w:style>
  <w:style w:type="character" w:styleId="Hyperlink">
    <w:name w:val="Hyperlink"/>
    <w:basedOn w:val="DefaultParagraphFont"/>
    <w:uiPriority w:val="99"/>
    <w:unhideWhenUsed/>
    <w:rsid w:val="008B389C"/>
    <w:rPr>
      <w:color w:val="0000FF"/>
      <w:u w:val="single"/>
    </w:rPr>
  </w:style>
  <w:style w:type="character" w:customStyle="1" w:styleId="citation-abbreviation">
    <w:name w:val="citation-abbreviation"/>
    <w:basedOn w:val="DefaultParagraphFont"/>
    <w:rsid w:val="008B389C"/>
  </w:style>
  <w:style w:type="character" w:customStyle="1" w:styleId="citation-publication-date">
    <w:name w:val="citation-publication-date"/>
    <w:basedOn w:val="DefaultParagraphFont"/>
    <w:rsid w:val="008B389C"/>
  </w:style>
  <w:style w:type="character" w:customStyle="1" w:styleId="citation-volume">
    <w:name w:val="citation-volume"/>
    <w:basedOn w:val="DefaultParagraphFont"/>
    <w:rsid w:val="008B389C"/>
  </w:style>
  <w:style w:type="character" w:customStyle="1" w:styleId="citation-issue">
    <w:name w:val="citation-issue"/>
    <w:basedOn w:val="DefaultParagraphFont"/>
    <w:rsid w:val="008B389C"/>
  </w:style>
  <w:style w:type="character" w:customStyle="1" w:styleId="citation-flpages">
    <w:name w:val="citation-flpages"/>
    <w:basedOn w:val="DefaultParagraphFont"/>
    <w:rsid w:val="008B389C"/>
  </w:style>
  <w:style w:type="character" w:customStyle="1" w:styleId="fm-vol-iss-date">
    <w:name w:val="fm-vol-iss-date"/>
    <w:basedOn w:val="DefaultParagraphFont"/>
    <w:rsid w:val="008B389C"/>
  </w:style>
  <w:style w:type="character" w:customStyle="1" w:styleId="doi1">
    <w:name w:val="doi1"/>
    <w:basedOn w:val="DefaultParagraphFont"/>
    <w:rsid w:val="008B389C"/>
  </w:style>
  <w:style w:type="character" w:customStyle="1" w:styleId="fm-citation-ids-label">
    <w:name w:val="fm-citation-ids-label"/>
    <w:basedOn w:val="DefaultParagraphFont"/>
    <w:rsid w:val="008B389C"/>
  </w:style>
  <w:style w:type="character" w:customStyle="1" w:styleId="absnonlinkmetadata">
    <w:name w:val="abs_nonlink_metadata"/>
    <w:basedOn w:val="DefaultParagraphFont"/>
    <w:rsid w:val="008B389C"/>
  </w:style>
  <w:style w:type="paragraph" w:customStyle="1" w:styleId="citationline">
    <w:name w:val="citationline"/>
    <w:basedOn w:val="Normal"/>
    <w:rsid w:val="008B389C"/>
    <w:pPr>
      <w:spacing w:before="100" w:beforeAutospacing="1" w:after="100" w:afterAutospacing="1" w:line="336" w:lineRule="atLeast"/>
    </w:pPr>
    <w:rPr>
      <w:rFonts w:ascii="Times New Roman" w:eastAsia="Times New Roman" w:hAnsi="Times New Roman" w:cs="Times New Roman"/>
      <w:sz w:val="17"/>
      <w:szCs w:val="17"/>
      <w:lang w:eastAsia="en-GB"/>
    </w:rPr>
  </w:style>
  <w:style w:type="paragraph" w:customStyle="1" w:styleId="authors">
    <w:name w:val="authors"/>
    <w:basedOn w:val="Normal"/>
    <w:rsid w:val="008B389C"/>
    <w:pPr>
      <w:spacing w:before="100" w:beforeAutospacing="1" w:after="100" w:afterAutospacing="1" w:line="336" w:lineRule="atLeast"/>
    </w:pPr>
    <w:rPr>
      <w:rFonts w:ascii="Times New Roman" w:eastAsia="Times New Roman" w:hAnsi="Times New Roman" w:cs="Times New Roman"/>
      <w:sz w:val="17"/>
      <w:szCs w:val="17"/>
      <w:lang w:eastAsia="en-GB"/>
    </w:rPr>
  </w:style>
  <w:style w:type="character" w:customStyle="1" w:styleId="citation">
    <w:name w:val="citation"/>
    <w:basedOn w:val="DefaultParagraphFont"/>
    <w:rsid w:val="008B389C"/>
  </w:style>
  <w:style w:type="character" w:styleId="Emphasis">
    <w:name w:val="Emphasis"/>
    <w:basedOn w:val="DefaultParagraphFont"/>
    <w:uiPriority w:val="20"/>
    <w:qFormat/>
    <w:rsid w:val="008B389C"/>
    <w:rPr>
      <w:i/>
      <w:iCs/>
    </w:rPr>
  </w:style>
  <w:style w:type="character" w:customStyle="1" w:styleId="highlight">
    <w:name w:val="highlight"/>
    <w:basedOn w:val="DefaultParagraphFont"/>
    <w:rsid w:val="008B389C"/>
  </w:style>
  <w:style w:type="character" w:styleId="Strong">
    <w:name w:val="Strong"/>
    <w:basedOn w:val="DefaultParagraphFont"/>
    <w:qFormat/>
    <w:rsid w:val="008B389C"/>
    <w:rPr>
      <w:b/>
      <w:bCs/>
    </w:rPr>
  </w:style>
  <w:style w:type="paragraph" w:styleId="NormalWeb">
    <w:name w:val="Normal (Web)"/>
    <w:basedOn w:val="Normal"/>
    <w:uiPriority w:val="99"/>
    <w:semiHidden/>
    <w:unhideWhenUsed/>
    <w:rsid w:val="008B389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journalname1">
    <w:name w:val="journalname1"/>
    <w:basedOn w:val="DefaultParagraphFont"/>
    <w:rsid w:val="008B389C"/>
    <w:rPr>
      <w:i/>
      <w:iCs/>
    </w:rPr>
  </w:style>
  <w:style w:type="character" w:customStyle="1" w:styleId="b1">
    <w:name w:val="b1"/>
    <w:basedOn w:val="DefaultParagraphFont"/>
    <w:rsid w:val="008B389C"/>
    <w:rPr>
      <w:b/>
      <w:bCs/>
    </w:rPr>
  </w:style>
  <w:style w:type="character" w:customStyle="1" w:styleId="authordegrees">
    <w:name w:val="authordegrees"/>
    <w:basedOn w:val="DefaultParagraphFont"/>
    <w:rsid w:val="008B389C"/>
    <w:rPr>
      <w:sz w:val="24"/>
      <w:szCs w:val="24"/>
      <w:bdr w:val="none" w:sz="0" w:space="0" w:color="auto" w:frame="1"/>
      <w:vertAlign w:val="baseline"/>
    </w:rPr>
  </w:style>
  <w:style w:type="character" w:customStyle="1" w:styleId="authornames">
    <w:name w:val="authornames"/>
    <w:basedOn w:val="DefaultParagraphFont"/>
    <w:rsid w:val="008B389C"/>
  </w:style>
  <w:style w:type="character" w:customStyle="1" w:styleId="articlealttitle1">
    <w:name w:val="articlealttitle1"/>
    <w:basedOn w:val="DefaultParagraphFont"/>
    <w:rsid w:val="008B389C"/>
    <w:rPr>
      <w:sz w:val="24"/>
      <w:szCs w:val="24"/>
      <w:bdr w:val="none" w:sz="0" w:space="0" w:color="auto" w:frame="1"/>
      <w:vertAlign w:val="baseline"/>
    </w:rPr>
  </w:style>
  <w:style w:type="paragraph" w:styleId="Header">
    <w:name w:val="header"/>
    <w:basedOn w:val="Normal"/>
    <w:link w:val="HeaderChar"/>
    <w:uiPriority w:val="99"/>
    <w:unhideWhenUsed/>
    <w:rsid w:val="008B389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389C"/>
    <w:rPr>
      <w:rFonts w:eastAsiaTheme="minorEastAsia"/>
    </w:rPr>
  </w:style>
  <w:style w:type="paragraph" w:styleId="Footer">
    <w:name w:val="footer"/>
    <w:basedOn w:val="Normal"/>
    <w:link w:val="FooterChar"/>
    <w:uiPriority w:val="99"/>
    <w:unhideWhenUsed/>
    <w:rsid w:val="008B389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389C"/>
    <w:rPr>
      <w:rFonts w:eastAsiaTheme="minorEastAsia"/>
    </w:rPr>
  </w:style>
  <w:style w:type="paragraph" w:styleId="BalloonText">
    <w:name w:val="Balloon Text"/>
    <w:basedOn w:val="Normal"/>
    <w:link w:val="BalloonTextChar"/>
    <w:uiPriority w:val="99"/>
    <w:semiHidden/>
    <w:unhideWhenUsed/>
    <w:rsid w:val="008B38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389C"/>
    <w:rPr>
      <w:rFonts w:ascii="Tahoma" w:eastAsiaTheme="minorEastAsia" w:hAnsi="Tahoma" w:cs="Tahoma"/>
      <w:sz w:val="16"/>
      <w:szCs w:val="16"/>
    </w:rPr>
  </w:style>
  <w:style w:type="paragraph" w:styleId="TOCHeading">
    <w:name w:val="TOC Heading"/>
    <w:basedOn w:val="Heading1"/>
    <w:next w:val="Normal"/>
    <w:uiPriority w:val="39"/>
    <w:semiHidden/>
    <w:unhideWhenUsed/>
    <w:qFormat/>
    <w:rsid w:val="008B389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1">
    <w:name w:val="toc 1"/>
    <w:basedOn w:val="Normal"/>
    <w:next w:val="Normal"/>
    <w:autoRedefine/>
    <w:uiPriority w:val="39"/>
    <w:unhideWhenUsed/>
    <w:rsid w:val="008B389C"/>
    <w:pPr>
      <w:spacing w:after="100"/>
    </w:pPr>
  </w:style>
  <w:style w:type="paragraph" w:styleId="TOC2">
    <w:name w:val="toc 2"/>
    <w:basedOn w:val="Normal"/>
    <w:next w:val="Normal"/>
    <w:autoRedefine/>
    <w:uiPriority w:val="39"/>
    <w:unhideWhenUsed/>
    <w:rsid w:val="008B389C"/>
    <w:pPr>
      <w:spacing w:after="100"/>
      <w:ind w:left="220"/>
    </w:pPr>
  </w:style>
  <w:style w:type="character" w:customStyle="1" w:styleId="hit">
    <w:name w:val="hit"/>
    <w:basedOn w:val="DefaultParagraphFont"/>
    <w:rsid w:val="008B389C"/>
    <w:rPr>
      <w:shd w:val="clear" w:color="auto" w:fill="FFFF99"/>
    </w:rPr>
  </w:style>
  <w:style w:type="character" w:styleId="CommentReference">
    <w:name w:val="annotation reference"/>
    <w:basedOn w:val="DefaultParagraphFont"/>
    <w:uiPriority w:val="99"/>
    <w:semiHidden/>
    <w:unhideWhenUsed/>
    <w:rsid w:val="008B389C"/>
    <w:rPr>
      <w:sz w:val="16"/>
      <w:szCs w:val="16"/>
    </w:rPr>
  </w:style>
  <w:style w:type="paragraph" w:styleId="CommentText">
    <w:name w:val="annotation text"/>
    <w:basedOn w:val="Normal"/>
    <w:link w:val="CommentTextChar"/>
    <w:unhideWhenUsed/>
    <w:rsid w:val="008B389C"/>
    <w:pPr>
      <w:spacing w:line="240" w:lineRule="auto"/>
    </w:pPr>
    <w:rPr>
      <w:sz w:val="20"/>
      <w:szCs w:val="20"/>
    </w:rPr>
  </w:style>
  <w:style w:type="character" w:customStyle="1" w:styleId="CommentTextChar">
    <w:name w:val="Comment Text Char"/>
    <w:basedOn w:val="DefaultParagraphFont"/>
    <w:link w:val="CommentText"/>
    <w:rsid w:val="008B389C"/>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8B389C"/>
    <w:rPr>
      <w:b/>
      <w:bCs/>
    </w:rPr>
  </w:style>
  <w:style w:type="character" w:customStyle="1" w:styleId="CommentSubjectChar">
    <w:name w:val="Comment Subject Char"/>
    <w:basedOn w:val="CommentTextChar"/>
    <w:link w:val="CommentSubject"/>
    <w:uiPriority w:val="99"/>
    <w:semiHidden/>
    <w:rsid w:val="008B389C"/>
    <w:rPr>
      <w:rFonts w:eastAsiaTheme="minorEastAsia"/>
      <w:b/>
      <w:bCs/>
      <w:sz w:val="20"/>
      <w:szCs w:val="20"/>
    </w:rPr>
  </w:style>
  <w:style w:type="paragraph" w:styleId="Caption">
    <w:name w:val="caption"/>
    <w:basedOn w:val="Normal"/>
    <w:next w:val="Normal"/>
    <w:uiPriority w:val="35"/>
    <w:unhideWhenUsed/>
    <w:qFormat/>
    <w:rsid w:val="008B389C"/>
    <w:pPr>
      <w:spacing w:line="240" w:lineRule="auto"/>
    </w:pPr>
    <w:rPr>
      <w:b/>
      <w:bCs/>
      <w:color w:val="4F81BD" w:themeColor="accent1"/>
      <w:sz w:val="18"/>
      <w:szCs w:val="18"/>
    </w:rPr>
  </w:style>
  <w:style w:type="character" w:styleId="HTMLCite">
    <w:name w:val="HTML Cite"/>
    <w:basedOn w:val="DefaultParagraphFont"/>
    <w:uiPriority w:val="99"/>
    <w:semiHidden/>
    <w:unhideWhenUsed/>
    <w:rsid w:val="008B389C"/>
    <w:rPr>
      <w:i/>
      <w:iCs/>
    </w:rPr>
  </w:style>
  <w:style w:type="character" w:customStyle="1" w:styleId="cit-auth2">
    <w:name w:val="cit-auth2"/>
    <w:basedOn w:val="DefaultParagraphFont"/>
    <w:rsid w:val="008B389C"/>
  </w:style>
  <w:style w:type="character" w:customStyle="1" w:styleId="cit-name-surname">
    <w:name w:val="cit-name-surname"/>
    <w:basedOn w:val="DefaultParagraphFont"/>
    <w:rsid w:val="008B389C"/>
  </w:style>
  <w:style w:type="character" w:customStyle="1" w:styleId="cit-name-given-names">
    <w:name w:val="cit-name-given-names"/>
    <w:basedOn w:val="DefaultParagraphFont"/>
    <w:rsid w:val="008B389C"/>
  </w:style>
  <w:style w:type="character" w:customStyle="1" w:styleId="cit-etal">
    <w:name w:val="cit-etal"/>
    <w:basedOn w:val="DefaultParagraphFont"/>
    <w:rsid w:val="008B389C"/>
  </w:style>
  <w:style w:type="character" w:customStyle="1" w:styleId="cit-article-title">
    <w:name w:val="cit-article-title"/>
    <w:basedOn w:val="DefaultParagraphFont"/>
    <w:rsid w:val="008B389C"/>
  </w:style>
  <w:style w:type="character" w:customStyle="1" w:styleId="cit-pub-date">
    <w:name w:val="cit-pub-date"/>
    <w:basedOn w:val="DefaultParagraphFont"/>
    <w:rsid w:val="008B389C"/>
  </w:style>
  <w:style w:type="character" w:customStyle="1" w:styleId="cit-vol5">
    <w:name w:val="cit-vol5"/>
    <w:basedOn w:val="DefaultParagraphFont"/>
    <w:rsid w:val="008B389C"/>
  </w:style>
  <w:style w:type="character" w:customStyle="1" w:styleId="cit-fpage">
    <w:name w:val="cit-fpage"/>
    <w:basedOn w:val="DefaultParagraphFont"/>
    <w:rsid w:val="008B389C"/>
  </w:style>
  <w:style w:type="character" w:customStyle="1" w:styleId="cit-lpage">
    <w:name w:val="cit-lpage"/>
    <w:basedOn w:val="DefaultParagraphFont"/>
    <w:rsid w:val="008B389C"/>
  </w:style>
  <w:style w:type="paragraph" w:customStyle="1" w:styleId="EndNoteBibliographyTitle">
    <w:name w:val="EndNote Bibliography Title"/>
    <w:basedOn w:val="Normal"/>
    <w:link w:val="EndNoteBibliographyTitleChar"/>
    <w:rsid w:val="008B389C"/>
    <w:pPr>
      <w:spacing w:after="0"/>
      <w:jc w:val="center"/>
    </w:pPr>
    <w:rPr>
      <w:rFonts w:ascii="Calibri" w:eastAsia="Times New Roman" w:hAnsi="Calibri" w:cs="Times New Roman"/>
      <w:noProof/>
      <w:kern w:val="36"/>
      <w:sz w:val="48"/>
      <w:szCs w:val="48"/>
      <w:lang w:val="en-US" w:eastAsia="en-GB"/>
    </w:rPr>
  </w:style>
  <w:style w:type="character" w:customStyle="1" w:styleId="EndNoteBibliographyTitleChar">
    <w:name w:val="EndNote Bibliography Title Char"/>
    <w:basedOn w:val="Heading1Char"/>
    <w:link w:val="EndNoteBibliographyTitle"/>
    <w:rsid w:val="008B389C"/>
    <w:rPr>
      <w:rFonts w:ascii="Calibri" w:eastAsia="Times New Roman" w:hAnsi="Calibri" w:cs="Times New Roman"/>
      <w:b w:val="0"/>
      <w:bCs w:val="0"/>
      <w:noProof/>
      <w:kern w:val="36"/>
      <w:sz w:val="48"/>
      <w:szCs w:val="48"/>
      <w:lang w:val="en-US" w:eastAsia="en-GB"/>
    </w:rPr>
  </w:style>
  <w:style w:type="paragraph" w:customStyle="1" w:styleId="EndNoteBibliography">
    <w:name w:val="EndNote Bibliography"/>
    <w:basedOn w:val="Normal"/>
    <w:link w:val="EndNoteBibliographyChar"/>
    <w:rsid w:val="008B389C"/>
    <w:pPr>
      <w:spacing w:line="240" w:lineRule="auto"/>
    </w:pPr>
    <w:rPr>
      <w:rFonts w:ascii="Calibri" w:eastAsia="Times New Roman" w:hAnsi="Calibri" w:cs="Times New Roman"/>
      <w:noProof/>
      <w:kern w:val="36"/>
      <w:sz w:val="48"/>
      <w:szCs w:val="48"/>
      <w:lang w:val="en-US" w:eastAsia="en-GB"/>
    </w:rPr>
  </w:style>
  <w:style w:type="character" w:customStyle="1" w:styleId="EndNoteBibliographyChar">
    <w:name w:val="EndNote Bibliography Char"/>
    <w:basedOn w:val="Heading1Char"/>
    <w:link w:val="EndNoteBibliography"/>
    <w:rsid w:val="008B389C"/>
    <w:rPr>
      <w:rFonts w:ascii="Calibri" w:eastAsia="Times New Roman" w:hAnsi="Calibri" w:cs="Times New Roman"/>
      <w:b w:val="0"/>
      <w:bCs w:val="0"/>
      <w:noProof/>
      <w:kern w:val="36"/>
      <w:sz w:val="48"/>
      <w:szCs w:val="48"/>
      <w:lang w:val="en-US" w:eastAsia="en-GB"/>
    </w:rPr>
  </w:style>
  <w:style w:type="character" w:styleId="FollowedHyperlink">
    <w:name w:val="FollowedHyperlink"/>
    <w:basedOn w:val="DefaultParagraphFont"/>
    <w:uiPriority w:val="99"/>
    <w:semiHidden/>
    <w:unhideWhenUsed/>
    <w:rsid w:val="008B389C"/>
    <w:rPr>
      <w:color w:val="800080" w:themeColor="followedHyperlink"/>
      <w:u w:val="single"/>
    </w:rPr>
  </w:style>
  <w:style w:type="paragraph" w:styleId="Title">
    <w:name w:val="Title"/>
    <w:aliases w:val="title"/>
    <w:basedOn w:val="Normal"/>
    <w:link w:val="TitleChar"/>
    <w:uiPriority w:val="10"/>
    <w:qFormat/>
    <w:rsid w:val="008B389C"/>
    <w:pPr>
      <w:spacing w:before="100" w:beforeAutospacing="1" w:after="100" w:afterAutospacing="1" w:line="240" w:lineRule="auto"/>
    </w:pPr>
    <w:rPr>
      <w:rFonts w:ascii="Times" w:hAnsi="Times"/>
      <w:sz w:val="20"/>
      <w:szCs w:val="20"/>
    </w:rPr>
  </w:style>
  <w:style w:type="character" w:customStyle="1" w:styleId="TitleChar">
    <w:name w:val="Title Char"/>
    <w:aliases w:val="title Char"/>
    <w:basedOn w:val="DefaultParagraphFont"/>
    <w:link w:val="Title"/>
    <w:uiPriority w:val="10"/>
    <w:rsid w:val="008B389C"/>
    <w:rPr>
      <w:rFonts w:ascii="Times" w:eastAsiaTheme="minorEastAsia" w:hAnsi="Times"/>
      <w:sz w:val="20"/>
      <w:szCs w:val="20"/>
    </w:rPr>
  </w:style>
  <w:style w:type="paragraph" w:customStyle="1" w:styleId="desc">
    <w:name w:val="desc"/>
    <w:basedOn w:val="Normal"/>
    <w:rsid w:val="008B389C"/>
    <w:pPr>
      <w:spacing w:before="100" w:beforeAutospacing="1" w:after="100" w:afterAutospacing="1" w:line="240" w:lineRule="auto"/>
    </w:pPr>
    <w:rPr>
      <w:rFonts w:ascii="Times" w:hAnsi="Times"/>
      <w:sz w:val="20"/>
      <w:szCs w:val="20"/>
    </w:rPr>
  </w:style>
  <w:style w:type="paragraph" w:customStyle="1" w:styleId="details">
    <w:name w:val="details"/>
    <w:basedOn w:val="Normal"/>
    <w:rsid w:val="008B389C"/>
    <w:pPr>
      <w:spacing w:before="100" w:beforeAutospacing="1" w:after="100" w:afterAutospacing="1" w:line="240" w:lineRule="auto"/>
    </w:pPr>
    <w:rPr>
      <w:rFonts w:ascii="Times" w:hAnsi="Times"/>
      <w:sz w:val="20"/>
      <w:szCs w:val="20"/>
    </w:rPr>
  </w:style>
  <w:style w:type="character" w:customStyle="1" w:styleId="jrnl">
    <w:name w:val="jrnl"/>
    <w:basedOn w:val="DefaultParagraphFont"/>
    <w:rsid w:val="008B389C"/>
  </w:style>
  <w:style w:type="character" w:customStyle="1" w:styleId="email-label">
    <w:name w:val="email-label"/>
    <w:basedOn w:val="DefaultParagraphFont"/>
    <w:rsid w:val="008B389C"/>
  </w:style>
  <w:style w:type="paragraph" w:styleId="Revision">
    <w:name w:val="Revision"/>
    <w:hidden/>
    <w:uiPriority w:val="99"/>
    <w:semiHidden/>
    <w:rsid w:val="008B389C"/>
    <w:pPr>
      <w:spacing w:after="0" w:line="240" w:lineRule="auto"/>
    </w:pPr>
  </w:style>
  <w:style w:type="paragraph" w:styleId="BodyText">
    <w:name w:val="Body Text"/>
    <w:basedOn w:val="Normal"/>
    <w:link w:val="BodyTextChar"/>
    <w:semiHidden/>
    <w:rsid w:val="00420686"/>
    <w:pPr>
      <w:spacing w:after="0" w:line="240" w:lineRule="auto"/>
      <w:jc w:val="both"/>
    </w:pPr>
    <w:rPr>
      <w:rFonts w:ascii="Arial" w:eastAsia="宋体" w:hAnsi="Arial" w:cs="Arial"/>
      <w:sz w:val="24"/>
      <w:szCs w:val="24"/>
      <w:lang w:val="en" w:eastAsia="fr-FR"/>
    </w:rPr>
  </w:style>
  <w:style w:type="character" w:customStyle="1" w:styleId="BodyTextChar">
    <w:name w:val="Body Text Char"/>
    <w:basedOn w:val="DefaultParagraphFont"/>
    <w:link w:val="BodyText"/>
    <w:semiHidden/>
    <w:rsid w:val="00420686"/>
    <w:rPr>
      <w:rFonts w:ascii="Arial" w:eastAsia="宋体" w:hAnsi="Arial" w:cs="Arial"/>
      <w:sz w:val="24"/>
      <w:szCs w:val="24"/>
      <w:lang w:val="en" w:eastAsia="fr-FR"/>
    </w:rPr>
  </w:style>
  <w:style w:type="paragraph" w:styleId="BodyTextIndent">
    <w:name w:val="Body Text Indent"/>
    <w:basedOn w:val="Normal"/>
    <w:link w:val="BodyTextIndentChar"/>
    <w:uiPriority w:val="99"/>
    <w:unhideWhenUsed/>
    <w:rsid w:val="00420686"/>
    <w:pPr>
      <w:widowControl w:val="0"/>
      <w:spacing w:after="120" w:line="240" w:lineRule="auto"/>
      <w:ind w:leftChars="200" w:left="420"/>
      <w:jc w:val="both"/>
    </w:pPr>
    <w:rPr>
      <w:rFonts w:ascii="Book Antiqua" w:hAnsi="Book Antiqua" w:cs="Times New Roman"/>
      <w:sz w:val="20"/>
      <w:szCs w:val="20"/>
      <w:lang w:val="en-US" w:eastAsia="ja-JP"/>
    </w:rPr>
  </w:style>
  <w:style w:type="character" w:customStyle="1" w:styleId="BodyTextIndentChar">
    <w:name w:val="Body Text Indent Char"/>
    <w:basedOn w:val="DefaultParagraphFont"/>
    <w:link w:val="BodyTextIndent"/>
    <w:uiPriority w:val="99"/>
    <w:rsid w:val="00420686"/>
    <w:rPr>
      <w:rFonts w:ascii="Book Antiqua" w:hAnsi="Book Antiqua" w:cs="Times New Roman"/>
      <w:sz w:val="20"/>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653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tif"/><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s.j.brown@dundee.ac.uk" TargetMode="Externa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49</Pages>
  <Words>15691</Words>
  <Characters>89442</Characters>
  <Application>Microsoft Macintosh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rachel gillespie</Company>
  <LinksUpToDate>false</LinksUpToDate>
  <CharactersWithSpaces>104924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 Gillespie</dc:creator>
  <cp:lastModifiedBy>NA MA</cp:lastModifiedBy>
  <cp:revision>2</cp:revision>
  <dcterms:created xsi:type="dcterms:W3CDTF">2014-12-16T20:35:00Z</dcterms:created>
  <dcterms:modified xsi:type="dcterms:W3CDTF">2014-12-16T20:35:00Z</dcterms:modified>
</cp:coreProperties>
</file>