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83FDA" w14:textId="77777777" w:rsidR="00E458F4" w:rsidRPr="008A0130" w:rsidRDefault="00E458F4" w:rsidP="008A0130">
      <w:pPr>
        <w:spacing w:line="360" w:lineRule="auto"/>
        <w:jc w:val="both"/>
        <w:rPr>
          <w:rFonts w:ascii="Book Antiqua" w:eastAsia="宋体" w:hAnsi="Book Antiqua" w:cs="Times New Roman"/>
          <w:b/>
          <w:bCs/>
          <w:lang w:eastAsia="zh-CN"/>
        </w:rPr>
      </w:pPr>
      <w:r w:rsidRPr="008A0130">
        <w:rPr>
          <w:rFonts w:ascii="Book Antiqua" w:eastAsia="宋体" w:hAnsi="Book Antiqua" w:cs="Times New Roman"/>
          <w:b/>
          <w:bCs/>
          <w:lang w:eastAsia="zh-CN"/>
        </w:rPr>
        <w:t>Name of journal: World Journal of Experimental Medicine</w:t>
      </w:r>
    </w:p>
    <w:p w14:paraId="7E067585" w14:textId="77777777" w:rsidR="00E458F4" w:rsidRPr="008A0130" w:rsidRDefault="00E458F4" w:rsidP="008A0130">
      <w:pPr>
        <w:spacing w:line="360" w:lineRule="auto"/>
        <w:jc w:val="both"/>
        <w:rPr>
          <w:rFonts w:ascii="Book Antiqua" w:eastAsia="宋体" w:hAnsi="Book Antiqua" w:cs="Times New Roman"/>
          <w:b/>
          <w:bCs/>
          <w:lang w:eastAsia="zh-CN"/>
        </w:rPr>
      </w:pPr>
      <w:r w:rsidRPr="008A0130">
        <w:rPr>
          <w:rFonts w:ascii="Book Antiqua" w:eastAsia="宋体" w:hAnsi="Book Antiqua" w:cs="Times New Roman"/>
          <w:b/>
          <w:bCs/>
          <w:lang w:eastAsia="zh-CN"/>
        </w:rPr>
        <w:t>ESPS Manuscript NO: 14444</w:t>
      </w:r>
    </w:p>
    <w:p w14:paraId="58D75BA9" w14:textId="77777777" w:rsidR="00E458F4" w:rsidRPr="008A0130" w:rsidRDefault="00E458F4" w:rsidP="008A0130">
      <w:pPr>
        <w:spacing w:line="360" w:lineRule="auto"/>
        <w:jc w:val="both"/>
        <w:rPr>
          <w:rFonts w:ascii="Book Antiqua" w:eastAsia="宋体" w:hAnsi="Book Antiqua" w:cs="Times New Roman"/>
          <w:b/>
          <w:bCs/>
          <w:lang w:eastAsia="zh-CN"/>
        </w:rPr>
      </w:pPr>
      <w:r w:rsidRPr="008A0130">
        <w:rPr>
          <w:rFonts w:ascii="Book Antiqua" w:eastAsia="宋体" w:hAnsi="Book Antiqua" w:cs="Times New Roman"/>
          <w:b/>
          <w:bCs/>
          <w:lang w:eastAsia="zh-CN"/>
        </w:rPr>
        <w:t>Columns: Review</w:t>
      </w:r>
    </w:p>
    <w:p w14:paraId="5D982DE3" w14:textId="77777777" w:rsidR="00E458F4" w:rsidRPr="008A0130" w:rsidRDefault="00E458F4" w:rsidP="008A0130">
      <w:pPr>
        <w:spacing w:line="360" w:lineRule="auto"/>
        <w:jc w:val="both"/>
        <w:rPr>
          <w:rFonts w:ascii="Book Antiqua" w:hAnsi="Book Antiqua" w:cs="Times New Roman"/>
          <w:b/>
          <w:bCs/>
        </w:rPr>
      </w:pPr>
    </w:p>
    <w:p w14:paraId="5A3FEDE3" w14:textId="0697F9E2" w:rsidR="001752DE" w:rsidRPr="008A0130" w:rsidRDefault="00660EEC" w:rsidP="008A0130">
      <w:pPr>
        <w:spacing w:line="360" w:lineRule="auto"/>
        <w:jc w:val="both"/>
        <w:rPr>
          <w:rFonts w:ascii="Book Antiqua" w:eastAsia="宋体" w:hAnsi="Book Antiqua" w:cs="Times New Roman"/>
          <w:b/>
          <w:lang w:eastAsia="zh-CN"/>
        </w:rPr>
      </w:pPr>
      <w:r w:rsidRPr="008A0130">
        <w:rPr>
          <w:rFonts w:ascii="Book Antiqua" w:hAnsi="Book Antiqua" w:cs="Times New Roman"/>
          <w:b/>
          <w:bCs/>
        </w:rPr>
        <w:t>Role of </w:t>
      </w:r>
      <w:r w:rsidR="009A1E3E" w:rsidRPr="008A0130">
        <w:rPr>
          <w:rFonts w:ascii="Book Antiqua" w:hAnsi="Book Antiqua" w:cs="Times New Roman"/>
          <w:b/>
          <w:bCs/>
        </w:rPr>
        <w:t xml:space="preserve">the </w:t>
      </w:r>
      <w:r w:rsidRPr="008A0130">
        <w:rPr>
          <w:rFonts w:ascii="Book Antiqua" w:hAnsi="Book Antiqua" w:cs="Times New Roman"/>
          <w:b/>
          <w:bCs/>
        </w:rPr>
        <w:t xml:space="preserve">Wnt/-catenin pathway in gastric </w:t>
      </w:r>
      <w:r w:rsidR="00BF64EF" w:rsidRPr="008A0130">
        <w:rPr>
          <w:rFonts w:ascii="Book Antiqua" w:hAnsi="Book Antiqua" w:cs="Times New Roman"/>
          <w:b/>
          <w:bCs/>
        </w:rPr>
        <w:t>ca</w:t>
      </w:r>
      <w:r w:rsidR="006A7A5D" w:rsidRPr="008A0130">
        <w:rPr>
          <w:rFonts w:ascii="Book Antiqua" w:hAnsi="Book Antiqua" w:cs="Times New Roman"/>
          <w:b/>
          <w:bCs/>
        </w:rPr>
        <w:t>ncer</w:t>
      </w:r>
      <w:r w:rsidR="002C7BEF" w:rsidRPr="008A0130">
        <w:rPr>
          <w:rFonts w:ascii="Book Antiqua" w:hAnsi="Book Antiqua" w:cs="Times New Roman"/>
          <w:b/>
          <w:bCs/>
        </w:rPr>
        <w:t>: A</w:t>
      </w:r>
      <w:r w:rsidR="00CA26A5" w:rsidRPr="008A0130">
        <w:rPr>
          <w:rFonts w:ascii="Book Antiqua" w:hAnsi="Book Antiqua" w:cs="Times New Roman"/>
          <w:b/>
          <w:bCs/>
        </w:rPr>
        <w:t>n in-depth</w:t>
      </w:r>
      <w:r w:rsidR="002C7BEF" w:rsidRPr="008A0130">
        <w:rPr>
          <w:rFonts w:ascii="Book Antiqua" w:hAnsi="Book Antiqua" w:cs="Times New Roman"/>
          <w:b/>
          <w:bCs/>
        </w:rPr>
        <w:t xml:space="preserve"> literature review</w:t>
      </w:r>
    </w:p>
    <w:p w14:paraId="32757851" w14:textId="77777777" w:rsidR="00790FCB" w:rsidRPr="008A0130" w:rsidRDefault="00790FCB" w:rsidP="008A0130">
      <w:pPr>
        <w:spacing w:line="360" w:lineRule="auto"/>
        <w:jc w:val="both"/>
        <w:rPr>
          <w:rFonts w:ascii="Book Antiqua" w:hAnsi="Book Antiqua" w:cs="Times New Roman"/>
        </w:rPr>
      </w:pPr>
    </w:p>
    <w:p w14:paraId="5F95883A" w14:textId="1EEF4104" w:rsidR="00790FCB" w:rsidRPr="008A0130" w:rsidRDefault="00790FCB" w:rsidP="008A0130">
      <w:pPr>
        <w:spacing w:line="360" w:lineRule="auto"/>
        <w:jc w:val="both"/>
        <w:rPr>
          <w:rFonts w:ascii="Book Antiqua" w:hAnsi="Book Antiqua" w:cs="Times New Roman"/>
          <w:bCs/>
        </w:rPr>
      </w:pPr>
      <w:r w:rsidRPr="008A0130">
        <w:rPr>
          <w:rFonts w:ascii="Book Antiqua" w:hAnsi="Book Antiqua" w:cs="Times New Roman"/>
          <w:bCs/>
        </w:rPr>
        <w:t xml:space="preserve">Chiurillo </w:t>
      </w:r>
      <w:r w:rsidRPr="008A0130">
        <w:rPr>
          <w:rFonts w:ascii="Book Antiqua" w:eastAsia="宋体" w:hAnsi="Book Antiqua" w:cs="Times New Roman" w:hint="eastAsia"/>
          <w:bCs/>
          <w:lang w:eastAsia="zh-CN"/>
        </w:rPr>
        <w:t xml:space="preserve">MA. </w:t>
      </w:r>
      <w:r w:rsidRPr="008A0130">
        <w:rPr>
          <w:rFonts w:ascii="Book Antiqua" w:hAnsi="Book Antiqua" w:cs="Times New Roman"/>
          <w:bCs/>
        </w:rPr>
        <w:t>Wnt/β -catenin pathway in gastric cancer</w:t>
      </w:r>
    </w:p>
    <w:p w14:paraId="7E58DF25" w14:textId="77777777" w:rsidR="00790FCB" w:rsidRPr="008A0130" w:rsidRDefault="00790FCB" w:rsidP="008A0130">
      <w:pPr>
        <w:spacing w:line="360" w:lineRule="auto"/>
        <w:jc w:val="both"/>
        <w:rPr>
          <w:rFonts w:ascii="Book Antiqua" w:eastAsia="宋体" w:hAnsi="Book Antiqua" w:cs="Times New Roman"/>
          <w:lang w:eastAsia="zh-CN"/>
        </w:rPr>
      </w:pPr>
    </w:p>
    <w:p w14:paraId="42A7C2F5" w14:textId="0FE1472B" w:rsidR="006A7499" w:rsidRPr="008A0130" w:rsidRDefault="00E76D94" w:rsidP="008A0130">
      <w:pPr>
        <w:spacing w:line="360" w:lineRule="auto"/>
        <w:jc w:val="both"/>
        <w:rPr>
          <w:rFonts w:ascii="Book Antiqua" w:eastAsia="宋体" w:hAnsi="Book Antiqua" w:cs="Times New Roman"/>
          <w:bCs/>
          <w:lang w:eastAsia="zh-CN"/>
        </w:rPr>
      </w:pPr>
      <w:r w:rsidRPr="008A0130">
        <w:rPr>
          <w:rFonts w:ascii="Book Antiqua" w:hAnsi="Book Antiqua" w:cs="Times New Roman"/>
          <w:bCs/>
        </w:rPr>
        <w:t>Miguel Angel Chiurillo</w:t>
      </w:r>
    </w:p>
    <w:p w14:paraId="5E087B13" w14:textId="77777777" w:rsidR="00E76D94" w:rsidRPr="008A0130" w:rsidRDefault="00E76D94" w:rsidP="008A0130">
      <w:pPr>
        <w:spacing w:line="360" w:lineRule="auto"/>
        <w:jc w:val="both"/>
        <w:rPr>
          <w:rFonts w:ascii="Book Antiqua" w:eastAsia="宋体" w:hAnsi="Book Antiqua" w:cs="Times New Roman"/>
          <w:lang w:eastAsia="zh-CN"/>
        </w:rPr>
      </w:pPr>
    </w:p>
    <w:p w14:paraId="5B9DF65E" w14:textId="6C6ADA20" w:rsidR="00790FCB" w:rsidRPr="008A0130" w:rsidRDefault="00790FCB" w:rsidP="008A0130">
      <w:pPr>
        <w:spacing w:line="360" w:lineRule="auto"/>
        <w:jc w:val="both"/>
        <w:rPr>
          <w:rFonts w:ascii="Book Antiqua" w:eastAsia="宋体" w:hAnsi="Book Antiqua" w:cs="Times New Roman"/>
          <w:lang w:eastAsia="zh-CN"/>
        </w:rPr>
      </w:pPr>
      <w:r w:rsidRPr="008A0130">
        <w:rPr>
          <w:rFonts w:ascii="Book Antiqua" w:hAnsi="Book Antiqua" w:cs="Times New Roman"/>
          <w:b/>
        </w:rPr>
        <w:t xml:space="preserve">Miguel </w:t>
      </w:r>
      <w:r w:rsidRPr="008A0130">
        <w:rPr>
          <w:rFonts w:ascii="Book Antiqua" w:hAnsi="Book Antiqua" w:cs="Times New Roman"/>
          <w:b/>
          <w:bCs/>
        </w:rPr>
        <w:t>Angel</w:t>
      </w:r>
      <w:r w:rsidRPr="008A0130">
        <w:rPr>
          <w:rFonts w:ascii="Book Antiqua" w:hAnsi="Book Antiqua" w:cs="Times New Roman"/>
          <w:b/>
        </w:rPr>
        <w:t xml:space="preserve"> Chiurillo</w:t>
      </w:r>
      <w:r w:rsidRPr="008A0130">
        <w:rPr>
          <w:rFonts w:ascii="Book Antiqua" w:hAnsi="Book Antiqua" w:cs="Times New Roman"/>
        </w:rPr>
        <w:t>, Laboratorio de Genética Molecular “Dr. Yunis-Turbay”, Decanato de Ciencias de la Salud, Universidad Centroccidental Lisandro Alvarado, Barquisimeto 3001, Estado Lara, Venezuela</w:t>
      </w:r>
    </w:p>
    <w:p w14:paraId="56014BAA" w14:textId="77777777" w:rsidR="00790FCB" w:rsidRPr="008A0130" w:rsidRDefault="00790FCB" w:rsidP="008A0130">
      <w:pPr>
        <w:spacing w:line="360" w:lineRule="auto"/>
        <w:jc w:val="both"/>
        <w:rPr>
          <w:rFonts w:ascii="Book Antiqua" w:eastAsia="宋体" w:hAnsi="Book Antiqua" w:cs="Times New Roman"/>
          <w:lang w:eastAsia="zh-CN"/>
        </w:rPr>
      </w:pPr>
    </w:p>
    <w:p w14:paraId="5A3EF12A" w14:textId="0778A0E9" w:rsidR="00790FCB" w:rsidRPr="008A0130" w:rsidRDefault="00790FCB" w:rsidP="008A0130">
      <w:pPr>
        <w:spacing w:line="360" w:lineRule="auto"/>
        <w:jc w:val="both"/>
        <w:rPr>
          <w:rFonts w:ascii="Book Antiqua" w:eastAsia="宋体" w:hAnsi="Book Antiqua" w:cs="Times New Roman"/>
          <w:lang w:eastAsia="zh-CN"/>
        </w:rPr>
      </w:pPr>
      <w:r w:rsidRPr="008A0130">
        <w:rPr>
          <w:rFonts w:ascii="Book Antiqua" w:hAnsi="Book Antiqua" w:cs="Times New Roman"/>
          <w:b/>
        </w:rPr>
        <w:t xml:space="preserve">Miguel </w:t>
      </w:r>
      <w:r w:rsidRPr="008A0130">
        <w:rPr>
          <w:rFonts w:ascii="Book Antiqua" w:hAnsi="Book Antiqua" w:cs="Times New Roman"/>
          <w:b/>
          <w:bCs/>
        </w:rPr>
        <w:t>Angel</w:t>
      </w:r>
      <w:r w:rsidRPr="008A0130">
        <w:rPr>
          <w:rFonts w:ascii="Book Antiqua" w:hAnsi="Book Antiqua" w:cs="Times New Roman"/>
          <w:b/>
        </w:rPr>
        <w:t xml:space="preserve"> Chiurillo</w:t>
      </w:r>
      <w:r w:rsidRPr="008A0130">
        <w:rPr>
          <w:rFonts w:ascii="Book Antiqua" w:hAnsi="Book Antiqua" w:cs="Times New Roman"/>
        </w:rPr>
        <w:t>,</w:t>
      </w:r>
      <w:r w:rsidRPr="008A0130">
        <w:rPr>
          <w:rFonts w:ascii="Book Antiqua" w:eastAsia="宋体" w:hAnsi="Book Antiqua" w:cs="Times New Roman" w:hint="eastAsia"/>
          <w:lang w:eastAsia="zh-CN"/>
        </w:rPr>
        <w:t xml:space="preserve"> </w:t>
      </w:r>
      <w:r w:rsidRPr="008A0130">
        <w:rPr>
          <w:rFonts w:ascii="Book Antiqua" w:hAnsi="Book Antiqua" w:cs="Times New Roman"/>
        </w:rPr>
        <w:t>Departamento de Patologia Clínica, Universidade Estadual de Campinas</w:t>
      </w:r>
      <w:r w:rsidRPr="008A0130">
        <w:rPr>
          <w:rFonts w:ascii="Book Antiqua" w:eastAsia="宋体" w:hAnsi="Book Antiqua" w:cs="Times New Roman" w:hint="eastAsia"/>
          <w:lang w:eastAsia="zh-CN"/>
        </w:rPr>
        <w:t>,</w:t>
      </w:r>
      <w:r w:rsidRPr="008A0130">
        <w:rPr>
          <w:rFonts w:ascii="Book Antiqua" w:hAnsi="Book Antiqua" w:cs="Times New Roman"/>
        </w:rPr>
        <w:t> Campinas 13083, São Paulo, Brasil</w:t>
      </w:r>
    </w:p>
    <w:p w14:paraId="3BB6B58B" w14:textId="77777777" w:rsidR="00790FCB" w:rsidRPr="008A0130" w:rsidRDefault="00790FCB" w:rsidP="008A0130">
      <w:pPr>
        <w:spacing w:line="360" w:lineRule="auto"/>
        <w:jc w:val="both"/>
        <w:rPr>
          <w:rFonts w:ascii="Book Antiqua" w:eastAsia="宋体" w:hAnsi="Book Antiqua" w:cs="Times New Roman"/>
          <w:lang w:eastAsia="zh-CN"/>
        </w:rPr>
      </w:pPr>
    </w:p>
    <w:p w14:paraId="6F6A296A" w14:textId="5BAC1281" w:rsidR="00790FCB" w:rsidRPr="008A0130" w:rsidRDefault="00790FCB" w:rsidP="008A0130">
      <w:pPr>
        <w:spacing w:line="360" w:lineRule="auto"/>
        <w:jc w:val="both"/>
        <w:rPr>
          <w:rFonts w:ascii="Book Antiqua" w:eastAsia="宋体" w:hAnsi="Book Antiqua" w:cs="Tahoma"/>
          <w:spacing w:val="-5"/>
          <w:lang w:eastAsia="zh-CN"/>
        </w:rPr>
      </w:pPr>
      <w:r w:rsidRPr="008A0130">
        <w:rPr>
          <w:rFonts w:ascii="Book Antiqua" w:hAnsi="Book Antiqua"/>
          <w:b/>
        </w:rPr>
        <w:t>Author contributions:</w:t>
      </w:r>
      <w:r w:rsidRPr="008A0130">
        <w:rPr>
          <w:rFonts w:ascii="Book Antiqua" w:hAnsi="Book Antiqua" w:cs="Times New Roman"/>
          <w:bCs/>
        </w:rPr>
        <w:t xml:space="preserve"> Chiurillo </w:t>
      </w:r>
      <w:r w:rsidRPr="008A0130">
        <w:rPr>
          <w:rFonts w:ascii="Book Antiqua" w:eastAsia="宋体" w:hAnsi="Book Antiqua" w:cs="Times New Roman" w:hint="eastAsia"/>
          <w:bCs/>
          <w:lang w:eastAsia="zh-CN"/>
        </w:rPr>
        <w:t xml:space="preserve">MA </w:t>
      </w:r>
      <w:r w:rsidRPr="008A0130">
        <w:rPr>
          <w:rFonts w:ascii="Book Antiqua" w:hAnsi="Book Antiqua" w:cs="Tahoma"/>
          <w:spacing w:val="-5"/>
        </w:rPr>
        <w:t>solely contributed to this paper.</w:t>
      </w:r>
    </w:p>
    <w:p w14:paraId="734EBFBE" w14:textId="77777777" w:rsidR="00790FCB" w:rsidRPr="008A0130" w:rsidRDefault="00790FCB" w:rsidP="008A0130">
      <w:pPr>
        <w:spacing w:line="360" w:lineRule="auto"/>
        <w:jc w:val="both"/>
        <w:rPr>
          <w:rFonts w:ascii="Book Antiqua" w:eastAsia="宋体" w:hAnsi="Book Antiqua" w:cs="Tahoma"/>
          <w:spacing w:val="-5"/>
          <w:lang w:eastAsia="zh-CN"/>
        </w:rPr>
      </w:pPr>
    </w:p>
    <w:p w14:paraId="56617EE6" w14:textId="78086024" w:rsidR="00790FCB" w:rsidRPr="008A0130" w:rsidRDefault="00790FCB" w:rsidP="008A0130">
      <w:pPr>
        <w:autoSpaceDE w:val="0"/>
        <w:autoSpaceDN w:val="0"/>
        <w:adjustRightInd w:val="0"/>
        <w:spacing w:line="360" w:lineRule="auto"/>
        <w:jc w:val="both"/>
        <w:rPr>
          <w:rFonts w:ascii="Book Antiqua" w:eastAsia="宋体" w:hAnsi="Book Antiqua"/>
          <w:bCs/>
          <w:iCs/>
          <w:lang w:eastAsia="zh-CN"/>
        </w:rPr>
      </w:pPr>
      <w:r w:rsidRPr="008A0130">
        <w:rPr>
          <w:rFonts w:ascii="Book Antiqua" w:hAnsi="Book Antiqua"/>
          <w:b/>
        </w:rPr>
        <w:t>Conflict-of-interest</w:t>
      </w:r>
      <w:r w:rsidRPr="008A0130">
        <w:rPr>
          <w:rFonts w:ascii="Book Antiqua" w:hAnsi="Book Antiqua" w:hint="eastAsia"/>
          <w:b/>
        </w:rPr>
        <w:t xml:space="preserve">: </w:t>
      </w:r>
      <w:r w:rsidRPr="008A0130">
        <w:rPr>
          <w:rFonts w:ascii="Book Antiqua" w:hAnsi="Book Antiqua"/>
          <w:bCs/>
          <w:iCs/>
          <w:lang w:eastAsia="es-VE"/>
        </w:rPr>
        <w:t>The author has no conflict of interest to declare.</w:t>
      </w:r>
    </w:p>
    <w:p w14:paraId="754E307E" w14:textId="77777777" w:rsidR="00790FCB" w:rsidRPr="008A0130" w:rsidRDefault="00790FCB" w:rsidP="008A0130">
      <w:pPr>
        <w:spacing w:line="360" w:lineRule="auto"/>
        <w:jc w:val="both"/>
        <w:rPr>
          <w:rFonts w:ascii="Book Antiqua" w:hAnsi="Book Antiqua"/>
          <w:b/>
        </w:rPr>
      </w:pPr>
    </w:p>
    <w:p w14:paraId="53A7440A" w14:textId="77777777" w:rsidR="00790FCB" w:rsidRPr="008A0130" w:rsidRDefault="00790FCB" w:rsidP="008A0130">
      <w:pPr>
        <w:pStyle w:val="CommentText"/>
        <w:adjustRightInd w:val="0"/>
        <w:snapToGrid w:val="0"/>
        <w:spacing w:line="360" w:lineRule="auto"/>
        <w:jc w:val="both"/>
        <w:rPr>
          <w:rFonts w:ascii="Book Antiqua" w:hAnsi="Book Antiqua"/>
          <w:lang w:eastAsia="zh-CN"/>
        </w:rPr>
      </w:pPr>
      <w:bookmarkStart w:id="0" w:name="OLE_LINK507"/>
      <w:bookmarkStart w:id="1" w:name="OLE_LINK506"/>
      <w:bookmarkStart w:id="2" w:name="OLE_LINK496"/>
      <w:bookmarkStart w:id="3" w:name="OLE_LINK479"/>
      <w:r w:rsidRPr="008A0130">
        <w:rPr>
          <w:rFonts w:ascii="Book Antiqua" w:hAnsi="Book Antiqua"/>
          <w:b/>
        </w:rPr>
        <w:t xml:space="preserve">Open-Access: </w:t>
      </w:r>
      <w:r w:rsidRPr="008A0130">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52EA0D9F" w14:textId="77777777" w:rsidR="00790FCB" w:rsidRPr="008A0130" w:rsidRDefault="00790FCB" w:rsidP="008A0130">
      <w:pPr>
        <w:pStyle w:val="CommentText"/>
        <w:adjustRightInd w:val="0"/>
        <w:snapToGrid w:val="0"/>
        <w:spacing w:line="360" w:lineRule="auto"/>
        <w:jc w:val="both"/>
        <w:rPr>
          <w:rFonts w:ascii="Book Antiqua" w:eastAsia="Times New Roman" w:hAnsi="Book Antiqua" w:cs="Gulim"/>
          <w:b/>
          <w:color w:val="000000"/>
          <w:lang w:eastAsia="zh-CN"/>
        </w:rPr>
      </w:pPr>
    </w:p>
    <w:p w14:paraId="1D1F6291" w14:textId="37CA0AD8" w:rsidR="00E76D94" w:rsidRPr="008A0130" w:rsidRDefault="00790FCB" w:rsidP="008A0130">
      <w:pPr>
        <w:spacing w:line="360" w:lineRule="auto"/>
        <w:jc w:val="both"/>
        <w:rPr>
          <w:rFonts w:ascii="Book Antiqua" w:eastAsia="宋体" w:hAnsi="Book Antiqua"/>
          <w:b/>
          <w:lang w:eastAsia="zh-CN"/>
        </w:rPr>
      </w:pPr>
      <w:r w:rsidRPr="008A0130">
        <w:rPr>
          <w:rFonts w:ascii="Book Antiqua" w:hAnsi="Book Antiqua"/>
          <w:b/>
        </w:rPr>
        <w:lastRenderedPageBreak/>
        <w:t>Correspondence to:</w:t>
      </w:r>
      <w:r w:rsidRPr="008A0130">
        <w:rPr>
          <w:rFonts w:ascii="Book Antiqua" w:eastAsia="宋体" w:hAnsi="Book Antiqua" w:hint="eastAsia"/>
          <w:b/>
          <w:lang w:eastAsia="zh-CN"/>
        </w:rPr>
        <w:t xml:space="preserve"> </w:t>
      </w:r>
      <w:r w:rsidR="00E76D94" w:rsidRPr="008A0130">
        <w:rPr>
          <w:rFonts w:ascii="Book Antiqua" w:hAnsi="Book Antiqua" w:cs="Times New Roman"/>
          <w:b/>
        </w:rPr>
        <w:t xml:space="preserve">Miguel </w:t>
      </w:r>
      <w:r w:rsidRPr="008A0130">
        <w:rPr>
          <w:rFonts w:ascii="Book Antiqua" w:hAnsi="Book Antiqua" w:cs="Times New Roman"/>
          <w:b/>
          <w:bCs/>
        </w:rPr>
        <w:t>Angel</w:t>
      </w:r>
      <w:r w:rsidR="00E76D94" w:rsidRPr="008A0130">
        <w:rPr>
          <w:rFonts w:ascii="Book Antiqua" w:hAnsi="Book Antiqua" w:cs="Times New Roman"/>
          <w:b/>
        </w:rPr>
        <w:t xml:space="preserve"> Chiurillo, </w:t>
      </w:r>
      <w:r w:rsidRPr="008A0130">
        <w:rPr>
          <w:rFonts w:ascii="Book Antiqua" w:eastAsia="宋体" w:hAnsi="Book Antiqua" w:cs="Times New Roman" w:hint="eastAsia"/>
          <w:b/>
          <w:lang w:eastAsia="zh-CN"/>
        </w:rPr>
        <w:t xml:space="preserve">MD, PhD, </w:t>
      </w:r>
      <w:r w:rsidR="00E76D94" w:rsidRPr="008A0130">
        <w:rPr>
          <w:rFonts w:ascii="Book Antiqua" w:hAnsi="Book Antiqua" w:cs="Times New Roman"/>
        </w:rPr>
        <w:t xml:space="preserve">Laboratorio de Genética Molecular “Dr. Yunis-Turbay”, Decanato de Ciencias de la Salud, Universidad Centroccidental Lisandro Alvarado, Barquisimeto 3001, Estado Lara, Venezuela. </w:t>
      </w:r>
      <w:hyperlink r:id="rId9" w:history="1">
        <w:r w:rsidR="00E76D94" w:rsidRPr="008A0130">
          <w:rPr>
            <w:rFonts w:ascii="Book Antiqua" w:hAnsi="Book Antiqua" w:cs="Times New Roman"/>
          </w:rPr>
          <w:t>mchiurillo@ucla.edu.ve</w:t>
        </w:r>
      </w:hyperlink>
    </w:p>
    <w:p w14:paraId="5D0EBFC8" w14:textId="77777777" w:rsidR="00790FCB" w:rsidRPr="008A0130" w:rsidRDefault="00790FCB" w:rsidP="008A0130">
      <w:pPr>
        <w:spacing w:line="360" w:lineRule="auto"/>
        <w:jc w:val="both"/>
        <w:rPr>
          <w:rFonts w:ascii="Book Antiqua" w:eastAsia="宋体" w:hAnsi="Book Antiqua" w:cs="Times New Roman"/>
          <w:b/>
          <w:lang w:eastAsia="zh-CN"/>
        </w:rPr>
      </w:pPr>
    </w:p>
    <w:p w14:paraId="0C3B7D3E" w14:textId="77777777" w:rsidR="00790FCB" w:rsidRPr="008A0130" w:rsidRDefault="00E458F4" w:rsidP="008A0130">
      <w:pPr>
        <w:spacing w:line="360" w:lineRule="auto"/>
        <w:jc w:val="both"/>
        <w:rPr>
          <w:rFonts w:ascii="Book Antiqua" w:eastAsia="宋体" w:hAnsi="Book Antiqua" w:cs="Times New Roman"/>
          <w:lang w:eastAsia="zh-CN"/>
        </w:rPr>
      </w:pPr>
      <w:r w:rsidRPr="008A0130">
        <w:rPr>
          <w:rFonts w:ascii="Book Antiqua" w:eastAsia="宋体" w:hAnsi="Book Antiqua" w:cs="Times New Roman"/>
          <w:b/>
          <w:lang w:eastAsia="zh-CN"/>
        </w:rPr>
        <w:t xml:space="preserve">Telephone: </w:t>
      </w:r>
      <w:r w:rsidRPr="008A0130">
        <w:rPr>
          <w:rFonts w:ascii="Book Antiqua" w:eastAsia="宋体" w:hAnsi="Book Antiqua" w:cs="Times New Roman"/>
          <w:lang w:eastAsia="zh-CN"/>
        </w:rPr>
        <w:t>+58-251-2591985</w:t>
      </w:r>
    </w:p>
    <w:p w14:paraId="3E45A7E1" w14:textId="7F68B4E9" w:rsidR="00E458F4" w:rsidRPr="008A0130" w:rsidRDefault="00E458F4" w:rsidP="008A0130">
      <w:pPr>
        <w:spacing w:line="360" w:lineRule="auto"/>
        <w:jc w:val="both"/>
        <w:rPr>
          <w:rFonts w:ascii="Book Antiqua" w:eastAsia="宋体" w:hAnsi="Book Antiqua" w:cs="Times New Roman"/>
          <w:lang w:eastAsia="zh-CN"/>
        </w:rPr>
      </w:pPr>
      <w:r w:rsidRPr="008A0130">
        <w:rPr>
          <w:rFonts w:ascii="Book Antiqua" w:eastAsia="宋体" w:hAnsi="Book Antiqua" w:cs="Times New Roman"/>
          <w:b/>
          <w:lang w:eastAsia="zh-CN"/>
        </w:rPr>
        <w:t>Fax:</w:t>
      </w:r>
      <w:r w:rsidRPr="008A0130">
        <w:rPr>
          <w:rFonts w:ascii="Book Antiqua" w:eastAsia="宋体" w:hAnsi="Book Antiqua" w:cs="Times New Roman"/>
          <w:lang w:eastAsia="zh-CN"/>
        </w:rPr>
        <w:t xml:space="preserve"> +58-251-2591886</w:t>
      </w:r>
    </w:p>
    <w:p w14:paraId="1E40022F" w14:textId="77777777" w:rsidR="00600795" w:rsidRPr="008A0130" w:rsidRDefault="00600795" w:rsidP="008A0130">
      <w:pPr>
        <w:spacing w:line="360" w:lineRule="auto"/>
        <w:jc w:val="both"/>
        <w:rPr>
          <w:rFonts w:ascii="Book Antiqua" w:eastAsia="宋体" w:hAnsi="Book Antiqua" w:cs="Times New Roman"/>
          <w:b/>
          <w:lang w:eastAsia="zh-CN"/>
        </w:rPr>
      </w:pPr>
    </w:p>
    <w:p w14:paraId="0DB214F5" w14:textId="244D3602" w:rsidR="00790FCB" w:rsidRPr="008A0130" w:rsidRDefault="00790FCB" w:rsidP="008A0130">
      <w:pPr>
        <w:spacing w:line="360" w:lineRule="auto"/>
        <w:rPr>
          <w:rFonts w:ascii="Book Antiqua" w:eastAsia="宋体" w:hAnsi="Book Antiqua"/>
          <w:lang w:eastAsia="zh-CN"/>
        </w:rPr>
      </w:pPr>
      <w:r w:rsidRPr="008A0130">
        <w:rPr>
          <w:rFonts w:ascii="Book Antiqua" w:hAnsi="Book Antiqua"/>
          <w:b/>
        </w:rPr>
        <w:t>Received:</w:t>
      </w:r>
      <w:r w:rsidRPr="008A0130">
        <w:rPr>
          <w:rFonts w:ascii="Book Antiqua" w:eastAsia="宋体" w:hAnsi="Book Antiqua" w:hint="eastAsia"/>
          <w:lang w:eastAsia="zh-CN"/>
        </w:rPr>
        <w:t xml:space="preserve"> October 4, 2014</w:t>
      </w:r>
    </w:p>
    <w:p w14:paraId="03DABE12" w14:textId="55091595" w:rsidR="00790FCB" w:rsidRPr="008A0130" w:rsidRDefault="00790FCB" w:rsidP="008A0130">
      <w:pPr>
        <w:spacing w:line="360" w:lineRule="auto"/>
        <w:rPr>
          <w:rFonts w:ascii="Book Antiqua" w:eastAsia="宋体" w:hAnsi="Book Antiqua"/>
          <w:lang w:eastAsia="zh-CN"/>
        </w:rPr>
      </w:pPr>
      <w:r w:rsidRPr="008A0130">
        <w:rPr>
          <w:rFonts w:ascii="Book Antiqua" w:hAnsi="Book Antiqua" w:hint="eastAsia"/>
          <w:b/>
        </w:rPr>
        <w:t>Peer-review started</w:t>
      </w:r>
      <w:r w:rsidRPr="008A0130">
        <w:rPr>
          <w:rFonts w:ascii="Book Antiqua" w:hAnsi="Book Antiqua"/>
          <w:b/>
        </w:rPr>
        <w:t>:</w:t>
      </w:r>
      <w:r w:rsidRPr="008A0130">
        <w:rPr>
          <w:rFonts w:ascii="Book Antiqua" w:eastAsia="宋体" w:hAnsi="Book Antiqua" w:hint="eastAsia"/>
          <w:lang w:eastAsia="zh-CN"/>
        </w:rPr>
        <w:t xml:space="preserve"> October 5, 2014</w:t>
      </w:r>
    </w:p>
    <w:p w14:paraId="79BA5B74" w14:textId="588DE84B" w:rsidR="00790FCB" w:rsidRPr="008A0130" w:rsidRDefault="00790FCB" w:rsidP="008A0130">
      <w:pPr>
        <w:spacing w:line="360" w:lineRule="auto"/>
        <w:rPr>
          <w:rFonts w:ascii="Book Antiqua" w:eastAsia="宋体" w:hAnsi="Book Antiqua"/>
          <w:lang w:eastAsia="zh-CN"/>
        </w:rPr>
      </w:pPr>
      <w:r w:rsidRPr="008A0130">
        <w:rPr>
          <w:rFonts w:ascii="Book Antiqua" w:hAnsi="Book Antiqua"/>
          <w:b/>
        </w:rPr>
        <w:t>First decision:</w:t>
      </w:r>
      <w:r w:rsidRPr="008A0130">
        <w:rPr>
          <w:rFonts w:ascii="Book Antiqua" w:eastAsia="宋体" w:hAnsi="Book Antiqua" w:hint="eastAsia"/>
          <w:b/>
          <w:lang w:eastAsia="zh-CN"/>
        </w:rPr>
        <w:t xml:space="preserve"> </w:t>
      </w:r>
      <w:r w:rsidRPr="008A0130">
        <w:rPr>
          <w:rFonts w:ascii="Book Antiqua" w:eastAsia="宋体" w:hAnsi="Book Antiqua" w:hint="eastAsia"/>
          <w:lang w:eastAsia="zh-CN"/>
        </w:rPr>
        <w:t>November 14, 2014</w:t>
      </w:r>
    </w:p>
    <w:p w14:paraId="7D5363B4" w14:textId="55BC69E3" w:rsidR="00790FCB" w:rsidRPr="008A0130" w:rsidRDefault="00790FCB" w:rsidP="008A0130">
      <w:pPr>
        <w:spacing w:line="360" w:lineRule="auto"/>
        <w:rPr>
          <w:rFonts w:ascii="Book Antiqua" w:eastAsia="宋体" w:hAnsi="Book Antiqua"/>
          <w:lang w:eastAsia="zh-CN"/>
        </w:rPr>
      </w:pPr>
      <w:r w:rsidRPr="008A0130">
        <w:rPr>
          <w:rFonts w:ascii="Book Antiqua" w:hAnsi="Book Antiqua"/>
          <w:b/>
        </w:rPr>
        <w:t xml:space="preserve">Revised: </w:t>
      </w:r>
      <w:r w:rsidRPr="008A0130">
        <w:rPr>
          <w:rFonts w:ascii="Book Antiqua" w:eastAsia="宋体" w:hAnsi="Book Antiqua" w:hint="eastAsia"/>
          <w:lang w:eastAsia="zh-CN"/>
        </w:rPr>
        <w:t>February 7, 2015</w:t>
      </w:r>
    </w:p>
    <w:p w14:paraId="0324E642" w14:textId="410B602F" w:rsidR="00790FCB" w:rsidRPr="008A0130" w:rsidRDefault="00790FCB" w:rsidP="008A0130">
      <w:pPr>
        <w:spacing w:line="360" w:lineRule="auto"/>
        <w:rPr>
          <w:rFonts w:ascii="Book Antiqua" w:hAnsi="Book Antiqua"/>
          <w:b/>
        </w:rPr>
      </w:pPr>
      <w:r w:rsidRPr="008A0130">
        <w:rPr>
          <w:rFonts w:ascii="Book Antiqua" w:hAnsi="Book Antiqua"/>
          <w:b/>
        </w:rPr>
        <w:t xml:space="preserve">Accepted: </w:t>
      </w:r>
      <w:r w:rsidR="00407A5E" w:rsidRPr="00407A5E">
        <w:rPr>
          <w:rFonts w:ascii="Book Antiqua" w:hAnsi="Book Antiqua"/>
        </w:rPr>
        <w:t>March 18, 2015</w:t>
      </w:r>
    </w:p>
    <w:p w14:paraId="39A21AD0" w14:textId="77777777" w:rsidR="00790FCB" w:rsidRPr="008A0130" w:rsidRDefault="00790FCB" w:rsidP="008A0130">
      <w:pPr>
        <w:spacing w:line="360" w:lineRule="auto"/>
        <w:rPr>
          <w:rFonts w:ascii="Book Antiqua" w:hAnsi="Book Antiqua"/>
          <w:b/>
        </w:rPr>
      </w:pPr>
      <w:r w:rsidRPr="008A0130">
        <w:rPr>
          <w:rFonts w:ascii="Book Antiqua" w:hAnsi="Book Antiqua"/>
          <w:b/>
        </w:rPr>
        <w:t>Article in press:</w:t>
      </w:r>
    </w:p>
    <w:p w14:paraId="19E04828" w14:textId="1AEB772F" w:rsidR="00790FCB" w:rsidRPr="008A0130" w:rsidRDefault="00790FCB" w:rsidP="008A0130">
      <w:pPr>
        <w:spacing w:line="360" w:lineRule="auto"/>
        <w:jc w:val="both"/>
        <w:rPr>
          <w:rFonts w:ascii="Book Antiqua" w:eastAsia="宋体" w:hAnsi="Book Antiqua" w:cs="Times New Roman"/>
          <w:b/>
          <w:lang w:eastAsia="zh-CN"/>
        </w:rPr>
      </w:pPr>
      <w:r w:rsidRPr="008A0130">
        <w:rPr>
          <w:rFonts w:ascii="Book Antiqua" w:hAnsi="Book Antiqua"/>
          <w:b/>
        </w:rPr>
        <w:t>Published online:</w:t>
      </w:r>
    </w:p>
    <w:p w14:paraId="3837070D" w14:textId="77777777" w:rsidR="00790FCB" w:rsidRPr="008A0130" w:rsidRDefault="00790FCB" w:rsidP="008A0130">
      <w:pPr>
        <w:spacing w:line="360" w:lineRule="auto"/>
        <w:jc w:val="both"/>
        <w:rPr>
          <w:rFonts w:ascii="Book Antiqua" w:eastAsia="宋体" w:hAnsi="Book Antiqua" w:cs="Times New Roman"/>
          <w:b/>
          <w:lang w:eastAsia="zh-CN"/>
        </w:rPr>
      </w:pPr>
    </w:p>
    <w:p w14:paraId="7B199AC4" w14:textId="36F9AE72" w:rsidR="00191BA5" w:rsidRPr="008A0130" w:rsidRDefault="00191BA5" w:rsidP="008A0130">
      <w:pPr>
        <w:spacing w:line="360" w:lineRule="auto"/>
        <w:jc w:val="both"/>
        <w:rPr>
          <w:rFonts w:ascii="Book Antiqua" w:eastAsia="Times New Roman" w:hAnsi="Book Antiqua" w:cs="Times New Roman"/>
          <w:b/>
        </w:rPr>
      </w:pPr>
      <w:r w:rsidRPr="008A0130">
        <w:rPr>
          <w:rFonts w:ascii="Book Antiqua" w:eastAsia="Times New Roman" w:hAnsi="Book Antiqua" w:cs="Times New Roman"/>
          <w:b/>
        </w:rPr>
        <w:t>Abstract</w:t>
      </w:r>
    </w:p>
    <w:p w14:paraId="62E4B493" w14:textId="35F48E84" w:rsidR="00AD10FC" w:rsidRPr="008A0130" w:rsidRDefault="003E2E1E" w:rsidP="008A0130">
      <w:pPr>
        <w:spacing w:line="360" w:lineRule="auto"/>
        <w:jc w:val="both"/>
        <w:rPr>
          <w:rFonts w:ascii="Book Antiqua" w:hAnsi="Book Antiqua" w:cs="Times New Roman"/>
        </w:rPr>
      </w:pPr>
      <w:r w:rsidRPr="008A0130">
        <w:rPr>
          <w:rFonts w:ascii="Book Antiqua" w:eastAsia="Times New Roman" w:hAnsi="Book Antiqua" w:cs="Times New Roman"/>
        </w:rPr>
        <w:t>Gastric cancer remains one</w:t>
      </w:r>
      <w:r w:rsidR="0066390F" w:rsidRPr="008A0130">
        <w:rPr>
          <w:rFonts w:ascii="Book Antiqua" w:eastAsia="Times New Roman" w:hAnsi="Book Antiqua" w:cs="Times New Roman"/>
        </w:rPr>
        <w:t xml:space="preserve"> of the most common cancers worldwide and one of t</w:t>
      </w:r>
      <w:r w:rsidRPr="008A0130">
        <w:rPr>
          <w:rFonts w:ascii="Book Antiqua" w:eastAsia="Times New Roman" w:hAnsi="Book Antiqua" w:cs="Times New Roman"/>
        </w:rPr>
        <w:t>he leading cause for cancer-re</w:t>
      </w:r>
      <w:r w:rsidR="0066390F" w:rsidRPr="008A0130">
        <w:rPr>
          <w:rFonts w:ascii="Book Antiqua" w:eastAsia="Times New Roman" w:hAnsi="Book Antiqua" w:cs="Times New Roman"/>
        </w:rPr>
        <w:t>lated deaths</w:t>
      </w:r>
      <w:r w:rsidR="00975346" w:rsidRPr="008A0130">
        <w:rPr>
          <w:rFonts w:ascii="Book Antiqua" w:eastAsia="Times New Roman" w:hAnsi="Book Antiqua" w:cs="Times New Roman"/>
        </w:rPr>
        <w:t>. Gastric adenocarcinoma</w:t>
      </w:r>
      <w:r w:rsidR="00AE031A" w:rsidRPr="008A0130">
        <w:rPr>
          <w:rFonts w:ascii="Book Antiqua" w:eastAsia="Times New Roman" w:hAnsi="Book Antiqua" w:cs="Times New Roman"/>
        </w:rPr>
        <w:t xml:space="preserve"> is a multifactorial disease that</w:t>
      </w:r>
      <w:r w:rsidR="00E63B11" w:rsidRPr="008A0130">
        <w:rPr>
          <w:rFonts w:ascii="Book Antiqua" w:eastAsia="Times New Roman" w:hAnsi="Book Antiqua" w:cs="Times New Roman"/>
        </w:rPr>
        <w:t xml:space="preserve"> is </w:t>
      </w:r>
      <w:r w:rsidR="00086D7D" w:rsidRPr="008A0130">
        <w:rPr>
          <w:rFonts w:ascii="Book Antiqua" w:eastAsia="Times New Roman" w:hAnsi="Book Antiqua" w:cs="Times New Roman"/>
        </w:rPr>
        <w:t>genetically</w:t>
      </w:r>
      <w:r w:rsidR="00E63B11" w:rsidRPr="008A0130">
        <w:rPr>
          <w:rFonts w:ascii="Book Antiqua" w:eastAsia="Times New Roman" w:hAnsi="Book Antiqua" w:cs="Times New Roman"/>
        </w:rPr>
        <w:t xml:space="preserve">, </w:t>
      </w:r>
      <w:r w:rsidR="00C713F0" w:rsidRPr="008A0130">
        <w:rPr>
          <w:rFonts w:ascii="Book Antiqua" w:eastAsia="Times New Roman" w:hAnsi="Book Antiqua" w:cs="Times New Roman"/>
        </w:rPr>
        <w:t>cytological</w:t>
      </w:r>
      <w:r w:rsidR="00600795" w:rsidRPr="008A0130">
        <w:rPr>
          <w:rFonts w:ascii="Book Antiqua" w:eastAsia="Times New Roman" w:hAnsi="Book Antiqua" w:cs="Times New Roman"/>
        </w:rPr>
        <w:t>ly</w:t>
      </w:r>
      <w:r w:rsidR="00975346" w:rsidRPr="008A0130">
        <w:rPr>
          <w:rFonts w:ascii="Book Antiqua" w:eastAsia="Times New Roman" w:hAnsi="Book Antiqua" w:cs="Times New Roman"/>
        </w:rPr>
        <w:t xml:space="preserve"> and architecturally </w:t>
      </w:r>
      <w:r w:rsidR="00754CE1" w:rsidRPr="008A0130">
        <w:rPr>
          <w:rFonts w:ascii="Book Antiqua" w:eastAsia="Times New Roman" w:hAnsi="Book Antiqua" w:cs="Times New Roman"/>
        </w:rPr>
        <w:t xml:space="preserve">more heterogeneous </w:t>
      </w:r>
      <w:r w:rsidR="00975346" w:rsidRPr="008A0130">
        <w:rPr>
          <w:rFonts w:ascii="Book Antiqua" w:eastAsia="Times New Roman" w:hAnsi="Book Antiqua" w:cs="Times New Roman"/>
        </w:rPr>
        <w:t>than other gastrointestinal carcinomas</w:t>
      </w:r>
      <w:r w:rsidR="00F035A6" w:rsidRPr="008A0130">
        <w:rPr>
          <w:rFonts w:ascii="Book Antiqua" w:eastAsia="Times New Roman" w:hAnsi="Book Antiqua" w:cs="Times New Roman"/>
        </w:rPr>
        <w:t xml:space="preserve">. </w:t>
      </w:r>
      <w:r w:rsidR="00F035A6" w:rsidRPr="008A0130">
        <w:rPr>
          <w:rFonts w:ascii="Book Antiqua" w:hAnsi="Book Antiqua" w:cs="Times New Roman"/>
        </w:rPr>
        <w:t>T</w:t>
      </w:r>
      <w:r w:rsidR="003548CB" w:rsidRPr="008A0130">
        <w:rPr>
          <w:rFonts w:ascii="Book Antiqua" w:hAnsi="Book Antiqua" w:cs="Times New Roman"/>
        </w:rPr>
        <w:t>he aberrant activation o</w:t>
      </w:r>
      <w:r w:rsidR="00B57932" w:rsidRPr="008A0130">
        <w:rPr>
          <w:rFonts w:ascii="Book Antiqua" w:hAnsi="Book Antiqua" w:cs="Times New Roman"/>
        </w:rPr>
        <w:t>f the</w:t>
      </w:r>
      <w:r w:rsidR="00CB0F8C" w:rsidRPr="008A0130">
        <w:rPr>
          <w:rFonts w:ascii="Book Antiqua" w:hAnsi="Book Antiqua" w:cs="Times New Roman"/>
        </w:rPr>
        <w:t xml:space="preserve"> W</w:t>
      </w:r>
      <w:r w:rsidR="00AD10FC" w:rsidRPr="008A0130">
        <w:rPr>
          <w:rFonts w:ascii="Book Antiqua" w:hAnsi="Book Antiqua" w:cs="Times New Roman"/>
        </w:rPr>
        <w:t>nt/</w:t>
      </w:r>
      <w:r w:rsidR="00F926B4" w:rsidRPr="008A0130">
        <w:rPr>
          <w:rFonts w:ascii="Book Antiqua" w:hAnsi="Book Antiqua" w:cs="Times New Roman"/>
        </w:rPr>
        <w:t>β</w:t>
      </w:r>
      <w:r w:rsidR="00AD10FC" w:rsidRPr="008A0130">
        <w:rPr>
          <w:rFonts w:ascii="Book Antiqua" w:hAnsi="Book Antiqua" w:cs="Times New Roman"/>
        </w:rPr>
        <w:t>-catenin signaling pathway</w:t>
      </w:r>
      <w:r w:rsidR="00F035A6" w:rsidRPr="008A0130">
        <w:rPr>
          <w:rFonts w:ascii="Book Antiqua" w:hAnsi="Book Antiqua" w:cs="Times New Roman"/>
        </w:rPr>
        <w:t xml:space="preserve"> is involved in </w:t>
      </w:r>
      <w:r w:rsidR="003548CB" w:rsidRPr="008A0130">
        <w:rPr>
          <w:rFonts w:ascii="Book Antiqua" w:hAnsi="Book Antiqua" w:cs="Times New Roman"/>
        </w:rPr>
        <w:t xml:space="preserve">the </w:t>
      </w:r>
      <w:r w:rsidR="00F035A6" w:rsidRPr="008A0130">
        <w:rPr>
          <w:rFonts w:ascii="Book Antiqua" w:hAnsi="Book Antiqua" w:cs="Times New Roman"/>
        </w:rPr>
        <w:t>development an</w:t>
      </w:r>
      <w:r w:rsidR="003548CB" w:rsidRPr="008A0130">
        <w:rPr>
          <w:rFonts w:ascii="Book Antiqua" w:hAnsi="Book Antiqua" w:cs="Times New Roman"/>
        </w:rPr>
        <w:t>d progression of</w:t>
      </w:r>
      <w:r w:rsidR="00F035A6" w:rsidRPr="008A0130">
        <w:rPr>
          <w:rFonts w:ascii="Book Antiqua" w:hAnsi="Book Antiqua" w:cs="Times New Roman"/>
        </w:rPr>
        <w:t xml:space="preserve"> a significant proportion of gastric cancer cases.</w:t>
      </w:r>
      <w:r w:rsidR="00CB0F8C" w:rsidRPr="008A0130">
        <w:rPr>
          <w:rFonts w:ascii="Book Antiqua" w:eastAsia="Times New Roman" w:hAnsi="Book Antiqua" w:cs="Times New Roman"/>
        </w:rPr>
        <w:t xml:space="preserve"> </w:t>
      </w:r>
      <w:r w:rsidR="00314C4D" w:rsidRPr="008A0130">
        <w:rPr>
          <w:rFonts w:ascii="Book Antiqua" w:eastAsia="Times New Roman" w:hAnsi="Book Antiqua" w:cs="Times New Roman"/>
        </w:rPr>
        <w:t>This review focuses on the participation of the Wnt/</w:t>
      </w:r>
      <w:r w:rsidR="00F926B4" w:rsidRPr="008A0130">
        <w:rPr>
          <w:rFonts w:ascii="Book Antiqua" w:eastAsia="Times New Roman" w:hAnsi="Book Antiqua" w:cs="Times New Roman"/>
        </w:rPr>
        <w:t>β</w:t>
      </w:r>
      <w:r w:rsidR="00314C4D" w:rsidRPr="008A0130">
        <w:rPr>
          <w:rFonts w:ascii="Book Antiqua" w:eastAsia="Times New Roman" w:hAnsi="Book Antiqua" w:cs="Times New Roman"/>
        </w:rPr>
        <w:t>-catenin pathway in gastric cancer by offer</w:t>
      </w:r>
      <w:r w:rsidR="002E4257" w:rsidRPr="008A0130">
        <w:rPr>
          <w:rFonts w:ascii="Book Antiqua" w:eastAsia="Times New Roman" w:hAnsi="Book Antiqua" w:cs="Times New Roman"/>
        </w:rPr>
        <w:t xml:space="preserve">ing an analysis of the relevant </w:t>
      </w:r>
      <w:r w:rsidR="00314C4D" w:rsidRPr="008A0130">
        <w:rPr>
          <w:rFonts w:ascii="Book Antiqua" w:eastAsia="Times New Roman" w:hAnsi="Book Antiqua" w:cs="Times New Roman"/>
        </w:rPr>
        <w:t>literature published in this field.</w:t>
      </w:r>
      <w:r w:rsidR="00B57932" w:rsidRPr="008A0130">
        <w:rPr>
          <w:rFonts w:ascii="Book Antiqua" w:eastAsia="Times New Roman" w:hAnsi="Book Antiqua" w:cs="Times New Roman"/>
        </w:rPr>
        <w:t xml:space="preserve"> </w:t>
      </w:r>
      <w:r w:rsidR="00AD10FC" w:rsidRPr="008A0130">
        <w:rPr>
          <w:rFonts w:ascii="Book Antiqua" w:eastAsia="Times New Roman" w:hAnsi="Book Antiqua" w:cs="Times New Roman"/>
        </w:rPr>
        <w:t>Indeed</w:t>
      </w:r>
      <w:r w:rsidR="00CD2726" w:rsidRPr="008A0130">
        <w:rPr>
          <w:rFonts w:ascii="Book Antiqua" w:eastAsia="Times New Roman" w:hAnsi="Book Antiqua" w:cs="Times New Roman"/>
        </w:rPr>
        <w:t>, i</w:t>
      </w:r>
      <w:r w:rsidR="007A50E2" w:rsidRPr="008A0130">
        <w:rPr>
          <w:rFonts w:ascii="Book Antiqua" w:eastAsia="Times New Roman" w:hAnsi="Book Antiqua" w:cs="Times New Roman"/>
        </w:rPr>
        <w:t>t is discussed the role of key factors in Wnt/</w:t>
      </w:r>
      <w:r w:rsidR="00F926B4" w:rsidRPr="008A0130">
        <w:rPr>
          <w:rFonts w:ascii="Book Antiqua" w:eastAsia="Times New Roman" w:hAnsi="Book Antiqua" w:cs="Times New Roman"/>
        </w:rPr>
        <w:t>β</w:t>
      </w:r>
      <w:r w:rsidR="007A50E2" w:rsidRPr="008A0130">
        <w:rPr>
          <w:rFonts w:ascii="Book Antiqua" w:eastAsia="Times New Roman" w:hAnsi="Book Antiqua" w:cs="Times New Roman"/>
        </w:rPr>
        <w:t>-catenin signaling and their</w:t>
      </w:r>
      <w:r w:rsidR="00CD2726" w:rsidRPr="008A0130">
        <w:rPr>
          <w:rFonts w:ascii="Book Antiqua" w:eastAsia="Times New Roman" w:hAnsi="Book Antiqua" w:cs="Times New Roman"/>
        </w:rPr>
        <w:t xml:space="preserve"> downstream effectors regulating</w:t>
      </w:r>
      <w:r w:rsidR="007A50E2" w:rsidRPr="008A0130">
        <w:rPr>
          <w:rFonts w:ascii="Book Antiqua" w:eastAsia="Times New Roman" w:hAnsi="Book Antiqua" w:cs="Times New Roman"/>
        </w:rPr>
        <w:t xml:space="preserve"> </w:t>
      </w:r>
      <w:r w:rsidR="00631020" w:rsidRPr="008A0130">
        <w:rPr>
          <w:rFonts w:ascii="Book Antiqua" w:eastAsia="Times New Roman" w:hAnsi="Book Antiqua" w:cs="Times New Roman"/>
        </w:rPr>
        <w:t>processes</w:t>
      </w:r>
      <w:r w:rsidR="007A50E2" w:rsidRPr="008A0130">
        <w:rPr>
          <w:rFonts w:ascii="Book Antiqua" w:eastAsia="Times New Roman" w:hAnsi="Book Antiqua" w:cs="Times New Roman"/>
        </w:rPr>
        <w:t xml:space="preserve"> involved in tumor initiation, tumor growth</w:t>
      </w:r>
      <w:r w:rsidR="00C16198" w:rsidRPr="008A0130">
        <w:rPr>
          <w:rFonts w:ascii="Book Antiqua" w:eastAsia="Times New Roman" w:hAnsi="Book Antiqua" w:cs="Times New Roman"/>
        </w:rPr>
        <w:t>,</w:t>
      </w:r>
      <w:r w:rsidR="007A50E2" w:rsidRPr="008A0130">
        <w:rPr>
          <w:rFonts w:ascii="Book Antiqua" w:eastAsia="Times New Roman" w:hAnsi="Book Antiqua" w:cs="Times New Roman"/>
        </w:rPr>
        <w:t xml:space="preserve"> metastasis</w:t>
      </w:r>
      <w:r w:rsidR="00C16198" w:rsidRPr="008A0130">
        <w:rPr>
          <w:rFonts w:ascii="Book Antiqua" w:eastAsia="Times New Roman" w:hAnsi="Book Antiqua" w:cs="Times New Roman"/>
        </w:rPr>
        <w:t xml:space="preserve"> and resistance to therapy.</w:t>
      </w:r>
      <w:r w:rsidR="00403D48" w:rsidRPr="008A0130">
        <w:rPr>
          <w:rFonts w:ascii="Book Antiqua" w:eastAsia="Times New Roman" w:hAnsi="Book Antiqua" w:cs="Times New Roman"/>
        </w:rPr>
        <w:t xml:space="preserve"> </w:t>
      </w:r>
      <w:r w:rsidR="00E63B11" w:rsidRPr="008A0130">
        <w:rPr>
          <w:rFonts w:ascii="Book Antiqua" w:eastAsia="Times New Roman" w:hAnsi="Book Antiqua" w:cs="Times New Roman"/>
        </w:rPr>
        <w:t xml:space="preserve">Available data indicate that </w:t>
      </w:r>
      <w:r w:rsidR="00E63B11" w:rsidRPr="008A0130">
        <w:rPr>
          <w:rFonts w:ascii="Book Antiqua" w:hAnsi="Book Antiqua" w:cs="Times New Roman"/>
        </w:rPr>
        <w:t>c</w:t>
      </w:r>
      <w:r w:rsidR="00BE144A" w:rsidRPr="008A0130">
        <w:rPr>
          <w:rFonts w:ascii="Book Antiqua" w:hAnsi="Book Antiqua" w:cs="Times New Roman"/>
        </w:rPr>
        <w:t xml:space="preserve">onstitutive Wnt signalling resulting from </w:t>
      </w:r>
      <w:r w:rsidR="00440A99" w:rsidRPr="008A0130">
        <w:rPr>
          <w:rFonts w:ascii="Book Antiqua" w:eastAsia="Times New Roman" w:hAnsi="Book Antiqua" w:cs="Times New Roman"/>
          <w:i/>
        </w:rPr>
        <w:t xml:space="preserve">Helicobacter pylori </w:t>
      </w:r>
      <w:r w:rsidR="00440A99" w:rsidRPr="008A0130">
        <w:rPr>
          <w:rFonts w:ascii="Book Antiqua" w:eastAsia="Times New Roman" w:hAnsi="Book Antiqua" w:cs="Times New Roman"/>
        </w:rPr>
        <w:t>i</w:t>
      </w:r>
      <w:r w:rsidR="00440A99" w:rsidRPr="008A0130">
        <w:rPr>
          <w:rFonts w:ascii="Book Antiqua" w:hAnsi="Book Antiqua" w:cs="Times New Roman"/>
        </w:rPr>
        <w:t>nfection and</w:t>
      </w:r>
      <w:r w:rsidR="002E4257" w:rsidRPr="008A0130">
        <w:rPr>
          <w:rFonts w:ascii="Book Antiqua" w:hAnsi="Book Antiqua" w:cs="Times New Roman"/>
        </w:rPr>
        <w:t xml:space="preserve"> </w:t>
      </w:r>
      <w:r w:rsidR="00762543" w:rsidRPr="008A0130">
        <w:rPr>
          <w:rFonts w:ascii="Book Antiqua" w:hAnsi="Book Antiqua" w:cs="Times New Roman"/>
        </w:rPr>
        <w:t>inactivation of Wnt</w:t>
      </w:r>
      <w:r w:rsidR="002E4257" w:rsidRPr="008A0130">
        <w:rPr>
          <w:rFonts w:ascii="Book Antiqua" w:hAnsi="Book Antiqua" w:cs="Times New Roman"/>
        </w:rPr>
        <w:t xml:space="preserve"> inhibitors </w:t>
      </w:r>
      <w:r w:rsidR="00440A99" w:rsidRPr="008A0130">
        <w:rPr>
          <w:rFonts w:ascii="Book Antiqua" w:hAnsi="Book Antiqua" w:cs="Times New Roman"/>
        </w:rPr>
        <w:t xml:space="preserve">(mainly by inactivating mutations and promoter </w:t>
      </w:r>
      <w:r w:rsidR="00440A99" w:rsidRPr="008A0130">
        <w:rPr>
          <w:rFonts w:ascii="Book Antiqua" w:hAnsi="Book Antiqua" w:cs="Times New Roman"/>
        </w:rPr>
        <w:lastRenderedPageBreak/>
        <w:t>hypermethylation) play</w:t>
      </w:r>
      <w:r w:rsidR="002E4257" w:rsidRPr="008A0130">
        <w:rPr>
          <w:rFonts w:ascii="Book Antiqua" w:hAnsi="Book Antiqua" w:cs="Times New Roman"/>
        </w:rPr>
        <w:t>s</w:t>
      </w:r>
      <w:r w:rsidR="00440A99" w:rsidRPr="008A0130">
        <w:rPr>
          <w:rFonts w:ascii="Book Antiqua" w:hAnsi="Book Antiqua" w:cs="Times New Roman"/>
        </w:rPr>
        <w:t xml:space="preserve"> an important role in gastric cancer. </w:t>
      </w:r>
      <w:r w:rsidR="00440A99" w:rsidRPr="008A0130">
        <w:rPr>
          <w:rFonts w:ascii="Book Antiqua" w:eastAsia="Times New Roman" w:hAnsi="Book Antiqua" w:cs="Times New Roman"/>
        </w:rPr>
        <w:t xml:space="preserve">Moreover, a number of recent studies confirmed </w:t>
      </w:r>
      <w:r w:rsidR="00440A99" w:rsidRPr="008A0130">
        <w:rPr>
          <w:rFonts w:ascii="Book Antiqua" w:eastAsia="Times New Roman" w:hAnsi="Book Antiqua" w:cs="Times New Roman"/>
          <w:i/>
        </w:rPr>
        <w:t>CTNNB1</w:t>
      </w:r>
      <w:r w:rsidR="00440A99" w:rsidRPr="008A0130">
        <w:rPr>
          <w:rFonts w:ascii="Book Antiqua" w:eastAsia="Times New Roman" w:hAnsi="Book Antiqua" w:cs="Times New Roman"/>
        </w:rPr>
        <w:t xml:space="preserve"> and </w:t>
      </w:r>
      <w:r w:rsidR="00440A99" w:rsidRPr="008A0130">
        <w:rPr>
          <w:rFonts w:ascii="Book Antiqua" w:eastAsia="Times New Roman" w:hAnsi="Book Antiqua" w:cs="Times New Roman"/>
          <w:i/>
        </w:rPr>
        <w:t>APC</w:t>
      </w:r>
      <w:r w:rsidR="0029191F" w:rsidRPr="008A0130">
        <w:rPr>
          <w:rFonts w:ascii="Book Antiqua" w:eastAsia="Times New Roman" w:hAnsi="Book Antiqua" w:cs="Times New Roman"/>
        </w:rPr>
        <w:t xml:space="preserve"> as </w:t>
      </w:r>
      <w:r w:rsidR="00440A99" w:rsidRPr="008A0130">
        <w:rPr>
          <w:rFonts w:ascii="Book Antiqua" w:eastAsia="Times New Roman" w:hAnsi="Book Antiqua" w:cs="Times New Roman"/>
        </w:rPr>
        <w:t>driver genes</w:t>
      </w:r>
      <w:r w:rsidR="0029191F" w:rsidRPr="008A0130">
        <w:rPr>
          <w:rFonts w:ascii="Book Antiqua" w:eastAsia="Times New Roman" w:hAnsi="Book Antiqua" w:cs="Times New Roman"/>
        </w:rPr>
        <w:t xml:space="preserve"> in gastric cancer</w:t>
      </w:r>
      <w:r w:rsidR="00440A99" w:rsidRPr="008A0130">
        <w:rPr>
          <w:rFonts w:ascii="Book Antiqua" w:eastAsia="Times New Roman" w:hAnsi="Book Antiqua" w:cs="Times New Roman"/>
        </w:rPr>
        <w:t>.</w:t>
      </w:r>
      <w:r w:rsidR="00B57932" w:rsidRPr="008A0130">
        <w:rPr>
          <w:rFonts w:ascii="Book Antiqua" w:hAnsi="Book Antiqua" w:cs="Times New Roman"/>
          <w:i/>
        </w:rPr>
        <w:t xml:space="preserve"> </w:t>
      </w:r>
      <w:r w:rsidR="00E63B11" w:rsidRPr="008A0130">
        <w:rPr>
          <w:rFonts w:ascii="Book Antiqua" w:eastAsia="Times New Roman" w:hAnsi="Book Antiqua" w:cs="Times New Roman"/>
        </w:rPr>
        <w:t>The</w:t>
      </w:r>
      <w:r w:rsidR="00B57932" w:rsidRPr="008A0130">
        <w:rPr>
          <w:rFonts w:ascii="Book Antiqua" w:eastAsia="Times New Roman" w:hAnsi="Book Antiqua" w:cs="Times New Roman"/>
        </w:rPr>
        <w:t xml:space="preserve"> i</w:t>
      </w:r>
      <w:r w:rsidR="00205587" w:rsidRPr="008A0130">
        <w:rPr>
          <w:rFonts w:ascii="Book Antiqua" w:eastAsia="Times New Roman" w:hAnsi="Book Antiqua" w:cs="Times New Roman"/>
        </w:rPr>
        <w:t xml:space="preserve">dentification of specific membrane, intracellular, and extracellular components of the Wnt pathway has revealed potential targets for </w:t>
      </w:r>
      <w:r w:rsidR="00440A99" w:rsidRPr="008A0130">
        <w:rPr>
          <w:rFonts w:ascii="Book Antiqua" w:eastAsia="Times New Roman" w:hAnsi="Book Antiqua" w:cs="Times New Roman"/>
        </w:rPr>
        <w:t xml:space="preserve">gastric </w:t>
      </w:r>
      <w:r w:rsidR="00205587" w:rsidRPr="008A0130">
        <w:rPr>
          <w:rFonts w:ascii="Book Antiqua" w:eastAsia="Times New Roman" w:hAnsi="Book Antiqua" w:cs="Times New Roman"/>
        </w:rPr>
        <w:t>cancer therapy.</w:t>
      </w:r>
      <w:r w:rsidR="00403D48" w:rsidRPr="008A0130">
        <w:rPr>
          <w:rFonts w:ascii="Book Antiqua" w:eastAsia="Times New Roman" w:hAnsi="Book Antiqua" w:cs="Times New Roman"/>
        </w:rPr>
        <w:t xml:space="preserve"> </w:t>
      </w:r>
      <w:hyperlink r:id="rId10" w:history="1">
        <w:r w:rsidR="00403D48" w:rsidRPr="008A0130">
          <w:rPr>
            <w:rFonts w:ascii="Book Antiqua" w:hAnsi="Book Antiqua" w:cs="Times New Roman"/>
          </w:rPr>
          <w:t>High-throughput </w:t>
        </w:r>
        <w:r w:rsidR="00403D48" w:rsidRPr="008A0130">
          <w:rPr>
            <w:rFonts w:ascii="Book Antiqua" w:eastAsia="Times New Roman" w:hAnsi="Book Antiqua" w:cs="Times New Roman"/>
          </w:rPr>
          <w:t xml:space="preserve">“omics” </w:t>
        </w:r>
        <w:r w:rsidR="00403D48" w:rsidRPr="008A0130">
          <w:rPr>
            <w:rFonts w:ascii="Book Antiqua" w:hAnsi="Book Antiqua" w:cs="Times New Roman"/>
          </w:rPr>
          <w:t>approaches</w:t>
        </w:r>
      </w:hyperlink>
      <w:r w:rsidR="00B57932" w:rsidRPr="008A0130">
        <w:rPr>
          <w:rFonts w:ascii="Book Antiqua" w:eastAsia="Times New Roman" w:hAnsi="Book Antiqua" w:cs="Times New Roman"/>
        </w:rPr>
        <w:t xml:space="preserve"> will help in the search for </w:t>
      </w:r>
      <w:r w:rsidR="00B57932" w:rsidRPr="008A0130">
        <w:rPr>
          <w:rFonts w:ascii="Book Antiqua" w:hAnsi="Book Antiqua" w:cs="Times New Roman"/>
        </w:rPr>
        <w:t xml:space="preserve">Wnt pathway antagonist </w:t>
      </w:r>
      <w:r w:rsidR="00C40DBD" w:rsidRPr="008A0130">
        <w:rPr>
          <w:rFonts w:ascii="Book Antiqua" w:eastAsia="Times New Roman" w:hAnsi="Book Antiqua" w:cs="Times New Roman"/>
        </w:rPr>
        <w:t>in the near future</w:t>
      </w:r>
      <w:r w:rsidR="00403D48" w:rsidRPr="008A0130">
        <w:rPr>
          <w:rFonts w:ascii="Book Antiqua" w:eastAsia="Times New Roman" w:hAnsi="Book Antiqua" w:cs="Times New Roman"/>
        </w:rPr>
        <w:t>.</w:t>
      </w:r>
    </w:p>
    <w:p w14:paraId="52AB3ABE" w14:textId="77777777" w:rsidR="004D2E92" w:rsidRPr="008A0130" w:rsidRDefault="004D2E92" w:rsidP="008A0130">
      <w:pPr>
        <w:spacing w:line="360" w:lineRule="auto"/>
        <w:jc w:val="both"/>
        <w:rPr>
          <w:rFonts w:ascii="Book Antiqua" w:hAnsi="Book Antiqua" w:cs="Times New Roman"/>
          <w:b/>
        </w:rPr>
      </w:pPr>
    </w:p>
    <w:p w14:paraId="44FA5567" w14:textId="1067DD28" w:rsidR="004D2E92" w:rsidRPr="008A0130" w:rsidRDefault="004D2E92" w:rsidP="008A0130">
      <w:pPr>
        <w:spacing w:line="360" w:lineRule="auto"/>
        <w:jc w:val="both"/>
        <w:rPr>
          <w:rFonts w:ascii="Book Antiqua" w:hAnsi="Book Antiqua" w:cs="Times New Roman"/>
          <w:i/>
        </w:rPr>
      </w:pPr>
      <w:r w:rsidRPr="008A0130">
        <w:rPr>
          <w:rFonts w:ascii="Book Antiqua" w:hAnsi="Book Antiqua" w:cs="Times New Roman"/>
          <w:b/>
        </w:rPr>
        <w:t>Key</w:t>
      </w:r>
      <w:r w:rsidR="00790FCB" w:rsidRPr="008A0130">
        <w:rPr>
          <w:rFonts w:ascii="Book Antiqua" w:eastAsia="宋体" w:hAnsi="Book Antiqua" w:cs="Times New Roman" w:hint="eastAsia"/>
          <w:b/>
          <w:lang w:eastAsia="zh-CN"/>
        </w:rPr>
        <w:t xml:space="preserve"> </w:t>
      </w:r>
      <w:r w:rsidRPr="008A0130">
        <w:rPr>
          <w:rFonts w:ascii="Book Antiqua" w:hAnsi="Book Antiqua" w:cs="Times New Roman"/>
          <w:b/>
        </w:rPr>
        <w:t>words:</w:t>
      </w:r>
      <w:r w:rsidR="001277F0" w:rsidRPr="008A0130">
        <w:rPr>
          <w:rFonts w:ascii="Book Antiqua" w:hAnsi="Book Antiqua" w:cs="Times New Roman"/>
        </w:rPr>
        <w:t xml:space="preserve"> G</w:t>
      </w:r>
      <w:r w:rsidRPr="008A0130">
        <w:rPr>
          <w:rFonts w:ascii="Book Antiqua" w:hAnsi="Book Antiqua" w:cs="Times New Roman"/>
        </w:rPr>
        <w:t>astric cancer</w:t>
      </w:r>
      <w:r w:rsidR="00790FCB" w:rsidRPr="008A0130">
        <w:rPr>
          <w:rFonts w:ascii="Book Antiqua" w:eastAsia="宋体" w:hAnsi="Book Antiqua" w:cs="Times New Roman" w:hint="eastAsia"/>
          <w:lang w:eastAsia="zh-CN"/>
        </w:rPr>
        <w:t>;</w:t>
      </w:r>
      <w:r w:rsidRPr="008A0130">
        <w:rPr>
          <w:rFonts w:ascii="Book Antiqua" w:hAnsi="Book Antiqua" w:cs="Times New Roman"/>
        </w:rPr>
        <w:t xml:space="preserve"> Wnt</w:t>
      </w:r>
      <w:r w:rsidR="00790FCB"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F926B4" w:rsidRPr="008A0130">
        <w:rPr>
          <w:rFonts w:ascii="Book Antiqua" w:hAnsi="Book Antiqua" w:cs="Times New Roman"/>
        </w:rPr>
        <w:t>β</w:t>
      </w:r>
      <w:r w:rsidRPr="008A0130">
        <w:rPr>
          <w:rFonts w:ascii="Book Antiqua" w:hAnsi="Book Antiqua" w:cs="Times New Roman"/>
        </w:rPr>
        <w:t>-catenin</w:t>
      </w:r>
      <w:r w:rsidR="00790FCB"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790FCB" w:rsidRPr="008A0130">
        <w:rPr>
          <w:rFonts w:ascii="Book Antiqua" w:hAnsi="Book Antiqua" w:cs="Times New Roman"/>
        </w:rPr>
        <w:t>O</w:t>
      </w:r>
      <w:r w:rsidRPr="008A0130">
        <w:rPr>
          <w:rFonts w:ascii="Book Antiqua" w:hAnsi="Book Antiqua" w:cs="Times New Roman"/>
        </w:rPr>
        <w:t>ncogene</w:t>
      </w:r>
      <w:r w:rsidR="00790FCB"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790FCB" w:rsidRPr="008A0130">
        <w:rPr>
          <w:rFonts w:ascii="Book Antiqua" w:hAnsi="Book Antiqua" w:cs="Times New Roman"/>
        </w:rPr>
        <w:t>T</w:t>
      </w:r>
      <w:r w:rsidRPr="008A0130">
        <w:rPr>
          <w:rFonts w:ascii="Book Antiqua" w:hAnsi="Book Antiqua" w:cs="Times New Roman"/>
        </w:rPr>
        <w:t>umor suppressor</w:t>
      </w:r>
      <w:r w:rsidR="00790FCB"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48631F" w:rsidRPr="008A0130">
        <w:rPr>
          <w:rFonts w:ascii="Book Antiqua" w:eastAsia="Times New Roman" w:hAnsi="Book Antiqua" w:cs="Times New Roman"/>
        </w:rPr>
        <w:t>Adenomatous polyposis coli</w:t>
      </w:r>
      <w:r w:rsidR="00790FCB"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790FCB" w:rsidRPr="008A0130">
        <w:rPr>
          <w:rFonts w:ascii="Book Antiqua" w:hAnsi="Book Antiqua" w:cs="Times New Roman"/>
        </w:rPr>
        <w:t>E</w:t>
      </w:r>
      <w:r w:rsidR="001277F0" w:rsidRPr="008A0130">
        <w:rPr>
          <w:rFonts w:ascii="Book Antiqua" w:hAnsi="Book Antiqua" w:cs="Times New Roman"/>
        </w:rPr>
        <w:t>pigenetics</w:t>
      </w:r>
      <w:r w:rsidR="00790FCB" w:rsidRPr="008A0130">
        <w:rPr>
          <w:rFonts w:ascii="Book Antiqua" w:eastAsia="宋体" w:hAnsi="Book Antiqua" w:cs="Times New Roman" w:hint="eastAsia"/>
          <w:lang w:eastAsia="zh-CN"/>
        </w:rPr>
        <w:t xml:space="preserve">; </w:t>
      </w:r>
      <w:r w:rsidRPr="008A0130">
        <w:rPr>
          <w:rFonts w:ascii="Book Antiqua" w:hAnsi="Book Antiqua" w:cs="Times New Roman"/>
          <w:i/>
        </w:rPr>
        <w:t>Helicobacter pylori</w:t>
      </w:r>
    </w:p>
    <w:p w14:paraId="4DDEE68B" w14:textId="77777777" w:rsidR="004D2E92" w:rsidRPr="008A0130" w:rsidRDefault="004D2E92" w:rsidP="008A0130">
      <w:pPr>
        <w:spacing w:line="360" w:lineRule="auto"/>
        <w:jc w:val="both"/>
        <w:rPr>
          <w:rFonts w:ascii="Book Antiqua" w:eastAsia="宋体" w:hAnsi="Book Antiqua" w:cs="Times New Roman"/>
          <w:lang w:eastAsia="zh-CN"/>
        </w:rPr>
      </w:pPr>
    </w:p>
    <w:p w14:paraId="589B04C8" w14:textId="4E135D46" w:rsidR="00790FCB" w:rsidRPr="008A0130" w:rsidRDefault="00790FCB" w:rsidP="008A0130">
      <w:pPr>
        <w:spacing w:line="360" w:lineRule="auto"/>
        <w:jc w:val="both"/>
        <w:rPr>
          <w:rFonts w:ascii="Book Antiqua" w:eastAsia="宋体" w:hAnsi="Book Antiqua"/>
          <w:bCs/>
          <w:lang w:eastAsia="zh-CN"/>
        </w:rPr>
      </w:pPr>
      <w:proofErr w:type="gramStart"/>
      <w:r w:rsidRPr="008A0130">
        <w:rPr>
          <w:rFonts w:ascii="Book Antiqua" w:hAnsi="Book Antiqua"/>
          <w:b/>
          <w:bCs/>
        </w:rPr>
        <w:t>© The Author(s) 2015.</w:t>
      </w:r>
      <w:proofErr w:type="gramEnd"/>
      <w:r w:rsidRPr="008A0130">
        <w:rPr>
          <w:rFonts w:ascii="Book Antiqua" w:hAnsi="Book Antiqua"/>
          <w:b/>
          <w:bCs/>
        </w:rPr>
        <w:t xml:space="preserve"> </w:t>
      </w:r>
      <w:r w:rsidRPr="008A0130">
        <w:rPr>
          <w:rFonts w:ascii="Book Antiqua" w:hAnsi="Book Antiqua"/>
          <w:bCs/>
        </w:rPr>
        <w:t>Published by Baishideng Publishing Group Inc. All rights reserved.</w:t>
      </w:r>
    </w:p>
    <w:p w14:paraId="57EE207E" w14:textId="77777777" w:rsidR="00790FCB" w:rsidRPr="008A0130" w:rsidRDefault="00790FCB" w:rsidP="008A0130">
      <w:pPr>
        <w:spacing w:line="360" w:lineRule="auto"/>
        <w:jc w:val="both"/>
        <w:rPr>
          <w:rFonts w:ascii="Book Antiqua" w:eastAsia="宋体" w:hAnsi="Book Antiqua" w:cs="Times New Roman"/>
          <w:lang w:eastAsia="zh-CN"/>
        </w:rPr>
      </w:pPr>
    </w:p>
    <w:p w14:paraId="4CDF9F0B" w14:textId="601769FD" w:rsidR="00C3796A" w:rsidRPr="008A0130" w:rsidRDefault="004D2E92" w:rsidP="008A0130">
      <w:pPr>
        <w:spacing w:line="360" w:lineRule="auto"/>
        <w:jc w:val="both"/>
        <w:rPr>
          <w:rFonts w:ascii="Book Antiqua" w:eastAsia="Times New Roman" w:hAnsi="Book Antiqua" w:cs="Times New Roman"/>
        </w:rPr>
      </w:pPr>
      <w:r w:rsidRPr="008A0130">
        <w:rPr>
          <w:rFonts w:ascii="Book Antiqua" w:eastAsia="Times New Roman" w:hAnsi="Book Antiqua" w:cs="Times New Roman"/>
          <w:b/>
        </w:rPr>
        <w:t>Core tip:</w:t>
      </w:r>
      <w:r w:rsidR="00DF62BC" w:rsidRPr="008A0130">
        <w:rPr>
          <w:rFonts w:ascii="Book Antiqua" w:eastAsia="宋体" w:hAnsi="Book Antiqua" w:cs="Times New Roman"/>
          <w:b/>
          <w:lang w:eastAsia="zh-CN"/>
        </w:rPr>
        <w:t xml:space="preserve"> </w:t>
      </w:r>
      <w:r w:rsidR="00C3796A" w:rsidRPr="008A0130">
        <w:rPr>
          <w:rFonts w:ascii="Book Antiqua" w:eastAsia="Times New Roman" w:hAnsi="Book Antiqua" w:cs="Times New Roman"/>
        </w:rPr>
        <w:t>Available data indicate that Wnt signaling substantially impacts gastric tumorigenesis, prognosis, a</w:t>
      </w:r>
      <w:r w:rsidR="001277F0" w:rsidRPr="008A0130">
        <w:rPr>
          <w:rFonts w:ascii="Book Antiqua" w:eastAsia="Times New Roman" w:hAnsi="Book Antiqua" w:cs="Times New Roman"/>
        </w:rPr>
        <w:t>nd resistance to therapy. L</w:t>
      </w:r>
      <w:r w:rsidR="00C3796A" w:rsidRPr="008A0130">
        <w:rPr>
          <w:rFonts w:ascii="Book Antiqua" w:eastAsia="Times New Roman" w:hAnsi="Book Antiqua" w:cs="Times New Roman"/>
        </w:rPr>
        <w:t>oss of Wnt signaling inhibitors</w:t>
      </w:r>
      <w:r w:rsidR="00006EDC" w:rsidRPr="008A0130">
        <w:rPr>
          <w:rFonts w:ascii="Book Antiqua" w:eastAsia="Times New Roman" w:hAnsi="Book Antiqua" w:cs="Times New Roman"/>
        </w:rPr>
        <w:t xml:space="preserve"> (such as </w:t>
      </w:r>
      <w:r w:rsidR="00006EDC" w:rsidRPr="008A0130">
        <w:rPr>
          <w:rFonts w:ascii="Book Antiqua" w:eastAsia="Times New Roman" w:hAnsi="Book Antiqua" w:cs="Times New Roman"/>
          <w:i/>
        </w:rPr>
        <w:t>APC</w:t>
      </w:r>
      <w:r w:rsidR="00006EDC" w:rsidRPr="008A0130">
        <w:rPr>
          <w:rFonts w:ascii="Book Antiqua" w:eastAsia="Times New Roman" w:hAnsi="Book Antiqua" w:cs="Times New Roman"/>
        </w:rPr>
        <w:t>) by promoter hypermethylation,</w:t>
      </w:r>
      <w:r w:rsidR="00C3796A" w:rsidRPr="008A0130">
        <w:rPr>
          <w:rFonts w:ascii="Book Antiqua" w:eastAsia="Times New Roman" w:hAnsi="Book Antiqua" w:cs="Times New Roman"/>
        </w:rPr>
        <w:t xml:space="preserve"> </w:t>
      </w:r>
      <w:r w:rsidR="00006EDC" w:rsidRPr="008A0130">
        <w:rPr>
          <w:rFonts w:ascii="Book Antiqua" w:eastAsia="Times New Roman" w:hAnsi="Book Antiqua" w:cs="Times New Roman"/>
        </w:rPr>
        <w:t xml:space="preserve">allelic loss or </w:t>
      </w:r>
      <w:r w:rsidR="001277F0" w:rsidRPr="008A0130">
        <w:rPr>
          <w:rFonts w:ascii="Book Antiqua" w:eastAsia="Times New Roman" w:hAnsi="Book Antiqua" w:cs="Times New Roman"/>
        </w:rPr>
        <w:t>other mechanisms appear</w:t>
      </w:r>
      <w:r w:rsidR="00C3796A" w:rsidRPr="008A0130">
        <w:rPr>
          <w:rFonts w:ascii="Book Antiqua" w:eastAsia="Times New Roman" w:hAnsi="Book Antiqua" w:cs="Times New Roman"/>
        </w:rPr>
        <w:t xml:space="preserve"> to be particularly important</w:t>
      </w:r>
      <w:r w:rsidR="001277F0" w:rsidRPr="008A0130">
        <w:rPr>
          <w:rFonts w:ascii="Book Antiqua" w:eastAsia="Times New Roman" w:hAnsi="Book Antiqua" w:cs="Times New Roman"/>
        </w:rPr>
        <w:t xml:space="preserve"> in activating Wnt/</w:t>
      </w:r>
      <w:r w:rsidR="00F926B4" w:rsidRPr="008A0130">
        <w:rPr>
          <w:rFonts w:ascii="Book Antiqua" w:eastAsia="Times New Roman" w:hAnsi="Book Antiqua" w:cs="Times New Roman"/>
        </w:rPr>
        <w:t>β</w:t>
      </w:r>
      <w:r w:rsidR="001277F0" w:rsidRPr="008A0130">
        <w:rPr>
          <w:rFonts w:ascii="Book Antiqua" w:eastAsia="Times New Roman" w:hAnsi="Book Antiqua" w:cs="Times New Roman"/>
        </w:rPr>
        <w:t>-catenin signaling</w:t>
      </w:r>
      <w:r w:rsidR="00C3796A" w:rsidRPr="008A0130">
        <w:rPr>
          <w:rFonts w:ascii="Book Antiqua" w:eastAsia="Times New Roman" w:hAnsi="Book Antiqua" w:cs="Times New Roman"/>
        </w:rPr>
        <w:t xml:space="preserve">. </w:t>
      </w:r>
      <w:r w:rsidR="001277F0" w:rsidRPr="008A0130">
        <w:rPr>
          <w:rFonts w:ascii="Book Antiqua" w:eastAsia="Times New Roman" w:hAnsi="Book Antiqua" w:cs="Times New Roman"/>
        </w:rPr>
        <w:t>G</w:t>
      </w:r>
      <w:r w:rsidR="000B083A" w:rsidRPr="008A0130">
        <w:rPr>
          <w:rFonts w:ascii="Book Antiqua" w:eastAsia="Times New Roman" w:hAnsi="Book Antiqua" w:cs="Times New Roman"/>
        </w:rPr>
        <w:t xml:space="preserve">astric cancer is an entity characterized by its heterogeneity in various aspects, and much remains to be learned about the molecular aspects that determine the process of cancer development in this organ. </w:t>
      </w:r>
      <w:r w:rsidR="00006EDC" w:rsidRPr="008A0130">
        <w:rPr>
          <w:rFonts w:ascii="Book Antiqua" w:eastAsia="Times New Roman" w:hAnsi="Book Antiqua" w:cs="Times New Roman"/>
        </w:rPr>
        <w:t xml:space="preserve">The role that plays the canonical Wnt pathway in gastric carcinogenesis is reviewed. </w:t>
      </w:r>
    </w:p>
    <w:p w14:paraId="653AAC8F" w14:textId="77777777" w:rsidR="001C1D94" w:rsidRPr="008A0130" w:rsidRDefault="001C1D94" w:rsidP="008A0130">
      <w:pPr>
        <w:spacing w:line="360" w:lineRule="auto"/>
        <w:jc w:val="both"/>
        <w:rPr>
          <w:rFonts w:ascii="Book Antiqua" w:eastAsia="宋体" w:hAnsi="Book Antiqua" w:cs="Times New Roman"/>
          <w:b/>
          <w:lang w:eastAsia="zh-CN"/>
        </w:rPr>
      </w:pPr>
    </w:p>
    <w:p w14:paraId="7064430C" w14:textId="0AC2D3EF" w:rsidR="00790FCB" w:rsidRPr="008A0130" w:rsidRDefault="00790FCB" w:rsidP="008A0130">
      <w:pPr>
        <w:spacing w:line="360" w:lineRule="auto"/>
        <w:jc w:val="both"/>
        <w:rPr>
          <w:rFonts w:ascii="Book Antiqua" w:hAnsi="Book Antiqua" w:cs="Times New Roman"/>
        </w:rPr>
      </w:pPr>
      <w:r w:rsidRPr="008A0130">
        <w:rPr>
          <w:rFonts w:ascii="Book Antiqua" w:hAnsi="Book Antiqua" w:cs="Times New Roman"/>
          <w:bCs/>
        </w:rPr>
        <w:t xml:space="preserve">Chiurillo </w:t>
      </w:r>
      <w:r w:rsidRPr="008A0130">
        <w:rPr>
          <w:rFonts w:ascii="Book Antiqua" w:eastAsia="宋体" w:hAnsi="Book Antiqua" w:cs="Times New Roman" w:hint="eastAsia"/>
          <w:bCs/>
          <w:lang w:eastAsia="zh-CN"/>
        </w:rPr>
        <w:t>MA.</w:t>
      </w:r>
      <w:r w:rsidRPr="008A0130">
        <w:rPr>
          <w:rFonts w:ascii="Book Antiqua" w:eastAsia="宋体" w:hAnsi="Book Antiqua" w:cs="Times New Roman" w:hint="eastAsia"/>
          <w:lang w:eastAsia="zh-CN"/>
        </w:rPr>
        <w:t xml:space="preserve"> </w:t>
      </w:r>
      <w:r w:rsidRPr="008A0130">
        <w:rPr>
          <w:rFonts w:ascii="Book Antiqua" w:hAnsi="Book Antiqua" w:cs="Times New Roman"/>
          <w:bCs/>
        </w:rPr>
        <w:t>Role of the Wnt/-catenin pathway in gastric cancer: An in-depth literature review</w:t>
      </w:r>
      <w:r w:rsidRPr="008A0130">
        <w:rPr>
          <w:rFonts w:ascii="Book Antiqua" w:eastAsia="宋体" w:hAnsi="Book Antiqua" w:cs="Times New Roman" w:hint="eastAsia"/>
          <w:bCs/>
          <w:lang w:eastAsia="zh-CN"/>
        </w:rPr>
        <w:t xml:space="preserve">. </w:t>
      </w:r>
      <w:r w:rsidRPr="008A0130">
        <w:rPr>
          <w:rFonts w:ascii="Book Antiqua" w:hAnsi="Book Antiqua"/>
          <w:i/>
          <w:iCs/>
        </w:rPr>
        <w:t>World J Exp Med</w:t>
      </w:r>
      <w:r w:rsidRPr="008A0130">
        <w:rPr>
          <w:rFonts w:ascii="Book Antiqua" w:eastAsia="宋体" w:hAnsi="Book Antiqua" w:hint="eastAsia"/>
          <w:iCs/>
          <w:lang w:eastAsia="zh-CN"/>
        </w:rPr>
        <w:t xml:space="preserve"> 2015; </w:t>
      </w:r>
      <w:proofErr w:type="gramStart"/>
      <w:r w:rsidRPr="008A0130">
        <w:rPr>
          <w:rFonts w:ascii="Book Antiqua" w:eastAsia="宋体" w:hAnsi="Book Antiqua" w:hint="eastAsia"/>
          <w:iCs/>
          <w:lang w:eastAsia="zh-CN"/>
        </w:rPr>
        <w:t>In</w:t>
      </w:r>
      <w:proofErr w:type="gramEnd"/>
      <w:r w:rsidRPr="008A0130">
        <w:rPr>
          <w:rFonts w:ascii="Book Antiqua" w:eastAsia="宋体" w:hAnsi="Book Antiqua" w:hint="eastAsia"/>
          <w:iCs/>
          <w:lang w:eastAsia="zh-CN"/>
        </w:rPr>
        <w:t xml:space="preserve"> press</w:t>
      </w:r>
    </w:p>
    <w:p w14:paraId="64ED11B8" w14:textId="77777777" w:rsidR="00790FCB" w:rsidRPr="008A0130" w:rsidRDefault="00790FCB" w:rsidP="008A0130">
      <w:pPr>
        <w:spacing w:line="360" w:lineRule="auto"/>
        <w:jc w:val="both"/>
        <w:rPr>
          <w:rFonts w:ascii="Book Antiqua" w:eastAsia="宋体" w:hAnsi="Book Antiqua" w:cs="Times New Roman"/>
          <w:b/>
          <w:lang w:eastAsia="zh-CN"/>
        </w:rPr>
      </w:pPr>
    </w:p>
    <w:p w14:paraId="731107CB" w14:textId="79E16162" w:rsidR="00CF1874" w:rsidRPr="008A0130" w:rsidRDefault="004D2E92" w:rsidP="008A0130">
      <w:pPr>
        <w:spacing w:line="360" w:lineRule="auto"/>
        <w:jc w:val="both"/>
        <w:rPr>
          <w:rFonts w:ascii="Book Antiqua" w:eastAsia="Times New Roman" w:hAnsi="Book Antiqua" w:cs="Times New Roman"/>
          <w:b/>
        </w:rPr>
      </w:pPr>
      <w:r w:rsidRPr="008A0130">
        <w:rPr>
          <w:rFonts w:ascii="Book Antiqua" w:eastAsia="Times New Roman" w:hAnsi="Book Antiqua" w:cs="Times New Roman"/>
          <w:b/>
        </w:rPr>
        <w:t>INTRODUCTION</w:t>
      </w:r>
    </w:p>
    <w:p w14:paraId="13F1AB30" w14:textId="48363965" w:rsidR="00651516" w:rsidRPr="008A0130" w:rsidRDefault="003E4155" w:rsidP="008A0130">
      <w:pPr>
        <w:spacing w:line="360" w:lineRule="auto"/>
        <w:jc w:val="both"/>
        <w:rPr>
          <w:rFonts w:ascii="Book Antiqua" w:eastAsia="Times New Roman" w:hAnsi="Book Antiqua" w:cs="Times New Roman"/>
        </w:rPr>
      </w:pPr>
      <w:r w:rsidRPr="008A0130">
        <w:rPr>
          <w:rFonts w:ascii="Book Antiqua" w:eastAsia="Times New Roman" w:hAnsi="Book Antiqua" w:cs="Times New Roman"/>
        </w:rPr>
        <w:t>G</w:t>
      </w:r>
      <w:r w:rsidR="003F0F22" w:rsidRPr="008A0130">
        <w:rPr>
          <w:rFonts w:ascii="Book Antiqua" w:eastAsia="Times New Roman" w:hAnsi="Book Antiqua" w:cs="Times New Roman"/>
        </w:rPr>
        <w:t xml:space="preserve">astric cancer </w:t>
      </w:r>
      <w:r w:rsidRPr="008A0130">
        <w:rPr>
          <w:rFonts w:ascii="Book Antiqua" w:eastAsia="Times New Roman" w:hAnsi="Book Antiqua" w:cs="Times New Roman"/>
        </w:rPr>
        <w:t xml:space="preserve">incidence and mortality </w:t>
      </w:r>
      <w:r w:rsidR="003F0F22" w:rsidRPr="008A0130">
        <w:rPr>
          <w:rFonts w:ascii="Book Antiqua" w:eastAsia="Times New Roman" w:hAnsi="Book Antiqua" w:cs="Times New Roman"/>
        </w:rPr>
        <w:t xml:space="preserve">have been declining over the past 50 years in most Western countries, </w:t>
      </w:r>
      <w:r w:rsidRPr="008A0130">
        <w:rPr>
          <w:rFonts w:ascii="Book Antiqua" w:eastAsia="Times New Roman" w:hAnsi="Book Antiqua" w:cs="Times New Roman"/>
        </w:rPr>
        <w:t>but r</w:t>
      </w:r>
      <w:r w:rsidR="003F0F22" w:rsidRPr="008A0130">
        <w:rPr>
          <w:rFonts w:ascii="Book Antiqua" w:eastAsia="Times New Roman" w:hAnsi="Book Antiqua" w:cs="Times New Roman"/>
        </w:rPr>
        <w:t>emains</w:t>
      </w:r>
      <w:r w:rsidR="003108CD" w:rsidRPr="008A0130">
        <w:rPr>
          <w:rFonts w:ascii="Book Antiqua" w:eastAsia="Times New Roman" w:hAnsi="Book Antiqua" w:cs="Times New Roman"/>
        </w:rPr>
        <w:t xml:space="preserve"> the </w:t>
      </w:r>
      <w:r w:rsidR="003F0F22" w:rsidRPr="008A0130">
        <w:rPr>
          <w:rFonts w:ascii="Book Antiqua" w:eastAsia="Times New Roman" w:hAnsi="Book Antiqua" w:cs="Times New Roman"/>
        </w:rPr>
        <w:t>fifth</w:t>
      </w:r>
      <w:r w:rsidR="003108CD" w:rsidRPr="008A0130">
        <w:rPr>
          <w:rFonts w:ascii="Book Antiqua" w:eastAsia="Times New Roman" w:hAnsi="Book Antiqua" w:cs="Times New Roman"/>
        </w:rPr>
        <w:t xml:space="preserve"> most common cancer and the </w:t>
      </w:r>
      <w:r w:rsidR="003F0F22" w:rsidRPr="008A0130">
        <w:rPr>
          <w:rFonts w:ascii="Book Antiqua" w:eastAsia="Times New Roman" w:hAnsi="Book Antiqua" w:cs="Times New Roman"/>
        </w:rPr>
        <w:t>third</w:t>
      </w:r>
      <w:r w:rsidR="003108CD" w:rsidRPr="008A0130">
        <w:rPr>
          <w:rFonts w:ascii="Book Antiqua" w:eastAsia="Times New Roman" w:hAnsi="Book Antiqua" w:cs="Times New Roman"/>
        </w:rPr>
        <w:t xml:space="preserve"> leading cause of cancer-related </w:t>
      </w:r>
      <w:r w:rsidR="003108CD" w:rsidRPr="008A0130">
        <w:rPr>
          <w:rFonts w:ascii="Book Antiqua" w:hAnsi="Book Antiqua" w:cs="Garamond"/>
        </w:rPr>
        <w:t>death</w:t>
      </w:r>
      <w:r w:rsidR="00FD7BC7" w:rsidRPr="008A0130">
        <w:rPr>
          <w:rFonts w:ascii="Book Antiqua" w:hAnsi="Book Antiqua" w:cs="Garamond"/>
        </w:rPr>
        <w:t xml:space="preserve"> in both sexes worldwide after</w:t>
      </w:r>
      <w:r w:rsidR="00FD7BC7" w:rsidRPr="008A0130">
        <w:rPr>
          <w:rFonts w:ascii="Book Antiqua" w:eastAsia="Times New Roman" w:hAnsi="Book Antiqua" w:cs="Times New Roman"/>
        </w:rPr>
        <w:t xml:space="preserve"> lung and breast </w:t>
      </w:r>
      <w:r w:rsidR="0048631F" w:rsidRPr="008A0130">
        <w:rPr>
          <w:rFonts w:ascii="Book Antiqua" w:hAnsi="Book Antiqua" w:cs="Garamond"/>
        </w:rPr>
        <w:t>cancer (723</w:t>
      </w:r>
      <w:r w:rsidR="00FD7BC7" w:rsidRPr="008A0130">
        <w:rPr>
          <w:rFonts w:ascii="Book Antiqua" w:hAnsi="Book Antiqua" w:cs="Garamond"/>
        </w:rPr>
        <w:t>000 deaths, 8.8% of the total in 2012)</w:t>
      </w:r>
      <w:r w:rsidR="00DB4649" w:rsidRPr="008A0130">
        <w:rPr>
          <w:rFonts w:ascii="Book Antiqua" w:eastAsia="Times New Roman" w:hAnsi="Book Antiqua" w:cs="Times New Roman"/>
          <w:vertAlign w:val="superscript"/>
        </w:rPr>
        <w:t>[1,2]</w:t>
      </w:r>
      <w:r w:rsidR="003108CD" w:rsidRPr="008A0130">
        <w:rPr>
          <w:rFonts w:ascii="Book Antiqua" w:eastAsia="Times New Roman" w:hAnsi="Book Antiqua" w:cs="Times New Roman"/>
        </w:rPr>
        <w:t xml:space="preserve">. </w:t>
      </w:r>
      <w:r w:rsidR="00C61E47" w:rsidRPr="008A0130">
        <w:rPr>
          <w:rFonts w:ascii="Book Antiqua" w:eastAsia="Times New Roman" w:hAnsi="Book Antiqua" w:cs="Times New Roman"/>
        </w:rPr>
        <w:t xml:space="preserve">Gastric cancer </w:t>
      </w:r>
      <w:r w:rsidR="00C61E47" w:rsidRPr="008A0130">
        <w:rPr>
          <w:rFonts w:ascii="Book Antiqua" w:eastAsia="Times New Roman" w:hAnsi="Book Antiqua" w:cs="Times New Roman"/>
        </w:rPr>
        <w:lastRenderedPageBreak/>
        <w:t xml:space="preserve">incidence </w:t>
      </w:r>
      <w:r w:rsidR="00C61E47" w:rsidRPr="008A0130">
        <w:rPr>
          <w:rFonts w:ascii="Book Antiqua" w:hAnsi="Book Antiqua" w:cs="Garamond"/>
        </w:rPr>
        <w:t>varies substantially worldwide, being the highest (more than two-thirds) observed in East Asia, Eastern Europe, and the Andean region of South America, while North America, Northern Europe and North and East Africa show the lowest recorded rates</w:t>
      </w:r>
      <w:r w:rsidR="00C61E47" w:rsidRPr="008A0130">
        <w:rPr>
          <w:rFonts w:ascii="Book Antiqua" w:eastAsia="Times New Roman" w:hAnsi="Book Antiqua" w:cs="Times New Roman"/>
          <w:vertAlign w:val="superscript"/>
        </w:rPr>
        <w:t>[1]</w:t>
      </w:r>
      <w:r w:rsidR="00452E2B" w:rsidRPr="008A0130">
        <w:rPr>
          <w:rFonts w:ascii="Book Antiqua" w:eastAsia="Times New Roman" w:hAnsi="Book Antiqua" w:cs="Times New Roman"/>
        </w:rPr>
        <w:t xml:space="preserve">. </w:t>
      </w:r>
      <w:r w:rsidR="00C370D4" w:rsidRPr="008A0130">
        <w:rPr>
          <w:rFonts w:ascii="Book Antiqua" w:hAnsi="Book Antiqua" w:cs="Garamond"/>
        </w:rPr>
        <w:t xml:space="preserve">More than 70% of cases </w:t>
      </w:r>
      <w:r w:rsidR="00651516" w:rsidRPr="008A0130">
        <w:rPr>
          <w:rFonts w:ascii="Book Antiqua" w:hAnsi="Book Antiqua" w:cs="Garamond"/>
        </w:rPr>
        <w:t xml:space="preserve">in 2012 </w:t>
      </w:r>
      <w:r w:rsidR="0048631F" w:rsidRPr="008A0130">
        <w:rPr>
          <w:rFonts w:ascii="Book Antiqua" w:hAnsi="Book Antiqua" w:cs="Garamond"/>
        </w:rPr>
        <w:t>(677</w:t>
      </w:r>
      <w:r w:rsidR="00C370D4" w:rsidRPr="008A0130">
        <w:rPr>
          <w:rFonts w:ascii="Book Antiqua" w:hAnsi="Book Antiqua" w:cs="Garamond"/>
        </w:rPr>
        <w:t>000 cases</w:t>
      </w:r>
      <w:r w:rsidR="00651516" w:rsidRPr="008A0130">
        <w:rPr>
          <w:rFonts w:ascii="Book Antiqua" w:hAnsi="Book Antiqua" w:cs="Garamond"/>
        </w:rPr>
        <w:t>) occur in developing countries,</w:t>
      </w:r>
      <w:r w:rsidR="00C370D4" w:rsidRPr="008A0130">
        <w:rPr>
          <w:rFonts w:ascii="Book Antiqua" w:hAnsi="Book Antiqua" w:cs="Garamond"/>
        </w:rPr>
        <w:t xml:space="preserve"> and half</w:t>
      </w:r>
      <w:r w:rsidRPr="008A0130">
        <w:rPr>
          <w:rFonts w:ascii="Book Antiqua" w:hAnsi="Book Antiqua" w:cs="Garamond"/>
        </w:rPr>
        <w:t xml:space="preserve"> of</w:t>
      </w:r>
      <w:r w:rsidR="00C370D4" w:rsidRPr="008A0130">
        <w:rPr>
          <w:rFonts w:ascii="Book Antiqua" w:hAnsi="Book Antiqua" w:cs="Garamond"/>
        </w:rPr>
        <w:t xml:space="preserve"> </w:t>
      </w:r>
      <w:r w:rsidR="00A861F6" w:rsidRPr="008A0130">
        <w:rPr>
          <w:rFonts w:ascii="Book Antiqua" w:hAnsi="Book Antiqua" w:cs="Garamond"/>
        </w:rPr>
        <w:t>worldwide cases occur</w:t>
      </w:r>
      <w:r w:rsidR="00C370D4" w:rsidRPr="008A0130">
        <w:rPr>
          <w:rFonts w:ascii="Book Antiqua" w:hAnsi="Book Antiqua" w:cs="Garamond"/>
        </w:rPr>
        <w:t xml:space="preserve"> in Eastern Asia (mainly in China)</w:t>
      </w:r>
      <w:r w:rsidR="00A86EE4" w:rsidRPr="008A0130">
        <w:rPr>
          <w:rFonts w:ascii="Book Antiqua" w:eastAsia="Times New Roman" w:hAnsi="Book Antiqua" w:cs="Times New Roman"/>
          <w:vertAlign w:val="superscript"/>
        </w:rPr>
        <w:t>[3]</w:t>
      </w:r>
      <w:r w:rsidR="00C370D4" w:rsidRPr="008A0130">
        <w:rPr>
          <w:rFonts w:ascii="Book Antiqua" w:hAnsi="Book Antiqua" w:cs="Garamond"/>
        </w:rPr>
        <w:t>.</w:t>
      </w:r>
      <w:r w:rsidR="00651516" w:rsidRPr="008A0130">
        <w:rPr>
          <w:rFonts w:ascii="Book Antiqua" w:hAnsi="Book Antiqua" w:cs="Garamond"/>
        </w:rPr>
        <w:t xml:space="preserve"> The highest estimated mortality rates </w:t>
      </w:r>
      <w:r w:rsidR="0048631F" w:rsidRPr="008A0130">
        <w:rPr>
          <w:rFonts w:ascii="Book Antiqua" w:hAnsi="Book Antiqua" w:cs="Garamond"/>
        </w:rPr>
        <w:t>are in Eastern Asia (24 per 100000 in men, 9.8 per 100</w:t>
      </w:r>
      <w:r w:rsidR="00651516" w:rsidRPr="008A0130">
        <w:rPr>
          <w:rFonts w:ascii="Book Antiqua" w:hAnsi="Book Antiqua" w:cs="Garamond"/>
        </w:rPr>
        <w:t>000 in women), the lowest in Northern America (2.8 and 1.5, respectively)</w:t>
      </w:r>
      <w:r w:rsidR="00A86EE4" w:rsidRPr="008A0130">
        <w:rPr>
          <w:rFonts w:ascii="Book Antiqua" w:eastAsia="Times New Roman" w:hAnsi="Book Antiqua" w:cs="Times New Roman"/>
          <w:vertAlign w:val="superscript"/>
        </w:rPr>
        <w:t>[3]</w:t>
      </w:r>
      <w:r w:rsidR="00651516" w:rsidRPr="008A0130">
        <w:rPr>
          <w:rFonts w:ascii="Book Antiqua" w:hAnsi="Book Antiqua" w:cs="Garamond"/>
        </w:rPr>
        <w:t xml:space="preserve">. Latin American countries and nations from Central and Eastern Europe display some of the highest mortality rates in both sexes </w:t>
      </w:r>
      <w:proofErr w:type="gramStart"/>
      <w:r w:rsidR="00651516" w:rsidRPr="008A0130">
        <w:rPr>
          <w:rFonts w:ascii="Book Antiqua" w:hAnsi="Book Antiqua" w:cs="Garamond"/>
        </w:rPr>
        <w:t>worldwide</w:t>
      </w:r>
      <w:r w:rsidR="00A86EE4" w:rsidRPr="008A0130">
        <w:rPr>
          <w:rFonts w:ascii="Book Antiqua" w:eastAsia="Times New Roman" w:hAnsi="Book Antiqua" w:cs="Times New Roman"/>
          <w:vertAlign w:val="superscript"/>
        </w:rPr>
        <w:t>[</w:t>
      </w:r>
      <w:proofErr w:type="gramEnd"/>
      <w:r w:rsidR="00A86EE4" w:rsidRPr="008A0130">
        <w:rPr>
          <w:rFonts w:ascii="Book Antiqua" w:eastAsia="Times New Roman" w:hAnsi="Book Antiqua" w:cs="Times New Roman"/>
          <w:vertAlign w:val="superscript"/>
        </w:rPr>
        <w:t>3]</w:t>
      </w:r>
      <w:r w:rsidR="00651516" w:rsidRPr="008A0130">
        <w:rPr>
          <w:rFonts w:ascii="Book Antiqua" w:hAnsi="Book Antiqua" w:cs="Garamond"/>
        </w:rPr>
        <w:t>.</w:t>
      </w:r>
    </w:p>
    <w:p w14:paraId="5777E824" w14:textId="051F9848" w:rsidR="003108CD" w:rsidRPr="008A0130" w:rsidRDefault="001070B2"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 xml:space="preserve">Diagnosis is usually made after the </w:t>
      </w:r>
      <w:r w:rsidR="00754CE1" w:rsidRPr="008A0130">
        <w:rPr>
          <w:rFonts w:ascii="Book Antiqua" w:eastAsia="Times New Roman" w:hAnsi="Book Antiqua" w:cs="Times New Roman"/>
        </w:rPr>
        <w:t>disease</w:t>
      </w:r>
      <w:r w:rsidRPr="008A0130">
        <w:rPr>
          <w:rFonts w:ascii="Book Antiqua" w:eastAsia="Times New Roman" w:hAnsi="Book Antiqua" w:cs="Times New Roman"/>
        </w:rPr>
        <w:t xml:space="preserve"> reaches an advanced stage because early gastric cancer produces few symptoms.</w:t>
      </w:r>
      <w:r w:rsidR="002B6F07" w:rsidRPr="008A0130">
        <w:rPr>
          <w:rFonts w:ascii="Book Antiqua" w:eastAsia="Times New Roman" w:hAnsi="Book Antiqua" w:cs="Times New Roman"/>
        </w:rPr>
        <w:t xml:space="preserve"> Therefore, most gastric cancer patients are diagnosed </w:t>
      </w:r>
      <w:r w:rsidR="008858EA" w:rsidRPr="008A0130">
        <w:rPr>
          <w:rFonts w:ascii="Book Antiqua" w:eastAsia="Times New Roman" w:hAnsi="Book Antiqua" w:cs="Times New Roman"/>
        </w:rPr>
        <w:t>in advanced-</w:t>
      </w:r>
      <w:r w:rsidR="002B6F07" w:rsidRPr="008A0130">
        <w:rPr>
          <w:rFonts w:ascii="Book Antiqua" w:eastAsia="Times New Roman" w:hAnsi="Book Antiqua" w:cs="Times New Roman"/>
        </w:rPr>
        <w:t>stage disease</w:t>
      </w:r>
      <w:r w:rsidR="00F45782" w:rsidRPr="008A0130">
        <w:rPr>
          <w:rFonts w:ascii="Book Antiqua" w:eastAsia="Times New Roman" w:hAnsi="Book Antiqua" w:cs="Times New Roman"/>
        </w:rPr>
        <w:t xml:space="preserve"> with a poor prognosis. The main treatment option is the gastrectomy combined with chemotherapy and radiation therapy protocols.</w:t>
      </w:r>
      <w:r w:rsidR="00C9280A" w:rsidRPr="008A0130">
        <w:rPr>
          <w:rFonts w:ascii="Book Antiqua" w:eastAsia="Times New Roman" w:hAnsi="Book Antiqua" w:cs="Times New Roman"/>
        </w:rPr>
        <w:t xml:space="preserve"> The </w:t>
      </w:r>
      <w:r w:rsidR="00754CE1" w:rsidRPr="008A0130">
        <w:rPr>
          <w:rFonts w:ascii="Book Antiqua" w:eastAsia="Times New Roman" w:hAnsi="Book Antiqua" w:cs="Times New Roman"/>
        </w:rPr>
        <w:t>poor</w:t>
      </w:r>
      <w:r w:rsidR="00C9280A" w:rsidRPr="008A0130">
        <w:rPr>
          <w:rFonts w:ascii="Book Antiqua" w:eastAsia="Times New Roman" w:hAnsi="Book Antiqua" w:cs="Times New Roman"/>
        </w:rPr>
        <w:t xml:space="preserve"> understanding of </w:t>
      </w:r>
      <w:r w:rsidR="006858C0" w:rsidRPr="008A0130">
        <w:rPr>
          <w:rFonts w:ascii="Book Antiqua" w:eastAsia="Times New Roman" w:hAnsi="Book Antiqua" w:cs="Times New Roman"/>
        </w:rPr>
        <w:t xml:space="preserve">the pathogenic mechanisms of </w:t>
      </w:r>
      <w:r w:rsidR="00754CE1" w:rsidRPr="008A0130">
        <w:rPr>
          <w:rFonts w:ascii="Book Antiqua" w:eastAsia="Times New Roman" w:hAnsi="Book Antiqua" w:cs="Times New Roman"/>
        </w:rPr>
        <w:t>gastric cancer</w:t>
      </w:r>
      <w:r w:rsidR="00C9280A" w:rsidRPr="008A0130">
        <w:rPr>
          <w:rFonts w:ascii="Book Antiqua" w:eastAsia="Times New Roman" w:hAnsi="Book Antiqua" w:cs="Times New Roman"/>
        </w:rPr>
        <w:t xml:space="preserve"> and etiological factors, and the lack of effective treatment are reflected in the late diagnosis and high mortality of this disease.</w:t>
      </w:r>
    </w:p>
    <w:p w14:paraId="577848A0" w14:textId="71140111" w:rsidR="00E130A1" w:rsidRPr="008A0130" w:rsidRDefault="00AC1F58"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 xml:space="preserve">Gastric cancer is a multifactorial disease resulting from the interaction between genetic and environmental factors at the stomach mucosa level. These complex interplays can </w:t>
      </w:r>
      <w:r w:rsidR="00014C68" w:rsidRPr="008A0130">
        <w:rPr>
          <w:rFonts w:ascii="Book Antiqua" w:eastAsia="Times New Roman" w:hAnsi="Book Antiqua" w:cs="Times New Roman"/>
        </w:rPr>
        <w:t>promote</w:t>
      </w:r>
      <w:r w:rsidRPr="008A0130">
        <w:rPr>
          <w:rFonts w:ascii="Book Antiqua" w:eastAsia="Times New Roman" w:hAnsi="Book Antiqua" w:cs="Times New Roman"/>
        </w:rPr>
        <w:t xml:space="preserve"> gastric cancer development as result of the deregulation of a number of potentially cell oncogenic signaling pathways</w:t>
      </w:r>
      <w:r w:rsidR="00014C68" w:rsidRPr="008A0130">
        <w:rPr>
          <w:rFonts w:ascii="Book Antiqua" w:eastAsia="Times New Roman" w:hAnsi="Book Antiqua" w:cs="Times New Roman"/>
        </w:rPr>
        <w:t>,</w:t>
      </w:r>
      <w:r w:rsidR="001B2E8A" w:rsidRPr="008A0130">
        <w:rPr>
          <w:rFonts w:ascii="Book Antiqua" w:eastAsia="Times New Roman" w:hAnsi="Book Antiqua" w:cs="Times New Roman"/>
        </w:rPr>
        <w:t xml:space="preserve"> lead</w:t>
      </w:r>
      <w:r w:rsidR="00014C68" w:rsidRPr="008A0130">
        <w:rPr>
          <w:rFonts w:ascii="Book Antiqua" w:eastAsia="Times New Roman" w:hAnsi="Book Antiqua" w:cs="Times New Roman"/>
        </w:rPr>
        <w:t>ing</w:t>
      </w:r>
      <w:r w:rsidR="001B2E8A" w:rsidRPr="008A0130">
        <w:rPr>
          <w:rFonts w:ascii="Book Antiqua" w:eastAsia="Times New Roman" w:hAnsi="Book Antiqua" w:cs="Times New Roman"/>
        </w:rPr>
        <w:t xml:space="preserve"> to acqu</w:t>
      </w:r>
      <w:r w:rsidR="00014C68" w:rsidRPr="008A0130">
        <w:rPr>
          <w:rFonts w:ascii="Book Antiqua" w:eastAsia="Times New Roman" w:hAnsi="Book Antiqua" w:cs="Times New Roman"/>
        </w:rPr>
        <w:t xml:space="preserve">isition of malignant phenotypes, </w:t>
      </w:r>
      <w:r w:rsidR="001B2E8A" w:rsidRPr="008A0130">
        <w:rPr>
          <w:rFonts w:ascii="Book Antiqua" w:eastAsia="Times New Roman" w:hAnsi="Book Antiqua" w:cs="Times New Roman"/>
        </w:rPr>
        <w:t xml:space="preserve">including increased cell proliferation, evasion of apoptosis and enhanced </w:t>
      </w:r>
      <w:proofErr w:type="gramStart"/>
      <w:r w:rsidR="001B2E8A" w:rsidRPr="008A0130">
        <w:rPr>
          <w:rFonts w:ascii="Book Antiqua" w:eastAsia="Times New Roman" w:hAnsi="Book Antiqua" w:cs="Times New Roman"/>
        </w:rPr>
        <w:t>invasiveness</w:t>
      </w:r>
      <w:r w:rsidR="00A86EE4" w:rsidRPr="008A0130">
        <w:rPr>
          <w:rFonts w:ascii="Book Antiqua" w:eastAsia="Times New Roman" w:hAnsi="Book Antiqua" w:cs="Times New Roman"/>
          <w:vertAlign w:val="superscript"/>
        </w:rPr>
        <w:t>[</w:t>
      </w:r>
      <w:proofErr w:type="gramEnd"/>
      <w:r w:rsidR="00A86EE4" w:rsidRPr="008A0130">
        <w:rPr>
          <w:rFonts w:ascii="Book Antiqua" w:eastAsia="Times New Roman" w:hAnsi="Book Antiqua" w:cs="Times New Roman"/>
          <w:vertAlign w:val="superscript"/>
        </w:rPr>
        <w:t>4</w:t>
      </w:r>
      <w:r w:rsidR="00DB4649" w:rsidRPr="008A0130">
        <w:rPr>
          <w:rFonts w:ascii="Book Antiqua" w:eastAsia="Times New Roman" w:hAnsi="Book Antiqua" w:cs="Times New Roman"/>
          <w:vertAlign w:val="superscript"/>
        </w:rPr>
        <w:t>]</w:t>
      </w:r>
      <w:r w:rsidRPr="008A0130">
        <w:rPr>
          <w:rFonts w:ascii="Book Antiqua" w:eastAsia="Times New Roman" w:hAnsi="Book Antiqua" w:cs="Times New Roman"/>
        </w:rPr>
        <w:t>.</w:t>
      </w:r>
      <w:r w:rsidR="00875CAA" w:rsidRPr="008A0130">
        <w:rPr>
          <w:rFonts w:ascii="Book Antiqua" w:eastAsia="Times New Roman" w:hAnsi="Book Antiqua" w:cs="Times New Roman"/>
        </w:rPr>
        <w:t xml:space="preserve"> </w:t>
      </w:r>
    </w:p>
    <w:p w14:paraId="6A66A8B8" w14:textId="5DDCE037" w:rsidR="003D2445" w:rsidRPr="008A0130" w:rsidRDefault="001855BA" w:rsidP="008A0130">
      <w:pPr>
        <w:widowControl w:val="0"/>
        <w:autoSpaceDE w:val="0"/>
        <w:autoSpaceDN w:val="0"/>
        <w:adjustRightInd w:val="0"/>
        <w:spacing w:line="360" w:lineRule="auto"/>
        <w:ind w:firstLineChars="100" w:firstLine="240"/>
        <w:jc w:val="both"/>
        <w:rPr>
          <w:rFonts w:ascii="Book Antiqua" w:hAnsi="Book Antiqua" w:cs="Garamond"/>
        </w:rPr>
      </w:pPr>
      <w:r w:rsidRPr="008A0130">
        <w:rPr>
          <w:rFonts w:ascii="Book Antiqua" w:eastAsia="Times New Roman" w:hAnsi="Book Antiqua" w:cs="Times New Roman"/>
        </w:rPr>
        <w:t xml:space="preserve">The most common histologic variant of gastric adenocarcinoma is the intestinal type. </w:t>
      </w:r>
      <w:r w:rsidRPr="008A0130">
        <w:rPr>
          <w:rFonts w:ascii="Book Antiqua" w:hAnsi="Book Antiqua" w:cs="Garamond"/>
        </w:rPr>
        <w:t>A</w:t>
      </w:r>
      <w:r w:rsidR="00BF43DD" w:rsidRPr="008A0130">
        <w:rPr>
          <w:rFonts w:ascii="Book Antiqua" w:hAnsi="Book Antiqua" w:cs="Garamond"/>
        </w:rPr>
        <w:t xml:space="preserve"> multistep cascade model for the development of intestinal-type gastric </w:t>
      </w:r>
      <w:r w:rsidRPr="008A0130">
        <w:rPr>
          <w:rFonts w:ascii="Book Antiqua" w:hAnsi="Book Antiqua" w:cs="Garamond"/>
        </w:rPr>
        <w:t>adenocarcinoma</w:t>
      </w:r>
      <w:r w:rsidR="00BF43DD" w:rsidRPr="008A0130">
        <w:rPr>
          <w:rFonts w:ascii="Book Antiqua" w:hAnsi="Book Antiqua" w:cs="Garamond"/>
        </w:rPr>
        <w:t xml:space="preserve"> consists of a progression from chronic superficial (non atrophic) gastritis, to chronic atrophic gastritis to intestinal metaplasia, </w:t>
      </w:r>
      <w:r w:rsidRPr="008A0130">
        <w:rPr>
          <w:rFonts w:ascii="Book Antiqua" w:eastAsia="Times New Roman" w:hAnsi="Book Antiqua" w:cs="Times New Roman"/>
        </w:rPr>
        <w:t xml:space="preserve">followed by dysplasia </w:t>
      </w:r>
      <w:r w:rsidR="00BF43DD" w:rsidRPr="008A0130">
        <w:rPr>
          <w:rFonts w:ascii="Book Antiqua" w:hAnsi="Book Antiqua" w:cs="Garamond"/>
        </w:rPr>
        <w:t xml:space="preserve">and finally, gastric </w:t>
      </w:r>
      <w:proofErr w:type="gramStart"/>
      <w:r w:rsidR="00BF43DD" w:rsidRPr="008A0130">
        <w:rPr>
          <w:rFonts w:ascii="Book Antiqua" w:hAnsi="Book Antiqua" w:cs="Garamond"/>
        </w:rPr>
        <w:t>adenocarcinoma</w:t>
      </w:r>
      <w:r w:rsidR="00A86EE4" w:rsidRPr="008A0130">
        <w:rPr>
          <w:rFonts w:ascii="Book Antiqua" w:eastAsia="Times New Roman" w:hAnsi="Book Antiqua" w:cs="Times New Roman"/>
          <w:vertAlign w:val="superscript"/>
        </w:rPr>
        <w:t>[</w:t>
      </w:r>
      <w:proofErr w:type="gramEnd"/>
      <w:r w:rsidR="00A86EE4" w:rsidRPr="008A0130">
        <w:rPr>
          <w:rFonts w:ascii="Book Antiqua" w:eastAsia="Times New Roman" w:hAnsi="Book Antiqua" w:cs="Times New Roman"/>
          <w:vertAlign w:val="superscript"/>
        </w:rPr>
        <w:t>5]</w:t>
      </w:r>
      <w:r w:rsidR="00BF43DD" w:rsidRPr="008A0130">
        <w:rPr>
          <w:rFonts w:ascii="Book Antiqua" w:hAnsi="Book Antiqua" w:cs="Garamond"/>
        </w:rPr>
        <w:t xml:space="preserve">. This model </w:t>
      </w:r>
      <w:r w:rsidRPr="008A0130">
        <w:rPr>
          <w:rFonts w:ascii="Book Antiqua" w:hAnsi="Book Antiqua" w:cs="Garamond"/>
        </w:rPr>
        <w:t>assumes</w:t>
      </w:r>
      <w:r w:rsidR="00BF43DD" w:rsidRPr="008A0130">
        <w:rPr>
          <w:rFonts w:ascii="Book Antiqua" w:hAnsi="Book Antiqua" w:cs="Garamond"/>
        </w:rPr>
        <w:t xml:space="preserve"> the sequence of precancerous lesions as a dynamic process from an initial superficial inflammation caused by</w:t>
      </w:r>
      <w:r w:rsidR="0048631F" w:rsidRPr="008A0130">
        <w:rPr>
          <w:rFonts w:ascii="Book Antiqua" w:hAnsi="Book Antiqua" w:cs="Times New Roman"/>
          <w:i/>
        </w:rPr>
        <w:t xml:space="preserve"> Helicobacter pylori</w:t>
      </w:r>
      <w:r w:rsidR="00BF43DD" w:rsidRPr="008A0130">
        <w:rPr>
          <w:rFonts w:ascii="Book Antiqua" w:hAnsi="Book Antiqua" w:cs="Garamond"/>
        </w:rPr>
        <w:t xml:space="preserve"> </w:t>
      </w:r>
      <w:r w:rsidR="0048631F" w:rsidRPr="008A0130">
        <w:rPr>
          <w:rFonts w:ascii="Book Antiqua" w:eastAsia="宋体" w:hAnsi="Book Antiqua" w:cs="Garamond" w:hint="eastAsia"/>
          <w:lang w:eastAsia="zh-CN"/>
        </w:rPr>
        <w:t>(</w:t>
      </w:r>
      <w:r w:rsidR="00BF43DD" w:rsidRPr="008A0130">
        <w:rPr>
          <w:rFonts w:ascii="Book Antiqua" w:hAnsi="Book Antiqua" w:cs="Garamond"/>
          <w:i/>
          <w:iCs/>
        </w:rPr>
        <w:t>H. pylori</w:t>
      </w:r>
      <w:r w:rsidR="0048631F" w:rsidRPr="008A0130">
        <w:rPr>
          <w:rFonts w:ascii="Book Antiqua" w:eastAsia="宋体" w:hAnsi="Book Antiqua" w:cs="Garamond" w:hint="eastAsia"/>
          <w:iCs/>
          <w:lang w:eastAsia="zh-CN"/>
        </w:rPr>
        <w:t>)</w:t>
      </w:r>
      <w:r w:rsidR="00BF43DD" w:rsidRPr="008A0130">
        <w:rPr>
          <w:rFonts w:ascii="Book Antiqua" w:hAnsi="Book Antiqua" w:cs="Garamond"/>
          <w:i/>
          <w:iCs/>
        </w:rPr>
        <w:t xml:space="preserve"> </w:t>
      </w:r>
      <w:r w:rsidR="00BF43DD" w:rsidRPr="008A0130">
        <w:rPr>
          <w:rFonts w:ascii="Book Antiqua" w:hAnsi="Book Antiqua" w:cs="Garamond"/>
        </w:rPr>
        <w:t xml:space="preserve">infection to a fully </w:t>
      </w:r>
      <w:r w:rsidR="00BF43DD" w:rsidRPr="008A0130">
        <w:rPr>
          <w:rFonts w:ascii="Book Antiqua" w:hAnsi="Book Antiqua" w:cs="Garamond"/>
        </w:rPr>
        <w:lastRenderedPageBreak/>
        <w:t xml:space="preserve">malignant neoplasm of the stomach. Thus, the chronic infection of the gastric mucosa by the </w:t>
      </w:r>
      <w:r w:rsidR="00BF43DD" w:rsidRPr="008A0130">
        <w:rPr>
          <w:rFonts w:ascii="Book Antiqua" w:hAnsi="Book Antiqua" w:cs="Garamond"/>
          <w:i/>
          <w:iCs/>
        </w:rPr>
        <w:t>H. pylori</w:t>
      </w:r>
      <w:r w:rsidRPr="008A0130">
        <w:rPr>
          <w:rFonts w:ascii="Book Antiqua" w:hAnsi="Book Antiqua" w:cs="Times New Roman"/>
        </w:rPr>
        <w:t xml:space="preserve">, which colonize </w:t>
      </w:r>
      <w:r w:rsidR="0048631F" w:rsidRPr="008A0130">
        <w:rPr>
          <w:rFonts w:ascii="Book Antiqua" w:hAnsi="Book Antiqua" w:cs="Times New Roman"/>
        </w:rPr>
        <w:t>approximately</w:t>
      </w:r>
      <w:r w:rsidR="0048631F" w:rsidRPr="008A0130">
        <w:rPr>
          <w:rFonts w:ascii="Book Antiqua" w:eastAsia="Times New Roman" w:hAnsi="Book Antiqua" w:cs="Times New Roman"/>
        </w:rPr>
        <w:t xml:space="preserve"> </w:t>
      </w:r>
      <w:r w:rsidRPr="008A0130">
        <w:rPr>
          <w:rFonts w:ascii="Book Antiqua" w:eastAsia="Times New Roman" w:hAnsi="Book Antiqua" w:cs="Times New Roman"/>
        </w:rPr>
        <w:t>50% of the human population,</w:t>
      </w:r>
      <w:r w:rsidRPr="008A0130">
        <w:rPr>
          <w:rFonts w:ascii="Book Antiqua" w:hAnsi="Book Antiqua" w:cs="Times New Roman"/>
        </w:rPr>
        <w:t> </w:t>
      </w:r>
      <w:r w:rsidR="00BF43DD" w:rsidRPr="008A0130">
        <w:rPr>
          <w:rFonts w:ascii="Book Antiqua" w:hAnsi="Book Antiqua" w:cs="Garamond"/>
        </w:rPr>
        <w:t xml:space="preserve">is </w:t>
      </w:r>
      <w:r w:rsidR="00DE6DF3" w:rsidRPr="008A0130">
        <w:rPr>
          <w:rFonts w:ascii="Book Antiqua" w:hAnsi="Book Antiqua" w:cs="Garamond"/>
        </w:rPr>
        <w:t xml:space="preserve">considered </w:t>
      </w:r>
      <w:r w:rsidR="00DE6DF3" w:rsidRPr="008A0130">
        <w:rPr>
          <w:rFonts w:ascii="Book Antiqua" w:eastAsia="Times New Roman" w:hAnsi="Book Antiqua" w:cs="Times New Roman"/>
        </w:rPr>
        <w:t xml:space="preserve">the strongest known risk factor for the development of gastric </w:t>
      </w:r>
      <w:proofErr w:type="gramStart"/>
      <w:r w:rsidR="00DE6DF3" w:rsidRPr="008A0130">
        <w:rPr>
          <w:rFonts w:ascii="Book Antiqua" w:eastAsia="Times New Roman" w:hAnsi="Book Antiqua" w:cs="Times New Roman"/>
        </w:rPr>
        <w:t>cancer</w:t>
      </w:r>
      <w:r w:rsidR="00A86EE4" w:rsidRPr="008A0130">
        <w:rPr>
          <w:rFonts w:ascii="Book Antiqua" w:eastAsia="Times New Roman" w:hAnsi="Book Antiqua" w:cs="Times New Roman"/>
          <w:vertAlign w:val="superscript"/>
        </w:rPr>
        <w:t>[</w:t>
      </w:r>
      <w:proofErr w:type="gramEnd"/>
      <w:r w:rsidR="00A86EE4" w:rsidRPr="008A0130">
        <w:rPr>
          <w:rFonts w:ascii="Book Antiqua" w:eastAsia="Times New Roman" w:hAnsi="Book Antiqua" w:cs="Times New Roman"/>
          <w:vertAlign w:val="superscript"/>
        </w:rPr>
        <w:t>6,7</w:t>
      </w:r>
      <w:r w:rsidR="00BF43DD" w:rsidRPr="008A0130">
        <w:rPr>
          <w:rFonts w:ascii="Book Antiqua" w:eastAsia="Times New Roman" w:hAnsi="Book Antiqua" w:cs="Times New Roman"/>
          <w:vertAlign w:val="superscript"/>
        </w:rPr>
        <w:t>]</w:t>
      </w:r>
      <w:r w:rsidR="00BF43DD" w:rsidRPr="008A0130">
        <w:rPr>
          <w:rFonts w:ascii="Book Antiqua" w:eastAsia="Times New Roman" w:hAnsi="Book Antiqua" w:cs="Times New Roman"/>
        </w:rPr>
        <w:t>.</w:t>
      </w:r>
    </w:p>
    <w:p w14:paraId="0D1C74B6" w14:textId="6B06D38F" w:rsidR="00AE031A" w:rsidRPr="008A0130" w:rsidRDefault="00407A2A"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 xml:space="preserve">Ooi </w:t>
      </w:r>
      <w:r w:rsidRPr="008A0130">
        <w:rPr>
          <w:rFonts w:ascii="Book Antiqua" w:eastAsia="Times New Roman" w:hAnsi="Book Antiqua" w:cs="Times New Roman"/>
          <w:i/>
        </w:rPr>
        <w:t>et al</w:t>
      </w:r>
      <w:r w:rsidR="0048631F" w:rsidRPr="008A0130">
        <w:rPr>
          <w:rFonts w:ascii="Book Antiqua" w:eastAsia="Times New Roman" w:hAnsi="Book Antiqua" w:cs="Times New Roman"/>
          <w:vertAlign w:val="superscript"/>
        </w:rPr>
        <w:t>[8]</w:t>
      </w:r>
      <w:r w:rsidRPr="008A0130">
        <w:rPr>
          <w:rFonts w:ascii="Book Antiqua" w:eastAsia="Times New Roman" w:hAnsi="Book Antiqua" w:cs="Times New Roman"/>
        </w:rPr>
        <w:t xml:space="preserve"> identified three </w:t>
      </w:r>
      <w:r w:rsidR="008E55D0" w:rsidRPr="008A0130">
        <w:rPr>
          <w:rFonts w:ascii="Book Antiqua" w:eastAsia="Times New Roman" w:hAnsi="Book Antiqua" w:cs="Times New Roman"/>
        </w:rPr>
        <w:t xml:space="preserve">signaling </w:t>
      </w:r>
      <w:r w:rsidRPr="008A0130">
        <w:rPr>
          <w:rFonts w:ascii="Book Antiqua" w:eastAsia="Times New Roman" w:hAnsi="Book Antiqua" w:cs="Times New Roman"/>
        </w:rPr>
        <w:t>pathways (</w:t>
      </w:r>
      <w:r w:rsidR="00772F56" w:rsidRPr="008A0130">
        <w:rPr>
          <w:rFonts w:ascii="Book Antiqua" w:eastAsia="Times New Roman" w:hAnsi="Book Antiqua" w:cs="Times New Roman"/>
        </w:rPr>
        <w:t>nuclear factor-kB</w:t>
      </w:r>
      <w:r w:rsidR="00F04356" w:rsidRPr="008A0130">
        <w:rPr>
          <w:rFonts w:ascii="Book Antiqua" w:eastAsia="Times New Roman" w:hAnsi="Book Antiqua" w:cs="Times New Roman"/>
        </w:rPr>
        <w:t>, Wnt/</w:t>
      </w:r>
      <w:r w:rsidR="00F04356" w:rsidRPr="008A0130">
        <w:rPr>
          <w:rFonts w:ascii="Book Antiqua" w:eastAsia="Times New Roman" w:hAnsi="Book Antiqua" w:cs="Times New Roman"/>
        </w:rPr>
        <w:sym w:font="Symbol" w:char="F062"/>
      </w:r>
      <w:r w:rsidRPr="008A0130">
        <w:rPr>
          <w:rFonts w:ascii="Book Antiqua" w:eastAsia="Times New Roman" w:hAnsi="Book Antiqua" w:cs="Times New Roman"/>
        </w:rPr>
        <w:t>-catenin, and proliferation/stem cell) that were dere</w:t>
      </w:r>
      <w:r w:rsidR="00292F8E" w:rsidRPr="008A0130">
        <w:rPr>
          <w:rFonts w:ascii="Book Antiqua" w:eastAsia="Times New Roman" w:hAnsi="Book Antiqua" w:cs="Times New Roman"/>
        </w:rPr>
        <w:t>gulated in more than 70% of</w:t>
      </w:r>
      <w:r w:rsidR="00EB2F62" w:rsidRPr="008A0130">
        <w:rPr>
          <w:rFonts w:ascii="Book Antiqua" w:eastAsia="Times New Roman" w:hAnsi="Book Antiqua" w:cs="Times New Roman"/>
        </w:rPr>
        <w:t xml:space="preserve"> the patients diagnosed with gastric cancer, </w:t>
      </w:r>
      <w:r w:rsidR="00754CE1" w:rsidRPr="008A0130">
        <w:rPr>
          <w:rFonts w:ascii="Book Antiqua" w:eastAsia="Times New Roman" w:hAnsi="Book Antiqua" w:cs="Times New Roman"/>
        </w:rPr>
        <w:t>resulting</w:t>
      </w:r>
      <w:r w:rsidR="00EB2F62" w:rsidRPr="008A0130">
        <w:rPr>
          <w:rFonts w:ascii="Book Antiqua" w:eastAsia="Times New Roman" w:hAnsi="Book Antiqua" w:cs="Times New Roman"/>
        </w:rPr>
        <w:t xml:space="preserve"> in increased inflammatory cytokine production, abnormal apoptosis, undesirable epithelial cell proliferation/differentiation, and epithelial cell transformation. </w:t>
      </w:r>
      <w:r w:rsidR="00AB30A7" w:rsidRPr="008A0130">
        <w:rPr>
          <w:rFonts w:ascii="Book Antiqua" w:eastAsia="Times New Roman" w:hAnsi="Book Antiqua" w:cs="Times New Roman"/>
        </w:rPr>
        <w:t>However, a complete knowledge of the relative importance</w:t>
      </w:r>
      <w:r w:rsidR="00D66444" w:rsidRPr="008A0130">
        <w:rPr>
          <w:rFonts w:ascii="Book Antiqua" w:eastAsia="Times New Roman" w:hAnsi="Book Antiqua" w:cs="Times New Roman"/>
        </w:rPr>
        <w:t>, temporal activation and cross</w:t>
      </w:r>
      <w:r w:rsidR="00AB30A7" w:rsidRPr="008A0130">
        <w:rPr>
          <w:rFonts w:ascii="Book Antiqua" w:eastAsia="Times New Roman" w:hAnsi="Book Antiqua" w:cs="Times New Roman"/>
        </w:rPr>
        <w:t>talking between these signaling pathways is not well understood yet. Particularly, activation of the Wnt/</w:t>
      </w:r>
      <w:r w:rsidR="00AB30A7" w:rsidRPr="008A0130">
        <w:rPr>
          <w:rFonts w:ascii="Book Antiqua" w:eastAsia="Times New Roman" w:hAnsi="Book Antiqua" w:cs="Times New Roman"/>
        </w:rPr>
        <w:sym w:font="Symbol" w:char="F062"/>
      </w:r>
      <w:r w:rsidR="00AB30A7" w:rsidRPr="008A0130">
        <w:rPr>
          <w:rFonts w:ascii="Book Antiqua" w:eastAsia="Times New Roman" w:hAnsi="Book Antiqua" w:cs="Times New Roman"/>
        </w:rPr>
        <w:t xml:space="preserve">-catenin signaling is found in about 30% to 50% of gastric cancer tissues and in many kinds of gastric cancer cell </w:t>
      </w:r>
      <w:proofErr w:type="gramStart"/>
      <w:r w:rsidR="00AB30A7" w:rsidRPr="008A0130">
        <w:rPr>
          <w:rFonts w:ascii="Book Antiqua" w:eastAsia="Times New Roman" w:hAnsi="Book Antiqua" w:cs="Times New Roman"/>
        </w:rPr>
        <w:t>lines</w:t>
      </w:r>
      <w:r w:rsidR="00E5342C" w:rsidRPr="008A0130">
        <w:rPr>
          <w:rFonts w:ascii="Book Antiqua" w:eastAsia="Times New Roman" w:hAnsi="Book Antiqua" w:cs="Times New Roman"/>
          <w:vertAlign w:val="superscript"/>
        </w:rPr>
        <w:t>[</w:t>
      </w:r>
      <w:proofErr w:type="gramEnd"/>
      <w:r w:rsidR="00E5342C" w:rsidRPr="008A0130">
        <w:rPr>
          <w:rFonts w:ascii="Book Antiqua" w:eastAsia="Times New Roman" w:hAnsi="Book Antiqua" w:cs="Times New Roman"/>
          <w:vertAlign w:val="superscript"/>
        </w:rPr>
        <w:t>8</w:t>
      </w:r>
      <w:r w:rsidR="003B0ADF" w:rsidRPr="008A0130">
        <w:rPr>
          <w:rFonts w:ascii="Book Antiqua" w:eastAsia="Times New Roman" w:hAnsi="Book Antiqua" w:cs="Times New Roman"/>
          <w:vertAlign w:val="superscript"/>
        </w:rPr>
        <w:t>-</w:t>
      </w:r>
      <w:r w:rsidR="00E5342C" w:rsidRPr="008A0130">
        <w:rPr>
          <w:rFonts w:ascii="Book Antiqua" w:eastAsia="Times New Roman" w:hAnsi="Book Antiqua" w:cs="Times New Roman"/>
          <w:vertAlign w:val="superscript"/>
        </w:rPr>
        <w:t>10</w:t>
      </w:r>
      <w:r w:rsidR="003B0ADF" w:rsidRPr="008A0130">
        <w:rPr>
          <w:rFonts w:ascii="Book Antiqua" w:eastAsia="Times New Roman" w:hAnsi="Book Antiqua" w:cs="Times New Roman"/>
          <w:vertAlign w:val="superscript"/>
        </w:rPr>
        <w:t>]</w:t>
      </w:r>
      <w:r w:rsidR="00AB30A7" w:rsidRPr="008A0130">
        <w:rPr>
          <w:rFonts w:ascii="Book Antiqua" w:eastAsia="Times New Roman" w:hAnsi="Book Antiqua" w:cs="Times New Roman"/>
        </w:rPr>
        <w:t xml:space="preserve">. </w:t>
      </w:r>
      <w:r w:rsidRPr="008A0130">
        <w:rPr>
          <w:rFonts w:ascii="Book Antiqua" w:eastAsia="Times New Roman" w:hAnsi="Book Antiqua" w:cs="Times New Roman"/>
        </w:rPr>
        <w:t>In this review, the involvement of the Wnt/</w:t>
      </w:r>
      <w:r w:rsidR="00F926B4" w:rsidRPr="008A0130">
        <w:rPr>
          <w:rFonts w:ascii="Book Antiqua" w:eastAsia="Times New Roman" w:hAnsi="Book Antiqua" w:cs="Times New Roman"/>
        </w:rPr>
        <w:t>β</w:t>
      </w:r>
      <w:r w:rsidRPr="008A0130">
        <w:rPr>
          <w:rFonts w:ascii="Book Antiqua" w:eastAsia="Times New Roman" w:hAnsi="Book Antiqua" w:cs="Times New Roman"/>
        </w:rPr>
        <w:t>-catenin signaling pathway and its biological significance in gastric c</w:t>
      </w:r>
      <w:r w:rsidR="00C9280A" w:rsidRPr="008A0130">
        <w:rPr>
          <w:rFonts w:ascii="Book Antiqua" w:eastAsia="Times New Roman" w:hAnsi="Book Antiqua" w:cs="Times New Roman"/>
        </w:rPr>
        <w:t>arcinogenesis will be discussed.</w:t>
      </w:r>
    </w:p>
    <w:p w14:paraId="7FEF1227" w14:textId="77777777" w:rsidR="0048631F" w:rsidRPr="008A0130" w:rsidRDefault="0048631F" w:rsidP="008A0130">
      <w:pPr>
        <w:spacing w:line="360" w:lineRule="auto"/>
        <w:jc w:val="both"/>
        <w:rPr>
          <w:rFonts w:ascii="Book Antiqua" w:eastAsia="宋体" w:hAnsi="Book Antiqua" w:cs="Times New Roman"/>
          <w:b/>
          <w:bCs/>
          <w:caps/>
          <w:lang w:eastAsia="zh-CN"/>
        </w:rPr>
      </w:pPr>
    </w:p>
    <w:p w14:paraId="2F2C6098" w14:textId="4EDED3F2" w:rsidR="00D03B0C" w:rsidRPr="008A0130" w:rsidRDefault="00D03B0C" w:rsidP="008A0130">
      <w:pPr>
        <w:spacing w:line="360" w:lineRule="auto"/>
        <w:jc w:val="both"/>
        <w:rPr>
          <w:rFonts w:ascii="Book Antiqua" w:eastAsia="Times New Roman" w:hAnsi="Book Antiqua" w:cs="Times New Roman"/>
          <w:b/>
          <w:bCs/>
          <w:caps/>
        </w:rPr>
      </w:pPr>
      <w:r w:rsidRPr="008A0130">
        <w:rPr>
          <w:rFonts w:ascii="Book Antiqua" w:eastAsia="Times New Roman" w:hAnsi="Book Antiqua" w:cs="Times New Roman"/>
          <w:b/>
          <w:bCs/>
          <w:caps/>
        </w:rPr>
        <w:t>The canonical Wnt pathway</w:t>
      </w:r>
    </w:p>
    <w:p w14:paraId="535AB137" w14:textId="59B54E65" w:rsidR="004358DC" w:rsidRPr="008A0130" w:rsidRDefault="009E7E60" w:rsidP="008A0130">
      <w:pPr>
        <w:spacing w:line="360" w:lineRule="auto"/>
        <w:jc w:val="both"/>
        <w:rPr>
          <w:rFonts w:ascii="Book Antiqua" w:eastAsia="Times New Roman" w:hAnsi="Book Antiqua" w:cs="Times New Roman"/>
        </w:rPr>
      </w:pPr>
      <w:r w:rsidRPr="008A0130">
        <w:rPr>
          <w:rFonts w:ascii="Book Antiqua" w:eastAsia="Times New Roman" w:hAnsi="Book Antiqua" w:cs="Times New Roman"/>
        </w:rPr>
        <w:t>The Wnt signaling pathways, named for its ligands</w:t>
      </w:r>
      <w:r w:rsidR="00DD34DC" w:rsidRPr="008A0130">
        <w:rPr>
          <w:rFonts w:ascii="Book Antiqua" w:eastAsia="Times New Roman" w:hAnsi="Book Antiqua" w:cs="Times New Roman"/>
        </w:rPr>
        <w:t xml:space="preserve"> Drosophila wingless (wg) and the mouse homolog Int</w:t>
      </w:r>
      <w:r w:rsidR="00C46E78" w:rsidRPr="008A0130">
        <w:rPr>
          <w:rFonts w:ascii="Book Antiqua" w:eastAsia="Times New Roman" w:hAnsi="Book Antiqua" w:cs="Times New Roman"/>
        </w:rPr>
        <w:t>-</w:t>
      </w:r>
      <w:r w:rsidR="00DD34DC" w:rsidRPr="008A0130">
        <w:rPr>
          <w:rFonts w:ascii="Book Antiqua" w:eastAsia="Times New Roman" w:hAnsi="Book Antiqua" w:cs="Times New Roman"/>
        </w:rPr>
        <w:t>1 (Wnt</w:t>
      </w:r>
      <w:r w:rsidR="00020CF8" w:rsidRPr="008A0130">
        <w:rPr>
          <w:rFonts w:ascii="Book Antiqua" w:eastAsia="Times New Roman" w:hAnsi="Book Antiqua" w:cs="Times New Roman"/>
        </w:rPr>
        <w:t>-</w:t>
      </w:r>
      <w:r w:rsidR="00DD34DC" w:rsidRPr="008A0130">
        <w:rPr>
          <w:rFonts w:ascii="Book Antiqua" w:eastAsia="Times New Roman" w:hAnsi="Book Antiqua" w:cs="Times New Roman"/>
        </w:rPr>
        <w:t>1)</w:t>
      </w:r>
      <w:r w:rsidR="007C0795" w:rsidRPr="008A0130">
        <w:rPr>
          <w:rFonts w:ascii="Book Antiqua" w:eastAsia="Times New Roman" w:hAnsi="Book Antiqua" w:cs="Times New Roman"/>
          <w:vertAlign w:val="superscript"/>
        </w:rPr>
        <w:t>[11</w:t>
      </w:r>
      <w:r w:rsidR="00CD45E6" w:rsidRPr="008A0130">
        <w:rPr>
          <w:rFonts w:ascii="Book Antiqua" w:eastAsia="Times New Roman" w:hAnsi="Book Antiqua" w:cs="Times New Roman"/>
          <w:vertAlign w:val="superscript"/>
        </w:rPr>
        <w:t>]</w:t>
      </w:r>
      <w:r w:rsidR="00DD34DC" w:rsidRPr="008A0130">
        <w:rPr>
          <w:rFonts w:ascii="Book Antiqua" w:eastAsia="Times New Roman" w:hAnsi="Book Antiqua" w:cs="Times New Roman"/>
        </w:rPr>
        <w:t>,</w:t>
      </w:r>
      <w:r w:rsidRPr="008A0130">
        <w:rPr>
          <w:rFonts w:ascii="Book Antiqua" w:eastAsia="Times New Roman" w:hAnsi="Book Antiqua" w:cs="Times New Roman"/>
        </w:rPr>
        <w:t> are a group of </w:t>
      </w:r>
      <w:hyperlink r:id="rId11" w:tooltip="Signal transduction" w:history="1">
        <w:r w:rsidRPr="008A0130">
          <w:rPr>
            <w:rFonts w:ascii="Book Antiqua" w:eastAsia="Times New Roman" w:hAnsi="Book Antiqua" w:cs="Times New Roman"/>
          </w:rPr>
          <w:t>signal transduction</w:t>
        </w:r>
      </w:hyperlink>
      <w:r w:rsidRPr="008A0130">
        <w:rPr>
          <w:rFonts w:ascii="Book Antiqua" w:eastAsia="Times New Roman" w:hAnsi="Book Antiqua" w:cs="Times New Roman"/>
        </w:rPr>
        <w:t xml:space="preserve"> pathways </w:t>
      </w:r>
      <w:r w:rsidR="00664757" w:rsidRPr="008A0130">
        <w:rPr>
          <w:rFonts w:ascii="Book Antiqua" w:eastAsia="Times New Roman" w:hAnsi="Book Antiqua" w:cs="Times New Roman"/>
        </w:rPr>
        <w:t>which play</w:t>
      </w:r>
      <w:r w:rsidR="004358DC" w:rsidRPr="008A0130">
        <w:rPr>
          <w:rFonts w:ascii="Book Antiqua" w:eastAsia="Times New Roman" w:hAnsi="Book Antiqua" w:cs="Times New Roman"/>
        </w:rPr>
        <w:t xml:space="preserve"> a fundamental role in the </w:t>
      </w:r>
      <w:r w:rsidR="00664757" w:rsidRPr="008A0130">
        <w:rPr>
          <w:rFonts w:ascii="Book Antiqua" w:eastAsia="Times New Roman" w:hAnsi="Book Antiqua" w:cs="Times New Roman"/>
        </w:rPr>
        <w:t>cell fate specification during early embryonic</w:t>
      </w:r>
      <w:r w:rsidR="00D94445" w:rsidRPr="008A0130">
        <w:rPr>
          <w:rFonts w:ascii="Book Antiqua" w:eastAsia="Times New Roman" w:hAnsi="Book Antiqua" w:cs="Times New Roman"/>
        </w:rPr>
        <w:t xml:space="preserve"> </w:t>
      </w:r>
      <w:r w:rsidR="00664757" w:rsidRPr="008A0130">
        <w:rPr>
          <w:rFonts w:ascii="Book Antiqua" w:eastAsia="Times New Roman" w:hAnsi="Book Antiqua" w:cs="Times New Roman"/>
        </w:rPr>
        <w:t>development, proliferation, body axis patterning</w:t>
      </w:r>
      <w:r w:rsidR="004358DC" w:rsidRPr="008A0130">
        <w:rPr>
          <w:rFonts w:ascii="Book Antiqua" w:eastAsia="Times New Roman" w:hAnsi="Book Antiqua" w:cs="Times New Roman"/>
        </w:rPr>
        <w:t xml:space="preserve">, </w:t>
      </w:r>
      <w:r w:rsidR="00C46E78" w:rsidRPr="008A0130">
        <w:rPr>
          <w:rFonts w:ascii="Book Antiqua" w:eastAsia="Times New Roman" w:hAnsi="Book Antiqua" w:cs="Times New Roman"/>
        </w:rPr>
        <w:t>survival,</w:t>
      </w:r>
      <w:r w:rsidR="00664757" w:rsidRPr="008A0130">
        <w:rPr>
          <w:rFonts w:ascii="Book Antiqua" w:eastAsia="Times New Roman" w:hAnsi="Book Antiqua" w:cs="Times New Roman"/>
        </w:rPr>
        <w:t xml:space="preserve"> apoptosis</w:t>
      </w:r>
      <w:r w:rsidR="004358DC" w:rsidRPr="008A0130">
        <w:rPr>
          <w:rFonts w:ascii="Book Antiqua" w:eastAsia="Times New Roman" w:hAnsi="Book Antiqua" w:cs="Times New Roman"/>
        </w:rPr>
        <w:t xml:space="preserve">, </w:t>
      </w:r>
      <w:r w:rsidR="00664757" w:rsidRPr="008A0130">
        <w:rPr>
          <w:rFonts w:ascii="Book Antiqua" w:eastAsia="Times New Roman" w:hAnsi="Book Antiqua" w:cs="Times New Roman"/>
        </w:rPr>
        <w:t>and</w:t>
      </w:r>
      <w:r w:rsidR="004358DC" w:rsidRPr="008A0130">
        <w:rPr>
          <w:rFonts w:ascii="Book Antiqua" w:eastAsia="Times New Roman" w:hAnsi="Book Antiqua" w:cs="Times New Roman"/>
        </w:rPr>
        <w:t xml:space="preserve"> in tissue homeostasis in adults</w:t>
      </w:r>
      <w:r w:rsidR="007C0795" w:rsidRPr="008A0130">
        <w:rPr>
          <w:rFonts w:ascii="Book Antiqua" w:eastAsia="Times New Roman" w:hAnsi="Book Antiqua" w:cs="Times New Roman"/>
          <w:vertAlign w:val="superscript"/>
        </w:rPr>
        <w:t>[12</w:t>
      </w:r>
      <w:r w:rsidR="00CD45E6" w:rsidRPr="008A0130">
        <w:rPr>
          <w:rFonts w:ascii="Book Antiqua" w:eastAsia="Times New Roman" w:hAnsi="Book Antiqua" w:cs="Times New Roman"/>
          <w:vertAlign w:val="superscript"/>
        </w:rPr>
        <w:t>]</w:t>
      </w:r>
      <w:r w:rsidR="004358DC" w:rsidRPr="008A0130">
        <w:rPr>
          <w:rFonts w:ascii="Book Antiqua" w:eastAsia="Times New Roman" w:hAnsi="Book Antiqua" w:cs="Times New Roman"/>
        </w:rPr>
        <w:t>.</w:t>
      </w:r>
    </w:p>
    <w:p w14:paraId="6B18DA05" w14:textId="50054E55" w:rsidR="00DF28B5" w:rsidRPr="008A0130" w:rsidRDefault="00C36184"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Wnt signal</w:t>
      </w:r>
      <w:r w:rsidR="001A611E" w:rsidRPr="008A0130">
        <w:rPr>
          <w:rFonts w:ascii="Book Antiqua" w:eastAsia="Times New Roman" w:hAnsi="Book Antiqua" w:cs="Times New Roman"/>
        </w:rPr>
        <w:t>ing pathways c</w:t>
      </w:r>
      <w:r w:rsidRPr="008A0130">
        <w:rPr>
          <w:rFonts w:ascii="Book Antiqua" w:eastAsia="Times New Roman" w:hAnsi="Book Antiqua" w:cs="Times New Roman"/>
        </w:rPr>
        <w:t>an be activated upon binding of</w:t>
      </w:r>
      <w:r w:rsidR="002879C1" w:rsidRPr="008A0130">
        <w:rPr>
          <w:rFonts w:ascii="Book Antiqua" w:eastAsia="Times New Roman" w:hAnsi="Book Antiqua" w:cs="Times New Roman"/>
        </w:rPr>
        <w:t xml:space="preserve"> </w:t>
      </w:r>
      <w:r w:rsidR="00C46E78" w:rsidRPr="008A0130">
        <w:rPr>
          <w:rFonts w:ascii="Book Antiqua" w:eastAsia="Times New Roman" w:hAnsi="Book Antiqua" w:cs="Times New Roman"/>
        </w:rPr>
        <w:t>Wnt ligands</w:t>
      </w:r>
      <w:r w:rsidRPr="008A0130">
        <w:rPr>
          <w:rFonts w:ascii="Book Antiqua" w:eastAsia="Times New Roman" w:hAnsi="Book Antiqua" w:cs="Times New Roman"/>
        </w:rPr>
        <w:t xml:space="preserve"> (19 known members</w:t>
      </w:r>
      <w:r w:rsidR="00C32933" w:rsidRPr="008A0130">
        <w:rPr>
          <w:rFonts w:ascii="Book Antiqua" w:eastAsia="Times New Roman" w:hAnsi="Book Antiqua" w:cs="Times New Roman"/>
        </w:rPr>
        <w:t xml:space="preserve"> in humans</w:t>
      </w:r>
      <w:r w:rsidRPr="008A0130">
        <w:rPr>
          <w:rFonts w:ascii="Book Antiqua" w:eastAsia="Times New Roman" w:hAnsi="Book Antiqua" w:cs="Times New Roman"/>
        </w:rPr>
        <w:t>)</w:t>
      </w:r>
      <w:r w:rsidR="001A611E" w:rsidRPr="008A0130">
        <w:rPr>
          <w:rFonts w:ascii="Book Antiqua" w:eastAsia="Times New Roman" w:hAnsi="Book Antiqua" w:cs="Times New Roman"/>
        </w:rPr>
        <w:t xml:space="preserve"> to their </w:t>
      </w:r>
      <w:r w:rsidR="002879C1" w:rsidRPr="008A0130">
        <w:rPr>
          <w:rFonts w:ascii="Book Antiqua" w:eastAsia="Times New Roman" w:hAnsi="Book Antiqua" w:cs="Times New Roman"/>
        </w:rPr>
        <w:t xml:space="preserve">cell surface </w:t>
      </w:r>
      <w:r w:rsidR="001A611E" w:rsidRPr="008A0130">
        <w:rPr>
          <w:rFonts w:ascii="Book Antiqua" w:eastAsia="Times New Roman" w:hAnsi="Book Antiqua" w:cs="Times New Roman"/>
        </w:rPr>
        <w:t>receptor complex</w:t>
      </w:r>
      <w:r w:rsidR="005C4E2E" w:rsidRPr="008A0130">
        <w:rPr>
          <w:rFonts w:ascii="Book Antiqua" w:eastAsia="Times New Roman" w:hAnsi="Book Antiqua" w:cs="Times New Roman"/>
        </w:rPr>
        <w:t>, which</w:t>
      </w:r>
      <w:r w:rsidR="00BC2B5E" w:rsidRPr="008A0130">
        <w:rPr>
          <w:rFonts w:ascii="Book Antiqua" w:eastAsia="Times New Roman" w:hAnsi="Book Antiqua" w:cs="Times New Roman"/>
        </w:rPr>
        <w:t xml:space="preserve"> </w:t>
      </w:r>
      <w:r w:rsidRPr="008A0130">
        <w:rPr>
          <w:rFonts w:ascii="Book Antiqua" w:eastAsia="Times New Roman" w:hAnsi="Book Antiqua" w:cs="Times New Roman"/>
        </w:rPr>
        <w:t>in</w:t>
      </w:r>
      <w:r w:rsidR="005C4E2E" w:rsidRPr="008A0130">
        <w:rPr>
          <w:rFonts w:ascii="Book Antiqua" w:eastAsia="Times New Roman" w:hAnsi="Book Antiqua" w:cs="Times New Roman"/>
        </w:rPr>
        <w:t>cludes</w:t>
      </w:r>
      <w:r w:rsidRPr="008A0130">
        <w:rPr>
          <w:rFonts w:ascii="Book Antiqua" w:eastAsia="Times New Roman" w:hAnsi="Book Antiqua" w:cs="Times New Roman"/>
        </w:rPr>
        <w:t xml:space="preserve"> </w:t>
      </w:r>
      <w:r w:rsidR="002879C1" w:rsidRPr="008A0130">
        <w:rPr>
          <w:rFonts w:ascii="Book Antiqua" w:eastAsia="Times New Roman" w:hAnsi="Book Antiqua" w:cs="Times New Roman"/>
        </w:rPr>
        <w:t xml:space="preserve">10 </w:t>
      </w:r>
      <w:r w:rsidR="00BC2B5E" w:rsidRPr="008A0130">
        <w:rPr>
          <w:rFonts w:ascii="Book Antiqua" w:eastAsia="Times New Roman" w:hAnsi="Book Antiqua" w:cs="Times New Roman"/>
        </w:rPr>
        <w:t>different members of the Frizzled (Fz) family</w:t>
      </w:r>
      <w:r w:rsidR="00FC6BF0" w:rsidRPr="008A0130">
        <w:rPr>
          <w:rFonts w:ascii="Book Antiqua" w:eastAsia="Times New Roman" w:hAnsi="Book Antiqua" w:cs="Times New Roman"/>
        </w:rPr>
        <w:t xml:space="preserve"> of</w:t>
      </w:r>
      <w:r w:rsidR="00BC2B5E" w:rsidRPr="008A0130">
        <w:rPr>
          <w:rFonts w:ascii="Book Antiqua" w:eastAsia="Times New Roman" w:hAnsi="Book Antiqua" w:cs="Times New Roman"/>
        </w:rPr>
        <w:t xml:space="preserve"> atypical</w:t>
      </w:r>
      <w:r w:rsidR="002879C1" w:rsidRPr="008A0130">
        <w:rPr>
          <w:rFonts w:ascii="Book Antiqua" w:eastAsia="Times New Roman" w:hAnsi="Book Antiqua" w:cs="Times New Roman"/>
        </w:rPr>
        <w:t xml:space="preserve"> heptahelical</w:t>
      </w:r>
      <w:r w:rsidR="00BC2B5E" w:rsidRPr="008A0130">
        <w:rPr>
          <w:rFonts w:ascii="Book Antiqua" w:eastAsia="Times New Roman" w:hAnsi="Book Antiqua" w:cs="Times New Roman"/>
        </w:rPr>
        <w:t xml:space="preserve"> G-p</w:t>
      </w:r>
      <w:r w:rsidR="00FC6BF0" w:rsidRPr="008A0130">
        <w:rPr>
          <w:rFonts w:ascii="Book Antiqua" w:eastAsia="Times New Roman" w:hAnsi="Book Antiqua" w:cs="Times New Roman"/>
        </w:rPr>
        <w:t xml:space="preserve">rotein-coupled </w:t>
      </w:r>
      <w:proofErr w:type="gramStart"/>
      <w:r w:rsidR="00FC6BF0" w:rsidRPr="008A0130">
        <w:rPr>
          <w:rFonts w:ascii="Book Antiqua" w:eastAsia="Times New Roman" w:hAnsi="Book Antiqua" w:cs="Times New Roman"/>
        </w:rPr>
        <w:t>receptors</w:t>
      </w:r>
      <w:r w:rsidR="007C0795" w:rsidRPr="008A0130">
        <w:rPr>
          <w:rFonts w:ascii="Book Antiqua" w:eastAsia="Times New Roman" w:hAnsi="Book Antiqua" w:cs="Times New Roman"/>
          <w:vertAlign w:val="superscript"/>
        </w:rPr>
        <w:t>[</w:t>
      </w:r>
      <w:proofErr w:type="gramEnd"/>
      <w:r w:rsidR="007C0795" w:rsidRPr="008A0130">
        <w:rPr>
          <w:rFonts w:ascii="Book Antiqua" w:eastAsia="Times New Roman" w:hAnsi="Book Antiqua" w:cs="Times New Roman"/>
          <w:vertAlign w:val="superscript"/>
        </w:rPr>
        <w:t>13-15</w:t>
      </w:r>
      <w:r w:rsidR="00CD45E6" w:rsidRPr="008A0130">
        <w:rPr>
          <w:rFonts w:ascii="Book Antiqua" w:eastAsia="Times New Roman" w:hAnsi="Book Antiqua" w:cs="Times New Roman"/>
          <w:vertAlign w:val="superscript"/>
        </w:rPr>
        <w:t>]</w:t>
      </w:r>
      <w:r w:rsidR="00710C43" w:rsidRPr="008A0130">
        <w:rPr>
          <w:rFonts w:ascii="Book Antiqua" w:eastAsia="Times New Roman" w:hAnsi="Book Antiqua" w:cs="Times New Roman"/>
        </w:rPr>
        <w:t>.</w:t>
      </w:r>
      <w:r w:rsidR="00E37A8D" w:rsidRPr="008A0130">
        <w:rPr>
          <w:rFonts w:ascii="Book Antiqua" w:eastAsia="Times New Roman" w:hAnsi="Book Antiqua" w:cs="Times New Roman"/>
        </w:rPr>
        <w:t xml:space="preserve"> </w:t>
      </w:r>
      <w:r w:rsidR="002A126E" w:rsidRPr="008A0130">
        <w:rPr>
          <w:rFonts w:ascii="Book Antiqua" w:eastAsia="Times New Roman" w:hAnsi="Book Antiqua" w:cs="Times New Roman"/>
        </w:rPr>
        <w:t>Moreover,</w:t>
      </w:r>
      <w:r w:rsidR="004263C1" w:rsidRPr="008A0130">
        <w:rPr>
          <w:rFonts w:ascii="Book Antiqua" w:eastAsia="Times New Roman" w:hAnsi="Book Antiqua" w:cs="Times New Roman"/>
        </w:rPr>
        <w:t xml:space="preserve"> selective recruitment and participation of o</w:t>
      </w:r>
      <w:r w:rsidR="00E37A8D" w:rsidRPr="008A0130">
        <w:rPr>
          <w:rFonts w:ascii="Book Antiqua" w:eastAsia="Times New Roman" w:hAnsi="Book Antiqua" w:cs="Times New Roman"/>
        </w:rPr>
        <w:t>ther single-pass transmembrane proteins</w:t>
      </w:r>
      <w:r w:rsidR="004263C1" w:rsidRPr="008A0130">
        <w:rPr>
          <w:rFonts w:ascii="Book Antiqua" w:eastAsia="Times New Roman" w:hAnsi="Book Antiqua" w:cs="Times New Roman"/>
        </w:rPr>
        <w:t xml:space="preserve"> function as co-receptors influencing</w:t>
      </w:r>
      <w:r w:rsidR="0097546D" w:rsidRPr="008A0130">
        <w:rPr>
          <w:rFonts w:ascii="Book Antiqua" w:eastAsia="Times New Roman" w:hAnsi="Book Antiqua" w:cs="Times New Roman"/>
        </w:rPr>
        <w:t xml:space="preserve"> </w:t>
      </w:r>
      <w:r w:rsidR="004263C1" w:rsidRPr="008A0130">
        <w:rPr>
          <w:rFonts w:ascii="Book Antiqua" w:eastAsia="Times New Roman" w:hAnsi="Book Antiqua" w:cs="Times New Roman"/>
        </w:rPr>
        <w:t xml:space="preserve">the </w:t>
      </w:r>
      <w:r w:rsidR="0097546D" w:rsidRPr="008A0130">
        <w:rPr>
          <w:rFonts w:ascii="Book Antiqua" w:eastAsia="Times New Roman" w:hAnsi="Book Antiqua" w:cs="Times New Roman"/>
        </w:rPr>
        <w:t>Wnt signaling, such as</w:t>
      </w:r>
      <w:r w:rsidR="00E37A8D" w:rsidRPr="008A0130">
        <w:rPr>
          <w:rFonts w:ascii="Book Antiqua" w:eastAsia="Times New Roman" w:hAnsi="Book Antiqua" w:cs="Times New Roman"/>
        </w:rPr>
        <w:t xml:space="preserve"> lipopr</w:t>
      </w:r>
      <w:r w:rsidR="0097546D" w:rsidRPr="008A0130">
        <w:rPr>
          <w:rFonts w:ascii="Book Antiqua" w:eastAsia="Times New Roman" w:hAnsi="Book Antiqua" w:cs="Times New Roman"/>
        </w:rPr>
        <w:t>otein receptor-related protein (LRP</w:t>
      </w:r>
      <w:r w:rsidR="00E37A8D" w:rsidRPr="008A0130">
        <w:rPr>
          <w:rFonts w:ascii="Book Antiqua" w:eastAsia="Times New Roman" w:hAnsi="Book Antiqua" w:cs="Times New Roman"/>
        </w:rPr>
        <w:t>)</w:t>
      </w:r>
      <w:r w:rsidR="0097546D" w:rsidRPr="008A0130">
        <w:rPr>
          <w:rFonts w:ascii="Book Antiqua" w:eastAsia="Times New Roman" w:hAnsi="Book Antiqua" w:cs="Times New Roman"/>
        </w:rPr>
        <w:t>5/6</w:t>
      </w:r>
      <w:r w:rsidR="00E37A8D" w:rsidRPr="008A0130">
        <w:rPr>
          <w:rFonts w:ascii="Book Antiqua" w:eastAsia="Times New Roman" w:hAnsi="Book Antiqua" w:cs="Times New Roman"/>
        </w:rPr>
        <w:t xml:space="preserve">, </w:t>
      </w:r>
      <w:r w:rsidR="0097546D" w:rsidRPr="008A0130">
        <w:rPr>
          <w:rFonts w:ascii="Book Antiqua" w:eastAsia="Times New Roman" w:hAnsi="Book Antiqua" w:cs="Times New Roman"/>
        </w:rPr>
        <w:t xml:space="preserve">receptor-like tyrosine kinase (Ryk) and receptor tyrosine </w:t>
      </w:r>
      <w:r w:rsidR="007A17B8" w:rsidRPr="008A0130">
        <w:rPr>
          <w:rFonts w:ascii="Book Antiqua" w:eastAsia="Times New Roman" w:hAnsi="Book Antiqua" w:cs="Times New Roman"/>
        </w:rPr>
        <w:t>kinase-like orphan receptor (ROR</w:t>
      </w:r>
      <w:r w:rsidR="00E37A8D" w:rsidRPr="008A0130">
        <w:rPr>
          <w:rFonts w:ascii="Book Antiqua" w:eastAsia="Times New Roman" w:hAnsi="Book Antiqua" w:cs="Times New Roman"/>
        </w:rPr>
        <w:t>)</w:t>
      </w:r>
      <w:r w:rsidR="0097546D" w:rsidRPr="008A0130">
        <w:rPr>
          <w:rFonts w:ascii="Book Antiqua" w:eastAsia="Times New Roman" w:hAnsi="Book Antiqua" w:cs="Times New Roman"/>
        </w:rPr>
        <w:t>-1/2</w:t>
      </w:r>
      <w:r w:rsidR="007C0795" w:rsidRPr="008A0130">
        <w:rPr>
          <w:rFonts w:ascii="Book Antiqua" w:eastAsia="Times New Roman" w:hAnsi="Book Antiqua" w:cs="Times New Roman"/>
          <w:vertAlign w:val="superscript"/>
        </w:rPr>
        <w:t>[16-18</w:t>
      </w:r>
      <w:r w:rsidR="00CD45E6" w:rsidRPr="008A0130">
        <w:rPr>
          <w:rFonts w:ascii="Book Antiqua" w:eastAsia="Times New Roman" w:hAnsi="Book Antiqua" w:cs="Times New Roman"/>
          <w:vertAlign w:val="superscript"/>
        </w:rPr>
        <w:t>]</w:t>
      </w:r>
      <w:r w:rsidR="00076025" w:rsidRPr="008A0130">
        <w:rPr>
          <w:rFonts w:ascii="Book Antiqua" w:eastAsia="Times New Roman" w:hAnsi="Book Antiqua" w:cs="Times New Roman"/>
        </w:rPr>
        <w:t>.</w:t>
      </w:r>
    </w:p>
    <w:p w14:paraId="10B4BB08" w14:textId="2B8B9AA2" w:rsidR="00FA7192" w:rsidRPr="008A0130" w:rsidRDefault="00754CE1"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lastRenderedPageBreak/>
        <w:t>Up t</w:t>
      </w:r>
      <w:r w:rsidR="00076025" w:rsidRPr="008A0130">
        <w:rPr>
          <w:rFonts w:ascii="Book Antiqua" w:eastAsia="Times New Roman" w:hAnsi="Book Antiqua" w:cs="Times New Roman"/>
        </w:rPr>
        <w:t>o date</w:t>
      </w:r>
      <w:r w:rsidR="00C32933" w:rsidRPr="008A0130">
        <w:rPr>
          <w:rFonts w:ascii="Book Antiqua" w:eastAsia="Times New Roman" w:hAnsi="Book Antiqua" w:cs="Times New Roman"/>
        </w:rPr>
        <w:t>,</w:t>
      </w:r>
      <w:r w:rsidR="00076025" w:rsidRPr="008A0130">
        <w:rPr>
          <w:rFonts w:ascii="Book Antiqua" w:eastAsia="Times New Roman" w:hAnsi="Book Antiqua" w:cs="Times New Roman"/>
        </w:rPr>
        <w:t xml:space="preserve"> the three best characterized Wnt signaling pathways are </w:t>
      </w:r>
      <w:r w:rsidR="00FA7192" w:rsidRPr="008A0130">
        <w:rPr>
          <w:rFonts w:ascii="Book Antiqua" w:hAnsi="Book Antiqua" w:cs="Times New Roman"/>
        </w:rPr>
        <w:t xml:space="preserve">the canonical Wnt pathway or </w:t>
      </w:r>
      <w:r w:rsidR="00FA7192" w:rsidRPr="008A0130">
        <w:rPr>
          <w:rFonts w:ascii="Book Antiqua" w:hAnsi="Book Antiqua" w:cs="Times New Roman"/>
        </w:rPr>
        <w:sym w:font="Symbol" w:char="F062"/>
      </w:r>
      <w:r w:rsidR="00FA7192" w:rsidRPr="008A0130">
        <w:rPr>
          <w:rFonts w:ascii="Book Antiqua" w:hAnsi="Book Antiqua" w:cs="Times New Roman"/>
        </w:rPr>
        <w:t xml:space="preserve">-catenin dependent which involves the stabilization of the proto-oncogene </w:t>
      </w:r>
      <w:r w:rsidR="00FA7192" w:rsidRPr="008A0130">
        <w:rPr>
          <w:rFonts w:ascii="Book Antiqua" w:eastAsia="Times New Roman" w:hAnsi="Book Antiqua" w:cs="Times New Roman"/>
        </w:rPr>
        <w:sym w:font="Symbol" w:char="F062"/>
      </w:r>
      <w:r w:rsidR="00FA7192" w:rsidRPr="008A0130">
        <w:rPr>
          <w:rFonts w:ascii="Book Antiqua" w:eastAsia="Times New Roman" w:hAnsi="Book Antiqua" w:cs="Times New Roman"/>
        </w:rPr>
        <w:t>-caten</w:t>
      </w:r>
      <w:r w:rsidR="00362A01" w:rsidRPr="008A0130">
        <w:rPr>
          <w:rFonts w:ascii="Book Antiqua" w:eastAsia="Times New Roman" w:hAnsi="Book Antiqua" w:cs="Times New Roman"/>
        </w:rPr>
        <w:t>in (armadillo in Drosophila)</w:t>
      </w:r>
      <w:r w:rsidR="00FA7192" w:rsidRPr="008A0130">
        <w:rPr>
          <w:rFonts w:ascii="Book Antiqua" w:eastAsia="Times New Roman" w:hAnsi="Book Antiqua" w:cs="Times New Roman"/>
        </w:rPr>
        <w:t xml:space="preserve">, </w:t>
      </w:r>
      <w:r w:rsidR="00076025" w:rsidRPr="008A0130">
        <w:rPr>
          <w:rFonts w:ascii="Book Antiqua" w:eastAsia="Times New Roman" w:hAnsi="Book Antiqua" w:cs="Times New Roman"/>
        </w:rPr>
        <w:t>the planar cell polarity (PCP) pathway, involved in ciliogene</w:t>
      </w:r>
      <w:r w:rsidR="00825817" w:rsidRPr="008A0130">
        <w:rPr>
          <w:rFonts w:ascii="Book Antiqua" w:eastAsia="Times New Roman" w:hAnsi="Book Antiqua" w:cs="Times New Roman"/>
        </w:rPr>
        <w:t>si</w:t>
      </w:r>
      <w:r w:rsidR="00076025" w:rsidRPr="008A0130">
        <w:rPr>
          <w:rFonts w:ascii="Book Antiqua" w:eastAsia="Times New Roman" w:hAnsi="Book Antiqua" w:cs="Times New Roman"/>
        </w:rPr>
        <w:t xml:space="preserve">s, </w:t>
      </w:r>
      <w:r w:rsidR="00FA7192" w:rsidRPr="008A0130">
        <w:rPr>
          <w:rFonts w:ascii="Book Antiqua" w:eastAsia="Times New Roman" w:hAnsi="Book Antiqua" w:cs="Times New Roman"/>
        </w:rPr>
        <w:t xml:space="preserve">and </w:t>
      </w:r>
      <w:r w:rsidR="00076025" w:rsidRPr="008A0130">
        <w:rPr>
          <w:rFonts w:ascii="Book Antiqua" w:eastAsia="Times New Roman" w:hAnsi="Book Antiqua" w:cs="Times New Roman"/>
        </w:rPr>
        <w:t>the Wnt/Ca</w:t>
      </w:r>
      <w:r w:rsidR="00076025" w:rsidRPr="008A0130">
        <w:rPr>
          <w:rFonts w:ascii="Book Antiqua" w:eastAsia="Times New Roman" w:hAnsi="Book Antiqua" w:cs="Times New Roman"/>
          <w:vertAlign w:val="superscript"/>
        </w:rPr>
        <w:t>2+</w:t>
      </w:r>
      <w:r w:rsidR="00076025" w:rsidRPr="008A0130">
        <w:rPr>
          <w:rFonts w:ascii="Book Antiqua" w:eastAsia="Times New Roman" w:hAnsi="Book Antiqua" w:cs="Times New Roman"/>
        </w:rPr>
        <w:t xml:space="preserve"> pathway, </w:t>
      </w:r>
      <w:r w:rsidR="00076025" w:rsidRPr="008A0130">
        <w:rPr>
          <w:rFonts w:ascii="Book Antiqua" w:hAnsi="Book Antiqua" w:cs="Times New Roman"/>
        </w:rPr>
        <w:t>which stimulates the intracellular release of Ca</w:t>
      </w:r>
      <w:r w:rsidR="00076025" w:rsidRPr="008A0130">
        <w:rPr>
          <w:rFonts w:ascii="Book Antiqua" w:eastAsia="Times New Roman" w:hAnsi="Book Antiqua" w:cs="Times New Roman"/>
          <w:vertAlign w:val="superscript"/>
        </w:rPr>
        <w:t>2+</w:t>
      </w:r>
      <w:r w:rsidR="00076025" w:rsidRPr="008A0130">
        <w:rPr>
          <w:rFonts w:ascii="Book Antiqua" w:eastAsia="Times New Roman" w:hAnsi="Book Antiqua" w:cs="Times New Roman"/>
        </w:rPr>
        <w:t xml:space="preserve"> </w:t>
      </w:r>
      <w:r w:rsidR="00076025" w:rsidRPr="008A0130">
        <w:rPr>
          <w:rFonts w:ascii="Book Antiqua" w:hAnsi="Book Antiqua" w:cs="Times New Roman"/>
        </w:rPr>
        <w:t>and activates Ca</w:t>
      </w:r>
      <w:r w:rsidR="00076025" w:rsidRPr="008A0130">
        <w:rPr>
          <w:rFonts w:ascii="Book Antiqua" w:hAnsi="Book Antiqua" w:cs="Times New Roman"/>
          <w:vertAlign w:val="superscript"/>
        </w:rPr>
        <w:t>2+</w:t>
      </w:r>
      <w:r w:rsidR="00076025" w:rsidRPr="008A0130">
        <w:rPr>
          <w:rFonts w:ascii="Book Antiqua" w:hAnsi="Book Antiqua" w:cs="Times New Roman"/>
        </w:rPr>
        <w:t>-dependent mediators</w:t>
      </w:r>
      <w:r w:rsidR="00076025" w:rsidRPr="008A0130">
        <w:rPr>
          <w:rFonts w:ascii="Book Antiqua" w:eastAsia="Times New Roman" w:hAnsi="Book Antiqua" w:cs="Times New Roman"/>
        </w:rPr>
        <w:t xml:space="preserve"> involved in the control of cell movement and </w:t>
      </w:r>
      <w:proofErr w:type="gramStart"/>
      <w:r w:rsidR="00D836F4" w:rsidRPr="008A0130">
        <w:rPr>
          <w:rFonts w:ascii="Book Antiqua" w:eastAsia="Times New Roman" w:hAnsi="Book Antiqua" w:cs="Times New Roman"/>
        </w:rPr>
        <w:t>behavior</w:t>
      </w:r>
      <w:r w:rsidR="007C0795" w:rsidRPr="008A0130">
        <w:rPr>
          <w:rFonts w:ascii="Book Antiqua" w:eastAsia="Times New Roman" w:hAnsi="Book Antiqua" w:cs="Times New Roman"/>
          <w:vertAlign w:val="superscript"/>
        </w:rPr>
        <w:t>[</w:t>
      </w:r>
      <w:proofErr w:type="gramEnd"/>
      <w:r w:rsidR="007C0795" w:rsidRPr="008A0130">
        <w:rPr>
          <w:rFonts w:ascii="Book Antiqua" w:eastAsia="Times New Roman" w:hAnsi="Book Antiqua" w:cs="Times New Roman"/>
          <w:vertAlign w:val="superscript"/>
        </w:rPr>
        <w:t>19-21</w:t>
      </w:r>
      <w:r w:rsidR="00CD45E6" w:rsidRPr="008A0130">
        <w:rPr>
          <w:rFonts w:ascii="Book Antiqua" w:eastAsia="Times New Roman" w:hAnsi="Book Antiqua" w:cs="Times New Roman"/>
          <w:vertAlign w:val="superscript"/>
        </w:rPr>
        <w:t>]</w:t>
      </w:r>
      <w:r w:rsidR="00076025" w:rsidRPr="008A0130">
        <w:rPr>
          <w:rFonts w:ascii="Book Antiqua" w:hAnsi="Book Antiqua" w:cs="Times New Roman"/>
        </w:rPr>
        <w:t xml:space="preserve">. </w:t>
      </w:r>
      <w:r w:rsidR="00FA7192" w:rsidRPr="008A0130">
        <w:rPr>
          <w:rFonts w:ascii="Book Antiqua" w:eastAsia="Times New Roman" w:hAnsi="Book Antiqua" w:cs="Times New Roman"/>
        </w:rPr>
        <w:t>These two last pathways are collectively named as “non-canonical”</w:t>
      </w:r>
      <w:r w:rsidR="007A17B8" w:rsidRPr="008A0130">
        <w:rPr>
          <w:rFonts w:ascii="Book Antiqua" w:eastAsia="Times New Roman" w:hAnsi="Book Antiqua" w:cs="Times New Roman"/>
        </w:rPr>
        <w:t xml:space="preserve"> or “</w:t>
      </w:r>
      <w:r w:rsidR="00F926B4" w:rsidRPr="008A0130">
        <w:rPr>
          <w:rFonts w:ascii="Book Antiqua" w:eastAsia="Times New Roman" w:hAnsi="Book Antiqua" w:cs="Times New Roman"/>
        </w:rPr>
        <w:t>β</w:t>
      </w:r>
      <w:r w:rsidR="00FA7192" w:rsidRPr="008A0130">
        <w:rPr>
          <w:rFonts w:ascii="Book Antiqua" w:eastAsia="Times New Roman" w:hAnsi="Book Antiqua" w:cs="Times New Roman"/>
        </w:rPr>
        <w:t>-ca</w:t>
      </w:r>
      <w:r w:rsidR="007A17B8" w:rsidRPr="008A0130">
        <w:rPr>
          <w:rFonts w:ascii="Book Antiqua" w:eastAsia="Times New Roman" w:hAnsi="Book Antiqua" w:cs="Times New Roman"/>
        </w:rPr>
        <w:t xml:space="preserve">tenin-independent” </w:t>
      </w:r>
      <w:r w:rsidRPr="008A0130">
        <w:rPr>
          <w:rFonts w:ascii="Book Antiqua" w:eastAsia="Times New Roman" w:hAnsi="Book Antiqua" w:cs="Times New Roman"/>
        </w:rPr>
        <w:t xml:space="preserve">pathways, </w:t>
      </w:r>
      <w:r w:rsidR="008011B8" w:rsidRPr="008A0130">
        <w:rPr>
          <w:rFonts w:ascii="Book Antiqua" w:eastAsia="Times New Roman" w:hAnsi="Book Antiqua" w:cs="Times New Roman"/>
        </w:rPr>
        <w:t>that</w:t>
      </w:r>
      <w:r w:rsidR="007A17B8" w:rsidRPr="008A0130">
        <w:rPr>
          <w:rFonts w:ascii="Book Antiqua" w:eastAsia="Times New Roman" w:hAnsi="Book Antiqua" w:cs="Times New Roman"/>
        </w:rPr>
        <w:t xml:space="preserve"> also include a steadily increasing number </w:t>
      </w:r>
      <w:r w:rsidR="00563EF7" w:rsidRPr="008A0130">
        <w:rPr>
          <w:rFonts w:ascii="Book Antiqua" w:eastAsia="Times New Roman" w:hAnsi="Book Antiqua" w:cs="Times New Roman"/>
        </w:rPr>
        <w:t>of complex signaling routes</w:t>
      </w:r>
      <w:r w:rsidR="00385F97" w:rsidRPr="008A0130">
        <w:rPr>
          <w:rFonts w:ascii="Book Antiqua" w:eastAsia="Times New Roman" w:hAnsi="Book Antiqua" w:cs="Times New Roman"/>
        </w:rPr>
        <w:t>: Wnt/cAMP, Wnt/Ror, Wnt/Rap,</w:t>
      </w:r>
      <w:r w:rsidR="00563EF7" w:rsidRPr="008A0130">
        <w:rPr>
          <w:rFonts w:ascii="Book Antiqua" w:eastAsia="Times New Roman" w:hAnsi="Book Antiqua" w:cs="Times New Roman"/>
        </w:rPr>
        <w:t xml:space="preserve"> Wnt/Rac and Wnt/Rho</w:t>
      </w:r>
      <w:r w:rsidR="007A17B8" w:rsidRPr="008A0130">
        <w:rPr>
          <w:rFonts w:ascii="Book Antiqua" w:eastAsia="Times New Roman" w:hAnsi="Book Antiqua" w:cs="Times New Roman"/>
        </w:rPr>
        <w:t xml:space="preserve"> </w:t>
      </w:r>
      <w:proofErr w:type="gramStart"/>
      <w:r w:rsidR="007A17B8" w:rsidRPr="008A0130">
        <w:rPr>
          <w:rFonts w:ascii="Book Antiqua" w:eastAsia="Times New Roman" w:hAnsi="Book Antiqua" w:cs="Times New Roman"/>
        </w:rPr>
        <w:t>pathways</w:t>
      </w:r>
      <w:r w:rsidR="007C0795" w:rsidRPr="008A0130">
        <w:rPr>
          <w:rFonts w:ascii="Book Antiqua" w:eastAsia="Times New Roman" w:hAnsi="Book Antiqua" w:cs="Times New Roman"/>
          <w:vertAlign w:val="superscript"/>
        </w:rPr>
        <w:t>[</w:t>
      </w:r>
      <w:proofErr w:type="gramEnd"/>
      <w:r w:rsidR="007C0795" w:rsidRPr="008A0130">
        <w:rPr>
          <w:rFonts w:ascii="Book Antiqua" w:eastAsia="Times New Roman" w:hAnsi="Book Antiqua" w:cs="Times New Roman"/>
          <w:vertAlign w:val="superscript"/>
        </w:rPr>
        <w:t>19,22</w:t>
      </w:r>
      <w:r w:rsidR="00CD45E6" w:rsidRPr="008A0130">
        <w:rPr>
          <w:rFonts w:ascii="Book Antiqua" w:eastAsia="Times New Roman" w:hAnsi="Book Antiqua" w:cs="Times New Roman"/>
          <w:vertAlign w:val="superscript"/>
        </w:rPr>
        <w:t>]</w:t>
      </w:r>
      <w:r w:rsidR="007A17B8" w:rsidRPr="008A0130">
        <w:rPr>
          <w:rFonts w:ascii="Book Antiqua" w:eastAsia="Times New Roman" w:hAnsi="Book Antiqua" w:cs="Times New Roman"/>
        </w:rPr>
        <w:t>.</w:t>
      </w:r>
    </w:p>
    <w:p w14:paraId="54419809" w14:textId="1D6969A7" w:rsidR="002B6FFC" w:rsidRPr="008A0130" w:rsidRDefault="00622E12"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 xml:space="preserve">The </w:t>
      </w:r>
      <w:r w:rsidR="00CA598C" w:rsidRPr="008A0130">
        <w:rPr>
          <w:rFonts w:ascii="Book Antiqua" w:eastAsia="Times New Roman" w:hAnsi="Book Antiqua" w:cs="Times New Roman"/>
        </w:rPr>
        <w:t>Wnt/</w:t>
      </w:r>
      <w:r w:rsidR="00F926B4" w:rsidRPr="008A0130">
        <w:rPr>
          <w:rFonts w:ascii="Book Antiqua" w:eastAsia="Times New Roman" w:hAnsi="Book Antiqua" w:cs="Times New Roman"/>
        </w:rPr>
        <w:t>β</w:t>
      </w:r>
      <w:r w:rsidR="00CA598C" w:rsidRPr="008A0130">
        <w:rPr>
          <w:rFonts w:ascii="Book Antiqua" w:eastAsia="Times New Roman" w:hAnsi="Book Antiqua" w:cs="Times New Roman"/>
        </w:rPr>
        <w:t xml:space="preserve">-catenin </w:t>
      </w:r>
      <w:r w:rsidRPr="008A0130">
        <w:rPr>
          <w:rFonts w:ascii="Book Antiqua" w:eastAsia="Times New Roman" w:hAnsi="Book Antiqua" w:cs="Times New Roman"/>
        </w:rPr>
        <w:t xml:space="preserve">intracellular signaling pathway is highly conserved among </w:t>
      </w:r>
      <w:r w:rsidR="00930D7A" w:rsidRPr="008A0130">
        <w:rPr>
          <w:rFonts w:ascii="Book Antiqua" w:eastAsia="Times New Roman" w:hAnsi="Book Antiqua" w:cs="Times New Roman"/>
        </w:rPr>
        <w:t>metazoan</w:t>
      </w:r>
      <w:r w:rsidRPr="008A0130">
        <w:rPr>
          <w:rFonts w:ascii="Book Antiqua" w:eastAsia="Times New Roman" w:hAnsi="Book Antiqua" w:cs="Times New Roman"/>
        </w:rPr>
        <w:t xml:space="preserve"> </w:t>
      </w:r>
      <w:proofErr w:type="gramStart"/>
      <w:r w:rsidRPr="008A0130">
        <w:rPr>
          <w:rFonts w:ascii="Book Antiqua" w:eastAsia="Times New Roman" w:hAnsi="Book Antiqua" w:cs="Times New Roman"/>
        </w:rPr>
        <w:t>species</w:t>
      </w:r>
      <w:r w:rsidR="007C0795" w:rsidRPr="008A0130">
        <w:rPr>
          <w:rFonts w:ascii="Book Antiqua" w:eastAsia="Times New Roman" w:hAnsi="Book Antiqua" w:cs="Times New Roman"/>
          <w:vertAlign w:val="superscript"/>
        </w:rPr>
        <w:t>[</w:t>
      </w:r>
      <w:proofErr w:type="gramEnd"/>
      <w:r w:rsidR="007C0795" w:rsidRPr="008A0130">
        <w:rPr>
          <w:rFonts w:ascii="Book Antiqua" w:eastAsia="Times New Roman" w:hAnsi="Book Antiqua" w:cs="Times New Roman"/>
          <w:vertAlign w:val="superscript"/>
        </w:rPr>
        <w:t>20,23</w:t>
      </w:r>
      <w:r w:rsidR="00CD45E6" w:rsidRPr="008A0130">
        <w:rPr>
          <w:rFonts w:ascii="Book Antiqua" w:eastAsia="Times New Roman" w:hAnsi="Book Antiqua" w:cs="Times New Roman"/>
          <w:vertAlign w:val="superscript"/>
        </w:rPr>
        <w:t>]</w:t>
      </w:r>
      <w:r w:rsidRPr="008A0130">
        <w:rPr>
          <w:rFonts w:ascii="Book Antiqua" w:eastAsia="Times New Roman" w:hAnsi="Book Antiqua" w:cs="Times New Roman"/>
        </w:rPr>
        <w:t xml:space="preserve">. </w:t>
      </w:r>
      <w:r w:rsidRPr="008A0130">
        <w:rPr>
          <w:rFonts w:ascii="Book Antiqua" w:eastAsia="Times New Roman" w:hAnsi="Book Antiqua" w:cs="Times New Roman"/>
        </w:rPr>
        <w:sym w:font="Symbol" w:char="F062"/>
      </w:r>
      <w:r w:rsidRPr="008A0130">
        <w:rPr>
          <w:rFonts w:ascii="Book Antiqua" w:eastAsia="Times New Roman" w:hAnsi="Book Antiqua" w:cs="Times New Roman"/>
        </w:rPr>
        <w:t>-catenin</w:t>
      </w:r>
      <w:r w:rsidR="00CA598C" w:rsidRPr="008A0130">
        <w:rPr>
          <w:rFonts w:ascii="Book Antiqua" w:eastAsia="Times New Roman" w:hAnsi="Book Antiqua" w:cs="Times New Roman"/>
        </w:rPr>
        <w:t xml:space="preserve"> is a multifunctional protein</w:t>
      </w:r>
      <w:r w:rsidR="00754CE1" w:rsidRPr="008A0130">
        <w:rPr>
          <w:rFonts w:ascii="Book Antiqua" w:eastAsia="Times New Roman" w:hAnsi="Book Antiqua" w:cs="Times New Roman"/>
        </w:rPr>
        <w:t xml:space="preserve"> that</w:t>
      </w:r>
      <w:r w:rsidRPr="008A0130">
        <w:rPr>
          <w:rFonts w:ascii="Book Antiqua" w:eastAsia="Times New Roman" w:hAnsi="Book Antiqua" w:cs="Times New Roman"/>
        </w:rPr>
        <w:t xml:space="preserve"> was found as a </w:t>
      </w:r>
      <w:r w:rsidR="00CA598C" w:rsidRPr="008A0130">
        <w:rPr>
          <w:rFonts w:ascii="Book Antiqua" w:eastAsia="Times New Roman" w:hAnsi="Book Antiqua" w:cs="Times New Roman"/>
        </w:rPr>
        <w:t>E-</w:t>
      </w:r>
      <w:r w:rsidRPr="008A0130">
        <w:rPr>
          <w:rFonts w:ascii="Book Antiqua" w:eastAsia="Times New Roman" w:hAnsi="Book Antiqua" w:cs="Times New Roman"/>
        </w:rPr>
        <w:t>cadherin-binding protein involved in the regulation of cell to cell adhesion</w:t>
      </w:r>
      <w:r w:rsidR="00F50383" w:rsidRPr="008A0130">
        <w:rPr>
          <w:rFonts w:ascii="Book Antiqua" w:eastAsia="Times New Roman" w:hAnsi="Book Antiqua" w:cs="Times New Roman"/>
        </w:rPr>
        <w:t>,</w:t>
      </w:r>
      <w:r w:rsidR="00790FCB" w:rsidRPr="008A0130">
        <w:rPr>
          <w:rFonts w:ascii="Book Antiqua" w:eastAsia="Times New Roman" w:hAnsi="Book Antiqua" w:cs="Times New Roman"/>
        </w:rPr>
        <w:t xml:space="preserve"> </w:t>
      </w:r>
      <w:r w:rsidR="00F50383" w:rsidRPr="008A0130">
        <w:rPr>
          <w:rFonts w:ascii="Book Antiqua" w:eastAsia="Times New Roman" w:hAnsi="Book Antiqua" w:cs="Times New Roman"/>
        </w:rPr>
        <w:t>and as a transcriptional regulator in the Wnt signaling pathway</w:t>
      </w:r>
      <w:r w:rsidR="00CD45E6" w:rsidRPr="008A0130">
        <w:rPr>
          <w:rFonts w:ascii="Book Antiqua" w:eastAsia="Times New Roman" w:hAnsi="Book Antiqua" w:cs="Times New Roman"/>
          <w:vertAlign w:val="superscript"/>
        </w:rPr>
        <w:t>[1</w:t>
      </w:r>
      <w:r w:rsidR="007C0795" w:rsidRPr="008A0130">
        <w:rPr>
          <w:rFonts w:ascii="Book Antiqua" w:eastAsia="Times New Roman" w:hAnsi="Book Antiqua" w:cs="Times New Roman"/>
          <w:vertAlign w:val="superscript"/>
        </w:rPr>
        <w:t>7</w:t>
      </w:r>
      <w:r w:rsidR="00CD45E6" w:rsidRPr="008A0130">
        <w:rPr>
          <w:rFonts w:ascii="Book Antiqua" w:eastAsia="Times New Roman" w:hAnsi="Book Antiqua" w:cs="Times New Roman"/>
          <w:vertAlign w:val="superscript"/>
        </w:rPr>
        <w:t>]</w:t>
      </w:r>
      <w:r w:rsidR="00CD45E6" w:rsidRPr="008A0130">
        <w:rPr>
          <w:rFonts w:ascii="Book Antiqua" w:eastAsia="Times New Roman" w:hAnsi="Book Antiqua" w:cs="Times New Roman"/>
        </w:rPr>
        <w:t>.</w:t>
      </w:r>
      <w:r w:rsidR="00CA2059" w:rsidRPr="008A0130">
        <w:rPr>
          <w:rFonts w:ascii="Book Antiqua" w:eastAsia="Times New Roman" w:hAnsi="Book Antiqua" w:cs="Times New Roman"/>
        </w:rPr>
        <w:t xml:space="preserve"> </w:t>
      </w:r>
      <w:r w:rsidR="002B6FFC" w:rsidRPr="008A0130">
        <w:rPr>
          <w:rFonts w:ascii="Book Antiqua" w:eastAsia="Times New Roman" w:hAnsi="Book Antiqua" w:cs="Times New Roman"/>
        </w:rPr>
        <w:t xml:space="preserve">It </w:t>
      </w:r>
      <w:r w:rsidR="00CA2059" w:rsidRPr="008A0130">
        <w:rPr>
          <w:rFonts w:ascii="Book Antiqua" w:eastAsia="Times New Roman" w:hAnsi="Book Antiqua" w:cs="Times New Roman"/>
        </w:rPr>
        <w:t xml:space="preserve">is </w:t>
      </w:r>
      <w:r w:rsidR="002B6FFC" w:rsidRPr="008A0130">
        <w:rPr>
          <w:rFonts w:ascii="Book Antiqua" w:eastAsia="Times New Roman" w:hAnsi="Book Antiqua" w:cs="Times New Roman"/>
        </w:rPr>
        <w:t>assumed</w:t>
      </w:r>
      <w:r w:rsidR="00CA2059" w:rsidRPr="008A0130">
        <w:rPr>
          <w:rFonts w:ascii="Book Antiqua" w:eastAsia="Times New Roman" w:hAnsi="Book Antiqua" w:cs="Times New Roman"/>
        </w:rPr>
        <w:t xml:space="preserve"> </w:t>
      </w:r>
      <w:r w:rsidR="00825817" w:rsidRPr="008A0130">
        <w:rPr>
          <w:rFonts w:ascii="Book Antiqua" w:eastAsia="Times New Roman" w:hAnsi="Book Antiqua" w:cs="Times New Roman"/>
        </w:rPr>
        <w:t xml:space="preserve">that the disruption of cadherin/catenin complexes </w:t>
      </w:r>
      <w:r w:rsidR="00F50383" w:rsidRPr="008A0130">
        <w:rPr>
          <w:rFonts w:ascii="Book Antiqua" w:eastAsia="Times New Roman" w:hAnsi="Book Antiqua" w:cs="Times New Roman"/>
        </w:rPr>
        <w:t>is involved</w:t>
      </w:r>
      <w:r w:rsidR="00CA2059" w:rsidRPr="008A0130">
        <w:rPr>
          <w:rFonts w:ascii="Book Antiqua" w:eastAsia="Times New Roman" w:hAnsi="Book Antiqua" w:cs="Times New Roman"/>
        </w:rPr>
        <w:t xml:space="preserve"> in the malignant</w:t>
      </w:r>
      <w:r w:rsidR="00D836F4" w:rsidRPr="008A0130">
        <w:rPr>
          <w:rFonts w:ascii="Book Antiqua" w:eastAsia="Times New Roman" w:hAnsi="Book Antiqua" w:cs="Times New Roman"/>
        </w:rPr>
        <w:t xml:space="preserve"> progression of epithelial tumo</w:t>
      </w:r>
      <w:r w:rsidR="00CA2059" w:rsidRPr="008A0130">
        <w:rPr>
          <w:rFonts w:ascii="Book Antiqua" w:eastAsia="Times New Roman" w:hAnsi="Book Antiqua" w:cs="Times New Roman"/>
        </w:rPr>
        <w:t>rs.</w:t>
      </w:r>
      <w:r w:rsidR="002B6FFC" w:rsidRPr="008A0130">
        <w:rPr>
          <w:rFonts w:ascii="Book Antiqua" w:eastAsia="Times New Roman" w:hAnsi="Book Antiqua" w:cs="Times New Roman"/>
        </w:rPr>
        <w:t xml:space="preserve"> </w:t>
      </w:r>
    </w:p>
    <w:p w14:paraId="2979DDA7" w14:textId="308CF4CC" w:rsidR="002B5D3C" w:rsidRPr="008A0130" w:rsidRDefault="00A84293"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 xml:space="preserve">In the absence of Wnt ligands, cytoplasmic </w:t>
      </w:r>
      <w:r w:rsidRPr="008A0130">
        <w:rPr>
          <w:rFonts w:ascii="Book Antiqua" w:eastAsia="Times New Roman" w:hAnsi="Book Antiqua" w:cs="Times New Roman"/>
        </w:rPr>
        <w:sym w:font="Symbol" w:char="F062"/>
      </w:r>
      <w:r w:rsidRPr="008A0130">
        <w:rPr>
          <w:rFonts w:ascii="Book Antiqua" w:eastAsia="Times New Roman" w:hAnsi="Book Antiqua" w:cs="Times New Roman"/>
        </w:rPr>
        <w:t>-catenin is bound by the destruction complex composed of the scaffolding proteins Axin</w:t>
      </w:r>
      <w:r w:rsidR="00D836F4" w:rsidRPr="008A0130">
        <w:rPr>
          <w:rFonts w:ascii="Book Antiqua" w:eastAsia="Times New Roman" w:hAnsi="Book Antiqua" w:cs="Times New Roman"/>
        </w:rPr>
        <w:t>,</w:t>
      </w:r>
      <w:r w:rsidRPr="008A0130">
        <w:rPr>
          <w:rFonts w:ascii="Book Antiqua" w:eastAsia="Times New Roman" w:hAnsi="Book Antiqua" w:cs="Times New Roman"/>
        </w:rPr>
        <w:t xml:space="preserve"> adenomatous polyposis coli (APC), and the serine/threonine kina</w:t>
      </w:r>
      <w:r w:rsidR="00615446" w:rsidRPr="008A0130">
        <w:rPr>
          <w:rFonts w:ascii="Book Antiqua" w:eastAsia="Times New Roman" w:hAnsi="Book Antiqua" w:cs="Times New Roman"/>
        </w:rPr>
        <w:t>ses, Casein kinase 1 alpha (CK1</w:t>
      </w:r>
      <w:r w:rsidR="00615446" w:rsidRPr="008A0130">
        <w:rPr>
          <w:rFonts w:ascii="Book Antiqua" w:eastAsia="Times New Roman" w:hAnsi="Book Antiqua" w:cs="Times New Roman"/>
        </w:rPr>
        <w:sym w:font="Symbol" w:char="F061"/>
      </w:r>
      <w:r w:rsidRPr="008A0130">
        <w:rPr>
          <w:rFonts w:ascii="Book Antiqua" w:eastAsia="Times New Roman" w:hAnsi="Book Antiqua" w:cs="Times New Roman"/>
        </w:rPr>
        <w:t>) and glycogen synthase kinase 3</w:t>
      </w:r>
      <w:r w:rsidR="00615446" w:rsidRPr="008A0130">
        <w:rPr>
          <w:rFonts w:ascii="Book Antiqua" w:eastAsia="Times New Roman" w:hAnsi="Book Antiqua" w:cs="Times New Roman"/>
        </w:rPr>
        <w:sym w:font="Symbol" w:char="F062"/>
      </w:r>
      <w:r w:rsidRPr="008A0130">
        <w:rPr>
          <w:rFonts w:ascii="Book Antiqua" w:eastAsia="Times New Roman" w:hAnsi="Book Antiqua" w:cs="Times New Roman"/>
        </w:rPr>
        <w:t xml:space="preserve"> (GSK3</w:t>
      </w:r>
      <w:r w:rsidRPr="008A0130">
        <w:rPr>
          <w:rFonts w:ascii="Book Antiqua" w:eastAsia="Times New Roman" w:hAnsi="Book Antiqua" w:cs="Times New Roman"/>
        </w:rPr>
        <w:sym w:font="Symbol" w:char="F062"/>
      </w:r>
      <w:r w:rsidRPr="008A0130">
        <w:rPr>
          <w:rFonts w:ascii="Book Antiqua" w:eastAsia="Times New Roman" w:hAnsi="Book Antiqua" w:cs="Times New Roman"/>
        </w:rPr>
        <w:t>)</w:t>
      </w:r>
      <w:r w:rsidR="00CD45E6" w:rsidRPr="008A0130">
        <w:rPr>
          <w:rFonts w:ascii="Book Antiqua" w:eastAsia="Times New Roman" w:hAnsi="Book Antiqua" w:cs="Times New Roman"/>
          <w:vertAlign w:val="superscript"/>
        </w:rPr>
        <w:t>[24]</w:t>
      </w:r>
      <w:r w:rsidRPr="008A0130">
        <w:rPr>
          <w:rFonts w:ascii="Book Antiqua" w:eastAsia="Times New Roman" w:hAnsi="Book Antiqua" w:cs="Times New Roman"/>
        </w:rPr>
        <w:t>.</w:t>
      </w:r>
      <w:r w:rsidR="00CB24D3" w:rsidRPr="008A0130">
        <w:rPr>
          <w:rFonts w:ascii="Book Antiqua" w:eastAsia="Times New Roman" w:hAnsi="Book Antiqua" w:cs="Times New Roman"/>
        </w:rPr>
        <w:t xml:space="preserve"> </w:t>
      </w:r>
      <w:r w:rsidR="00615446" w:rsidRPr="008A0130">
        <w:rPr>
          <w:rFonts w:ascii="Book Antiqua" w:eastAsia="Times New Roman" w:hAnsi="Book Antiqua" w:cs="Times New Roman"/>
        </w:rPr>
        <w:t xml:space="preserve">Phosphorylated </w:t>
      </w:r>
      <w:r w:rsidR="00615446" w:rsidRPr="008A0130">
        <w:rPr>
          <w:rFonts w:ascii="Book Antiqua" w:eastAsia="Times New Roman" w:hAnsi="Book Antiqua" w:cs="Times New Roman"/>
        </w:rPr>
        <w:sym w:font="Symbol" w:char="F062"/>
      </w:r>
      <w:r w:rsidR="00615446" w:rsidRPr="008A0130">
        <w:rPr>
          <w:rFonts w:ascii="Book Antiqua" w:eastAsia="Times New Roman" w:hAnsi="Book Antiqua" w:cs="Times New Roman"/>
        </w:rPr>
        <w:t xml:space="preserve">-catenin is </w:t>
      </w:r>
      <w:r w:rsidR="00CB24D3" w:rsidRPr="008A0130">
        <w:rPr>
          <w:rFonts w:ascii="Book Antiqua" w:eastAsia="Times New Roman" w:hAnsi="Book Antiqua" w:cs="Times New Roman"/>
        </w:rPr>
        <w:t>targeted to proteosomal degradation after recognition</w:t>
      </w:r>
      <w:r w:rsidR="00615446" w:rsidRPr="008A0130">
        <w:rPr>
          <w:rFonts w:ascii="Book Antiqua" w:eastAsia="Times New Roman" w:hAnsi="Book Antiqua" w:cs="Times New Roman"/>
        </w:rPr>
        <w:t xml:space="preserve"> by the E3 ubiquitin ligase </w:t>
      </w:r>
      <w:r w:rsidR="00CB24D3" w:rsidRPr="008A0130">
        <w:rPr>
          <w:rFonts w:ascii="Book Antiqua" w:eastAsia="Times New Roman" w:hAnsi="Book Antiqua" w:cs="Times New Roman"/>
        </w:rPr>
        <w:sym w:font="Symbol" w:char="F062"/>
      </w:r>
      <w:r w:rsidR="00D836F4" w:rsidRPr="008A0130">
        <w:rPr>
          <w:rFonts w:ascii="Book Antiqua" w:eastAsia="Times New Roman" w:hAnsi="Book Antiqua" w:cs="Times New Roman"/>
        </w:rPr>
        <w:t>-TrCP</w:t>
      </w:r>
      <w:r w:rsidR="00CB24D3" w:rsidRPr="008A0130">
        <w:rPr>
          <w:rFonts w:ascii="Book Antiqua" w:eastAsia="Times New Roman" w:hAnsi="Book Antiqua" w:cs="Times New Roman"/>
        </w:rPr>
        <w:t xml:space="preserve"> resulting in low cytosolic levels </w:t>
      </w:r>
      <w:r w:rsidR="00D836F4" w:rsidRPr="008A0130">
        <w:rPr>
          <w:rFonts w:ascii="Book Antiqua" w:eastAsia="Times New Roman" w:hAnsi="Book Antiqua" w:cs="Times New Roman"/>
        </w:rPr>
        <w:t xml:space="preserve">of </w:t>
      </w:r>
      <w:r w:rsidR="00D836F4" w:rsidRPr="008A0130">
        <w:rPr>
          <w:rFonts w:ascii="Book Antiqua" w:eastAsia="Times New Roman" w:hAnsi="Book Antiqua" w:cs="Times New Roman"/>
        </w:rPr>
        <w:sym w:font="Symbol" w:char="F062"/>
      </w:r>
      <w:r w:rsidR="00D836F4" w:rsidRPr="008A0130">
        <w:rPr>
          <w:rFonts w:ascii="Book Antiqua" w:eastAsia="Times New Roman" w:hAnsi="Book Antiqua" w:cs="Times New Roman"/>
        </w:rPr>
        <w:t>-</w:t>
      </w:r>
      <w:proofErr w:type="gramStart"/>
      <w:r w:rsidR="00D836F4" w:rsidRPr="008A0130">
        <w:rPr>
          <w:rFonts w:ascii="Book Antiqua" w:eastAsia="Times New Roman" w:hAnsi="Book Antiqua" w:cs="Times New Roman"/>
        </w:rPr>
        <w:t>catenin</w:t>
      </w:r>
      <w:r w:rsidR="00CD45E6" w:rsidRPr="008A0130">
        <w:rPr>
          <w:rFonts w:ascii="Book Antiqua" w:eastAsia="Times New Roman" w:hAnsi="Book Antiqua" w:cs="Times New Roman"/>
          <w:vertAlign w:val="superscript"/>
        </w:rPr>
        <w:t>[</w:t>
      </w:r>
      <w:proofErr w:type="gramEnd"/>
      <w:r w:rsidR="00CD45E6" w:rsidRPr="008A0130">
        <w:rPr>
          <w:rFonts w:ascii="Book Antiqua" w:eastAsia="Times New Roman" w:hAnsi="Book Antiqua" w:cs="Times New Roman"/>
          <w:vertAlign w:val="superscript"/>
        </w:rPr>
        <w:t>25]</w:t>
      </w:r>
      <w:r w:rsidR="00CB24D3" w:rsidRPr="008A0130">
        <w:rPr>
          <w:rFonts w:ascii="Book Antiqua" w:eastAsia="Times New Roman" w:hAnsi="Book Antiqua" w:cs="Times New Roman"/>
        </w:rPr>
        <w:t>.</w:t>
      </w:r>
      <w:r w:rsidR="004D4FCF" w:rsidRPr="008A0130">
        <w:rPr>
          <w:rFonts w:ascii="Book Antiqua" w:eastAsia="Times New Roman" w:hAnsi="Book Antiqua" w:cs="Times New Roman"/>
        </w:rPr>
        <w:t xml:space="preserve"> As a consequence, </w:t>
      </w:r>
      <w:r w:rsidR="004D4FCF" w:rsidRPr="008A0130">
        <w:rPr>
          <w:rFonts w:ascii="Book Antiqua" w:hAnsi="Book Antiqua" w:cs="Times New Roman"/>
        </w:rPr>
        <w:t>the transcri</w:t>
      </w:r>
      <w:r w:rsidR="00D14449" w:rsidRPr="008A0130">
        <w:rPr>
          <w:rFonts w:ascii="Book Antiqua" w:hAnsi="Book Antiqua" w:cs="Times New Roman"/>
        </w:rPr>
        <w:t>ption factor T-cell factor (TCF</w:t>
      </w:r>
      <w:r w:rsidR="004D4FCF" w:rsidRPr="008A0130">
        <w:rPr>
          <w:rFonts w:ascii="Book Antiqua" w:hAnsi="Book Antiqua" w:cs="Times New Roman"/>
        </w:rPr>
        <w:t>)/lympho</w:t>
      </w:r>
      <w:r w:rsidR="00D14449" w:rsidRPr="008A0130">
        <w:rPr>
          <w:rFonts w:ascii="Book Antiqua" w:hAnsi="Book Antiqua" w:cs="Times New Roman"/>
        </w:rPr>
        <w:t>id enhancer-binding factor (LEF</w:t>
      </w:r>
      <w:r w:rsidR="004D4FCF" w:rsidRPr="008A0130">
        <w:rPr>
          <w:rFonts w:ascii="Book Antiqua" w:hAnsi="Book Antiqua" w:cs="Times New Roman"/>
        </w:rPr>
        <w:t xml:space="preserve">) binds to </w:t>
      </w:r>
      <w:r w:rsidR="00FE4415" w:rsidRPr="008A0130">
        <w:rPr>
          <w:rFonts w:ascii="Book Antiqua" w:hAnsi="Book Antiqua" w:cs="Times New Roman"/>
        </w:rPr>
        <w:t>transcriptional inhibitors of the Groucho family</w:t>
      </w:r>
      <w:r w:rsidR="00C32933" w:rsidRPr="008A0130">
        <w:rPr>
          <w:rFonts w:ascii="Book Antiqua" w:hAnsi="Book Antiqua" w:cs="Times New Roman"/>
        </w:rPr>
        <w:t>, that</w:t>
      </w:r>
      <w:r w:rsidR="004D4FCF" w:rsidRPr="008A0130">
        <w:rPr>
          <w:rFonts w:ascii="Book Antiqua" w:hAnsi="Book Antiqua" w:cs="Times New Roman"/>
        </w:rPr>
        <w:t xml:space="preserve"> rec</w:t>
      </w:r>
      <w:r w:rsidR="00C32933" w:rsidRPr="008A0130">
        <w:rPr>
          <w:rFonts w:ascii="Book Antiqua" w:hAnsi="Book Antiqua" w:cs="Times New Roman"/>
        </w:rPr>
        <w:t>ruit</w:t>
      </w:r>
      <w:r w:rsidR="00FE4415" w:rsidRPr="008A0130">
        <w:rPr>
          <w:rFonts w:ascii="Book Antiqua" w:hAnsi="Book Antiqua" w:cs="Times New Roman"/>
        </w:rPr>
        <w:t xml:space="preserve"> histone deacetylase</w:t>
      </w:r>
      <w:r w:rsidR="004D4FCF" w:rsidRPr="008A0130">
        <w:rPr>
          <w:rFonts w:ascii="Book Antiqua" w:hAnsi="Book Antiqua" w:cs="Times New Roman"/>
        </w:rPr>
        <w:t xml:space="preserve"> to </w:t>
      </w:r>
      <w:r w:rsidR="004D4FCF" w:rsidRPr="008A0130">
        <w:rPr>
          <w:rFonts w:ascii="Book Antiqua" w:eastAsia="Times New Roman" w:hAnsi="Book Antiqua" w:cs="Times New Roman"/>
        </w:rPr>
        <w:t>mediate transcriptional repression</w:t>
      </w:r>
      <w:r w:rsidR="00EB6469" w:rsidRPr="008A0130">
        <w:rPr>
          <w:rFonts w:ascii="Book Antiqua" w:eastAsia="Times New Roman" w:hAnsi="Book Antiqua" w:cs="Times New Roman"/>
        </w:rPr>
        <w:t xml:space="preserve"> through chromatin </w:t>
      </w:r>
      <w:r w:rsidR="00486B7C" w:rsidRPr="008A0130">
        <w:rPr>
          <w:rFonts w:ascii="Book Antiqua" w:eastAsia="Times New Roman" w:hAnsi="Book Antiqua" w:cs="Times New Roman"/>
        </w:rPr>
        <w:t>compaction</w:t>
      </w:r>
      <w:r w:rsidR="00CD45E6" w:rsidRPr="008A0130">
        <w:rPr>
          <w:rFonts w:ascii="Book Antiqua" w:eastAsia="Times New Roman" w:hAnsi="Book Antiqua" w:cs="Times New Roman"/>
          <w:vertAlign w:val="superscript"/>
        </w:rPr>
        <w:t>[26,27]</w:t>
      </w:r>
      <w:r w:rsidR="004D4FCF" w:rsidRPr="008A0130">
        <w:rPr>
          <w:rFonts w:ascii="Book Antiqua" w:hAnsi="Book Antiqua" w:cs="Times New Roman"/>
        </w:rPr>
        <w:t>.</w:t>
      </w:r>
    </w:p>
    <w:p w14:paraId="36A35194" w14:textId="2F38D39A" w:rsidR="00956ED3" w:rsidRPr="008A0130" w:rsidRDefault="00656EAC" w:rsidP="008A0130">
      <w:pPr>
        <w:spacing w:line="360" w:lineRule="auto"/>
        <w:ind w:firstLineChars="100" w:firstLine="240"/>
        <w:jc w:val="both"/>
        <w:rPr>
          <w:rFonts w:ascii="Book Antiqua" w:hAnsi="Book Antiqua" w:cs="Times New Roman"/>
        </w:rPr>
      </w:pPr>
      <w:r w:rsidRPr="008A0130">
        <w:rPr>
          <w:rFonts w:ascii="Book Antiqua" w:eastAsia="Times New Roman" w:hAnsi="Book Antiqua" w:cs="Times New Roman"/>
        </w:rPr>
        <w:t>In contrast, w</w:t>
      </w:r>
      <w:r w:rsidR="002B5D3C" w:rsidRPr="008A0130">
        <w:rPr>
          <w:rFonts w:ascii="Book Antiqua" w:eastAsia="Times New Roman" w:hAnsi="Book Antiqua" w:cs="Times New Roman"/>
        </w:rPr>
        <w:t>hen the secreted Wnt ligands bind to their Fz/LRP receptor complex</w:t>
      </w:r>
      <w:r w:rsidR="00754CE1" w:rsidRPr="008A0130">
        <w:rPr>
          <w:rFonts w:ascii="Book Antiqua" w:eastAsia="Times New Roman" w:hAnsi="Book Antiqua" w:cs="Times New Roman"/>
        </w:rPr>
        <w:t>,</w:t>
      </w:r>
      <w:r w:rsidR="002B5D3C" w:rsidRPr="008A0130">
        <w:rPr>
          <w:rFonts w:ascii="Book Antiqua" w:eastAsia="Times New Roman" w:hAnsi="Book Antiqua" w:cs="Times New Roman"/>
        </w:rPr>
        <w:t xml:space="preserve"> </w:t>
      </w:r>
      <w:r w:rsidRPr="008A0130">
        <w:rPr>
          <w:rFonts w:ascii="Book Antiqua" w:eastAsia="Times New Roman" w:hAnsi="Book Antiqua" w:cs="Times New Roman"/>
        </w:rPr>
        <w:t xml:space="preserve">the dissociation of the destruction complex </w:t>
      </w:r>
      <w:r w:rsidR="00754CE1" w:rsidRPr="008A0130">
        <w:rPr>
          <w:rFonts w:ascii="Book Antiqua" w:eastAsia="Times New Roman" w:hAnsi="Book Antiqua" w:cs="Times New Roman"/>
        </w:rPr>
        <w:t xml:space="preserve">occurs </w:t>
      </w:r>
      <w:r w:rsidRPr="008A0130">
        <w:rPr>
          <w:rFonts w:ascii="Book Antiqua" w:hAnsi="Book Antiqua" w:cs="Times New Roman"/>
        </w:rPr>
        <w:t xml:space="preserve">by recruiting Dishevelled (Dvl) to the cytoplasmic domain of Fz. This association results in </w:t>
      </w:r>
      <w:r w:rsidR="007B6A44" w:rsidRPr="008A0130">
        <w:rPr>
          <w:rFonts w:ascii="Book Antiqua" w:hAnsi="Book Antiqua" w:cs="Times New Roman"/>
        </w:rPr>
        <w:lastRenderedPageBreak/>
        <w:t xml:space="preserve">LRP phosphorylation and the delocalization of cytoplasmic Axin by its recruitment to the receptors. These events prevent phosphorylation and subsequent degradation of </w:t>
      </w:r>
      <w:r w:rsidR="007B6A44" w:rsidRPr="008A0130">
        <w:rPr>
          <w:rFonts w:ascii="Book Antiqua" w:hAnsi="Book Antiqua" w:cs="Times New Roman"/>
        </w:rPr>
        <w:sym w:font="Symbol" w:char="F062"/>
      </w:r>
      <w:r w:rsidR="007B6A44" w:rsidRPr="008A0130">
        <w:rPr>
          <w:rFonts w:ascii="Book Antiqua" w:hAnsi="Book Antiqua" w:cs="Times New Roman"/>
        </w:rPr>
        <w:t>-</w:t>
      </w:r>
      <w:r w:rsidR="00FA7FB8" w:rsidRPr="008A0130">
        <w:rPr>
          <w:rFonts w:ascii="Book Antiqua" w:hAnsi="Book Antiqua" w:cs="Times New Roman"/>
        </w:rPr>
        <w:t>catenin, which accumulates in th</w:t>
      </w:r>
      <w:r w:rsidR="00D836F4" w:rsidRPr="008A0130">
        <w:rPr>
          <w:rFonts w:ascii="Book Antiqua" w:hAnsi="Book Antiqua" w:cs="Times New Roman"/>
        </w:rPr>
        <w:t>e cytoplasma and translocates to</w:t>
      </w:r>
      <w:r w:rsidR="00FA7FB8" w:rsidRPr="008A0130">
        <w:rPr>
          <w:rFonts w:ascii="Book Antiqua" w:hAnsi="Book Antiqua" w:cs="Times New Roman"/>
        </w:rPr>
        <w:t xml:space="preserve"> the nucleus. For its nuclear action, </w:t>
      </w:r>
      <w:r w:rsidR="00FA7FB8" w:rsidRPr="008A0130">
        <w:rPr>
          <w:rFonts w:ascii="Book Antiqua" w:hAnsi="Book Antiqua" w:cs="Times New Roman"/>
        </w:rPr>
        <w:sym w:font="Symbol" w:char="F062"/>
      </w:r>
      <w:r w:rsidR="00FA7FB8" w:rsidRPr="008A0130">
        <w:rPr>
          <w:rFonts w:ascii="Book Antiqua" w:hAnsi="Book Antiqua" w:cs="Times New Roman"/>
        </w:rPr>
        <w:t>-catenin behaves as transcriptional co-regulator by interacting with TCF/LEF complex, displaces Groucho, and activates Wnt target gene expression</w:t>
      </w:r>
      <w:r w:rsidR="005F2272" w:rsidRPr="008A0130">
        <w:rPr>
          <w:rFonts w:ascii="Book Antiqua" w:hAnsi="Book Antiqua" w:cs="Times New Roman"/>
        </w:rPr>
        <w:t xml:space="preserve">, such as </w:t>
      </w:r>
      <w:r w:rsidR="000E4DA2" w:rsidRPr="008A0130">
        <w:rPr>
          <w:rFonts w:ascii="Book Antiqua" w:hAnsi="Book Antiqua" w:cs="Times New Roman"/>
          <w:i/>
        </w:rPr>
        <w:t>CCND1</w:t>
      </w:r>
      <w:r w:rsidR="00BF52CE" w:rsidRPr="008A0130">
        <w:rPr>
          <w:rFonts w:ascii="Book Antiqua" w:hAnsi="Book Antiqua" w:cs="Times New Roman"/>
          <w:i/>
        </w:rPr>
        <w:t xml:space="preserve"> </w:t>
      </w:r>
      <w:r w:rsidR="00BF52CE" w:rsidRPr="008A0130">
        <w:rPr>
          <w:rFonts w:ascii="Book Antiqua" w:hAnsi="Book Antiqua" w:cs="Times New Roman"/>
        </w:rPr>
        <w:t>(encoding cyclin D1 protein)</w:t>
      </w:r>
      <w:r w:rsidR="00563EF7" w:rsidRPr="008A0130">
        <w:rPr>
          <w:rFonts w:ascii="Book Antiqua" w:hAnsi="Book Antiqua" w:cs="Times New Roman"/>
        </w:rPr>
        <w:t xml:space="preserve">, </w:t>
      </w:r>
      <w:r w:rsidR="00D208FC" w:rsidRPr="008A0130">
        <w:rPr>
          <w:rFonts w:ascii="Book Antiqua" w:hAnsi="Book Antiqua" w:cs="Times New Roman"/>
        </w:rPr>
        <w:t>gastrin</w:t>
      </w:r>
      <w:r w:rsidR="005F2272" w:rsidRPr="008A0130">
        <w:rPr>
          <w:rFonts w:ascii="Book Antiqua" w:hAnsi="Book Antiqua" w:cs="Times New Roman"/>
        </w:rPr>
        <w:t xml:space="preserve"> and </w:t>
      </w:r>
      <w:r w:rsidR="005F2272" w:rsidRPr="008A0130">
        <w:rPr>
          <w:rFonts w:ascii="Book Antiqua" w:hAnsi="Book Antiqua" w:cs="Times New Roman"/>
          <w:i/>
        </w:rPr>
        <w:t>c-</w:t>
      </w:r>
      <w:proofErr w:type="gramStart"/>
      <w:r w:rsidR="005F2272" w:rsidRPr="008A0130">
        <w:rPr>
          <w:rFonts w:ascii="Book Antiqua" w:hAnsi="Book Antiqua" w:cs="Times New Roman"/>
          <w:i/>
        </w:rPr>
        <w:t>myc</w:t>
      </w:r>
      <w:r w:rsidR="00CD45E6" w:rsidRPr="008A0130">
        <w:rPr>
          <w:rFonts w:ascii="Book Antiqua" w:hAnsi="Book Antiqua" w:cs="Times New Roman"/>
          <w:vertAlign w:val="superscript"/>
        </w:rPr>
        <w:t>[</w:t>
      </w:r>
      <w:proofErr w:type="gramEnd"/>
      <w:r w:rsidR="00CD45E6" w:rsidRPr="008A0130">
        <w:rPr>
          <w:rFonts w:ascii="Book Antiqua" w:hAnsi="Book Antiqua" w:cs="Times New Roman"/>
          <w:vertAlign w:val="superscript"/>
        </w:rPr>
        <w:t>27,28]</w:t>
      </w:r>
      <w:r w:rsidR="005F2272" w:rsidRPr="008A0130">
        <w:rPr>
          <w:rFonts w:ascii="Book Antiqua" w:hAnsi="Book Antiqua" w:cs="Times New Roman"/>
        </w:rPr>
        <w:t>.</w:t>
      </w:r>
    </w:p>
    <w:p w14:paraId="666548CF" w14:textId="6DDA5749" w:rsidR="00646744" w:rsidRPr="008A0130" w:rsidRDefault="008011B8" w:rsidP="008A0130">
      <w:pPr>
        <w:spacing w:line="360" w:lineRule="auto"/>
        <w:ind w:firstLineChars="100" w:firstLine="240"/>
        <w:jc w:val="both"/>
        <w:rPr>
          <w:rFonts w:ascii="Book Antiqua" w:hAnsi="Book Antiqua" w:cs="Times New Roman"/>
        </w:rPr>
      </w:pPr>
      <w:r w:rsidRPr="008A0130">
        <w:rPr>
          <w:rFonts w:ascii="Book Antiqua" w:hAnsi="Book Antiqua" w:cs="Times New Roman"/>
        </w:rPr>
        <w:t>Even in the presence of Wnt ligand, the Wnt/</w:t>
      </w:r>
      <w:r w:rsidR="00F926B4" w:rsidRPr="008A0130">
        <w:rPr>
          <w:rFonts w:ascii="Book Antiqua" w:hAnsi="Book Antiqua" w:cs="Times New Roman"/>
        </w:rPr>
        <w:t>β</w:t>
      </w:r>
      <w:r w:rsidRPr="008A0130">
        <w:rPr>
          <w:rFonts w:ascii="Book Antiqua" w:hAnsi="Book Antiqua" w:cs="Times New Roman"/>
        </w:rPr>
        <w:t xml:space="preserve">-catenin pathway can be inhibited through the binding of soluble Dickkopf (Dkk1–4) to LRP5/6, or by Wnt-inhibitory factor (WIF-1) and the family of secreted Fzd receptor proteins (sFRP1-5) </w:t>
      </w:r>
      <w:r w:rsidR="00385F97" w:rsidRPr="008A0130">
        <w:rPr>
          <w:rFonts w:ascii="Book Antiqua" w:hAnsi="Book Antiqua" w:cs="Times New Roman"/>
        </w:rPr>
        <w:t>that can interact with Wnt ligands</w:t>
      </w:r>
      <w:r w:rsidRPr="008A0130">
        <w:rPr>
          <w:rFonts w:ascii="Book Antiqua" w:hAnsi="Book Antiqua" w:cs="Times New Roman"/>
        </w:rPr>
        <w:t xml:space="preserve"> preventing them from binding to </w:t>
      </w:r>
      <w:proofErr w:type="gramStart"/>
      <w:r w:rsidRPr="008A0130">
        <w:rPr>
          <w:rFonts w:ascii="Book Antiqua" w:hAnsi="Book Antiqua" w:cs="Times New Roman"/>
        </w:rPr>
        <w:t>receptors</w:t>
      </w:r>
      <w:r w:rsidR="00CD45E6" w:rsidRPr="008A0130">
        <w:rPr>
          <w:rFonts w:ascii="Book Antiqua" w:hAnsi="Book Antiqua" w:cs="Times New Roman"/>
          <w:vertAlign w:val="superscript"/>
        </w:rPr>
        <w:t>[</w:t>
      </w:r>
      <w:proofErr w:type="gramEnd"/>
      <w:r w:rsidR="00CD45E6" w:rsidRPr="008A0130">
        <w:rPr>
          <w:rFonts w:ascii="Book Antiqua" w:hAnsi="Book Antiqua" w:cs="Times New Roman"/>
          <w:vertAlign w:val="superscript"/>
        </w:rPr>
        <w:t>29-31]</w:t>
      </w:r>
      <w:r w:rsidR="00B45FD5" w:rsidRPr="008A0130">
        <w:rPr>
          <w:rFonts w:ascii="Book Antiqua" w:hAnsi="Book Antiqua" w:cs="Times New Roman"/>
        </w:rPr>
        <w:t>.</w:t>
      </w:r>
    </w:p>
    <w:p w14:paraId="25E93CA0" w14:textId="15ECA6E4" w:rsidR="003E42D9" w:rsidRPr="008A0130" w:rsidRDefault="00623673"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 xml:space="preserve">Activity of the canonical Wnt signaling pathway is dependent on controlling the accumulation of </w:t>
      </w:r>
      <w:r w:rsidR="00F926B4" w:rsidRPr="008A0130">
        <w:rPr>
          <w:rFonts w:ascii="Book Antiqua" w:eastAsia="Times New Roman" w:hAnsi="Book Antiqua" w:cs="Times New Roman"/>
        </w:rPr>
        <w:t>β</w:t>
      </w:r>
      <w:r w:rsidRPr="008A0130">
        <w:rPr>
          <w:rFonts w:ascii="Book Antiqua" w:eastAsia="Times New Roman" w:hAnsi="Book Antiqua" w:cs="Times New Roman"/>
        </w:rPr>
        <w:t>-catenin in the cytoplasmic and nuclear compartments (Figure 1)</w:t>
      </w:r>
      <w:r w:rsidRPr="008A0130">
        <w:rPr>
          <w:rFonts w:ascii="Book Antiqua" w:eastAsia="Times New Roman" w:hAnsi="Book Antiqua" w:cs="Times New Roman"/>
          <w:vertAlign w:val="superscript"/>
        </w:rPr>
        <w:t>[</w:t>
      </w:r>
      <w:r w:rsidR="00400E46" w:rsidRPr="008A0130">
        <w:rPr>
          <w:rFonts w:ascii="Book Antiqua" w:eastAsia="Times New Roman" w:hAnsi="Book Antiqua" w:cs="Times New Roman"/>
          <w:vertAlign w:val="superscript"/>
        </w:rPr>
        <w:t>20,32,3</w:t>
      </w:r>
      <w:r w:rsidRPr="008A0130">
        <w:rPr>
          <w:rFonts w:ascii="Book Antiqua" w:eastAsia="Times New Roman" w:hAnsi="Book Antiqua" w:cs="Times New Roman"/>
          <w:vertAlign w:val="superscript"/>
        </w:rPr>
        <w:t>3]</w:t>
      </w:r>
      <w:r w:rsidRPr="008A0130">
        <w:rPr>
          <w:rFonts w:ascii="Book Antiqua" w:eastAsia="Times New Roman" w:hAnsi="Book Antiqua" w:cs="Times New Roman"/>
        </w:rPr>
        <w:t xml:space="preserve">. </w:t>
      </w:r>
      <w:r w:rsidR="00F926B4" w:rsidRPr="008A0130">
        <w:rPr>
          <w:rFonts w:ascii="Book Antiqua" w:hAnsi="Book Antiqua" w:cs="Times New Roman"/>
        </w:rPr>
        <w:t>β</w:t>
      </w:r>
      <w:r w:rsidRPr="008A0130">
        <w:rPr>
          <w:rFonts w:ascii="Book Antiqua" w:hAnsi="Book Antiqua" w:cs="Times"/>
        </w:rPr>
        <w:t xml:space="preserve">-catenin is normally constitutively transcribed and translated. </w:t>
      </w:r>
      <w:r w:rsidR="00040485" w:rsidRPr="008A0130">
        <w:rPr>
          <w:rFonts w:ascii="Book Antiqua" w:hAnsi="Book Antiqua" w:cs="Times"/>
        </w:rPr>
        <w:t xml:space="preserve">It has been suggested that </w:t>
      </w:r>
      <w:r w:rsidR="00F926B4" w:rsidRPr="008A0130">
        <w:rPr>
          <w:rFonts w:ascii="Book Antiqua" w:hAnsi="Book Antiqua" w:cs="Times New Roman"/>
        </w:rPr>
        <w:t>β</w:t>
      </w:r>
      <w:r w:rsidR="00040485" w:rsidRPr="008A0130">
        <w:rPr>
          <w:rFonts w:ascii="Book Antiqua" w:hAnsi="Book Antiqua" w:cs="Times"/>
        </w:rPr>
        <w:t>-catenin is regulated by its cytoplasmic retent</w:t>
      </w:r>
      <w:r w:rsidRPr="008A0130">
        <w:rPr>
          <w:rFonts w:ascii="Book Antiqua" w:hAnsi="Book Antiqua" w:cs="Times"/>
        </w:rPr>
        <w:t xml:space="preserve">ion by </w:t>
      </w:r>
      <w:r w:rsidR="00040485" w:rsidRPr="008A0130">
        <w:rPr>
          <w:rFonts w:ascii="Book Antiqua" w:hAnsi="Book Antiqua" w:cs="Times"/>
        </w:rPr>
        <w:t xml:space="preserve">both cadherins and Axin </w:t>
      </w:r>
      <w:r w:rsidR="00385F97" w:rsidRPr="008A0130">
        <w:rPr>
          <w:rFonts w:ascii="Book Antiqua" w:hAnsi="Book Antiqua" w:cs="Times"/>
        </w:rPr>
        <w:t>that</w:t>
      </w:r>
      <w:r w:rsidR="00040485" w:rsidRPr="008A0130">
        <w:rPr>
          <w:rFonts w:ascii="Book Antiqua" w:hAnsi="Book Antiqua" w:cs="Times"/>
        </w:rPr>
        <w:t xml:space="preserve"> sequester </w:t>
      </w:r>
      <w:r w:rsidR="00F926B4" w:rsidRPr="008A0130">
        <w:rPr>
          <w:rFonts w:ascii="Book Antiqua" w:hAnsi="Book Antiqua" w:cs="Times New Roman"/>
        </w:rPr>
        <w:t>β</w:t>
      </w:r>
      <w:r w:rsidR="00040485" w:rsidRPr="008A0130">
        <w:rPr>
          <w:rFonts w:ascii="Book Antiqua" w:hAnsi="Book Antiqua" w:cs="Times"/>
        </w:rPr>
        <w:t xml:space="preserve">-catenin in the plasma membrane and cytoplasm, </w:t>
      </w:r>
      <w:proofErr w:type="gramStart"/>
      <w:r w:rsidR="00040485" w:rsidRPr="008A0130">
        <w:rPr>
          <w:rFonts w:ascii="Book Antiqua" w:hAnsi="Book Antiqua" w:cs="Times"/>
        </w:rPr>
        <w:t>respectively</w:t>
      </w:r>
      <w:r w:rsidR="00400E46" w:rsidRPr="008A0130">
        <w:rPr>
          <w:rFonts w:ascii="Book Antiqua" w:eastAsia="Times New Roman" w:hAnsi="Book Antiqua" w:cs="Times New Roman"/>
          <w:vertAlign w:val="superscript"/>
        </w:rPr>
        <w:t>[</w:t>
      </w:r>
      <w:proofErr w:type="gramEnd"/>
      <w:r w:rsidR="00400E46" w:rsidRPr="008A0130">
        <w:rPr>
          <w:rFonts w:ascii="Book Antiqua" w:eastAsia="Times New Roman" w:hAnsi="Book Antiqua" w:cs="Times New Roman"/>
          <w:vertAlign w:val="superscript"/>
        </w:rPr>
        <w:t>34]</w:t>
      </w:r>
      <w:r w:rsidR="00040485" w:rsidRPr="008A0130">
        <w:rPr>
          <w:rFonts w:ascii="Book Antiqua" w:hAnsi="Book Antiqua" w:cs="Times"/>
        </w:rPr>
        <w:t xml:space="preserve">. </w:t>
      </w:r>
      <w:r w:rsidRPr="008A0130">
        <w:rPr>
          <w:rFonts w:ascii="Book Antiqua" w:hAnsi="Book Antiqua" w:cs="Times"/>
        </w:rPr>
        <w:t xml:space="preserve">Upon receptor activation a signal-induced block in proteolysis leads to rapid rise in cytosolic </w:t>
      </w:r>
      <w:r w:rsidR="00F926B4" w:rsidRPr="008A0130">
        <w:rPr>
          <w:rFonts w:ascii="Book Antiqua" w:hAnsi="Book Antiqua" w:cs="Times New Roman"/>
        </w:rPr>
        <w:t>β</w:t>
      </w:r>
      <w:r w:rsidRPr="008A0130">
        <w:rPr>
          <w:rFonts w:ascii="Book Antiqua" w:hAnsi="Book Antiqua" w:cs="Times"/>
        </w:rPr>
        <w:t xml:space="preserve">-catenin protein levels </w:t>
      </w:r>
      <w:r w:rsidR="00DC3846" w:rsidRPr="008A0130">
        <w:rPr>
          <w:rFonts w:ascii="Book Antiqua" w:hAnsi="Book Antiqua" w:cs="Times"/>
        </w:rPr>
        <w:t>that subsequently also accumulates in the nucleus</w:t>
      </w:r>
      <w:r w:rsidRPr="008A0130">
        <w:rPr>
          <w:rFonts w:ascii="Book Antiqua" w:hAnsi="Book Antiqua" w:cs="Times"/>
        </w:rPr>
        <w:t xml:space="preserve">. </w:t>
      </w:r>
      <w:r w:rsidR="00040485" w:rsidRPr="008A0130">
        <w:rPr>
          <w:rFonts w:ascii="Book Antiqua" w:hAnsi="Book Antiqua" w:cs="Times"/>
        </w:rPr>
        <w:t xml:space="preserve">Moreover, </w:t>
      </w:r>
      <w:r w:rsidR="00F926B4" w:rsidRPr="008A0130">
        <w:rPr>
          <w:rFonts w:ascii="Book Antiqua" w:hAnsi="Book Antiqua" w:cs="Times New Roman"/>
        </w:rPr>
        <w:t>β</w:t>
      </w:r>
      <w:r w:rsidR="00040485" w:rsidRPr="008A0130">
        <w:rPr>
          <w:rFonts w:ascii="Book Antiqua" w:hAnsi="Book Antiqua" w:cs="Times"/>
        </w:rPr>
        <w:t>-catenin does not contain any recognizable nu</w:t>
      </w:r>
      <w:r w:rsidR="00DC3846" w:rsidRPr="008A0130">
        <w:rPr>
          <w:rFonts w:ascii="Book Antiqua" w:hAnsi="Book Antiqua" w:cs="Times"/>
        </w:rPr>
        <w:t>clear localization signal or export signal</w:t>
      </w:r>
      <w:r w:rsidR="00040485" w:rsidRPr="008A0130">
        <w:rPr>
          <w:rFonts w:ascii="Book Antiqua" w:hAnsi="Book Antiqua" w:cs="Times"/>
        </w:rPr>
        <w:t>, and its nuclear entry is independent of classic import factors.</w:t>
      </w:r>
      <w:r w:rsidRPr="008A0130">
        <w:rPr>
          <w:rFonts w:ascii="Book Antiqua" w:hAnsi="Book Antiqua" w:cs="Times"/>
        </w:rPr>
        <w:t xml:space="preserve"> Finally, it has been proposed that the </w:t>
      </w:r>
      <w:r w:rsidRPr="008A0130">
        <w:rPr>
          <w:rFonts w:ascii="Book Antiqua" w:eastAsia="Times New Roman" w:hAnsi="Book Antiqua" w:cs="Lucida Sans Unicode"/>
          <w:lang w:val="es-ES_tradnl"/>
        </w:rPr>
        <w:t xml:space="preserve">nuclear build-up of </w:t>
      </w:r>
      <w:r w:rsidR="00F926B4" w:rsidRPr="008A0130">
        <w:rPr>
          <w:rFonts w:ascii="Book Antiqua" w:eastAsia="Times New Roman" w:hAnsi="Book Antiqua" w:cs="Times New Roman"/>
          <w:lang w:val="es-ES_tradnl"/>
        </w:rPr>
        <w:t>β</w:t>
      </w:r>
      <w:r w:rsidRPr="008A0130">
        <w:rPr>
          <w:rFonts w:ascii="Book Antiqua" w:eastAsia="Times New Roman" w:hAnsi="Book Antiqua" w:cs="Lucida Sans Unicode"/>
          <w:lang w:val="es-ES_tradnl"/>
        </w:rPr>
        <w:t xml:space="preserve">-catenin results from a combination of anchoring for </w:t>
      </w:r>
      <w:r w:rsidR="00F926B4" w:rsidRPr="008A0130">
        <w:rPr>
          <w:rFonts w:ascii="Book Antiqua" w:hAnsi="Book Antiqua" w:cs="Times New Roman"/>
        </w:rPr>
        <w:t>β</w:t>
      </w:r>
      <w:r w:rsidRPr="008A0130">
        <w:rPr>
          <w:rFonts w:ascii="Book Antiqua" w:hAnsi="Book Antiqua" w:cs="Times"/>
        </w:rPr>
        <w:t xml:space="preserve">-catenin in the nucleus by nuclear proteins (TCF, </w:t>
      </w:r>
      <w:r w:rsidRPr="008A0130">
        <w:rPr>
          <w:rFonts w:ascii="Book Antiqua" w:eastAsia="Times New Roman" w:hAnsi="Book Antiqua" w:cs="Lucida Sans Unicode"/>
        </w:rPr>
        <w:t>LEF-1</w:t>
      </w:r>
      <w:r w:rsidRPr="008A0130">
        <w:rPr>
          <w:rFonts w:ascii="Book Antiqua" w:eastAsia="Times New Roman" w:hAnsi="Book Antiqua" w:cs="Times New Roman"/>
        </w:rPr>
        <w:t xml:space="preserve">, </w:t>
      </w:r>
      <w:r w:rsidRPr="008A0130">
        <w:rPr>
          <w:rFonts w:ascii="Book Antiqua" w:hAnsi="Book Antiqua" w:cs="Times"/>
        </w:rPr>
        <w:t>Pygopus, and BCL9) and the nuclear export</w:t>
      </w:r>
      <w:r w:rsidR="00610BCB" w:rsidRPr="008A0130">
        <w:rPr>
          <w:rFonts w:ascii="Book Antiqua" w:hAnsi="Book Antiqua" w:cs="Times"/>
        </w:rPr>
        <w:t>,</w:t>
      </w:r>
      <w:r w:rsidRPr="008A0130">
        <w:rPr>
          <w:rFonts w:ascii="Book Antiqua" w:hAnsi="Book Antiqua" w:cs="Times"/>
        </w:rPr>
        <w:t xml:space="preserve"> in which Axin, APC, and RanBP3 have been implicated</w:t>
      </w:r>
      <w:r w:rsidR="009A2E57" w:rsidRPr="008A0130">
        <w:rPr>
          <w:rFonts w:ascii="Book Antiqua" w:eastAsia="Times New Roman" w:hAnsi="Book Antiqua" w:cs="Times New Roman"/>
          <w:vertAlign w:val="superscript"/>
        </w:rPr>
        <w:t>[35-41]</w:t>
      </w:r>
      <w:r w:rsidRPr="008A0130">
        <w:rPr>
          <w:rFonts w:ascii="Book Antiqua" w:hAnsi="Book Antiqua" w:cs="Times"/>
        </w:rPr>
        <w:t>.</w:t>
      </w:r>
    </w:p>
    <w:p w14:paraId="7B9BF0BD" w14:textId="77777777" w:rsidR="0048631F" w:rsidRPr="008A0130" w:rsidRDefault="0048631F" w:rsidP="008A0130">
      <w:pPr>
        <w:spacing w:line="360" w:lineRule="auto"/>
        <w:jc w:val="both"/>
        <w:rPr>
          <w:rFonts w:ascii="Book Antiqua" w:eastAsia="宋体" w:hAnsi="Book Antiqua" w:cs="Times New Roman"/>
          <w:b/>
          <w:bCs/>
          <w:caps/>
          <w:lang w:eastAsia="zh-CN"/>
        </w:rPr>
      </w:pPr>
    </w:p>
    <w:p w14:paraId="70DEEB13" w14:textId="0C305554" w:rsidR="005867A6" w:rsidRPr="008A0130" w:rsidRDefault="00D03B0C" w:rsidP="008A0130">
      <w:pPr>
        <w:spacing w:line="360" w:lineRule="auto"/>
        <w:jc w:val="both"/>
        <w:rPr>
          <w:rFonts w:ascii="Book Antiqua" w:eastAsia="Times New Roman" w:hAnsi="Book Antiqua" w:cs="Times New Roman"/>
          <w:b/>
          <w:bCs/>
          <w:caps/>
        </w:rPr>
      </w:pPr>
      <w:r w:rsidRPr="008A0130">
        <w:rPr>
          <w:rFonts w:ascii="Book Antiqua" w:eastAsia="Times New Roman" w:hAnsi="Book Antiqua" w:cs="Times New Roman"/>
          <w:b/>
          <w:bCs/>
          <w:caps/>
        </w:rPr>
        <w:t>Wnt/</w:t>
      </w:r>
      <w:r w:rsidRPr="008A0130">
        <w:rPr>
          <w:rFonts w:ascii="Book Antiqua" w:eastAsia="Times New Roman" w:hAnsi="Book Antiqua" w:cs="Times New Roman"/>
          <w:b/>
          <w:bCs/>
          <w:caps/>
        </w:rPr>
        <w:sym w:font="Symbol" w:char="F062"/>
      </w:r>
      <w:r w:rsidRPr="008A0130">
        <w:rPr>
          <w:rFonts w:ascii="Book Antiqua" w:eastAsia="Times New Roman" w:hAnsi="Book Antiqua" w:cs="Times New Roman"/>
          <w:b/>
          <w:bCs/>
          <w:caps/>
        </w:rPr>
        <w:t xml:space="preserve">-catenin pathway in </w:t>
      </w:r>
      <w:r w:rsidR="005867A6" w:rsidRPr="008A0130">
        <w:rPr>
          <w:rFonts w:ascii="Book Antiqua" w:eastAsia="Times New Roman" w:hAnsi="Book Antiqua" w:cs="Times New Roman"/>
          <w:b/>
          <w:bCs/>
          <w:caps/>
        </w:rPr>
        <w:t>gastric carcinogenesis</w:t>
      </w:r>
    </w:p>
    <w:p w14:paraId="746BC48B" w14:textId="68CF0425" w:rsidR="00736E20" w:rsidRPr="008A0130" w:rsidRDefault="001E1D95" w:rsidP="008A0130">
      <w:pPr>
        <w:spacing w:line="360" w:lineRule="auto"/>
        <w:jc w:val="both"/>
        <w:rPr>
          <w:rFonts w:ascii="Book Antiqua" w:hAnsi="Book Antiqua" w:cs="Times New Roman"/>
        </w:rPr>
      </w:pPr>
      <w:r w:rsidRPr="008A0130">
        <w:rPr>
          <w:rFonts w:ascii="Book Antiqua" w:eastAsia="Times New Roman" w:hAnsi="Book Antiqua" w:cs="Times New Roman"/>
        </w:rPr>
        <w:t xml:space="preserve">Homeostasis of the gastrointestinal epithelium is strongly dependent on the balance existing between cell proliferation, cell cycle arrest, and cell migration. </w:t>
      </w:r>
      <w:r w:rsidRPr="008A0130">
        <w:rPr>
          <w:rFonts w:ascii="Book Antiqua" w:eastAsia="Times New Roman" w:hAnsi="Book Antiqua" w:cs="Times New Roman"/>
        </w:rPr>
        <w:lastRenderedPageBreak/>
        <w:t xml:space="preserve">The canonical Wnt signaling pathway, in addition to its role in early embryogenesis, plays a crucial role in regulating proliferation, stem cell maintenance and homeostasis in normal gastric </w:t>
      </w:r>
      <w:proofErr w:type="gramStart"/>
      <w:r w:rsidRPr="008A0130">
        <w:rPr>
          <w:rFonts w:ascii="Book Antiqua" w:eastAsia="Times New Roman" w:hAnsi="Book Antiqua" w:cs="Times New Roman"/>
        </w:rPr>
        <w:t>mucosa</w:t>
      </w:r>
      <w:r w:rsidR="009A2E57" w:rsidRPr="008A0130">
        <w:rPr>
          <w:rFonts w:ascii="Book Antiqua" w:eastAsia="Times New Roman" w:hAnsi="Book Antiqua" w:cs="Times New Roman"/>
          <w:vertAlign w:val="superscript"/>
        </w:rPr>
        <w:t>[</w:t>
      </w:r>
      <w:proofErr w:type="gramEnd"/>
      <w:r w:rsidR="009A2E57" w:rsidRPr="008A0130">
        <w:rPr>
          <w:rFonts w:ascii="Book Antiqua" w:eastAsia="Times New Roman" w:hAnsi="Book Antiqua" w:cs="Times New Roman"/>
          <w:vertAlign w:val="superscript"/>
        </w:rPr>
        <w:t>42-4</w:t>
      </w:r>
      <w:r w:rsidR="00CD45E6" w:rsidRPr="008A0130">
        <w:rPr>
          <w:rFonts w:ascii="Book Antiqua" w:eastAsia="Times New Roman" w:hAnsi="Book Antiqua" w:cs="Times New Roman"/>
          <w:vertAlign w:val="superscript"/>
        </w:rPr>
        <w:t>4]</w:t>
      </w:r>
      <w:r w:rsidR="00CD45E6" w:rsidRPr="008A0130">
        <w:rPr>
          <w:rFonts w:ascii="Book Antiqua" w:eastAsia="Times New Roman" w:hAnsi="Book Antiqua" w:cs="Times New Roman"/>
        </w:rPr>
        <w:t>.</w:t>
      </w:r>
      <w:r w:rsidRPr="008A0130">
        <w:rPr>
          <w:rFonts w:ascii="Book Antiqua" w:eastAsia="Times New Roman" w:hAnsi="Book Antiqua" w:cs="Times New Roman"/>
        </w:rPr>
        <w:t xml:space="preserve"> On the other hand, </w:t>
      </w:r>
      <w:r w:rsidRPr="008A0130">
        <w:rPr>
          <w:rFonts w:ascii="Book Antiqua" w:hAnsi="Book Antiqua" w:cs="Times New Roman"/>
        </w:rPr>
        <w:t>i</w:t>
      </w:r>
      <w:r w:rsidR="00A10FDC" w:rsidRPr="008A0130">
        <w:rPr>
          <w:rFonts w:ascii="Book Antiqua" w:hAnsi="Book Antiqua" w:cs="Times New Roman"/>
        </w:rPr>
        <w:t xml:space="preserve">t is recognized that dysregulation of the Wnt pathway plays a critical role in the development of human cancer, with </w:t>
      </w:r>
      <w:r w:rsidR="00F62F15" w:rsidRPr="008A0130">
        <w:rPr>
          <w:rFonts w:ascii="Book Antiqua" w:hAnsi="Book Antiqua" w:cs="Times New Roman"/>
        </w:rPr>
        <w:t>more than</w:t>
      </w:r>
      <w:r w:rsidR="00A10FDC" w:rsidRPr="008A0130">
        <w:rPr>
          <w:rFonts w:ascii="Book Antiqua" w:hAnsi="Book Antiqua" w:cs="Times New Roman"/>
        </w:rPr>
        <w:t xml:space="preserve"> 30% of gastric cance</w:t>
      </w:r>
      <w:r w:rsidR="008011B8" w:rsidRPr="008A0130">
        <w:rPr>
          <w:rFonts w:ascii="Book Antiqua" w:hAnsi="Book Antiqua" w:cs="Times New Roman"/>
        </w:rPr>
        <w:t>r in which activated</w:t>
      </w:r>
      <w:r w:rsidR="00A10FDC" w:rsidRPr="008A0130">
        <w:rPr>
          <w:rFonts w:ascii="Book Antiqua" w:hAnsi="Book Antiqua" w:cs="Times New Roman"/>
        </w:rPr>
        <w:t xml:space="preserve"> Wnt/ß-catenin signaling</w:t>
      </w:r>
      <w:r w:rsidR="003B02F6" w:rsidRPr="008A0130">
        <w:rPr>
          <w:rFonts w:ascii="Book Antiqua" w:hAnsi="Book Antiqua" w:cs="Times New Roman"/>
        </w:rPr>
        <w:t xml:space="preserve"> can be found.</w:t>
      </w:r>
      <w:r w:rsidR="00EC7953" w:rsidRPr="008A0130">
        <w:rPr>
          <w:rFonts w:ascii="Book Antiqua" w:hAnsi="Book Antiqua" w:cs="Times New Roman"/>
        </w:rPr>
        <w:t xml:space="preserve"> Furthermore, the essential role of Wnt/</w:t>
      </w:r>
      <w:r w:rsidR="007C6B05" w:rsidRPr="008A0130">
        <w:rPr>
          <w:rFonts w:ascii="Book Antiqua" w:hAnsi="Book Antiqua" w:cs="Times New Roman"/>
        </w:rPr>
        <w:t>ß</w:t>
      </w:r>
      <w:r w:rsidR="00EC7953" w:rsidRPr="008A0130">
        <w:rPr>
          <w:rFonts w:ascii="Book Antiqua" w:hAnsi="Book Antiqua" w:cs="Times New Roman"/>
        </w:rPr>
        <w:t>-catenin signaling in the self-renewal of gastric cancer stem cells (</w:t>
      </w:r>
      <w:r w:rsidR="002A74A1" w:rsidRPr="008A0130">
        <w:rPr>
          <w:rFonts w:ascii="Book Antiqua" w:hAnsi="Book Antiqua" w:cs="Times New Roman"/>
        </w:rPr>
        <w:t>G</w:t>
      </w:r>
      <w:r w:rsidR="00EC7953" w:rsidRPr="008A0130">
        <w:rPr>
          <w:rFonts w:ascii="Book Antiqua" w:hAnsi="Book Antiqua" w:cs="Times New Roman"/>
        </w:rPr>
        <w:t xml:space="preserve">CSC) has been </w:t>
      </w:r>
      <w:proofErr w:type="gramStart"/>
      <w:r w:rsidR="00EC7953" w:rsidRPr="008A0130">
        <w:rPr>
          <w:rFonts w:ascii="Book Antiqua" w:hAnsi="Book Antiqua" w:cs="Times New Roman"/>
        </w:rPr>
        <w:t>demonstrated</w:t>
      </w:r>
      <w:r w:rsidR="009A2E57" w:rsidRPr="008A0130">
        <w:rPr>
          <w:rFonts w:ascii="Book Antiqua" w:hAnsi="Book Antiqua" w:cs="Times New Roman"/>
          <w:vertAlign w:val="superscript"/>
        </w:rPr>
        <w:t>[</w:t>
      </w:r>
      <w:proofErr w:type="gramEnd"/>
      <w:r w:rsidR="009A2E57" w:rsidRPr="008A0130">
        <w:rPr>
          <w:rFonts w:ascii="Book Antiqua" w:hAnsi="Book Antiqua" w:cs="Times New Roman"/>
          <w:vertAlign w:val="superscript"/>
        </w:rPr>
        <w:t>45-4</w:t>
      </w:r>
      <w:r w:rsidR="00CD45E6" w:rsidRPr="008A0130">
        <w:rPr>
          <w:rFonts w:ascii="Book Antiqua" w:hAnsi="Book Antiqua" w:cs="Times New Roman"/>
          <w:vertAlign w:val="superscript"/>
        </w:rPr>
        <w:t>7]</w:t>
      </w:r>
      <w:r w:rsidR="00EC7953" w:rsidRPr="008A0130">
        <w:rPr>
          <w:rFonts w:ascii="Book Antiqua" w:hAnsi="Book Antiqua" w:cs="Times New Roman"/>
        </w:rPr>
        <w:t>.</w:t>
      </w:r>
      <w:r w:rsidR="00736E20" w:rsidRPr="008A0130">
        <w:rPr>
          <w:rFonts w:ascii="Book Antiqua" w:hAnsi="Book Antiqua" w:cs="Times New Roman"/>
        </w:rPr>
        <w:t xml:space="preserve"> Several components of the Wnt pathway (Figure 1) may be overexpressed or their functi</w:t>
      </w:r>
      <w:r w:rsidR="008B5C60" w:rsidRPr="008A0130">
        <w:rPr>
          <w:rFonts w:ascii="Book Antiqua" w:hAnsi="Book Antiqua" w:cs="Times New Roman"/>
        </w:rPr>
        <w:t>on increased by other mechanisms</w:t>
      </w:r>
      <w:r w:rsidR="00736E20" w:rsidRPr="008A0130">
        <w:rPr>
          <w:rFonts w:ascii="Book Antiqua" w:hAnsi="Book Antiqua" w:cs="Times New Roman"/>
        </w:rPr>
        <w:t xml:space="preserve"> in gastric cancer (Table 1). Moreover, the loss of Wnt inhibitors may play an important role in gastric carcinogenesis (Table 1).</w:t>
      </w:r>
    </w:p>
    <w:p w14:paraId="1529F873" w14:textId="53BC73D4" w:rsidR="005A29E3" w:rsidRPr="008A0130" w:rsidRDefault="005A29E3"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Large-scale sequencing studies </w:t>
      </w:r>
      <w:r w:rsidR="00385F97" w:rsidRPr="008A0130">
        <w:rPr>
          <w:rFonts w:ascii="Book Antiqua" w:hAnsi="Book Antiqua" w:cs="Times New Roman"/>
        </w:rPr>
        <w:t xml:space="preserve">conducted in many tumor types </w:t>
      </w:r>
      <w:r w:rsidRPr="008A0130">
        <w:rPr>
          <w:rFonts w:ascii="Book Antiqua" w:hAnsi="Book Antiqua" w:cs="Times New Roman"/>
        </w:rPr>
        <w:t xml:space="preserve">have identified co-occurrence of mutations in positive and negative regulators of the Wnt pathway. However, the prevalence of these mutations seems to be cell-type </w:t>
      </w:r>
      <w:proofErr w:type="gramStart"/>
      <w:r w:rsidRPr="008A0130">
        <w:rPr>
          <w:rFonts w:ascii="Book Antiqua" w:hAnsi="Book Antiqua" w:cs="Times New Roman"/>
        </w:rPr>
        <w:t>specific</w:t>
      </w:r>
      <w:r w:rsidR="009A2E57" w:rsidRPr="008A0130">
        <w:rPr>
          <w:rFonts w:ascii="Book Antiqua" w:hAnsi="Book Antiqua" w:cs="Times New Roman"/>
          <w:vertAlign w:val="superscript"/>
        </w:rPr>
        <w:t>[</w:t>
      </w:r>
      <w:proofErr w:type="gramEnd"/>
      <w:r w:rsidR="009A2E57" w:rsidRPr="008A0130">
        <w:rPr>
          <w:rFonts w:ascii="Book Antiqua" w:hAnsi="Book Antiqua" w:cs="Times New Roman"/>
          <w:vertAlign w:val="superscript"/>
        </w:rPr>
        <w:t>48,49</w:t>
      </w:r>
      <w:r w:rsidRPr="008A0130">
        <w:rPr>
          <w:rFonts w:ascii="Book Antiqua" w:hAnsi="Book Antiqua" w:cs="Times New Roman"/>
          <w:vertAlign w:val="superscript"/>
        </w:rPr>
        <w:t>]</w:t>
      </w:r>
      <w:r w:rsidRPr="008A0130">
        <w:rPr>
          <w:rFonts w:ascii="Book Antiqua" w:hAnsi="Book Antiqua" w:cs="Times New Roman"/>
        </w:rPr>
        <w:t>.</w:t>
      </w:r>
      <w:r w:rsidR="00790FCB" w:rsidRPr="008A0130">
        <w:rPr>
          <w:rFonts w:ascii="Book Antiqua" w:hAnsi="Book Antiqua" w:cs="Times New Roman"/>
        </w:rPr>
        <w:t xml:space="preserve"> </w:t>
      </w:r>
      <w:r w:rsidRPr="008A0130">
        <w:rPr>
          <w:rFonts w:ascii="Book Antiqua" w:hAnsi="Book Antiqua" w:cs="Times New Roman"/>
        </w:rPr>
        <w:t xml:space="preserve">Moreover, a number of recently published studies exploring gene mutations in gastric cancer using high-throughput methodologies (Next-generation sequencing and genotyping array) have confirmed </w:t>
      </w:r>
      <w:r w:rsidRPr="008A0130">
        <w:rPr>
          <w:rFonts w:ascii="Book Antiqua" w:hAnsi="Book Antiqua" w:cs="Times New Roman"/>
          <w:i/>
        </w:rPr>
        <w:t>CTNNB1</w:t>
      </w:r>
      <w:r w:rsidRPr="008A0130">
        <w:rPr>
          <w:rFonts w:ascii="Book Antiqua" w:hAnsi="Book Antiqua" w:cs="Times New Roman"/>
        </w:rPr>
        <w:t xml:space="preserve"> </w:t>
      </w:r>
      <w:r w:rsidR="00BE22DF" w:rsidRPr="008A0130">
        <w:rPr>
          <w:rFonts w:ascii="Book Antiqua" w:hAnsi="Book Antiqua" w:cs="Times New Roman"/>
        </w:rPr>
        <w:t>(</w:t>
      </w:r>
      <w:r w:rsidR="00BE22DF" w:rsidRPr="008A0130">
        <w:rPr>
          <w:rFonts w:ascii="Book Antiqua" w:hAnsi="Book Antiqua" w:cs="Times New Roman"/>
          <w:iCs/>
        </w:rPr>
        <w:t xml:space="preserve">the gene that encodes </w:t>
      </w:r>
      <w:r w:rsidR="00F926B4" w:rsidRPr="008A0130">
        <w:rPr>
          <w:rFonts w:ascii="Book Antiqua" w:hAnsi="Book Antiqua" w:cs="Times New Roman"/>
        </w:rPr>
        <w:t>β</w:t>
      </w:r>
      <w:r w:rsidR="00BE22DF" w:rsidRPr="008A0130">
        <w:rPr>
          <w:rFonts w:ascii="Book Antiqua" w:hAnsi="Book Antiqua" w:cs="Times New Roman"/>
        </w:rPr>
        <w:t xml:space="preserve">-catenin protein) </w:t>
      </w:r>
      <w:r w:rsidRPr="008A0130">
        <w:rPr>
          <w:rFonts w:ascii="Book Antiqua" w:hAnsi="Book Antiqua" w:cs="Times New Roman"/>
        </w:rPr>
        <w:t xml:space="preserve">and </w:t>
      </w:r>
      <w:r w:rsidRPr="008A0130">
        <w:rPr>
          <w:rFonts w:ascii="Book Antiqua" w:hAnsi="Book Antiqua" w:cs="Times New Roman"/>
          <w:i/>
        </w:rPr>
        <w:t>APC</w:t>
      </w:r>
      <w:r w:rsidRPr="008A0130">
        <w:rPr>
          <w:rFonts w:ascii="Book Antiqua" w:hAnsi="Book Antiqua" w:cs="Times New Roman"/>
        </w:rPr>
        <w:t xml:space="preserve"> as driver genes. Although with variations in prevalence, these studies revealed somatic mutations in both genes that might be relevant in gastric </w:t>
      </w:r>
      <w:proofErr w:type="gramStart"/>
      <w:r w:rsidRPr="008A0130">
        <w:rPr>
          <w:rFonts w:ascii="Book Antiqua" w:hAnsi="Book Antiqua" w:cs="Times New Roman"/>
        </w:rPr>
        <w:t>carcinogenesis</w:t>
      </w:r>
      <w:r w:rsidRPr="008A0130">
        <w:rPr>
          <w:rFonts w:ascii="Book Antiqua" w:hAnsi="Book Antiqua" w:cs="Times New Roman"/>
          <w:vertAlign w:val="superscript"/>
        </w:rPr>
        <w:t>[</w:t>
      </w:r>
      <w:proofErr w:type="gramEnd"/>
      <w:r w:rsidR="009A2E57" w:rsidRPr="008A0130">
        <w:rPr>
          <w:rFonts w:ascii="Book Antiqua" w:hAnsi="Book Antiqua" w:cs="Times New Roman"/>
          <w:vertAlign w:val="superscript"/>
        </w:rPr>
        <w:t>50-55</w:t>
      </w:r>
      <w:r w:rsidRPr="008A0130">
        <w:rPr>
          <w:rFonts w:ascii="Book Antiqua" w:hAnsi="Book Antiqua" w:cs="Times New Roman"/>
          <w:vertAlign w:val="superscript"/>
        </w:rPr>
        <w:t>]</w:t>
      </w:r>
      <w:r w:rsidRPr="008A0130">
        <w:rPr>
          <w:rFonts w:ascii="Book Antiqua" w:hAnsi="Book Antiqua" w:cs="Times New Roman"/>
        </w:rPr>
        <w:t>.</w:t>
      </w:r>
    </w:p>
    <w:p w14:paraId="52938397" w14:textId="717DEE53" w:rsidR="00C85049" w:rsidRPr="008A0130" w:rsidRDefault="005A29E3"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In addition to multiple genetic alterations, the initiation and progression of gastric cancer are also associated to epigenetic </w:t>
      </w:r>
      <w:proofErr w:type="gramStart"/>
      <w:r w:rsidRPr="008A0130">
        <w:rPr>
          <w:rFonts w:ascii="Book Antiqua" w:hAnsi="Book Antiqua" w:cs="Times New Roman"/>
        </w:rPr>
        <w:t>changes</w:t>
      </w:r>
      <w:r w:rsidR="009A2E57" w:rsidRPr="008A0130">
        <w:rPr>
          <w:rFonts w:ascii="Book Antiqua" w:hAnsi="Book Antiqua" w:cs="Times New Roman"/>
          <w:vertAlign w:val="superscript"/>
        </w:rPr>
        <w:t>[</w:t>
      </w:r>
      <w:proofErr w:type="gramEnd"/>
      <w:r w:rsidR="009A2E57" w:rsidRPr="008A0130">
        <w:rPr>
          <w:rFonts w:ascii="Book Antiqua" w:hAnsi="Book Antiqua" w:cs="Times New Roman"/>
          <w:vertAlign w:val="superscript"/>
        </w:rPr>
        <w:t>56</w:t>
      </w:r>
      <w:r w:rsidRPr="008A0130">
        <w:rPr>
          <w:rFonts w:ascii="Book Antiqua" w:hAnsi="Book Antiqua" w:cs="Times New Roman"/>
          <w:vertAlign w:val="superscript"/>
        </w:rPr>
        <w:t>,</w:t>
      </w:r>
      <w:r w:rsidR="009A2E57" w:rsidRPr="008A0130">
        <w:rPr>
          <w:rFonts w:ascii="Book Antiqua" w:hAnsi="Book Antiqua" w:cs="Times New Roman"/>
          <w:vertAlign w:val="superscript"/>
        </w:rPr>
        <w:t>57</w:t>
      </w:r>
      <w:r w:rsidRPr="008A0130">
        <w:rPr>
          <w:rFonts w:ascii="Book Antiqua" w:hAnsi="Book Antiqua" w:cs="Times New Roman"/>
          <w:vertAlign w:val="superscript"/>
        </w:rPr>
        <w:t>]</w:t>
      </w:r>
      <w:r w:rsidRPr="008A0130">
        <w:rPr>
          <w:rFonts w:ascii="Book Antiqua" w:hAnsi="Book Antiqua" w:cs="Times New Roman"/>
        </w:rPr>
        <w:t xml:space="preserve">. Histone modification and promoter CpG methylation alter cancer-related gene expression and are frequently involved in </w:t>
      </w:r>
      <w:proofErr w:type="gramStart"/>
      <w:r w:rsidRPr="008A0130">
        <w:rPr>
          <w:rFonts w:ascii="Book Antiqua" w:hAnsi="Book Antiqua" w:cs="Times New Roman"/>
        </w:rPr>
        <w:t>carcinogenesis</w:t>
      </w:r>
      <w:r w:rsidR="009A2E57" w:rsidRPr="008A0130">
        <w:rPr>
          <w:rFonts w:ascii="Book Antiqua" w:hAnsi="Book Antiqua" w:cs="Times New Roman"/>
          <w:vertAlign w:val="superscript"/>
        </w:rPr>
        <w:t>[</w:t>
      </w:r>
      <w:proofErr w:type="gramEnd"/>
      <w:r w:rsidR="009A2E57" w:rsidRPr="008A0130">
        <w:rPr>
          <w:rFonts w:ascii="Book Antiqua" w:hAnsi="Book Antiqua" w:cs="Times New Roman"/>
          <w:vertAlign w:val="superscript"/>
        </w:rPr>
        <w:t>58</w:t>
      </w:r>
      <w:r w:rsidRPr="008A0130">
        <w:rPr>
          <w:rFonts w:ascii="Book Antiqua" w:hAnsi="Book Antiqua" w:cs="Times New Roman"/>
          <w:vertAlign w:val="superscript"/>
        </w:rPr>
        <w:t>]</w:t>
      </w:r>
      <w:r w:rsidRPr="008A0130">
        <w:rPr>
          <w:rFonts w:ascii="Book Antiqua" w:hAnsi="Book Antiqua" w:cs="Times New Roman"/>
        </w:rPr>
        <w:t xml:space="preserve">. So far, downregulation of Wnt antagonist genes associated to promoter hypermethylation have been identified in a variety of malignancies, such as renal, bladder, lung, breast, colorectal, gastric and </w:t>
      </w:r>
      <w:proofErr w:type="gramStart"/>
      <w:r w:rsidRPr="008A0130">
        <w:rPr>
          <w:rFonts w:ascii="Book Antiqua" w:hAnsi="Book Antiqua" w:cs="Times New Roman"/>
        </w:rPr>
        <w:t>neuroblastoma</w:t>
      </w:r>
      <w:r w:rsidR="009A2E57" w:rsidRPr="008A0130">
        <w:rPr>
          <w:rFonts w:ascii="Book Antiqua" w:hAnsi="Book Antiqua" w:cs="Times New Roman"/>
          <w:vertAlign w:val="superscript"/>
        </w:rPr>
        <w:t>[</w:t>
      </w:r>
      <w:proofErr w:type="gramEnd"/>
      <w:r w:rsidR="009A2E57" w:rsidRPr="008A0130">
        <w:rPr>
          <w:rFonts w:ascii="Book Antiqua" w:hAnsi="Book Antiqua" w:cs="Times New Roman"/>
          <w:vertAlign w:val="superscript"/>
        </w:rPr>
        <w:t>59-65</w:t>
      </w:r>
      <w:r w:rsidRPr="008A0130">
        <w:rPr>
          <w:rFonts w:ascii="Book Antiqua" w:hAnsi="Book Antiqua" w:cs="Times New Roman"/>
          <w:vertAlign w:val="superscript"/>
        </w:rPr>
        <w:t>]</w:t>
      </w:r>
      <w:r w:rsidRPr="008A0130">
        <w:rPr>
          <w:rFonts w:ascii="Book Antiqua" w:hAnsi="Book Antiqua" w:cs="Times New Roman"/>
        </w:rPr>
        <w:t xml:space="preserve">. </w:t>
      </w:r>
    </w:p>
    <w:p w14:paraId="285AC3ED" w14:textId="5E889A15" w:rsidR="0090689D" w:rsidRPr="008A0130" w:rsidRDefault="00466AC3"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Furthermore, t</w:t>
      </w:r>
      <w:r w:rsidR="0090689D" w:rsidRPr="008A0130">
        <w:rPr>
          <w:rFonts w:ascii="Book Antiqua" w:hAnsi="Book Antiqua" w:cs="Times New Roman"/>
        </w:rPr>
        <w:t xml:space="preserve">he Wnt/ß-catenin pathway genes are found among those affected by dysregulation of </w:t>
      </w:r>
      <w:r w:rsidRPr="008A0130">
        <w:rPr>
          <w:rFonts w:ascii="Book Antiqua" w:hAnsi="Book Antiqua" w:cs="Times New Roman"/>
        </w:rPr>
        <w:t>microRNAs (</w:t>
      </w:r>
      <w:r w:rsidR="0090689D" w:rsidRPr="008A0130">
        <w:rPr>
          <w:rFonts w:ascii="Book Antiqua" w:hAnsi="Book Antiqua" w:cs="Times New Roman"/>
        </w:rPr>
        <w:t>miRNAs</w:t>
      </w:r>
      <w:r w:rsidRPr="008A0130">
        <w:rPr>
          <w:rFonts w:ascii="Book Antiqua" w:hAnsi="Book Antiqua" w:cs="Times New Roman"/>
        </w:rPr>
        <w:t>)</w:t>
      </w:r>
      <w:r w:rsidR="0090689D" w:rsidRPr="008A0130">
        <w:rPr>
          <w:rFonts w:ascii="Book Antiqua" w:hAnsi="Book Antiqua" w:cs="Times New Roman"/>
        </w:rPr>
        <w:t xml:space="preserve"> </w:t>
      </w:r>
      <w:r w:rsidR="0090689D" w:rsidRPr="008A0130">
        <w:rPr>
          <w:rFonts w:ascii="Book Antiqua" w:hAnsi="Book Antiqua" w:cs="Times"/>
        </w:rPr>
        <w:t xml:space="preserve">in many kinds of cancers, </w:t>
      </w:r>
      <w:r w:rsidRPr="008A0130">
        <w:rPr>
          <w:rFonts w:ascii="Book Antiqua" w:hAnsi="Book Antiqua" w:cs="Times"/>
        </w:rPr>
        <w:t xml:space="preserve">and particularly, expression profiling has shown that certain miRNAs are </w:t>
      </w:r>
      <w:r w:rsidRPr="008A0130">
        <w:rPr>
          <w:rFonts w:ascii="Book Antiqua" w:hAnsi="Book Antiqua" w:cs="Times"/>
        </w:rPr>
        <w:lastRenderedPageBreak/>
        <w:t>associated with gastric cancer development, progression and response to therapy</w:t>
      </w:r>
      <w:r w:rsidR="009A59EB" w:rsidRPr="008A0130">
        <w:rPr>
          <w:rFonts w:ascii="Book Antiqua" w:hAnsi="Book Antiqua" w:cs="Times New Roman"/>
          <w:vertAlign w:val="superscript"/>
        </w:rPr>
        <w:t>[</w:t>
      </w:r>
      <w:r w:rsidR="009A2E57" w:rsidRPr="008A0130">
        <w:rPr>
          <w:rFonts w:ascii="Book Antiqua" w:hAnsi="Book Antiqua" w:cs="Times New Roman"/>
          <w:vertAlign w:val="superscript"/>
        </w:rPr>
        <w:t>66-68</w:t>
      </w:r>
      <w:r w:rsidR="009A59EB" w:rsidRPr="008A0130">
        <w:rPr>
          <w:rFonts w:ascii="Book Antiqua" w:hAnsi="Book Antiqua" w:cs="Times New Roman"/>
          <w:vertAlign w:val="superscript"/>
        </w:rPr>
        <w:t>]</w:t>
      </w:r>
      <w:r w:rsidRPr="008A0130">
        <w:rPr>
          <w:rFonts w:ascii="Book Antiqua" w:hAnsi="Book Antiqua" w:cs="Times"/>
        </w:rPr>
        <w:t>.</w:t>
      </w:r>
    </w:p>
    <w:p w14:paraId="286F7F1E" w14:textId="77777777" w:rsidR="0048631F" w:rsidRPr="008A0130" w:rsidRDefault="0048631F" w:rsidP="008A0130">
      <w:pPr>
        <w:widowControl w:val="0"/>
        <w:autoSpaceDE w:val="0"/>
        <w:autoSpaceDN w:val="0"/>
        <w:adjustRightInd w:val="0"/>
        <w:spacing w:line="360" w:lineRule="auto"/>
        <w:jc w:val="both"/>
        <w:rPr>
          <w:rFonts w:ascii="Book Antiqua" w:eastAsia="宋体" w:hAnsi="Book Antiqua" w:cs="Times New Roman"/>
          <w:b/>
          <w:i/>
          <w:lang w:eastAsia="zh-CN"/>
        </w:rPr>
      </w:pPr>
    </w:p>
    <w:p w14:paraId="46BA1F7E" w14:textId="77777777" w:rsidR="00C85049" w:rsidRPr="008A0130" w:rsidRDefault="00C85049" w:rsidP="008A0130">
      <w:pPr>
        <w:widowControl w:val="0"/>
        <w:autoSpaceDE w:val="0"/>
        <w:autoSpaceDN w:val="0"/>
        <w:adjustRightInd w:val="0"/>
        <w:spacing w:line="360" w:lineRule="auto"/>
        <w:jc w:val="both"/>
        <w:rPr>
          <w:rFonts w:ascii="Book Antiqua" w:hAnsi="Book Antiqua" w:cs="Times New Roman"/>
          <w:b/>
          <w:i/>
        </w:rPr>
      </w:pPr>
      <w:r w:rsidRPr="008A0130">
        <w:rPr>
          <w:rFonts w:ascii="Book Antiqua" w:hAnsi="Book Antiqua" w:cs="Times New Roman"/>
          <w:b/>
          <w:i/>
        </w:rPr>
        <w:t>Gain of Wnt activator function in gastric cancer</w:t>
      </w:r>
    </w:p>
    <w:p w14:paraId="2E606825" w14:textId="76512038" w:rsidR="00F8494D" w:rsidRPr="008A0130" w:rsidRDefault="00F3503C" w:rsidP="008A0130">
      <w:pPr>
        <w:widowControl w:val="0"/>
        <w:autoSpaceDE w:val="0"/>
        <w:autoSpaceDN w:val="0"/>
        <w:adjustRightInd w:val="0"/>
        <w:spacing w:line="360" w:lineRule="auto"/>
        <w:jc w:val="both"/>
        <w:rPr>
          <w:rFonts w:ascii="Book Antiqua" w:hAnsi="Book Antiqua" w:cs="Times New Roman"/>
        </w:rPr>
      </w:pPr>
      <w:r w:rsidRPr="008A0130">
        <w:rPr>
          <w:rFonts w:ascii="Book Antiqua" w:hAnsi="Book Antiqua" w:cs="Times New Roman"/>
        </w:rPr>
        <w:t>M</w:t>
      </w:r>
      <w:r w:rsidR="00254A92" w:rsidRPr="008A0130">
        <w:rPr>
          <w:rFonts w:ascii="Book Antiqua" w:hAnsi="Book Antiqua" w:cs="Times New Roman"/>
        </w:rPr>
        <w:t>embers of the Wnt family protein</w:t>
      </w:r>
      <w:r w:rsidR="00C32933" w:rsidRPr="008A0130">
        <w:rPr>
          <w:rFonts w:ascii="Book Antiqua" w:hAnsi="Book Antiqua" w:cs="Times New Roman"/>
        </w:rPr>
        <w:t>, such as</w:t>
      </w:r>
      <w:r w:rsidR="00254A92" w:rsidRPr="008A0130">
        <w:rPr>
          <w:rFonts w:ascii="Book Antiqua" w:hAnsi="Book Antiqua" w:cs="Times New Roman"/>
        </w:rPr>
        <w:t xml:space="preserve"> </w:t>
      </w:r>
      <w:r w:rsidRPr="008A0130">
        <w:rPr>
          <w:rFonts w:ascii="Book Antiqua" w:hAnsi="Book Antiqua" w:cs="Times New Roman"/>
          <w:i/>
        </w:rPr>
        <w:t>Wnt-1</w:t>
      </w:r>
      <w:r w:rsidRPr="008A0130">
        <w:rPr>
          <w:rFonts w:ascii="Book Antiqua" w:hAnsi="Book Antiqua" w:cs="Times New Roman"/>
        </w:rPr>
        <w:t>,</w:t>
      </w:r>
      <w:r w:rsidRPr="008A0130">
        <w:rPr>
          <w:rFonts w:ascii="Book Antiqua" w:hAnsi="Book Antiqua" w:cs="Times New Roman"/>
          <w:i/>
          <w:iCs/>
        </w:rPr>
        <w:t xml:space="preserve"> </w:t>
      </w:r>
      <w:r w:rsidR="00F8494D" w:rsidRPr="008A0130">
        <w:rPr>
          <w:rFonts w:ascii="Book Antiqua" w:hAnsi="Book Antiqua" w:cs="Times New Roman"/>
          <w:i/>
          <w:iCs/>
        </w:rPr>
        <w:t>Wnt</w:t>
      </w:r>
      <w:r w:rsidR="00AB6AD6" w:rsidRPr="008A0130">
        <w:rPr>
          <w:rFonts w:ascii="Book Antiqua" w:hAnsi="Book Antiqua" w:cs="Times New Roman"/>
          <w:i/>
          <w:iCs/>
        </w:rPr>
        <w:t>-</w:t>
      </w:r>
      <w:r w:rsidR="008011B8" w:rsidRPr="008A0130">
        <w:rPr>
          <w:rFonts w:ascii="Book Antiqua" w:hAnsi="Book Antiqua" w:cs="Times New Roman"/>
          <w:i/>
          <w:iCs/>
        </w:rPr>
        <w:t>2</w:t>
      </w:r>
      <w:r w:rsidR="00F8494D" w:rsidRPr="008A0130">
        <w:rPr>
          <w:rFonts w:ascii="Book Antiqua" w:hAnsi="Book Antiqua" w:cs="Times New Roman"/>
          <w:i/>
          <w:iCs/>
        </w:rPr>
        <w:t xml:space="preserve"> </w:t>
      </w:r>
      <w:r w:rsidR="00F8494D" w:rsidRPr="008A0130">
        <w:rPr>
          <w:rFonts w:ascii="Book Antiqua" w:hAnsi="Book Antiqua" w:cs="Times New Roman"/>
          <w:iCs/>
        </w:rPr>
        <w:t xml:space="preserve">and </w:t>
      </w:r>
      <w:r w:rsidR="00F8494D" w:rsidRPr="008A0130">
        <w:rPr>
          <w:rFonts w:ascii="Book Antiqua" w:hAnsi="Book Antiqua" w:cs="Times New Roman"/>
          <w:i/>
          <w:iCs/>
        </w:rPr>
        <w:t>Wnt</w:t>
      </w:r>
      <w:r w:rsidR="00AB6AD6" w:rsidRPr="008A0130">
        <w:rPr>
          <w:rFonts w:ascii="Book Antiqua" w:hAnsi="Book Antiqua" w:cs="Times New Roman"/>
          <w:i/>
          <w:iCs/>
        </w:rPr>
        <w:t>-</w:t>
      </w:r>
      <w:r w:rsidR="00F8494D" w:rsidRPr="008A0130">
        <w:rPr>
          <w:rFonts w:ascii="Book Antiqua" w:hAnsi="Book Antiqua" w:cs="Times New Roman"/>
          <w:i/>
          <w:iCs/>
        </w:rPr>
        <w:t>2</w:t>
      </w:r>
      <w:r w:rsidR="008011B8" w:rsidRPr="008A0130">
        <w:rPr>
          <w:rFonts w:ascii="Book Antiqua" w:hAnsi="Book Antiqua" w:cs="Times New Roman"/>
          <w:i/>
          <w:iCs/>
        </w:rPr>
        <w:t>B</w:t>
      </w:r>
      <w:r w:rsidR="00F8494D" w:rsidRPr="008A0130">
        <w:rPr>
          <w:rFonts w:ascii="Book Antiqua" w:hAnsi="Book Antiqua" w:cs="Times New Roman"/>
          <w:i/>
          <w:iCs/>
        </w:rPr>
        <w:t xml:space="preserve"> </w:t>
      </w:r>
      <w:r w:rsidR="00F8494D" w:rsidRPr="008A0130">
        <w:rPr>
          <w:rFonts w:ascii="Book Antiqua" w:hAnsi="Book Antiqua" w:cs="Times New Roman"/>
          <w:iCs/>
        </w:rPr>
        <w:t xml:space="preserve">have been found upregulated in gastric </w:t>
      </w:r>
      <w:proofErr w:type="gramStart"/>
      <w:r w:rsidR="00F8494D" w:rsidRPr="008A0130">
        <w:rPr>
          <w:rFonts w:ascii="Book Antiqua" w:hAnsi="Book Antiqua" w:cs="Times New Roman"/>
          <w:iCs/>
        </w:rPr>
        <w:t>cancer</w:t>
      </w:r>
      <w:r w:rsidR="009A2E57" w:rsidRPr="008A0130">
        <w:rPr>
          <w:rFonts w:ascii="Book Antiqua" w:hAnsi="Book Antiqua" w:cs="Times New Roman"/>
          <w:iCs/>
          <w:vertAlign w:val="superscript"/>
        </w:rPr>
        <w:t>[</w:t>
      </w:r>
      <w:proofErr w:type="gramEnd"/>
      <w:r w:rsidR="009A2E57" w:rsidRPr="008A0130">
        <w:rPr>
          <w:rFonts w:ascii="Book Antiqua" w:hAnsi="Book Antiqua" w:cs="Times New Roman"/>
          <w:iCs/>
          <w:vertAlign w:val="superscript"/>
        </w:rPr>
        <w:t>47,69-71</w:t>
      </w:r>
      <w:r w:rsidR="00543CB0" w:rsidRPr="008A0130">
        <w:rPr>
          <w:rFonts w:ascii="Book Antiqua" w:hAnsi="Book Antiqua" w:cs="Times New Roman"/>
          <w:iCs/>
          <w:vertAlign w:val="superscript"/>
        </w:rPr>
        <w:t>]</w:t>
      </w:r>
      <w:r w:rsidR="00F8494D" w:rsidRPr="008A0130">
        <w:rPr>
          <w:rFonts w:ascii="Book Antiqua" w:hAnsi="Book Antiqua" w:cs="Times New Roman"/>
          <w:iCs/>
        </w:rPr>
        <w:t xml:space="preserve">. </w:t>
      </w:r>
      <w:r w:rsidR="00795C0B" w:rsidRPr="008A0130">
        <w:rPr>
          <w:rFonts w:ascii="Book Antiqua" w:hAnsi="Book Antiqua" w:cs="Times New Roman"/>
          <w:iCs/>
        </w:rPr>
        <w:t>The overexpression of</w:t>
      </w:r>
      <w:r w:rsidR="00F8494D" w:rsidRPr="008A0130">
        <w:rPr>
          <w:rFonts w:ascii="Book Antiqua" w:hAnsi="Book Antiqua" w:cs="Times New Roman"/>
          <w:iCs/>
        </w:rPr>
        <w:t xml:space="preserve"> </w:t>
      </w:r>
      <w:r w:rsidR="00F8494D" w:rsidRPr="008A0130">
        <w:rPr>
          <w:rFonts w:ascii="Book Antiqua" w:hAnsi="Book Antiqua" w:cs="Times New Roman"/>
          <w:i/>
          <w:iCs/>
        </w:rPr>
        <w:t>Wnt</w:t>
      </w:r>
      <w:r w:rsidR="00AB6AD6" w:rsidRPr="008A0130">
        <w:rPr>
          <w:rFonts w:ascii="Book Antiqua" w:hAnsi="Book Antiqua" w:cs="Times New Roman"/>
          <w:i/>
          <w:iCs/>
        </w:rPr>
        <w:t>-</w:t>
      </w:r>
      <w:r w:rsidR="00F8494D" w:rsidRPr="008A0130">
        <w:rPr>
          <w:rFonts w:ascii="Book Antiqua" w:hAnsi="Book Antiqua" w:cs="Times New Roman"/>
          <w:i/>
          <w:iCs/>
        </w:rPr>
        <w:t>2</w:t>
      </w:r>
      <w:r w:rsidR="00F8494D" w:rsidRPr="008A0130">
        <w:rPr>
          <w:rFonts w:ascii="Book Antiqua" w:hAnsi="Book Antiqua" w:cs="Times New Roman"/>
          <w:iCs/>
        </w:rPr>
        <w:t xml:space="preserve"> was associated with </w:t>
      </w:r>
      <w:r w:rsidR="00F8494D" w:rsidRPr="008A0130">
        <w:rPr>
          <w:rFonts w:ascii="Book Antiqua" w:hAnsi="Book Antiqua" w:cs="Times New Roman"/>
        </w:rPr>
        <w:t xml:space="preserve">cytoplasmic/nuclear ß-catenin accumulation both in intestinal- and diffuse-type </w:t>
      </w:r>
      <w:r w:rsidR="003948C7" w:rsidRPr="008A0130">
        <w:rPr>
          <w:rFonts w:ascii="Book Antiqua" w:hAnsi="Book Antiqua" w:cs="Times New Roman"/>
        </w:rPr>
        <w:t xml:space="preserve">gastric carcinoma, and positively associated with increased metastatic </w:t>
      </w:r>
      <w:proofErr w:type="gramStart"/>
      <w:r w:rsidR="003948C7" w:rsidRPr="008A0130">
        <w:rPr>
          <w:rFonts w:ascii="Book Antiqua" w:hAnsi="Book Antiqua" w:cs="Times New Roman"/>
        </w:rPr>
        <w:t>potential</w:t>
      </w:r>
      <w:r w:rsidR="00B51E66"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70</w:t>
      </w:r>
      <w:r w:rsidR="00543CB0" w:rsidRPr="008A0130">
        <w:rPr>
          <w:rFonts w:ascii="Book Antiqua" w:hAnsi="Book Antiqua" w:cs="Times New Roman"/>
          <w:vertAlign w:val="superscript"/>
        </w:rPr>
        <w:t>]</w:t>
      </w:r>
      <w:r w:rsidR="003948C7" w:rsidRPr="008A0130">
        <w:rPr>
          <w:rFonts w:ascii="Book Antiqua" w:hAnsi="Book Antiqua" w:cs="Times New Roman"/>
        </w:rPr>
        <w:t>.</w:t>
      </w:r>
      <w:r w:rsidR="00213CD9" w:rsidRPr="008A0130">
        <w:rPr>
          <w:rFonts w:ascii="Book Antiqua" w:hAnsi="Book Antiqua" w:cs="Times New Roman"/>
        </w:rPr>
        <w:t xml:space="preserve"> </w:t>
      </w:r>
      <w:r w:rsidRPr="008A0130">
        <w:rPr>
          <w:rFonts w:ascii="Book Antiqua" w:hAnsi="Book Antiqua" w:cs="Times New Roman"/>
        </w:rPr>
        <w:t>Furthermore, the</w:t>
      </w:r>
      <w:r w:rsidR="008F4427" w:rsidRPr="008A0130">
        <w:rPr>
          <w:rFonts w:ascii="Book Antiqua" w:hAnsi="Book Antiqua" w:cs="Times New Roman"/>
        </w:rPr>
        <w:t xml:space="preserve"> upregulation of</w:t>
      </w:r>
      <w:r w:rsidRPr="008A0130">
        <w:rPr>
          <w:rFonts w:ascii="Book Antiqua" w:hAnsi="Book Antiqua" w:cs="Times New Roman"/>
        </w:rPr>
        <w:t xml:space="preserve"> Wnt-1 ligand was</w:t>
      </w:r>
      <w:r w:rsidR="00213CD9" w:rsidRPr="008A0130">
        <w:rPr>
          <w:rFonts w:ascii="Book Antiqua" w:hAnsi="Book Antiqua" w:cs="Times New Roman"/>
        </w:rPr>
        <w:t xml:space="preserve"> found</w:t>
      </w:r>
      <w:r w:rsidR="008F4427" w:rsidRPr="008A0130">
        <w:rPr>
          <w:rFonts w:ascii="Book Antiqua" w:hAnsi="Book Antiqua" w:cs="Times New Roman"/>
        </w:rPr>
        <w:t xml:space="preserve"> playing an important role</w:t>
      </w:r>
      <w:r w:rsidR="00213CD9" w:rsidRPr="008A0130">
        <w:rPr>
          <w:rFonts w:ascii="Book Antiqua" w:hAnsi="Book Antiqua" w:cs="Times New Roman"/>
        </w:rPr>
        <w:t xml:space="preserve"> </w:t>
      </w:r>
      <w:r w:rsidR="008F4427" w:rsidRPr="008A0130">
        <w:rPr>
          <w:rFonts w:ascii="Book Antiqua" w:hAnsi="Book Antiqua" w:cs="Times New Roman"/>
        </w:rPr>
        <w:t xml:space="preserve">either </w:t>
      </w:r>
      <w:r w:rsidRPr="008A0130">
        <w:rPr>
          <w:rFonts w:ascii="Book Antiqua" w:hAnsi="Book Antiqua" w:cs="Times New Roman"/>
        </w:rPr>
        <w:t>in ce</w:t>
      </w:r>
      <w:r w:rsidR="002A74A1" w:rsidRPr="008A0130">
        <w:rPr>
          <w:rFonts w:ascii="Book Antiqua" w:hAnsi="Book Antiqua" w:cs="Times New Roman"/>
        </w:rPr>
        <w:t>llular proliferation of G</w:t>
      </w:r>
      <w:r w:rsidRPr="008A0130">
        <w:rPr>
          <w:rFonts w:ascii="Book Antiqua" w:hAnsi="Book Antiqua" w:cs="Times New Roman"/>
        </w:rPr>
        <w:t>CSCs</w:t>
      </w:r>
      <w:r w:rsidR="008F4427" w:rsidRPr="008A0130">
        <w:rPr>
          <w:rFonts w:ascii="Book Antiqua" w:hAnsi="Book Antiqua" w:cs="Times New Roman"/>
        </w:rPr>
        <w:t xml:space="preserve"> and in </w:t>
      </w:r>
      <w:r w:rsidR="002A74A1" w:rsidRPr="008A0130">
        <w:rPr>
          <w:rFonts w:ascii="Book Antiqua" w:hAnsi="Book Antiqua" w:cs="Times New Roman"/>
        </w:rPr>
        <w:t xml:space="preserve">advanced gastric </w:t>
      </w:r>
      <w:proofErr w:type="gramStart"/>
      <w:r w:rsidR="002A74A1" w:rsidRPr="008A0130">
        <w:rPr>
          <w:rFonts w:ascii="Book Antiqua" w:hAnsi="Book Antiqua" w:cs="Times New Roman"/>
        </w:rPr>
        <w:t>cancer</w:t>
      </w:r>
      <w:r w:rsidRPr="008A0130">
        <w:rPr>
          <w:rFonts w:ascii="Book Antiqua" w:hAnsi="Book Antiqua" w:cs="Times New Roman"/>
          <w:vertAlign w:val="superscript"/>
        </w:rPr>
        <w:t>[</w:t>
      </w:r>
      <w:proofErr w:type="gramEnd"/>
      <w:r w:rsidR="00AB4975" w:rsidRPr="008A0130">
        <w:rPr>
          <w:rFonts w:ascii="Book Antiqua" w:hAnsi="Book Antiqua" w:cs="Times New Roman"/>
          <w:vertAlign w:val="superscript"/>
        </w:rPr>
        <w:t>4</w:t>
      </w:r>
      <w:r w:rsidRPr="008A0130">
        <w:rPr>
          <w:rFonts w:ascii="Book Antiqua" w:hAnsi="Book Antiqua" w:cs="Times New Roman"/>
          <w:vertAlign w:val="superscript"/>
        </w:rPr>
        <w:t>7,</w:t>
      </w:r>
      <w:r w:rsidR="00AB4975" w:rsidRPr="008A0130">
        <w:rPr>
          <w:rFonts w:ascii="Book Antiqua" w:hAnsi="Book Antiqua" w:cs="Times New Roman"/>
          <w:vertAlign w:val="superscript"/>
        </w:rPr>
        <w:t>71</w:t>
      </w:r>
      <w:r w:rsidRPr="008A0130">
        <w:rPr>
          <w:rFonts w:ascii="Book Antiqua" w:hAnsi="Book Antiqua" w:cs="Times New Roman"/>
          <w:vertAlign w:val="superscript"/>
        </w:rPr>
        <w:t>]</w:t>
      </w:r>
      <w:r w:rsidRPr="008A0130">
        <w:rPr>
          <w:rFonts w:ascii="Book Antiqua" w:hAnsi="Book Antiqua" w:cs="Times New Roman"/>
        </w:rPr>
        <w:t>.</w:t>
      </w:r>
      <w:r w:rsidR="00213CD9" w:rsidRPr="008A0130">
        <w:rPr>
          <w:rFonts w:ascii="Book Antiqua" w:hAnsi="Book Antiqua" w:cs="Times New Roman"/>
        </w:rPr>
        <w:t xml:space="preserve"> In this regards, in transgenic mouse models, Oshima </w:t>
      </w:r>
      <w:r w:rsidR="00213CD9" w:rsidRPr="008A0130">
        <w:rPr>
          <w:rFonts w:ascii="Book Antiqua" w:hAnsi="Book Antiqua" w:cs="Times New Roman"/>
          <w:i/>
        </w:rPr>
        <w:t>et al</w:t>
      </w:r>
      <w:r w:rsidR="00213CD9" w:rsidRPr="008A0130">
        <w:rPr>
          <w:rFonts w:ascii="Book Antiqua" w:hAnsi="Book Antiqua" w:cs="Times New Roman"/>
        </w:rPr>
        <w:t xml:space="preserve">. </w:t>
      </w:r>
      <w:r w:rsidR="00543CB0" w:rsidRPr="008A0130">
        <w:rPr>
          <w:rFonts w:ascii="Book Antiqua" w:hAnsi="Book Antiqua" w:cs="Times New Roman"/>
        </w:rPr>
        <w:t xml:space="preserve">observed that </w:t>
      </w:r>
      <w:r w:rsidR="00213CD9" w:rsidRPr="008A0130">
        <w:rPr>
          <w:rFonts w:ascii="Book Antiqua" w:hAnsi="Book Antiqua" w:cs="Times New Roman"/>
        </w:rPr>
        <w:t>Wnt-1 expression together with activation of PGE</w:t>
      </w:r>
      <w:r w:rsidR="00213CD9" w:rsidRPr="008A0130">
        <w:rPr>
          <w:rFonts w:ascii="Book Antiqua" w:hAnsi="Book Antiqua" w:cs="Times New Roman"/>
          <w:vertAlign w:val="subscript"/>
        </w:rPr>
        <w:t xml:space="preserve">2 </w:t>
      </w:r>
      <w:r w:rsidR="00213CD9" w:rsidRPr="008A0130">
        <w:rPr>
          <w:rFonts w:ascii="Book Antiqua" w:hAnsi="Book Antiqua" w:cs="Times New Roman"/>
        </w:rPr>
        <w:t xml:space="preserve">pathway results in invasive gastric adenocarcinoma formation by 1 </w:t>
      </w:r>
      <w:proofErr w:type="gramStart"/>
      <w:r w:rsidR="00213CD9" w:rsidRPr="008A0130">
        <w:rPr>
          <w:rFonts w:ascii="Book Antiqua" w:hAnsi="Book Antiqua" w:cs="Times New Roman"/>
        </w:rPr>
        <w:t>year</w:t>
      </w:r>
      <w:r w:rsidR="00B51E66"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72</w:t>
      </w:r>
      <w:r w:rsidR="00543CB0" w:rsidRPr="008A0130">
        <w:rPr>
          <w:rFonts w:ascii="Book Antiqua" w:hAnsi="Book Antiqua" w:cs="Times New Roman"/>
          <w:vertAlign w:val="superscript"/>
        </w:rPr>
        <w:t>]</w:t>
      </w:r>
      <w:r w:rsidR="00213CD9" w:rsidRPr="008A0130">
        <w:rPr>
          <w:rFonts w:ascii="Book Antiqua" w:hAnsi="Book Antiqua" w:cs="Times New Roman"/>
        </w:rPr>
        <w:t>.</w:t>
      </w:r>
    </w:p>
    <w:p w14:paraId="230FF1E1" w14:textId="090EF73E" w:rsidR="00D83973" w:rsidRPr="008A0130" w:rsidRDefault="00CC2EFA"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i/>
        </w:rPr>
        <w:t>Wnt</w:t>
      </w:r>
      <w:r w:rsidR="00020CF8" w:rsidRPr="008A0130">
        <w:rPr>
          <w:rFonts w:ascii="Book Antiqua" w:hAnsi="Book Antiqua" w:cs="Times New Roman"/>
          <w:i/>
        </w:rPr>
        <w:t>-</w:t>
      </w:r>
      <w:r w:rsidR="00324F72" w:rsidRPr="008A0130">
        <w:rPr>
          <w:rFonts w:ascii="Book Antiqua" w:hAnsi="Book Antiqua" w:cs="Times New Roman"/>
          <w:i/>
        </w:rPr>
        <w:t>5a</w:t>
      </w:r>
      <w:r w:rsidR="00D85805" w:rsidRPr="008A0130">
        <w:rPr>
          <w:rFonts w:ascii="Book Antiqua" w:hAnsi="Book Antiqua" w:cs="Times New Roman"/>
        </w:rPr>
        <w:t xml:space="preserve">, which </w:t>
      </w:r>
      <w:r w:rsidR="00254A92" w:rsidRPr="008A0130">
        <w:rPr>
          <w:rFonts w:ascii="Book Antiqua" w:hAnsi="Book Antiqua" w:cs="Times New Roman"/>
        </w:rPr>
        <w:t>is upregulated in gastric cancer regardless of their histological phenotypes,</w:t>
      </w:r>
      <w:r w:rsidR="00324F72" w:rsidRPr="008A0130">
        <w:rPr>
          <w:rFonts w:ascii="Book Antiqua" w:hAnsi="Book Antiqua" w:cs="Times New Roman"/>
        </w:rPr>
        <w:t xml:space="preserve"> </w:t>
      </w:r>
      <w:r w:rsidR="00300038" w:rsidRPr="008A0130">
        <w:rPr>
          <w:rFonts w:ascii="Book Antiqua" w:hAnsi="Book Antiqua" w:cs="Times New Roman"/>
        </w:rPr>
        <w:t>has an increased</w:t>
      </w:r>
      <w:r w:rsidR="00324F72" w:rsidRPr="008A0130">
        <w:rPr>
          <w:rFonts w:ascii="Book Antiqua" w:hAnsi="Book Antiqua" w:cs="Times New Roman"/>
        </w:rPr>
        <w:t xml:space="preserve"> express</w:t>
      </w:r>
      <w:r w:rsidR="00300038" w:rsidRPr="008A0130">
        <w:rPr>
          <w:rFonts w:ascii="Book Antiqua" w:hAnsi="Book Antiqua" w:cs="Times New Roman"/>
        </w:rPr>
        <w:t>ion</w:t>
      </w:r>
      <w:r w:rsidR="00324F72" w:rsidRPr="008A0130">
        <w:rPr>
          <w:rFonts w:ascii="Book Antiqua" w:hAnsi="Book Antiqua" w:cs="Times New Roman"/>
        </w:rPr>
        <w:t xml:space="preserve"> in advanced stages of gastric c</w:t>
      </w:r>
      <w:r w:rsidR="00254A92" w:rsidRPr="008A0130">
        <w:rPr>
          <w:rFonts w:ascii="Book Antiqua" w:hAnsi="Book Antiqua" w:cs="Times New Roman"/>
        </w:rPr>
        <w:t>ancer and it is</w:t>
      </w:r>
      <w:r w:rsidR="00324F72" w:rsidRPr="008A0130">
        <w:rPr>
          <w:rFonts w:ascii="Book Antiqua" w:hAnsi="Book Antiqua" w:cs="Times New Roman"/>
        </w:rPr>
        <w:t xml:space="preserve"> </w:t>
      </w:r>
      <w:r w:rsidR="00902995" w:rsidRPr="008A0130">
        <w:rPr>
          <w:rFonts w:ascii="Book Antiqua" w:hAnsi="Book Antiqua" w:cs="Times New Roman"/>
        </w:rPr>
        <w:t xml:space="preserve">correlated with poor </w:t>
      </w:r>
      <w:proofErr w:type="gramStart"/>
      <w:r w:rsidR="00902995" w:rsidRPr="008A0130">
        <w:rPr>
          <w:rFonts w:ascii="Book Antiqua" w:hAnsi="Book Antiqua" w:cs="Times New Roman"/>
        </w:rPr>
        <w:t>prognosis</w:t>
      </w:r>
      <w:r w:rsidR="00B51E66"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73,74</w:t>
      </w:r>
      <w:r w:rsidR="00543CB0" w:rsidRPr="008A0130">
        <w:rPr>
          <w:rFonts w:ascii="Book Antiqua" w:hAnsi="Book Antiqua" w:cs="Times New Roman"/>
          <w:vertAlign w:val="superscript"/>
        </w:rPr>
        <w:t>]</w:t>
      </w:r>
      <w:r w:rsidR="00902995" w:rsidRPr="008A0130">
        <w:rPr>
          <w:rFonts w:ascii="Book Antiqua" w:hAnsi="Book Antiqua" w:cs="Times New Roman"/>
        </w:rPr>
        <w:t xml:space="preserve">. </w:t>
      </w:r>
      <w:r w:rsidRPr="008A0130">
        <w:rPr>
          <w:rFonts w:ascii="Book Antiqua" w:hAnsi="Book Antiqua" w:cs="Times New Roman"/>
        </w:rPr>
        <w:t xml:space="preserve">Furthermore, </w:t>
      </w:r>
      <w:r w:rsidR="00AB3E33" w:rsidRPr="008A0130">
        <w:rPr>
          <w:rFonts w:ascii="Book Antiqua" w:hAnsi="Book Antiqua" w:cs="Times New Roman"/>
        </w:rPr>
        <w:t xml:space="preserve">Yuan </w:t>
      </w:r>
      <w:r w:rsidR="00AB3E33" w:rsidRPr="008A0130">
        <w:rPr>
          <w:rFonts w:ascii="Book Antiqua" w:hAnsi="Book Antiqua" w:cs="Times New Roman"/>
          <w:i/>
        </w:rPr>
        <w:t>et al</w:t>
      </w:r>
      <w:r w:rsidR="0048631F" w:rsidRPr="008A0130">
        <w:rPr>
          <w:rFonts w:ascii="Book Antiqua" w:hAnsi="Book Antiqua" w:cs="Times New Roman"/>
          <w:vertAlign w:val="superscript"/>
        </w:rPr>
        <w:t>[75]</w:t>
      </w:r>
      <w:r w:rsidR="00AB3E33" w:rsidRPr="008A0130">
        <w:rPr>
          <w:rFonts w:ascii="Book Antiqua" w:hAnsi="Book Antiqua" w:cs="Times New Roman"/>
          <w:i/>
        </w:rPr>
        <w:t xml:space="preserve"> </w:t>
      </w:r>
      <w:r w:rsidR="00D83973" w:rsidRPr="008A0130">
        <w:rPr>
          <w:rFonts w:ascii="Book Antiqua" w:hAnsi="Book Antiqua" w:cs="Times New Roman"/>
        </w:rPr>
        <w:t xml:space="preserve">demonstrated that </w:t>
      </w:r>
      <w:r w:rsidR="00101E6D" w:rsidRPr="008A0130">
        <w:rPr>
          <w:rFonts w:ascii="Book Antiqua" w:hAnsi="Book Antiqua" w:cs="Times New Roman"/>
        </w:rPr>
        <w:t>caveolin-1 (</w:t>
      </w:r>
      <w:r w:rsidR="00D83973" w:rsidRPr="008A0130">
        <w:rPr>
          <w:rFonts w:ascii="Book Antiqua" w:hAnsi="Book Antiqua" w:cs="Times New Roman"/>
        </w:rPr>
        <w:t>Cav1</w:t>
      </w:r>
      <w:r w:rsidR="00101E6D" w:rsidRPr="008A0130">
        <w:rPr>
          <w:rFonts w:ascii="Book Antiqua" w:hAnsi="Book Antiqua" w:cs="Times New Roman"/>
        </w:rPr>
        <w:t>) and Wnt-</w:t>
      </w:r>
      <w:r w:rsidR="00D83973" w:rsidRPr="008A0130">
        <w:rPr>
          <w:rFonts w:ascii="Book Antiqua" w:hAnsi="Book Antiqua" w:cs="Times New Roman"/>
        </w:rPr>
        <w:t>6 positively cooperate in</w:t>
      </w:r>
      <w:r w:rsidR="00101E6D" w:rsidRPr="008A0130">
        <w:rPr>
          <w:rFonts w:ascii="Book Antiqua" w:hAnsi="Book Antiqua" w:cs="Times New Roman"/>
        </w:rPr>
        <w:t xml:space="preserve"> promoting chemoresistance of gastric cancer</w:t>
      </w:r>
      <w:r w:rsidR="00D83973" w:rsidRPr="008A0130">
        <w:rPr>
          <w:rFonts w:ascii="Book Antiqua" w:hAnsi="Book Antiqua" w:cs="Times New Roman"/>
        </w:rPr>
        <w:t xml:space="preserve"> cells to DNA-damaging anthracycline drugs through activation of the canonical WNT/</w:t>
      </w:r>
      <w:r w:rsidR="00101E6D" w:rsidRPr="008A0130">
        <w:rPr>
          <w:rFonts w:ascii="Book Antiqua" w:hAnsi="Book Antiqua" w:cs="Times New Roman"/>
        </w:rPr>
        <w:t>ß</w:t>
      </w:r>
      <w:r w:rsidR="00D83973" w:rsidRPr="008A0130">
        <w:rPr>
          <w:rFonts w:ascii="Book Antiqua" w:hAnsi="Book Antiqua" w:cs="Times New Roman"/>
        </w:rPr>
        <w:t>-catenin pathway.</w:t>
      </w:r>
      <w:r w:rsidR="00101E6D" w:rsidRPr="008A0130">
        <w:rPr>
          <w:rFonts w:ascii="Book Antiqua" w:hAnsi="Book Antiqua" w:cs="Times New Roman"/>
        </w:rPr>
        <w:t xml:space="preserve"> </w:t>
      </w:r>
      <w:r w:rsidR="00AD7F53" w:rsidRPr="008A0130">
        <w:rPr>
          <w:rFonts w:ascii="Book Antiqua" w:hAnsi="Book Antiqua" w:cs="Times New Roman"/>
        </w:rPr>
        <w:t xml:space="preserve">Caveolin is an integrated plasma membrane protein and is involved in lipid transport, membrane trafficking, gene regulation and signal </w:t>
      </w:r>
      <w:proofErr w:type="gramStart"/>
      <w:r w:rsidR="00AD7F53" w:rsidRPr="008A0130">
        <w:rPr>
          <w:rFonts w:ascii="Book Antiqua" w:hAnsi="Book Antiqua" w:cs="Times New Roman"/>
        </w:rPr>
        <w:t>transduction</w:t>
      </w:r>
      <w:r w:rsidR="00B51E66" w:rsidRPr="008A0130">
        <w:rPr>
          <w:rFonts w:ascii="Book Antiqua" w:eastAsia="Times New Roman" w:hAnsi="Book Antiqua" w:cs="Times New Roman"/>
          <w:vertAlign w:val="superscript"/>
        </w:rPr>
        <w:t>[</w:t>
      </w:r>
      <w:proofErr w:type="gramEnd"/>
      <w:r w:rsidR="00B51E66" w:rsidRPr="008A0130">
        <w:rPr>
          <w:rFonts w:ascii="Book Antiqua" w:eastAsia="Times New Roman" w:hAnsi="Book Antiqua" w:cs="Times New Roman"/>
          <w:vertAlign w:val="superscript"/>
        </w:rPr>
        <w:t>76</w:t>
      </w:r>
      <w:r w:rsidR="00AB4975" w:rsidRPr="008A0130">
        <w:rPr>
          <w:rFonts w:ascii="Book Antiqua" w:eastAsia="Times New Roman" w:hAnsi="Book Antiqua" w:cs="Times New Roman"/>
          <w:vertAlign w:val="superscript"/>
        </w:rPr>
        <w:t>]</w:t>
      </w:r>
      <w:r w:rsidR="00AD7F53" w:rsidRPr="008A0130">
        <w:rPr>
          <w:rFonts w:ascii="Book Antiqua" w:hAnsi="Book Antiqua" w:cs="Times New Roman"/>
        </w:rPr>
        <w:t>. Certain cancer</w:t>
      </w:r>
      <w:r w:rsidR="00101E6D" w:rsidRPr="008A0130">
        <w:rPr>
          <w:rFonts w:ascii="Book Antiqua" w:hAnsi="Book Antiqua" w:cs="Times New Roman"/>
        </w:rPr>
        <w:t xml:space="preserve"> </w:t>
      </w:r>
      <w:r w:rsidR="00AD7F53" w:rsidRPr="008A0130">
        <w:rPr>
          <w:rFonts w:ascii="Book Antiqua" w:hAnsi="Book Antiqua" w:cs="Times New Roman"/>
        </w:rPr>
        <w:t xml:space="preserve">cells that express caveolins </w:t>
      </w:r>
      <w:r w:rsidR="002A126E" w:rsidRPr="008A0130">
        <w:rPr>
          <w:rFonts w:ascii="Book Antiqua" w:hAnsi="Book Antiqua" w:cs="Times New Roman"/>
        </w:rPr>
        <w:t>are</w:t>
      </w:r>
      <w:r w:rsidR="00AD7F53" w:rsidRPr="008A0130">
        <w:rPr>
          <w:rFonts w:ascii="Book Antiqua" w:hAnsi="Book Antiqua" w:cs="Times New Roman"/>
        </w:rPr>
        <w:t xml:space="preserve"> more aggre</w:t>
      </w:r>
      <w:r w:rsidR="002A126E" w:rsidRPr="008A0130">
        <w:rPr>
          <w:rFonts w:ascii="Book Antiqua" w:hAnsi="Book Antiqua" w:cs="Times New Roman"/>
        </w:rPr>
        <w:t>ssive</w:t>
      </w:r>
      <w:r w:rsidR="00AD7F53" w:rsidRPr="008A0130">
        <w:rPr>
          <w:rFonts w:ascii="Book Antiqua" w:hAnsi="Book Antiqua" w:cs="Times New Roman"/>
        </w:rPr>
        <w:t xml:space="preserve"> and metastatic, as well as </w:t>
      </w:r>
      <w:r w:rsidR="00101E6D" w:rsidRPr="008A0130">
        <w:rPr>
          <w:rFonts w:ascii="Book Antiqua" w:hAnsi="Book Antiqua" w:cs="Times New Roman"/>
        </w:rPr>
        <w:t>drug-</w:t>
      </w:r>
      <w:proofErr w:type="gramStart"/>
      <w:r w:rsidR="00101E6D" w:rsidRPr="008A0130">
        <w:rPr>
          <w:rFonts w:ascii="Book Antiqua" w:hAnsi="Book Antiqua" w:cs="Times New Roman"/>
        </w:rPr>
        <w:t>resistant</w:t>
      </w:r>
      <w:r w:rsidR="00B51E66" w:rsidRPr="008A0130">
        <w:rPr>
          <w:rFonts w:ascii="Book Antiqua" w:eastAsia="Times New Roman" w:hAnsi="Book Antiqua" w:cs="Times New Roman"/>
          <w:vertAlign w:val="superscript"/>
        </w:rPr>
        <w:t>[</w:t>
      </w:r>
      <w:proofErr w:type="gramEnd"/>
      <w:r w:rsidR="00B51E66" w:rsidRPr="008A0130">
        <w:rPr>
          <w:rFonts w:ascii="Book Antiqua" w:eastAsia="Times New Roman" w:hAnsi="Book Antiqua" w:cs="Times New Roman"/>
          <w:vertAlign w:val="superscript"/>
        </w:rPr>
        <w:t>77</w:t>
      </w:r>
      <w:r w:rsidR="00AB4975" w:rsidRPr="008A0130">
        <w:rPr>
          <w:rFonts w:ascii="Book Antiqua" w:eastAsia="Times New Roman" w:hAnsi="Book Antiqua" w:cs="Times New Roman"/>
          <w:vertAlign w:val="superscript"/>
        </w:rPr>
        <w:t>]</w:t>
      </w:r>
      <w:r w:rsidR="00101E6D" w:rsidRPr="008A0130">
        <w:rPr>
          <w:rFonts w:ascii="Book Antiqua" w:hAnsi="Book Antiqua" w:cs="Times New Roman"/>
        </w:rPr>
        <w:t>.</w:t>
      </w:r>
    </w:p>
    <w:p w14:paraId="3060B4A7" w14:textId="77DD32C9" w:rsidR="00147BD5" w:rsidRPr="008A0130" w:rsidRDefault="00D95A25"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The upregulation of </w:t>
      </w:r>
      <w:r w:rsidRPr="008A0130">
        <w:rPr>
          <w:rFonts w:ascii="Book Antiqua" w:hAnsi="Book Antiqua" w:cs="Times New Roman"/>
          <w:i/>
        </w:rPr>
        <w:t>Fzd-3</w:t>
      </w:r>
      <w:r w:rsidRPr="008A0130">
        <w:rPr>
          <w:rFonts w:ascii="Book Antiqua" w:hAnsi="Book Antiqua" w:cs="Times New Roman"/>
        </w:rPr>
        <w:t>, Wnt palmitoyltransferase porcupine (</w:t>
      </w:r>
      <w:r w:rsidRPr="008A0130">
        <w:rPr>
          <w:rFonts w:ascii="Book Antiqua" w:hAnsi="Book Antiqua" w:cs="Times New Roman"/>
          <w:i/>
        </w:rPr>
        <w:t>PPN</w:t>
      </w:r>
      <w:r w:rsidRPr="008A0130">
        <w:rPr>
          <w:rFonts w:ascii="Book Antiqua" w:hAnsi="Book Antiqua" w:cs="Times New Roman"/>
        </w:rPr>
        <w:t xml:space="preserve">), </w:t>
      </w:r>
      <w:r w:rsidR="00795C0B" w:rsidRPr="008A0130">
        <w:rPr>
          <w:rFonts w:ascii="Book Antiqua" w:hAnsi="Book Antiqua" w:cs="Times New Roman"/>
        </w:rPr>
        <w:t xml:space="preserve">and </w:t>
      </w:r>
      <w:r w:rsidRPr="008A0130">
        <w:rPr>
          <w:rFonts w:ascii="Book Antiqua" w:hAnsi="Book Antiqua" w:cs="Times New Roman"/>
          <w:i/>
        </w:rPr>
        <w:t>CDH17</w:t>
      </w:r>
      <w:r w:rsidR="00795C0B" w:rsidRPr="008A0130">
        <w:rPr>
          <w:rFonts w:ascii="Book Antiqua" w:hAnsi="Book Antiqua" w:cs="Times New Roman"/>
          <w:i/>
        </w:rPr>
        <w:t xml:space="preserve"> </w:t>
      </w:r>
      <w:r w:rsidR="00795C0B" w:rsidRPr="008A0130">
        <w:rPr>
          <w:rFonts w:ascii="Book Antiqua" w:hAnsi="Book Antiqua" w:cs="Times New Roman"/>
        </w:rPr>
        <w:t>has</w:t>
      </w:r>
      <w:r w:rsidRPr="008A0130">
        <w:rPr>
          <w:rFonts w:ascii="Book Antiqua" w:hAnsi="Book Antiqua" w:cs="Times New Roman"/>
        </w:rPr>
        <w:t xml:space="preserve"> been found to be critical for cell proliferation and activation of the Wnt/</w:t>
      </w:r>
      <w:r w:rsidR="00F926B4" w:rsidRPr="008A0130">
        <w:rPr>
          <w:rFonts w:ascii="Book Antiqua" w:hAnsi="Book Antiqua" w:cs="Times New Roman"/>
        </w:rPr>
        <w:t>β</w:t>
      </w:r>
      <w:r w:rsidRPr="008A0130">
        <w:rPr>
          <w:rFonts w:ascii="Book Antiqua" w:hAnsi="Book Antiqua" w:cs="Times New Roman"/>
        </w:rPr>
        <w:t xml:space="preserve">-catenin signaling pathway in gastric </w:t>
      </w:r>
      <w:proofErr w:type="gramStart"/>
      <w:r w:rsidRPr="008A0130">
        <w:rPr>
          <w:rFonts w:ascii="Book Antiqua" w:hAnsi="Book Antiqua" w:cs="Times New Roman"/>
        </w:rPr>
        <w:t>cancer</w:t>
      </w:r>
      <w:r w:rsidR="00543CB0"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78-80</w:t>
      </w:r>
      <w:r w:rsidR="00543CB0" w:rsidRPr="008A0130">
        <w:rPr>
          <w:rFonts w:ascii="Book Antiqua" w:hAnsi="Book Antiqua" w:cs="Times New Roman"/>
          <w:vertAlign w:val="superscript"/>
        </w:rPr>
        <w:t>]</w:t>
      </w:r>
      <w:r w:rsidRPr="008A0130">
        <w:rPr>
          <w:rFonts w:ascii="Book Antiqua" w:hAnsi="Book Antiqua" w:cs="Times New Roman"/>
        </w:rPr>
        <w:t>.</w:t>
      </w:r>
      <w:r w:rsidR="00147BD5" w:rsidRPr="008A0130">
        <w:rPr>
          <w:rFonts w:ascii="Book Antiqua" w:hAnsi="Book Antiqua" w:cs="Times New Roman"/>
        </w:rPr>
        <w:t xml:space="preserve"> Moreover, </w:t>
      </w:r>
      <w:r w:rsidR="00543CB0" w:rsidRPr="008A0130">
        <w:rPr>
          <w:rFonts w:ascii="Book Antiqua" w:hAnsi="Book Antiqua" w:cs="Times New Roman"/>
        </w:rPr>
        <w:t xml:space="preserve">Lu </w:t>
      </w:r>
      <w:r w:rsidR="00543CB0" w:rsidRPr="008A0130">
        <w:rPr>
          <w:rFonts w:ascii="Book Antiqua" w:hAnsi="Book Antiqua" w:cs="Times New Roman"/>
          <w:i/>
        </w:rPr>
        <w:t xml:space="preserve">et </w:t>
      </w:r>
      <w:proofErr w:type="gramStart"/>
      <w:r w:rsidR="00543CB0" w:rsidRPr="008A0130">
        <w:rPr>
          <w:rFonts w:ascii="Book Antiqua" w:hAnsi="Book Antiqua" w:cs="Times New Roman"/>
          <w:i/>
        </w:rPr>
        <w:t>al</w:t>
      </w:r>
      <w:r w:rsidR="0048631F" w:rsidRPr="008A0130">
        <w:rPr>
          <w:rFonts w:ascii="Book Antiqua" w:hAnsi="Book Antiqua" w:cs="Times New Roman"/>
          <w:vertAlign w:val="superscript"/>
        </w:rPr>
        <w:t>[</w:t>
      </w:r>
      <w:proofErr w:type="gramEnd"/>
      <w:r w:rsidR="0048631F" w:rsidRPr="008A0130">
        <w:rPr>
          <w:rFonts w:ascii="Book Antiqua" w:hAnsi="Book Antiqua" w:cs="Times New Roman"/>
          <w:vertAlign w:val="superscript"/>
        </w:rPr>
        <w:t>81]</w:t>
      </w:r>
      <w:r w:rsidR="00147BD5" w:rsidRPr="008A0130">
        <w:rPr>
          <w:rFonts w:ascii="Book Antiqua" w:hAnsi="Book Antiqua" w:cs="Times New Roman"/>
        </w:rPr>
        <w:t xml:space="preserve"> have provided evidence indicating that EZH2 (histone methyl-transferase, enhancer of zeste homolog 2) activates Wnt signaling in gastric cancer mainly </w:t>
      </w:r>
      <w:r w:rsidR="00795C0B" w:rsidRPr="008A0130">
        <w:rPr>
          <w:rFonts w:ascii="Book Antiqua" w:hAnsi="Book Antiqua" w:cs="Times New Roman"/>
        </w:rPr>
        <w:t>by</w:t>
      </w:r>
      <w:r w:rsidR="00147BD5" w:rsidRPr="008A0130">
        <w:rPr>
          <w:rFonts w:ascii="Book Antiqua" w:hAnsi="Book Antiqua" w:cs="Times New Roman"/>
        </w:rPr>
        <w:t xml:space="preserve"> downregulati</w:t>
      </w:r>
      <w:r w:rsidR="00795C0B" w:rsidRPr="008A0130">
        <w:rPr>
          <w:rFonts w:ascii="Book Antiqua" w:hAnsi="Book Antiqua" w:cs="Times New Roman"/>
        </w:rPr>
        <w:t>ng</w:t>
      </w:r>
      <w:r w:rsidR="00147BD5" w:rsidRPr="008A0130">
        <w:rPr>
          <w:rFonts w:ascii="Book Antiqua" w:hAnsi="Book Antiqua" w:cs="Times New Roman"/>
        </w:rPr>
        <w:t xml:space="preserve"> </w:t>
      </w:r>
      <w:r w:rsidR="00795C0B" w:rsidRPr="008A0130">
        <w:rPr>
          <w:rFonts w:ascii="Book Antiqua" w:hAnsi="Book Antiqua" w:cs="Times New Roman"/>
        </w:rPr>
        <w:t xml:space="preserve">the expression </w:t>
      </w:r>
      <w:r w:rsidR="00147BD5" w:rsidRPr="008A0130">
        <w:rPr>
          <w:rFonts w:ascii="Book Antiqua" w:hAnsi="Book Antiqua" w:cs="Times New Roman"/>
        </w:rPr>
        <w:t xml:space="preserve">of </w:t>
      </w:r>
      <w:r w:rsidR="00147BD5" w:rsidRPr="008A0130">
        <w:rPr>
          <w:rFonts w:ascii="Book Antiqua" w:hAnsi="Book Antiqua" w:cs="Times New Roman"/>
          <w:i/>
        </w:rPr>
        <w:t>CXXC4</w:t>
      </w:r>
      <w:r w:rsidR="00147BD5" w:rsidRPr="008A0130">
        <w:rPr>
          <w:rFonts w:ascii="Book Antiqua" w:hAnsi="Book Antiqua" w:cs="Times New Roman"/>
        </w:rPr>
        <w:t xml:space="preserve"> (C</w:t>
      </w:r>
      <w:r w:rsidR="00795C0B" w:rsidRPr="008A0130">
        <w:rPr>
          <w:rFonts w:ascii="Book Antiqua" w:hAnsi="Book Antiqua" w:cs="Times New Roman"/>
        </w:rPr>
        <w:t>XXC finger protein 4)</w:t>
      </w:r>
      <w:r w:rsidR="00147BD5" w:rsidRPr="008A0130">
        <w:rPr>
          <w:rFonts w:ascii="Book Antiqua" w:hAnsi="Book Antiqua" w:cs="Times New Roman"/>
        </w:rPr>
        <w:t xml:space="preserve"> without involving DNA methylation.</w:t>
      </w:r>
      <w:r w:rsidR="00AE5D60" w:rsidRPr="008A0130">
        <w:rPr>
          <w:rFonts w:ascii="Book Antiqua" w:hAnsi="Book Antiqua" w:cs="Times New Roman"/>
        </w:rPr>
        <w:t xml:space="preserve"> It was also confirmed that overexpression of </w:t>
      </w:r>
      <w:r w:rsidR="00AE5D60" w:rsidRPr="008A0130">
        <w:rPr>
          <w:rFonts w:ascii="Book Antiqua" w:hAnsi="Book Antiqua" w:cs="Times New Roman"/>
          <w:i/>
        </w:rPr>
        <w:lastRenderedPageBreak/>
        <w:t>CXXC4</w:t>
      </w:r>
      <w:r w:rsidR="00AE5D60" w:rsidRPr="008A0130">
        <w:rPr>
          <w:rFonts w:ascii="Book Antiqua" w:hAnsi="Book Antiqua" w:cs="Times New Roman"/>
        </w:rPr>
        <w:t xml:space="preserve"> disrupts the association of Dvl with Axin–GSK-3ß by directly interacting with Dvl, thus functioning as a tumor </w:t>
      </w:r>
      <w:proofErr w:type="gramStart"/>
      <w:r w:rsidR="00AE5D60" w:rsidRPr="008A0130">
        <w:rPr>
          <w:rFonts w:ascii="Book Antiqua" w:hAnsi="Book Antiqua" w:cs="Times New Roman"/>
        </w:rPr>
        <w:t>suppressor</w:t>
      </w:r>
      <w:r w:rsidR="00B51E66"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81</w:t>
      </w:r>
      <w:r w:rsidR="00543CB0" w:rsidRPr="008A0130">
        <w:rPr>
          <w:rFonts w:ascii="Book Antiqua" w:hAnsi="Book Antiqua" w:cs="Times New Roman"/>
          <w:vertAlign w:val="superscript"/>
        </w:rPr>
        <w:t>]</w:t>
      </w:r>
      <w:r w:rsidR="00AE5D60" w:rsidRPr="008A0130">
        <w:rPr>
          <w:rFonts w:ascii="Book Antiqua" w:hAnsi="Book Antiqua" w:cs="Times New Roman"/>
        </w:rPr>
        <w:t>.</w:t>
      </w:r>
      <w:r w:rsidR="00790FCB" w:rsidRPr="008A0130">
        <w:rPr>
          <w:rFonts w:ascii="Book Antiqua" w:hAnsi="Book Antiqua" w:cs="Times New Roman"/>
        </w:rPr>
        <w:t xml:space="preserve"> </w:t>
      </w:r>
    </w:p>
    <w:p w14:paraId="162B9D94" w14:textId="37DEA445" w:rsidR="002624A9" w:rsidRPr="008A0130" w:rsidRDefault="00B332AC"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Upregulation of </w:t>
      </w:r>
      <w:r w:rsidR="008B2615" w:rsidRPr="008A0130">
        <w:rPr>
          <w:rFonts w:ascii="Book Antiqua" w:hAnsi="Book Antiqua" w:cs="Times New Roman"/>
        </w:rPr>
        <w:t xml:space="preserve">Actin-binding protein anillin (ANLN), </w:t>
      </w:r>
      <w:r w:rsidR="00795C0B" w:rsidRPr="008A0130">
        <w:rPr>
          <w:rFonts w:ascii="Book Antiqua" w:hAnsi="Book Antiqua" w:cs="Times New Roman"/>
        </w:rPr>
        <w:t xml:space="preserve">a protein </w:t>
      </w:r>
      <w:r w:rsidR="008B2615" w:rsidRPr="008A0130">
        <w:rPr>
          <w:rFonts w:ascii="Book Antiqua" w:hAnsi="Book Antiqua" w:cs="Times New Roman"/>
        </w:rPr>
        <w:t xml:space="preserve">involved in the cytokinesis and known to be dysregulated in many </w:t>
      </w:r>
      <w:r w:rsidRPr="008A0130">
        <w:rPr>
          <w:rFonts w:ascii="Book Antiqua" w:hAnsi="Book Antiqua" w:cs="Times New Roman"/>
        </w:rPr>
        <w:t>cancers</w:t>
      </w:r>
      <w:r w:rsidR="008B2615" w:rsidRPr="008A0130">
        <w:rPr>
          <w:rFonts w:ascii="Book Antiqua" w:hAnsi="Book Antiqua" w:cs="Times New Roman"/>
        </w:rPr>
        <w:t xml:space="preserve">, was found </w:t>
      </w:r>
      <w:r w:rsidRPr="008A0130">
        <w:rPr>
          <w:rFonts w:ascii="Book Antiqua" w:hAnsi="Book Antiqua" w:cs="Times New Roman"/>
        </w:rPr>
        <w:t>responding to the activity of Wnt/</w:t>
      </w:r>
      <w:r w:rsidR="00F926B4" w:rsidRPr="008A0130">
        <w:rPr>
          <w:rFonts w:ascii="Book Antiqua" w:hAnsi="Book Antiqua" w:cs="Times New Roman"/>
        </w:rPr>
        <w:t>β</w:t>
      </w:r>
      <w:r w:rsidRPr="008A0130">
        <w:rPr>
          <w:rFonts w:ascii="Book Antiqua" w:hAnsi="Book Antiqua" w:cs="Times New Roman"/>
        </w:rPr>
        <w:t xml:space="preserve">-catenin pathway in gastric </w:t>
      </w:r>
      <w:proofErr w:type="gramStart"/>
      <w:r w:rsidRPr="008A0130">
        <w:rPr>
          <w:rFonts w:ascii="Book Antiqua" w:hAnsi="Book Antiqua" w:cs="Times New Roman"/>
        </w:rPr>
        <w:t>cancer</w:t>
      </w:r>
      <w:r w:rsidR="00B51E66"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82</w:t>
      </w:r>
      <w:r w:rsidR="00543CB0" w:rsidRPr="008A0130">
        <w:rPr>
          <w:rFonts w:ascii="Book Antiqua" w:hAnsi="Book Antiqua" w:cs="Times New Roman"/>
          <w:vertAlign w:val="superscript"/>
        </w:rPr>
        <w:t>]</w:t>
      </w:r>
      <w:r w:rsidRPr="008A0130">
        <w:rPr>
          <w:rFonts w:ascii="Book Antiqua" w:hAnsi="Book Antiqua" w:cs="Times New Roman"/>
        </w:rPr>
        <w:t xml:space="preserve">. Moreover, elevated expression of </w:t>
      </w:r>
      <w:r w:rsidRPr="008A0130">
        <w:rPr>
          <w:rFonts w:ascii="Book Antiqua" w:hAnsi="Book Antiqua" w:cs="Times New Roman"/>
          <w:i/>
        </w:rPr>
        <w:t>ANLN</w:t>
      </w:r>
      <w:r w:rsidRPr="008A0130">
        <w:rPr>
          <w:rFonts w:ascii="Book Antiqua" w:hAnsi="Book Antiqua" w:cs="Times New Roman"/>
        </w:rPr>
        <w:t xml:space="preserve"> was identified as a molecular predictor of intestinal and proliferative type gastric </w:t>
      </w:r>
      <w:proofErr w:type="gramStart"/>
      <w:r w:rsidRPr="008A0130">
        <w:rPr>
          <w:rFonts w:ascii="Book Antiqua" w:hAnsi="Book Antiqua" w:cs="Times New Roman"/>
        </w:rPr>
        <w:t>cancer</w:t>
      </w:r>
      <w:r w:rsidR="00B51E66"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82</w:t>
      </w:r>
      <w:r w:rsidR="00795C0B" w:rsidRPr="008A0130">
        <w:rPr>
          <w:rFonts w:ascii="Book Antiqua" w:hAnsi="Book Antiqua" w:cs="Times New Roman"/>
          <w:vertAlign w:val="superscript"/>
        </w:rPr>
        <w:t>]</w:t>
      </w:r>
      <w:r w:rsidRPr="008A0130">
        <w:rPr>
          <w:rFonts w:ascii="Book Antiqua" w:hAnsi="Book Antiqua" w:cs="Times New Roman"/>
        </w:rPr>
        <w:t>.</w:t>
      </w:r>
      <w:r w:rsidR="002624A9" w:rsidRPr="008A0130">
        <w:rPr>
          <w:rFonts w:ascii="Book Antiqua" w:hAnsi="Book Antiqua" w:cs="Times New Roman"/>
        </w:rPr>
        <w:t xml:space="preserve"> Similarly, </w:t>
      </w:r>
      <w:r w:rsidR="002624A9" w:rsidRPr="008A0130">
        <w:rPr>
          <w:rFonts w:ascii="Book Antiqua" w:eastAsia="Times New Roman" w:hAnsi="Book Antiqua" w:cs="Times New Roman"/>
          <w:lang w:val="es-ES_tradnl"/>
        </w:rPr>
        <w:t xml:space="preserve">cyclin-dependent kinase 8 expression and the delocalization of </w:t>
      </w:r>
      <w:r w:rsidR="00F926B4" w:rsidRPr="008A0130">
        <w:rPr>
          <w:rFonts w:ascii="Book Antiqua" w:eastAsia="Times New Roman" w:hAnsi="Book Antiqua" w:cs="Times New Roman"/>
          <w:lang w:val="es-ES_tradnl"/>
        </w:rPr>
        <w:t>β</w:t>
      </w:r>
      <w:r w:rsidR="002624A9" w:rsidRPr="008A0130">
        <w:rPr>
          <w:rFonts w:ascii="Book Antiqua" w:eastAsia="Times New Roman" w:hAnsi="Book Antiqua" w:cs="Times New Roman"/>
          <w:lang w:val="es-ES_tradnl"/>
        </w:rPr>
        <w:t xml:space="preserve">-catenin expression have shown a significant positive correlation with carcinogenesis and tumor progression, especially lymph node </w:t>
      </w:r>
      <w:proofErr w:type="gramStart"/>
      <w:r w:rsidR="002624A9" w:rsidRPr="008A0130">
        <w:rPr>
          <w:rFonts w:ascii="Book Antiqua" w:eastAsia="Times New Roman" w:hAnsi="Book Antiqua" w:cs="Times New Roman"/>
          <w:lang w:val="es-ES_tradnl"/>
        </w:rPr>
        <w:t>metastasis</w:t>
      </w:r>
      <w:r w:rsidR="00B51E66" w:rsidRPr="008A0130">
        <w:rPr>
          <w:rFonts w:ascii="Book Antiqua" w:eastAsia="Times New Roman" w:hAnsi="Book Antiqua" w:cs="Times New Roman"/>
          <w:vertAlign w:val="superscript"/>
        </w:rPr>
        <w:t>[</w:t>
      </w:r>
      <w:proofErr w:type="gramEnd"/>
      <w:r w:rsidR="00B51E66" w:rsidRPr="008A0130">
        <w:rPr>
          <w:rFonts w:ascii="Book Antiqua" w:eastAsia="Times New Roman" w:hAnsi="Book Antiqua" w:cs="Times New Roman"/>
          <w:vertAlign w:val="superscript"/>
        </w:rPr>
        <w:t>83</w:t>
      </w:r>
      <w:r w:rsidR="00AB4975" w:rsidRPr="008A0130">
        <w:rPr>
          <w:rFonts w:ascii="Book Antiqua" w:eastAsia="Times New Roman" w:hAnsi="Book Antiqua" w:cs="Times New Roman"/>
          <w:vertAlign w:val="superscript"/>
        </w:rPr>
        <w:t>]</w:t>
      </w:r>
      <w:r w:rsidR="002624A9" w:rsidRPr="008A0130">
        <w:rPr>
          <w:rFonts w:ascii="Book Antiqua" w:eastAsia="Times New Roman" w:hAnsi="Book Antiqua" w:cs="Times New Roman"/>
          <w:lang w:val="es-ES_tradnl"/>
        </w:rPr>
        <w:t>.</w:t>
      </w:r>
    </w:p>
    <w:p w14:paraId="079B2E47" w14:textId="4C14550B" w:rsidR="00877CCD" w:rsidRPr="008A0130" w:rsidRDefault="00795C0B" w:rsidP="008A0130">
      <w:pPr>
        <w:spacing w:line="360" w:lineRule="auto"/>
        <w:ind w:firstLineChars="100" w:firstLine="240"/>
        <w:jc w:val="both"/>
        <w:rPr>
          <w:rFonts w:ascii="Book Antiqua" w:hAnsi="Book Antiqua" w:cs="Times New Roman"/>
        </w:rPr>
      </w:pPr>
      <w:r w:rsidRPr="008A0130">
        <w:rPr>
          <w:rFonts w:ascii="Book Antiqua" w:hAnsi="Book Antiqua" w:cs="Times New Roman"/>
        </w:rPr>
        <w:t>On the other hand, t</w:t>
      </w:r>
      <w:r w:rsidR="00147BD5" w:rsidRPr="008A0130">
        <w:rPr>
          <w:rFonts w:ascii="Book Antiqua" w:hAnsi="Book Antiqua" w:cs="Times New Roman"/>
        </w:rPr>
        <w:t xml:space="preserve">he ubiquitously distributed transcription factor Yin Yang 1 (YY1) can </w:t>
      </w:r>
      <w:r w:rsidR="00425676" w:rsidRPr="008A0130">
        <w:rPr>
          <w:rFonts w:ascii="Book Antiqua" w:hAnsi="Book Antiqua" w:cs="Times New Roman"/>
        </w:rPr>
        <w:t xml:space="preserve">act either </w:t>
      </w:r>
      <w:r w:rsidR="00147BD5" w:rsidRPr="008A0130">
        <w:rPr>
          <w:rFonts w:ascii="Book Antiqua" w:hAnsi="Book Antiqua" w:cs="Times New Roman"/>
        </w:rPr>
        <w:t xml:space="preserve">as a tumor suppressor gene or </w:t>
      </w:r>
      <w:r w:rsidRPr="008A0130">
        <w:rPr>
          <w:rFonts w:ascii="Book Antiqua" w:hAnsi="Book Antiqua" w:cs="Times New Roman"/>
        </w:rPr>
        <w:t xml:space="preserve">as an </w:t>
      </w:r>
      <w:r w:rsidR="00147BD5" w:rsidRPr="008A0130">
        <w:rPr>
          <w:rFonts w:ascii="Book Antiqua" w:hAnsi="Book Antiqua" w:cs="Times New Roman"/>
        </w:rPr>
        <w:t>oncogene depending on the types of tumors</w:t>
      </w:r>
      <w:r w:rsidR="00425676" w:rsidRPr="008A0130">
        <w:rPr>
          <w:rFonts w:ascii="Book Antiqua" w:hAnsi="Book Antiqua" w:cs="Times New Roman"/>
        </w:rPr>
        <w:t>. This dual behavior</w:t>
      </w:r>
      <w:r w:rsidRPr="008A0130">
        <w:rPr>
          <w:rFonts w:ascii="Book Antiqua" w:hAnsi="Book Antiqua" w:cs="Times New Roman"/>
        </w:rPr>
        <w:t xml:space="preserve"> </w:t>
      </w:r>
      <w:r w:rsidR="00147BD5" w:rsidRPr="008A0130">
        <w:rPr>
          <w:rFonts w:ascii="Book Antiqua" w:hAnsi="Book Antiqua" w:cs="Times New Roman"/>
        </w:rPr>
        <w:t>might</w:t>
      </w:r>
      <w:r w:rsidR="000A6B16" w:rsidRPr="008A0130">
        <w:rPr>
          <w:rFonts w:ascii="Book Antiqua" w:hAnsi="Book Antiqua" w:cs="Times New Roman"/>
        </w:rPr>
        <w:t xml:space="preserve"> be</w:t>
      </w:r>
      <w:r w:rsidR="00147BD5" w:rsidRPr="008A0130">
        <w:rPr>
          <w:rFonts w:ascii="Book Antiqua" w:hAnsi="Book Antiqua" w:cs="Times New Roman"/>
        </w:rPr>
        <w:t xml:space="preserve"> determined by cell context, oncogenic stimulation or the regulation of its upstream </w:t>
      </w:r>
      <w:proofErr w:type="gramStart"/>
      <w:r w:rsidR="00147BD5" w:rsidRPr="008A0130">
        <w:rPr>
          <w:rFonts w:ascii="Book Antiqua" w:hAnsi="Book Antiqua" w:cs="Times New Roman"/>
        </w:rPr>
        <w:t>pathways</w:t>
      </w:r>
      <w:r w:rsidR="00543CB0" w:rsidRPr="008A0130">
        <w:rPr>
          <w:rFonts w:ascii="Book Antiqua" w:hAnsi="Book Antiqua" w:cs="Times New Roman"/>
          <w:vertAlign w:val="superscript"/>
        </w:rPr>
        <w:t>[</w:t>
      </w:r>
      <w:proofErr w:type="gramEnd"/>
      <w:r w:rsidR="00986E03" w:rsidRPr="008A0130">
        <w:rPr>
          <w:rFonts w:ascii="Book Antiqua" w:hAnsi="Book Antiqua" w:cs="Times New Roman"/>
          <w:vertAlign w:val="superscript"/>
        </w:rPr>
        <w:t>8</w:t>
      </w:r>
      <w:r w:rsidR="00B51E66" w:rsidRPr="008A0130">
        <w:rPr>
          <w:rFonts w:ascii="Book Antiqua" w:hAnsi="Book Antiqua" w:cs="Times New Roman"/>
          <w:vertAlign w:val="superscript"/>
        </w:rPr>
        <w:t>4,85</w:t>
      </w:r>
      <w:r w:rsidR="00543CB0" w:rsidRPr="008A0130">
        <w:rPr>
          <w:rFonts w:ascii="Book Antiqua" w:hAnsi="Book Antiqua" w:cs="Times New Roman"/>
          <w:vertAlign w:val="superscript"/>
        </w:rPr>
        <w:t>]</w:t>
      </w:r>
      <w:r w:rsidR="00147BD5" w:rsidRPr="008A0130">
        <w:rPr>
          <w:rFonts w:ascii="Book Antiqua" w:hAnsi="Book Antiqua" w:cs="Times New Roman"/>
        </w:rPr>
        <w:t xml:space="preserve">. YY1 was found </w:t>
      </w:r>
      <w:r w:rsidRPr="008A0130">
        <w:rPr>
          <w:rFonts w:ascii="Book Antiqua" w:hAnsi="Book Antiqua" w:cs="Times New Roman"/>
        </w:rPr>
        <w:t>to promote</w:t>
      </w:r>
      <w:r w:rsidR="00147BD5" w:rsidRPr="008A0130">
        <w:rPr>
          <w:rFonts w:ascii="Book Antiqua" w:hAnsi="Book Antiqua" w:cs="Times New Roman"/>
        </w:rPr>
        <w:t xml:space="preserve"> the Wnt signaling pathway in gastric cancer, probably by suppressing Wnt </w:t>
      </w:r>
      <w:proofErr w:type="gramStart"/>
      <w:r w:rsidR="00147BD5" w:rsidRPr="008A0130">
        <w:rPr>
          <w:rFonts w:ascii="Book Antiqua" w:hAnsi="Book Antiqua" w:cs="Times New Roman"/>
        </w:rPr>
        <w:t>antagonists</w:t>
      </w:r>
      <w:r w:rsidR="00B51E66"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86</w:t>
      </w:r>
      <w:r w:rsidR="00543CB0" w:rsidRPr="008A0130">
        <w:rPr>
          <w:rFonts w:ascii="Book Antiqua" w:hAnsi="Book Antiqua" w:cs="Times New Roman"/>
          <w:vertAlign w:val="superscript"/>
        </w:rPr>
        <w:t>]</w:t>
      </w:r>
      <w:r w:rsidR="00147BD5" w:rsidRPr="008A0130">
        <w:rPr>
          <w:rFonts w:ascii="Book Antiqua" w:hAnsi="Book Antiqua" w:cs="Times New Roman"/>
        </w:rPr>
        <w:t>.</w:t>
      </w:r>
      <w:r w:rsidR="00790FCB" w:rsidRPr="008A0130">
        <w:rPr>
          <w:rFonts w:ascii="Book Antiqua" w:hAnsi="Book Antiqua" w:cs="Times New Roman"/>
        </w:rPr>
        <w:t xml:space="preserve"> </w:t>
      </w:r>
      <w:r w:rsidR="00147BD5" w:rsidRPr="008A0130">
        <w:rPr>
          <w:rFonts w:ascii="Book Antiqua" w:hAnsi="Book Antiqua" w:cs="Times New Roman"/>
          <w:i/>
        </w:rPr>
        <w:t>YY1</w:t>
      </w:r>
      <w:r w:rsidR="00147BD5" w:rsidRPr="008A0130">
        <w:rPr>
          <w:rFonts w:ascii="Book Antiqua" w:hAnsi="Book Antiqua" w:cs="Times New Roman"/>
        </w:rPr>
        <w:t xml:space="preserve"> expression is involved in the carcinogenesis of diffuse-type gastric carcinoma, and it was correlated with poor prognosis in patients with early stage gastric </w:t>
      </w:r>
      <w:proofErr w:type="gramStart"/>
      <w:r w:rsidR="00147BD5" w:rsidRPr="008A0130">
        <w:rPr>
          <w:rFonts w:ascii="Book Antiqua" w:hAnsi="Book Antiqua" w:cs="Times New Roman"/>
        </w:rPr>
        <w:t>cancer</w:t>
      </w:r>
      <w:r w:rsidR="00B51E66" w:rsidRPr="008A0130">
        <w:rPr>
          <w:rFonts w:ascii="Book Antiqua" w:hAnsi="Book Antiqua" w:cs="Times New Roman"/>
          <w:vertAlign w:val="superscript"/>
        </w:rPr>
        <w:t>[</w:t>
      </w:r>
      <w:proofErr w:type="gramEnd"/>
      <w:r w:rsidR="00B51E66" w:rsidRPr="008A0130">
        <w:rPr>
          <w:rFonts w:ascii="Book Antiqua" w:hAnsi="Book Antiqua" w:cs="Times New Roman"/>
          <w:vertAlign w:val="superscript"/>
        </w:rPr>
        <w:t>86</w:t>
      </w:r>
      <w:r w:rsidR="00543CB0" w:rsidRPr="008A0130">
        <w:rPr>
          <w:rFonts w:ascii="Book Antiqua" w:hAnsi="Book Antiqua" w:cs="Times New Roman"/>
          <w:vertAlign w:val="superscript"/>
        </w:rPr>
        <w:t>]</w:t>
      </w:r>
      <w:r w:rsidR="00147BD5" w:rsidRPr="008A0130">
        <w:rPr>
          <w:rFonts w:ascii="Book Antiqua" w:hAnsi="Book Antiqua" w:cs="Times New Roman"/>
        </w:rPr>
        <w:t>.</w:t>
      </w:r>
      <w:r w:rsidR="00790FCB" w:rsidRPr="008A0130">
        <w:rPr>
          <w:rFonts w:ascii="Book Antiqua" w:hAnsi="Book Antiqua" w:cs="Times New Roman"/>
        </w:rPr>
        <w:t xml:space="preserve"> </w:t>
      </w:r>
    </w:p>
    <w:p w14:paraId="674AFD15" w14:textId="561EC408" w:rsidR="00877CCD" w:rsidRPr="008A0130" w:rsidRDefault="004425B7"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w:rPr>
        <w:t>It has been suggested the existence of a</w:t>
      </w:r>
      <w:r w:rsidR="002A74A1" w:rsidRPr="008A0130">
        <w:rPr>
          <w:rFonts w:ascii="Book Antiqua" w:hAnsi="Book Antiqua" w:cs="Times"/>
        </w:rPr>
        <w:t>n</w:t>
      </w:r>
      <w:r w:rsidRPr="008A0130">
        <w:rPr>
          <w:rFonts w:ascii="Book Antiqua" w:hAnsi="Book Antiqua" w:cs="Times"/>
        </w:rPr>
        <w:t xml:space="preserve"> </w:t>
      </w:r>
      <w:r w:rsidR="002A74A1" w:rsidRPr="008A0130">
        <w:rPr>
          <w:rFonts w:ascii="Book Antiqua" w:hAnsi="Book Antiqua" w:cs="Times"/>
        </w:rPr>
        <w:t>interplay</w:t>
      </w:r>
      <w:r w:rsidRPr="008A0130">
        <w:rPr>
          <w:rFonts w:ascii="Book Antiqua" w:hAnsi="Book Antiqua" w:cs="Times"/>
        </w:rPr>
        <w:t xml:space="preserve"> between the Wnt signaling cascade</w:t>
      </w:r>
      <w:r w:rsidR="002A74A1" w:rsidRPr="008A0130">
        <w:rPr>
          <w:rFonts w:ascii="Book Antiqua" w:hAnsi="Book Antiqua" w:cs="Times"/>
        </w:rPr>
        <w:t xml:space="preserve"> and Notch1 signaling pathway in</w:t>
      </w:r>
      <w:r w:rsidRPr="008A0130">
        <w:rPr>
          <w:rFonts w:ascii="Book Antiqua" w:hAnsi="Book Antiqua" w:cs="Times"/>
        </w:rPr>
        <w:t xml:space="preserve"> gastric cancer cells, in which t</w:t>
      </w:r>
      <w:r w:rsidR="00877CCD" w:rsidRPr="008A0130">
        <w:rPr>
          <w:rFonts w:ascii="Book Antiqua" w:hAnsi="Book Antiqua" w:cs="Times"/>
        </w:rPr>
        <w:t>he aberrant activation of Wnt/</w:t>
      </w:r>
      <w:r w:rsidR="00877CCD" w:rsidRPr="008A0130">
        <w:rPr>
          <w:rFonts w:ascii="Book Antiqua" w:hAnsi="Book Antiqua" w:cs="Times New Roman"/>
        </w:rPr>
        <w:t>ß-catenin</w:t>
      </w:r>
      <w:r w:rsidR="00877CCD" w:rsidRPr="008A0130">
        <w:rPr>
          <w:rFonts w:ascii="Book Antiqua" w:hAnsi="Book Antiqua" w:cs="Times"/>
        </w:rPr>
        <w:t xml:space="preserve"> signaling overcomes the pro-apoptotic role of Notch in gastric cancer cells</w:t>
      </w:r>
      <w:r w:rsidR="00B51E66" w:rsidRPr="008A0130">
        <w:rPr>
          <w:rFonts w:ascii="Book Antiqua" w:eastAsia="Times New Roman" w:hAnsi="Book Antiqua" w:cs="Times New Roman"/>
          <w:vertAlign w:val="superscript"/>
        </w:rPr>
        <w:t>[87</w:t>
      </w:r>
      <w:r w:rsidR="00FA5AAD" w:rsidRPr="008A0130">
        <w:rPr>
          <w:rFonts w:ascii="Book Antiqua" w:eastAsia="Times New Roman" w:hAnsi="Book Antiqua" w:cs="Times New Roman"/>
          <w:vertAlign w:val="superscript"/>
        </w:rPr>
        <w:t>]</w:t>
      </w:r>
      <w:r w:rsidR="00877CCD" w:rsidRPr="008A0130">
        <w:rPr>
          <w:rFonts w:ascii="Book Antiqua" w:hAnsi="Book Antiqua" w:cs="Times"/>
        </w:rPr>
        <w:t xml:space="preserve">. </w:t>
      </w:r>
      <w:r w:rsidRPr="008A0130">
        <w:rPr>
          <w:rFonts w:ascii="Book Antiqua" w:hAnsi="Book Antiqua" w:cs="Times"/>
        </w:rPr>
        <w:t xml:space="preserve">Furthermore, </w:t>
      </w:r>
      <w:r w:rsidR="00877CCD" w:rsidRPr="008A0130">
        <w:rPr>
          <w:rFonts w:ascii="Book Antiqua" w:hAnsi="Book Antiqua" w:cs="Times"/>
        </w:rPr>
        <w:t xml:space="preserve">Li </w:t>
      </w:r>
      <w:r w:rsidR="00877CCD" w:rsidRPr="008A0130">
        <w:rPr>
          <w:rFonts w:ascii="Book Antiqua" w:hAnsi="Book Antiqua" w:cs="Times"/>
          <w:i/>
        </w:rPr>
        <w:t>et al</w:t>
      </w:r>
      <w:r w:rsidR="0048631F" w:rsidRPr="008A0130">
        <w:rPr>
          <w:rFonts w:ascii="Book Antiqua" w:eastAsia="Times New Roman" w:hAnsi="Book Antiqua" w:cs="Times New Roman"/>
          <w:vertAlign w:val="superscript"/>
        </w:rPr>
        <w:t>[87]</w:t>
      </w:r>
      <w:r w:rsidR="00877CCD" w:rsidRPr="008A0130">
        <w:rPr>
          <w:rFonts w:ascii="Book Antiqua" w:hAnsi="Book Antiqua" w:cs="Times"/>
        </w:rPr>
        <w:t xml:space="preserve"> </w:t>
      </w:r>
      <w:r w:rsidRPr="008A0130">
        <w:rPr>
          <w:rFonts w:ascii="Book Antiqua" w:hAnsi="Book Antiqua" w:cs="Times"/>
        </w:rPr>
        <w:t>observed that w</w:t>
      </w:r>
      <w:r w:rsidR="00877CCD" w:rsidRPr="008A0130">
        <w:rPr>
          <w:rFonts w:ascii="Book Antiqua" w:hAnsi="Book Antiqua" w:cs="Times"/>
        </w:rPr>
        <w:t>hen the two sig</w:t>
      </w:r>
      <w:r w:rsidRPr="008A0130">
        <w:rPr>
          <w:rFonts w:ascii="Book Antiqua" w:hAnsi="Book Antiqua" w:cs="Times"/>
        </w:rPr>
        <w:t>naling pathways were simultane</w:t>
      </w:r>
      <w:r w:rsidR="00877CCD" w:rsidRPr="008A0130">
        <w:rPr>
          <w:rFonts w:ascii="Book Antiqua" w:hAnsi="Book Antiqua" w:cs="Times"/>
        </w:rPr>
        <w:t xml:space="preserve">ously activated, there was a combined effect of promoting the proliferation of </w:t>
      </w:r>
      <w:r w:rsidRPr="008A0130">
        <w:rPr>
          <w:rFonts w:ascii="Book Antiqua" w:hAnsi="Book Antiqua" w:cs="Times"/>
        </w:rPr>
        <w:t xml:space="preserve">gastric cancer BGC-823 </w:t>
      </w:r>
      <w:r w:rsidR="00877CCD" w:rsidRPr="008A0130">
        <w:rPr>
          <w:rFonts w:ascii="Book Antiqua" w:hAnsi="Book Antiqua" w:cs="Times"/>
        </w:rPr>
        <w:t>cells by upregulating the expression of c-Myc, cyclin D1, cyclin E and CDK2</w:t>
      </w:r>
      <w:r w:rsidRPr="008A0130">
        <w:rPr>
          <w:rFonts w:ascii="Book Antiqua" w:hAnsi="Book Antiqua" w:cs="Times"/>
        </w:rPr>
        <w:t>.</w:t>
      </w:r>
    </w:p>
    <w:p w14:paraId="7553519A" w14:textId="77777777" w:rsidR="0048631F" w:rsidRPr="008A0130" w:rsidRDefault="0048631F" w:rsidP="008A0130">
      <w:pPr>
        <w:widowControl w:val="0"/>
        <w:autoSpaceDE w:val="0"/>
        <w:autoSpaceDN w:val="0"/>
        <w:adjustRightInd w:val="0"/>
        <w:spacing w:line="360" w:lineRule="auto"/>
        <w:jc w:val="both"/>
        <w:rPr>
          <w:rFonts w:ascii="Book Antiqua" w:eastAsia="宋体" w:hAnsi="Book Antiqua" w:cs="Times"/>
          <w:b/>
          <w:lang w:eastAsia="zh-CN"/>
        </w:rPr>
      </w:pPr>
    </w:p>
    <w:p w14:paraId="7DF393E5" w14:textId="6F5D24E8" w:rsidR="00B70031" w:rsidRPr="008A0130" w:rsidRDefault="00C85049" w:rsidP="008A0130">
      <w:pPr>
        <w:widowControl w:val="0"/>
        <w:autoSpaceDE w:val="0"/>
        <w:autoSpaceDN w:val="0"/>
        <w:adjustRightInd w:val="0"/>
        <w:spacing w:line="360" w:lineRule="auto"/>
        <w:jc w:val="both"/>
        <w:rPr>
          <w:rFonts w:ascii="Book Antiqua" w:hAnsi="Book Antiqua" w:cs="Times"/>
          <w:i/>
        </w:rPr>
      </w:pPr>
      <w:r w:rsidRPr="008A0130">
        <w:rPr>
          <w:rFonts w:ascii="Book Antiqua" w:hAnsi="Book Antiqua" w:cs="Times"/>
          <w:b/>
        </w:rPr>
        <w:t>Geno</w:t>
      </w:r>
      <w:r w:rsidR="00B70031" w:rsidRPr="008A0130">
        <w:rPr>
          <w:rFonts w:ascii="Book Antiqua" w:hAnsi="Book Antiqua" w:cs="Times"/>
          <w:b/>
        </w:rPr>
        <w:t>mic alterations</w:t>
      </w:r>
      <w:r w:rsidR="00536220" w:rsidRPr="008A0130">
        <w:rPr>
          <w:rFonts w:ascii="Book Antiqua" w:hAnsi="Book Antiqua" w:cs="Times"/>
          <w:b/>
        </w:rPr>
        <w:t xml:space="preserve">: </w:t>
      </w:r>
      <w:r w:rsidR="00B70031" w:rsidRPr="008A0130">
        <w:rPr>
          <w:rFonts w:ascii="Book Antiqua" w:hAnsi="Book Antiqua" w:cs="Times New Roman"/>
        </w:rPr>
        <w:t>In contrast to the colorectal cancer, mutations driving gastric canc</w:t>
      </w:r>
      <w:r w:rsidR="007371DA" w:rsidRPr="008A0130">
        <w:rPr>
          <w:rFonts w:ascii="Book Antiqua" w:hAnsi="Book Antiqua" w:cs="Times New Roman"/>
        </w:rPr>
        <w:t>er are much less defined. M</w:t>
      </w:r>
      <w:r w:rsidR="00B70031" w:rsidRPr="008A0130">
        <w:rPr>
          <w:rFonts w:ascii="Book Antiqua" w:hAnsi="Book Antiqua" w:cs="Times New Roman"/>
        </w:rPr>
        <w:t xml:space="preserve">utations in </w:t>
      </w:r>
      <w:r w:rsidR="00B70031" w:rsidRPr="008A0130">
        <w:rPr>
          <w:rFonts w:ascii="Book Antiqua" w:hAnsi="Book Antiqua" w:cs="Times New Roman"/>
          <w:i/>
          <w:iCs/>
        </w:rPr>
        <w:t>CTNNB1</w:t>
      </w:r>
      <w:r w:rsidR="00B70031" w:rsidRPr="008A0130">
        <w:rPr>
          <w:rFonts w:ascii="Book Antiqua" w:hAnsi="Book Antiqua" w:cs="Times New Roman"/>
        </w:rPr>
        <w:t xml:space="preserve"> have been frequently detected (</w:t>
      </w:r>
      <w:r w:rsidR="0048631F" w:rsidRPr="008A0130">
        <w:rPr>
          <w:rFonts w:ascii="Book Antiqua" w:hAnsi="Book Antiqua" w:cs="Times New Roman"/>
        </w:rPr>
        <w:t xml:space="preserve">approximately </w:t>
      </w:r>
      <w:r w:rsidR="00B70031" w:rsidRPr="008A0130">
        <w:rPr>
          <w:rFonts w:ascii="Book Antiqua" w:hAnsi="Book Antiqua" w:cs="Times New Roman"/>
        </w:rPr>
        <w:t xml:space="preserve">30%) in intestinal- and diffuse-type gastric carcinomas displaying nuclear accumulation of </w:t>
      </w:r>
      <w:r w:rsidR="00F926B4" w:rsidRPr="008A0130">
        <w:rPr>
          <w:rFonts w:ascii="Book Antiqua" w:hAnsi="Book Antiqua" w:cs="Times New Roman"/>
        </w:rPr>
        <w:t>β</w:t>
      </w:r>
      <w:r w:rsidR="00B70031" w:rsidRPr="008A0130">
        <w:rPr>
          <w:rFonts w:ascii="Book Antiqua" w:hAnsi="Book Antiqua" w:cs="Times New Roman"/>
        </w:rPr>
        <w:t>-</w:t>
      </w:r>
      <w:proofErr w:type="gramStart"/>
      <w:r w:rsidR="00B70031" w:rsidRPr="008A0130">
        <w:rPr>
          <w:rFonts w:ascii="Book Antiqua" w:hAnsi="Book Antiqua" w:cs="Times New Roman"/>
        </w:rPr>
        <w:t>catenin</w:t>
      </w:r>
      <w:r w:rsidR="00FA5AAD" w:rsidRPr="008A0130">
        <w:rPr>
          <w:rFonts w:ascii="Book Antiqua" w:hAnsi="Book Antiqua" w:cs="Times New Roman"/>
          <w:vertAlign w:val="superscript"/>
        </w:rPr>
        <w:t>[</w:t>
      </w:r>
      <w:proofErr w:type="gramEnd"/>
      <w:r w:rsidR="00FA5AAD" w:rsidRPr="008A0130">
        <w:rPr>
          <w:rFonts w:ascii="Book Antiqua" w:hAnsi="Book Antiqua" w:cs="Times New Roman"/>
          <w:vertAlign w:val="superscript"/>
        </w:rPr>
        <w:t>9</w:t>
      </w:r>
      <w:r w:rsidR="00B70031" w:rsidRPr="008A0130">
        <w:rPr>
          <w:rFonts w:ascii="Book Antiqua" w:hAnsi="Book Antiqua" w:cs="Times New Roman"/>
          <w:vertAlign w:val="superscript"/>
        </w:rPr>
        <w:t>,</w:t>
      </w:r>
      <w:r w:rsidR="00B51E66" w:rsidRPr="008A0130">
        <w:rPr>
          <w:rFonts w:ascii="Book Antiqua" w:hAnsi="Book Antiqua" w:cs="Times New Roman"/>
          <w:vertAlign w:val="superscript"/>
        </w:rPr>
        <w:t>88</w:t>
      </w:r>
      <w:r w:rsidR="00A85EBA" w:rsidRPr="008A0130">
        <w:rPr>
          <w:rFonts w:ascii="Book Antiqua" w:hAnsi="Book Antiqua" w:cs="Times New Roman"/>
          <w:vertAlign w:val="superscript"/>
        </w:rPr>
        <w:t>-92</w:t>
      </w:r>
      <w:r w:rsidR="00B70031" w:rsidRPr="008A0130">
        <w:rPr>
          <w:rFonts w:ascii="Book Antiqua" w:hAnsi="Book Antiqua" w:cs="Times New Roman"/>
          <w:vertAlign w:val="superscript"/>
        </w:rPr>
        <w:t>]</w:t>
      </w:r>
      <w:r w:rsidR="00B70031" w:rsidRPr="008A0130">
        <w:rPr>
          <w:rFonts w:ascii="Book Antiqua" w:hAnsi="Book Antiqua" w:cs="Times New Roman"/>
        </w:rPr>
        <w:t xml:space="preserve">. These mutations occur </w:t>
      </w:r>
      <w:r w:rsidR="00B70031" w:rsidRPr="008A0130">
        <w:rPr>
          <w:rFonts w:ascii="Book Antiqua" w:hAnsi="Book Antiqua" w:cs="Times New Roman"/>
          <w:iCs/>
        </w:rPr>
        <w:lastRenderedPageBreak/>
        <w:t xml:space="preserve">mainly in </w:t>
      </w:r>
      <w:r w:rsidR="00B70031" w:rsidRPr="008A0130">
        <w:rPr>
          <w:rFonts w:ascii="Book Antiqua" w:hAnsi="Book Antiqua" w:cs="Times New Roman"/>
        </w:rPr>
        <w:t>exon 3, that encodes for the GSK3</w:t>
      </w:r>
      <w:r w:rsidR="00F926B4" w:rsidRPr="008A0130">
        <w:rPr>
          <w:rFonts w:ascii="Book Antiqua" w:hAnsi="Book Antiqua" w:cs="Times New Roman"/>
        </w:rPr>
        <w:t>β</w:t>
      </w:r>
      <w:r w:rsidR="00B70031" w:rsidRPr="008A0130">
        <w:rPr>
          <w:rFonts w:ascii="Book Antiqua" w:hAnsi="Book Antiqua" w:cs="Times New Roman"/>
        </w:rPr>
        <w:t xml:space="preserve"> phosphorylation consensus region of the </w:t>
      </w:r>
      <w:r w:rsidR="00F926B4" w:rsidRPr="008A0130">
        <w:rPr>
          <w:rFonts w:ascii="Book Antiqua" w:hAnsi="Book Antiqua" w:cs="Times New Roman"/>
        </w:rPr>
        <w:t>β</w:t>
      </w:r>
      <w:r w:rsidR="00B70031" w:rsidRPr="008A0130">
        <w:rPr>
          <w:rFonts w:ascii="Book Antiqua" w:hAnsi="Book Antiqua" w:cs="Times New Roman"/>
          <w:i/>
          <w:iCs/>
        </w:rPr>
        <w:t>-</w:t>
      </w:r>
      <w:r w:rsidR="00B70031" w:rsidRPr="008A0130">
        <w:rPr>
          <w:rFonts w:ascii="Book Antiqua" w:hAnsi="Book Antiqua" w:cs="Times New Roman"/>
          <w:iCs/>
        </w:rPr>
        <w:t>catenin</w:t>
      </w:r>
      <w:r w:rsidR="00B70031" w:rsidRPr="008A0130">
        <w:rPr>
          <w:rFonts w:ascii="Book Antiqua" w:hAnsi="Book Antiqua" w:cs="Times New Roman"/>
          <w:i/>
          <w:iCs/>
        </w:rPr>
        <w:t xml:space="preserve"> </w:t>
      </w:r>
      <w:r w:rsidR="00B70031" w:rsidRPr="008A0130">
        <w:rPr>
          <w:rFonts w:ascii="Book Antiqua" w:hAnsi="Book Antiqua" w:cs="Times New Roman"/>
        </w:rPr>
        <w:t xml:space="preserve">gene, resulting in mutants refractory to regulation by the destruction of the complex, and thus in accumulation of this protein and constitutive activation of the Wnt pathway. In contrast, there are studies examining the incidence of </w:t>
      </w:r>
      <w:r w:rsidR="00B70031" w:rsidRPr="008A0130">
        <w:rPr>
          <w:rFonts w:ascii="Book Antiqua" w:hAnsi="Book Antiqua" w:cs="Times New Roman"/>
          <w:i/>
        </w:rPr>
        <w:t>CTNNB1</w:t>
      </w:r>
      <w:r w:rsidR="00B70031" w:rsidRPr="008A0130">
        <w:rPr>
          <w:rFonts w:ascii="Book Antiqua" w:hAnsi="Book Antiqua" w:cs="Times New Roman"/>
        </w:rPr>
        <w:t xml:space="preserve"> mutations that report their infrequency, either in intestinal and diffuse-type gastric </w:t>
      </w:r>
      <w:proofErr w:type="gramStart"/>
      <w:r w:rsidR="00B70031" w:rsidRPr="008A0130">
        <w:rPr>
          <w:rFonts w:ascii="Book Antiqua" w:hAnsi="Book Antiqua" w:cs="Times New Roman"/>
        </w:rPr>
        <w:t>cancer</w:t>
      </w:r>
      <w:r w:rsidR="00B70031" w:rsidRPr="008A0130">
        <w:rPr>
          <w:rFonts w:ascii="Book Antiqua" w:hAnsi="Book Antiqua" w:cs="Times New Roman"/>
          <w:vertAlign w:val="superscript"/>
        </w:rPr>
        <w:t>[</w:t>
      </w:r>
      <w:proofErr w:type="gramEnd"/>
      <w:r w:rsidR="00A85EBA" w:rsidRPr="008A0130">
        <w:rPr>
          <w:rFonts w:ascii="Book Antiqua" w:hAnsi="Book Antiqua" w:cs="Times New Roman"/>
          <w:vertAlign w:val="superscript"/>
        </w:rPr>
        <w:t>93-96</w:t>
      </w:r>
      <w:r w:rsidR="00B70031" w:rsidRPr="008A0130">
        <w:rPr>
          <w:rFonts w:ascii="Book Antiqua" w:hAnsi="Book Antiqua" w:cs="Times New Roman"/>
          <w:vertAlign w:val="superscript"/>
        </w:rPr>
        <w:t>]</w:t>
      </w:r>
      <w:r w:rsidR="00B70031" w:rsidRPr="008A0130">
        <w:rPr>
          <w:rFonts w:ascii="Book Antiqua" w:hAnsi="Book Antiqua" w:cs="Times New Roman"/>
        </w:rPr>
        <w:t>.</w:t>
      </w:r>
    </w:p>
    <w:p w14:paraId="04FCF7AD" w14:textId="2CDC156B" w:rsidR="00B70031" w:rsidRPr="008A0130" w:rsidRDefault="00B70031" w:rsidP="008A0130">
      <w:pPr>
        <w:widowControl w:val="0"/>
        <w:autoSpaceDE w:val="0"/>
        <w:autoSpaceDN w:val="0"/>
        <w:adjustRightInd w:val="0"/>
        <w:spacing w:line="360" w:lineRule="auto"/>
        <w:ind w:firstLineChars="100" w:firstLine="240"/>
        <w:jc w:val="both"/>
        <w:rPr>
          <w:rFonts w:ascii="Book Antiqua" w:hAnsi="Book Antiqua" w:cs="Times New Roman"/>
          <w:bCs/>
        </w:rPr>
      </w:pPr>
      <w:r w:rsidRPr="008A0130">
        <w:rPr>
          <w:rFonts w:ascii="Book Antiqua" w:hAnsi="Book Antiqua" w:cs="Times New Roman"/>
          <w:bCs/>
        </w:rPr>
        <w:t xml:space="preserve">Wang </w:t>
      </w:r>
      <w:r w:rsidRPr="008A0130">
        <w:rPr>
          <w:rFonts w:ascii="Book Antiqua" w:hAnsi="Book Antiqua" w:cs="Times New Roman"/>
          <w:bCs/>
          <w:i/>
        </w:rPr>
        <w:t xml:space="preserve">et </w:t>
      </w:r>
      <w:proofErr w:type="gramStart"/>
      <w:r w:rsidRPr="008A0130">
        <w:rPr>
          <w:rFonts w:ascii="Book Antiqua" w:hAnsi="Book Antiqua" w:cs="Times New Roman"/>
          <w:bCs/>
          <w:i/>
        </w:rPr>
        <w:t>al</w:t>
      </w:r>
      <w:r w:rsidR="0048631F" w:rsidRPr="008A0130">
        <w:rPr>
          <w:rFonts w:ascii="Book Antiqua" w:hAnsi="Book Antiqua" w:cs="Times New Roman"/>
          <w:vertAlign w:val="superscript"/>
        </w:rPr>
        <w:t>[</w:t>
      </w:r>
      <w:proofErr w:type="gramEnd"/>
      <w:r w:rsidR="0048631F" w:rsidRPr="008A0130">
        <w:rPr>
          <w:rFonts w:ascii="Book Antiqua" w:hAnsi="Book Antiqua" w:cs="Times New Roman"/>
          <w:vertAlign w:val="superscript"/>
        </w:rPr>
        <w:t>97]</w:t>
      </w:r>
      <w:r w:rsidRPr="008A0130">
        <w:rPr>
          <w:rFonts w:ascii="Book Antiqua" w:hAnsi="Book Antiqua" w:cs="Times New Roman"/>
          <w:bCs/>
        </w:rPr>
        <w:t xml:space="preserve"> performed a genetic association study (944 patients and 848 cancer-free controls) to analyze the correlation between five tagged single nucleotide polymorphisms (SNP) </w:t>
      </w:r>
      <w:r w:rsidRPr="008A0130">
        <w:rPr>
          <w:rFonts w:ascii="Book Antiqua" w:hAnsi="Book Antiqua" w:cs="Times New Roman"/>
        </w:rPr>
        <w:t xml:space="preserve">spanning the </w:t>
      </w:r>
      <w:r w:rsidRPr="008A0130">
        <w:rPr>
          <w:rFonts w:ascii="Book Antiqua" w:hAnsi="Book Antiqua" w:cs="Times New Roman"/>
          <w:i/>
          <w:iCs/>
        </w:rPr>
        <w:t xml:space="preserve">CTNNB1 </w:t>
      </w:r>
      <w:r w:rsidRPr="008A0130">
        <w:rPr>
          <w:rFonts w:ascii="Book Antiqua" w:hAnsi="Book Antiqua" w:cs="Times New Roman"/>
        </w:rPr>
        <w:t xml:space="preserve">gene </w:t>
      </w:r>
      <w:r w:rsidRPr="008A0130">
        <w:rPr>
          <w:rFonts w:ascii="Book Antiqua" w:hAnsi="Book Antiqua" w:cs="Times New Roman"/>
          <w:bCs/>
        </w:rPr>
        <w:t>(rs4135385, rs1798808, rs1880481, rs11564465 and rs2293303) and gastric cancer risk and prognosis.</w:t>
      </w:r>
      <w:r w:rsidR="00790FCB" w:rsidRPr="008A0130">
        <w:rPr>
          <w:rFonts w:ascii="Book Antiqua" w:hAnsi="Book Antiqua" w:cs="Times New Roman"/>
          <w:bCs/>
        </w:rPr>
        <w:t xml:space="preserve"> </w:t>
      </w:r>
      <w:r w:rsidRPr="008A0130">
        <w:rPr>
          <w:rFonts w:ascii="Book Antiqua" w:hAnsi="Book Antiqua" w:cs="Times New Roman"/>
        </w:rPr>
        <w:t xml:space="preserve">Their results showed that the SNPs rs1880481, rs4135385, rs11564475 and rs2293303 were significantly associated with gastric cancer susceptibility. In addition, the rs4135385 AG/AA genotypes were associated with a 0.74-fold reduced </w:t>
      </w:r>
      <w:r w:rsidRPr="008A0130">
        <w:rPr>
          <w:rFonts w:ascii="Book Antiqua" w:hAnsi="Book Antiqua" w:cs="Times New Roman"/>
          <w:bCs/>
        </w:rPr>
        <w:t>adjusted hazard ratio</w:t>
      </w:r>
      <w:r w:rsidRPr="008A0130">
        <w:rPr>
          <w:rFonts w:ascii="Book Antiqua" w:hAnsi="Book Antiqua" w:cs="Times New Roman"/>
        </w:rPr>
        <w:t xml:space="preserve"> for favorable overall </w:t>
      </w:r>
      <w:r w:rsidRPr="008A0130">
        <w:rPr>
          <w:rFonts w:ascii="Book Antiqua" w:hAnsi="Book Antiqua" w:cs="Times New Roman"/>
          <w:bCs/>
        </w:rPr>
        <w:t>5-year survival</w:t>
      </w:r>
      <w:r w:rsidRPr="008A0130">
        <w:rPr>
          <w:rFonts w:ascii="Book Antiqua" w:hAnsi="Book Antiqua" w:cs="Times New Roman"/>
        </w:rPr>
        <w:t xml:space="preserve"> of </w:t>
      </w:r>
      <w:r w:rsidRPr="008A0130">
        <w:rPr>
          <w:rFonts w:ascii="Book Antiqua" w:hAnsi="Book Antiqua" w:cs="Times New Roman"/>
          <w:bCs/>
        </w:rPr>
        <w:t>non-cardia gastric cancer</w:t>
      </w:r>
      <w:r w:rsidRPr="008A0130">
        <w:rPr>
          <w:rFonts w:ascii="Book Antiqua" w:hAnsi="Book Antiqua" w:cs="Times New Roman"/>
        </w:rPr>
        <w:t xml:space="preserve">. </w:t>
      </w:r>
    </w:p>
    <w:p w14:paraId="29A0D36A" w14:textId="71287871" w:rsidR="00B70031" w:rsidRPr="008A0130" w:rsidRDefault="00B70031"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In the nucleus, free </w:t>
      </w:r>
      <w:r w:rsidR="00F926B4" w:rsidRPr="008A0130">
        <w:rPr>
          <w:rFonts w:ascii="Book Antiqua" w:hAnsi="Book Antiqua" w:cs="Times New Roman"/>
        </w:rPr>
        <w:t>β</w:t>
      </w:r>
      <w:r w:rsidRPr="008A0130">
        <w:rPr>
          <w:rFonts w:ascii="Book Antiqua" w:hAnsi="Book Antiqua" w:cs="Times New Roman"/>
        </w:rPr>
        <w:t xml:space="preserve">-catenin binds </w:t>
      </w:r>
      <w:r w:rsidR="002A74A1" w:rsidRPr="008A0130">
        <w:rPr>
          <w:rFonts w:ascii="Book Antiqua" w:hAnsi="Book Antiqua" w:cs="Times New Roman"/>
        </w:rPr>
        <w:t xml:space="preserve">members </w:t>
      </w:r>
      <w:r w:rsidRPr="008A0130">
        <w:rPr>
          <w:rFonts w:ascii="Book Antiqua" w:hAnsi="Book Antiqua" w:cs="Times New Roman"/>
        </w:rPr>
        <w:t xml:space="preserve">of </w:t>
      </w:r>
      <w:r w:rsidR="002A74A1" w:rsidRPr="008A0130">
        <w:rPr>
          <w:rFonts w:ascii="Book Antiqua" w:hAnsi="Book Antiqua" w:cs="Times New Roman"/>
        </w:rPr>
        <w:t xml:space="preserve">the </w:t>
      </w:r>
      <w:r w:rsidRPr="008A0130">
        <w:rPr>
          <w:rFonts w:ascii="Book Antiqua" w:hAnsi="Book Antiqua" w:cs="Times New Roman"/>
        </w:rPr>
        <w:t>TCF/LEF family</w:t>
      </w:r>
      <w:r w:rsidR="002A74A1" w:rsidRPr="008A0130">
        <w:rPr>
          <w:rFonts w:ascii="Book Antiqua" w:hAnsi="Book Antiqua" w:cs="Times New Roman"/>
        </w:rPr>
        <w:t xml:space="preserve"> of transcription factors</w:t>
      </w:r>
      <w:r w:rsidRPr="008A0130">
        <w:rPr>
          <w:rFonts w:ascii="Book Antiqua" w:hAnsi="Book Antiqua" w:cs="Times New Roman"/>
        </w:rPr>
        <w:t xml:space="preserve">, including TCF7L2 (TCF4), thereby modulating gene </w:t>
      </w:r>
      <w:proofErr w:type="gramStart"/>
      <w:r w:rsidRPr="008A0130">
        <w:rPr>
          <w:rFonts w:ascii="Book Antiqua" w:hAnsi="Book Antiqua" w:cs="Times New Roman"/>
        </w:rPr>
        <w:t>transcription</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27,28]</w:t>
      </w:r>
      <w:r w:rsidRPr="008A0130">
        <w:rPr>
          <w:rFonts w:ascii="Book Antiqua" w:hAnsi="Book Antiqua" w:cs="Times New Roman"/>
        </w:rPr>
        <w:t xml:space="preserve">. Somatic frameshift mutations of </w:t>
      </w:r>
      <w:r w:rsidRPr="008A0130">
        <w:rPr>
          <w:rFonts w:ascii="Book Antiqua" w:hAnsi="Book Antiqua" w:cs="Times New Roman"/>
          <w:i/>
        </w:rPr>
        <w:t>TCF7L2</w:t>
      </w:r>
      <w:r w:rsidRPr="008A0130">
        <w:rPr>
          <w:rFonts w:ascii="Book Antiqua" w:hAnsi="Book Antiqua" w:cs="Times New Roman"/>
        </w:rPr>
        <w:t xml:space="preserve"> in the repeat sequence A9 have been frequently detected in gastric cancers with </w:t>
      </w:r>
      <w:proofErr w:type="gramStart"/>
      <w:r w:rsidRPr="008A0130">
        <w:rPr>
          <w:rStyle w:val="Emphasis"/>
          <w:rFonts w:ascii="Book Antiqua" w:eastAsia="Arial Unicode MS" w:hAnsi="Book Antiqua" w:cs="Times New Roman"/>
          <w:i w:val="0"/>
          <w:bdr w:val="none" w:sz="0" w:space="0" w:color="auto" w:frame="1"/>
        </w:rPr>
        <w:t>MSI</w:t>
      </w:r>
      <w:r w:rsidR="00A85EBA" w:rsidRPr="008A0130">
        <w:rPr>
          <w:rFonts w:ascii="Book Antiqua" w:hAnsi="Book Antiqua" w:cs="Times New Roman"/>
          <w:vertAlign w:val="superscript"/>
        </w:rPr>
        <w:t>[</w:t>
      </w:r>
      <w:proofErr w:type="gramEnd"/>
      <w:r w:rsidR="00A85EBA" w:rsidRPr="008A0130">
        <w:rPr>
          <w:rFonts w:ascii="Book Antiqua" w:hAnsi="Book Antiqua" w:cs="Times New Roman"/>
          <w:vertAlign w:val="superscript"/>
        </w:rPr>
        <w:t>98</w:t>
      </w:r>
      <w:r w:rsidRPr="008A0130">
        <w:rPr>
          <w:rFonts w:ascii="Book Antiqua" w:hAnsi="Book Antiqua" w:cs="Times New Roman"/>
          <w:vertAlign w:val="superscript"/>
        </w:rPr>
        <w:t>,</w:t>
      </w:r>
      <w:r w:rsidR="00A85EBA" w:rsidRPr="008A0130">
        <w:rPr>
          <w:rFonts w:ascii="Book Antiqua" w:hAnsi="Book Antiqua" w:cs="Times New Roman"/>
          <w:vertAlign w:val="superscript"/>
        </w:rPr>
        <w:t>99</w:t>
      </w:r>
      <w:r w:rsidRPr="008A0130">
        <w:rPr>
          <w:rFonts w:ascii="Book Antiqua" w:hAnsi="Book Antiqua" w:cs="Times New Roman"/>
          <w:vertAlign w:val="superscript"/>
        </w:rPr>
        <w:t>]</w:t>
      </w:r>
      <w:r w:rsidRPr="008A0130">
        <w:rPr>
          <w:rStyle w:val="Emphasis"/>
          <w:rFonts w:ascii="Book Antiqua" w:eastAsia="Arial Unicode MS" w:hAnsi="Book Antiqua" w:cs="Times New Roman"/>
          <w:i w:val="0"/>
          <w:bdr w:val="none" w:sz="0" w:space="0" w:color="auto" w:frame="1"/>
        </w:rPr>
        <w:t xml:space="preserve">. On the contrary, no MSI mutations in </w:t>
      </w:r>
      <w:r w:rsidRPr="008A0130">
        <w:rPr>
          <w:rFonts w:ascii="Book Antiqua" w:hAnsi="Book Antiqua" w:cs="Times New Roman"/>
          <w:i/>
        </w:rPr>
        <w:t>TCF7L2</w:t>
      </w:r>
      <w:r w:rsidRPr="008A0130">
        <w:rPr>
          <w:rFonts w:ascii="Book Antiqua" w:hAnsi="Book Antiqua" w:cs="Times New Roman"/>
        </w:rPr>
        <w:t xml:space="preserve"> were detected</w:t>
      </w:r>
      <w:r w:rsidRPr="008A0130">
        <w:rPr>
          <w:rStyle w:val="Emphasis"/>
          <w:rFonts w:ascii="Book Antiqua" w:eastAsia="Arial Unicode MS" w:hAnsi="Book Antiqua" w:cs="Times New Roman"/>
          <w:i w:val="0"/>
          <w:bdr w:val="none" w:sz="0" w:space="0" w:color="auto" w:frame="1"/>
        </w:rPr>
        <w:t xml:space="preserve"> in Japanese patients with sporadic gastric </w:t>
      </w:r>
      <w:proofErr w:type="gramStart"/>
      <w:r w:rsidRPr="008A0130">
        <w:rPr>
          <w:rStyle w:val="Emphasis"/>
          <w:rFonts w:ascii="Book Antiqua" w:eastAsia="Arial Unicode MS" w:hAnsi="Book Antiqua" w:cs="Times New Roman"/>
          <w:i w:val="0"/>
          <w:bdr w:val="none" w:sz="0" w:space="0" w:color="auto" w:frame="1"/>
        </w:rPr>
        <w:t>tumors</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w:t>
      </w:r>
      <w:r w:rsidR="00A85EBA" w:rsidRPr="008A0130">
        <w:rPr>
          <w:rFonts w:ascii="Book Antiqua" w:hAnsi="Book Antiqua" w:cs="Times New Roman"/>
          <w:vertAlign w:val="superscript"/>
        </w:rPr>
        <w:t>00</w:t>
      </w:r>
      <w:r w:rsidRPr="008A0130">
        <w:rPr>
          <w:rFonts w:ascii="Book Antiqua" w:hAnsi="Book Antiqua" w:cs="Times New Roman"/>
          <w:vertAlign w:val="superscript"/>
        </w:rPr>
        <w:t>]</w:t>
      </w:r>
      <w:r w:rsidRPr="008A0130">
        <w:rPr>
          <w:rStyle w:val="Emphasis"/>
          <w:rFonts w:ascii="Book Antiqua" w:eastAsia="Arial Unicode MS" w:hAnsi="Book Antiqua" w:cs="Times New Roman"/>
          <w:i w:val="0"/>
          <w:bdr w:val="none" w:sz="0" w:space="0" w:color="auto" w:frame="1"/>
        </w:rPr>
        <w:t>.</w:t>
      </w:r>
      <w:r w:rsidRPr="008A0130">
        <w:rPr>
          <w:rFonts w:ascii="Book Antiqua" w:hAnsi="Book Antiqua" w:cs="Times New Roman"/>
        </w:rPr>
        <w:t xml:space="preserve"> In this sense, about 15% to 50% of gastric carcinomas are categorized into MSI–positive </w:t>
      </w:r>
      <w:proofErr w:type="gramStart"/>
      <w:r w:rsidRPr="008A0130">
        <w:rPr>
          <w:rFonts w:ascii="Book Antiqua" w:hAnsi="Book Antiqua" w:cs="Times New Roman"/>
        </w:rPr>
        <w:t>cancers</w:t>
      </w:r>
      <w:r w:rsidR="00A85EBA" w:rsidRPr="008A0130">
        <w:rPr>
          <w:rFonts w:ascii="Book Antiqua" w:hAnsi="Book Antiqua" w:cs="Times New Roman"/>
          <w:vertAlign w:val="superscript"/>
        </w:rPr>
        <w:t>[</w:t>
      </w:r>
      <w:proofErr w:type="gramEnd"/>
      <w:r w:rsidR="00A85EBA" w:rsidRPr="008A0130">
        <w:rPr>
          <w:rFonts w:ascii="Book Antiqua" w:hAnsi="Book Antiqua" w:cs="Times New Roman"/>
          <w:vertAlign w:val="superscript"/>
        </w:rPr>
        <w:t>101</w:t>
      </w:r>
      <w:r w:rsidRPr="008A0130">
        <w:rPr>
          <w:rFonts w:ascii="Book Antiqua" w:hAnsi="Book Antiqua" w:cs="Times New Roman"/>
          <w:vertAlign w:val="superscript"/>
        </w:rPr>
        <w:t>]</w:t>
      </w:r>
      <w:r w:rsidRPr="008A0130">
        <w:rPr>
          <w:rFonts w:ascii="Book Antiqua" w:hAnsi="Book Antiqua" w:cs="Times New Roman"/>
        </w:rPr>
        <w:t>.</w:t>
      </w:r>
    </w:p>
    <w:p w14:paraId="62EF63D9" w14:textId="0404AD83" w:rsidR="00AE1C72" w:rsidRPr="008A0130" w:rsidRDefault="000C3F04"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C</w:t>
      </w:r>
      <w:r w:rsidR="003A6BD0" w:rsidRPr="008A0130">
        <w:rPr>
          <w:rFonts w:ascii="Book Antiqua" w:hAnsi="Book Antiqua" w:cs="Times New Roman"/>
        </w:rPr>
        <w:t>onsidering</w:t>
      </w:r>
      <w:r w:rsidRPr="008A0130">
        <w:rPr>
          <w:rFonts w:ascii="Book Antiqua" w:hAnsi="Book Antiqua" w:cs="Times New Roman"/>
        </w:rPr>
        <w:t xml:space="preserve"> post-transcriptional modifications, t</w:t>
      </w:r>
      <w:r w:rsidR="00AE1C72" w:rsidRPr="008A0130">
        <w:rPr>
          <w:rFonts w:ascii="Book Antiqua" w:hAnsi="Book Antiqua" w:cs="Times New Roman"/>
        </w:rPr>
        <w:t xml:space="preserve">he splicing pattern of numerous genes is altered as cells progress in the tumorigenesis process. It is hypothesized that alternative spliced exons can originate functional protein–protein interactions and establish tissue-specific proteome </w:t>
      </w:r>
      <w:proofErr w:type="gramStart"/>
      <w:r w:rsidR="00AE1C72" w:rsidRPr="008A0130">
        <w:rPr>
          <w:rFonts w:ascii="Book Antiqua" w:hAnsi="Book Antiqua" w:cs="Times New Roman"/>
        </w:rPr>
        <w:t>signatures</w:t>
      </w:r>
      <w:r w:rsidR="00AE1C72" w:rsidRPr="008A0130">
        <w:rPr>
          <w:rFonts w:ascii="Book Antiqua" w:hAnsi="Book Antiqua" w:cs="Times New Roman"/>
          <w:vertAlign w:val="superscript"/>
        </w:rPr>
        <w:t>[</w:t>
      </w:r>
      <w:proofErr w:type="gramEnd"/>
      <w:r w:rsidR="00AE1C72" w:rsidRPr="008A0130">
        <w:rPr>
          <w:rFonts w:ascii="Book Antiqua" w:hAnsi="Book Antiqua" w:cs="Times New Roman"/>
          <w:vertAlign w:val="superscript"/>
        </w:rPr>
        <w:t>1</w:t>
      </w:r>
      <w:r w:rsidR="00D07D75" w:rsidRPr="008A0130">
        <w:rPr>
          <w:rFonts w:ascii="Book Antiqua" w:hAnsi="Book Antiqua" w:cs="Times New Roman"/>
          <w:vertAlign w:val="superscript"/>
        </w:rPr>
        <w:t>02</w:t>
      </w:r>
      <w:r w:rsidR="00AE1C72" w:rsidRPr="008A0130">
        <w:rPr>
          <w:rFonts w:ascii="Book Antiqua" w:hAnsi="Book Antiqua" w:cs="Times New Roman"/>
          <w:vertAlign w:val="superscript"/>
        </w:rPr>
        <w:t>]</w:t>
      </w:r>
      <w:r w:rsidR="00AE1C72" w:rsidRPr="008A0130">
        <w:rPr>
          <w:rFonts w:ascii="Book Antiqua" w:hAnsi="Book Antiqua" w:cs="Times New Roman"/>
        </w:rPr>
        <w:t xml:space="preserve">. The participation of Wnt/ß-catenin pathaway in alternative splicing in colorectal, lung and gastric cancer was identified by a mechanism involving the up-regulation of the </w:t>
      </w:r>
      <w:r w:rsidR="00AE1C72" w:rsidRPr="008A0130">
        <w:rPr>
          <w:rFonts w:ascii="Book Antiqua" w:eastAsia="Times New Roman" w:hAnsi="Book Antiqua" w:cs="Times New Roman"/>
          <w:bCs/>
        </w:rPr>
        <w:t>serine/threonine-protein kinase SRPK1 and the splicing factor SRSF1</w:t>
      </w:r>
      <w:r w:rsidR="00D07D75" w:rsidRPr="008A0130">
        <w:rPr>
          <w:rFonts w:ascii="Book Antiqua" w:hAnsi="Book Antiqua" w:cs="Times New Roman"/>
          <w:vertAlign w:val="superscript"/>
        </w:rPr>
        <w:t>[103</w:t>
      </w:r>
      <w:r w:rsidR="00AE1C72" w:rsidRPr="008A0130">
        <w:rPr>
          <w:rFonts w:ascii="Book Antiqua" w:hAnsi="Book Antiqua" w:cs="Times New Roman"/>
          <w:vertAlign w:val="superscript"/>
        </w:rPr>
        <w:t>]</w:t>
      </w:r>
      <w:r w:rsidR="00AE1C72" w:rsidRPr="008A0130">
        <w:rPr>
          <w:rFonts w:ascii="Book Antiqua" w:eastAsia="Times New Roman" w:hAnsi="Book Antiqua" w:cs="Times New Roman"/>
          <w:bCs/>
        </w:rPr>
        <w:t xml:space="preserve">. Furthermore, identification of </w:t>
      </w:r>
      <w:r w:rsidR="00AE1C72" w:rsidRPr="008A0130">
        <w:rPr>
          <w:rFonts w:ascii="Book Antiqua" w:hAnsi="Book Antiqua" w:cs="Times New Roman"/>
        </w:rPr>
        <w:t xml:space="preserve">TCF4 binding sites both in the promoter </w:t>
      </w:r>
      <w:r w:rsidR="00AE1C72" w:rsidRPr="008A0130">
        <w:rPr>
          <w:rFonts w:ascii="Book Antiqua" w:hAnsi="Book Antiqua" w:cs="Times New Roman"/>
        </w:rPr>
        <w:lastRenderedPageBreak/>
        <w:t xml:space="preserve">regions of </w:t>
      </w:r>
      <w:r w:rsidR="00AE1C72" w:rsidRPr="008A0130">
        <w:rPr>
          <w:rFonts w:ascii="Book Antiqua" w:hAnsi="Book Antiqua" w:cs="Times New Roman"/>
          <w:i/>
          <w:iCs/>
        </w:rPr>
        <w:t xml:space="preserve">SRPK1 </w:t>
      </w:r>
      <w:r w:rsidR="00AE1C72" w:rsidRPr="008A0130">
        <w:rPr>
          <w:rFonts w:ascii="Book Antiqua" w:hAnsi="Book Antiqua" w:cs="Times New Roman"/>
        </w:rPr>
        <w:t xml:space="preserve">and </w:t>
      </w:r>
      <w:r w:rsidR="00AE1C72" w:rsidRPr="008A0130">
        <w:rPr>
          <w:rFonts w:ascii="Book Antiqua" w:hAnsi="Book Antiqua" w:cs="Times New Roman"/>
          <w:i/>
          <w:iCs/>
        </w:rPr>
        <w:t>SRSF1</w:t>
      </w:r>
      <w:r w:rsidR="00AE1C72" w:rsidRPr="008A0130">
        <w:rPr>
          <w:rFonts w:ascii="Book Antiqua" w:hAnsi="Book Antiqua" w:cs="Times New Roman"/>
        </w:rPr>
        <w:t xml:space="preserve"> makes these two genes apparent Wnt-targets.</w:t>
      </w:r>
    </w:p>
    <w:p w14:paraId="122E6930" w14:textId="77777777" w:rsidR="0048631F" w:rsidRPr="008A0130" w:rsidRDefault="0048631F" w:rsidP="008A0130">
      <w:pPr>
        <w:widowControl w:val="0"/>
        <w:autoSpaceDE w:val="0"/>
        <w:autoSpaceDN w:val="0"/>
        <w:adjustRightInd w:val="0"/>
        <w:spacing w:line="360" w:lineRule="auto"/>
        <w:jc w:val="both"/>
        <w:rPr>
          <w:rFonts w:ascii="Book Antiqua" w:eastAsia="宋体" w:hAnsi="Book Antiqua" w:cs="Times New Roman"/>
          <w:b/>
          <w:i/>
          <w:lang w:eastAsia="zh-CN"/>
        </w:rPr>
      </w:pPr>
    </w:p>
    <w:p w14:paraId="5B9C2942" w14:textId="0F32C3A2" w:rsidR="00C85049" w:rsidRPr="008A0130" w:rsidRDefault="00C85049" w:rsidP="008A0130">
      <w:pPr>
        <w:widowControl w:val="0"/>
        <w:autoSpaceDE w:val="0"/>
        <w:autoSpaceDN w:val="0"/>
        <w:adjustRightInd w:val="0"/>
        <w:spacing w:line="360" w:lineRule="auto"/>
        <w:jc w:val="both"/>
        <w:rPr>
          <w:rFonts w:ascii="Book Antiqua" w:hAnsi="Book Antiqua" w:cs="Times New Roman"/>
          <w:b/>
          <w:i/>
        </w:rPr>
      </w:pPr>
      <w:r w:rsidRPr="008A0130">
        <w:rPr>
          <w:rFonts w:ascii="Book Antiqua" w:hAnsi="Book Antiqua" w:cs="Times New Roman"/>
          <w:b/>
          <w:i/>
        </w:rPr>
        <w:t>Loss of Wnt repressor function in gastric cancer</w:t>
      </w:r>
    </w:p>
    <w:p w14:paraId="1BFBBB2E" w14:textId="234EAC67" w:rsidR="00113602" w:rsidRPr="008A0130" w:rsidRDefault="00425676" w:rsidP="008A0130">
      <w:pPr>
        <w:widowControl w:val="0"/>
        <w:autoSpaceDE w:val="0"/>
        <w:autoSpaceDN w:val="0"/>
        <w:adjustRightInd w:val="0"/>
        <w:spacing w:line="360" w:lineRule="auto"/>
        <w:jc w:val="both"/>
        <w:rPr>
          <w:rFonts w:ascii="Book Antiqua" w:hAnsi="Book Antiqua" w:cs="Times New Roman"/>
        </w:rPr>
      </w:pPr>
      <w:r w:rsidRPr="008A0130">
        <w:rPr>
          <w:rFonts w:ascii="Book Antiqua" w:hAnsi="Book Antiqua" w:cs="Times New Roman"/>
        </w:rPr>
        <w:t>Several studies have demonstrated that l</w:t>
      </w:r>
      <w:r w:rsidR="003C5FB4" w:rsidRPr="008A0130">
        <w:rPr>
          <w:rFonts w:ascii="Book Antiqua" w:hAnsi="Book Antiqua" w:cs="Times New Roman"/>
        </w:rPr>
        <w:t>oss of Wnt inhibitors may play a major role in gastric cancer (Table 1</w:t>
      </w:r>
      <w:r w:rsidR="00856863" w:rsidRPr="008A0130">
        <w:rPr>
          <w:rFonts w:ascii="Book Antiqua" w:hAnsi="Book Antiqua" w:cs="Times New Roman"/>
        </w:rPr>
        <w:t>). I</w:t>
      </w:r>
      <w:r w:rsidR="00726A94" w:rsidRPr="008A0130">
        <w:rPr>
          <w:rFonts w:ascii="Book Antiqua" w:hAnsi="Book Antiqua" w:cs="Times New Roman"/>
        </w:rPr>
        <w:t xml:space="preserve">n mouse models, deletion of </w:t>
      </w:r>
      <w:r w:rsidR="00726A94" w:rsidRPr="008A0130">
        <w:rPr>
          <w:rFonts w:ascii="Book Antiqua" w:hAnsi="Book Antiqua" w:cs="Times New Roman"/>
          <w:i/>
        </w:rPr>
        <w:t>APC</w:t>
      </w:r>
      <w:r w:rsidR="00726A94" w:rsidRPr="008A0130">
        <w:rPr>
          <w:rFonts w:ascii="Book Antiqua" w:hAnsi="Book Antiqua" w:cs="Times New Roman"/>
        </w:rPr>
        <w:t xml:space="preserve"> or </w:t>
      </w:r>
      <w:r w:rsidR="00726A94" w:rsidRPr="008A0130">
        <w:rPr>
          <w:rFonts w:ascii="Book Antiqua" w:hAnsi="Book Antiqua" w:cs="Times New Roman"/>
          <w:i/>
        </w:rPr>
        <w:t>GSK3ß</w:t>
      </w:r>
      <w:r w:rsidR="00726A94" w:rsidRPr="008A0130">
        <w:rPr>
          <w:rFonts w:ascii="Book Antiqua" w:hAnsi="Book Antiqua" w:cs="Times New Roman"/>
        </w:rPr>
        <w:t xml:space="preserve"> lead</w:t>
      </w:r>
      <w:r w:rsidR="000A6B16" w:rsidRPr="008A0130">
        <w:rPr>
          <w:rFonts w:ascii="Book Antiqua" w:hAnsi="Book Antiqua" w:cs="Times New Roman"/>
        </w:rPr>
        <w:t>s</w:t>
      </w:r>
      <w:r w:rsidR="00726A94" w:rsidRPr="008A0130">
        <w:rPr>
          <w:rFonts w:ascii="Book Antiqua" w:hAnsi="Book Antiqua" w:cs="Times New Roman"/>
        </w:rPr>
        <w:t xml:space="preserve"> to rapid nuclear </w:t>
      </w:r>
      <w:r w:rsidR="00726A94" w:rsidRPr="008A0130">
        <w:rPr>
          <w:rFonts w:ascii="Book Antiqua" w:hAnsi="Book Antiqua" w:cs="Times New Roman"/>
        </w:rPr>
        <w:sym w:font="Symbol" w:char="F062"/>
      </w:r>
      <w:r w:rsidR="00726A94" w:rsidRPr="008A0130">
        <w:rPr>
          <w:rFonts w:ascii="Book Antiqua" w:hAnsi="Book Antiqua" w:cs="Times New Roman"/>
        </w:rPr>
        <w:t>-catenin accumulation and Wnt target gene expression that result in formation of benign lesions, such as intestinal-type adenomas and fundic gland polyps but not tumorigenesis</w:t>
      </w:r>
      <w:r w:rsidR="00D07D75" w:rsidRPr="008A0130">
        <w:rPr>
          <w:rFonts w:ascii="Book Antiqua" w:hAnsi="Book Antiqua" w:cs="Times New Roman"/>
          <w:vertAlign w:val="superscript"/>
        </w:rPr>
        <w:t>[104</w:t>
      </w:r>
      <w:r w:rsidR="00543CB0" w:rsidRPr="008A0130">
        <w:rPr>
          <w:rFonts w:ascii="Book Antiqua" w:hAnsi="Book Antiqua" w:cs="Times New Roman"/>
          <w:vertAlign w:val="superscript"/>
        </w:rPr>
        <w:t>]</w:t>
      </w:r>
      <w:r w:rsidR="00726A94" w:rsidRPr="008A0130">
        <w:rPr>
          <w:rFonts w:ascii="Book Antiqua" w:hAnsi="Book Antiqua" w:cs="Times New Roman"/>
        </w:rPr>
        <w:t xml:space="preserve">. These molecular changes seem to be required to drive early carcinogenesis events in the stomach, </w:t>
      </w:r>
      <w:r w:rsidR="00795C0B" w:rsidRPr="008A0130">
        <w:rPr>
          <w:rFonts w:ascii="Book Antiqua" w:hAnsi="Book Antiqua" w:cs="Times New Roman"/>
        </w:rPr>
        <w:t xml:space="preserve">a </w:t>
      </w:r>
      <w:r w:rsidR="00726A94" w:rsidRPr="008A0130">
        <w:rPr>
          <w:rFonts w:ascii="Book Antiqua" w:hAnsi="Book Antiqua" w:cs="Times New Roman"/>
        </w:rPr>
        <w:t xml:space="preserve">hypothesis that is supported by studies </w:t>
      </w:r>
      <w:r w:rsidR="00795C0B" w:rsidRPr="008A0130">
        <w:rPr>
          <w:rFonts w:ascii="Book Antiqua" w:hAnsi="Book Antiqua" w:cs="Times New Roman"/>
        </w:rPr>
        <w:t>showing</w:t>
      </w:r>
      <w:r w:rsidR="00726A94" w:rsidRPr="008A0130">
        <w:rPr>
          <w:rFonts w:ascii="Book Antiqua" w:hAnsi="Book Antiqua" w:cs="Times New Roman"/>
        </w:rPr>
        <w:t xml:space="preserve"> that GSK3ß phosphorylation and inactivation is associated with cancer progression in gastric </w:t>
      </w:r>
      <w:proofErr w:type="gramStart"/>
      <w:r w:rsidR="00726A94" w:rsidRPr="008A0130">
        <w:rPr>
          <w:rFonts w:ascii="Book Antiqua" w:hAnsi="Book Antiqua" w:cs="Times New Roman"/>
        </w:rPr>
        <w:t>cancer</w:t>
      </w:r>
      <w:r w:rsidR="00D07D75" w:rsidRPr="008A0130">
        <w:rPr>
          <w:rFonts w:ascii="Book Antiqua" w:hAnsi="Book Antiqua" w:cs="Times New Roman"/>
          <w:vertAlign w:val="superscript"/>
        </w:rPr>
        <w:t>[</w:t>
      </w:r>
      <w:proofErr w:type="gramEnd"/>
      <w:r w:rsidR="00D07D75" w:rsidRPr="008A0130">
        <w:rPr>
          <w:rFonts w:ascii="Book Antiqua" w:hAnsi="Book Antiqua" w:cs="Times New Roman"/>
          <w:vertAlign w:val="superscript"/>
        </w:rPr>
        <w:t>105</w:t>
      </w:r>
      <w:r w:rsidR="00543CB0" w:rsidRPr="008A0130">
        <w:rPr>
          <w:rFonts w:ascii="Book Antiqua" w:hAnsi="Book Antiqua" w:cs="Times New Roman"/>
          <w:vertAlign w:val="superscript"/>
        </w:rPr>
        <w:t>]</w:t>
      </w:r>
      <w:r w:rsidR="00726A94" w:rsidRPr="008A0130">
        <w:rPr>
          <w:rFonts w:ascii="Book Antiqua" w:hAnsi="Book Antiqua" w:cs="Times New Roman"/>
        </w:rPr>
        <w:t xml:space="preserve">. </w:t>
      </w:r>
      <w:r w:rsidR="00BE22DF" w:rsidRPr="008A0130">
        <w:rPr>
          <w:rFonts w:ascii="Book Antiqua" w:hAnsi="Book Antiqua" w:cs="Times New Roman"/>
        </w:rPr>
        <w:t>Different studi</w:t>
      </w:r>
      <w:r w:rsidR="00225B21" w:rsidRPr="008A0130">
        <w:rPr>
          <w:rFonts w:ascii="Book Antiqua" w:hAnsi="Book Antiqua" w:cs="Times New Roman"/>
        </w:rPr>
        <w:t>es have shown downregulation</w:t>
      </w:r>
      <w:r w:rsidR="00BE22DF" w:rsidRPr="008A0130">
        <w:rPr>
          <w:rFonts w:ascii="Book Antiqua" w:hAnsi="Book Antiqua" w:cs="Times New Roman"/>
        </w:rPr>
        <w:t xml:space="preserve"> -in occasion by unspecified mechanisms- of various negative regulators of the Wnt/ß-catenin signaling involved in proliferation and invasion in gastric cancer, including </w:t>
      </w:r>
      <w:r w:rsidR="00BE22DF" w:rsidRPr="008A0130">
        <w:rPr>
          <w:rFonts w:ascii="Book Antiqua" w:hAnsi="Book Antiqua" w:cs="Times New Roman"/>
          <w:i/>
        </w:rPr>
        <w:t>sFRP</w:t>
      </w:r>
      <w:r w:rsidR="00BE22DF" w:rsidRPr="008A0130">
        <w:rPr>
          <w:rFonts w:ascii="Book Antiqua" w:hAnsi="Book Antiqua" w:cs="Times New Roman"/>
        </w:rPr>
        <w:t xml:space="preserve">, </w:t>
      </w:r>
      <w:r w:rsidR="00BE22DF" w:rsidRPr="008A0130">
        <w:rPr>
          <w:rFonts w:ascii="Book Antiqua" w:hAnsi="Book Antiqua" w:cs="Times New Roman"/>
          <w:i/>
        </w:rPr>
        <w:t>Sox7</w:t>
      </w:r>
      <w:r w:rsidR="00BE22DF" w:rsidRPr="008A0130">
        <w:rPr>
          <w:rFonts w:ascii="Book Antiqua" w:hAnsi="Book Antiqua" w:cs="Times New Roman"/>
        </w:rPr>
        <w:t xml:space="preserve">, </w:t>
      </w:r>
      <w:r w:rsidR="00BE22DF" w:rsidRPr="008A0130">
        <w:rPr>
          <w:rFonts w:ascii="Book Antiqua" w:hAnsi="Book Antiqua" w:cs="Times New Roman"/>
          <w:i/>
        </w:rPr>
        <w:t>Sox10</w:t>
      </w:r>
      <w:r w:rsidR="00BE22DF" w:rsidRPr="008A0130">
        <w:rPr>
          <w:rFonts w:ascii="Book Antiqua" w:hAnsi="Book Antiqua" w:cs="Times New Roman"/>
        </w:rPr>
        <w:t xml:space="preserve">, </w:t>
      </w:r>
      <w:r w:rsidR="00BE22DF" w:rsidRPr="008A0130">
        <w:rPr>
          <w:rFonts w:ascii="Book Antiqua" w:hAnsi="Book Antiqua" w:cs="Times New Roman"/>
          <w:i/>
        </w:rPr>
        <w:t>Sox17</w:t>
      </w:r>
      <w:r w:rsidR="00BE22DF" w:rsidRPr="008A0130">
        <w:rPr>
          <w:rFonts w:ascii="Book Antiqua" w:hAnsi="Book Antiqua" w:cs="Times New Roman"/>
        </w:rPr>
        <w:t xml:space="preserve">, </w:t>
      </w:r>
      <w:r w:rsidR="00BE22DF" w:rsidRPr="008A0130">
        <w:rPr>
          <w:rFonts w:ascii="Book Antiqua" w:hAnsi="Book Antiqua" w:cs="Times New Roman"/>
          <w:i/>
        </w:rPr>
        <w:t>HSulf-1</w:t>
      </w:r>
      <w:r w:rsidR="00BE22DF" w:rsidRPr="008A0130">
        <w:rPr>
          <w:rFonts w:ascii="Book Antiqua" w:hAnsi="Book Antiqua" w:cs="Times New Roman"/>
        </w:rPr>
        <w:t xml:space="preserve">, </w:t>
      </w:r>
      <w:r w:rsidR="00BE22DF" w:rsidRPr="008A0130">
        <w:rPr>
          <w:rFonts w:ascii="Book Antiqua" w:hAnsi="Book Antiqua" w:cs="Times New Roman"/>
          <w:i/>
        </w:rPr>
        <w:t>RACK1</w:t>
      </w:r>
      <w:r w:rsidR="00BE22DF" w:rsidRPr="008A0130">
        <w:rPr>
          <w:rFonts w:ascii="Book Antiqua" w:hAnsi="Book Antiqua" w:cs="Times New Roman"/>
        </w:rPr>
        <w:t xml:space="preserve">, </w:t>
      </w:r>
      <w:r w:rsidR="00BE22DF" w:rsidRPr="008A0130">
        <w:rPr>
          <w:rFonts w:ascii="Book Antiqua" w:hAnsi="Book Antiqua" w:cs="Times New Roman"/>
          <w:i/>
        </w:rPr>
        <w:t>ZNRF3</w:t>
      </w:r>
      <w:r w:rsidR="00BE22DF" w:rsidRPr="008A0130">
        <w:rPr>
          <w:rFonts w:ascii="Book Antiqua" w:hAnsi="Book Antiqua" w:cs="Times New Roman"/>
        </w:rPr>
        <w:t xml:space="preserve"> and </w:t>
      </w:r>
      <w:r w:rsidR="00BE22DF" w:rsidRPr="008A0130">
        <w:rPr>
          <w:rFonts w:ascii="Book Antiqua" w:hAnsi="Book Antiqua" w:cs="Times New Roman"/>
          <w:i/>
          <w:iCs/>
        </w:rPr>
        <w:t>OSR1</w:t>
      </w:r>
      <w:r w:rsidR="00BE22DF" w:rsidRPr="008A0130">
        <w:rPr>
          <w:rFonts w:ascii="Book Antiqua" w:hAnsi="Book Antiqua" w:cs="Times New Roman"/>
          <w:vertAlign w:val="superscript"/>
        </w:rPr>
        <w:t>[</w:t>
      </w:r>
      <w:r w:rsidR="00B51E66" w:rsidRPr="008A0130">
        <w:rPr>
          <w:rFonts w:ascii="Book Antiqua" w:hAnsi="Book Antiqua" w:cs="Times New Roman"/>
          <w:vertAlign w:val="superscript"/>
        </w:rPr>
        <w:t>78</w:t>
      </w:r>
      <w:r w:rsidR="00BE22DF" w:rsidRPr="008A0130">
        <w:rPr>
          <w:rFonts w:ascii="Book Antiqua" w:hAnsi="Book Antiqua" w:cs="Times New Roman"/>
          <w:vertAlign w:val="superscript"/>
        </w:rPr>
        <w:t>,</w:t>
      </w:r>
      <w:r w:rsidR="00D07D75" w:rsidRPr="008A0130">
        <w:rPr>
          <w:rFonts w:ascii="Book Antiqua" w:hAnsi="Book Antiqua" w:cs="Times New Roman"/>
          <w:vertAlign w:val="superscript"/>
        </w:rPr>
        <w:t>106-113</w:t>
      </w:r>
      <w:r w:rsidR="00BE22DF" w:rsidRPr="008A0130">
        <w:rPr>
          <w:rFonts w:ascii="Book Antiqua" w:hAnsi="Book Antiqua" w:cs="Times New Roman"/>
          <w:vertAlign w:val="superscript"/>
        </w:rPr>
        <w:t>]</w:t>
      </w:r>
      <w:r w:rsidR="00BE22DF" w:rsidRPr="008A0130">
        <w:rPr>
          <w:rFonts w:ascii="Book Antiqua" w:hAnsi="Book Antiqua" w:cs="Times New Roman"/>
          <w:iCs/>
        </w:rPr>
        <w:t>.</w:t>
      </w:r>
    </w:p>
    <w:p w14:paraId="45DDA1D2" w14:textId="27C01BD1" w:rsidR="00BE7CB3" w:rsidRPr="008A0130" w:rsidRDefault="00726A94"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Some Wnt-</w:t>
      </w:r>
      <w:r w:rsidR="003D2CC0" w:rsidRPr="008A0130">
        <w:rPr>
          <w:rFonts w:ascii="Book Antiqua" w:hAnsi="Book Antiqua" w:cs="Times New Roman"/>
        </w:rPr>
        <w:t>target</w:t>
      </w:r>
      <w:r w:rsidRPr="008A0130">
        <w:rPr>
          <w:rFonts w:ascii="Book Antiqua" w:hAnsi="Book Antiqua" w:cs="Times New Roman"/>
        </w:rPr>
        <w:t xml:space="preserve"> genes, such as Dkk-1</w:t>
      </w:r>
      <w:r w:rsidR="003D2CC0" w:rsidRPr="008A0130">
        <w:rPr>
          <w:rFonts w:ascii="Book Antiqua" w:hAnsi="Book Antiqua" w:cs="Times New Roman"/>
        </w:rPr>
        <w:t>, Axin, Nemo kinase, etc.,</w:t>
      </w:r>
      <w:r w:rsidRPr="008A0130">
        <w:rPr>
          <w:rFonts w:ascii="Book Antiqua" w:hAnsi="Book Antiqua" w:cs="Times New Roman"/>
        </w:rPr>
        <w:t xml:space="preserve"> have shown to cause inhibition of Wnt signaling </w:t>
      </w:r>
      <w:proofErr w:type="gramStart"/>
      <w:r w:rsidRPr="008A0130">
        <w:rPr>
          <w:rFonts w:ascii="Book Antiqua" w:hAnsi="Book Antiqua" w:cs="Times New Roman"/>
        </w:rPr>
        <w:t>itself</w:t>
      </w:r>
      <w:r w:rsidR="00543CB0" w:rsidRPr="008A0130">
        <w:rPr>
          <w:rFonts w:ascii="Book Antiqua" w:hAnsi="Book Antiqua" w:cs="Times New Roman"/>
          <w:vertAlign w:val="superscript"/>
        </w:rPr>
        <w:t>[</w:t>
      </w:r>
      <w:proofErr w:type="gramEnd"/>
      <w:r w:rsidR="00D07D75" w:rsidRPr="008A0130">
        <w:rPr>
          <w:rFonts w:ascii="Book Antiqua" w:hAnsi="Book Antiqua" w:cs="Times New Roman"/>
          <w:vertAlign w:val="superscript"/>
        </w:rPr>
        <w:t>114,115</w:t>
      </w:r>
      <w:r w:rsidR="00543CB0" w:rsidRPr="008A0130">
        <w:rPr>
          <w:rFonts w:ascii="Book Antiqua" w:hAnsi="Book Antiqua" w:cs="Times New Roman"/>
          <w:vertAlign w:val="superscript"/>
        </w:rPr>
        <w:t>]</w:t>
      </w:r>
      <w:r w:rsidRPr="008A0130">
        <w:rPr>
          <w:rFonts w:ascii="Book Antiqua" w:hAnsi="Book Antiqua" w:cs="Times New Roman"/>
        </w:rPr>
        <w:t xml:space="preserve">. </w:t>
      </w:r>
      <w:r w:rsidR="00225B21" w:rsidRPr="008A0130">
        <w:rPr>
          <w:rFonts w:ascii="Book Antiqua" w:eastAsia="Times New Roman" w:hAnsi="Book Antiqua" w:cs="Times New Roman"/>
        </w:rPr>
        <w:t>T</w:t>
      </w:r>
      <w:r w:rsidR="001032A0" w:rsidRPr="008A0130">
        <w:rPr>
          <w:rFonts w:ascii="Book Antiqua" w:eastAsia="Times New Roman" w:hAnsi="Book Antiqua" w:cs="Times New Roman"/>
        </w:rPr>
        <w:t>hese</w:t>
      </w:r>
      <w:r w:rsidR="00FF6F00" w:rsidRPr="008A0130">
        <w:rPr>
          <w:rFonts w:ascii="Book Antiqua" w:eastAsia="Times New Roman" w:hAnsi="Book Antiqua" w:cs="Times New Roman"/>
        </w:rPr>
        <w:t xml:space="preserve"> Wnt-antagonists</w:t>
      </w:r>
      <w:r w:rsidR="00FF6F00" w:rsidRPr="008A0130">
        <w:rPr>
          <w:rFonts w:ascii="Book Antiqua" w:eastAsia="Times New Roman" w:hAnsi="Book Antiqua" w:cs="Arial"/>
        </w:rPr>
        <w:t xml:space="preserve"> are initially upregulated in response to Wnt signaling activation, initiating a negative feedback </w:t>
      </w:r>
      <w:proofErr w:type="gramStart"/>
      <w:r w:rsidR="00FF6F00" w:rsidRPr="008A0130">
        <w:rPr>
          <w:rFonts w:ascii="Book Antiqua" w:eastAsia="Times New Roman" w:hAnsi="Book Antiqua" w:cs="Arial"/>
        </w:rPr>
        <w:t>loop</w:t>
      </w:r>
      <w:r w:rsidR="00D07D75" w:rsidRPr="008A0130">
        <w:rPr>
          <w:rFonts w:ascii="Book Antiqua" w:eastAsia="Times New Roman" w:hAnsi="Book Antiqua" w:cs="Times New Roman"/>
          <w:vertAlign w:val="superscript"/>
        </w:rPr>
        <w:t>[</w:t>
      </w:r>
      <w:proofErr w:type="gramEnd"/>
      <w:r w:rsidR="00D07D75" w:rsidRPr="008A0130">
        <w:rPr>
          <w:rFonts w:ascii="Book Antiqua" w:eastAsia="Times New Roman" w:hAnsi="Book Antiqua" w:cs="Times New Roman"/>
          <w:vertAlign w:val="superscript"/>
        </w:rPr>
        <w:t>116</w:t>
      </w:r>
      <w:r w:rsidR="00FA5AAD" w:rsidRPr="008A0130">
        <w:rPr>
          <w:rFonts w:ascii="Book Antiqua" w:eastAsia="Times New Roman" w:hAnsi="Book Antiqua" w:cs="Times New Roman"/>
          <w:vertAlign w:val="superscript"/>
        </w:rPr>
        <w:t>]</w:t>
      </w:r>
      <w:r w:rsidR="00FF6F00" w:rsidRPr="008A0130">
        <w:rPr>
          <w:rFonts w:ascii="Book Antiqua" w:eastAsia="Times New Roman" w:hAnsi="Book Antiqua" w:cs="Arial"/>
        </w:rPr>
        <w:t xml:space="preserve">. However, in certain tumor cells, the epigenetic silencing of Dkk-1 by promoter hypermethylation </w:t>
      </w:r>
      <w:r w:rsidR="00FF6F00" w:rsidRPr="008A0130">
        <w:rPr>
          <w:rFonts w:ascii="Book Antiqua" w:eastAsia="Times New Roman" w:hAnsi="Book Antiqua" w:cs="Times New Roman"/>
        </w:rPr>
        <w:t>or loss of heterozygosity,</w:t>
      </w:r>
      <w:r w:rsidR="00FF6F00" w:rsidRPr="008A0130">
        <w:rPr>
          <w:rStyle w:val="apple-converted-space"/>
          <w:rFonts w:ascii="Book Antiqua" w:eastAsia="Times New Roman" w:hAnsi="Book Antiqua" w:cs="Times New Roman"/>
        </w:rPr>
        <w:t> </w:t>
      </w:r>
      <w:r w:rsidR="00267335" w:rsidRPr="008A0130">
        <w:rPr>
          <w:rFonts w:ascii="Book Antiqua" w:eastAsia="Times New Roman" w:hAnsi="Book Antiqua" w:cs="Arial"/>
        </w:rPr>
        <w:t>produces an imbalance of Wnt/Dkk negative feedback, therefore contributing to persistent activation of Wnt/</w:t>
      </w:r>
      <w:r w:rsidR="00F926B4" w:rsidRPr="008A0130">
        <w:rPr>
          <w:rFonts w:ascii="Book Antiqua" w:eastAsia="Times New Roman" w:hAnsi="Book Antiqua" w:cs="Times New Roman"/>
        </w:rPr>
        <w:t>β</w:t>
      </w:r>
      <w:r w:rsidR="00267335" w:rsidRPr="008A0130">
        <w:rPr>
          <w:rFonts w:ascii="Book Antiqua" w:eastAsia="Times New Roman" w:hAnsi="Book Antiqua" w:cs="Arial"/>
        </w:rPr>
        <w:t xml:space="preserve">-catenin </w:t>
      </w:r>
      <w:proofErr w:type="gramStart"/>
      <w:r w:rsidR="00267335" w:rsidRPr="008A0130">
        <w:rPr>
          <w:rFonts w:ascii="Book Antiqua" w:eastAsia="Times New Roman" w:hAnsi="Book Antiqua" w:cs="Arial"/>
        </w:rPr>
        <w:t>signaling</w:t>
      </w:r>
      <w:r w:rsidR="00D07D75" w:rsidRPr="008A0130">
        <w:rPr>
          <w:rFonts w:ascii="Book Antiqua" w:eastAsia="Times New Roman" w:hAnsi="Book Antiqua" w:cs="Times New Roman"/>
          <w:vertAlign w:val="superscript"/>
        </w:rPr>
        <w:t>[</w:t>
      </w:r>
      <w:proofErr w:type="gramEnd"/>
      <w:r w:rsidR="00D07D75" w:rsidRPr="008A0130">
        <w:rPr>
          <w:rFonts w:ascii="Book Antiqua" w:eastAsia="Times New Roman" w:hAnsi="Book Antiqua" w:cs="Times New Roman"/>
          <w:vertAlign w:val="superscript"/>
        </w:rPr>
        <w:t>117,118</w:t>
      </w:r>
      <w:r w:rsidR="00FA5AAD" w:rsidRPr="008A0130">
        <w:rPr>
          <w:rFonts w:ascii="Book Antiqua" w:eastAsia="Times New Roman" w:hAnsi="Book Antiqua" w:cs="Times New Roman"/>
          <w:vertAlign w:val="superscript"/>
        </w:rPr>
        <w:t>]</w:t>
      </w:r>
      <w:r w:rsidR="00267335" w:rsidRPr="008A0130">
        <w:rPr>
          <w:rFonts w:ascii="Book Antiqua" w:eastAsia="Times New Roman" w:hAnsi="Book Antiqua" w:cs="Arial"/>
        </w:rPr>
        <w:t xml:space="preserve">. </w:t>
      </w:r>
      <w:r w:rsidR="006335E5" w:rsidRPr="008A0130">
        <w:rPr>
          <w:rStyle w:val="apple-converted-space"/>
          <w:rFonts w:ascii="Book Antiqua" w:eastAsia="Times New Roman" w:hAnsi="Book Antiqua" w:cs="Times New Roman"/>
        </w:rPr>
        <w:t xml:space="preserve">Moreover, recently </w:t>
      </w:r>
      <w:r w:rsidR="006335E5" w:rsidRPr="008A0130">
        <w:rPr>
          <w:rFonts w:ascii="Book Antiqua" w:eastAsia="Times New Roman" w:hAnsi="Book Antiqua" w:cs="Lucida Sans Unicode"/>
          <w:lang w:val="es-ES_tradnl"/>
        </w:rPr>
        <w:t xml:space="preserve">it was reported that </w:t>
      </w:r>
      <w:r w:rsidR="001032A0" w:rsidRPr="008A0130">
        <w:rPr>
          <w:rFonts w:ascii="Book Antiqua" w:eastAsia="Times New Roman" w:hAnsi="Book Antiqua" w:cs="Lucida Sans Unicode"/>
          <w:lang w:val="es-ES_tradnl"/>
        </w:rPr>
        <w:t>Polycomb group protein BMI1</w:t>
      </w:r>
      <w:r w:rsidR="006335E5" w:rsidRPr="008A0130">
        <w:rPr>
          <w:rFonts w:ascii="Book Antiqua" w:eastAsia="Times New Roman" w:hAnsi="Book Antiqua" w:cs="Lucida Sans Unicode"/>
          <w:lang w:val="es-ES_tradnl"/>
        </w:rPr>
        <w:t>, which is transcriptionally regulated by the Wnt-target gene c-Myc, act as an activator of the Wnt pathway by repressing Dkk protein family (particularly Dkk-1)</w:t>
      </w:r>
      <w:r w:rsidR="001032A0" w:rsidRPr="008A0130">
        <w:rPr>
          <w:rFonts w:ascii="Book Antiqua" w:eastAsia="Times New Roman" w:hAnsi="Book Antiqua" w:cs="Lucida Sans Unicode"/>
          <w:lang w:val="es-ES_tradnl"/>
        </w:rPr>
        <w:t xml:space="preserve"> as part of positive feedback </w:t>
      </w:r>
      <w:proofErr w:type="gramStart"/>
      <w:r w:rsidR="001032A0" w:rsidRPr="008A0130">
        <w:rPr>
          <w:rFonts w:ascii="Book Antiqua" w:eastAsia="Times New Roman" w:hAnsi="Book Antiqua" w:cs="Lucida Sans Unicode"/>
          <w:lang w:val="es-ES_tradnl"/>
        </w:rPr>
        <w:t>loop</w:t>
      </w:r>
      <w:r w:rsidR="00D07D75" w:rsidRPr="008A0130">
        <w:rPr>
          <w:rFonts w:ascii="Book Antiqua" w:eastAsia="Times New Roman" w:hAnsi="Book Antiqua" w:cs="Times New Roman"/>
          <w:vertAlign w:val="superscript"/>
        </w:rPr>
        <w:t>[</w:t>
      </w:r>
      <w:proofErr w:type="gramEnd"/>
      <w:r w:rsidR="00D07D75" w:rsidRPr="008A0130">
        <w:rPr>
          <w:rFonts w:ascii="Book Antiqua" w:eastAsia="Times New Roman" w:hAnsi="Book Antiqua" w:cs="Times New Roman"/>
          <w:vertAlign w:val="superscript"/>
        </w:rPr>
        <w:t>119</w:t>
      </w:r>
      <w:r w:rsidR="00FA5AAD" w:rsidRPr="008A0130">
        <w:rPr>
          <w:rFonts w:ascii="Book Antiqua" w:eastAsia="Times New Roman" w:hAnsi="Book Antiqua" w:cs="Times New Roman"/>
          <w:vertAlign w:val="superscript"/>
        </w:rPr>
        <w:t>]</w:t>
      </w:r>
      <w:r w:rsidR="001032A0" w:rsidRPr="008A0130">
        <w:rPr>
          <w:rFonts w:ascii="Book Antiqua" w:eastAsia="Times New Roman" w:hAnsi="Book Antiqua" w:cs="Lucida Sans Unicode"/>
          <w:lang w:val="es-ES_tradnl"/>
        </w:rPr>
        <w:t>.</w:t>
      </w:r>
    </w:p>
    <w:p w14:paraId="7E70FF0B" w14:textId="6C4697C9" w:rsidR="001918B2" w:rsidRPr="008A0130" w:rsidRDefault="00726A94" w:rsidP="008A0130">
      <w:pPr>
        <w:widowControl w:val="0"/>
        <w:autoSpaceDE w:val="0"/>
        <w:autoSpaceDN w:val="0"/>
        <w:adjustRightInd w:val="0"/>
        <w:spacing w:line="360" w:lineRule="auto"/>
        <w:ind w:firstLineChars="100" w:firstLine="240"/>
        <w:jc w:val="both"/>
        <w:rPr>
          <w:rFonts w:ascii="Book Antiqua" w:eastAsia="Times New Roman" w:hAnsi="Book Antiqua" w:cs="Times New Roman"/>
        </w:rPr>
      </w:pPr>
      <w:r w:rsidRPr="008A0130">
        <w:rPr>
          <w:rFonts w:ascii="Book Antiqua" w:hAnsi="Book Antiqua" w:cs="Times New Roman"/>
        </w:rPr>
        <w:t xml:space="preserve">Conversely, as despite Dkk-1 being a Wnt pathway inhibitor, </w:t>
      </w:r>
      <w:r w:rsidRPr="008A0130">
        <w:rPr>
          <w:rFonts w:ascii="Book Antiqua" w:hAnsi="Book Antiqua" w:cs="Times New Roman"/>
          <w:i/>
        </w:rPr>
        <w:t>Dkk-1</w:t>
      </w:r>
      <w:r w:rsidRPr="008A0130">
        <w:rPr>
          <w:rFonts w:ascii="Book Antiqua" w:hAnsi="Book Antiqua" w:cs="Times New Roman"/>
        </w:rPr>
        <w:t xml:space="preserve"> has been found upregulated in several human cancers, such as lung, esophageal</w:t>
      </w:r>
      <w:r w:rsidR="001166F1" w:rsidRPr="008A0130">
        <w:rPr>
          <w:rFonts w:ascii="Book Antiqua" w:hAnsi="Book Antiqua" w:cs="Times New Roman"/>
        </w:rPr>
        <w:t>, breast, myeloma multiple</w:t>
      </w:r>
      <w:r w:rsidRPr="008A0130">
        <w:rPr>
          <w:rFonts w:ascii="Book Antiqua" w:hAnsi="Book Antiqua" w:cs="Times New Roman"/>
        </w:rPr>
        <w:t xml:space="preserve"> and gastric cancer</w:t>
      </w:r>
      <w:r w:rsidR="00D07D75" w:rsidRPr="008A0130">
        <w:rPr>
          <w:rFonts w:ascii="Book Antiqua" w:eastAsia="Times New Roman" w:hAnsi="Book Antiqua" w:cs="Times New Roman"/>
          <w:vertAlign w:val="superscript"/>
        </w:rPr>
        <w:t>[120-123</w:t>
      </w:r>
      <w:r w:rsidR="00D55892" w:rsidRPr="008A0130">
        <w:rPr>
          <w:rFonts w:ascii="Book Antiqua" w:eastAsia="Times New Roman" w:hAnsi="Book Antiqua" w:cs="Times New Roman"/>
          <w:vertAlign w:val="superscript"/>
        </w:rPr>
        <w:t>]</w:t>
      </w:r>
      <w:r w:rsidR="00267335" w:rsidRPr="008A0130">
        <w:rPr>
          <w:rFonts w:ascii="Book Antiqua" w:hAnsi="Book Antiqua" w:cs="Times New Roman"/>
        </w:rPr>
        <w:t xml:space="preserve">, </w:t>
      </w:r>
      <w:r w:rsidR="00267335" w:rsidRPr="008A0130">
        <w:rPr>
          <w:rFonts w:ascii="Book Antiqua" w:eastAsia="Times New Roman" w:hAnsi="Book Antiqua" w:cs="Times New Roman"/>
        </w:rPr>
        <w:t>indicating that Dkk-1 could has a potential</w:t>
      </w:r>
      <w:r w:rsidR="001166F1" w:rsidRPr="008A0130">
        <w:rPr>
          <w:rFonts w:ascii="Book Antiqua" w:eastAsia="Times New Roman" w:hAnsi="Book Antiqua" w:cs="Times New Roman"/>
        </w:rPr>
        <w:t xml:space="preserve"> oncogenic role in these tumors</w:t>
      </w:r>
      <w:r w:rsidR="00267335" w:rsidRPr="008A0130">
        <w:rPr>
          <w:rFonts w:ascii="Book Antiqua" w:eastAsia="Times New Roman" w:hAnsi="Book Antiqua" w:cs="Times New Roman"/>
        </w:rPr>
        <w:t xml:space="preserve"> rather than acting as a tumor suppressor </w:t>
      </w:r>
      <w:r w:rsidR="007F33E3" w:rsidRPr="008A0130">
        <w:rPr>
          <w:rFonts w:ascii="Book Antiqua" w:eastAsia="Times New Roman" w:hAnsi="Book Antiqua" w:cs="Times New Roman"/>
        </w:rPr>
        <w:t xml:space="preserve">by </w:t>
      </w:r>
      <w:r w:rsidR="00267335" w:rsidRPr="008A0130">
        <w:rPr>
          <w:rFonts w:ascii="Book Antiqua" w:eastAsia="Times New Roman" w:hAnsi="Book Antiqua" w:cs="Times New Roman"/>
        </w:rPr>
        <w:t>antagonizing Wnt signaling.</w:t>
      </w:r>
      <w:r w:rsidR="007F33E3" w:rsidRPr="008A0130">
        <w:rPr>
          <w:rFonts w:ascii="Book Antiqua" w:eastAsia="Times New Roman" w:hAnsi="Book Antiqua" w:cs="Times New Roman"/>
        </w:rPr>
        <w:t xml:space="preserve"> </w:t>
      </w:r>
      <w:r w:rsidR="007F33E3" w:rsidRPr="008A0130">
        <w:rPr>
          <w:rFonts w:ascii="Book Antiqua" w:hAnsi="Book Antiqua" w:cs="Times"/>
        </w:rPr>
        <w:t xml:space="preserve">That elevation of Dkk-1 expression </w:t>
      </w:r>
      <w:r w:rsidR="001918B2" w:rsidRPr="008A0130">
        <w:rPr>
          <w:rFonts w:ascii="Book Antiqua" w:hAnsi="Book Antiqua" w:cs="Times"/>
        </w:rPr>
        <w:t>is likely</w:t>
      </w:r>
      <w:r w:rsidR="007F33E3" w:rsidRPr="008A0130">
        <w:rPr>
          <w:rFonts w:ascii="Book Antiqua" w:hAnsi="Book Antiqua" w:cs="Times"/>
        </w:rPr>
        <w:t xml:space="preserve"> to be </w:t>
      </w:r>
      <w:r w:rsidR="007F33E3" w:rsidRPr="008A0130">
        <w:rPr>
          <w:rFonts w:ascii="Book Antiqua" w:hAnsi="Book Antiqua" w:cs="Times"/>
        </w:rPr>
        <w:lastRenderedPageBreak/>
        <w:t>ca</w:t>
      </w:r>
      <w:r w:rsidR="001918B2" w:rsidRPr="008A0130">
        <w:rPr>
          <w:rFonts w:ascii="Book Antiqua" w:hAnsi="Book Antiqua" w:cs="Times"/>
        </w:rPr>
        <w:t>used by some epigenetic altera</w:t>
      </w:r>
      <w:r w:rsidR="007F33E3" w:rsidRPr="008A0130">
        <w:rPr>
          <w:rFonts w:ascii="Book Antiqua" w:hAnsi="Book Antiqua" w:cs="Times"/>
        </w:rPr>
        <w:t>tions including the loss of</w:t>
      </w:r>
      <w:r w:rsidR="001918B2" w:rsidRPr="008A0130">
        <w:rPr>
          <w:rFonts w:ascii="Book Antiqua" w:hAnsi="Book Antiqua" w:cs="Times"/>
        </w:rPr>
        <w:t xml:space="preserve"> promoter methylation of the </w:t>
      </w:r>
      <w:r w:rsidR="001918B2" w:rsidRPr="008A0130">
        <w:rPr>
          <w:rFonts w:ascii="Book Antiqua" w:hAnsi="Book Antiqua" w:cs="Times"/>
          <w:i/>
        </w:rPr>
        <w:t>Dkk-</w:t>
      </w:r>
      <w:r w:rsidR="007F33E3" w:rsidRPr="008A0130">
        <w:rPr>
          <w:rFonts w:ascii="Book Antiqua" w:hAnsi="Book Antiqua" w:cs="Times"/>
          <w:i/>
        </w:rPr>
        <w:t>1</w:t>
      </w:r>
      <w:r w:rsidR="007F33E3" w:rsidRPr="008A0130">
        <w:rPr>
          <w:rFonts w:ascii="Book Antiqua" w:hAnsi="Book Antiqua" w:cs="Times"/>
        </w:rPr>
        <w:t xml:space="preserve"> </w:t>
      </w:r>
      <w:proofErr w:type="gramStart"/>
      <w:r w:rsidR="007F33E3" w:rsidRPr="008A0130">
        <w:rPr>
          <w:rFonts w:ascii="Book Antiqua" w:hAnsi="Book Antiqua" w:cs="Times"/>
        </w:rPr>
        <w:t>gene</w:t>
      </w:r>
      <w:r w:rsidR="001918B2" w:rsidRPr="008A0130">
        <w:rPr>
          <w:rFonts w:ascii="Book Antiqua" w:hAnsi="Book Antiqua" w:cs="Times New Roman"/>
          <w:vertAlign w:val="superscript"/>
        </w:rPr>
        <w:t>[</w:t>
      </w:r>
      <w:proofErr w:type="gramEnd"/>
      <w:r w:rsidR="00D55892" w:rsidRPr="008A0130">
        <w:rPr>
          <w:rFonts w:ascii="Book Antiqua" w:hAnsi="Book Antiqua" w:cs="Times New Roman"/>
          <w:vertAlign w:val="superscript"/>
        </w:rPr>
        <w:t>12</w:t>
      </w:r>
      <w:r w:rsidR="00D07D75" w:rsidRPr="008A0130">
        <w:rPr>
          <w:rFonts w:ascii="Book Antiqua" w:hAnsi="Book Antiqua" w:cs="Times New Roman"/>
          <w:vertAlign w:val="superscript"/>
        </w:rPr>
        <w:t>3</w:t>
      </w:r>
      <w:r w:rsidR="00D55892" w:rsidRPr="008A0130">
        <w:rPr>
          <w:rFonts w:ascii="Book Antiqua" w:hAnsi="Book Antiqua" w:cs="Times New Roman"/>
          <w:vertAlign w:val="superscript"/>
        </w:rPr>
        <w:t>,12</w:t>
      </w:r>
      <w:r w:rsidR="00D07D75" w:rsidRPr="008A0130">
        <w:rPr>
          <w:rFonts w:ascii="Book Antiqua" w:hAnsi="Book Antiqua" w:cs="Times New Roman"/>
          <w:vertAlign w:val="superscript"/>
        </w:rPr>
        <w:t>4</w:t>
      </w:r>
      <w:r w:rsidR="001918B2" w:rsidRPr="008A0130">
        <w:rPr>
          <w:rFonts w:ascii="Book Antiqua" w:hAnsi="Book Antiqua" w:cs="Times New Roman"/>
          <w:vertAlign w:val="superscript"/>
        </w:rPr>
        <w:t>]</w:t>
      </w:r>
      <w:r w:rsidR="007F33E3" w:rsidRPr="008A0130">
        <w:rPr>
          <w:rFonts w:ascii="Book Antiqua" w:hAnsi="Book Antiqua" w:cs="Times"/>
        </w:rPr>
        <w:t>.</w:t>
      </w:r>
      <w:r w:rsidR="001918B2" w:rsidRPr="008A0130">
        <w:rPr>
          <w:rFonts w:ascii="Book Antiqua" w:hAnsi="Book Antiqua" w:cs="Times"/>
        </w:rPr>
        <w:t xml:space="preserve"> Moreover, the oncogenic activities of Dkk-1 could be mediated</w:t>
      </w:r>
      <w:r w:rsidR="006944CC" w:rsidRPr="008A0130">
        <w:rPr>
          <w:rFonts w:ascii="Book Antiqua" w:hAnsi="Book Antiqua" w:cs="Times"/>
        </w:rPr>
        <w:t>,</w:t>
      </w:r>
      <w:r w:rsidR="001918B2" w:rsidRPr="008A0130">
        <w:rPr>
          <w:rFonts w:ascii="Book Antiqua" w:hAnsi="Book Antiqua" w:cs="Times"/>
        </w:rPr>
        <w:t xml:space="preserve"> at least in part</w:t>
      </w:r>
      <w:r w:rsidR="006944CC" w:rsidRPr="008A0130">
        <w:rPr>
          <w:rFonts w:ascii="Book Antiqua" w:hAnsi="Book Antiqua" w:cs="Times"/>
        </w:rPr>
        <w:t>,</w:t>
      </w:r>
      <w:r w:rsidR="001918B2" w:rsidRPr="008A0130">
        <w:rPr>
          <w:rFonts w:ascii="Book Antiqua" w:hAnsi="Book Antiqua" w:cs="Times"/>
        </w:rPr>
        <w:t xml:space="preserve"> </w:t>
      </w:r>
      <w:r w:rsidR="001918B2" w:rsidRPr="008A0130">
        <w:rPr>
          <w:rFonts w:ascii="Book Antiqua" w:eastAsia="Times New Roman" w:hAnsi="Book Antiqua" w:cs="Times New Roman"/>
          <w:lang w:val="es-ES_tradnl"/>
        </w:rPr>
        <w:t xml:space="preserve">by </w:t>
      </w:r>
      <w:r w:rsidR="001918B2" w:rsidRPr="008A0130">
        <w:rPr>
          <w:rFonts w:ascii="Book Antiqua" w:eastAsia="Times New Roman" w:hAnsi="Book Antiqua" w:cs="Times New Roman"/>
          <w:bCs/>
          <w:lang w:val="es-ES_tradnl"/>
        </w:rPr>
        <w:t>non-canonical Jun-mediated Wnt pathways activation.</w:t>
      </w:r>
    </w:p>
    <w:p w14:paraId="72AAD1A0" w14:textId="064271F9" w:rsidR="00660846" w:rsidRPr="008A0130" w:rsidRDefault="00D95A25"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New Roman"/>
        </w:rPr>
        <w:t xml:space="preserve">RUNX3 suppresses the canonical Wnt signaling pathway by forming a ternary complex of </w:t>
      </w:r>
      <w:r w:rsidR="00744C33" w:rsidRPr="008A0130">
        <w:rPr>
          <w:rFonts w:ascii="Book Antiqua" w:hAnsi="Book Antiqua" w:cs="Times New Roman"/>
        </w:rPr>
        <w:t>RUNX3, TCF4 and ß-catenin, that</w:t>
      </w:r>
      <w:r w:rsidRPr="008A0130">
        <w:rPr>
          <w:rFonts w:ascii="Book Antiqua" w:hAnsi="Book Antiqua" w:cs="Times New Roman"/>
        </w:rPr>
        <w:t xml:space="preserve"> inhibits the binding of the complex to the Wnt target gene promoter, thereby suppressing Wnt </w:t>
      </w:r>
      <w:proofErr w:type="gramStart"/>
      <w:r w:rsidRPr="008A0130">
        <w:rPr>
          <w:rFonts w:ascii="Book Antiqua" w:hAnsi="Book Antiqua" w:cs="Times New Roman"/>
        </w:rPr>
        <w:t>signaling</w:t>
      </w:r>
      <w:r w:rsidR="0054194F" w:rsidRPr="008A0130">
        <w:rPr>
          <w:rFonts w:ascii="Book Antiqua" w:hAnsi="Book Antiqua" w:cs="Times New Roman"/>
          <w:vertAlign w:val="superscript"/>
        </w:rPr>
        <w:t>[</w:t>
      </w:r>
      <w:proofErr w:type="gramEnd"/>
      <w:r w:rsidR="00D07D75" w:rsidRPr="008A0130">
        <w:rPr>
          <w:rFonts w:ascii="Book Antiqua" w:hAnsi="Book Antiqua" w:cs="Times New Roman"/>
          <w:vertAlign w:val="superscript"/>
        </w:rPr>
        <w:t>125</w:t>
      </w:r>
      <w:r w:rsidR="0054194F" w:rsidRPr="008A0130">
        <w:rPr>
          <w:rFonts w:ascii="Book Antiqua" w:hAnsi="Book Antiqua" w:cs="Times New Roman"/>
          <w:vertAlign w:val="superscript"/>
        </w:rPr>
        <w:t>]</w:t>
      </w:r>
      <w:r w:rsidRPr="008A0130">
        <w:rPr>
          <w:rFonts w:ascii="Book Antiqua" w:hAnsi="Book Antiqua" w:cs="Times New Roman"/>
        </w:rPr>
        <w:t xml:space="preserve">. </w:t>
      </w:r>
      <w:r w:rsidR="00D93B75" w:rsidRPr="008A0130">
        <w:rPr>
          <w:rFonts w:ascii="Book Antiqua" w:hAnsi="Book Antiqua" w:cs="Times New Roman"/>
        </w:rPr>
        <w:t xml:space="preserve">This transcription factor has been originally identified as a tumor suppressor, and RUNX3 loss is seen as an early event in gastric cancer development due to aberrant Wnt signaling, causing spontaneous epithelial-mesenchymal transition (EMT) and producing a tumorigenic stem cell-like </w:t>
      </w:r>
      <w:proofErr w:type="gramStart"/>
      <w:r w:rsidR="00D93B75" w:rsidRPr="008A0130">
        <w:rPr>
          <w:rFonts w:ascii="Book Antiqua" w:hAnsi="Book Antiqua" w:cs="Times New Roman"/>
        </w:rPr>
        <w:t>subpopulation</w:t>
      </w:r>
      <w:r w:rsidR="0054194F" w:rsidRPr="008A0130">
        <w:rPr>
          <w:rFonts w:ascii="Book Antiqua" w:hAnsi="Book Antiqua" w:cs="Times New Roman"/>
          <w:vertAlign w:val="superscript"/>
        </w:rPr>
        <w:t>[</w:t>
      </w:r>
      <w:proofErr w:type="gramEnd"/>
      <w:r w:rsidR="008B18E4" w:rsidRPr="008A0130">
        <w:rPr>
          <w:rFonts w:ascii="Book Antiqua" w:hAnsi="Book Antiqua" w:cs="Times New Roman"/>
          <w:vertAlign w:val="superscript"/>
        </w:rPr>
        <w:t>126-128</w:t>
      </w:r>
      <w:r w:rsidR="0054194F" w:rsidRPr="008A0130">
        <w:rPr>
          <w:rFonts w:ascii="Book Antiqua" w:hAnsi="Book Antiqua" w:cs="Times New Roman"/>
          <w:vertAlign w:val="superscript"/>
        </w:rPr>
        <w:t>]</w:t>
      </w:r>
      <w:r w:rsidRPr="008A0130">
        <w:rPr>
          <w:rFonts w:ascii="Book Antiqua" w:hAnsi="Book Antiqua" w:cs="Times New Roman"/>
        </w:rPr>
        <w:t>. Furthermore, recent evidence suggests that RUNX3 can either suppress or activate Wnt signaling activity in gastric cancer by binding to the TCF4⁄ß-catenin complex</w:t>
      </w:r>
      <w:r w:rsidR="00744C33" w:rsidRPr="008A0130">
        <w:rPr>
          <w:rFonts w:ascii="Book Antiqua" w:hAnsi="Book Antiqua" w:cs="Times New Roman"/>
        </w:rPr>
        <w:t>,</w:t>
      </w:r>
      <w:r w:rsidRPr="008A0130">
        <w:rPr>
          <w:rFonts w:ascii="Book Antiqua" w:hAnsi="Book Antiqua" w:cs="Times New Roman"/>
        </w:rPr>
        <w:t xml:space="preserve"> depending </w:t>
      </w:r>
      <w:r w:rsidR="00744C33" w:rsidRPr="008A0130">
        <w:rPr>
          <w:rFonts w:ascii="Book Antiqua" w:hAnsi="Book Antiqua" w:cs="Times New Roman"/>
        </w:rPr>
        <w:t>of (</w:t>
      </w:r>
      <w:r w:rsidRPr="008A0130">
        <w:rPr>
          <w:rFonts w:ascii="Book Antiqua" w:hAnsi="Book Antiqua" w:cs="Times New Roman"/>
        </w:rPr>
        <w:t>or regulated by</w:t>
      </w:r>
      <w:r w:rsidR="00744C33" w:rsidRPr="008A0130">
        <w:rPr>
          <w:rFonts w:ascii="Book Antiqua" w:hAnsi="Book Antiqua" w:cs="Times New Roman"/>
        </w:rPr>
        <w:t>)</w:t>
      </w:r>
      <w:r w:rsidRPr="008A0130">
        <w:rPr>
          <w:rFonts w:ascii="Book Antiqua" w:hAnsi="Book Antiqua" w:cs="Times New Roman"/>
        </w:rPr>
        <w:t xml:space="preserve"> cell context-dependent </w:t>
      </w:r>
      <w:proofErr w:type="gramStart"/>
      <w:r w:rsidRPr="008A0130">
        <w:rPr>
          <w:rFonts w:ascii="Book Antiqua" w:hAnsi="Book Antiqua" w:cs="Times New Roman"/>
        </w:rPr>
        <w:t>mechanisms</w:t>
      </w:r>
      <w:r w:rsidR="008B18E4" w:rsidRPr="008A0130">
        <w:rPr>
          <w:rFonts w:ascii="Book Antiqua" w:hAnsi="Book Antiqua" w:cs="Times New Roman"/>
          <w:vertAlign w:val="superscript"/>
        </w:rPr>
        <w:t>[</w:t>
      </w:r>
      <w:proofErr w:type="gramEnd"/>
      <w:r w:rsidR="008B18E4" w:rsidRPr="008A0130">
        <w:rPr>
          <w:rFonts w:ascii="Book Antiqua" w:hAnsi="Book Antiqua" w:cs="Times New Roman"/>
          <w:vertAlign w:val="superscript"/>
        </w:rPr>
        <w:t>129</w:t>
      </w:r>
      <w:r w:rsidR="0054194F" w:rsidRPr="008A0130">
        <w:rPr>
          <w:rFonts w:ascii="Book Antiqua" w:hAnsi="Book Antiqua" w:cs="Times New Roman"/>
          <w:vertAlign w:val="superscript"/>
        </w:rPr>
        <w:t>]</w:t>
      </w:r>
      <w:r w:rsidRPr="008A0130">
        <w:rPr>
          <w:rFonts w:ascii="Book Antiqua" w:hAnsi="Book Antiqua" w:cs="Times New Roman"/>
        </w:rPr>
        <w:t>.</w:t>
      </w:r>
      <w:r w:rsidR="00660846" w:rsidRPr="008A0130">
        <w:rPr>
          <w:rFonts w:ascii="Book Antiqua" w:hAnsi="Book Antiqua" w:cs="Times New Roman"/>
        </w:rPr>
        <w:t xml:space="preserve"> Similarly, sFRP1, </w:t>
      </w:r>
      <w:r w:rsidR="00660846" w:rsidRPr="008A0130">
        <w:rPr>
          <w:rFonts w:ascii="Book Antiqua" w:hAnsi="Book Antiqua" w:cs="Times"/>
        </w:rPr>
        <w:t>which is classically considered as an inhibitor of Wnt/</w:t>
      </w:r>
      <w:r w:rsidR="00C460BF" w:rsidRPr="008A0130">
        <w:rPr>
          <w:rFonts w:ascii="Book Antiqua" w:hAnsi="Book Antiqua" w:cs="Times New Roman"/>
        </w:rPr>
        <w:t>ß</w:t>
      </w:r>
      <w:r w:rsidR="00660846" w:rsidRPr="008A0130">
        <w:rPr>
          <w:rFonts w:ascii="Book Antiqua" w:hAnsi="Book Antiqua" w:cs="Times"/>
        </w:rPr>
        <w:t xml:space="preserve">-catenin </w:t>
      </w:r>
      <w:r w:rsidR="00C460BF" w:rsidRPr="008A0130">
        <w:rPr>
          <w:rFonts w:ascii="Book Antiqua" w:hAnsi="Book Antiqua" w:cs="Times"/>
        </w:rPr>
        <w:t>signaling</w:t>
      </w:r>
      <w:r w:rsidR="00A36BAB" w:rsidRPr="008A0130">
        <w:rPr>
          <w:rFonts w:ascii="Book Antiqua" w:hAnsi="Book Antiqua" w:cs="Times"/>
        </w:rPr>
        <w:t>, has</w:t>
      </w:r>
      <w:r w:rsidR="00C460BF" w:rsidRPr="008A0130">
        <w:rPr>
          <w:rFonts w:ascii="Book Antiqua" w:hAnsi="Book Antiqua" w:cs="Times"/>
        </w:rPr>
        <w:t xml:space="preserve"> been </w:t>
      </w:r>
      <w:r w:rsidR="00A36BAB" w:rsidRPr="008A0130">
        <w:rPr>
          <w:rFonts w:ascii="Book Antiqua" w:hAnsi="Book Antiqua" w:cs="Times"/>
        </w:rPr>
        <w:t>observed playing</w:t>
      </w:r>
      <w:r w:rsidR="00C460BF" w:rsidRPr="008A0130">
        <w:rPr>
          <w:rFonts w:ascii="Book Antiqua" w:hAnsi="Book Antiqua" w:cs="Times"/>
        </w:rPr>
        <w:t xml:space="preserve"> in promoting gastric tumourigenesis. </w:t>
      </w:r>
      <w:r w:rsidR="0062570D" w:rsidRPr="008A0130">
        <w:rPr>
          <w:rFonts w:ascii="Book Antiqua" w:hAnsi="Book Antiqua" w:cs="Times"/>
        </w:rPr>
        <w:t xml:space="preserve">This double-edged role seems depend on </w:t>
      </w:r>
      <w:r w:rsidR="00866C62" w:rsidRPr="008A0130">
        <w:rPr>
          <w:rFonts w:ascii="Book Antiqua" w:hAnsi="Book Antiqua" w:cs="Times"/>
        </w:rPr>
        <w:t>the strong link between sFRP1 expression and TGF</w:t>
      </w:r>
      <w:r w:rsidR="00866C62" w:rsidRPr="008A0130">
        <w:rPr>
          <w:rFonts w:ascii="Book Antiqua" w:hAnsi="Book Antiqua" w:cs="Times New Roman"/>
        </w:rPr>
        <w:t>ß</w:t>
      </w:r>
      <w:r w:rsidR="00866C62" w:rsidRPr="008A0130">
        <w:rPr>
          <w:rFonts w:ascii="Book Antiqua" w:hAnsi="Book Antiqua" w:cs="Times"/>
        </w:rPr>
        <w:t xml:space="preserve"> signalling activation. </w:t>
      </w:r>
      <w:r w:rsidR="00C460BF" w:rsidRPr="008A0130">
        <w:rPr>
          <w:rFonts w:ascii="Book Antiqua" w:hAnsi="Book Antiqua" w:cs="Times"/>
        </w:rPr>
        <w:t>In gastric cancer cells high sFRP1 levels are correlated with the activation of TGF</w:t>
      </w:r>
      <w:r w:rsidR="00C460BF" w:rsidRPr="008A0130">
        <w:rPr>
          <w:rFonts w:ascii="Book Antiqua" w:hAnsi="Book Antiqua" w:cs="Times New Roman"/>
        </w:rPr>
        <w:t>ß</w:t>
      </w:r>
      <w:r w:rsidR="00C460BF" w:rsidRPr="008A0130">
        <w:rPr>
          <w:rFonts w:ascii="Book Antiqua" w:hAnsi="Book Antiqua" w:cs="Times"/>
        </w:rPr>
        <w:t xml:space="preserve"> </w:t>
      </w:r>
      <w:proofErr w:type="gramStart"/>
      <w:r w:rsidR="00866C62" w:rsidRPr="008A0130">
        <w:rPr>
          <w:rFonts w:ascii="Book Antiqua" w:hAnsi="Book Antiqua" w:cs="Times"/>
        </w:rPr>
        <w:t>signaling</w:t>
      </w:r>
      <w:r w:rsidR="008B18E4" w:rsidRPr="008A0130">
        <w:rPr>
          <w:rFonts w:ascii="Book Antiqua" w:eastAsia="Times New Roman" w:hAnsi="Book Antiqua" w:cs="Times New Roman"/>
          <w:vertAlign w:val="superscript"/>
        </w:rPr>
        <w:t>[</w:t>
      </w:r>
      <w:proofErr w:type="gramEnd"/>
      <w:r w:rsidR="008B18E4" w:rsidRPr="008A0130">
        <w:rPr>
          <w:rFonts w:ascii="Book Antiqua" w:eastAsia="Times New Roman" w:hAnsi="Book Antiqua" w:cs="Times New Roman"/>
          <w:vertAlign w:val="superscript"/>
        </w:rPr>
        <w:t>130</w:t>
      </w:r>
      <w:r w:rsidR="00D55892" w:rsidRPr="008A0130">
        <w:rPr>
          <w:rFonts w:ascii="Book Antiqua" w:eastAsia="Times New Roman" w:hAnsi="Book Antiqua" w:cs="Times New Roman"/>
          <w:vertAlign w:val="superscript"/>
        </w:rPr>
        <w:t>]</w:t>
      </w:r>
      <w:r w:rsidR="00866C62" w:rsidRPr="008A0130">
        <w:rPr>
          <w:rFonts w:ascii="Book Antiqua" w:hAnsi="Book Antiqua" w:cs="Times"/>
        </w:rPr>
        <w:t>.</w:t>
      </w:r>
    </w:p>
    <w:p w14:paraId="09E26F2A" w14:textId="1EAFA66A" w:rsidR="00034794" w:rsidRPr="008A0130" w:rsidRDefault="00034794"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w:rPr>
        <w:t xml:space="preserve">A recent study demonstrated that loss of </w:t>
      </w:r>
      <w:r w:rsidRPr="008A0130">
        <w:rPr>
          <w:rFonts w:ascii="Book Antiqua" w:hAnsi="Book Antiqua" w:cs="Times"/>
          <w:i/>
          <w:iCs/>
        </w:rPr>
        <w:t xml:space="preserve">CHD8 </w:t>
      </w:r>
      <w:r w:rsidRPr="008A0130">
        <w:rPr>
          <w:rFonts w:ascii="Book Antiqua" w:hAnsi="Book Antiqua" w:cs="Times"/>
        </w:rPr>
        <w:t>expression, commonly observed in gastric cancer, represent</w:t>
      </w:r>
      <w:r w:rsidR="00842A9F" w:rsidRPr="008A0130">
        <w:rPr>
          <w:rFonts w:ascii="Book Antiqua" w:hAnsi="Book Antiqua" w:cs="Times"/>
        </w:rPr>
        <w:t>s</w:t>
      </w:r>
      <w:r w:rsidRPr="008A0130">
        <w:rPr>
          <w:rFonts w:ascii="Book Antiqua" w:hAnsi="Book Antiqua" w:cs="Times"/>
        </w:rPr>
        <w:t xml:space="preserve"> an indicator for the biological aggressiveness of gastric </w:t>
      </w:r>
      <w:proofErr w:type="gramStart"/>
      <w:r w:rsidRPr="008A0130">
        <w:rPr>
          <w:rFonts w:ascii="Book Antiqua" w:hAnsi="Book Antiqua" w:cs="Times"/>
        </w:rPr>
        <w:t>cancer</w:t>
      </w:r>
      <w:r w:rsidR="008B18E4" w:rsidRPr="008A0130">
        <w:rPr>
          <w:rFonts w:ascii="Book Antiqua" w:eastAsia="Times New Roman" w:hAnsi="Book Antiqua" w:cs="Times New Roman"/>
          <w:vertAlign w:val="superscript"/>
        </w:rPr>
        <w:t>[</w:t>
      </w:r>
      <w:proofErr w:type="gramEnd"/>
      <w:r w:rsidR="008B18E4" w:rsidRPr="008A0130">
        <w:rPr>
          <w:rFonts w:ascii="Book Antiqua" w:eastAsia="Times New Roman" w:hAnsi="Book Antiqua" w:cs="Times New Roman"/>
          <w:vertAlign w:val="superscript"/>
        </w:rPr>
        <w:t>131</w:t>
      </w:r>
      <w:r w:rsidR="00D55892" w:rsidRPr="008A0130">
        <w:rPr>
          <w:rFonts w:ascii="Book Antiqua" w:eastAsia="Times New Roman" w:hAnsi="Book Antiqua" w:cs="Times New Roman"/>
          <w:vertAlign w:val="superscript"/>
        </w:rPr>
        <w:t>]</w:t>
      </w:r>
      <w:r w:rsidRPr="008A0130">
        <w:rPr>
          <w:rFonts w:ascii="Book Antiqua" w:hAnsi="Book Antiqua" w:cs="Times"/>
        </w:rPr>
        <w:t xml:space="preserve">. Nishiyama </w:t>
      </w:r>
      <w:r w:rsidRPr="008A0130">
        <w:rPr>
          <w:rFonts w:ascii="Book Antiqua" w:hAnsi="Book Antiqua" w:cs="Times"/>
          <w:i/>
          <w:iCs/>
        </w:rPr>
        <w:t xml:space="preserve">et </w:t>
      </w:r>
      <w:proofErr w:type="gramStart"/>
      <w:r w:rsidRPr="008A0130">
        <w:rPr>
          <w:rFonts w:ascii="Book Antiqua" w:hAnsi="Book Antiqua" w:cs="Times"/>
          <w:i/>
          <w:iCs/>
        </w:rPr>
        <w:t>al</w:t>
      </w:r>
      <w:r w:rsidR="0048631F" w:rsidRPr="008A0130">
        <w:rPr>
          <w:rFonts w:ascii="Book Antiqua" w:eastAsia="Times New Roman" w:hAnsi="Book Antiqua" w:cs="Times New Roman"/>
          <w:vertAlign w:val="superscript"/>
        </w:rPr>
        <w:t>[</w:t>
      </w:r>
      <w:proofErr w:type="gramEnd"/>
      <w:r w:rsidR="0048631F" w:rsidRPr="008A0130">
        <w:rPr>
          <w:rFonts w:ascii="Book Antiqua" w:eastAsia="Times New Roman" w:hAnsi="Book Antiqua" w:cs="Times New Roman"/>
          <w:vertAlign w:val="superscript"/>
        </w:rPr>
        <w:t>132]</w:t>
      </w:r>
      <w:r w:rsidRPr="008A0130">
        <w:rPr>
          <w:rFonts w:ascii="Book Antiqua" w:hAnsi="Book Antiqua" w:cs="Times"/>
        </w:rPr>
        <w:t xml:space="preserve"> suggested that CHD8 (chromodomain helicase DNA-binding) negatively regulates </w:t>
      </w:r>
      <w:r w:rsidR="00F926B4" w:rsidRPr="008A0130">
        <w:rPr>
          <w:rFonts w:ascii="Book Antiqua" w:hAnsi="Book Antiqua" w:cs="Times New Roman"/>
        </w:rPr>
        <w:t>β</w:t>
      </w:r>
      <w:r w:rsidRPr="008A0130">
        <w:rPr>
          <w:rFonts w:ascii="Book Antiqua" w:hAnsi="Book Antiqua" w:cs="Times"/>
        </w:rPr>
        <w:t xml:space="preserve">-catenin function by recruiting histone H1 to the promoters of Wnt target genes, thereby functioning as a tumor suppressor. </w:t>
      </w:r>
    </w:p>
    <w:p w14:paraId="538FE256" w14:textId="77777777" w:rsidR="0048631F" w:rsidRPr="008A0130" w:rsidRDefault="0048631F" w:rsidP="008A0130">
      <w:pPr>
        <w:widowControl w:val="0"/>
        <w:autoSpaceDE w:val="0"/>
        <w:autoSpaceDN w:val="0"/>
        <w:adjustRightInd w:val="0"/>
        <w:spacing w:line="360" w:lineRule="auto"/>
        <w:jc w:val="both"/>
        <w:rPr>
          <w:rFonts w:ascii="Book Antiqua" w:eastAsia="宋体" w:hAnsi="Book Antiqua" w:cs="Times"/>
          <w:b/>
          <w:lang w:eastAsia="zh-CN"/>
        </w:rPr>
      </w:pPr>
    </w:p>
    <w:p w14:paraId="08063DF5" w14:textId="51B60598" w:rsidR="00B70031" w:rsidRPr="008A0130" w:rsidRDefault="00B70031" w:rsidP="008A0130">
      <w:pPr>
        <w:widowControl w:val="0"/>
        <w:autoSpaceDE w:val="0"/>
        <w:autoSpaceDN w:val="0"/>
        <w:adjustRightInd w:val="0"/>
        <w:spacing w:line="360" w:lineRule="auto"/>
        <w:jc w:val="both"/>
        <w:rPr>
          <w:rFonts w:ascii="Book Antiqua" w:hAnsi="Book Antiqua" w:cs="Times"/>
          <w:i/>
        </w:rPr>
      </w:pPr>
      <w:r w:rsidRPr="008A0130">
        <w:rPr>
          <w:rFonts w:ascii="Book Antiqua" w:hAnsi="Book Antiqua" w:cs="Times"/>
          <w:b/>
        </w:rPr>
        <w:t>Genomic alterations</w:t>
      </w:r>
      <w:r w:rsidR="00536220" w:rsidRPr="008A0130">
        <w:rPr>
          <w:rFonts w:ascii="Book Antiqua" w:hAnsi="Book Antiqua" w:cs="Times"/>
          <w:b/>
        </w:rPr>
        <w:t xml:space="preserve">: </w:t>
      </w:r>
      <w:r w:rsidRPr="008A0130">
        <w:rPr>
          <w:rFonts w:ascii="Book Antiqua" w:hAnsi="Book Antiqua" w:cs="Times New Roman"/>
          <w:i/>
        </w:rPr>
        <w:t>APC</w:t>
      </w:r>
      <w:r w:rsidRPr="008A0130">
        <w:rPr>
          <w:rFonts w:ascii="Book Antiqua" w:hAnsi="Book Antiqua" w:cs="Times New Roman"/>
        </w:rPr>
        <w:t xml:space="preserve"> mutations have been detected in both precancerous and malignant gastric lesions with up to 25% of gastric adenomas exhibiting somatic mutations in this </w:t>
      </w:r>
      <w:proofErr w:type="gramStart"/>
      <w:r w:rsidRPr="008A0130">
        <w:rPr>
          <w:rFonts w:ascii="Book Antiqua" w:hAnsi="Book Antiqua" w:cs="Times New Roman"/>
        </w:rPr>
        <w:t>gene</w:t>
      </w:r>
      <w:r w:rsidR="00FC292F" w:rsidRPr="008A0130">
        <w:rPr>
          <w:rFonts w:ascii="Book Antiqua" w:hAnsi="Book Antiqua" w:cs="Times New Roman"/>
          <w:vertAlign w:val="superscript"/>
        </w:rPr>
        <w:t>[</w:t>
      </w:r>
      <w:proofErr w:type="gramEnd"/>
      <w:r w:rsidR="008B18E4" w:rsidRPr="008A0130">
        <w:rPr>
          <w:rFonts w:ascii="Book Antiqua" w:hAnsi="Book Antiqua" w:cs="Times New Roman"/>
          <w:vertAlign w:val="superscript"/>
        </w:rPr>
        <w:t>133,134</w:t>
      </w:r>
      <w:r w:rsidRPr="008A0130">
        <w:rPr>
          <w:rFonts w:ascii="Book Antiqua" w:hAnsi="Book Antiqua" w:cs="Times New Roman"/>
          <w:vertAlign w:val="superscript"/>
        </w:rPr>
        <w:t>]</w:t>
      </w:r>
      <w:r w:rsidRPr="008A0130">
        <w:rPr>
          <w:rFonts w:ascii="Book Antiqua" w:hAnsi="Book Antiqua" w:cs="Times New Roman"/>
        </w:rPr>
        <w:t xml:space="preserve">. Moreover, deletions of </w:t>
      </w:r>
      <w:r w:rsidRPr="008A0130">
        <w:rPr>
          <w:rFonts w:ascii="Book Antiqua" w:hAnsi="Book Antiqua" w:cs="Times New Roman"/>
          <w:i/>
        </w:rPr>
        <w:t xml:space="preserve">APC </w:t>
      </w:r>
      <w:r w:rsidRPr="008A0130">
        <w:rPr>
          <w:rFonts w:ascii="Book Antiqua" w:hAnsi="Book Antiqua" w:cs="Times New Roman"/>
        </w:rPr>
        <w:t>at the chromosome locus 5q21-22</w:t>
      </w:r>
      <w:r w:rsidRPr="008A0130">
        <w:rPr>
          <w:rFonts w:ascii="Book Antiqua" w:hAnsi="Book Antiqua" w:cs="Times New Roman"/>
          <w:i/>
        </w:rPr>
        <w:t xml:space="preserve"> </w:t>
      </w:r>
      <w:r w:rsidRPr="008A0130">
        <w:rPr>
          <w:rFonts w:ascii="Book Antiqua" w:hAnsi="Book Antiqua" w:cs="Times New Roman"/>
        </w:rPr>
        <w:t>have also been found in 20</w:t>
      </w:r>
      <w:r w:rsidR="0048631F" w:rsidRPr="008A0130">
        <w:rPr>
          <w:rFonts w:ascii="Book Antiqua" w:eastAsia="宋体" w:hAnsi="Book Antiqua" w:cs="Times New Roman" w:hint="eastAsia"/>
          <w:lang w:eastAsia="zh-CN"/>
        </w:rPr>
        <w:t>%</w:t>
      </w:r>
      <w:r w:rsidRPr="008A0130">
        <w:rPr>
          <w:rFonts w:ascii="Book Antiqua" w:hAnsi="Book Antiqua" w:cs="Times New Roman"/>
        </w:rPr>
        <w:t xml:space="preserve">-60% of gastric </w:t>
      </w:r>
      <w:proofErr w:type="gramStart"/>
      <w:r w:rsidRPr="008A0130">
        <w:rPr>
          <w:rFonts w:ascii="Book Antiqua" w:hAnsi="Book Antiqua" w:cs="Times New Roman"/>
        </w:rPr>
        <w:t>cancer</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w:t>
      </w:r>
      <w:r w:rsidR="008B18E4" w:rsidRPr="008A0130">
        <w:rPr>
          <w:rFonts w:ascii="Book Antiqua" w:hAnsi="Book Antiqua" w:cs="Times New Roman"/>
          <w:vertAlign w:val="superscript"/>
        </w:rPr>
        <w:t>35</w:t>
      </w:r>
      <w:r w:rsidR="00F1556D" w:rsidRPr="008A0130">
        <w:rPr>
          <w:rFonts w:ascii="Book Antiqua" w:hAnsi="Book Antiqua" w:cs="Times New Roman"/>
          <w:vertAlign w:val="superscript"/>
        </w:rPr>
        <w:t>-</w:t>
      </w:r>
      <w:r w:rsidR="00F1556D" w:rsidRPr="008A0130">
        <w:rPr>
          <w:rFonts w:ascii="Book Antiqua" w:hAnsi="Book Antiqua" w:cs="Times New Roman"/>
          <w:vertAlign w:val="superscript"/>
        </w:rPr>
        <w:lastRenderedPageBreak/>
        <w:t>137</w:t>
      </w:r>
      <w:r w:rsidRPr="008A0130">
        <w:rPr>
          <w:rFonts w:ascii="Book Antiqua" w:hAnsi="Book Antiqua" w:cs="Times New Roman"/>
          <w:vertAlign w:val="superscript"/>
        </w:rPr>
        <w:t>]</w:t>
      </w:r>
      <w:r w:rsidRPr="008A0130">
        <w:rPr>
          <w:rFonts w:ascii="Book Antiqua" w:hAnsi="Book Antiqua" w:cs="Times New Roman"/>
        </w:rPr>
        <w:t xml:space="preserve">. Ogasawara </w:t>
      </w:r>
      <w:r w:rsidRPr="008A0130">
        <w:rPr>
          <w:rFonts w:ascii="Book Antiqua" w:hAnsi="Book Antiqua" w:cs="Times New Roman"/>
          <w:i/>
        </w:rPr>
        <w:t xml:space="preserve">et </w:t>
      </w:r>
      <w:proofErr w:type="gramStart"/>
      <w:r w:rsidRPr="008A0130">
        <w:rPr>
          <w:rFonts w:ascii="Book Antiqua" w:hAnsi="Book Antiqua" w:cs="Times New Roman"/>
          <w:i/>
        </w:rPr>
        <w:t>al</w:t>
      </w:r>
      <w:r w:rsidR="0048631F" w:rsidRPr="008A0130">
        <w:rPr>
          <w:rFonts w:ascii="Book Antiqua" w:hAnsi="Book Antiqua" w:cs="Times New Roman"/>
          <w:vertAlign w:val="superscript"/>
        </w:rPr>
        <w:t>[</w:t>
      </w:r>
      <w:proofErr w:type="gramEnd"/>
      <w:r w:rsidR="0048631F" w:rsidRPr="008A0130">
        <w:rPr>
          <w:rFonts w:ascii="Book Antiqua" w:hAnsi="Book Antiqua" w:cs="Times New Roman"/>
          <w:vertAlign w:val="superscript"/>
        </w:rPr>
        <w:t>92]</w:t>
      </w:r>
      <w:r w:rsidRPr="008A0130">
        <w:rPr>
          <w:rFonts w:ascii="Book Antiqua" w:hAnsi="Book Antiqua" w:cs="Times New Roman"/>
        </w:rPr>
        <w:t xml:space="preserve"> observed that gastric tumors had mutations of the </w:t>
      </w:r>
      <w:r w:rsidRPr="008A0130">
        <w:rPr>
          <w:rFonts w:ascii="Book Antiqua" w:hAnsi="Book Antiqua" w:cs="Times New Roman"/>
          <w:i/>
        </w:rPr>
        <w:t>APC</w:t>
      </w:r>
      <w:r w:rsidRPr="008A0130">
        <w:rPr>
          <w:rFonts w:ascii="Book Antiqua" w:hAnsi="Book Antiqua" w:cs="Times New Roman"/>
        </w:rPr>
        <w:t xml:space="preserve"> gene comparab</w:t>
      </w:r>
      <w:r w:rsidR="00A36BAB" w:rsidRPr="008A0130">
        <w:rPr>
          <w:rFonts w:ascii="Book Antiqua" w:hAnsi="Book Antiqua" w:cs="Times New Roman"/>
        </w:rPr>
        <w:t>le to the frequency of</w:t>
      </w:r>
      <w:r w:rsidR="00A36BAB" w:rsidRPr="008A0130">
        <w:rPr>
          <w:rFonts w:ascii="Book Antiqua" w:hAnsi="Book Antiqua" w:cs="Times New Roman"/>
          <w:i/>
        </w:rPr>
        <w:t xml:space="preserve"> CTNNB1</w:t>
      </w:r>
      <w:r w:rsidRPr="008A0130">
        <w:rPr>
          <w:rFonts w:ascii="Book Antiqua" w:hAnsi="Book Antiqua" w:cs="Times New Roman"/>
        </w:rPr>
        <w:t xml:space="preserve"> mutation. They suggested that such </w:t>
      </w:r>
      <w:r w:rsidRPr="008A0130">
        <w:rPr>
          <w:rFonts w:ascii="Book Antiqua" w:hAnsi="Book Antiqua" w:cs="Times New Roman"/>
          <w:i/>
        </w:rPr>
        <w:t xml:space="preserve">APC </w:t>
      </w:r>
      <w:r w:rsidRPr="008A0130">
        <w:rPr>
          <w:rFonts w:ascii="Book Antiqua" w:hAnsi="Book Antiqua" w:cs="Times New Roman"/>
        </w:rPr>
        <w:t xml:space="preserve">mutations explain the abnormal </w:t>
      </w:r>
      <w:r w:rsidR="00F926B4" w:rsidRPr="008A0130">
        <w:rPr>
          <w:rFonts w:ascii="Book Antiqua" w:hAnsi="Book Antiqua" w:cs="Times New Roman"/>
        </w:rPr>
        <w:t>β</w:t>
      </w:r>
      <w:r w:rsidRPr="008A0130">
        <w:rPr>
          <w:rFonts w:ascii="Book Antiqua" w:hAnsi="Book Antiqua" w:cs="Times New Roman"/>
        </w:rPr>
        <w:t>-catenin localization and accumulation that could cause activation of Wnt/</w:t>
      </w:r>
      <w:r w:rsidR="00F926B4" w:rsidRPr="008A0130">
        <w:rPr>
          <w:rFonts w:ascii="Book Antiqua" w:hAnsi="Book Antiqua" w:cs="Times New Roman"/>
        </w:rPr>
        <w:t>β</w:t>
      </w:r>
      <w:r w:rsidRPr="008A0130">
        <w:rPr>
          <w:rFonts w:ascii="Book Antiqua" w:hAnsi="Book Antiqua" w:cs="Times New Roman"/>
        </w:rPr>
        <w:t>-catenin signaling in some cases.</w:t>
      </w:r>
      <w:r w:rsidR="00790FCB" w:rsidRPr="008A0130">
        <w:rPr>
          <w:rFonts w:ascii="Book Antiqua" w:hAnsi="Book Antiqua" w:cs="Times New Roman"/>
        </w:rPr>
        <w:t xml:space="preserve"> </w:t>
      </w:r>
      <w:r w:rsidRPr="008A0130">
        <w:rPr>
          <w:rFonts w:ascii="Book Antiqua" w:hAnsi="Book Antiqua" w:cs="Times New Roman"/>
        </w:rPr>
        <w:t xml:space="preserve">Furthermore, in a murine model heterozygous for E-cadherin gene deletion, loss of heterozygosity of </w:t>
      </w:r>
      <w:r w:rsidRPr="008A0130">
        <w:rPr>
          <w:rFonts w:ascii="Book Antiqua" w:hAnsi="Book Antiqua" w:cs="Times New Roman"/>
          <w:i/>
        </w:rPr>
        <w:t>APC</w:t>
      </w:r>
      <w:r w:rsidRPr="008A0130">
        <w:rPr>
          <w:rFonts w:ascii="Book Antiqua" w:hAnsi="Book Antiqua" w:cs="Times New Roman"/>
        </w:rPr>
        <w:t xml:space="preserve"> synergistically enhanced gastric tumor </w:t>
      </w:r>
      <w:proofErr w:type="gramStart"/>
      <w:r w:rsidRPr="008A0130">
        <w:rPr>
          <w:rFonts w:ascii="Book Antiqua" w:hAnsi="Book Antiqua" w:cs="Times New Roman"/>
        </w:rPr>
        <w:t>initiation</w:t>
      </w:r>
      <w:r w:rsidR="00F1556D" w:rsidRPr="008A0130">
        <w:rPr>
          <w:rFonts w:ascii="Book Antiqua" w:hAnsi="Book Antiqua" w:cs="Times New Roman"/>
          <w:vertAlign w:val="superscript"/>
        </w:rPr>
        <w:t>[</w:t>
      </w:r>
      <w:proofErr w:type="gramEnd"/>
      <w:r w:rsidR="00F1556D" w:rsidRPr="008A0130">
        <w:rPr>
          <w:rFonts w:ascii="Book Antiqua" w:hAnsi="Book Antiqua" w:cs="Times New Roman"/>
          <w:vertAlign w:val="superscript"/>
        </w:rPr>
        <w:t>138</w:t>
      </w:r>
      <w:r w:rsidRPr="008A0130">
        <w:rPr>
          <w:rFonts w:ascii="Book Antiqua" w:hAnsi="Book Antiqua" w:cs="Times New Roman"/>
          <w:vertAlign w:val="superscript"/>
        </w:rPr>
        <w:t>]</w:t>
      </w:r>
      <w:r w:rsidRPr="008A0130">
        <w:rPr>
          <w:rFonts w:ascii="Book Antiqua" w:hAnsi="Book Antiqua" w:cs="Times New Roman"/>
        </w:rPr>
        <w:t xml:space="preserve">. The fact that </w:t>
      </w:r>
      <w:r w:rsidRPr="008A0130">
        <w:rPr>
          <w:rFonts w:ascii="Book Antiqua" w:hAnsi="Book Antiqua" w:cs="Times New Roman"/>
          <w:i/>
        </w:rPr>
        <w:t>APC</w:t>
      </w:r>
      <w:r w:rsidRPr="008A0130">
        <w:rPr>
          <w:rFonts w:ascii="Book Antiqua" w:hAnsi="Book Antiqua" w:cs="Times New Roman"/>
        </w:rPr>
        <w:t xml:space="preserve"> gene deletions were mainly observed in advanced tumors suggests that it might occur in the progression but not in the initiation of gastric </w:t>
      </w:r>
      <w:proofErr w:type="gramStart"/>
      <w:r w:rsidRPr="008A0130">
        <w:rPr>
          <w:rFonts w:ascii="Book Antiqua" w:hAnsi="Book Antiqua" w:cs="Times New Roman"/>
        </w:rPr>
        <w:t>cancers</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w:t>
      </w:r>
      <w:r w:rsidR="00F1556D" w:rsidRPr="008A0130">
        <w:rPr>
          <w:rFonts w:ascii="Book Antiqua" w:hAnsi="Book Antiqua" w:cs="Times New Roman"/>
          <w:vertAlign w:val="superscript"/>
        </w:rPr>
        <w:t>37</w:t>
      </w:r>
      <w:r w:rsidRPr="008A0130">
        <w:rPr>
          <w:rFonts w:ascii="Book Antiqua" w:hAnsi="Book Antiqua" w:cs="Times New Roman"/>
          <w:vertAlign w:val="superscript"/>
        </w:rPr>
        <w:t>]</w:t>
      </w:r>
      <w:r w:rsidRPr="008A0130">
        <w:rPr>
          <w:rFonts w:ascii="Book Antiqua" w:hAnsi="Book Antiqua" w:cs="Times New Roman"/>
        </w:rPr>
        <w:t xml:space="preserve">. In addition, loss of the mesenchymal transcription factor </w:t>
      </w:r>
      <w:r w:rsidRPr="008A0130">
        <w:rPr>
          <w:rFonts w:ascii="Book Antiqua" w:hAnsi="Book Antiqua" w:cs="Times New Roman"/>
          <w:i/>
        </w:rPr>
        <w:t>Foxl1</w:t>
      </w:r>
      <w:r w:rsidRPr="008A0130">
        <w:rPr>
          <w:rFonts w:ascii="Book Antiqua" w:hAnsi="Book Antiqua" w:cs="Times New Roman"/>
        </w:rPr>
        <w:t xml:space="preserve"> leads to an earlier tumor initiation due to accelerated loss of heterozygosity at the </w:t>
      </w:r>
      <w:r w:rsidRPr="008A0130">
        <w:rPr>
          <w:rFonts w:ascii="Book Antiqua" w:hAnsi="Book Antiqua" w:cs="Times New Roman"/>
          <w:i/>
        </w:rPr>
        <w:t>APC</w:t>
      </w:r>
      <w:r w:rsidRPr="008A0130">
        <w:rPr>
          <w:rFonts w:ascii="Book Antiqua" w:hAnsi="Book Antiqua" w:cs="Times New Roman"/>
        </w:rPr>
        <w:t xml:space="preserve"> locus in colon and </w:t>
      </w:r>
      <w:proofErr w:type="gramStart"/>
      <w:r w:rsidRPr="008A0130">
        <w:rPr>
          <w:rFonts w:ascii="Book Antiqua" w:hAnsi="Book Antiqua" w:cs="Times New Roman"/>
        </w:rPr>
        <w:t>stomach</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w:t>
      </w:r>
      <w:r w:rsidR="00F1556D" w:rsidRPr="008A0130">
        <w:rPr>
          <w:rFonts w:ascii="Book Antiqua" w:hAnsi="Book Antiqua" w:cs="Times New Roman"/>
          <w:vertAlign w:val="superscript"/>
        </w:rPr>
        <w:t>39</w:t>
      </w:r>
      <w:r w:rsidRPr="008A0130">
        <w:rPr>
          <w:rFonts w:ascii="Book Antiqua" w:hAnsi="Book Antiqua" w:cs="Times New Roman"/>
          <w:vertAlign w:val="superscript"/>
        </w:rPr>
        <w:t>]</w:t>
      </w:r>
      <w:r w:rsidRPr="008A0130">
        <w:rPr>
          <w:rFonts w:ascii="Book Antiqua" w:hAnsi="Book Antiqua" w:cs="Times New Roman"/>
        </w:rPr>
        <w:t>.</w:t>
      </w:r>
    </w:p>
    <w:p w14:paraId="7E555859" w14:textId="7D1CBACD" w:rsidR="00B70031" w:rsidRPr="008A0130" w:rsidRDefault="00A426B3"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Axin1 and Axin</w:t>
      </w:r>
      <w:r w:rsidR="00B70031" w:rsidRPr="008A0130">
        <w:rPr>
          <w:rFonts w:ascii="Book Antiqua" w:hAnsi="Book Antiqua" w:cs="Times New Roman"/>
        </w:rPr>
        <w:t>2 proteins negatively regulate the Wnt signaling pathway based in their roles as scaffolding protein</w:t>
      </w:r>
      <w:r w:rsidR="002A38A1" w:rsidRPr="008A0130">
        <w:rPr>
          <w:rFonts w:ascii="Book Antiqua" w:hAnsi="Book Antiqua" w:cs="Times New Roman"/>
        </w:rPr>
        <w:t>s</w:t>
      </w:r>
      <w:r w:rsidR="00B70031" w:rsidRPr="008A0130">
        <w:rPr>
          <w:rFonts w:ascii="Book Antiqua" w:hAnsi="Book Antiqua" w:cs="Times New Roman"/>
        </w:rPr>
        <w:t xml:space="preserve"> </w:t>
      </w:r>
      <w:r w:rsidR="00A36BAB" w:rsidRPr="008A0130">
        <w:rPr>
          <w:rFonts w:ascii="Book Antiqua" w:hAnsi="Book Antiqua" w:cs="Times New Roman"/>
        </w:rPr>
        <w:t>involved in the assembly of</w:t>
      </w:r>
      <w:r w:rsidR="00B70031" w:rsidRPr="008A0130">
        <w:rPr>
          <w:rFonts w:ascii="Book Antiqua" w:hAnsi="Book Antiqua" w:cs="Times New Roman"/>
        </w:rPr>
        <w:t xml:space="preserve"> the </w:t>
      </w:r>
      <w:r w:rsidR="00F926B4" w:rsidRPr="008A0130">
        <w:rPr>
          <w:rFonts w:ascii="Book Antiqua" w:hAnsi="Book Antiqua" w:cs="Times New Roman"/>
        </w:rPr>
        <w:t>β</w:t>
      </w:r>
      <w:r w:rsidR="00B70031" w:rsidRPr="008A0130">
        <w:rPr>
          <w:rFonts w:ascii="Book Antiqua" w:hAnsi="Book Antiqua" w:cs="Times New Roman"/>
        </w:rPr>
        <w:t xml:space="preserve">-catenin destruction complex. Therefore, mutations in their genes have been proposed as critical defects in some </w:t>
      </w:r>
      <w:proofErr w:type="gramStart"/>
      <w:r w:rsidR="00B70031" w:rsidRPr="008A0130">
        <w:rPr>
          <w:rFonts w:ascii="Book Antiqua" w:hAnsi="Book Antiqua" w:cs="Times New Roman"/>
        </w:rPr>
        <w:t>cancers</w:t>
      </w:r>
      <w:r w:rsidR="00F1556D" w:rsidRPr="008A0130">
        <w:rPr>
          <w:rFonts w:ascii="Book Antiqua" w:hAnsi="Book Antiqua" w:cs="Times New Roman"/>
          <w:vertAlign w:val="superscript"/>
        </w:rPr>
        <w:t>[</w:t>
      </w:r>
      <w:proofErr w:type="gramEnd"/>
      <w:r w:rsidR="00F1556D" w:rsidRPr="008A0130">
        <w:rPr>
          <w:rFonts w:ascii="Book Antiqua" w:hAnsi="Book Antiqua" w:cs="Times New Roman"/>
          <w:vertAlign w:val="superscript"/>
        </w:rPr>
        <w:t>140</w:t>
      </w:r>
      <w:r w:rsidR="00B70031" w:rsidRPr="008A0130">
        <w:rPr>
          <w:rFonts w:ascii="Book Antiqua" w:hAnsi="Book Antiqua" w:cs="Times New Roman"/>
          <w:vertAlign w:val="superscript"/>
        </w:rPr>
        <w:t>]</w:t>
      </w:r>
      <w:r w:rsidR="00B70031" w:rsidRPr="008A0130">
        <w:rPr>
          <w:rFonts w:ascii="Book Antiqua" w:hAnsi="Book Antiqua" w:cs="Times New Roman"/>
        </w:rPr>
        <w:t xml:space="preserve">. Moreover, </w:t>
      </w:r>
      <w:r w:rsidRPr="008A0130">
        <w:rPr>
          <w:rFonts w:ascii="Book Antiqua" w:hAnsi="Book Antiqua" w:cs="Times New Roman"/>
          <w:i/>
        </w:rPr>
        <w:t>Axin</w:t>
      </w:r>
      <w:r w:rsidR="00B70031" w:rsidRPr="008A0130">
        <w:rPr>
          <w:rFonts w:ascii="Book Antiqua" w:hAnsi="Book Antiqua" w:cs="Times New Roman"/>
          <w:i/>
        </w:rPr>
        <w:t>2</w:t>
      </w:r>
      <w:r w:rsidR="00B70031" w:rsidRPr="008A0130">
        <w:rPr>
          <w:rFonts w:ascii="Book Antiqua" w:hAnsi="Book Antiqua" w:cs="Times New Roman"/>
        </w:rPr>
        <w:t xml:space="preserve"> is a transcriptional target of the LEF/TCF-</w:t>
      </w:r>
      <w:r w:rsidR="00F926B4" w:rsidRPr="008A0130">
        <w:rPr>
          <w:rFonts w:ascii="Book Antiqua" w:hAnsi="Book Antiqua" w:cs="Times New Roman"/>
        </w:rPr>
        <w:t>β</w:t>
      </w:r>
      <w:r w:rsidR="00B70031" w:rsidRPr="008A0130">
        <w:rPr>
          <w:rFonts w:ascii="Book Antiqua" w:hAnsi="Book Antiqua" w:cs="Times New Roman"/>
        </w:rPr>
        <w:t xml:space="preserve">-catenin transcription factor </w:t>
      </w:r>
      <w:proofErr w:type="gramStart"/>
      <w:r w:rsidR="00B70031" w:rsidRPr="008A0130">
        <w:rPr>
          <w:rFonts w:ascii="Book Antiqua" w:hAnsi="Book Antiqua" w:cs="Times New Roman"/>
        </w:rPr>
        <w:t>complex</w:t>
      </w:r>
      <w:r w:rsidR="00D55892" w:rsidRPr="008A0130">
        <w:rPr>
          <w:rFonts w:ascii="Book Antiqua" w:hAnsi="Book Antiqua" w:cs="Times New Roman"/>
          <w:vertAlign w:val="superscript"/>
        </w:rPr>
        <w:t>[</w:t>
      </w:r>
      <w:proofErr w:type="gramEnd"/>
      <w:r w:rsidR="00D55892" w:rsidRPr="008A0130">
        <w:rPr>
          <w:rFonts w:ascii="Book Antiqua" w:hAnsi="Book Antiqua" w:cs="Times New Roman"/>
          <w:vertAlign w:val="superscript"/>
        </w:rPr>
        <w:t>14</w:t>
      </w:r>
      <w:r w:rsidR="00F1556D" w:rsidRPr="008A0130">
        <w:rPr>
          <w:rFonts w:ascii="Book Antiqua" w:hAnsi="Book Antiqua" w:cs="Times New Roman"/>
          <w:vertAlign w:val="superscript"/>
        </w:rPr>
        <w:t>1</w:t>
      </w:r>
      <w:r w:rsidR="00B70031" w:rsidRPr="008A0130">
        <w:rPr>
          <w:rFonts w:ascii="Book Antiqua" w:hAnsi="Book Antiqua" w:cs="Times New Roman"/>
          <w:vertAlign w:val="superscript"/>
        </w:rPr>
        <w:t>]</w:t>
      </w:r>
      <w:r w:rsidR="00B70031" w:rsidRPr="008A0130">
        <w:rPr>
          <w:rFonts w:ascii="Book Antiqua" w:hAnsi="Book Antiqua" w:cs="Times New Roman"/>
        </w:rPr>
        <w:t xml:space="preserve">. </w:t>
      </w:r>
      <w:r w:rsidR="00B70031" w:rsidRPr="008A0130">
        <w:rPr>
          <w:rFonts w:ascii="Book Antiqua" w:eastAsia="Arial Unicode MS" w:hAnsi="Book Antiqua" w:cs="Times New Roman"/>
        </w:rPr>
        <w:t>A highly mutable G mononucleotide repeats present in</w:t>
      </w:r>
      <w:r w:rsidR="00B70031" w:rsidRPr="008A0130">
        <w:rPr>
          <w:rStyle w:val="apple-converted-space"/>
          <w:rFonts w:ascii="Book Antiqua" w:eastAsia="Arial Unicode MS" w:hAnsi="Book Antiqua" w:cs="Times New Roman"/>
        </w:rPr>
        <w:t xml:space="preserve"> exon 7 of </w:t>
      </w:r>
      <w:r w:rsidRPr="008A0130">
        <w:rPr>
          <w:rStyle w:val="Emphasis"/>
          <w:rFonts w:ascii="Book Antiqua" w:eastAsia="Arial Unicode MS" w:hAnsi="Book Antiqua" w:cs="Times New Roman"/>
          <w:bdr w:val="none" w:sz="0" w:space="0" w:color="auto" w:frame="1"/>
        </w:rPr>
        <w:t>Axin</w:t>
      </w:r>
      <w:r w:rsidR="00B70031" w:rsidRPr="008A0130">
        <w:rPr>
          <w:rStyle w:val="Emphasis"/>
          <w:rFonts w:ascii="Book Antiqua" w:eastAsia="Arial Unicode MS" w:hAnsi="Book Antiqua" w:cs="Times New Roman"/>
          <w:bdr w:val="none" w:sz="0" w:space="0" w:color="auto" w:frame="1"/>
        </w:rPr>
        <w:t xml:space="preserve">2 </w:t>
      </w:r>
      <w:r w:rsidR="00B70031" w:rsidRPr="008A0130">
        <w:rPr>
          <w:rStyle w:val="Emphasis"/>
          <w:rFonts w:ascii="Book Antiqua" w:eastAsia="Arial Unicode MS" w:hAnsi="Book Antiqua" w:cs="Times New Roman"/>
          <w:i w:val="0"/>
          <w:bdr w:val="none" w:sz="0" w:space="0" w:color="auto" w:frame="1"/>
        </w:rPr>
        <w:t xml:space="preserve">frequently has a frameshift mutation </w:t>
      </w:r>
      <w:r w:rsidR="00B70031" w:rsidRPr="008A0130">
        <w:rPr>
          <w:rFonts w:ascii="Book Antiqua" w:hAnsi="Book Antiqua" w:cs="Times New Roman"/>
        </w:rPr>
        <w:t>(1 bp deletion)</w:t>
      </w:r>
      <w:r w:rsidR="00B70031" w:rsidRPr="008A0130">
        <w:rPr>
          <w:rStyle w:val="Emphasis"/>
          <w:rFonts w:ascii="Book Antiqua" w:eastAsia="Arial Unicode MS" w:hAnsi="Book Antiqua" w:cs="Times New Roman"/>
          <w:i w:val="0"/>
          <w:bdr w:val="none" w:sz="0" w:space="0" w:color="auto" w:frame="1"/>
        </w:rPr>
        <w:t xml:space="preserve"> in gastric cancer with microsatellite instability (MSI) and </w:t>
      </w:r>
      <w:r w:rsidR="00B70031" w:rsidRPr="008A0130">
        <w:rPr>
          <w:rFonts w:ascii="Book Antiqua" w:hAnsi="Book Antiqua" w:cs="Times New Roman"/>
        </w:rPr>
        <w:t xml:space="preserve">nuclear </w:t>
      </w:r>
      <w:r w:rsidR="00F926B4" w:rsidRPr="008A0130">
        <w:rPr>
          <w:rFonts w:ascii="Book Antiqua" w:hAnsi="Book Antiqua" w:cs="Times New Roman"/>
          <w:position w:val="-2"/>
        </w:rPr>
        <w:t>β</w:t>
      </w:r>
      <w:r w:rsidR="00B70031" w:rsidRPr="008A0130">
        <w:rPr>
          <w:rFonts w:ascii="Book Antiqua" w:hAnsi="Book Antiqua" w:cs="Times New Roman"/>
        </w:rPr>
        <w:t>-catenin expression</w:t>
      </w:r>
      <w:r w:rsidR="00F1556D" w:rsidRPr="008A0130">
        <w:rPr>
          <w:rFonts w:ascii="Book Antiqua" w:hAnsi="Book Antiqua" w:cs="Times New Roman"/>
          <w:vertAlign w:val="superscript"/>
        </w:rPr>
        <w:t>[90,98</w:t>
      </w:r>
      <w:r w:rsidR="00B70031" w:rsidRPr="008A0130">
        <w:rPr>
          <w:rFonts w:ascii="Book Antiqua" w:hAnsi="Book Antiqua" w:cs="Times New Roman"/>
          <w:vertAlign w:val="superscript"/>
        </w:rPr>
        <w:t>]</w:t>
      </w:r>
      <w:r w:rsidR="00B70031" w:rsidRPr="008A0130">
        <w:rPr>
          <w:rStyle w:val="Emphasis"/>
          <w:rFonts w:ascii="Book Antiqua" w:eastAsia="Arial Unicode MS" w:hAnsi="Book Antiqua" w:cs="Times New Roman"/>
          <w:i w:val="0"/>
          <w:bdr w:val="none" w:sz="0" w:space="0" w:color="auto" w:frame="1"/>
        </w:rPr>
        <w:t xml:space="preserve">. Pan </w:t>
      </w:r>
      <w:r w:rsidR="00B70031" w:rsidRPr="008A0130">
        <w:rPr>
          <w:rStyle w:val="Emphasis"/>
          <w:rFonts w:ascii="Book Antiqua" w:eastAsia="Arial Unicode MS" w:hAnsi="Book Antiqua" w:cs="Times New Roman"/>
          <w:bdr w:val="none" w:sz="0" w:space="0" w:color="auto" w:frame="1"/>
        </w:rPr>
        <w:t xml:space="preserve">et </w:t>
      </w:r>
      <w:proofErr w:type="gramStart"/>
      <w:r w:rsidR="00B70031" w:rsidRPr="008A0130">
        <w:rPr>
          <w:rStyle w:val="Emphasis"/>
          <w:rFonts w:ascii="Book Antiqua" w:eastAsia="Arial Unicode MS" w:hAnsi="Book Antiqua" w:cs="Times New Roman"/>
          <w:bdr w:val="none" w:sz="0" w:space="0" w:color="auto" w:frame="1"/>
        </w:rPr>
        <w:t>al</w:t>
      </w:r>
      <w:r w:rsidR="0048631F" w:rsidRPr="008A0130">
        <w:rPr>
          <w:rFonts w:ascii="Book Antiqua" w:hAnsi="Book Antiqua" w:cs="Times New Roman"/>
          <w:vertAlign w:val="superscript"/>
        </w:rPr>
        <w:t>[</w:t>
      </w:r>
      <w:proofErr w:type="gramEnd"/>
      <w:r w:rsidR="0048631F" w:rsidRPr="008A0130">
        <w:rPr>
          <w:rFonts w:ascii="Book Antiqua" w:hAnsi="Book Antiqua" w:cs="Times New Roman"/>
          <w:vertAlign w:val="superscript"/>
        </w:rPr>
        <w:t>90]</w:t>
      </w:r>
      <w:r w:rsidR="00B70031" w:rsidRPr="008A0130">
        <w:rPr>
          <w:rStyle w:val="Emphasis"/>
          <w:rFonts w:ascii="Book Antiqua" w:eastAsia="Arial Unicode MS" w:hAnsi="Book Antiqua" w:cs="Times New Roman"/>
          <w:i w:val="0"/>
          <w:bdr w:val="none" w:sz="0" w:space="0" w:color="auto" w:frame="1"/>
        </w:rPr>
        <w:t xml:space="preserve"> also identified in their study in gastric cancer </w:t>
      </w:r>
      <w:r w:rsidR="00B70031" w:rsidRPr="008A0130">
        <w:rPr>
          <w:rFonts w:ascii="Book Antiqua" w:hAnsi="Book Antiqua" w:cs="Times New Roman"/>
        </w:rPr>
        <w:t xml:space="preserve">five SNPs (334 C&gt;T, 874 C&gt;T, 1396 G&gt;A, 1690 C&gt;T and 1942 T&gt;G) and frameshift mutations in </w:t>
      </w:r>
      <w:r w:rsidRPr="008A0130">
        <w:rPr>
          <w:rFonts w:ascii="Book Antiqua" w:hAnsi="Book Antiqua" w:cs="Times New Roman"/>
          <w:i/>
        </w:rPr>
        <w:t>Axin</w:t>
      </w:r>
      <w:r w:rsidR="00B70031" w:rsidRPr="008A0130">
        <w:rPr>
          <w:rFonts w:ascii="Book Antiqua" w:hAnsi="Book Antiqua" w:cs="Times New Roman"/>
          <w:i/>
        </w:rPr>
        <w:t>1</w:t>
      </w:r>
      <w:r w:rsidR="00B70031" w:rsidRPr="008A0130">
        <w:rPr>
          <w:rFonts w:ascii="Book Antiqua" w:hAnsi="Book Antiqua" w:cs="Times New Roman"/>
        </w:rPr>
        <w:t>.</w:t>
      </w:r>
    </w:p>
    <w:p w14:paraId="1726948B" w14:textId="079BF894" w:rsidR="00B70031" w:rsidRPr="008A0130" w:rsidRDefault="00B70031"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Missense mutations in </w:t>
      </w:r>
      <w:r w:rsidR="00F926B4" w:rsidRPr="008A0130">
        <w:rPr>
          <w:rFonts w:ascii="Book Antiqua" w:hAnsi="Book Antiqua" w:cs="Times New Roman"/>
          <w:i/>
        </w:rPr>
        <w:t>β</w:t>
      </w:r>
      <w:r w:rsidRPr="008A0130">
        <w:rPr>
          <w:rFonts w:ascii="Book Antiqua" w:hAnsi="Book Antiqua" w:cs="Times New Roman"/>
          <w:i/>
        </w:rPr>
        <w:t>-TrCP</w:t>
      </w:r>
      <w:r w:rsidRPr="008A0130">
        <w:rPr>
          <w:rFonts w:ascii="Book Antiqua" w:hAnsi="Book Antiqua" w:cs="Times New Roman"/>
        </w:rPr>
        <w:t xml:space="preserve">, a component of the ubiquitin ligase complex targeting </w:t>
      </w:r>
      <w:r w:rsidR="00F926B4" w:rsidRPr="008A0130">
        <w:rPr>
          <w:rFonts w:ascii="Book Antiqua" w:hAnsi="Book Antiqua" w:cs="Times New Roman"/>
        </w:rPr>
        <w:t>β</w:t>
      </w:r>
      <w:r w:rsidRPr="008A0130">
        <w:rPr>
          <w:rFonts w:ascii="Book Antiqua" w:hAnsi="Book Antiqua" w:cs="Times New Roman"/>
        </w:rPr>
        <w:t xml:space="preserve">-catenin for proteasomal degradation, also has been suggested to contribute to the development of gastric cancer through </w:t>
      </w:r>
      <w:r w:rsidR="00F926B4" w:rsidRPr="008A0130">
        <w:rPr>
          <w:rFonts w:ascii="Book Antiqua" w:hAnsi="Book Antiqua" w:cs="Times New Roman"/>
        </w:rPr>
        <w:t>β</w:t>
      </w:r>
      <w:r w:rsidRPr="008A0130">
        <w:rPr>
          <w:rFonts w:ascii="Book Antiqua" w:hAnsi="Book Antiqua" w:cs="Times New Roman"/>
        </w:rPr>
        <w:t>-catenin stabilization</w:t>
      </w:r>
      <w:r w:rsidR="00F1556D" w:rsidRPr="008A0130">
        <w:rPr>
          <w:rFonts w:ascii="Book Antiqua" w:hAnsi="Book Antiqua" w:cs="Times New Roman"/>
          <w:vertAlign w:val="superscript"/>
        </w:rPr>
        <w:t>[142</w:t>
      </w:r>
      <w:r w:rsidRPr="008A0130">
        <w:rPr>
          <w:rFonts w:ascii="Book Antiqua" w:hAnsi="Book Antiqua" w:cs="Times New Roman"/>
          <w:vertAlign w:val="superscript"/>
        </w:rPr>
        <w:t>]</w:t>
      </w:r>
      <w:r w:rsidRPr="008A0130">
        <w:rPr>
          <w:rFonts w:ascii="Book Antiqua" w:hAnsi="Book Antiqua" w:cs="Times New Roman"/>
        </w:rPr>
        <w:t>. Finally, somatic mutations in Wilms’ tumor gene on the X chromosome (</w:t>
      </w:r>
      <w:r w:rsidRPr="008A0130">
        <w:rPr>
          <w:rFonts w:ascii="Book Antiqua" w:hAnsi="Book Antiqua" w:cs="Times New Roman"/>
          <w:i/>
        </w:rPr>
        <w:t>WTX</w:t>
      </w:r>
      <w:r w:rsidRPr="008A0130">
        <w:rPr>
          <w:rFonts w:ascii="Book Antiqua" w:hAnsi="Book Antiqua" w:cs="Times New Roman"/>
        </w:rPr>
        <w:t>), which is also considered a negative regulator of Wnt/</w:t>
      </w:r>
      <w:r w:rsidR="00F926B4" w:rsidRPr="008A0130">
        <w:rPr>
          <w:rFonts w:ascii="Book Antiqua" w:hAnsi="Book Antiqua" w:cs="Times New Roman"/>
        </w:rPr>
        <w:t>β</w:t>
      </w:r>
      <w:r w:rsidRPr="008A0130">
        <w:rPr>
          <w:rFonts w:ascii="Book Antiqua" w:hAnsi="Book Antiqua" w:cs="Times New Roman"/>
        </w:rPr>
        <w:t>-catenin signaling, have been only detected in colorectal cancer, but not in gastric carcinomas</w:t>
      </w:r>
      <w:r w:rsidR="00F1556D" w:rsidRPr="008A0130">
        <w:rPr>
          <w:rFonts w:ascii="Book Antiqua" w:hAnsi="Book Antiqua" w:cs="Times New Roman"/>
          <w:vertAlign w:val="superscript"/>
        </w:rPr>
        <w:t>[143</w:t>
      </w:r>
      <w:r w:rsidRPr="008A0130">
        <w:rPr>
          <w:rFonts w:ascii="Book Antiqua" w:hAnsi="Book Antiqua" w:cs="Times New Roman"/>
          <w:vertAlign w:val="superscript"/>
        </w:rPr>
        <w:t>]</w:t>
      </w:r>
      <w:r w:rsidRPr="008A0130">
        <w:rPr>
          <w:rFonts w:ascii="Book Antiqua" w:hAnsi="Book Antiqua" w:cs="Times New Roman"/>
        </w:rPr>
        <w:t xml:space="preserve">. </w:t>
      </w:r>
    </w:p>
    <w:p w14:paraId="52373F6F" w14:textId="77777777" w:rsidR="0048631F" w:rsidRPr="008A0130" w:rsidRDefault="0048631F" w:rsidP="008A0130">
      <w:pPr>
        <w:widowControl w:val="0"/>
        <w:autoSpaceDE w:val="0"/>
        <w:autoSpaceDN w:val="0"/>
        <w:adjustRightInd w:val="0"/>
        <w:spacing w:line="360" w:lineRule="auto"/>
        <w:jc w:val="both"/>
        <w:rPr>
          <w:rFonts w:ascii="Book Antiqua" w:eastAsia="宋体" w:hAnsi="Book Antiqua" w:cs="Times"/>
          <w:b/>
          <w:lang w:eastAsia="zh-CN"/>
        </w:rPr>
      </w:pPr>
    </w:p>
    <w:p w14:paraId="6CC3B347" w14:textId="2989FB40" w:rsidR="00B70031" w:rsidRPr="008A0130" w:rsidRDefault="00B70031" w:rsidP="008A0130">
      <w:pPr>
        <w:widowControl w:val="0"/>
        <w:autoSpaceDE w:val="0"/>
        <w:autoSpaceDN w:val="0"/>
        <w:adjustRightInd w:val="0"/>
        <w:spacing w:line="360" w:lineRule="auto"/>
        <w:jc w:val="both"/>
        <w:rPr>
          <w:rFonts w:ascii="Book Antiqua" w:hAnsi="Book Antiqua" w:cs="Times"/>
          <w:i/>
        </w:rPr>
      </w:pPr>
      <w:r w:rsidRPr="008A0130">
        <w:rPr>
          <w:rFonts w:ascii="Book Antiqua" w:hAnsi="Book Antiqua" w:cs="Times"/>
          <w:b/>
        </w:rPr>
        <w:t>Epigenetic modifications</w:t>
      </w:r>
      <w:r w:rsidR="00536220" w:rsidRPr="008A0130">
        <w:rPr>
          <w:rFonts w:ascii="Book Antiqua" w:hAnsi="Book Antiqua" w:cs="Times"/>
          <w:b/>
        </w:rPr>
        <w:t xml:space="preserve">: </w:t>
      </w:r>
      <w:r w:rsidR="00536220" w:rsidRPr="008A0130">
        <w:rPr>
          <w:rFonts w:ascii="Book Antiqua" w:hAnsi="Book Antiqua" w:cs="Times New Roman"/>
        </w:rPr>
        <w:t>H</w:t>
      </w:r>
      <w:r w:rsidRPr="008A0130">
        <w:rPr>
          <w:rFonts w:ascii="Book Antiqua" w:hAnsi="Book Antiqua" w:cs="Times New Roman"/>
        </w:rPr>
        <w:t xml:space="preserve">ypermethylation of Wnt-antagonist and tumor </w:t>
      </w:r>
      <w:r w:rsidRPr="008A0130">
        <w:rPr>
          <w:rFonts w:ascii="Book Antiqua" w:hAnsi="Book Antiqua" w:cs="Times New Roman"/>
        </w:rPr>
        <w:lastRenderedPageBreak/>
        <w:t xml:space="preserve">suppressor genes may be one of the key mechanisms for the translocation of ß-catenin to nucleus and subsequent aberrant activation of canonical Wnt/ß-catenin pathway involved in the pathogenesis of gastric </w:t>
      </w:r>
      <w:proofErr w:type="gramStart"/>
      <w:r w:rsidRPr="008A0130">
        <w:rPr>
          <w:rFonts w:ascii="Book Antiqua" w:hAnsi="Book Antiqua" w:cs="Times New Roman"/>
        </w:rPr>
        <w:t>cancer</w:t>
      </w:r>
      <w:r w:rsidR="00F1556D" w:rsidRPr="008A0130">
        <w:rPr>
          <w:rFonts w:ascii="Book Antiqua" w:hAnsi="Book Antiqua" w:cs="Times New Roman"/>
          <w:vertAlign w:val="superscript"/>
        </w:rPr>
        <w:t>[</w:t>
      </w:r>
      <w:proofErr w:type="gramEnd"/>
      <w:r w:rsidR="00F1556D" w:rsidRPr="008A0130">
        <w:rPr>
          <w:rFonts w:ascii="Book Antiqua" w:hAnsi="Book Antiqua" w:cs="Times New Roman"/>
          <w:vertAlign w:val="superscript"/>
        </w:rPr>
        <w:t>144,145</w:t>
      </w:r>
      <w:r w:rsidRPr="008A0130">
        <w:rPr>
          <w:rFonts w:ascii="Book Antiqua" w:hAnsi="Book Antiqua" w:cs="Times New Roman"/>
          <w:vertAlign w:val="superscript"/>
        </w:rPr>
        <w:t>]</w:t>
      </w:r>
      <w:r w:rsidRPr="008A0130">
        <w:rPr>
          <w:rFonts w:ascii="Book Antiqua" w:hAnsi="Book Antiqua" w:cs="Times New Roman"/>
        </w:rPr>
        <w:t xml:space="preserve">. Indeed, </w:t>
      </w:r>
      <w:r w:rsidRPr="008A0130">
        <w:rPr>
          <w:rFonts w:ascii="Book Antiqua" w:hAnsi="Book Antiqua" w:cs="Times New Roman"/>
          <w:i/>
        </w:rPr>
        <w:t>APC</w:t>
      </w:r>
      <w:r w:rsidRPr="008A0130">
        <w:rPr>
          <w:rFonts w:ascii="Book Antiqua" w:hAnsi="Book Antiqua" w:cs="Times New Roman"/>
        </w:rPr>
        <w:t xml:space="preserve"> is one of the genes commonly hypermethylated in gastric </w:t>
      </w:r>
      <w:proofErr w:type="gramStart"/>
      <w:r w:rsidRPr="008A0130">
        <w:rPr>
          <w:rFonts w:ascii="Book Antiqua" w:hAnsi="Book Antiqua" w:cs="Times New Roman"/>
        </w:rPr>
        <w:t>cancer</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w:t>
      </w:r>
      <w:r w:rsidR="00F1556D" w:rsidRPr="008A0130">
        <w:rPr>
          <w:rFonts w:ascii="Book Antiqua" w:hAnsi="Book Antiqua" w:cs="Times New Roman"/>
          <w:vertAlign w:val="superscript"/>
        </w:rPr>
        <w:t>45,146</w:t>
      </w:r>
      <w:r w:rsidRPr="008A0130">
        <w:rPr>
          <w:rFonts w:ascii="Book Antiqua" w:hAnsi="Book Antiqua" w:cs="Times New Roman"/>
          <w:vertAlign w:val="superscript"/>
        </w:rPr>
        <w:t>]</w:t>
      </w:r>
      <w:r w:rsidRPr="008A0130">
        <w:rPr>
          <w:rFonts w:ascii="Book Antiqua" w:hAnsi="Book Antiqua" w:cs="Times New Roman"/>
        </w:rPr>
        <w:t xml:space="preserve">. Moreover, hypermethylation of </w:t>
      </w:r>
      <w:r w:rsidRPr="008A0130">
        <w:rPr>
          <w:rFonts w:ascii="Book Antiqua" w:hAnsi="Book Antiqua" w:cs="Times New Roman"/>
          <w:i/>
        </w:rPr>
        <w:t>APC</w:t>
      </w:r>
      <w:r w:rsidRPr="008A0130">
        <w:rPr>
          <w:rFonts w:ascii="Book Antiqua" w:hAnsi="Book Antiqua" w:cs="Times New Roman"/>
        </w:rPr>
        <w:t xml:space="preserve"> promoter contributing to moderate activation of Wnt signaling was associated to the development and progression of gastric adenomas, which are considered as premalignant lesions of gastric </w:t>
      </w:r>
      <w:proofErr w:type="gramStart"/>
      <w:r w:rsidRPr="008A0130">
        <w:rPr>
          <w:rFonts w:ascii="Book Antiqua" w:hAnsi="Book Antiqua" w:cs="Times New Roman"/>
        </w:rPr>
        <w:t>adenocarcinoma</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14</w:t>
      </w:r>
      <w:r w:rsidR="00F1556D" w:rsidRPr="008A0130">
        <w:rPr>
          <w:rFonts w:ascii="Book Antiqua" w:hAnsi="Book Antiqua" w:cs="Times New Roman"/>
          <w:vertAlign w:val="superscript"/>
        </w:rPr>
        <w:t>5</w:t>
      </w:r>
      <w:r w:rsidRPr="008A0130">
        <w:rPr>
          <w:rFonts w:ascii="Book Antiqua" w:hAnsi="Book Antiqua" w:cs="Times New Roman"/>
          <w:vertAlign w:val="superscript"/>
        </w:rPr>
        <w:t>]</w:t>
      </w:r>
      <w:r w:rsidRPr="008A0130">
        <w:rPr>
          <w:rFonts w:ascii="Book Antiqua" w:hAnsi="Book Antiqua" w:cs="Times New Roman"/>
        </w:rPr>
        <w:t xml:space="preserve">. This process seems to be accelerated by infection with </w:t>
      </w:r>
      <w:r w:rsidRPr="008A0130">
        <w:rPr>
          <w:rFonts w:ascii="Book Antiqua" w:hAnsi="Book Antiqua" w:cs="Times New Roman"/>
          <w:i/>
        </w:rPr>
        <w:t xml:space="preserve">H. </w:t>
      </w:r>
      <w:proofErr w:type="gramStart"/>
      <w:r w:rsidRPr="008A0130">
        <w:rPr>
          <w:rFonts w:ascii="Book Antiqua" w:hAnsi="Book Antiqua" w:cs="Times New Roman"/>
          <w:i/>
        </w:rPr>
        <w:t>pylori</w:t>
      </w:r>
      <w:r w:rsidR="00F1556D" w:rsidRPr="008A0130">
        <w:rPr>
          <w:rFonts w:ascii="Book Antiqua" w:hAnsi="Book Antiqua" w:cs="Times New Roman"/>
          <w:vertAlign w:val="superscript"/>
        </w:rPr>
        <w:t>[</w:t>
      </w:r>
      <w:proofErr w:type="gramEnd"/>
      <w:r w:rsidR="00F1556D" w:rsidRPr="008A0130">
        <w:rPr>
          <w:rFonts w:ascii="Book Antiqua" w:hAnsi="Book Antiqua" w:cs="Times New Roman"/>
          <w:vertAlign w:val="superscript"/>
        </w:rPr>
        <w:t>145</w:t>
      </w:r>
      <w:r w:rsidRPr="008A0130">
        <w:rPr>
          <w:rFonts w:ascii="Book Antiqua" w:hAnsi="Book Antiqua" w:cs="Times New Roman"/>
          <w:vertAlign w:val="superscript"/>
        </w:rPr>
        <w:t>]</w:t>
      </w:r>
      <w:r w:rsidRPr="008A0130">
        <w:rPr>
          <w:rFonts w:ascii="Book Antiqua" w:hAnsi="Book Antiqua" w:cs="Times New Roman"/>
        </w:rPr>
        <w:t xml:space="preserve">. </w:t>
      </w:r>
    </w:p>
    <w:p w14:paraId="2AC18A2E" w14:textId="58D7BDDD" w:rsidR="00B70031" w:rsidRPr="008A0130" w:rsidRDefault="00B70031" w:rsidP="008A0130">
      <w:pPr>
        <w:widowControl w:val="0"/>
        <w:autoSpaceDE w:val="0"/>
        <w:autoSpaceDN w:val="0"/>
        <w:adjustRightInd w:val="0"/>
        <w:spacing w:line="360" w:lineRule="auto"/>
        <w:ind w:firstLineChars="100" w:firstLine="240"/>
        <w:jc w:val="both"/>
        <w:rPr>
          <w:rFonts w:ascii="Book Antiqua" w:hAnsi="Book Antiqua" w:cs="Times New Roman"/>
          <w:i/>
        </w:rPr>
      </w:pPr>
      <w:r w:rsidRPr="008A0130">
        <w:rPr>
          <w:rFonts w:ascii="Book Antiqua" w:hAnsi="Book Antiqua" w:cs="Times New Roman"/>
        </w:rPr>
        <w:t xml:space="preserve">Several other tumor suppressor genes that function through modulating Wnt/ß-catenin signaling </w:t>
      </w:r>
      <w:r w:rsidR="003C2B4C" w:rsidRPr="008A0130">
        <w:rPr>
          <w:rFonts w:ascii="Book Antiqua" w:hAnsi="Book Antiqua" w:cs="Times New Roman"/>
        </w:rPr>
        <w:t>were</w:t>
      </w:r>
      <w:r w:rsidRPr="008A0130">
        <w:rPr>
          <w:rFonts w:ascii="Book Antiqua" w:hAnsi="Book Antiqua" w:cs="Times New Roman"/>
        </w:rPr>
        <w:t xml:space="preserve"> found silenced in gastric cancer, such as members of the </w:t>
      </w:r>
      <w:r w:rsidRPr="008A0130">
        <w:rPr>
          <w:rFonts w:ascii="Book Antiqua" w:hAnsi="Book Antiqua" w:cs="Times New Roman"/>
          <w:i/>
        </w:rPr>
        <w:t>sFRP</w:t>
      </w:r>
      <w:r w:rsidRPr="008A0130">
        <w:rPr>
          <w:rFonts w:ascii="Book Antiqua" w:hAnsi="Book Antiqua" w:cs="Times New Roman"/>
        </w:rPr>
        <w:t xml:space="preserve"> and </w:t>
      </w:r>
      <w:r w:rsidRPr="008A0130">
        <w:rPr>
          <w:rFonts w:ascii="Book Antiqua" w:hAnsi="Book Antiqua" w:cs="Times New Roman"/>
          <w:i/>
        </w:rPr>
        <w:t>Dkk</w:t>
      </w:r>
      <w:r w:rsidRPr="008A0130">
        <w:rPr>
          <w:rFonts w:ascii="Book Antiqua" w:hAnsi="Book Antiqua" w:cs="Times New Roman"/>
        </w:rPr>
        <w:t xml:space="preserve"> gene families. CpG methylation-depending silencing of </w:t>
      </w:r>
      <w:r w:rsidRPr="008A0130">
        <w:rPr>
          <w:rFonts w:ascii="Book Antiqua" w:hAnsi="Book Antiqua" w:cs="Times New Roman"/>
          <w:i/>
        </w:rPr>
        <w:t>sFRP1</w:t>
      </w:r>
      <w:r w:rsidRPr="008A0130">
        <w:rPr>
          <w:rFonts w:ascii="Book Antiqua" w:hAnsi="Book Antiqua" w:cs="Times New Roman"/>
        </w:rPr>
        <w:t xml:space="preserve">, </w:t>
      </w:r>
      <w:r w:rsidRPr="008A0130">
        <w:rPr>
          <w:rFonts w:ascii="Book Antiqua" w:hAnsi="Book Antiqua" w:cs="Times New Roman"/>
          <w:i/>
        </w:rPr>
        <w:t>sFRP2</w:t>
      </w:r>
      <w:r w:rsidRPr="008A0130">
        <w:rPr>
          <w:rFonts w:ascii="Book Antiqua" w:hAnsi="Book Antiqua" w:cs="Times New Roman"/>
        </w:rPr>
        <w:t xml:space="preserve">, </w:t>
      </w:r>
      <w:r w:rsidRPr="008A0130">
        <w:rPr>
          <w:rFonts w:ascii="Book Antiqua" w:hAnsi="Book Antiqua" w:cs="Times New Roman"/>
          <w:i/>
        </w:rPr>
        <w:t>sFRP4</w:t>
      </w:r>
      <w:r w:rsidRPr="008A0130">
        <w:rPr>
          <w:rFonts w:ascii="Book Antiqua" w:hAnsi="Book Antiqua" w:cs="Times New Roman"/>
        </w:rPr>
        <w:t xml:space="preserve">, </w:t>
      </w:r>
      <w:r w:rsidRPr="008A0130">
        <w:rPr>
          <w:rFonts w:ascii="Book Antiqua" w:hAnsi="Book Antiqua" w:cs="Times New Roman"/>
          <w:i/>
        </w:rPr>
        <w:t>sFRP5</w:t>
      </w:r>
      <w:r w:rsidRPr="008A0130">
        <w:rPr>
          <w:rFonts w:ascii="Book Antiqua" w:hAnsi="Book Antiqua" w:cs="Times New Roman"/>
        </w:rPr>
        <w:t xml:space="preserve">, </w:t>
      </w:r>
      <w:r w:rsidR="00D12D0C" w:rsidRPr="008A0130">
        <w:rPr>
          <w:rFonts w:ascii="Book Antiqua" w:hAnsi="Book Antiqua" w:cs="Times New Roman"/>
          <w:i/>
        </w:rPr>
        <w:t>HSulf-1</w:t>
      </w:r>
      <w:r w:rsidR="00D12D0C" w:rsidRPr="008A0130">
        <w:rPr>
          <w:rFonts w:ascii="Book Antiqua" w:hAnsi="Book Antiqua" w:cs="Times New Roman"/>
        </w:rPr>
        <w:t xml:space="preserve">, </w:t>
      </w:r>
      <w:r w:rsidRPr="008A0130">
        <w:rPr>
          <w:rFonts w:ascii="Book Antiqua" w:hAnsi="Book Antiqua" w:cs="Times New Roman"/>
          <w:i/>
        </w:rPr>
        <w:t>WIF-1</w:t>
      </w:r>
      <w:r w:rsidRPr="008A0130">
        <w:rPr>
          <w:rFonts w:ascii="Book Antiqua" w:hAnsi="Book Antiqua" w:cs="Times New Roman"/>
        </w:rPr>
        <w:t xml:space="preserve">, </w:t>
      </w:r>
      <w:r w:rsidRPr="008A0130">
        <w:rPr>
          <w:rFonts w:ascii="Book Antiqua" w:hAnsi="Book Antiqua" w:cs="Times New Roman"/>
          <w:i/>
        </w:rPr>
        <w:t xml:space="preserve">RUNX3 </w:t>
      </w:r>
      <w:r w:rsidRPr="008A0130">
        <w:rPr>
          <w:rFonts w:ascii="Book Antiqua" w:hAnsi="Book Antiqua" w:cs="Times New Roman"/>
        </w:rPr>
        <w:t xml:space="preserve">as well as, </w:t>
      </w:r>
      <w:r w:rsidRPr="008A0130">
        <w:rPr>
          <w:rFonts w:ascii="Book Antiqua" w:hAnsi="Book Antiqua" w:cs="Times New Roman"/>
          <w:i/>
        </w:rPr>
        <w:t>Dkk-1</w:t>
      </w:r>
      <w:r w:rsidRPr="008A0130">
        <w:rPr>
          <w:rFonts w:ascii="Book Antiqua" w:hAnsi="Book Antiqua" w:cs="Times New Roman"/>
        </w:rPr>
        <w:t xml:space="preserve">, </w:t>
      </w:r>
      <w:r w:rsidRPr="008A0130">
        <w:rPr>
          <w:rFonts w:ascii="Book Antiqua" w:hAnsi="Book Antiqua" w:cs="Times New Roman"/>
          <w:i/>
        </w:rPr>
        <w:t>Dkk-2</w:t>
      </w:r>
      <w:r w:rsidRPr="008A0130">
        <w:rPr>
          <w:rFonts w:ascii="Book Antiqua" w:hAnsi="Book Antiqua" w:cs="Times New Roman"/>
        </w:rPr>
        <w:t xml:space="preserve"> and </w:t>
      </w:r>
      <w:r w:rsidRPr="008A0130">
        <w:rPr>
          <w:rFonts w:ascii="Book Antiqua" w:hAnsi="Book Antiqua" w:cs="Times New Roman"/>
          <w:i/>
        </w:rPr>
        <w:t>Dkk-3</w:t>
      </w:r>
      <w:r w:rsidRPr="008A0130">
        <w:rPr>
          <w:rFonts w:ascii="Book Antiqua" w:hAnsi="Book Antiqua" w:cs="Times New Roman"/>
        </w:rPr>
        <w:t xml:space="preserve"> has been frequently observed among gastric cancer cells lines and primary specimens</w:t>
      </w:r>
      <w:r w:rsidR="00F1556D" w:rsidRPr="008A0130">
        <w:rPr>
          <w:rFonts w:ascii="Book Antiqua" w:hAnsi="Book Antiqua" w:cs="Times New Roman"/>
          <w:vertAlign w:val="superscript"/>
        </w:rPr>
        <w:t>[59,96</w:t>
      </w:r>
      <w:r w:rsidRPr="008A0130">
        <w:rPr>
          <w:rFonts w:ascii="Book Antiqua" w:hAnsi="Book Antiqua" w:cs="Times New Roman"/>
          <w:vertAlign w:val="superscript"/>
        </w:rPr>
        <w:t>,</w:t>
      </w:r>
      <w:r w:rsidR="00F1556D" w:rsidRPr="008A0130">
        <w:rPr>
          <w:rFonts w:ascii="Book Antiqua" w:hAnsi="Book Antiqua" w:cs="Times New Roman"/>
          <w:vertAlign w:val="superscript"/>
        </w:rPr>
        <w:t>108</w:t>
      </w:r>
      <w:r w:rsidR="00D12D0C" w:rsidRPr="008A0130">
        <w:rPr>
          <w:rFonts w:ascii="Book Antiqua" w:hAnsi="Book Antiqua" w:cs="Times New Roman"/>
          <w:vertAlign w:val="superscript"/>
        </w:rPr>
        <w:t>,</w:t>
      </w:r>
      <w:r w:rsidR="00F1556D" w:rsidRPr="008A0130">
        <w:rPr>
          <w:rFonts w:ascii="Book Antiqua" w:hAnsi="Book Antiqua" w:cs="Times New Roman"/>
          <w:vertAlign w:val="superscript"/>
        </w:rPr>
        <w:t>144,147</w:t>
      </w:r>
      <w:r w:rsidR="007C0E1D" w:rsidRPr="008A0130">
        <w:rPr>
          <w:rFonts w:ascii="Book Antiqua" w:hAnsi="Book Antiqua" w:cs="Times New Roman"/>
          <w:vertAlign w:val="superscript"/>
        </w:rPr>
        <w:t>,1</w:t>
      </w:r>
      <w:r w:rsidR="00F1556D" w:rsidRPr="008A0130">
        <w:rPr>
          <w:rFonts w:ascii="Book Antiqua" w:hAnsi="Book Antiqua" w:cs="Times New Roman"/>
          <w:vertAlign w:val="superscript"/>
        </w:rPr>
        <w:t>48</w:t>
      </w:r>
      <w:r w:rsidRPr="008A0130">
        <w:rPr>
          <w:rFonts w:ascii="Book Antiqua" w:hAnsi="Book Antiqua" w:cs="Times New Roman"/>
          <w:vertAlign w:val="superscript"/>
        </w:rPr>
        <w:t>]</w:t>
      </w:r>
      <w:r w:rsidRPr="008A0130">
        <w:rPr>
          <w:rFonts w:ascii="Book Antiqua" w:hAnsi="Book Antiqua" w:cs="Times New Roman"/>
        </w:rPr>
        <w:t xml:space="preserve">. In addition, Yu </w:t>
      </w:r>
      <w:r w:rsidRPr="008A0130">
        <w:rPr>
          <w:rFonts w:ascii="Book Antiqua" w:hAnsi="Book Antiqua" w:cs="Times New Roman"/>
          <w:i/>
        </w:rPr>
        <w:t xml:space="preserve">et </w:t>
      </w:r>
      <w:proofErr w:type="gramStart"/>
      <w:r w:rsidRPr="008A0130">
        <w:rPr>
          <w:rFonts w:ascii="Book Antiqua" w:hAnsi="Book Antiqua" w:cs="Times New Roman"/>
          <w:i/>
        </w:rPr>
        <w:t>al</w:t>
      </w:r>
      <w:r w:rsidR="0048631F" w:rsidRPr="008A0130">
        <w:rPr>
          <w:rFonts w:ascii="Book Antiqua" w:hAnsi="Book Antiqua" w:cs="Times New Roman"/>
          <w:vertAlign w:val="superscript"/>
        </w:rPr>
        <w:t>[</w:t>
      </w:r>
      <w:proofErr w:type="gramEnd"/>
      <w:r w:rsidR="0048631F" w:rsidRPr="008A0130">
        <w:rPr>
          <w:rFonts w:ascii="Book Antiqua" w:hAnsi="Book Antiqua" w:cs="Times New Roman"/>
          <w:vertAlign w:val="superscript"/>
        </w:rPr>
        <w:t>148]</w:t>
      </w:r>
      <w:r w:rsidRPr="008A0130">
        <w:rPr>
          <w:rFonts w:ascii="Book Antiqua" w:hAnsi="Book Antiqua" w:cs="Times New Roman"/>
        </w:rPr>
        <w:t xml:space="preserve"> showed by multivariate analysis that </w:t>
      </w:r>
      <w:r w:rsidRPr="008A0130">
        <w:rPr>
          <w:rFonts w:ascii="Book Antiqua" w:hAnsi="Book Antiqua" w:cs="Times New Roman"/>
          <w:i/>
        </w:rPr>
        <w:t>Dkk-3</w:t>
      </w:r>
      <w:r w:rsidRPr="008A0130">
        <w:rPr>
          <w:rFonts w:ascii="Book Antiqua" w:hAnsi="Book Antiqua" w:cs="Times New Roman"/>
        </w:rPr>
        <w:t xml:space="preserve"> methylation was associated significantly and independently with poor disease survival in gastric cancer, but not in colorectal cancer. Recently, DNA methylation status in </w:t>
      </w:r>
      <w:r w:rsidR="006A79E1" w:rsidRPr="008A0130">
        <w:rPr>
          <w:rFonts w:ascii="Book Antiqua" w:hAnsi="Book Antiqua" w:cs="Times New Roman"/>
        </w:rPr>
        <w:t xml:space="preserve">49 gastric cancer samples </w:t>
      </w:r>
      <w:r w:rsidRPr="008A0130">
        <w:rPr>
          <w:rFonts w:ascii="Book Antiqua" w:hAnsi="Book Antiqua" w:cs="Times New Roman"/>
        </w:rPr>
        <w:t>was an</w:t>
      </w:r>
      <w:r w:rsidR="0048631F" w:rsidRPr="008A0130">
        <w:rPr>
          <w:rFonts w:ascii="Book Antiqua" w:hAnsi="Book Antiqua" w:cs="Times New Roman"/>
        </w:rPr>
        <w:t>alyzed by a bead array with 485</w:t>
      </w:r>
      <w:r w:rsidRPr="008A0130">
        <w:rPr>
          <w:rFonts w:ascii="Book Antiqua" w:hAnsi="Book Antiqua" w:cs="Times New Roman"/>
        </w:rPr>
        <w:t xml:space="preserve">512 </w:t>
      </w:r>
      <w:proofErr w:type="gramStart"/>
      <w:r w:rsidRPr="008A0130">
        <w:rPr>
          <w:rFonts w:ascii="Book Antiqua" w:hAnsi="Book Antiqua" w:cs="Times New Roman"/>
        </w:rPr>
        <w:t>probes</w:t>
      </w:r>
      <w:r w:rsidR="00F1556D" w:rsidRPr="008A0130">
        <w:rPr>
          <w:rFonts w:ascii="Book Antiqua" w:hAnsi="Book Antiqua" w:cs="Times New Roman"/>
          <w:vertAlign w:val="superscript"/>
        </w:rPr>
        <w:t>[</w:t>
      </w:r>
      <w:proofErr w:type="gramEnd"/>
      <w:r w:rsidR="00F1556D" w:rsidRPr="008A0130">
        <w:rPr>
          <w:rFonts w:ascii="Book Antiqua" w:hAnsi="Book Antiqua" w:cs="Times New Roman"/>
          <w:vertAlign w:val="superscript"/>
        </w:rPr>
        <w:t>149</w:t>
      </w:r>
      <w:r w:rsidRPr="008A0130">
        <w:rPr>
          <w:rFonts w:ascii="Book Antiqua" w:hAnsi="Book Antiqua" w:cs="Times New Roman"/>
          <w:vertAlign w:val="superscript"/>
        </w:rPr>
        <w:t>]</w:t>
      </w:r>
      <w:r w:rsidRPr="008A0130">
        <w:rPr>
          <w:rFonts w:ascii="Book Antiqua" w:hAnsi="Book Antiqua" w:cs="Times New Roman"/>
        </w:rPr>
        <w:t xml:space="preserve">. This study revealed that the Wnt pathway was potentially activated by aberrant methylation of its negative regulators, such as </w:t>
      </w:r>
      <w:r w:rsidRPr="008A0130">
        <w:rPr>
          <w:rFonts w:ascii="Book Antiqua" w:hAnsi="Book Antiqua" w:cs="Times New Roman"/>
          <w:i/>
        </w:rPr>
        <w:t>Dkk-3</w:t>
      </w:r>
      <w:r w:rsidRPr="008A0130">
        <w:rPr>
          <w:rFonts w:ascii="Book Antiqua" w:hAnsi="Book Antiqua" w:cs="Times New Roman"/>
        </w:rPr>
        <w:t xml:space="preserve">, </w:t>
      </w:r>
      <w:r w:rsidRPr="008A0130">
        <w:rPr>
          <w:rFonts w:ascii="Book Antiqua" w:hAnsi="Book Antiqua" w:cs="Times New Roman"/>
          <w:i/>
        </w:rPr>
        <w:t>NKD1</w:t>
      </w:r>
      <w:r w:rsidRPr="008A0130">
        <w:rPr>
          <w:rFonts w:ascii="Book Antiqua" w:hAnsi="Book Antiqua" w:cs="Times New Roman"/>
        </w:rPr>
        <w:t xml:space="preserve">, </w:t>
      </w:r>
      <w:r w:rsidRPr="008A0130">
        <w:rPr>
          <w:rFonts w:ascii="Book Antiqua" w:hAnsi="Book Antiqua" w:cs="Times New Roman"/>
          <w:i/>
        </w:rPr>
        <w:t>Sox17</w:t>
      </w:r>
      <w:r w:rsidRPr="008A0130">
        <w:rPr>
          <w:rFonts w:ascii="Book Antiqua" w:hAnsi="Book Antiqua" w:cs="Times New Roman"/>
        </w:rPr>
        <w:t xml:space="preserve">, </w:t>
      </w:r>
      <w:r w:rsidRPr="008A0130">
        <w:rPr>
          <w:rFonts w:ascii="Book Antiqua" w:hAnsi="Book Antiqua" w:cs="Times New Roman"/>
          <w:i/>
        </w:rPr>
        <w:t>WIF-1</w:t>
      </w:r>
      <w:r w:rsidRPr="008A0130">
        <w:rPr>
          <w:rFonts w:ascii="Book Antiqua" w:hAnsi="Book Antiqua" w:cs="Times New Roman"/>
        </w:rPr>
        <w:t xml:space="preserve"> and </w:t>
      </w:r>
      <w:r w:rsidRPr="008A0130">
        <w:rPr>
          <w:rFonts w:ascii="Book Antiqua" w:hAnsi="Book Antiqua" w:cs="Times New Roman"/>
          <w:i/>
        </w:rPr>
        <w:t>sFRP1</w:t>
      </w:r>
      <w:r w:rsidRPr="008A0130">
        <w:rPr>
          <w:rFonts w:ascii="Book Antiqua" w:hAnsi="Book Antiqua" w:cs="Times New Roman"/>
        </w:rPr>
        <w:t xml:space="preserve">. Moreover, DNA methylation and extensive mutation analyses in gastric cancers revealed an association between the CpG island methylator phenotype and oncogenic mutations in </w:t>
      </w:r>
      <w:r w:rsidRPr="008A0130">
        <w:rPr>
          <w:rFonts w:ascii="Book Antiqua" w:hAnsi="Book Antiqua" w:cs="Times New Roman"/>
          <w:i/>
        </w:rPr>
        <w:t>CTNNB1</w:t>
      </w:r>
      <w:r w:rsidRPr="008A0130">
        <w:rPr>
          <w:rFonts w:ascii="Book Antiqua" w:hAnsi="Book Antiqua" w:cs="Times New Roman"/>
        </w:rPr>
        <w:t xml:space="preserve">, </w:t>
      </w:r>
      <w:r w:rsidRPr="008A0130">
        <w:rPr>
          <w:rFonts w:ascii="Book Antiqua" w:hAnsi="Book Antiqua" w:cs="Times New Roman"/>
          <w:i/>
        </w:rPr>
        <w:t>ERBB2</w:t>
      </w:r>
      <w:r w:rsidRPr="008A0130">
        <w:rPr>
          <w:rFonts w:ascii="Book Antiqua" w:hAnsi="Book Antiqua" w:cs="Times New Roman"/>
        </w:rPr>
        <w:t xml:space="preserve">, </w:t>
      </w:r>
      <w:r w:rsidRPr="008A0130">
        <w:rPr>
          <w:rFonts w:ascii="Book Antiqua" w:hAnsi="Book Antiqua" w:cs="Times New Roman"/>
          <w:i/>
        </w:rPr>
        <w:t xml:space="preserve">KRAS </w:t>
      </w:r>
      <w:r w:rsidRPr="008A0130">
        <w:rPr>
          <w:rFonts w:ascii="Book Antiqua" w:hAnsi="Book Antiqua" w:cs="Times New Roman"/>
        </w:rPr>
        <w:t xml:space="preserve">and </w:t>
      </w:r>
      <w:proofErr w:type="gramStart"/>
      <w:r w:rsidRPr="008A0130">
        <w:rPr>
          <w:rFonts w:ascii="Book Antiqua" w:hAnsi="Book Antiqua" w:cs="Times New Roman"/>
          <w:i/>
        </w:rPr>
        <w:t>PIK3CA</w:t>
      </w:r>
      <w:r w:rsidR="00F1556D" w:rsidRPr="008A0130">
        <w:rPr>
          <w:rFonts w:ascii="Book Antiqua" w:hAnsi="Book Antiqua" w:cs="Times New Roman"/>
          <w:vertAlign w:val="superscript"/>
        </w:rPr>
        <w:t>[</w:t>
      </w:r>
      <w:proofErr w:type="gramEnd"/>
      <w:r w:rsidR="00F1556D" w:rsidRPr="008A0130">
        <w:rPr>
          <w:rFonts w:ascii="Book Antiqua" w:hAnsi="Book Antiqua" w:cs="Times New Roman"/>
          <w:vertAlign w:val="superscript"/>
        </w:rPr>
        <w:t>150</w:t>
      </w:r>
      <w:r w:rsidRPr="008A0130">
        <w:rPr>
          <w:rFonts w:ascii="Book Antiqua" w:hAnsi="Book Antiqua" w:cs="Times New Roman"/>
          <w:vertAlign w:val="superscript"/>
        </w:rPr>
        <w:t>]</w:t>
      </w:r>
      <w:r w:rsidRPr="008A0130">
        <w:rPr>
          <w:rFonts w:ascii="Book Antiqua" w:hAnsi="Book Antiqua" w:cs="Times New Roman"/>
          <w:i/>
        </w:rPr>
        <w:t>.</w:t>
      </w:r>
    </w:p>
    <w:p w14:paraId="5DDEC307" w14:textId="288270A9" w:rsidR="00B70031" w:rsidRPr="008A0130" w:rsidRDefault="00B70031"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Downregulation of </w:t>
      </w:r>
      <w:r w:rsidRPr="008A0130">
        <w:rPr>
          <w:rFonts w:ascii="Book Antiqua" w:hAnsi="Book Antiqua" w:cs="Times New Roman"/>
          <w:i/>
        </w:rPr>
        <w:t>Sox10</w:t>
      </w:r>
      <w:r w:rsidRPr="008A0130">
        <w:rPr>
          <w:rFonts w:ascii="Book Antiqua" w:hAnsi="Book Antiqua" w:cs="Times New Roman"/>
        </w:rPr>
        <w:t xml:space="preserve"> by promoter methylation has also been detected in gastric cancer </w:t>
      </w:r>
      <w:proofErr w:type="gramStart"/>
      <w:r w:rsidRPr="008A0130">
        <w:rPr>
          <w:rFonts w:ascii="Book Antiqua" w:hAnsi="Book Antiqua" w:cs="Times New Roman"/>
        </w:rPr>
        <w:t>tissues</w:t>
      </w:r>
      <w:r w:rsidR="00F1556D" w:rsidRPr="008A0130">
        <w:rPr>
          <w:rFonts w:ascii="Book Antiqua" w:eastAsia="Times New Roman" w:hAnsi="Book Antiqua" w:cs="Times New Roman"/>
          <w:vertAlign w:val="superscript"/>
        </w:rPr>
        <w:t>[</w:t>
      </w:r>
      <w:proofErr w:type="gramEnd"/>
      <w:r w:rsidR="00F1556D" w:rsidRPr="008A0130">
        <w:rPr>
          <w:rFonts w:ascii="Book Antiqua" w:eastAsia="Times New Roman" w:hAnsi="Book Antiqua" w:cs="Times New Roman"/>
          <w:vertAlign w:val="superscript"/>
        </w:rPr>
        <w:t>112</w:t>
      </w:r>
      <w:r w:rsidR="007C0E1D" w:rsidRPr="008A0130">
        <w:rPr>
          <w:rFonts w:ascii="Book Antiqua" w:eastAsia="Times New Roman" w:hAnsi="Book Antiqua" w:cs="Times New Roman"/>
          <w:vertAlign w:val="superscript"/>
        </w:rPr>
        <w:t>]</w:t>
      </w:r>
      <w:r w:rsidRPr="008A0130">
        <w:rPr>
          <w:rFonts w:ascii="Book Antiqua" w:hAnsi="Book Antiqua" w:cs="Times New Roman"/>
        </w:rPr>
        <w:t xml:space="preserve">. Sox (SRY-related-HMG-box) familiy members are transcription factors that regulate canonical Wnt signaling through different mechanisms, including protein-protein interactions and </w:t>
      </w:r>
      <w:r w:rsidR="00D93B75" w:rsidRPr="008A0130">
        <w:rPr>
          <w:rFonts w:ascii="Book Antiqua" w:hAnsi="Book Antiqua" w:cs="Times New Roman"/>
        </w:rPr>
        <w:t xml:space="preserve">binding </w:t>
      </w:r>
      <w:r w:rsidRPr="008A0130">
        <w:rPr>
          <w:rFonts w:ascii="Book Antiqua" w:hAnsi="Book Antiqua" w:cs="Times New Roman"/>
        </w:rPr>
        <w:t xml:space="preserve">to Wnt-target gene </w:t>
      </w:r>
      <w:proofErr w:type="gramStart"/>
      <w:r w:rsidRPr="008A0130">
        <w:rPr>
          <w:rFonts w:ascii="Book Antiqua" w:hAnsi="Book Antiqua" w:cs="Times New Roman"/>
        </w:rPr>
        <w:t>promoters</w:t>
      </w:r>
      <w:r w:rsidR="000D70D2" w:rsidRPr="008A0130">
        <w:rPr>
          <w:rFonts w:ascii="Book Antiqua" w:eastAsia="Times New Roman" w:hAnsi="Book Antiqua" w:cs="Times New Roman"/>
          <w:vertAlign w:val="superscript"/>
        </w:rPr>
        <w:t>[</w:t>
      </w:r>
      <w:proofErr w:type="gramEnd"/>
      <w:r w:rsidR="000D70D2" w:rsidRPr="008A0130">
        <w:rPr>
          <w:rFonts w:ascii="Book Antiqua" w:eastAsia="Times New Roman" w:hAnsi="Book Antiqua" w:cs="Times New Roman"/>
          <w:vertAlign w:val="superscript"/>
        </w:rPr>
        <w:t>151</w:t>
      </w:r>
      <w:r w:rsidR="007C0E1D" w:rsidRPr="008A0130">
        <w:rPr>
          <w:rFonts w:ascii="Book Antiqua" w:eastAsia="Times New Roman" w:hAnsi="Book Antiqua" w:cs="Times New Roman"/>
          <w:vertAlign w:val="superscript"/>
        </w:rPr>
        <w:t>]</w:t>
      </w:r>
      <w:r w:rsidRPr="008A0130">
        <w:rPr>
          <w:rFonts w:ascii="Book Antiqua" w:hAnsi="Book Antiqua" w:cs="Times New Roman"/>
        </w:rPr>
        <w:t xml:space="preserve">. Sox10 </w:t>
      </w:r>
      <w:r w:rsidR="003C2B4C" w:rsidRPr="008A0130">
        <w:rPr>
          <w:rFonts w:ascii="Book Antiqua" w:hAnsi="Book Antiqua" w:cs="Times New Roman"/>
        </w:rPr>
        <w:t>is</w:t>
      </w:r>
      <w:r w:rsidRPr="008A0130">
        <w:rPr>
          <w:rFonts w:ascii="Book Antiqua" w:hAnsi="Book Antiqua" w:cs="Times New Roman"/>
        </w:rPr>
        <w:t xml:space="preserve"> an important DNA binding transcription factor that recruits </w:t>
      </w:r>
      <w:r w:rsidR="00F926B4" w:rsidRPr="008A0130">
        <w:rPr>
          <w:rFonts w:ascii="Book Antiqua" w:hAnsi="Book Antiqua" w:cs="Times New Roman"/>
        </w:rPr>
        <w:t>β</w:t>
      </w:r>
      <w:r w:rsidRPr="008A0130">
        <w:rPr>
          <w:rFonts w:ascii="Book Antiqua" w:hAnsi="Book Antiqua" w:cs="Times New Roman"/>
        </w:rPr>
        <w:t>-catenin to repress Wnt/</w:t>
      </w:r>
      <w:r w:rsidR="00F926B4" w:rsidRPr="008A0130">
        <w:rPr>
          <w:rFonts w:ascii="Book Antiqua" w:hAnsi="Book Antiqua" w:cs="Times New Roman"/>
        </w:rPr>
        <w:t>β</w:t>
      </w:r>
      <w:r w:rsidRPr="008A0130">
        <w:rPr>
          <w:rFonts w:ascii="Book Antiqua" w:hAnsi="Book Antiqua" w:cs="Times New Roman"/>
        </w:rPr>
        <w:t xml:space="preserve">-catenin signaling in cancer </w:t>
      </w:r>
      <w:proofErr w:type="gramStart"/>
      <w:r w:rsidRPr="008A0130">
        <w:rPr>
          <w:rFonts w:ascii="Book Antiqua" w:hAnsi="Book Antiqua" w:cs="Times New Roman"/>
        </w:rPr>
        <w:t>progression</w:t>
      </w:r>
      <w:r w:rsidR="000D70D2" w:rsidRPr="008A0130">
        <w:rPr>
          <w:rFonts w:ascii="Book Antiqua" w:eastAsia="Times New Roman" w:hAnsi="Book Antiqua" w:cs="Times New Roman"/>
          <w:vertAlign w:val="superscript"/>
        </w:rPr>
        <w:t>[</w:t>
      </w:r>
      <w:proofErr w:type="gramEnd"/>
      <w:r w:rsidR="000D70D2" w:rsidRPr="008A0130">
        <w:rPr>
          <w:rFonts w:ascii="Book Antiqua" w:eastAsia="Times New Roman" w:hAnsi="Book Antiqua" w:cs="Times New Roman"/>
          <w:vertAlign w:val="superscript"/>
        </w:rPr>
        <w:t>112</w:t>
      </w:r>
      <w:r w:rsidR="007C0E1D" w:rsidRPr="008A0130">
        <w:rPr>
          <w:rFonts w:ascii="Book Antiqua" w:eastAsia="Times New Roman" w:hAnsi="Book Antiqua" w:cs="Times New Roman"/>
          <w:vertAlign w:val="superscript"/>
        </w:rPr>
        <w:t>]</w:t>
      </w:r>
      <w:r w:rsidRPr="008A0130">
        <w:rPr>
          <w:rFonts w:ascii="Book Antiqua" w:hAnsi="Book Antiqua" w:cs="Times New Roman"/>
        </w:rPr>
        <w:t>.</w:t>
      </w:r>
    </w:p>
    <w:p w14:paraId="45ECC5D9" w14:textId="2BC9EB54" w:rsidR="00B70031" w:rsidRPr="008A0130" w:rsidRDefault="00B70031"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i/>
        </w:rPr>
        <w:lastRenderedPageBreak/>
        <w:t>PRDM5</w:t>
      </w:r>
      <w:r w:rsidRPr="008A0130">
        <w:rPr>
          <w:rFonts w:ascii="Book Antiqua" w:hAnsi="Book Antiqua" w:cs="Times New Roman"/>
        </w:rPr>
        <w:t xml:space="preserve">, an epigenetic modifier gene, was found inactivated by promoter methylation in 76% of gastric </w:t>
      </w:r>
      <w:proofErr w:type="gramStart"/>
      <w:r w:rsidRPr="008A0130">
        <w:rPr>
          <w:rFonts w:ascii="Book Antiqua" w:hAnsi="Book Antiqua" w:cs="Times New Roman"/>
        </w:rPr>
        <w:t>cancer</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w:t>
      </w:r>
      <w:r w:rsidR="000D70D2" w:rsidRPr="008A0130">
        <w:rPr>
          <w:rFonts w:ascii="Book Antiqua" w:hAnsi="Book Antiqua" w:cs="Times New Roman"/>
          <w:vertAlign w:val="superscript"/>
        </w:rPr>
        <w:t>52,153</w:t>
      </w:r>
      <w:r w:rsidRPr="008A0130">
        <w:rPr>
          <w:rFonts w:ascii="Book Antiqua" w:hAnsi="Book Antiqua" w:cs="Times New Roman"/>
          <w:vertAlign w:val="superscript"/>
        </w:rPr>
        <w:t>]</w:t>
      </w:r>
      <w:r w:rsidRPr="008A0130">
        <w:rPr>
          <w:rFonts w:ascii="Book Antiqua" w:hAnsi="Book Antiqua" w:cs="Times New Roman"/>
        </w:rPr>
        <w:t xml:space="preserve">. While knockdown of </w:t>
      </w:r>
      <w:r w:rsidRPr="008A0130">
        <w:rPr>
          <w:rFonts w:ascii="Book Antiqua" w:hAnsi="Book Antiqua" w:cs="Times New Roman"/>
          <w:i/>
        </w:rPr>
        <w:t>PRDM5</w:t>
      </w:r>
      <w:r w:rsidRPr="008A0130">
        <w:rPr>
          <w:rFonts w:ascii="Book Antiqua" w:hAnsi="Book Antiqua" w:cs="Times New Roman"/>
        </w:rPr>
        <w:t xml:space="preserve"> expression induced cell proliferation, ectopic </w:t>
      </w:r>
      <w:r w:rsidRPr="008A0130">
        <w:rPr>
          <w:rFonts w:ascii="Book Antiqua" w:hAnsi="Book Antiqua" w:cs="Times New Roman"/>
          <w:i/>
        </w:rPr>
        <w:t xml:space="preserve">PRDM5 </w:t>
      </w:r>
      <w:r w:rsidRPr="008A0130">
        <w:rPr>
          <w:rFonts w:ascii="Book Antiqua" w:hAnsi="Book Antiqua" w:cs="Times New Roman"/>
        </w:rPr>
        <w:t xml:space="preserve">expression significantly inhibited tumor cell clonogenicity, accompanied by the downregulation of TCF/ß-catenin-dependent transcription of </w:t>
      </w:r>
      <w:r w:rsidRPr="008A0130">
        <w:rPr>
          <w:rFonts w:ascii="Book Antiqua" w:hAnsi="Book Antiqua" w:cs="Times New Roman"/>
          <w:i/>
        </w:rPr>
        <w:t>CDK4</w:t>
      </w:r>
      <w:r w:rsidRPr="008A0130">
        <w:rPr>
          <w:rFonts w:ascii="Book Antiqua" w:hAnsi="Book Antiqua" w:cs="Times New Roman"/>
        </w:rPr>
        <w:t xml:space="preserve">, </w:t>
      </w:r>
      <w:r w:rsidRPr="008A0130">
        <w:rPr>
          <w:rFonts w:ascii="Book Antiqua" w:hAnsi="Book Antiqua" w:cs="Times New Roman"/>
          <w:i/>
        </w:rPr>
        <w:t>TWIST1</w:t>
      </w:r>
      <w:r w:rsidRPr="008A0130">
        <w:rPr>
          <w:rFonts w:ascii="Book Antiqua" w:hAnsi="Book Antiqua" w:cs="Times New Roman"/>
        </w:rPr>
        <w:t xml:space="preserve"> and </w:t>
      </w:r>
      <w:r w:rsidRPr="008A0130">
        <w:rPr>
          <w:rFonts w:ascii="Book Antiqua" w:hAnsi="Book Antiqua" w:cs="Times New Roman"/>
          <w:i/>
        </w:rPr>
        <w:t>MDM2</w:t>
      </w:r>
      <w:r w:rsidRPr="008A0130">
        <w:rPr>
          <w:rFonts w:ascii="Book Antiqua" w:hAnsi="Book Antiqua" w:cs="Times New Roman"/>
        </w:rPr>
        <w:t xml:space="preserve"> </w:t>
      </w:r>
      <w:proofErr w:type="gramStart"/>
      <w:r w:rsidRPr="008A0130">
        <w:rPr>
          <w:rFonts w:ascii="Book Antiqua" w:hAnsi="Book Antiqua" w:cs="Times New Roman"/>
        </w:rPr>
        <w:t>oncogenes</w:t>
      </w:r>
      <w:r w:rsidR="000D70D2" w:rsidRPr="008A0130">
        <w:rPr>
          <w:rFonts w:ascii="Book Antiqua" w:hAnsi="Book Antiqua" w:cs="Times New Roman"/>
          <w:vertAlign w:val="superscript"/>
        </w:rPr>
        <w:t>[</w:t>
      </w:r>
      <w:proofErr w:type="gramEnd"/>
      <w:r w:rsidR="000D70D2" w:rsidRPr="008A0130">
        <w:rPr>
          <w:rFonts w:ascii="Book Antiqua" w:hAnsi="Book Antiqua" w:cs="Times New Roman"/>
          <w:vertAlign w:val="superscript"/>
        </w:rPr>
        <w:t>153</w:t>
      </w:r>
      <w:r w:rsidRPr="008A0130">
        <w:rPr>
          <w:rFonts w:ascii="Book Antiqua" w:hAnsi="Book Antiqua" w:cs="Times New Roman"/>
          <w:vertAlign w:val="superscript"/>
        </w:rPr>
        <w:t>]</w:t>
      </w:r>
      <w:r w:rsidRPr="008A0130">
        <w:rPr>
          <w:rFonts w:ascii="Book Antiqua" w:hAnsi="Book Antiqua" w:cs="Times New Roman"/>
        </w:rPr>
        <w:t>.</w:t>
      </w:r>
    </w:p>
    <w:p w14:paraId="276EFBA9" w14:textId="02D8698C" w:rsidR="00B70031" w:rsidRPr="008A0130" w:rsidRDefault="00B70031"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Moreover, silencing of </w:t>
      </w:r>
      <w:r w:rsidRPr="008A0130">
        <w:rPr>
          <w:rFonts w:ascii="Book Antiqua" w:hAnsi="Book Antiqua" w:cs="Times New Roman"/>
          <w:i/>
        </w:rPr>
        <w:t>RASSF10</w:t>
      </w:r>
      <w:r w:rsidRPr="008A0130">
        <w:rPr>
          <w:rFonts w:ascii="Book Antiqua" w:hAnsi="Book Antiqua" w:cs="Times New Roman"/>
        </w:rPr>
        <w:t xml:space="preserve">, a member of the Ras association domain family proteins that are considered as tumor suppressor genes, was recently found associated with promoter hypermethylation in gastric cancer cell </w:t>
      </w:r>
      <w:proofErr w:type="gramStart"/>
      <w:r w:rsidRPr="008A0130">
        <w:rPr>
          <w:rFonts w:ascii="Book Antiqua" w:hAnsi="Book Antiqua" w:cs="Times New Roman"/>
        </w:rPr>
        <w:t>lines</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15</w:t>
      </w:r>
      <w:r w:rsidR="000D70D2" w:rsidRPr="008A0130">
        <w:rPr>
          <w:rFonts w:ascii="Book Antiqua" w:hAnsi="Book Antiqua" w:cs="Times New Roman"/>
          <w:vertAlign w:val="superscript"/>
        </w:rPr>
        <w:t>4</w:t>
      </w:r>
      <w:r w:rsidRPr="008A0130">
        <w:rPr>
          <w:rFonts w:ascii="Book Antiqua" w:hAnsi="Book Antiqua" w:cs="Times New Roman"/>
          <w:vertAlign w:val="superscript"/>
        </w:rPr>
        <w:t>]</w:t>
      </w:r>
      <w:r w:rsidRPr="008A0130">
        <w:rPr>
          <w:rFonts w:ascii="Book Antiqua" w:hAnsi="Book Antiqua" w:cs="Times New Roman"/>
        </w:rPr>
        <w:t xml:space="preserve">. This study also demonstrated that </w:t>
      </w:r>
      <w:r w:rsidRPr="008A0130">
        <w:rPr>
          <w:rFonts w:ascii="Book Antiqua" w:hAnsi="Book Antiqua" w:cs="Times New Roman"/>
          <w:i/>
        </w:rPr>
        <w:t>RASSF10</w:t>
      </w:r>
      <w:r w:rsidRPr="008A0130">
        <w:rPr>
          <w:rFonts w:ascii="Book Antiqua" w:hAnsi="Book Antiqua" w:cs="Times New Roman"/>
        </w:rPr>
        <w:t xml:space="preserve"> over-expression inhibited the Wnt/ß-catenin signaling pathway in gastric cancer cells.</w:t>
      </w:r>
    </w:p>
    <w:p w14:paraId="1A274B91" w14:textId="78C3EC5E" w:rsidR="00B70031" w:rsidRPr="008A0130" w:rsidRDefault="00B70031"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Odd-skipped related 1 (</w:t>
      </w:r>
      <w:r w:rsidRPr="008A0130">
        <w:rPr>
          <w:rFonts w:ascii="Book Antiqua" w:hAnsi="Book Antiqua" w:cs="Times New Roman"/>
          <w:i/>
        </w:rPr>
        <w:t>OSR1</w:t>
      </w:r>
      <w:r w:rsidRPr="008A0130">
        <w:rPr>
          <w:rFonts w:ascii="Book Antiqua" w:hAnsi="Book Antiqua" w:cs="Times New Roman"/>
        </w:rPr>
        <w:t xml:space="preserve">), a gene encoding a zinc-finger transcription factor, was found preferentially methylated in gastric cancer by genome-wide methylation </w:t>
      </w:r>
      <w:proofErr w:type="gramStart"/>
      <w:r w:rsidRPr="008A0130">
        <w:rPr>
          <w:rFonts w:ascii="Book Antiqua" w:hAnsi="Book Antiqua" w:cs="Times New Roman"/>
        </w:rPr>
        <w:t>screening</w:t>
      </w:r>
      <w:r w:rsidR="000D70D2" w:rsidRPr="008A0130">
        <w:rPr>
          <w:rFonts w:ascii="Book Antiqua" w:hAnsi="Book Antiqua" w:cs="Times New Roman"/>
          <w:vertAlign w:val="superscript"/>
        </w:rPr>
        <w:t>[</w:t>
      </w:r>
      <w:proofErr w:type="gramEnd"/>
      <w:r w:rsidR="000D70D2" w:rsidRPr="008A0130">
        <w:rPr>
          <w:rFonts w:ascii="Book Antiqua" w:hAnsi="Book Antiqua" w:cs="Times New Roman"/>
          <w:vertAlign w:val="superscript"/>
        </w:rPr>
        <w:t>111</w:t>
      </w:r>
      <w:r w:rsidRPr="008A0130">
        <w:rPr>
          <w:rFonts w:ascii="Book Antiqua" w:hAnsi="Book Antiqua" w:cs="Times New Roman"/>
          <w:vertAlign w:val="superscript"/>
        </w:rPr>
        <w:t>]</w:t>
      </w:r>
      <w:r w:rsidRPr="008A0130">
        <w:rPr>
          <w:rFonts w:ascii="Book Antiqua" w:hAnsi="Book Antiqua" w:cs="Times New Roman"/>
        </w:rPr>
        <w:t>. The tumor suppressive activity of</w:t>
      </w:r>
      <w:r w:rsidRPr="008A0130">
        <w:rPr>
          <w:rFonts w:ascii="Book Antiqua" w:hAnsi="Book Antiqua" w:cs="Times New Roman"/>
          <w:i/>
        </w:rPr>
        <w:t xml:space="preserve"> OSR1</w:t>
      </w:r>
      <w:r w:rsidRPr="008A0130">
        <w:rPr>
          <w:rFonts w:ascii="Book Antiqua" w:hAnsi="Book Antiqua" w:cs="Times New Roman"/>
        </w:rPr>
        <w:t xml:space="preserve"> in gastric cancer is in part due to inhibition on the expression of </w:t>
      </w:r>
      <w:r w:rsidRPr="008A0130">
        <w:rPr>
          <w:rFonts w:ascii="Book Antiqua" w:hAnsi="Book Antiqua" w:cs="Times New Roman"/>
          <w:i/>
        </w:rPr>
        <w:t>LRP6</w:t>
      </w:r>
      <w:r w:rsidRPr="008A0130">
        <w:rPr>
          <w:rFonts w:ascii="Book Antiqua" w:hAnsi="Book Antiqua" w:cs="Times New Roman"/>
        </w:rPr>
        <w:t xml:space="preserve">, </w:t>
      </w:r>
      <w:r w:rsidRPr="008A0130">
        <w:rPr>
          <w:rFonts w:ascii="Book Antiqua" w:hAnsi="Book Antiqua" w:cs="Times New Roman"/>
          <w:i/>
          <w:iCs/>
        </w:rPr>
        <w:t>CTNNB1</w:t>
      </w:r>
      <w:r w:rsidRPr="008A0130">
        <w:rPr>
          <w:rFonts w:ascii="Book Antiqua" w:hAnsi="Book Antiqua" w:cs="Times New Roman"/>
        </w:rPr>
        <w:t xml:space="preserve">, </w:t>
      </w:r>
      <w:r w:rsidRPr="008A0130">
        <w:rPr>
          <w:rFonts w:ascii="Book Antiqua" w:hAnsi="Book Antiqua" w:cs="Times New Roman"/>
          <w:i/>
        </w:rPr>
        <w:t>TCF-1</w:t>
      </w:r>
      <w:r w:rsidRPr="008A0130">
        <w:rPr>
          <w:rFonts w:ascii="Book Antiqua" w:hAnsi="Book Antiqua" w:cs="Times New Roman"/>
        </w:rPr>
        <w:t xml:space="preserve">, </w:t>
      </w:r>
      <w:r w:rsidRPr="008A0130">
        <w:rPr>
          <w:rFonts w:ascii="Book Antiqua" w:hAnsi="Book Antiqua" w:cs="Times New Roman"/>
          <w:i/>
        </w:rPr>
        <w:t>LEF1</w:t>
      </w:r>
      <w:r w:rsidRPr="008A0130">
        <w:rPr>
          <w:rFonts w:ascii="Book Antiqua" w:hAnsi="Book Antiqua" w:cs="Times New Roman"/>
        </w:rPr>
        <w:t xml:space="preserve">, and </w:t>
      </w:r>
      <w:r w:rsidR="00A426B3" w:rsidRPr="008A0130">
        <w:rPr>
          <w:rFonts w:ascii="Book Antiqua" w:hAnsi="Book Antiqua" w:cs="Times New Roman"/>
          <w:i/>
        </w:rPr>
        <w:t>Axin</w:t>
      </w:r>
      <w:r w:rsidRPr="008A0130">
        <w:rPr>
          <w:rFonts w:ascii="Book Antiqua" w:hAnsi="Book Antiqua" w:cs="Times New Roman"/>
          <w:i/>
        </w:rPr>
        <w:t>2</w:t>
      </w:r>
      <w:r w:rsidRPr="008A0130">
        <w:rPr>
          <w:rFonts w:ascii="Book Antiqua" w:hAnsi="Book Antiqua" w:cs="Times New Roman"/>
        </w:rPr>
        <w:t xml:space="preserve"> in the Wnt/</w:t>
      </w:r>
      <w:r w:rsidR="00F926B4" w:rsidRPr="008A0130">
        <w:rPr>
          <w:rFonts w:ascii="Book Antiqua" w:hAnsi="Book Antiqua" w:cs="Times New Roman"/>
        </w:rPr>
        <w:t>β</w:t>
      </w:r>
      <w:r w:rsidRPr="008A0130">
        <w:rPr>
          <w:rFonts w:ascii="Book Antiqua" w:hAnsi="Book Antiqua" w:cs="Times New Roman"/>
        </w:rPr>
        <w:t xml:space="preserve">-catenin signaling pathway. In this work, </w:t>
      </w:r>
      <w:r w:rsidRPr="008A0130">
        <w:rPr>
          <w:rFonts w:ascii="Book Antiqua" w:hAnsi="Book Antiqua" w:cs="Times New Roman"/>
          <w:i/>
        </w:rPr>
        <w:t xml:space="preserve">OSR1 </w:t>
      </w:r>
      <w:r w:rsidRPr="008A0130">
        <w:rPr>
          <w:rFonts w:ascii="Book Antiqua" w:hAnsi="Book Antiqua" w:cs="Times New Roman"/>
        </w:rPr>
        <w:t xml:space="preserve">methylation was also considered as an independent predictor of poor survival of patients at early stage of gastric </w:t>
      </w:r>
      <w:proofErr w:type="gramStart"/>
      <w:r w:rsidRPr="008A0130">
        <w:rPr>
          <w:rFonts w:ascii="Book Antiqua" w:hAnsi="Book Antiqua" w:cs="Times New Roman"/>
        </w:rPr>
        <w:t>cancer</w:t>
      </w:r>
      <w:r w:rsidRPr="008A0130">
        <w:rPr>
          <w:rFonts w:ascii="Book Antiqua" w:hAnsi="Book Antiqua" w:cs="Times New Roman"/>
          <w:vertAlign w:val="superscript"/>
        </w:rPr>
        <w:t>[</w:t>
      </w:r>
      <w:proofErr w:type="gramEnd"/>
      <w:r w:rsidR="000D70D2" w:rsidRPr="008A0130">
        <w:rPr>
          <w:rFonts w:ascii="Book Antiqua" w:hAnsi="Book Antiqua" w:cs="Times New Roman"/>
          <w:vertAlign w:val="superscript"/>
        </w:rPr>
        <w:t>111</w:t>
      </w:r>
      <w:r w:rsidRPr="008A0130">
        <w:rPr>
          <w:rFonts w:ascii="Book Antiqua" w:hAnsi="Book Antiqua" w:cs="Times New Roman"/>
          <w:vertAlign w:val="superscript"/>
        </w:rPr>
        <w:t>]</w:t>
      </w:r>
      <w:r w:rsidRPr="008A0130">
        <w:rPr>
          <w:rFonts w:ascii="Book Antiqua" w:hAnsi="Book Antiqua" w:cs="Times New Roman"/>
        </w:rPr>
        <w:t>.</w:t>
      </w:r>
    </w:p>
    <w:p w14:paraId="679BA5C5" w14:textId="77777777" w:rsidR="0048631F" w:rsidRPr="008A0130" w:rsidRDefault="0048631F" w:rsidP="008A0130">
      <w:pPr>
        <w:widowControl w:val="0"/>
        <w:autoSpaceDE w:val="0"/>
        <w:autoSpaceDN w:val="0"/>
        <w:adjustRightInd w:val="0"/>
        <w:spacing w:line="360" w:lineRule="auto"/>
        <w:jc w:val="both"/>
        <w:rPr>
          <w:rFonts w:ascii="Book Antiqua" w:eastAsia="宋体" w:hAnsi="Book Antiqua" w:cs="Times New Roman"/>
          <w:b/>
          <w:i/>
          <w:lang w:eastAsia="zh-CN"/>
        </w:rPr>
      </w:pPr>
    </w:p>
    <w:p w14:paraId="36B8BC9E" w14:textId="77777777" w:rsidR="00AE1C72" w:rsidRPr="008A0130" w:rsidRDefault="00AE1C72" w:rsidP="008A0130">
      <w:pPr>
        <w:widowControl w:val="0"/>
        <w:autoSpaceDE w:val="0"/>
        <w:autoSpaceDN w:val="0"/>
        <w:adjustRightInd w:val="0"/>
        <w:spacing w:line="360" w:lineRule="auto"/>
        <w:jc w:val="both"/>
        <w:rPr>
          <w:rFonts w:ascii="Book Antiqua" w:hAnsi="Book Antiqua" w:cs="Times New Roman"/>
          <w:b/>
          <w:i/>
        </w:rPr>
      </w:pPr>
      <w:r w:rsidRPr="008A0130">
        <w:rPr>
          <w:rFonts w:ascii="Book Antiqua" w:hAnsi="Book Antiqua" w:cs="Times New Roman"/>
          <w:b/>
          <w:i/>
        </w:rPr>
        <w:t>Role of microRNAs in Wnt/ß-catenin signaling in the gastric cancer</w:t>
      </w:r>
    </w:p>
    <w:p w14:paraId="6828CC7E" w14:textId="19857A49" w:rsidR="00AE1C72" w:rsidRPr="008A0130" w:rsidRDefault="006A79E1" w:rsidP="008A0130">
      <w:pPr>
        <w:widowControl w:val="0"/>
        <w:autoSpaceDE w:val="0"/>
        <w:autoSpaceDN w:val="0"/>
        <w:adjustRightInd w:val="0"/>
        <w:spacing w:line="360" w:lineRule="auto"/>
        <w:jc w:val="both"/>
        <w:rPr>
          <w:rFonts w:ascii="Book Antiqua" w:hAnsi="Book Antiqua" w:cs="Times"/>
        </w:rPr>
      </w:pPr>
      <w:r w:rsidRPr="008A0130">
        <w:rPr>
          <w:rFonts w:ascii="Book Antiqua" w:hAnsi="Book Antiqua" w:cs="Times"/>
        </w:rPr>
        <w:t>MiRNAs</w:t>
      </w:r>
      <w:r w:rsidR="00AE1C72" w:rsidRPr="008A0130">
        <w:rPr>
          <w:rFonts w:ascii="Book Antiqua" w:hAnsi="Book Antiqua" w:cs="Times"/>
        </w:rPr>
        <w:t xml:space="preserve"> are short noncoding</w:t>
      </w:r>
      <w:r w:rsidR="0090689D" w:rsidRPr="008A0130">
        <w:rPr>
          <w:rFonts w:ascii="Book Antiqua" w:hAnsi="Book Antiqua" w:cs="Times"/>
        </w:rPr>
        <w:t xml:space="preserve"> RNA molecules of 19</w:t>
      </w:r>
      <w:r w:rsidR="008A0130">
        <w:rPr>
          <w:rFonts w:ascii="Book Antiqua" w:eastAsia="宋体" w:hAnsi="Book Antiqua" w:cs="Times" w:hint="eastAsia"/>
          <w:lang w:eastAsia="zh-CN"/>
        </w:rPr>
        <w:t>-</w:t>
      </w:r>
      <w:r w:rsidR="0090689D" w:rsidRPr="008A0130">
        <w:rPr>
          <w:rFonts w:ascii="Book Antiqua" w:hAnsi="Book Antiqua" w:cs="Times"/>
        </w:rPr>
        <w:t>25 nt that</w:t>
      </w:r>
      <w:r w:rsidR="00AE1C72" w:rsidRPr="008A0130">
        <w:rPr>
          <w:rFonts w:ascii="Book Antiqua" w:hAnsi="Book Antiqua" w:cs="Times"/>
        </w:rPr>
        <w:t xml:space="preserve"> regulate gene expression at the post-translational level leading to mRNA degradation or the inhibition of </w:t>
      </w:r>
      <w:proofErr w:type="gramStart"/>
      <w:r w:rsidR="00AE1C72" w:rsidRPr="008A0130">
        <w:rPr>
          <w:rFonts w:ascii="Book Antiqua" w:hAnsi="Book Antiqua" w:cs="Times"/>
        </w:rPr>
        <w:t>translation</w:t>
      </w:r>
      <w:r w:rsidR="000D70D2" w:rsidRPr="008A0130">
        <w:rPr>
          <w:rFonts w:ascii="Book Antiqua" w:eastAsia="Times New Roman" w:hAnsi="Book Antiqua" w:cs="Times New Roman"/>
          <w:vertAlign w:val="superscript"/>
        </w:rPr>
        <w:t>[</w:t>
      </w:r>
      <w:proofErr w:type="gramEnd"/>
      <w:r w:rsidR="000D70D2" w:rsidRPr="008A0130">
        <w:rPr>
          <w:rFonts w:ascii="Book Antiqua" w:eastAsia="Times New Roman" w:hAnsi="Book Antiqua" w:cs="Times New Roman"/>
          <w:vertAlign w:val="superscript"/>
        </w:rPr>
        <w:t>155</w:t>
      </w:r>
      <w:r w:rsidR="00234425" w:rsidRPr="008A0130">
        <w:rPr>
          <w:rFonts w:ascii="Book Antiqua" w:eastAsia="Times New Roman" w:hAnsi="Book Antiqua" w:cs="Times New Roman"/>
          <w:vertAlign w:val="superscript"/>
        </w:rPr>
        <w:t>]</w:t>
      </w:r>
      <w:r w:rsidR="00AE1C72" w:rsidRPr="008A0130">
        <w:rPr>
          <w:rFonts w:ascii="Book Antiqua" w:hAnsi="Book Antiqua" w:cs="Times"/>
        </w:rPr>
        <w:t>.</w:t>
      </w:r>
      <w:r w:rsidR="00AE1C72" w:rsidRPr="008A0130">
        <w:rPr>
          <w:rFonts w:ascii="Book Antiqua" w:eastAsia="Times New Roman" w:hAnsi="Book Antiqua" w:cs="Arial"/>
          <w:lang w:val="es-ES_tradnl"/>
        </w:rPr>
        <w:t xml:space="preserve"> MicroRNAs </w:t>
      </w:r>
      <w:r w:rsidR="003C2B4C" w:rsidRPr="008A0130">
        <w:rPr>
          <w:rFonts w:ascii="Book Antiqua" w:hAnsi="Book Antiqua" w:cs="Times"/>
        </w:rPr>
        <w:t>are</w:t>
      </w:r>
      <w:r w:rsidR="00AE1C72" w:rsidRPr="008A0130">
        <w:rPr>
          <w:rFonts w:ascii="Book Antiqua" w:hAnsi="Book Antiqua" w:cs="Times"/>
        </w:rPr>
        <w:t xml:space="preserve"> involved in the regulation of different biological processes, including apoptosis, proliferation, metabolism, and as </w:t>
      </w:r>
      <w:r w:rsidR="00AE1C72" w:rsidRPr="008A0130">
        <w:rPr>
          <w:rFonts w:ascii="Book Antiqua" w:eastAsia="Times New Roman" w:hAnsi="Book Antiqua" w:cs="Arial"/>
          <w:lang w:val="es-ES_tradnl"/>
        </w:rPr>
        <w:t>modulators of development they</w:t>
      </w:r>
      <w:r w:rsidR="00AE1C72" w:rsidRPr="008A0130">
        <w:rPr>
          <w:rFonts w:ascii="Book Antiqua" w:hAnsi="Book Antiqua" w:cs="Times New Roman"/>
        </w:rPr>
        <w:t xml:space="preserve"> can promote either se</w:t>
      </w:r>
      <w:r w:rsidR="002C4F68" w:rsidRPr="008A0130">
        <w:rPr>
          <w:rFonts w:ascii="Book Antiqua" w:hAnsi="Book Antiqua" w:cs="Times New Roman"/>
        </w:rPr>
        <w:t>lf-renewal or differentiation in</w:t>
      </w:r>
      <w:r w:rsidR="00AE1C72" w:rsidRPr="008A0130">
        <w:rPr>
          <w:rFonts w:ascii="Book Antiqua" w:hAnsi="Book Antiqua" w:cs="Times New Roman"/>
        </w:rPr>
        <w:t xml:space="preserve"> stem cells to determine their fates</w:t>
      </w:r>
      <w:r w:rsidR="000D70D2" w:rsidRPr="008A0130">
        <w:rPr>
          <w:rFonts w:ascii="Book Antiqua" w:eastAsia="Times New Roman" w:hAnsi="Book Antiqua" w:cs="Times New Roman"/>
          <w:vertAlign w:val="superscript"/>
        </w:rPr>
        <w:t>[155</w:t>
      </w:r>
      <w:r w:rsidR="0048631F" w:rsidRPr="008A0130">
        <w:rPr>
          <w:rFonts w:ascii="Book Antiqua" w:eastAsia="宋体" w:hAnsi="Book Antiqua" w:cs="Times New Roman" w:hint="eastAsia"/>
          <w:vertAlign w:val="superscript"/>
          <w:lang w:eastAsia="zh-CN"/>
        </w:rPr>
        <w:t>,</w:t>
      </w:r>
      <w:r w:rsidR="000D70D2" w:rsidRPr="008A0130">
        <w:rPr>
          <w:rFonts w:ascii="Book Antiqua" w:eastAsia="Times New Roman" w:hAnsi="Book Antiqua" w:cs="Times New Roman"/>
          <w:vertAlign w:val="superscript"/>
        </w:rPr>
        <w:t>156</w:t>
      </w:r>
      <w:r w:rsidR="00234425" w:rsidRPr="008A0130">
        <w:rPr>
          <w:rFonts w:ascii="Book Antiqua" w:eastAsia="Times New Roman" w:hAnsi="Book Antiqua" w:cs="Times New Roman"/>
          <w:vertAlign w:val="superscript"/>
        </w:rPr>
        <w:t>]</w:t>
      </w:r>
      <w:r w:rsidR="00AE1C72" w:rsidRPr="008A0130">
        <w:rPr>
          <w:rFonts w:ascii="Book Antiqua" w:eastAsia="Times New Roman" w:hAnsi="Book Antiqua" w:cs="Arial"/>
          <w:lang w:val="es-ES_tradnl"/>
        </w:rPr>
        <w:t xml:space="preserve">. </w:t>
      </w:r>
      <w:r w:rsidR="00AE1C72" w:rsidRPr="008A0130">
        <w:rPr>
          <w:rFonts w:ascii="Book Antiqua" w:eastAsia="Times New Roman" w:hAnsi="Book Antiqua" w:cs="Times New Roman"/>
          <w:lang w:val="es-ES_tradnl"/>
        </w:rPr>
        <w:t xml:space="preserve">Moreover, </w:t>
      </w:r>
      <w:r w:rsidR="00AE1C72" w:rsidRPr="008A0130">
        <w:rPr>
          <w:rFonts w:ascii="Book Antiqua" w:hAnsi="Book Antiqua" w:cs="Times"/>
        </w:rPr>
        <w:t>miRNA expression profiling in many kind of cancers has shown that certain miRNAs</w:t>
      </w:r>
      <w:r w:rsidR="00AE1C72" w:rsidRPr="008A0130">
        <w:rPr>
          <w:rFonts w:ascii="Book Antiqua" w:hAnsi="Book Antiqua" w:cs="Times New Roman"/>
        </w:rPr>
        <w:t xml:space="preserve"> can function as oncogenes or tumor suppressors, and their misexpression and dysregulation contribute to the tumorigenic process</w:t>
      </w:r>
      <w:r w:rsidR="000D70D2" w:rsidRPr="008A0130">
        <w:rPr>
          <w:rFonts w:ascii="Book Antiqua" w:hAnsi="Book Antiqua" w:cs="Times New Roman"/>
          <w:vertAlign w:val="superscript"/>
        </w:rPr>
        <w:t>[157</w:t>
      </w:r>
      <w:r w:rsidR="00AE1C72" w:rsidRPr="008A0130">
        <w:rPr>
          <w:rFonts w:ascii="Book Antiqua" w:hAnsi="Book Antiqua" w:cs="Times New Roman"/>
          <w:vertAlign w:val="superscript"/>
        </w:rPr>
        <w:t>]</w:t>
      </w:r>
      <w:r w:rsidR="00AE1C72" w:rsidRPr="008A0130">
        <w:rPr>
          <w:rFonts w:ascii="Book Antiqua" w:hAnsi="Book Antiqua" w:cs="Times New Roman"/>
        </w:rPr>
        <w:t xml:space="preserve">. </w:t>
      </w:r>
    </w:p>
    <w:p w14:paraId="58EB1852" w14:textId="6C4D5E91" w:rsidR="0090689D" w:rsidRPr="008A0130" w:rsidRDefault="00AE1C72"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New Roman"/>
        </w:rPr>
        <w:t xml:space="preserve">A miRNA expression profile in normal gastric tissues have been </w:t>
      </w:r>
      <w:proofErr w:type="gramStart"/>
      <w:r w:rsidRPr="008A0130">
        <w:rPr>
          <w:rFonts w:ascii="Book Antiqua" w:hAnsi="Book Antiqua" w:cs="Times New Roman"/>
        </w:rPr>
        <w:t>described</w:t>
      </w:r>
      <w:r w:rsidR="000D70D2" w:rsidRPr="008A0130">
        <w:rPr>
          <w:rFonts w:ascii="Book Antiqua" w:hAnsi="Book Antiqua" w:cs="Times New Roman"/>
          <w:vertAlign w:val="superscript"/>
        </w:rPr>
        <w:t>[</w:t>
      </w:r>
      <w:proofErr w:type="gramEnd"/>
      <w:r w:rsidR="000D70D2" w:rsidRPr="008A0130">
        <w:rPr>
          <w:rFonts w:ascii="Book Antiqua" w:hAnsi="Book Antiqua" w:cs="Times New Roman"/>
          <w:vertAlign w:val="superscript"/>
        </w:rPr>
        <w:t>158</w:t>
      </w:r>
      <w:r w:rsidRPr="008A0130">
        <w:rPr>
          <w:rFonts w:ascii="Book Antiqua" w:hAnsi="Book Antiqua" w:cs="Times New Roman"/>
          <w:vertAlign w:val="superscript"/>
        </w:rPr>
        <w:t>]</w:t>
      </w:r>
      <w:r w:rsidRPr="008A0130">
        <w:rPr>
          <w:rFonts w:ascii="Book Antiqua" w:hAnsi="Book Antiqua" w:cs="Times New Roman"/>
        </w:rPr>
        <w:t xml:space="preserve">. </w:t>
      </w:r>
      <w:r w:rsidRPr="008A0130">
        <w:rPr>
          <w:rFonts w:ascii="Book Antiqua" w:hAnsi="Book Antiqua" w:cs="Times New Roman"/>
        </w:rPr>
        <w:lastRenderedPageBreak/>
        <w:t xml:space="preserve">Moreover, an increasing number of studies have shown dysregulation of miRNAs in gastric cancer tissues and their potential use as biomarker for this </w:t>
      </w:r>
      <w:proofErr w:type="gramStart"/>
      <w:r w:rsidRPr="008A0130">
        <w:rPr>
          <w:rFonts w:ascii="Book Antiqua" w:hAnsi="Book Antiqua" w:cs="Times New Roman"/>
        </w:rPr>
        <w:t>disease</w:t>
      </w:r>
      <w:r w:rsidR="009464B2" w:rsidRPr="008A0130">
        <w:rPr>
          <w:rFonts w:ascii="Book Antiqua" w:hAnsi="Book Antiqua" w:cs="Times New Roman"/>
          <w:vertAlign w:val="superscript"/>
        </w:rPr>
        <w:t>[</w:t>
      </w:r>
      <w:proofErr w:type="gramEnd"/>
      <w:r w:rsidR="009464B2" w:rsidRPr="008A0130">
        <w:rPr>
          <w:rFonts w:ascii="Book Antiqua" w:hAnsi="Book Antiqua" w:cs="Times New Roman"/>
          <w:vertAlign w:val="superscript"/>
        </w:rPr>
        <w:t>66-68</w:t>
      </w:r>
      <w:r w:rsidRPr="008A0130">
        <w:rPr>
          <w:rFonts w:ascii="Book Antiqua" w:hAnsi="Book Antiqua" w:cs="Times New Roman"/>
          <w:vertAlign w:val="superscript"/>
        </w:rPr>
        <w:t>]</w:t>
      </w:r>
      <w:r w:rsidRPr="008A0130">
        <w:rPr>
          <w:rFonts w:ascii="Book Antiqua" w:hAnsi="Book Antiqua" w:cs="Times New Roman"/>
        </w:rPr>
        <w:t xml:space="preserve">. </w:t>
      </w:r>
      <w:r w:rsidRPr="008A0130">
        <w:rPr>
          <w:rFonts w:ascii="Book Antiqua" w:hAnsi="Book Antiqua" w:cs="Times"/>
        </w:rPr>
        <w:t>Although with some controversies, these studies have resulted in the identification of hundreds of differentially expressed miRNAs</w:t>
      </w:r>
      <w:r w:rsidR="009A59EB" w:rsidRPr="008A0130">
        <w:rPr>
          <w:rFonts w:ascii="Book Antiqua" w:hAnsi="Book Antiqua" w:cs="Times"/>
        </w:rPr>
        <w:t>, some of them involved in regulation of the</w:t>
      </w:r>
      <w:r w:rsidRPr="008A0130">
        <w:rPr>
          <w:rFonts w:ascii="Book Antiqua" w:hAnsi="Book Antiqua" w:cs="Times"/>
        </w:rPr>
        <w:t xml:space="preserve"> </w:t>
      </w:r>
      <w:r w:rsidR="009A59EB" w:rsidRPr="008A0130">
        <w:rPr>
          <w:rFonts w:ascii="Book Antiqua" w:hAnsi="Book Antiqua" w:cs="Times"/>
        </w:rPr>
        <w:t xml:space="preserve">Wnt/ß-catenin </w:t>
      </w:r>
      <w:proofErr w:type="gramStart"/>
      <w:r w:rsidR="009A59EB" w:rsidRPr="008A0130">
        <w:rPr>
          <w:rFonts w:ascii="Book Antiqua" w:hAnsi="Book Antiqua" w:cs="Times"/>
        </w:rPr>
        <w:t>signaling</w:t>
      </w:r>
      <w:r w:rsidR="000D70D2" w:rsidRPr="008A0130">
        <w:rPr>
          <w:rFonts w:ascii="Book Antiqua" w:eastAsia="Times New Roman" w:hAnsi="Book Antiqua" w:cs="Times New Roman"/>
          <w:vertAlign w:val="superscript"/>
        </w:rPr>
        <w:t>[</w:t>
      </w:r>
      <w:proofErr w:type="gramEnd"/>
      <w:r w:rsidR="000D70D2" w:rsidRPr="008A0130">
        <w:rPr>
          <w:rFonts w:ascii="Book Antiqua" w:eastAsia="Times New Roman" w:hAnsi="Book Antiqua" w:cs="Times New Roman"/>
          <w:vertAlign w:val="superscript"/>
        </w:rPr>
        <w:t>159,160</w:t>
      </w:r>
      <w:r w:rsidR="009464B2" w:rsidRPr="008A0130">
        <w:rPr>
          <w:rFonts w:ascii="Book Antiqua" w:eastAsia="Times New Roman" w:hAnsi="Book Antiqua" w:cs="Times New Roman"/>
          <w:vertAlign w:val="superscript"/>
        </w:rPr>
        <w:t>]</w:t>
      </w:r>
      <w:r w:rsidRPr="008A0130">
        <w:rPr>
          <w:rFonts w:ascii="Book Antiqua" w:hAnsi="Book Antiqua" w:cs="Times"/>
        </w:rPr>
        <w:t xml:space="preserve">. </w:t>
      </w:r>
    </w:p>
    <w:p w14:paraId="4898369C" w14:textId="365BBBF4" w:rsidR="00AE1C72" w:rsidRPr="008A0130" w:rsidRDefault="00AE1C72"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Wu </w:t>
      </w:r>
      <w:r w:rsidRPr="008A0130">
        <w:rPr>
          <w:rFonts w:ascii="Book Antiqua" w:hAnsi="Book Antiqua" w:cs="Times New Roman"/>
          <w:i/>
        </w:rPr>
        <w:t>et al</w:t>
      </w:r>
      <w:r w:rsidR="0048631F" w:rsidRPr="008A0130">
        <w:rPr>
          <w:rFonts w:ascii="Book Antiqua" w:hAnsi="Book Antiqua" w:cs="Times New Roman"/>
          <w:vertAlign w:val="superscript"/>
        </w:rPr>
        <w:t>[161]</w:t>
      </w:r>
      <w:r w:rsidRPr="008A0130">
        <w:rPr>
          <w:rFonts w:ascii="Book Antiqua" w:hAnsi="Book Antiqua" w:cs="Times New Roman"/>
        </w:rPr>
        <w:t xml:space="preserve"> reported that members of the miR-17-92 cluster (miR-19b, miR-20a and miR- 92a) act regulat</w:t>
      </w:r>
      <w:r w:rsidR="009A59EB" w:rsidRPr="008A0130">
        <w:rPr>
          <w:rFonts w:ascii="Book Antiqua" w:hAnsi="Book Antiqua" w:cs="Times New Roman"/>
        </w:rPr>
        <w:t>ing the self-renewal of G</w:t>
      </w:r>
      <w:r w:rsidRPr="008A0130">
        <w:rPr>
          <w:rFonts w:ascii="Book Antiqua" w:hAnsi="Book Antiqua" w:cs="Times New Roman"/>
        </w:rPr>
        <w:t xml:space="preserve">CSCs by targeting </w:t>
      </w:r>
      <w:r w:rsidRPr="008A0130">
        <w:rPr>
          <w:rFonts w:ascii="Book Antiqua" w:hAnsi="Book Antiqua" w:cs="Times New Roman"/>
          <w:i/>
        </w:rPr>
        <w:t>E2F1</w:t>
      </w:r>
      <w:r w:rsidRPr="008A0130">
        <w:rPr>
          <w:rFonts w:ascii="Book Antiqua" w:hAnsi="Book Antiqua" w:cs="Times New Roman"/>
        </w:rPr>
        <w:t xml:space="preserve"> and </w:t>
      </w:r>
      <w:r w:rsidRPr="008A0130">
        <w:rPr>
          <w:rFonts w:ascii="Book Antiqua" w:hAnsi="Book Antiqua" w:cs="Times New Roman"/>
          <w:i/>
        </w:rPr>
        <w:t>HIPK1</w:t>
      </w:r>
      <w:r w:rsidRPr="008A0130">
        <w:rPr>
          <w:rFonts w:ascii="Book Antiqua" w:hAnsi="Book Antiqua" w:cs="Times New Roman"/>
        </w:rPr>
        <w:t xml:space="preserve">, </w:t>
      </w:r>
      <w:r w:rsidR="009A59EB" w:rsidRPr="008A0130">
        <w:rPr>
          <w:rFonts w:ascii="Book Antiqua" w:hAnsi="Book Antiqua" w:cs="Times New Roman"/>
        </w:rPr>
        <w:t>that</w:t>
      </w:r>
      <w:r w:rsidRPr="008A0130">
        <w:rPr>
          <w:rFonts w:ascii="Book Antiqua" w:hAnsi="Book Antiqua" w:cs="Times New Roman"/>
        </w:rPr>
        <w:t xml:space="preserve"> are known to suppress Wnt/ß-catenin signaling. As a consequence, miR-17-92 subsequently activates Wnt/ß-catenin </w:t>
      </w:r>
      <w:proofErr w:type="gramStart"/>
      <w:r w:rsidRPr="008A0130">
        <w:rPr>
          <w:rFonts w:ascii="Book Antiqua" w:hAnsi="Book Antiqua" w:cs="Times New Roman"/>
        </w:rPr>
        <w:t>signaling</w:t>
      </w:r>
      <w:r w:rsidR="000D70D2" w:rsidRPr="008A0130">
        <w:rPr>
          <w:rFonts w:ascii="Book Antiqua" w:hAnsi="Book Antiqua" w:cs="Times New Roman"/>
          <w:vertAlign w:val="superscript"/>
        </w:rPr>
        <w:t>[</w:t>
      </w:r>
      <w:proofErr w:type="gramEnd"/>
      <w:r w:rsidR="000D70D2" w:rsidRPr="008A0130">
        <w:rPr>
          <w:rFonts w:ascii="Book Antiqua" w:hAnsi="Book Antiqua" w:cs="Times New Roman"/>
          <w:vertAlign w:val="superscript"/>
        </w:rPr>
        <w:t>161</w:t>
      </w:r>
      <w:r w:rsidRPr="008A0130">
        <w:rPr>
          <w:rFonts w:ascii="Book Antiqua" w:hAnsi="Book Antiqua" w:cs="Times New Roman"/>
          <w:vertAlign w:val="superscript"/>
        </w:rPr>
        <w:t>]</w:t>
      </w:r>
      <w:r w:rsidRPr="008A0130">
        <w:rPr>
          <w:rFonts w:ascii="Book Antiqua" w:hAnsi="Book Antiqua" w:cs="Times New Roman"/>
        </w:rPr>
        <w:t>. O</w:t>
      </w:r>
      <w:r w:rsidRPr="008A0130">
        <w:rPr>
          <w:rFonts w:ascii="Book Antiqua" w:hAnsi="Book Antiqua" w:cs="Times"/>
        </w:rPr>
        <w:t>ther genes involved in Wnt pathw</w:t>
      </w:r>
      <w:r w:rsidR="008E4480" w:rsidRPr="008A0130">
        <w:rPr>
          <w:rFonts w:ascii="Book Antiqua" w:hAnsi="Book Antiqua" w:cs="Times"/>
        </w:rPr>
        <w:t xml:space="preserve">ay were </w:t>
      </w:r>
      <w:r w:rsidRPr="008A0130">
        <w:rPr>
          <w:rFonts w:ascii="Book Antiqua" w:hAnsi="Book Antiqua" w:cs="Times"/>
        </w:rPr>
        <w:t>revealed as potential target of miR-30a</w:t>
      </w:r>
      <w:r w:rsidR="00790FCB" w:rsidRPr="008A0130">
        <w:rPr>
          <w:rFonts w:ascii="Book Antiqua" w:hAnsi="Book Antiqua" w:cs="Times"/>
        </w:rPr>
        <w:t xml:space="preserve"> </w:t>
      </w:r>
      <w:r w:rsidRPr="008A0130">
        <w:rPr>
          <w:rFonts w:ascii="Book Antiqua" w:hAnsi="Book Antiqua" w:cs="Times"/>
        </w:rPr>
        <w:t>(</w:t>
      </w:r>
      <w:r w:rsidRPr="008A0130">
        <w:rPr>
          <w:rFonts w:ascii="Book Antiqua" w:hAnsi="Book Antiqua" w:cs="Times"/>
          <w:i/>
        </w:rPr>
        <w:t>Runx2</w:t>
      </w:r>
      <w:r w:rsidRPr="008A0130">
        <w:rPr>
          <w:rFonts w:ascii="Book Antiqua" w:hAnsi="Book Antiqua" w:cs="Times"/>
        </w:rPr>
        <w:t xml:space="preserve">, </w:t>
      </w:r>
      <w:r w:rsidRPr="008A0130">
        <w:rPr>
          <w:rFonts w:ascii="Book Antiqua" w:hAnsi="Book Antiqua" w:cs="Times"/>
          <w:i/>
        </w:rPr>
        <w:t>CDH1</w:t>
      </w:r>
      <w:r w:rsidRPr="008A0130">
        <w:rPr>
          <w:rFonts w:ascii="Book Antiqua" w:hAnsi="Book Antiqua" w:cs="Times"/>
        </w:rPr>
        <w:t xml:space="preserve">, </w:t>
      </w:r>
      <w:r w:rsidRPr="008A0130">
        <w:rPr>
          <w:rFonts w:ascii="Book Antiqua" w:hAnsi="Book Antiqua" w:cs="Times"/>
          <w:i/>
        </w:rPr>
        <w:t>Wnt5A</w:t>
      </w:r>
      <w:r w:rsidRPr="008A0130">
        <w:rPr>
          <w:rFonts w:ascii="Book Antiqua" w:hAnsi="Book Antiqua" w:cs="Times"/>
        </w:rPr>
        <w:t>) and miR-103 (</w:t>
      </w:r>
      <w:r w:rsidRPr="008A0130">
        <w:rPr>
          <w:rFonts w:ascii="Book Antiqua" w:hAnsi="Book Antiqua" w:cs="Times"/>
          <w:i/>
        </w:rPr>
        <w:t>Axin2</w:t>
      </w:r>
      <w:r w:rsidRPr="008A0130">
        <w:rPr>
          <w:rFonts w:ascii="Book Antiqua" w:hAnsi="Book Antiqua" w:cs="Times"/>
        </w:rPr>
        <w:t xml:space="preserve">) in expression profiling studies in gastric </w:t>
      </w:r>
      <w:proofErr w:type="gramStart"/>
      <w:r w:rsidRPr="008A0130">
        <w:rPr>
          <w:rFonts w:ascii="Book Antiqua" w:hAnsi="Book Antiqua" w:cs="Times"/>
        </w:rPr>
        <w:t>cancer</w:t>
      </w:r>
      <w:r w:rsidR="00A456FC" w:rsidRPr="008A0130">
        <w:rPr>
          <w:rFonts w:ascii="Book Antiqua" w:eastAsia="Times New Roman" w:hAnsi="Book Antiqua" w:cs="Times New Roman"/>
          <w:vertAlign w:val="superscript"/>
        </w:rPr>
        <w:t>[</w:t>
      </w:r>
      <w:proofErr w:type="gramEnd"/>
      <w:r w:rsidR="00A456FC" w:rsidRPr="008A0130">
        <w:rPr>
          <w:rFonts w:ascii="Book Antiqua" w:eastAsia="Times New Roman" w:hAnsi="Book Antiqua" w:cs="Times New Roman"/>
          <w:vertAlign w:val="superscript"/>
        </w:rPr>
        <w:t>160</w:t>
      </w:r>
      <w:r w:rsidR="009464B2" w:rsidRPr="008A0130">
        <w:rPr>
          <w:rFonts w:ascii="Book Antiqua" w:eastAsia="Times New Roman" w:hAnsi="Book Antiqua" w:cs="Times New Roman"/>
          <w:vertAlign w:val="superscript"/>
        </w:rPr>
        <w:t>]</w:t>
      </w:r>
      <w:r w:rsidRPr="008A0130">
        <w:rPr>
          <w:rFonts w:ascii="Book Antiqua" w:hAnsi="Book Antiqua" w:cs="Times"/>
        </w:rPr>
        <w:t>.</w:t>
      </w:r>
      <w:r w:rsidRPr="008A0130">
        <w:rPr>
          <w:rFonts w:ascii="Book Antiqua" w:hAnsi="Book Antiqua" w:cs="Times New Roman"/>
        </w:rPr>
        <w:t xml:space="preserve"> </w:t>
      </w:r>
      <w:r w:rsidR="00517B82" w:rsidRPr="008A0130">
        <w:rPr>
          <w:rFonts w:ascii="Book Antiqua" w:hAnsi="Book Antiqua" w:cs="Times New Roman"/>
        </w:rPr>
        <w:t>Moreover, hsa-miR-375 upregulation and hsa-miR-142-5p downregulation have been indicated as predictor for recurrence risk in gastric cancer patients following surgical resection</w:t>
      </w:r>
      <w:r w:rsidR="001D1AB7" w:rsidRPr="008A0130">
        <w:rPr>
          <w:rFonts w:ascii="Book Antiqua" w:hAnsi="Book Antiqua" w:cs="Times New Roman"/>
        </w:rPr>
        <w:t>,</w:t>
      </w:r>
      <w:r w:rsidR="00517B82" w:rsidRPr="008A0130">
        <w:rPr>
          <w:rFonts w:ascii="Book Antiqua" w:hAnsi="Book Antiqua" w:cs="Times New Roman"/>
        </w:rPr>
        <w:t xml:space="preserve"> probably by regulating several Wnt/ß-catenin target </w:t>
      </w:r>
      <w:proofErr w:type="gramStart"/>
      <w:r w:rsidR="00517B82" w:rsidRPr="008A0130">
        <w:rPr>
          <w:rFonts w:ascii="Book Antiqua" w:hAnsi="Book Antiqua" w:cs="Times New Roman"/>
        </w:rPr>
        <w:t>genes</w:t>
      </w:r>
      <w:r w:rsidR="00F45D04" w:rsidRPr="008A0130">
        <w:rPr>
          <w:rFonts w:ascii="Book Antiqua" w:eastAsia="Times New Roman" w:hAnsi="Book Antiqua" w:cs="Times New Roman"/>
          <w:vertAlign w:val="superscript"/>
        </w:rPr>
        <w:t>[</w:t>
      </w:r>
      <w:proofErr w:type="gramEnd"/>
      <w:r w:rsidR="00F45D04" w:rsidRPr="008A0130">
        <w:rPr>
          <w:rFonts w:ascii="Book Antiqua" w:eastAsia="Times New Roman" w:hAnsi="Book Antiqua" w:cs="Times New Roman"/>
          <w:vertAlign w:val="superscript"/>
        </w:rPr>
        <w:t>162</w:t>
      </w:r>
      <w:r w:rsidR="009464B2" w:rsidRPr="008A0130">
        <w:rPr>
          <w:rFonts w:ascii="Book Antiqua" w:eastAsia="Times New Roman" w:hAnsi="Book Antiqua" w:cs="Times New Roman"/>
          <w:vertAlign w:val="superscript"/>
        </w:rPr>
        <w:t>]</w:t>
      </w:r>
      <w:r w:rsidRPr="008A0130">
        <w:rPr>
          <w:rFonts w:ascii="Book Antiqua" w:hAnsi="Book Antiqua" w:cs="Times New Roman"/>
        </w:rPr>
        <w:t>.</w:t>
      </w:r>
    </w:p>
    <w:p w14:paraId="1273D18C" w14:textId="7ED255C5" w:rsidR="00AE1C72" w:rsidRPr="008A0130" w:rsidRDefault="00AE1C72"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w:rPr>
        <w:t xml:space="preserve">In Chinese patients with gastric cancer other miRNA genes that regulate </w:t>
      </w:r>
      <w:r w:rsidRPr="008A0130">
        <w:rPr>
          <w:rFonts w:ascii="Book Antiqua" w:hAnsi="Book Antiqua" w:cs="Times New Roman"/>
        </w:rPr>
        <w:t>Wnt/ß-catenin target genes</w:t>
      </w:r>
      <w:r w:rsidRPr="008A0130">
        <w:rPr>
          <w:rFonts w:ascii="Book Antiqua" w:hAnsi="Book Antiqua" w:cs="Times"/>
        </w:rPr>
        <w:t xml:space="preserve">, </w:t>
      </w:r>
      <w:r w:rsidR="009A59EB" w:rsidRPr="008A0130">
        <w:rPr>
          <w:rFonts w:ascii="Book Antiqua" w:hAnsi="Book Antiqua" w:cs="Times"/>
        </w:rPr>
        <w:t xml:space="preserve">such as </w:t>
      </w:r>
      <w:r w:rsidRPr="008A0130">
        <w:rPr>
          <w:rFonts w:ascii="Book Antiqua" w:hAnsi="Book Antiqua" w:cs="Times"/>
        </w:rPr>
        <w:t>miR-144, hsa</w:t>
      </w:r>
      <w:r w:rsidRPr="008A0130">
        <w:rPr>
          <w:rFonts w:ascii="宋体" w:eastAsia="宋体" w:hAnsi="宋体" w:cs="宋体" w:hint="eastAsia"/>
        </w:rPr>
        <w:t>‐</w:t>
      </w:r>
      <w:r w:rsidRPr="008A0130">
        <w:rPr>
          <w:rFonts w:ascii="Book Antiqua" w:hAnsi="Book Antiqua" w:cs="Times"/>
        </w:rPr>
        <w:t>miR</w:t>
      </w:r>
      <w:r w:rsidRPr="008A0130">
        <w:rPr>
          <w:rFonts w:ascii="宋体" w:eastAsia="宋体" w:hAnsi="宋体" w:cs="宋体" w:hint="eastAsia"/>
        </w:rPr>
        <w:t>‐</w:t>
      </w:r>
      <w:r w:rsidRPr="008A0130">
        <w:rPr>
          <w:rFonts w:ascii="Book Antiqua" w:hAnsi="Book Antiqua" w:cs="Times"/>
        </w:rPr>
        <w:t xml:space="preserve">148a and miR-193b were found </w:t>
      </w:r>
      <w:proofErr w:type="gramStart"/>
      <w:r w:rsidRPr="008A0130">
        <w:rPr>
          <w:rFonts w:ascii="Book Antiqua" w:hAnsi="Book Antiqua" w:cs="Times"/>
        </w:rPr>
        <w:t>downregulated</w:t>
      </w:r>
      <w:r w:rsidR="00F45D04" w:rsidRPr="008A0130">
        <w:rPr>
          <w:rFonts w:ascii="Book Antiqua" w:eastAsia="Times New Roman" w:hAnsi="Book Antiqua" w:cs="Times New Roman"/>
          <w:vertAlign w:val="superscript"/>
        </w:rPr>
        <w:t>[</w:t>
      </w:r>
      <w:proofErr w:type="gramEnd"/>
      <w:r w:rsidR="00F45D04" w:rsidRPr="008A0130">
        <w:rPr>
          <w:rFonts w:ascii="Book Antiqua" w:eastAsia="Times New Roman" w:hAnsi="Book Antiqua" w:cs="Times New Roman"/>
          <w:vertAlign w:val="superscript"/>
        </w:rPr>
        <w:t>163-165</w:t>
      </w:r>
      <w:r w:rsidR="009464B2" w:rsidRPr="008A0130">
        <w:rPr>
          <w:rFonts w:ascii="Book Antiqua" w:eastAsia="Times New Roman" w:hAnsi="Book Antiqua" w:cs="Times New Roman"/>
          <w:vertAlign w:val="superscript"/>
        </w:rPr>
        <w:t>]</w:t>
      </w:r>
      <w:r w:rsidRPr="008A0130">
        <w:rPr>
          <w:rFonts w:ascii="Book Antiqua" w:hAnsi="Book Antiqua" w:cs="Times"/>
        </w:rPr>
        <w:t xml:space="preserve">. </w:t>
      </w:r>
      <w:r w:rsidR="008E4480" w:rsidRPr="008A0130">
        <w:rPr>
          <w:rFonts w:ascii="Book Antiqua" w:hAnsi="Book Antiqua" w:cs="Times"/>
        </w:rPr>
        <w:t>W</w:t>
      </w:r>
      <w:r w:rsidRPr="008A0130">
        <w:rPr>
          <w:rFonts w:ascii="Book Antiqua" w:hAnsi="Book Antiqua" w:cs="Times"/>
        </w:rPr>
        <w:t xml:space="preserve">hile miR-193b can inhibit tumor invasion and </w:t>
      </w:r>
      <w:proofErr w:type="gramStart"/>
      <w:r w:rsidRPr="008A0130">
        <w:rPr>
          <w:rFonts w:ascii="Book Antiqua" w:hAnsi="Book Antiqua" w:cs="Times"/>
        </w:rPr>
        <w:t>metastasis</w:t>
      </w:r>
      <w:r w:rsidR="00F45D04" w:rsidRPr="008A0130">
        <w:rPr>
          <w:rFonts w:ascii="Book Antiqua" w:eastAsia="Times New Roman" w:hAnsi="Book Antiqua" w:cs="Times New Roman"/>
          <w:vertAlign w:val="superscript"/>
        </w:rPr>
        <w:t>[</w:t>
      </w:r>
      <w:proofErr w:type="gramEnd"/>
      <w:r w:rsidR="00F45D04" w:rsidRPr="008A0130">
        <w:rPr>
          <w:rFonts w:ascii="Book Antiqua" w:eastAsia="Times New Roman" w:hAnsi="Book Antiqua" w:cs="Times New Roman"/>
          <w:vertAlign w:val="superscript"/>
        </w:rPr>
        <w:t>163</w:t>
      </w:r>
      <w:r w:rsidR="009464B2" w:rsidRPr="008A0130">
        <w:rPr>
          <w:rFonts w:ascii="Book Antiqua" w:eastAsia="Times New Roman" w:hAnsi="Book Antiqua" w:cs="Times New Roman"/>
          <w:vertAlign w:val="superscript"/>
        </w:rPr>
        <w:t>]</w:t>
      </w:r>
      <w:r w:rsidR="008E4480" w:rsidRPr="008A0130">
        <w:rPr>
          <w:rFonts w:ascii="Book Antiqua" w:hAnsi="Book Antiqua" w:cs="Times"/>
        </w:rPr>
        <w:t>, hsa-miR-148a has been suggested as biomarker for early gastric cancer</w:t>
      </w:r>
      <w:r w:rsidR="00F45D04" w:rsidRPr="008A0130">
        <w:rPr>
          <w:rFonts w:ascii="Book Antiqua" w:eastAsia="Times New Roman" w:hAnsi="Book Antiqua" w:cs="Times New Roman"/>
          <w:vertAlign w:val="superscript"/>
        </w:rPr>
        <w:t>[165</w:t>
      </w:r>
      <w:r w:rsidR="009464B2" w:rsidRPr="008A0130">
        <w:rPr>
          <w:rFonts w:ascii="Book Antiqua" w:eastAsia="Times New Roman" w:hAnsi="Book Antiqua" w:cs="Times New Roman"/>
          <w:vertAlign w:val="superscript"/>
        </w:rPr>
        <w:t>]</w:t>
      </w:r>
      <w:r w:rsidRPr="008A0130">
        <w:rPr>
          <w:rFonts w:ascii="Book Antiqua" w:hAnsi="Book Antiqua" w:cs="Times"/>
        </w:rPr>
        <w:t xml:space="preserve">. Moreover, also in Chinese patients, the survival analyses results showed that patients with high expression levels of hsa-miR-335 had reduced overall survival rate and high recurrence risk of gastric </w:t>
      </w:r>
      <w:proofErr w:type="gramStart"/>
      <w:r w:rsidRPr="008A0130">
        <w:rPr>
          <w:rFonts w:ascii="Book Antiqua" w:hAnsi="Book Antiqua" w:cs="Times"/>
        </w:rPr>
        <w:t>cancer</w:t>
      </w:r>
      <w:r w:rsidR="00F45D04" w:rsidRPr="008A0130">
        <w:rPr>
          <w:rFonts w:ascii="Book Antiqua" w:eastAsia="Times New Roman" w:hAnsi="Book Antiqua" w:cs="Times New Roman"/>
          <w:vertAlign w:val="superscript"/>
        </w:rPr>
        <w:t>[</w:t>
      </w:r>
      <w:proofErr w:type="gramEnd"/>
      <w:r w:rsidR="00F45D04" w:rsidRPr="008A0130">
        <w:rPr>
          <w:rFonts w:ascii="Book Antiqua" w:eastAsia="Times New Roman" w:hAnsi="Book Antiqua" w:cs="Times New Roman"/>
          <w:vertAlign w:val="superscript"/>
        </w:rPr>
        <w:t>166</w:t>
      </w:r>
      <w:r w:rsidR="009464B2" w:rsidRPr="008A0130">
        <w:rPr>
          <w:rFonts w:ascii="Book Antiqua" w:eastAsia="Times New Roman" w:hAnsi="Book Antiqua" w:cs="Times New Roman"/>
          <w:vertAlign w:val="superscript"/>
        </w:rPr>
        <w:t>]</w:t>
      </w:r>
      <w:r w:rsidRPr="008A0130">
        <w:rPr>
          <w:rFonts w:ascii="Book Antiqua" w:hAnsi="Book Antiqua" w:cs="Times"/>
        </w:rPr>
        <w:t xml:space="preserve">. Among hsa-miR-335 targeted genes is </w:t>
      </w:r>
      <w:r w:rsidR="00C238AC" w:rsidRPr="008A0130">
        <w:rPr>
          <w:rFonts w:ascii="Book Antiqua" w:hAnsi="Book Antiqua" w:cs="Times"/>
          <w:i/>
        </w:rPr>
        <w:t>Fzd-</w:t>
      </w:r>
      <w:r w:rsidRPr="008A0130">
        <w:rPr>
          <w:rFonts w:ascii="Book Antiqua" w:hAnsi="Book Antiqua" w:cs="Times"/>
          <w:i/>
        </w:rPr>
        <w:t>3</w:t>
      </w:r>
      <w:r w:rsidRPr="008A0130">
        <w:rPr>
          <w:rFonts w:ascii="Book Antiqua" w:hAnsi="Book Antiqua" w:cs="Times"/>
        </w:rPr>
        <w:t xml:space="preserve">, </w:t>
      </w:r>
      <w:r w:rsidR="00C238AC" w:rsidRPr="008A0130">
        <w:rPr>
          <w:rFonts w:ascii="Book Antiqua" w:hAnsi="Book Antiqua" w:cs="Times"/>
        </w:rPr>
        <w:t xml:space="preserve">a </w:t>
      </w:r>
      <w:r w:rsidRPr="008A0130">
        <w:rPr>
          <w:rFonts w:ascii="Book Antiqua" w:hAnsi="Book Antiqua" w:cs="Times"/>
        </w:rPr>
        <w:t xml:space="preserve">member of the FZD receptor family, </w:t>
      </w:r>
      <w:r w:rsidR="009A59EB" w:rsidRPr="008A0130">
        <w:rPr>
          <w:rFonts w:ascii="Book Antiqua" w:hAnsi="Book Antiqua" w:cs="Times"/>
        </w:rPr>
        <w:t>whose expression was up</w:t>
      </w:r>
      <w:r w:rsidRPr="008A0130">
        <w:rPr>
          <w:rFonts w:ascii="Book Antiqua" w:hAnsi="Book Antiqua" w:cs="Times"/>
        </w:rPr>
        <w:t xml:space="preserve">regulated in several </w:t>
      </w:r>
      <w:proofErr w:type="gramStart"/>
      <w:r w:rsidRPr="008A0130">
        <w:rPr>
          <w:rFonts w:ascii="Book Antiqua" w:hAnsi="Book Antiqua" w:cs="Times"/>
        </w:rPr>
        <w:t>cancers</w:t>
      </w:r>
      <w:r w:rsidR="00F45D04" w:rsidRPr="008A0130">
        <w:rPr>
          <w:rFonts w:ascii="Book Antiqua" w:eastAsia="Times New Roman" w:hAnsi="Book Antiqua" w:cs="Times New Roman"/>
          <w:vertAlign w:val="superscript"/>
        </w:rPr>
        <w:t>[</w:t>
      </w:r>
      <w:proofErr w:type="gramEnd"/>
      <w:r w:rsidR="00F45D04" w:rsidRPr="008A0130">
        <w:rPr>
          <w:rFonts w:ascii="Book Antiqua" w:eastAsia="Times New Roman" w:hAnsi="Book Antiqua" w:cs="Times New Roman"/>
          <w:vertAlign w:val="superscript"/>
        </w:rPr>
        <w:t>167</w:t>
      </w:r>
      <w:r w:rsidR="009464B2" w:rsidRPr="008A0130">
        <w:rPr>
          <w:rFonts w:ascii="Book Antiqua" w:eastAsia="Times New Roman" w:hAnsi="Book Antiqua" w:cs="Times New Roman"/>
          <w:vertAlign w:val="superscript"/>
        </w:rPr>
        <w:t>]</w:t>
      </w:r>
      <w:r w:rsidRPr="008A0130">
        <w:rPr>
          <w:rFonts w:ascii="Book Antiqua" w:hAnsi="Book Antiqua" w:cs="Times"/>
        </w:rPr>
        <w:t>.</w:t>
      </w:r>
    </w:p>
    <w:p w14:paraId="66AC11E0" w14:textId="0A48A2C0" w:rsidR="000F1F44" w:rsidRPr="008A0130" w:rsidRDefault="00AE1C72"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w:rPr>
        <w:t xml:space="preserve">Metastatic potential of gastric cancer cells have been associated with changes in the expression profile of miRNAs involved in regulating Wnt signaling pathway. MiR-10a </w:t>
      </w:r>
      <w:r w:rsidR="003A357A" w:rsidRPr="008A0130">
        <w:rPr>
          <w:rFonts w:ascii="Book Antiqua" w:hAnsi="Book Antiqua" w:cs="Times"/>
        </w:rPr>
        <w:t>upregulation and miR-516a-3p decreased expression were</w:t>
      </w:r>
      <w:r w:rsidRPr="008A0130">
        <w:rPr>
          <w:rFonts w:ascii="Book Antiqua" w:hAnsi="Book Antiqua" w:cs="Times"/>
        </w:rPr>
        <w:t xml:space="preserve"> proven to play a pivotal role in tumor invasion and metastasis </w:t>
      </w:r>
      <w:r w:rsidR="003A357A" w:rsidRPr="008A0130">
        <w:rPr>
          <w:rFonts w:ascii="Book Antiqua" w:hAnsi="Book Antiqua" w:cs="Times"/>
        </w:rPr>
        <w:t xml:space="preserve">from primary gastric cancer to lymph nodes or peritoneum, </w:t>
      </w:r>
      <w:proofErr w:type="gramStart"/>
      <w:r w:rsidR="003A357A" w:rsidRPr="008A0130">
        <w:rPr>
          <w:rFonts w:ascii="Book Antiqua" w:hAnsi="Book Antiqua" w:cs="Times"/>
        </w:rPr>
        <w:t>respectively</w:t>
      </w:r>
      <w:r w:rsidR="00F45D04" w:rsidRPr="008A0130">
        <w:rPr>
          <w:rFonts w:ascii="Book Antiqua" w:eastAsia="Times New Roman" w:hAnsi="Book Antiqua" w:cs="Times New Roman"/>
          <w:vertAlign w:val="superscript"/>
        </w:rPr>
        <w:t>[</w:t>
      </w:r>
      <w:proofErr w:type="gramEnd"/>
      <w:r w:rsidR="00F45D04" w:rsidRPr="008A0130">
        <w:rPr>
          <w:rFonts w:ascii="Book Antiqua" w:eastAsia="Times New Roman" w:hAnsi="Book Antiqua" w:cs="Times New Roman"/>
          <w:vertAlign w:val="superscript"/>
        </w:rPr>
        <w:t>168,169</w:t>
      </w:r>
      <w:r w:rsidR="00A86DFA" w:rsidRPr="008A0130">
        <w:rPr>
          <w:rFonts w:ascii="Book Antiqua" w:eastAsia="Times New Roman" w:hAnsi="Book Antiqua" w:cs="Times New Roman"/>
          <w:vertAlign w:val="superscript"/>
        </w:rPr>
        <w:t>]</w:t>
      </w:r>
      <w:r w:rsidR="003A357A" w:rsidRPr="008A0130">
        <w:rPr>
          <w:rFonts w:ascii="Book Antiqua" w:hAnsi="Book Antiqua" w:cs="Times"/>
        </w:rPr>
        <w:t xml:space="preserve">. </w:t>
      </w:r>
      <w:r w:rsidRPr="008A0130">
        <w:rPr>
          <w:rFonts w:ascii="Book Antiqua" w:hAnsi="Book Antiqua" w:cs="Times"/>
        </w:rPr>
        <w:t xml:space="preserve">Using proteomics approaches, Takey </w:t>
      </w:r>
      <w:r w:rsidRPr="008A0130">
        <w:rPr>
          <w:rFonts w:ascii="Book Antiqua" w:hAnsi="Book Antiqua" w:cs="Times"/>
          <w:i/>
        </w:rPr>
        <w:t xml:space="preserve">et </w:t>
      </w:r>
      <w:proofErr w:type="gramStart"/>
      <w:r w:rsidRPr="008A0130">
        <w:rPr>
          <w:rFonts w:ascii="Book Antiqua" w:hAnsi="Book Antiqua" w:cs="Times"/>
          <w:i/>
        </w:rPr>
        <w:t>al</w:t>
      </w:r>
      <w:r w:rsidR="0048631F" w:rsidRPr="008A0130">
        <w:rPr>
          <w:rFonts w:ascii="Book Antiqua" w:eastAsia="Times New Roman" w:hAnsi="Book Antiqua" w:cs="Times New Roman"/>
          <w:vertAlign w:val="superscript"/>
        </w:rPr>
        <w:t>[</w:t>
      </w:r>
      <w:proofErr w:type="gramEnd"/>
      <w:r w:rsidR="0048631F" w:rsidRPr="008A0130">
        <w:rPr>
          <w:rFonts w:ascii="Book Antiqua" w:eastAsia="Times New Roman" w:hAnsi="Book Antiqua" w:cs="Times New Roman"/>
          <w:vertAlign w:val="superscript"/>
        </w:rPr>
        <w:t>169]</w:t>
      </w:r>
      <w:r w:rsidRPr="008A0130">
        <w:rPr>
          <w:rFonts w:ascii="Book Antiqua" w:hAnsi="Book Antiqua" w:cs="Times"/>
        </w:rPr>
        <w:t xml:space="preserve"> showed that miR-516a-3p targets</w:t>
      </w:r>
      <w:r w:rsidR="00D91B78" w:rsidRPr="008A0130">
        <w:rPr>
          <w:rFonts w:ascii="Book Antiqua" w:hAnsi="Book Antiqua" w:cs="Times"/>
        </w:rPr>
        <w:t xml:space="preserve"> </w:t>
      </w:r>
      <w:r w:rsidR="00D91B78" w:rsidRPr="008A0130">
        <w:rPr>
          <w:rFonts w:ascii="Book Antiqua" w:hAnsi="Book Antiqua" w:cs="Times"/>
        </w:rPr>
        <w:lastRenderedPageBreak/>
        <w:t>extracellular sulfatase 1 (HSulf-</w:t>
      </w:r>
      <w:r w:rsidRPr="008A0130">
        <w:rPr>
          <w:rFonts w:ascii="Book Antiqua" w:hAnsi="Book Antiqua" w:cs="Times"/>
        </w:rPr>
        <w:t xml:space="preserve">1). </w:t>
      </w:r>
      <w:r w:rsidR="00D91B78" w:rsidRPr="008A0130">
        <w:rPr>
          <w:rFonts w:ascii="Book Antiqua" w:hAnsi="Book Antiqua" w:cs="Times"/>
        </w:rPr>
        <w:t>HSulf-1</w:t>
      </w:r>
      <w:r w:rsidRPr="008A0130">
        <w:rPr>
          <w:rFonts w:ascii="Book Antiqua" w:hAnsi="Book Antiqua" w:cs="Times"/>
        </w:rPr>
        <w:t xml:space="preserve"> removes 6-O sulfates from heparan sulfate proteo-glycans chains to liberate Wnt ligands</w:t>
      </w:r>
      <w:r w:rsidR="0022091C" w:rsidRPr="008A0130">
        <w:rPr>
          <w:rFonts w:ascii="Book Antiqua" w:hAnsi="Book Antiqua" w:cs="Times"/>
        </w:rPr>
        <w:t xml:space="preserve">, and thus, enable them for binding to Frizzled receptors and subsequently activate the Wnt canonical </w:t>
      </w:r>
      <w:proofErr w:type="gramStart"/>
      <w:r w:rsidR="0022091C" w:rsidRPr="008A0130">
        <w:rPr>
          <w:rFonts w:ascii="Book Antiqua" w:hAnsi="Book Antiqua" w:cs="Times"/>
        </w:rPr>
        <w:t>pathway</w:t>
      </w:r>
      <w:r w:rsidR="00F45D04" w:rsidRPr="008A0130">
        <w:rPr>
          <w:rFonts w:ascii="Book Antiqua" w:eastAsia="Times New Roman" w:hAnsi="Book Antiqua" w:cs="Times New Roman"/>
          <w:vertAlign w:val="superscript"/>
        </w:rPr>
        <w:t>[</w:t>
      </w:r>
      <w:proofErr w:type="gramEnd"/>
      <w:r w:rsidR="00F45D04" w:rsidRPr="008A0130">
        <w:rPr>
          <w:rFonts w:ascii="Book Antiqua" w:eastAsia="Times New Roman" w:hAnsi="Book Antiqua" w:cs="Times New Roman"/>
          <w:vertAlign w:val="superscript"/>
        </w:rPr>
        <w:t>170</w:t>
      </w:r>
      <w:r w:rsidR="00A86DFA" w:rsidRPr="008A0130">
        <w:rPr>
          <w:rFonts w:ascii="Book Antiqua" w:eastAsia="Times New Roman" w:hAnsi="Book Antiqua" w:cs="Times New Roman"/>
          <w:vertAlign w:val="superscript"/>
        </w:rPr>
        <w:t>]</w:t>
      </w:r>
      <w:r w:rsidRPr="008A0130">
        <w:rPr>
          <w:rFonts w:ascii="Book Antiqua" w:hAnsi="Book Antiqua" w:cs="Times"/>
        </w:rPr>
        <w:t>.</w:t>
      </w:r>
      <w:r w:rsidR="00790FCB" w:rsidRPr="008A0130">
        <w:rPr>
          <w:rFonts w:ascii="Book Antiqua" w:hAnsi="Book Antiqua" w:cs="Times"/>
        </w:rPr>
        <w:t xml:space="preserve"> </w:t>
      </w:r>
      <w:r w:rsidR="000F1F44" w:rsidRPr="008A0130">
        <w:rPr>
          <w:rFonts w:ascii="Book Antiqua" w:hAnsi="Book Antiqua" w:cs="Times"/>
        </w:rPr>
        <w:t xml:space="preserve">However, as it was mentioned above, loss or downregulation of </w:t>
      </w:r>
      <w:r w:rsidR="000F1F44" w:rsidRPr="008A0130">
        <w:rPr>
          <w:rFonts w:ascii="Book Antiqua" w:hAnsi="Book Antiqua" w:cs="Times"/>
          <w:i/>
        </w:rPr>
        <w:t xml:space="preserve">HSulf-1 </w:t>
      </w:r>
      <w:r w:rsidR="000F1F44" w:rsidRPr="008A0130">
        <w:rPr>
          <w:rFonts w:ascii="Book Antiqua" w:hAnsi="Book Antiqua" w:cs="Times"/>
        </w:rPr>
        <w:t>is associated with carcinogenesis in several tissues.</w:t>
      </w:r>
    </w:p>
    <w:p w14:paraId="64F2B211" w14:textId="574CC518" w:rsidR="00AE1C72" w:rsidRPr="008A0130" w:rsidRDefault="00AE1C72"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w:rPr>
        <w:t xml:space="preserve">Tang </w:t>
      </w:r>
      <w:r w:rsidRPr="008A0130">
        <w:rPr>
          <w:rFonts w:ascii="Book Antiqua" w:hAnsi="Book Antiqua" w:cs="Times"/>
          <w:i/>
        </w:rPr>
        <w:t xml:space="preserve">et </w:t>
      </w:r>
      <w:proofErr w:type="gramStart"/>
      <w:r w:rsidRPr="008A0130">
        <w:rPr>
          <w:rFonts w:ascii="Book Antiqua" w:hAnsi="Book Antiqua" w:cs="Times"/>
          <w:i/>
        </w:rPr>
        <w:t>al</w:t>
      </w:r>
      <w:r w:rsidR="0048631F" w:rsidRPr="008A0130">
        <w:rPr>
          <w:rFonts w:ascii="Book Antiqua" w:eastAsia="Times New Roman" w:hAnsi="Book Antiqua" w:cs="Times New Roman"/>
          <w:vertAlign w:val="superscript"/>
        </w:rPr>
        <w:t>[</w:t>
      </w:r>
      <w:proofErr w:type="gramEnd"/>
      <w:r w:rsidR="0048631F" w:rsidRPr="008A0130">
        <w:rPr>
          <w:rFonts w:ascii="Book Antiqua" w:eastAsia="Times New Roman" w:hAnsi="Book Antiqua" w:cs="Times New Roman"/>
          <w:vertAlign w:val="superscript"/>
        </w:rPr>
        <w:t>171]</w:t>
      </w:r>
      <w:r w:rsidRPr="008A0130">
        <w:rPr>
          <w:rFonts w:ascii="Book Antiqua" w:hAnsi="Book Antiqua" w:cs="Times"/>
        </w:rPr>
        <w:t xml:space="preserve"> identified a novel role for GSK3ß in the regulation of miRNAs biogenesis in gastric cancer cells. They showed that GSK3ß inhibits the expression of miR-96, miR-182 and miR-183 through the ß-catenin/TCF/LEF-1 pathway. GSK3ß protein levels are decreased in human gastric cancer tissue compared with surrounding normal gastric t</w:t>
      </w:r>
      <w:r w:rsidR="000E77A2" w:rsidRPr="008A0130">
        <w:rPr>
          <w:rFonts w:ascii="Book Antiqua" w:hAnsi="Book Antiqua" w:cs="Times"/>
        </w:rPr>
        <w:t>issue, coinciding with increased</w:t>
      </w:r>
      <w:r w:rsidRPr="008A0130">
        <w:rPr>
          <w:rFonts w:ascii="Book Antiqua" w:hAnsi="Book Antiqua" w:cs="Times"/>
        </w:rPr>
        <w:t xml:space="preserve"> ß-catenin protein </w:t>
      </w:r>
      <w:r w:rsidR="000E77A2" w:rsidRPr="008A0130">
        <w:rPr>
          <w:rFonts w:ascii="Book Antiqua" w:hAnsi="Book Antiqua" w:cs="Times"/>
        </w:rPr>
        <w:t xml:space="preserve">levels </w:t>
      </w:r>
      <w:r w:rsidRPr="008A0130">
        <w:rPr>
          <w:rFonts w:ascii="Book Antiqua" w:hAnsi="Book Antiqua" w:cs="Times"/>
        </w:rPr>
        <w:t xml:space="preserve">and miR-96, miR-182, miR-183. In addition, overexpression of ß-catenin enhances the expression of miR-96, miR-182 and miR-183 in human gastric cancer </w:t>
      </w:r>
      <w:proofErr w:type="gramStart"/>
      <w:r w:rsidRPr="008A0130">
        <w:rPr>
          <w:rFonts w:ascii="Book Antiqua" w:hAnsi="Book Antiqua" w:cs="Times"/>
        </w:rPr>
        <w:t>cells</w:t>
      </w:r>
      <w:r w:rsidR="00423198" w:rsidRPr="008A0130">
        <w:rPr>
          <w:rFonts w:ascii="Book Antiqua" w:eastAsia="Times New Roman" w:hAnsi="Book Antiqua" w:cs="Times New Roman"/>
          <w:vertAlign w:val="superscript"/>
        </w:rPr>
        <w:t>[</w:t>
      </w:r>
      <w:proofErr w:type="gramEnd"/>
      <w:r w:rsidR="00423198" w:rsidRPr="008A0130">
        <w:rPr>
          <w:rFonts w:ascii="Book Antiqua" w:eastAsia="Times New Roman" w:hAnsi="Book Antiqua" w:cs="Times New Roman"/>
          <w:vertAlign w:val="superscript"/>
        </w:rPr>
        <w:t>171</w:t>
      </w:r>
      <w:r w:rsidR="00A86DFA" w:rsidRPr="008A0130">
        <w:rPr>
          <w:rFonts w:ascii="Book Antiqua" w:eastAsia="Times New Roman" w:hAnsi="Book Antiqua" w:cs="Times New Roman"/>
          <w:vertAlign w:val="superscript"/>
        </w:rPr>
        <w:t>]</w:t>
      </w:r>
      <w:r w:rsidRPr="008A0130">
        <w:rPr>
          <w:rFonts w:ascii="Book Antiqua" w:hAnsi="Book Antiqua" w:cs="Times"/>
        </w:rPr>
        <w:t>.</w:t>
      </w:r>
    </w:p>
    <w:p w14:paraId="4DA6164F" w14:textId="17FA6F6B" w:rsidR="00AE1C72" w:rsidRPr="008A0130" w:rsidRDefault="00AE1C72"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w:rPr>
        <w:t xml:space="preserve">A recent study identified the overexpression of miR-200b and miR-22 as the mechanism related to the anti-tumor effects of Diallyl disulfide in gastric cancer </w:t>
      </w:r>
      <w:proofErr w:type="gramStart"/>
      <w:r w:rsidRPr="008A0130">
        <w:rPr>
          <w:rFonts w:ascii="Book Antiqua" w:hAnsi="Book Antiqua" w:cs="Times"/>
        </w:rPr>
        <w:t>cells</w:t>
      </w:r>
      <w:r w:rsidR="00423198" w:rsidRPr="008A0130">
        <w:rPr>
          <w:rFonts w:ascii="Book Antiqua" w:eastAsia="Times New Roman" w:hAnsi="Book Antiqua" w:cs="Times New Roman"/>
          <w:vertAlign w:val="superscript"/>
        </w:rPr>
        <w:t>[</w:t>
      </w:r>
      <w:proofErr w:type="gramEnd"/>
      <w:r w:rsidR="00423198" w:rsidRPr="008A0130">
        <w:rPr>
          <w:rFonts w:ascii="Book Antiqua" w:eastAsia="Times New Roman" w:hAnsi="Book Antiqua" w:cs="Times New Roman"/>
          <w:vertAlign w:val="superscript"/>
        </w:rPr>
        <w:t>172</w:t>
      </w:r>
      <w:r w:rsidR="00A86DFA" w:rsidRPr="008A0130">
        <w:rPr>
          <w:rFonts w:ascii="Book Antiqua" w:eastAsia="Times New Roman" w:hAnsi="Book Antiqua" w:cs="Times New Roman"/>
          <w:vertAlign w:val="superscript"/>
        </w:rPr>
        <w:t>]</w:t>
      </w:r>
      <w:r w:rsidRPr="008A0130">
        <w:rPr>
          <w:rFonts w:ascii="Book Antiqua" w:hAnsi="Book Antiqua" w:cs="Times"/>
        </w:rPr>
        <w:t xml:space="preserve">. Furthermore, </w:t>
      </w:r>
      <w:r w:rsidRPr="008A0130">
        <w:rPr>
          <w:rFonts w:ascii="Book Antiqua" w:hAnsi="Book Antiqua" w:cs="Times"/>
          <w:i/>
        </w:rPr>
        <w:t>Wnt-1</w:t>
      </w:r>
      <w:r w:rsidRPr="008A0130">
        <w:rPr>
          <w:rFonts w:ascii="Book Antiqua" w:hAnsi="Book Antiqua" w:cs="Times"/>
        </w:rPr>
        <w:t xml:space="preserve"> was identified as a target of both miR-200b and miR-22. Moreover, </w:t>
      </w:r>
      <w:r w:rsidRPr="008A0130">
        <w:rPr>
          <w:rFonts w:ascii="Book Antiqua" w:hAnsi="Book Antiqua" w:cs="Times New Roman"/>
          <w:i/>
        </w:rPr>
        <w:t>MAPRE1</w:t>
      </w:r>
      <w:r w:rsidRPr="008A0130">
        <w:rPr>
          <w:rFonts w:ascii="Book Antiqua" w:hAnsi="Book Antiqua" w:cs="Times New Roman"/>
        </w:rPr>
        <w:t xml:space="preserve">, which acts as an activator of the Wnt/ß-catenin pathway may be a direct and functional target of miRNA-10b in gastric </w:t>
      </w:r>
      <w:proofErr w:type="gramStart"/>
      <w:r w:rsidRPr="008A0130">
        <w:rPr>
          <w:rFonts w:ascii="Book Antiqua" w:hAnsi="Book Antiqua" w:cs="Times New Roman"/>
        </w:rPr>
        <w:t>cancers</w:t>
      </w:r>
      <w:r w:rsidR="00423198" w:rsidRPr="008A0130">
        <w:rPr>
          <w:rFonts w:ascii="Book Antiqua" w:hAnsi="Book Antiqua" w:cs="Times New Roman"/>
          <w:vertAlign w:val="superscript"/>
        </w:rPr>
        <w:t>[</w:t>
      </w:r>
      <w:proofErr w:type="gramEnd"/>
      <w:r w:rsidR="00423198" w:rsidRPr="008A0130">
        <w:rPr>
          <w:rFonts w:ascii="Book Antiqua" w:hAnsi="Book Antiqua" w:cs="Times New Roman"/>
          <w:vertAlign w:val="superscript"/>
        </w:rPr>
        <w:t>173,174</w:t>
      </w:r>
      <w:r w:rsidRPr="008A0130">
        <w:rPr>
          <w:rFonts w:ascii="Book Antiqua" w:hAnsi="Book Antiqua" w:cs="Times New Roman"/>
          <w:vertAlign w:val="superscript"/>
        </w:rPr>
        <w:t>]</w:t>
      </w:r>
      <w:r w:rsidRPr="008A0130">
        <w:rPr>
          <w:rFonts w:ascii="Book Antiqua" w:hAnsi="Book Antiqua" w:cs="Times New Roman"/>
        </w:rPr>
        <w:t xml:space="preserve">. </w:t>
      </w:r>
    </w:p>
    <w:p w14:paraId="77B2BEA5" w14:textId="107CAB9F" w:rsidR="00AE1C72" w:rsidRPr="008A0130" w:rsidRDefault="00AE1C72"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MiR-27 has been identified as modulator of Wnt signaling by interacting with </w:t>
      </w:r>
      <w:r w:rsidRPr="008A0130">
        <w:rPr>
          <w:rFonts w:ascii="Book Antiqua" w:hAnsi="Book Antiqua" w:cs="Times New Roman"/>
          <w:i/>
        </w:rPr>
        <w:t>APC</w:t>
      </w:r>
      <w:r w:rsidRPr="008A0130">
        <w:rPr>
          <w:rFonts w:ascii="Book Antiqua" w:hAnsi="Book Antiqua" w:cs="Times New Roman"/>
        </w:rPr>
        <w:t xml:space="preserve"> and also promoting human gastric cancer cell metastasis by inducing </w:t>
      </w:r>
      <w:proofErr w:type="gramStart"/>
      <w:r w:rsidR="000E77A2" w:rsidRPr="008A0130">
        <w:rPr>
          <w:rFonts w:ascii="Book Antiqua" w:hAnsi="Book Antiqua" w:cs="Times New Roman"/>
        </w:rPr>
        <w:t>EMT</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w:t>
      </w:r>
      <w:r w:rsidR="009044F9" w:rsidRPr="008A0130">
        <w:rPr>
          <w:rFonts w:ascii="Book Antiqua" w:hAnsi="Book Antiqua" w:cs="Times New Roman"/>
          <w:vertAlign w:val="superscript"/>
        </w:rPr>
        <w:t>75</w:t>
      </w:r>
      <w:r w:rsidRPr="008A0130">
        <w:rPr>
          <w:rFonts w:ascii="Book Antiqua" w:hAnsi="Book Antiqua" w:cs="Times New Roman"/>
          <w:vertAlign w:val="superscript"/>
        </w:rPr>
        <w:t>]</w:t>
      </w:r>
      <w:r w:rsidRPr="008A0130">
        <w:rPr>
          <w:rFonts w:ascii="Book Antiqua" w:hAnsi="Book Antiqua" w:cs="Times New Roman"/>
        </w:rPr>
        <w:t>. Finally, it was recently revealed that the upregulation of miR-200a increases E-cadherin and suppresses the Wnt/</w:t>
      </w:r>
      <w:r w:rsidR="00F926B4" w:rsidRPr="008A0130">
        <w:rPr>
          <w:rFonts w:ascii="Book Antiqua" w:hAnsi="Book Antiqua" w:cs="Times New Roman"/>
        </w:rPr>
        <w:t>β</w:t>
      </w:r>
      <w:r w:rsidRPr="008A0130">
        <w:rPr>
          <w:rFonts w:ascii="Book Antiqua" w:hAnsi="Book Antiqua" w:cs="Times New Roman"/>
        </w:rPr>
        <w:t xml:space="preserve">-catenin pathway by targeting </w:t>
      </w:r>
      <w:r w:rsidRPr="008A0130">
        <w:rPr>
          <w:rFonts w:ascii="Book Antiqua" w:hAnsi="Book Antiqua" w:cs="Times New Roman"/>
          <w:i/>
        </w:rPr>
        <w:t>CTNNB1</w:t>
      </w:r>
      <w:r w:rsidRPr="008A0130">
        <w:rPr>
          <w:rFonts w:ascii="Book Antiqua" w:hAnsi="Book Antiqua" w:cs="Times New Roman"/>
        </w:rPr>
        <w:t>, </w:t>
      </w:r>
      <w:r w:rsidRPr="008A0130">
        <w:rPr>
          <w:rFonts w:ascii="Book Antiqua" w:hAnsi="Book Antiqua" w:cs="Times New Roman"/>
          <w:i/>
        </w:rPr>
        <w:t>ZEB1</w:t>
      </w:r>
      <w:r w:rsidRPr="008A0130">
        <w:rPr>
          <w:rFonts w:ascii="Book Antiqua" w:hAnsi="Book Antiqua" w:cs="Times New Roman"/>
        </w:rPr>
        <w:t xml:space="preserve"> and </w:t>
      </w:r>
      <w:r w:rsidRPr="008A0130">
        <w:rPr>
          <w:rFonts w:ascii="Book Antiqua" w:hAnsi="Book Antiqua" w:cs="Times New Roman"/>
          <w:i/>
        </w:rPr>
        <w:t>ZEB2</w:t>
      </w:r>
      <w:r w:rsidRPr="008A0130">
        <w:rPr>
          <w:rFonts w:ascii="Book Antiqua" w:hAnsi="Book Antiqua" w:cs="Times New Roman"/>
        </w:rPr>
        <w:t xml:space="preserve"> in gastric </w:t>
      </w:r>
      <w:proofErr w:type="gramStart"/>
      <w:r w:rsidRPr="008A0130">
        <w:rPr>
          <w:rFonts w:ascii="Book Antiqua" w:hAnsi="Book Antiqua" w:cs="Times New Roman"/>
        </w:rPr>
        <w:t>cancer</w:t>
      </w:r>
      <w:r w:rsidRPr="008A0130">
        <w:rPr>
          <w:rFonts w:ascii="Book Antiqua" w:hAnsi="Book Antiqua" w:cs="Times New Roman"/>
          <w:vertAlign w:val="superscript"/>
        </w:rPr>
        <w:t>[</w:t>
      </w:r>
      <w:proofErr w:type="gramEnd"/>
      <w:r w:rsidRPr="008A0130">
        <w:rPr>
          <w:rFonts w:ascii="Book Antiqua" w:hAnsi="Book Antiqua" w:cs="Times New Roman"/>
          <w:vertAlign w:val="superscript"/>
        </w:rPr>
        <w:t>1</w:t>
      </w:r>
      <w:r w:rsidR="009044F9" w:rsidRPr="008A0130">
        <w:rPr>
          <w:rFonts w:ascii="Book Antiqua" w:hAnsi="Book Antiqua" w:cs="Times New Roman"/>
          <w:vertAlign w:val="superscript"/>
        </w:rPr>
        <w:t>76,177</w:t>
      </w:r>
      <w:r w:rsidRPr="008A0130">
        <w:rPr>
          <w:rFonts w:ascii="Book Antiqua" w:hAnsi="Book Antiqua" w:cs="Times New Roman"/>
          <w:vertAlign w:val="superscript"/>
        </w:rPr>
        <w:t>]</w:t>
      </w:r>
      <w:r w:rsidRPr="008A0130">
        <w:rPr>
          <w:rFonts w:ascii="Book Antiqua" w:hAnsi="Book Antiqua" w:cs="Times New Roman"/>
        </w:rPr>
        <w:t>.</w:t>
      </w:r>
    </w:p>
    <w:p w14:paraId="373218EA" w14:textId="77777777" w:rsidR="0048631F" w:rsidRPr="008A0130" w:rsidRDefault="0048631F" w:rsidP="008A0130">
      <w:pPr>
        <w:pStyle w:val="Heading1"/>
        <w:spacing w:before="0" w:beforeAutospacing="0" w:after="0" w:afterAutospacing="0" w:line="360" w:lineRule="auto"/>
        <w:jc w:val="both"/>
        <w:rPr>
          <w:rFonts w:ascii="Book Antiqua" w:eastAsia="宋体" w:hAnsi="Book Antiqua" w:cs="Arial"/>
          <w:i/>
          <w:sz w:val="24"/>
          <w:szCs w:val="24"/>
          <w:lang w:eastAsia="zh-CN"/>
        </w:rPr>
      </w:pPr>
    </w:p>
    <w:p w14:paraId="16ADA546" w14:textId="0FEC7107" w:rsidR="005A29E3" w:rsidRPr="008A0130" w:rsidRDefault="005A29E3" w:rsidP="008A0130">
      <w:pPr>
        <w:pStyle w:val="Heading1"/>
        <w:spacing w:before="0" w:beforeAutospacing="0" w:after="0" w:afterAutospacing="0" w:line="360" w:lineRule="auto"/>
        <w:jc w:val="both"/>
        <w:rPr>
          <w:rFonts w:ascii="Book Antiqua" w:eastAsia="Times New Roman" w:hAnsi="Book Antiqua" w:cs="Arial"/>
          <w:i/>
          <w:sz w:val="24"/>
          <w:szCs w:val="24"/>
        </w:rPr>
      </w:pPr>
      <w:r w:rsidRPr="008A0130">
        <w:rPr>
          <w:rFonts w:ascii="Book Antiqua" w:eastAsia="Times New Roman" w:hAnsi="Book Antiqua" w:cs="Arial"/>
          <w:i/>
          <w:sz w:val="24"/>
          <w:szCs w:val="24"/>
        </w:rPr>
        <w:t>Wnt/</w:t>
      </w:r>
      <w:r w:rsidR="00F926B4" w:rsidRPr="008A0130">
        <w:rPr>
          <w:rFonts w:ascii="Book Antiqua" w:eastAsia="Times New Roman" w:hAnsi="Book Antiqua" w:cs="Times New Roman"/>
          <w:i/>
          <w:sz w:val="24"/>
          <w:szCs w:val="24"/>
        </w:rPr>
        <w:t>β</w:t>
      </w:r>
      <w:r w:rsidRPr="008A0130">
        <w:rPr>
          <w:rFonts w:ascii="Book Antiqua" w:eastAsia="Times New Roman" w:hAnsi="Book Antiqua" w:cs="Arial"/>
          <w:i/>
          <w:sz w:val="24"/>
          <w:szCs w:val="24"/>
        </w:rPr>
        <w:t>-catenin</w:t>
      </w:r>
      <w:r w:rsidRPr="008A0130">
        <w:rPr>
          <w:rStyle w:val="apple-converted-space"/>
          <w:rFonts w:ascii="Book Antiqua" w:eastAsia="Times New Roman" w:hAnsi="Book Antiqua" w:cs="Arial"/>
          <w:i/>
          <w:sz w:val="24"/>
          <w:szCs w:val="24"/>
        </w:rPr>
        <w:t> </w:t>
      </w:r>
      <w:r w:rsidRPr="008A0130">
        <w:rPr>
          <w:rStyle w:val="highlight"/>
          <w:rFonts w:ascii="Book Antiqua" w:eastAsia="Times New Roman" w:hAnsi="Book Antiqua" w:cs="Arial"/>
          <w:i/>
          <w:sz w:val="24"/>
          <w:szCs w:val="24"/>
        </w:rPr>
        <w:t>signaling</w:t>
      </w:r>
      <w:r w:rsidRPr="008A0130">
        <w:rPr>
          <w:rStyle w:val="apple-converted-space"/>
          <w:rFonts w:ascii="Book Antiqua" w:eastAsia="Times New Roman" w:hAnsi="Book Antiqua" w:cs="Arial"/>
          <w:i/>
          <w:sz w:val="24"/>
          <w:szCs w:val="24"/>
        </w:rPr>
        <w:t> </w:t>
      </w:r>
      <w:r w:rsidRPr="008A0130">
        <w:rPr>
          <w:rFonts w:ascii="Book Antiqua" w:eastAsia="Times New Roman" w:hAnsi="Book Antiqua" w:cs="Arial"/>
          <w:i/>
          <w:sz w:val="24"/>
          <w:szCs w:val="24"/>
        </w:rPr>
        <w:t>in the gastric cancer stem cells</w:t>
      </w:r>
    </w:p>
    <w:p w14:paraId="1EB34751" w14:textId="558D6DF1" w:rsidR="008448AF" w:rsidRPr="008A0130" w:rsidRDefault="000E77A2" w:rsidP="008A0130">
      <w:pPr>
        <w:spacing w:line="360" w:lineRule="auto"/>
        <w:jc w:val="both"/>
        <w:rPr>
          <w:rFonts w:ascii="Book Antiqua" w:eastAsia="Times New Roman" w:hAnsi="Book Antiqua" w:cs="Times New Roman"/>
        </w:rPr>
      </w:pPr>
      <w:r w:rsidRPr="008A0130">
        <w:rPr>
          <w:rFonts w:ascii="Book Antiqua" w:hAnsi="Book Antiqua" w:cs="Times"/>
        </w:rPr>
        <w:t xml:space="preserve">Cancer stem cells </w:t>
      </w:r>
      <w:r w:rsidR="000721C5" w:rsidRPr="008A0130">
        <w:rPr>
          <w:rFonts w:ascii="Book Antiqua" w:hAnsi="Book Antiqua" w:cs="Times"/>
        </w:rPr>
        <w:t>(</w:t>
      </w:r>
      <w:r w:rsidR="000A74D2" w:rsidRPr="008A0130">
        <w:rPr>
          <w:rFonts w:ascii="Book Antiqua" w:hAnsi="Book Antiqua" w:cs="Times"/>
        </w:rPr>
        <w:t xml:space="preserve">CSCs) </w:t>
      </w:r>
      <w:r w:rsidR="003567C8" w:rsidRPr="008A0130">
        <w:rPr>
          <w:rFonts w:ascii="Book Antiqua" w:eastAsia="Times New Roman" w:hAnsi="Book Antiqua" w:cs="Times New Roman"/>
          <w:lang w:val="es-ES_tradnl"/>
        </w:rPr>
        <w:t xml:space="preserve">are a group of heterogeneous cells </w:t>
      </w:r>
      <w:r w:rsidR="008448AF" w:rsidRPr="008A0130">
        <w:rPr>
          <w:rFonts w:ascii="Book Antiqua" w:hAnsi="Book Antiqua" w:cs="Times"/>
        </w:rPr>
        <w:t>representing</w:t>
      </w:r>
      <w:r w:rsidR="000A74D2" w:rsidRPr="008A0130">
        <w:rPr>
          <w:rFonts w:ascii="Book Antiqua" w:hAnsi="Book Antiqua" w:cs="Times"/>
        </w:rPr>
        <w:t xml:space="preserve"> a </w:t>
      </w:r>
      <w:r w:rsidR="003567C8" w:rsidRPr="008A0130">
        <w:rPr>
          <w:rFonts w:ascii="Book Antiqua" w:hAnsi="Book Antiqua" w:cs="Times"/>
        </w:rPr>
        <w:t xml:space="preserve">fraction of </w:t>
      </w:r>
      <w:r w:rsidR="000A74D2" w:rsidRPr="008A0130">
        <w:rPr>
          <w:rFonts w:ascii="Book Antiqua" w:hAnsi="Book Antiqua" w:cs="Times"/>
        </w:rPr>
        <w:t>certain tumor</w:t>
      </w:r>
      <w:r w:rsidR="003567C8" w:rsidRPr="008A0130">
        <w:rPr>
          <w:rFonts w:ascii="Book Antiqua" w:hAnsi="Book Antiqua" w:cs="Times"/>
        </w:rPr>
        <w:t>s</w:t>
      </w:r>
      <w:r w:rsidR="000A74D2" w:rsidRPr="008A0130">
        <w:rPr>
          <w:rFonts w:ascii="Book Antiqua" w:hAnsi="Book Antiqua" w:cs="Times"/>
        </w:rPr>
        <w:t xml:space="preserve"> </w:t>
      </w:r>
      <w:r w:rsidR="003567C8" w:rsidRPr="008A0130">
        <w:rPr>
          <w:rFonts w:ascii="Book Antiqua" w:hAnsi="Book Antiqua" w:cs="Times"/>
        </w:rPr>
        <w:t xml:space="preserve">that </w:t>
      </w:r>
      <w:r w:rsidR="000A74D2" w:rsidRPr="008A0130">
        <w:rPr>
          <w:rFonts w:ascii="Book Antiqua" w:hAnsi="Book Antiqua" w:cs="Times"/>
        </w:rPr>
        <w:t>share many properties wi</w:t>
      </w:r>
      <w:r w:rsidR="000721C5" w:rsidRPr="008A0130">
        <w:rPr>
          <w:rFonts w:ascii="Book Antiqua" w:hAnsi="Book Antiqua" w:cs="Times"/>
        </w:rPr>
        <w:t>th somatic stem cells, such as the</w:t>
      </w:r>
      <w:r w:rsidR="000A74D2" w:rsidRPr="008A0130">
        <w:rPr>
          <w:rFonts w:ascii="Book Antiqua" w:hAnsi="Book Antiqua" w:cs="Times"/>
        </w:rPr>
        <w:t xml:space="preserve"> capacity for self-renewal and multipotent differentiation potential</w:t>
      </w:r>
      <w:r w:rsidR="009044F9" w:rsidRPr="008A0130">
        <w:rPr>
          <w:rFonts w:ascii="Book Antiqua" w:eastAsia="Times New Roman" w:hAnsi="Book Antiqua" w:cs="Times New Roman"/>
          <w:vertAlign w:val="superscript"/>
        </w:rPr>
        <w:t>[178</w:t>
      </w:r>
      <w:r w:rsidR="00A86DFA" w:rsidRPr="008A0130">
        <w:rPr>
          <w:rFonts w:ascii="Book Antiqua" w:eastAsia="Times New Roman" w:hAnsi="Book Antiqua" w:cs="Times New Roman"/>
          <w:vertAlign w:val="superscript"/>
        </w:rPr>
        <w:t>]</w:t>
      </w:r>
      <w:r w:rsidR="000A74D2" w:rsidRPr="008A0130">
        <w:rPr>
          <w:rFonts w:ascii="Book Antiqua" w:hAnsi="Book Antiqua" w:cs="Times"/>
        </w:rPr>
        <w:t xml:space="preserve">. CSCs </w:t>
      </w:r>
      <w:r w:rsidR="008448AF" w:rsidRPr="008A0130">
        <w:rPr>
          <w:rFonts w:ascii="Book Antiqua" w:hAnsi="Book Antiqua" w:cs="Times"/>
        </w:rPr>
        <w:t xml:space="preserve">are involved in </w:t>
      </w:r>
      <w:r w:rsidR="008448AF" w:rsidRPr="008A0130">
        <w:rPr>
          <w:rFonts w:ascii="Book Antiqua" w:eastAsia="Times New Roman" w:hAnsi="Book Antiqua" w:cs="Times New Roman"/>
        </w:rPr>
        <w:t xml:space="preserve">tumor development, and form the basis for tumor </w:t>
      </w:r>
      <w:r w:rsidR="008448AF" w:rsidRPr="008A0130">
        <w:rPr>
          <w:rFonts w:ascii="Book Antiqua" w:eastAsia="Times New Roman" w:hAnsi="Book Antiqua" w:cs="Times New Roman"/>
        </w:rPr>
        <w:lastRenderedPageBreak/>
        <w:t xml:space="preserve">proliferation and </w:t>
      </w:r>
      <w:proofErr w:type="gramStart"/>
      <w:r w:rsidR="008448AF" w:rsidRPr="008A0130">
        <w:rPr>
          <w:rFonts w:ascii="Book Antiqua" w:eastAsia="Times New Roman" w:hAnsi="Book Antiqua" w:cs="Times New Roman"/>
        </w:rPr>
        <w:t>metastasis</w:t>
      </w:r>
      <w:r w:rsidR="009044F9" w:rsidRPr="008A0130">
        <w:rPr>
          <w:rFonts w:ascii="Book Antiqua" w:eastAsia="Times New Roman" w:hAnsi="Book Antiqua" w:cs="Times New Roman"/>
          <w:vertAlign w:val="superscript"/>
        </w:rPr>
        <w:t>[</w:t>
      </w:r>
      <w:proofErr w:type="gramEnd"/>
      <w:r w:rsidR="009044F9" w:rsidRPr="008A0130">
        <w:rPr>
          <w:rFonts w:ascii="Book Antiqua" w:eastAsia="Times New Roman" w:hAnsi="Book Antiqua" w:cs="Times New Roman"/>
          <w:vertAlign w:val="superscript"/>
        </w:rPr>
        <w:t>179-181</w:t>
      </w:r>
      <w:r w:rsidR="00A86DFA" w:rsidRPr="008A0130">
        <w:rPr>
          <w:rFonts w:ascii="Book Antiqua" w:eastAsia="Times New Roman" w:hAnsi="Book Antiqua" w:cs="Times New Roman"/>
          <w:vertAlign w:val="superscript"/>
        </w:rPr>
        <w:t>]</w:t>
      </w:r>
      <w:r w:rsidR="008448AF" w:rsidRPr="008A0130">
        <w:rPr>
          <w:rFonts w:ascii="Book Antiqua" w:eastAsia="Times New Roman" w:hAnsi="Book Antiqua" w:cs="Times New Roman"/>
        </w:rPr>
        <w:t xml:space="preserve">. </w:t>
      </w:r>
      <w:r w:rsidR="00536220" w:rsidRPr="008A0130">
        <w:rPr>
          <w:rFonts w:ascii="Book Antiqua" w:eastAsia="Times New Roman" w:hAnsi="Book Antiqua" w:cs="Times New Roman"/>
          <w:lang w:val="es-ES_tradnl"/>
        </w:rPr>
        <w:t>Researchers proved the existence of CSCs in many solid tumors, including in various gastrointestinal neoplasms suc</w:t>
      </w:r>
      <w:r w:rsidR="000721C5" w:rsidRPr="008A0130">
        <w:rPr>
          <w:rFonts w:ascii="Book Antiqua" w:eastAsia="Times New Roman" w:hAnsi="Book Antiqua" w:cs="Times New Roman"/>
          <w:lang w:val="es-ES_tradnl"/>
        </w:rPr>
        <w:t xml:space="preserve">h as colon, gastric </w:t>
      </w:r>
      <w:r w:rsidR="00272395" w:rsidRPr="008A0130">
        <w:rPr>
          <w:rFonts w:ascii="Book Antiqua" w:eastAsia="Times New Roman" w:hAnsi="Book Antiqua" w:cs="Times New Roman"/>
          <w:lang w:val="es-ES_tradnl"/>
        </w:rPr>
        <w:t>pa</w:t>
      </w:r>
      <w:r w:rsidR="000721C5" w:rsidRPr="008A0130">
        <w:rPr>
          <w:rFonts w:ascii="Book Antiqua" w:eastAsia="Times New Roman" w:hAnsi="Book Antiqua" w:cs="Times New Roman"/>
          <w:lang w:val="es-ES_tradnl"/>
        </w:rPr>
        <w:t>ncreas,</w:t>
      </w:r>
      <w:r w:rsidR="00536220" w:rsidRPr="008A0130">
        <w:rPr>
          <w:rFonts w:ascii="Book Antiqua" w:eastAsia="Times New Roman" w:hAnsi="Book Antiqua" w:cs="Times New Roman"/>
          <w:lang w:val="es-ES_tradnl"/>
        </w:rPr>
        <w:t xml:space="preserve"> liver and gastroesophageal tumors</w:t>
      </w:r>
      <w:r w:rsidR="009044F9" w:rsidRPr="008A0130">
        <w:rPr>
          <w:rFonts w:ascii="Book Antiqua" w:eastAsia="Times New Roman" w:hAnsi="Book Antiqua" w:cs="Times New Roman"/>
          <w:vertAlign w:val="superscript"/>
        </w:rPr>
        <w:t>[181-184</w:t>
      </w:r>
      <w:r w:rsidR="00C1372E" w:rsidRPr="008A0130">
        <w:rPr>
          <w:rFonts w:ascii="Book Antiqua" w:eastAsia="Times New Roman" w:hAnsi="Book Antiqua" w:cs="Times New Roman"/>
          <w:vertAlign w:val="superscript"/>
        </w:rPr>
        <w:t>]</w:t>
      </w:r>
      <w:r w:rsidR="00536220" w:rsidRPr="008A0130">
        <w:rPr>
          <w:rFonts w:ascii="Book Antiqua" w:eastAsia="Times New Roman" w:hAnsi="Book Antiqua" w:cs="Times New Roman"/>
        </w:rPr>
        <w:t>.</w:t>
      </w:r>
      <w:r w:rsidR="000721C5" w:rsidRPr="008A0130">
        <w:rPr>
          <w:rFonts w:ascii="Book Antiqua" w:eastAsia="Times New Roman" w:hAnsi="Book Antiqua" w:cs="Times New Roman"/>
        </w:rPr>
        <w:t xml:space="preserve"> </w:t>
      </w:r>
      <w:r w:rsidR="008448AF" w:rsidRPr="008A0130">
        <w:rPr>
          <w:rFonts w:ascii="Book Antiqua" w:eastAsia="Times New Roman" w:hAnsi="Book Antiqua" w:cs="Times New Roman"/>
        </w:rPr>
        <w:t xml:space="preserve">Moreover, CSCs </w:t>
      </w:r>
      <w:r w:rsidR="008448AF" w:rsidRPr="008A0130">
        <w:rPr>
          <w:rFonts w:ascii="Book Antiqua" w:hAnsi="Book Antiqua" w:cs="Times"/>
        </w:rPr>
        <w:t xml:space="preserve">are thought to be responsible for tumor recurrence, </w:t>
      </w:r>
      <w:r w:rsidR="000A74D2" w:rsidRPr="008A0130">
        <w:rPr>
          <w:rFonts w:ascii="Book Antiqua" w:hAnsi="Book Antiqua" w:cs="Times"/>
        </w:rPr>
        <w:t>which is one of the biggest problems in cancer therapy.</w:t>
      </w:r>
      <w:r w:rsidR="008448AF" w:rsidRPr="008A0130">
        <w:rPr>
          <w:rFonts w:ascii="Book Antiqua" w:eastAsia="Times New Roman" w:hAnsi="Book Antiqua" w:cs="Times New Roman"/>
          <w:lang w:val="es-ES_tradnl"/>
        </w:rPr>
        <w:t xml:space="preserve"> </w:t>
      </w:r>
    </w:p>
    <w:p w14:paraId="4837F960" w14:textId="58E9DCF8" w:rsidR="00DE479A" w:rsidRPr="008A0130" w:rsidRDefault="00314DF3"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Although the mechanism by which CSC</w:t>
      </w:r>
      <w:r w:rsidR="00536220" w:rsidRPr="008A0130">
        <w:rPr>
          <w:rFonts w:ascii="Book Antiqua" w:eastAsia="Times New Roman" w:hAnsi="Book Antiqua" w:cs="Times New Roman"/>
        </w:rPr>
        <w:t>s</w:t>
      </w:r>
      <w:r w:rsidRPr="008A0130">
        <w:rPr>
          <w:rFonts w:ascii="Book Antiqua" w:eastAsia="Times New Roman" w:hAnsi="Book Antiqua" w:cs="Times New Roman"/>
        </w:rPr>
        <w:t xml:space="preserve"> develop remains unclear several studies have investigated the role of dysregulation of the Wnt/</w:t>
      </w:r>
      <w:r w:rsidR="00F926B4" w:rsidRPr="008A0130">
        <w:rPr>
          <w:rFonts w:ascii="Book Antiqua" w:eastAsia="Times New Roman" w:hAnsi="Book Antiqua" w:cs="Times New Roman"/>
        </w:rPr>
        <w:t>β</w:t>
      </w:r>
      <w:r w:rsidRPr="008A0130">
        <w:rPr>
          <w:rFonts w:ascii="Book Antiqua" w:eastAsia="Times New Roman" w:hAnsi="Book Antiqua" w:cs="Times New Roman"/>
        </w:rPr>
        <w:t>-catenin, transformation growth factor-beta (TGF-</w:t>
      </w:r>
      <w:r w:rsidR="00F926B4" w:rsidRPr="008A0130">
        <w:rPr>
          <w:rFonts w:ascii="Book Antiqua" w:eastAsia="Times New Roman" w:hAnsi="Book Antiqua" w:cs="Times New Roman"/>
        </w:rPr>
        <w:t>β</w:t>
      </w:r>
      <w:r w:rsidRPr="008A0130">
        <w:rPr>
          <w:rFonts w:ascii="Book Antiqua" w:eastAsia="Times New Roman" w:hAnsi="Book Antiqua" w:cs="Times New Roman"/>
        </w:rPr>
        <w:t xml:space="preserve">) and hedhog pathways in generation of </w:t>
      </w:r>
      <w:proofErr w:type="gramStart"/>
      <w:r w:rsidRPr="008A0130">
        <w:rPr>
          <w:rFonts w:ascii="Book Antiqua" w:eastAsia="Times New Roman" w:hAnsi="Book Antiqua" w:cs="Times New Roman"/>
        </w:rPr>
        <w:t>CSC</w:t>
      </w:r>
      <w:r w:rsidR="005C1B8A" w:rsidRPr="008A0130">
        <w:rPr>
          <w:rFonts w:ascii="Book Antiqua" w:eastAsia="Times New Roman" w:hAnsi="Book Antiqua" w:cs="Times New Roman"/>
          <w:vertAlign w:val="superscript"/>
        </w:rPr>
        <w:t>[</w:t>
      </w:r>
      <w:proofErr w:type="gramEnd"/>
      <w:r w:rsidR="009044F9" w:rsidRPr="008A0130">
        <w:rPr>
          <w:rFonts w:ascii="Book Antiqua" w:eastAsia="Times New Roman" w:hAnsi="Book Antiqua" w:cs="Times New Roman"/>
          <w:vertAlign w:val="superscript"/>
        </w:rPr>
        <w:t>185</w:t>
      </w:r>
      <w:r w:rsidR="00C1372E" w:rsidRPr="008A0130">
        <w:rPr>
          <w:rFonts w:ascii="Book Antiqua" w:eastAsia="Times New Roman" w:hAnsi="Book Antiqua" w:cs="Times New Roman"/>
          <w:vertAlign w:val="superscript"/>
        </w:rPr>
        <w:t>-1</w:t>
      </w:r>
      <w:r w:rsidR="009044F9" w:rsidRPr="008A0130">
        <w:rPr>
          <w:rFonts w:ascii="Book Antiqua" w:eastAsia="Times New Roman" w:hAnsi="Book Antiqua" w:cs="Times New Roman"/>
          <w:vertAlign w:val="superscript"/>
        </w:rPr>
        <w:t>87</w:t>
      </w:r>
      <w:r w:rsidR="00C1372E" w:rsidRPr="008A0130">
        <w:rPr>
          <w:rFonts w:ascii="Book Antiqua" w:eastAsia="Times New Roman" w:hAnsi="Book Antiqua" w:cs="Times New Roman"/>
          <w:vertAlign w:val="superscript"/>
        </w:rPr>
        <w:t>]</w:t>
      </w:r>
      <w:r w:rsidR="009A5103" w:rsidRPr="008A0130">
        <w:rPr>
          <w:rFonts w:ascii="Book Antiqua" w:eastAsia="Times New Roman" w:hAnsi="Book Antiqua" w:cs="Times New Roman"/>
        </w:rPr>
        <w:t xml:space="preserve">. </w:t>
      </w:r>
      <w:r w:rsidR="00DE479A" w:rsidRPr="008A0130">
        <w:rPr>
          <w:rFonts w:ascii="Book Antiqua" w:hAnsi="Book Antiqua" w:cs="Times"/>
        </w:rPr>
        <w:t>Abnormal activation of Wnt/</w:t>
      </w:r>
      <w:r w:rsidR="00F926B4" w:rsidRPr="008A0130">
        <w:rPr>
          <w:rFonts w:ascii="Book Antiqua" w:eastAsia="Times New Roman" w:hAnsi="Book Antiqua" w:cs="Times New Roman"/>
        </w:rPr>
        <w:t>β</w:t>
      </w:r>
      <w:r w:rsidR="00DE479A" w:rsidRPr="008A0130">
        <w:rPr>
          <w:rFonts w:ascii="Book Antiqua" w:hAnsi="Book Antiqua" w:cs="Times"/>
        </w:rPr>
        <w:t xml:space="preserve">-catenin signaling pathway strongly correlates with tumorigenesis and progression through maintaining </w:t>
      </w:r>
      <w:proofErr w:type="gramStart"/>
      <w:r w:rsidR="00DE479A" w:rsidRPr="008A0130">
        <w:rPr>
          <w:rFonts w:ascii="Book Antiqua" w:hAnsi="Book Antiqua" w:cs="Times"/>
        </w:rPr>
        <w:t>CSCs</w:t>
      </w:r>
      <w:r w:rsidR="009044F9" w:rsidRPr="008A0130">
        <w:rPr>
          <w:rFonts w:ascii="Book Antiqua" w:eastAsia="Times New Roman" w:hAnsi="Book Antiqua" w:cs="Times New Roman"/>
          <w:vertAlign w:val="superscript"/>
        </w:rPr>
        <w:t>[</w:t>
      </w:r>
      <w:proofErr w:type="gramEnd"/>
      <w:r w:rsidR="009044F9" w:rsidRPr="008A0130">
        <w:rPr>
          <w:rFonts w:ascii="Book Antiqua" w:eastAsia="Times New Roman" w:hAnsi="Book Antiqua" w:cs="Times New Roman"/>
          <w:vertAlign w:val="superscript"/>
        </w:rPr>
        <w:t>188</w:t>
      </w:r>
      <w:r w:rsidR="00C1372E" w:rsidRPr="008A0130">
        <w:rPr>
          <w:rFonts w:ascii="Book Antiqua" w:eastAsia="Times New Roman" w:hAnsi="Book Antiqua" w:cs="Times New Roman"/>
          <w:vertAlign w:val="superscript"/>
        </w:rPr>
        <w:t>]</w:t>
      </w:r>
      <w:r w:rsidR="00DE479A" w:rsidRPr="008A0130">
        <w:rPr>
          <w:rFonts w:ascii="Book Antiqua" w:hAnsi="Book Antiqua" w:cs="Times"/>
        </w:rPr>
        <w:t>.</w:t>
      </w:r>
      <w:r w:rsidR="00A21AF7" w:rsidRPr="008A0130">
        <w:rPr>
          <w:rFonts w:ascii="Book Antiqua" w:hAnsi="Book Antiqua" w:cs="Times"/>
        </w:rPr>
        <w:t xml:space="preserve"> </w:t>
      </w:r>
      <w:r w:rsidR="00536220" w:rsidRPr="008A0130">
        <w:rPr>
          <w:rFonts w:ascii="Book Antiqua" w:hAnsi="Book Antiqua" w:cs="Times"/>
        </w:rPr>
        <w:t xml:space="preserve">In this regard, </w:t>
      </w:r>
      <w:r w:rsidR="00DE479A" w:rsidRPr="008A0130">
        <w:rPr>
          <w:rFonts w:ascii="Book Antiqua" w:hAnsi="Book Antiqua" w:cs="Times"/>
        </w:rPr>
        <w:t xml:space="preserve">Zhu </w:t>
      </w:r>
      <w:r w:rsidR="00DE479A" w:rsidRPr="008A0130">
        <w:rPr>
          <w:rFonts w:ascii="Book Antiqua" w:hAnsi="Book Antiqua" w:cs="Times"/>
          <w:i/>
          <w:iCs/>
        </w:rPr>
        <w:t xml:space="preserve">et </w:t>
      </w:r>
      <w:proofErr w:type="gramStart"/>
      <w:r w:rsidR="00DE479A" w:rsidRPr="008A0130">
        <w:rPr>
          <w:rFonts w:ascii="Book Antiqua" w:hAnsi="Book Antiqua" w:cs="Times"/>
          <w:i/>
          <w:iCs/>
        </w:rPr>
        <w:t>al</w:t>
      </w:r>
      <w:r w:rsidR="0048631F" w:rsidRPr="008A0130">
        <w:rPr>
          <w:rFonts w:ascii="Book Antiqua" w:eastAsia="Times New Roman" w:hAnsi="Book Antiqua" w:cs="Times New Roman"/>
          <w:vertAlign w:val="superscript"/>
        </w:rPr>
        <w:t>[</w:t>
      </w:r>
      <w:proofErr w:type="gramEnd"/>
      <w:r w:rsidR="0048631F" w:rsidRPr="008A0130">
        <w:rPr>
          <w:rFonts w:ascii="Book Antiqua" w:eastAsia="Times New Roman" w:hAnsi="Book Antiqua" w:cs="Times New Roman"/>
          <w:vertAlign w:val="superscript"/>
        </w:rPr>
        <w:t>189]</w:t>
      </w:r>
      <w:r w:rsidR="00DE479A" w:rsidRPr="008A0130">
        <w:rPr>
          <w:rFonts w:ascii="Book Antiqua" w:hAnsi="Book Antiqua" w:cs="Times"/>
          <w:i/>
          <w:iCs/>
        </w:rPr>
        <w:t xml:space="preserve"> </w:t>
      </w:r>
      <w:r w:rsidR="002261BA" w:rsidRPr="008A0130">
        <w:rPr>
          <w:rFonts w:ascii="Book Antiqua" w:hAnsi="Book Antiqua" w:cs="Times"/>
        </w:rPr>
        <w:t>identified that Dkk</w:t>
      </w:r>
      <w:r w:rsidR="00DE479A" w:rsidRPr="008A0130">
        <w:rPr>
          <w:rFonts w:ascii="Book Antiqua" w:hAnsi="Book Antiqua" w:cs="Times"/>
        </w:rPr>
        <w:t>-1 secreted by mesenchymal stem cells was able to inhibit proliferation of human carcinoma cell lines through the canonical Wnt signaling pathway. Moreover</w:t>
      </w:r>
      <w:r w:rsidR="00DE479A" w:rsidRPr="008A0130">
        <w:rPr>
          <w:rFonts w:ascii="Book Antiqua" w:eastAsia="Times New Roman" w:hAnsi="Book Antiqua" w:cs="Times New Roman"/>
        </w:rPr>
        <w:t xml:space="preserve">, knockdown of </w:t>
      </w:r>
      <w:r w:rsidR="00F926B4" w:rsidRPr="008A0130">
        <w:rPr>
          <w:rFonts w:ascii="Book Antiqua" w:eastAsia="Times New Roman" w:hAnsi="Book Antiqua" w:cs="Times New Roman"/>
        </w:rPr>
        <w:t>β</w:t>
      </w:r>
      <w:r w:rsidR="00DE479A" w:rsidRPr="008A0130">
        <w:rPr>
          <w:rFonts w:ascii="Book Antiqua" w:eastAsia="Times New Roman" w:hAnsi="Book Antiqua" w:cs="Times New Roman"/>
        </w:rPr>
        <w:t xml:space="preserve">-catenin resulted in inhibition of CSC in lung </w:t>
      </w:r>
      <w:proofErr w:type="gramStart"/>
      <w:r w:rsidR="00DE479A" w:rsidRPr="008A0130">
        <w:rPr>
          <w:rFonts w:ascii="Book Antiqua" w:eastAsia="Times New Roman" w:hAnsi="Book Antiqua" w:cs="Times New Roman"/>
        </w:rPr>
        <w:t>cancer</w:t>
      </w:r>
      <w:r w:rsidR="009044F9" w:rsidRPr="008A0130">
        <w:rPr>
          <w:rFonts w:ascii="Book Antiqua" w:eastAsia="Times New Roman" w:hAnsi="Book Antiqua" w:cs="Times New Roman"/>
          <w:vertAlign w:val="superscript"/>
        </w:rPr>
        <w:t>[</w:t>
      </w:r>
      <w:proofErr w:type="gramEnd"/>
      <w:r w:rsidR="009044F9" w:rsidRPr="008A0130">
        <w:rPr>
          <w:rFonts w:ascii="Book Antiqua" w:eastAsia="Times New Roman" w:hAnsi="Book Antiqua" w:cs="Times New Roman"/>
          <w:vertAlign w:val="superscript"/>
        </w:rPr>
        <w:t>190</w:t>
      </w:r>
      <w:r w:rsidR="00C1372E" w:rsidRPr="008A0130">
        <w:rPr>
          <w:rFonts w:ascii="Book Antiqua" w:eastAsia="Times New Roman" w:hAnsi="Book Antiqua" w:cs="Times New Roman"/>
          <w:vertAlign w:val="superscript"/>
        </w:rPr>
        <w:t>]</w:t>
      </w:r>
      <w:r w:rsidR="00DE479A" w:rsidRPr="008A0130">
        <w:rPr>
          <w:rFonts w:ascii="Book Antiqua" w:eastAsia="Times New Roman" w:hAnsi="Book Antiqua" w:cs="Times New Roman"/>
        </w:rPr>
        <w:t>.</w:t>
      </w:r>
    </w:p>
    <w:p w14:paraId="6BCF3982" w14:textId="2BA5AAD1" w:rsidR="008448AF" w:rsidRPr="008A0130" w:rsidRDefault="009905FE" w:rsidP="008A0130">
      <w:pPr>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The development of gastric cancer is closely associated with gastric CSCs (GCSCs). Clinicopathological analysis in gastric cancer has demonstrated that the expression of stem cell markers</w:t>
      </w:r>
      <w:r w:rsidRPr="008A0130">
        <w:rPr>
          <w:rFonts w:ascii="Book Antiqua" w:eastAsia="Times New Roman" w:hAnsi="Book Antiqua" w:cs="Times New Roman"/>
          <w:lang w:val="es-ES_tradnl"/>
        </w:rPr>
        <w:t xml:space="preserve"> CD44 and CD133 </w:t>
      </w:r>
      <w:r w:rsidRPr="008A0130">
        <w:rPr>
          <w:rFonts w:ascii="Book Antiqua" w:eastAsia="Times New Roman" w:hAnsi="Book Antiqua" w:cs="Times New Roman"/>
        </w:rPr>
        <w:t xml:space="preserve">is highly associated with the degree of malignancy and tumor </w:t>
      </w:r>
      <w:proofErr w:type="gramStart"/>
      <w:r w:rsidRPr="008A0130">
        <w:rPr>
          <w:rFonts w:ascii="Book Antiqua" w:eastAsia="Times New Roman" w:hAnsi="Book Antiqua" w:cs="Times New Roman"/>
        </w:rPr>
        <w:t>grading</w:t>
      </w:r>
      <w:r w:rsidR="009044F9" w:rsidRPr="008A0130">
        <w:rPr>
          <w:rFonts w:ascii="Book Antiqua" w:eastAsia="Times New Roman" w:hAnsi="Book Antiqua" w:cs="Times New Roman"/>
          <w:vertAlign w:val="superscript"/>
        </w:rPr>
        <w:t>[</w:t>
      </w:r>
      <w:proofErr w:type="gramEnd"/>
      <w:r w:rsidR="009044F9" w:rsidRPr="008A0130">
        <w:rPr>
          <w:rFonts w:ascii="Book Antiqua" w:eastAsia="Times New Roman" w:hAnsi="Book Antiqua" w:cs="Times New Roman"/>
          <w:vertAlign w:val="superscript"/>
        </w:rPr>
        <w:t>191-193</w:t>
      </w:r>
      <w:r w:rsidR="00C1372E" w:rsidRPr="008A0130">
        <w:rPr>
          <w:rFonts w:ascii="Book Antiqua" w:eastAsia="Times New Roman" w:hAnsi="Book Antiqua" w:cs="Times New Roman"/>
          <w:vertAlign w:val="superscript"/>
        </w:rPr>
        <w:t>]</w:t>
      </w:r>
      <w:r w:rsidRPr="008A0130">
        <w:rPr>
          <w:rFonts w:ascii="Book Antiqua" w:eastAsia="Times New Roman" w:hAnsi="Book Antiqua" w:cs="Times New Roman"/>
        </w:rPr>
        <w:t>.</w:t>
      </w:r>
      <w:r w:rsidR="00A21AF7" w:rsidRPr="008A0130">
        <w:rPr>
          <w:rFonts w:ascii="Book Antiqua" w:eastAsia="Times New Roman" w:hAnsi="Book Antiqua" w:cs="Times New Roman"/>
          <w:lang w:val="es-ES_tradnl"/>
        </w:rPr>
        <w:t xml:space="preserve"> </w:t>
      </w:r>
      <w:r w:rsidRPr="008A0130">
        <w:rPr>
          <w:rFonts w:ascii="Book Antiqua" w:hAnsi="Book Antiqua" w:cs="Times"/>
        </w:rPr>
        <w:t>A few studies have explored the role of Wnt/</w:t>
      </w:r>
      <w:r w:rsidR="00F926B4" w:rsidRPr="008A0130">
        <w:rPr>
          <w:rFonts w:ascii="Book Antiqua" w:eastAsia="Times New Roman" w:hAnsi="Book Antiqua" w:cs="Times New Roman"/>
        </w:rPr>
        <w:t>β</w:t>
      </w:r>
      <w:r w:rsidRPr="008A0130">
        <w:rPr>
          <w:rFonts w:ascii="Book Antiqua" w:hAnsi="Book Antiqua" w:cs="Times"/>
        </w:rPr>
        <w:t xml:space="preserve">-catenin signaling in </w:t>
      </w:r>
      <w:r w:rsidRPr="008A0130">
        <w:rPr>
          <w:rFonts w:ascii="Book Antiqua" w:eastAsia="Times New Roman" w:hAnsi="Book Antiqua" w:cs="Times New Roman"/>
        </w:rPr>
        <w:t>GCSCs self-renewal, proliferation and sensibility to treatment.</w:t>
      </w:r>
    </w:p>
    <w:p w14:paraId="0B8952BE" w14:textId="4FDF5A1C" w:rsidR="00BF5B5F" w:rsidRPr="008A0130" w:rsidRDefault="00C72E71" w:rsidP="008A0130">
      <w:pPr>
        <w:spacing w:line="360" w:lineRule="auto"/>
        <w:ind w:firstLineChars="100" w:firstLine="240"/>
        <w:jc w:val="both"/>
        <w:rPr>
          <w:rFonts w:ascii="Book Antiqua" w:eastAsia="Times New Roman" w:hAnsi="Book Antiqua" w:cs="Arial"/>
          <w:lang w:val="es-ES_tradnl"/>
        </w:rPr>
      </w:pPr>
      <w:r w:rsidRPr="008A0130">
        <w:rPr>
          <w:rStyle w:val="apple-converted-space"/>
          <w:rFonts w:ascii="Book Antiqua" w:eastAsia="Times New Roman" w:hAnsi="Book Antiqua" w:cs="Times New Roman"/>
        </w:rPr>
        <w:t>The</w:t>
      </w:r>
      <w:r w:rsidRPr="008A0130">
        <w:rPr>
          <w:rFonts w:ascii="Book Antiqua" w:eastAsia="Times New Roman" w:hAnsi="Book Antiqua" w:cs="Arial"/>
          <w:lang w:val="es-ES_tradnl"/>
        </w:rPr>
        <w:t xml:space="preserve"> squamo-columnar junction (SCJ) </w:t>
      </w:r>
      <w:r w:rsidRPr="008A0130">
        <w:rPr>
          <w:rStyle w:val="apple-converted-space"/>
          <w:rFonts w:ascii="Book Antiqua" w:eastAsia="Times New Roman" w:hAnsi="Book Antiqua" w:cs="Times New Roman"/>
        </w:rPr>
        <w:t xml:space="preserve">region of the normal mouse stomach contains a gland consisting of CD44+ cells, of which a few are quiescent or slow-cycling stem cell-like gastric </w:t>
      </w:r>
      <w:proofErr w:type="gramStart"/>
      <w:r w:rsidRPr="008A0130">
        <w:rPr>
          <w:rStyle w:val="apple-converted-space"/>
          <w:rFonts w:ascii="Book Antiqua" w:eastAsia="Times New Roman" w:hAnsi="Book Antiqua" w:cs="Times New Roman"/>
        </w:rPr>
        <w:t>cells</w:t>
      </w:r>
      <w:r w:rsidR="00C1372E" w:rsidRPr="008A0130">
        <w:rPr>
          <w:rFonts w:ascii="Book Antiqua" w:eastAsia="Times New Roman" w:hAnsi="Book Antiqua" w:cs="Times New Roman"/>
          <w:vertAlign w:val="superscript"/>
        </w:rPr>
        <w:t>[</w:t>
      </w:r>
      <w:proofErr w:type="gramEnd"/>
      <w:r w:rsidR="00C1372E" w:rsidRPr="008A0130">
        <w:rPr>
          <w:rFonts w:ascii="Book Antiqua" w:eastAsia="Times New Roman" w:hAnsi="Book Antiqua" w:cs="Times New Roman"/>
          <w:vertAlign w:val="superscript"/>
        </w:rPr>
        <w:t>45]</w:t>
      </w:r>
      <w:r w:rsidRPr="008A0130">
        <w:rPr>
          <w:rStyle w:val="apple-converted-space"/>
          <w:rFonts w:ascii="Book Antiqua" w:eastAsia="Times New Roman" w:hAnsi="Book Antiqua" w:cs="Times New Roman"/>
        </w:rPr>
        <w:t xml:space="preserve">. These CD44+ cells in the SCJ region can be expanded by the cooperative effect of </w:t>
      </w:r>
      <w:r w:rsidRPr="008A0130">
        <w:rPr>
          <w:rFonts w:ascii="Book Antiqua" w:eastAsia="Times New Roman" w:hAnsi="Book Antiqua" w:cs="Arial"/>
          <w:lang w:val="es-ES_tradnl"/>
        </w:rPr>
        <w:t>PGE</w:t>
      </w:r>
      <w:r w:rsidRPr="008A0130">
        <w:rPr>
          <w:rFonts w:ascii="Book Antiqua" w:eastAsia="Times New Roman" w:hAnsi="Book Antiqua" w:cs="Arial"/>
          <w:vertAlign w:val="subscript"/>
          <w:lang w:val="es-ES_tradnl"/>
        </w:rPr>
        <w:t>2</w:t>
      </w:r>
      <w:r w:rsidRPr="008A0130">
        <w:rPr>
          <w:rFonts w:ascii="Book Antiqua" w:eastAsia="Times New Roman" w:hAnsi="Book Antiqua" w:cs="Arial"/>
          <w:lang w:val="es-ES_tradnl"/>
        </w:rPr>
        <w:t xml:space="preserve">-mediated inflammatory signaling and Wnt signaling, suggesting a mechanism to development of gastric tumors in </w:t>
      </w:r>
      <w:proofErr w:type="gramStart"/>
      <w:r w:rsidRPr="008A0130">
        <w:rPr>
          <w:rFonts w:ascii="Book Antiqua" w:eastAsia="Times New Roman" w:hAnsi="Book Antiqua" w:cs="Arial"/>
          <w:lang w:val="es-ES_tradnl"/>
        </w:rPr>
        <w:t>mice</w:t>
      </w:r>
      <w:r w:rsidRPr="008A0130">
        <w:rPr>
          <w:rFonts w:ascii="Book Antiqua" w:eastAsia="Times New Roman" w:hAnsi="Book Antiqua" w:cs="Times New Roman"/>
          <w:vertAlign w:val="superscript"/>
        </w:rPr>
        <w:t>[</w:t>
      </w:r>
      <w:proofErr w:type="gramEnd"/>
      <w:r w:rsidR="00C1372E" w:rsidRPr="008A0130">
        <w:rPr>
          <w:rFonts w:ascii="Book Antiqua" w:eastAsia="Times New Roman" w:hAnsi="Book Antiqua" w:cs="Times New Roman"/>
          <w:vertAlign w:val="superscript"/>
        </w:rPr>
        <w:t>4</w:t>
      </w:r>
      <w:r w:rsidRPr="008A0130">
        <w:rPr>
          <w:rFonts w:ascii="Book Antiqua" w:eastAsia="Times New Roman" w:hAnsi="Book Antiqua" w:cs="Times New Roman"/>
          <w:vertAlign w:val="superscript"/>
        </w:rPr>
        <w:t>5]</w:t>
      </w:r>
      <w:r w:rsidRPr="008A0130">
        <w:rPr>
          <w:rFonts w:ascii="Book Antiqua" w:eastAsia="Times New Roman" w:hAnsi="Book Antiqua" w:cs="Arial"/>
          <w:lang w:val="es-ES_tradnl"/>
        </w:rPr>
        <w:t xml:space="preserve">. </w:t>
      </w:r>
      <w:r w:rsidRPr="008A0130">
        <w:rPr>
          <w:rFonts w:ascii="Book Antiqua" w:hAnsi="Book Antiqua" w:cs="Times"/>
        </w:rPr>
        <w:t xml:space="preserve">Moreover, Mao </w:t>
      </w:r>
      <w:r w:rsidRPr="008A0130">
        <w:rPr>
          <w:rFonts w:ascii="Book Antiqua" w:hAnsi="Book Antiqua" w:cs="Times"/>
          <w:i/>
        </w:rPr>
        <w:t xml:space="preserve">et </w:t>
      </w:r>
      <w:proofErr w:type="gramStart"/>
      <w:r w:rsidRPr="008A0130">
        <w:rPr>
          <w:rFonts w:ascii="Book Antiqua" w:hAnsi="Book Antiqua" w:cs="Times"/>
          <w:i/>
        </w:rPr>
        <w:t>al</w:t>
      </w:r>
      <w:r w:rsidR="0048631F" w:rsidRPr="008A0130">
        <w:rPr>
          <w:rFonts w:ascii="Book Antiqua" w:hAnsi="Book Antiqua" w:cs="Times"/>
          <w:vertAlign w:val="superscript"/>
        </w:rPr>
        <w:t>[</w:t>
      </w:r>
      <w:proofErr w:type="gramEnd"/>
      <w:r w:rsidR="0048631F" w:rsidRPr="008A0130">
        <w:rPr>
          <w:rFonts w:ascii="Book Antiqua" w:hAnsi="Book Antiqua" w:cs="Times"/>
          <w:vertAlign w:val="superscript"/>
        </w:rPr>
        <w:t>47]</w:t>
      </w:r>
      <w:r w:rsidRPr="008A0130">
        <w:rPr>
          <w:rFonts w:ascii="Book Antiqua" w:hAnsi="Book Antiqua" w:cs="Times"/>
        </w:rPr>
        <w:t xml:space="preserve"> observed that stem-related genes </w:t>
      </w:r>
      <w:r w:rsidRPr="008A0130">
        <w:rPr>
          <w:rFonts w:ascii="Book Antiqua" w:hAnsi="Book Antiqua" w:cs="Times"/>
          <w:i/>
        </w:rPr>
        <w:t>Wnt</w:t>
      </w:r>
      <w:r w:rsidR="000721C5" w:rsidRPr="008A0130">
        <w:rPr>
          <w:rFonts w:ascii="Book Antiqua" w:hAnsi="Book Antiqua" w:cs="Times"/>
          <w:i/>
        </w:rPr>
        <w:t>-</w:t>
      </w:r>
      <w:r w:rsidRPr="008A0130">
        <w:rPr>
          <w:rFonts w:ascii="Book Antiqua" w:hAnsi="Book Antiqua" w:cs="Times"/>
          <w:i/>
        </w:rPr>
        <w:t>1</w:t>
      </w:r>
      <w:r w:rsidRPr="008A0130">
        <w:rPr>
          <w:rFonts w:ascii="Book Antiqua" w:hAnsi="Book Antiqua" w:cs="Times"/>
        </w:rPr>
        <w:t xml:space="preserve"> and </w:t>
      </w:r>
      <w:r w:rsidRPr="008A0130">
        <w:rPr>
          <w:rFonts w:ascii="Book Antiqua" w:hAnsi="Book Antiqua" w:cs="Times"/>
          <w:i/>
        </w:rPr>
        <w:t>CD44</w:t>
      </w:r>
      <w:r w:rsidRPr="008A0130">
        <w:rPr>
          <w:rFonts w:ascii="Book Antiqua" w:hAnsi="Book Antiqua" w:cs="Times"/>
        </w:rPr>
        <w:t xml:space="preserve"> are overexpressed in gastric cancer specimens. They found that the proliferation rate of GCSCs was dramatically inhibited by knockdown of </w:t>
      </w:r>
      <w:r w:rsidRPr="008A0130">
        <w:rPr>
          <w:rFonts w:ascii="Book Antiqua" w:hAnsi="Book Antiqua" w:cs="Times"/>
          <w:i/>
        </w:rPr>
        <w:t>Wnt</w:t>
      </w:r>
      <w:r w:rsidR="000721C5" w:rsidRPr="008A0130">
        <w:rPr>
          <w:rFonts w:ascii="Book Antiqua" w:hAnsi="Book Antiqua" w:cs="Times"/>
          <w:i/>
        </w:rPr>
        <w:t>-</w:t>
      </w:r>
      <w:r w:rsidRPr="008A0130">
        <w:rPr>
          <w:rFonts w:ascii="Book Antiqua" w:hAnsi="Book Antiqua" w:cs="Times"/>
          <w:i/>
        </w:rPr>
        <w:t>1</w:t>
      </w:r>
      <w:r w:rsidRPr="008A0130">
        <w:rPr>
          <w:rFonts w:ascii="Book Antiqua" w:hAnsi="Book Antiqua" w:cs="Times"/>
        </w:rPr>
        <w:t xml:space="preserve">. </w:t>
      </w:r>
      <w:r w:rsidRPr="008A0130">
        <w:rPr>
          <w:rFonts w:ascii="Book Antiqua" w:eastAsia="Times New Roman" w:hAnsi="Book Antiqua" w:cs="Times New Roman"/>
        </w:rPr>
        <w:t>Also, Salinomycin, an antibiotic thought to suppress Wnt/</w:t>
      </w:r>
      <w:r w:rsidR="00F926B4" w:rsidRPr="008A0130">
        <w:rPr>
          <w:rFonts w:ascii="Book Antiqua" w:eastAsia="Times New Roman" w:hAnsi="Book Antiqua" w:cs="Times New Roman"/>
        </w:rPr>
        <w:t>β</w:t>
      </w:r>
      <w:r w:rsidRPr="008A0130">
        <w:rPr>
          <w:rFonts w:ascii="Book Antiqua" w:eastAsia="Times New Roman" w:hAnsi="Book Antiqua" w:cs="Times New Roman"/>
        </w:rPr>
        <w:t xml:space="preserve">-catenin signal transduction can inhibit </w:t>
      </w:r>
      <w:proofErr w:type="gramStart"/>
      <w:r w:rsidRPr="008A0130">
        <w:rPr>
          <w:rFonts w:ascii="Book Antiqua" w:eastAsia="Times New Roman" w:hAnsi="Book Antiqua" w:cs="Times New Roman"/>
        </w:rPr>
        <w:t>GCSC</w:t>
      </w:r>
      <w:r w:rsidR="009044F9" w:rsidRPr="008A0130">
        <w:rPr>
          <w:rFonts w:ascii="Book Antiqua" w:eastAsia="Times New Roman" w:hAnsi="Book Antiqua" w:cs="Times New Roman"/>
          <w:vertAlign w:val="superscript"/>
        </w:rPr>
        <w:t>[</w:t>
      </w:r>
      <w:proofErr w:type="gramEnd"/>
      <w:r w:rsidR="009044F9" w:rsidRPr="008A0130">
        <w:rPr>
          <w:rFonts w:ascii="Book Antiqua" w:eastAsia="Times New Roman" w:hAnsi="Book Antiqua" w:cs="Times New Roman"/>
          <w:vertAlign w:val="superscript"/>
        </w:rPr>
        <w:t>47,194</w:t>
      </w:r>
      <w:r w:rsidR="00C1372E" w:rsidRPr="008A0130">
        <w:rPr>
          <w:rFonts w:ascii="Book Antiqua" w:eastAsia="Times New Roman" w:hAnsi="Book Antiqua" w:cs="Times New Roman"/>
          <w:vertAlign w:val="superscript"/>
        </w:rPr>
        <w:t>]</w:t>
      </w:r>
      <w:r w:rsidRPr="008A0130">
        <w:rPr>
          <w:rFonts w:ascii="Book Antiqua" w:eastAsia="Times New Roman" w:hAnsi="Book Antiqua" w:cs="Times New Roman"/>
        </w:rPr>
        <w:t>.</w:t>
      </w:r>
      <w:r w:rsidRPr="008A0130">
        <w:rPr>
          <w:rStyle w:val="apple-converted-space"/>
          <w:rFonts w:ascii="Book Antiqua" w:eastAsia="Times New Roman" w:hAnsi="Book Antiqua" w:cs="Times New Roman"/>
        </w:rPr>
        <w:t> </w:t>
      </w:r>
      <w:r w:rsidR="008E4480" w:rsidRPr="008A0130">
        <w:rPr>
          <w:rStyle w:val="apple-converted-space"/>
          <w:rFonts w:ascii="Book Antiqua" w:eastAsia="Times New Roman" w:hAnsi="Book Antiqua" w:cs="Times New Roman"/>
        </w:rPr>
        <w:t xml:space="preserve">Finally, </w:t>
      </w:r>
      <w:r w:rsidR="008E4480" w:rsidRPr="008A0130">
        <w:rPr>
          <w:rFonts w:ascii="Book Antiqua" w:eastAsia="Times New Roman" w:hAnsi="Book Antiqua" w:cs="Arial"/>
          <w:lang w:val="es-ES_tradnl"/>
        </w:rPr>
        <w:t>t</w:t>
      </w:r>
      <w:r w:rsidRPr="008A0130">
        <w:rPr>
          <w:rFonts w:ascii="Book Antiqua" w:eastAsia="Times New Roman" w:hAnsi="Book Antiqua" w:cs="Arial"/>
          <w:lang w:val="es-ES_tradnl"/>
        </w:rPr>
        <w:t xml:space="preserve">he importance </w:t>
      </w:r>
      <w:r w:rsidRPr="008A0130">
        <w:rPr>
          <w:rFonts w:ascii="Book Antiqua" w:hAnsi="Book Antiqua" w:cs="Times"/>
        </w:rPr>
        <w:t>of the Wnt/</w:t>
      </w:r>
      <w:r w:rsidR="00F926B4" w:rsidRPr="008A0130">
        <w:rPr>
          <w:rFonts w:ascii="Book Antiqua" w:hAnsi="Book Antiqua" w:cs="Times New Roman"/>
        </w:rPr>
        <w:t>β</w:t>
      </w:r>
      <w:r w:rsidRPr="008A0130">
        <w:rPr>
          <w:rFonts w:ascii="Book Antiqua" w:hAnsi="Book Antiqua" w:cs="Times"/>
        </w:rPr>
        <w:t>-</w:t>
      </w:r>
      <w:r w:rsidRPr="008A0130">
        <w:rPr>
          <w:rFonts w:ascii="Book Antiqua" w:hAnsi="Book Antiqua" w:cs="Times"/>
        </w:rPr>
        <w:lastRenderedPageBreak/>
        <w:t>catenin pat</w:t>
      </w:r>
      <w:r w:rsidR="000721C5" w:rsidRPr="008A0130">
        <w:rPr>
          <w:rFonts w:ascii="Book Antiqua" w:hAnsi="Book Antiqua" w:cs="Times"/>
        </w:rPr>
        <w:t>hway for the self-renewal of CS</w:t>
      </w:r>
      <w:r w:rsidRPr="008A0130">
        <w:rPr>
          <w:rFonts w:ascii="Book Antiqua" w:hAnsi="Book Antiqua" w:cs="Times"/>
        </w:rPr>
        <w:t>Cs in human gastric cancer have also been suggested by proving that stimulation with Dkk-1 could decrease the self-renewal ability of cancer stem-like cells</w:t>
      </w:r>
      <w:r w:rsidRPr="008A0130">
        <w:rPr>
          <w:rFonts w:ascii="Book Antiqua" w:eastAsia="Times New Roman" w:hAnsi="Book Antiqua" w:cs="Times New Roman"/>
          <w:vertAlign w:val="superscript"/>
        </w:rPr>
        <w:t>[</w:t>
      </w:r>
      <w:r w:rsidR="00C1372E" w:rsidRPr="008A0130">
        <w:rPr>
          <w:rFonts w:ascii="Book Antiqua" w:eastAsia="Times New Roman" w:hAnsi="Book Antiqua" w:cs="Times New Roman"/>
          <w:vertAlign w:val="superscript"/>
        </w:rPr>
        <w:t>4</w:t>
      </w:r>
      <w:r w:rsidRPr="008A0130">
        <w:rPr>
          <w:rFonts w:ascii="Book Antiqua" w:eastAsia="Times New Roman" w:hAnsi="Book Antiqua" w:cs="Times New Roman"/>
          <w:vertAlign w:val="superscript"/>
        </w:rPr>
        <w:t>6]</w:t>
      </w:r>
      <w:r w:rsidRPr="008A0130">
        <w:rPr>
          <w:rFonts w:ascii="Book Antiqua" w:hAnsi="Book Antiqua" w:cs="Times"/>
        </w:rPr>
        <w:t>.</w:t>
      </w:r>
    </w:p>
    <w:p w14:paraId="4690C1A5" w14:textId="77777777" w:rsidR="0048631F" w:rsidRPr="008A0130" w:rsidRDefault="0048631F" w:rsidP="008A0130">
      <w:pPr>
        <w:widowControl w:val="0"/>
        <w:autoSpaceDE w:val="0"/>
        <w:autoSpaceDN w:val="0"/>
        <w:adjustRightInd w:val="0"/>
        <w:spacing w:line="360" w:lineRule="auto"/>
        <w:jc w:val="both"/>
        <w:rPr>
          <w:rFonts w:ascii="Book Antiqua" w:eastAsia="宋体" w:hAnsi="Book Antiqua" w:cs="Times New Roman"/>
          <w:b/>
          <w:i/>
          <w:lang w:eastAsia="zh-CN"/>
        </w:rPr>
      </w:pPr>
    </w:p>
    <w:p w14:paraId="0B790513" w14:textId="42748896" w:rsidR="00213CD9" w:rsidRPr="008A0130" w:rsidRDefault="00D95A25" w:rsidP="008A0130">
      <w:pPr>
        <w:widowControl w:val="0"/>
        <w:autoSpaceDE w:val="0"/>
        <w:autoSpaceDN w:val="0"/>
        <w:adjustRightInd w:val="0"/>
        <w:spacing w:line="360" w:lineRule="auto"/>
        <w:jc w:val="both"/>
        <w:rPr>
          <w:rFonts w:ascii="Book Antiqua" w:hAnsi="Book Antiqua" w:cs="Times New Roman"/>
          <w:b/>
          <w:i/>
        </w:rPr>
      </w:pPr>
      <w:r w:rsidRPr="008A0130">
        <w:rPr>
          <w:rFonts w:ascii="Book Antiqua" w:hAnsi="Book Antiqua" w:cs="Times New Roman"/>
          <w:b/>
          <w:i/>
        </w:rPr>
        <w:t>Wnt/</w:t>
      </w:r>
      <w:r w:rsidRPr="008A0130">
        <w:rPr>
          <w:rFonts w:ascii="Book Antiqua" w:hAnsi="Book Antiqua" w:cs="Times New Roman"/>
          <w:b/>
          <w:i/>
        </w:rPr>
        <w:sym w:font="Symbol" w:char="F062"/>
      </w:r>
      <w:r w:rsidRPr="008A0130">
        <w:rPr>
          <w:rFonts w:ascii="Book Antiqua" w:hAnsi="Book Antiqua" w:cs="Times New Roman"/>
          <w:b/>
          <w:i/>
        </w:rPr>
        <w:t xml:space="preserve">-catenin signaling and </w:t>
      </w:r>
      <w:r w:rsidR="006D7A88" w:rsidRPr="008A0130">
        <w:rPr>
          <w:rFonts w:ascii="Book Antiqua" w:hAnsi="Book Antiqua" w:cs="Times New Roman"/>
          <w:b/>
          <w:i/>
        </w:rPr>
        <w:t>metastatic potential</w:t>
      </w:r>
      <w:r w:rsidRPr="008A0130">
        <w:rPr>
          <w:rFonts w:ascii="Book Antiqua" w:hAnsi="Book Antiqua" w:cs="Times New Roman"/>
          <w:b/>
          <w:i/>
        </w:rPr>
        <w:t xml:space="preserve"> in gastric cancer cells</w:t>
      </w:r>
    </w:p>
    <w:p w14:paraId="365CBB03" w14:textId="00D5A96B" w:rsidR="008F6E65" w:rsidRPr="008A0130" w:rsidRDefault="00CC539E" w:rsidP="008A0130">
      <w:pPr>
        <w:widowControl w:val="0"/>
        <w:autoSpaceDE w:val="0"/>
        <w:autoSpaceDN w:val="0"/>
        <w:adjustRightInd w:val="0"/>
        <w:spacing w:line="360" w:lineRule="auto"/>
        <w:jc w:val="both"/>
        <w:rPr>
          <w:rFonts w:ascii="Book Antiqua" w:hAnsi="Book Antiqua" w:cs="Times New Roman"/>
        </w:rPr>
      </w:pPr>
      <w:r w:rsidRPr="008A0130">
        <w:rPr>
          <w:rFonts w:ascii="Book Antiqua" w:hAnsi="Book Antiqua" w:cs="Times New Roman"/>
        </w:rPr>
        <w:t xml:space="preserve">A </w:t>
      </w:r>
      <w:r w:rsidR="00C05E99" w:rsidRPr="008A0130">
        <w:rPr>
          <w:rFonts w:ascii="Book Antiqua" w:hAnsi="Book Antiqua" w:cs="Times New Roman"/>
        </w:rPr>
        <w:t>distinctive feature</w:t>
      </w:r>
      <w:r w:rsidRPr="008A0130">
        <w:rPr>
          <w:rFonts w:ascii="Book Antiqua" w:hAnsi="Book Antiqua" w:cs="Times New Roman"/>
        </w:rPr>
        <w:t xml:space="preserve"> of gastric cancer is early invasiveness into </w:t>
      </w:r>
      <w:r w:rsidR="00C05E99" w:rsidRPr="008A0130">
        <w:rPr>
          <w:rFonts w:ascii="Book Antiqua" w:hAnsi="Book Antiqua" w:cs="Times New Roman"/>
        </w:rPr>
        <w:t>adjacent</w:t>
      </w:r>
      <w:r w:rsidRPr="008A0130">
        <w:rPr>
          <w:rFonts w:ascii="Book Antiqua" w:hAnsi="Book Antiqua" w:cs="Times New Roman"/>
        </w:rPr>
        <w:t xml:space="preserve"> tiss</w:t>
      </w:r>
      <w:r w:rsidR="005E596E" w:rsidRPr="008A0130">
        <w:rPr>
          <w:rFonts w:ascii="Book Antiqua" w:hAnsi="Book Antiqua" w:cs="Times New Roman"/>
        </w:rPr>
        <w:t>ues and the peritoneal cavity. It has been hypothesized that Wnt/</w:t>
      </w:r>
      <w:r w:rsidR="005E596E" w:rsidRPr="008A0130">
        <w:rPr>
          <w:rFonts w:ascii="Book Antiqua" w:hAnsi="Book Antiqua" w:cs="Times New Roman"/>
        </w:rPr>
        <w:sym w:font="Symbol" w:char="F062"/>
      </w:r>
      <w:r w:rsidR="005E596E" w:rsidRPr="008A0130">
        <w:rPr>
          <w:rFonts w:ascii="Book Antiqua" w:hAnsi="Book Antiqua" w:cs="Times New Roman"/>
        </w:rPr>
        <w:t xml:space="preserve">-catenin signaling could </w:t>
      </w:r>
      <w:r w:rsidR="00314F8A" w:rsidRPr="008A0130">
        <w:rPr>
          <w:rFonts w:ascii="Book Antiqua" w:hAnsi="Book Antiqua" w:cs="Times New Roman"/>
        </w:rPr>
        <w:t xml:space="preserve">contribute to tumor progression by enhancing the proliferation and invasiveness of gastric cancer cells. </w:t>
      </w:r>
      <w:r w:rsidR="008F6E65" w:rsidRPr="008A0130">
        <w:rPr>
          <w:rFonts w:ascii="Book Antiqua" w:hAnsi="Book Antiqua" w:cs="Times New Roman"/>
        </w:rPr>
        <w:t>Furthermore, it is thought that the Wnt/</w:t>
      </w:r>
      <w:r w:rsidR="00F926B4" w:rsidRPr="008A0130">
        <w:rPr>
          <w:rFonts w:ascii="Book Antiqua" w:hAnsi="Book Antiqua" w:cs="Times New Roman"/>
        </w:rPr>
        <w:t>β</w:t>
      </w:r>
      <w:r w:rsidR="008F6E65" w:rsidRPr="008A0130">
        <w:rPr>
          <w:rFonts w:ascii="Book Antiqua" w:hAnsi="Book Antiqua" w:cs="Times New Roman"/>
        </w:rPr>
        <w:t xml:space="preserve">-catenin pathway is one of the major signaling pathways involved in </w:t>
      </w:r>
      <w:r w:rsidR="000721C5" w:rsidRPr="008A0130">
        <w:rPr>
          <w:rFonts w:ascii="Book Antiqua" w:hAnsi="Book Antiqua" w:cs="Times New Roman"/>
        </w:rPr>
        <w:t xml:space="preserve">EMT </w:t>
      </w:r>
      <w:r w:rsidR="008F6E65" w:rsidRPr="008A0130">
        <w:rPr>
          <w:rFonts w:ascii="Book Antiqua" w:hAnsi="Book Antiqua" w:cs="Times New Roman"/>
        </w:rPr>
        <w:t>and therefore</w:t>
      </w:r>
      <w:r w:rsidR="000721C5" w:rsidRPr="008A0130">
        <w:rPr>
          <w:rFonts w:ascii="Book Antiqua" w:hAnsi="Book Antiqua" w:cs="Times New Roman"/>
        </w:rPr>
        <w:t>,</w:t>
      </w:r>
      <w:r w:rsidR="008F6E65" w:rsidRPr="008A0130">
        <w:rPr>
          <w:rFonts w:ascii="Book Antiqua" w:hAnsi="Book Antiqua" w:cs="Times New Roman"/>
        </w:rPr>
        <w:t xml:space="preserve"> play</w:t>
      </w:r>
      <w:r w:rsidR="001633D7" w:rsidRPr="008A0130">
        <w:rPr>
          <w:rFonts w:ascii="Book Antiqua" w:hAnsi="Book Antiqua" w:cs="Times New Roman"/>
        </w:rPr>
        <w:t>ing</w:t>
      </w:r>
      <w:r w:rsidR="008F6E65" w:rsidRPr="008A0130">
        <w:rPr>
          <w:rFonts w:ascii="Book Antiqua" w:hAnsi="Book Antiqua" w:cs="Times New Roman"/>
        </w:rPr>
        <w:t xml:space="preserve"> a critical role in </w:t>
      </w:r>
      <w:proofErr w:type="gramStart"/>
      <w:r w:rsidR="008F6E65" w:rsidRPr="008A0130">
        <w:rPr>
          <w:rFonts w:ascii="Book Antiqua" w:hAnsi="Book Antiqua" w:cs="Times New Roman"/>
        </w:rPr>
        <w:t>metastasis</w:t>
      </w:r>
      <w:r w:rsidR="009044F9" w:rsidRPr="008A0130">
        <w:rPr>
          <w:rFonts w:ascii="Book Antiqua" w:hAnsi="Book Antiqua" w:cs="Times New Roman"/>
          <w:vertAlign w:val="superscript"/>
        </w:rPr>
        <w:t>[</w:t>
      </w:r>
      <w:proofErr w:type="gramEnd"/>
      <w:r w:rsidR="009044F9" w:rsidRPr="008A0130">
        <w:rPr>
          <w:rFonts w:ascii="Book Antiqua" w:hAnsi="Book Antiqua" w:cs="Times New Roman"/>
          <w:vertAlign w:val="superscript"/>
        </w:rPr>
        <w:t>195</w:t>
      </w:r>
      <w:r w:rsidR="0054194F" w:rsidRPr="008A0130">
        <w:rPr>
          <w:rFonts w:ascii="Book Antiqua" w:hAnsi="Book Antiqua" w:cs="Times New Roman"/>
          <w:vertAlign w:val="superscript"/>
        </w:rPr>
        <w:t>]</w:t>
      </w:r>
      <w:r w:rsidR="008F6E65" w:rsidRPr="008A0130">
        <w:rPr>
          <w:rFonts w:ascii="Book Antiqua" w:hAnsi="Book Antiqua" w:cs="Times New Roman"/>
        </w:rPr>
        <w:t>.</w:t>
      </w:r>
      <w:r w:rsidR="000E62E8" w:rsidRPr="008A0130">
        <w:rPr>
          <w:rFonts w:ascii="Book Antiqua" w:hAnsi="Book Antiqua" w:cs="Times New Roman"/>
        </w:rPr>
        <w:t xml:space="preserve"> Indeed, disruption of Wnt/ß-catenin pathway has shown anti-metastatic activity in gastric cancer </w:t>
      </w:r>
      <w:proofErr w:type="gramStart"/>
      <w:r w:rsidR="000E62E8" w:rsidRPr="008A0130">
        <w:rPr>
          <w:rFonts w:ascii="Book Antiqua" w:hAnsi="Book Antiqua" w:cs="Times New Roman"/>
        </w:rPr>
        <w:t>cells</w:t>
      </w:r>
      <w:r w:rsidR="000E62E8" w:rsidRPr="008A0130">
        <w:rPr>
          <w:rFonts w:ascii="Book Antiqua" w:hAnsi="Book Antiqua" w:cs="Times New Roman"/>
          <w:vertAlign w:val="superscript"/>
        </w:rPr>
        <w:t>[</w:t>
      </w:r>
      <w:proofErr w:type="gramEnd"/>
      <w:r w:rsidR="009044F9" w:rsidRPr="008A0130">
        <w:rPr>
          <w:rFonts w:ascii="Book Antiqua" w:hAnsi="Book Antiqua" w:cs="Times New Roman"/>
          <w:vertAlign w:val="superscript"/>
        </w:rPr>
        <w:t>196</w:t>
      </w:r>
      <w:r w:rsidR="000E62E8" w:rsidRPr="008A0130">
        <w:rPr>
          <w:rFonts w:ascii="Book Antiqua" w:hAnsi="Book Antiqua" w:cs="Times New Roman"/>
          <w:vertAlign w:val="superscript"/>
        </w:rPr>
        <w:t>]</w:t>
      </w:r>
      <w:r w:rsidR="000E62E8" w:rsidRPr="008A0130">
        <w:rPr>
          <w:rFonts w:ascii="Book Antiqua" w:hAnsi="Book Antiqua" w:cs="Times New Roman"/>
        </w:rPr>
        <w:t>.</w:t>
      </w:r>
    </w:p>
    <w:p w14:paraId="3459B262" w14:textId="36189813" w:rsidR="00AE5D60" w:rsidRPr="008A0130" w:rsidRDefault="00856863"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In this regard, an</w:t>
      </w:r>
      <w:r w:rsidR="00744C33" w:rsidRPr="008A0130">
        <w:rPr>
          <w:rFonts w:ascii="Book Antiqua" w:hAnsi="Book Antiqua" w:cs="Times New Roman"/>
        </w:rPr>
        <w:t xml:space="preserve"> important player is </w:t>
      </w:r>
      <w:r w:rsidR="00AE5D60" w:rsidRPr="008A0130">
        <w:rPr>
          <w:rFonts w:ascii="Book Antiqua" w:hAnsi="Book Antiqua" w:cs="Times New Roman"/>
        </w:rPr>
        <w:t xml:space="preserve">Wnt-5a </w:t>
      </w:r>
      <w:r w:rsidR="00744C33" w:rsidRPr="008A0130">
        <w:rPr>
          <w:rFonts w:ascii="Book Antiqua" w:hAnsi="Book Antiqua" w:cs="Times New Roman"/>
        </w:rPr>
        <w:t xml:space="preserve">that </w:t>
      </w:r>
      <w:r w:rsidR="00AE5D60" w:rsidRPr="008A0130">
        <w:rPr>
          <w:rFonts w:ascii="Book Antiqua" w:hAnsi="Book Antiqua" w:cs="Times New Roman"/>
        </w:rPr>
        <w:t>stimulates cell migration and invasion of gastric</w:t>
      </w:r>
      <w:r w:rsidR="00744C33" w:rsidRPr="008A0130">
        <w:rPr>
          <w:rFonts w:ascii="Book Antiqua" w:hAnsi="Book Antiqua" w:cs="Times New Roman"/>
        </w:rPr>
        <w:t xml:space="preserve"> cancer cells through regulation</w:t>
      </w:r>
      <w:r w:rsidR="00AE5D60" w:rsidRPr="008A0130">
        <w:rPr>
          <w:rFonts w:ascii="Book Antiqua" w:hAnsi="Book Antiqua" w:cs="Times New Roman"/>
        </w:rPr>
        <w:t xml:space="preserve"> </w:t>
      </w:r>
      <w:r w:rsidR="00744C33" w:rsidRPr="008A0130">
        <w:rPr>
          <w:rFonts w:ascii="Book Antiqua" w:hAnsi="Book Antiqua" w:cs="Times New Roman"/>
        </w:rPr>
        <w:t xml:space="preserve">of </w:t>
      </w:r>
      <w:r w:rsidR="00AE5D60" w:rsidRPr="008A0130">
        <w:rPr>
          <w:rFonts w:ascii="Book Antiqua" w:hAnsi="Book Antiqua" w:cs="Times New Roman"/>
        </w:rPr>
        <w:t>focal</w:t>
      </w:r>
      <w:r w:rsidR="000721C5" w:rsidRPr="008A0130">
        <w:rPr>
          <w:rFonts w:ascii="Book Antiqua" w:hAnsi="Book Antiqua" w:cs="Times New Roman"/>
        </w:rPr>
        <w:t xml:space="preserve"> adhesion complexes by activating</w:t>
      </w:r>
      <w:r w:rsidR="00AE5D60" w:rsidRPr="008A0130">
        <w:rPr>
          <w:rFonts w:ascii="Book Antiqua" w:hAnsi="Book Antiqua" w:cs="Times New Roman"/>
        </w:rPr>
        <w:t xml:space="preserve"> focal adhesion kinase and small GTP-binding protein </w:t>
      </w:r>
      <w:proofErr w:type="gramStart"/>
      <w:r w:rsidR="00AE5D60" w:rsidRPr="008A0130">
        <w:rPr>
          <w:rFonts w:ascii="Book Antiqua" w:hAnsi="Book Antiqua" w:cs="Times New Roman"/>
        </w:rPr>
        <w:t>Rac</w:t>
      </w:r>
      <w:r w:rsidR="005C1B8A" w:rsidRPr="008A0130">
        <w:rPr>
          <w:rFonts w:ascii="Book Antiqua" w:hAnsi="Book Antiqua" w:cs="Times New Roman"/>
          <w:vertAlign w:val="superscript"/>
        </w:rPr>
        <w:t>[</w:t>
      </w:r>
      <w:proofErr w:type="gramEnd"/>
      <w:r w:rsidR="005C1B8A" w:rsidRPr="008A0130">
        <w:rPr>
          <w:rFonts w:ascii="Book Antiqua" w:hAnsi="Book Antiqua" w:cs="Times New Roman"/>
          <w:vertAlign w:val="superscript"/>
        </w:rPr>
        <w:t>74</w:t>
      </w:r>
      <w:r w:rsidR="0054194F" w:rsidRPr="008A0130">
        <w:rPr>
          <w:rFonts w:ascii="Book Antiqua" w:hAnsi="Book Antiqua" w:cs="Times New Roman"/>
          <w:vertAlign w:val="superscript"/>
        </w:rPr>
        <w:t>]</w:t>
      </w:r>
      <w:r w:rsidR="00AE5D60" w:rsidRPr="008A0130">
        <w:rPr>
          <w:rFonts w:ascii="Book Antiqua" w:hAnsi="Book Antiqua" w:cs="Times New Roman"/>
        </w:rPr>
        <w:t xml:space="preserve">. Wnt-5a </w:t>
      </w:r>
      <w:r w:rsidR="000E62E8" w:rsidRPr="008A0130">
        <w:rPr>
          <w:rFonts w:ascii="Book Antiqua" w:hAnsi="Book Antiqua" w:cs="Times New Roman"/>
        </w:rPr>
        <w:t xml:space="preserve">also </w:t>
      </w:r>
      <w:r w:rsidR="00AE5D60" w:rsidRPr="008A0130">
        <w:rPr>
          <w:rFonts w:ascii="Book Antiqua" w:hAnsi="Book Antiqua" w:cs="Times New Roman"/>
        </w:rPr>
        <w:t>contributes to gastric cancer progression by inducing expression of laminin</w:t>
      </w:r>
      <w:r w:rsidR="00AE5D60" w:rsidRPr="008A0130">
        <w:rPr>
          <w:rFonts w:ascii="Book Antiqua" w:hAnsi="Book Antiqua" w:cs="Times New Roman"/>
        </w:rPr>
        <w:sym w:font="Symbol" w:char="F020"/>
      </w:r>
      <w:r w:rsidR="00AE5D60" w:rsidRPr="008A0130">
        <w:rPr>
          <w:rFonts w:ascii="Book Antiqua" w:hAnsi="Book Antiqua" w:cs="Times New Roman"/>
        </w:rPr>
        <w:sym w:font="Symbol" w:char="F067"/>
      </w:r>
      <w:r w:rsidR="00AE5D60" w:rsidRPr="008A0130">
        <w:rPr>
          <w:rFonts w:ascii="Book Antiqua" w:hAnsi="Book Antiqua" w:cs="Times New Roman"/>
        </w:rPr>
        <w:t xml:space="preserve">2, thus increasing metastatic </w:t>
      </w:r>
      <w:proofErr w:type="gramStart"/>
      <w:r w:rsidR="00AE5D60" w:rsidRPr="008A0130">
        <w:rPr>
          <w:rFonts w:ascii="Book Antiqua" w:hAnsi="Book Antiqua" w:cs="Times New Roman"/>
        </w:rPr>
        <w:t>potential</w:t>
      </w:r>
      <w:r w:rsidR="009044F9" w:rsidRPr="008A0130">
        <w:rPr>
          <w:rFonts w:ascii="Book Antiqua" w:hAnsi="Book Antiqua" w:cs="Times New Roman"/>
          <w:vertAlign w:val="superscript"/>
        </w:rPr>
        <w:t>[</w:t>
      </w:r>
      <w:proofErr w:type="gramEnd"/>
      <w:r w:rsidR="009044F9" w:rsidRPr="008A0130">
        <w:rPr>
          <w:rFonts w:ascii="Book Antiqua" w:hAnsi="Book Antiqua" w:cs="Times New Roman"/>
          <w:vertAlign w:val="superscript"/>
        </w:rPr>
        <w:t>197</w:t>
      </w:r>
      <w:r w:rsidR="0054194F" w:rsidRPr="008A0130">
        <w:rPr>
          <w:rFonts w:ascii="Book Antiqua" w:hAnsi="Book Antiqua" w:cs="Times New Roman"/>
          <w:vertAlign w:val="superscript"/>
        </w:rPr>
        <w:t>]</w:t>
      </w:r>
      <w:r w:rsidR="00AE5D60" w:rsidRPr="008A0130">
        <w:rPr>
          <w:rFonts w:ascii="Book Antiqua" w:hAnsi="Book Antiqua" w:cs="Times New Roman"/>
        </w:rPr>
        <w:t>.</w:t>
      </w:r>
    </w:p>
    <w:p w14:paraId="331752C1" w14:textId="35AE8F37" w:rsidR="007002F5" w:rsidRPr="008A0130" w:rsidRDefault="00744C33"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On the other hand, n</w:t>
      </w:r>
      <w:r w:rsidR="002641E5" w:rsidRPr="008A0130">
        <w:rPr>
          <w:rFonts w:ascii="Book Antiqua" w:hAnsi="Book Antiqua" w:cs="Times New Roman"/>
        </w:rPr>
        <w:t xml:space="preserve">uclear </w:t>
      </w:r>
      <w:r w:rsidR="002641E5" w:rsidRPr="008A0130">
        <w:rPr>
          <w:rFonts w:ascii="Book Antiqua" w:hAnsi="Book Antiqua" w:cs="Times New Roman"/>
        </w:rPr>
        <w:sym w:font="Symbol" w:char="F062"/>
      </w:r>
      <w:r w:rsidR="002641E5" w:rsidRPr="008A0130">
        <w:rPr>
          <w:rFonts w:ascii="Book Antiqua" w:hAnsi="Book Antiqua" w:cs="Times New Roman"/>
        </w:rPr>
        <w:t xml:space="preserve">-catenin </w:t>
      </w:r>
      <w:r w:rsidRPr="008A0130">
        <w:rPr>
          <w:rFonts w:ascii="Book Antiqua" w:hAnsi="Book Antiqua" w:cs="Times New Roman"/>
        </w:rPr>
        <w:t xml:space="preserve">is </w:t>
      </w:r>
      <w:r w:rsidR="002641E5" w:rsidRPr="008A0130">
        <w:rPr>
          <w:rFonts w:ascii="Book Antiqua" w:hAnsi="Book Antiqua" w:cs="Times New Roman"/>
        </w:rPr>
        <w:t xml:space="preserve">correlated with an invasive phenotype in intestinal-type </w:t>
      </w:r>
      <w:proofErr w:type="gramStart"/>
      <w:r w:rsidR="002641E5" w:rsidRPr="008A0130">
        <w:rPr>
          <w:rFonts w:ascii="Book Antiqua" w:hAnsi="Book Antiqua" w:cs="Times New Roman"/>
        </w:rPr>
        <w:t>tumors</w:t>
      </w:r>
      <w:r w:rsidR="009044F9" w:rsidRPr="008A0130">
        <w:rPr>
          <w:rFonts w:ascii="Book Antiqua" w:hAnsi="Book Antiqua" w:cs="Times New Roman"/>
          <w:vertAlign w:val="superscript"/>
        </w:rPr>
        <w:t>[</w:t>
      </w:r>
      <w:proofErr w:type="gramEnd"/>
      <w:r w:rsidR="009044F9" w:rsidRPr="008A0130">
        <w:rPr>
          <w:rFonts w:ascii="Book Antiqua" w:hAnsi="Book Antiqua" w:cs="Times New Roman"/>
          <w:vertAlign w:val="superscript"/>
        </w:rPr>
        <w:t>198</w:t>
      </w:r>
      <w:r w:rsidR="0054194F" w:rsidRPr="008A0130">
        <w:rPr>
          <w:rFonts w:ascii="Book Antiqua" w:hAnsi="Book Antiqua" w:cs="Times New Roman"/>
          <w:vertAlign w:val="superscript"/>
        </w:rPr>
        <w:t>]</w:t>
      </w:r>
      <w:r w:rsidR="002641E5" w:rsidRPr="008A0130">
        <w:rPr>
          <w:rFonts w:ascii="Book Antiqua" w:hAnsi="Book Antiqua" w:cs="Times New Roman"/>
        </w:rPr>
        <w:t xml:space="preserve">. </w:t>
      </w:r>
      <w:r w:rsidR="00314F8A" w:rsidRPr="008A0130">
        <w:rPr>
          <w:rFonts w:ascii="Book Antiqua" w:hAnsi="Book Antiqua" w:cs="Times New Roman"/>
        </w:rPr>
        <w:t xml:space="preserve">This increase in </w:t>
      </w:r>
      <w:r w:rsidR="00361337" w:rsidRPr="008A0130">
        <w:rPr>
          <w:rFonts w:ascii="Book Antiqua" w:hAnsi="Book Antiqua" w:cs="Times New Roman"/>
        </w:rPr>
        <w:t>tumor invasion</w:t>
      </w:r>
      <w:r w:rsidRPr="008A0130">
        <w:rPr>
          <w:rFonts w:ascii="Book Antiqua" w:hAnsi="Book Antiqua" w:cs="Times New Roman"/>
        </w:rPr>
        <w:t xml:space="preserve"> is likely mediated by the up</w:t>
      </w:r>
      <w:r w:rsidR="00314F8A" w:rsidRPr="008A0130">
        <w:rPr>
          <w:rFonts w:ascii="Book Antiqua" w:hAnsi="Book Antiqua" w:cs="Times New Roman"/>
        </w:rPr>
        <w:t>regulation of</w:t>
      </w:r>
      <w:r w:rsidR="005E596E" w:rsidRPr="008A0130">
        <w:rPr>
          <w:rFonts w:ascii="Book Antiqua" w:hAnsi="Book Antiqua" w:cs="Times New Roman"/>
        </w:rPr>
        <w:t xml:space="preserve"> </w:t>
      </w:r>
      <w:r w:rsidR="000721C5" w:rsidRPr="008A0130">
        <w:rPr>
          <w:rFonts w:ascii="Book Antiqua" w:hAnsi="Book Antiqua" w:cs="Times New Roman"/>
        </w:rPr>
        <w:t xml:space="preserve">Wnt </w:t>
      </w:r>
      <w:r w:rsidR="00BF099F" w:rsidRPr="008A0130">
        <w:rPr>
          <w:rFonts w:ascii="Book Antiqua" w:hAnsi="Book Antiqua" w:cs="Times New Roman"/>
        </w:rPr>
        <w:t xml:space="preserve">transcriptional targets, such as EphA2 (erythropoietin-producing hepatocellular) and membrane type 3 matrix metalloproteinase (MT3-MMP) </w:t>
      </w:r>
      <w:proofErr w:type="gramStart"/>
      <w:r w:rsidR="00BF099F" w:rsidRPr="008A0130">
        <w:rPr>
          <w:rFonts w:ascii="Book Antiqua" w:hAnsi="Book Antiqua" w:cs="Times New Roman"/>
        </w:rPr>
        <w:t>genes</w:t>
      </w:r>
      <w:r w:rsidR="009044F9" w:rsidRPr="008A0130">
        <w:rPr>
          <w:rFonts w:ascii="Book Antiqua" w:hAnsi="Book Antiqua" w:cs="Times New Roman"/>
          <w:vertAlign w:val="superscript"/>
        </w:rPr>
        <w:t>[</w:t>
      </w:r>
      <w:proofErr w:type="gramEnd"/>
      <w:r w:rsidR="009044F9" w:rsidRPr="008A0130">
        <w:rPr>
          <w:rFonts w:ascii="Book Antiqua" w:hAnsi="Book Antiqua" w:cs="Times New Roman"/>
          <w:vertAlign w:val="superscript"/>
        </w:rPr>
        <w:t>199</w:t>
      </w:r>
      <w:r w:rsidR="00BF099F" w:rsidRPr="008A0130">
        <w:rPr>
          <w:rFonts w:ascii="Book Antiqua" w:hAnsi="Book Antiqua" w:cs="Times New Roman"/>
          <w:vertAlign w:val="superscript"/>
        </w:rPr>
        <w:t>,</w:t>
      </w:r>
      <w:r w:rsidR="009044F9" w:rsidRPr="008A0130">
        <w:rPr>
          <w:rFonts w:ascii="Book Antiqua" w:hAnsi="Book Antiqua" w:cs="Times New Roman"/>
          <w:vertAlign w:val="superscript"/>
        </w:rPr>
        <w:t>200</w:t>
      </w:r>
      <w:r w:rsidR="00BF099F" w:rsidRPr="008A0130">
        <w:rPr>
          <w:rFonts w:ascii="Book Antiqua" w:hAnsi="Book Antiqua" w:cs="Times New Roman"/>
          <w:vertAlign w:val="superscript"/>
        </w:rPr>
        <w:t>]</w:t>
      </w:r>
      <w:r w:rsidR="00BF099F" w:rsidRPr="008A0130">
        <w:rPr>
          <w:rFonts w:ascii="Book Antiqua" w:hAnsi="Book Antiqua" w:cs="Times New Roman"/>
        </w:rPr>
        <w:t>.</w:t>
      </w:r>
      <w:r w:rsidR="00572752" w:rsidRPr="008A0130">
        <w:rPr>
          <w:rFonts w:ascii="Book Antiqua" w:hAnsi="Book Antiqua" w:cs="Times New Roman"/>
        </w:rPr>
        <w:t xml:space="preserve"> Furthermore, evidence</w:t>
      </w:r>
      <w:r w:rsidR="00EF2A03" w:rsidRPr="008A0130">
        <w:rPr>
          <w:rFonts w:ascii="Book Antiqua" w:hAnsi="Book Antiqua" w:cs="Times New Roman"/>
        </w:rPr>
        <w:t xml:space="preserve"> provided by</w:t>
      </w:r>
      <w:r w:rsidR="0054194F" w:rsidRPr="008A0130">
        <w:rPr>
          <w:rFonts w:ascii="Book Antiqua" w:hAnsi="Book Antiqua" w:cs="Times New Roman"/>
        </w:rPr>
        <w:t xml:space="preserve"> Kim</w:t>
      </w:r>
      <w:r w:rsidR="0054194F" w:rsidRPr="008A0130">
        <w:rPr>
          <w:rFonts w:ascii="Book Antiqua" w:hAnsi="Book Antiqua" w:cs="Times New Roman"/>
          <w:i/>
        </w:rPr>
        <w:t xml:space="preserve"> et al</w:t>
      </w:r>
      <w:r w:rsidR="00950BD5" w:rsidRPr="008A0130">
        <w:rPr>
          <w:rFonts w:ascii="Book Antiqua" w:hAnsi="Book Antiqua" w:cs="Times New Roman"/>
          <w:vertAlign w:val="superscript"/>
        </w:rPr>
        <w:t>201,202]</w:t>
      </w:r>
      <w:r w:rsidR="00EF2A03" w:rsidRPr="008A0130">
        <w:rPr>
          <w:rFonts w:ascii="Book Antiqua" w:hAnsi="Book Antiqua" w:cs="Times New Roman"/>
        </w:rPr>
        <w:t xml:space="preserve"> suggests that TC1 </w:t>
      </w:r>
      <w:r w:rsidR="008E6BBD" w:rsidRPr="008A0130">
        <w:rPr>
          <w:rFonts w:ascii="Book Antiqua" w:hAnsi="Book Antiqua" w:cs="Times"/>
        </w:rPr>
        <w:t>(C8orf4)</w:t>
      </w:r>
      <w:r w:rsidR="007002F5" w:rsidRPr="008A0130">
        <w:rPr>
          <w:rFonts w:ascii="Book Antiqua" w:hAnsi="Book Antiqua" w:cs="Times"/>
        </w:rPr>
        <w:t>, which is upregulated in high-grade gastric cancers,</w:t>
      </w:r>
      <w:r w:rsidR="008E6BBD" w:rsidRPr="008A0130">
        <w:rPr>
          <w:rFonts w:ascii="Book Antiqua" w:hAnsi="Book Antiqua" w:cs="Times"/>
        </w:rPr>
        <w:t xml:space="preserve"> </w:t>
      </w:r>
      <w:r w:rsidRPr="008A0130">
        <w:rPr>
          <w:rFonts w:ascii="Book Antiqua" w:hAnsi="Book Antiqua" w:cs="Times New Roman"/>
        </w:rPr>
        <w:t>coordinates the up</w:t>
      </w:r>
      <w:r w:rsidR="00EF2A03" w:rsidRPr="008A0130">
        <w:rPr>
          <w:rFonts w:ascii="Book Antiqua" w:hAnsi="Book Antiqua" w:cs="Times New Roman"/>
        </w:rPr>
        <w:t>regulation of</w:t>
      </w:r>
      <w:r w:rsidR="00572752" w:rsidRPr="008A0130">
        <w:rPr>
          <w:rFonts w:ascii="Book Antiqua" w:hAnsi="Book Antiqua" w:cs="Times New Roman"/>
        </w:rPr>
        <w:t xml:space="preserve"> </w:t>
      </w:r>
      <w:r w:rsidR="00EF2A03" w:rsidRPr="008A0130">
        <w:rPr>
          <w:rFonts w:ascii="Book Antiqua" w:hAnsi="Book Antiqua" w:cs="Times New Roman"/>
        </w:rPr>
        <w:t>Wnt/</w:t>
      </w:r>
      <w:r w:rsidR="00572752" w:rsidRPr="008A0130">
        <w:rPr>
          <w:rFonts w:ascii="Book Antiqua" w:hAnsi="Book Antiqua" w:cs="Times New Roman"/>
        </w:rPr>
        <w:t>ß</w:t>
      </w:r>
      <w:r w:rsidR="007002F5" w:rsidRPr="008A0130">
        <w:rPr>
          <w:rFonts w:ascii="Book Antiqua" w:hAnsi="Book Antiqua" w:cs="Times New Roman"/>
        </w:rPr>
        <w:t>-catenin target genes</w:t>
      </w:r>
      <w:r w:rsidR="00EF2A03" w:rsidRPr="008A0130">
        <w:rPr>
          <w:rFonts w:ascii="Book Antiqua" w:hAnsi="Book Antiqua" w:cs="Times New Roman"/>
        </w:rPr>
        <w:t xml:space="preserve"> </w:t>
      </w:r>
      <w:r w:rsidRPr="008A0130">
        <w:rPr>
          <w:rFonts w:ascii="Book Antiqua" w:hAnsi="Book Antiqua" w:cs="Times New Roman"/>
        </w:rPr>
        <w:t>involved</w:t>
      </w:r>
      <w:r w:rsidR="007002F5" w:rsidRPr="008A0130">
        <w:rPr>
          <w:rFonts w:ascii="Book Antiqua" w:hAnsi="Book Antiqua" w:cs="Times New Roman"/>
        </w:rPr>
        <w:t xml:space="preserve"> in </w:t>
      </w:r>
      <w:r w:rsidR="000721C5" w:rsidRPr="008A0130">
        <w:rPr>
          <w:rFonts w:ascii="Book Antiqua" w:hAnsi="Book Antiqua" w:cs="Times"/>
        </w:rPr>
        <w:t>the</w:t>
      </w:r>
      <w:r w:rsidR="007002F5" w:rsidRPr="008A0130">
        <w:rPr>
          <w:rFonts w:ascii="Book Antiqua" w:hAnsi="Book Antiqua" w:cs="Times New Roman"/>
        </w:rPr>
        <w:t xml:space="preserve"> </w:t>
      </w:r>
      <w:r w:rsidR="00EF2A03" w:rsidRPr="008A0130">
        <w:rPr>
          <w:rFonts w:ascii="Book Antiqua" w:hAnsi="Book Antiqua" w:cs="Times New Roman"/>
        </w:rPr>
        <w:t xml:space="preserve">aggressive biological </w:t>
      </w:r>
      <w:r w:rsidRPr="008A0130">
        <w:rPr>
          <w:rFonts w:ascii="Book Antiqua" w:hAnsi="Book Antiqua" w:cs="Times New Roman"/>
        </w:rPr>
        <w:t>behavior</w:t>
      </w:r>
      <w:r w:rsidR="00EF2A03" w:rsidRPr="008A0130">
        <w:rPr>
          <w:rFonts w:ascii="Book Antiqua" w:hAnsi="Book Antiqua" w:cs="Times New Roman"/>
        </w:rPr>
        <w:t xml:space="preserve"> </w:t>
      </w:r>
      <w:r w:rsidR="00572752" w:rsidRPr="008A0130">
        <w:rPr>
          <w:rFonts w:ascii="Book Antiqua" w:hAnsi="Book Antiqua" w:cs="Times New Roman"/>
        </w:rPr>
        <w:t xml:space="preserve">and poor clinical outcome </w:t>
      </w:r>
      <w:r w:rsidRPr="008A0130">
        <w:rPr>
          <w:rFonts w:ascii="Book Antiqua" w:hAnsi="Book Antiqua" w:cs="Times New Roman"/>
        </w:rPr>
        <w:t xml:space="preserve">observed </w:t>
      </w:r>
      <w:r w:rsidR="00572752" w:rsidRPr="008A0130">
        <w:rPr>
          <w:rFonts w:ascii="Book Antiqua" w:hAnsi="Book Antiqua" w:cs="Times New Roman"/>
        </w:rPr>
        <w:t xml:space="preserve">in </w:t>
      </w:r>
      <w:r w:rsidR="007002F5" w:rsidRPr="008A0130">
        <w:rPr>
          <w:rFonts w:ascii="Book Antiqua" w:hAnsi="Book Antiqua" w:cs="Times New Roman"/>
        </w:rPr>
        <w:t xml:space="preserve">advanced </w:t>
      </w:r>
      <w:r w:rsidR="00572752" w:rsidRPr="008A0130">
        <w:rPr>
          <w:rFonts w:ascii="Book Antiqua" w:hAnsi="Book Antiqua" w:cs="Times New Roman"/>
        </w:rPr>
        <w:t>gastric cancer</w:t>
      </w:r>
      <w:r w:rsidR="0054194F" w:rsidRPr="008A0130">
        <w:rPr>
          <w:rFonts w:ascii="Book Antiqua" w:hAnsi="Book Antiqua" w:cs="Times New Roman"/>
          <w:vertAlign w:val="superscript"/>
        </w:rPr>
        <w:t>[</w:t>
      </w:r>
      <w:r w:rsidR="00EF2A03" w:rsidRPr="008A0130">
        <w:rPr>
          <w:rFonts w:ascii="Book Antiqua" w:hAnsi="Book Antiqua" w:cs="Times New Roman"/>
        </w:rPr>
        <w:t>.</w:t>
      </w:r>
      <w:r w:rsidR="0087151B" w:rsidRPr="008A0130">
        <w:rPr>
          <w:rFonts w:ascii="Book Antiqua" w:hAnsi="Book Antiqua" w:cs="Times New Roman"/>
        </w:rPr>
        <w:t xml:space="preserve"> </w:t>
      </w:r>
      <w:r w:rsidR="00572752" w:rsidRPr="008A0130">
        <w:rPr>
          <w:rFonts w:ascii="Book Antiqua" w:hAnsi="Book Antiqua" w:cs="Times New Roman"/>
        </w:rPr>
        <w:t>TC1</w:t>
      </w:r>
      <w:r w:rsidR="000C70A5" w:rsidRPr="008A0130">
        <w:rPr>
          <w:rFonts w:ascii="Book Antiqua" w:hAnsi="Book Antiqua" w:cs="Times"/>
        </w:rPr>
        <w:t xml:space="preserve"> enhances the signaling pathway</w:t>
      </w:r>
      <w:r w:rsidR="000C70A5" w:rsidRPr="008A0130">
        <w:rPr>
          <w:rFonts w:ascii="Book Antiqua" w:hAnsi="Book Antiqua" w:cs="Times New Roman"/>
        </w:rPr>
        <w:t xml:space="preserve"> by</w:t>
      </w:r>
      <w:r w:rsidR="00572752" w:rsidRPr="008A0130">
        <w:rPr>
          <w:rFonts w:ascii="Book Antiqua" w:hAnsi="Book Antiqua" w:cs="Times New Roman"/>
        </w:rPr>
        <w:t xml:space="preserve"> relieving the antagonistic </w:t>
      </w:r>
      <w:r w:rsidR="000C70A5" w:rsidRPr="008A0130">
        <w:rPr>
          <w:rFonts w:ascii="Book Antiqua" w:hAnsi="Book Antiqua" w:cs="Times New Roman"/>
        </w:rPr>
        <w:t>regulation</w:t>
      </w:r>
      <w:r w:rsidR="00572752" w:rsidRPr="008A0130">
        <w:rPr>
          <w:rFonts w:ascii="Book Antiqua" w:hAnsi="Book Antiqua" w:cs="Times New Roman"/>
        </w:rPr>
        <w:t xml:space="preserve"> of </w:t>
      </w:r>
      <w:r w:rsidR="00C63F57" w:rsidRPr="008A0130">
        <w:rPr>
          <w:rFonts w:ascii="Book Antiqua" w:hAnsi="Book Antiqua" w:cs="Times New Roman"/>
        </w:rPr>
        <w:t>Chibby</w:t>
      </w:r>
      <w:r w:rsidR="00C63F57" w:rsidRPr="008A0130">
        <w:rPr>
          <w:rFonts w:ascii="Book Antiqua" w:hAnsi="Book Antiqua" w:cs="Times"/>
        </w:rPr>
        <w:t xml:space="preserve"> </w:t>
      </w:r>
      <w:r w:rsidR="00C63F57" w:rsidRPr="008A0130">
        <w:rPr>
          <w:rFonts w:ascii="Book Antiqua" w:hAnsi="Book Antiqua" w:cs="Times New Roman"/>
        </w:rPr>
        <w:t>(</w:t>
      </w:r>
      <w:r w:rsidR="00572752" w:rsidRPr="008A0130">
        <w:rPr>
          <w:rFonts w:ascii="Book Antiqua" w:hAnsi="Book Antiqua" w:cs="Times New Roman"/>
        </w:rPr>
        <w:t>Cby</w:t>
      </w:r>
      <w:r w:rsidR="00C63F57" w:rsidRPr="008A0130">
        <w:rPr>
          <w:rFonts w:ascii="Book Antiqua" w:hAnsi="Book Antiqua" w:cs="Times New Roman"/>
        </w:rPr>
        <w:t>)</w:t>
      </w:r>
      <w:r w:rsidR="008E6BBD" w:rsidRPr="008A0130">
        <w:rPr>
          <w:rFonts w:ascii="Book Antiqua" w:hAnsi="Book Antiqua" w:cs="Times New Roman"/>
        </w:rPr>
        <w:t xml:space="preserve"> on ß-catenin</w:t>
      </w:r>
      <w:r w:rsidR="00572752" w:rsidRPr="008A0130">
        <w:rPr>
          <w:rFonts w:ascii="Book Antiqua" w:hAnsi="Book Antiqua" w:cs="Times New Roman"/>
        </w:rPr>
        <w:t xml:space="preserve">-mediated </w:t>
      </w:r>
      <w:proofErr w:type="gramStart"/>
      <w:r w:rsidR="00572752" w:rsidRPr="008A0130">
        <w:rPr>
          <w:rFonts w:ascii="Book Antiqua" w:hAnsi="Book Antiqua" w:cs="Times New Roman"/>
        </w:rPr>
        <w:t>transcription</w:t>
      </w:r>
      <w:r w:rsidR="009044F9" w:rsidRPr="008A0130">
        <w:rPr>
          <w:rFonts w:ascii="Book Antiqua" w:hAnsi="Book Antiqua" w:cs="Times New Roman"/>
          <w:vertAlign w:val="superscript"/>
        </w:rPr>
        <w:t>[</w:t>
      </w:r>
      <w:proofErr w:type="gramEnd"/>
      <w:r w:rsidR="009044F9" w:rsidRPr="008A0130">
        <w:rPr>
          <w:rFonts w:ascii="Book Antiqua" w:hAnsi="Book Antiqua" w:cs="Times New Roman"/>
          <w:vertAlign w:val="superscript"/>
        </w:rPr>
        <w:t>203</w:t>
      </w:r>
      <w:r w:rsidR="0054194F" w:rsidRPr="008A0130">
        <w:rPr>
          <w:rFonts w:ascii="Book Antiqua" w:hAnsi="Book Antiqua" w:cs="Times New Roman"/>
          <w:vertAlign w:val="superscript"/>
        </w:rPr>
        <w:t>]</w:t>
      </w:r>
      <w:r w:rsidR="00572752" w:rsidRPr="008A0130">
        <w:rPr>
          <w:rFonts w:ascii="Book Antiqua" w:hAnsi="Book Antiqua" w:cs="Times New Roman"/>
        </w:rPr>
        <w:t>.</w:t>
      </w:r>
      <w:r w:rsidR="0087151B" w:rsidRPr="008A0130">
        <w:rPr>
          <w:rFonts w:ascii="Book Antiqua" w:eastAsia="Times New Roman" w:hAnsi="Book Antiqua" w:cs="Times New Roman"/>
        </w:rPr>
        <w:t xml:space="preserve"> Cby was first identified as an interactor with </w:t>
      </w:r>
      <w:r w:rsidR="00F926B4" w:rsidRPr="008A0130">
        <w:rPr>
          <w:rFonts w:ascii="Book Antiqua" w:eastAsia="Times New Roman" w:hAnsi="Book Antiqua" w:cs="Times New Roman"/>
        </w:rPr>
        <w:t>β</w:t>
      </w:r>
      <w:r w:rsidR="0087151B" w:rsidRPr="008A0130">
        <w:rPr>
          <w:rFonts w:ascii="Book Antiqua" w:eastAsia="Times New Roman" w:hAnsi="Book Antiqua" w:cs="Times New Roman"/>
        </w:rPr>
        <w:t xml:space="preserve">-catenin in humans, which suggested it could be a tumor suppressor </w:t>
      </w:r>
      <w:proofErr w:type="gramStart"/>
      <w:r w:rsidR="0087151B" w:rsidRPr="008A0130">
        <w:rPr>
          <w:rFonts w:ascii="Book Antiqua" w:eastAsia="Times New Roman" w:hAnsi="Book Antiqua" w:cs="Times New Roman"/>
        </w:rPr>
        <w:t>gene</w:t>
      </w:r>
      <w:r w:rsidR="009044F9" w:rsidRPr="008A0130">
        <w:rPr>
          <w:rFonts w:ascii="Book Antiqua" w:eastAsia="Times New Roman" w:hAnsi="Book Antiqua" w:cs="Times New Roman"/>
          <w:vertAlign w:val="superscript"/>
        </w:rPr>
        <w:t>[</w:t>
      </w:r>
      <w:proofErr w:type="gramEnd"/>
      <w:r w:rsidR="009044F9" w:rsidRPr="008A0130">
        <w:rPr>
          <w:rFonts w:ascii="Book Antiqua" w:eastAsia="Times New Roman" w:hAnsi="Book Antiqua" w:cs="Times New Roman"/>
          <w:vertAlign w:val="superscript"/>
        </w:rPr>
        <w:t>204</w:t>
      </w:r>
      <w:r w:rsidR="00881892" w:rsidRPr="008A0130">
        <w:rPr>
          <w:rFonts w:ascii="Book Antiqua" w:eastAsia="Times New Roman" w:hAnsi="Book Antiqua" w:cs="Times New Roman"/>
          <w:vertAlign w:val="superscript"/>
        </w:rPr>
        <w:t>]</w:t>
      </w:r>
      <w:r w:rsidR="0087151B" w:rsidRPr="008A0130">
        <w:rPr>
          <w:rFonts w:ascii="Book Antiqua" w:eastAsia="Times New Roman" w:hAnsi="Book Antiqua" w:cs="Times New Roman"/>
        </w:rPr>
        <w:t>.</w:t>
      </w:r>
    </w:p>
    <w:p w14:paraId="043EA1B3" w14:textId="1E142D01" w:rsidR="00703557" w:rsidRPr="008A0130" w:rsidRDefault="00C453A2"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lastRenderedPageBreak/>
        <w:t>S</w:t>
      </w:r>
      <w:r w:rsidR="0077181B" w:rsidRPr="008A0130">
        <w:rPr>
          <w:rFonts w:ascii="Book Antiqua" w:hAnsi="Book Antiqua" w:cs="Times New Roman"/>
        </w:rPr>
        <w:t xml:space="preserve">ilencing </w:t>
      </w:r>
      <w:r w:rsidRPr="008A0130">
        <w:rPr>
          <w:rFonts w:ascii="Book Antiqua" w:hAnsi="Book Antiqua" w:cs="Times New Roman"/>
        </w:rPr>
        <w:t xml:space="preserve">of </w:t>
      </w:r>
      <w:r w:rsidRPr="008A0130">
        <w:rPr>
          <w:rFonts w:ascii="Book Antiqua" w:hAnsi="Book Antiqua" w:cs="Times New Roman"/>
          <w:i/>
        </w:rPr>
        <w:t>PLA2G2A</w:t>
      </w:r>
      <w:r w:rsidRPr="008A0130">
        <w:rPr>
          <w:rFonts w:ascii="Book Antiqua" w:hAnsi="Book Antiqua" w:cs="Times New Roman"/>
        </w:rPr>
        <w:t xml:space="preserve"> (phospholipase A2) </w:t>
      </w:r>
      <w:r w:rsidR="0077181B" w:rsidRPr="008A0130">
        <w:rPr>
          <w:rFonts w:ascii="Book Antiqua" w:hAnsi="Book Antiqua" w:cs="Times New Roman"/>
        </w:rPr>
        <w:t xml:space="preserve">enhances the invasive ability of gastric cancer </w:t>
      </w:r>
      <w:proofErr w:type="gramStart"/>
      <w:r w:rsidR="0077181B" w:rsidRPr="008A0130">
        <w:rPr>
          <w:rFonts w:ascii="Book Antiqua" w:hAnsi="Book Antiqua" w:cs="Times New Roman"/>
        </w:rPr>
        <w:t>cells</w:t>
      </w:r>
      <w:r w:rsidR="00881892" w:rsidRPr="008A0130">
        <w:rPr>
          <w:rFonts w:ascii="Book Antiqua" w:hAnsi="Book Antiqua" w:cs="Times New Roman"/>
          <w:vertAlign w:val="superscript"/>
        </w:rPr>
        <w:t>[</w:t>
      </w:r>
      <w:proofErr w:type="gramEnd"/>
      <w:r w:rsidR="00881892" w:rsidRPr="008A0130">
        <w:rPr>
          <w:rFonts w:ascii="Book Antiqua" w:hAnsi="Book Antiqua" w:cs="Times New Roman"/>
          <w:vertAlign w:val="superscript"/>
        </w:rPr>
        <w:t>20</w:t>
      </w:r>
      <w:r w:rsidR="00484443" w:rsidRPr="008A0130">
        <w:rPr>
          <w:rFonts w:ascii="Book Antiqua" w:hAnsi="Book Antiqua" w:cs="Times New Roman"/>
          <w:vertAlign w:val="superscript"/>
        </w:rPr>
        <w:t>5</w:t>
      </w:r>
      <w:r w:rsidR="0054194F" w:rsidRPr="008A0130">
        <w:rPr>
          <w:rFonts w:ascii="Book Antiqua" w:hAnsi="Book Antiqua" w:cs="Times New Roman"/>
          <w:vertAlign w:val="superscript"/>
        </w:rPr>
        <w:t>]</w:t>
      </w:r>
      <w:r w:rsidR="0077181B" w:rsidRPr="008A0130">
        <w:rPr>
          <w:rFonts w:ascii="Book Antiqua" w:hAnsi="Book Antiqua" w:cs="Times New Roman"/>
        </w:rPr>
        <w:t xml:space="preserve">. Surprisingly, </w:t>
      </w:r>
      <w:r w:rsidR="0077181B" w:rsidRPr="008A0130">
        <w:rPr>
          <w:rFonts w:ascii="Book Antiqua" w:hAnsi="Book Antiqua" w:cs="Times New Roman"/>
          <w:i/>
        </w:rPr>
        <w:t>PLA2G2A</w:t>
      </w:r>
      <w:r w:rsidR="00242865" w:rsidRPr="008A0130">
        <w:rPr>
          <w:rFonts w:ascii="Book Antiqua" w:hAnsi="Book Antiqua" w:cs="Times New Roman"/>
        </w:rPr>
        <w:t xml:space="preserve">, which </w:t>
      </w:r>
      <w:r w:rsidR="00856863" w:rsidRPr="008A0130">
        <w:rPr>
          <w:rFonts w:ascii="Book Antiqua" w:hAnsi="Book Antiqua" w:cs="Times New Roman"/>
        </w:rPr>
        <w:t xml:space="preserve">is </w:t>
      </w:r>
      <w:r w:rsidR="00A67FD5" w:rsidRPr="008A0130">
        <w:rPr>
          <w:rFonts w:ascii="Book Antiqua" w:eastAsia="Times New Roman" w:hAnsi="Book Antiqua" w:cs="Times New Roman"/>
        </w:rPr>
        <w:t>an independent predictor of favorable outcome for patients with</w:t>
      </w:r>
      <w:r w:rsidR="00A67FD5" w:rsidRPr="008A0130">
        <w:rPr>
          <w:rStyle w:val="apple-converted-space"/>
          <w:rFonts w:ascii="Book Antiqua" w:eastAsia="Times New Roman" w:hAnsi="Book Antiqua" w:cs="Times New Roman"/>
        </w:rPr>
        <w:t> </w:t>
      </w:r>
      <w:r w:rsidR="00A67FD5" w:rsidRPr="008A0130">
        <w:rPr>
          <w:rStyle w:val="highlight"/>
          <w:rFonts w:ascii="Book Antiqua" w:eastAsia="Times New Roman" w:hAnsi="Book Antiqua" w:cs="Times New Roman"/>
        </w:rPr>
        <w:t xml:space="preserve">gastric </w:t>
      </w:r>
      <w:proofErr w:type="gramStart"/>
      <w:r w:rsidR="00A67FD5" w:rsidRPr="008A0130">
        <w:rPr>
          <w:rStyle w:val="highlight"/>
          <w:rFonts w:ascii="Book Antiqua" w:eastAsia="Times New Roman" w:hAnsi="Book Antiqua" w:cs="Times New Roman"/>
        </w:rPr>
        <w:t>cancer</w:t>
      </w:r>
      <w:r w:rsidR="0054194F" w:rsidRPr="008A0130">
        <w:rPr>
          <w:rFonts w:ascii="Book Antiqua" w:hAnsi="Book Antiqua" w:cs="Times New Roman"/>
          <w:vertAlign w:val="superscript"/>
        </w:rPr>
        <w:t>[</w:t>
      </w:r>
      <w:proofErr w:type="gramEnd"/>
      <w:r w:rsidR="00484443" w:rsidRPr="008A0130">
        <w:rPr>
          <w:rFonts w:ascii="Book Antiqua" w:hAnsi="Book Antiqua" w:cs="Times New Roman"/>
          <w:vertAlign w:val="superscript"/>
        </w:rPr>
        <w:t>206</w:t>
      </w:r>
      <w:r w:rsidR="00881892" w:rsidRPr="008A0130">
        <w:rPr>
          <w:rFonts w:ascii="Book Antiqua" w:hAnsi="Book Antiqua" w:cs="Times New Roman"/>
          <w:vertAlign w:val="superscript"/>
        </w:rPr>
        <w:t>,20</w:t>
      </w:r>
      <w:r w:rsidR="00484443" w:rsidRPr="008A0130">
        <w:rPr>
          <w:rFonts w:ascii="Book Antiqua" w:hAnsi="Book Antiqua" w:cs="Times New Roman"/>
          <w:vertAlign w:val="superscript"/>
        </w:rPr>
        <w:t>7</w:t>
      </w:r>
      <w:r w:rsidR="0054194F" w:rsidRPr="008A0130">
        <w:rPr>
          <w:rFonts w:ascii="Book Antiqua" w:hAnsi="Book Antiqua" w:cs="Times New Roman"/>
          <w:vertAlign w:val="superscript"/>
        </w:rPr>
        <w:t>]</w:t>
      </w:r>
      <w:r w:rsidR="00242865" w:rsidRPr="008A0130">
        <w:rPr>
          <w:rFonts w:ascii="Book Antiqua" w:hAnsi="Book Antiqua" w:cs="Times New Roman"/>
        </w:rPr>
        <w:t>,</w:t>
      </w:r>
      <w:r w:rsidR="0077181B" w:rsidRPr="008A0130">
        <w:rPr>
          <w:rFonts w:ascii="Book Antiqua" w:hAnsi="Book Antiqua" w:cs="Times New Roman"/>
        </w:rPr>
        <w:t xml:space="preserve"> is </w:t>
      </w:r>
      <w:r w:rsidR="00242865" w:rsidRPr="008A0130">
        <w:rPr>
          <w:rFonts w:ascii="Book Antiqua" w:hAnsi="Book Antiqua" w:cs="Times New Roman"/>
        </w:rPr>
        <w:t xml:space="preserve">also </w:t>
      </w:r>
      <w:r w:rsidR="0077181B" w:rsidRPr="008A0130">
        <w:rPr>
          <w:rFonts w:ascii="Book Antiqua" w:hAnsi="Book Antiqua" w:cs="Times New Roman"/>
        </w:rPr>
        <w:t xml:space="preserve">a direct Wnt target gene and it has been found upregulated in early stages of gastric cancer. </w:t>
      </w:r>
      <w:r w:rsidR="0054194F" w:rsidRPr="008A0130">
        <w:rPr>
          <w:rFonts w:ascii="Book Antiqua" w:hAnsi="Book Antiqua" w:cs="Times New Roman"/>
        </w:rPr>
        <w:t xml:space="preserve">Ganesan </w:t>
      </w:r>
      <w:r w:rsidR="0054194F" w:rsidRPr="008A0130">
        <w:rPr>
          <w:rFonts w:ascii="Book Antiqua" w:hAnsi="Book Antiqua" w:cs="Times New Roman"/>
          <w:i/>
        </w:rPr>
        <w:t xml:space="preserve">et </w:t>
      </w:r>
      <w:proofErr w:type="gramStart"/>
      <w:r w:rsidR="0054194F" w:rsidRPr="008A0130">
        <w:rPr>
          <w:rFonts w:ascii="Book Antiqua"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205]</w:t>
      </w:r>
      <w:r w:rsidR="00242865" w:rsidRPr="008A0130">
        <w:rPr>
          <w:rFonts w:ascii="Book Antiqua" w:hAnsi="Book Antiqua" w:cs="Times New Roman"/>
        </w:rPr>
        <w:t xml:space="preserve"> have proposed that in late-stage tumors, Wnt signaling is still active driving expression of pro</w:t>
      </w:r>
      <w:r w:rsidR="006929E9" w:rsidRPr="008A0130">
        <w:rPr>
          <w:rFonts w:ascii="Book Antiqua" w:hAnsi="Book Antiqua" w:cs="Times New Roman"/>
        </w:rPr>
        <w:t>to-</w:t>
      </w:r>
      <w:r w:rsidR="00242865" w:rsidRPr="008A0130">
        <w:rPr>
          <w:rFonts w:ascii="Book Antiqua" w:hAnsi="Book Antiqua" w:cs="Times New Roman"/>
        </w:rPr>
        <w:t xml:space="preserve">oncogenes; however, </w:t>
      </w:r>
      <w:r w:rsidR="00242865" w:rsidRPr="008A0130">
        <w:rPr>
          <w:rFonts w:ascii="Book Antiqua" w:hAnsi="Book Antiqua" w:cs="Times New Roman"/>
          <w:i/>
        </w:rPr>
        <w:t>PLA2G2A</w:t>
      </w:r>
      <w:r w:rsidR="00242865" w:rsidRPr="008A0130">
        <w:rPr>
          <w:rFonts w:ascii="Book Antiqua" w:hAnsi="Book Antiqua" w:cs="Times New Roman"/>
        </w:rPr>
        <w:t xml:space="preserve"> expression is decreased possibly by epigenetic inactivation and/or genomic deletions, resulting tumors with a highly aggressive clinical phenotype.</w:t>
      </w:r>
      <w:r w:rsidR="00703557" w:rsidRPr="008A0130">
        <w:rPr>
          <w:rFonts w:ascii="Book Antiqua" w:hAnsi="Book Antiqua" w:cs="Times New Roman"/>
        </w:rPr>
        <w:t xml:space="preserve"> </w:t>
      </w:r>
      <w:r w:rsidRPr="008A0130">
        <w:rPr>
          <w:rFonts w:ascii="Book Antiqua" w:hAnsi="Book Antiqua" w:cs="Times New Roman"/>
        </w:rPr>
        <w:t>Moreover,</w:t>
      </w:r>
      <w:r w:rsidR="00703557" w:rsidRPr="008A0130">
        <w:rPr>
          <w:rFonts w:ascii="Book Antiqua" w:hAnsi="Book Antiqua" w:cs="Times New Roman"/>
        </w:rPr>
        <w:t xml:space="preserve"> the</w:t>
      </w:r>
      <w:r w:rsidRPr="008A0130">
        <w:rPr>
          <w:rFonts w:ascii="Book Antiqua" w:hAnsi="Book Antiqua" w:cs="Times New Roman"/>
        </w:rPr>
        <w:t xml:space="preserve"> overexpression of the</w:t>
      </w:r>
      <w:r w:rsidR="00703557" w:rsidRPr="008A0130">
        <w:rPr>
          <w:rFonts w:ascii="Book Antiqua" w:hAnsi="Book Antiqua" w:cs="Times New Roman"/>
        </w:rPr>
        <w:t xml:space="preserve"> </w:t>
      </w:r>
      <w:r w:rsidR="00703557" w:rsidRPr="008A0130">
        <w:rPr>
          <w:rFonts w:ascii="Book Antiqua" w:hAnsi="Book Antiqua" w:cs="Times"/>
        </w:rPr>
        <w:t>Wnt signalling regulator</w:t>
      </w:r>
      <w:r w:rsidR="00703557" w:rsidRPr="008A0130">
        <w:rPr>
          <w:rFonts w:ascii="Book Antiqua" w:hAnsi="Book Antiqua" w:cs="Times New Roman"/>
        </w:rPr>
        <w:t xml:space="preserve"> </w:t>
      </w:r>
      <w:r w:rsidR="00703557" w:rsidRPr="008A0130">
        <w:rPr>
          <w:rFonts w:ascii="Book Antiqua" w:hAnsi="Book Antiqua" w:cs="Times"/>
          <w:i/>
        </w:rPr>
        <w:t>sFRP1</w:t>
      </w:r>
      <w:r w:rsidR="00703557" w:rsidRPr="008A0130">
        <w:rPr>
          <w:rFonts w:ascii="Book Antiqua" w:hAnsi="Book Antiqua" w:cs="Times"/>
        </w:rPr>
        <w:t xml:space="preserve"> has been correlated with activation of TGF</w:t>
      </w:r>
      <w:r w:rsidR="00F926B4" w:rsidRPr="008A0130">
        <w:rPr>
          <w:rFonts w:ascii="Book Antiqua" w:hAnsi="Book Antiqua" w:cs="Times New Roman"/>
        </w:rPr>
        <w:t>β</w:t>
      </w:r>
      <w:r w:rsidR="00703557" w:rsidRPr="008A0130">
        <w:rPr>
          <w:rFonts w:ascii="Book Antiqua" w:hAnsi="Book Antiqua" w:cs="Times"/>
        </w:rPr>
        <w:t xml:space="preserve"> signalling pathway</w:t>
      </w:r>
      <w:r w:rsidRPr="008A0130">
        <w:rPr>
          <w:rFonts w:ascii="Book Antiqua" w:hAnsi="Book Antiqua" w:cs="Times"/>
        </w:rPr>
        <w:t>,</w:t>
      </w:r>
      <w:r w:rsidR="00703557" w:rsidRPr="008A0130">
        <w:rPr>
          <w:rFonts w:ascii="Book Antiqua" w:hAnsi="Book Antiqua" w:cs="Times"/>
        </w:rPr>
        <w:t xml:space="preserve"> thereby</w:t>
      </w:r>
      <w:r w:rsidR="00A36BAB" w:rsidRPr="008A0130">
        <w:rPr>
          <w:rFonts w:ascii="Book Antiqua" w:hAnsi="Book Antiqua" w:cs="Times"/>
        </w:rPr>
        <w:t xml:space="preserve"> </w:t>
      </w:r>
      <w:r w:rsidR="00242928" w:rsidRPr="008A0130">
        <w:rPr>
          <w:rFonts w:ascii="Book Antiqua" w:hAnsi="Book Antiqua" w:cs="Times"/>
        </w:rPr>
        <w:t>it may induce</w:t>
      </w:r>
      <w:r w:rsidR="00A36BAB" w:rsidRPr="008A0130">
        <w:rPr>
          <w:rFonts w:ascii="Book Antiqua" w:hAnsi="Book Antiqua" w:cs="Times"/>
        </w:rPr>
        <w:t xml:space="preserve"> cell proliferation, EMT</w:t>
      </w:r>
      <w:r w:rsidR="00703557" w:rsidRPr="008A0130">
        <w:rPr>
          <w:rFonts w:ascii="Book Antiqua" w:hAnsi="Book Antiqua" w:cs="Times"/>
        </w:rPr>
        <w:t xml:space="preserve"> and </w:t>
      </w:r>
      <w:proofErr w:type="gramStart"/>
      <w:r w:rsidR="00703557" w:rsidRPr="008A0130">
        <w:rPr>
          <w:rFonts w:ascii="Book Antiqua" w:hAnsi="Book Antiqua" w:cs="Times"/>
        </w:rPr>
        <w:t>invasion</w:t>
      </w:r>
      <w:r w:rsidR="00484443" w:rsidRPr="008A0130">
        <w:rPr>
          <w:rFonts w:ascii="Book Antiqua" w:eastAsia="Times New Roman" w:hAnsi="Book Antiqua" w:cs="Times New Roman"/>
          <w:vertAlign w:val="superscript"/>
        </w:rPr>
        <w:t>[</w:t>
      </w:r>
      <w:proofErr w:type="gramEnd"/>
      <w:r w:rsidR="00484443" w:rsidRPr="008A0130">
        <w:rPr>
          <w:rFonts w:ascii="Book Antiqua" w:eastAsia="Times New Roman" w:hAnsi="Book Antiqua" w:cs="Times New Roman"/>
          <w:vertAlign w:val="superscript"/>
        </w:rPr>
        <w:t>130</w:t>
      </w:r>
      <w:r w:rsidR="00881892" w:rsidRPr="008A0130">
        <w:rPr>
          <w:rFonts w:ascii="Book Antiqua" w:eastAsia="Times New Roman" w:hAnsi="Book Antiqua" w:cs="Times New Roman"/>
          <w:vertAlign w:val="superscript"/>
        </w:rPr>
        <w:t>]</w:t>
      </w:r>
      <w:r w:rsidR="00703557" w:rsidRPr="008A0130">
        <w:rPr>
          <w:rFonts w:ascii="Book Antiqua" w:hAnsi="Book Antiqua" w:cs="Times"/>
        </w:rPr>
        <w:t>.</w:t>
      </w:r>
    </w:p>
    <w:p w14:paraId="4E7E7E5F" w14:textId="0A701CF2" w:rsidR="00D02160" w:rsidRPr="008A0130" w:rsidRDefault="002F7773"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New Roman"/>
        </w:rPr>
        <w:t>HMGA (high mobility group protein) proteins contain DNA binding domains that mediate binding t</w:t>
      </w:r>
      <w:r w:rsidR="00306638" w:rsidRPr="008A0130">
        <w:rPr>
          <w:rFonts w:ascii="Book Antiqua" w:hAnsi="Book Antiqua" w:cs="Times New Roman"/>
        </w:rPr>
        <w:t>o AT-rich regions of chromatin,</w:t>
      </w:r>
      <w:r w:rsidR="00306638" w:rsidRPr="008A0130">
        <w:rPr>
          <w:rFonts w:ascii="Book Antiqua" w:eastAsia="Times New Roman" w:hAnsi="Book Antiqua" w:cs="Times New Roman"/>
        </w:rPr>
        <w:t xml:space="preserve"> having the ability to modulate transcription of their target genes by altering the chromatin structure at the promoter and/or </w:t>
      </w:r>
      <w:proofErr w:type="gramStart"/>
      <w:r w:rsidR="00306638" w:rsidRPr="008A0130">
        <w:rPr>
          <w:rFonts w:ascii="Book Antiqua" w:eastAsia="Times New Roman" w:hAnsi="Book Antiqua" w:cs="Times New Roman"/>
        </w:rPr>
        <w:t>enhancers</w:t>
      </w:r>
      <w:r w:rsidR="00484443" w:rsidRPr="008A0130">
        <w:rPr>
          <w:rFonts w:ascii="Book Antiqua" w:eastAsia="Times New Roman" w:hAnsi="Book Antiqua" w:cs="Times New Roman"/>
          <w:vertAlign w:val="superscript"/>
        </w:rPr>
        <w:t>[</w:t>
      </w:r>
      <w:proofErr w:type="gramEnd"/>
      <w:r w:rsidR="00484443" w:rsidRPr="008A0130">
        <w:rPr>
          <w:rFonts w:ascii="Book Antiqua" w:eastAsia="Times New Roman" w:hAnsi="Book Antiqua" w:cs="Times New Roman"/>
          <w:vertAlign w:val="superscript"/>
        </w:rPr>
        <w:t>208</w:t>
      </w:r>
      <w:r w:rsidR="00881892" w:rsidRPr="008A0130">
        <w:rPr>
          <w:rFonts w:ascii="Book Antiqua" w:eastAsia="Times New Roman" w:hAnsi="Book Antiqua" w:cs="Times New Roman"/>
          <w:vertAlign w:val="superscript"/>
        </w:rPr>
        <w:t>]</w:t>
      </w:r>
      <w:r w:rsidR="00306638" w:rsidRPr="008A0130">
        <w:rPr>
          <w:rFonts w:ascii="Book Antiqua" w:eastAsia="Times New Roman" w:hAnsi="Book Antiqua" w:cs="Times New Roman"/>
        </w:rPr>
        <w:t xml:space="preserve">. </w:t>
      </w:r>
      <w:r w:rsidR="00244B0E" w:rsidRPr="008A0130">
        <w:rPr>
          <w:rFonts w:ascii="Book Antiqua" w:eastAsia="Times New Roman" w:hAnsi="Book Antiqua" w:cs="Times New Roman"/>
        </w:rPr>
        <w:t>M</w:t>
      </w:r>
      <w:r w:rsidR="00982FD7" w:rsidRPr="008A0130">
        <w:rPr>
          <w:rFonts w:ascii="Book Antiqua" w:eastAsia="Times New Roman" w:hAnsi="Book Antiqua" w:cs="Times New Roman"/>
        </w:rPr>
        <w:t>ember</w:t>
      </w:r>
      <w:r w:rsidR="00244B0E" w:rsidRPr="008A0130">
        <w:rPr>
          <w:rFonts w:ascii="Book Antiqua" w:eastAsia="Times New Roman" w:hAnsi="Book Antiqua" w:cs="Times New Roman"/>
        </w:rPr>
        <w:t>s</w:t>
      </w:r>
      <w:r w:rsidR="00982FD7" w:rsidRPr="008A0130">
        <w:rPr>
          <w:rFonts w:ascii="Book Antiqua" w:eastAsia="Times New Roman" w:hAnsi="Book Antiqua" w:cs="Times New Roman"/>
        </w:rPr>
        <w:t xml:space="preserve"> of </w:t>
      </w:r>
      <w:r w:rsidR="00982FD7" w:rsidRPr="008A0130">
        <w:rPr>
          <w:rFonts w:ascii="Book Antiqua" w:hAnsi="Book Antiqua" w:cs="Times New Roman"/>
        </w:rPr>
        <w:t xml:space="preserve">HMGA </w:t>
      </w:r>
      <w:r w:rsidR="00982FD7" w:rsidRPr="008A0130">
        <w:rPr>
          <w:rFonts w:ascii="Book Antiqua" w:eastAsia="Times New Roman" w:hAnsi="Book Antiqua" w:cs="Times New Roman"/>
        </w:rPr>
        <w:t xml:space="preserve">family, </w:t>
      </w:r>
      <w:r w:rsidR="002A3C9C" w:rsidRPr="008A0130">
        <w:rPr>
          <w:rFonts w:ascii="Book Antiqua" w:eastAsia="Times New Roman" w:hAnsi="Book Antiqua" w:cs="Times New Roman"/>
          <w:i/>
          <w:iCs/>
        </w:rPr>
        <w:t>HMGA</w:t>
      </w:r>
      <w:r w:rsidR="00086FA5" w:rsidRPr="008A0130">
        <w:rPr>
          <w:rFonts w:ascii="Book Antiqua" w:eastAsia="Times New Roman" w:hAnsi="Book Antiqua" w:cs="Times New Roman"/>
          <w:i/>
          <w:iCs/>
        </w:rPr>
        <w:t>1</w:t>
      </w:r>
      <w:r w:rsidR="00086FA5" w:rsidRPr="008A0130">
        <w:rPr>
          <w:rFonts w:ascii="Book Antiqua" w:eastAsia="Times New Roman" w:hAnsi="Book Antiqua" w:cs="Times New Roman"/>
        </w:rPr>
        <w:t> and </w:t>
      </w:r>
      <w:r w:rsidR="002A3C9C" w:rsidRPr="008A0130">
        <w:rPr>
          <w:rFonts w:ascii="Book Antiqua" w:eastAsia="Times New Roman" w:hAnsi="Book Antiqua" w:cs="Times New Roman"/>
          <w:i/>
          <w:iCs/>
        </w:rPr>
        <w:t>HMGA</w:t>
      </w:r>
      <w:r w:rsidR="00086FA5" w:rsidRPr="008A0130">
        <w:rPr>
          <w:rFonts w:ascii="Book Antiqua" w:eastAsia="Times New Roman" w:hAnsi="Book Antiqua" w:cs="Times New Roman"/>
          <w:i/>
          <w:iCs/>
        </w:rPr>
        <w:t>2</w:t>
      </w:r>
      <w:r w:rsidR="00086FA5" w:rsidRPr="008A0130">
        <w:rPr>
          <w:rFonts w:ascii="Book Antiqua" w:eastAsia="Times New Roman" w:hAnsi="Book Antiqua" w:cs="Times New Roman"/>
          <w:iCs/>
        </w:rPr>
        <w:t>,</w:t>
      </w:r>
      <w:r w:rsidR="00086FA5" w:rsidRPr="008A0130">
        <w:rPr>
          <w:rFonts w:ascii="Book Antiqua" w:eastAsia="Times New Roman" w:hAnsi="Book Antiqua" w:cs="Times New Roman"/>
        </w:rPr>
        <w:t> </w:t>
      </w:r>
      <w:r w:rsidR="00086FA5" w:rsidRPr="008A0130">
        <w:rPr>
          <w:rFonts w:ascii="Book Antiqua" w:hAnsi="Book Antiqua" w:cs="Helvetica Light"/>
        </w:rPr>
        <w:t xml:space="preserve">are highly expressed during embryonic development and are linked to malignant transformation and progression in human cancers, including gastric </w:t>
      </w:r>
      <w:proofErr w:type="gramStart"/>
      <w:r w:rsidR="00086FA5" w:rsidRPr="008A0130">
        <w:rPr>
          <w:rFonts w:ascii="Book Antiqua" w:hAnsi="Book Antiqua" w:cs="Helvetica Light"/>
        </w:rPr>
        <w:t>cancer</w:t>
      </w:r>
      <w:r w:rsidR="00AB257A" w:rsidRPr="008A0130">
        <w:rPr>
          <w:rFonts w:ascii="Book Antiqua" w:eastAsia="Times New Roman" w:hAnsi="Book Antiqua" w:cs="Times New Roman"/>
          <w:vertAlign w:val="superscript"/>
        </w:rPr>
        <w:t>[</w:t>
      </w:r>
      <w:proofErr w:type="gramEnd"/>
      <w:r w:rsidR="00AB257A" w:rsidRPr="008A0130">
        <w:rPr>
          <w:rFonts w:ascii="Book Antiqua" w:eastAsia="Times New Roman" w:hAnsi="Book Antiqua" w:cs="Times New Roman"/>
          <w:vertAlign w:val="superscript"/>
        </w:rPr>
        <w:t>208,209</w:t>
      </w:r>
      <w:r w:rsidR="00881892" w:rsidRPr="008A0130">
        <w:rPr>
          <w:rFonts w:ascii="Book Antiqua" w:eastAsia="Times New Roman" w:hAnsi="Book Antiqua" w:cs="Times New Roman"/>
          <w:vertAlign w:val="superscript"/>
        </w:rPr>
        <w:t>]</w:t>
      </w:r>
      <w:r w:rsidR="00086FA5" w:rsidRPr="008A0130">
        <w:rPr>
          <w:rFonts w:ascii="Book Antiqua" w:hAnsi="Book Antiqua" w:cs="Helvetica Light"/>
        </w:rPr>
        <w:t>.</w:t>
      </w:r>
      <w:r w:rsidR="00086FA5" w:rsidRPr="008A0130">
        <w:rPr>
          <w:rFonts w:ascii="Book Antiqua" w:eastAsia="Times New Roman" w:hAnsi="Book Antiqua" w:cs="Times New Roman"/>
        </w:rPr>
        <w:t xml:space="preserve"> </w:t>
      </w:r>
      <w:r w:rsidR="00982FD7" w:rsidRPr="008A0130">
        <w:rPr>
          <w:rFonts w:ascii="Book Antiqua" w:hAnsi="Book Antiqua" w:cs="Times New Roman"/>
          <w:i/>
        </w:rPr>
        <w:t>HMGA1</w:t>
      </w:r>
      <w:r w:rsidR="00982FD7" w:rsidRPr="008A0130">
        <w:rPr>
          <w:rFonts w:ascii="Book Antiqua" w:hAnsi="Book Antiqua" w:cs="Times New Roman"/>
        </w:rPr>
        <w:t xml:space="preserve">, </w:t>
      </w:r>
      <w:r w:rsidR="00C26508" w:rsidRPr="008A0130">
        <w:rPr>
          <w:rFonts w:ascii="Book Antiqua" w:hAnsi="Book Antiqua" w:cs="Helvetica Light"/>
        </w:rPr>
        <w:t>is induced by the Wnt/</w:t>
      </w:r>
      <w:r w:rsidR="00C26508" w:rsidRPr="008A0130">
        <w:rPr>
          <w:rFonts w:ascii="Book Antiqua" w:hAnsi="Book Antiqua" w:cs="Times New Roman"/>
        </w:rPr>
        <w:t>ß</w:t>
      </w:r>
      <w:r w:rsidR="00C26508" w:rsidRPr="008A0130">
        <w:rPr>
          <w:rFonts w:ascii="Book Antiqua" w:hAnsi="Book Antiqua" w:cs="Helvetica Light"/>
        </w:rPr>
        <w:t xml:space="preserve">-catenin pathway and maintains proliferation of gastric cancer </w:t>
      </w:r>
      <w:proofErr w:type="gramStart"/>
      <w:r w:rsidR="00C26508" w:rsidRPr="008A0130">
        <w:rPr>
          <w:rFonts w:ascii="Book Antiqua" w:hAnsi="Book Antiqua" w:cs="Helvetica Light"/>
        </w:rPr>
        <w:t>cells</w:t>
      </w:r>
      <w:r w:rsidR="00AB257A" w:rsidRPr="008A0130">
        <w:rPr>
          <w:rFonts w:ascii="Book Antiqua" w:eastAsia="Times New Roman" w:hAnsi="Book Antiqua" w:cs="Times New Roman"/>
          <w:vertAlign w:val="superscript"/>
        </w:rPr>
        <w:t>[</w:t>
      </w:r>
      <w:proofErr w:type="gramEnd"/>
      <w:r w:rsidR="00AB257A" w:rsidRPr="008A0130">
        <w:rPr>
          <w:rFonts w:ascii="Book Antiqua" w:eastAsia="Times New Roman" w:hAnsi="Book Antiqua" w:cs="Times New Roman"/>
          <w:vertAlign w:val="superscript"/>
        </w:rPr>
        <w:t>210</w:t>
      </w:r>
      <w:r w:rsidR="00881892" w:rsidRPr="008A0130">
        <w:rPr>
          <w:rFonts w:ascii="Book Antiqua" w:eastAsia="Times New Roman" w:hAnsi="Book Antiqua" w:cs="Times New Roman"/>
          <w:vertAlign w:val="superscript"/>
        </w:rPr>
        <w:t>]</w:t>
      </w:r>
      <w:r w:rsidR="00C26508" w:rsidRPr="008A0130">
        <w:rPr>
          <w:rFonts w:ascii="Book Antiqua" w:hAnsi="Book Antiqua" w:cs="Helvetica Light"/>
        </w:rPr>
        <w:t>.</w:t>
      </w:r>
      <w:r w:rsidR="00D02160" w:rsidRPr="008A0130">
        <w:rPr>
          <w:rFonts w:ascii="Book Antiqua" w:hAnsi="Book Antiqua" w:cs="Times New Roman"/>
        </w:rPr>
        <w:t xml:space="preserve"> </w:t>
      </w:r>
      <w:r w:rsidR="00982FD7" w:rsidRPr="008A0130">
        <w:rPr>
          <w:rFonts w:ascii="Book Antiqua" w:hAnsi="Book Antiqua" w:cs="Times New Roman"/>
        </w:rPr>
        <w:t xml:space="preserve">Moreover, HMGA2 </w:t>
      </w:r>
      <w:r w:rsidR="00921D82" w:rsidRPr="008A0130">
        <w:rPr>
          <w:rFonts w:ascii="Book Antiqua" w:hAnsi="Book Antiqua" w:cs="Times New Roman"/>
        </w:rPr>
        <w:t xml:space="preserve">activates the Wnt/ß-catenin pathway and </w:t>
      </w:r>
      <w:r w:rsidR="00982FD7" w:rsidRPr="008A0130">
        <w:rPr>
          <w:rFonts w:ascii="Book Antiqua" w:hAnsi="Book Antiqua" w:cs="Times New Roman"/>
        </w:rPr>
        <w:t xml:space="preserve">causes EMT </w:t>
      </w:r>
      <w:r w:rsidR="00244B0E" w:rsidRPr="008A0130">
        <w:rPr>
          <w:rFonts w:ascii="Book Antiqua" w:hAnsi="Book Antiqua" w:cs="Times New Roman"/>
        </w:rPr>
        <w:t xml:space="preserve">in gastric cancer cells </w:t>
      </w:r>
      <w:r w:rsidR="00982FD7" w:rsidRPr="008A0130">
        <w:rPr>
          <w:rFonts w:ascii="Book Antiqua" w:hAnsi="Book Antiqua" w:cs="Times New Roman"/>
        </w:rPr>
        <w:t xml:space="preserve">by suppressing the expression of </w:t>
      </w:r>
      <w:r w:rsidR="00A426B3" w:rsidRPr="008A0130">
        <w:rPr>
          <w:rFonts w:ascii="Book Antiqua" w:hAnsi="Book Antiqua" w:cs="Times New Roman"/>
          <w:i/>
        </w:rPr>
        <w:t>Axin</w:t>
      </w:r>
      <w:r w:rsidR="00982FD7" w:rsidRPr="008A0130">
        <w:rPr>
          <w:rFonts w:ascii="Book Antiqua" w:hAnsi="Book Antiqua" w:cs="Times New Roman"/>
          <w:i/>
        </w:rPr>
        <w:t>1</w:t>
      </w:r>
      <w:r w:rsidR="00921D82" w:rsidRPr="008A0130">
        <w:rPr>
          <w:rFonts w:ascii="Book Antiqua" w:hAnsi="Book Antiqua" w:cs="Times New Roman"/>
        </w:rPr>
        <w:t xml:space="preserve">, thereby protecting ß-catenin from phosphorylation </w:t>
      </w:r>
      <w:proofErr w:type="gramStart"/>
      <w:r w:rsidR="00921D82" w:rsidRPr="008A0130">
        <w:rPr>
          <w:rFonts w:ascii="Book Antiqua" w:hAnsi="Book Antiqua" w:cs="Times New Roman"/>
        </w:rPr>
        <w:t>degradation</w:t>
      </w:r>
      <w:r w:rsidR="00B14052" w:rsidRPr="008A0130">
        <w:rPr>
          <w:rFonts w:ascii="Book Antiqua" w:hAnsi="Book Antiqua" w:cs="Times New Roman"/>
          <w:vertAlign w:val="superscript"/>
        </w:rPr>
        <w:t>[</w:t>
      </w:r>
      <w:proofErr w:type="gramEnd"/>
      <w:r w:rsidR="00881892" w:rsidRPr="008A0130">
        <w:rPr>
          <w:rFonts w:ascii="Book Antiqua" w:hAnsi="Book Antiqua" w:cs="Times New Roman"/>
          <w:vertAlign w:val="superscript"/>
        </w:rPr>
        <w:t>2</w:t>
      </w:r>
      <w:r w:rsidR="00B14052" w:rsidRPr="008A0130">
        <w:rPr>
          <w:rFonts w:ascii="Book Antiqua" w:hAnsi="Book Antiqua" w:cs="Times New Roman"/>
          <w:vertAlign w:val="superscript"/>
        </w:rPr>
        <w:t>1</w:t>
      </w:r>
      <w:r w:rsidR="00AB257A" w:rsidRPr="008A0130">
        <w:rPr>
          <w:rFonts w:ascii="Book Antiqua" w:hAnsi="Book Antiqua" w:cs="Times New Roman"/>
          <w:vertAlign w:val="superscript"/>
        </w:rPr>
        <w:t>1</w:t>
      </w:r>
      <w:r w:rsidR="00B14052" w:rsidRPr="008A0130">
        <w:rPr>
          <w:rFonts w:ascii="Book Antiqua" w:hAnsi="Book Antiqua" w:cs="Times New Roman"/>
          <w:vertAlign w:val="superscript"/>
        </w:rPr>
        <w:t>]</w:t>
      </w:r>
      <w:r w:rsidR="00921D82" w:rsidRPr="008A0130">
        <w:rPr>
          <w:rFonts w:ascii="Book Antiqua" w:hAnsi="Book Antiqua" w:cs="Times New Roman"/>
        </w:rPr>
        <w:t>. HMGA2</w:t>
      </w:r>
      <w:r w:rsidR="00982FD7" w:rsidRPr="008A0130">
        <w:rPr>
          <w:rFonts w:ascii="Book Antiqua" w:hAnsi="Book Antiqua" w:cs="Times New Roman"/>
        </w:rPr>
        <w:t xml:space="preserve"> </w:t>
      </w:r>
      <w:r w:rsidR="00921D82" w:rsidRPr="008A0130">
        <w:rPr>
          <w:rFonts w:ascii="Book Antiqua" w:hAnsi="Book Antiqua" w:cs="Times New Roman"/>
        </w:rPr>
        <w:t>also promotes ß-catenin translocation by increasing</w:t>
      </w:r>
      <w:r w:rsidR="00D02160" w:rsidRPr="008A0130">
        <w:rPr>
          <w:rFonts w:ascii="Book Antiqua" w:hAnsi="Book Antiqua" w:cs="Times New Roman"/>
        </w:rPr>
        <w:t xml:space="preserve"> expression of</w:t>
      </w:r>
      <w:r w:rsidR="00982FD7" w:rsidRPr="008A0130">
        <w:rPr>
          <w:rFonts w:ascii="Book Antiqua" w:hAnsi="Book Antiqua" w:cs="Times New Roman"/>
        </w:rPr>
        <w:t xml:space="preserve"> </w:t>
      </w:r>
      <w:r w:rsidR="00982FD7" w:rsidRPr="008A0130">
        <w:rPr>
          <w:rFonts w:ascii="Book Antiqua" w:hAnsi="Book Antiqua" w:cs="Times New Roman"/>
          <w:i/>
        </w:rPr>
        <w:t>TWIST1</w:t>
      </w:r>
      <w:r w:rsidR="00D02160" w:rsidRPr="008A0130">
        <w:rPr>
          <w:rFonts w:ascii="Book Antiqua" w:hAnsi="Book Antiqua" w:cs="Times New Roman"/>
        </w:rPr>
        <w:t>,</w:t>
      </w:r>
      <w:r w:rsidR="00982FD7" w:rsidRPr="008A0130">
        <w:rPr>
          <w:rFonts w:ascii="Book Antiqua" w:hAnsi="Book Antiqua" w:cs="Times New Roman"/>
        </w:rPr>
        <w:t xml:space="preserve"> </w:t>
      </w:r>
      <w:r w:rsidR="00D02160" w:rsidRPr="008A0130">
        <w:rPr>
          <w:rFonts w:ascii="Book Antiqua" w:hAnsi="Book Antiqua" w:cs="Times New Roman"/>
        </w:rPr>
        <w:t xml:space="preserve">which </w:t>
      </w:r>
      <w:r w:rsidR="00D02160" w:rsidRPr="008A0130">
        <w:rPr>
          <w:rFonts w:ascii="Book Antiqua" w:hAnsi="Book Antiqua" w:cs="Times"/>
        </w:rPr>
        <w:t xml:space="preserve">can repress E-cadherin </w:t>
      </w:r>
      <w:proofErr w:type="gramStart"/>
      <w:r w:rsidR="00D02160" w:rsidRPr="008A0130">
        <w:rPr>
          <w:rFonts w:ascii="Book Antiqua" w:hAnsi="Book Antiqua" w:cs="Times"/>
        </w:rPr>
        <w:t>expression</w:t>
      </w:r>
      <w:r w:rsidR="00D02160"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211</w:t>
      </w:r>
      <w:r w:rsidR="00D02160" w:rsidRPr="008A0130">
        <w:rPr>
          <w:rFonts w:ascii="Book Antiqua" w:hAnsi="Book Antiqua" w:cs="Times New Roman"/>
          <w:vertAlign w:val="superscript"/>
        </w:rPr>
        <w:t>]</w:t>
      </w:r>
      <w:r w:rsidR="00D02160" w:rsidRPr="008A0130">
        <w:rPr>
          <w:rFonts w:ascii="Book Antiqua" w:hAnsi="Book Antiqua" w:cs="Times"/>
        </w:rPr>
        <w:t>.</w:t>
      </w:r>
    </w:p>
    <w:p w14:paraId="070F4B6B" w14:textId="77777777" w:rsidR="00950BD5" w:rsidRPr="008A0130" w:rsidRDefault="00950BD5" w:rsidP="008A0130">
      <w:pPr>
        <w:widowControl w:val="0"/>
        <w:autoSpaceDE w:val="0"/>
        <w:autoSpaceDN w:val="0"/>
        <w:adjustRightInd w:val="0"/>
        <w:spacing w:line="360" w:lineRule="auto"/>
        <w:jc w:val="both"/>
        <w:rPr>
          <w:rFonts w:ascii="Book Antiqua" w:eastAsia="宋体" w:hAnsi="Book Antiqua" w:cs="Times New Roman"/>
          <w:b/>
          <w:i/>
          <w:lang w:eastAsia="zh-CN"/>
        </w:rPr>
      </w:pPr>
    </w:p>
    <w:p w14:paraId="4F1AFED0" w14:textId="4ED8A16F" w:rsidR="005867A6" w:rsidRPr="008A0130" w:rsidRDefault="00B532EA" w:rsidP="008A0130">
      <w:pPr>
        <w:widowControl w:val="0"/>
        <w:autoSpaceDE w:val="0"/>
        <w:autoSpaceDN w:val="0"/>
        <w:adjustRightInd w:val="0"/>
        <w:spacing w:line="360" w:lineRule="auto"/>
        <w:jc w:val="both"/>
        <w:rPr>
          <w:rFonts w:ascii="Book Antiqua" w:eastAsia="Times New Roman" w:hAnsi="Book Antiqua" w:cs="Times New Roman"/>
          <w:b/>
          <w:i/>
        </w:rPr>
      </w:pPr>
      <w:r w:rsidRPr="008A0130">
        <w:rPr>
          <w:rFonts w:ascii="Book Antiqua" w:eastAsia="Times New Roman" w:hAnsi="Book Antiqua" w:cs="Times New Roman"/>
          <w:b/>
          <w:i/>
        </w:rPr>
        <w:t>Role of infections</w:t>
      </w:r>
      <w:r w:rsidR="005867A6" w:rsidRPr="008A0130">
        <w:rPr>
          <w:rFonts w:ascii="Book Antiqua" w:eastAsia="Times New Roman" w:hAnsi="Book Antiqua" w:cs="Times New Roman"/>
          <w:b/>
          <w:i/>
        </w:rPr>
        <w:t xml:space="preserve"> </w:t>
      </w:r>
      <w:r w:rsidRPr="008A0130">
        <w:rPr>
          <w:rFonts w:ascii="Book Antiqua" w:eastAsia="Times New Roman" w:hAnsi="Book Antiqua" w:cs="Times New Roman"/>
          <w:b/>
          <w:i/>
        </w:rPr>
        <w:t xml:space="preserve">in </w:t>
      </w:r>
      <w:r w:rsidR="00C71FFB" w:rsidRPr="008A0130">
        <w:rPr>
          <w:rFonts w:ascii="Book Antiqua" w:eastAsia="Times New Roman" w:hAnsi="Book Antiqua" w:cs="Times New Roman"/>
          <w:b/>
          <w:i/>
        </w:rPr>
        <w:t>enhancing</w:t>
      </w:r>
      <w:r w:rsidR="009D0ED8" w:rsidRPr="008A0130">
        <w:rPr>
          <w:rFonts w:ascii="Book Antiqua" w:eastAsia="Times New Roman" w:hAnsi="Book Antiqua" w:cs="Times New Roman"/>
          <w:b/>
          <w:i/>
        </w:rPr>
        <w:t xml:space="preserve"> </w:t>
      </w:r>
      <w:r w:rsidR="007E154A" w:rsidRPr="008A0130">
        <w:rPr>
          <w:rFonts w:ascii="Book Antiqua" w:eastAsia="Times New Roman" w:hAnsi="Book Antiqua" w:cs="Times New Roman"/>
          <w:b/>
          <w:i/>
        </w:rPr>
        <w:t>Wnt/</w:t>
      </w:r>
      <w:r w:rsidR="007E154A" w:rsidRPr="008A0130">
        <w:rPr>
          <w:rFonts w:ascii="Book Antiqua" w:eastAsia="Times New Roman" w:hAnsi="Book Antiqua" w:cs="Times New Roman"/>
          <w:b/>
          <w:i/>
        </w:rPr>
        <w:sym w:font="Symbol" w:char="F062"/>
      </w:r>
      <w:r w:rsidR="007E154A" w:rsidRPr="008A0130">
        <w:rPr>
          <w:rFonts w:ascii="Book Antiqua" w:eastAsia="Times New Roman" w:hAnsi="Book Antiqua" w:cs="Times New Roman"/>
          <w:b/>
          <w:i/>
        </w:rPr>
        <w:t>-catenin</w:t>
      </w:r>
      <w:r w:rsidR="00D03B0C" w:rsidRPr="008A0130">
        <w:rPr>
          <w:rFonts w:ascii="Book Antiqua" w:eastAsia="Times New Roman" w:hAnsi="Book Antiqua" w:cs="Times New Roman"/>
          <w:b/>
          <w:i/>
        </w:rPr>
        <w:t xml:space="preserve"> </w:t>
      </w:r>
      <w:r w:rsidR="005867A6" w:rsidRPr="008A0130">
        <w:rPr>
          <w:rFonts w:ascii="Book Antiqua" w:eastAsia="Times New Roman" w:hAnsi="Book Antiqua" w:cs="Times New Roman"/>
          <w:b/>
          <w:i/>
        </w:rPr>
        <w:t>pathway</w:t>
      </w:r>
      <w:r w:rsidR="00C71FFB" w:rsidRPr="008A0130">
        <w:rPr>
          <w:rFonts w:ascii="Book Antiqua" w:eastAsia="Times New Roman" w:hAnsi="Book Antiqua" w:cs="Times New Roman"/>
          <w:b/>
          <w:i/>
        </w:rPr>
        <w:t xml:space="preserve"> signaling</w:t>
      </w:r>
      <w:r w:rsidR="005867A6" w:rsidRPr="008A0130">
        <w:rPr>
          <w:rFonts w:ascii="Book Antiqua" w:eastAsia="Times New Roman" w:hAnsi="Book Antiqua" w:cs="Times New Roman"/>
          <w:b/>
          <w:i/>
        </w:rPr>
        <w:t xml:space="preserve"> </w:t>
      </w:r>
      <w:r w:rsidR="0043198C" w:rsidRPr="008A0130">
        <w:rPr>
          <w:rFonts w:ascii="Book Antiqua" w:eastAsia="Times New Roman" w:hAnsi="Book Antiqua" w:cs="Times New Roman"/>
          <w:b/>
          <w:i/>
        </w:rPr>
        <w:t>in gastric cancer</w:t>
      </w:r>
    </w:p>
    <w:p w14:paraId="2B25709D" w14:textId="1B3045C7" w:rsidR="009510C1" w:rsidRPr="008A0130" w:rsidRDefault="009510C1" w:rsidP="008A0130">
      <w:pPr>
        <w:spacing w:line="360" w:lineRule="auto"/>
        <w:jc w:val="both"/>
        <w:rPr>
          <w:rFonts w:ascii="Book Antiqua" w:hAnsi="Book Antiqua" w:cs="Garamond"/>
        </w:rPr>
      </w:pPr>
      <w:r w:rsidRPr="008A0130">
        <w:rPr>
          <w:rFonts w:ascii="Book Antiqua" w:hAnsi="Book Antiqua" w:cs="Garamond"/>
          <w:i/>
          <w:iCs/>
        </w:rPr>
        <w:t xml:space="preserve">H. pylori </w:t>
      </w:r>
      <w:r w:rsidRPr="008A0130">
        <w:rPr>
          <w:rFonts w:ascii="Book Antiqua" w:hAnsi="Book Antiqua" w:cs="Garamond"/>
        </w:rPr>
        <w:t>virulence factors contributing to gastric cancer development include cytotoxin-associated gene product (</w:t>
      </w:r>
      <w:r w:rsidRPr="008A0130">
        <w:rPr>
          <w:rFonts w:ascii="Book Antiqua" w:hAnsi="Book Antiqua" w:cs="Garamond"/>
          <w:iCs/>
        </w:rPr>
        <w:t>cagA</w:t>
      </w:r>
      <w:r w:rsidRPr="008A0130">
        <w:rPr>
          <w:rFonts w:ascii="Book Antiqua" w:hAnsi="Book Antiqua" w:cs="Garamond"/>
        </w:rPr>
        <w:t xml:space="preserve">), vacuolating cytotoxin A (vacA), blood </w:t>
      </w:r>
      <w:r w:rsidRPr="008A0130">
        <w:rPr>
          <w:rFonts w:ascii="Book Antiqua" w:hAnsi="Book Antiqua" w:cs="Garamond"/>
        </w:rPr>
        <w:lastRenderedPageBreak/>
        <w:t xml:space="preserve">group antigen binding adhesion 2 (BabA), outer inflammatory protein (oipA) and </w:t>
      </w:r>
      <w:r w:rsidRPr="008A0130">
        <w:rPr>
          <w:rFonts w:ascii="Book Antiqua" w:eastAsia="Times New Roman" w:hAnsi="Book Antiqua" w:cs="Arial"/>
        </w:rPr>
        <w:t>induced by contact with epithelium (iceA)</w:t>
      </w:r>
      <w:r w:rsidR="00AB257A" w:rsidRPr="008A0130">
        <w:rPr>
          <w:rFonts w:ascii="Book Antiqua" w:eastAsia="Times New Roman" w:hAnsi="Book Antiqua" w:cs="Times New Roman"/>
          <w:vertAlign w:val="superscript"/>
        </w:rPr>
        <w:t>[212</w:t>
      </w:r>
      <w:r w:rsidR="00881892" w:rsidRPr="008A0130">
        <w:rPr>
          <w:rFonts w:ascii="Book Antiqua" w:eastAsia="Times New Roman" w:hAnsi="Book Antiqua" w:cs="Times New Roman"/>
          <w:vertAlign w:val="superscript"/>
        </w:rPr>
        <w:t>]</w:t>
      </w:r>
      <w:r w:rsidRPr="008A0130">
        <w:rPr>
          <w:rFonts w:ascii="Book Antiqua" w:hAnsi="Book Antiqua" w:cs="Garamond"/>
        </w:rPr>
        <w:t>.</w:t>
      </w:r>
    </w:p>
    <w:p w14:paraId="065CA4A8" w14:textId="248BD5D3" w:rsidR="009510C1" w:rsidRPr="008A0130" w:rsidRDefault="009510C1" w:rsidP="008A0130">
      <w:pPr>
        <w:widowControl w:val="0"/>
        <w:autoSpaceDE w:val="0"/>
        <w:autoSpaceDN w:val="0"/>
        <w:adjustRightInd w:val="0"/>
        <w:spacing w:line="360" w:lineRule="auto"/>
        <w:ind w:firstLineChars="100" w:firstLine="240"/>
        <w:jc w:val="both"/>
        <w:rPr>
          <w:rFonts w:ascii="Book Antiqua" w:eastAsia="Times New Roman" w:hAnsi="Book Antiqua" w:cs="Times New Roman"/>
          <w:b/>
          <w:i/>
        </w:rPr>
      </w:pPr>
      <w:r w:rsidRPr="008A0130">
        <w:rPr>
          <w:rFonts w:ascii="Book Antiqua" w:hAnsi="Book Antiqua" w:cs="Times"/>
        </w:rPr>
        <w:t xml:space="preserve">Infection with cagA-positive </w:t>
      </w:r>
      <w:r w:rsidRPr="008A0130">
        <w:rPr>
          <w:rFonts w:ascii="Book Antiqua" w:hAnsi="Book Antiqua" w:cs="Times"/>
          <w:i/>
        </w:rPr>
        <w:t>H. pylori</w:t>
      </w:r>
      <w:r w:rsidRPr="008A0130">
        <w:rPr>
          <w:rFonts w:ascii="Book Antiqua" w:hAnsi="Book Antiqua" w:cs="Times"/>
        </w:rPr>
        <w:t xml:space="preserve"> strains increases the risk of peptic ulcers and gastric </w:t>
      </w:r>
      <w:proofErr w:type="gramStart"/>
      <w:r w:rsidRPr="008A0130">
        <w:rPr>
          <w:rFonts w:ascii="Book Antiqua" w:hAnsi="Book Antiqua" w:cs="Times"/>
        </w:rPr>
        <w:t>carcinoma</w:t>
      </w:r>
      <w:r w:rsidR="00AB257A" w:rsidRPr="008A0130">
        <w:rPr>
          <w:rFonts w:ascii="Book Antiqua" w:eastAsia="Times New Roman" w:hAnsi="Book Antiqua" w:cs="Times New Roman"/>
          <w:vertAlign w:val="superscript"/>
        </w:rPr>
        <w:t>[</w:t>
      </w:r>
      <w:proofErr w:type="gramEnd"/>
      <w:r w:rsidR="00AB257A" w:rsidRPr="008A0130">
        <w:rPr>
          <w:rFonts w:ascii="Book Antiqua" w:eastAsia="Times New Roman" w:hAnsi="Book Antiqua" w:cs="Times New Roman"/>
          <w:vertAlign w:val="superscript"/>
        </w:rPr>
        <w:t>213</w:t>
      </w:r>
      <w:r w:rsidR="00881892" w:rsidRPr="008A0130">
        <w:rPr>
          <w:rFonts w:ascii="Book Antiqua" w:eastAsia="Times New Roman" w:hAnsi="Book Antiqua" w:cs="Times New Roman"/>
          <w:vertAlign w:val="superscript"/>
        </w:rPr>
        <w:t>]</w:t>
      </w:r>
      <w:r w:rsidRPr="008A0130">
        <w:rPr>
          <w:rFonts w:ascii="Book Antiqua" w:hAnsi="Book Antiqua" w:cs="Times"/>
        </w:rPr>
        <w:t xml:space="preserve">. CagA protein is translocated by a type IV secretion system into gastric epithelial cells where </w:t>
      </w:r>
      <w:r w:rsidRPr="008A0130">
        <w:rPr>
          <w:rFonts w:ascii="Book Antiqua" w:hAnsi="Book Antiqua" w:cs="Garamond"/>
        </w:rPr>
        <w:t xml:space="preserve">forms a physical complex with the Src homology 2 domain-containing tyrosine phosphatase in a phosphorylation dependent </w:t>
      </w:r>
      <w:proofErr w:type="gramStart"/>
      <w:r w:rsidRPr="008A0130">
        <w:rPr>
          <w:rFonts w:ascii="Book Antiqua" w:hAnsi="Book Antiqua" w:cs="Garamond"/>
        </w:rPr>
        <w:t>manner</w:t>
      </w:r>
      <w:r w:rsidR="00AB257A" w:rsidRPr="008A0130">
        <w:rPr>
          <w:rFonts w:ascii="Book Antiqua" w:eastAsia="Times New Roman" w:hAnsi="Book Antiqua" w:cs="Times New Roman"/>
          <w:vertAlign w:val="superscript"/>
        </w:rPr>
        <w:t>[</w:t>
      </w:r>
      <w:proofErr w:type="gramEnd"/>
      <w:r w:rsidR="00AB257A" w:rsidRPr="008A0130">
        <w:rPr>
          <w:rFonts w:ascii="Book Antiqua" w:eastAsia="Times New Roman" w:hAnsi="Book Antiqua" w:cs="Times New Roman"/>
          <w:vertAlign w:val="superscript"/>
        </w:rPr>
        <w:t>214</w:t>
      </w:r>
      <w:r w:rsidR="00881892" w:rsidRPr="008A0130">
        <w:rPr>
          <w:rFonts w:ascii="Book Antiqua" w:eastAsia="Times New Roman" w:hAnsi="Book Antiqua" w:cs="Times New Roman"/>
          <w:vertAlign w:val="superscript"/>
        </w:rPr>
        <w:t>]</w:t>
      </w:r>
      <w:r w:rsidRPr="008A0130">
        <w:rPr>
          <w:rFonts w:ascii="Book Antiqua" w:hAnsi="Book Antiqua" w:cs="Garamond"/>
        </w:rPr>
        <w:t>.</w:t>
      </w:r>
      <w:r w:rsidR="00790FCB" w:rsidRPr="008A0130">
        <w:rPr>
          <w:rFonts w:ascii="Book Antiqua" w:hAnsi="Book Antiqua" w:cs="Garamond"/>
        </w:rPr>
        <w:t xml:space="preserve"> </w:t>
      </w:r>
      <w:r w:rsidRPr="008A0130">
        <w:rPr>
          <w:rFonts w:ascii="Book Antiqua" w:hAnsi="Book Antiqua" w:cs="Garamond"/>
        </w:rPr>
        <w:t xml:space="preserve">These changes </w:t>
      </w:r>
      <w:r w:rsidRPr="008A0130">
        <w:rPr>
          <w:rFonts w:ascii="Book Antiqua" w:hAnsi="Book Antiqua" w:cs="Times"/>
        </w:rPr>
        <w:t xml:space="preserve">trigger a complex set of alterations in signal transduction that affects various cellular </w:t>
      </w:r>
      <w:proofErr w:type="gramStart"/>
      <w:r w:rsidRPr="008A0130">
        <w:rPr>
          <w:rFonts w:ascii="Book Antiqua" w:hAnsi="Book Antiqua" w:cs="Times"/>
        </w:rPr>
        <w:t>processes</w:t>
      </w:r>
      <w:r w:rsidR="00AB257A" w:rsidRPr="008A0130">
        <w:rPr>
          <w:rFonts w:ascii="Book Antiqua" w:eastAsia="Times New Roman" w:hAnsi="Book Antiqua" w:cs="Times New Roman"/>
          <w:vertAlign w:val="superscript"/>
        </w:rPr>
        <w:t>[</w:t>
      </w:r>
      <w:proofErr w:type="gramEnd"/>
      <w:r w:rsidR="00AB257A" w:rsidRPr="008A0130">
        <w:rPr>
          <w:rFonts w:ascii="Book Antiqua" w:eastAsia="Times New Roman" w:hAnsi="Book Antiqua" w:cs="Times New Roman"/>
          <w:vertAlign w:val="superscript"/>
        </w:rPr>
        <w:t>215</w:t>
      </w:r>
      <w:r w:rsidR="000C24E3" w:rsidRPr="008A0130">
        <w:rPr>
          <w:rFonts w:ascii="Book Antiqua" w:eastAsia="Times New Roman" w:hAnsi="Book Antiqua" w:cs="Times New Roman"/>
          <w:vertAlign w:val="superscript"/>
        </w:rPr>
        <w:t>]</w:t>
      </w:r>
      <w:r w:rsidRPr="008A0130">
        <w:rPr>
          <w:rFonts w:ascii="Book Antiqua" w:hAnsi="Book Antiqua" w:cs="Times"/>
        </w:rPr>
        <w:t xml:space="preserve">. </w:t>
      </w:r>
      <w:r w:rsidRPr="008A0130">
        <w:rPr>
          <w:rFonts w:ascii="Book Antiqua" w:eastAsia="Times New Roman" w:hAnsi="Book Antiqua" w:cs="Times New Roman"/>
        </w:rPr>
        <w:t>Another</w:t>
      </w:r>
      <w:r w:rsidRPr="008A0130">
        <w:rPr>
          <w:rStyle w:val="apple-converted-space"/>
          <w:rFonts w:ascii="Book Antiqua" w:eastAsia="Times New Roman" w:hAnsi="Book Antiqua" w:cs="Times New Roman"/>
        </w:rPr>
        <w:t> </w:t>
      </w:r>
      <w:r w:rsidRPr="008A0130">
        <w:rPr>
          <w:rStyle w:val="Emphasis"/>
          <w:rFonts w:ascii="Book Antiqua" w:eastAsia="Times New Roman" w:hAnsi="Book Antiqua" w:cs="Times New Roman"/>
        </w:rPr>
        <w:t>H. pylori</w:t>
      </w:r>
      <w:r w:rsidRPr="008A0130">
        <w:rPr>
          <w:rStyle w:val="apple-converted-space"/>
          <w:rFonts w:ascii="Book Antiqua" w:eastAsia="Times New Roman" w:hAnsi="Book Antiqua" w:cs="Times New Roman"/>
        </w:rPr>
        <w:t> </w:t>
      </w:r>
      <w:r w:rsidRPr="008A0130">
        <w:rPr>
          <w:rFonts w:ascii="Book Antiqua" w:eastAsia="Times New Roman" w:hAnsi="Book Antiqua" w:cs="Times New Roman"/>
        </w:rPr>
        <w:t>constituent linked to the development of gastric cancer is the secreted VacA toxin.</w:t>
      </w:r>
      <w:r w:rsidR="00790FCB" w:rsidRPr="008A0130">
        <w:rPr>
          <w:rStyle w:val="apple-converted-space"/>
          <w:rFonts w:ascii="Book Antiqua" w:eastAsia="Times New Roman" w:hAnsi="Book Antiqua" w:cs="Times New Roman"/>
        </w:rPr>
        <w:t xml:space="preserve"> </w:t>
      </w:r>
      <w:r w:rsidRPr="008A0130">
        <w:rPr>
          <w:rFonts w:ascii="Book Antiqua" w:eastAsia="Times New Roman" w:hAnsi="Book Antiqua" w:cs="Times New Roman"/>
        </w:rPr>
        <w:t xml:space="preserve">VacA can cause a wide assortment of alterations in gastric epithelial cells, including cell vacuolation, </w:t>
      </w:r>
      <w:r w:rsidRPr="008A0130">
        <w:rPr>
          <w:rFonts w:ascii="Book Antiqua" w:hAnsi="Book Antiqua" w:cs="Garamond"/>
        </w:rPr>
        <w:t xml:space="preserve">gastric epithelial cell </w:t>
      </w:r>
      <w:r w:rsidRPr="008A0130">
        <w:rPr>
          <w:rFonts w:ascii="Book Antiqua" w:eastAsia="Times New Roman" w:hAnsi="Book Antiqua" w:cs="Times New Roman"/>
        </w:rPr>
        <w:t>autophagy</w:t>
      </w:r>
      <w:r w:rsidRPr="008A0130">
        <w:rPr>
          <w:rFonts w:ascii="Book Antiqua" w:hAnsi="Book Antiqua" w:cs="Garamond"/>
        </w:rPr>
        <w:t xml:space="preserve"> and </w:t>
      </w:r>
      <w:proofErr w:type="gramStart"/>
      <w:r w:rsidRPr="008A0130">
        <w:rPr>
          <w:rFonts w:ascii="Book Antiqua" w:hAnsi="Book Antiqua" w:cs="Garamond"/>
        </w:rPr>
        <w:t>apoptosis</w:t>
      </w:r>
      <w:r w:rsidR="00AB257A" w:rsidRPr="008A0130">
        <w:rPr>
          <w:rFonts w:ascii="Book Antiqua" w:eastAsia="Times New Roman" w:hAnsi="Book Antiqua" w:cs="Times New Roman"/>
          <w:vertAlign w:val="superscript"/>
        </w:rPr>
        <w:t>[</w:t>
      </w:r>
      <w:proofErr w:type="gramEnd"/>
      <w:r w:rsidR="00AB257A" w:rsidRPr="008A0130">
        <w:rPr>
          <w:rFonts w:ascii="Book Antiqua" w:eastAsia="Times New Roman" w:hAnsi="Book Antiqua" w:cs="Times New Roman"/>
          <w:vertAlign w:val="superscript"/>
        </w:rPr>
        <w:t>216,217</w:t>
      </w:r>
      <w:r w:rsidR="000C24E3" w:rsidRPr="008A0130">
        <w:rPr>
          <w:rFonts w:ascii="Book Antiqua" w:eastAsia="Times New Roman" w:hAnsi="Book Antiqua" w:cs="Times New Roman"/>
          <w:vertAlign w:val="superscript"/>
        </w:rPr>
        <w:t>]</w:t>
      </w:r>
      <w:r w:rsidRPr="008A0130">
        <w:rPr>
          <w:rFonts w:ascii="Book Antiqua" w:hAnsi="Book Antiqua" w:cs="Garamond"/>
        </w:rPr>
        <w:t xml:space="preserve">. </w:t>
      </w:r>
      <w:r w:rsidRPr="008A0130">
        <w:rPr>
          <w:rFonts w:ascii="Book Antiqua" w:eastAsia="Times New Roman" w:hAnsi="Book Antiqua" w:cs="Times New Roman"/>
        </w:rPr>
        <w:t>VacA can also</w:t>
      </w:r>
      <w:r w:rsidRPr="008A0130">
        <w:rPr>
          <w:rFonts w:ascii="Book Antiqua" w:hAnsi="Book Antiqua" w:cs="Garamond"/>
        </w:rPr>
        <w:t xml:space="preserve"> interfer with T cell activation, which suppresses local immune </w:t>
      </w:r>
      <w:proofErr w:type="gramStart"/>
      <w:r w:rsidRPr="008A0130">
        <w:rPr>
          <w:rFonts w:ascii="Book Antiqua" w:hAnsi="Book Antiqua" w:cs="Garamond"/>
        </w:rPr>
        <w:t>response</w:t>
      </w:r>
      <w:r w:rsidR="00AB257A" w:rsidRPr="008A0130">
        <w:rPr>
          <w:rFonts w:ascii="Book Antiqua" w:eastAsia="Times New Roman" w:hAnsi="Book Antiqua" w:cs="Times New Roman"/>
          <w:vertAlign w:val="superscript"/>
        </w:rPr>
        <w:t>[</w:t>
      </w:r>
      <w:proofErr w:type="gramEnd"/>
      <w:r w:rsidR="00AB257A" w:rsidRPr="008A0130">
        <w:rPr>
          <w:rFonts w:ascii="Book Antiqua" w:eastAsia="Times New Roman" w:hAnsi="Book Antiqua" w:cs="Times New Roman"/>
          <w:vertAlign w:val="superscript"/>
        </w:rPr>
        <w:t>218</w:t>
      </w:r>
      <w:r w:rsidR="000C24E3" w:rsidRPr="008A0130">
        <w:rPr>
          <w:rFonts w:ascii="Book Antiqua" w:eastAsia="Times New Roman" w:hAnsi="Book Antiqua" w:cs="Times New Roman"/>
          <w:vertAlign w:val="superscript"/>
        </w:rPr>
        <w:t>]</w:t>
      </w:r>
      <w:r w:rsidRPr="008A0130">
        <w:rPr>
          <w:rFonts w:ascii="Book Antiqua" w:hAnsi="Book Antiqua" w:cs="Garamond"/>
        </w:rPr>
        <w:t>.</w:t>
      </w:r>
    </w:p>
    <w:p w14:paraId="3A2750A4" w14:textId="24D5321D" w:rsidR="000D6A88" w:rsidRPr="008A0130" w:rsidRDefault="00242928"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eastAsia="Times New Roman" w:hAnsi="Book Antiqua" w:cs="Times New Roman"/>
          <w:i/>
        </w:rPr>
        <w:t xml:space="preserve">H. </w:t>
      </w:r>
      <w:proofErr w:type="gramStart"/>
      <w:r w:rsidRPr="008A0130">
        <w:rPr>
          <w:rFonts w:ascii="Book Antiqua" w:eastAsia="Times New Roman" w:hAnsi="Book Antiqua" w:cs="Times New Roman"/>
          <w:i/>
        </w:rPr>
        <w:t>pylori</w:t>
      </w:r>
      <w:proofErr w:type="gramEnd"/>
      <w:r w:rsidRPr="008A0130">
        <w:rPr>
          <w:rFonts w:ascii="Book Antiqua" w:eastAsia="Times New Roman" w:hAnsi="Book Antiqua" w:cs="Times New Roman"/>
        </w:rPr>
        <w:t xml:space="preserve"> infection could cause cancer tumorigenesis and malignant transformation of host cells through the activation of oncogenic pathways</w:t>
      </w:r>
      <w:r w:rsidR="00AB257A" w:rsidRPr="008A0130">
        <w:rPr>
          <w:rFonts w:ascii="Book Antiqua" w:eastAsia="Times New Roman" w:hAnsi="Book Antiqua" w:cs="Times New Roman"/>
          <w:vertAlign w:val="superscript"/>
        </w:rPr>
        <w:t>[219</w:t>
      </w:r>
      <w:r w:rsidRPr="008A0130">
        <w:rPr>
          <w:rFonts w:ascii="Book Antiqua" w:eastAsia="Times New Roman" w:hAnsi="Book Antiqua" w:cs="Times New Roman"/>
          <w:vertAlign w:val="superscript"/>
        </w:rPr>
        <w:t>]</w:t>
      </w:r>
      <w:r w:rsidRPr="008A0130">
        <w:rPr>
          <w:rFonts w:ascii="Book Antiqua" w:eastAsia="Times New Roman" w:hAnsi="Book Antiqua" w:cs="Times New Roman"/>
        </w:rPr>
        <w:t xml:space="preserve">. </w:t>
      </w:r>
      <w:r w:rsidR="00CE418C" w:rsidRPr="008A0130">
        <w:rPr>
          <w:rFonts w:ascii="Book Antiqua" w:hAnsi="Book Antiqua" w:cs="Times New Roman"/>
        </w:rPr>
        <w:t>In this sense, e</w:t>
      </w:r>
      <w:r w:rsidR="00996755" w:rsidRPr="008A0130">
        <w:rPr>
          <w:rFonts w:ascii="Book Antiqua" w:hAnsi="Book Antiqua" w:cs="Times New Roman"/>
        </w:rPr>
        <w:t xml:space="preserve">vidence has </w:t>
      </w:r>
      <w:r w:rsidR="00CE418C" w:rsidRPr="008A0130">
        <w:rPr>
          <w:rFonts w:ascii="Book Antiqua" w:hAnsi="Book Antiqua" w:cs="Times New Roman"/>
        </w:rPr>
        <w:t>raised</w:t>
      </w:r>
      <w:r w:rsidR="00996755" w:rsidRPr="008A0130">
        <w:rPr>
          <w:rFonts w:ascii="Book Antiqua" w:hAnsi="Book Antiqua" w:cs="Times New Roman"/>
        </w:rPr>
        <w:t xml:space="preserve"> the possibility that Wnt</w:t>
      </w:r>
      <w:r w:rsidR="00CE418C" w:rsidRPr="008A0130">
        <w:rPr>
          <w:rFonts w:ascii="Book Antiqua" w:hAnsi="Book Antiqua" w:cs="Times New Roman"/>
        </w:rPr>
        <w:t>/</w:t>
      </w:r>
      <w:r w:rsidR="00F926B4" w:rsidRPr="008A0130">
        <w:rPr>
          <w:rFonts w:ascii="Book Antiqua" w:hAnsi="Book Antiqua" w:cs="Times New Roman"/>
        </w:rPr>
        <w:t>β</w:t>
      </w:r>
      <w:r w:rsidR="00CE418C" w:rsidRPr="008A0130">
        <w:rPr>
          <w:rFonts w:ascii="Book Antiqua" w:hAnsi="Book Antiqua" w:cs="Times New Roman"/>
        </w:rPr>
        <w:t>-catenin</w:t>
      </w:r>
      <w:r w:rsidR="00996755" w:rsidRPr="008A0130">
        <w:rPr>
          <w:rFonts w:ascii="Book Antiqua" w:hAnsi="Book Antiqua" w:cs="Times New Roman"/>
        </w:rPr>
        <w:t xml:space="preserve"> pathway play</w:t>
      </w:r>
      <w:r w:rsidR="001E01B3" w:rsidRPr="008A0130">
        <w:rPr>
          <w:rFonts w:ascii="Book Antiqua" w:hAnsi="Book Antiqua" w:cs="Times New Roman"/>
        </w:rPr>
        <w:t>s</w:t>
      </w:r>
      <w:r w:rsidR="00996755" w:rsidRPr="008A0130">
        <w:rPr>
          <w:rFonts w:ascii="Book Antiqua" w:hAnsi="Book Antiqua" w:cs="Times New Roman"/>
        </w:rPr>
        <w:t xml:space="preserve"> a role in the pathogenesis of</w:t>
      </w:r>
      <w:r w:rsidR="0077522F" w:rsidRPr="008A0130">
        <w:rPr>
          <w:rFonts w:ascii="Book Antiqua" w:hAnsi="Book Antiqua" w:cs="Times New Roman"/>
        </w:rPr>
        <w:t xml:space="preserve"> </w:t>
      </w:r>
      <w:r w:rsidR="0077522F" w:rsidRPr="008A0130">
        <w:rPr>
          <w:rFonts w:ascii="Book Antiqua" w:hAnsi="Book Antiqua" w:cs="Times New Roman"/>
          <w:i/>
        </w:rPr>
        <w:t xml:space="preserve">H. pylori </w:t>
      </w:r>
      <w:r w:rsidR="0077522F" w:rsidRPr="008A0130">
        <w:rPr>
          <w:rFonts w:ascii="Book Antiqua" w:hAnsi="Book Antiqua" w:cs="Times New Roman"/>
        </w:rPr>
        <w:t xml:space="preserve">infection, including the promotion of pathological changes seen in gastric cancer. </w:t>
      </w:r>
      <w:r w:rsidR="00A72BBB" w:rsidRPr="008A0130">
        <w:rPr>
          <w:rFonts w:ascii="Book Antiqua" w:hAnsi="Book Antiqua" w:cs="Times New Roman"/>
        </w:rPr>
        <w:t>Indeed</w:t>
      </w:r>
      <w:r w:rsidR="000D6A88" w:rsidRPr="008A0130">
        <w:rPr>
          <w:rFonts w:ascii="Book Antiqua" w:hAnsi="Book Antiqua" w:cs="Times New Roman"/>
        </w:rPr>
        <w:t xml:space="preserve">, </w:t>
      </w:r>
      <w:r w:rsidR="000D6A88" w:rsidRPr="008A0130">
        <w:rPr>
          <w:rFonts w:ascii="Book Antiqua" w:hAnsi="Book Antiqua" w:cs="Times New Roman"/>
          <w:i/>
        </w:rPr>
        <w:t xml:space="preserve">in vitro H. pylori </w:t>
      </w:r>
      <w:r w:rsidR="000D6A88" w:rsidRPr="008A0130">
        <w:rPr>
          <w:rFonts w:ascii="Book Antiqua" w:hAnsi="Book Antiqua" w:cs="Times New Roman"/>
        </w:rPr>
        <w:t xml:space="preserve">infection of cells </w:t>
      </w:r>
      <w:r w:rsidR="00D56AE7" w:rsidRPr="008A0130">
        <w:rPr>
          <w:rFonts w:ascii="Book Antiqua" w:hAnsi="Book Antiqua" w:cs="Times New Roman"/>
        </w:rPr>
        <w:t>promotes</w:t>
      </w:r>
      <w:r w:rsidR="000D6A88" w:rsidRPr="008A0130">
        <w:rPr>
          <w:rFonts w:ascii="Book Antiqua" w:hAnsi="Book Antiqua" w:cs="Times New Roman"/>
        </w:rPr>
        <w:t xml:space="preserve"> </w:t>
      </w:r>
      <w:r w:rsidR="001E01B3" w:rsidRPr="008A0130">
        <w:rPr>
          <w:rFonts w:ascii="Book Antiqua" w:hAnsi="Book Antiqua" w:cs="Times New Roman"/>
        </w:rPr>
        <w:t>an increase in</w:t>
      </w:r>
      <w:r w:rsidR="000D6A88" w:rsidRPr="008A0130">
        <w:rPr>
          <w:rFonts w:ascii="Book Antiqua" w:hAnsi="Book Antiqua" w:cs="Times New Roman"/>
        </w:rPr>
        <w:t xml:space="preserve"> nuclear levels of </w:t>
      </w:r>
      <w:r w:rsidR="00F926B4" w:rsidRPr="008A0130">
        <w:rPr>
          <w:rFonts w:ascii="Book Antiqua" w:hAnsi="Book Antiqua" w:cs="Times New Roman"/>
        </w:rPr>
        <w:t>β</w:t>
      </w:r>
      <w:r w:rsidR="00D56AE7" w:rsidRPr="008A0130">
        <w:rPr>
          <w:rFonts w:ascii="Book Antiqua" w:hAnsi="Book Antiqua" w:cs="Times New Roman"/>
        </w:rPr>
        <w:t>-catenin and</w:t>
      </w:r>
      <w:r w:rsidR="000D6A88" w:rsidRPr="008A0130">
        <w:rPr>
          <w:rFonts w:ascii="Book Antiqua" w:hAnsi="Book Antiqua" w:cs="Times New Roman"/>
        </w:rPr>
        <w:t xml:space="preserve"> TCF/LEF transactivation</w:t>
      </w:r>
      <w:r w:rsidR="006B5B78" w:rsidRPr="008A0130">
        <w:rPr>
          <w:rFonts w:ascii="Book Antiqua" w:hAnsi="Book Antiqua" w:cs="Times New Roman"/>
        </w:rPr>
        <w:t xml:space="preserve">, </w:t>
      </w:r>
      <w:r w:rsidRPr="008A0130">
        <w:rPr>
          <w:rFonts w:ascii="Book Antiqua" w:hAnsi="Book Antiqua" w:cs="Times New Roman"/>
        </w:rPr>
        <w:t>with</w:t>
      </w:r>
      <w:r w:rsidR="006B5B78" w:rsidRPr="008A0130">
        <w:rPr>
          <w:rFonts w:ascii="Book Antiqua" w:hAnsi="Book Antiqua" w:cs="Times New Roman"/>
        </w:rPr>
        <w:t xml:space="preserve"> upregulation of the </w:t>
      </w:r>
      <w:r w:rsidR="00F926B4" w:rsidRPr="008A0130">
        <w:rPr>
          <w:rFonts w:ascii="Book Antiqua" w:hAnsi="Book Antiqua" w:cs="Times New Roman"/>
        </w:rPr>
        <w:t>β</w:t>
      </w:r>
      <w:r w:rsidR="006B5B78" w:rsidRPr="008A0130">
        <w:rPr>
          <w:rFonts w:ascii="Book Antiqua" w:hAnsi="Book Antiqua" w:cs="Times New Roman"/>
        </w:rPr>
        <w:t xml:space="preserve">-catenin target gene </w:t>
      </w:r>
      <w:r w:rsidR="006B5B78" w:rsidRPr="008A0130">
        <w:rPr>
          <w:rFonts w:ascii="Book Antiqua" w:hAnsi="Book Antiqua" w:cs="Times New Roman"/>
          <w:i/>
        </w:rPr>
        <w:t>cyclin D1</w:t>
      </w:r>
      <w:r w:rsidR="006B5B78" w:rsidRPr="008A0130">
        <w:rPr>
          <w:rFonts w:ascii="Book Antiqua" w:hAnsi="Book Antiqua" w:cs="Times New Roman"/>
        </w:rPr>
        <w:t xml:space="preserve"> in a CagA-independent </w:t>
      </w:r>
      <w:proofErr w:type="gramStart"/>
      <w:r w:rsidR="006B5B78" w:rsidRPr="008A0130">
        <w:rPr>
          <w:rFonts w:ascii="Book Antiqua" w:hAnsi="Book Antiqua" w:cs="Times New Roman"/>
        </w:rPr>
        <w:t>manner</w:t>
      </w:r>
      <w:r w:rsidR="0054194F"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220,221</w:t>
      </w:r>
      <w:r w:rsidR="0054194F" w:rsidRPr="008A0130">
        <w:rPr>
          <w:rFonts w:ascii="Book Antiqua" w:hAnsi="Book Antiqua" w:cs="Times New Roman"/>
          <w:vertAlign w:val="superscript"/>
        </w:rPr>
        <w:t>]</w:t>
      </w:r>
      <w:r w:rsidR="000D6A88" w:rsidRPr="008A0130">
        <w:rPr>
          <w:rFonts w:ascii="Book Antiqua" w:hAnsi="Book Antiqua" w:cs="Times New Roman"/>
        </w:rPr>
        <w:t>.</w:t>
      </w:r>
    </w:p>
    <w:p w14:paraId="6B36E9A2" w14:textId="6A3CADFC" w:rsidR="00C6145D" w:rsidRPr="008A0130" w:rsidRDefault="00624A90"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Among the pleiotropic effects of the vacuolating cytotoxin VacA,</w:t>
      </w:r>
      <w:r w:rsidR="008D539F" w:rsidRPr="008A0130">
        <w:rPr>
          <w:rFonts w:ascii="Book Antiqua" w:hAnsi="Book Antiqua" w:cs="Times New Roman"/>
        </w:rPr>
        <w:t xml:space="preserve"> </w:t>
      </w:r>
      <w:r w:rsidRPr="008A0130">
        <w:rPr>
          <w:rFonts w:ascii="Book Antiqua" w:hAnsi="Book Antiqua" w:cs="Times New Roman"/>
        </w:rPr>
        <w:t xml:space="preserve">Nakayama </w:t>
      </w:r>
      <w:r w:rsidRPr="008A0130">
        <w:rPr>
          <w:rFonts w:ascii="Book Antiqua" w:hAnsi="Book Antiqua" w:cs="Times New Roman"/>
          <w:i/>
        </w:rPr>
        <w:t xml:space="preserve">et </w:t>
      </w:r>
      <w:proofErr w:type="gramStart"/>
      <w:r w:rsidRPr="008A0130">
        <w:rPr>
          <w:rFonts w:ascii="Book Antiqua" w:hAnsi="Book Antiqua" w:cs="Times New Roman"/>
          <w:i/>
        </w:rPr>
        <w:t>al</w:t>
      </w:r>
      <w:r w:rsidR="00950BD5" w:rsidRPr="008A0130">
        <w:rPr>
          <w:rFonts w:ascii="Book Antiqua" w:eastAsia="Times New Roman" w:hAnsi="Book Antiqua" w:cs="Times New Roman"/>
          <w:vertAlign w:val="superscript"/>
        </w:rPr>
        <w:t>[</w:t>
      </w:r>
      <w:proofErr w:type="gramEnd"/>
      <w:r w:rsidR="00950BD5" w:rsidRPr="008A0130">
        <w:rPr>
          <w:rFonts w:ascii="Book Antiqua" w:eastAsia="Times New Roman" w:hAnsi="Book Antiqua" w:cs="Times New Roman"/>
          <w:vertAlign w:val="superscript"/>
        </w:rPr>
        <w:t>222]</w:t>
      </w:r>
      <w:r w:rsidRPr="008A0130">
        <w:rPr>
          <w:rFonts w:ascii="Book Antiqua" w:hAnsi="Book Antiqua" w:cs="Times New Roman"/>
        </w:rPr>
        <w:t xml:space="preserve"> reported that </w:t>
      </w:r>
      <w:r w:rsidR="00A72BBB" w:rsidRPr="008A0130">
        <w:rPr>
          <w:rFonts w:ascii="Book Antiqua" w:hAnsi="Book Antiqua" w:cs="Times New Roman"/>
        </w:rPr>
        <w:t xml:space="preserve">this </w:t>
      </w:r>
      <w:r w:rsidR="00A72BBB" w:rsidRPr="008A0130">
        <w:rPr>
          <w:rFonts w:ascii="Book Antiqua" w:hAnsi="Book Antiqua" w:cs="Times New Roman"/>
          <w:i/>
        </w:rPr>
        <w:t>H. pylori</w:t>
      </w:r>
      <w:r w:rsidR="00A72BBB" w:rsidRPr="008A0130">
        <w:rPr>
          <w:rFonts w:ascii="Book Antiqua" w:hAnsi="Book Antiqua" w:cs="Times New Roman"/>
        </w:rPr>
        <w:t xml:space="preserve"> virulence factor</w:t>
      </w:r>
      <w:r w:rsidRPr="008A0130">
        <w:rPr>
          <w:rFonts w:ascii="Book Antiqua" w:hAnsi="Book Antiqua" w:cs="Times New Roman"/>
        </w:rPr>
        <w:t xml:space="preserve"> induces</w:t>
      </w:r>
      <w:r w:rsidR="004C24BF" w:rsidRPr="008A0130">
        <w:rPr>
          <w:rFonts w:ascii="Book Antiqua" w:hAnsi="Book Antiqua" w:cs="Times New Roman"/>
        </w:rPr>
        <w:t xml:space="preserve"> the Wnt/</w:t>
      </w:r>
      <w:r w:rsidR="00F926B4" w:rsidRPr="008A0130">
        <w:rPr>
          <w:rFonts w:ascii="Book Antiqua" w:hAnsi="Book Antiqua" w:cs="Times New Roman"/>
        </w:rPr>
        <w:t>β</w:t>
      </w:r>
      <w:r w:rsidR="004C24BF" w:rsidRPr="008A0130">
        <w:rPr>
          <w:rFonts w:ascii="Book Antiqua" w:hAnsi="Book Antiqua" w:cs="Times New Roman"/>
        </w:rPr>
        <w:t>-catenin pathway</w:t>
      </w:r>
      <w:r w:rsidRPr="008A0130">
        <w:rPr>
          <w:rFonts w:ascii="Book Antiqua" w:hAnsi="Book Antiqua" w:cs="Times New Roman"/>
        </w:rPr>
        <w:t xml:space="preserve"> through the activation of</w:t>
      </w:r>
      <w:r w:rsidR="00856863" w:rsidRPr="008A0130">
        <w:rPr>
          <w:rFonts w:ascii="Book Antiqua" w:hAnsi="Book Antiqua" w:cs="Times New Roman"/>
        </w:rPr>
        <w:t xml:space="preserve"> the PI3K/Akt signaling pathway.</w:t>
      </w:r>
      <w:r w:rsidRPr="008A0130">
        <w:rPr>
          <w:rFonts w:ascii="Book Antiqua" w:hAnsi="Book Antiqua" w:cs="Times New Roman"/>
        </w:rPr>
        <w:t xml:space="preserve"> </w:t>
      </w:r>
      <w:r w:rsidR="00856863" w:rsidRPr="008A0130">
        <w:rPr>
          <w:rFonts w:ascii="Book Antiqua" w:hAnsi="Book Antiqua" w:cs="Times New Roman"/>
        </w:rPr>
        <w:t xml:space="preserve">This triggers </w:t>
      </w:r>
      <w:r w:rsidR="001E01B3" w:rsidRPr="008A0130">
        <w:rPr>
          <w:rFonts w:ascii="Book Antiqua" w:hAnsi="Book Antiqua" w:cs="Times New Roman"/>
        </w:rPr>
        <w:t>the</w:t>
      </w:r>
      <w:r w:rsidR="00C84F30" w:rsidRPr="008A0130">
        <w:rPr>
          <w:rFonts w:ascii="Book Antiqua" w:hAnsi="Book Antiqua" w:cs="Times New Roman"/>
        </w:rPr>
        <w:t xml:space="preserve"> phosphorylation and inhibition of GSK3ß, </w:t>
      </w:r>
      <w:r w:rsidR="00A72BBB" w:rsidRPr="008A0130">
        <w:rPr>
          <w:rFonts w:ascii="Book Antiqua" w:hAnsi="Book Antiqua" w:cs="Times New Roman"/>
        </w:rPr>
        <w:t xml:space="preserve">and </w:t>
      </w:r>
      <w:r w:rsidR="00C84F30" w:rsidRPr="008A0130">
        <w:rPr>
          <w:rFonts w:ascii="Book Antiqua" w:hAnsi="Book Antiqua" w:cs="Times New Roman"/>
        </w:rPr>
        <w:t xml:space="preserve">ß-catenin </w:t>
      </w:r>
      <w:r w:rsidR="00A72BBB" w:rsidRPr="008A0130">
        <w:rPr>
          <w:rFonts w:ascii="Book Antiqua" w:hAnsi="Book Antiqua" w:cs="Times New Roman"/>
        </w:rPr>
        <w:t xml:space="preserve">translocation to the nucleus after </w:t>
      </w:r>
      <w:r w:rsidR="00242928" w:rsidRPr="008A0130">
        <w:rPr>
          <w:rFonts w:ascii="Book Antiqua" w:hAnsi="Book Antiqua" w:cs="Times New Roman"/>
        </w:rPr>
        <w:t>dissociation of</w:t>
      </w:r>
      <w:r w:rsidRPr="008A0130">
        <w:rPr>
          <w:rFonts w:ascii="Book Antiqua" w:hAnsi="Book Antiqua" w:cs="Times New Roman"/>
        </w:rPr>
        <w:t xml:space="preserve"> GSK3ß/ß-cate</w:t>
      </w:r>
      <w:r w:rsidR="00A72BBB" w:rsidRPr="008A0130">
        <w:rPr>
          <w:rFonts w:ascii="Book Antiqua" w:hAnsi="Book Antiqua" w:cs="Times New Roman"/>
        </w:rPr>
        <w:t>nin complex</w:t>
      </w:r>
      <w:r w:rsidRPr="008A0130">
        <w:rPr>
          <w:rFonts w:ascii="Book Antiqua" w:hAnsi="Book Antiqua" w:cs="Times New Roman"/>
        </w:rPr>
        <w:t xml:space="preserve">, </w:t>
      </w:r>
      <w:r w:rsidR="00E41067" w:rsidRPr="008A0130">
        <w:rPr>
          <w:rFonts w:ascii="Book Antiqua" w:hAnsi="Book Antiqua" w:cs="Times New Roman"/>
        </w:rPr>
        <w:t xml:space="preserve">with subsequent </w:t>
      </w:r>
      <w:r w:rsidRPr="008A0130">
        <w:rPr>
          <w:rFonts w:ascii="Book Antiqua" w:hAnsi="Book Antiqua" w:cs="Times New Roman"/>
        </w:rPr>
        <w:t>activation of th</w:t>
      </w:r>
      <w:r w:rsidR="00C84F30" w:rsidRPr="008A0130">
        <w:rPr>
          <w:rFonts w:ascii="Book Antiqua" w:hAnsi="Book Antiqua" w:cs="Times New Roman"/>
        </w:rPr>
        <w:t xml:space="preserve">e </w:t>
      </w:r>
      <w:r w:rsidR="008F51B8" w:rsidRPr="008A0130">
        <w:rPr>
          <w:rFonts w:ascii="Book Antiqua" w:hAnsi="Book Antiqua" w:cs="Times New Roman"/>
          <w:i/>
        </w:rPr>
        <w:t>CCND1</w:t>
      </w:r>
      <w:r w:rsidR="00C84F30" w:rsidRPr="008A0130">
        <w:rPr>
          <w:rFonts w:ascii="Book Antiqua" w:hAnsi="Book Antiqua" w:cs="Times New Roman"/>
        </w:rPr>
        <w:t xml:space="preserve"> </w:t>
      </w:r>
      <w:proofErr w:type="gramStart"/>
      <w:r w:rsidR="00C84F30" w:rsidRPr="008A0130">
        <w:rPr>
          <w:rFonts w:ascii="Book Antiqua" w:hAnsi="Book Antiqua" w:cs="Times New Roman"/>
        </w:rPr>
        <w:t>promoter</w:t>
      </w:r>
      <w:r w:rsidR="0054194F"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222</w:t>
      </w:r>
      <w:r w:rsidR="0054194F" w:rsidRPr="008A0130">
        <w:rPr>
          <w:rFonts w:ascii="Book Antiqua" w:hAnsi="Book Antiqua" w:cs="Times New Roman"/>
          <w:vertAlign w:val="superscript"/>
        </w:rPr>
        <w:t>]</w:t>
      </w:r>
      <w:r w:rsidR="00C6145D" w:rsidRPr="008A0130">
        <w:rPr>
          <w:rFonts w:ascii="Book Antiqua" w:hAnsi="Book Antiqua" w:cs="Times New Roman"/>
        </w:rPr>
        <w:t>.</w:t>
      </w:r>
    </w:p>
    <w:p w14:paraId="7FE3AE06" w14:textId="504A60B0" w:rsidR="00DA2D7C" w:rsidRPr="008A0130" w:rsidRDefault="00F926B4" w:rsidP="008A0130">
      <w:pPr>
        <w:widowControl w:val="0"/>
        <w:autoSpaceDE w:val="0"/>
        <w:autoSpaceDN w:val="0"/>
        <w:adjustRightInd w:val="0"/>
        <w:spacing w:line="360" w:lineRule="auto"/>
        <w:ind w:firstLineChars="100" w:firstLine="240"/>
        <w:jc w:val="both"/>
        <w:rPr>
          <w:rFonts w:ascii="Book Antiqua" w:hAnsi="Book Antiqua" w:cs="Times"/>
        </w:rPr>
      </w:pPr>
      <w:r w:rsidRPr="008A0130">
        <w:rPr>
          <w:rFonts w:ascii="Book Antiqua" w:hAnsi="Book Antiqua" w:cs="Times New Roman"/>
        </w:rPr>
        <w:t>β</w:t>
      </w:r>
      <w:r w:rsidR="00AC18A7" w:rsidRPr="008A0130">
        <w:rPr>
          <w:rFonts w:ascii="Book Antiqua" w:hAnsi="Book Antiqua" w:cs="Times"/>
        </w:rPr>
        <w:t xml:space="preserve">-catenin activation by CagA-dependent manner has </w:t>
      </w:r>
      <w:r w:rsidR="00242928" w:rsidRPr="008A0130">
        <w:rPr>
          <w:rFonts w:ascii="Book Antiqua" w:hAnsi="Book Antiqua" w:cs="Times"/>
        </w:rPr>
        <w:t xml:space="preserve">also </w:t>
      </w:r>
      <w:r w:rsidR="00AC18A7" w:rsidRPr="008A0130">
        <w:rPr>
          <w:rFonts w:ascii="Book Antiqua" w:hAnsi="Book Antiqua" w:cs="Times"/>
        </w:rPr>
        <w:t xml:space="preserve">been associated with gastric carcinogenesis. </w:t>
      </w:r>
      <w:r w:rsidR="00C6145D" w:rsidRPr="008A0130">
        <w:rPr>
          <w:rFonts w:ascii="Book Antiqua" w:hAnsi="Book Antiqua" w:cs="Times New Roman"/>
          <w:i/>
        </w:rPr>
        <w:t xml:space="preserve">H. </w:t>
      </w:r>
      <w:proofErr w:type="gramStart"/>
      <w:r w:rsidR="00C6145D" w:rsidRPr="008A0130">
        <w:rPr>
          <w:rFonts w:ascii="Book Antiqua" w:hAnsi="Book Antiqua" w:cs="Times New Roman"/>
          <w:i/>
        </w:rPr>
        <w:t>pylori</w:t>
      </w:r>
      <w:proofErr w:type="gramEnd"/>
      <w:r w:rsidR="00C6145D" w:rsidRPr="008A0130">
        <w:rPr>
          <w:rFonts w:ascii="Book Antiqua" w:hAnsi="Book Antiqua" w:cs="Times New Roman"/>
        </w:rPr>
        <w:t xml:space="preserve"> </w:t>
      </w:r>
      <w:r w:rsidR="00C6145D" w:rsidRPr="008A0130">
        <w:rPr>
          <w:rFonts w:ascii="Book Antiqua" w:hAnsi="Book Antiqua" w:cs="Times"/>
        </w:rPr>
        <w:t xml:space="preserve">CagA plays an important role in the development of intestinal metaplasia, a premalignant lesion of gastric epithelial </w:t>
      </w:r>
      <w:r w:rsidR="00C6145D" w:rsidRPr="008A0130">
        <w:rPr>
          <w:rFonts w:ascii="Book Antiqua" w:hAnsi="Book Antiqua" w:cs="Times"/>
        </w:rPr>
        <w:lastRenderedPageBreak/>
        <w:t>cells from which intestinal-type gastric adenocarcinoma arises</w:t>
      </w:r>
      <w:r w:rsidR="000C24E3" w:rsidRPr="008A0130">
        <w:rPr>
          <w:rFonts w:ascii="Book Antiqua" w:hAnsi="Book Antiqua" w:cs="Times New Roman"/>
          <w:vertAlign w:val="superscript"/>
        </w:rPr>
        <w:t>[</w:t>
      </w:r>
      <w:r w:rsidR="00C6145D" w:rsidRPr="008A0130">
        <w:rPr>
          <w:rFonts w:ascii="Book Antiqua" w:hAnsi="Book Antiqua" w:cs="Times New Roman"/>
          <w:vertAlign w:val="superscript"/>
        </w:rPr>
        <w:t>2</w:t>
      </w:r>
      <w:r w:rsidR="00AB257A" w:rsidRPr="008A0130">
        <w:rPr>
          <w:rFonts w:ascii="Book Antiqua" w:hAnsi="Book Antiqua" w:cs="Times New Roman"/>
          <w:vertAlign w:val="superscript"/>
        </w:rPr>
        <w:t>20</w:t>
      </w:r>
      <w:r w:rsidR="00C6145D" w:rsidRPr="008A0130">
        <w:rPr>
          <w:rFonts w:ascii="Book Antiqua" w:hAnsi="Book Antiqua" w:cs="Times New Roman"/>
          <w:vertAlign w:val="superscript"/>
        </w:rPr>
        <w:t>]</w:t>
      </w:r>
      <w:r w:rsidR="00C6145D" w:rsidRPr="008A0130">
        <w:rPr>
          <w:rFonts w:ascii="Book Antiqua" w:hAnsi="Book Antiqua" w:cs="Times New Roman"/>
        </w:rPr>
        <w:t xml:space="preserve">. </w:t>
      </w:r>
      <w:r w:rsidR="00242928" w:rsidRPr="008A0130">
        <w:rPr>
          <w:rFonts w:ascii="Book Antiqua" w:hAnsi="Book Antiqua" w:cs="Times New Roman"/>
        </w:rPr>
        <w:t xml:space="preserve">Moreover, </w:t>
      </w:r>
      <w:r w:rsidR="00AB77AD" w:rsidRPr="008A0130">
        <w:rPr>
          <w:rFonts w:ascii="Book Antiqua" w:hAnsi="Book Antiqua" w:cs="Times New Roman"/>
        </w:rPr>
        <w:t>CagA deregul</w:t>
      </w:r>
      <w:r w:rsidR="00192A6B" w:rsidRPr="008A0130">
        <w:rPr>
          <w:rFonts w:ascii="Book Antiqua" w:hAnsi="Book Antiqua" w:cs="Times New Roman"/>
        </w:rPr>
        <w:t>ates the Wnt/</w:t>
      </w:r>
      <w:r w:rsidRPr="008A0130">
        <w:rPr>
          <w:rFonts w:ascii="Book Antiqua" w:hAnsi="Book Antiqua" w:cs="Times New Roman"/>
        </w:rPr>
        <w:t>β</w:t>
      </w:r>
      <w:r w:rsidR="00192A6B" w:rsidRPr="008A0130">
        <w:rPr>
          <w:rFonts w:ascii="Book Antiqua" w:hAnsi="Book Antiqua" w:cs="Times New Roman"/>
        </w:rPr>
        <w:t xml:space="preserve">-catenin pathway </w:t>
      </w:r>
      <w:r w:rsidR="00242928" w:rsidRPr="008A0130">
        <w:rPr>
          <w:rFonts w:ascii="Book Antiqua" w:hAnsi="Book Antiqua" w:cs="Times"/>
        </w:rPr>
        <w:t xml:space="preserve">in a phosphorylation-independent manner </w:t>
      </w:r>
      <w:r w:rsidR="00192A6B" w:rsidRPr="008A0130">
        <w:rPr>
          <w:rFonts w:ascii="Book Antiqua" w:hAnsi="Book Antiqua" w:cs="Times New Roman"/>
        </w:rPr>
        <w:t>by the interaction</w:t>
      </w:r>
      <w:r w:rsidR="00C23D3D" w:rsidRPr="008A0130">
        <w:rPr>
          <w:rFonts w:ascii="Book Antiqua" w:hAnsi="Book Antiqua" w:cs="Times New Roman"/>
        </w:rPr>
        <w:t xml:space="preserve"> with E-cadherin and the destruction of the complex between E-cadherin and </w:t>
      </w:r>
      <w:r w:rsidRPr="008A0130">
        <w:rPr>
          <w:rFonts w:ascii="Book Antiqua" w:hAnsi="Book Antiqua" w:cs="Times New Roman"/>
        </w:rPr>
        <w:t>β</w:t>
      </w:r>
      <w:r w:rsidR="00C23D3D" w:rsidRPr="008A0130">
        <w:rPr>
          <w:rFonts w:ascii="Book Antiqua" w:hAnsi="Book Antiqua" w:cs="Times New Roman"/>
        </w:rPr>
        <w:t xml:space="preserve">-catenin, which causes </w:t>
      </w:r>
      <w:r w:rsidR="00CB576C" w:rsidRPr="008A0130">
        <w:rPr>
          <w:rFonts w:ascii="Book Antiqua" w:eastAsia="Times New Roman" w:hAnsi="Book Antiqua" w:cs="Times New Roman"/>
        </w:rPr>
        <w:t>cytoplasmic and nuclear accumulation of </w:t>
      </w:r>
      <w:r w:rsidRPr="008A0130">
        <w:rPr>
          <w:rFonts w:ascii="Book Antiqua" w:hAnsi="Book Antiqua" w:cs="Times New Roman"/>
        </w:rPr>
        <w:t>β</w:t>
      </w:r>
      <w:r w:rsidR="00AB6AD6" w:rsidRPr="008A0130">
        <w:rPr>
          <w:rFonts w:ascii="Book Antiqua" w:eastAsia="Times New Roman" w:hAnsi="Book Antiqua" w:cs="Times New Roman"/>
        </w:rPr>
        <w:t>-</w:t>
      </w:r>
      <w:r w:rsidR="00CB576C" w:rsidRPr="008A0130">
        <w:rPr>
          <w:rFonts w:ascii="Book Antiqua" w:eastAsia="Times New Roman" w:hAnsi="Book Antiqua" w:cs="Times New Roman"/>
        </w:rPr>
        <w:t>catenin</w:t>
      </w:r>
      <w:r w:rsidR="00192A6B" w:rsidRPr="008A0130">
        <w:rPr>
          <w:rFonts w:ascii="Book Antiqua" w:hAnsi="Book Antiqua" w:cs="Times New Roman"/>
        </w:rPr>
        <w:t xml:space="preserve">. </w:t>
      </w:r>
      <w:r w:rsidR="00125C27" w:rsidRPr="008A0130">
        <w:rPr>
          <w:rFonts w:ascii="Book Antiqua" w:hAnsi="Book Antiqua" w:cs="Times"/>
        </w:rPr>
        <w:t>CagA-deregulated</w:t>
      </w:r>
      <w:r w:rsidR="009B4244" w:rsidRPr="008A0130">
        <w:rPr>
          <w:rFonts w:ascii="Book Antiqua" w:hAnsi="Book Antiqua" w:cs="Times"/>
        </w:rPr>
        <w:t xml:space="preserve"> </w:t>
      </w:r>
      <w:r w:rsidRPr="008A0130">
        <w:rPr>
          <w:rFonts w:ascii="Book Antiqua" w:hAnsi="Book Antiqua" w:cs="Times New Roman"/>
        </w:rPr>
        <w:t>β</w:t>
      </w:r>
      <w:r w:rsidR="00125C27" w:rsidRPr="008A0130">
        <w:rPr>
          <w:rFonts w:ascii="Book Antiqua" w:hAnsi="Book Antiqua" w:cs="Times"/>
        </w:rPr>
        <w:t xml:space="preserve">-catenin then trans-activates </w:t>
      </w:r>
      <w:r w:rsidR="009B4244" w:rsidRPr="008A0130">
        <w:rPr>
          <w:rFonts w:ascii="Book Antiqua" w:hAnsi="Book Antiqua" w:cs="Times New Roman"/>
          <w:i/>
        </w:rPr>
        <w:t>cdx1</w:t>
      </w:r>
      <w:r w:rsidR="009B4244" w:rsidRPr="008A0130">
        <w:rPr>
          <w:rFonts w:ascii="Book Antiqua" w:hAnsi="Book Antiqua" w:cs="Times New Roman"/>
        </w:rPr>
        <w:t xml:space="preserve"> and </w:t>
      </w:r>
      <w:r w:rsidR="009B4244" w:rsidRPr="008A0130">
        <w:rPr>
          <w:rFonts w:ascii="Book Antiqua" w:hAnsi="Book Antiqua" w:cs="Times New Roman"/>
          <w:i/>
        </w:rPr>
        <w:t>p21</w:t>
      </w:r>
      <w:r w:rsidR="009B4244" w:rsidRPr="008A0130">
        <w:rPr>
          <w:rFonts w:ascii="Book Antiqua" w:hAnsi="Book Antiqua" w:cs="Times New Roman"/>
        </w:rPr>
        <w:t xml:space="preserve"> genes </w:t>
      </w:r>
      <w:r w:rsidR="009B4244" w:rsidRPr="008A0130">
        <w:rPr>
          <w:rFonts w:ascii="Book Antiqua" w:hAnsi="Book Antiqua" w:cs="Times"/>
        </w:rPr>
        <w:t xml:space="preserve">that are involved in intestinal differentiation of gastric </w:t>
      </w:r>
      <w:proofErr w:type="gramStart"/>
      <w:r w:rsidR="009B4244" w:rsidRPr="008A0130">
        <w:rPr>
          <w:rFonts w:ascii="Book Antiqua" w:hAnsi="Book Antiqua" w:cs="Times"/>
        </w:rPr>
        <w:t>epithelial</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220</w:t>
      </w:r>
      <w:r w:rsidR="00C6145D" w:rsidRPr="008A0130">
        <w:rPr>
          <w:rFonts w:ascii="Book Antiqua" w:hAnsi="Book Antiqua" w:cs="Times New Roman"/>
          <w:vertAlign w:val="superscript"/>
        </w:rPr>
        <w:t>]</w:t>
      </w:r>
      <w:r w:rsidR="00C6145D" w:rsidRPr="008A0130">
        <w:rPr>
          <w:rFonts w:ascii="Book Antiqua" w:hAnsi="Book Antiqua" w:cs="Times New Roman"/>
        </w:rPr>
        <w:t>.</w:t>
      </w:r>
      <w:r w:rsidR="00F37243" w:rsidRPr="008A0130">
        <w:rPr>
          <w:rFonts w:ascii="Book Antiqua" w:hAnsi="Book Antiqua" w:cs="Times New Roman"/>
        </w:rPr>
        <w:t xml:space="preserve"> Additionally, another study has suggested that non-phosphorylated CagA may induce Wnt signaling in a </w:t>
      </w:r>
      <w:r w:rsidR="00F37243" w:rsidRPr="008A0130">
        <w:rPr>
          <w:rFonts w:ascii="Book Antiqua" w:hAnsi="Book Antiqua" w:cs="Times New Roman"/>
          <w:i/>
        </w:rPr>
        <w:t>met</w:t>
      </w:r>
      <w:r w:rsidR="00F37243" w:rsidRPr="008A0130">
        <w:rPr>
          <w:rFonts w:ascii="Book Antiqua" w:hAnsi="Book Antiqua" w:cs="Times New Roman"/>
        </w:rPr>
        <w:t xml:space="preserve"> proto-oncogene (</w:t>
      </w:r>
      <w:r w:rsidR="00F37243" w:rsidRPr="008A0130">
        <w:rPr>
          <w:rFonts w:ascii="Book Antiqua" w:hAnsi="Book Antiqua" w:cs="Times New Roman"/>
          <w:i/>
        </w:rPr>
        <w:t>c-Met</w:t>
      </w:r>
      <w:r w:rsidR="00F37243" w:rsidRPr="008A0130">
        <w:rPr>
          <w:rFonts w:ascii="Book Antiqua" w:hAnsi="Book Antiqua" w:cs="Times New Roman"/>
        </w:rPr>
        <w:t xml:space="preserve">)-dependent </w:t>
      </w:r>
      <w:proofErr w:type="gramStart"/>
      <w:r w:rsidR="00F37243" w:rsidRPr="008A0130">
        <w:rPr>
          <w:rFonts w:ascii="Book Antiqua" w:hAnsi="Book Antiqua" w:cs="Times New Roman"/>
        </w:rPr>
        <w:t>manner</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223</w:t>
      </w:r>
      <w:r w:rsidR="00F37243" w:rsidRPr="008A0130">
        <w:rPr>
          <w:rFonts w:ascii="Book Antiqua" w:hAnsi="Book Antiqua" w:cs="Times New Roman"/>
          <w:vertAlign w:val="superscript"/>
        </w:rPr>
        <w:t>]</w:t>
      </w:r>
      <w:r w:rsidR="00F37243" w:rsidRPr="008A0130">
        <w:rPr>
          <w:rFonts w:ascii="Book Antiqua" w:hAnsi="Book Antiqua" w:cs="Times New Roman"/>
        </w:rPr>
        <w:t>.</w:t>
      </w:r>
    </w:p>
    <w:p w14:paraId="23995C32" w14:textId="271AA38E" w:rsidR="00CE4A57" w:rsidRPr="008A0130" w:rsidRDefault="00F37243"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The relationship between </w:t>
      </w:r>
      <w:r w:rsidRPr="008A0130">
        <w:rPr>
          <w:rFonts w:ascii="Book Antiqua" w:hAnsi="Book Antiqua" w:cs="Times New Roman"/>
          <w:i/>
        </w:rPr>
        <w:t>H. pylori</w:t>
      </w:r>
      <w:r w:rsidRPr="008A0130">
        <w:rPr>
          <w:rFonts w:ascii="Book Antiqua" w:hAnsi="Book Antiqua" w:cs="Times New Roman"/>
        </w:rPr>
        <w:t xml:space="preserve">-induced inflammation and oncogenic mechanisms has been recently assessed by the transgenic expression of CagA in a novel </w:t>
      </w:r>
      <w:r w:rsidRPr="008A0130">
        <w:rPr>
          <w:rFonts w:ascii="Book Antiqua" w:hAnsi="Book Antiqua" w:cs="Times New Roman"/>
          <w:i/>
          <w:iCs/>
        </w:rPr>
        <w:t xml:space="preserve">in vivo </w:t>
      </w:r>
      <w:r w:rsidRPr="008A0130">
        <w:rPr>
          <w:rFonts w:ascii="Book Antiqua" w:hAnsi="Book Antiqua" w:cs="Times New Roman"/>
        </w:rPr>
        <w:t xml:space="preserve">model of intestinal hyperplasia in </w:t>
      </w:r>
      <w:proofErr w:type="gramStart"/>
      <w:r w:rsidRPr="008A0130">
        <w:rPr>
          <w:rFonts w:ascii="Book Antiqua" w:hAnsi="Book Antiqua" w:cs="Times New Roman"/>
        </w:rPr>
        <w:t>zebrafish</w:t>
      </w:r>
      <w:r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224</w:t>
      </w:r>
      <w:r w:rsidRPr="008A0130">
        <w:rPr>
          <w:rFonts w:ascii="Book Antiqua" w:hAnsi="Book Antiqua" w:cs="Times New Roman"/>
          <w:vertAlign w:val="superscript"/>
        </w:rPr>
        <w:t>]</w:t>
      </w:r>
      <w:r w:rsidRPr="008A0130">
        <w:rPr>
          <w:rFonts w:ascii="Book Antiqua" w:hAnsi="Book Antiqua" w:cs="Times New Roman"/>
        </w:rPr>
        <w:t xml:space="preserve">. This study reported significant CagA-dependent up-regulation of the Wnt target genes </w:t>
      </w:r>
      <w:r w:rsidRPr="008A0130">
        <w:rPr>
          <w:rFonts w:ascii="Book Antiqua" w:hAnsi="Book Antiqua" w:cs="Times New Roman"/>
          <w:i/>
          <w:iCs/>
        </w:rPr>
        <w:t>CCND1</w:t>
      </w:r>
      <w:r w:rsidRPr="008A0130">
        <w:rPr>
          <w:rFonts w:ascii="Book Antiqua" w:hAnsi="Book Antiqua" w:cs="Times New Roman"/>
        </w:rPr>
        <w:t xml:space="preserve">, </w:t>
      </w:r>
      <w:r w:rsidR="00A426B3" w:rsidRPr="008A0130">
        <w:rPr>
          <w:rFonts w:ascii="Book Antiqua" w:hAnsi="Book Antiqua" w:cs="Times New Roman"/>
          <w:i/>
          <w:iCs/>
        </w:rPr>
        <w:t>Axin</w:t>
      </w:r>
      <w:r w:rsidRPr="008A0130">
        <w:rPr>
          <w:rFonts w:ascii="Book Antiqua" w:hAnsi="Book Antiqua" w:cs="Times New Roman"/>
          <w:i/>
          <w:iCs/>
        </w:rPr>
        <w:t xml:space="preserve">2 </w:t>
      </w:r>
      <w:r w:rsidRPr="008A0130">
        <w:rPr>
          <w:rFonts w:ascii="Book Antiqua" w:hAnsi="Book Antiqua" w:cs="Times New Roman"/>
        </w:rPr>
        <w:t xml:space="preserve">and the zebrafish </w:t>
      </w:r>
      <w:r w:rsidRPr="008A0130">
        <w:rPr>
          <w:rFonts w:ascii="Book Antiqua" w:hAnsi="Book Antiqua" w:cs="Times New Roman"/>
          <w:i/>
          <w:iCs/>
        </w:rPr>
        <w:t xml:space="preserve">c-myc </w:t>
      </w:r>
      <w:r w:rsidRPr="008A0130">
        <w:rPr>
          <w:rFonts w:ascii="Book Antiqua" w:hAnsi="Book Antiqua" w:cs="Times New Roman"/>
        </w:rPr>
        <w:t xml:space="preserve">ortholog </w:t>
      </w:r>
      <w:r w:rsidRPr="008A0130">
        <w:rPr>
          <w:rFonts w:ascii="Book Antiqua" w:hAnsi="Book Antiqua" w:cs="Times New Roman"/>
          <w:i/>
          <w:iCs/>
        </w:rPr>
        <w:t>myca</w:t>
      </w:r>
      <w:r w:rsidRPr="008A0130">
        <w:rPr>
          <w:rFonts w:ascii="Book Antiqua" w:hAnsi="Book Antiqua" w:cs="Times New Roman"/>
        </w:rPr>
        <w:t xml:space="preserve">. </w:t>
      </w:r>
      <w:r w:rsidR="00523BEB" w:rsidRPr="008A0130">
        <w:rPr>
          <w:rFonts w:ascii="Book Antiqua" w:hAnsi="Book Antiqua" w:cs="Times New Roman"/>
        </w:rPr>
        <w:t xml:space="preserve">Moreover, CagA infection can lead to advanced gastric carcinoma through the upregulation of cyclin </w:t>
      </w:r>
      <w:proofErr w:type="gramStart"/>
      <w:r w:rsidR="00523BEB" w:rsidRPr="008A0130">
        <w:rPr>
          <w:rFonts w:ascii="Book Antiqua" w:hAnsi="Book Antiqua" w:cs="Times New Roman"/>
        </w:rPr>
        <w:t>D1</w:t>
      </w:r>
      <w:r w:rsidR="00F04010"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225</w:t>
      </w:r>
      <w:r w:rsidR="00F04010" w:rsidRPr="008A0130">
        <w:rPr>
          <w:rFonts w:ascii="Book Antiqua" w:hAnsi="Book Antiqua" w:cs="Times New Roman"/>
          <w:vertAlign w:val="superscript"/>
        </w:rPr>
        <w:t>]</w:t>
      </w:r>
      <w:r w:rsidR="00523BEB" w:rsidRPr="008A0130">
        <w:rPr>
          <w:rFonts w:ascii="Book Antiqua" w:hAnsi="Book Antiqua" w:cs="Times New Roman"/>
        </w:rPr>
        <w:t>. It is thought that Cag</w:t>
      </w:r>
      <w:r w:rsidR="00F04010" w:rsidRPr="008A0130">
        <w:rPr>
          <w:rFonts w:ascii="Book Antiqua" w:hAnsi="Book Antiqua" w:cs="Times New Roman"/>
        </w:rPr>
        <w:t xml:space="preserve">A promotes the phosphorylation of MUC1, which is a glycoprotein </w:t>
      </w:r>
      <w:r w:rsidR="00F04010" w:rsidRPr="008A0130">
        <w:rPr>
          <w:rFonts w:ascii="Book Antiqua" w:hAnsi="Book Antiqua" w:cs="Times"/>
        </w:rPr>
        <w:t>expressed on the apical borders of secretory epithelial cells,</w:t>
      </w:r>
      <w:r w:rsidR="00F04010" w:rsidRPr="008A0130">
        <w:rPr>
          <w:rFonts w:ascii="Book Antiqua" w:hAnsi="Book Antiqua" w:cs="Times New Roman"/>
        </w:rPr>
        <w:t xml:space="preserve"> thereby </w:t>
      </w:r>
      <w:r w:rsidR="00523BEB" w:rsidRPr="008A0130">
        <w:rPr>
          <w:rFonts w:ascii="Book Antiqua" w:hAnsi="Book Antiqua" w:cs="Times New Roman"/>
        </w:rPr>
        <w:t xml:space="preserve">facilitating its interaction with </w:t>
      </w:r>
      <w:r w:rsidR="00F926B4" w:rsidRPr="008A0130">
        <w:rPr>
          <w:rFonts w:ascii="Book Antiqua" w:hAnsi="Book Antiqua" w:cs="Times New Roman"/>
        </w:rPr>
        <w:t>β</w:t>
      </w:r>
      <w:r w:rsidR="00523BEB" w:rsidRPr="008A0130">
        <w:rPr>
          <w:rFonts w:ascii="Book Antiqua" w:hAnsi="Book Antiqua" w:cs="Times New Roman"/>
        </w:rPr>
        <w:t xml:space="preserve">-catenin, and the subsequent transcriptional activation of cyclin </w:t>
      </w:r>
      <w:proofErr w:type="gramStart"/>
      <w:r w:rsidR="00523BEB" w:rsidRPr="008A0130">
        <w:rPr>
          <w:rFonts w:ascii="Book Antiqua" w:hAnsi="Book Antiqua" w:cs="Times New Roman"/>
        </w:rPr>
        <w:t>D1</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225</w:t>
      </w:r>
      <w:r w:rsidR="0054194F" w:rsidRPr="008A0130">
        <w:rPr>
          <w:rFonts w:ascii="Book Antiqua" w:hAnsi="Book Antiqua" w:cs="Times New Roman"/>
          <w:vertAlign w:val="superscript"/>
        </w:rPr>
        <w:t>]</w:t>
      </w:r>
      <w:r w:rsidR="00CB576C" w:rsidRPr="008A0130">
        <w:rPr>
          <w:rFonts w:ascii="Book Antiqua" w:hAnsi="Book Antiqua" w:cs="Times New Roman"/>
        </w:rPr>
        <w:t>.</w:t>
      </w:r>
      <w:r w:rsidR="002B068D" w:rsidRPr="008A0130">
        <w:rPr>
          <w:rFonts w:ascii="Book Antiqua" w:hAnsi="Book Antiqua" w:cs="Times New Roman"/>
        </w:rPr>
        <w:t xml:space="preserve"> </w:t>
      </w:r>
      <w:r w:rsidR="00FA40AF" w:rsidRPr="008A0130">
        <w:rPr>
          <w:rFonts w:ascii="Book Antiqua" w:hAnsi="Book Antiqua" w:cs="Times New Roman"/>
        </w:rPr>
        <w:t>In additi</w:t>
      </w:r>
      <w:r w:rsidR="0021412B" w:rsidRPr="008A0130">
        <w:rPr>
          <w:rFonts w:ascii="Book Antiqua" w:hAnsi="Book Antiqua" w:cs="Times New Roman"/>
        </w:rPr>
        <w:t xml:space="preserve">on, gene expression profile </w:t>
      </w:r>
      <w:r w:rsidR="00FA40AF" w:rsidRPr="008A0130">
        <w:rPr>
          <w:rFonts w:ascii="Book Antiqua" w:hAnsi="Book Antiqua" w:cs="Times New Roman"/>
        </w:rPr>
        <w:t xml:space="preserve">analyzed in </w:t>
      </w:r>
      <w:r w:rsidR="00FA40AF" w:rsidRPr="008A0130">
        <w:rPr>
          <w:rFonts w:ascii="Book Antiqua" w:hAnsi="Book Antiqua" w:cs="Times New Roman"/>
          <w:i/>
        </w:rPr>
        <w:t>H. pylori</w:t>
      </w:r>
      <w:r w:rsidR="00FA40AF" w:rsidRPr="008A0130">
        <w:rPr>
          <w:rFonts w:ascii="Book Antiqua" w:hAnsi="Book Antiqua" w:cs="Times New Roman"/>
        </w:rPr>
        <w:t xml:space="preserve">-infected and uninfected patients undergoing chronic superficial gastritis showed that </w:t>
      </w:r>
      <w:r w:rsidR="00856863" w:rsidRPr="008A0130">
        <w:rPr>
          <w:rFonts w:ascii="Book Antiqua" w:hAnsi="Book Antiqua" w:cs="Times New Roman"/>
        </w:rPr>
        <w:t xml:space="preserve">the </w:t>
      </w:r>
      <w:r w:rsidR="00D32BC7" w:rsidRPr="008A0130">
        <w:rPr>
          <w:rFonts w:ascii="Book Antiqua" w:hAnsi="Book Antiqua" w:cs="Times New Roman"/>
        </w:rPr>
        <w:t xml:space="preserve">E3 ubiquitin-protein ligase </w:t>
      </w:r>
      <w:r w:rsidR="00FA40AF" w:rsidRPr="008A0130">
        <w:rPr>
          <w:rFonts w:ascii="Book Antiqua" w:hAnsi="Book Antiqua" w:cs="Times New Roman"/>
          <w:i/>
        </w:rPr>
        <w:t>RNF138</w:t>
      </w:r>
      <w:r w:rsidR="00FA40AF" w:rsidRPr="008A0130">
        <w:rPr>
          <w:rFonts w:ascii="Book Antiqua" w:hAnsi="Book Antiqua" w:cs="Times New Roman"/>
        </w:rPr>
        <w:t xml:space="preserve">, </w:t>
      </w:r>
      <w:r w:rsidR="00D32BC7" w:rsidRPr="008A0130">
        <w:rPr>
          <w:rFonts w:ascii="Book Antiqua" w:hAnsi="Book Antiqua" w:cs="Times New Roman"/>
        </w:rPr>
        <w:t xml:space="preserve">which </w:t>
      </w:r>
      <w:r w:rsidR="00CE4A57" w:rsidRPr="008A0130">
        <w:rPr>
          <w:rFonts w:ascii="Book Antiqua" w:hAnsi="Book Antiqua" w:cs="Times"/>
        </w:rPr>
        <w:t>is involved in the ubiquitination and degradation of TCF/LEF</w:t>
      </w:r>
      <w:r w:rsidR="0054194F" w:rsidRPr="008A0130">
        <w:rPr>
          <w:rFonts w:ascii="Book Antiqua" w:hAnsi="Book Antiqua" w:cs="Times New Roman"/>
        </w:rPr>
        <w:t>,</w:t>
      </w:r>
      <w:r w:rsidR="0021412B" w:rsidRPr="008A0130">
        <w:rPr>
          <w:rFonts w:ascii="Book Antiqua" w:hAnsi="Book Antiqua" w:cs="Times New Roman"/>
        </w:rPr>
        <w:t xml:space="preserve"> was down</w:t>
      </w:r>
      <w:r w:rsidR="00FA40AF" w:rsidRPr="008A0130">
        <w:rPr>
          <w:rFonts w:ascii="Book Antiqua" w:hAnsi="Book Antiqua" w:cs="Times New Roman"/>
        </w:rPr>
        <w:t xml:space="preserve">regulated by </w:t>
      </w:r>
      <w:r w:rsidR="00FA40AF" w:rsidRPr="008A0130">
        <w:rPr>
          <w:rFonts w:ascii="Book Antiqua" w:hAnsi="Book Antiqua" w:cs="Times New Roman"/>
          <w:i/>
        </w:rPr>
        <w:t xml:space="preserve">H. </w:t>
      </w:r>
      <w:proofErr w:type="gramStart"/>
      <w:r w:rsidR="00FA40AF" w:rsidRPr="008A0130">
        <w:rPr>
          <w:rFonts w:ascii="Book Antiqua" w:hAnsi="Book Antiqua" w:cs="Times New Roman"/>
          <w:i/>
        </w:rPr>
        <w:t>pylori</w:t>
      </w:r>
      <w:r w:rsidR="0054194F"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226,227</w:t>
      </w:r>
      <w:r w:rsidR="0054194F" w:rsidRPr="008A0130">
        <w:rPr>
          <w:rFonts w:ascii="Book Antiqua" w:hAnsi="Book Antiqua" w:cs="Times New Roman"/>
          <w:vertAlign w:val="superscript"/>
        </w:rPr>
        <w:t>]</w:t>
      </w:r>
      <w:r w:rsidR="00FA40AF" w:rsidRPr="008A0130">
        <w:rPr>
          <w:rFonts w:ascii="Book Antiqua" w:hAnsi="Book Antiqua" w:cs="Times New Roman"/>
        </w:rPr>
        <w:t>.</w:t>
      </w:r>
    </w:p>
    <w:p w14:paraId="28994CAE" w14:textId="02AFDF04" w:rsidR="001D7358" w:rsidRPr="008A0130" w:rsidRDefault="00644355"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 xml:space="preserve">Among the multiple ways in which </w:t>
      </w:r>
      <w:r w:rsidRPr="008A0130">
        <w:rPr>
          <w:rFonts w:ascii="Book Antiqua" w:hAnsi="Book Antiqua" w:cs="Times New Roman"/>
          <w:i/>
        </w:rPr>
        <w:t>H. pylori</w:t>
      </w:r>
      <w:r w:rsidRPr="008A0130">
        <w:rPr>
          <w:rFonts w:ascii="Book Antiqua" w:hAnsi="Book Antiqua" w:cs="Times New Roman"/>
        </w:rPr>
        <w:t xml:space="preserve"> can induce Wnt signaling, the bacteria also induces phosphorylation of the Wnt co-receptor </w:t>
      </w:r>
      <w:r w:rsidR="00703191" w:rsidRPr="008A0130">
        <w:rPr>
          <w:rFonts w:ascii="Book Antiqua" w:hAnsi="Book Antiqua" w:cs="Times New Roman"/>
        </w:rPr>
        <w:t>LRP</w:t>
      </w:r>
      <w:r w:rsidRPr="008A0130">
        <w:rPr>
          <w:rFonts w:ascii="Book Antiqua" w:hAnsi="Book Antiqua" w:cs="Times New Roman"/>
        </w:rPr>
        <w:t>6 in a T4SS-dependent manner and involving Dvl</w:t>
      </w:r>
      <w:r w:rsidR="00AB6AD6" w:rsidRPr="008A0130">
        <w:rPr>
          <w:rFonts w:ascii="Book Antiqua" w:hAnsi="Book Antiqua" w:cs="Times New Roman"/>
        </w:rPr>
        <w:t>-</w:t>
      </w:r>
      <w:r w:rsidRPr="008A0130">
        <w:rPr>
          <w:rFonts w:ascii="Book Antiqua" w:hAnsi="Book Antiqua" w:cs="Times New Roman"/>
        </w:rPr>
        <w:t>2 and Dvl</w:t>
      </w:r>
      <w:r w:rsidR="00AB6AD6" w:rsidRPr="008A0130">
        <w:rPr>
          <w:rFonts w:ascii="Book Antiqua" w:hAnsi="Book Antiqua" w:cs="Times New Roman"/>
        </w:rPr>
        <w:t>-</w:t>
      </w:r>
      <w:r w:rsidRPr="008A0130">
        <w:rPr>
          <w:rFonts w:ascii="Book Antiqua" w:hAnsi="Book Antiqua" w:cs="Times New Roman"/>
        </w:rPr>
        <w:t>3 proteins</w:t>
      </w:r>
      <w:r w:rsidR="00AB257A" w:rsidRPr="008A0130">
        <w:rPr>
          <w:rFonts w:ascii="Book Antiqua" w:hAnsi="Book Antiqua" w:cs="Times New Roman"/>
          <w:vertAlign w:val="superscript"/>
        </w:rPr>
        <w:t>[228</w:t>
      </w:r>
      <w:r w:rsidR="0054194F" w:rsidRPr="008A0130">
        <w:rPr>
          <w:rFonts w:ascii="Book Antiqua" w:hAnsi="Book Antiqua" w:cs="Times New Roman"/>
          <w:vertAlign w:val="superscript"/>
        </w:rPr>
        <w:t>]</w:t>
      </w:r>
      <w:r w:rsidRPr="008A0130">
        <w:rPr>
          <w:rFonts w:ascii="Book Antiqua" w:hAnsi="Book Antiqua" w:cs="Times New Roman"/>
        </w:rPr>
        <w:t xml:space="preserve">. </w:t>
      </w:r>
    </w:p>
    <w:p w14:paraId="7A64AF7A" w14:textId="2D100F21" w:rsidR="00FA40AF" w:rsidRPr="008A0130" w:rsidRDefault="00644355"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I</w:t>
      </w:r>
      <w:r w:rsidR="00FA40AF" w:rsidRPr="008A0130">
        <w:rPr>
          <w:rFonts w:ascii="Book Antiqua" w:hAnsi="Book Antiqua" w:cs="Times New Roman"/>
        </w:rPr>
        <w:t>n gastric tumor mouse models</w:t>
      </w:r>
      <w:r w:rsidR="001D7358" w:rsidRPr="008A0130">
        <w:rPr>
          <w:rFonts w:ascii="Book Antiqua" w:hAnsi="Book Antiqua" w:cs="Times New Roman"/>
        </w:rPr>
        <w:t>,</w:t>
      </w:r>
      <w:r w:rsidR="00FA40AF" w:rsidRPr="008A0130">
        <w:rPr>
          <w:rFonts w:ascii="Book Antiqua" w:hAnsi="Book Antiqua" w:cs="Times New Roman"/>
        </w:rPr>
        <w:t xml:space="preserve"> </w:t>
      </w:r>
      <w:r w:rsidR="002C5436" w:rsidRPr="008A0130">
        <w:rPr>
          <w:rFonts w:ascii="Book Antiqua" w:hAnsi="Book Antiqua" w:cs="Times New Roman"/>
        </w:rPr>
        <w:t xml:space="preserve">the </w:t>
      </w:r>
      <w:r w:rsidR="00FA40AF" w:rsidRPr="008A0130">
        <w:rPr>
          <w:rFonts w:ascii="Book Antiqua" w:hAnsi="Book Antiqua" w:cs="Times New Roman"/>
        </w:rPr>
        <w:t xml:space="preserve">cooperation </w:t>
      </w:r>
      <w:r w:rsidR="001D7358" w:rsidRPr="008A0130">
        <w:rPr>
          <w:rFonts w:ascii="Book Antiqua" w:hAnsi="Book Antiqua" w:cs="Times New Roman"/>
        </w:rPr>
        <w:t>between the canonical Wnt signaling and</w:t>
      </w:r>
      <w:r w:rsidR="00FA40AF" w:rsidRPr="008A0130">
        <w:rPr>
          <w:rFonts w:ascii="Book Antiqua" w:hAnsi="Book Antiqua" w:cs="Times New Roman"/>
        </w:rPr>
        <w:t xml:space="preserve"> </w:t>
      </w:r>
      <w:r w:rsidR="00FA40AF" w:rsidRPr="008A0130">
        <w:rPr>
          <w:rFonts w:ascii="Book Antiqua" w:hAnsi="Book Antiqua" w:cs="Times New Roman"/>
          <w:i/>
        </w:rPr>
        <w:t>H. pylori</w:t>
      </w:r>
      <w:r w:rsidR="00FA40AF" w:rsidRPr="008A0130">
        <w:rPr>
          <w:rFonts w:ascii="Book Antiqua" w:hAnsi="Book Antiqua" w:cs="Times New Roman"/>
        </w:rPr>
        <w:t>-induced COX-2/PGE</w:t>
      </w:r>
      <w:r w:rsidR="00FA40AF" w:rsidRPr="008A0130">
        <w:rPr>
          <w:rFonts w:ascii="Book Antiqua" w:hAnsi="Book Antiqua" w:cs="Times New Roman"/>
          <w:vertAlign w:val="subscript"/>
        </w:rPr>
        <w:t>2</w:t>
      </w:r>
      <w:r w:rsidR="00FA40AF" w:rsidRPr="008A0130">
        <w:rPr>
          <w:rFonts w:ascii="Book Antiqua" w:hAnsi="Book Antiqua" w:cs="Times New Roman"/>
        </w:rPr>
        <w:t xml:space="preserve"> pathway has been established </w:t>
      </w:r>
      <w:r w:rsidR="00DF2F63" w:rsidRPr="008A0130">
        <w:rPr>
          <w:rFonts w:ascii="Book Antiqua" w:hAnsi="Book Antiqua" w:cs="Times New Roman"/>
        </w:rPr>
        <w:t>in promoting</w:t>
      </w:r>
      <w:r w:rsidR="003B2DD4" w:rsidRPr="008A0130">
        <w:rPr>
          <w:rFonts w:ascii="Book Antiqua" w:hAnsi="Book Antiqua" w:cs="Times New Roman"/>
        </w:rPr>
        <w:t xml:space="preserve"> </w:t>
      </w:r>
      <w:r w:rsidR="00027DBE" w:rsidRPr="008A0130">
        <w:rPr>
          <w:rFonts w:ascii="Book Antiqua" w:hAnsi="Book Antiqua" w:cs="Times New Roman"/>
        </w:rPr>
        <w:t>gastric carcinogenesis</w:t>
      </w:r>
      <w:r w:rsidR="00FA40AF" w:rsidRPr="008A0130">
        <w:rPr>
          <w:rFonts w:ascii="Book Antiqua" w:hAnsi="Book Antiqua" w:cs="Times New Roman"/>
        </w:rPr>
        <w:t xml:space="preserve"> via the metaplasia-carcinoma </w:t>
      </w:r>
      <w:proofErr w:type="gramStart"/>
      <w:r w:rsidR="00FA40AF" w:rsidRPr="008A0130">
        <w:rPr>
          <w:rFonts w:ascii="Book Antiqua" w:hAnsi="Book Antiqua" w:cs="Times New Roman"/>
        </w:rPr>
        <w:t>sequence</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72,229</w:t>
      </w:r>
      <w:r w:rsidR="0054194F" w:rsidRPr="008A0130">
        <w:rPr>
          <w:rFonts w:ascii="Book Antiqua" w:hAnsi="Book Antiqua" w:cs="Times New Roman"/>
          <w:vertAlign w:val="superscript"/>
        </w:rPr>
        <w:t>]</w:t>
      </w:r>
      <w:r w:rsidR="00FA40AF" w:rsidRPr="008A0130">
        <w:rPr>
          <w:rFonts w:ascii="Book Antiqua" w:hAnsi="Book Antiqua" w:cs="Times New Roman"/>
        </w:rPr>
        <w:t>.</w:t>
      </w:r>
      <w:r w:rsidR="00C70958" w:rsidRPr="008A0130">
        <w:rPr>
          <w:rFonts w:ascii="Book Antiqua" w:hAnsi="Book Antiqua" w:cs="Times New Roman"/>
        </w:rPr>
        <w:t xml:space="preserve"> In addition, </w:t>
      </w:r>
      <w:r w:rsidR="00715398" w:rsidRPr="008A0130">
        <w:rPr>
          <w:rFonts w:ascii="Book Antiqua" w:hAnsi="Book Antiqua" w:cs="Times New Roman"/>
        </w:rPr>
        <w:t>the Wnt</w:t>
      </w:r>
      <w:r w:rsidR="00C70958" w:rsidRPr="008A0130">
        <w:rPr>
          <w:rFonts w:ascii="Book Antiqua" w:hAnsi="Book Antiqua" w:cs="Times New Roman"/>
        </w:rPr>
        <w:t xml:space="preserve"> signaling pathway plays a role in the transcriptional induction </w:t>
      </w:r>
      <w:r w:rsidR="00C70958" w:rsidRPr="008A0130">
        <w:rPr>
          <w:rFonts w:ascii="Book Antiqua" w:hAnsi="Book Antiqua" w:cs="Times New Roman"/>
        </w:rPr>
        <w:lastRenderedPageBreak/>
        <w:t xml:space="preserve">of </w:t>
      </w:r>
      <w:r w:rsidR="00176E9F" w:rsidRPr="008A0130">
        <w:rPr>
          <w:rFonts w:ascii="Book Antiqua" w:hAnsi="Book Antiqua" w:cs="Times New Roman"/>
          <w:i/>
        </w:rPr>
        <w:t>COX2</w:t>
      </w:r>
      <w:r w:rsidR="00C70958" w:rsidRPr="008A0130">
        <w:rPr>
          <w:rFonts w:ascii="Book Antiqua" w:hAnsi="Book Antiqua" w:cs="Times New Roman"/>
        </w:rPr>
        <w:t xml:space="preserve"> in gastric cancer cells through a ß-catenin/TCF dependent </w:t>
      </w:r>
      <w:proofErr w:type="gramStart"/>
      <w:r w:rsidR="00C70958" w:rsidRPr="008A0130">
        <w:rPr>
          <w:rFonts w:ascii="Book Antiqua" w:hAnsi="Book Antiqua" w:cs="Times New Roman"/>
        </w:rPr>
        <w:t>mechanism</w:t>
      </w:r>
      <w:r w:rsidR="0054194F"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230,231</w:t>
      </w:r>
      <w:r w:rsidR="0054194F" w:rsidRPr="008A0130">
        <w:rPr>
          <w:rFonts w:ascii="Book Antiqua" w:hAnsi="Book Antiqua" w:cs="Times New Roman"/>
          <w:vertAlign w:val="superscript"/>
        </w:rPr>
        <w:t>]</w:t>
      </w:r>
      <w:r w:rsidR="00C70958" w:rsidRPr="008A0130">
        <w:rPr>
          <w:rFonts w:ascii="Book Antiqua" w:hAnsi="Book Antiqua" w:cs="Times New Roman"/>
        </w:rPr>
        <w:t xml:space="preserve">. </w:t>
      </w:r>
      <w:r w:rsidR="00D9175D" w:rsidRPr="008A0130">
        <w:rPr>
          <w:rFonts w:ascii="Book Antiqua" w:hAnsi="Book Antiqua" w:cs="Times New Roman"/>
        </w:rPr>
        <w:t xml:space="preserve">Furthermore, TNF-alpha treatment and </w:t>
      </w:r>
      <w:r w:rsidR="00D9175D" w:rsidRPr="008A0130">
        <w:rPr>
          <w:rFonts w:ascii="Book Antiqua" w:hAnsi="Book Antiqua" w:cs="Times New Roman"/>
          <w:i/>
        </w:rPr>
        <w:t>H. pylori</w:t>
      </w:r>
      <w:r w:rsidR="00715398" w:rsidRPr="008A0130">
        <w:rPr>
          <w:rFonts w:ascii="Book Antiqua" w:hAnsi="Book Antiqua" w:cs="Times New Roman"/>
          <w:i/>
        </w:rPr>
        <w:t xml:space="preserve"> </w:t>
      </w:r>
      <w:r w:rsidR="00715398" w:rsidRPr="008A0130">
        <w:rPr>
          <w:rFonts w:ascii="Book Antiqua" w:hAnsi="Book Antiqua" w:cs="Times New Roman"/>
        </w:rPr>
        <w:t>infection</w:t>
      </w:r>
      <w:r w:rsidR="00D9175D" w:rsidRPr="008A0130">
        <w:rPr>
          <w:rFonts w:ascii="Book Antiqua" w:hAnsi="Book Antiqua" w:cs="Times New Roman"/>
        </w:rPr>
        <w:t xml:space="preserve"> </w:t>
      </w:r>
      <w:r w:rsidR="00715398" w:rsidRPr="008A0130">
        <w:rPr>
          <w:rFonts w:ascii="Book Antiqua" w:hAnsi="Book Antiqua" w:cs="Times New Roman"/>
        </w:rPr>
        <w:t>might pla</w:t>
      </w:r>
      <w:r w:rsidR="00615852" w:rsidRPr="008A0130">
        <w:rPr>
          <w:rFonts w:ascii="Book Antiqua" w:hAnsi="Book Antiqua" w:cs="Times New Roman"/>
        </w:rPr>
        <w:t>y roles in human gastric cancer</w:t>
      </w:r>
      <w:r w:rsidR="001E01B3" w:rsidRPr="008A0130">
        <w:rPr>
          <w:rFonts w:ascii="Book Antiqua" w:hAnsi="Book Antiqua" w:cs="Times New Roman"/>
        </w:rPr>
        <w:t xml:space="preserve"> </w:t>
      </w:r>
      <w:r w:rsidR="0074070F" w:rsidRPr="008A0130">
        <w:rPr>
          <w:rFonts w:ascii="Book Antiqua" w:hAnsi="Book Antiqua" w:cs="Times New Roman"/>
        </w:rPr>
        <w:t xml:space="preserve">cell line MKN45 </w:t>
      </w:r>
      <w:r w:rsidR="00715398" w:rsidRPr="008A0130">
        <w:rPr>
          <w:rFonts w:ascii="Book Antiqua" w:hAnsi="Book Antiqua" w:cs="Times New Roman"/>
        </w:rPr>
        <w:t>t</w:t>
      </w:r>
      <w:r w:rsidR="00856863" w:rsidRPr="008A0130">
        <w:rPr>
          <w:rFonts w:ascii="Book Antiqua" w:hAnsi="Book Antiqua" w:cs="Times New Roman"/>
        </w:rPr>
        <w:t>h</w:t>
      </w:r>
      <w:r w:rsidR="00715398" w:rsidRPr="008A0130">
        <w:rPr>
          <w:rFonts w:ascii="Book Antiqua" w:hAnsi="Book Antiqua" w:cs="Times New Roman"/>
        </w:rPr>
        <w:t>rough</w:t>
      </w:r>
      <w:r w:rsidR="00615852" w:rsidRPr="008A0130">
        <w:rPr>
          <w:rFonts w:ascii="Book Antiqua" w:hAnsi="Book Antiqua" w:cs="Times New Roman"/>
        </w:rPr>
        <w:t> up</w:t>
      </w:r>
      <w:r w:rsidR="00715398" w:rsidRPr="008A0130">
        <w:rPr>
          <w:rFonts w:ascii="Book Antiqua" w:hAnsi="Book Antiqua" w:cs="Times New Roman"/>
        </w:rPr>
        <w:t xml:space="preserve">regulation of </w:t>
      </w:r>
      <w:r w:rsidR="00715398" w:rsidRPr="008A0130">
        <w:rPr>
          <w:rFonts w:ascii="Book Antiqua" w:hAnsi="Book Antiqua" w:cs="Times New Roman"/>
          <w:i/>
        </w:rPr>
        <w:t>Wnt-</w:t>
      </w:r>
      <w:proofErr w:type="gramStart"/>
      <w:r w:rsidR="00715398" w:rsidRPr="008A0130">
        <w:rPr>
          <w:rFonts w:ascii="Book Antiqua" w:hAnsi="Book Antiqua" w:cs="Times New Roman"/>
          <w:i/>
        </w:rPr>
        <w:t>10A</w:t>
      </w:r>
      <w:r w:rsidR="0054194F"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232</w:t>
      </w:r>
      <w:r w:rsidR="0054194F" w:rsidRPr="008A0130">
        <w:rPr>
          <w:rFonts w:ascii="Book Antiqua" w:hAnsi="Book Antiqua" w:cs="Times New Roman"/>
          <w:vertAlign w:val="superscript"/>
        </w:rPr>
        <w:t>]</w:t>
      </w:r>
      <w:r w:rsidR="00D9175D" w:rsidRPr="008A0130">
        <w:rPr>
          <w:rFonts w:ascii="Book Antiqua" w:hAnsi="Book Antiqua" w:cs="Times New Roman"/>
        </w:rPr>
        <w:t>.</w:t>
      </w:r>
    </w:p>
    <w:p w14:paraId="68DA99AF" w14:textId="280841C0" w:rsidR="009802C8" w:rsidRDefault="00615852" w:rsidP="008A0130">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r w:rsidRPr="008A0130">
        <w:rPr>
          <w:rFonts w:ascii="Book Antiqua" w:hAnsi="Book Antiqua" w:cs="Times New Roman"/>
        </w:rPr>
        <w:t xml:space="preserve">Finally, it is important to mention the correlation between Epstein-Barr virus (EBV) and gastric cancer. </w:t>
      </w:r>
      <w:r w:rsidR="0074070F" w:rsidRPr="008A0130">
        <w:rPr>
          <w:rFonts w:ascii="Book Antiqua" w:hAnsi="Book Antiqua" w:cs="Times New Roman"/>
        </w:rPr>
        <w:t xml:space="preserve">In this regard, </w:t>
      </w:r>
      <w:r w:rsidRPr="008A0130">
        <w:rPr>
          <w:rFonts w:ascii="Book Antiqua" w:hAnsi="Book Antiqua" w:cs="Times New Roman"/>
        </w:rPr>
        <w:t xml:space="preserve">Kim </w:t>
      </w:r>
      <w:r w:rsidRPr="008A0130">
        <w:rPr>
          <w:rFonts w:ascii="Book Antiqua" w:hAnsi="Book Antiqua" w:cs="Times New Roman"/>
          <w:i/>
        </w:rPr>
        <w:t xml:space="preserve">et </w:t>
      </w:r>
      <w:proofErr w:type="gramStart"/>
      <w:r w:rsidRPr="008A0130">
        <w:rPr>
          <w:rFonts w:ascii="Book Antiqua"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233]</w:t>
      </w:r>
      <w:r w:rsidRPr="008A0130">
        <w:rPr>
          <w:rFonts w:ascii="Book Antiqua" w:hAnsi="Book Antiqua" w:cs="Times New Roman"/>
        </w:rPr>
        <w:t xml:space="preserve"> </w:t>
      </w:r>
      <w:r w:rsidR="0021652E" w:rsidRPr="008A0130">
        <w:rPr>
          <w:rFonts w:ascii="Book Antiqua" w:hAnsi="Book Antiqua" w:cs="Times New Roman"/>
        </w:rPr>
        <w:t xml:space="preserve">found that </w:t>
      </w:r>
      <w:r w:rsidR="0021652E" w:rsidRPr="008A0130">
        <w:rPr>
          <w:rFonts w:ascii="Book Antiqua" w:hAnsi="Book Antiqua" w:cs="Times New Roman"/>
          <w:i/>
        </w:rPr>
        <w:t>p21</w:t>
      </w:r>
      <w:r w:rsidR="0021652E" w:rsidRPr="008A0130">
        <w:rPr>
          <w:rFonts w:ascii="Book Antiqua" w:hAnsi="Book Antiqua" w:cs="Times New Roman"/>
        </w:rPr>
        <w:t xml:space="preserve"> and </w:t>
      </w:r>
      <w:r w:rsidR="0021652E" w:rsidRPr="008A0130">
        <w:rPr>
          <w:rFonts w:ascii="Book Antiqua" w:hAnsi="Book Antiqua" w:cs="Times New Roman"/>
          <w:i/>
        </w:rPr>
        <w:t>APC</w:t>
      </w:r>
      <w:r w:rsidR="0021652E" w:rsidRPr="008A0130">
        <w:rPr>
          <w:rFonts w:ascii="Book Antiqua" w:hAnsi="Book Antiqua" w:cs="Times New Roman"/>
        </w:rPr>
        <w:t xml:space="preserve"> loss was positively correlated with </w:t>
      </w:r>
      <w:r w:rsidRPr="008A0130">
        <w:rPr>
          <w:rFonts w:ascii="Book Antiqua" w:hAnsi="Book Antiqua" w:cs="Times New Roman"/>
        </w:rPr>
        <w:t xml:space="preserve">EPV </w:t>
      </w:r>
      <w:r w:rsidR="0021652E" w:rsidRPr="008A0130">
        <w:rPr>
          <w:rFonts w:ascii="Book Antiqua" w:hAnsi="Book Antiqua" w:cs="Times New Roman"/>
        </w:rPr>
        <w:t xml:space="preserve">positive gastric carcinomas. </w:t>
      </w:r>
      <w:r w:rsidR="00715398" w:rsidRPr="008A0130">
        <w:rPr>
          <w:rFonts w:ascii="Book Antiqua" w:hAnsi="Book Antiqua" w:cs="Times New Roman"/>
        </w:rPr>
        <w:t xml:space="preserve">EBV </w:t>
      </w:r>
      <w:r w:rsidR="0078188E" w:rsidRPr="008A0130">
        <w:rPr>
          <w:rFonts w:ascii="Book Antiqua" w:hAnsi="Book Antiqua" w:cs="Times New Roman"/>
        </w:rPr>
        <w:t xml:space="preserve">is accepted as a causative microorganism for gastric carcinoma, accounting for nearly 10% of gastric cancer cases </w:t>
      </w:r>
      <w:proofErr w:type="gramStart"/>
      <w:r w:rsidR="0078188E" w:rsidRPr="008A0130">
        <w:rPr>
          <w:rFonts w:ascii="Book Antiqua" w:hAnsi="Book Antiqua" w:cs="Times New Roman"/>
        </w:rPr>
        <w:t>worldwide</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234</w:t>
      </w:r>
      <w:r w:rsidR="0054194F" w:rsidRPr="008A0130">
        <w:rPr>
          <w:rFonts w:ascii="Book Antiqua" w:hAnsi="Book Antiqua" w:cs="Times New Roman"/>
          <w:vertAlign w:val="superscript"/>
        </w:rPr>
        <w:t>]</w:t>
      </w:r>
      <w:r w:rsidR="0054194F" w:rsidRPr="008A0130">
        <w:rPr>
          <w:rFonts w:ascii="Book Antiqua" w:hAnsi="Book Antiqua" w:cs="Times New Roman"/>
        </w:rPr>
        <w:t>.</w:t>
      </w:r>
      <w:r w:rsidR="009802C8" w:rsidRPr="008A0130">
        <w:rPr>
          <w:rFonts w:ascii="Book Antiqua" w:hAnsi="Book Antiqua" w:cs="Times New Roman"/>
        </w:rPr>
        <w:t xml:space="preserve"> </w:t>
      </w:r>
    </w:p>
    <w:p w14:paraId="30B0FFD0" w14:textId="77777777" w:rsidR="008A0130" w:rsidRPr="008A0130" w:rsidRDefault="008A0130" w:rsidP="008A0130">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p>
    <w:p w14:paraId="776734D9" w14:textId="4AB9EA5C" w:rsidR="008F6CE5" w:rsidRPr="008A0130" w:rsidRDefault="008F6CE5" w:rsidP="008A0130">
      <w:pPr>
        <w:widowControl w:val="0"/>
        <w:autoSpaceDE w:val="0"/>
        <w:autoSpaceDN w:val="0"/>
        <w:adjustRightInd w:val="0"/>
        <w:spacing w:line="360" w:lineRule="auto"/>
        <w:jc w:val="both"/>
        <w:rPr>
          <w:rFonts w:ascii="Book Antiqua" w:eastAsia="Times New Roman" w:hAnsi="Book Antiqua" w:cs="Times New Roman"/>
          <w:b/>
          <w:bCs/>
          <w:caps/>
        </w:rPr>
      </w:pPr>
      <w:r w:rsidRPr="008A0130">
        <w:rPr>
          <w:rFonts w:ascii="Book Antiqua" w:eastAsia="Times New Roman" w:hAnsi="Book Antiqua" w:cs="Times New Roman"/>
          <w:b/>
          <w:bCs/>
          <w:caps/>
        </w:rPr>
        <w:t>Targeting the Wnt/</w:t>
      </w:r>
      <w:r w:rsidR="00F926B4" w:rsidRPr="008A0130">
        <w:rPr>
          <w:rFonts w:ascii="Book Antiqua" w:eastAsia="Times New Roman" w:hAnsi="Book Antiqua" w:cs="Times New Roman"/>
          <w:b/>
          <w:bCs/>
          <w:caps/>
        </w:rPr>
        <w:t>β</w:t>
      </w:r>
      <w:r w:rsidRPr="008A0130">
        <w:rPr>
          <w:rFonts w:ascii="Book Antiqua" w:eastAsia="Times New Roman" w:hAnsi="Book Antiqua" w:cs="Times New Roman"/>
          <w:b/>
          <w:bCs/>
          <w:caps/>
        </w:rPr>
        <w:t>-catenin pathway as potential therapy in gastric cancer</w:t>
      </w:r>
    </w:p>
    <w:p w14:paraId="7851CC4F" w14:textId="41C76D5D" w:rsidR="000B67EB" w:rsidRPr="008A0130" w:rsidRDefault="005E6173" w:rsidP="008A0130">
      <w:pPr>
        <w:widowControl w:val="0"/>
        <w:autoSpaceDE w:val="0"/>
        <w:autoSpaceDN w:val="0"/>
        <w:adjustRightInd w:val="0"/>
        <w:spacing w:line="360" w:lineRule="auto"/>
        <w:jc w:val="both"/>
        <w:rPr>
          <w:rFonts w:ascii="Book Antiqua" w:eastAsia="Times New Roman" w:hAnsi="Book Antiqua" w:cs="Times New Roman"/>
        </w:rPr>
      </w:pPr>
      <w:r w:rsidRPr="008A0130">
        <w:rPr>
          <w:rFonts w:ascii="Book Antiqua" w:eastAsia="Times New Roman" w:hAnsi="Book Antiqua" w:cs="Times New Roman"/>
        </w:rPr>
        <w:t>The Wnt</w:t>
      </w:r>
      <w:r w:rsidR="005F42BE" w:rsidRPr="008A0130">
        <w:rPr>
          <w:rFonts w:ascii="Book Antiqua" w:eastAsia="Times New Roman" w:hAnsi="Book Antiqua" w:cs="Times New Roman"/>
        </w:rPr>
        <w:t>/</w:t>
      </w:r>
      <w:r w:rsidR="00323948" w:rsidRPr="008A0130">
        <w:rPr>
          <w:rFonts w:ascii="Book Antiqua" w:eastAsia="Times New Roman" w:hAnsi="Book Antiqua" w:cs="Times New Roman"/>
        </w:rPr>
        <w:t>ß</w:t>
      </w:r>
      <w:r w:rsidR="005F42BE" w:rsidRPr="008A0130">
        <w:rPr>
          <w:rFonts w:ascii="Book Antiqua" w:eastAsia="Times New Roman" w:hAnsi="Book Antiqua" w:cs="Times New Roman"/>
        </w:rPr>
        <w:t xml:space="preserve">-catenin pathway plays a key role in </w:t>
      </w:r>
      <w:r w:rsidR="006037B1" w:rsidRPr="008A0130">
        <w:rPr>
          <w:rFonts w:ascii="Book Antiqua" w:eastAsia="Times New Roman" w:hAnsi="Book Antiqua" w:cs="Times New Roman"/>
        </w:rPr>
        <w:t>gastric</w:t>
      </w:r>
      <w:r w:rsidR="005F42BE" w:rsidRPr="008A0130">
        <w:rPr>
          <w:rFonts w:ascii="Book Antiqua" w:eastAsia="Times New Roman" w:hAnsi="Book Antiqua" w:cs="Times New Roman"/>
        </w:rPr>
        <w:t xml:space="preserve"> cancer </w:t>
      </w:r>
      <w:r w:rsidR="00EE7729" w:rsidRPr="008A0130">
        <w:rPr>
          <w:rFonts w:ascii="Book Antiqua" w:eastAsia="Times New Roman" w:hAnsi="Book Antiqua" w:cs="Times New Roman"/>
        </w:rPr>
        <w:t>pathogenesis;</w:t>
      </w:r>
      <w:r w:rsidR="005F42BE" w:rsidRPr="008A0130">
        <w:rPr>
          <w:rFonts w:ascii="Book Antiqua" w:eastAsia="Times New Roman" w:hAnsi="Book Antiqua" w:cs="Times New Roman"/>
        </w:rPr>
        <w:t xml:space="preserve"> </w:t>
      </w:r>
      <w:r w:rsidR="00EE7729" w:rsidRPr="008A0130">
        <w:rPr>
          <w:rFonts w:ascii="Book Antiqua" w:eastAsia="Times New Roman" w:hAnsi="Book Antiqua" w:cs="Times New Roman"/>
        </w:rPr>
        <w:t>therefore,</w:t>
      </w:r>
      <w:r w:rsidR="00323948" w:rsidRPr="008A0130">
        <w:rPr>
          <w:rFonts w:ascii="Book Antiqua" w:eastAsia="Times New Roman" w:hAnsi="Book Antiqua" w:cs="Times New Roman"/>
        </w:rPr>
        <w:t xml:space="preserve"> chemotherapeutic approaches for targeting this pathway </w:t>
      </w:r>
      <w:r w:rsidR="00984F0A" w:rsidRPr="008A0130">
        <w:rPr>
          <w:rFonts w:ascii="Book Antiqua" w:eastAsia="Times New Roman" w:hAnsi="Book Antiqua" w:cs="Times New Roman"/>
        </w:rPr>
        <w:t xml:space="preserve">should be a major </w:t>
      </w:r>
      <w:r w:rsidR="005A5375" w:rsidRPr="008A0130">
        <w:rPr>
          <w:rFonts w:ascii="Book Antiqua" w:eastAsia="Times New Roman" w:hAnsi="Book Antiqua" w:cs="Times New Roman"/>
        </w:rPr>
        <w:t>effort</w:t>
      </w:r>
      <w:r w:rsidR="00323948" w:rsidRPr="008A0130">
        <w:rPr>
          <w:rFonts w:ascii="Book Antiqua" w:eastAsia="Times New Roman" w:hAnsi="Book Antiqua" w:cs="Times New Roman"/>
        </w:rPr>
        <w:t>.</w:t>
      </w:r>
      <w:r w:rsidR="00984F0A" w:rsidRPr="008A0130">
        <w:rPr>
          <w:rFonts w:ascii="Book Antiqua" w:eastAsia="Times New Roman" w:hAnsi="Book Antiqua" w:cs="Times New Roman"/>
        </w:rPr>
        <w:t xml:space="preserve"> </w:t>
      </w:r>
      <w:r w:rsidR="00655ADA" w:rsidRPr="008A0130">
        <w:rPr>
          <w:rFonts w:ascii="Book Antiqua" w:eastAsia="Times New Roman" w:hAnsi="Book Antiqua" w:cs="Times New Roman"/>
        </w:rPr>
        <w:t>However, several factors have hampered progress in this field</w:t>
      </w:r>
      <w:r w:rsidR="000B67EB" w:rsidRPr="008A0130">
        <w:rPr>
          <w:rFonts w:ascii="Book Antiqua" w:eastAsia="Times New Roman" w:hAnsi="Book Antiqua" w:cs="Times New Roman"/>
        </w:rPr>
        <w:t xml:space="preserve">, such as the number and variety of </w:t>
      </w:r>
      <w:r w:rsidR="000B67EB" w:rsidRPr="008A0130">
        <w:rPr>
          <w:rFonts w:ascii="Book Antiqua" w:hAnsi="Book Antiqua" w:cs="Times New Roman"/>
        </w:rPr>
        <w:t>Wnt ligands,</w:t>
      </w:r>
      <w:r w:rsidR="00655ADA" w:rsidRPr="008A0130">
        <w:rPr>
          <w:rFonts w:ascii="Book Antiqua" w:hAnsi="Book Antiqua" w:cs="Times New Roman"/>
        </w:rPr>
        <w:t xml:space="preserve"> </w:t>
      </w:r>
      <w:r w:rsidR="000B67EB" w:rsidRPr="008A0130">
        <w:rPr>
          <w:rFonts w:ascii="Book Antiqua" w:hAnsi="Book Antiqua" w:cs="Times New Roman"/>
        </w:rPr>
        <w:t>r</w:t>
      </w:r>
      <w:r w:rsidR="00655ADA" w:rsidRPr="008A0130">
        <w:rPr>
          <w:rFonts w:ascii="Book Antiqua" w:hAnsi="Book Antiqua" w:cs="Times New Roman"/>
        </w:rPr>
        <w:t>eceptors and co</w:t>
      </w:r>
      <w:r w:rsidR="00AB257A" w:rsidRPr="008A0130">
        <w:rPr>
          <w:rFonts w:ascii="Book Antiqua" w:eastAsia="宋体" w:hAnsi="Book Antiqua" w:cs="宋体"/>
        </w:rPr>
        <w:t>-</w:t>
      </w:r>
      <w:r w:rsidR="00655ADA" w:rsidRPr="008A0130">
        <w:rPr>
          <w:rFonts w:ascii="Book Antiqua" w:hAnsi="Book Antiqua" w:cs="Times New Roman"/>
        </w:rPr>
        <w:t xml:space="preserve">receptors </w:t>
      </w:r>
      <w:r w:rsidR="000B67EB" w:rsidRPr="008A0130">
        <w:rPr>
          <w:rFonts w:ascii="Book Antiqua" w:hAnsi="Book Antiqua" w:cs="Times New Roman"/>
        </w:rPr>
        <w:t xml:space="preserve">involved in </w:t>
      </w:r>
      <w:r w:rsidR="000B67EB" w:rsidRPr="008A0130">
        <w:rPr>
          <w:rFonts w:ascii="Book Antiqua" w:eastAsia="Times New Roman" w:hAnsi="Book Antiqua" w:cs="Times New Roman"/>
        </w:rPr>
        <w:t xml:space="preserve">Wnt </w:t>
      </w:r>
      <w:proofErr w:type="gramStart"/>
      <w:r w:rsidR="000B67EB" w:rsidRPr="008A0130">
        <w:rPr>
          <w:rFonts w:ascii="Book Antiqua" w:eastAsia="Times New Roman" w:hAnsi="Book Antiqua" w:cs="Times New Roman"/>
        </w:rPr>
        <w:t>signaling</w:t>
      </w:r>
      <w:r w:rsidR="000C24E3" w:rsidRPr="008A0130">
        <w:rPr>
          <w:rFonts w:ascii="Book Antiqua" w:hAnsi="Book Antiqua" w:cs="Times New Roman"/>
          <w:vertAlign w:val="superscript"/>
        </w:rPr>
        <w:t>[</w:t>
      </w:r>
      <w:proofErr w:type="gramEnd"/>
      <w:r w:rsidR="000C24E3" w:rsidRPr="008A0130">
        <w:rPr>
          <w:rFonts w:ascii="Book Antiqua" w:hAnsi="Book Antiqua" w:cs="Times New Roman"/>
          <w:vertAlign w:val="superscript"/>
        </w:rPr>
        <w:t>14,18</w:t>
      </w:r>
      <w:r w:rsidR="00E84BFB" w:rsidRPr="008A0130">
        <w:rPr>
          <w:rFonts w:ascii="Book Antiqua" w:hAnsi="Book Antiqua" w:cs="Times New Roman"/>
          <w:vertAlign w:val="superscript"/>
        </w:rPr>
        <w:t>]</w:t>
      </w:r>
      <w:r w:rsidR="00004BA1" w:rsidRPr="008A0130">
        <w:rPr>
          <w:rFonts w:ascii="Book Antiqua" w:eastAsia="Times New Roman" w:hAnsi="Book Antiqua" w:cs="Times New Roman"/>
        </w:rPr>
        <w:t xml:space="preserve">. </w:t>
      </w:r>
      <w:r w:rsidR="0086360C" w:rsidRPr="008A0130">
        <w:rPr>
          <w:rFonts w:ascii="Book Antiqua" w:eastAsia="Times New Roman" w:hAnsi="Book Antiqua" w:cs="Times New Roman"/>
        </w:rPr>
        <w:t>Furthermore</w:t>
      </w:r>
      <w:r w:rsidR="00004BA1" w:rsidRPr="008A0130">
        <w:rPr>
          <w:rFonts w:ascii="Book Antiqua" w:eastAsia="Times New Roman" w:hAnsi="Book Antiqua" w:cs="Times New Roman"/>
        </w:rPr>
        <w:t xml:space="preserve">, this </w:t>
      </w:r>
      <w:r w:rsidR="000B67EB" w:rsidRPr="008A0130">
        <w:rPr>
          <w:rFonts w:ascii="Book Antiqua" w:eastAsia="Times New Roman" w:hAnsi="Book Antiqua" w:cs="Times New Roman"/>
        </w:rPr>
        <w:t xml:space="preserve">complex </w:t>
      </w:r>
      <w:r w:rsidR="00004BA1" w:rsidRPr="008A0130">
        <w:rPr>
          <w:rFonts w:ascii="Book Antiqua" w:eastAsia="Times New Roman" w:hAnsi="Book Antiqua" w:cs="Times New Roman"/>
        </w:rPr>
        <w:t xml:space="preserve">pathway </w:t>
      </w:r>
      <w:r w:rsidR="00191E83" w:rsidRPr="008A0130">
        <w:rPr>
          <w:rFonts w:ascii="Book Antiqua" w:eastAsia="Times New Roman" w:hAnsi="Book Antiqua" w:cs="Times New Roman"/>
        </w:rPr>
        <w:t xml:space="preserve">regulates a broad range of developmental processes, its </w:t>
      </w:r>
      <w:r w:rsidR="00984F0A" w:rsidRPr="008A0130">
        <w:rPr>
          <w:rFonts w:ascii="Book Antiqua" w:eastAsia="Times New Roman" w:hAnsi="Book Antiqua" w:cs="Times New Roman"/>
        </w:rPr>
        <w:t>components have redundancy in other cellular functions</w:t>
      </w:r>
      <w:r w:rsidR="00191E83" w:rsidRPr="008A0130">
        <w:rPr>
          <w:rFonts w:ascii="Book Antiqua" w:eastAsia="Times New Roman" w:hAnsi="Book Antiqua" w:cs="Times New Roman"/>
        </w:rPr>
        <w:t>,</w:t>
      </w:r>
      <w:r w:rsidR="002422DD" w:rsidRPr="008A0130">
        <w:rPr>
          <w:rFonts w:ascii="Book Antiqua" w:eastAsia="Times New Roman" w:hAnsi="Book Antiqua" w:cs="Times New Roman"/>
        </w:rPr>
        <w:t xml:space="preserve"> and</w:t>
      </w:r>
      <w:r w:rsidR="00191E83" w:rsidRPr="008A0130">
        <w:rPr>
          <w:rFonts w:ascii="Book Antiqua" w:eastAsia="Times New Roman" w:hAnsi="Book Antiqua" w:cs="Times New Roman"/>
        </w:rPr>
        <w:t xml:space="preserve"> the transcriptional output of ß-catenin is highly </w:t>
      </w:r>
      <w:r w:rsidR="003B4CA7" w:rsidRPr="008A0130">
        <w:rPr>
          <w:rFonts w:ascii="Book Antiqua" w:eastAsia="Times New Roman" w:hAnsi="Book Antiqua" w:cs="Times New Roman"/>
        </w:rPr>
        <w:t xml:space="preserve">context </w:t>
      </w:r>
      <w:proofErr w:type="gramStart"/>
      <w:r w:rsidR="003B4CA7" w:rsidRPr="008A0130">
        <w:rPr>
          <w:rFonts w:ascii="Book Antiqua" w:eastAsia="Times New Roman" w:hAnsi="Book Antiqua" w:cs="Times New Roman"/>
        </w:rPr>
        <w:t>dependent</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235,236</w:t>
      </w:r>
      <w:r w:rsidR="00E84BFB" w:rsidRPr="008A0130">
        <w:rPr>
          <w:rFonts w:ascii="Book Antiqua" w:hAnsi="Book Antiqua" w:cs="Times New Roman"/>
          <w:vertAlign w:val="superscript"/>
        </w:rPr>
        <w:t>]</w:t>
      </w:r>
      <w:r w:rsidR="0051305B" w:rsidRPr="008A0130">
        <w:rPr>
          <w:rFonts w:ascii="Book Antiqua" w:eastAsia="Times New Roman" w:hAnsi="Book Antiqua" w:cs="Times New Roman"/>
        </w:rPr>
        <w:t>.</w:t>
      </w:r>
      <w:r w:rsidR="00191E83" w:rsidRPr="008A0130">
        <w:rPr>
          <w:rFonts w:ascii="Book Antiqua" w:eastAsia="Times New Roman" w:hAnsi="Book Antiqua" w:cs="Times New Roman"/>
        </w:rPr>
        <w:t xml:space="preserve"> </w:t>
      </w:r>
      <w:r w:rsidR="00004BA1" w:rsidRPr="008A0130">
        <w:rPr>
          <w:rFonts w:ascii="Book Antiqua" w:eastAsia="Times New Roman" w:hAnsi="Book Antiqua" w:cs="Times New Roman"/>
        </w:rPr>
        <w:t xml:space="preserve">Finally, </w:t>
      </w:r>
      <w:r w:rsidR="00004BA1" w:rsidRPr="008A0130">
        <w:rPr>
          <w:rFonts w:ascii="Book Antiqua" w:hAnsi="Book Antiqua" w:cs="Times New Roman"/>
        </w:rPr>
        <w:t>crosstalk from various non</w:t>
      </w:r>
      <w:r w:rsidR="00AB257A" w:rsidRPr="008A0130">
        <w:rPr>
          <w:rFonts w:ascii="Book Antiqua" w:eastAsia="宋体" w:hAnsi="Book Antiqua" w:cs="宋体"/>
        </w:rPr>
        <w:t>-</w:t>
      </w:r>
      <w:r w:rsidR="00004BA1" w:rsidRPr="008A0130">
        <w:rPr>
          <w:rFonts w:ascii="Book Antiqua" w:hAnsi="Book Antiqua" w:cs="Times New Roman"/>
        </w:rPr>
        <w:t xml:space="preserve">Wnt factors also intervenes to regulate nuclear </w:t>
      </w:r>
      <w:r w:rsidR="00F926B4" w:rsidRPr="008A0130">
        <w:rPr>
          <w:rFonts w:ascii="Book Antiqua" w:hAnsi="Book Antiqua" w:cs="Times New Roman"/>
        </w:rPr>
        <w:t>β</w:t>
      </w:r>
      <w:r w:rsidR="00AB257A" w:rsidRPr="008A0130">
        <w:rPr>
          <w:rFonts w:ascii="Book Antiqua" w:eastAsia="宋体" w:hAnsi="Book Antiqua" w:cs="宋体"/>
        </w:rPr>
        <w:t>-</w:t>
      </w:r>
      <w:r w:rsidR="00004BA1" w:rsidRPr="008A0130">
        <w:rPr>
          <w:rFonts w:ascii="Book Antiqua" w:hAnsi="Book Antiqua" w:cs="Times New Roman"/>
        </w:rPr>
        <w:t>catenin accumulation.</w:t>
      </w:r>
      <w:r w:rsidR="00004BA1" w:rsidRPr="008A0130">
        <w:rPr>
          <w:rFonts w:ascii="Book Antiqua" w:eastAsia="Times New Roman" w:hAnsi="Book Antiqua" w:cs="Times New Roman"/>
        </w:rPr>
        <w:t xml:space="preserve"> </w:t>
      </w:r>
    </w:p>
    <w:p w14:paraId="573173FC" w14:textId="39A2798E" w:rsidR="00BC09CD" w:rsidRPr="008A0130" w:rsidRDefault="003B4CA7" w:rsidP="008A0130">
      <w:pPr>
        <w:widowControl w:val="0"/>
        <w:autoSpaceDE w:val="0"/>
        <w:autoSpaceDN w:val="0"/>
        <w:adjustRightInd w:val="0"/>
        <w:spacing w:line="360" w:lineRule="auto"/>
        <w:ind w:firstLineChars="100" w:firstLine="240"/>
        <w:jc w:val="both"/>
        <w:rPr>
          <w:rFonts w:ascii="Book Antiqua" w:eastAsia="Times New Roman" w:hAnsi="Book Antiqua" w:cs="Times New Roman"/>
        </w:rPr>
      </w:pPr>
      <w:r w:rsidRPr="008A0130">
        <w:rPr>
          <w:rFonts w:ascii="Book Antiqua" w:eastAsia="Times New Roman" w:hAnsi="Book Antiqua" w:cs="Times New Roman"/>
        </w:rPr>
        <w:t xml:space="preserve">Wnt inhibitors are the focus of intense investigation in pharmaceutical and academic research, </w:t>
      </w:r>
      <w:r w:rsidR="00B61FAB" w:rsidRPr="008A0130">
        <w:rPr>
          <w:rFonts w:ascii="Book Antiqua" w:eastAsia="Times New Roman" w:hAnsi="Book Antiqua" w:cs="Times New Roman"/>
        </w:rPr>
        <w:t xml:space="preserve">and </w:t>
      </w:r>
      <w:r w:rsidRPr="008A0130">
        <w:rPr>
          <w:rFonts w:ascii="Book Antiqua" w:eastAsia="Times New Roman" w:hAnsi="Book Antiqua" w:cs="Times New Roman"/>
        </w:rPr>
        <w:t xml:space="preserve">as </w:t>
      </w:r>
      <w:r w:rsidR="00EE7729" w:rsidRPr="008A0130">
        <w:rPr>
          <w:rFonts w:ascii="Book Antiqua" w:eastAsia="Times New Roman" w:hAnsi="Book Antiqua" w:cs="Times New Roman"/>
        </w:rPr>
        <w:t xml:space="preserve">a </w:t>
      </w:r>
      <w:r w:rsidRPr="008A0130">
        <w:rPr>
          <w:rFonts w:ascii="Book Antiqua" w:eastAsia="Times New Roman" w:hAnsi="Book Antiqua" w:cs="Times New Roman"/>
        </w:rPr>
        <w:t xml:space="preserve">consequence of this effort; potential anticancer agents have emerged </w:t>
      </w:r>
      <w:r w:rsidR="00B83B0C" w:rsidRPr="008A0130">
        <w:rPr>
          <w:rFonts w:ascii="Book Antiqua" w:eastAsia="Times New Roman" w:hAnsi="Book Antiqua" w:cs="Times New Roman"/>
        </w:rPr>
        <w:t xml:space="preserve">that target </w:t>
      </w:r>
      <w:r w:rsidRPr="008A0130">
        <w:rPr>
          <w:rFonts w:ascii="Book Antiqua" w:eastAsia="Times New Roman" w:hAnsi="Book Antiqua" w:cs="Times New Roman"/>
        </w:rPr>
        <w:t xml:space="preserve">components of this signaling </w:t>
      </w:r>
      <w:proofErr w:type="gramStart"/>
      <w:r w:rsidRPr="008A0130">
        <w:rPr>
          <w:rFonts w:ascii="Book Antiqua" w:eastAsia="Times New Roman" w:hAnsi="Book Antiqua" w:cs="Times New Roman"/>
        </w:rPr>
        <w:t>pathway</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235</w:t>
      </w:r>
      <w:r w:rsidR="00E84BFB" w:rsidRPr="008A0130">
        <w:rPr>
          <w:rFonts w:ascii="Book Antiqua" w:hAnsi="Book Antiqua" w:cs="Times New Roman"/>
          <w:vertAlign w:val="superscript"/>
        </w:rPr>
        <w:t>,</w:t>
      </w:r>
      <w:r w:rsidR="00AB257A" w:rsidRPr="008A0130">
        <w:rPr>
          <w:rFonts w:ascii="Book Antiqua" w:hAnsi="Book Antiqua" w:cs="Times New Roman"/>
          <w:vertAlign w:val="superscript"/>
        </w:rPr>
        <w:t>237-239</w:t>
      </w:r>
      <w:r w:rsidR="00E84BFB" w:rsidRPr="008A0130">
        <w:rPr>
          <w:rFonts w:ascii="Book Antiqua" w:hAnsi="Book Antiqua" w:cs="Times New Roman"/>
          <w:vertAlign w:val="superscript"/>
        </w:rPr>
        <w:t>]</w:t>
      </w:r>
      <w:r w:rsidRPr="008A0130">
        <w:rPr>
          <w:rFonts w:ascii="Book Antiqua" w:eastAsia="Times New Roman" w:hAnsi="Book Antiqua" w:cs="Times New Roman"/>
        </w:rPr>
        <w:t>.</w:t>
      </w:r>
      <w:r w:rsidR="008276B8" w:rsidRPr="008A0130">
        <w:rPr>
          <w:rFonts w:ascii="Book Antiqua" w:eastAsia="Times New Roman" w:hAnsi="Book Antiqua" w:cs="Times New Roman"/>
        </w:rPr>
        <w:t xml:space="preserve"> </w:t>
      </w:r>
      <w:r w:rsidR="00DB5DC2" w:rsidRPr="008A0130">
        <w:rPr>
          <w:rFonts w:ascii="Book Antiqua" w:eastAsia="Times New Roman" w:hAnsi="Book Antiqua" w:cs="Times New Roman"/>
        </w:rPr>
        <w:t xml:space="preserve">There </w:t>
      </w:r>
      <w:r w:rsidR="00EE7729" w:rsidRPr="008A0130">
        <w:rPr>
          <w:rFonts w:ascii="Book Antiqua" w:eastAsia="Times New Roman" w:hAnsi="Book Antiqua" w:cs="Times New Roman"/>
        </w:rPr>
        <w:t xml:space="preserve">are </w:t>
      </w:r>
      <w:r w:rsidR="00DB5DC2" w:rsidRPr="008A0130">
        <w:rPr>
          <w:rFonts w:ascii="Book Antiqua" w:eastAsia="Times New Roman" w:hAnsi="Book Antiqua" w:cs="Times New Roman"/>
        </w:rPr>
        <w:t>currently several therapeutic approaches to modulate the Wnt signaling cascade at various stages of development, as well as natural compounds that have been proved</w:t>
      </w:r>
      <w:r w:rsidR="005A5375" w:rsidRPr="008A0130">
        <w:rPr>
          <w:rFonts w:ascii="Book Antiqua" w:eastAsia="Times New Roman" w:hAnsi="Book Antiqua" w:cs="Times New Roman"/>
        </w:rPr>
        <w:t>,</w:t>
      </w:r>
      <w:r w:rsidR="00DB5DC2" w:rsidRPr="008A0130">
        <w:rPr>
          <w:rFonts w:ascii="Book Antiqua" w:eastAsia="Times New Roman" w:hAnsi="Book Antiqua" w:cs="Times New Roman"/>
        </w:rPr>
        <w:t xml:space="preserve"> or are being tested</w:t>
      </w:r>
      <w:r w:rsidR="005A5375" w:rsidRPr="008A0130">
        <w:rPr>
          <w:rFonts w:ascii="Book Antiqua" w:eastAsia="Times New Roman" w:hAnsi="Book Antiqua" w:cs="Times New Roman"/>
        </w:rPr>
        <w:t>,</w:t>
      </w:r>
      <w:r w:rsidR="00DB5DC2" w:rsidRPr="008A0130">
        <w:rPr>
          <w:rFonts w:ascii="Book Antiqua" w:eastAsia="Times New Roman" w:hAnsi="Book Antiqua" w:cs="Times New Roman"/>
        </w:rPr>
        <w:t xml:space="preserve"> in different </w:t>
      </w:r>
      <w:proofErr w:type="gramStart"/>
      <w:r w:rsidR="00DB5DC2" w:rsidRPr="008A0130">
        <w:rPr>
          <w:rFonts w:ascii="Book Antiqua" w:eastAsia="Times New Roman" w:hAnsi="Book Antiqua" w:cs="Times New Roman"/>
        </w:rPr>
        <w:t>systems</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235</w:t>
      </w:r>
      <w:r w:rsidR="00E84BFB" w:rsidRPr="008A0130">
        <w:rPr>
          <w:rFonts w:ascii="Book Antiqua" w:hAnsi="Book Antiqua" w:cs="Times New Roman"/>
          <w:vertAlign w:val="superscript"/>
        </w:rPr>
        <w:t>,</w:t>
      </w:r>
      <w:r w:rsidR="00AB257A" w:rsidRPr="008A0130">
        <w:rPr>
          <w:rFonts w:ascii="Book Antiqua" w:hAnsi="Book Antiqua" w:cs="Times New Roman"/>
          <w:vertAlign w:val="superscript"/>
        </w:rPr>
        <w:t>240</w:t>
      </w:r>
      <w:r w:rsidR="00E84BFB" w:rsidRPr="008A0130">
        <w:rPr>
          <w:rFonts w:ascii="Book Antiqua" w:hAnsi="Book Antiqua" w:cs="Times New Roman"/>
          <w:vertAlign w:val="superscript"/>
        </w:rPr>
        <w:t>]</w:t>
      </w:r>
      <w:r w:rsidR="00DB5DC2" w:rsidRPr="008A0130">
        <w:rPr>
          <w:rFonts w:ascii="Book Antiqua" w:eastAsia="Times New Roman" w:hAnsi="Book Antiqua" w:cs="Times New Roman"/>
        </w:rPr>
        <w:t xml:space="preserve">. </w:t>
      </w:r>
      <w:r w:rsidR="00BB3D15" w:rsidRPr="008A0130">
        <w:rPr>
          <w:rFonts w:ascii="Book Antiqua" w:eastAsia="Times New Roman" w:hAnsi="Book Antiqua" w:cs="Times New Roman"/>
        </w:rPr>
        <w:t xml:space="preserve">Several </w:t>
      </w:r>
      <w:r w:rsidR="00EF6FF6" w:rsidRPr="008A0130">
        <w:rPr>
          <w:rFonts w:ascii="Book Antiqua" w:eastAsia="Times New Roman" w:hAnsi="Book Antiqua" w:cs="Times New Roman"/>
        </w:rPr>
        <w:t xml:space="preserve">studies in which </w:t>
      </w:r>
      <w:r w:rsidR="00205587" w:rsidRPr="008A0130">
        <w:rPr>
          <w:rFonts w:ascii="Book Antiqua" w:eastAsia="Times New Roman" w:hAnsi="Book Antiqua" w:cs="Times New Roman"/>
        </w:rPr>
        <w:t>potential targets</w:t>
      </w:r>
      <w:r w:rsidR="00596B3E" w:rsidRPr="008A0130">
        <w:rPr>
          <w:rFonts w:ascii="Book Antiqua" w:eastAsia="Times New Roman" w:hAnsi="Book Antiqua" w:cs="Times New Roman"/>
        </w:rPr>
        <w:t xml:space="preserve"> </w:t>
      </w:r>
      <w:r w:rsidR="007B4D41" w:rsidRPr="008A0130">
        <w:rPr>
          <w:rFonts w:ascii="Book Antiqua" w:eastAsia="Times New Roman" w:hAnsi="Book Antiqua" w:cs="Times New Roman"/>
        </w:rPr>
        <w:t>and</w:t>
      </w:r>
      <w:r w:rsidR="00205587" w:rsidRPr="008A0130">
        <w:rPr>
          <w:rFonts w:ascii="Book Antiqua" w:eastAsia="Times New Roman" w:hAnsi="Book Antiqua" w:cs="Times New Roman"/>
        </w:rPr>
        <w:t xml:space="preserve"> strategies were tested </w:t>
      </w:r>
      <w:r w:rsidR="00EF6FF6" w:rsidRPr="008A0130">
        <w:rPr>
          <w:rFonts w:ascii="Book Antiqua" w:eastAsia="Times New Roman" w:hAnsi="Book Antiqua" w:cs="Times New Roman"/>
        </w:rPr>
        <w:t>for gastric cancer treatment targeting Wnt/ß-catenin signaling pathway</w:t>
      </w:r>
      <w:r w:rsidR="00BB3D15" w:rsidRPr="008A0130">
        <w:rPr>
          <w:rFonts w:ascii="Book Antiqua" w:eastAsia="Times New Roman" w:hAnsi="Book Antiqua" w:cs="Times New Roman"/>
        </w:rPr>
        <w:t xml:space="preserve"> are reviewed below</w:t>
      </w:r>
      <w:r w:rsidR="00EF6FF6" w:rsidRPr="008A0130">
        <w:rPr>
          <w:rFonts w:ascii="Book Antiqua" w:eastAsia="Times New Roman" w:hAnsi="Book Antiqua" w:cs="Times New Roman"/>
        </w:rPr>
        <w:t xml:space="preserve">. </w:t>
      </w:r>
    </w:p>
    <w:p w14:paraId="51BDD101" w14:textId="687C2022" w:rsidR="00B73BCB" w:rsidRPr="008A0130" w:rsidRDefault="00C736CC" w:rsidP="008A0130">
      <w:pPr>
        <w:widowControl w:val="0"/>
        <w:autoSpaceDE w:val="0"/>
        <w:autoSpaceDN w:val="0"/>
        <w:adjustRightInd w:val="0"/>
        <w:spacing w:line="360" w:lineRule="auto"/>
        <w:jc w:val="both"/>
        <w:rPr>
          <w:rFonts w:ascii="Book Antiqua" w:eastAsia="Times New Roman" w:hAnsi="Book Antiqua" w:cs="Times New Roman"/>
        </w:rPr>
      </w:pPr>
      <w:r w:rsidRPr="008A0130">
        <w:rPr>
          <w:rFonts w:ascii="Book Antiqua" w:eastAsia="Times New Roman" w:hAnsi="Book Antiqua" w:cs="Times New Roman"/>
        </w:rPr>
        <w:lastRenderedPageBreak/>
        <w:t xml:space="preserve">The </w:t>
      </w:r>
      <w:r w:rsidR="00E9101E" w:rsidRPr="008A0130">
        <w:rPr>
          <w:rFonts w:ascii="Book Antiqua" w:eastAsia="Times New Roman" w:hAnsi="Book Antiqua" w:cs="Times New Roman"/>
        </w:rPr>
        <w:t>antibacterial potassium ionophore</w:t>
      </w:r>
      <w:r w:rsidRPr="008A0130">
        <w:rPr>
          <w:rFonts w:ascii="Book Antiqua" w:eastAsia="Times New Roman" w:hAnsi="Book Antiqua" w:cs="Times New Roman"/>
        </w:rPr>
        <w:t xml:space="preserve"> Salinomycin </w:t>
      </w:r>
      <w:r w:rsidR="00E9101E" w:rsidRPr="008A0130">
        <w:rPr>
          <w:rFonts w:ascii="Book Antiqua" w:eastAsia="Times New Roman" w:hAnsi="Book Antiqua" w:cs="Times New Roman"/>
        </w:rPr>
        <w:t xml:space="preserve">was first </w:t>
      </w:r>
      <w:r w:rsidR="00037FDE" w:rsidRPr="008A0130">
        <w:rPr>
          <w:rFonts w:ascii="Book Antiqua" w:eastAsia="Times New Roman" w:hAnsi="Book Antiqua" w:cs="Times New Roman"/>
        </w:rPr>
        <w:t xml:space="preserve">described </w:t>
      </w:r>
      <w:r w:rsidR="00E9101E" w:rsidRPr="008A0130">
        <w:rPr>
          <w:rFonts w:ascii="Book Antiqua" w:eastAsia="Times New Roman" w:hAnsi="Book Antiqua" w:cs="Times New Roman"/>
        </w:rPr>
        <w:t xml:space="preserve">as a selective inhibitor of breast </w:t>
      </w:r>
      <w:proofErr w:type="gramStart"/>
      <w:r w:rsidR="005A5375" w:rsidRPr="008A0130">
        <w:rPr>
          <w:rFonts w:ascii="Book Antiqua" w:eastAsia="Times New Roman" w:hAnsi="Book Antiqua" w:cs="Times New Roman"/>
        </w:rPr>
        <w:t>cancer</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241</w:t>
      </w:r>
      <w:r w:rsidR="00E84BFB" w:rsidRPr="008A0130">
        <w:rPr>
          <w:rFonts w:ascii="Book Antiqua" w:hAnsi="Book Antiqua" w:cs="Times New Roman"/>
          <w:vertAlign w:val="superscript"/>
        </w:rPr>
        <w:t>]</w:t>
      </w:r>
      <w:r w:rsidR="00E9101E" w:rsidRPr="008A0130">
        <w:rPr>
          <w:rFonts w:ascii="Book Antiqua" w:eastAsia="Times New Roman" w:hAnsi="Book Antiqua" w:cs="Times New Roman"/>
        </w:rPr>
        <w:t xml:space="preserve">. </w:t>
      </w:r>
      <w:r w:rsidR="00596B3E" w:rsidRPr="008A0130">
        <w:rPr>
          <w:rFonts w:ascii="Book Antiqua" w:eastAsia="Times New Roman" w:hAnsi="Book Antiqua" w:cs="Times New Roman"/>
        </w:rPr>
        <w:t>Thereafter</w:t>
      </w:r>
      <w:r w:rsidRPr="008A0130">
        <w:rPr>
          <w:rFonts w:ascii="Book Antiqua" w:eastAsia="Times New Roman" w:hAnsi="Book Antiqua" w:cs="Times New Roman"/>
        </w:rPr>
        <w:t xml:space="preserve">, Salinomycin was found to inhibit Wnt/ß-catenin signaling by inducing the degradation of Wnt co-receptor LRP6 in chronic lymphocytic </w:t>
      </w:r>
      <w:proofErr w:type="gramStart"/>
      <w:r w:rsidRPr="008A0130">
        <w:rPr>
          <w:rFonts w:ascii="Book Antiqua" w:eastAsia="Times New Roman" w:hAnsi="Book Antiqua" w:cs="Times New Roman"/>
        </w:rPr>
        <w:t>leukemia</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242</w:t>
      </w:r>
      <w:r w:rsidR="00E84BFB" w:rsidRPr="008A0130">
        <w:rPr>
          <w:rFonts w:ascii="Book Antiqua" w:hAnsi="Book Antiqua" w:cs="Times New Roman"/>
          <w:vertAlign w:val="superscript"/>
        </w:rPr>
        <w:t>]</w:t>
      </w:r>
      <w:r w:rsidRPr="008A0130">
        <w:rPr>
          <w:rFonts w:ascii="Book Antiqua" w:eastAsia="Times New Roman" w:hAnsi="Book Antiqua" w:cs="Times New Roman"/>
        </w:rPr>
        <w:t xml:space="preserve">. </w:t>
      </w:r>
      <w:r w:rsidR="00384CE8" w:rsidRPr="008A0130">
        <w:rPr>
          <w:rFonts w:ascii="Book Antiqua" w:eastAsia="Times New Roman" w:hAnsi="Book Antiqua" w:cs="Times New Roman"/>
        </w:rPr>
        <w:t xml:space="preserve">Recently, </w:t>
      </w:r>
      <w:r w:rsidR="00E84A4D" w:rsidRPr="008A0130">
        <w:rPr>
          <w:rFonts w:ascii="Book Antiqua" w:eastAsia="Times New Roman" w:hAnsi="Book Antiqua" w:cs="Times New Roman"/>
        </w:rPr>
        <w:t>it</w:t>
      </w:r>
      <w:r w:rsidR="00384CE8" w:rsidRPr="008A0130">
        <w:rPr>
          <w:rFonts w:ascii="Book Antiqua" w:eastAsia="Times New Roman" w:hAnsi="Book Antiqua" w:cs="Times New Roman"/>
        </w:rPr>
        <w:t xml:space="preserve"> was also confirmed that Salinomycin inhibits tumor growth by targeting preferably gastric CSCs, at least partially, </w:t>
      </w:r>
      <w:r w:rsidR="00384CE8" w:rsidRPr="008A0130">
        <w:rPr>
          <w:rFonts w:ascii="Book Antiqua" w:eastAsia="Times New Roman" w:hAnsi="Book Antiqua" w:cs="Times New Roman"/>
          <w:i/>
        </w:rPr>
        <w:t xml:space="preserve">via </w:t>
      </w:r>
      <w:r w:rsidR="00384CE8" w:rsidRPr="008A0130">
        <w:rPr>
          <w:rFonts w:ascii="Book Antiqua" w:eastAsia="Times New Roman" w:hAnsi="Book Antiqua" w:cs="Times New Roman"/>
        </w:rPr>
        <w:t xml:space="preserve">suppression of Wnt1 and </w:t>
      </w:r>
      <w:r w:rsidR="00F926B4" w:rsidRPr="008A0130">
        <w:rPr>
          <w:rFonts w:ascii="Book Antiqua" w:eastAsia="Times New Roman" w:hAnsi="Book Antiqua" w:cs="Times New Roman"/>
        </w:rPr>
        <w:t>β</w:t>
      </w:r>
      <w:r w:rsidR="00384CE8" w:rsidRPr="008A0130">
        <w:rPr>
          <w:rFonts w:ascii="Book Antiqua" w:eastAsia="Times New Roman" w:hAnsi="Book Antiqua" w:cs="Times New Roman"/>
        </w:rPr>
        <w:t xml:space="preserve">-catenin </w:t>
      </w:r>
      <w:proofErr w:type="gramStart"/>
      <w:r w:rsidR="00384CE8" w:rsidRPr="008A0130">
        <w:rPr>
          <w:rFonts w:ascii="Book Antiqua" w:eastAsia="Times New Roman" w:hAnsi="Book Antiqua" w:cs="Times New Roman"/>
        </w:rPr>
        <w:t>expression</w:t>
      </w:r>
      <w:r w:rsidR="000C24E3" w:rsidRPr="008A0130">
        <w:rPr>
          <w:rFonts w:ascii="Book Antiqua" w:hAnsi="Book Antiqua" w:cs="Times New Roman"/>
          <w:vertAlign w:val="superscript"/>
        </w:rPr>
        <w:t>[</w:t>
      </w:r>
      <w:proofErr w:type="gramEnd"/>
      <w:r w:rsidR="000C24E3" w:rsidRPr="008A0130">
        <w:rPr>
          <w:rFonts w:ascii="Book Antiqua" w:hAnsi="Book Antiqua" w:cs="Times New Roman"/>
          <w:vertAlign w:val="superscript"/>
        </w:rPr>
        <w:t>4</w:t>
      </w:r>
      <w:r w:rsidR="00E84BFB" w:rsidRPr="008A0130">
        <w:rPr>
          <w:rFonts w:ascii="Book Antiqua" w:hAnsi="Book Antiqua" w:cs="Times New Roman"/>
          <w:vertAlign w:val="superscript"/>
        </w:rPr>
        <w:t>7]</w:t>
      </w:r>
      <w:r w:rsidR="00B73BCB" w:rsidRPr="008A0130">
        <w:rPr>
          <w:rFonts w:ascii="Book Antiqua" w:eastAsia="Times New Roman" w:hAnsi="Book Antiqua" w:cs="Times New Roman"/>
        </w:rPr>
        <w:t>.</w:t>
      </w:r>
    </w:p>
    <w:p w14:paraId="32E2F98F" w14:textId="78EC5524" w:rsidR="004E023B" w:rsidRPr="008A0130" w:rsidRDefault="00E84BFB"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Zhang</w:t>
      </w:r>
      <w:r w:rsidRPr="008A0130">
        <w:rPr>
          <w:rFonts w:ascii="Book Antiqua" w:hAnsi="Book Antiqua" w:cs="Times New Roman"/>
          <w:i/>
        </w:rPr>
        <w:t xml:space="preserve"> et </w:t>
      </w:r>
      <w:proofErr w:type="gramStart"/>
      <w:r w:rsidRPr="008A0130">
        <w:rPr>
          <w:rFonts w:ascii="Book Antiqua"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243]</w:t>
      </w:r>
      <w:r w:rsidR="00037FDE" w:rsidRPr="008A0130">
        <w:rPr>
          <w:rFonts w:ascii="Book Antiqua" w:hAnsi="Book Antiqua" w:cs="Times New Roman"/>
        </w:rPr>
        <w:t xml:space="preserve"> examined t</w:t>
      </w:r>
      <w:r w:rsidR="00933D4B" w:rsidRPr="008A0130">
        <w:rPr>
          <w:rFonts w:ascii="Book Antiqua" w:hAnsi="Book Antiqua" w:cs="Times New Roman"/>
        </w:rPr>
        <w:t>he effect</w:t>
      </w:r>
      <w:r w:rsidR="004E023B" w:rsidRPr="008A0130">
        <w:rPr>
          <w:rFonts w:ascii="Book Antiqua" w:hAnsi="Book Antiqua" w:cs="Times New Roman"/>
        </w:rPr>
        <w:t>s</w:t>
      </w:r>
      <w:r w:rsidR="00933D4B" w:rsidRPr="008A0130">
        <w:rPr>
          <w:rFonts w:ascii="Book Antiqua" w:hAnsi="Book Antiqua" w:cs="Times New Roman"/>
        </w:rPr>
        <w:t xml:space="preserve"> </w:t>
      </w:r>
      <w:r w:rsidR="00596B3E" w:rsidRPr="008A0130">
        <w:rPr>
          <w:rFonts w:ascii="Book Antiqua" w:hAnsi="Book Antiqua" w:cs="Times New Roman"/>
        </w:rPr>
        <w:t xml:space="preserve">of acetyl-11-keto-beta-boswellic acid (AKBA) </w:t>
      </w:r>
      <w:r w:rsidR="008A0CE8" w:rsidRPr="008A0130">
        <w:rPr>
          <w:rFonts w:ascii="Book Antiqua" w:hAnsi="Book Antiqua" w:cs="Times New Roman"/>
        </w:rPr>
        <w:t xml:space="preserve">and </w:t>
      </w:r>
      <w:r w:rsidR="00596B3E" w:rsidRPr="008A0130">
        <w:rPr>
          <w:rFonts w:ascii="Book Antiqua" w:hAnsi="Book Antiqua" w:cs="Times New Roman"/>
        </w:rPr>
        <w:t xml:space="preserve">its </w:t>
      </w:r>
      <w:r w:rsidR="008A0CE8" w:rsidRPr="008A0130">
        <w:rPr>
          <w:rFonts w:ascii="Book Antiqua" w:hAnsi="Book Antiqua" w:cs="Times New Roman"/>
        </w:rPr>
        <w:t xml:space="preserve">underlying molecular mechanisms </w:t>
      </w:r>
      <w:r w:rsidR="004E023B" w:rsidRPr="008A0130">
        <w:rPr>
          <w:rFonts w:ascii="Book Antiqua" w:hAnsi="Book Antiqua" w:cs="Times New Roman"/>
        </w:rPr>
        <w:t>on human gastric carcinoma</w:t>
      </w:r>
      <w:r w:rsidR="00596B3E" w:rsidRPr="008A0130">
        <w:rPr>
          <w:rFonts w:ascii="Book Antiqua" w:hAnsi="Book Antiqua" w:cs="Times New Roman"/>
        </w:rPr>
        <w:t>. AKBA</w:t>
      </w:r>
      <w:r w:rsidR="00933D4B" w:rsidRPr="008A0130">
        <w:rPr>
          <w:rFonts w:ascii="Book Antiqua" w:hAnsi="Book Antiqua" w:cs="Times New Roman"/>
        </w:rPr>
        <w:t xml:space="preserve"> is an active component of </w:t>
      </w:r>
      <w:r w:rsidR="00E84A4D" w:rsidRPr="008A0130">
        <w:rPr>
          <w:rFonts w:ascii="Book Antiqua" w:hAnsi="Book Antiqua" w:cs="Times New Roman"/>
        </w:rPr>
        <w:t xml:space="preserve">the </w:t>
      </w:r>
      <w:r w:rsidR="00933D4B" w:rsidRPr="008A0130">
        <w:rPr>
          <w:rFonts w:ascii="Book Antiqua" w:hAnsi="Book Antiqua" w:cs="Times New Roman"/>
          <w:i/>
        </w:rPr>
        <w:t>Boswellia serrata</w:t>
      </w:r>
      <w:r w:rsidR="00933D4B" w:rsidRPr="008A0130">
        <w:rPr>
          <w:rFonts w:ascii="Book Antiqua" w:hAnsi="Book Antiqua" w:cs="Times New Roman"/>
        </w:rPr>
        <w:t xml:space="preserve"> gum </w:t>
      </w:r>
      <w:proofErr w:type="gramStart"/>
      <w:r w:rsidR="00933D4B" w:rsidRPr="008A0130">
        <w:rPr>
          <w:rFonts w:ascii="Book Antiqua" w:hAnsi="Book Antiqua" w:cs="Times New Roman"/>
        </w:rPr>
        <w:t>resin</w:t>
      </w:r>
      <w:r w:rsidR="00AB257A" w:rsidRPr="008A0130">
        <w:rPr>
          <w:rFonts w:ascii="Book Antiqua" w:hAnsi="Book Antiqua" w:cs="Times New Roman"/>
          <w:vertAlign w:val="superscript"/>
        </w:rPr>
        <w:t>[</w:t>
      </w:r>
      <w:proofErr w:type="gramEnd"/>
      <w:r w:rsidR="00AB257A" w:rsidRPr="008A0130">
        <w:rPr>
          <w:rFonts w:ascii="Book Antiqua" w:hAnsi="Book Antiqua" w:cs="Times New Roman"/>
          <w:vertAlign w:val="superscript"/>
        </w:rPr>
        <w:t>243</w:t>
      </w:r>
      <w:r w:rsidRPr="008A0130">
        <w:rPr>
          <w:rFonts w:ascii="Book Antiqua" w:hAnsi="Book Antiqua" w:cs="Times New Roman"/>
          <w:vertAlign w:val="superscript"/>
        </w:rPr>
        <w:t>,</w:t>
      </w:r>
      <w:r w:rsidR="00AB257A" w:rsidRPr="008A0130">
        <w:rPr>
          <w:rFonts w:ascii="Book Antiqua" w:hAnsi="Book Antiqua" w:cs="Times New Roman"/>
          <w:vertAlign w:val="superscript"/>
        </w:rPr>
        <w:t>244</w:t>
      </w:r>
      <w:r w:rsidRPr="008A0130">
        <w:rPr>
          <w:rFonts w:ascii="Book Antiqua" w:hAnsi="Book Antiqua" w:cs="Times New Roman"/>
          <w:vertAlign w:val="superscript"/>
        </w:rPr>
        <w:t>]</w:t>
      </w:r>
      <w:r w:rsidR="00037FDE" w:rsidRPr="008A0130">
        <w:rPr>
          <w:rFonts w:ascii="Book Antiqua" w:hAnsi="Book Antiqua" w:cs="Times New Roman"/>
        </w:rPr>
        <w:t>.</w:t>
      </w:r>
      <w:r w:rsidR="008A0CE8" w:rsidRPr="008A0130">
        <w:rPr>
          <w:rFonts w:ascii="Book Antiqua" w:hAnsi="Book Antiqua" w:cs="Times New Roman"/>
        </w:rPr>
        <w:t xml:space="preserve"> </w:t>
      </w:r>
      <w:r w:rsidR="00037FDE" w:rsidRPr="008A0130">
        <w:rPr>
          <w:rFonts w:ascii="Book Antiqua" w:hAnsi="Book Antiqua" w:cs="Times New Roman"/>
        </w:rPr>
        <w:t>In this study, AKBA significantly inhibited human gastric cancer growth without toxicity. This effect was attributed, among other mechanisms, to induction of apoptosis and modulation of the Wnt/ß-catenin signaling pathway</w:t>
      </w:r>
      <w:r w:rsidR="00E26C69" w:rsidRPr="008A0130">
        <w:rPr>
          <w:rFonts w:ascii="Book Antiqua" w:hAnsi="Book Antiqua" w:cs="Times New Roman"/>
        </w:rPr>
        <w:t>.</w:t>
      </w:r>
    </w:p>
    <w:p w14:paraId="1788D8E0" w14:textId="5A11962B" w:rsidR="008C04CA" w:rsidRPr="008A0130" w:rsidRDefault="00B83B0C"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N</w:t>
      </w:r>
      <w:r w:rsidR="001D73CA" w:rsidRPr="008A0130">
        <w:rPr>
          <w:rFonts w:ascii="Book Antiqua" w:hAnsi="Book Antiqua" w:cs="Times New Roman"/>
        </w:rPr>
        <w:t xml:space="preserve">atural products </w:t>
      </w:r>
      <w:r w:rsidRPr="008A0130">
        <w:rPr>
          <w:rFonts w:ascii="Book Antiqua" w:hAnsi="Book Antiqua" w:cs="Times New Roman"/>
        </w:rPr>
        <w:t xml:space="preserve">involving downregulation of the </w:t>
      </w:r>
      <w:r w:rsidRPr="008A0130">
        <w:rPr>
          <w:rFonts w:ascii="Book Antiqua" w:eastAsia="Times New Roman" w:hAnsi="Book Antiqua" w:cs="Times New Roman"/>
        </w:rPr>
        <w:t xml:space="preserve">Wnt/ß-catenin </w:t>
      </w:r>
      <w:r w:rsidRPr="008A0130">
        <w:rPr>
          <w:rFonts w:ascii="Book Antiqua" w:hAnsi="Book Antiqua" w:cs="Times New Roman"/>
        </w:rPr>
        <w:t xml:space="preserve">signaling pathway </w:t>
      </w:r>
      <w:r w:rsidR="00037FDE" w:rsidRPr="008A0130">
        <w:rPr>
          <w:rFonts w:ascii="Book Antiqua" w:hAnsi="Book Antiqua" w:cs="Times New Roman"/>
        </w:rPr>
        <w:t xml:space="preserve">have also shown antitumor effects </w:t>
      </w:r>
      <w:r w:rsidR="001D73CA" w:rsidRPr="008A0130">
        <w:rPr>
          <w:rFonts w:ascii="Book Antiqua" w:hAnsi="Book Antiqua" w:cs="Times New Roman"/>
        </w:rPr>
        <w:t>against</w:t>
      </w:r>
      <w:r w:rsidR="009972BB" w:rsidRPr="008A0130">
        <w:rPr>
          <w:rFonts w:ascii="Book Antiqua" w:hAnsi="Book Antiqua" w:cs="Times New Roman"/>
        </w:rPr>
        <w:t xml:space="preserve"> gastric</w:t>
      </w:r>
      <w:r w:rsidR="001D73CA" w:rsidRPr="008A0130">
        <w:rPr>
          <w:rFonts w:ascii="Book Antiqua" w:hAnsi="Book Antiqua" w:cs="Times New Roman"/>
        </w:rPr>
        <w:t xml:space="preserve"> </w:t>
      </w:r>
      <w:r w:rsidR="008C04CA" w:rsidRPr="008A0130">
        <w:rPr>
          <w:rFonts w:ascii="Book Antiqua" w:hAnsi="Book Antiqua" w:cs="Times New Roman"/>
        </w:rPr>
        <w:t>cancer, such</w:t>
      </w:r>
      <w:r w:rsidRPr="008A0130">
        <w:rPr>
          <w:rFonts w:ascii="Book Antiqua" w:hAnsi="Book Antiqua" w:cs="Times New Roman"/>
        </w:rPr>
        <w:t xml:space="preserve"> as </w:t>
      </w:r>
      <w:r w:rsidR="00EE252D" w:rsidRPr="008A0130">
        <w:rPr>
          <w:rFonts w:ascii="Book Antiqua" w:hAnsi="Book Antiqua" w:cs="Times New Roman"/>
        </w:rPr>
        <w:t>γ-</w:t>
      </w:r>
      <w:r w:rsidRPr="008A0130">
        <w:rPr>
          <w:rFonts w:ascii="Book Antiqua" w:hAnsi="Book Antiqua" w:cs="Times New Roman"/>
        </w:rPr>
        <w:t>tocotrienol, flavanone,</w:t>
      </w:r>
      <w:r w:rsidR="008C04CA" w:rsidRPr="008A0130">
        <w:rPr>
          <w:rFonts w:ascii="Book Antiqua" w:hAnsi="Book Antiqua" w:cs="Times New Roman"/>
        </w:rPr>
        <w:t xml:space="preserve"> </w:t>
      </w:r>
      <w:r w:rsidR="008C04CA" w:rsidRPr="008A0130">
        <w:rPr>
          <w:rFonts w:ascii="Book Antiqua" w:hAnsi="Book Antiqua" w:cs="Times New Roman"/>
          <w:i/>
          <w:iCs/>
        </w:rPr>
        <w:t xml:space="preserve">Capsosiphon fulvescens </w:t>
      </w:r>
      <w:r w:rsidR="008C04CA" w:rsidRPr="008A0130">
        <w:rPr>
          <w:rFonts w:ascii="Book Antiqua" w:hAnsi="Book Antiqua" w:cs="Times New Roman"/>
        </w:rPr>
        <w:t>glycoprotein (Cf-GP)</w:t>
      </w:r>
      <w:r w:rsidRPr="008A0130">
        <w:rPr>
          <w:rFonts w:ascii="Book Antiqua" w:hAnsi="Book Antiqua" w:cs="Times New Roman"/>
        </w:rPr>
        <w:t xml:space="preserve"> and </w:t>
      </w:r>
      <w:proofErr w:type="gramStart"/>
      <w:r w:rsidRPr="008A0130">
        <w:rPr>
          <w:rFonts w:ascii="Book Antiqua" w:hAnsi="Book Antiqua" w:cs="Times New Roman"/>
        </w:rPr>
        <w:t>diphyllin</w:t>
      </w:r>
      <w:r w:rsidR="00E84BFB" w:rsidRPr="008A0130">
        <w:rPr>
          <w:rFonts w:ascii="Book Antiqua" w:hAnsi="Book Antiqua" w:cs="Times New Roman"/>
          <w:vertAlign w:val="superscript"/>
        </w:rPr>
        <w:t>[</w:t>
      </w:r>
      <w:proofErr w:type="gramEnd"/>
      <w:r w:rsidR="00B21674" w:rsidRPr="008A0130">
        <w:rPr>
          <w:rFonts w:ascii="Book Antiqua" w:hAnsi="Book Antiqua" w:cs="Times New Roman"/>
          <w:vertAlign w:val="superscript"/>
        </w:rPr>
        <w:t>245-248</w:t>
      </w:r>
      <w:r w:rsidR="00E84BFB" w:rsidRPr="008A0130">
        <w:rPr>
          <w:rFonts w:ascii="Book Antiqua" w:hAnsi="Book Antiqua" w:cs="Times New Roman"/>
          <w:vertAlign w:val="superscript"/>
        </w:rPr>
        <w:t>]</w:t>
      </w:r>
      <w:r w:rsidR="008C04CA" w:rsidRPr="008A0130">
        <w:rPr>
          <w:rFonts w:ascii="Book Antiqua" w:hAnsi="Book Antiqua" w:cs="Times New Roman"/>
        </w:rPr>
        <w:t>.</w:t>
      </w:r>
      <w:r w:rsidRPr="008A0130">
        <w:rPr>
          <w:rFonts w:ascii="Book Antiqua" w:hAnsi="Book Antiqua" w:cs="Times New Roman"/>
        </w:rPr>
        <w:t xml:space="preserve"> Diphyllin is a cytostatic lignan isolated from </w:t>
      </w:r>
      <w:r w:rsidRPr="008A0130">
        <w:rPr>
          <w:rFonts w:ascii="Book Antiqua" w:hAnsi="Book Antiqua" w:cs="Times New Roman"/>
          <w:i/>
        </w:rPr>
        <w:t>Cleistanthus collinus</w:t>
      </w:r>
      <w:r w:rsidR="00AC6BDF" w:rsidRPr="008A0130">
        <w:rPr>
          <w:rFonts w:ascii="Book Antiqua" w:hAnsi="Book Antiqua" w:cs="Times New Roman"/>
        </w:rPr>
        <w:t xml:space="preserve"> that </w:t>
      </w:r>
      <w:r w:rsidRPr="008A0130">
        <w:rPr>
          <w:rFonts w:ascii="Book Antiqua" w:hAnsi="Book Antiqua" w:cs="Times New Roman"/>
        </w:rPr>
        <w:t>potently inhibit</w:t>
      </w:r>
      <w:r w:rsidR="00AC6BDF" w:rsidRPr="008A0130">
        <w:rPr>
          <w:rFonts w:ascii="Book Antiqua" w:hAnsi="Book Antiqua" w:cs="Times New Roman"/>
        </w:rPr>
        <w:t>s</w:t>
      </w:r>
      <w:r w:rsidRPr="008A0130">
        <w:rPr>
          <w:rFonts w:ascii="Book Antiqua" w:hAnsi="Book Antiqua" w:cs="Times New Roman"/>
        </w:rPr>
        <w:t xml:space="preserve"> V-ATPases involved in Wnt/ß-catenin </w:t>
      </w:r>
      <w:proofErr w:type="gramStart"/>
      <w:r w:rsidRPr="008A0130">
        <w:rPr>
          <w:rFonts w:ascii="Book Antiqua" w:hAnsi="Book Antiqua" w:cs="Times New Roman"/>
        </w:rPr>
        <w:t>signaling</w:t>
      </w:r>
      <w:r w:rsidR="00B21674" w:rsidRPr="008A0130">
        <w:rPr>
          <w:rFonts w:ascii="Book Antiqua" w:hAnsi="Book Antiqua" w:cs="Times New Roman"/>
          <w:vertAlign w:val="superscript"/>
        </w:rPr>
        <w:t>[</w:t>
      </w:r>
      <w:proofErr w:type="gramEnd"/>
      <w:r w:rsidR="00B21674" w:rsidRPr="008A0130">
        <w:rPr>
          <w:rFonts w:ascii="Book Antiqua" w:hAnsi="Book Antiqua" w:cs="Times New Roman"/>
          <w:vertAlign w:val="superscript"/>
        </w:rPr>
        <w:t>245</w:t>
      </w:r>
      <w:r w:rsidRPr="008A0130">
        <w:rPr>
          <w:rFonts w:ascii="Book Antiqua" w:hAnsi="Book Antiqua" w:cs="Times New Roman"/>
          <w:vertAlign w:val="superscript"/>
        </w:rPr>
        <w:t>,</w:t>
      </w:r>
      <w:r w:rsidR="00B21674" w:rsidRPr="008A0130">
        <w:rPr>
          <w:rFonts w:ascii="Book Antiqua" w:hAnsi="Book Antiqua" w:cs="Times New Roman"/>
          <w:vertAlign w:val="superscript"/>
        </w:rPr>
        <w:t>249</w:t>
      </w:r>
      <w:r w:rsidRPr="008A0130">
        <w:rPr>
          <w:rFonts w:ascii="Book Antiqua" w:hAnsi="Book Antiqua" w:cs="Times New Roman"/>
          <w:vertAlign w:val="superscript"/>
        </w:rPr>
        <w:t>]</w:t>
      </w:r>
      <w:r w:rsidRPr="008A0130">
        <w:rPr>
          <w:rFonts w:ascii="Book Antiqua" w:hAnsi="Book Antiqua" w:cs="Times New Roman"/>
        </w:rPr>
        <w:t xml:space="preserve">. Shen </w:t>
      </w:r>
      <w:r w:rsidR="00950BD5" w:rsidRPr="008A0130">
        <w:rPr>
          <w:rFonts w:ascii="Book Antiqua" w:hAnsi="Book Antiqua" w:cs="Times New Roman"/>
          <w:i/>
        </w:rPr>
        <w:t xml:space="preserve">et </w:t>
      </w:r>
      <w:proofErr w:type="gramStart"/>
      <w:r w:rsidR="00950BD5" w:rsidRPr="008A0130">
        <w:rPr>
          <w:rFonts w:ascii="Book Antiqua"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245]</w:t>
      </w:r>
      <w:r w:rsidRPr="008A0130">
        <w:rPr>
          <w:rFonts w:ascii="Book Antiqua" w:hAnsi="Book Antiqua" w:cs="Times New Roman"/>
        </w:rPr>
        <w:t xml:space="preserve"> observed in gastric carcinoma treated with diphyllin a decrease in phospho-LRP6, but not in LRP6, accompanied by reduction of ß-catenin levels and the expression of its target genes associated with the inhibition of V-ATPase. LRP6 phosphorylation is accompanied by receptor internalization in caveolin-containing vesicles and endocytosis, which is essential for Wnt/ß-catenin </w:t>
      </w:r>
      <w:proofErr w:type="gramStart"/>
      <w:r w:rsidRPr="008A0130">
        <w:rPr>
          <w:rFonts w:ascii="Book Antiqua" w:hAnsi="Book Antiqua" w:cs="Times New Roman"/>
        </w:rPr>
        <w:t>signaling</w:t>
      </w:r>
      <w:r w:rsidR="00B21674" w:rsidRPr="008A0130">
        <w:rPr>
          <w:rFonts w:ascii="Book Antiqua" w:hAnsi="Book Antiqua" w:cs="Times New Roman"/>
          <w:vertAlign w:val="superscript"/>
        </w:rPr>
        <w:t>[</w:t>
      </w:r>
      <w:proofErr w:type="gramEnd"/>
      <w:r w:rsidR="00B21674" w:rsidRPr="008A0130">
        <w:rPr>
          <w:rFonts w:ascii="Book Antiqua" w:hAnsi="Book Antiqua" w:cs="Times New Roman"/>
          <w:vertAlign w:val="superscript"/>
        </w:rPr>
        <w:t>250</w:t>
      </w:r>
      <w:r w:rsidRPr="008A0130">
        <w:rPr>
          <w:rFonts w:ascii="Book Antiqua" w:hAnsi="Book Antiqua" w:cs="Times New Roman"/>
          <w:vertAlign w:val="superscript"/>
        </w:rPr>
        <w:t>]</w:t>
      </w:r>
      <w:r w:rsidRPr="008A0130">
        <w:rPr>
          <w:rFonts w:ascii="Book Antiqua" w:hAnsi="Book Antiqua" w:cs="Times New Roman"/>
        </w:rPr>
        <w:t>.</w:t>
      </w:r>
    </w:p>
    <w:p w14:paraId="28F518EF" w14:textId="584C94A0" w:rsidR="00DF677C" w:rsidRPr="008A0130" w:rsidRDefault="00E84BFB"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eastAsia="Times New Roman" w:hAnsi="Book Antiqua" w:cs="Times New Roman"/>
        </w:rPr>
        <w:t xml:space="preserve">Yao </w:t>
      </w:r>
      <w:r w:rsidRPr="008A0130">
        <w:rPr>
          <w:rFonts w:ascii="Book Antiqua" w:eastAsia="Times New Roman" w:hAnsi="Book Antiqua" w:cs="Times New Roman"/>
          <w:i/>
        </w:rPr>
        <w:t xml:space="preserve">et </w:t>
      </w:r>
      <w:proofErr w:type="gramStart"/>
      <w:r w:rsidRPr="008A0130">
        <w:rPr>
          <w:rFonts w:ascii="Book Antiqua" w:eastAsia="Times New Roman"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251]</w:t>
      </w:r>
      <w:r w:rsidRPr="008A0130">
        <w:rPr>
          <w:rFonts w:ascii="Book Antiqua" w:eastAsia="Times New Roman" w:hAnsi="Book Antiqua" w:cs="Times New Roman"/>
        </w:rPr>
        <w:t xml:space="preserve"> </w:t>
      </w:r>
      <w:r w:rsidR="00DF677C" w:rsidRPr="008A0130">
        <w:rPr>
          <w:rFonts w:ascii="Book Antiqua" w:eastAsia="Times New Roman" w:hAnsi="Book Antiqua" w:cs="Times New Roman"/>
        </w:rPr>
        <w:t xml:space="preserve">observed that the </w:t>
      </w:r>
      <w:r w:rsidR="00B73BCB" w:rsidRPr="008A0130">
        <w:rPr>
          <w:rFonts w:ascii="Book Antiqua" w:eastAsia="Times New Roman" w:hAnsi="Book Antiqua" w:cs="Times New Roman"/>
        </w:rPr>
        <w:t>c</w:t>
      </w:r>
      <w:r w:rsidR="00DF677C" w:rsidRPr="008A0130">
        <w:rPr>
          <w:rFonts w:ascii="Book Antiqua" w:eastAsia="Times New Roman" w:hAnsi="Book Antiqua" w:cs="Times New Roman"/>
        </w:rPr>
        <w:t>ombined</w:t>
      </w:r>
      <w:r w:rsidR="00B73BCB" w:rsidRPr="008A0130">
        <w:rPr>
          <w:rFonts w:ascii="Book Antiqua" w:eastAsia="Times New Roman" w:hAnsi="Book Antiqua" w:cs="Times New Roman"/>
        </w:rPr>
        <w:t xml:space="preserve"> treatment </w:t>
      </w:r>
      <w:r w:rsidR="00DF677C" w:rsidRPr="008A0130">
        <w:rPr>
          <w:rFonts w:ascii="Book Antiqua" w:eastAsia="Times New Roman" w:hAnsi="Book Antiqua" w:cs="Times New Roman"/>
        </w:rPr>
        <w:t xml:space="preserve">with </w:t>
      </w:r>
      <w:r w:rsidR="00B73BCB" w:rsidRPr="008A0130">
        <w:rPr>
          <w:rFonts w:ascii="Book Antiqua" w:eastAsia="Times New Roman" w:hAnsi="Book Antiqua" w:cs="Times New Roman"/>
        </w:rPr>
        <w:t>the ERK1/2 inhibitor PD98059 and</w:t>
      </w:r>
      <w:r w:rsidR="00DF677C" w:rsidRPr="008A0130">
        <w:rPr>
          <w:rFonts w:ascii="Book Antiqua" w:eastAsia="Times New Roman" w:hAnsi="Book Antiqua" w:cs="Times New Roman"/>
        </w:rPr>
        <w:t xml:space="preserve"> the </w:t>
      </w:r>
      <w:r w:rsidR="00EE252D" w:rsidRPr="008A0130">
        <w:rPr>
          <w:rFonts w:ascii="Book Antiqua" w:hAnsi="Book Antiqua" w:cs="Times New Roman"/>
        </w:rPr>
        <w:t>γ-</w:t>
      </w:r>
      <w:r w:rsidR="00DF677C" w:rsidRPr="008A0130">
        <w:rPr>
          <w:rFonts w:ascii="Book Antiqua" w:hAnsi="Book Antiqua" w:cs="Times New Roman"/>
        </w:rPr>
        <w:t>-secretase inhibitor</w:t>
      </w:r>
      <w:r w:rsidR="00B73BCB" w:rsidRPr="008A0130">
        <w:rPr>
          <w:rFonts w:ascii="Book Antiqua" w:eastAsia="Times New Roman" w:hAnsi="Book Antiqua" w:cs="Times New Roman"/>
        </w:rPr>
        <w:t xml:space="preserve"> DAPT in gastric cancer </w:t>
      </w:r>
      <w:r w:rsidR="00DF677C" w:rsidRPr="008A0130">
        <w:rPr>
          <w:rFonts w:ascii="Book Antiqua" w:eastAsia="Times New Roman" w:hAnsi="Book Antiqua" w:cs="Times New Roman"/>
        </w:rPr>
        <w:t>originated</w:t>
      </w:r>
      <w:r w:rsidR="00B73BCB" w:rsidRPr="008A0130">
        <w:rPr>
          <w:rFonts w:ascii="Book Antiqua" w:eastAsia="Times New Roman" w:hAnsi="Book Antiqua" w:cs="Times New Roman"/>
        </w:rPr>
        <w:t xml:space="preserve"> induction of apoptosis and </w:t>
      </w:r>
      <w:r w:rsidR="00DF677C" w:rsidRPr="008A0130">
        <w:rPr>
          <w:rFonts w:ascii="Book Antiqua" w:hAnsi="Book Antiqua" w:cs="Times New Roman"/>
        </w:rPr>
        <w:t xml:space="preserve">regulation of </w:t>
      </w:r>
      <w:r w:rsidR="00F926B4" w:rsidRPr="008A0130">
        <w:rPr>
          <w:rFonts w:ascii="Book Antiqua" w:hAnsi="Book Antiqua" w:cs="Times New Roman"/>
        </w:rPr>
        <w:t>β</w:t>
      </w:r>
      <w:r w:rsidR="00DF677C" w:rsidRPr="008A0130">
        <w:rPr>
          <w:rFonts w:ascii="Book Antiqua" w:hAnsi="Book Antiqua" w:cs="Times New Roman"/>
        </w:rPr>
        <w:t>-catenin, c</w:t>
      </w:r>
      <w:r w:rsidR="00BF52CE" w:rsidRPr="008A0130">
        <w:rPr>
          <w:rFonts w:ascii="Book Antiqua" w:hAnsi="Book Antiqua" w:cs="Times New Roman"/>
        </w:rPr>
        <w:t>-M</w:t>
      </w:r>
      <w:r w:rsidR="00DF677C" w:rsidRPr="008A0130">
        <w:rPr>
          <w:rFonts w:ascii="Book Antiqua" w:hAnsi="Book Antiqua" w:cs="Times New Roman"/>
        </w:rPr>
        <w:t xml:space="preserve">yc, and cyclin D1. </w:t>
      </w:r>
      <w:r w:rsidR="006B46BA" w:rsidRPr="008A0130">
        <w:rPr>
          <w:rFonts w:ascii="Book Antiqua" w:hAnsi="Book Antiqua" w:cs="Times New Roman"/>
        </w:rPr>
        <w:t>A</w:t>
      </w:r>
      <w:r w:rsidR="00037FDE" w:rsidRPr="008A0130">
        <w:rPr>
          <w:rFonts w:ascii="Book Antiqua" w:hAnsi="Book Antiqua" w:cs="Times New Roman"/>
        </w:rPr>
        <w:t xml:space="preserve">lthough </w:t>
      </w:r>
      <w:r w:rsidR="006B46BA" w:rsidRPr="008A0130">
        <w:rPr>
          <w:rFonts w:ascii="Book Antiqua" w:eastAsia="Times New Roman" w:hAnsi="Book Antiqua" w:cs="Times New Roman"/>
        </w:rPr>
        <w:t>this combined treatment</w:t>
      </w:r>
      <w:r w:rsidR="00037FDE" w:rsidRPr="008A0130">
        <w:rPr>
          <w:rFonts w:ascii="Book Antiqua" w:eastAsia="Times New Roman" w:hAnsi="Book Antiqua" w:cs="Times New Roman"/>
        </w:rPr>
        <w:t xml:space="preserve"> </w:t>
      </w:r>
      <w:r w:rsidR="00037FDE" w:rsidRPr="008A0130">
        <w:rPr>
          <w:rFonts w:ascii="Book Antiqua" w:hAnsi="Book Antiqua" w:cs="Times New Roman"/>
        </w:rPr>
        <w:t xml:space="preserve">results in </w:t>
      </w:r>
      <w:r w:rsidR="006B46BA" w:rsidRPr="008A0130">
        <w:rPr>
          <w:rFonts w:ascii="Book Antiqua" w:hAnsi="Book Antiqua" w:cs="Times New Roman"/>
        </w:rPr>
        <w:t xml:space="preserve">a </w:t>
      </w:r>
      <w:r w:rsidR="00037FDE" w:rsidRPr="008A0130">
        <w:rPr>
          <w:rFonts w:ascii="Book Antiqua" w:hAnsi="Book Antiqua" w:cs="Times New Roman"/>
        </w:rPr>
        <w:t xml:space="preserve">dramatically increased cytotoxicity </w:t>
      </w:r>
      <w:r w:rsidR="006B46BA" w:rsidRPr="008A0130">
        <w:rPr>
          <w:rFonts w:ascii="Book Antiqua" w:hAnsi="Book Antiqua" w:cs="Times New Roman"/>
        </w:rPr>
        <w:t xml:space="preserve">compared to that </w:t>
      </w:r>
      <w:r w:rsidR="00037FDE" w:rsidRPr="008A0130">
        <w:rPr>
          <w:rFonts w:ascii="Book Antiqua" w:hAnsi="Book Antiqua" w:cs="Times New Roman"/>
        </w:rPr>
        <w:t xml:space="preserve">observed with </w:t>
      </w:r>
      <w:r w:rsidR="006B46BA" w:rsidRPr="008A0130">
        <w:rPr>
          <w:rFonts w:ascii="Book Antiqua" w:hAnsi="Book Antiqua" w:cs="Times New Roman"/>
        </w:rPr>
        <w:t>any of the drugs alone</w:t>
      </w:r>
      <w:r w:rsidR="00037FDE" w:rsidRPr="008A0130">
        <w:rPr>
          <w:rFonts w:ascii="Book Antiqua" w:hAnsi="Book Antiqua" w:cs="Times New Roman"/>
        </w:rPr>
        <w:t xml:space="preserve">, </w:t>
      </w:r>
      <w:r w:rsidR="00DF677C" w:rsidRPr="008A0130">
        <w:rPr>
          <w:rFonts w:ascii="Book Antiqua" w:hAnsi="Book Antiqua" w:cs="Times New Roman"/>
        </w:rPr>
        <w:t xml:space="preserve">the exact mechanism by which these two </w:t>
      </w:r>
      <w:r w:rsidR="006B46BA" w:rsidRPr="008A0130">
        <w:rPr>
          <w:rFonts w:ascii="Book Antiqua" w:hAnsi="Book Antiqua" w:cs="Times New Roman"/>
        </w:rPr>
        <w:t>agents</w:t>
      </w:r>
      <w:r w:rsidR="00DF677C" w:rsidRPr="008A0130">
        <w:rPr>
          <w:rFonts w:ascii="Book Antiqua" w:hAnsi="Book Antiqua" w:cs="Times New Roman"/>
        </w:rPr>
        <w:t xml:space="preserve"> act together to downregulate </w:t>
      </w:r>
      <w:r w:rsidR="00DF677C" w:rsidRPr="008A0130">
        <w:rPr>
          <w:rFonts w:ascii="Book Antiqua" w:eastAsia="Times New Roman" w:hAnsi="Book Antiqua" w:cs="Times New Roman"/>
        </w:rPr>
        <w:t>Wnt/ß-catenin signaling pathway remains unknown.</w:t>
      </w:r>
      <w:r w:rsidR="00DF677C" w:rsidRPr="008A0130">
        <w:rPr>
          <w:rFonts w:ascii="Book Antiqua" w:hAnsi="Book Antiqua" w:cs="Times New Roman"/>
        </w:rPr>
        <w:t xml:space="preserve"> </w:t>
      </w:r>
    </w:p>
    <w:p w14:paraId="524FD53F" w14:textId="6B0766E6" w:rsidR="00DB564B" w:rsidRPr="008A0130" w:rsidRDefault="009F7590"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lastRenderedPageBreak/>
        <w:t>A</w:t>
      </w:r>
      <w:r w:rsidR="00BD1408" w:rsidRPr="008A0130">
        <w:rPr>
          <w:rFonts w:ascii="Book Antiqua" w:hAnsi="Book Antiqua" w:cs="Times New Roman"/>
        </w:rPr>
        <w:t xml:space="preserve">nti-metastatic activity </w:t>
      </w:r>
      <w:r w:rsidR="006B46BA" w:rsidRPr="008A0130">
        <w:rPr>
          <w:rFonts w:ascii="Book Antiqua" w:hAnsi="Book Antiqua" w:cs="Times New Roman"/>
        </w:rPr>
        <w:t xml:space="preserve">resulting </w:t>
      </w:r>
      <w:r w:rsidR="00BD1408" w:rsidRPr="008A0130">
        <w:rPr>
          <w:rFonts w:ascii="Book Antiqua" w:hAnsi="Book Antiqua" w:cs="Times New Roman"/>
        </w:rPr>
        <w:t>from disruption of Wnt/</w:t>
      </w:r>
      <w:r w:rsidR="00F926B4" w:rsidRPr="008A0130">
        <w:rPr>
          <w:rFonts w:ascii="Book Antiqua" w:hAnsi="Book Antiqua" w:cs="Times New Roman"/>
        </w:rPr>
        <w:t>β</w:t>
      </w:r>
      <w:r w:rsidR="00020CF8" w:rsidRPr="008A0130">
        <w:rPr>
          <w:rFonts w:ascii="Book Antiqua" w:hAnsi="Book Antiqua" w:cs="Times New Roman"/>
        </w:rPr>
        <w:t>-catenin path</w:t>
      </w:r>
      <w:r w:rsidR="00BD1408" w:rsidRPr="008A0130">
        <w:rPr>
          <w:rFonts w:ascii="Book Antiqua" w:hAnsi="Book Antiqua" w:cs="Times New Roman"/>
        </w:rPr>
        <w:t xml:space="preserve">way </w:t>
      </w:r>
      <w:r w:rsidR="00AC6BDF" w:rsidRPr="008A0130">
        <w:rPr>
          <w:rFonts w:ascii="Book Antiqua" w:hAnsi="Book Antiqua" w:cs="Times New Roman"/>
        </w:rPr>
        <w:t>was</w:t>
      </w:r>
      <w:r w:rsidRPr="008A0130">
        <w:rPr>
          <w:rFonts w:ascii="Book Antiqua" w:hAnsi="Book Antiqua" w:cs="Times New Roman"/>
        </w:rPr>
        <w:t xml:space="preserve"> </w:t>
      </w:r>
      <w:r w:rsidR="00BD1408" w:rsidRPr="008A0130">
        <w:rPr>
          <w:rFonts w:ascii="Book Antiqua" w:hAnsi="Book Antiqua" w:cs="Times New Roman"/>
        </w:rPr>
        <w:t xml:space="preserve">recently reported in gastric cancer cells </w:t>
      </w:r>
      <w:r w:rsidR="00E84BFB" w:rsidRPr="008A0130">
        <w:rPr>
          <w:rFonts w:ascii="Book Antiqua" w:hAnsi="Book Antiqua" w:cs="Times New Roman"/>
        </w:rPr>
        <w:t xml:space="preserve">by Hanaki </w:t>
      </w:r>
      <w:r w:rsidR="00950BD5" w:rsidRPr="008A0130">
        <w:rPr>
          <w:rFonts w:ascii="Book Antiqua" w:hAnsi="Book Antiqua" w:cs="Times New Roman"/>
          <w:i/>
        </w:rPr>
        <w:t xml:space="preserve">et </w:t>
      </w:r>
      <w:proofErr w:type="gramStart"/>
      <w:r w:rsidR="00950BD5" w:rsidRPr="008A0130">
        <w:rPr>
          <w:rFonts w:ascii="Book Antiqua"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196]</w:t>
      </w:r>
      <w:r w:rsidR="00E84BFB" w:rsidRPr="008A0130">
        <w:rPr>
          <w:rFonts w:ascii="Book Antiqua" w:hAnsi="Book Antiqua" w:cs="Times New Roman"/>
        </w:rPr>
        <w:t xml:space="preserve"> </w:t>
      </w:r>
      <w:r w:rsidR="00BD1408" w:rsidRPr="008A0130">
        <w:rPr>
          <w:rFonts w:ascii="Book Antiqua" w:hAnsi="Book Antiqua" w:cs="Times New Roman"/>
        </w:rPr>
        <w:t>using anti-Wnt</w:t>
      </w:r>
      <w:r w:rsidR="00020CF8" w:rsidRPr="008A0130">
        <w:rPr>
          <w:rFonts w:ascii="Book Antiqua" w:hAnsi="Book Antiqua" w:cs="Times New Roman"/>
        </w:rPr>
        <w:t>-</w:t>
      </w:r>
      <w:r w:rsidR="00BD1408" w:rsidRPr="008A0130">
        <w:rPr>
          <w:rFonts w:ascii="Book Antiqua" w:hAnsi="Book Antiqua" w:cs="Times New Roman"/>
        </w:rPr>
        <w:t>5a polyclonal antibody.</w:t>
      </w:r>
      <w:r w:rsidR="00333347" w:rsidRPr="008A0130">
        <w:rPr>
          <w:rFonts w:ascii="Book Antiqua" w:hAnsi="Book Antiqua" w:cs="Times New Roman"/>
        </w:rPr>
        <w:t xml:space="preserve"> </w:t>
      </w:r>
      <w:r w:rsidR="00E14A1F" w:rsidRPr="008A0130">
        <w:rPr>
          <w:rFonts w:ascii="Book Antiqua" w:hAnsi="Book Antiqua" w:cs="Times New Roman"/>
        </w:rPr>
        <w:t>They</w:t>
      </w:r>
      <w:r w:rsidR="00333347" w:rsidRPr="008A0130">
        <w:rPr>
          <w:rFonts w:ascii="Book Antiqua" w:hAnsi="Book Antiqua" w:cs="Times New Roman"/>
        </w:rPr>
        <w:t xml:space="preserve"> suggested that the anti-Wnt5a antibody was capable of suppressing Wnt</w:t>
      </w:r>
      <w:r w:rsidR="00020CF8" w:rsidRPr="008A0130">
        <w:rPr>
          <w:rFonts w:ascii="Book Antiqua" w:hAnsi="Book Antiqua" w:cs="Times New Roman"/>
        </w:rPr>
        <w:t>-</w:t>
      </w:r>
      <w:r w:rsidR="00333347" w:rsidRPr="008A0130">
        <w:rPr>
          <w:rFonts w:ascii="Book Antiqua" w:hAnsi="Book Antiqua" w:cs="Times New Roman"/>
        </w:rPr>
        <w:t>5a-dependent internalization of receptors</w:t>
      </w:r>
      <w:r w:rsidR="009660C4" w:rsidRPr="008A0130">
        <w:rPr>
          <w:rFonts w:ascii="Book Antiqua" w:hAnsi="Book Antiqua" w:cs="Times New Roman"/>
        </w:rPr>
        <w:t>, thus leading to disruption of</w:t>
      </w:r>
      <w:r w:rsidR="00DB564B" w:rsidRPr="008A0130">
        <w:rPr>
          <w:rFonts w:ascii="Book Antiqua" w:hAnsi="Book Antiqua" w:cs="Times New Roman"/>
        </w:rPr>
        <w:t xml:space="preserve"> </w:t>
      </w:r>
      <w:r w:rsidR="009660C4" w:rsidRPr="008A0130">
        <w:rPr>
          <w:rFonts w:ascii="Book Antiqua" w:hAnsi="Book Antiqua" w:cs="Times New Roman"/>
        </w:rPr>
        <w:t>Wnt/</w:t>
      </w:r>
      <w:r w:rsidR="00F926B4" w:rsidRPr="008A0130">
        <w:rPr>
          <w:rFonts w:ascii="Book Antiqua" w:hAnsi="Book Antiqua" w:cs="Times New Roman"/>
        </w:rPr>
        <w:t>β</w:t>
      </w:r>
      <w:r w:rsidR="009660C4" w:rsidRPr="008A0130">
        <w:rPr>
          <w:rFonts w:ascii="Book Antiqua" w:hAnsi="Book Antiqua" w:cs="Times New Roman"/>
        </w:rPr>
        <w:t xml:space="preserve">-catenin pathway. </w:t>
      </w:r>
      <w:r w:rsidR="00A15782" w:rsidRPr="008A0130">
        <w:rPr>
          <w:rFonts w:ascii="Book Antiqua" w:hAnsi="Book Antiqua" w:cs="Times New Roman"/>
        </w:rPr>
        <w:t>F</w:t>
      </w:r>
      <w:r w:rsidR="00DB564B" w:rsidRPr="008A0130">
        <w:rPr>
          <w:rFonts w:ascii="Book Antiqua" w:hAnsi="Book Antiqua" w:cs="Times New Roman"/>
        </w:rPr>
        <w:t>urther investigation with anti-Wnt</w:t>
      </w:r>
      <w:r w:rsidR="00020CF8" w:rsidRPr="008A0130">
        <w:rPr>
          <w:rFonts w:ascii="Book Antiqua" w:hAnsi="Book Antiqua" w:cs="Times New Roman"/>
        </w:rPr>
        <w:t>-</w:t>
      </w:r>
      <w:r w:rsidR="00DB564B" w:rsidRPr="008A0130">
        <w:rPr>
          <w:rFonts w:ascii="Book Antiqua" w:hAnsi="Book Antiqua" w:cs="Times New Roman"/>
        </w:rPr>
        <w:t>5a monoclonal antibody could be useful for the clinical management of cancers with overexpression of Wnt</w:t>
      </w:r>
      <w:r w:rsidR="00020CF8" w:rsidRPr="008A0130">
        <w:rPr>
          <w:rFonts w:ascii="Book Antiqua" w:hAnsi="Book Antiqua" w:cs="Times New Roman"/>
        </w:rPr>
        <w:t>-</w:t>
      </w:r>
      <w:r w:rsidR="00DB564B" w:rsidRPr="008A0130">
        <w:rPr>
          <w:rFonts w:ascii="Book Antiqua" w:hAnsi="Book Antiqua" w:cs="Times New Roman"/>
        </w:rPr>
        <w:t xml:space="preserve">5a. </w:t>
      </w:r>
      <w:r w:rsidR="005F668C" w:rsidRPr="008A0130">
        <w:rPr>
          <w:rFonts w:ascii="Book Antiqua" w:hAnsi="Book Antiqua" w:cs="Times New Roman"/>
        </w:rPr>
        <w:t>In this sense</w:t>
      </w:r>
      <w:r w:rsidRPr="008A0130">
        <w:rPr>
          <w:rFonts w:ascii="Book Antiqua" w:hAnsi="Book Antiqua" w:cs="Times New Roman"/>
        </w:rPr>
        <w:t>, m</w:t>
      </w:r>
      <w:r w:rsidR="009660C4" w:rsidRPr="008A0130">
        <w:rPr>
          <w:rFonts w:ascii="Book Antiqua" w:hAnsi="Book Antiqua" w:cs="Times New Roman"/>
        </w:rPr>
        <w:t>onoclonal anti</w:t>
      </w:r>
      <w:r w:rsidR="00DB564B" w:rsidRPr="008A0130">
        <w:rPr>
          <w:rFonts w:ascii="Book Antiqua" w:hAnsi="Book Antiqua" w:cs="Times New Roman"/>
        </w:rPr>
        <w:t xml:space="preserve">bodies against Wnt-1 and Wnt-2 </w:t>
      </w:r>
      <w:r w:rsidR="00AC6BDF" w:rsidRPr="008A0130">
        <w:rPr>
          <w:rFonts w:ascii="Book Antiqua" w:hAnsi="Book Antiqua" w:cs="Times New Roman"/>
        </w:rPr>
        <w:t>can</w:t>
      </w:r>
      <w:r w:rsidR="009660C4" w:rsidRPr="008A0130">
        <w:rPr>
          <w:rFonts w:ascii="Book Antiqua" w:hAnsi="Book Antiqua" w:cs="Times New Roman"/>
        </w:rPr>
        <w:t xml:space="preserve"> induce</w:t>
      </w:r>
      <w:r w:rsidR="00DB564B" w:rsidRPr="008A0130">
        <w:rPr>
          <w:rFonts w:ascii="Book Antiqua" w:hAnsi="Book Antiqua" w:cs="Times New Roman"/>
        </w:rPr>
        <w:t xml:space="preserve"> apoptosis in some human cancers that overexpress these </w:t>
      </w:r>
      <w:proofErr w:type="gramStart"/>
      <w:r w:rsidR="00DB564B" w:rsidRPr="008A0130">
        <w:rPr>
          <w:rFonts w:ascii="Book Antiqua" w:hAnsi="Book Antiqua" w:cs="Times New Roman"/>
        </w:rPr>
        <w:t>ligands</w:t>
      </w:r>
      <w:r w:rsidR="00E84BFB" w:rsidRPr="008A0130">
        <w:rPr>
          <w:rFonts w:ascii="Book Antiqua" w:hAnsi="Book Antiqua" w:cs="Times New Roman"/>
          <w:vertAlign w:val="superscript"/>
        </w:rPr>
        <w:t>[</w:t>
      </w:r>
      <w:proofErr w:type="gramEnd"/>
      <w:r w:rsidR="00B21674" w:rsidRPr="008A0130">
        <w:rPr>
          <w:rFonts w:ascii="Book Antiqua" w:hAnsi="Book Antiqua" w:cs="Times New Roman"/>
          <w:vertAlign w:val="superscript"/>
        </w:rPr>
        <w:t>252,253</w:t>
      </w:r>
      <w:r w:rsidR="00E84BFB" w:rsidRPr="008A0130">
        <w:rPr>
          <w:rFonts w:ascii="Book Antiqua" w:hAnsi="Book Antiqua" w:cs="Times New Roman"/>
          <w:vertAlign w:val="superscript"/>
        </w:rPr>
        <w:t>]</w:t>
      </w:r>
      <w:r w:rsidR="00E84BFB" w:rsidRPr="008A0130">
        <w:rPr>
          <w:rFonts w:ascii="Book Antiqua" w:hAnsi="Book Antiqua" w:cs="Times New Roman"/>
        </w:rPr>
        <w:t>.</w:t>
      </w:r>
      <w:r w:rsidR="00DB564B" w:rsidRPr="008A0130">
        <w:rPr>
          <w:rFonts w:ascii="Book Antiqua" w:hAnsi="Book Antiqua" w:cs="Times New Roman"/>
        </w:rPr>
        <w:t xml:space="preserve"> </w:t>
      </w:r>
    </w:p>
    <w:p w14:paraId="34D8A9C0" w14:textId="691FDDCC" w:rsidR="00E14A1F" w:rsidRPr="008A0130" w:rsidRDefault="00211554"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Interestingly, two different approaches targeting the secreted inhibitor of the Wnt/</w:t>
      </w:r>
      <w:r w:rsidR="00F926B4" w:rsidRPr="008A0130">
        <w:rPr>
          <w:rFonts w:ascii="Book Antiqua" w:hAnsi="Book Antiqua" w:cs="Times New Roman"/>
        </w:rPr>
        <w:t>β</w:t>
      </w:r>
      <w:r w:rsidRPr="008A0130">
        <w:rPr>
          <w:rFonts w:ascii="Book Antiqua" w:hAnsi="Book Antiqua" w:cs="Times New Roman"/>
        </w:rPr>
        <w:t>-catenin pathway</w:t>
      </w:r>
      <w:r w:rsidR="00703191" w:rsidRPr="008A0130">
        <w:rPr>
          <w:rFonts w:ascii="Book Antiqua" w:hAnsi="Book Antiqua" w:cs="Times New Roman"/>
        </w:rPr>
        <w:t xml:space="preserve"> Dkk</w:t>
      </w:r>
      <w:r w:rsidRPr="008A0130">
        <w:rPr>
          <w:rFonts w:ascii="Book Antiqua" w:hAnsi="Book Antiqua" w:cs="Times New Roman"/>
        </w:rPr>
        <w:t xml:space="preserve">-1 have been reported as potential treatment for gastric </w:t>
      </w:r>
      <w:proofErr w:type="gramStart"/>
      <w:r w:rsidRPr="008A0130">
        <w:rPr>
          <w:rFonts w:ascii="Book Antiqua" w:hAnsi="Book Antiqua" w:cs="Times New Roman"/>
        </w:rPr>
        <w:t>cancer</w:t>
      </w:r>
      <w:r w:rsidR="00B21674" w:rsidRPr="008A0130">
        <w:rPr>
          <w:rFonts w:ascii="Book Antiqua" w:hAnsi="Book Antiqua" w:cs="Times New Roman"/>
          <w:vertAlign w:val="superscript"/>
        </w:rPr>
        <w:t>[</w:t>
      </w:r>
      <w:proofErr w:type="gramEnd"/>
      <w:r w:rsidR="00B21674" w:rsidRPr="008A0130">
        <w:rPr>
          <w:rFonts w:ascii="Book Antiqua" w:hAnsi="Book Antiqua" w:cs="Times New Roman"/>
          <w:vertAlign w:val="superscript"/>
        </w:rPr>
        <w:t>121,254</w:t>
      </w:r>
      <w:r w:rsidR="00E84BFB" w:rsidRPr="008A0130">
        <w:rPr>
          <w:rFonts w:ascii="Book Antiqua" w:hAnsi="Book Antiqua" w:cs="Times New Roman"/>
          <w:vertAlign w:val="superscript"/>
        </w:rPr>
        <w:t>]</w:t>
      </w:r>
      <w:r w:rsidRPr="008A0130">
        <w:rPr>
          <w:rFonts w:ascii="Book Antiqua" w:hAnsi="Book Antiqua" w:cs="Times New Roman"/>
        </w:rPr>
        <w:t xml:space="preserve">. </w:t>
      </w:r>
      <w:r w:rsidR="00121D3B" w:rsidRPr="008A0130">
        <w:rPr>
          <w:rFonts w:ascii="Book Antiqua" w:hAnsi="Book Antiqua" w:cs="Times New Roman"/>
        </w:rPr>
        <w:t>As mentioned above, t</w:t>
      </w:r>
      <w:r w:rsidR="00703191" w:rsidRPr="008A0130">
        <w:rPr>
          <w:rFonts w:ascii="Book Antiqua" w:hAnsi="Book Antiqua" w:cs="Times New Roman"/>
        </w:rPr>
        <w:t>he role of Dkk-</w:t>
      </w:r>
      <w:r w:rsidRPr="008A0130">
        <w:rPr>
          <w:rFonts w:ascii="Book Antiqua" w:hAnsi="Book Antiqua" w:cs="Times New Roman"/>
        </w:rPr>
        <w:t>1 in cancer app</w:t>
      </w:r>
      <w:r w:rsidR="00E77AB7" w:rsidRPr="008A0130">
        <w:rPr>
          <w:rFonts w:ascii="Book Antiqua" w:hAnsi="Book Antiqua" w:cs="Times New Roman"/>
        </w:rPr>
        <w:t xml:space="preserve">ears to be diverse, because it </w:t>
      </w:r>
      <w:r w:rsidR="00610BCB" w:rsidRPr="008A0130">
        <w:rPr>
          <w:rFonts w:ascii="Book Antiqua" w:hAnsi="Book Antiqua" w:cs="Times New Roman"/>
        </w:rPr>
        <w:t xml:space="preserve">can act </w:t>
      </w:r>
      <w:r w:rsidR="00E77AB7" w:rsidRPr="008A0130">
        <w:rPr>
          <w:rFonts w:ascii="Book Antiqua" w:hAnsi="Book Antiqua" w:cs="Times New Roman"/>
        </w:rPr>
        <w:t>as tumor su</w:t>
      </w:r>
      <w:r w:rsidR="00B167C2" w:rsidRPr="008A0130">
        <w:rPr>
          <w:rFonts w:ascii="Book Antiqua" w:hAnsi="Book Antiqua" w:cs="Times New Roman"/>
        </w:rPr>
        <w:t xml:space="preserve">ppressor or metastasis </w:t>
      </w:r>
      <w:proofErr w:type="gramStart"/>
      <w:r w:rsidR="00B167C2" w:rsidRPr="008A0130">
        <w:rPr>
          <w:rFonts w:ascii="Book Antiqua" w:hAnsi="Book Antiqua" w:cs="Times New Roman"/>
        </w:rPr>
        <w:t>promoter</w:t>
      </w:r>
      <w:r w:rsidR="00B21674" w:rsidRPr="008A0130">
        <w:rPr>
          <w:rFonts w:ascii="Book Antiqua" w:hAnsi="Book Antiqua" w:cs="Times New Roman"/>
          <w:vertAlign w:val="superscript"/>
        </w:rPr>
        <w:t>[</w:t>
      </w:r>
      <w:proofErr w:type="gramEnd"/>
      <w:r w:rsidR="00B21674" w:rsidRPr="008A0130">
        <w:rPr>
          <w:rFonts w:ascii="Book Antiqua" w:hAnsi="Book Antiqua" w:cs="Times New Roman"/>
          <w:vertAlign w:val="superscript"/>
        </w:rPr>
        <w:t>255</w:t>
      </w:r>
      <w:r w:rsidR="00EB5B7D" w:rsidRPr="008A0130">
        <w:rPr>
          <w:rFonts w:ascii="Book Antiqua" w:hAnsi="Book Antiqua" w:cs="Times New Roman"/>
          <w:vertAlign w:val="superscript"/>
        </w:rPr>
        <w:t>]</w:t>
      </w:r>
      <w:r w:rsidR="001B3602" w:rsidRPr="008A0130">
        <w:rPr>
          <w:rFonts w:ascii="Book Antiqua" w:hAnsi="Book Antiqua" w:cs="Times New Roman"/>
        </w:rPr>
        <w:t xml:space="preserve">. Thus, </w:t>
      </w:r>
      <w:r w:rsidR="00703191" w:rsidRPr="008A0130">
        <w:rPr>
          <w:rFonts w:ascii="Book Antiqua" w:hAnsi="Book Antiqua" w:cs="Times New Roman"/>
        </w:rPr>
        <w:t>Dkk-</w:t>
      </w:r>
      <w:r w:rsidR="001B3602" w:rsidRPr="008A0130">
        <w:rPr>
          <w:rFonts w:ascii="Book Antiqua" w:hAnsi="Book Antiqua" w:cs="Times New Roman"/>
        </w:rPr>
        <w:t>1</w:t>
      </w:r>
      <w:r w:rsidR="006F7012" w:rsidRPr="008A0130">
        <w:rPr>
          <w:rFonts w:ascii="Book Antiqua" w:hAnsi="Book Antiqua" w:cs="Times New Roman"/>
        </w:rPr>
        <w:t xml:space="preserve"> appears to be critical to determining the tumor microenvironment and </w:t>
      </w:r>
      <w:r w:rsidR="001B3602" w:rsidRPr="008A0130">
        <w:rPr>
          <w:rFonts w:ascii="Book Antiqua" w:hAnsi="Book Antiqua" w:cs="Times New Roman"/>
        </w:rPr>
        <w:t>c</w:t>
      </w:r>
      <w:r w:rsidR="006F7012" w:rsidRPr="008A0130">
        <w:rPr>
          <w:rFonts w:ascii="Book Antiqua" w:hAnsi="Book Antiqua" w:cs="Times New Roman"/>
        </w:rPr>
        <w:t xml:space="preserve">ould </w:t>
      </w:r>
      <w:r w:rsidR="00B83B0C" w:rsidRPr="008A0130">
        <w:rPr>
          <w:rFonts w:ascii="Book Antiqua" w:hAnsi="Book Antiqua" w:cs="Times New Roman"/>
        </w:rPr>
        <w:t>has</w:t>
      </w:r>
      <w:r w:rsidR="006F7012" w:rsidRPr="008A0130">
        <w:rPr>
          <w:rFonts w:ascii="Book Antiqua" w:hAnsi="Book Antiqua" w:cs="Times New Roman"/>
        </w:rPr>
        <w:t xml:space="preserve"> a cancer type</w:t>
      </w:r>
      <w:r w:rsidR="001B3602" w:rsidRPr="008A0130">
        <w:rPr>
          <w:rFonts w:ascii="Book Antiqua" w:hAnsi="Book Antiqua" w:cs="Times New Roman"/>
        </w:rPr>
        <w:t xml:space="preserve"> </w:t>
      </w:r>
      <w:r w:rsidR="006F7012" w:rsidRPr="008A0130">
        <w:rPr>
          <w:rFonts w:ascii="Book Antiqua" w:hAnsi="Book Antiqua" w:cs="Times New Roman"/>
        </w:rPr>
        <w:t>and/</w:t>
      </w:r>
      <w:r w:rsidR="009F7590" w:rsidRPr="008A0130">
        <w:rPr>
          <w:rFonts w:ascii="Book Antiqua" w:hAnsi="Book Antiqua" w:cs="Times New Roman"/>
        </w:rPr>
        <w:t>or</w:t>
      </w:r>
      <w:r w:rsidR="006F7012" w:rsidRPr="008A0130">
        <w:rPr>
          <w:rFonts w:ascii="Book Antiqua" w:hAnsi="Book Antiqua" w:cs="Times New Roman"/>
        </w:rPr>
        <w:t xml:space="preserve"> patient specific </w:t>
      </w:r>
      <w:proofErr w:type="gramStart"/>
      <w:r w:rsidR="006F7012" w:rsidRPr="008A0130">
        <w:rPr>
          <w:rFonts w:ascii="Book Antiqua" w:hAnsi="Book Antiqua" w:cs="Times New Roman"/>
        </w:rPr>
        <w:t>role</w:t>
      </w:r>
      <w:r w:rsidR="00B21674" w:rsidRPr="008A0130">
        <w:rPr>
          <w:rFonts w:ascii="Book Antiqua" w:hAnsi="Book Antiqua" w:cs="Times New Roman"/>
          <w:vertAlign w:val="superscript"/>
        </w:rPr>
        <w:t>[</w:t>
      </w:r>
      <w:proofErr w:type="gramEnd"/>
      <w:r w:rsidR="00B21674" w:rsidRPr="008A0130">
        <w:rPr>
          <w:rFonts w:ascii="Book Antiqua" w:hAnsi="Book Antiqua" w:cs="Times New Roman"/>
          <w:vertAlign w:val="superscript"/>
        </w:rPr>
        <w:t>255</w:t>
      </w:r>
      <w:r w:rsidR="00EB5B7D" w:rsidRPr="008A0130">
        <w:rPr>
          <w:rFonts w:ascii="Book Antiqua" w:hAnsi="Book Antiqua" w:cs="Times New Roman"/>
          <w:vertAlign w:val="superscript"/>
        </w:rPr>
        <w:t>]</w:t>
      </w:r>
      <w:r w:rsidR="00B167C2" w:rsidRPr="008A0130">
        <w:rPr>
          <w:rFonts w:ascii="Book Antiqua" w:hAnsi="Book Antiqua" w:cs="Times New Roman"/>
        </w:rPr>
        <w:t xml:space="preserve">. </w:t>
      </w:r>
      <w:r w:rsidR="00266386" w:rsidRPr="008A0130">
        <w:rPr>
          <w:rFonts w:ascii="Book Antiqua" w:hAnsi="Book Antiqua" w:cs="Times New Roman"/>
        </w:rPr>
        <w:t xml:space="preserve">Sato </w:t>
      </w:r>
      <w:r w:rsidR="00266386" w:rsidRPr="008A0130">
        <w:rPr>
          <w:rFonts w:ascii="Book Antiqua" w:hAnsi="Book Antiqua" w:cs="Times New Roman"/>
          <w:i/>
        </w:rPr>
        <w:t xml:space="preserve">et </w:t>
      </w:r>
      <w:proofErr w:type="gramStart"/>
      <w:r w:rsidR="00266386" w:rsidRPr="008A0130">
        <w:rPr>
          <w:rFonts w:ascii="Book Antiqua"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121]</w:t>
      </w:r>
      <w:r w:rsidR="00266386" w:rsidRPr="008A0130">
        <w:rPr>
          <w:rFonts w:ascii="Book Antiqua" w:hAnsi="Book Antiqua" w:cs="Times New Roman"/>
        </w:rPr>
        <w:t xml:space="preserve"> </w:t>
      </w:r>
      <w:r w:rsidR="00703191" w:rsidRPr="008A0130">
        <w:rPr>
          <w:rFonts w:ascii="Book Antiqua" w:hAnsi="Book Antiqua" w:cs="Times New Roman"/>
        </w:rPr>
        <w:t>reported a strategy based in Dkk-</w:t>
      </w:r>
      <w:r w:rsidR="00266386" w:rsidRPr="008A0130">
        <w:rPr>
          <w:rFonts w:ascii="Book Antiqua" w:hAnsi="Book Antiqua" w:cs="Times New Roman"/>
        </w:rPr>
        <w:t>1-neutralizing antibodies indicating the direct antitumor effect in cancer cel</w:t>
      </w:r>
      <w:r w:rsidR="00703191" w:rsidRPr="008A0130">
        <w:rPr>
          <w:rFonts w:ascii="Book Antiqua" w:hAnsi="Book Antiqua" w:cs="Times New Roman"/>
        </w:rPr>
        <w:t>ls lines that overexpressed Dkk-</w:t>
      </w:r>
      <w:r w:rsidR="00266386" w:rsidRPr="008A0130">
        <w:rPr>
          <w:rFonts w:ascii="Book Antiqua" w:hAnsi="Book Antiqua" w:cs="Times New Roman"/>
        </w:rPr>
        <w:t xml:space="preserve">1, such as pancreatic, bile duct, breast, cervical and gastric cancer, and hepatocellular carcinoma. </w:t>
      </w:r>
      <w:r w:rsidR="009660C4" w:rsidRPr="008A0130">
        <w:rPr>
          <w:rFonts w:ascii="Book Antiqua" w:hAnsi="Book Antiqua" w:cs="Times New Roman"/>
        </w:rPr>
        <w:t>Alternatively</w:t>
      </w:r>
      <w:r w:rsidR="00266386" w:rsidRPr="008A0130">
        <w:rPr>
          <w:rFonts w:ascii="Book Antiqua" w:hAnsi="Book Antiqua" w:cs="Times New Roman"/>
        </w:rPr>
        <w:t xml:space="preserve">, </w:t>
      </w:r>
      <w:r w:rsidR="00EB5B7D" w:rsidRPr="008A0130">
        <w:rPr>
          <w:rFonts w:ascii="Book Antiqua" w:hAnsi="Book Antiqua" w:cs="Times New Roman"/>
        </w:rPr>
        <w:t xml:space="preserve">Wang </w:t>
      </w:r>
      <w:r w:rsidR="00950BD5" w:rsidRPr="008A0130">
        <w:rPr>
          <w:rFonts w:ascii="Book Antiqua" w:hAnsi="Book Antiqua" w:cs="Times New Roman"/>
          <w:i/>
        </w:rPr>
        <w:t xml:space="preserve">et </w:t>
      </w:r>
      <w:proofErr w:type="gramStart"/>
      <w:r w:rsidR="00950BD5" w:rsidRPr="008A0130">
        <w:rPr>
          <w:rFonts w:ascii="Book Antiqua"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254]</w:t>
      </w:r>
      <w:r w:rsidR="00266386" w:rsidRPr="008A0130">
        <w:rPr>
          <w:rFonts w:ascii="Book Antiqua" w:hAnsi="Book Antiqua" w:cs="Times New Roman"/>
        </w:rPr>
        <w:t xml:space="preserve"> used a chimeric 5/35 adenovirus-mediated D</w:t>
      </w:r>
      <w:r w:rsidR="00703191" w:rsidRPr="008A0130">
        <w:rPr>
          <w:rFonts w:ascii="Book Antiqua" w:hAnsi="Book Antiqua" w:cs="Times New Roman"/>
        </w:rPr>
        <w:t>kk</w:t>
      </w:r>
      <w:r w:rsidR="00266386" w:rsidRPr="008A0130">
        <w:rPr>
          <w:rFonts w:ascii="Book Antiqua" w:hAnsi="Book Antiqua" w:cs="Times New Roman"/>
        </w:rPr>
        <w:t xml:space="preserve">-1 overexpression strategy to suppress </w:t>
      </w:r>
      <w:r w:rsidR="00C31779" w:rsidRPr="008A0130">
        <w:rPr>
          <w:rFonts w:ascii="Book Antiqua" w:hAnsi="Book Antiqua" w:cs="Times New Roman"/>
        </w:rPr>
        <w:t>the endogenous Wnt/</w:t>
      </w:r>
      <w:r w:rsidR="00F926B4" w:rsidRPr="008A0130">
        <w:rPr>
          <w:rFonts w:ascii="Book Antiqua" w:hAnsi="Book Antiqua" w:cs="Times New Roman"/>
        </w:rPr>
        <w:t>β</w:t>
      </w:r>
      <w:r w:rsidR="00C31779" w:rsidRPr="008A0130">
        <w:rPr>
          <w:rFonts w:ascii="Book Antiqua" w:hAnsi="Book Antiqua" w:cs="Times New Roman"/>
        </w:rPr>
        <w:t xml:space="preserve">-catenin </w:t>
      </w:r>
      <w:r w:rsidR="00266386" w:rsidRPr="008A0130">
        <w:rPr>
          <w:rFonts w:ascii="Book Antiqua" w:hAnsi="Book Antiqua" w:cs="Times New Roman"/>
        </w:rPr>
        <w:t>signaling</w:t>
      </w:r>
      <w:r w:rsidR="00C31779" w:rsidRPr="008A0130">
        <w:rPr>
          <w:rFonts w:ascii="Book Antiqua" w:hAnsi="Book Antiqua" w:cs="Times New Roman"/>
        </w:rPr>
        <w:t xml:space="preserve"> aberrantly activated</w:t>
      </w:r>
      <w:r w:rsidR="00B83B0C" w:rsidRPr="008A0130">
        <w:rPr>
          <w:rFonts w:ascii="Book Antiqua" w:hAnsi="Book Antiqua" w:cs="Times New Roman"/>
        </w:rPr>
        <w:t xml:space="preserve"> in G</w:t>
      </w:r>
      <w:r w:rsidR="00266386" w:rsidRPr="008A0130">
        <w:rPr>
          <w:rFonts w:ascii="Book Antiqua" w:hAnsi="Book Antiqua" w:cs="Times New Roman"/>
        </w:rPr>
        <w:t>CSCs. This study demonstrated that</w:t>
      </w:r>
      <w:r w:rsidR="00E14A1F" w:rsidRPr="008A0130">
        <w:rPr>
          <w:rFonts w:ascii="Book Antiqua" w:hAnsi="Book Antiqua" w:cs="Times New Roman"/>
        </w:rPr>
        <w:t xml:space="preserve"> adenoviral expression of Dkk-1 was efficient in modulating activation of Wnt signaling and </w:t>
      </w:r>
      <w:r w:rsidR="00C27840" w:rsidRPr="008A0130">
        <w:rPr>
          <w:rFonts w:ascii="Book Antiqua" w:hAnsi="Book Antiqua" w:cs="Times New Roman"/>
        </w:rPr>
        <w:t xml:space="preserve">also </w:t>
      </w:r>
      <w:r w:rsidR="00E14A1F" w:rsidRPr="008A0130">
        <w:rPr>
          <w:rFonts w:ascii="Book Antiqua" w:hAnsi="Book Antiqua" w:cs="Times New Roman"/>
        </w:rPr>
        <w:t>proved</w:t>
      </w:r>
      <w:r w:rsidR="00C27840" w:rsidRPr="008A0130">
        <w:rPr>
          <w:rFonts w:ascii="Book Antiqua" w:hAnsi="Book Antiqua" w:cs="Times New Roman"/>
        </w:rPr>
        <w:t xml:space="preserve"> that </w:t>
      </w:r>
      <w:r w:rsidR="00266386" w:rsidRPr="008A0130">
        <w:rPr>
          <w:rFonts w:ascii="Book Antiqua" w:hAnsi="Book Antiqua" w:cs="Times New Roman"/>
        </w:rPr>
        <w:t xml:space="preserve">CSC-targeting gene therapy </w:t>
      </w:r>
      <w:r w:rsidR="00E47ED8" w:rsidRPr="008A0130">
        <w:rPr>
          <w:rFonts w:ascii="Book Antiqua" w:hAnsi="Book Antiqua" w:cs="Times New Roman"/>
        </w:rPr>
        <w:t xml:space="preserve">could be </w:t>
      </w:r>
      <w:r w:rsidR="00266386" w:rsidRPr="008A0130">
        <w:rPr>
          <w:rFonts w:ascii="Book Antiqua" w:hAnsi="Book Antiqua" w:cs="Times New Roman"/>
        </w:rPr>
        <w:t xml:space="preserve">effective in </w:t>
      </w:r>
      <w:r w:rsidR="00E47ED8" w:rsidRPr="008A0130">
        <w:rPr>
          <w:rFonts w:ascii="Book Antiqua" w:hAnsi="Book Antiqua" w:cs="Times New Roman"/>
        </w:rPr>
        <w:t>gastric cancer.</w:t>
      </w:r>
    </w:p>
    <w:p w14:paraId="50A34F19" w14:textId="4FC7E64C" w:rsidR="003E772B" w:rsidRPr="008A0130" w:rsidRDefault="00E26C69"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Recently, Zhang</w:t>
      </w:r>
      <w:r w:rsidR="00BE22DF" w:rsidRPr="008A0130">
        <w:rPr>
          <w:rFonts w:ascii="Book Antiqua" w:hAnsi="Book Antiqua" w:cs="Times New Roman"/>
        </w:rPr>
        <w:t xml:space="preserve"> </w:t>
      </w:r>
      <w:r w:rsidR="00BE22DF" w:rsidRPr="008A0130">
        <w:rPr>
          <w:rFonts w:ascii="Book Antiqua" w:hAnsi="Book Antiqua" w:cs="Times New Roman"/>
          <w:i/>
        </w:rPr>
        <w:t xml:space="preserve">et </w:t>
      </w:r>
      <w:proofErr w:type="gramStart"/>
      <w:r w:rsidR="00BE22DF" w:rsidRPr="008A0130">
        <w:rPr>
          <w:rFonts w:ascii="Book Antiqua" w:hAnsi="Book Antiqua" w:cs="Times New Roman"/>
          <w:i/>
        </w:rPr>
        <w:t>al</w:t>
      </w:r>
      <w:r w:rsidR="00950BD5" w:rsidRPr="008A0130">
        <w:rPr>
          <w:rFonts w:ascii="Book Antiqua" w:hAnsi="Book Antiqua" w:cs="Times New Roman"/>
          <w:vertAlign w:val="superscript"/>
        </w:rPr>
        <w:t>[</w:t>
      </w:r>
      <w:proofErr w:type="gramEnd"/>
      <w:r w:rsidR="00950BD5" w:rsidRPr="008A0130">
        <w:rPr>
          <w:rFonts w:ascii="Book Antiqua" w:hAnsi="Book Antiqua" w:cs="Times New Roman"/>
          <w:vertAlign w:val="superscript"/>
        </w:rPr>
        <w:t>256]</w:t>
      </w:r>
      <w:r w:rsidR="00BE22DF" w:rsidRPr="008A0130">
        <w:rPr>
          <w:rFonts w:ascii="Book Antiqua" w:hAnsi="Book Antiqua" w:cs="Times New Roman"/>
        </w:rPr>
        <w:t xml:space="preserve"> reported that the p</w:t>
      </w:r>
      <w:r w:rsidR="003E772B" w:rsidRPr="008A0130">
        <w:rPr>
          <w:rFonts w:ascii="Book Antiqua" w:hAnsi="Book Antiqua" w:cs="Times New Roman"/>
        </w:rPr>
        <w:t>roton pump inhibitor pantoprazole treatment inhibited the hyper-activated Wnt/</w:t>
      </w:r>
      <w:r w:rsidR="00F926B4" w:rsidRPr="008A0130">
        <w:rPr>
          <w:rFonts w:ascii="Book Antiqua" w:hAnsi="Book Antiqua" w:cs="Times New Roman"/>
        </w:rPr>
        <w:t>β</w:t>
      </w:r>
      <w:r w:rsidR="003E772B" w:rsidRPr="008A0130">
        <w:rPr>
          <w:rFonts w:ascii="Book Antiqua" w:hAnsi="Book Antiqua" w:cs="Times New Roman"/>
        </w:rPr>
        <w:t>-catenin signaling and reduced cell invasiveness of chemotherapy-resistant gastric cancer cells and epithelial–mesenchymal transition.</w:t>
      </w:r>
      <w:r w:rsidR="001C510B" w:rsidRPr="008A0130">
        <w:rPr>
          <w:rFonts w:ascii="Book Antiqua" w:hAnsi="Book Antiqua" w:cs="Times New Roman"/>
        </w:rPr>
        <w:t xml:space="preserve"> This work, besides giving evidence that the enhanced aggressive phenotype appeared to be mediated by activation of the canonical Wnt/ -catenin signal</w:t>
      </w:r>
      <w:r w:rsidR="00BE22DF" w:rsidRPr="008A0130">
        <w:rPr>
          <w:rFonts w:ascii="Book Antiqua" w:hAnsi="Book Antiqua" w:cs="Times New Roman"/>
        </w:rPr>
        <w:t>ing pathway,</w:t>
      </w:r>
      <w:r w:rsidR="001C510B" w:rsidRPr="008A0130">
        <w:rPr>
          <w:rFonts w:ascii="Book Antiqua" w:hAnsi="Book Antiqua" w:cs="Times New Roman"/>
        </w:rPr>
        <w:t xml:space="preserve"> it also showed that it is possible to reduce the aggressiveness </w:t>
      </w:r>
      <w:r w:rsidR="00BE22DF" w:rsidRPr="008A0130">
        <w:rPr>
          <w:rFonts w:ascii="Book Antiqua" w:hAnsi="Book Antiqua" w:cs="Times New Roman"/>
        </w:rPr>
        <w:t xml:space="preserve">of gastri cancer </w:t>
      </w:r>
      <w:r w:rsidR="001C510B" w:rsidRPr="008A0130">
        <w:rPr>
          <w:rFonts w:ascii="Book Antiqua" w:hAnsi="Book Antiqua" w:cs="Times New Roman"/>
        </w:rPr>
        <w:t xml:space="preserve">with a proton pump </w:t>
      </w:r>
      <w:proofErr w:type="gramStart"/>
      <w:r w:rsidR="001C510B" w:rsidRPr="008A0130">
        <w:rPr>
          <w:rFonts w:ascii="Book Antiqua" w:hAnsi="Book Antiqua" w:cs="Times New Roman"/>
        </w:rPr>
        <w:t>inhibitor</w:t>
      </w:r>
      <w:r w:rsidR="00B21674" w:rsidRPr="008A0130">
        <w:rPr>
          <w:rFonts w:ascii="Book Antiqua" w:hAnsi="Book Antiqua" w:cs="Times New Roman"/>
          <w:vertAlign w:val="superscript"/>
        </w:rPr>
        <w:t>[</w:t>
      </w:r>
      <w:proofErr w:type="gramEnd"/>
      <w:r w:rsidR="00B21674" w:rsidRPr="008A0130">
        <w:rPr>
          <w:rFonts w:ascii="Book Antiqua" w:hAnsi="Book Antiqua" w:cs="Times New Roman"/>
          <w:vertAlign w:val="superscript"/>
        </w:rPr>
        <w:t>256</w:t>
      </w:r>
      <w:r w:rsidRPr="008A0130">
        <w:rPr>
          <w:rFonts w:ascii="Book Antiqua" w:hAnsi="Book Antiqua" w:cs="Times New Roman"/>
          <w:vertAlign w:val="superscript"/>
        </w:rPr>
        <w:t>]</w:t>
      </w:r>
      <w:r w:rsidR="001C510B" w:rsidRPr="008A0130">
        <w:rPr>
          <w:rFonts w:ascii="Book Antiqua" w:hAnsi="Book Antiqua" w:cs="Times New Roman"/>
        </w:rPr>
        <w:t>.</w:t>
      </w:r>
    </w:p>
    <w:p w14:paraId="42DAD4E4" w14:textId="77777777" w:rsidR="00950BD5" w:rsidRPr="008A0130" w:rsidRDefault="00950BD5" w:rsidP="008A0130">
      <w:pPr>
        <w:widowControl w:val="0"/>
        <w:autoSpaceDE w:val="0"/>
        <w:autoSpaceDN w:val="0"/>
        <w:adjustRightInd w:val="0"/>
        <w:spacing w:line="360" w:lineRule="auto"/>
        <w:jc w:val="both"/>
        <w:rPr>
          <w:rFonts w:ascii="Book Antiqua" w:eastAsia="宋体" w:hAnsi="Book Antiqua" w:cs="Times New Roman"/>
          <w:b/>
          <w:bCs/>
          <w:caps/>
          <w:lang w:eastAsia="zh-CN"/>
        </w:rPr>
      </w:pPr>
    </w:p>
    <w:p w14:paraId="46BD8665" w14:textId="6FD9AD13" w:rsidR="00950BD5" w:rsidRPr="008A0130" w:rsidRDefault="00950BD5" w:rsidP="008A0130">
      <w:pPr>
        <w:widowControl w:val="0"/>
        <w:autoSpaceDE w:val="0"/>
        <w:autoSpaceDN w:val="0"/>
        <w:adjustRightInd w:val="0"/>
        <w:spacing w:line="360" w:lineRule="auto"/>
        <w:jc w:val="both"/>
        <w:rPr>
          <w:rFonts w:ascii="Book Antiqua" w:eastAsia="宋体" w:hAnsi="Book Antiqua" w:cs="Times New Roman"/>
          <w:b/>
          <w:bCs/>
          <w:caps/>
          <w:lang w:eastAsia="zh-CN"/>
        </w:rPr>
      </w:pPr>
      <w:r w:rsidRPr="008A0130">
        <w:rPr>
          <w:rFonts w:ascii="Book Antiqua" w:hAnsi="Book Antiqua"/>
          <w:b/>
        </w:rPr>
        <w:t>CONCLUSION</w:t>
      </w:r>
    </w:p>
    <w:p w14:paraId="7AE7E6CB" w14:textId="70E27726" w:rsidR="005D5BA1" w:rsidRPr="008A0130" w:rsidRDefault="00221FFA" w:rsidP="008A0130">
      <w:pPr>
        <w:widowControl w:val="0"/>
        <w:autoSpaceDE w:val="0"/>
        <w:autoSpaceDN w:val="0"/>
        <w:adjustRightInd w:val="0"/>
        <w:spacing w:line="360" w:lineRule="auto"/>
        <w:jc w:val="both"/>
        <w:rPr>
          <w:rFonts w:ascii="Book Antiqua" w:hAnsi="Book Antiqua" w:cs="Times New Roman"/>
        </w:rPr>
      </w:pPr>
      <w:r w:rsidRPr="008A0130">
        <w:rPr>
          <w:rFonts w:ascii="Book Antiqua" w:hAnsi="Book Antiqua" w:cs="Times New Roman"/>
        </w:rPr>
        <w:t>Recent studies have identified new components and regulators, as well as confirmed other already known players, of the canonical Wnt/</w:t>
      </w:r>
      <w:r w:rsidR="00F926B4" w:rsidRPr="008A0130">
        <w:rPr>
          <w:rFonts w:ascii="Book Antiqua" w:hAnsi="Book Antiqua" w:cs="Times New Roman"/>
        </w:rPr>
        <w:t>β</w:t>
      </w:r>
      <w:r w:rsidRPr="008A0130">
        <w:rPr>
          <w:rFonts w:ascii="Book Antiqua" w:hAnsi="Book Antiqua" w:cs="Times New Roman"/>
        </w:rPr>
        <w:t xml:space="preserve">-catenin pathway involved in the development, progression and metastasis of gastric cancer. </w:t>
      </w:r>
      <w:r w:rsidR="00F7245E" w:rsidRPr="008A0130">
        <w:rPr>
          <w:rFonts w:ascii="Book Antiqua" w:hAnsi="Book Antiqua" w:cs="Times New Roman"/>
        </w:rPr>
        <w:t>These studies have also provided new approach</w:t>
      </w:r>
      <w:r w:rsidR="005F668C" w:rsidRPr="008A0130">
        <w:rPr>
          <w:rFonts w:ascii="Book Antiqua" w:hAnsi="Book Antiqua" w:cs="Times New Roman"/>
        </w:rPr>
        <w:t>es to therapeutically target Wnt</w:t>
      </w:r>
      <w:r w:rsidR="00F7245E" w:rsidRPr="008A0130">
        <w:rPr>
          <w:rFonts w:ascii="Book Antiqua" w:hAnsi="Book Antiqua" w:cs="Times New Roman"/>
        </w:rPr>
        <w:t>/</w:t>
      </w:r>
      <w:r w:rsidR="00F926B4" w:rsidRPr="008A0130">
        <w:rPr>
          <w:rFonts w:ascii="Book Antiqua" w:hAnsi="Book Antiqua" w:cs="Times New Roman"/>
        </w:rPr>
        <w:t>β</w:t>
      </w:r>
      <w:r w:rsidR="00F7245E" w:rsidRPr="008A0130">
        <w:rPr>
          <w:rFonts w:ascii="Book Antiqua" w:hAnsi="Book Antiqua" w:cs="Times New Roman"/>
        </w:rPr>
        <w:t>-catenin signaling pathway in primary</w:t>
      </w:r>
      <w:r w:rsidR="00950BD5" w:rsidRPr="008A0130">
        <w:rPr>
          <w:rFonts w:ascii="Book Antiqua" w:hAnsi="Book Antiqua" w:cs="Times New Roman"/>
        </w:rPr>
        <w:t xml:space="preserve"> and metastatic gastric cancer.</w:t>
      </w:r>
      <w:r w:rsidR="00950BD5" w:rsidRPr="008A0130">
        <w:rPr>
          <w:rFonts w:ascii="Book Antiqua" w:eastAsia="宋体" w:hAnsi="Book Antiqua" w:cs="Times New Roman" w:hint="eastAsia"/>
          <w:lang w:eastAsia="zh-CN"/>
        </w:rPr>
        <w:t xml:space="preserve"> </w:t>
      </w:r>
      <w:r w:rsidR="00DE1896" w:rsidRPr="008A0130">
        <w:rPr>
          <w:rFonts w:ascii="Book Antiqua" w:hAnsi="Book Antiqua" w:cs="Times New Roman"/>
        </w:rPr>
        <w:t>The complexity of the Wnt/</w:t>
      </w:r>
      <w:r w:rsidR="00F926B4" w:rsidRPr="008A0130">
        <w:rPr>
          <w:rFonts w:ascii="Book Antiqua" w:hAnsi="Book Antiqua" w:cs="Times New Roman"/>
        </w:rPr>
        <w:t>β</w:t>
      </w:r>
      <w:r w:rsidR="00DE1896" w:rsidRPr="008A0130">
        <w:rPr>
          <w:rFonts w:ascii="Book Antiqua" w:hAnsi="Book Antiqua" w:cs="Times New Roman"/>
        </w:rPr>
        <w:t xml:space="preserve">-catenin pathway and the potential influence of </w:t>
      </w:r>
      <w:r w:rsidR="005F668C" w:rsidRPr="008A0130">
        <w:rPr>
          <w:rFonts w:ascii="Book Antiqua" w:hAnsi="Book Antiqua" w:cs="Times New Roman"/>
        </w:rPr>
        <w:t>the</w:t>
      </w:r>
      <w:r w:rsidR="00DE1896" w:rsidRPr="008A0130">
        <w:rPr>
          <w:rFonts w:ascii="Book Antiqua" w:hAnsi="Book Antiqua" w:cs="Times New Roman"/>
        </w:rPr>
        <w:t xml:space="preserve"> context imply a critical need for u</w:t>
      </w:r>
      <w:r w:rsidR="005F668C" w:rsidRPr="008A0130">
        <w:rPr>
          <w:rFonts w:ascii="Book Antiqua" w:hAnsi="Book Antiqua" w:cs="Times New Roman"/>
        </w:rPr>
        <w:t xml:space="preserve">nderstanding the interaction between </w:t>
      </w:r>
      <w:r w:rsidR="00DE1896" w:rsidRPr="008A0130">
        <w:rPr>
          <w:rFonts w:ascii="Book Antiqua" w:hAnsi="Book Antiqua" w:cs="Times New Roman"/>
        </w:rPr>
        <w:t>Wnt regulators</w:t>
      </w:r>
      <w:r w:rsidR="003E7409" w:rsidRPr="008A0130">
        <w:rPr>
          <w:rFonts w:ascii="Book Antiqua" w:hAnsi="Book Antiqua" w:cs="Times New Roman"/>
        </w:rPr>
        <w:t xml:space="preserve"> </w:t>
      </w:r>
      <w:r w:rsidR="005F668C" w:rsidRPr="008A0130">
        <w:rPr>
          <w:rFonts w:ascii="Book Antiqua" w:hAnsi="Book Antiqua" w:cs="Times New Roman"/>
        </w:rPr>
        <w:t>and with</w:t>
      </w:r>
      <w:r w:rsidR="00B305A7" w:rsidRPr="008A0130">
        <w:rPr>
          <w:rFonts w:ascii="Book Antiqua" w:hAnsi="Book Antiqua" w:cs="Times New Roman"/>
        </w:rPr>
        <w:t xml:space="preserve"> different oncogenic signaling pathways</w:t>
      </w:r>
      <w:r w:rsidR="00C27840" w:rsidRPr="008A0130">
        <w:rPr>
          <w:rFonts w:ascii="Book Antiqua" w:hAnsi="Book Antiqua" w:cs="Times New Roman"/>
        </w:rPr>
        <w:t>,</w:t>
      </w:r>
      <w:r w:rsidR="00B305A7" w:rsidRPr="008A0130">
        <w:rPr>
          <w:rFonts w:ascii="Book Antiqua" w:hAnsi="Book Antiqua" w:cs="Times New Roman"/>
        </w:rPr>
        <w:t xml:space="preserve"> </w:t>
      </w:r>
      <w:r w:rsidR="003E7409" w:rsidRPr="008A0130">
        <w:rPr>
          <w:rFonts w:ascii="Book Antiqua" w:hAnsi="Book Antiqua" w:cs="Times New Roman"/>
        </w:rPr>
        <w:t>to completely elucidate</w:t>
      </w:r>
      <w:r w:rsidR="00B305A7" w:rsidRPr="008A0130">
        <w:rPr>
          <w:rFonts w:ascii="Book Antiqua" w:hAnsi="Book Antiqua" w:cs="Times New Roman"/>
        </w:rPr>
        <w:t xml:space="preserve"> this pathway. </w:t>
      </w:r>
    </w:p>
    <w:p w14:paraId="68A24196" w14:textId="39110E8B" w:rsidR="00C6197A" w:rsidRPr="008A0130" w:rsidRDefault="00F7245E" w:rsidP="008A0130">
      <w:pPr>
        <w:widowControl w:val="0"/>
        <w:autoSpaceDE w:val="0"/>
        <w:autoSpaceDN w:val="0"/>
        <w:adjustRightInd w:val="0"/>
        <w:spacing w:line="360" w:lineRule="auto"/>
        <w:ind w:firstLineChars="100" w:firstLine="240"/>
        <w:jc w:val="both"/>
        <w:rPr>
          <w:rFonts w:ascii="Book Antiqua" w:hAnsi="Book Antiqua" w:cs="Times New Roman"/>
        </w:rPr>
      </w:pPr>
      <w:r w:rsidRPr="008A0130">
        <w:rPr>
          <w:rFonts w:ascii="Book Antiqua" w:hAnsi="Book Antiqua" w:cs="Times New Roman"/>
        </w:rPr>
        <w:t>In this regard, the contributio</w:t>
      </w:r>
      <w:r w:rsidR="005D5BA1" w:rsidRPr="008A0130">
        <w:rPr>
          <w:rFonts w:ascii="Book Antiqua" w:hAnsi="Book Antiqua" w:cs="Times New Roman"/>
        </w:rPr>
        <w:t>n of high throughput methods for</w:t>
      </w:r>
      <w:r w:rsidR="005A5375" w:rsidRPr="008A0130">
        <w:rPr>
          <w:rFonts w:ascii="Book Antiqua" w:hAnsi="Book Antiqua" w:cs="Times New Roman"/>
        </w:rPr>
        <w:t xml:space="preserve"> functional</w:t>
      </w:r>
      <w:r w:rsidRPr="008A0130">
        <w:rPr>
          <w:rFonts w:ascii="Book Antiqua" w:hAnsi="Book Antiqua" w:cs="Times New Roman"/>
        </w:rPr>
        <w:t xml:space="preserve"> </w:t>
      </w:r>
      <w:r w:rsidR="005D5BA1" w:rsidRPr="008A0130">
        <w:rPr>
          <w:rFonts w:ascii="Book Antiqua" w:hAnsi="Book Antiqua" w:cs="Times New Roman"/>
        </w:rPr>
        <w:t xml:space="preserve">genomics, epigenomics </w:t>
      </w:r>
      <w:r w:rsidRPr="008A0130">
        <w:rPr>
          <w:rFonts w:ascii="Book Antiqua" w:hAnsi="Book Antiqua" w:cs="Times New Roman"/>
        </w:rPr>
        <w:t xml:space="preserve">and </w:t>
      </w:r>
      <w:r w:rsidR="005A5375" w:rsidRPr="008A0130">
        <w:rPr>
          <w:rFonts w:ascii="Book Antiqua" w:hAnsi="Book Antiqua" w:cs="Times New Roman"/>
        </w:rPr>
        <w:t xml:space="preserve">for </w:t>
      </w:r>
      <w:r w:rsidR="003E7409" w:rsidRPr="008A0130">
        <w:rPr>
          <w:rFonts w:ascii="Book Antiqua" w:hAnsi="Book Antiqua" w:cs="Times New Roman"/>
        </w:rPr>
        <w:t xml:space="preserve">the </w:t>
      </w:r>
      <w:r w:rsidR="00C27840" w:rsidRPr="008A0130">
        <w:rPr>
          <w:rFonts w:ascii="Book Antiqua" w:hAnsi="Book Antiqua" w:cs="Times New Roman"/>
        </w:rPr>
        <w:t>screening</w:t>
      </w:r>
      <w:r w:rsidR="005A5375" w:rsidRPr="008A0130">
        <w:rPr>
          <w:rFonts w:ascii="Book Antiqua" w:hAnsi="Book Antiqua" w:cs="Times New Roman"/>
        </w:rPr>
        <w:t xml:space="preserve"> </w:t>
      </w:r>
      <w:r w:rsidR="003E7409" w:rsidRPr="008A0130">
        <w:rPr>
          <w:rFonts w:ascii="Book Antiqua" w:hAnsi="Book Antiqua" w:cs="Times New Roman"/>
        </w:rPr>
        <w:t xml:space="preserve">of </w:t>
      </w:r>
      <w:r w:rsidRPr="008A0130">
        <w:rPr>
          <w:rFonts w:ascii="Book Antiqua" w:hAnsi="Book Antiqua" w:cs="Times New Roman"/>
        </w:rPr>
        <w:t>potenti</w:t>
      </w:r>
      <w:r w:rsidR="005D5BA1" w:rsidRPr="008A0130">
        <w:rPr>
          <w:rFonts w:ascii="Book Antiqua" w:hAnsi="Book Antiqua" w:cs="Times New Roman"/>
        </w:rPr>
        <w:t xml:space="preserve">al therapeutic </w:t>
      </w:r>
      <w:r w:rsidR="005A5375" w:rsidRPr="008A0130">
        <w:rPr>
          <w:rFonts w:ascii="Book Antiqua" w:hAnsi="Book Antiqua" w:cs="Times New Roman"/>
        </w:rPr>
        <w:t>molecules</w:t>
      </w:r>
      <w:r w:rsidR="005D5BA1" w:rsidRPr="008A0130">
        <w:rPr>
          <w:rFonts w:ascii="Book Antiqua" w:hAnsi="Book Antiqua" w:cs="Times New Roman"/>
        </w:rPr>
        <w:t xml:space="preserve"> </w:t>
      </w:r>
      <w:r w:rsidRPr="008A0130">
        <w:rPr>
          <w:rFonts w:ascii="Book Antiqua" w:hAnsi="Book Antiqua" w:cs="Times New Roman"/>
        </w:rPr>
        <w:t>certainly will help in the near future.</w:t>
      </w:r>
      <w:r w:rsidR="005D5BA1" w:rsidRPr="008A0130">
        <w:rPr>
          <w:rFonts w:ascii="Book Antiqua" w:hAnsi="Book Antiqua" w:cs="Times New Roman"/>
        </w:rPr>
        <w:t xml:space="preserve"> These “new generation” methods could also address the additional challenge that represents the intratumoral and intertumoral (between patients) heterogeneity for effect</w:t>
      </w:r>
      <w:r w:rsidR="00EB5B7D" w:rsidRPr="008A0130">
        <w:rPr>
          <w:rFonts w:ascii="Book Antiqua" w:hAnsi="Book Antiqua" w:cs="Times New Roman"/>
        </w:rPr>
        <w:t>ive treatment of gastric tumors.</w:t>
      </w:r>
    </w:p>
    <w:p w14:paraId="3B01DA47" w14:textId="77777777" w:rsidR="00950BD5" w:rsidRPr="008A0130" w:rsidRDefault="00950BD5" w:rsidP="008A0130">
      <w:pPr>
        <w:widowControl w:val="0"/>
        <w:autoSpaceDE w:val="0"/>
        <w:autoSpaceDN w:val="0"/>
        <w:adjustRightInd w:val="0"/>
        <w:spacing w:line="360" w:lineRule="auto"/>
        <w:jc w:val="both"/>
        <w:rPr>
          <w:rFonts w:ascii="Book Antiqua" w:eastAsia="宋体" w:hAnsi="Book Antiqua" w:cs="Times New Roman"/>
          <w:b/>
          <w:lang w:eastAsia="zh-CN"/>
        </w:rPr>
      </w:pPr>
    </w:p>
    <w:p w14:paraId="09A83DC5" w14:textId="24C683D7" w:rsidR="00AB02F4" w:rsidRPr="008A0130" w:rsidRDefault="00950BD5" w:rsidP="008A0130">
      <w:pPr>
        <w:widowControl w:val="0"/>
        <w:autoSpaceDE w:val="0"/>
        <w:autoSpaceDN w:val="0"/>
        <w:adjustRightInd w:val="0"/>
        <w:spacing w:line="360" w:lineRule="auto"/>
        <w:jc w:val="both"/>
        <w:rPr>
          <w:rFonts w:ascii="Book Antiqua" w:hAnsi="Book Antiqua" w:cs="Times New Roman"/>
          <w:b/>
        </w:rPr>
      </w:pPr>
      <w:r w:rsidRPr="008A0130">
        <w:rPr>
          <w:rFonts w:ascii="Book Antiqua" w:hAnsi="Book Antiqua" w:cs="Times New Roman"/>
          <w:b/>
        </w:rPr>
        <w:t>ACKNOWLEDGEMENTS</w:t>
      </w:r>
    </w:p>
    <w:p w14:paraId="0717610B" w14:textId="28AC24C4" w:rsidR="00AB02F4" w:rsidRPr="008A0130" w:rsidRDefault="008A0130" w:rsidP="008A0130">
      <w:pPr>
        <w:autoSpaceDE w:val="0"/>
        <w:autoSpaceDN w:val="0"/>
        <w:adjustRightInd w:val="0"/>
        <w:spacing w:line="360" w:lineRule="auto"/>
        <w:jc w:val="both"/>
        <w:rPr>
          <w:rFonts w:ascii="Book Antiqua" w:hAnsi="Book Antiqua"/>
          <w:lang w:eastAsia="es-VE"/>
        </w:rPr>
      </w:pPr>
      <w:r>
        <w:rPr>
          <w:rFonts w:ascii="Book Antiqua" w:hAnsi="Book Antiqua"/>
          <w:bCs/>
          <w:iCs/>
          <w:lang w:eastAsia="es-VE"/>
        </w:rPr>
        <w:t>To N</w:t>
      </w:r>
      <w:r w:rsidR="00AB02F4" w:rsidRPr="008A0130">
        <w:rPr>
          <w:rFonts w:ascii="Book Antiqua" w:hAnsi="Book Antiqua"/>
          <w:bCs/>
          <w:iCs/>
          <w:lang w:eastAsia="es-VE"/>
        </w:rPr>
        <w:t xml:space="preserve"> Lander, PhD</w:t>
      </w:r>
      <w:r w:rsidR="00A70C54" w:rsidRPr="008A0130">
        <w:rPr>
          <w:rFonts w:ascii="Book Antiqua" w:hAnsi="Book Antiqua"/>
          <w:bCs/>
          <w:iCs/>
          <w:lang w:eastAsia="es-VE"/>
        </w:rPr>
        <w:t>,</w:t>
      </w:r>
      <w:r w:rsidR="00AB02F4" w:rsidRPr="008A0130">
        <w:rPr>
          <w:rFonts w:ascii="Book Antiqua" w:hAnsi="Book Antiqua"/>
          <w:bCs/>
          <w:iCs/>
          <w:lang w:eastAsia="es-VE"/>
        </w:rPr>
        <w:t xml:space="preserve"> for revising the English of the manuscript</w:t>
      </w:r>
      <w:r w:rsidR="00AB02F4" w:rsidRPr="008A0130">
        <w:rPr>
          <w:rFonts w:ascii="Book Antiqua" w:hAnsi="Book Antiqua"/>
          <w:lang w:eastAsia="es-VE"/>
        </w:rPr>
        <w:t>.</w:t>
      </w:r>
    </w:p>
    <w:p w14:paraId="511F97CE" w14:textId="77777777" w:rsidR="00950BD5" w:rsidRPr="008A0130" w:rsidRDefault="00950BD5" w:rsidP="008A0130">
      <w:pPr>
        <w:spacing w:line="360" w:lineRule="auto"/>
        <w:jc w:val="both"/>
        <w:rPr>
          <w:rFonts w:ascii="Book Antiqua" w:eastAsia="宋体" w:hAnsi="Book Antiqua" w:cs="Times New Roman"/>
          <w:b/>
          <w:lang w:eastAsia="zh-CN"/>
        </w:rPr>
      </w:pPr>
    </w:p>
    <w:p w14:paraId="50701B6F" w14:textId="77777777" w:rsidR="00A70C54" w:rsidRPr="008A0130" w:rsidRDefault="00A70C54" w:rsidP="008A0130">
      <w:pPr>
        <w:spacing w:line="360" w:lineRule="auto"/>
        <w:jc w:val="both"/>
        <w:rPr>
          <w:rFonts w:ascii="Book Antiqua" w:eastAsia="Times New Roman" w:hAnsi="Book Antiqua" w:cs="Times New Roman"/>
          <w:b/>
        </w:rPr>
      </w:pPr>
      <w:r w:rsidRPr="008A0130">
        <w:rPr>
          <w:rFonts w:ascii="Book Antiqua" w:eastAsia="Times New Roman" w:hAnsi="Book Antiqua" w:cs="Times New Roman"/>
          <w:b/>
        </w:rPr>
        <w:t>REFERENCES</w:t>
      </w:r>
    </w:p>
    <w:p w14:paraId="037D98B6" w14:textId="77777777" w:rsidR="00ED7EDD" w:rsidRPr="008A0130" w:rsidRDefault="00ED7EDD" w:rsidP="008A0130">
      <w:pPr>
        <w:autoSpaceDE w:val="0"/>
        <w:autoSpaceDN w:val="0"/>
        <w:adjustRightInd w:val="0"/>
        <w:spacing w:line="360" w:lineRule="auto"/>
        <w:jc w:val="both"/>
        <w:rPr>
          <w:rFonts w:ascii="Book Antiqua" w:hAnsi="Book Antiqua"/>
          <w:b/>
          <w:noProof/>
        </w:rPr>
        <w:sectPr w:rsidR="00ED7EDD" w:rsidRPr="008A0130" w:rsidSect="00B73E25">
          <w:footerReference w:type="even" r:id="rId12"/>
          <w:footerReference w:type="default" r:id="rId13"/>
          <w:pgSz w:w="12240" w:h="15840"/>
          <w:pgMar w:top="1440" w:right="1800" w:bottom="1440" w:left="1800" w:header="708" w:footer="708" w:gutter="0"/>
          <w:cols w:space="708"/>
          <w:docGrid w:linePitch="360"/>
        </w:sectPr>
      </w:pPr>
    </w:p>
    <w:p w14:paraId="344CE37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1 </w:t>
      </w:r>
      <w:r w:rsidRPr="008A0130">
        <w:rPr>
          <w:rFonts w:ascii="Book Antiqua" w:eastAsia="宋体" w:hAnsi="Book Antiqua" w:cs="宋体"/>
          <w:b/>
          <w:bCs/>
          <w:color w:val="000000"/>
          <w:lang w:eastAsia="zh-CN"/>
        </w:rPr>
        <w:t>Ferlay J</w:t>
      </w:r>
      <w:r w:rsidRPr="008A0130">
        <w:rPr>
          <w:rFonts w:ascii="Book Antiqua" w:eastAsia="宋体" w:hAnsi="Book Antiqua" w:cs="宋体"/>
          <w:color w:val="000000"/>
          <w:lang w:eastAsia="zh-CN"/>
        </w:rPr>
        <w:t>, Shin HR, Bray F, Forman D, Mathers C, Parkin DM. Estimates of worldwide burden of cancer in 2008: GLOBOCAN 2008. </w:t>
      </w:r>
      <w:r w:rsidRPr="008A0130">
        <w:rPr>
          <w:rFonts w:ascii="Book Antiqua" w:eastAsia="宋体" w:hAnsi="Book Antiqua" w:cs="宋体"/>
          <w:i/>
          <w:iCs/>
          <w:color w:val="000000"/>
          <w:lang w:eastAsia="zh-CN"/>
        </w:rPr>
        <w:t>Int J Cancer</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127</w:t>
      </w:r>
      <w:r w:rsidRPr="008A0130">
        <w:rPr>
          <w:rFonts w:ascii="Book Antiqua" w:eastAsia="宋体" w:hAnsi="Book Antiqua" w:cs="宋体"/>
          <w:color w:val="000000"/>
          <w:lang w:eastAsia="zh-CN"/>
        </w:rPr>
        <w:t>: 2893-2917 [PMID: 21351269 DOI: 10.1002/ijc.25516]</w:t>
      </w:r>
    </w:p>
    <w:p w14:paraId="04C05383" w14:textId="296C3F36"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2 </w:t>
      </w:r>
      <w:r w:rsidRPr="008A0130">
        <w:rPr>
          <w:rFonts w:ascii="Book Antiqua" w:eastAsia="宋体" w:hAnsi="Book Antiqua" w:cs="宋体"/>
          <w:b/>
          <w:bCs/>
          <w:color w:val="000000"/>
          <w:lang w:eastAsia="zh-CN"/>
        </w:rPr>
        <w:t>Jemal A</w:t>
      </w:r>
      <w:r w:rsidRPr="008A0130">
        <w:rPr>
          <w:rFonts w:ascii="Book Antiqua" w:eastAsia="宋体" w:hAnsi="Book Antiqua" w:cs="宋体"/>
          <w:color w:val="000000"/>
          <w:lang w:eastAsia="zh-CN"/>
        </w:rPr>
        <w:t>, Bray F, Center MM, Ferlay J, Ward E, Forman D. Global cancer statistics. </w:t>
      </w:r>
      <w:r w:rsidRPr="008A0130">
        <w:rPr>
          <w:rFonts w:ascii="Book Antiqua" w:eastAsia="宋体" w:hAnsi="Book Antiqua" w:cs="宋体"/>
          <w:i/>
          <w:iCs/>
          <w:color w:val="000000"/>
          <w:lang w:eastAsia="zh-CN"/>
        </w:rPr>
        <w:t>CA Cancer J Clin</w:t>
      </w:r>
      <w:r w:rsidRPr="008A0130">
        <w:rPr>
          <w:rFonts w:ascii="Book Antiqua" w:eastAsia="宋体" w:hAnsi="Book Antiqua" w:cs="宋体"/>
          <w:color w:val="000000"/>
          <w:lang w:eastAsia="zh-CN"/>
        </w:rPr>
        <w:t> </w:t>
      </w:r>
      <w:r w:rsidRPr="008A0130">
        <w:rPr>
          <w:rFonts w:ascii="Book Antiqua" w:eastAsia="宋体" w:hAnsi="Book Antiqua" w:cs="宋体" w:hint="eastAsia"/>
          <w:color w:val="000000"/>
          <w:lang w:eastAsia="zh-CN"/>
        </w:rPr>
        <w:t>2011</w:t>
      </w:r>
      <w:r w:rsidRPr="008A0130">
        <w:rPr>
          <w:rFonts w:ascii="Book Antiqua" w:eastAsia="宋体" w:hAnsi="Book Antiqua" w:cs="宋体"/>
          <w:color w:val="000000"/>
          <w:lang w:eastAsia="zh-CN"/>
        </w:rPr>
        <w:t>; </w:t>
      </w:r>
      <w:r w:rsidRPr="008A0130">
        <w:rPr>
          <w:rFonts w:ascii="Book Antiqua" w:eastAsia="宋体" w:hAnsi="Book Antiqua" w:cs="宋体"/>
          <w:b/>
          <w:bCs/>
          <w:color w:val="000000"/>
          <w:lang w:eastAsia="zh-CN"/>
        </w:rPr>
        <w:t>61</w:t>
      </w:r>
      <w:r w:rsidRPr="008A0130">
        <w:rPr>
          <w:rFonts w:ascii="Book Antiqua" w:eastAsia="宋体" w:hAnsi="Book Antiqua" w:cs="宋体"/>
          <w:color w:val="000000"/>
          <w:lang w:eastAsia="zh-CN"/>
        </w:rPr>
        <w:t>: 69-90 [PMID: 21296855 DOI: 10.3322/caac.20107]</w:t>
      </w:r>
    </w:p>
    <w:p w14:paraId="615069EE" w14:textId="3AD65558"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 xml:space="preserve">3 </w:t>
      </w:r>
      <w:r w:rsidRPr="008A0130">
        <w:rPr>
          <w:rFonts w:ascii="Book Antiqua" w:eastAsia="宋体" w:hAnsi="Book Antiqua" w:cs="宋体"/>
          <w:b/>
          <w:color w:val="000000"/>
          <w:lang w:eastAsia="zh-CN"/>
        </w:rPr>
        <w:t xml:space="preserve">Ferlay J, </w:t>
      </w:r>
      <w:r w:rsidRPr="008A0130">
        <w:rPr>
          <w:rFonts w:ascii="Book Antiqua" w:eastAsia="宋体" w:hAnsi="Book Antiqua" w:cs="宋体"/>
          <w:color w:val="000000"/>
          <w:lang w:eastAsia="zh-CN"/>
        </w:rPr>
        <w:t xml:space="preserve">Soerjomataram I, Ervik M, Dikshit R, Eser S, Mathers C, Rebelo M, Parkin DM, Forman D, Bray, F (2013). GLOBOCAN 2012 v1.0, Cancer Incidence </w:t>
      </w:r>
      <w:r w:rsidRPr="008A0130">
        <w:rPr>
          <w:rFonts w:ascii="Book Antiqua" w:eastAsia="宋体" w:hAnsi="Book Antiqua" w:cs="宋体"/>
          <w:color w:val="000000"/>
          <w:lang w:eastAsia="zh-CN"/>
        </w:rPr>
        <w:lastRenderedPageBreak/>
        <w:t>and Mortality Worldwide: IARC CancerBase No. 11 [Internet]. Lyon, France: International Agency for Research on Cancer. Available from http: //globocan.iarc.fr</w:t>
      </w:r>
    </w:p>
    <w:p w14:paraId="64FCC92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4 </w:t>
      </w:r>
      <w:r w:rsidRPr="008A0130">
        <w:rPr>
          <w:rFonts w:ascii="Book Antiqua" w:eastAsia="宋体" w:hAnsi="Book Antiqua" w:cs="宋体"/>
          <w:b/>
          <w:bCs/>
          <w:color w:val="000000"/>
          <w:lang w:eastAsia="zh-CN"/>
        </w:rPr>
        <w:t>Wu WK</w:t>
      </w:r>
      <w:r w:rsidRPr="008A0130">
        <w:rPr>
          <w:rFonts w:ascii="Book Antiqua" w:eastAsia="宋体" w:hAnsi="Book Antiqua" w:cs="宋体"/>
          <w:color w:val="000000"/>
          <w:lang w:eastAsia="zh-CN"/>
        </w:rPr>
        <w:t>, Cho CH, Lee CW, Fan D, Wu K, Yu J, Sung JJ. Dysregulation of cellular signaling in gastric cancer. </w:t>
      </w:r>
      <w:r w:rsidRPr="008A0130">
        <w:rPr>
          <w:rFonts w:ascii="Book Antiqua" w:eastAsia="宋体" w:hAnsi="Book Antiqua" w:cs="宋体"/>
          <w:i/>
          <w:iCs/>
          <w:color w:val="000000"/>
          <w:lang w:eastAsia="zh-CN"/>
        </w:rPr>
        <w:t>Cancer Lett</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295</w:t>
      </w:r>
      <w:r w:rsidRPr="008A0130">
        <w:rPr>
          <w:rFonts w:ascii="Book Antiqua" w:eastAsia="宋体" w:hAnsi="Book Antiqua" w:cs="宋体"/>
          <w:color w:val="000000"/>
          <w:lang w:eastAsia="zh-CN"/>
        </w:rPr>
        <w:t>: 144-153 [PMID: 20488613 DOI: 10.1016/j.canlet.2010.04.025]</w:t>
      </w:r>
    </w:p>
    <w:p w14:paraId="50BD69A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5 </w:t>
      </w:r>
      <w:r w:rsidRPr="008A0130">
        <w:rPr>
          <w:rFonts w:ascii="Book Antiqua" w:eastAsia="宋体" w:hAnsi="Book Antiqua" w:cs="宋体"/>
          <w:b/>
          <w:bCs/>
          <w:color w:val="000000"/>
          <w:lang w:eastAsia="zh-CN"/>
        </w:rPr>
        <w:t>Correa P</w:t>
      </w:r>
      <w:r w:rsidRPr="008A0130">
        <w:rPr>
          <w:rFonts w:ascii="Book Antiqua" w:eastAsia="宋体" w:hAnsi="Book Antiqua" w:cs="宋体"/>
          <w:color w:val="000000"/>
          <w:lang w:eastAsia="zh-CN"/>
        </w:rPr>
        <w:t>. A human model of gastric carcinogenesis.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1988; </w:t>
      </w:r>
      <w:r w:rsidRPr="008A0130">
        <w:rPr>
          <w:rFonts w:ascii="Book Antiqua" w:eastAsia="宋体" w:hAnsi="Book Antiqua" w:cs="宋体"/>
          <w:b/>
          <w:bCs/>
          <w:color w:val="000000"/>
          <w:lang w:eastAsia="zh-CN"/>
        </w:rPr>
        <w:t>48</w:t>
      </w:r>
      <w:r w:rsidRPr="008A0130">
        <w:rPr>
          <w:rFonts w:ascii="Book Antiqua" w:eastAsia="宋体" w:hAnsi="Book Antiqua" w:cs="宋体"/>
          <w:color w:val="000000"/>
          <w:lang w:eastAsia="zh-CN"/>
        </w:rPr>
        <w:t>: 3554-3560 [PMID: 3288329]</w:t>
      </w:r>
    </w:p>
    <w:p w14:paraId="0D8C1ED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6 </w:t>
      </w:r>
      <w:r w:rsidRPr="008A0130">
        <w:rPr>
          <w:rFonts w:ascii="Book Antiqua" w:eastAsia="宋体" w:hAnsi="Book Antiqua" w:cs="宋体"/>
          <w:b/>
          <w:bCs/>
          <w:color w:val="000000"/>
          <w:lang w:eastAsia="zh-CN"/>
        </w:rPr>
        <w:t>Resende C</w:t>
      </w:r>
      <w:r w:rsidRPr="008A0130">
        <w:rPr>
          <w:rFonts w:ascii="Book Antiqua" w:eastAsia="宋体" w:hAnsi="Book Antiqua" w:cs="宋体"/>
          <w:color w:val="000000"/>
          <w:lang w:eastAsia="zh-CN"/>
        </w:rPr>
        <w:t>, Thiel A, Machado JC, Ristimäki A. Gastric cancer: basic aspects. </w:t>
      </w:r>
      <w:r w:rsidRPr="008A0130">
        <w:rPr>
          <w:rFonts w:ascii="Book Antiqua" w:eastAsia="宋体" w:hAnsi="Book Antiqua" w:cs="宋体"/>
          <w:i/>
          <w:iCs/>
          <w:color w:val="000000"/>
          <w:lang w:eastAsia="zh-CN"/>
        </w:rPr>
        <w:t>Helicobacter</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 xml:space="preserve">16 </w:t>
      </w:r>
      <w:r w:rsidRPr="008A0130">
        <w:rPr>
          <w:rFonts w:ascii="Book Antiqua" w:eastAsia="宋体" w:hAnsi="Book Antiqua" w:cs="宋体"/>
          <w:bCs/>
          <w:color w:val="000000"/>
          <w:lang w:eastAsia="zh-CN"/>
        </w:rPr>
        <w:t>Suppl 1</w:t>
      </w:r>
      <w:r w:rsidRPr="008A0130">
        <w:rPr>
          <w:rFonts w:ascii="Book Antiqua" w:eastAsia="宋体" w:hAnsi="Book Antiqua" w:cs="宋体"/>
          <w:color w:val="000000"/>
          <w:lang w:eastAsia="zh-CN"/>
        </w:rPr>
        <w:t>: 38-44 [PMID: 21896084 DOI: 10.1111/j.1523-5378.2011.00879.x]</w:t>
      </w:r>
    </w:p>
    <w:p w14:paraId="5388D84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7 </w:t>
      </w:r>
      <w:r w:rsidRPr="008A0130">
        <w:rPr>
          <w:rFonts w:ascii="Book Antiqua" w:eastAsia="宋体" w:hAnsi="Book Antiqua" w:cs="宋体"/>
          <w:b/>
          <w:bCs/>
          <w:color w:val="000000"/>
          <w:lang w:eastAsia="zh-CN"/>
        </w:rPr>
        <w:t>McNamara D</w:t>
      </w:r>
      <w:r w:rsidRPr="008A0130">
        <w:rPr>
          <w:rFonts w:ascii="Book Antiqua" w:eastAsia="宋体" w:hAnsi="Book Antiqua" w:cs="宋体"/>
          <w:color w:val="000000"/>
          <w:lang w:eastAsia="zh-CN"/>
        </w:rPr>
        <w:t>, El-Omar E. Helicobacter pylori infection and the pathogenesis of gastric cancer: a paradigm for host-bacterial interactions. </w:t>
      </w:r>
      <w:r w:rsidRPr="008A0130">
        <w:rPr>
          <w:rFonts w:ascii="Book Antiqua" w:eastAsia="宋体" w:hAnsi="Book Antiqua" w:cs="宋体"/>
          <w:i/>
          <w:iCs/>
          <w:color w:val="000000"/>
          <w:lang w:eastAsia="zh-CN"/>
        </w:rPr>
        <w:t>Dig Liver Dis</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40</w:t>
      </w:r>
      <w:r w:rsidRPr="008A0130">
        <w:rPr>
          <w:rFonts w:ascii="Book Antiqua" w:eastAsia="宋体" w:hAnsi="Book Antiqua" w:cs="宋体"/>
          <w:color w:val="000000"/>
          <w:lang w:eastAsia="zh-CN"/>
        </w:rPr>
        <w:t>: 504-509 [PMID: 18486572 DOI: 10.1016/j.dld.2008.02.031]</w:t>
      </w:r>
    </w:p>
    <w:p w14:paraId="43DE0D6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8 </w:t>
      </w:r>
      <w:r w:rsidRPr="008A0130">
        <w:rPr>
          <w:rFonts w:ascii="Book Antiqua" w:eastAsia="宋体" w:hAnsi="Book Antiqua" w:cs="宋体"/>
          <w:b/>
          <w:bCs/>
          <w:color w:val="000000"/>
          <w:lang w:eastAsia="zh-CN"/>
        </w:rPr>
        <w:t>Ooi CH</w:t>
      </w:r>
      <w:r w:rsidRPr="008A0130">
        <w:rPr>
          <w:rFonts w:ascii="Book Antiqua" w:eastAsia="宋体" w:hAnsi="Book Antiqua" w:cs="宋体"/>
          <w:color w:val="000000"/>
          <w:lang w:eastAsia="zh-CN"/>
        </w:rPr>
        <w:t>, Ivanova T, Wu J, Lee M, Tan IB, Tao J, Ward L, Koo JH, Gopalakrishnan V, Zhu Y, Cheng LL, Lee J, Rha SY, Chung HC, Ganesan K, So J, Soo KC, Lim D, Chan WH, Wong WK, Bowtell D, Yeoh KG, Grabsch H, Boussioutas A, Tan P. Oncogenic pathway combinations predict clinical prognosis in gastric cancer. </w:t>
      </w:r>
      <w:r w:rsidRPr="008A0130">
        <w:rPr>
          <w:rFonts w:ascii="Book Antiqua" w:eastAsia="宋体" w:hAnsi="Book Antiqua" w:cs="宋体"/>
          <w:i/>
          <w:iCs/>
          <w:color w:val="000000"/>
          <w:lang w:eastAsia="zh-CN"/>
        </w:rPr>
        <w:t>PLoS Genet</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e1000676 [PMID: 19798449 DOI: 10.1371/journal.pgen.1000676]</w:t>
      </w:r>
    </w:p>
    <w:p w14:paraId="38B4508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9 </w:t>
      </w:r>
      <w:r w:rsidRPr="008A0130">
        <w:rPr>
          <w:rFonts w:ascii="Book Antiqua" w:eastAsia="宋体" w:hAnsi="Book Antiqua" w:cs="宋体"/>
          <w:b/>
          <w:bCs/>
          <w:color w:val="000000"/>
          <w:lang w:eastAsia="zh-CN"/>
        </w:rPr>
        <w:t>Clements WM</w:t>
      </w:r>
      <w:r w:rsidRPr="008A0130">
        <w:rPr>
          <w:rFonts w:ascii="Book Antiqua" w:eastAsia="宋体" w:hAnsi="Book Antiqua" w:cs="宋体"/>
          <w:color w:val="000000"/>
          <w:lang w:eastAsia="zh-CN"/>
        </w:rPr>
        <w:t>, Wang J, Sarnaik A, Kim OJ, MacDonald J, Fenoglio-Preiser C, Groden J, Lowy AM. beta-Catenin mutation is a frequent cause of Wnt pathway activation in gastric cancer.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62</w:t>
      </w:r>
      <w:r w:rsidRPr="008A0130">
        <w:rPr>
          <w:rFonts w:ascii="Book Antiqua" w:eastAsia="宋体" w:hAnsi="Book Antiqua" w:cs="宋体"/>
          <w:color w:val="000000"/>
          <w:lang w:eastAsia="zh-CN"/>
        </w:rPr>
        <w:t>: 3503-3506 [PMID: 12067995]</w:t>
      </w:r>
    </w:p>
    <w:p w14:paraId="7882226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10 </w:t>
      </w:r>
      <w:r w:rsidRPr="008A0130">
        <w:rPr>
          <w:rFonts w:ascii="Book Antiqua" w:eastAsia="宋体" w:hAnsi="Book Antiqua" w:cs="宋体"/>
          <w:b/>
          <w:bCs/>
          <w:color w:val="000000"/>
          <w:lang w:eastAsia="zh-CN"/>
        </w:rPr>
        <w:t>Ikenoue T</w:t>
      </w:r>
      <w:r w:rsidRPr="008A0130">
        <w:rPr>
          <w:rFonts w:ascii="Book Antiqua" w:eastAsia="宋体" w:hAnsi="Book Antiqua" w:cs="宋体"/>
          <w:color w:val="000000"/>
          <w:lang w:eastAsia="zh-CN"/>
        </w:rPr>
        <w:t>, Ijichi H, Kato N, Kanai F, Masaki T, Rengifo W, Okamoto M, Matsumura M, Kawabe T, Shiratori Y, Omata M. Analysis of the beta-catenin/T cell factor signaling pathway in 36 gastrointestinal and liver cancer cells. </w:t>
      </w:r>
      <w:r w:rsidRPr="008A0130">
        <w:rPr>
          <w:rFonts w:ascii="Book Antiqua" w:eastAsia="宋体" w:hAnsi="Book Antiqua" w:cs="宋体"/>
          <w:i/>
          <w:iCs/>
          <w:color w:val="000000"/>
          <w:lang w:eastAsia="zh-CN"/>
        </w:rPr>
        <w:t>Jpn J Cancer Res</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93</w:t>
      </w:r>
      <w:r w:rsidRPr="008A0130">
        <w:rPr>
          <w:rFonts w:ascii="Book Antiqua" w:eastAsia="宋体" w:hAnsi="Book Antiqua" w:cs="宋体"/>
          <w:color w:val="000000"/>
          <w:lang w:eastAsia="zh-CN"/>
        </w:rPr>
        <w:t>: 1213-1220 [PMID: 12460462 DOI: 10.1111/j.1349-7006.2002.tb01226.x]</w:t>
      </w:r>
    </w:p>
    <w:p w14:paraId="336EE80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11 </w:t>
      </w:r>
      <w:r w:rsidRPr="008A0130">
        <w:rPr>
          <w:rFonts w:ascii="Book Antiqua" w:eastAsia="宋体" w:hAnsi="Book Antiqua" w:cs="宋体"/>
          <w:b/>
          <w:bCs/>
          <w:color w:val="000000"/>
          <w:lang w:eastAsia="zh-CN"/>
        </w:rPr>
        <w:t>Baker NE</w:t>
      </w:r>
      <w:r w:rsidRPr="008A0130">
        <w:rPr>
          <w:rFonts w:ascii="Book Antiqua" w:eastAsia="宋体" w:hAnsi="Book Antiqua" w:cs="宋体"/>
          <w:color w:val="000000"/>
          <w:lang w:eastAsia="zh-CN"/>
        </w:rPr>
        <w:t>. Transcription of the segment-polarity gene wingless in the imaginal discs of Drosophila, and the phenotype of a pupal-lethal wg mutation. </w:t>
      </w:r>
      <w:r w:rsidRPr="008A0130">
        <w:rPr>
          <w:rFonts w:ascii="Book Antiqua" w:eastAsia="宋体" w:hAnsi="Book Antiqua" w:cs="宋体"/>
          <w:i/>
          <w:iCs/>
          <w:color w:val="000000"/>
          <w:lang w:eastAsia="zh-CN"/>
        </w:rPr>
        <w:t>Development</w:t>
      </w:r>
      <w:r w:rsidRPr="008A0130">
        <w:rPr>
          <w:rFonts w:ascii="Book Antiqua" w:eastAsia="宋体" w:hAnsi="Book Antiqua" w:cs="宋体"/>
          <w:color w:val="000000"/>
          <w:lang w:eastAsia="zh-CN"/>
        </w:rPr>
        <w:t> 1988; </w:t>
      </w:r>
      <w:r w:rsidRPr="008A0130">
        <w:rPr>
          <w:rFonts w:ascii="Book Antiqua" w:eastAsia="宋体" w:hAnsi="Book Antiqua" w:cs="宋体"/>
          <w:b/>
          <w:bCs/>
          <w:color w:val="000000"/>
          <w:lang w:eastAsia="zh-CN"/>
        </w:rPr>
        <w:t>102</w:t>
      </w:r>
      <w:r w:rsidRPr="008A0130">
        <w:rPr>
          <w:rFonts w:ascii="Book Antiqua" w:eastAsia="宋体" w:hAnsi="Book Antiqua" w:cs="宋体"/>
          <w:color w:val="000000"/>
          <w:lang w:eastAsia="zh-CN"/>
        </w:rPr>
        <w:t>: 489-497 [PMID: 3181031]</w:t>
      </w:r>
    </w:p>
    <w:p w14:paraId="40C8B60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12 </w:t>
      </w:r>
      <w:r w:rsidRPr="008A0130">
        <w:rPr>
          <w:rFonts w:ascii="Book Antiqua" w:eastAsia="宋体" w:hAnsi="Book Antiqua" w:cs="宋体"/>
          <w:b/>
          <w:bCs/>
          <w:color w:val="000000"/>
          <w:lang w:eastAsia="zh-CN"/>
        </w:rPr>
        <w:t>Croce JC</w:t>
      </w:r>
      <w:r w:rsidRPr="008A0130">
        <w:rPr>
          <w:rFonts w:ascii="Book Antiqua" w:eastAsia="宋体" w:hAnsi="Book Antiqua" w:cs="宋体"/>
          <w:color w:val="000000"/>
          <w:lang w:eastAsia="zh-CN"/>
        </w:rPr>
        <w:t>, McClay DR. Evolution of the Wnt pathways. </w:t>
      </w:r>
      <w:r w:rsidRPr="008A0130">
        <w:rPr>
          <w:rFonts w:ascii="Book Antiqua" w:eastAsia="宋体" w:hAnsi="Book Antiqua" w:cs="宋体"/>
          <w:i/>
          <w:iCs/>
          <w:color w:val="000000"/>
          <w:lang w:eastAsia="zh-CN"/>
        </w:rPr>
        <w:t>Methods Mol Biol</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469</w:t>
      </w:r>
      <w:r w:rsidRPr="008A0130">
        <w:rPr>
          <w:rFonts w:ascii="Book Antiqua" w:eastAsia="宋体" w:hAnsi="Book Antiqua" w:cs="宋体"/>
          <w:color w:val="000000"/>
          <w:lang w:eastAsia="zh-CN"/>
        </w:rPr>
        <w:t>: 3-18 [PMID: 19109698 DOI: 10.1007/978-1-60327-469-2_1]</w:t>
      </w:r>
    </w:p>
    <w:p w14:paraId="6EFB0D3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13 </w:t>
      </w:r>
      <w:r w:rsidRPr="008A0130">
        <w:rPr>
          <w:rFonts w:ascii="Book Antiqua" w:eastAsia="宋体" w:hAnsi="Book Antiqua" w:cs="宋体"/>
          <w:b/>
          <w:bCs/>
          <w:color w:val="000000"/>
          <w:lang w:eastAsia="zh-CN"/>
        </w:rPr>
        <w:t>Wang HY</w:t>
      </w:r>
      <w:r w:rsidRPr="008A0130">
        <w:rPr>
          <w:rFonts w:ascii="Book Antiqua" w:eastAsia="宋体" w:hAnsi="Book Antiqua" w:cs="宋体"/>
          <w:color w:val="000000"/>
          <w:lang w:eastAsia="zh-CN"/>
        </w:rPr>
        <w:t>, Liu T, Malbon CC. Structure-function analysis of Frizzleds. </w:t>
      </w:r>
      <w:r w:rsidRPr="008A0130">
        <w:rPr>
          <w:rFonts w:ascii="Book Antiqua" w:eastAsia="宋体" w:hAnsi="Book Antiqua" w:cs="宋体"/>
          <w:i/>
          <w:iCs/>
          <w:color w:val="000000"/>
          <w:lang w:eastAsia="zh-CN"/>
        </w:rPr>
        <w:t>Cell Signal</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18</w:t>
      </w:r>
      <w:r w:rsidRPr="008A0130">
        <w:rPr>
          <w:rFonts w:ascii="Book Antiqua" w:eastAsia="宋体" w:hAnsi="Book Antiqua" w:cs="宋体"/>
          <w:color w:val="000000"/>
          <w:lang w:eastAsia="zh-CN"/>
        </w:rPr>
        <w:t>: 934-941 [PMID: 16480852 DOI: 10.1016/j.cellsig.2005.12.008]</w:t>
      </w:r>
    </w:p>
    <w:p w14:paraId="3035FFE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14 </w:t>
      </w:r>
      <w:r w:rsidRPr="008A0130">
        <w:rPr>
          <w:rFonts w:ascii="Book Antiqua" w:eastAsia="宋体" w:hAnsi="Book Antiqua" w:cs="宋体"/>
          <w:b/>
          <w:bCs/>
          <w:color w:val="000000"/>
          <w:lang w:eastAsia="zh-CN"/>
        </w:rPr>
        <w:t>Willert K</w:t>
      </w:r>
      <w:r w:rsidRPr="008A0130">
        <w:rPr>
          <w:rFonts w:ascii="Book Antiqua" w:eastAsia="宋体" w:hAnsi="Book Antiqua" w:cs="宋体"/>
          <w:color w:val="000000"/>
          <w:lang w:eastAsia="zh-CN"/>
        </w:rPr>
        <w:t>, Nusse R. Wnt proteins. </w:t>
      </w:r>
      <w:r w:rsidRPr="008A0130">
        <w:rPr>
          <w:rFonts w:ascii="Book Antiqua" w:eastAsia="宋体" w:hAnsi="Book Antiqua" w:cs="宋体"/>
          <w:i/>
          <w:iCs/>
          <w:color w:val="000000"/>
          <w:lang w:eastAsia="zh-CN"/>
        </w:rPr>
        <w:t>Cold Spring Harb Perspect Biol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4</w:t>
      </w:r>
      <w:r w:rsidRPr="008A0130">
        <w:rPr>
          <w:rFonts w:ascii="Book Antiqua" w:eastAsia="宋体" w:hAnsi="Book Antiqua" w:cs="宋体"/>
          <w:color w:val="000000"/>
          <w:lang w:eastAsia="zh-CN"/>
        </w:rPr>
        <w:t>: a007864 [PMID: 22952392 DOI: 10.1101/cshperspect.a007864]</w:t>
      </w:r>
    </w:p>
    <w:p w14:paraId="22A7C29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15 </w:t>
      </w:r>
      <w:r w:rsidRPr="008A0130">
        <w:rPr>
          <w:rFonts w:ascii="Book Antiqua" w:eastAsia="宋体" w:hAnsi="Book Antiqua" w:cs="宋体"/>
          <w:b/>
          <w:bCs/>
          <w:color w:val="000000"/>
          <w:lang w:eastAsia="zh-CN"/>
        </w:rPr>
        <w:t>Dijksterhuis JP</w:t>
      </w:r>
      <w:r w:rsidRPr="008A0130">
        <w:rPr>
          <w:rFonts w:ascii="Book Antiqua" w:eastAsia="宋体" w:hAnsi="Book Antiqua" w:cs="宋体"/>
          <w:color w:val="000000"/>
          <w:lang w:eastAsia="zh-CN"/>
        </w:rPr>
        <w:t>, Petersen J, Schulte G. WNT/Frizzled signalling: receptor-ligand selectivity with focus on FZD-G protein signalling and its physiological relevance: IUPHAR Review 3. </w:t>
      </w:r>
      <w:r w:rsidRPr="008A0130">
        <w:rPr>
          <w:rFonts w:ascii="Book Antiqua" w:eastAsia="宋体" w:hAnsi="Book Antiqua" w:cs="宋体"/>
          <w:i/>
          <w:iCs/>
          <w:color w:val="000000"/>
          <w:lang w:eastAsia="zh-CN"/>
        </w:rPr>
        <w:t>Br J Pharmacol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171</w:t>
      </w:r>
      <w:r w:rsidRPr="008A0130">
        <w:rPr>
          <w:rFonts w:ascii="Book Antiqua" w:eastAsia="宋体" w:hAnsi="Book Antiqua" w:cs="宋体"/>
          <w:color w:val="000000"/>
          <w:lang w:eastAsia="zh-CN"/>
        </w:rPr>
        <w:t>: 1195-1209 [PMID: 24032637 DOI: 10.1111/bph.12364]</w:t>
      </w:r>
    </w:p>
    <w:p w14:paraId="18E1347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16 </w:t>
      </w:r>
      <w:r w:rsidRPr="008A0130">
        <w:rPr>
          <w:rFonts w:ascii="Book Antiqua" w:eastAsia="宋体" w:hAnsi="Book Antiqua" w:cs="宋体"/>
          <w:b/>
          <w:bCs/>
          <w:color w:val="000000"/>
          <w:lang w:eastAsia="zh-CN"/>
        </w:rPr>
        <w:t>Hendrickx M</w:t>
      </w:r>
      <w:r w:rsidRPr="008A0130">
        <w:rPr>
          <w:rFonts w:ascii="Book Antiqua" w:eastAsia="宋体" w:hAnsi="Book Antiqua" w:cs="宋体"/>
          <w:color w:val="000000"/>
          <w:lang w:eastAsia="zh-CN"/>
        </w:rPr>
        <w:t>, Leyns L. Non-conventional Frizzled ligands and Wnt receptors. </w:t>
      </w:r>
      <w:r w:rsidRPr="008A0130">
        <w:rPr>
          <w:rFonts w:ascii="Book Antiqua" w:eastAsia="宋体" w:hAnsi="Book Antiqua" w:cs="宋体"/>
          <w:i/>
          <w:iCs/>
          <w:color w:val="000000"/>
          <w:lang w:eastAsia="zh-CN"/>
        </w:rPr>
        <w:t>Dev Growth Differ</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50</w:t>
      </w:r>
      <w:r w:rsidRPr="008A0130">
        <w:rPr>
          <w:rFonts w:ascii="Book Antiqua" w:eastAsia="宋体" w:hAnsi="Book Antiqua" w:cs="宋体"/>
          <w:color w:val="000000"/>
          <w:lang w:eastAsia="zh-CN"/>
        </w:rPr>
        <w:t>: 229-243 [PMID: 18366384 DOI: 10.1111/j.1440-169X.2008.01016.x]</w:t>
      </w:r>
    </w:p>
    <w:p w14:paraId="12A6544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17 </w:t>
      </w:r>
      <w:r w:rsidRPr="008A0130">
        <w:rPr>
          <w:rFonts w:ascii="Book Antiqua" w:eastAsia="宋体" w:hAnsi="Book Antiqua" w:cs="宋体"/>
          <w:b/>
          <w:bCs/>
          <w:color w:val="000000"/>
          <w:lang w:eastAsia="zh-CN"/>
        </w:rPr>
        <w:t>Kikuchi A</w:t>
      </w:r>
      <w:r w:rsidRPr="008A0130">
        <w:rPr>
          <w:rFonts w:ascii="Book Antiqua" w:eastAsia="宋体" w:hAnsi="Book Antiqua" w:cs="宋体"/>
          <w:color w:val="000000"/>
          <w:lang w:eastAsia="zh-CN"/>
        </w:rPr>
        <w:t>, Yamamoto H, Sato A, Matsumoto S. New insights into the mechanism of Wnt signaling pathway activation. </w:t>
      </w:r>
      <w:r w:rsidRPr="008A0130">
        <w:rPr>
          <w:rFonts w:ascii="Book Antiqua" w:eastAsia="宋体" w:hAnsi="Book Antiqua" w:cs="宋体"/>
          <w:i/>
          <w:iCs/>
          <w:color w:val="000000"/>
          <w:lang w:eastAsia="zh-CN"/>
        </w:rPr>
        <w:t>Int Rev Cell Mol Biol</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291</w:t>
      </w:r>
      <w:r w:rsidRPr="008A0130">
        <w:rPr>
          <w:rFonts w:ascii="Book Antiqua" w:eastAsia="宋体" w:hAnsi="Book Antiqua" w:cs="宋体"/>
          <w:color w:val="000000"/>
          <w:lang w:eastAsia="zh-CN"/>
        </w:rPr>
        <w:t>: 21-71 [PMID: 22017973 DOI: 10.1016/B978-0-12-386035-4.00002-1]</w:t>
      </w:r>
    </w:p>
    <w:p w14:paraId="11FC179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18 </w:t>
      </w:r>
      <w:r w:rsidRPr="008A0130">
        <w:rPr>
          <w:rFonts w:ascii="Book Antiqua" w:eastAsia="宋体" w:hAnsi="Book Antiqua" w:cs="宋体"/>
          <w:b/>
          <w:bCs/>
          <w:color w:val="000000"/>
          <w:lang w:eastAsia="zh-CN"/>
        </w:rPr>
        <w:t>Niehrs C</w:t>
      </w:r>
      <w:r w:rsidRPr="008A0130">
        <w:rPr>
          <w:rFonts w:ascii="Book Antiqua" w:eastAsia="宋体" w:hAnsi="Book Antiqua" w:cs="宋体"/>
          <w:color w:val="000000"/>
          <w:lang w:eastAsia="zh-CN"/>
        </w:rPr>
        <w:t>. The complex world of WNT receptor signalling. </w:t>
      </w:r>
      <w:r w:rsidRPr="008A0130">
        <w:rPr>
          <w:rFonts w:ascii="Book Antiqua" w:eastAsia="宋体" w:hAnsi="Book Antiqua" w:cs="宋体"/>
          <w:i/>
          <w:iCs/>
          <w:color w:val="000000"/>
          <w:lang w:eastAsia="zh-CN"/>
        </w:rPr>
        <w:t>Nat Rev Mol Cell Biol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13</w:t>
      </w:r>
      <w:r w:rsidRPr="008A0130">
        <w:rPr>
          <w:rFonts w:ascii="Book Antiqua" w:eastAsia="宋体" w:hAnsi="Book Antiqua" w:cs="宋体"/>
          <w:color w:val="000000"/>
          <w:lang w:eastAsia="zh-CN"/>
        </w:rPr>
        <w:t>: 767-779 [PMID: 23151663 DOI: 10.1038/nrm3470]</w:t>
      </w:r>
    </w:p>
    <w:p w14:paraId="0F21AFA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19 </w:t>
      </w:r>
      <w:r w:rsidRPr="008A0130">
        <w:rPr>
          <w:rFonts w:ascii="Book Antiqua" w:eastAsia="宋体" w:hAnsi="Book Antiqua" w:cs="宋体"/>
          <w:b/>
          <w:bCs/>
          <w:color w:val="000000"/>
          <w:lang w:eastAsia="zh-CN"/>
        </w:rPr>
        <w:t>Semenov MV</w:t>
      </w:r>
      <w:r w:rsidRPr="008A0130">
        <w:rPr>
          <w:rFonts w:ascii="Book Antiqua" w:eastAsia="宋体" w:hAnsi="Book Antiqua" w:cs="宋体"/>
          <w:color w:val="000000"/>
          <w:lang w:eastAsia="zh-CN"/>
        </w:rPr>
        <w:t>, Habas R, Macdonald BT, He X. SnapShot: Noncanonical Wnt Signaling Pathways. </w:t>
      </w:r>
      <w:r w:rsidRPr="008A0130">
        <w:rPr>
          <w:rFonts w:ascii="Book Antiqua" w:eastAsia="宋体" w:hAnsi="Book Antiqua" w:cs="宋体"/>
          <w:i/>
          <w:iCs/>
          <w:color w:val="000000"/>
          <w:lang w:eastAsia="zh-CN"/>
        </w:rPr>
        <w:t>Cell</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131</w:t>
      </w:r>
      <w:r w:rsidRPr="008A0130">
        <w:rPr>
          <w:rFonts w:ascii="Book Antiqua" w:eastAsia="宋体" w:hAnsi="Book Antiqua" w:cs="宋体"/>
          <w:color w:val="000000"/>
          <w:lang w:eastAsia="zh-CN"/>
        </w:rPr>
        <w:t>: 1378 [PMID: 18160045 DOI: 10.1016/j.cell.2007.12.011]</w:t>
      </w:r>
    </w:p>
    <w:p w14:paraId="1A5BA10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20 </w:t>
      </w:r>
      <w:r w:rsidRPr="008A0130">
        <w:rPr>
          <w:rFonts w:ascii="Book Antiqua" w:eastAsia="宋体" w:hAnsi="Book Antiqua" w:cs="宋体"/>
          <w:b/>
          <w:bCs/>
          <w:color w:val="000000"/>
          <w:lang w:eastAsia="zh-CN"/>
        </w:rPr>
        <w:t>MacDonald BT</w:t>
      </w:r>
      <w:r w:rsidRPr="008A0130">
        <w:rPr>
          <w:rFonts w:ascii="Book Antiqua" w:eastAsia="宋体" w:hAnsi="Book Antiqua" w:cs="宋体"/>
          <w:color w:val="000000"/>
          <w:lang w:eastAsia="zh-CN"/>
        </w:rPr>
        <w:t>, Tamai K, He X. Wnt/beta-catenin signaling: components, mechanisms, and diseases. </w:t>
      </w:r>
      <w:r w:rsidRPr="008A0130">
        <w:rPr>
          <w:rFonts w:ascii="Book Antiqua" w:eastAsia="宋体" w:hAnsi="Book Antiqua" w:cs="宋体"/>
          <w:i/>
          <w:iCs/>
          <w:color w:val="000000"/>
          <w:lang w:eastAsia="zh-CN"/>
        </w:rPr>
        <w:t>Dev Cell</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17</w:t>
      </w:r>
      <w:r w:rsidRPr="008A0130">
        <w:rPr>
          <w:rFonts w:ascii="Book Antiqua" w:eastAsia="宋体" w:hAnsi="Book Antiqua" w:cs="宋体"/>
          <w:color w:val="000000"/>
          <w:lang w:eastAsia="zh-CN"/>
        </w:rPr>
        <w:t>: 9-26 [PMID: 19619488 DOI: 10.1016/j.devcel.2009.06.016]</w:t>
      </w:r>
    </w:p>
    <w:p w14:paraId="483D9F2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21 </w:t>
      </w:r>
      <w:r w:rsidRPr="008A0130">
        <w:rPr>
          <w:rFonts w:ascii="Book Antiqua" w:eastAsia="宋体" w:hAnsi="Book Antiqua" w:cs="宋体"/>
          <w:b/>
          <w:bCs/>
          <w:color w:val="000000"/>
          <w:lang w:eastAsia="zh-CN"/>
        </w:rPr>
        <w:t>Rao TP</w:t>
      </w:r>
      <w:r w:rsidRPr="008A0130">
        <w:rPr>
          <w:rFonts w:ascii="Book Antiqua" w:eastAsia="宋体" w:hAnsi="Book Antiqua" w:cs="宋体"/>
          <w:color w:val="000000"/>
          <w:lang w:eastAsia="zh-CN"/>
        </w:rPr>
        <w:t>, Kühl M. An updated overview on Wnt signaling pathways: a prelude for more. </w:t>
      </w:r>
      <w:r w:rsidRPr="008A0130">
        <w:rPr>
          <w:rFonts w:ascii="Book Antiqua" w:eastAsia="宋体" w:hAnsi="Book Antiqua" w:cs="宋体"/>
          <w:i/>
          <w:iCs/>
          <w:color w:val="000000"/>
          <w:lang w:eastAsia="zh-CN"/>
        </w:rPr>
        <w:t>Circ Res</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106</w:t>
      </w:r>
      <w:r w:rsidRPr="008A0130">
        <w:rPr>
          <w:rFonts w:ascii="Book Antiqua" w:eastAsia="宋体" w:hAnsi="Book Antiqua" w:cs="宋体"/>
          <w:color w:val="000000"/>
          <w:lang w:eastAsia="zh-CN"/>
        </w:rPr>
        <w:t>: 1798-1806 [PMID: 20576942 DOI: 10.1161/CIRCRESAHA.110.219840]</w:t>
      </w:r>
    </w:p>
    <w:p w14:paraId="7F10511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22 </w:t>
      </w:r>
      <w:r w:rsidRPr="008A0130">
        <w:rPr>
          <w:rFonts w:ascii="Book Antiqua" w:eastAsia="宋体" w:hAnsi="Book Antiqua" w:cs="宋体"/>
          <w:b/>
          <w:bCs/>
          <w:color w:val="000000"/>
          <w:lang w:eastAsia="zh-CN"/>
        </w:rPr>
        <w:t>Schulte G</w:t>
      </w:r>
      <w:r w:rsidRPr="008A0130">
        <w:rPr>
          <w:rFonts w:ascii="Book Antiqua" w:eastAsia="宋体" w:hAnsi="Book Antiqua" w:cs="宋体"/>
          <w:color w:val="000000"/>
          <w:lang w:eastAsia="zh-CN"/>
        </w:rPr>
        <w:t>. International Union of Basic and Clinical Pharmacology. LXXX. The class Frizzled receptors. </w:t>
      </w:r>
      <w:r w:rsidRPr="008A0130">
        <w:rPr>
          <w:rFonts w:ascii="Book Antiqua" w:eastAsia="宋体" w:hAnsi="Book Antiqua" w:cs="宋体"/>
          <w:i/>
          <w:iCs/>
          <w:color w:val="000000"/>
          <w:lang w:eastAsia="zh-CN"/>
        </w:rPr>
        <w:t>Pharmacol Rev</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62</w:t>
      </w:r>
      <w:r w:rsidRPr="008A0130">
        <w:rPr>
          <w:rFonts w:ascii="Book Antiqua" w:eastAsia="宋体" w:hAnsi="Book Antiqua" w:cs="宋体"/>
          <w:color w:val="000000"/>
          <w:lang w:eastAsia="zh-CN"/>
        </w:rPr>
        <w:t>: 632-667 [PMID: 21079039 DOI: 10.1124/pr.110.002931]</w:t>
      </w:r>
    </w:p>
    <w:p w14:paraId="3003039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23 </w:t>
      </w:r>
      <w:r w:rsidRPr="008A0130">
        <w:rPr>
          <w:rFonts w:ascii="Book Antiqua" w:eastAsia="宋体" w:hAnsi="Book Antiqua" w:cs="宋体"/>
          <w:b/>
          <w:bCs/>
          <w:color w:val="000000"/>
          <w:lang w:eastAsia="zh-CN"/>
        </w:rPr>
        <w:t>Kikuchi A</w:t>
      </w:r>
      <w:r w:rsidRPr="008A0130">
        <w:rPr>
          <w:rFonts w:ascii="Book Antiqua" w:eastAsia="宋体" w:hAnsi="Book Antiqua" w:cs="宋体"/>
          <w:color w:val="000000"/>
          <w:lang w:eastAsia="zh-CN"/>
        </w:rPr>
        <w:t>, Yamamoto H, Sato A. Selective activation mechanisms of Wnt signaling pathways. </w:t>
      </w:r>
      <w:r w:rsidRPr="008A0130">
        <w:rPr>
          <w:rFonts w:ascii="Book Antiqua" w:eastAsia="宋体" w:hAnsi="Book Antiqua" w:cs="宋体"/>
          <w:i/>
          <w:iCs/>
          <w:color w:val="000000"/>
          <w:lang w:eastAsia="zh-CN"/>
        </w:rPr>
        <w:t>Trends Cell Biol</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19</w:t>
      </w:r>
      <w:r w:rsidRPr="008A0130">
        <w:rPr>
          <w:rFonts w:ascii="Book Antiqua" w:eastAsia="宋体" w:hAnsi="Book Antiqua" w:cs="宋体"/>
          <w:color w:val="000000"/>
          <w:lang w:eastAsia="zh-CN"/>
        </w:rPr>
        <w:t>: 119-129 [PMID: 19208479 DOI: 10.1016/j.tcb.2009.01.003]</w:t>
      </w:r>
    </w:p>
    <w:p w14:paraId="7EACBE6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24 </w:t>
      </w:r>
      <w:r w:rsidRPr="008A0130">
        <w:rPr>
          <w:rFonts w:ascii="Book Antiqua" w:eastAsia="宋体" w:hAnsi="Book Antiqua" w:cs="宋体"/>
          <w:b/>
          <w:bCs/>
          <w:color w:val="000000"/>
          <w:lang w:eastAsia="zh-CN"/>
        </w:rPr>
        <w:t>Liu C</w:t>
      </w:r>
      <w:r w:rsidRPr="008A0130">
        <w:rPr>
          <w:rFonts w:ascii="Book Antiqua" w:eastAsia="宋体" w:hAnsi="Book Antiqua" w:cs="宋体"/>
          <w:color w:val="000000"/>
          <w:lang w:eastAsia="zh-CN"/>
        </w:rPr>
        <w:t>, Li Y, Semenov M, Han C, Baeg GH, Tan Y, Zhang Z, Lin X, He X. Control of beta-catenin phosphorylation/degradation by a dual-kinase mechanism. </w:t>
      </w:r>
      <w:r w:rsidRPr="008A0130">
        <w:rPr>
          <w:rFonts w:ascii="Book Antiqua" w:eastAsia="宋体" w:hAnsi="Book Antiqua" w:cs="宋体"/>
          <w:i/>
          <w:iCs/>
          <w:color w:val="000000"/>
          <w:lang w:eastAsia="zh-CN"/>
        </w:rPr>
        <w:t>Cell</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108</w:t>
      </w:r>
      <w:r w:rsidRPr="008A0130">
        <w:rPr>
          <w:rFonts w:ascii="Book Antiqua" w:eastAsia="宋体" w:hAnsi="Book Antiqua" w:cs="宋体"/>
          <w:color w:val="000000"/>
          <w:lang w:eastAsia="zh-CN"/>
        </w:rPr>
        <w:t>: 837-847 [PMID: 11955436 DOI: 10.1016/S0092-8674(02)00685-2]</w:t>
      </w:r>
    </w:p>
    <w:p w14:paraId="4411180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25 </w:t>
      </w:r>
      <w:r w:rsidRPr="008A0130">
        <w:rPr>
          <w:rFonts w:ascii="Book Antiqua" w:eastAsia="宋体" w:hAnsi="Book Antiqua" w:cs="宋体"/>
          <w:b/>
          <w:bCs/>
          <w:color w:val="000000"/>
          <w:lang w:eastAsia="zh-CN"/>
        </w:rPr>
        <w:t>Aberle H</w:t>
      </w:r>
      <w:r w:rsidRPr="008A0130">
        <w:rPr>
          <w:rFonts w:ascii="Book Antiqua" w:eastAsia="宋体" w:hAnsi="Book Antiqua" w:cs="宋体"/>
          <w:color w:val="000000"/>
          <w:lang w:eastAsia="zh-CN"/>
        </w:rPr>
        <w:t>, Bauer A, Stappert J, Kispert A, Kemler R. beta-catenin is a target for the ubiquitin-proteasome pathway. </w:t>
      </w:r>
      <w:r w:rsidRPr="008A0130">
        <w:rPr>
          <w:rFonts w:ascii="Book Antiqua" w:eastAsia="宋体" w:hAnsi="Book Antiqua" w:cs="宋体"/>
          <w:i/>
          <w:iCs/>
          <w:color w:val="000000"/>
          <w:lang w:eastAsia="zh-CN"/>
        </w:rPr>
        <w:t>EMBO J</w:t>
      </w:r>
      <w:r w:rsidRPr="008A0130">
        <w:rPr>
          <w:rFonts w:ascii="Book Antiqua" w:eastAsia="宋体" w:hAnsi="Book Antiqua" w:cs="宋体"/>
          <w:color w:val="000000"/>
          <w:lang w:eastAsia="zh-CN"/>
        </w:rPr>
        <w:t> 1997; </w:t>
      </w:r>
      <w:r w:rsidRPr="008A0130">
        <w:rPr>
          <w:rFonts w:ascii="Book Antiqua" w:eastAsia="宋体" w:hAnsi="Book Antiqua" w:cs="宋体"/>
          <w:b/>
          <w:bCs/>
          <w:color w:val="000000"/>
          <w:lang w:eastAsia="zh-CN"/>
        </w:rPr>
        <w:t>16</w:t>
      </w:r>
      <w:r w:rsidRPr="008A0130">
        <w:rPr>
          <w:rFonts w:ascii="Book Antiqua" w:eastAsia="宋体" w:hAnsi="Book Antiqua" w:cs="宋体"/>
          <w:color w:val="000000"/>
          <w:lang w:eastAsia="zh-CN"/>
        </w:rPr>
        <w:t>: 3797-3804 [PMID: 9233789 DOI: 10.1093/emboj/16.13.3797]</w:t>
      </w:r>
    </w:p>
    <w:p w14:paraId="5ED3E7F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26 </w:t>
      </w:r>
      <w:r w:rsidRPr="008A0130">
        <w:rPr>
          <w:rFonts w:ascii="Book Antiqua" w:eastAsia="宋体" w:hAnsi="Book Antiqua" w:cs="宋体"/>
          <w:b/>
          <w:bCs/>
          <w:color w:val="000000"/>
          <w:lang w:eastAsia="zh-CN"/>
        </w:rPr>
        <w:t>Cavallo RA</w:t>
      </w:r>
      <w:r w:rsidRPr="008A0130">
        <w:rPr>
          <w:rFonts w:ascii="Book Antiqua" w:eastAsia="宋体" w:hAnsi="Book Antiqua" w:cs="宋体"/>
          <w:color w:val="000000"/>
          <w:lang w:eastAsia="zh-CN"/>
        </w:rPr>
        <w:t>, Cox RT, Moline MM, Roose J, Polevoy GA, Clevers H, Peifer M, Bejsovec A. Drosophila Tcf and Groucho interact to repress Wingless signalling activity. </w:t>
      </w:r>
      <w:r w:rsidRPr="008A0130">
        <w:rPr>
          <w:rFonts w:ascii="Book Antiqua" w:eastAsia="宋体" w:hAnsi="Book Antiqua" w:cs="宋体"/>
          <w:i/>
          <w:iCs/>
          <w:color w:val="000000"/>
          <w:lang w:eastAsia="zh-CN"/>
        </w:rPr>
        <w:t>Nature</w:t>
      </w:r>
      <w:r w:rsidRPr="008A0130">
        <w:rPr>
          <w:rFonts w:ascii="Book Antiqua" w:eastAsia="宋体" w:hAnsi="Book Antiqua" w:cs="宋体"/>
          <w:color w:val="000000"/>
          <w:lang w:eastAsia="zh-CN"/>
        </w:rPr>
        <w:t> 1998; </w:t>
      </w:r>
      <w:r w:rsidRPr="008A0130">
        <w:rPr>
          <w:rFonts w:ascii="Book Antiqua" w:eastAsia="宋体" w:hAnsi="Book Antiqua" w:cs="宋体"/>
          <w:b/>
          <w:bCs/>
          <w:color w:val="000000"/>
          <w:lang w:eastAsia="zh-CN"/>
        </w:rPr>
        <w:t>395</w:t>
      </w:r>
      <w:r w:rsidRPr="008A0130">
        <w:rPr>
          <w:rFonts w:ascii="Book Antiqua" w:eastAsia="宋体" w:hAnsi="Book Antiqua" w:cs="宋体"/>
          <w:color w:val="000000"/>
          <w:lang w:eastAsia="zh-CN"/>
        </w:rPr>
        <w:t>: 604-608 [PMID: 9783586 DOI: 10.1038/26982]</w:t>
      </w:r>
    </w:p>
    <w:p w14:paraId="0276A84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27 </w:t>
      </w:r>
      <w:r w:rsidRPr="008A0130">
        <w:rPr>
          <w:rFonts w:ascii="Book Antiqua" w:eastAsia="宋体" w:hAnsi="Book Antiqua" w:cs="宋体"/>
          <w:b/>
          <w:bCs/>
          <w:color w:val="000000"/>
          <w:lang w:eastAsia="zh-CN"/>
        </w:rPr>
        <w:t>Hurlstone A</w:t>
      </w:r>
      <w:r w:rsidRPr="008A0130">
        <w:rPr>
          <w:rFonts w:ascii="Book Antiqua" w:eastAsia="宋体" w:hAnsi="Book Antiqua" w:cs="宋体"/>
          <w:color w:val="000000"/>
          <w:lang w:eastAsia="zh-CN"/>
        </w:rPr>
        <w:t>, Clevers H. T-cell factors: turn-ons and turn-offs. </w:t>
      </w:r>
      <w:r w:rsidRPr="008A0130">
        <w:rPr>
          <w:rFonts w:ascii="Book Antiqua" w:eastAsia="宋体" w:hAnsi="Book Antiqua" w:cs="宋体"/>
          <w:i/>
          <w:iCs/>
          <w:color w:val="000000"/>
          <w:lang w:eastAsia="zh-CN"/>
        </w:rPr>
        <w:t>EMBO J</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21</w:t>
      </w:r>
      <w:r w:rsidRPr="008A0130">
        <w:rPr>
          <w:rFonts w:ascii="Book Antiqua" w:eastAsia="宋体" w:hAnsi="Book Antiqua" w:cs="宋体"/>
          <w:color w:val="000000"/>
          <w:lang w:eastAsia="zh-CN"/>
        </w:rPr>
        <w:t>: 2303-2311 [PMID: 12006483 DOI: 10.1093/emboj/21.10.2303]</w:t>
      </w:r>
    </w:p>
    <w:p w14:paraId="1D22727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28 </w:t>
      </w:r>
      <w:r w:rsidRPr="008A0130">
        <w:rPr>
          <w:rFonts w:ascii="Book Antiqua" w:eastAsia="宋体" w:hAnsi="Book Antiqua" w:cs="宋体"/>
          <w:b/>
          <w:bCs/>
          <w:color w:val="000000"/>
          <w:lang w:eastAsia="zh-CN"/>
        </w:rPr>
        <w:t>Eastman Q</w:t>
      </w:r>
      <w:r w:rsidRPr="008A0130">
        <w:rPr>
          <w:rFonts w:ascii="Book Antiqua" w:eastAsia="宋体" w:hAnsi="Book Antiqua" w:cs="宋体"/>
          <w:color w:val="000000"/>
          <w:lang w:eastAsia="zh-CN"/>
        </w:rPr>
        <w:t>, Grosschedl R. Regulation of LEF-1/TCF transcription factors by Wnt and other signals. </w:t>
      </w:r>
      <w:r w:rsidRPr="008A0130">
        <w:rPr>
          <w:rFonts w:ascii="Book Antiqua" w:eastAsia="宋体" w:hAnsi="Book Antiqua" w:cs="宋体"/>
          <w:i/>
          <w:iCs/>
          <w:color w:val="000000"/>
          <w:lang w:eastAsia="zh-CN"/>
        </w:rPr>
        <w:t>Curr Opin Cell Biol</w:t>
      </w:r>
      <w:r w:rsidRPr="008A0130">
        <w:rPr>
          <w:rFonts w:ascii="Book Antiqua" w:eastAsia="宋体" w:hAnsi="Book Antiqua" w:cs="宋体"/>
          <w:color w:val="000000"/>
          <w:lang w:eastAsia="zh-CN"/>
        </w:rPr>
        <w:t> 1999; </w:t>
      </w:r>
      <w:r w:rsidRPr="008A0130">
        <w:rPr>
          <w:rFonts w:ascii="Book Antiqua" w:eastAsia="宋体" w:hAnsi="Book Antiqua" w:cs="宋体"/>
          <w:b/>
          <w:bCs/>
          <w:color w:val="000000"/>
          <w:lang w:eastAsia="zh-CN"/>
        </w:rPr>
        <w:t>11</w:t>
      </w:r>
      <w:r w:rsidRPr="008A0130">
        <w:rPr>
          <w:rFonts w:ascii="Book Antiqua" w:eastAsia="宋体" w:hAnsi="Book Antiqua" w:cs="宋体"/>
          <w:color w:val="000000"/>
          <w:lang w:eastAsia="zh-CN"/>
        </w:rPr>
        <w:t>: 233-240 [PMID: 10209158 DOI: 10.1016/S0955-0674(99)80031-3]</w:t>
      </w:r>
    </w:p>
    <w:p w14:paraId="4D8D8AA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29 </w:t>
      </w:r>
      <w:r w:rsidRPr="008A0130">
        <w:rPr>
          <w:rFonts w:ascii="Book Antiqua" w:eastAsia="宋体" w:hAnsi="Book Antiqua" w:cs="宋体"/>
          <w:b/>
          <w:bCs/>
          <w:color w:val="000000"/>
          <w:lang w:eastAsia="zh-CN"/>
        </w:rPr>
        <w:t>Niehrs C</w:t>
      </w:r>
      <w:r w:rsidRPr="008A0130">
        <w:rPr>
          <w:rFonts w:ascii="Book Antiqua" w:eastAsia="宋体" w:hAnsi="Book Antiqua" w:cs="宋体"/>
          <w:color w:val="000000"/>
          <w:lang w:eastAsia="zh-CN"/>
        </w:rPr>
        <w:t>. Function and biological roles of the Dickkopf family of Wnt modulators.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25</w:t>
      </w:r>
      <w:r w:rsidRPr="008A0130">
        <w:rPr>
          <w:rFonts w:ascii="Book Antiqua" w:eastAsia="宋体" w:hAnsi="Book Antiqua" w:cs="宋体"/>
          <w:color w:val="000000"/>
          <w:lang w:eastAsia="zh-CN"/>
        </w:rPr>
        <w:t>: 7469-7481 [PMID: 17143291 DOI: 10.1038/sj.onc.1210054]</w:t>
      </w:r>
    </w:p>
    <w:p w14:paraId="4A0C461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30 </w:t>
      </w:r>
      <w:r w:rsidRPr="008A0130">
        <w:rPr>
          <w:rFonts w:ascii="Book Antiqua" w:eastAsia="宋体" w:hAnsi="Book Antiqua" w:cs="宋体"/>
          <w:b/>
          <w:bCs/>
          <w:color w:val="000000"/>
          <w:lang w:eastAsia="zh-CN"/>
        </w:rPr>
        <w:t>Hsieh JC</w:t>
      </w:r>
      <w:r w:rsidRPr="008A0130">
        <w:rPr>
          <w:rFonts w:ascii="Book Antiqua" w:eastAsia="宋体" w:hAnsi="Book Antiqua" w:cs="宋体"/>
          <w:color w:val="000000"/>
          <w:lang w:eastAsia="zh-CN"/>
        </w:rPr>
        <w:t>, Kodjabachian L, Rebbert ML, Rattner A, Smallwood PM, Samos CH, Nusse R, Dawid IB, Nathans J. A new secreted protein that binds to Wnt proteins and inhibits their activities. </w:t>
      </w:r>
      <w:r w:rsidRPr="008A0130">
        <w:rPr>
          <w:rFonts w:ascii="Book Antiqua" w:eastAsia="宋体" w:hAnsi="Book Antiqua" w:cs="宋体"/>
          <w:i/>
          <w:iCs/>
          <w:color w:val="000000"/>
          <w:lang w:eastAsia="zh-CN"/>
        </w:rPr>
        <w:t>Nature</w:t>
      </w:r>
      <w:r w:rsidRPr="008A0130">
        <w:rPr>
          <w:rFonts w:ascii="Book Antiqua" w:eastAsia="宋体" w:hAnsi="Book Antiqua" w:cs="宋体"/>
          <w:color w:val="000000"/>
          <w:lang w:eastAsia="zh-CN"/>
        </w:rPr>
        <w:t> 1999; </w:t>
      </w:r>
      <w:r w:rsidRPr="008A0130">
        <w:rPr>
          <w:rFonts w:ascii="Book Antiqua" w:eastAsia="宋体" w:hAnsi="Book Antiqua" w:cs="宋体"/>
          <w:b/>
          <w:bCs/>
          <w:color w:val="000000"/>
          <w:lang w:eastAsia="zh-CN"/>
        </w:rPr>
        <w:t>398</w:t>
      </w:r>
      <w:r w:rsidRPr="008A0130">
        <w:rPr>
          <w:rFonts w:ascii="Book Antiqua" w:eastAsia="宋体" w:hAnsi="Book Antiqua" w:cs="宋体"/>
          <w:color w:val="000000"/>
          <w:lang w:eastAsia="zh-CN"/>
        </w:rPr>
        <w:t>: 431-436 [PMID: 10201374 DOI: 10.1038/18899]</w:t>
      </w:r>
    </w:p>
    <w:p w14:paraId="53E8AC2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31 </w:t>
      </w:r>
      <w:r w:rsidRPr="008A0130">
        <w:rPr>
          <w:rFonts w:ascii="Book Antiqua" w:eastAsia="宋体" w:hAnsi="Book Antiqua" w:cs="宋体"/>
          <w:b/>
          <w:bCs/>
          <w:color w:val="000000"/>
          <w:lang w:eastAsia="zh-CN"/>
        </w:rPr>
        <w:t>Kawano Y</w:t>
      </w:r>
      <w:r w:rsidRPr="008A0130">
        <w:rPr>
          <w:rFonts w:ascii="Book Antiqua" w:eastAsia="宋体" w:hAnsi="Book Antiqua" w:cs="宋体"/>
          <w:color w:val="000000"/>
          <w:lang w:eastAsia="zh-CN"/>
        </w:rPr>
        <w:t>, Kypta R. Secreted antagonists of the Wnt signalling pathway. </w:t>
      </w:r>
      <w:r w:rsidRPr="008A0130">
        <w:rPr>
          <w:rFonts w:ascii="Book Antiqua" w:eastAsia="宋体" w:hAnsi="Book Antiqua" w:cs="宋体"/>
          <w:i/>
          <w:iCs/>
          <w:color w:val="000000"/>
          <w:lang w:eastAsia="zh-CN"/>
        </w:rPr>
        <w:t>J Cell Sci</w:t>
      </w:r>
      <w:r w:rsidRPr="008A0130">
        <w:rPr>
          <w:rFonts w:ascii="Book Antiqua" w:eastAsia="宋体" w:hAnsi="Book Antiqua" w:cs="宋体"/>
          <w:color w:val="000000"/>
          <w:lang w:eastAsia="zh-CN"/>
        </w:rPr>
        <w:t> 2003; </w:t>
      </w:r>
      <w:r w:rsidRPr="008A0130">
        <w:rPr>
          <w:rFonts w:ascii="Book Antiqua" w:eastAsia="宋体" w:hAnsi="Book Antiqua" w:cs="宋体"/>
          <w:b/>
          <w:bCs/>
          <w:color w:val="000000"/>
          <w:lang w:eastAsia="zh-CN"/>
        </w:rPr>
        <w:t>116</w:t>
      </w:r>
      <w:r w:rsidRPr="008A0130">
        <w:rPr>
          <w:rFonts w:ascii="Book Antiqua" w:eastAsia="宋体" w:hAnsi="Book Antiqua" w:cs="宋体"/>
          <w:color w:val="000000"/>
          <w:lang w:eastAsia="zh-CN"/>
        </w:rPr>
        <w:t>: 2627-2634 [PMID: 12775774 DOI: 10.1242/jcs.00623]</w:t>
      </w:r>
    </w:p>
    <w:p w14:paraId="202133E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32 </w:t>
      </w:r>
      <w:r w:rsidRPr="008A0130">
        <w:rPr>
          <w:rFonts w:ascii="Book Antiqua" w:eastAsia="宋体" w:hAnsi="Book Antiqua" w:cs="宋体"/>
          <w:b/>
          <w:bCs/>
          <w:color w:val="000000"/>
          <w:lang w:eastAsia="zh-CN"/>
        </w:rPr>
        <w:t>Berthon A</w:t>
      </w:r>
      <w:r w:rsidRPr="008A0130">
        <w:rPr>
          <w:rFonts w:ascii="Book Antiqua" w:eastAsia="宋体" w:hAnsi="Book Antiqua" w:cs="宋体"/>
          <w:color w:val="000000"/>
          <w:lang w:eastAsia="zh-CN"/>
        </w:rPr>
        <w:t>, Martinez A, Bertherat J, Val P. Wnt/β-catenin signalling in adrenal physiology and tumour development. </w:t>
      </w:r>
      <w:r w:rsidRPr="008A0130">
        <w:rPr>
          <w:rFonts w:ascii="Book Antiqua" w:eastAsia="宋体" w:hAnsi="Book Antiqua" w:cs="宋体"/>
          <w:i/>
          <w:iCs/>
          <w:color w:val="000000"/>
          <w:lang w:eastAsia="zh-CN"/>
        </w:rPr>
        <w:t>Mol Cell Endocrinol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351</w:t>
      </w:r>
      <w:r w:rsidRPr="008A0130">
        <w:rPr>
          <w:rFonts w:ascii="Book Antiqua" w:eastAsia="宋体" w:hAnsi="Book Antiqua" w:cs="宋体"/>
          <w:color w:val="000000"/>
          <w:lang w:eastAsia="zh-CN"/>
        </w:rPr>
        <w:t>: 87-95 [PMID: 21930188 DOI: 10.1016/j.mce.2011.09.009]</w:t>
      </w:r>
    </w:p>
    <w:p w14:paraId="34D1EA2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33 </w:t>
      </w:r>
      <w:r w:rsidRPr="008A0130">
        <w:rPr>
          <w:rFonts w:ascii="Book Antiqua" w:eastAsia="宋体" w:hAnsi="Book Antiqua" w:cs="宋体"/>
          <w:b/>
          <w:bCs/>
          <w:color w:val="000000"/>
          <w:lang w:eastAsia="zh-CN"/>
        </w:rPr>
        <w:t>Clevers H</w:t>
      </w:r>
      <w:r w:rsidRPr="008A0130">
        <w:rPr>
          <w:rFonts w:ascii="Book Antiqua" w:eastAsia="宋体" w:hAnsi="Book Antiqua" w:cs="宋体"/>
          <w:color w:val="000000"/>
          <w:lang w:eastAsia="zh-CN"/>
        </w:rPr>
        <w:t>, Nusse R. Wnt/β-catenin signaling and disease. </w:t>
      </w:r>
      <w:r w:rsidRPr="008A0130">
        <w:rPr>
          <w:rFonts w:ascii="Book Antiqua" w:eastAsia="宋体" w:hAnsi="Book Antiqua" w:cs="宋体"/>
          <w:i/>
          <w:iCs/>
          <w:color w:val="000000"/>
          <w:lang w:eastAsia="zh-CN"/>
        </w:rPr>
        <w:t>Cell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149</w:t>
      </w:r>
      <w:r w:rsidRPr="008A0130">
        <w:rPr>
          <w:rFonts w:ascii="Book Antiqua" w:eastAsia="宋体" w:hAnsi="Book Antiqua" w:cs="宋体"/>
          <w:color w:val="000000"/>
          <w:lang w:eastAsia="zh-CN"/>
        </w:rPr>
        <w:t>: 1192-1205 [PMID: 22682243 DOI: 10.1016/j.cell.2012.05.012]</w:t>
      </w:r>
    </w:p>
    <w:p w14:paraId="7411D3C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34 </w:t>
      </w:r>
      <w:r w:rsidRPr="008A0130">
        <w:rPr>
          <w:rFonts w:ascii="Book Antiqua" w:eastAsia="宋体" w:hAnsi="Book Antiqua" w:cs="宋体"/>
          <w:b/>
          <w:bCs/>
          <w:color w:val="000000"/>
          <w:lang w:eastAsia="zh-CN"/>
        </w:rPr>
        <w:t>Saito-Diaz K</w:t>
      </w:r>
      <w:r w:rsidRPr="008A0130">
        <w:rPr>
          <w:rFonts w:ascii="Book Antiqua" w:eastAsia="宋体" w:hAnsi="Book Antiqua" w:cs="宋体"/>
          <w:color w:val="000000"/>
          <w:lang w:eastAsia="zh-CN"/>
        </w:rPr>
        <w:t>, Chen TW, Wang X, Thorne CA, Wallace HA, Page-McCaw A, Lee E. The way Wnt works: components and mechanism. </w:t>
      </w:r>
      <w:r w:rsidRPr="008A0130">
        <w:rPr>
          <w:rFonts w:ascii="Book Antiqua" w:eastAsia="宋体" w:hAnsi="Book Antiqua" w:cs="宋体"/>
          <w:i/>
          <w:iCs/>
          <w:color w:val="000000"/>
          <w:lang w:eastAsia="zh-CN"/>
        </w:rPr>
        <w:t>Growth Factors</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31</w:t>
      </w:r>
      <w:r w:rsidRPr="008A0130">
        <w:rPr>
          <w:rFonts w:ascii="Book Antiqua" w:eastAsia="宋体" w:hAnsi="Book Antiqua" w:cs="宋体"/>
          <w:color w:val="000000"/>
          <w:lang w:eastAsia="zh-CN"/>
        </w:rPr>
        <w:t>: 1-31 [PMID: 23256519 DOI: 10.3109/08977194.2012.752737]</w:t>
      </w:r>
    </w:p>
    <w:p w14:paraId="6AF771A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35 </w:t>
      </w:r>
      <w:r w:rsidRPr="008A0130">
        <w:rPr>
          <w:rFonts w:ascii="Book Antiqua" w:eastAsia="宋体" w:hAnsi="Book Antiqua" w:cs="宋体"/>
          <w:b/>
          <w:bCs/>
          <w:color w:val="000000"/>
          <w:lang w:eastAsia="zh-CN"/>
        </w:rPr>
        <w:t>Tolwinski NS</w:t>
      </w:r>
      <w:r w:rsidRPr="008A0130">
        <w:rPr>
          <w:rFonts w:ascii="Book Antiqua" w:eastAsia="宋体" w:hAnsi="Book Antiqua" w:cs="宋体"/>
          <w:color w:val="000000"/>
          <w:lang w:eastAsia="zh-CN"/>
        </w:rPr>
        <w:t>, Wieschaus E. Armadillo nuclear import is regulated by cytoplasmic anchor Axin and nuclear anchor dTCF/Pan. </w:t>
      </w:r>
      <w:r w:rsidRPr="008A0130">
        <w:rPr>
          <w:rFonts w:ascii="Book Antiqua" w:eastAsia="宋体" w:hAnsi="Book Antiqua" w:cs="宋体"/>
          <w:i/>
          <w:iCs/>
          <w:color w:val="000000"/>
          <w:lang w:eastAsia="zh-CN"/>
        </w:rPr>
        <w:t>Development</w:t>
      </w:r>
      <w:r w:rsidRPr="008A0130">
        <w:rPr>
          <w:rFonts w:ascii="Book Antiqua" w:eastAsia="宋体" w:hAnsi="Book Antiqua" w:cs="宋体"/>
          <w:color w:val="000000"/>
          <w:lang w:eastAsia="zh-CN"/>
        </w:rPr>
        <w:t> 2001; </w:t>
      </w:r>
      <w:r w:rsidRPr="008A0130">
        <w:rPr>
          <w:rFonts w:ascii="Book Antiqua" w:eastAsia="宋体" w:hAnsi="Book Antiqua" w:cs="宋体"/>
          <w:b/>
          <w:bCs/>
          <w:color w:val="000000"/>
          <w:lang w:eastAsia="zh-CN"/>
        </w:rPr>
        <w:t>128</w:t>
      </w:r>
      <w:r w:rsidRPr="008A0130">
        <w:rPr>
          <w:rFonts w:ascii="Book Antiqua" w:eastAsia="宋体" w:hAnsi="Book Antiqua" w:cs="宋体"/>
          <w:color w:val="000000"/>
          <w:lang w:eastAsia="zh-CN"/>
        </w:rPr>
        <w:t>: 2107-2117 [PMID: 11493532]</w:t>
      </w:r>
    </w:p>
    <w:p w14:paraId="31D0228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36 </w:t>
      </w:r>
      <w:r w:rsidRPr="008A0130">
        <w:rPr>
          <w:rFonts w:ascii="Book Antiqua" w:eastAsia="宋体" w:hAnsi="Book Antiqua" w:cs="宋体"/>
          <w:b/>
          <w:bCs/>
          <w:color w:val="000000"/>
          <w:lang w:eastAsia="zh-CN"/>
        </w:rPr>
        <w:t>Townsley FM</w:t>
      </w:r>
      <w:r w:rsidRPr="008A0130">
        <w:rPr>
          <w:rFonts w:ascii="Book Antiqua" w:eastAsia="宋体" w:hAnsi="Book Antiqua" w:cs="宋体"/>
          <w:color w:val="000000"/>
          <w:lang w:eastAsia="zh-CN"/>
        </w:rPr>
        <w:t>, Cliffe A, Bienz M. Pygopus and Legless target Armadillo/beta-catenin to the nucleus to enable its transcriptional co-activator function. </w:t>
      </w:r>
      <w:r w:rsidRPr="008A0130">
        <w:rPr>
          <w:rFonts w:ascii="Book Antiqua" w:eastAsia="宋体" w:hAnsi="Book Antiqua" w:cs="宋体"/>
          <w:i/>
          <w:iCs/>
          <w:color w:val="000000"/>
          <w:lang w:eastAsia="zh-CN"/>
        </w:rPr>
        <w:t>Nat Cell Biol</w:t>
      </w:r>
      <w:r w:rsidRPr="008A0130">
        <w:rPr>
          <w:rFonts w:ascii="Book Antiqua" w:eastAsia="宋体" w:hAnsi="Book Antiqua" w:cs="宋体"/>
          <w:color w:val="000000"/>
          <w:lang w:eastAsia="zh-CN"/>
        </w:rPr>
        <w:t> 2004; </w:t>
      </w:r>
      <w:r w:rsidRPr="008A0130">
        <w:rPr>
          <w:rFonts w:ascii="Book Antiqua" w:eastAsia="宋体" w:hAnsi="Book Antiqua" w:cs="宋体"/>
          <w:b/>
          <w:bCs/>
          <w:color w:val="000000"/>
          <w:lang w:eastAsia="zh-CN"/>
        </w:rPr>
        <w:t>6</w:t>
      </w:r>
      <w:r w:rsidRPr="008A0130">
        <w:rPr>
          <w:rFonts w:ascii="Book Antiqua" w:eastAsia="宋体" w:hAnsi="Book Antiqua" w:cs="宋体"/>
          <w:color w:val="000000"/>
          <w:lang w:eastAsia="zh-CN"/>
        </w:rPr>
        <w:t>: 626-633 [PMID: 15208637 DOI: 10.1038/ncb1141]</w:t>
      </w:r>
    </w:p>
    <w:p w14:paraId="18CA8A6A"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37 </w:t>
      </w:r>
      <w:r w:rsidRPr="008A0130">
        <w:rPr>
          <w:rFonts w:ascii="Book Antiqua" w:eastAsia="宋体" w:hAnsi="Book Antiqua" w:cs="宋体"/>
          <w:b/>
          <w:bCs/>
          <w:color w:val="000000"/>
          <w:lang w:eastAsia="zh-CN"/>
        </w:rPr>
        <w:t>Krieghoff E</w:t>
      </w:r>
      <w:r w:rsidRPr="008A0130">
        <w:rPr>
          <w:rFonts w:ascii="Book Antiqua" w:eastAsia="宋体" w:hAnsi="Book Antiqua" w:cs="宋体"/>
          <w:color w:val="000000"/>
          <w:lang w:eastAsia="zh-CN"/>
        </w:rPr>
        <w:t>, Behrens J, Mayr B. Nucleo-cytoplasmic distribution of beta-catenin is regulated by retention. </w:t>
      </w:r>
      <w:r w:rsidRPr="008A0130">
        <w:rPr>
          <w:rFonts w:ascii="Book Antiqua" w:eastAsia="宋体" w:hAnsi="Book Antiqua" w:cs="宋体"/>
          <w:i/>
          <w:iCs/>
          <w:color w:val="000000"/>
          <w:lang w:eastAsia="zh-CN"/>
        </w:rPr>
        <w:t>J Cell Sci</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119</w:t>
      </w:r>
      <w:r w:rsidRPr="008A0130">
        <w:rPr>
          <w:rFonts w:ascii="Book Antiqua" w:eastAsia="宋体" w:hAnsi="Book Antiqua" w:cs="宋体"/>
          <w:color w:val="000000"/>
          <w:lang w:eastAsia="zh-CN"/>
        </w:rPr>
        <w:t>: 1453-1463 [PMID: 16554443 DOI: 10.1242/jcs.02864]</w:t>
      </w:r>
    </w:p>
    <w:p w14:paraId="2D2CBC6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38 </w:t>
      </w:r>
      <w:r w:rsidRPr="008A0130">
        <w:rPr>
          <w:rFonts w:ascii="Book Antiqua" w:eastAsia="宋体" w:hAnsi="Book Antiqua" w:cs="宋体"/>
          <w:b/>
          <w:bCs/>
          <w:color w:val="000000"/>
          <w:lang w:eastAsia="zh-CN"/>
        </w:rPr>
        <w:t>Henderson BR</w:t>
      </w:r>
      <w:r w:rsidRPr="008A0130">
        <w:rPr>
          <w:rFonts w:ascii="Book Antiqua" w:eastAsia="宋体" w:hAnsi="Book Antiqua" w:cs="宋体"/>
          <w:color w:val="000000"/>
          <w:lang w:eastAsia="zh-CN"/>
        </w:rPr>
        <w:t>, Galea M, Schuechner S, Leung L. Lymphoid enhancer factor-1 blocks adenomatous polyposis coli-mediated nuclear export and degradation of beta-catenin. Regulation by histone deacetylase 1. </w:t>
      </w:r>
      <w:r w:rsidRPr="008A0130">
        <w:rPr>
          <w:rFonts w:ascii="Book Antiqua" w:eastAsia="宋体" w:hAnsi="Book Antiqua" w:cs="宋体"/>
          <w:i/>
          <w:iCs/>
          <w:color w:val="000000"/>
          <w:lang w:eastAsia="zh-CN"/>
        </w:rPr>
        <w:t>J Biol Chem</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277</w:t>
      </w:r>
      <w:r w:rsidRPr="008A0130">
        <w:rPr>
          <w:rFonts w:ascii="Book Antiqua" w:eastAsia="宋体" w:hAnsi="Book Antiqua" w:cs="宋体"/>
          <w:color w:val="000000"/>
          <w:lang w:eastAsia="zh-CN"/>
        </w:rPr>
        <w:t>: 24258-24264 [PMID: 11986304 DOI: 10.1074/jbc.M110602200]</w:t>
      </w:r>
    </w:p>
    <w:p w14:paraId="2844A89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39 </w:t>
      </w:r>
      <w:r w:rsidRPr="008A0130">
        <w:rPr>
          <w:rFonts w:ascii="Book Antiqua" w:eastAsia="宋体" w:hAnsi="Book Antiqua" w:cs="宋体"/>
          <w:b/>
          <w:bCs/>
          <w:color w:val="000000"/>
          <w:lang w:eastAsia="zh-CN"/>
        </w:rPr>
        <w:t>Henderson BR</w:t>
      </w:r>
      <w:r w:rsidRPr="008A0130">
        <w:rPr>
          <w:rFonts w:ascii="Book Antiqua" w:eastAsia="宋体" w:hAnsi="Book Antiqua" w:cs="宋体"/>
          <w:color w:val="000000"/>
          <w:lang w:eastAsia="zh-CN"/>
        </w:rPr>
        <w:t>, Fagotto F. The ins and outs of APC and beta-catenin nuclear transport. </w:t>
      </w:r>
      <w:r w:rsidRPr="008A0130">
        <w:rPr>
          <w:rFonts w:ascii="Book Antiqua" w:eastAsia="宋体" w:hAnsi="Book Antiqua" w:cs="宋体"/>
          <w:i/>
          <w:iCs/>
          <w:color w:val="000000"/>
          <w:lang w:eastAsia="zh-CN"/>
        </w:rPr>
        <w:t>EMBO Rep</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3</w:t>
      </w:r>
      <w:r w:rsidRPr="008A0130">
        <w:rPr>
          <w:rFonts w:ascii="Book Antiqua" w:eastAsia="宋体" w:hAnsi="Book Antiqua" w:cs="宋体"/>
          <w:color w:val="000000"/>
          <w:lang w:eastAsia="zh-CN"/>
        </w:rPr>
        <w:t>: 834-839 [PMID: 12223464 DOI: 10.1093/embo-reports/kvf181]</w:t>
      </w:r>
    </w:p>
    <w:p w14:paraId="6D04754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40 </w:t>
      </w:r>
      <w:r w:rsidRPr="008A0130">
        <w:rPr>
          <w:rFonts w:ascii="Book Antiqua" w:eastAsia="宋体" w:hAnsi="Book Antiqua" w:cs="宋体"/>
          <w:b/>
          <w:bCs/>
          <w:color w:val="000000"/>
          <w:lang w:eastAsia="zh-CN"/>
        </w:rPr>
        <w:t>Cong F</w:t>
      </w:r>
      <w:r w:rsidRPr="008A0130">
        <w:rPr>
          <w:rFonts w:ascii="Book Antiqua" w:eastAsia="宋体" w:hAnsi="Book Antiqua" w:cs="宋体"/>
          <w:color w:val="000000"/>
          <w:lang w:eastAsia="zh-CN"/>
        </w:rPr>
        <w:t>, Varmus H. Nuclear-cytoplasmic shuttling of Axin regulates subcellular localization of beta-catenin. </w:t>
      </w:r>
      <w:r w:rsidRPr="008A0130">
        <w:rPr>
          <w:rFonts w:ascii="Book Antiqua" w:eastAsia="宋体" w:hAnsi="Book Antiqua" w:cs="宋体"/>
          <w:i/>
          <w:iCs/>
          <w:color w:val="000000"/>
          <w:lang w:eastAsia="zh-CN"/>
        </w:rPr>
        <w:t>Proc Natl Acad Sci U S A</w:t>
      </w:r>
      <w:r w:rsidRPr="008A0130">
        <w:rPr>
          <w:rFonts w:ascii="Book Antiqua" w:eastAsia="宋体" w:hAnsi="Book Antiqua" w:cs="宋体"/>
          <w:color w:val="000000"/>
          <w:lang w:eastAsia="zh-CN"/>
        </w:rPr>
        <w:t> 2004; </w:t>
      </w:r>
      <w:r w:rsidRPr="008A0130">
        <w:rPr>
          <w:rFonts w:ascii="Book Antiqua" w:eastAsia="宋体" w:hAnsi="Book Antiqua" w:cs="宋体"/>
          <w:b/>
          <w:bCs/>
          <w:color w:val="000000"/>
          <w:lang w:eastAsia="zh-CN"/>
        </w:rPr>
        <w:t>101</w:t>
      </w:r>
      <w:r w:rsidRPr="008A0130">
        <w:rPr>
          <w:rFonts w:ascii="Book Antiqua" w:eastAsia="宋体" w:hAnsi="Book Antiqua" w:cs="宋体"/>
          <w:color w:val="000000"/>
          <w:lang w:eastAsia="zh-CN"/>
        </w:rPr>
        <w:t>: 2882-2887 [PMID: 14981260 DOI: 10.1073/pnas.0307344101]</w:t>
      </w:r>
    </w:p>
    <w:p w14:paraId="5F142F7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41 </w:t>
      </w:r>
      <w:r w:rsidRPr="008A0130">
        <w:rPr>
          <w:rFonts w:ascii="Book Antiqua" w:eastAsia="宋体" w:hAnsi="Book Antiqua" w:cs="宋体"/>
          <w:b/>
          <w:bCs/>
          <w:color w:val="000000"/>
          <w:lang w:eastAsia="zh-CN"/>
        </w:rPr>
        <w:t>Hendriksen J</w:t>
      </w:r>
      <w:r w:rsidRPr="008A0130">
        <w:rPr>
          <w:rFonts w:ascii="Book Antiqua" w:eastAsia="宋体" w:hAnsi="Book Antiqua" w:cs="宋体"/>
          <w:color w:val="000000"/>
          <w:lang w:eastAsia="zh-CN"/>
        </w:rPr>
        <w:t xml:space="preserve">, Fagotto F, van der Velde H, van Schie M, Noordermeer J, Fornerod M. RanBP3 enhances nuclear export of active (beta)-catenin </w:t>
      </w:r>
      <w:r w:rsidRPr="008A0130">
        <w:rPr>
          <w:rFonts w:ascii="Book Antiqua" w:eastAsia="宋体" w:hAnsi="Book Antiqua" w:cs="宋体"/>
          <w:color w:val="000000"/>
          <w:lang w:eastAsia="zh-CN"/>
        </w:rPr>
        <w:lastRenderedPageBreak/>
        <w:t>independently of CRM1. </w:t>
      </w:r>
      <w:r w:rsidRPr="008A0130">
        <w:rPr>
          <w:rFonts w:ascii="Book Antiqua" w:eastAsia="宋体" w:hAnsi="Book Antiqua" w:cs="宋体"/>
          <w:i/>
          <w:iCs/>
          <w:color w:val="000000"/>
          <w:lang w:eastAsia="zh-CN"/>
        </w:rPr>
        <w:t>J Cell Biol</w:t>
      </w:r>
      <w:r w:rsidRPr="008A0130">
        <w:rPr>
          <w:rFonts w:ascii="Book Antiqua" w:eastAsia="宋体" w:hAnsi="Book Antiqua" w:cs="宋体"/>
          <w:color w:val="000000"/>
          <w:lang w:eastAsia="zh-CN"/>
        </w:rPr>
        <w:t> 2005; </w:t>
      </w:r>
      <w:r w:rsidRPr="008A0130">
        <w:rPr>
          <w:rFonts w:ascii="Book Antiqua" w:eastAsia="宋体" w:hAnsi="Book Antiqua" w:cs="宋体"/>
          <w:b/>
          <w:bCs/>
          <w:color w:val="000000"/>
          <w:lang w:eastAsia="zh-CN"/>
        </w:rPr>
        <w:t>171</w:t>
      </w:r>
      <w:r w:rsidRPr="008A0130">
        <w:rPr>
          <w:rFonts w:ascii="Book Antiqua" w:eastAsia="宋体" w:hAnsi="Book Antiqua" w:cs="宋体"/>
          <w:color w:val="000000"/>
          <w:lang w:eastAsia="zh-CN"/>
        </w:rPr>
        <w:t>: 785-797 [PMID: 16314428 DOI: 10.1083/jcb.200502141]</w:t>
      </w:r>
    </w:p>
    <w:p w14:paraId="246E8A4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42 </w:t>
      </w:r>
      <w:r w:rsidRPr="008A0130">
        <w:rPr>
          <w:rFonts w:ascii="Book Antiqua" w:eastAsia="宋体" w:hAnsi="Book Antiqua" w:cs="宋体"/>
          <w:b/>
          <w:bCs/>
          <w:color w:val="000000"/>
          <w:lang w:eastAsia="zh-CN"/>
        </w:rPr>
        <w:t>Sato N</w:t>
      </w:r>
      <w:r w:rsidRPr="008A0130">
        <w:rPr>
          <w:rFonts w:ascii="Book Antiqua" w:eastAsia="宋体" w:hAnsi="Book Antiqua" w:cs="宋体"/>
          <w:color w:val="000000"/>
          <w:lang w:eastAsia="zh-CN"/>
        </w:rPr>
        <w:t>, Meijer L, Skaltsounis L, Greengard P, Brivanlou AH. Maintenance of pluripotency in human and mouse embryonic stem cells through activation of Wnt signaling by a pharmacological GSK-3-specific inhibitor. </w:t>
      </w:r>
      <w:r w:rsidRPr="008A0130">
        <w:rPr>
          <w:rFonts w:ascii="Book Antiqua" w:eastAsia="宋体" w:hAnsi="Book Antiqua" w:cs="宋体"/>
          <w:i/>
          <w:iCs/>
          <w:color w:val="000000"/>
          <w:lang w:eastAsia="zh-CN"/>
        </w:rPr>
        <w:t>Nat Med</w:t>
      </w:r>
      <w:r w:rsidRPr="008A0130">
        <w:rPr>
          <w:rFonts w:ascii="Book Antiqua" w:eastAsia="宋体" w:hAnsi="Book Antiqua" w:cs="宋体"/>
          <w:color w:val="000000"/>
          <w:lang w:eastAsia="zh-CN"/>
        </w:rPr>
        <w:t> 2004; </w:t>
      </w:r>
      <w:r w:rsidRPr="008A0130">
        <w:rPr>
          <w:rFonts w:ascii="Book Antiqua" w:eastAsia="宋体" w:hAnsi="Book Antiqua" w:cs="宋体"/>
          <w:b/>
          <w:bCs/>
          <w:color w:val="000000"/>
          <w:lang w:eastAsia="zh-CN"/>
        </w:rPr>
        <w:t>10</w:t>
      </w:r>
      <w:r w:rsidRPr="008A0130">
        <w:rPr>
          <w:rFonts w:ascii="Book Antiqua" w:eastAsia="宋体" w:hAnsi="Book Antiqua" w:cs="宋体"/>
          <w:color w:val="000000"/>
          <w:lang w:eastAsia="zh-CN"/>
        </w:rPr>
        <w:t>: 55-63 [PMID: 14702635 DOI: 10.1038/nm979]</w:t>
      </w:r>
    </w:p>
    <w:p w14:paraId="3FBBA4A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43 </w:t>
      </w:r>
      <w:r w:rsidRPr="008A0130">
        <w:rPr>
          <w:rFonts w:ascii="Book Antiqua" w:eastAsia="宋体" w:hAnsi="Book Antiqua" w:cs="宋体"/>
          <w:b/>
          <w:bCs/>
          <w:color w:val="000000"/>
          <w:lang w:eastAsia="zh-CN"/>
        </w:rPr>
        <w:t>Byun T</w:t>
      </w:r>
      <w:r w:rsidRPr="008A0130">
        <w:rPr>
          <w:rFonts w:ascii="Book Antiqua" w:eastAsia="宋体" w:hAnsi="Book Antiqua" w:cs="宋体"/>
          <w:color w:val="000000"/>
          <w:lang w:eastAsia="zh-CN"/>
        </w:rPr>
        <w:t>, Karimi M, Marsh JL, Milovanovic T, Lin F, Holcombe RF. Expression of secreted Wnt antagonists in gastrointestinal tissues: potential role in stem cell homeostasis. </w:t>
      </w:r>
      <w:r w:rsidRPr="008A0130">
        <w:rPr>
          <w:rFonts w:ascii="Book Antiqua" w:eastAsia="宋体" w:hAnsi="Book Antiqua" w:cs="宋体"/>
          <w:i/>
          <w:iCs/>
          <w:color w:val="000000"/>
          <w:lang w:eastAsia="zh-CN"/>
        </w:rPr>
        <w:t>J Clin Pathol</w:t>
      </w:r>
      <w:r w:rsidRPr="008A0130">
        <w:rPr>
          <w:rFonts w:ascii="Book Antiqua" w:eastAsia="宋体" w:hAnsi="Book Antiqua" w:cs="宋体"/>
          <w:color w:val="000000"/>
          <w:lang w:eastAsia="zh-CN"/>
        </w:rPr>
        <w:t> 2005; </w:t>
      </w:r>
      <w:r w:rsidRPr="008A0130">
        <w:rPr>
          <w:rFonts w:ascii="Book Antiqua" w:eastAsia="宋体" w:hAnsi="Book Antiqua" w:cs="宋体"/>
          <w:b/>
          <w:bCs/>
          <w:color w:val="000000"/>
          <w:lang w:eastAsia="zh-CN"/>
        </w:rPr>
        <w:t>58</w:t>
      </w:r>
      <w:r w:rsidRPr="008A0130">
        <w:rPr>
          <w:rFonts w:ascii="Book Antiqua" w:eastAsia="宋体" w:hAnsi="Book Antiqua" w:cs="宋体"/>
          <w:color w:val="000000"/>
          <w:lang w:eastAsia="zh-CN"/>
        </w:rPr>
        <w:t>: 515-519 [PMID: 15858124 DOI: 10.1136/jcp.2004.018598]</w:t>
      </w:r>
    </w:p>
    <w:p w14:paraId="1CA872D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44 </w:t>
      </w:r>
      <w:r w:rsidRPr="008A0130">
        <w:rPr>
          <w:rFonts w:ascii="Book Antiqua" w:eastAsia="宋体" w:hAnsi="Book Antiqua" w:cs="宋体"/>
          <w:b/>
          <w:bCs/>
          <w:color w:val="000000"/>
          <w:lang w:eastAsia="zh-CN"/>
        </w:rPr>
        <w:t>Barker N</w:t>
      </w:r>
      <w:r w:rsidRPr="008A0130">
        <w:rPr>
          <w:rFonts w:ascii="Book Antiqua" w:eastAsia="宋体" w:hAnsi="Book Antiqua" w:cs="宋体"/>
          <w:color w:val="000000"/>
          <w:lang w:eastAsia="zh-CN"/>
        </w:rPr>
        <w:t>, Huch M, Kujala P, van de Wetering M, Snippert HJ, van Es JH, Sato T, Stange DE, Begthel H, van den Born M, Danenberg E, van den Brink S, Korving J, Abo A, Peters PJ, Wright N, Poulsom R, Clevers H. Lgr5(+ve) stem cells drive self-renewal in the stomach and build long-lived gastric units in vitro. </w:t>
      </w:r>
      <w:r w:rsidRPr="008A0130">
        <w:rPr>
          <w:rFonts w:ascii="Book Antiqua" w:eastAsia="宋体" w:hAnsi="Book Antiqua" w:cs="宋体"/>
          <w:i/>
          <w:iCs/>
          <w:color w:val="000000"/>
          <w:lang w:eastAsia="zh-CN"/>
        </w:rPr>
        <w:t>Cell Stem Cell</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6</w:t>
      </w:r>
      <w:r w:rsidRPr="008A0130">
        <w:rPr>
          <w:rFonts w:ascii="Book Antiqua" w:eastAsia="宋体" w:hAnsi="Book Antiqua" w:cs="宋体"/>
          <w:color w:val="000000"/>
          <w:lang w:eastAsia="zh-CN"/>
        </w:rPr>
        <w:t>: 25-36 [PMID: 20085740 DOI: 10.1016/j.stem.2009.11.013]</w:t>
      </w:r>
    </w:p>
    <w:p w14:paraId="054B33B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45 </w:t>
      </w:r>
      <w:r w:rsidRPr="008A0130">
        <w:rPr>
          <w:rFonts w:ascii="Book Antiqua" w:eastAsia="宋体" w:hAnsi="Book Antiqua" w:cs="宋体"/>
          <w:b/>
          <w:bCs/>
          <w:color w:val="000000"/>
          <w:lang w:eastAsia="zh-CN"/>
        </w:rPr>
        <w:t>Ishimoto T</w:t>
      </w:r>
      <w:r w:rsidRPr="008A0130">
        <w:rPr>
          <w:rFonts w:ascii="Book Antiqua" w:eastAsia="宋体" w:hAnsi="Book Antiqua" w:cs="宋体"/>
          <w:color w:val="000000"/>
          <w:lang w:eastAsia="zh-CN"/>
        </w:rPr>
        <w:t>, Oshima H, Oshima M, Kai K, Torii R, Masuko T, Baba H, Saya H, Nagano O. CD44+ slow-cycling tumor cell expansion is triggered by cooperative actions of Wnt and prostaglandin E2 in gastric tumorigenesis. </w:t>
      </w:r>
      <w:r w:rsidRPr="008A0130">
        <w:rPr>
          <w:rFonts w:ascii="Book Antiqua" w:eastAsia="宋体" w:hAnsi="Book Antiqua" w:cs="宋体"/>
          <w:i/>
          <w:iCs/>
          <w:color w:val="000000"/>
          <w:lang w:eastAsia="zh-CN"/>
        </w:rPr>
        <w:t>Cancer Sci</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101</w:t>
      </w:r>
      <w:r w:rsidRPr="008A0130">
        <w:rPr>
          <w:rFonts w:ascii="Book Antiqua" w:eastAsia="宋体" w:hAnsi="Book Antiqua" w:cs="宋体"/>
          <w:color w:val="000000"/>
          <w:lang w:eastAsia="zh-CN"/>
        </w:rPr>
        <w:t>: 673-678 [PMID: 20028388 DOI: 10.1111/j.1349-7006.2009.01430.x]</w:t>
      </w:r>
    </w:p>
    <w:p w14:paraId="310CE75A"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46 </w:t>
      </w:r>
      <w:r w:rsidRPr="008A0130">
        <w:rPr>
          <w:rFonts w:ascii="Book Antiqua" w:eastAsia="宋体" w:hAnsi="Book Antiqua" w:cs="宋体"/>
          <w:b/>
          <w:bCs/>
          <w:color w:val="000000"/>
          <w:lang w:eastAsia="zh-CN"/>
        </w:rPr>
        <w:t>Cai C</w:t>
      </w:r>
      <w:r w:rsidRPr="008A0130">
        <w:rPr>
          <w:rFonts w:ascii="Book Antiqua" w:eastAsia="宋体" w:hAnsi="Book Antiqua" w:cs="宋体"/>
          <w:color w:val="000000"/>
          <w:lang w:eastAsia="zh-CN"/>
        </w:rPr>
        <w:t>, Zhu X. The Wnt/β-catenin pathway regulates self-renewal of cancer stem-like cells in human gastric cancer. </w:t>
      </w:r>
      <w:r w:rsidRPr="008A0130">
        <w:rPr>
          <w:rFonts w:ascii="Book Antiqua" w:eastAsia="宋体" w:hAnsi="Book Antiqua" w:cs="宋体"/>
          <w:i/>
          <w:iCs/>
          <w:color w:val="000000"/>
          <w:lang w:eastAsia="zh-CN"/>
        </w:rPr>
        <w:t>Mol Med Rep</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1191-1196 [PMID: 22367735]</w:t>
      </w:r>
    </w:p>
    <w:p w14:paraId="57142DA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47 </w:t>
      </w:r>
      <w:r w:rsidRPr="008A0130">
        <w:rPr>
          <w:rFonts w:ascii="Book Antiqua" w:eastAsia="宋体" w:hAnsi="Book Antiqua" w:cs="宋体"/>
          <w:b/>
          <w:bCs/>
          <w:color w:val="000000"/>
          <w:lang w:eastAsia="zh-CN"/>
        </w:rPr>
        <w:t>Mao J</w:t>
      </w:r>
      <w:r w:rsidRPr="008A0130">
        <w:rPr>
          <w:rFonts w:ascii="Book Antiqua" w:eastAsia="宋体" w:hAnsi="Book Antiqua" w:cs="宋体"/>
          <w:color w:val="000000"/>
          <w:lang w:eastAsia="zh-CN"/>
        </w:rPr>
        <w:t>, Fan S, Ma W, Fan P, Wang B, Zhang J, Wang H, Tang B, Zhang Q, Yu X, Wang L, Song B, Li L. Roles of Wnt/β-catenin signaling in the gastric cancer stem cells proliferation and salinomycin treatment. </w:t>
      </w:r>
      <w:r w:rsidRPr="008A0130">
        <w:rPr>
          <w:rFonts w:ascii="Book Antiqua" w:eastAsia="宋体" w:hAnsi="Book Antiqua" w:cs="宋体"/>
          <w:i/>
          <w:iCs/>
          <w:color w:val="000000"/>
          <w:lang w:eastAsia="zh-CN"/>
        </w:rPr>
        <w:t>Cell Death Dis</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e1039 [PMID: 24481453 DOI: 10.1038/cddis.2013.515]</w:t>
      </w:r>
    </w:p>
    <w:p w14:paraId="3C2938B7" w14:textId="0313CB4A"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 xml:space="preserve">48 </w:t>
      </w:r>
      <w:r w:rsidRPr="008A0130">
        <w:rPr>
          <w:rFonts w:ascii="Book Antiqua" w:hAnsi="Book Antiqua" w:cs="Times New Roman"/>
          <w:b/>
          <w:lang w:val="es-ES_tradnl"/>
        </w:rPr>
        <w:t>The Cancer Genome Atlas Network</w:t>
      </w:r>
      <w:r w:rsidRPr="008A0130">
        <w:rPr>
          <w:rFonts w:ascii="Book Antiqua" w:eastAsia="宋体" w:hAnsi="Book Antiqua" w:cs="宋体"/>
          <w:b/>
          <w:color w:val="000000"/>
          <w:lang w:eastAsia="zh-CN"/>
        </w:rPr>
        <w:t>.</w:t>
      </w:r>
      <w:r w:rsidRPr="008A0130">
        <w:rPr>
          <w:rFonts w:ascii="Book Antiqua" w:eastAsia="宋体" w:hAnsi="Book Antiqua" w:cs="宋体"/>
          <w:color w:val="000000"/>
          <w:lang w:eastAsia="zh-CN"/>
        </w:rPr>
        <w:t xml:space="preserve"> Comprehensive molecular characterization of human colon and rectal cancer. </w:t>
      </w:r>
      <w:r w:rsidRPr="008A0130">
        <w:rPr>
          <w:rFonts w:ascii="Book Antiqua" w:eastAsia="宋体" w:hAnsi="Book Antiqua" w:cs="宋体"/>
          <w:i/>
          <w:iCs/>
          <w:color w:val="000000"/>
          <w:lang w:eastAsia="zh-CN"/>
        </w:rPr>
        <w:t>Nature</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487</w:t>
      </w:r>
      <w:r w:rsidRPr="008A0130">
        <w:rPr>
          <w:rFonts w:ascii="Book Antiqua" w:eastAsia="宋体" w:hAnsi="Book Antiqua" w:cs="宋体"/>
          <w:color w:val="000000"/>
          <w:lang w:eastAsia="zh-CN"/>
        </w:rPr>
        <w:t>: 330-337 [PMID: 22810696 DOI: 10.1038/nature11252]</w:t>
      </w:r>
    </w:p>
    <w:p w14:paraId="1471896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49 </w:t>
      </w:r>
      <w:r w:rsidRPr="008A0130">
        <w:rPr>
          <w:rFonts w:ascii="Book Antiqua" w:eastAsia="宋体" w:hAnsi="Book Antiqua" w:cs="宋体"/>
          <w:b/>
          <w:bCs/>
          <w:color w:val="000000"/>
          <w:lang w:eastAsia="zh-CN"/>
        </w:rPr>
        <w:t>Song J</w:t>
      </w:r>
      <w:r w:rsidRPr="008A0130">
        <w:rPr>
          <w:rFonts w:ascii="Book Antiqua" w:eastAsia="宋体" w:hAnsi="Book Antiqua" w:cs="宋体"/>
          <w:color w:val="000000"/>
          <w:lang w:eastAsia="zh-CN"/>
        </w:rPr>
        <w:t>, Wang Z, Ewing RM. Integrated analysis of the Wnt responsive proteome in human cells reveals diverse and cell-type specific networks. </w:t>
      </w:r>
      <w:r w:rsidRPr="008A0130">
        <w:rPr>
          <w:rFonts w:ascii="Book Antiqua" w:eastAsia="宋体" w:hAnsi="Book Antiqua" w:cs="宋体"/>
          <w:i/>
          <w:iCs/>
          <w:color w:val="000000"/>
          <w:lang w:eastAsia="zh-CN"/>
        </w:rPr>
        <w:t>Mol Biosyst</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10</w:t>
      </w:r>
      <w:r w:rsidRPr="008A0130">
        <w:rPr>
          <w:rFonts w:ascii="Book Antiqua" w:eastAsia="宋体" w:hAnsi="Book Antiqua" w:cs="宋体"/>
          <w:color w:val="000000"/>
          <w:lang w:eastAsia="zh-CN"/>
        </w:rPr>
        <w:t>: 45-53 [PMID: 24201312 DOI: 10.1039/c3mb70417c]</w:t>
      </w:r>
    </w:p>
    <w:p w14:paraId="62B1858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50 </w:t>
      </w:r>
      <w:r w:rsidRPr="008A0130">
        <w:rPr>
          <w:rFonts w:ascii="Book Antiqua" w:eastAsia="宋体" w:hAnsi="Book Antiqua" w:cs="宋体"/>
          <w:b/>
          <w:bCs/>
          <w:color w:val="000000"/>
          <w:lang w:eastAsia="zh-CN"/>
        </w:rPr>
        <w:t>Wang K</w:t>
      </w:r>
      <w:r w:rsidRPr="008A0130">
        <w:rPr>
          <w:rFonts w:ascii="Book Antiqua" w:eastAsia="宋体" w:hAnsi="Book Antiqua" w:cs="宋体"/>
          <w:color w:val="000000"/>
          <w:lang w:eastAsia="zh-CN"/>
        </w:rPr>
        <w:t>, Kan J, Yuen ST, Shi ST, Chu KM, Law S, Chan TL, Kan Z, Chan AS, Tsui WY, Lee SP, Ho SL, Chan AK, Cheng GH, Roberts PC, Rejto PA, Gibson NW, Pocalyko DJ, Mao M, Xu J, Leung SY. Exome sequencing identifies frequent mutation of ARID1A in molecular subtypes of gastric cancer. </w:t>
      </w:r>
      <w:r w:rsidRPr="008A0130">
        <w:rPr>
          <w:rFonts w:ascii="Book Antiqua" w:eastAsia="宋体" w:hAnsi="Book Antiqua" w:cs="宋体"/>
          <w:i/>
          <w:iCs/>
          <w:color w:val="000000"/>
          <w:lang w:eastAsia="zh-CN"/>
        </w:rPr>
        <w:t>Nat Genet</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43</w:t>
      </w:r>
      <w:r w:rsidRPr="008A0130">
        <w:rPr>
          <w:rFonts w:ascii="Book Antiqua" w:eastAsia="宋体" w:hAnsi="Book Antiqua" w:cs="宋体"/>
          <w:color w:val="000000"/>
          <w:lang w:eastAsia="zh-CN"/>
        </w:rPr>
        <w:t>: 1219-1223 [PMID: 22037554 DOI: 10.1038/ng.982]</w:t>
      </w:r>
    </w:p>
    <w:p w14:paraId="4F5CFDC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51 </w:t>
      </w:r>
      <w:r w:rsidRPr="008A0130">
        <w:rPr>
          <w:rFonts w:ascii="Book Antiqua" w:eastAsia="宋体" w:hAnsi="Book Antiqua" w:cs="宋体"/>
          <w:b/>
          <w:bCs/>
          <w:color w:val="000000"/>
          <w:lang w:eastAsia="zh-CN"/>
        </w:rPr>
        <w:t>Lee J</w:t>
      </w:r>
      <w:r w:rsidRPr="008A0130">
        <w:rPr>
          <w:rFonts w:ascii="Book Antiqua" w:eastAsia="宋体" w:hAnsi="Book Antiqua" w:cs="宋体"/>
          <w:color w:val="000000"/>
          <w:lang w:eastAsia="zh-CN"/>
        </w:rPr>
        <w:t>, van Hummelen P, Go C, Palescandolo E, Jang J, Park HY, Kang SY, Park JO, Kang WK, MacConaill L, Kim KM. High-throughput mutation profiling identifies frequent somatic mutations in advanced gastric adenocarcinoma.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7</w:t>
      </w:r>
      <w:r w:rsidRPr="008A0130">
        <w:rPr>
          <w:rFonts w:ascii="Book Antiqua" w:eastAsia="宋体" w:hAnsi="Book Antiqua" w:cs="宋体"/>
          <w:color w:val="000000"/>
          <w:lang w:eastAsia="zh-CN"/>
        </w:rPr>
        <w:t>: e38892 [PMID: 22723903 DOI: 10.1371/journal.pone.0038892]</w:t>
      </w:r>
    </w:p>
    <w:p w14:paraId="3D7FFAA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52 </w:t>
      </w:r>
      <w:r w:rsidRPr="008A0130">
        <w:rPr>
          <w:rFonts w:ascii="Book Antiqua" w:eastAsia="宋体" w:hAnsi="Book Antiqua" w:cs="宋体"/>
          <w:b/>
          <w:bCs/>
          <w:color w:val="000000"/>
          <w:lang w:eastAsia="zh-CN"/>
        </w:rPr>
        <w:t>Nagarajan N</w:t>
      </w:r>
      <w:r w:rsidRPr="008A0130">
        <w:rPr>
          <w:rFonts w:ascii="Book Antiqua" w:eastAsia="宋体" w:hAnsi="Book Antiqua" w:cs="宋体"/>
          <w:color w:val="000000"/>
          <w:lang w:eastAsia="zh-CN"/>
        </w:rPr>
        <w:t>, Bertrand D, Hillmer AM, Zang ZJ, Yao F, Jacques PÉ, Teo AS, Cutcutache I, Zhang Z, Lee WH, Sia YY, Gao S, Ariyaratne PN, Ho A, Woo XY, Veeravali L, Ong CK, Deng N, Desai KV, Khor CC, Hibberd ML, Shahab A, Rao J, Wu M, Teh M, Zhu F, Chin SY, Pang B, So JB, Bourque G, Soong R, Sung WK, Tean Teh B, Rozen S, Ruan X, Yeoh KG, Tan PB, Ruan Y. Whole-genome reconstruction and mutational signatures in gastric cancer. </w:t>
      </w:r>
      <w:r w:rsidRPr="008A0130">
        <w:rPr>
          <w:rFonts w:ascii="Book Antiqua" w:eastAsia="宋体" w:hAnsi="Book Antiqua" w:cs="宋体"/>
          <w:i/>
          <w:iCs/>
          <w:color w:val="000000"/>
          <w:lang w:eastAsia="zh-CN"/>
        </w:rPr>
        <w:t>Genome Biol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13</w:t>
      </w:r>
      <w:r w:rsidRPr="008A0130">
        <w:rPr>
          <w:rFonts w:ascii="Book Antiqua" w:eastAsia="宋体" w:hAnsi="Book Antiqua" w:cs="宋体"/>
          <w:color w:val="000000"/>
          <w:lang w:eastAsia="zh-CN"/>
        </w:rPr>
        <w:t>: R115 [PMID: 23237666 DOI: 10.1186/gb-2012-13-12-r115]</w:t>
      </w:r>
    </w:p>
    <w:p w14:paraId="71BED5B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53 </w:t>
      </w:r>
      <w:r w:rsidRPr="008A0130">
        <w:rPr>
          <w:rFonts w:ascii="Book Antiqua" w:eastAsia="宋体" w:hAnsi="Book Antiqua" w:cs="宋体"/>
          <w:b/>
          <w:bCs/>
          <w:color w:val="000000"/>
          <w:lang w:eastAsia="zh-CN"/>
        </w:rPr>
        <w:t>Zang ZJ</w:t>
      </w:r>
      <w:r w:rsidRPr="008A0130">
        <w:rPr>
          <w:rFonts w:ascii="Book Antiqua" w:eastAsia="宋体" w:hAnsi="Book Antiqua" w:cs="宋体"/>
          <w:color w:val="000000"/>
          <w:lang w:eastAsia="zh-CN"/>
        </w:rPr>
        <w:t>, Cutcutache I, Poon SL, Zhang SL, McPherson JR, Tao J, Rajasegaran V, Heng HL, Deng N, Gan A, Lim KH, Ong CK, Huang D, Chin SY, Tan IB, Ng CC, Yu W, Wu Y, Lee M, Wu J, Poh D, Wan WK, Rha SY, So J, Salto-Tellez M, Yeoh KG, Wong WK, Zhu YJ, Futreal PA, Pang B, Ruan Y, Hillmer AM, Bertrand D, Nagarajan N, Rozen S, Teh BT, Tan P. Exome sequencing of gastric adenocarcinoma identifies recurrent somatic mutations in cell adhesion and chromatin remodeling genes. </w:t>
      </w:r>
      <w:r w:rsidRPr="008A0130">
        <w:rPr>
          <w:rFonts w:ascii="Book Antiqua" w:eastAsia="宋体" w:hAnsi="Book Antiqua" w:cs="宋体"/>
          <w:i/>
          <w:iCs/>
          <w:color w:val="000000"/>
          <w:lang w:eastAsia="zh-CN"/>
        </w:rPr>
        <w:t>Nat Genet</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44</w:t>
      </w:r>
      <w:r w:rsidRPr="008A0130">
        <w:rPr>
          <w:rFonts w:ascii="Book Antiqua" w:eastAsia="宋体" w:hAnsi="Book Antiqua" w:cs="宋体"/>
          <w:color w:val="000000"/>
          <w:lang w:eastAsia="zh-CN"/>
        </w:rPr>
        <w:t>: 570-574 [PMID: 22484628 DOI: 10.1038/ng.2246]</w:t>
      </w:r>
    </w:p>
    <w:p w14:paraId="4118D40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54 </w:t>
      </w:r>
      <w:r w:rsidRPr="008A0130">
        <w:rPr>
          <w:rFonts w:ascii="Book Antiqua" w:eastAsia="宋体" w:hAnsi="Book Antiqua" w:cs="宋体"/>
          <w:b/>
          <w:bCs/>
          <w:color w:val="000000"/>
          <w:lang w:eastAsia="zh-CN"/>
        </w:rPr>
        <w:t>Holbrook JD</w:t>
      </w:r>
      <w:r w:rsidRPr="008A0130">
        <w:rPr>
          <w:rFonts w:ascii="Book Antiqua" w:eastAsia="宋体" w:hAnsi="Book Antiqua" w:cs="宋体"/>
          <w:color w:val="000000"/>
          <w:lang w:eastAsia="zh-CN"/>
        </w:rPr>
        <w:t xml:space="preserve">, Parker JS, Gallagher KT, Halsey WS, Hughes AM, Weigman VJ, Lebowitz PF, Kumar R. Deep sequencing of gastric carcinoma reveals somatic </w:t>
      </w:r>
      <w:r w:rsidRPr="008A0130">
        <w:rPr>
          <w:rFonts w:ascii="Book Antiqua" w:eastAsia="宋体" w:hAnsi="Book Antiqua" w:cs="宋体"/>
          <w:color w:val="000000"/>
          <w:lang w:eastAsia="zh-CN"/>
        </w:rPr>
        <w:lastRenderedPageBreak/>
        <w:t>mutations relevant to personalized medicine. </w:t>
      </w:r>
      <w:r w:rsidRPr="008A0130">
        <w:rPr>
          <w:rFonts w:ascii="Book Antiqua" w:eastAsia="宋体" w:hAnsi="Book Antiqua" w:cs="宋体"/>
          <w:i/>
          <w:iCs/>
          <w:color w:val="000000"/>
          <w:lang w:eastAsia="zh-CN"/>
        </w:rPr>
        <w:t>J Transl Med</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9</w:t>
      </w:r>
      <w:r w:rsidRPr="008A0130">
        <w:rPr>
          <w:rFonts w:ascii="Book Antiqua" w:eastAsia="宋体" w:hAnsi="Book Antiqua" w:cs="宋体"/>
          <w:color w:val="000000"/>
          <w:lang w:eastAsia="zh-CN"/>
        </w:rPr>
        <w:t>: 119 [PMID: 21781349 DOI: 10.1186/1479-5876-9-119]</w:t>
      </w:r>
    </w:p>
    <w:p w14:paraId="708AB33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55 </w:t>
      </w:r>
      <w:r w:rsidRPr="008A0130">
        <w:rPr>
          <w:rFonts w:ascii="Book Antiqua" w:eastAsia="宋体" w:hAnsi="Book Antiqua" w:cs="宋体"/>
          <w:b/>
          <w:bCs/>
          <w:color w:val="000000"/>
          <w:lang w:eastAsia="zh-CN"/>
        </w:rPr>
        <w:t>Fassan M</w:t>
      </w:r>
      <w:r w:rsidRPr="008A0130">
        <w:rPr>
          <w:rFonts w:ascii="Book Antiqua" w:eastAsia="宋体" w:hAnsi="Book Antiqua" w:cs="宋体"/>
          <w:color w:val="000000"/>
          <w:lang w:eastAsia="zh-CN"/>
        </w:rPr>
        <w:t>, Simbolo M, Bria E, Mafficini A, Pilotto S, Capelli P, Bencivenga M, Pecori S, Luchini C, Neves D, Turri G, Vicentini C, Montagna L, Tomezzoli A, Tortora G, Chilosi M, De Manzoni G, Scarpa A. High-throughput mutation profiling identifies novel molecular dysregulation in high-grade intraepithelial neoplasia and early gastric cancers. </w:t>
      </w:r>
      <w:r w:rsidRPr="008A0130">
        <w:rPr>
          <w:rFonts w:ascii="Book Antiqua" w:eastAsia="宋体" w:hAnsi="Book Antiqua" w:cs="宋体"/>
          <w:i/>
          <w:iCs/>
          <w:color w:val="000000"/>
          <w:lang w:eastAsia="zh-CN"/>
        </w:rPr>
        <w:t>Gastric Cancer</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17</w:t>
      </w:r>
      <w:r w:rsidRPr="008A0130">
        <w:rPr>
          <w:rFonts w:ascii="Book Antiqua" w:eastAsia="宋体" w:hAnsi="Book Antiqua" w:cs="宋体"/>
          <w:color w:val="000000"/>
          <w:lang w:eastAsia="zh-CN"/>
        </w:rPr>
        <w:t>: 442-449 [PMID: 24272205 DOI: 10.1007/s10120-013-0315-1]</w:t>
      </w:r>
    </w:p>
    <w:p w14:paraId="51BE8AE7" w14:textId="13789980" w:rsidR="00950BD5" w:rsidRPr="008A0130" w:rsidRDefault="00950BD5" w:rsidP="008A0130">
      <w:pPr>
        <w:pStyle w:val="ListParagraph"/>
        <w:spacing w:line="360" w:lineRule="auto"/>
        <w:ind w:left="0"/>
        <w:jc w:val="both"/>
        <w:rPr>
          <w:rFonts w:ascii="Book Antiqua" w:eastAsia="宋体" w:hAnsi="Book Antiqua" w:cs="Times New Roman"/>
          <w:lang w:val="es-ES_tradnl" w:eastAsia="zh-CN"/>
        </w:rPr>
      </w:pPr>
      <w:r w:rsidRPr="008A0130">
        <w:rPr>
          <w:rFonts w:ascii="Book Antiqua" w:eastAsia="宋体" w:hAnsi="Book Antiqua" w:cs="Times New Roman" w:hint="eastAsia"/>
          <w:lang w:val="es-ES_tradnl" w:eastAsia="zh-CN"/>
        </w:rPr>
        <w:t>56</w:t>
      </w:r>
      <w:r w:rsidRPr="008A0130">
        <w:rPr>
          <w:rFonts w:ascii="Book Antiqua" w:eastAsia="宋体" w:hAnsi="Book Antiqua" w:cs="Times New Roman" w:hint="eastAsia"/>
          <w:b/>
          <w:lang w:val="es-ES_tradnl" w:eastAsia="zh-CN"/>
        </w:rPr>
        <w:t xml:space="preserve"> </w:t>
      </w:r>
      <w:r w:rsidRPr="008A0130">
        <w:rPr>
          <w:rFonts w:ascii="Book Antiqua" w:hAnsi="Book Antiqua" w:cs="Times New Roman"/>
          <w:b/>
          <w:lang w:val="es-ES_tradnl"/>
        </w:rPr>
        <w:t>Vogiatzi P,</w:t>
      </w:r>
      <w:r w:rsidRPr="008A0130">
        <w:rPr>
          <w:rFonts w:ascii="Book Antiqua" w:hAnsi="Book Antiqua" w:cs="Times New Roman"/>
          <w:lang w:val="es-ES_tradnl"/>
        </w:rPr>
        <w:t xml:space="preserve"> Vindigni C, Roviello F, Renieri A, Giordano A.Deciphering the underlying genetic and epigenetic events leading to gastric carcinogenesis.</w:t>
      </w:r>
      <w:r w:rsidRPr="008A0130">
        <w:rPr>
          <w:rFonts w:ascii="Book Antiqua" w:hAnsi="Book Antiqua" w:cs="Times New Roman"/>
          <w:i/>
          <w:lang w:val="es-ES_tradnl"/>
        </w:rPr>
        <w:t xml:space="preserve"> J Cell Physiol </w:t>
      </w:r>
      <w:r w:rsidRPr="008A0130">
        <w:rPr>
          <w:rFonts w:ascii="Book Antiqua" w:hAnsi="Book Antiqua" w:cs="Times New Roman"/>
          <w:lang w:val="es-ES_tradnl"/>
        </w:rPr>
        <w:t xml:space="preserve">2007; </w:t>
      </w:r>
      <w:r w:rsidRPr="008A0130">
        <w:rPr>
          <w:rFonts w:ascii="Book Antiqua" w:hAnsi="Book Antiqua" w:cs="Times New Roman"/>
          <w:b/>
          <w:lang w:val="es-ES_tradnl"/>
        </w:rPr>
        <w:t xml:space="preserve">211: </w:t>
      </w:r>
      <w:r w:rsidRPr="008A0130">
        <w:rPr>
          <w:rFonts w:ascii="Book Antiqua" w:hAnsi="Book Antiqua" w:cs="Times New Roman"/>
          <w:lang w:val="es-ES_tradnl"/>
        </w:rPr>
        <w:t>287-295</w:t>
      </w:r>
      <w:r w:rsidRPr="008A0130">
        <w:rPr>
          <w:rFonts w:ascii="MS Mincho" w:eastAsia="MS Mincho" w:hAnsi="MS Mincho" w:cs="MS Mincho" w:hint="eastAsia"/>
          <w:lang w:val="es-ES_tradnl"/>
        </w:rPr>
        <w:t> </w:t>
      </w:r>
      <w:r w:rsidRPr="008A0130">
        <w:rPr>
          <w:rFonts w:ascii="Book Antiqua" w:hAnsi="Book Antiqua" w:cs="Times New Roman"/>
          <w:lang w:val="es-ES_tradnl"/>
        </w:rPr>
        <w:t xml:space="preserve"> </w:t>
      </w:r>
      <w:r w:rsidRPr="008A0130">
        <w:rPr>
          <w:rFonts w:ascii="Book Antiqua" w:eastAsia="宋体" w:hAnsi="Book Antiqua" w:cs="Times New Roman" w:hint="eastAsia"/>
          <w:lang w:val="es-ES_tradnl" w:eastAsia="zh-CN"/>
        </w:rPr>
        <w:t>[</w:t>
      </w:r>
      <w:r w:rsidRPr="008A0130">
        <w:rPr>
          <w:rFonts w:ascii="Book Antiqua" w:hAnsi="Book Antiqua" w:cs="Times New Roman"/>
          <w:lang w:val="es-ES_tradnl"/>
        </w:rPr>
        <w:t xml:space="preserve">PMID: 17238139 DOI: </w:t>
      </w:r>
      <w:r w:rsidR="00407A5E">
        <w:fldChar w:fldCharType="begin"/>
      </w:r>
      <w:r w:rsidR="00407A5E">
        <w:instrText xml:space="preserve"> HYPERLINK "http://dx.doi.org/10.1002/jcp.20982" \t "_blank</w:instrText>
      </w:r>
      <w:r w:rsidR="00407A5E">
        <w:instrText xml:space="preserve">" </w:instrText>
      </w:r>
      <w:r w:rsidR="00407A5E">
        <w:fldChar w:fldCharType="separate"/>
      </w:r>
      <w:r w:rsidRPr="008A0130">
        <w:rPr>
          <w:rFonts w:ascii="Book Antiqua" w:hAnsi="Book Antiqua" w:cs="Times New Roman"/>
          <w:lang w:val="es-ES_tradnl"/>
        </w:rPr>
        <w:t>10.1002/jcp.20982</w:t>
      </w:r>
      <w:r w:rsidR="00407A5E">
        <w:rPr>
          <w:rFonts w:ascii="Book Antiqua" w:hAnsi="Book Antiqua" w:cs="Times New Roman"/>
          <w:lang w:val="es-ES_tradnl"/>
        </w:rPr>
        <w:fldChar w:fldCharType="end"/>
      </w:r>
      <w:r w:rsidRPr="008A0130">
        <w:rPr>
          <w:rFonts w:ascii="Book Antiqua" w:eastAsia="宋体" w:hAnsi="Book Antiqua" w:cs="Times New Roman" w:hint="eastAsia"/>
          <w:lang w:val="es-ES_tradnl" w:eastAsia="zh-CN"/>
        </w:rPr>
        <w:t>]</w:t>
      </w:r>
    </w:p>
    <w:p w14:paraId="009E7E4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57 </w:t>
      </w:r>
      <w:r w:rsidRPr="008A0130">
        <w:rPr>
          <w:rFonts w:ascii="Book Antiqua" w:eastAsia="宋体" w:hAnsi="Book Antiqua" w:cs="宋体"/>
          <w:b/>
          <w:bCs/>
          <w:color w:val="000000"/>
          <w:lang w:eastAsia="zh-CN"/>
        </w:rPr>
        <w:t>Nakamura J</w:t>
      </w:r>
      <w:r w:rsidRPr="008A0130">
        <w:rPr>
          <w:rFonts w:ascii="Book Antiqua" w:eastAsia="宋体" w:hAnsi="Book Antiqua" w:cs="宋体"/>
          <w:color w:val="000000"/>
          <w:lang w:eastAsia="zh-CN"/>
        </w:rPr>
        <w:t>, Tanaka T, Kitajima Y, Noshiro H, Miyazaki K. Methylation-mediated gene silencing as biomarkers of gastric cancer: a review. </w:t>
      </w:r>
      <w:r w:rsidRPr="008A0130">
        <w:rPr>
          <w:rFonts w:ascii="Book Antiqua" w:eastAsia="宋体" w:hAnsi="Book Antiqua" w:cs="宋体"/>
          <w:i/>
          <w:iCs/>
          <w:color w:val="000000"/>
          <w:lang w:eastAsia="zh-CN"/>
        </w:rPr>
        <w:t>World J Gastroenterol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20</w:t>
      </w:r>
      <w:r w:rsidRPr="008A0130">
        <w:rPr>
          <w:rFonts w:ascii="Book Antiqua" w:eastAsia="宋体" w:hAnsi="Book Antiqua" w:cs="宋体"/>
          <w:color w:val="000000"/>
          <w:lang w:eastAsia="zh-CN"/>
        </w:rPr>
        <w:t>: 11991-12006 [PMID: 25232236 DOI: 10.3748/wjg.v20.i34.11991]</w:t>
      </w:r>
    </w:p>
    <w:p w14:paraId="5B5FCA4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58 </w:t>
      </w:r>
      <w:r w:rsidRPr="008A0130">
        <w:rPr>
          <w:rFonts w:ascii="Book Antiqua" w:eastAsia="宋体" w:hAnsi="Book Antiqua" w:cs="宋体"/>
          <w:b/>
          <w:bCs/>
          <w:color w:val="000000"/>
          <w:lang w:eastAsia="zh-CN"/>
        </w:rPr>
        <w:t>Jones PA</w:t>
      </w:r>
      <w:r w:rsidRPr="008A0130">
        <w:rPr>
          <w:rFonts w:ascii="Book Antiqua" w:eastAsia="宋体" w:hAnsi="Book Antiqua" w:cs="宋体"/>
          <w:color w:val="000000"/>
          <w:lang w:eastAsia="zh-CN"/>
        </w:rPr>
        <w:t>, Baylin SB. The fundamental role of epigenetic events in cancer. </w:t>
      </w:r>
      <w:r w:rsidRPr="008A0130">
        <w:rPr>
          <w:rFonts w:ascii="Book Antiqua" w:eastAsia="宋体" w:hAnsi="Book Antiqua" w:cs="宋体"/>
          <w:i/>
          <w:iCs/>
          <w:color w:val="000000"/>
          <w:lang w:eastAsia="zh-CN"/>
        </w:rPr>
        <w:t>Nat Rev Genet</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3</w:t>
      </w:r>
      <w:r w:rsidRPr="008A0130">
        <w:rPr>
          <w:rFonts w:ascii="Book Antiqua" w:eastAsia="宋体" w:hAnsi="Book Antiqua" w:cs="宋体"/>
          <w:color w:val="000000"/>
          <w:lang w:eastAsia="zh-CN"/>
        </w:rPr>
        <w:t>: 415-428 [PMID: 12042769]</w:t>
      </w:r>
    </w:p>
    <w:p w14:paraId="04DFE72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59 </w:t>
      </w:r>
      <w:r w:rsidRPr="008A0130">
        <w:rPr>
          <w:rFonts w:ascii="Book Antiqua" w:eastAsia="宋体" w:hAnsi="Book Antiqua" w:cs="宋体"/>
          <w:b/>
          <w:bCs/>
          <w:color w:val="000000"/>
          <w:lang w:eastAsia="zh-CN"/>
        </w:rPr>
        <w:t>Sato H</w:t>
      </w:r>
      <w:r w:rsidRPr="008A0130">
        <w:rPr>
          <w:rFonts w:ascii="Book Antiqua" w:eastAsia="宋体" w:hAnsi="Book Antiqua" w:cs="宋体"/>
          <w:color w:val="000000"/>
          <w:lang w:eastAsia="zh-CN"/>
        </w:rPr>
        <w:t>, Suzuki H, Toyota M, Nojima M, Maruyama R, Sasaki S, Takagi H, Sogabe Y, Sasaki Y, Idogawa M, Sonoda T, Mori M, Imai K, Tokino T, Shinomura Y. Frequent epigenetic inactivation of DICKKOPF family genes in human gastrointestinal tumors. </w:t>
      </w:r>
      <w:r w:rsidRPr="008A0130">
        <w:rPr>
          <w:rFonts w:ascii="Book Antiqua" w:eastAsia="宋体" w:hAnsi="Book Antiqua" w:cs="宋体"/>
          <w:i/>
          <w:iCs/>
          <w:color w:val="000000"/>
          <w:lang w:eastAsia="zh-CN"/>
        </w:rPr>
        <w:t>Carcinogenesis</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28</w:t>
      </w:r>
      <w:r w:rsidRPr="008A0130">
        <w:rPr>
          <w:rFonts w:ascii="Book Antiqua" w:eastAsia="宋体" w:hAnsi="Book Antiqua" w:cs="宋体"/>
          <w:color w:val="000000"/>
          <w:lang w:eastAsia="zh-CN"/>
        </w:rPr>
        <w:t>: 2459-2466 [PMID: 17675336 DOI: 10.1093/carcin/bgm178]</w:t>
      </w:r>
    </w:p>
    <w:p w14:paraId="1CB29A0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60 </w:t>
      </w:r>
      <w:r w:rsidRPr="008A0130">
        <w:rPr>
          <w:rFonts w:ascii="Book Antiqua" w:eastAsia="宋体" w:hAnsi="Book Antiqua" w:cs="宋体"/>
          <w:b/>
          <w:bCs/>
          <w:color w:val="000000"/>
          <w:lang w:eastAsia="zh-CN"/>
        </w:rPr>
        <w:t>Veeck J</w:t>
      </w:r>
      <w:r w:rsidRPr="008A0130">
        <w:rPr>
          <w:rFonts w:ascii="Book Antiqua" w:eastAsia="宋体" w:hAnsi="Book Antiqua" w:cs="宋体"/>
          <w:color w:val="000000"/>
          <w:lang w:eastAsia="zh-CN"/>
        </w:rPr>
        <w:t>, Wild PJ, Fuchs T, Schüffler PJ, Hartmann A, Knüchel R, Dahl E. Prognostic relevance of Wnt-inhibitory factor-1 (WIF1) and Dickkopf-3 (DKK3) promoter methylation in human breast cancer. </w:t>
      </w:r>
      <w:r w:rsidRPr="008A0130">
        <w:rPr>
          <w:rFonts w:ascii="Book Antiqua" w:eastAsia="宋体" w:hAnsi="Book Antiqua" w:cs="宋体"/>
          <w:i/>
          <w:iCs/>
          <w:color w:val="000000"/>
          <w:lang w:eastAsia="zh-CN"/>
        </w:rPr>
        <w:t>BMC Cancer</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9</w:t>
      </w:r>
      <w:r w:rsidRPr="008A0130">
        <w:rPr>
          <w:rFonts w:ascii="Book Antiqua" w:eastAsia="宋体" w:hAnsi="Book Antiqua" w:cs="宋体"/>
          <w:color w:val="000000"/>
          <w:lang w:eastAsia="zh-CN"/>
        </w:rPr>
        <w:t>: 217 [PMID: 19570204 DOI: 10.1186/1471-2407-9-217]</w:t>
      </w:r>
    </w:p>
    <w:p w14:paraId="0ACCE65A"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61 </w:t>
      </w:r>
      <w:r w:rsidRPr="008A0130">
        <w:rPr>
          <w:rFonts w:ascii="Book Antiqua" w:eastAsia="宋体" w:hAnsi="Book Antiqua" w:cs="宋体"/>
          <w:b/>
          <w:bCs/>
          <w:color w:val="000000"/>
          <w:lang w:eastAsia="zh-CN"/>
        </w:rPr>
        <w:t>Costa VL</w:t>
      </w:r>
      <w:r w:rsidRPr="008A0130">
        <w:rPr>
          <w:rFonts w:ascii="Book Antiqua" w:eastAsia="宋体" w:hAnsi="Book Antiqua" w:cs="宋体"/>
          <w:color w:val="000000"/>
          <w:lang w:eastAsia="zh-CN"/>
        </w:rPr>
        <w:t>, Henrique R, Ribeiro FR, Carvalho JR, Oliveira J, Lobo F, Teixeira MR, Jerónimo C. Epigenetic regulation of Wnt signaling pathway in urological cancer. </w:t>
      </w:r>
      <w:r w:rsidRPr="008A0130">
        <w:rPr>
          <w:rFonts w:ascii="Book Antiqua" w:eastAsia="宋体" w:hAnsi="Book Antiqua" w:cs="宋体"/>
          <w:i/>
          <w:iCs/>
          <w:color w:val="000000"/>
          <w:lang w:eastAsia="zh-CN"/>
        </w:rPr>
        <w:t>Epigenetics</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343-351 [PMID: 20421722 DOI: 10.4161/epi.5.4.11749]</w:t>
      </w:r>
    </w:p>
    <w:p w14:paraId="71ADC74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62 </w:t>
      </w:r>
      <w:r w:rsidRPr="008A0130">
        <w:rPr>
          <w:rFonts w:ascii="Book Antiqua" w:eastAsia="宋体" w:hAnsi="Book Antiqua" w:cs="宋体"/>
          <w:b/>
          <w:bCs/>
          <w:color w:val="000000"/>
          <w:lang w:eastAsia="zh-CN"/>
        </w:rPr>
        <w:t>Zhang YW</w:t>
      </w:r>
      <w:r w:rsidRPr="008A0130">
        <w:rPr>
          <w:rFonts w:ascii="Book Antiqua" w:eastAsia="宋体" w:hAnsi="Book Antiqua" w:cs="宋体"/>
          <w:color w:val="000000"/>
          <w:lang w:eastAsia="zh-CN"/>
        </w:rPr>
        <w:t>, Miao YF, Yi J, Geng J, Wang R, Chen LB. Transcriptional inactivation of secreted frizzled-related protein 1 by promoter hypermethylation as a potential biomarker for non-small cell lung cancer. </w:t>
      </w:r>
      <w:r w:rsidRPr="008A0130">
        <w:rPr>
          <w:rFonts w:ascii="Book Antiqua" w:eastAsia="宋体" w:hAnsi="Book Antiqua" w:cs="宋体"/>
          <w:i/>
          <w:iCs/>
          <w:color w:val="000000"/>
          <w:lang w:eastAsia="zh-CN"/>
        </w:rPr>
        <w:t>Neoplasma</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57</w:t>
      </w:r>
      <w:r w:rsidRPr="008A0130">
        <w:rPr>
          <w:rFonts w:ascii="Book Antiqua" w:eastAsia="宋体" w:hAnsi="Book Antiqua" w:cs="宋体"/>
          <w:color w:val="000000"/>
          <w:lang w:eastAsia="zh-CN"/>
        </w:rPr>
        <w:t>: 228-233 [PMID: 20353273 DOI: 10.4149/neo_2010_03_228]</w:t>
      </w:r>
    </w:p>
    <w:p w14:paraId="32C41FE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63 </w:t>
      </w:r>
      <w:r w:rsidRPr="008A0130">
        <w:rPr>
          <w:rFonts w:ascii="Book Antiqua" w:eastAsia="宋体" w:hAnsi="Book Antiqua" w:cs="宋体"/>
          <w:b/>
          <w:bCs/>
          <w:color w:val="000000"/>
          <w:lang w:eastAsia="zh-CN"/>
        </w:rPr>
        <w:t>Rawson JB</w:t>
      </w:r>
      <w:r w:rsidRPr="008A0130">
        <w:rPr>
          <w:rFonts w:ascii="Book Antiqua" w:eastAsia="宋体" w:hAnsi="Book Antiqua" w:cs="宋体"/>
          <w:color w:val="000000"/>
          <w:lang w:eastAsia="zh-CN"/>
        </w:rPr>
        <w:t>, Sun Z, Dicks E, Daftary D, Parfrey PS, Green RC, Gallinger S, McLaughlin JR, Wang PP, Knight JA, Bapat B. Vitamin D intake is negatively associated with promoter methylation of the Wnt antagonist gene DKK1 in a large group of colorectal cancer patients. </w:t>
      </w:r>
      <w:r w:rsidRPr="008A0130">
        <w:rPr>
          <w:rFonts w:ascii="Book Antiqua" w:eastAsia="宋体" w:hAnsi="Book Antiqua" w:cs="宋体"/>
          <w:i/>
          <w:iCs/>
          <w:color w:val="000000"/>
          <w:lang w:eastAsia="zh-CN"/>
        </w:rPr>
        <w:t>Nutr Cancer</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64</w:t>
      </w:r>
      <w:r w:rsidRPr="008A0130">
        <w:rPr>
          <w:rFonts w:ascii="Book Antiqua" w:eastAsia="宋体" w:hAnsi="Book Antiqua" w:cs="宋体"/>
          <w:color w:val="000000"/>
          <w:lang w:eastAsia="zh-CN"/>
        </w:rPr>
        <w:t>: 919-928 [PMID: 22966878 DOI: 10.1080/01635581.2012.711418]</w:t>
      </w:r>
    </w:p>
    <w:p w14:paraId="2907D01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64 </w:t>
      </w:r>
      <w:r w:rsidRPr="008A0130">
        <w:rPr>
          <w:rFonts w:ascii="Book Antiqua" w:eastAsia="宋体" w:hAnsi="Book Antiqua" w:cs="宋体"/>
          <w:b/>
          <w:bCs/>
          <w:color w:val="000000"/>
          <w:lang w:eastAsia="zh-CN"/>
        </w:rPr>
        <w:t>Varol N</w:t>
      </w:r>
      <w:r w:rsidRPr="008A0130">
        <w:rPr>
          <w:rFonts w:ascii="Book Antiqua" w:eastAsia="宋体" w:hAnsi="Book Antiqua" w:cs="宋体"/>
          <w:color w:val="000000"/>
          <w:lang w:eastAsia="zh-CN"/>
        </w:rPr>
        <w:t>, Konac E, Onen IH, Gurocak S, Alp E, Yilmaz A, Menevse S, Sozen S. The epigenetically regulated effects of Wnt antagonists on the expression of genes in the apoptosis pathway in human bladder cancer cell line (T24). </w:t>
      </w:r>
      <w:r w:rsidRPr="008A0130">
        <w:rPr>
          <w:rFonts w:ascii="Book Antiqua" w:eastAsia="宋体" w:hAnsi="Book Antiqua" w:cs="宋体"/>
          <w:i/>
          <w:iCs/>
          <w:color w:val="000000"/>
          <w:lang w:eastAsia="zh-CN"/>
        </w:rPr>
        <w:t>DNA Cell Biol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33</w:t>
      </w:r>
      <w:r w:rsidRPr="008A0130">
        <w:rPr>
          <w:rFonts w:ascii="Book Antiqua" w:eastAsia="宋体" w:hAnsi="Book Antiqua" w:cs="宋体"/>
          <w:color w:val="000000"/>
          <w:lang w:eastAsia="zh-CN"/>
        </w:rPr>
        <w:t>: 408-417 [PMID: 24665856 DOI: 10.1089/dna.2013.2285]</w:t>
      </w:r>
    </w:p>
    <w:p w14:paraId="2BC68B3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65 </w:t>
      </w:r>
      <w:r w:rsidRPr="008A0130">
        <w:rPr>
          <w:rFonts w:ascii="Book Antiqua" w:eastAsia="宋体" w:hAnsi="Book Antiqua" w:cs="宋体"/>
          <w:b/>
          <w:bCs/>
          <w:color w:val="000000"/>
          <w:lang w:eastAsia="zh-CN"/>
        </w:rPr>
        <w:t>Zhang J</w:t>
      </w:r>
      <w:r w:rsidRPr="008A0130">
        <w:rPr>
          <w:rFonts w:ascii="Book Antiqua" w:eastAsia="宋体" w:hAnsi="Book Antiqua" w:cs="宋体"/>
          <w:color w:val="000000"/>
          <w:lang w:eastAsia="zh-CN"/>
        </w:rPr>
        <w:t>, Zhou B, Liu Y, Chen K, Bao P, Wang Y, Wang J, Zhou Z, Sun X, Li Y. Wnt inhibitory factor-1 functions as a tumor suppressor through modulating Wnt/β-catenin signaling in neuroblastoma. </w:t>
      </w:r>
      <w:r w:rsidRPr="008A0130">
        <w:rPr>
          <w:rFonts w:ascii="Book Antiqua" w:eastAsia="宋体" w:hAnsi="Book Antiqua" w:cs="宋体"/>
          <w:i/>
          <w:iCs/>
          <w:color w:val="000000"/>
          <w:lang w:eastAsia="zh-CN"/>
        </w:rPr>
        <w:t>Cancer Lett</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348</w:t>
      </w:r>
      <w:r w:rsidRPr="008A0130">
        <w:rPr>
          <w:rFonts w:ascii="Book Antiqua" w:eastAsia="宋体" w:hAnsi="Book Antiqua" w:cs="宋体"/>
          <w:color w:val="000000"/>
          <w:lang w:eastAsia="zh-CN"/>
        </w:rPr>
        <w:t>: 12-19 [PMID: 24561119 DOI: 10.1016/j.canlet.2014.02.011]</w:t>
      </w:r>
    </w:p>
    <w:p w14:paraId="7AD6E7A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66 </w:t>
      </w:r>
      <w:r w:rsidRPr="008A0130">
        <w:rPr>
          <w:rFonts w:ascii="Book Antiqua" w:eastAsia="宋体" w:hAnsi="Book Antiqua" w:cs="宋体"/>
          <w:b/>
          <w:bCs/>
          <w:color w:val="000000"/>
          <w:lang w:eastAsia="zh-CN"/>
        </w:rPr>
        <w:t>Wang F</w:t>
      </w:r>
      <w:r w:rsidRPr="008A0130">
        <w:rPr>
          <w:rFonts w:ascii="Book Antiqua" w:eastAsia="宋体" w:hAnsi="Book Antiqua" w:cs="宋体"/>
          <w:color w:val="000000"/>
          <w:lang w:eastAsia="zh-CN"/>
        </w:rPr>
        <w:t>, Sun GP, Zou YF, Hao JQ, Zhong F, Ren WJ. MicroRNAs as promising biomarkers for gastric cancer. </w:t>
      </w:r>
      <w:r w:rsidRPr="008A0130">
        <w:rPr>
          <w:rFonts w:ascii="Book Antiqua" w:eastAsia="宋体" w:hAnsi="Book Antiqua" w:cs="宋体"/>
          <w:i/>
          <w:iCs/>
          <w:color w:val="000000"/>
          <w:lang w:eastAsia="zh-CN"/>
        </w:rPr>
        <w:t>Cancer Biomark</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11</w:t>
      </w:r>
      <w:r w:rsidRPr="008A0130">
        <w:rPr>
          <w:rFonts w:ascii="Book Antiqua" w:eastAsia="宋体" w:hAnsi="Book Antiqua" w:cs="宋体"/>
          <w:color w:val="000000"/>
          <w:lang w:eastAsia="zh-CN"/>
        </w:rPr>
        <w:t>: 259-267 [PMID: 23248184 DOI: 10.3233/CBM-2012-00284]</w:t>
      </w:r>
    </w:p>
    <w:p w14:paraId="2181365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67 </w:t>
      </w:r>
      <w:r w:rsidRPr="008A0130">
        <w:rPr>
          <w:rFonts w:ascii="Book Antiqua" w:eastAsia="宋体" w:hAnsi="Book Antiqua" w:cs="宋体"/>
          <w:b/>
          <w:bCs/>
          <w:color w:val="000000"/>
          <w:lang w:eastAsia="zh-CN"/>
        </w:rPr>
        <w:t>Song J</w:t>
      </w:r>
      <w:r w:rsidRPr="008A0130">
        <w:rPr>
          <w:rFonts w:ascii="Book Antiqua" w:eastAsia="宋体" w:hAnsi="Book Antiqua" w:cs="宋体"/>
          <w:color w:val="000000"/>
          <w:lang w:eastAsia="zh-CN"/>
        </w:rPr>
        <w:t>, Bai Z, Zhang Z. MicroRNAs are implicated in the initiation and progression of gastric cancer. </w:t>
      </w:r>
      <w:r w:rsidRPr="008A0130">
        <w:rPr>
          <w:rFonts w:ascii="Book Antiqua" w:eastAsia="宋体" w:hAnsi="Book Antiqua" w:cs="宋体"/>
          <w:i/>
          <w:iCs/>
          <w:color w:val="000000"/>
          <w:lang w:eastAsia="zh-CN"/>
        </w:rPr>
        <w:t>Chin Med J (Engl)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127</w:t>
      </w:r>
      <w:r w:rsidRPr="008A0130">
        <w:rPr>
          <w:rFonts w:ascii="Book Antiqua" w:eastAsia="宋体" w:hAnsi="Book Antiqua" w:cs="宋体"/>
          <w:color w:val="000000"/>
          <w:lang w:eastAsia="zh-CN"/>
        </w:rPr>
        <w:t>: 554-559 [PMID: 24451966]</w:t>
      </w:r>
    </w:p>
    <w:p w14:paraId="750DED6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68 </w:t>
      </w:r>
      <w:r w:rsidRPr="008A0130">
        <w:rPr>
          <w:rFonts w:ascii="Book Antiqua" w:eastAsia="宋体" w:hAnsi="Book Antiqua" w:cs="宋体"/>
          <w:b/>
          <w:bCs/>
          <w:color w:val="000000"/>
          <w:lang w:eastAsia="zh-CN"/>
        </w:rPr>
        <w:t>Liu HS</w:t>
      </w:r>
      <w:r w:rsidRPr="008A0130">
        <w:rPr>
          <w:rFonts w:ascii="Book Antiqua" w:eastAsia="宋体" w:hAnsi="Book Antiqua" w:cs="宋体"/>
          <w:color w:val="000000"/>
          <w:lang w:eastAsia="zh-CN"/>
        </w:rPr>
        <w:t>, Xiao HS. MicroRNAs as potential biomarkers for gastric cancer. </w:t>
      </w:r>
      <w:r w:rsidRPr="008A0130">
        <w:rPr>
          <w:rFonts w:ascii="Book Antiqua" w:eastAsia="宋体" w:hAnsi="Book Antiqua" w:cs="宋体"/>
          <w:i/>
          <w:iCs/>
          <w:color w:val="000000"/>
          <w:lang w:eastAsia="zh-CN"/>
        </w:rPr>
        <w:t>World J Gastroenterol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20</w:t>
      </w:r>
      <w:r w:rsidRPr="008A0130">
        <w:rPr>
          <w:rFonts w:ascii="Book Antiqua" w:eastAsia="宋体" w:hAnsi="Book Antiqua" w:cs="宋体"/>
          <w:color w:val="000000"/>
          <w:lang w:eastAsia="zh-CN"/>
        </w:rPr>
        <w:t>: 12007-12017 [PMID: 25232237 DOI: 10.3748/wjg.v20.i34.12007]</w:t>
      </w:r>
    </w:p>
    <w:p w14:paraId="3258C3A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69 </w:t>
      </w:r>
      <w:r w:rsidRPr="008A0130">
        <w:rPr>
          <w:rFonts w:ascii="Book Antiqua" w:eastAsia="宋体" w:hAnsi="Book Antiqua" w:cs="宋体"/>
          <w:b/>
          <w:bCs/>
          <w:color w:val="000000"/>
          <w:lang w:eastAsia="zh-CN"/>
        </w:rPr>
        <w:t>Katoh M</w:t>
      </w:r>
      <w:r w:rsidRPr="008A0130">
        <w:rPr>
          <w:rFonts w:ascii="Book Antiqua" w:eastAsia="宋体" w:hAnsi="Book Antiqua" w:cs="宋体"/>
          <w:color w:val="000000"/>
          <w:lang w:eastAsia="zh-CN"/>
        </w:rPr>
        <w:t>, Kirikoshi H, Terasaki H, Shiokawa K. WNT2B2 mRNA, up-regulated in primary gastric cancer, is a positive regulator of the WNT- beta-catenin-TCF signaling pathway. </w:t>
      </w:r>
      <w:r w:rsidRPr="008A0130">
        <w:rPr>
          <w:rFonts w:ascii="Book Antiqua" w:eastAsia="宋体" w:hAnsi="Book Antiqua" w:cs="宋体"/>
          <w:i/>
          <w:iCs/>
          <w:color w:val="000000"/>
          <w:lang w:eastAsia="zh-CN"/>
        </w:rPr>
        <w:t>Biochem Biophys Res Commun</w:t>
      </w:r>
      <w:r w:rsidRPr="008A0130">
        <w:rPr>
          <w:rFonts w:ascii="Book Antiqua" w:eastAsia="宋体" w:hAnsi="Book Antiqua" w:cs="宋体"/>
          <w:color w:val="000000"/>
          <w:lang w:eastAsia="zh-CN"/>
        </w:rPr>
        <w:t> 2001; </w:t>
      </w:r>
      <w:r w:rsidRPr="008A0130">
        <w:rPr>
          <w:rFonts w:ascii="Book Antiqua" w:eastAsia="宋体" w:hAnsi="Book Antiqua" w:cs="宋体"/>
          <w:b/>
          <w:bCs/>
          <w:color w:val="000000"/>
          <w:lang w:eastAsia="zh-CN"/>
        </w:rPr>
        <w:t>289</w:t>
      </w:r>
      <w:r w:rsidRPr="008A0130">
        <w:rPr>
          <w:rFonts w:ascii="Book Antiqua" w:eastAsia="宋体" w:hAnsi="Book Antiqua" w:cs="宋体"/>
          <w:color w:val="000000"/>
          <w:lang w:eastAsia="zh-CN"/>
        </w:rPr>
        <w:t>: 1093-1098 [PMID: 11741304 DOI: 10.1006/bbrc.2001.6076]</w:t>
      </w:r>
    </w:p>
    <w:p w14:paraId="1256016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70 </w:t>
      </w:r>
      <w:r w:rsidRPr="008A0130">
        <w:rPr>
          <w:rFonts w:ascii="Book Antiqua" w:eastAsia="宋体" w:hAnsi="Book Antiqua" w:cs="宋体"/>
          <w:b/>
          <w:bCs/>
          <w:color w:val="000000"/>
          <w:lang w:eastAsia="zh-CN"/>
        </w:rPr>
        <w:t>Cheng XX</w:t>
      </w:r>
      <w:r w:rsidRPr="008A0130">
        <w:rPr>
          <w:rFonts w:ascii="Book Antiqua" w:eastAsia="宋体" w:hAnsi="Book Antiqua" w:cs="宋体"/>
          <w:color w:val="000000"/>
          <w:lang w:eastAsia="zh-CN"/>
        </w:rPr>
        <w:t>, Wang ZC, Chen XY, Sun Y, Kong QY, Liu J, Li H. Correlation of Wnt-2 expression and beta-catenin intracellular accumulation in Chinese gastric cancers: relevance with tumour dissemination. </w:t>
      </w:r>
      <w:r w:rsidRPr="008A0130">
        <w:rPr>
          <w:rFonts w:ascii="Book Antiqua" w:eastAsia="宋体" w:hAnsi="Book Antiqua" w:cs="宋体"/>
          <w:i/>
          <w:iCs/>
          <w:color w:val="000000"/>
          <w:lang w:eastAsia="zh-CN"/>
        </w:rPr>
        <w:t>Cancer Lett</w:t>
      </w:r>
      <w:r w:rsidRPr="008A0130">
        <w:rPr>
          <w:rFonts w:ascii="Book Antiqua" w:eastAsia="宋体" w:hAnsi="Book Antiqua" w:cs="宋体"/>
          <w:color w:val="000000"/>
          <w:lang w:eastAsia="zh-CN"/>
        </w:rPr>
        <w:t> 2005; </w:t>
      </w:r>
      <w:r w:rsidRPr="008A0130">
        <w:rPr>
          <w:rFonts w:ascii="Book Antiqua" w:eastAsia="宋体" w:hAnsi="Book Antiqua" w:cs="宋体"/>
          <w:b/>
          <w:bCs/>
          <w:color w:val="000000"/>
          <w:lang w:eastAsia="zh-CN"/>
        </w:rPr>
        <w:t>223</w:t>
      </w:r>
      <w:r w:rsidRPr="008A0130">
        <w:rPr>
          <w:rFonts w:ascii="Book Antiqua" w:eastAsia="宋体" w:hAnsi="Book Antiqua" w:cs="宋体"/>
          <w:color w:val="000000"/>
          <w:lang w:eastAsia="zh-CN"/>
        </w:rPr>
        <w:t>: 339-347 [PMID: 15896469 DOI: 10.1016/j.canlet.2004.11.013]</w:t>
      </w:r>
    </w:p>
    <w:p w14:paraId="0881C22A" w14:textId="14A58EA8"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71 </w:t>
      </w:r>
      <w:r w:rsidRPr="008A0130">
        <w:rPr>
          <w:rFonts w:ascii="Book Antiqua" w:eastAsia="宋体" w:hAnsi="Book Antiqua" w:cs="宋体"/>
          <w:b/>
          <w:bCs/>
          <w:color w:val="000000"/>
          <w:lang w:eastAsia="zh-CN"/>
        </w:rPr>
        <w:t>Zhang H</w:t>
      </w:r>
      <w:r w:rsidRPr="008A0130">
        <w:rPr>
          <w:rFonts w:ascii="Book Antiqua" w:eastAsia="宋体" w:hAnsi="Book Antiqua" w:cs="宋体"/>
          <w:color w:val="000000"/>
          <w:lang w:eastAsia="zh-CN"/>
        </w:rPr>
        <w:t>, Xue Y. Wnt pathway is involved in advanced gastric carcinoma. </w:t>
      </w:r>
      <w:r w:rsidRPr="008A0130">
        <w:rPr>
          <w:rFonts w:ascii="Book Antiqua" w:eastAsia="宋体" w:hAnsi="Book Antiqua" w:cs="宋体"/>
          <w:i/>
          <w:iCs/>
          <w:color w:val="000000"/>
          <w:lang w:eastAsia="zh-CN"/>
        </w:rPr>
        <w:t>Hepatogastroenterology</w:t>
      </w:r>
      <w:r w:rsidRPr="008A0130">
        <w:rPr>
          <w:rFonts w:ascii="Book Antiqua" w:eastAsia="宋体" w:hAnsi="Book Antiqua" w:cs="宋体"/>
          <w:color w:val="000000"/>
          <w:lang w:eastAsia="zh-CN"/>
        </w:rPr>
        <w:t> </w:t>
      </w:r>
      <w:r w:rsidRPr="008A0130">
        <w:rPr>
          <w:rFonts w:ascii="Book Antiqua" w:eastAsia="宋体" w:hAnsi="Book Antiqua" w:cs="宋体" w:hint="eastAsia"/>
          <w:color w:val="000000"/>
          <w:lang w:eastAsia="zh-CN"/>
        </w:rPr>
        <w:t>2008</w:t>
      </w:r>
      <w:r w:rsidRPr="008A0130">
        <w:rPr>
          <w:rFonts w:ascii="Book Antiqua" w:eastAsia="宋体" w:hAnsi="Book Antiqua" w:cs="宋体"/>
          <w:color w:val="000000"/>
          <w:lang w:eastAsia="zh-CN"/>
        </w:rPr>
        <w:t>; </w:t>
      </w:r>
      <w:r w:rsidRPr="008A0130">
        <w:rPr>
          <w:rFonts w:ascii="Book Antiqua" w:eastAsia="宋体" w:hAnsi="Book Antiqua" w:cs="宋体"/>
          <w:b/>
          <w:bCs/>
          <w:color w:val="000000"/>
          <w:lang w:eastAsia="zh-CN"/>
        </w:rPr>
        <w:t>55</w:t>
      </w:r>
      <w:r w:rsidRPr="008A0130">
        <w:rPr>
          <w:rFonts w:ascii="Book Antiqua" w:eastAsia="宋体" w:hAnsi="Book Antiqua" w:cs="宋体"/>
          <w:color w:val="000000"/>
          <w:lang w:eastAsia="zh-CN"/>
        </w:rPr>
        <w:t>: 1126-1130 [PMID: 18705344]</w:t>
      </w:r>
    </w:p>
    <w:p w14:paraId="750279A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72 </w:t>
      </w:r>
      <w:r w:rsidRPr="008A0130">
        <w:rPr>
          <w:rFonts w:ascii="Book Antiqua" w:eastAsia="宋体" w:hAnsi="Book Antiqua" w:cs="宋体"/>
          <w:b/>
          <w:bCs/>
          <w:color w:val="000000"/>
          <w:lang w:eastAsia="zh-CN"/>
        </w:rPr>
        <w:t>Oshima H</w:t>
      </w:r>
      <w:r w:rsidRPr="008A0130">
        <w:rPr>
          <w:rFonts w:ascii="Book Antiqua" w:eastAsia="宋体" w:hAnsi="Book Antiqua" w:cs="宋体"/>
          <w:color w:val="000000"/>
          <w:lang w:eastAsia="zh-CN"/>
        </w:rPr>
        <w:t>, Matsunaga A, Fujimura T, Tsukamoto T, Taketo MM, Oshima M. Carcinogenesis in mouse stomach by simultaneous activation of the Wnt signaling and prostaglandin E2 pathway. </w:t>
      </w:r>
      <w:r w:rsidRPr="008A0130">
        <w:rPr>
          <w:rFonts w:ascii="Book Antiqua" w:eastAsia="宋体" w:hAnsi="Book Antiqua" w:cs="宋体"/>
          <w:i/>
          <w:iCs/>
          <w:color w:val="000000"/>
          <w:lang w:eastAsia="zh-CN"/>
        </w:rPr>
        <w:t>Gastroenterology</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131</w:t>
      </w:r>
      <w:r w:rsidRPr="008A0130">
        <w:rPr>
          <w:rFonts w:ascii="Book Antiqua" w:eastAsia="宋体" w:hAnsi="Book Antiqua" w:cs="宋体"/>
          <w:color w:val="000000"/>
          <w:lang w:eastAsia="zh-CN"/>
        </w:rPr>
        <w:t>: 1086-1095 [PMID: 17030179 DOI: 10.1053/j.gastro.2006.07.014]</w:t>
      </w:r>
    </w:p>
    <w:p w14:paraId="7B01146A"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73 </w:t>
      </w:r>
      <w:r w:rsidRPr="008A0130">
        <w:rPr>
          <w:rFonts w:ascii="Book Antiqua" w:eastAsia="宋体" w:hAnsi="Book Antiqua" w:cs="宋体"/>
          <w:b/>
          <w:bCs/>
          <w:color w:val="000000"/>
          <w:lang w:eastAsia="zh-CN"/>
        </w:rPr>
        <w:t>Boussioutas A</w:t>
      </w:r>
      <w:r w:rsidRPr="008A0130">
        <w:rPr>
          <w:rFonts w:ascii="Book Antiqua" w:eastAsia="宋体" w:hAnsi="Book Antiqua" w:cs="宋体"/>
          <w:color w:val="000000"/>
          <w:lang w:eastAsia="zh-CN"/>
        </w:rPr>
        <w:t>, Li H, Liu J, Waring P, Lade S, Holloway AJ, Taupin D, Gorringe K, Haviv I, Desmond PV, Bowtell DD. Distinctive patterns of gene expression in premalignant gastric mucosa and gastric cancer.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2003; </w:t>
      </w:r>
      <w:r w:rsidRPr="008A0130">
        <w:rPr>
          <w:rFonts w:ascii="Book Antiqua" w:eastAsia="宋体" w:hAnsi="Book Antiqua" w:cs="宋体"/>
          <w:b/>
          <w:bCs/>
          <w:color w:val="000000"/>
          <w:lang w:eastAsia="zh-CN"/>
        </w:rPr>
        <w:t>63</w:t>
      </w:r>
      <w:r w:rsidRPr="008A0130">
        <w:rPr>
          <w:rFonts w:ascii="Book Antiqua" w:eastAsia="宋体" w:hAnsi="Book Antiqua" w:cs="宋体"/>
          <w:color w:val="000000"/>
          <w:lang w:eastAsia="zh-CN"/>
        </w:rPr>
        <w:t>: 2569-2577 [PMID: 12750281]</w:t>
      </w:r>
    </w:p>
    <w:p w14:paraId="73791B2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74 </w:t>
      </w:r>
      <w:r w:rsidRPr="008A0130">
        <w:rPr>
          <w:rFonts w:ascii="Book Antiqua" w:eastAsia="宋体" w:hAnsi="Book Antiqua" w:cs="宋体"/>
          <w:b/>
          <w:bCs/>
          <w:color w:val="000000"/>
          <w:lang w:eastAsia="zh-CN"/>
        </w:rPr>
        <w:t>Kurayoshi M</w:t>
      </w:r>
      <w:r w:rsidRPr="008A0130">
        <w:rPr>
          <w:rFonts w:ascii="Book Antiqua" w:eastAsia="宋体" w:hAnsi="Book Antiqua" w:cs="宋体"/>
          <w:color w:val="000000"/>
          <w:lang w:eastAsia="zh-CN"/>
        </w:rPr>
        <w:t>, Oue N, Yamamoto H, Kishida M, Inoue A, Asahara T, Yasui W, Kikuchi A. Expression of Wnt-5a is correlated with aggressiveness of gastric cancer by stimulating cell migration and invasion.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66</w:t>
      </w:r>
      <w:r w:rsidRPr="008A0130">
        <w:rPr>
          <w:rFonts w:ascii="Book Antiqua" w:eastAsia="宋体" w:hAnsi="Book Antiqua" w:cs="宋体"/>
          <w:color w:val="000000"/>
          <w:lang w:eastAsia="zh-CN"/>
        </w:rPr>
        <w:t>: 10439-10448 [PMID: 17079465 DOI: 10.1158/0008-5472.CAN-06-2359]</w:t>
      </w:r>
    </w:p>
    <w:p w14:paraId="081439C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75 </w:t>
      </w:r>
      <w:r w:rsidRPr="008A0130">
        <w:rPr>
          <w:rFonts w:ascii="Book Antiqua" w:eastAsia="宋体" w:hAnsi="Book Antiqua" w:cs="宋体"/>
          <w:b/>
          <w:bCs/>
          <w:color w:val="000000"/>
          <w:lang w:eastAsia="zh-CN"/>
        </w:rPr>
        <w:t>Yuan G</w:t>
      </w:r>
      <w:r w:rsidRPr="008A0130">
        <w:rPr>
          <w:rFonts w:ascii="Book Antiqua" w:eastAsia="宋体" w:hAnsi="Book Antiqua" w:cs="宋体"/>
          <w:color w:val="000000"/>
          <w:lang w:eastAsia="zh-CN"/>
        </w:rPr>
        <w:t>, Regel I, Lian F, Friedrich T, Hitkova I, Hofheinz RD, Ströbel P, Langer R, Keller G, Röcken C, Zimmermann W, Schmid RM, Ebert MP, Burgermeister E. WNT6 is a novel target gene of caveolin-1 promoting chemoresistance to epirubicin in human gastric cancer cells.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32</w:t>
      </w:r>
      <w:r w:rsidRPr="008A0130">
        <w:rPr>
          <w:rFonts w:ascii="Book Antiqua" w:eastAsia="宋体" w:hAnsi="Book Antiqua" w:cs="宋体"/>
          <w:color w:val="000000"/>
          <w:lang w:eastAsia="zh-CN"/>
        </w:rPr>
        <w:t>: 375-387 [PMID: 22370641 DOI: 10.1038/onc.2012.40]</w:t>
      </w:r>
    </w:p>
    <w:p w14:paraId="0AF97C8F" w14:textId="7A063E9C"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76 </w:t>
      </w:r>
      <w:r w:rsidRPr="008A0130">
        <w:rPr>
          <w:rFonts w:ascii="Book Antiqua" w:eastAsia="宋体" w:hAnsi="Book Antiqua" w:cs="宋体"/>
          <w:b/>
          <w:bCs/>
          <w:color w:val="000000"/>
          <w:lang w:eastAsia="zh-CN"/>
        </w:rPr>
        <w:t>Boscher C</w:t>
      </w:r>
      <w:r w:rsidRPr="008A0130">
        <w:rPr>
          <w:rFonts w:ascii="Book Antiqua" w:eastAsia="宋体" w:hAnsi="Book Antiqua" w:cs="宋体"/>
          <w:color w:val="000000"/>
          <w:lang w:eastAsia="zh-CN"/>
        </w:rPr>
        <w:t>, Nabi IR. Caveolin-1: role in cell signaling. </w:t>
      </w:r>
      <w:r w:rsidRPr="008A0130">
        <w:rPr>
          <w:rFonts w:ascii="Book Antiqua" w:eastAsia="宋体" w:hAnsi="Book Antiqua" w:cs="宋体"/>
          <w:i/>
          <w:iCs/>
          <w:color w:val="000000"/>
          <w:lang w:eastAsia="zh-CN"/>
        </w:rPr>
        <w:t>Adv Exp Med Biol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729</w:t>
      </w:r>
      <w:r w:rsidRPr="008A0130">
        <w:rPr>
          <w:rFonts w:ascii="Book Antiqua" w:eastAsia="宋体" w:hAnsi="Book Antiqua" w:cs="宋体"/>
          <w:color w:val="000000"/>
          <w:lang w:eastAsia="zh-CN"/>
        </w:rPr>
        <w:t>: 29-50 [PMID: 22411312 DOI: 10.1007/978-1-4614-1222-9_3]</w:t>
      </w:r>
    </w:p>
    <w:p w14:paraId="202C37B1" w14:textId="0912DF68"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77 </w:t>
      </w:r>
      <w:r w:rsidRPr="008A0130">
        <w:rPr>
          <w:rFonts w:ascii="Book Antiqua" w:eastAsia="宋体" w:hAnsi="Book Antiqua" w:cs="宋体"/>
          <w:b/>
          <w:bCs/>
          <w:color w:val="000000"/>
          <w:lang w:eastAsia="zh-CN"/>
        </w:rPr>
        <w:t>Gupta R</w:t>
      </w:r>
      <w:r w:rsidRPr="008A0130">
        <w:rPr>
          <w:rFonts w:ascii="Book Antiqua" w:eastAsia="宋体" w:hAnsi="Book Antiqua" w:cs="宋体"/>
          <w:color w:val="000000"/>
          <w:lang w:eastAsia="zh-CN"/>
        </w:rPr>
        <w:t>, Toufaily C, Annabi B. Caveolin and cavin family members: dual roles in cancer. </w:t>
      </w:r>
      <w:r w:rsidRPr="008A0130">
        <w:rPr>
          <w:rFonts w:ascii="Book Antiqua" w:eastAsia="宋体" w:hAnsi="Book Antiqua" w:cs="宋体"/>
          <w:i/>
          <w:iCs/>
          <w:color w:val="000000"/>
          <w:lang w:eastAsia="zh-CN"/>
        </w:rPr>
        <w:t>Biochimie</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 xml:space="preserve">107 </w:t>
      </w:r>
      <w:r w:rsidRPr="008A0130">
        <w:rPr>
          <w:rFonts w:ascii="Book Antiqua" w:eastAsia="宋体" w:hAnsi="Book Antiqua" w:cs="宋体"/>
          <w:bCs/>
          <w:color w:val="000000"/>
          <w:lang w:eastAsia="zh-CN"/>
        </w:rPr>
        <w:t>Pt B</w:t>
      </w:r>
      <w:r w:rsidRPr="008A0130">
        <w:rPr>
          <w:rFonts w:ascii="Book Antiqua" w:eastAsia="宋体" w:hAnsi="Book Antiqua" w:cs="宋体"/>
          <w:color w:val="000000"/>
          <w:lang w:eastAsia="zh-CN"/>
        </w:rPr>
        <w:t>: 188-202 [PMID: 25241255 DOI: 10.1016/j.biochi.2014.09.010]</w:t>
      </w:r>
    </w:p>
    <w:p w14:paraId="5B614E8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78 </w:t>
      </w:r>
      <w:r w:rsidRPr="008A0130">
        <w:rPr>
          <w:rFonts w:ascii="Book Antiqua" w:eastAsia="宋体" w:hAnsi="Book Antiqua" w:cs="宋体"/>
          <w:b/>
          <w:bCs/>
          <w:color w:val="000000"/>
          <w:lang w:eastAsia="zh-CN"/>
        </w:rPr>
        <w:t>To KF</w:t>
      </w:r>
      <w:r w:rsidRPr="008A0130">
        <w:rPr>
          <w:rFonts w:ascii="Book Antiqua" w:eastAsia="宋体" w:hAnsi="Book Antiqua" w:cs="宋体"/>
          <w:color w:val="000000"/>
          <w:lang w:eastAsia="zh-CN"/>
        </w:rPr>
        <w:t xml:space="preserve">, Chan MW, Leung WK, Yu J, Tong JH, Lee TL, Chan FK, Sung JJ. Alterations of frizzled (FzE3) and secreted frizzled related protein (hsFRP) </w:t>
      </w:r>
      <w:r w:rsidRPr="008A0130">
        <w:rPr>
          <w:rFonts w:ascii="Book Antiqua" w:eastAsia="宋体" w:hAnsi="Book Antiqua" w:cs="宋体"/>
          <w:color w:val="000000"/>
          <w:lang w:eastAsia="zh-CN"/>
        </w:rPr>
        <w:lastRenderedPageBreak/>
        <w:t>expression in gastric cancer. </w:t>
      </w:r>
      <w:r w:rsidRPr="008A0130">
        <w:rPr>
          <w:rFonts w:ascii="Book Antiqua" w:eastAsia="宋体" w:hAnsi="Book Antiqua" w:cs="宋体"/>
          <w:i/>
          <w:iCs/>
          <w:color w:val="000000"/>
          <w:lang w:eastAsia="zh-CN"/>
        </w:rPr>
        <w:t>Life Sci</w:t>
      </w:r>
      <w:r w:rsidRPr="008A0130">
        <w:rPr>
          <w:rFonts w:ascii="Book Antiqua" w:eastAsia="宋体" w:hAnsi="Book Antiqua" w:cs="宋体"/>
          <w:color w:val="000000"/>
          <w:lang w:eastAsia="zh-CN"/>
        </w:rPr>
        <w:t> 2001; </w:t>
      </w:r>
      <w:r w:rsidRPr="008A0130">
        <w:rPr>
          <w:rFonts w:ascii="Book Antiqua" w:eastAsia="宋体" w:hAnsi="Book Antiqua" w:cs="宋体"/>
          <w:b/>
          <w:bCs/>
          <w:color w:val="000000"/>
          <w:lang w:eastAsia="zh-CN"/>
        </w:rPr>
        <w:t>70</w:t>
      </w:r>
      <w:r w:rsidRPr="008A0130">
        <w:rPr>
          <w:rFonts w:ascii="Book Antiqua" w:eastAsia="宋体" w:hAnsi="Book Antiqua" w:cs="宋体"/>
          <w:color w:val="000000"/>
          <w:lang w:eastAsia="zh-CN"/>
        </w:rPr>
        <w:t>: 483-489 [PMID: 11798016 DOI: 10.1016/S0024-3205(01)01422-9]</w:t>
      </w:r>
    </w:p>
    <w:p w14:paraId="3F0F5B7A" w14:textId="4993899D"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 xml:space="preserve">79 </w:t>
      </w:r>
      <w:r w:rsidRPr="008A0130">
        <w:rPr>
          <w:rFonts w:ascii="Book Antiqua" w:hAnsi="Book Antiqua" w:cs="Times New Roman"/>
          <w:b/>
          <w:lang w:val="es-ES_tradnl"/>
        </w:rPr>
        <w:t>Mo ML,</w:t>
      </w:r>
      <w:r w:rsidRPr="008A0130">
        <w:rPr>
          <w:rFonts w:ascii="Book Antiqua" w:hAnsi="Book Antiqua" w:cs="Times New Roman"/>
          <w:lang w:val="es-ES_tradnl"/>
        </w:rPr>
        <w:t> </w:t>
      </w:r>
      <w:hyperlink r:id="rId14" w:history="1">
        <w:r w:rsidRPr="008A0130">
          <w:rPr>
            <w:rFonts w:ascii="Book Antiqua" w:hAnsi="Book Antiqua" w:cs="Times New Roman"/>
            <w:lang w:val="es-ES_tradnl"/>
          </w:rPr>
          <w:t>Li MR</w:t>
        </w:r>
      </w:hyperlink>
      <w:r w:rsidRPr="008A0130">
        <w:rPr>
          <w:rFonts w:ascii="Book Antiqua" w:hAnsi="Book Antiqua" w:cs="Times New Roman"/>
          <w:lang w:val="es-ES_tradnl"/>
        </w:rPr>
        <w:t>, </w:t>
      </w:r>
      <w:hyperlink r:id="rId15" w:history="1">
        <w:r w:rsidRPr="008A0130">
          <w:rPr>
            <w:rFonts w:ascii="Book Antiqua" w:hAnsi="Book Antiqua" w:cs="Times New Roman"/>
            <w:lang w:val="es-ES_tradnl"/>
          </w:rPr>
          <w:t>Chen Z</w:t>
        </w:r>
      </w:hyperlink>
      <w:r w:rsidRPr="008A0130">
        <w:rPr>
          <w:rFonts w:ascii="Book Antiqua" w:hAnsi="Book Antiqua" w:cs="Times New Roman"/>
          <w:lang w:val="es-ES_tradnl"/>
        </w:rPr>
        <w:t>, </w:t>
      </w:r>
      <w:hyperlink r:id="rId16" w:history="1">
        <w:r w:rsidRPr="008A0130">
          <w:rPr>
            <w:rFonts w:ascii="Book Antiqua" w:hAnsi="Book Antiqua" w:cs="Times New Roman"/>
            <w:lang w:val="es-ES_tradnl"/>
          </w:rPr>
          <w:t>Liu XW</w:t>
        </w:r>
      </w:hyperlink>
      <w:r w:rsidRPr="008A0130">
        <w:rPr>
          <w:rFonts w:ascii="Book Antiqua" w:hAnsi="Book Antiqua" w:cs="Times New Roman"/>
          <w:lang w:val="es-ES_tradnl"/>
        </w:rPr>
        <w:t>, </w:t>
      </w:r>
      <w:hyperlink r:id="rId17" w:history="1">
        <w:r w:rsidRPr="008A0130">
          <w:rPr>
            <w:rFonts w:ascii="Book Antiqua" w:hAnsi="Book Antiqua" w:cs="Times New Roman"/>
            <w:lang w:val="es-ES_tradnl"/>
          </w:rPr>
          <w:t>Sheng Q</w:t>
        </w:r>
      </w:hyperlink>
      <w:r w:rsidRPr="008A0130">
        <w:rPr>
          <w:rFonts w:ascii="Book Antiqua" w:hAnsi="Book Antiqua" w:cs="Times New Roman"/>
          <w:lang w:val="es-ES_tradnl"/>
        </w:rPr>
        <w:t>, </w:t>
      </w:r>
      <w:hyperlink r:id="rId18" w:history="1">
        <w:r w:rsidRPr="008A0130">
          <w:rPr>
            <w:rFonts w:ascii="Book Antiqua" w:hAnsi="Book Antiqua" w:cs="Times New Roman"/>
            <w:lang w:val="es-ES_tradnl"/>
          </w:rPr>
          <w:t>Zhou HM</w:t>
        </w:r>
      </w:hyperlink>
      <w:r w:rsidRPr="008A0130">
        <w:rPr>
          <w:rFonts w:ascii="Book Antiqua" w:eastAsia="宋体" w:hAnsi="Book Antiqua" w:cs="宋体"/>
          <w:color w:val="000000"/>
          <w:lang w:eastAsia="zh-CN"/>
        </w:rPr>
        <w:t>. Inhibition of the Wnt palmitoyltransferase porcupine suppresses cell growth and downregulates the Wnt/β-catenin pathway in gastric cancer. </w:t>
      </w:r>
      <w:r w:rsidRPr="008A0130">
        <w:rPr>
          <w:rFonts w:ascii="Book Antiqua" w:eastAsia="宋体" w:hAnsi="Book Antiqua" w:cs="宋体"/>
          <w:i/>
          <w:iCs/>
          <w:color w:val="000000"/>
          <w:lang w:eastAsia="zh-CN"/>
        </w:rPr>
        <w:t>Oncol Lett</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1719-1723 [PMID: 23761839]</w:t>
      </w:r>
    </w:p>
    <w:p w14:paraId="4B35328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80 </w:t>
      </w:r>
      <w:r w:rsidRPr="008A0130">
        <w:rPr>
          <w:rFonts w:ascii="Book Antiqua" w:eastAsia="宋体" w:hAnsi="Book Antiqua" w:cs="宋体"/>
          <w:b/>
          <w:bCs/>
          <w:color w:val="000000"/>
          <w:lang w:eastAsia="zh-CN"/>
        </w:rPr>
        <w:t>Qiu HB</w:t>
      </w:r>
      <w:r w:rsidRPr="008A0130">
        <w:rPr>
          <w:rFonts w:ascii="Book Antiqua" w:eastAsia="宋体" w:hAnsi="Book Antiqua" w:cs="宋体"/>
          <w:color w:val="000000"/>
          <w:lang w:eastAsia="zh-CN"/>
        </w:rPr>
        <w:t>, Zhang LY, Ren C, Zeng ZL, Wu WJ, Luo HY, Zhou ZW, Xu RH. Targeting CDH17 suppresses tumor progression in gastric cancer by downregulating Wnt/β-catenin signaling.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8</w:t>
      </w:r>
      <w:r w:rsidRPr="008A0130">
        <w:rPr>
          <w:rFonts w:ascii="Book Antiqua" w:eastAsia="宋体" w:hAnsi="Book Antiqua" w:cs="宋体"/>
          <w:color w:val="000000"/>
          <w:lang w:eastAsia="zh-CN"/>
        </w:rPr>
        <w:t>: e56959 [PMID: 23554857 DOI: 10.1371/journal.pone.0056959]</w:t>
      </w:r>
    </w:p>
    <w:p w14:paraId="52DF813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81 </w:t>
      </w:r>
      <w:r w:rsidRPr="008A0130">
        <w:rPr>
          <w:rFonts w:ascii="Book Antiqua" w:eastAsia="宋体" w:hAnsi="Book Antiqua" w:cs="宋体"/>
          <w:b/>
          <w:bCs/>
          <w:color w:val="000000"/>
          <w:lang w:eastAsia="zh-CN"/>
        </w:rPr>
        <w:t>Lu H</w:t>
      </w:r>
      <w:r w:rsidRPr="008A0130">
        <w:rPr>
          <w:rFonts w:ascii="Book Antiqua" w:eastAsia="宋体" w:hAnsi="Book Antiqua" w:cs="宋体"/>
          <w:color w:val="000000"/>
          <w:lang w:eastAsia="zh-CN"/>
        </w:rPr>
        <w:t>, Sun J, Wang F, Feng L, Ma Y, Shen Q, Jiang Z, Sun X, Wang X, Jin H. Enhancer of zeste homolog 2 activates wnt signaling through downregulating CXXC finger protein 4. </w:t>
      </w:r>
      <w:r w:rsidRPr="008A0130">
        <w:rPr>
          <w:rFonts w:ascii="Book Antiqua" w:eastAsia="宋体" w:hAnsi="Book Antiqua" w:cs="宋体"/>
          <w:i/>
          <w:iCs/>
          <w:color w:val="000000"/>
          <w:lang w:eastAsia="zh-CN"/>
        </w:rPr>
        <w:t>Cell Death Dis</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4</w:t>
      </w:r>
      <w:r w:rsidRPr="008A0130">
        <w:rPr>
          <w:rFonts w:ascii="Book Antiqua" w:eastAsia="宋体" w:hAnsi="Book Antiqua" w:cs="宋体"/>
          <w:color w:val="000000"/>
          <w:lang w:eastAsia="zh-CN"/>
        </w:rPr>
        <w:t>: e776 [PMID: 23949225 DOI: 10.1038/cddis.2013.293]</w:t>
      </w:r>
    </w:p>
    <w:p w14:paraId="636DDD1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82 </w:t>
      </w:r>
      <w:r w:rsidRPr="008A0130">
        <w:rPr>
          <w:rFonts w:ascii="Book Antiqua" w:eastAsia="宋体" w:hAnsi="Book Antiqua" w:cs="宋体"/>
          <w:b/>
          <w:bCs/>
          <w:color w:val="000000"/>
          <w:lang w:eastAsia="zh-CN"/>
        </w:rPr>
        <w:t>Pandi NS</w:t>
      </w:r>
      <w:r w:rsidRPr="008A0130">
        <w:rPr>
          <w:rFonts w:ascii="Book Antiqua" w:eastAsia="宋体" w:hAnsi="Book Antiqua" w:cs="宋体"/>
          <w:color w:val="000000"/>
          <w:lang w:eastAsia="zh-CN"/>
        </w:rPr>
        <w:t>, Manimuthu M, Harunipriya P, Murugesan M, Asha GV, Rajendran S. In silico analysis of expression pattern of a Wnt/β-catenin responsive gene ANLN in gastric cancer. </w:t>
      </w:r>
      <w:r w:rsidRPr="008A0130">
        <w:rPr>
          <w:rFonts w:ascii="Book Antiqua" w:eastAsia="宋体" w:hAnsi="Book Antiqua" w:cs="宋体"/>
          <w:i/>
          <w:iCs/>
          <w:color w:val="000000"/>
          <w:lang w:eastAsia="zh-CN"/>
        </w:rPr>
        <w:t>Gene</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545</w:t>
      </w:r>
      <w:r w:rsidRPr="008A0130">
        <w:rPr>
          <w:rFonts w:ascii="Book Antiqua" w:eastAsia="宋体" w:hAnsi="Book Antiqua" w:cs="宋体"/>
          <w:color w:val="000000"/>
          <w:lang w:eastAsia="zh-CN"/>
        </w:rPr>
        <w:t>: 23-29 [PMID: 24809965 DOI: 10.1016/j.gene.2014.05.013]</w:t>
      </w:r>
    </w:p>
    <w:p w14:paraId="08C7DD0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83 </w:t>
      </w:r>
      <w:r w:rsidRPr="008A0130">
        <w:rPr>
          <w:rFonts w:ascii="Book Antiqua" w:eastAsia="宋体" w:hAnsi="Book Antiqua" w:cs="宋体"/>
          <w:b/>
          <w:bCs/>
          <w:color w:val="000000"/>
          <w:lang w:eastAsia="zh-CN"/>
        </w:rPr>
        <w:t>Kim MY</w:t>
      </w:r>
      <w:r w:rsidRPr="008A0130">
        <w:rPr>
          <w:rFonts w:ascii="Book Antiqua" w:eastAsia="宋体" w:hAnsi="Book Antiqua" w:cs="宋体"/>
          <w:color w:val="000000"/>
          <w:lang w:eastAsia="zh-CN"/>
        </w:rPr>
        <w:t>, Han SI, Lim SC. Roles of cyclin-dependent kinase 8 and β-catenin in the oncogenesis and progression of gastric adenocarcinoma. </w:t>
      </w:r>
      <w:r w:rsidRPr="008A0130">
        <w:rPr>
          <w:rFonts w:ascii="Book Antiqua" w:eastAsia="宋体" w:hAnsi="Book Antiqua" w:cs="宋体"/>
          <w:i/>
          <w:iCs/>
          <w:color w:val="000000"/>
          <w:lang w:eastAsia="zh-CN"/>
        </w:rPr>
        <w:t>Int J Oncol</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38</w:t>
      </w:r>
      <w:r w:rsidRPr="008A0130">
        <w:rPr>
          <w:rFonts w:ascii="Book Antiqua" w:eastAsia="宋体" w:hAnsi="Book Antiqua" w:cs="宋体"/>
          <w:color w:val="000000"/>
          <w:lang w:eastAsia="zh-CN"/>
        </w:rPr>
        <w:t>: 1375-1383 [PMID: 21344156 DOI: 10.3892/ijo.2011.948]</w:t>
      </w:r>
    </w:p>
    <w:p w14:paraId="767814C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84 </w:t>
      </w:r>
      <w:r w:rsidRPr="008A0130">
        <w:rPr>
          <w:rFonts w:ascii="Book Antiqua" w:eastAsia="宋体" w:hAnsi="Book Antiqua" w:cs="宋体"/>
          <w:b/>
          <w:bCs/>
          <w:color w:val="000000"/>
          <w:lang w:eastAsia="zh-CN"/>
        </w:rPr>
        <w:t>Nicholson S</w:t>
      </w:r>
      <w:r w:rsidRPr="008A0130">
        <w:rPr>
          <w:rFonts w:ascii="Book Antiqua" w:eastAsia="宋体" w:hAnsi="Book Antiqua" w:cs="宋体"/>
          <w:color w:val="000000"/>
          <w:lang w:eastAsia="zh-CN"/>
        </w:rPr>
        <w:t>, Whitehouse H, Naidoo K, Byers RJ. Yin Yang 1 in human cancer. </w:t>
      </w:r>
      <w:r w:rsidRPr="008A0130">
        <w:rPr>
          <w:rFonts w:ascii="Book Antiqua" w:eastAsia="宋体" w:hAnsi="Book Antiqua" w:cs="宋体"/>
          <w:i/>
          <w:iCs/>
          <w:color w:val="000000"/>
          <w:lang w:eastAsia="zh-CN"/>
        </w:rPr>
        <w:t>Crit Rev Oncog</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16</w:t>
      </w:r>
      <w:r w:rsidRPr="008A0130">
        <w:rPr>
          <w:rFonts w:ascii="Book Antiqua" w:eastAsia="宋体" w:hAnsi="Book Antiqua" w:cs="宋体"/>
          <w:color w:val="000000"/>
          <w:lang w:eastAsia="zh-CN"/>
        </w:rPr>
        <w:t>: 245-260 [PMID: 22248058 DOI: 10.1615/CritRevOncog.v16.i3-4.80]</w:t>
      </w:r>
    </w:p>
    <w:p w14:paraId="77C3484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85 </w:t>
      </w:r>
      <w:r w:rsidRPr="008A0130">
        <w:rPr>
          <w:rFonts w:ascii="Book Antiqua" w:eastAsia="宋体" w:hAnsi="Book Antiqua" w:cs="宋体"/>
          <w:b/>
          <w:bCs/>
          <w:color w:val="000000"/>
          <w:lang w:eastAsia="zh-CN"/>
        </w:rPr>
        <w:t>Tang S</w:t>
      </w:r>
      <w:r w:rsidRPr="008A0130">
        <w:rPr>
          <w:rFonts w:ascii="Book Antiqua" w:eastAsia="宋体" w:hAnsi="Book Antiqua" w:cs="宋体"/>
          <w:color w:val="000000"/>
          <w:lang w:eastAsia="zh-CN"/>
        </w:rPr>
        <w:t>, Mishra M, Frazier DP, Moore ML, Inoue K, Deora R, Sui G, Dubey P. Positive and negative regulation of prostate stem cell antigen expression by Yin Yang 1 in prostate epithelial cell lines.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7</w:t>
      </w:r>
      <w:r w:rsidRPr="008A0130">
        <w:rPr>
          <w:rFonts w:ascii="Book Antiqua" w:eastAsia="宋体" w:hAnsi="Book Antiqua" w:cs="宋体"/>
          <w:color w:val="000000"/>
          <w:lang w:eastAsia="zh-CN"/>
        </w:rPr>
        <w:t>: e35570 [PMID: 22536409 DOI: 10.1371/journal.pone.0035570]</w:t>
      </w:r>
    </w:p>
    <w:p w14:paraId="19B8A80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86 </w:t>
      </w:r>
      <w:r w:rsidRPr="008A0130">
        <w:rPr>
          <w:rFonts w:ascii="Book Antiqua" w:eastAsia="宋体" w:hAnsi="Book Antiqua" w:cs="宋体"/>
          <w:b/>
          <w:bCs/>
          <w:color w:val="000000"/>
          <w:lang w:eastAsia="zh-CN"/>
        </w:rPr>
        <w:t>Kang W</w:t>
      </w:r>
      <w:r w:rsidRPr="008A0130">
        <w:rPr>
          <w:rFonts w:ascii="Book Antiqua" w:eastAsia="宋体" w:hAnsi="Book Antiqua" w:cs="宋体"/>
          <w:color w:val="000000"/>
          <w:lang w:eastAsia="zh-CN"/>
        </w:rPr>
        <w:t xml:space="preserve">, Tong JH, Chan AW, Zhao J, Dong Y, Wang S, Yang W, Sin FM, Ng SS, Yu J, Cheng AS, To KF. Yin Yang 1 contributes to gastric carcinogenesis and </w:t>
      </w:r>
      <w:r w:rsidRPr="008A0130">
        <w:rPr>
          <w:rFonts w:ascii="Book Antiqua" w:eastAsia="宋体" w:hAnsi="Book Antiqua" w:cs="宋体"/>
          <w:color w:val="000000"/>
          <w:lang w:eastAsia="zh-CN"/>
        </w:rPr>
        <w:lastRenderedPageBreak/>
        <w:t>its nuclear expression correlates with shorter survival in patients with early stage gastric adenocarcinoma. </w:t>
      </w:r>
      <w:r w:rsidRPr="008A0130">
        <w:rPr>
          <w:rFonts w:ascii="Book Antiqua" w:eastAsia="宋体" w:hAnsi="Book Antiqua" w:cs="宋体"/>
          <w:i/>
          <w:iCs/>
          <w:color w:val="000000"/>
          <w:lang w:eastAsia="zh-CN"/>
        </w:rPr>
        <w:t>J Transl Med</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12</w:t>
      </w:r>
      <w:r w:rsidRPr="008A0130">
        <w:rPr>
          <w:rFonts w:ascii="Book Antiqua" w:eastAsia="宋体" w:hAnsi="Book Antiqua" w:cs="宋体"/>
          <w:color w:val="000000"/>
          <w:lang w:eastAsia="zh-CN"/>
        </w:rPr>
        <w:t>: 80 [PMID: 24674326 DOI: 10.1186/1479-5876-12-80]</w:t>
      </w:r>
    </w:p>
    <w:p w14:paraId="5C13057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87 </w:t>
      </w:r>
      <w:r w:rsidRPr="008A0130">
        <w:rPr>
          <w:rFonts w:ascii="Book Antiqua" w:eastAsia="宋体" w:hAnsi="Book Antiqua" w:cs="宋体"/>
          <w:b/>
          <w:bCs/>
          <w:color w:val="000000"/>
          <w:lang w:eastAsia="zh-CN"/>
        </w:rPr>
        <w:t>Li H</w:t>
      </w:r>
      <w:r w:rsidRPr="008A0130">
        <w:rPr>
          <w:rFonts w:ascii="Book Antiqua" w:eastAsia="宋体" w:hAnsi="Book Antiqua" w:cs="宋体"/>
          <w:color w:val="000000"/>
          <w:lang w:eastAsia="zh-CN"/>
        </w:rPr>
        <w:t>, Mo J, Jia G, Liu C, Luan Z, Guan Y. Activation of Wnt signaling inhibits the pro-apoptotic role of Notch in gastric cancer cells. </w:t>
      </w:r>
      <w:r w:rsidRPr="008A0130">
        <w:rPr>
          <w:rFonts w:ascii="Book Antiqua" w:eastAsia="宋体" w:hAnsi="Book Antiqua" w:cs="宋体"/>
          <w:i/>
          <w:iCs/>
          <w:color w:val="000000"/>
          <w:lang w:eastAsia="zh-CN"/>
        </w:rPr>
        <w:t>Mol Med Rep</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7</w:t>
      </w:r>
      <w:r w:rsidRPr="008A0130">
        <w:rPr>
          <w:rFonts w:ascii="Book Antiqua" w:eastAsia="宋体" w:hAnsi="Book Antiqua" w:cs="宋体"/>
          <w:color w:val="000000"/>
          <w:lang w:eastAsia="zh-CN"/>
        </w:rPr>
        <w:t>: 1751-1756 [PMID: 23563575 DOI: 10.3892/mmr.2013.1412]</w:t>
      </w:r>
    </w:p>
    <w:p w14:paraId="60C54F7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88 </w:t>
      </w:r>
      <w:r w:rsidRPr="008A0130">
        <w:rPr>
          <w:rFonts w:ascii="Book Antiqua" w:eastAsia="宋体" w:hAnsi="Book Antiqua" w:cs="宋体"/>
          <w:b/>
          <w:bCs/>
          <w:color w:val="000000"/>
          <w:lang w:eastAsia="zh-CN"/>
        </w:rPr>
        <w:t>Park WS</w:t>
      </w:r>
      <w:r w:rsidRPr="008A0130">
        <w:rPr>
          <w:rFonts w:ascii="Book Antiqua" w:eastAsia="宋体" w:hAnsi="Book Antiqua" w:cs="宋体"/>
          <w:color w:val="000000"/>
          <w:lang w:eastAsia="zh-CN"/>
        </w:rPr>
        <w:t>, Oh RR, Park JY, Lee SH, Shin MS, Kim YS, Kim SY, Lee HK, Kim PJ, Oh ST, Yoo NJ, Lee JY. Frequent somatic mutations of the beta-catenin gene in intestinal-type gastric cancer.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1999; </w:t>
      </w:r>
      <w:r w:rsidRPr="008A0130">
        <w:rPr>
          <w:rFonts w:ascii="Book Antiqua" w:eastAsia="宋体" w:hAnsi="Book Antiqua" w:cs="宋体"/>
          <w:b/>
          <w:bCs/>
          <w:color w:val="000000"/>
          <w:lang w:eastAsia="zh-CN"/>
        </w:rPr>
        <w:t>59</w:t>
      </w:r>
      <w:r w:rsidRPr="008A0130">
        <w:rPr>
          <w:rFonts w:ascii="Book Antiqua" w:eastAsia="宋体" w:hAnsi="Book Antiqua" w:cs="宋体"/>
          <w:color w:val="000000"/>
          <w:lang w:eastAsia="zh-CN"/>
        </w:rPr>
        <w:t>: 4257-4260 [PMID: 10485468]</w:t>
      </w:r>
    </w:p>
    <w:p w14:paraId="0C85782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89 </w:t>
      </w:r>
      <w:r w:rsidRPr="008A0130">
        <w:rPr>
          <w:rFonts w:ascii="Book Antiqua" w:eastAsia="宋体" w:hAnsi="Book Antiqua" w:cs="宋体"/>
          <w:b/>
          <w:bCs/>
          <w:color w:val="000000"/>
          <w:lang w:eastAsia="zh-CN"/>
        </w:rPr>
        <w:t>Woo DK</w:t>
      </w:r>
      <w:r w:rsidRPr="008A0130">
        <w:rPr>
          <w:rFonts w:ascii="Book Antiqua" w:eastAsia="宋体" w:hAnsi="Book Antiqua" w:cs="宋体"/>
          <w:color w:val="000000"/>
          <w:lang w:eastAsia="zh-CN"/>
        </w:rPr>
        <w:t>, Kim HS, Lee HS, Kang YH, Yang HK, Kim WH. Altered expression and mutation of beta-catenin gene in gastric carcinomas and cell lines. </w:t>
      </w:r>
      <w:r w:rsidRPr="008A0130">
        <w:rPr>
          <w:rFonts w:ascii="Book Antiqua" w:eastAsia="宋体" w:hAnsi="Book Antiqua" w:cs="宋体"/>
          <w:i/>
          <w:iCs/>
          <w:color w:val="000000"/>
          <w:lang w:eastAsia="zh-CN"/>
        </w:rPr>
        <w:t>Int J Cancer</w:t>
      </w:r>
      <w:r w:rsidRPr="008A0130">
        <w:rPr>
          <w:rFonts w:ascii="Book Antiqua" w:eastAsia="宋体" w:hAnsi="Book Antiqua" w:cs="宋体"/>
          <w:color w:val="000000"/>
          <w:lang w:eastAsia="zh-CN"/>
        </w:rPr>
        <w:t> 2001; </w:t>
      </w:r>
      <w:r w:rsidRPr="008A0130">
        <w:rPr>
          <w:rFonts w:ascii="Book Antiqua" w:eastAsia="宋体" w:hAnsi="Book Antiqua" w:cs="宋体"/>
          <w:b/>
          <w:bCs/>
          <w:color w:val="000000"/>
          <w:lang w:eastAsia="zh-CN"/>
        </w:rPr>
        <w:t>95</w:t>
      </w:r>
      <w:r w:rsidRPr="008A0130">
        <w:rPr>
          <w:rFonts w:ascii="Book Antiqua" w:eastAsia="宋体" w:hAnsi="Book Antiqua" w:cs="宋体"/>
          <w:color w:val="000000"/>
          <w:lang w:eastAsia="zh-CN"/>
        </w:rPr>
        <w:t>: 108-113 [PMID: 11241321]</w:t>
      </w:r>
    </w:p>
    <w:p w14:paraId="775EF1F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90 </w:t>
      </w:r>
      <w:r w:rsidRPr="008A0130">
        <w:rPr>
          <w:rFonts w:ascii="Book Antiqua" w:eastAsia="宋体" w:hAnsi="Book Antiqua" w:cs="宋体"/>
          <w:b/>
          <w:bCs/>
          <w:color w:val="000000"/>
          <w:lang w:eastAsia="zh-CN"/>
        </w:rPr>
        <w:t>Pan KF</w:t>
      </w:r>
      <w:r w:rsidRPr="008A0130">
        <w:rPr>
          <w:rFonts w:ascii="Book Antiqua" w:eastAsia="宋体" w:hAnsi="Book Antiqua" w:cs="宋体"/>
          <w:color w:val="000000"/>
          <w:lang w:eastAsia="zh-CN"/>
        </w:rPr>
        <w:t>, Liu WG, Zhang L, You WC, Lu YY. Mutations in components of the Wnt signaling pathway in gastric cancer. </w:t>
      </w:r>
      <w:r w:rsidRPr="008A0130">
        <w:rPr>
          <w:rFonts w:ascii="Book Antiqua" w:eastAsia="宋体" w:hAnsi="Book Antiqua" w:cs="宋体"/>
          <w:i/>
          <w:iCs/>
          <w:color w:val="000000"/>
          <w:lang w:eastAsia="zh-CN"/>
        </w:rPr>
        <w:t>World J Gastroenterol</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14</w:t>
      </w:r>
      <w:r w:rsidRPr="008A0130">
        <w:rPr>
          <w:rFonts w:ascii="Book Antiqua" w:eastAsia="宋体" w:hAnsi="Book Antiqua" w:cs="宋体"/>
          <w:color w:val="000000"/>
          <w:lang w:eastAsia="zh-CN"/>
        </w:rPr>
        <w:t>: 1570-1574 [PMID: 18330950 DOI: 10.3748/wjg.14.1570]</w:t>
      </w:r>
    </w:p>
    <w:p w14:paraId="1075785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91 </w:t>
      </w:r>
      <w:r w:rsidRPr="008A0130">
        <w:rPr>
          <w:rFonts w:ascii="Book Antiqua" w:eastAsia="宋体" w:hAnsi="Book Antiqua" w:cs="宋体"/>
          <w:b/>
          <w:bCs/>
          <w:color w:val="000000"/>
          <w:lang w:eastAsia="zh-CN"/>
        </w:rPr>
        <w:t>Ebert MP</w:t>
      </w:r>
      <w:r w:rsidRPr="008A0130">
        <w:rPr>
          <w:rFonts w:ascii="Book Antiqua" w:eastAsia="宋体" w:hAnsi="Book Antiqua" w:cs="宋体"/>
          <w:color w:val="000000"/>
          <w:lang w:eastAsia="zh-CN"/>
        </w:rPr>
        <w:t>, Fei G, Kahmann S, Müller O, Yu J, Sung JJ, Malfertheiner P. Increased beta-catenin mRNA levels and mutational alterations of the APC and beta-catenin gene are present in intestinal-type gastric cancer. </w:t>
      </w:r>
      <w:r w:rsidRPr="008A0130">
        <w:rPr>
          <w:rFonts w:ascii="Book Antiqua" w:eastAsia="宋体" w:hAnsi="Book Antiqua" w:cs="宋体"/>
          <w:i/>
          <w:iCs/>
          <w:color w:val="000000"/>
          <w:lang w:eastAsia="zh-CN"/>
        </w:rPr>
        <w:t>Carcinogenesis</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23</w:t>
      </w:r>
      <w:r w:rsidRPr="008A0130">
        <w:rPr>
          <w:rFonts w:ascii="Book Antiqua" w:eastAsia="宋体" w:hAnsi="Book Antiqua" w:cs="宋体"/>
          <w:color w:val="000000"/>
          <w:lang w:eastAsia="zh-CN"/>
        </w:rPr>
        <w:t>: 87-91 [PMID: 11756228 DOI: 10.1093/carcin/23.1.87]</w:t>
      </w:r>
    </w:p>
    <w:p w14:paraId="05971CF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92 </w:t>
      </w:r>
      <w:r w:rsidRPr="008A0130">
        <w:rPr>
          <w:rFonts w:ascii="Book Antiqua" w:eastAsia="宋体" w:hAnsi="Book Antiqua" w:cs="宋体"/>
          <w:b/>
          <w:bCs/>
          <w:color w:val="000000"/>
          <w:lang w:eastAsia="zh-CN"/>
        </w:rPr>
        <w:t>Ogasawara N</w:t>
      </w:r>
      <w:r w:rsidRPr="008A0130">
        <w:rPr>
          <w:rFonts w:ascii="Book Antiqua" w:eastAsia="宋体" w:hAnsi="Book Antiqua" w:cs="宋体"/>
          <w:color w:val="000000"/>
          <w:lang w:eastAsia="zh-CN"/>
        </w:rPr>
        <w:t>, Tsukamoto T, Mizoshita T, Inada K, Cao X, Takenaka Y, Joh T, Tatematsu M. Mutations and nuclear accumulation of beta-catenin correlate with intestinal phenotypic expression in human gastric cancer. </w:t>
      </w:r>
      <w:r w:rsidRPr="008A0130">
        <w:rPr>
          <w:rFonts w:ascii="Book Antiqua" w:eastAsia="宋体" w:hAnsi="Book Antiqua" w:cs="宋体"/>
          <w:i/>
          <w:iCs/>
          <w:color w:val="000000"/>
          <w:lang w:eastAsia="zh-CN"/>
        </w:rPr>
        <w:t>Histopathology</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49</w:t>
      </w:r>
      <w:r w:rsidRPr="008A0130">
        <w:rPr>
          <w:rFonts w:ascii="Book Antiqua" w:eastAsia="宋体" w:hAnsi="Book Antiqua" w:cs="宋体"/>
          <w:color w:val="000000"/>
          <w:lang w:eastAsia="zh-CN"/>
        </w:rPr>
        <w:t>: 612-621 [PMID: 17163846 DOI: 10.1111/j.1365-2559.2006.02560.x]</w:t>
      </w:r>
    </w:p>
    <w:p w14:paraId="113FFF4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93 </w:t>
      </w:r>
      <w:r w:rsidRPr="008A0130">
        <w:rPr>
          <w:rFonts w:ascii="Book Antiqua" w:eastAsia="宋体" w:hAnsi="Book Antiqua" w:cs="宋体"/>
          <w:b/>
          <w:bCs/>
          <w:color w:val="000000"/>
          <w:lang w:eastAsia="zh-CN"/>
        </w:rPr>
        <w:t>Candidus S</w:t>
      </w:r>
      <w:r w:rsidRPr="008A0130">
        <w:rPr>
          <w:rFonts w:ascii="Book Antiqua" w:eastAsia="宋体" w:hAnsi="Book Antiqua" w:cs="宋体"/>
          <w:color w:val="000000"/>
          <w:lang w:eastAsia="zh-CN"/>
        </w:rPr>
        <w:t>, Bischoff P, Becker KF, Höfler H. No evidence for mutations in the alpha- and beta-catenin genes in human gastric and breast carcinomas.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1996; </w:t>
      </w:r>
      <w:r w:rsidRPr="008A0130">
        <w:rPr>
          <w:rFonts w:ascii="Book Antiqua" w:eastAsia="宋体" w:hAnsi="Book Antiqua" w:cs="宋体"/>
          <w:b/>
          <w:bCs/>
          <w:color w:val="000000"/>
          <w:lang w:eastAsia="zh-CN"/>
        </w:rPr>
        <w:t>56</w:t>
      </w:r>
      <w:r w:rsidRPr="008A0130">
        <w:rPr>
          <w:rFonts w:ascii="Book Antiqua" w:eastAsia="宋体" w:hAnsi="Book Antiqua" w:cs="宋体"/>
          <w:color w:val="000000"/>
          <w:lang w:eastAsia="zh-CN"/>
        </w:rPr>
        <w:t>: 49-52 [PMID: 8548773]</w:t>
      </w:r>
    </w:p>
    <w:p w14:paraId="5F306FA6" w14:textId="3C132FC4"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94 </w:t>
      </w:r>
      <w:r w:rsidRPr="008A0130">
        <w:rPr>
          <w:rFonts w:ascii="Book Antiqua" w:eastAsia="宋体" w:hAnsi="Book Antiqua" w:cs="宋体"/>
          <w:b/>
          <w:bCs/>
          <w:color w:val="000000"/>
          <w:lang w:eastAsia="zh-CN"/>
        </w:rPr>
        <w:t>Sasaki Y</w:t>
      </w:r>
      <w:r w:rsidRPr="008A0130">
        <w:rPr>
          <w:rFonts w:ascii="Book Antiqua" w:eastAsia="宋体" w:hAnsi="Book Antiqua" w:cs="宋体"/>
          <w:color w:val="000000"/>
          <w:lang w:eastAsia="zh-CN"/>
        </w:rPr>
        <w:t xml:space="preserve">, Morimoto I, Kusano M, Hosokawa M, Itoh F, Yanagihara K, Imai K, Tokino T. Mutational analysis of the beta-catenin gene in gastric </w:t>
      </w:r>
      <w:r w:rsidRPr="008A0130">
        <w:rPr>
          <w:rFonts w:ascii="Book Antiqua" w:eastAsia="宋体" w:hAnsi="Book Antiqua" w:cs="宋体"/>
          <w:color w:val="000000"/>
          <w:lang w:eastAsia="zh-CN"/>
        </w:rPr>
        <w:lastRenderedPageBreak/>
        <w:t>carcinomas. </w:t>
      </w:r>
      <w:r w:rsidRPr="008A0130">
        <w:rPr>
          <w:rFonts w:ascii="Book Antiqua" w:eastAsia="宋体" w:hAnsi="Book Antiqua" w:cs="宋体"/>
          <w:i/>
          <w:iCs/>
          <w:color w:val="000000"/>
          <w:lang w:eastAsia="zh-CN"/>
        </w:rPr>
        <w:t>Tumour Biol</w:t>
      </w:r>
      <w:r w:rsidRPr="008A0130">
        <w:rPr>
          <w:rFonts w:ascii="Book Antiqua" w:eastAsia="宋体" w:hAnsi="Book Antiqua" w:cs="宋体"/>
          <w:color w:val="000000"/>
          <w:lang w:eastAsia="zh-CN"/>
        </w:rPr>
        <w:t> </w:t>
      </w:r>
      <w:r w:rsidRPr="008A0130">
        <w:rPr>
          <w:rFonts w:ascii="Book Antiqua" w:eastAsia="宋体" w:hAnsi="Book Antiqua" w:cs="宋体" w:hint="eastAsia"/>
          <w:color w:val="000000"/>
          <w:lang w:eastAsia="zh-CN"/>
        </w:rPr>
        <w:t>2001</w:t>
      </w:r>
      <w:r w:rsidRPr="008A0130">
        <w:rPr>
          <w:rFonts w:ascii="Book Antiqua" w:eastAsia="宋体" w:hAnsi="Book Antiqua" w:cs="宋体"/>
          <w:color w:val="000000"/>
          <w:lang w:eastAsia="zh-CN"/>
        </w:rPr>
        <w:t>; </w:t>
      </w:r>
      <w:r w:rsidRPr="008A0130">
        <w:rPr>
          <w:rFonts w:ascii="Book Antiqua" w:eastAsia="宋体" w:hAnsi="Book Antiqua" w:cs="宋体"/>
          <w:b/>
          <w:bCs/>
          <w:color w:val="000000"/>
          <w:lang w:eastAsia="zh-CN"/>
        </w:rPr>
        <w:t>22</w:t>
      </w:r>
      <w:r w:rsidRPr="008A0130">
        <w:rPr>
          <w:rFonts w:ascii="Book Antiqua" w:eastAsia="宋体" w:hAnsi="Book Antiqua" w:cs="宋体"/>
          <w:color w:val="000000"/>
          <w:lang w:eastAsia="zh-CN"/>
        </w:rPr>
        <w:t>: 123-130 [PMID: 11125285 DOI: 10.1159/000050606]</w:t>
      </w:r>
    </w:p>
    <w:p w14:paraId="603829F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95 </w:t>
      </w:r>
      <w:r w:rsidRPr="008A0130">
        <w:rPr>
          <w:rFonts w:ascii="Book Antiqua" w:eastAsia="宋体" w:hAnsi="Book Antiqua" w:cs="宋体"/>
          <w:b/>
          <w:bCs/>
          <w:color w:val="000000"/>
          <w:lang w:eastAsia="zh-CN"/>
        </w:rPr>
        <w:t>Tong JH</w:t>
      </w:r>
      <w:r w:rsidRPr="008A0130">
        <w:rPr>
          <w:rFonts w:ascii="Book Antiqua" w:eastAsia="宋体" w:hAnsi="Book Antiqua" w:cs="宋体"/>
          <w:color w:val="000000"/>
          <w:lang w:eastAsia="zh-CN"/>
        </w:rPr>
        <w:t>, To KF, Ng EK, Lau JY, Lee TL, Lo KW, Leung WK, Tang NL, Chan FK, Sung JJ, Chung SC. Somatic beta-catenin mutation in gastric carcinoma--an infrequent event that is not specific for microsatellite instability. </w:t>
      </w:r>
      <w:r w:rsidRPr="008A0130">
        <w:rPr>
          <w:rFonts w:ascii="Book Antiqua" w:eastAsia="宋体" w:hAnsi="Book Antiqua" w:cs="宋体"/>
          <w:i/>
          <w:iCs/>
          <w:color w:val="000000"/>
          <w:lang w:eastAsia="zh-CN"/>
        </w:rPr>
        <w:t>Cancer Lett</w:t>
      </w:r>
      <w:r w:rsidRPr="008A0130">
        <w:rPr>
          <w:rFonts w:ascii="Book Antiqua" w:eastAsia="宋体" w:hAnsi="Book Antiqua" w:cs="宋体"/>
          <w:color w:val="000000"/>
          <w:lang w:eastAsia="zh-CN"/>
        </w:rPr>
        <w:t> 2001; </w:t>
      </w:r>
      <w:r w:rsidRPr="008A0130">
        <w:rPr>
          <w:rFonts w:ascii="Book Antiqua" w:eastAsia="宋体" w:hAnsi="Book Antiqua" w:cs="宋体"/>
          <w:b/>
          <w:bCs/>
          <w:color w:val="000000"/>
          <w:lang w:eastAsia="zh-CN"/>
        </w:rPr>
        <w:t>163</w:t>
      </w:r>
      <w:r w:rsidRPr="008A0130">
        <w:rPr>
          <w:rFonts w:ascii="Book Antiqua" w:eastAsia="宋体" w:hAnsi="Book Antiqua" w:cs="宋体"/>
          <w:color w:val="000000"/>
          <w:lang w:eastAsia="zh-CN"/>
        </w:rPr>
        <w:t>: 125-130 [PMID: 11163116 DOI: 10.1016/S0304-3835(00)00681-9]</w:t>
      </w:r>
    </w:p>
    <w:p w14:paraId="65AFC45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96 </w:t>
      </w:r>
      <w:r w:rsidRPr="008A0130">
        <w:rPr>
          <w:rFonts w:ascii="Book Antiqua" w:eastAsia="宋体" w:hAnsi="Book Antiqua" w:cs="宋体"/>
          <w:b/>
          <w:bCs/>
          <w:color w:val="000000"/>
          <w:lang w:eastAsia="zh-CN"/>
        </w:rPr>
        <w:t>Nojima M</w:t>
      </w:r>
      <w:r w:rsidRPr="008A0130">
        <w:rPr>
          <w:rFonts w:ascii="Book Antiqua" w:eastAsia="宋体" w:hAnsi="Book Antiqua" w:cs="宋体"/>
          <w:color w:val="000000"/>
          <w:lang w:eastAsia="zh-CN"/>
        </w:rPr>
        <w:t>, Suzuki H, Toyota M, Watanabe Y, Maruyama R, Sasaki S, Sasaki Y, Mita H, Nishikawa N, Yamaguchi K, Hirata K, Itoh F, Tokino T, Mori M, Imai K, Shinomura Y. Frequent epigenetic inactivation of SFRP genes and constitutive activation of Wnt signaling in gastric cancer.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26</w:t>
      </w:r>
      <w:r w:rsidRPr="008A0130">
        <w:rPr>
          <w:rFonts w:ascii="Book Antiqua" w:eastAsia="宋体" w:hAnsi="Book Antiqua" w:cs="宋体"/>
          <w:color w:val="000000"/>
          <w:lang w:eastAsia="zh-CN"/>
        </w:rPr>
        <w:t>: 4699-4713 [PMID: 17297461 DOI: 10.1038/sj.onc.1210259]</w:t>
      </w:r>
    </w:p>
    <w:p w14:paraId="230B6FD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97 </w:t>
      </w:r>
      <w:r w:rsidRPr="008A0130">
        <w:rPr>
          <w:rFonts w:ascii="Book Antiqua" w:eastAsia="宋体" w:hAnsi="Book Antiqua" w:cs="宋体"/>
          <w:b/>
          <w:bCs/>
          <w:color w:val="000000"/>
          <w:lang w:eastAsia="zh-CN"/>
        </w:rPr>
        <w:t>Wang S</w:t>
      </w:r>
      <w:r w:rsidRPr="008A0130">
        <w:rPr>
          <w:rFonts w:ascii="Book Antiqua" w:eastAsia="宋体" w:hAnsi="Book Antiqua" w:cs="宋体"/>
          <w:color w:val="000000"/>
          <w:lang w:eastAsia="zh-CN"/>
        </w:rPr>
        <w:t>, Tian Y, Wu D, Zhu H, Luo D, Gong W, Zhou Y, Zhou J, Zhang Z. Genetic variation of CTNNB1 gene is associated with susceptibility and prognosis of gastric cancer in a Chinese population. </w:t>
      </w:r>
      <w:r w:rsidRPr="008A0130">
        <w:rPr>
          <w:rFonts w:ascii="Book Antiqua" w:eastAsia="宋体" w:hAnsi="Book Antiqua" w:cs="宋体"/>
          <w:i/>
          <w:iCs/>
          <w:color w:val="000000"/>
          <w:lang w:eastAsia="zh-CN"/>
        </w:rPr>
        <w:t>Mutagenesis</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27</w:t>
      </w:r>
      <w:r w:rsidRPr="008A0130">
        <w:rPr>
          <w:rFonts w:ascii="Book Antiqua" w:eastAsia="宋体" w:hAnsi="Book Antiqua" w:cs="宋体"/>
          <w:color w:val="000000"/>
          <w:lang w:eastAsia="zh-CN"/>
        </w:rPr>
        <w:t>: 623-630 [PMID: 22848100 DOI: 10.1093/mutage/ges027]</w:t>
      </w:r>
    </w:p>
    <w:p w14:paraId="08CE036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98 </w:t>
      </w:r>
      <w:r w:rsidRPr="008A0130">
        <w:rPr>
          <w:rFonts w:ascii="Book Antiqua" w:eastAsia="宋体" w:hAnsi="Book Antiqua" w:cs="宋体"/>
          <w:b/>
          <w:bCs/>
          <w:color w:val="000000"/>
          <w:lang w:eastAsia="zh-CN"/>
        </w:rPr>
        <w:t>Kim MS</w:t>
      </w:r>
      <w:r w:rsidRPr="008A0130">
        <w:rPr>
          <w:rFonts w:ascii="Book Antiqua" w:eastAsia="宋体" w:hAnsi="Book Antiqua" w:cs="宋体"/>
          <w:color w:val="000000"/>
          <w:lang w:eastAsia="zh-CN"/>
        </w:rPr>
        <w:t>, Kim SS, Ahn CH, Yoo NJ, Lee SH. Frameshift mutations of Wnt pathway genes AXIN2 and TCF7L2 in gastric carcinomas with high microsatellite instability. </w:t>
      </w:r>
      <w:r w:rsidRPr="008A0130">
        <w:rPr>
          <w:rFonts w:ascii="Book Antiqua" w:eastAsia="宋体" w:hAnsi="Book Antiqua" w:cs="宋体"/>
          <w:i/>
          <w:iCs/>
          <w:color w:val="000000"/>
          <w:lang w:eastAsia="zh-CN"/>
        </w:rPr>
        <w:t>Hum Pathol</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40</w:t>
      </w:r>
      <w:r w:rsidRPr="008A0130">
        <w:rPr>
          <w:rFonts w:ascii="Book Antiqua" w:eastAsia="宋体" w:hAnsi="Book Antiqua" w:cs="宋体"/>
          <w:color w:val="000000"/>
          <w:lang w:eastAsia="zh-CN"/>
        </w:rPr>
        <w:t>: 58-64 [PMID: 18755497 DOI: 10.1016/j.humpath.2008.06.006]</w:t>
      </w:r>
    </w:p>
    <w:p w14:paraId="6264D1F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99 </w:t>
      </w:r>
      <w:r w:rsidRPr="008A0130">
        <w:rPr>
          <w:rFonts w:ascii="Book Antiqua" w:eastAsia="宋体" w:hAnsi="Book Antiqua" w:cs="宋体"/>
          <w:b/>
          <w:bCs/>
          <w:color w:val="000000"/>
          <w:lang w:eastAsia="zh-CN"/>
        </w:rPr>
        <w:t>Duval A</w:t>
      </w:r>
      <w:r w:rsidRPr="008A0130">
        <w:rPr>
          <w:rFonts w:ascii="Book Antiqua" w:eastAsia="宋体" w:hAnsi="Book Antiqua" w:cs="宋体"/>
          <w:color w:val="000000"/>
          <w:lang w:eastAsia="zh-CN"/>
        </w:rPr>
        <w:t>, Iacopetta B, Ranzani GN, Lothe RA, Thomas G, Hamelin R. Variable mutation frequencies in coding repeats of TCF-4 and other target genes in colon, gastric and endometrial carcinoma showing microsatellite instability.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1999; </w:t>
      </w:r>
      <w:r w:rsidRPr="008A0130">
        <w:rPr>
          <w:rFonts w:ascii="Book Antiqua" w:eastAsia="宋体" w:hAnsi="Book Antiqua" w:cs="宋体"/>
          <w:b/>
          <w:bCs/>
          <w:color w:val="000000"/>
          <w:lang w:eastAsia="zh-CN"/>
        </w:rPr>
        <w:t>18</w:t>
      </w:r>
      <w:r w:rsidRPr="008A0130">
        <w:rPr>
          <w:rFonts w:ascii="Book Antiqua" w:eastAsia="宋体" w:hAnsi="Book Antiqua" w:cs="宋体"/>
          <w:color w:val="000000"/>
          <w:lang w:eastAsia="zh-CN"/>
        </w:rPr>
        <w:t>: 6806-6809 [PMID: 10597289 DOI: 10.1038/sj.onc.1203287]</w:t>
      </w:r>
    </w:p>
    <w:p w14:paraId="50D7EB3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100 </w:t>
      </w:r>
      <w:r w:rsidRPr="008A0130">
        <w:rPr>
          <w:rFonts w:ascii="Book Antiqua" w:eastAsia="宋体" w:hAnsi="Book Antiqua" w:cs="宋体"/>
          <w:b/>
          <w:bCs/>
          <w:color w:val="000000"/>
          <w:lang w:eastAsia="zh-CN"/>
        </w:rPr>
        <w:t>Saeki H</w:t>
      </w:r>
      <w:r w:rsidRPr="008A0130">
        <w:rPr>
          <w:rFonts w:ascii="Book Antiqua" w:eastAsia="宋体" w:hAnsi="Book Antiqua" w:cs="宋体"/>
          <w:color w:val="000000"/>
          <w:lang w:eastAsia="zh-CN"/>
        </w:rPr>
        <w:t>, Tanaka S, Tokunaga E, Kawaguchi H, Ikeda Y, Maehara Y, Sugimachi K. Genetic alterations in the human Tcf-4 gene in Japanese patients with sporadic gastrointestinal cancers with microsatellite instability. </w:t>
      </w:r>
      <w:r w:rsidRPr="008A0130">
        <w:rPr>
          <w:rFonts w:ascii="Book Antiqua" w:eastAsia="宋体" w:hAnsi="Book Antiqua" w:cs="宋体"/>
          <w:i/>
          <w:iCs/>
          <w:color w:val="000000"/>
          <w:lang w:eastAsia="zh-CN"/>
        </w:rPr>
        <w:t>Oncology</w:t>
      </w:r>
      <w:r w:rsidRPr="008A0130">
        <w:rPr>
          <w:rFonts w:ascii="Book Antiqua" w:eastAsia="宋体" w:hAnsi="Book Antiqua" w:cs="宋体"/>
          <w:color w:val="000000"/>
          <w:lang w:eastAsia="zh-CN"/>
        </w:rPr>
        <w:t> 2001; </w:t>
      </w:r>
      <w:r w:rsidRPr="008A0130">
        <w:rPr>
          <w:rFonts w:ascii="Book Antiqua" w:eastAsia="宋体" w:hAnsi="Book Antiqua" w:cs="宋体"/>
          <w:b/>
          <w:bCs/>
          <w:color w:val="000000"/>
          <w:lang w:eastAsia="zh-CN"/>
        </w:rPr>
        <w:t>61</w:t>
      </w:r>
      <w:r w:rsidRPr="008A0130">
        <w:rPr>
          <w:rFonts w:ascii="Book Antiqua" w:eastAsia="宋体" w:hAnsi="Book Antiqua" w:cs="宋体"/>
          <w:color w:val="000000"/>
          <w:lang w:eastAsia="zh-CN"/>
        </w:rPr>
        <w:t>: 156-161 [PMID: 11528255 DOI: 10.1159/000055367]</w:t>
      </w:r>
    </w:p>
    <w:p w14:paraId="7DE10507" w14:textId="66FEF473" w:rsidR="001B2241" w:rsidRPr="008A0130" w:rsidRDefault="001B2241" w:rsidP="008A0130">
      <w:pPr>
        <w:pStyle w:val="ListParagraph"/>
        <w:spacing w:line="360" w:lineRule="auto"/>
        <w:ind w:left="0"/>
        <w:jc w:val="both"/>
        <w:rPr>
          <w:rFonts w:ascii="Book Antiqua" w:eastAsia="宋体" w:hAnsi="Book Antiqua" w:cs="Times New Roman"/>
          <w:lang w:val="es-ES_tradnl" w:eastAsia="zh-CN"/>
        </w:rPr>
      </w:pPr>
      <w:r w:rsidRPr="008A0130">
        <w:rPr>
          <w:rFonts w:ascii="Book Antiqua" w:eastAsia="宋体" w:hAnsi="Book Antiqua" w:cs="Times New Roman" w:hint="eastAsia"/>
          <w:lang w:val="es-ES_tradnl" w:eastAsia="zh-CN"/>
        </w:rPr>
        <w:lastRenderedPageBreak/>
        <w:t>101</w:t>
      </w:r>
      <w:r w:rsidRPr="008A0130">
        <w:rPr>
          <w:rFonts w:ascii="Book Antiqua" w:eastAsia="宋体" w:hAnsi="Book Antiqua" w:cs="Times New Roman" w:hint="eastAsia"/>
          <w:b/>
          <w:lang w:val="es-ES_tradnl" w:eastAsia="zh-CN"/>
        </w:rPr>
        <w:t xml:space="preserve"> </w:t>
      </w:r>
      <w:r w:rsidRPr="008A0130">
        <w:rPr>
          <w:rFonts w:ascii="Book Antiqua" w:hAnsi="Book Antiqua" w:cs="Times New Roman"/>
          <w:b/>
          <w:lang w:val="es-ES_tradnl"/>
        </w:rPr>
        <w:t>Simpson AJ,</w:t>
      </w:r>
      <w:r w:rsidRPr="008A0130">
        <w:rPr>
          <w:rFonts w:ascii="Book Antiqua" w:hAnsi="Book Antiqua" w:cs="Times New Roman"/>
          <w:lang w:val="es-ES_tradnl"/>
        </w:rPr>
        <w:t xml:space="preserve"> Caballero OL, Pena SD. Microsatellite instability as a </w:t>
      </w:r>
      <w:r w:rsidRPr="008A0130">
        <w:rPr>
          <w:rFonts w:ascii="MS Mincho" w:eastAsia="MS Mincho" w:hAnsi="MS Mincho" w:cs="MS Mincho" w:hint="eastAsia"/>
          <w:lang w:val="es-ES_tradnl"/>
        </w:rPr>
        <w:t> </w:t>
      </w:r>
      <w:r w:rsidRPr="008A0130">
        <w:rPr>
          <w:rFonts w:ascii="Book Antiqua" w:hAnsi="Book Antiqua" w:cs="Times New Roman"/>
          <w:lang w:val="es-ES_tradnl"/>
        </w:rPr>
        <w:t xml:space="preserve">tool for the classification of gastric cancer. </w:t>
      </w:r>
      <w:r w:rsidRPr="008A0130">
        <w:rPr>
          <w:rFonts w:ascii="Book Antiqua" w:hAnsi="Book Antiqua" w:cs="Times New Roman"/>
          <w:i/>
          <w:lang w:val="es-ES_tradnl"/>
        </w:rPr>
        <w:t>Trends Mol Med</w:t>
      </w:r>
      <w:r w:rsidRPr="008A0130">
        <w:rPr>
          <w:rFonts w:ascii="Book Antiqua" w:hAnsi="Book Antiqua" w:cs="Times New Roman"/>
          <w:lang w:val="es-ES_tradnl"/>
        </w:rPr>
        <w:t xml:space="preserve"> 2001; </w:t>
      </w:r>
      <w:r w:rsidRPr="008A0130">
        <w:rPr>
          <w:rFonts w:ascii="Book Antiqua" w:hAnsi="Book Antiqua" w:cs="Times New Roman"/>
          <w:b/>
          <w:lang w:val="es-ES_tradnl"/>
        </w:rPr>
        <w:t>7:</w:t>
      </w:r>
      <w:r w:rsidRPr="008A0130">
        <w:rPr>
          <w:rFonts w:ascii="Book Antiqua" w:hAnsi="Book Antiqua" w:cs="Times New Roman"/>
          <w:lang w:val="es-ES_tradnl"/>
        </w:rPr>
        <w:t xml:space="preserve"> 76-80 </w:t>
      </w:r>
      <w:r w:rsidRPr="008A0130">
        <w:rPr>
          <w:rFonts w:ascii="Book Antiqua" w:eastAsia="宋体" w:hAnsi="Book Antiqua" w:cs="Times New Roman" w:hint="eastAsia"/>
          <w:lang w:val="es-ES_tradnl" w:eastAsia="zh-CN"/>
        </w:rPr>
        <w:t>[</w:t>
      </w:r>
      <w:r w:rsidRPr="008A0130">
        <w:rPr>
          <w:rFonts w:ascii="Book Antiqua" w:hAnsi="Book Antiqua" w:cs="Times New Roman"/>
          <w:lang w:val="es-ES_tradnl"/>
        </w:rPr>
        <w:t xml:space="preserve">PMID: 11286759 DOI: </w:t>
      </w:r>
      <w:r w:rsidR="00407A5E">
        <w:fldChar w:fldCharType="begin"/>
      </w:r>
      <w:r w:rsidR="00407A5E">
        <w:instrText xml:space="preserve"> HYPERLINK "http://dx.doi.org/10.1016/S1471-4914(01)01916-5" \t "_blank" </w:instrText>
      </w:r>
      <w:r w:rsidR="00407A5E">
        <w:fldChar w:fldCharType="separate"/>
      </w:r>
      <w:r w:rsidRPr="008A0130">
        <w:rPr>
          <w:rFonts w:ascii="Book Antiqua" w:hAnsi="Book Antiqua" w:cs="Times New Roman"/>
          <w:lang w:val="es-ES_tradnl"/>
        </w:rPr>
        <w:t>10.1016/S1471-4914(01)01916-5</w:t>
      </w:r>
      <w:r w:rsidR="00407A5E">
        <w:rPr>
          <w:rFonts w:ascii="Book Antiqua" w:hAnsi="Book Antiqua" w:cs="Times New Roman"/>
          <w:lang w:val="es-ES_tradnl"/>
        </w:rPr>
        <w:fldChar w:fldCharType="end"/>
      </w:r>
      <w:r w:rsidRPr="008A0130">
        <w:rPr>
          <w:rFonts w:ascii="Book Antiqua" w:eastAsia="宋体" w:hAnsi="Book Antiqua" w:cs="Times New Roman" w:hint="eastAsia"/>
          <w:lang w:val="es-ES_tradnl" w:eastAsia="zh-CN"/>
        </w:rPr>
        <w:t>]</w:t>
      </w:r>
    </w:p>
    <w:p w14:paraId="6CAABBD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102 </w:t>
      </w:r>
      <w:r w:rsidRPr="008A0130">
        <w:rPr>
          <w:rFonts w:ascii="Book Antiqua" w:eastAsia="宋体" w:hAnsi="Book Antiqua" w:cs="宋体"/>
          <w:b/>
          <w:bCs/>
          <w:color w:val="000000"/>
          <w:lang w:eastAsia="zh-CN"/>
        </w:rPr>
        <w:t>Ellis JD</w:t>
      </w:r>
      <w:r w:rsidRPr="008A0130">
        <w:rPr>
          <w:rFonts w:ascii="Book Antiqua" w:eastAsia="宋体" w:hAnsi="Book Antiqua" w:cs="宋体"/>
          <w:color w:val="000000"/>
          <w:lang w:eastAsia="zh-CN"/>
        </w:rPr>
        <w:t>, Barrios-Rodiles M, Colak R, Irimia M, Kim T, Calarco JA, Wang X, Pan Q, O'Hanlon D, Kim PM, Wrana JL, Blencowe BJ. Tissue-specific alternative splicing remodels protein-protein interaction networks. </w:t>
      </w:r>
      <w:r w:rsidRPr="008A0130">
        <w:rPr>
          <w:rFonts w:ascii="Book Antiqua" w:eastAsia="宋体" w:hAnsi="Book Antiqua" w:cs="宋体"/>
          <w:i/>
          <w:iCs/>
          <w:color w:val="000000"/>
          <w:lang w:eastAsia="zh-CN"/>
        </w:rPr>
        <w:t>Mol Cell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46</w:t>
      </w:r>
      <w:r w:rsidRPr="008A0130">
        <w:rPr>
          <w:rFonts w:ascii="Book Antiqua" w:eastAsia="宋体" w:hAnsi="Book Antiqua" w:cs="宋体"/>
          <w:color w:val="000000"/>
          <w:lang w:eastAsia="zh-CN"/>
        </w:rPr>
        <w:t>: 884-892 [PMID: 22749401 DOI: 10.1016/j.molcel.2012.05.037]</w:t>
      </w:r>
    </w:p>
    <w:p w14:paraId="6CF4D8D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103 </w:t>
      </w:r>
      <w:r w:rsidRPr="008A0130">
        <w:rPr>
          <w:rFonts w:ascii="Book Antiqua" w:eastAsia="宋体" w:hAnsi="Book Antiqua" w:cs="宋体"/>
          <w:b/>
          <w:bCs/>
          <w:color w:val="000000"/>
          <w:lang w:eastAsia="zh-CN"/>
        </w:rPr>
        <w:t>Thorsen K</w:t>
      </w:r>
      <w:r w:rsidRPr="008A0130">
        <w:rPr>
          <w:rFonts w:ascii="Book Antiqua" w:eastAsia="宋体" w:hAnsi="Book Antiqua" w:cs="宋体"/>
          <w:color w:val="000000"/>
          <w:lang w:eastAsia="zh-CN"/>
        </w:rPr>
        <w:t>, Mansilla F, Schepeler T, Øster B, Rasmussen MH, Dyrskjøt L, Karni R, Akerman M, Krainer AR, Laurberg S, Andersen CL, Ørntoft TF. Alternative splicing of SLC39A14 in colorectal cancer is regulated by the Wnt pathway. </w:t>
      </w:r>
      <w:r w:rsidRPr="008A0130">
        <w:rPr>
          <w:rFonts w:ascii="Book Antiqua" w:eastAsia="宋体" w:hAnsi="Book Antiqua" w:cs="宋体"/>
          <w:i/>
          <w:iCs/>
          <w:color w:val="000000"/>
          <w:lang w:eastAsia="zh-CN"/>
        </w:rPr>
        <w:t>Mol Cell Proteomics</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10</w:t>
      </w:r>
      <w:r w:rsidRPr="008A0130">
        <w:rPr>
          <w:rFonts w:ascii="Book Antiqua" w:eastAsia="宋体" w:hAnsi="Book Antiqua" w:cs="宋体"/>
          <w:color w:val="000000"/>
          <w:lang w:eastAsia="zh-CN"/>
        </w:rPr>
        <w:t>: M110.002998 [PMID: 20938052 DOI: 10.1074/mcp.M110.002998Shen]</w:t>
      </w:r>
    </w:p>
    <w:p w14:paraId="08303AC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104 </w:t>
      </w:r>
      <w:r w:rsidRPr="008A0130">
        <w:rPr>
          <w:rFonts w:ascii="Book Antiqua" w:eastAsia="宋体" w:hAnsi="Book Antiqua" w:cs="宋体"/>
          <w:b/>
          <w:bCs/>
          <w:color w:val="000000"/>
          <w:lang w:eastAsia="zh-CN"/>
        </w:rPr>
        <w:t>Radulescu S</w:t>
      </w:r>
      <w:r w:rsidRPr="008A0130">
        <w:rPr>
          <w:rFonts w:ascii="Book Antiqua" w:eastAsia="宋体" w:hAnsi="Book Antiqua" w:cs="宋体"/>
          <w:color w:val="000000"/>
          <w:lang w:eastAsia="zh-CN"/>
        </w:rPr>
        <w:t>, Ridgway RA, Cordero J, Athineos D, Salgueiro P, Poulsom R, Neumann J, Jung A, Patel S, Woodgett J, Barker N, Pritchard DM, Oien K, Sansom OJ. Acute WNT signalling activation perturbs differentiation within the adult stomach and rapidly leads to tumour formation.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32</w:t>
      </w:r>
      <w:r w:rsidRPr="008A0130">
        <w:rPr>
          <w:rFonts w:ascii="Book Antiqua" w:eastAsia="宋体" w:hAnsi="Book Antiqua" w:cs="宋体"/>
          <w:color w:val="000000"/>
          <w:lang w:eastAsia="zh-CN"/>
        </w:rPr>
        <w:t>: 2048-2057 [PMID: 22665058 DOI: 10.1038/onc.2012.224]</w:t>
      </w:r>
    </w:p>
    <w:p w14:paraId="3D4BA97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105 </w:t>
      </w:r>
      <w:r w:rsidRPr="008A0130">
        <w:rPr>
          <w:rFonts w:ascii="Book Antiqua" w:eastAsia="宋体" w:hAnsi="Book Antiqua" w:cs="宋体"/>
          <w:b/>
          <w:bCs/>
          <w:color w:val="000000"/>
          <w:lang w:eastAsia="zh-CN"/>
        </w:rPr>
        <w:t>Zheng HC</w:t>
      </w:r>
      <w:r w:rsidRPr="008A0130">
        <w:rPr>
          <w:rFonts w:ascii="Book Antiqua" w:eastAsia="宋体" w:hAnsi="Book Antiqua" w:cs="宋体"/>
          <w:color w:val="000000"/>
          <w:lang w:eastAsia="zh-CN"/>
        </w:rPr>
        <w:t>, Xu XY, Xia P, Yu M, Takahashi H, Takano Y. Involvement of inactive GSK3beta overexpression in tumorigenesis and progression of gastric carcinomas. </w:t>
      </w:r>
      <w:r w:rsidRPr="008A0130">
        <w:rPr>
          <w:rFonts w:ascii="Book Antiqua" w:eastAsia="宋体" w:hAnsi="Book Antiqua" w:cs="宋体"/>
          <w:i/>
          <w:iCs/>
          <w:color w:val="000000"/>
          <w:lang w:eastAsia="zh-CN"/>
        </w:rPr>
        <w:t>Hum Pathol</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41</w:t>
      </w:r>
      <w:r w:rsidRPr="008A0130">
        <w:rPr>
          <w:rFonts w:ascii="Book Antiqua" w:eastAsia="宋体" w:hAnsi="Book Antiqua" w:cs="宋体"/>
          <w:color w:val="000000"/>
          <w:lang w:eastAsia="zh-CN"/>
        </w:rPr>
        <w:t>: 1255-1264 [PMID: 20447678 DOI: 10.1016/j.humpath.2010.02.003]</w:t>
      </w:r>
    </w:p>
    <w:p w14:paraId="1AB093B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106 </w:t>
      </w:r>
      <w:r w:rsidRPr="008A0130">
        <w:rPr>
          <w:rFonts w:ascii="Book Antiqua" w:eastAsia="宋体" w:hAnsi="Book Antiqua" w:cs="宋体"/>
          <w:b/>
          <w:bCs/>
          <w:color w:val="000000"/>
          <w:lang w:eastAsia="zh-CN"/>
        </w:rPr>
        <w:t>Du YC</w:t>
      </w:r>
      <w:r w:rsidRPr="008A0130">
        <w:rPr>
          <w:rFonts w:ascii="Book Antiqua" w:eastAsia="宋体" w:hAnsi="Book Antiqua" w:cs="宋体"/>
          <w:color w:val="000000"/>
          <w:lang w:eastAsia="zh-CN"/>
        </w:rPr>
        <w:t>, Oshima H, Oguma K, Kitamura T, Itadani H, Fujimura T, Piao YS, Yoshimoto T, Minamoto T, Kotani H, Taketo MM, Oshima M. Induction and down-regulation of Sox17 and its possible roles during the course of gastrointestinal tumorigenesis. </w:t>
      </w:r>
      <w:r w:rsidRPr="008A0130">
        <w:rPr>
          <w:rFonts w:ascii="Book Antiqua" w:eastAsia="宋体" w:hAnsi="Book Antiqua" w:cs="宋体"/>
          <w:i/>
          <w:iCs/>
          <w:color w:val="000000"/>
          <w:lang w:eastAsia="zh-CN"/>
        </w:rPr>
        <w:t>Gastroenterology</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137</w:t>
      </w:r>
      <w:r w:rsidRPr="008A0130">
        <w:rPr>
          <w:rFonts w:ascii="Book Antiqua" w:eastAsia="宋体" w:hAnsi="Book Antiqua" w:cs="宋体"/>
          <w:color w:val="000000"/>
          <w:lang w:eastAsia="zh-CN"/>
        </w:rPr>
        <w:t>: 1346-1357 [PMID: 19549530 DOI: 10.1053/j.gastro.2009.06.041]</w:t>
      </w:r>
    </w:p>
    <w:p w14:paraId="031FC5C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107 </w:t>
      </w:r>
      <w:r w:rsidRPr="008A0130">
        <w:rPr>
          <w:rFonts w:ascii="Book Antiqua" w:eastAsia="宋体" w:hAnsi="Book Antiqua" w:cs="宋体"/>
          <w:b/>
          <w:bCs/>
          <w:color w:val="000000"/>
          <w:lang w:eastAsia="zh-CN"/>
        </w:rPr>
        <w:t>Ye YW</w:t>
      </w:r>
      <w:r w:rsidRPr="008A0130">
        <w:rPr>
          <w:rFonts w:ascii="Book Antiqua" w:eastAsia="宋体" w:hAnsi="Book Antiqua" w:cs="宋体"/>
          <w:color w:val="000000"/>
          <w:lang w:eastAsia="zh-CN"/>
        </w:rPr>
        <w:t>, Wu JH, Wang CM, Zhou Y, Du CY, Zheng BQ, Cao X, Zhou XY, Sun MH, Shi YQ. Sox17 regulates proliferation and cell cycle during gastric cancer progression. </w:t>
      </w:r>
      <w:r w:rsidRPr="008A0130">
        <w:rPr>
          <w:rFonts w:ascii="Book Antiqua" w:eastAsia="宋体" w:hAnsi="Book Antiqua" w:cs="宋体"/>
          <w:i/>
          <w:iCs/>
          <w:color w:val="000000"/>
          <w:lang w:eastAsia="zh-CN"/>
        </w:rPr>
        <w:t>Cancer Lett</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307</w:t>
      </w:r>
      <w:r w:rsidRPr="008A0130">
        <w:rPr>
          <w:rFonts w:ascii="Book Antiqua" w:eastAsia="宋体" w:hAnsi="Book Antiqua" w:cs="宋体"/>
          <w:color w:val="000000"/>
          <w:lang w:eastAsia="zh-CN"/>
        </w:rPr>
        <w:t>: 124-131 [PMID: 21514720 DOI: 10.1016/j.canlet.2011.03.024]</w:t>
      </w:r>
    </w:p>
    <w:p w14:paraId="74F20A4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108 </w:t>
      </w:r>
      <w:r w:rsidRPr="008A0130">
        <w:rPr>
          <w:rFonts w:ascii="Book Antiqua" w:eastAsia="宋体" w:hAnsi="Book Antiqua" w:cs="宋体"/>
          <w:b/>
          <w:bCs/>
          <w:color w:val="000000"/>
          <w:lang w:eastAsia="zh-CN"/>
        </w:rPr>
        <w:t>Li J</w:t>
      </w:r>
      <w:r w:rsidRPr="008A0130">
        <w:rPr>
          <w:rFonts w:ascii="Book Antiqua" w:eastAsia="宋体" w:hAnsi="Book Antiqua" w:cs="宋体"/>
          <w:color w:val="000000"/>
          <w:lang w:eastAsia="zh-CN"/>
        </w:rPr>
        <w:t>, Mo ML, Chen Z, Yang J, Li QS, Wang DJ, Zhang H, Ye YJ, Li HL, Zhang F, Zhou HM. HSulf-1 inhibits cell proliferation and invasion in human gastric cancer. </w:t>
      </w:r>
      <w:r w:rsidRPr="008A0130">
        <w:rPr>
          <w:rFonts w:ascii="Book Antiqua" w:eastAsia="宋体" w:hAnsi="Book Antiqua" w:cs="宋体"/>
          <w:i/>
          <w:iCs/>
          <w:color w:val="000000"/>
          <w:lang w:eastAsia="zh-CN"/>
        </w:rPr>
        <w:t>Cancer Sci</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102</w:t>
      </w:r>
      <w:r w:rsidRPr="008A0130">
        <w:rPr>
          <w:rFonts w:ascii="Book Antiqua" w:eastAsia="宋体" w:hAnsi="Book Antiqua" w:cs="宋体"/>
          <w:color w:val="000000"/>
          <w:lang w:eastAsia="zh-CN"/>
        </w:rPr>
        <w:t>: 1815-1821 [PMID: 21722266 DOI: 10.1111/j.1349-7006.2011.02024.x]</w:t>
      </w:r>
    </w:p>
    <w:p w14:paraId="0482049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109 </w:t>
      </w:r>
      <w:r w:rsidRPr="008A0130">
        <w:rPr>
          <w:rFonts w:ascii="Book Antiqua" w:eastAsia="宋体" w:hAnsi="Book Antiqua" w:cs="宋体"/>
          <w:b/>
          <w:bCs/>
          <w:color w:val="000000"/>
          <w:lang w:eastAsia="zh-CN"/>
        </w:rPr>
        <w:t>Deng YZ</w:t>
      </w:r>
      <w:r w:rsidRPr="008A0130">
        <w:rPr>
          <w:rFonts w:ascii="Book Antiqua" w:eastAsia="宋体" w:hAnsi="Book Antiqua" w:cs="宋体"/>
          <w:color w:val="000000"/>
          <w:lang w:eastAsia="zh-CN"/>
        </w:rPr>
        <w:t>, Yao F, Li JJ, Mao ZF, Hu PT, Long LY, Li G, Ji XD, Shi S, Guan DX, Feng YY, Cui L, Li DS, Liu Y, Du X, Guo MZ, Xu LY, Li EM, Wang HY, Xie D. RACK1 suppresses gastric tumorigenesis by stabilizing the β-catenin destruction complex. </w:t>
      </w:r>
      <w:r w:rsidRPr="008A0130">
        <w:rPr>
          <w:rFonts w:ascii="Book Antiqua" w:eastAsia="宋体" w:hAnsi="Book Antiqua" w:cs="宋体"/>
          <w:i/>
          <w:iCs/>
          <w:color w:val="000000"/>
          <w:lang w:eastAsia="zh-CN"/>
        </w:rPr>
        <w:t>Gastroenterology</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142</w:t>
      </w:r>
      <w:r w:rsidRPr="008A0130">
        <w:rPr>
          <w:rFonts w:ascii="Book Antiqua" w:eastAsia="宋体" w:hAnsi="Book Antiqua" w:cs="宋体"/>
          <w:color w:val="000000"/>
          <w:lang w:eastAsia="zh-CN"/>
        </w:rPr>
        <w:t>: 812-823.e15 [PMID: 22240482 DOI: 10.1053/j.gastro.2011.12.046]</w:t>
      </w:r>
    </w:p>
    <w:p w14:paraId="0AF7E74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110 </w:t>
      </w:r>
      <w:r w:rsidRPr="008A0130">
        <w:rPr>
          <w:rFonts w:ascii="Book Antiqua" w:eastAsia="宋体" w:hAnsi="Book Antiqua" w:cs="宋体"/>
          <w:b/>
          <w:bCs/>
          <w:color w:val="000000"/>
          <w:lang w:eastAsia="zh-CN"/>
        </w:rPr>
        <w:t>Zhou Y</w:t>
      </w:r>
      <w:r w:rsidRPr="008A0130">
        <w:rPr>
          <w:rFonts w:ascii="Book Antiqua" w:eastAsia="宋体" w:hAnsi="Book Antiqua" w:cs="宋体"/>
          <w:color w:val="000000"/>
          <w:lang w:eastAsia="zh-CN"/>
        </w:rPr>
        <w:t>, Lan J, Wang W, Shi Q, Lan Y, Cheng Z, Guan H. ZNRF3 acts as a tumour suppressor by the Wnt signalling pathway in human gastric adenocarcinoma. </w:t>
      </w:r>
      <w:r w:rsidRPr="008A0130">
        <w:rPr>
          <w:rFonts w:ascii="Book Antiqua" w:eastAsia="宋体" w:hAnsi="Book Antiqua" w:cs="宋体"/>
          <w:i/>
          <w:iCs/>
          <w:color w:val="000000"/>
          <w:lang w:eastAsia="zh-CN"/>
        </w:rPr>
        <w:t>J Mol Histol</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44</w:t>
      </w:r>
      <w:r w:rsidRPr="008A0130">
        <w:rPr>
          <w:rFonts w:ascii="Book Antiqua" w:eastAsia="宋体" w:hAnsi="Book Antiqua" w:cs="宋体"/>
          <w:color w:val="000000"/>
          <w:lang w:eastAsia="zh-CN"/>
        </w:rPr>
        <w:t>: 555-563 [PMID: 23504200 DOI: 10.1007/s10735-013-9504-9]</w:t>
      </w:r>
    </w:p>
    <w:p w14:paraId="6371873B" w14:textId="1F74F239"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111 </w:t>
      </w:r>
      <w:r w:rsidRPr="008A0130">
        <w:rPr>
          <w:rFonts w:ascii="Book Antiqua" w:eastAsia="宋体" w:hAnsi="Book Antiqua" w:cs="宋体"/>
          <w:b/>
          <w:bCs/>
          <w:color w:val="000000"/>
          <w:lang w:eastAsia="zh-CN"/>
        </w:rPr>
        <w:t>Otani K</w:t>
      </w:r>
      <w:r w:rsidRPr="008A0130">
        <w:rPr>
          <w:rFonts w:ascii="Book Antiqua" w:eastAsia="宋体" w:hAnsi="Book Antiqua" w:cs="宋体"/>
          <w:color w:val="000000"/>
          <w:lang w:eastAsia="zh-CN"/>
        </w:rPr>
        <w:t>, Dong Y, Li X, Lu J, Zhang N, Xu L, Go MY, Ng EK, Arakawa T, Chan FK, Sung JJ, Yu J. Odd-skipped related 1 is a novel tumour suppressor gene and a potential prognostic biomarker in gastric cancer. </w:t>
      </w:r>
      <w:r w:rsidRPr="008A0130">
        <w:rPr>
          <w:rFonts w:ascii="Book Antiqua" w:eastAsia="宋体" w:hAnsi="Book Antiqua" w:cs="宋体"/>
          <w:i/>
          <w:iCs/>
          <w:color w:val="000000"/>
          <w:lang w:eastAsia="zh-CN"/>
        </w:rPr>
        <w:t>J Pathol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234</w:t>
      </w:r>
      <w:r w:rsidRPr="008A0130">
        <w:rPr>
          <w:rFonts w:ascii="Book Antiqua" w:eastAsia="宋体" w:hAnsi="Book Antiqua" w:cs="宋体"/>
          <w:color w:val="000000"/>
          <w:lang w:eastAsia="zh-CN"/>
        </w:rPr>
        <w:t xml:space="preserve">: 302-315 [PMID: </w:t>
      </w:r>
      <w:r w:rsidR="008A0130">
        <w:rPr>
          <w:rFonts w:ascii="Book Antiqua" w:eastAsia="宋体" w:hAnsi="Book Antiqua" w:cs="宋体"/>
          <w:color w:val="000000"/>
          <w:lang w:eastAsia="zh-CN"/>
        </w:rPr>
        <w:t>24931004 DOI: 10.1002/path.4391</w:t>
      </w:r>
      <w:r w:rsidRPr="008A0130">
        <w:rPr>
          <w:rFonts w:ascii="Book Antiqua" w:eastAsia="宋体" w:hAnsi="Book Antiqua" w:cs="宋体"/>
          <w:color w:val="000000"/>
          <w:lang w:eastAsia="zh-CN"/>
        </w:rPr>
        <w:t>]</w:t>
      </w:r>
    </w:p>
    <w:p w14:paraId="155DD1D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112 </w:t>
      </w:r>
      <w:r w:rsidRPr="008A0130">
        <w:rPr>
          <w:rFonts w:ascii="Book Antiqua" w:eastAsia="宋体" w:hAnsi="Book Antiqua" w:cs="宋体"/>
          <w:b/>
          <w:bCs/>
          <w:color w:val="000000"/>
          <w:lang w:eastAsia="zh-CN"/>
        </w:rPr>
        <w:t>Tong X</w:t>
      </w:r>
      <w:r w:rsidRPr="008A0130">
        <w:rPr>
          <w:rFonts w:ascii="Book Antiqua" w:eastAsia="宋体" w:hAnsi="Book Antiqua" w:cs="宋体"/>
          <w:color w:val="000000"/>
          <w:lang w:eastAsia="zh-CN"/>
        </w:rPr>
        <w:t>, Li L, Li X, Heng L, Zhong L, Su X, Rong R, Hu S, Liu W, Jia B, Liu X, Kou G, Han J, Guo S, Hu Y, Li C, Tao Q, Guo Y. SOX10, a novel HMG-box-containing tumor suppressor, inhibits growth and metastasis of digestive cancers by suppressing the Wnt/β-catenin pathway. </w:t>
      </w:r>
      <w:r w:rsidRPr="008A0130">
        <w:rPr>
          <w:rFonts w:ascii="Book Antiqua" w:eastAsia="宋体" w:hAnsi="Book Antiqua" w:cs="宋体"/>
          <w:i/>
          <w:iCs/>
          <w:color w:val="000000"/>
          <w:lang w:eastAsia="zh-CN"/>
        </w:rPr>
        <w:t>Oncotarget</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10571-10583 [PMID: 25301735]</w:t>
      </w:r>
    </w:p>
    <w:p w14:paraId="4B4875DB" w14:textId="32139262"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113 </w:t>
      </w:r>
      <w:r w:rsidRPr="008A0130">
        <w:rPr>
          <w:rFonts w:ascii="Book Antiqua" w:eastAsia="宋体" w:hAnsi="Book Antiqua" w:cs="宋体"/>
          <w:b/>
          <w:bCs/>
          <w:color w:val="000000"/>
          <w:lang w:eastAsia="zh-CN"/>
        </w:rPr>
        <w:t>Cui J</w:t>
      </w:r>
      <w:r w:rsidRPr="008A0130">
        <w:rPr>
          <w:rFonts w:ascii="Book Antiqua" w:eastAsia="宋体" w:hAnsi="Book Antiqua" w:cs="宋体"/>
          <w:color w:val="000000"/>
          <w:lang w:eastAsia="zh-CN"/>
        </w:rPr>
        <w:t>, Xi H, Cai A, Bian S, Wei B, Chen L. Decreased expression of Sox7 correlates with the upregulation of the Wnt/β-catenin signaling pathway and the poor survival of gastric cancer patients. </w:t>
      </w:r>
      <w:r w:rsidRPr="008A0130">
        <w:rPr>
          <w:rFonts w:ascii="Book Antiqua" w:eastAsia="宋体" w:hAnsi="Book Antiqua" w:cs="宋体"/>
          <w:i/>
          <w:iCs/>
          <w:color w:val="000000"/>
          <w:lang w:eastAsia="zh-CN"/>
        </w:rPr>
        <w:t>Int J Mol Med</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34</w:t>
      </w:r>
      <w:r w:rsidRPr="008A0130">
        <w:rPr>
          <w:rFonts w:ascii="Book Antiqua" w:eastAsia="宋体" w:hAnsi="Book Antiqua" w:cs="宋体"/>
          <w:color w:val="000000"/>
          <w:lang w:eastAsia="zh-CN"/>
        </w:rPr>
        <w:t>: 197-204 [PMID: 24788044 DOI: 10.3892/ijmm.2014.1759</w:t>
      </w:r>
      <w:r w:rsidR="008A0130">
        <w:rPr>
          <w:rFonts w:ascii="Book Antiqua" w:eastAsia="宋体" w:hAnsi="Book Antiqua" w:cs="宋体" w:hint="eastAsia"/>
          <w:color w:val="000000"/>
          <w:lang w:eastAsia="zh-CN"/>
        </w:rPr>
        <w:t>]</w:t>
      </w:r>
    </w:p>
    <w:p w14:paraId="35DE2E5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114 </w:t>
      </w:r>
      <w:r w:rsidRPr="008A0130">
        <w:rPr>
          <w:rFonts w:ascii="Book Antiqua" w:eastAsia="宋体" w:hAnsi="Book Antiqua" w:cs="宋体"/>
          <w:b/>
          <w:bCs/>
          <w:color w:val="000000"/>
          <w:lang w:eastAsia="zh-CN"/>
        </w:rPr>
        <w:t>Niida A</w:t>
      </w:r>
      <w:r w:rsidRPr="008A0130">
        <w:rPr>
          <w:rFonts w:ascii="Book Antiqua" w:eastAsia="宋体" w:hAnsi="Book Antiqua" w:cs="宋体"/>
          <w:color w:val="000000"/>
          <w:lang w:eastAsia="zh-CN"/>
        </w:rPr>
        <w:t>, Hiroko T, Kasai M, Furukawa Y, Nakamura Y, Suzuki Y, Sugano S, Akiyama T. DKK1, a negative regulator of Wnt signaling, is a target of the beta-catenin/TCF pathway.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2004; </w:t>
      </w:r>
      <w:r w:rsidRPr="008A0130">
        <w:rPr>
          <w:rFonts w:ascii="Book Antiqua" w:eastAsia="宋体" w:hAnsi="Book Antiqua" w:cs="宋体"/>
          <w:b/>
          <w:bCs/>
          <w:color w:val="000000"/>
          <w:lang w:eastAsia="zh-CN"/>
        </w:rPr>
        <w:t>23</w:t>
      </w:r>
      <w:r w:rsidRPr="008A0130">
        <w:rPr>
          <w:rFonts w:ascii="Book Antiqua" w:eastAsia="宋体" w:hAnsi="Book Antiqua" w:cs="宋体"/>
          <w:color w:val="000000"/>
          <w:lang w:eastAsia="zh-CN"/>
        </w:rPr>
        <w:t>: 8520-8526 [PMID: 15378020 DOI: 10.1038/sj.onc.1207892]</w:t>
      </w:r>
    </w:p>
    <w:p w14:paraId="27A4D35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115 </w:t>
      </w:r>
      <w:r w:rsidRPr="008A0130">
        <w:rPr>
          <w:rFonts w:ascii="Book Antiqua" w:eastAsia="宋体" w:hAnsi="Book Antiqua" w:cs="宋体"/>
          <w:b/>
          <w:bCs/>
          <w:color w:val="000000"/>
          <w:lang w:eastAsia="zh-CN"/>
        </w:rPr>
        <w:t>Logan CY</w:t>
      </w:r>
      <w:r w:rsidRPr="008A0130">
        <w:rPr>
          <w:rFonts w:ascii="Book Antiqua" w:eastAsia="宋体" w:hAnsi="Book Antiqua" w:cs="宋体"/>
          <w:color w:val="000000"/>
          <w:lang w:eastAsia="zh-CN"/>
        </w:rPr>
        <w:t>, Nusse R. The Wnt signaling pathway in development and disease. </w:t>
      </w:r>
      <w:r w:rsidRPr="008A0130">
        <w:rPr>
          <w:rFonts w:ascii="Book Antiqua" w:eastAsia="宋体" w:hAnsi="Book Antiqua" w:cs="宋体"/>
          <w:i/>
          <w:iCs/>
          <w:color w:val="000000"/>
          <w:lang w:eastAsia="zh-CN"/>
        </w:rPr>
        <w:t>Annu Rev Cell Dev Biol</w:t>
      </w:r>
      <w:r w:rsidRPr="008A0130">
        <w:rPr>
          <w:rFonts w:ascii="Book Antiqua" w:eastAsia="宋体" w:hAnsi="Book Antiqua" w:cs="宋体"/>
          <w:color w:val="000000"/>
          <w:lang w:eastAsia="zh-CN"/>
        </w:rPr>
        <w:t> 2004; </w:t>
      </w:r>
      <w:r w:rsidRPr="008A0130">
        <w:rPr>
          <w:rFonts w:ascii="Book Antiqua" w:eastAsia="宋体" w:hAnsi="Book Antiqua" w:cs="宋体"/>
          <w:b/>
          <w:bCs/>
          <w:color w:val="000000"/>
          <w:lang w:eastAsia="zh-CN"/>
        </w:rPr>
        <w:t>20</w:t>
      </w:r>
      <w:r w:rsidRPr="008A0130">
        <w:rPr>
          <w:rFonts w:ascii="Book Antiqua" w:eastAsia="宋体" w:hAnsi="Book Antiqua" w:cs="宋体"/>
          <w:color w:val="000000"/>
          <w:lang w:eastAsia="zh-CN"/>
        </w:rPr>
        <w:t>: 781-810 [PMID: 15473860 DOI: 10.1146/annurev.cellbio.20.010403.113126]</w:t>
      </w:r>
    </w:p>
    <w:p w14:paraId="794D781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116 </w:t>
      </w:r>
      <w:r w:rsidRPr="008A0130">
        <w:rPr>
          <w:rFonts w:ascii="Book Antiqua" w:eastAsia="宋体" w:hAnsi="Book Antiqua" w:cs="宋体"/>
          <w:b/>
          <w:bCs/>
          <w:color w:val="000000"/>
          <w:lang w:eastAsia="zh-CN"/>
        </w:rPr>
        <w:t>Hu Y</w:t>
      </w:r>
      <w:r w:rsidRPr="008A0130">
        <w:rPr>
          <w:rFonts w:ascii="Book Antiqua" w:eastAsia="宋体" w:hAnsi="Book Antiqua" w:cs="宋体"/>
          <w:color w:val="000000"/>
          <w:lang w:eastAsia="zh-CN"/>
        </w:rPr>
        <w:t>, Wan R, Yu G, Shen J, Ni J, Yin G, Xing M, Chen C, Fan Y, Xiao W, Xu G, Wang X, Hu G. Imbalance of Wnt/Dkk negative feedback promotes persistent activation of pancreatic stellate cells in chronic pancreatitis.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9</w:t>
      </w:r>
      <w:r w:rsidRPr="008A0130">
        <w:rPr>
          <w:rFonts w:ascii="Book Antiqua" w:eastAsia="宋体" w:hAnsi="Book Antiqua" w:cs="宋体"/>
          <w:color w:val="000000"/>
          <w:lang w:eastAsia="zh-CN"/>
        </w:rPr>
        <w:t>: e95145 [PMID: 24747916 DOI: 10.1371/journal.pone.0095145]</w:t>
      </w:r>
    </w:p>
    <w:p w14:paraId="2C05EED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117 </w:t>
      </w:r>
      <w:r w:rsidRPr="008A0130">
        <w:rPr>
          <w:rFonts w:ascii="Book Antiqua" w:eastAsia="宋体" w:hAnsi="Book Antiqua" w:cs="宋体"/>
          <w:b/>
          <w:bCs/>
          <w:color w:val="000000"/>
          <w:lang w:eastAsia="zh-CN"/>
        </w:rPr>
        <w:t>Rawson JB</w:t>
      </w:r>
      <w:r w:rsidRPr="008A0130">
        <w:rPr>
          <w:rFonts w:ascii="Book Antiqua" w:eastAsia="宋体" w:hAnsi="Book Antiqua" w:cs="宋体"/>
          <w:color w:val="000000"/>
          <w:lang w:eastAsia="zh-CN"/>
        </w:rPr>
        <w:t>, Manno M, Mrkonjic M, Daftary D, Dicks E, Buchanan DD, Younghusband HB, Parfrey PS, Young JP, Pollett A, Green RC, Gallinger S, McLaughlin JR, Knight JA, Bapat B. Promoter methylation of Wnt antagonists DKK1 and SFRP1 is associated with opposing tumor subtypes in two large populations of colorectal cancer patients. </w:t>
      </w:r>
      <w:r w:rsidRPr="008A0130">
        <w:rPr>
          <w:rFonts w:ascii="Book Antiqua" w:eastAsia="宋体" w:hAnsi="Book Antiqua" w:cs="宋体"/>
          <w:i/>
          <w:iCs/>
          <w:color w:val="000000"/>
          <w:lang w:eastAsia="zh-CN"/>
        </w:rPr>
        <w:t>Carcinogenesis</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32</w:t>
      </w:r>
      <w:r w:rsidRPr="008A0130">
        <w:rPr>
          <w:rFonts w:ascii="Book Antiqua" w:eastAsia="宋体" w:hAnsi="Book Antiqua" w:cs="宋体"/>
          <w:color w:val="000000"/>
          <w:lang w:eastAsia="zh-CN"/>
        </w:rPr>
        <w:t>: 741-747 [PMID: 21304055 DOI: 10.1093/carcin/bgr020]</w:t>
      </w:r>
    </w:p>
    <w:p w14:paraId="7AA9779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118 </w:t>
      </w:r>
      <w:r w:rsidRPr="008A0130">
        <w:rPr>
          <w:rFonts w:ascii="Book Antiqua" w:eastAsia="宋体" w:hAnsi="Book Antiqua" w:cs="宋体"/>
          <w:b/>
          <w:bCs/>
          <w:color w:val="000000"/>
          <w:lang w:eastAsia="zh-CN"/>
        </w:rPr>
        <w:t>Aguilera O</w:t>
      </w:r>
      <w:r w:rsidRPr="008A0130">
        <w:rPr>
          <w:rFonts w:ascii="Book Antiqua" w:eastAsia="宋体" w:hAnsi="Book Antiqua" w:cs="宋体"/>
          <w:color w:val="000000"/>
          <w:lang w:eastAsia="zh-CN"/>
        </w:rPr>
        <w:t>, Fraga MF, Ballestar E, Paz MF, Herranz M, Espada J, García JM, Muñoz A, Esteller M, González-Sancho JM. Epigenetic inactivation of the Wnt antagonist DICKKOPF-1 (DKK-1) gene in human colorectal cancer.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25</w:t>
      </w:r>
      <w:r w:rsidRPr="008A0130">
        <w:rPr>
          <w:rFonts w:ascii="Book Antiqua" w:eastAsia="宋体" w:hAnsi="Book Antiqua" w:cs="宋体"/>
          <w:color w:val="000000"/>
          <w:lang w:eastAsia="zh-CN"/>
        </w:rPr>
        <w:t>: 4116-4121 [PMID: 16491118 DOI: 10.1038/sj.onc.1209439]</w:t>
      </w:r>
    </w:p>
    <w:p w14:paraId="525CC30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119 </w:t>
      </w:r>
      <w:r w:rsidRPr="008A0130">
        <w:rPr>
          <w:rFonts w:ascii="Book Antiqua" w:eastAsia="宋体" w:hAnsi="Book Antiqua" w:cs="宋体"/>
          <w:b/>
          <w:bCs/>
          <w:color w:val="000000"/>
          <w:lang w:eastAsia="zh-CN"/>
        </w:rPr>
        <w:t>Cho JH</w:t>
      </w:r>
      <w:r w:rsidRPr="008A0130">
        <w:rPr>
          <w:rFonts w:ascii="Book Antiqua" w:eastAsia="宋体" w:hAnsi="Book Antiqua" w:cs="宋体"/>
          <w:color w:val="000000"/>
          <w:lang w:eastAsia="zh-CN"/>
        </w:rPr>
        <w:t>, Dimri M, Dimri GP. A positive feedback loop regulates the expression of polycomb group protein BMI1 via WNT signaling pathway. </w:t>
      </w:r>
      <w:r w:rsidRPr="008A0130">
        <w:rPr>
          <w:rFonts w:ascii="Book Antiqua" w:eastAsia="宋体" w:hAnsi="Book Antiqua" w:cs="宋体"/>
          <w:i/>
          <w:iCs/>
          <w:color w:val="000000"/>
          <w:lang w:eastAsia="zh-CN"/>
        </w:rPr>
        <w:t>J Biol Chem</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288</w:t>
      </w:r>
      <w:r w:rsidRPr="008A0130">
        <w:rPr>
          <w:rFonts w:ascii="Book Antiqua" w:eastAsia="宋体" w:hAnsi="Book Antiqua" w:cs="宋体"/>
          <w:color w:val="000000"/>
          <w:lang w:eastAsia="zh-CN"/>
        </w:rPr>
        <w:t>: 3406-3418 [PMID: 23239878 DOI: 10.1074/jbc.M112.422931]</w:t>
      </w:r>
    </w:p>
    <w:p w14:paraId="4BB1C23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120 </w:t>
      </w:r>
      <w:r w:rsidRPr="008A0130">
        <w:rPr>
          <w:rFonts w:ascii="Book Antiqua" w:eastAsia="宋体" w:hAnsi="Book Antiqua" w:cs="宋体"/>
          <w:b/>
          <w:bCs/>
          <w:color w:val="000000"/>
          <w:lang w:eastAsia="zh-CN"/>
        </w:rPr>
        <w:t>Sheng SL</w:t>
      </w:r>
      <w:r w:rsidRPr="008A0130">
        <w:rPr>
          <w:rFonts w:ascii="Book Antiqua" w:eastAsia="宋体" w:hAnsi="Book Antiqua" w:cs="宋体"/>
          <w:color w:val="000000"/>
          <w:lang w:eastAsia="zh-CN"/>
        </w:rPr>
        <w:t>, Huang G, Yu B, Qin WX. Clinical significance and prognostic value of serum Dickkopf-1 concentrations in patients with lung cancer. </w:t>
      </w:r>
      <w:r w:rsidRPr="008A0130">
        <w:rPr>
          <w:rFonts w:ascii="Book Antiqua" w:eastAsia="宋体" w:hAnsi="Book Antiqua" w:cs="宋体"/>
          <w:i/>
          <w:iCs/>
          <w:color w:val="000000"/>
          <w:lang w:eastAsia="zh-CN"/>
        </w:rPr>
        <w:t>Clin Chem</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55</w:t>
      </w:r>
      <w:r w:rsidRPr="008A0130">
        <w:rPr>
          <w:rFonts w:ascii="Book Antiqua" w:eastAsia="宋体" w:hAnsi="Book Antiqua" w:cs="宋体"/>
          <w:color w:val="000000"/>
          <w:lang w:eastAsia="zh-CN"/>
        </w:rPr>
        <w:t>: 1656-1664 [PMID: 19628661 DOI: 10.1373/clinchem.2009.125641]</w:t>
      </w:r>
    </w:p>
    <w:p w14:paraId="7D74DBC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121 </w:t>
      </w:r>
      <w:r w:rsidRPr="008A0130">
        <w:rPr>
          <w:rFonts w:ascii="Book Antiqua" w:eastAsia="宋体" w:hAnsi="Book Antiqua" w:cs="宋体"/>
          <w:b/>
          <w:bCs/>
          <w:color w:val="000000"/>
          <w:lang w:eastAsia="zh-CN"/>
        </w:rPr>
        <w:t>Sato N</w:t>
      </w:r>
      <w:r w:rsidRPr="008A0130">
        <w:rPr>
          <w:rFonts w:ascii="Book Antiqua" w:eastAsia="宋体" w:hAnsi="Book Antiqua" w:cs="宋体"/>
          <w:color w:val="000000"/>
          <w:lang w:eastAsia="zh-CN"/>
        </w:rPr>
        <w:t>, Yamabuki T, Takano A, Koinuma J, Aragaki M, Masuda K, Ishikawa N, Kohno N, Ito H, Miyamoto M, Nakayama H, Miyagi Y, Tsuchiya E, Kondo S, Nakamura Y, Daigo Y. Wnt inhibitor Dickkopf-1 as a target for passive cancer immunotherapy.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70</w:t>
      </w:r>
      <w:r w:rsidRPr="008A0130">
        <w:rPr>
          <w:rFonts w:ascii="Book Antiqua" w:eastAsia="宋体" w:hAnsi="Book Antiqua" w:cs="宋体"/>
          <w:color w:val="000000"/>
          <w:lang w:eastAsia="zh-CN"/>
        </w:rPr>
        <w:t>: 5326-5336 [PMID: 20551066 DOI: 10.1158/0008-5472.CAN-09-3879]</w:t>
      </w:r>
    </w:p>
    <w:p w14:paraId="0720175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122 </w:t>
      </w:r>
      <w:r w:rsidRPr="008A0130">
        <w:rPr>
          <w:rFonts w:ascii="Book Antiqua" w:eastAsia="宋体" w:hAnsi="Book Antiqua" w:cs="宋体"/>
          <w:b/>
          <w:bCs/>
          <w:color w:val="000000"/>
          <w:lang w:eastAsia="zh-CN"/>
        </w:rPr>
        <w:t>Politou MC</w:t>
      </w:r>
      <w:r w:rsidRPr="008A0130">
        <w:rPr>
          <w:rFonts w:ascii="Book Antiqua" w:eastAsia="宋体" w:hAnsi="Book Antiqua" w:cs="宋体"/>
          <w:color w:val="000000"/>
          <w:lang w:eastAsia="zh-CN"/>
        </w:rPr>
        <w:t>, Heath DJ, Rahemtulla A, Szydlo R, Anagnostopoulos A, Dimopoulos MA, Croucher PI, Terpos E. Serum concentrations of Dickkopf-1 protein are increased in patients with multiple myeloma and reduced after autologous stem cell transplantation. </w:t>
      </w:r>
      <w:r w:rsidRPr="008A0130">
        <w:rPr>
          <w:rFonts w:ascii="Book Antiqua" w:eastAsia="宋体" w:hAnsi="Book Antiqua" w:cs="宋体"/>
          <w:i/>
          <w:iCs/>
          <w:color w:val="000000"/>
          <w:lang w:eastAsia="zh-CN"/>
        </w:rPr>
        <w:t>Int J Cancer</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119</w:t>
      </w:r>
      <w:r w:rsidRPr="008A0130">
        <w:rPr>
          <w:rFonts w:ascii="Book Antiqua" w:eastAsia="宋体" w:hAnsi="Book Antiqua" w:cs="宋体"/>
          <w:color w:val="000000"/>
          <w:lang w:eastAsia="zh-CN"/>
        </w:rPr>
        <w:t>: 1728-1731 [PMID: 16646053 DOI: 10.1002/ijc.22033]</w:t>
      </w:r>
    </w:p>
    <w:p w14:paraId="752B56EA"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123 </w:t>
      </w:r>
      <w:r w:rsidRPr="008A0130">
        <w:rPr>
          <w:rFonts w:ascii="Book Antiqua" w:eastAsia="宋体" w:hAnsi="Book Antiqua" w:cs="宋体"/>
          <w:b/>
          <w:bCs/>
          <w:color w:val="000000"/>
          <w:lang w:eastAsia="zh-CN"/>
        </w:rPr>
        <w:t>Forget MA</w:t>
      </w:r>
      <w:r w:rsidRPr="008A0130">
        <w:rPr>
          <w:rFonts w:ascii="Book Antiqua" w:eastAsia="宋体" w:hAnsi="Book Antiqua" w:cs="宋体"/>
          <w:color w:val="000000"/>
          <w:lang w:eastAsia="zh-CN"/>
        </w:rPr>
        <w:t>, Turcotte S, Beauseigle D, Godin-Ethier J, Pelletier S, Martin J, Tanguay S, Lapointe R. The Wnt pathway regulator DKK1 is preferentially expressed in hormone-resistant breast tumours and in some common cancer types. </w:t>
      </w:r>
      <w:r w:rsidRPr="008A0130">
        <w:rPr>
          <w:rFonts w:ascii="Book Antiqua" w:eastAsia="宋体" w:hAnsi="Book Antiqua" w:cs="宋体"/>
          <w:i/>
          <w:iCs/>
          <w:color w:val="000000"/>
          <w:lang w:eastAsia="zh-CN"/>
        </w:rPr>
        <w:t>Br J Cancer</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96</w:t>
      </w:r>
      <w:r w:rsidRPr="008A0130">
        <w:rPr>
          <w:rFonts w:ascii="Book Antiqua" w:eastAsia="宋体" w:hAnsi="Book Antiqua" w:cs="宋体"/>
          <w:color w:val="000000"/>
          <w:lang w:eastAsia="zh-CN"/>
        </w:rPr>
        <w:t>: 646-653 [PMID: 17245340 DOI: 10.1038/sj.bjc.6603579]</w:t>
      </w:r>
    </w:p>
    <w:p w14:paraId="1AB23CB5" w14:textId="3B153950"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124 </w:t>
      </w:r>
      <w:r w:rsidRPr="008A0130">
        <w:rPr>
          <w:rFonts w:ascii="Book Antiqua" w:eastAsia="宋体" w:hAnsi="Book Antiqua" w:cs="宋体"/>
          <w:b/>
          <w:bCs/>
          <w:color w:val="000000"/>
          <w:lang w:eastAsia="zh-CN"/>
        </w:rPr>
        <w:t>Krause U</w:t>
      </w:r>
      <w:r w:rsidRPr="008A0130">
        <w:rPr>
          <w:rFonts w:ascii="Book Antiqua" w:eastAsia="宋体" w:hAnsi="Book Antiqua" w:cs="宋体"/>
          <w:color w:val="000000"/>
          <w:lang w:eastAsia="zh-CN"/>
        </w:rPr>
        <w:t>, Ryan DM, Clough BH, Gregory CA. An unexpected role for a Wnt-inhibitor: Dickkopf-1 triggers a novel cancer survival mechanism through modulation of aldehyde-dehydrogenase-1 activity. </w:t>
      </w:r>
      <w:r w:rsidRPr="008A0130">
        <w:rPr>
          <w:rFonts w:ascii="Book Antiqua" w:eastAsia="宋体" w:hAnsi="Book Antiqua" w:cs="宋体"/>
          <w:i/>
          <w:iCs/>
          <w:color w:val="000000"/>
          <w:lang w:eastAsia="zh-CN"/>
        </w:rPr>
        <w:t>Cell Death Dis</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e1093 [PMID: 24577091 DOI: 10.1038/cddis.2014.67</w:t>
      </w:r>
      <w:r w:rsidR="008A0130">
        <w:rPr>
          <w:rFonts w:ascii="Book Antiqua" w:eastAsia="宋体" w:hAnsi="Book Antiqua" w:cs="宋体" w:hint="eastAsia"/>
          <w:color w:val="000000"/>
          <w:lang w:eastAsia="zh-CN"/>
        </w:rPr>
        <w:t>]</w:t>
      </w:r>
    </w:p>
    <w:p w14:paraId="42CF9C3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125 </w:t>
      </w:r>
      <w:r w:rsidRPr="008A0130">
        <w:rPr>
          <w:rFonts w:ascii="Book Antiqua" w:eastAsia="宋体" w:hAnsi="Book Antiqua" w:cs="宋体"/>
          <w:b/>
          <w:bCs/>
          <w:color w:val="000000"/>
          <w:lang w:eastAsia="zh-CN"/>
        </w:rPr>
        <w:t>Ito K</w:t>
      </w:r>
      <w:r w:rsidRPr="008A0130">
        <w:rPr>
          <w:rFonts w:ascii="Book Antiqua" w:eastAsia="宋体" w:hAnsi="Book Antiqua" w:cs="宋体"/>
          <w:color w:val="000000"/>
          <w:lang w:eastAsia="zh-CN"/>
        </w:rPr>
        <w:t>, Lim AC, Salto-Tellez M, Motoda L, Osato M, Chuang LS, Lee CW, Voon DC, Koo JK, Wang H, Fukamachi H, Ito Y. RUNX3 attenuates beta-catenin/T cell factors in intestinal tumorigenesis. </w:t>
      </w:r>
      <w:r w:rsidRPr="008A0130">
        <w:rPr>
          <w:rFonts w:ascii="Book Antiqua" w:eastAsia="宋体" w:hAnsi="Book Antiqua" w:cs="宋体"/>
          <w:i/>
          <w:iCs/>
          <w:color w:val="000000"/>
          <w:lang w:eastAsia="zh-CN"/>
        </w:rPr>
        <w:t>Cancer Cell</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14</w:t>
      </w:r>
      <w:r w:rsidRPr="008A0130">
        <w:rPr>
          <w:rFonts w:ascii="Book Antiqua" w:eastAsia="宋体" w:hAnsi="Book Antiqua" w:cs="宋体"/>
          <w:color w:val="000000"/>
          <w:lang w:eastAsia="zh-CN"/>
        </w:rPr>
        <w:t>: 226-237 [PMID: 18772112 DOI: 10.1016/j.ccr.2008.08.004]</w:t>
      </w:r>
    </w:p>
    <w:p w14:paraId="31A9714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126 </w:t>
      </w:r>
      <w:r w:rsidRPr="008A0130">
        <w:rPr>
          <w:rFonts w:ascii="Book Antiqua" w:eastAsia="宋体" w:hAnsi="Book Antiqua" w:cs="宋体"/>
          <w:b/>
          <w:bCs/>
          <w:color w:val="000000"/>
          <w:lang w:eastAsia="zh-CN"/>
        </w:rPr>
        <w:t>Li QL</w:t>
      </w:r>
      <w:r w:rsidRPr="008A0130">
        <w:rPr>
          <w:rFonts w:ascii="Book Antiqua" w:eastAsia="宋体" w:hAnsi="Book Antiqua" w:cs="宋体"/>
          <w:color w:val="000000"/>
          <w:lang w:eastAsia="zh-CN"/>
        </w:rPr>
        <w:t>, Ito K, Sakakura C, Fukamachi H, Inoue Ki, Chi XZ, Lee KY, Nomura S, Lee CW, Han SB, Kim HM, Kim WJ, Yamamoto H, Yamashita N, Yano T, Ikeda T, Itohara S, Inazawa J, Abe T, Hagiwara A, Yamagishi H, Ooe A, Kaneda A, Sugimura T, Ushijima T, Bae SC, Ito Y. Causal relationship between the loss of RUNX3 expression and gastric cancer. </w:t>
      </w:r>
      <w:r w:rsidRPr="008A0130">
        <w:rPr>
          <w:rFonts w:ascii="Book Antiqua" w:eastAsia="宋体" w:hAnsi="Book Antiqua" w:cs="宋体"/>
          <w:i/>
          <w:iCs/>
          <w:color w:val="000000"/>
          <w:lang w:eastAsia="zh-CN"/>
        </w:rPr>
        <w:t>Cell</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109</w:t>
      </w:r>
      <w:r w:rsidRPr="008A0130">
        <w:rPr>
          <w:rFonts w:ascii="Book Antiqua" w:eastAsia="宋体" w:hAnsi="Book Antiqua" w:cs="宋体"/>
          <w:color w:val="000000"/>
          <w:lang w:eastAsia="zh-CN"/>
        </w:rPr>
        <w:t>: 113-124 [PMID: 11955451 DOI: 10.1016/S0092-8674(02)00690-6]</w:t>
      </w:r>
    </w:p>
    <w:p w14:paraId="4C6B959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127 </w:t>
      </w:r>
      <w:r w:rsidRPr="008A0130">
        <w:rPr>
          <w:rFonts w:ascii="Book Antiqua" w:eastAsia="宋体" w:hAnsi="Book Antiqua" w:cs="宋体"/>
          <w:b/>
          <w:bCs/>
          <w:color w:val="000000"/>
          <w:lang w:eastAsia="zh-CN"/>
        </w:rPr>
        <w:t>Ito K</w:t>
      </w:r>
      <w:r w:rsidRPr="008A0130">
        <w:rPr>
          <w:rFonts w:ascii="Book Antiqua" w:eastAsia="宋体" w:hAnsi="Book Antiqua" w:cs="宋体"/>
          <w:color w:val="000000"/>
          <w:lang w:eastAsia="zh-CN"/>
        </w:rPr>
        <w:t>, Chuang LS, Ito T, Chang TL, Fukamachi H, Salto-Tellez M, Ito Y. Loss of Runx3 is a key event in inducing precancerous state of the stomach. </w:t>
      </w:r>
      <w:r w:rsidRPr="008A0130">
        <w:rPr>
          <w:rFonts w:ascii="Book Antiqua" w:eastAsia="宋体" w:hAnsi="Book Antiqua" w:cs="宋体"/>
          <w:i/>
          <w:iCs/>
          <w:color w:val="000000"/>
          <w:lang w:eastAsia="zh-CN"/>
        </w:rPr>
        <w:t>Gastroenterology</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140</w:t>
      </w:r>
      <w:r w:rsidRPr="008A0130">
        <w:rPr>
          <w:rFonts w:ascii="Book Antiqua" w:eastAsia="宋体" w:hAnsi="Book Antiqua" w:cs="宋体"/>
          <w:color w:val="000000"/>
          <w:lang w:eastAsia="zh-CN"/>
        </w:rPr>
        <w:t>: 1536-46.e8 [PMID: 21277301 DOI: 10.1053/j.gastro.2011.01.043]</w:t>
      </w:r>
    </w:p>
    <w:p w14:paraId="5655E7A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128 </w:t>
      </w:r>
      <w:r w:rsidRPr="008A0130">
        <w:rPr>
          <w:rFonts w:ascii="Book Antiqua" w:eastAsia="宋体" w:hAnsi="Book Antiqua" w:cs="宋体"/>
          <w:b/>
          <w:bCs/>
          <w:color w:val="000000"/>
          <w:lang w:eastAsia="zh-CN"/>
        </w:rPr>
        <w:t>Voon DC</w:t>
      </w:r>
      <w:r w:rsidRPr="008A0130">
        <w:rPr>
          <w:rFonts w:ascii="Book Antiqua" w:eastAsia="宋体" w:hAnsi="Book Antiqua" w:cs="宋体"/>
          <w:color w:val="000000"/>
          <w:lang w:eastAsia="zh-CN"/>
        </w:rPr>
        <w:t xml:space="preserve">, Wang H, Koo JK, Nguyen TA, Hor YT, Chu YS, Ito K, Fukamachi H, Chan SL, Thiery JP, Ito Y. Runx3 protects gastric epithelial cells against epithelial-mesenchymal transition-induced cellular plasticity and </w:t>
      </w:r>
      <w:r w:rsidRPr="008A0130">
        <w:rPr>
          <w:rFonts w:ascii="Book Antiqua" w:eastAsia="宋体" w:hAnsi="Book Antiqua" w:cs="宋体"/>
          <w:color w:val="000000"/>
          <w:lang w:eastAsia="zh-CN"/>
        </w:rPr>
        <w:lastRenderedPageBreak/>
        <w:t>tumorigenicity. </w:t>
      </w:r>
      <w:r w:rsidRPr="008A0130">
        <w:rPr>
          <w:rFonts w:ascii="Book Antiqua" w:eastAsia="宋体" w:hAnsi="Book Antiqua" w:cs="宋体"/>
          <w:i/>
          <w:iCs/>
          <w:color w:val="000000"/>
          <w:lang w:eastAsia="zh-CN"/>
        </w:rPr>
        <w:t>Stem Cells</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30</w:t>
      </w:r>
      <w:r w:rsidRPr="008A0130">
        <w:rPr>
          <w:rFonts w:ascii="Book Antiqua" w:eastAsia="宋体" w:hAnsi="Book Antiqua" w:cs="宋体"/>
          <w:color w:val="000000"/>
          <w:lang w:eastAsia="zh-CN"/>
        </w:rPr>
        <w:t>: 2088-2099 [PMID: 22899304 DOI: 10.1002/stem.1183]</w:t>
      </w:r>
    </w:p>
    <w:p w14:paraId="38A4641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129 </w:t>
      </w:r>
      <w:r w:rsidRPr="008A0130">
        <w:rPr>
          <w:rFonts w:ascii="Book Antiqua" w:eastAsia="宋体" w:hAnsi="Book Antiqua" w:cs="宋体"/>
          <w:b/>
          <w:bCs/>
          <w:color w:val="000000"/>
          <w:lang w:eastAsia="zh-CN"/>
        </w:rPr>
        <w:t>Ju X</w:t>
      </w:r>
      <w:r w:rsidRPr="008A0130">
        <w:rPr>
          <w:rFonts w:ascii="Book Antiqua" w:eastAsia="宋体" w:hAnsi="Book Antiqua" w:cs="宋体"/>
          <w:color w:val="000000"/>
          <w:lang w:eastAsia="zh-CN"/>
        </w:rPr>
        <w:t>, Ishikawa TO, Naka K, Ito K, Ito Y, Oshima M. Context-dependent activation of Wnt signaling by tumor suppressor RUNX3 in gastric cancer cells. </w:t>
      </w:r>
      <w:r w:rsidRPr="008A0130">
        <w:rPr>
          <w:rFonts w:ascii="Book Antiqua" w:eastAsia="宋体" w:hAnsi="Book Antiqua" w:cs="宋体"/>
          <w:i/>
          <w:iCs/>
          <w:color w:val="000000"/>
          <w:lang w:eastAsia="zh-CN"/>
        </w:rPr>
        <w:t>Cancer Sci</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105</w:t>
      </w:r>
      <w:r w:rsidRPr="008A0130">
        <w:rPr>
          <w:rFonts w:ascii="Book Antiqua" w:eastAsia="宋体" w:hAnsi="Book Antiqua" w:cs="宋体"/>
          <w:color w:val="000000"/>
          <w:lang w:eastAsia="zh-CN"/>
        </w:rPr>
        <w:t>: 418-424 [PMID: 24447505 DOI: 10.1111/cas.12356]</w:t>
      </w:r>
    </w:p>
    <w:p w14:paraId="15A13E5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130 </w:t>
      </w:r>
      <w:r w:rsidRPr="008A0130">
        <w:rPr>
          <w:rFonts w:ascii="Book Antiqua" w:eastAsia="宋体" w:hAnsi="Book Antiqua" w:cs="宋体"/>
          <w:b/>
          <w:bCs/>
          <w:color w:val="000000"/>
          <w:lang w:eastAsia="zh-CN"/>
        </w:rPr>
        <w:t>Qu Y</w:t>
      </w:r>
      <w:r w:rsidRPr="008A0130">
        <w:rPr>
          <w:rFonts w:ascii="Book Antiqua" w:eastAsia="宋体" w:hAnsi="Book Antiqua" w:cs="宋体"/>
          <w:color w:val="000000"/>
          <w:lang w:eastAsia="zh-CN"/>
        </w:rPr>
        <w:t>, Ray PS, Li J, Cai Q, Bagaria SP, Moran C, Sim MS, Zhang J, Turner RR, Zhu Z, Cui X, Liu B. High levels of secreted frizzled-related protein 1 correlate with poor prognosis and promote tumourigenesis in gastric cancer. </w:t>
      </w:r>
      <w:r w:rsidRPr="008A0130">
        <w:rPr>
          <w:rFonts w:ascii="Book Antiqua" w:eastAsia="宋体" w:hAnsi="Book Antiqua" w:cs="宋体"/>
          <w:i/>
          <w:iCs/>
          <w:color w:val="000000"/>
          <w:lang w:eastAsia="zh-CN"/>
        </w:rPr>
        <w:t>Eur J Cancer</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49</w:t>
      </w:r>
      <w:r w:rsidRPr="008A0130">
        <w:rPr>
          <w:rFonts w:ascii="Book Antiqua" w:eastAsia="宋体" w:hAnsi="Book Antiqua" w:cs="宋体"/>
          <w:color w:val="000000"/>
          <w:lang w:eastAsia="zh-CN"/>
        </w:rPr>
        <w:t>: 3718-3728 [PMID: 23927957]</w:t>
      </w:r>
    </w:p>
    <w:p w14:paraId="65E27ED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131 </w:t>
      </w:r>
      <w:r w:rsidRPr="008A0130">
        <w:rPr>
          <w:rFonts w:ascii="Book Antiqua" w:eastAsia="宋体" w:hAnsi="Book Antiqua" w:cs="宋体"/>
          <w:b/>
          <w:bCs/>
          <w:color w:val="000000"/>
          <w:lang w:eastAsia="zh-CN"/>
        </w:rPr>
        <w:t>Sawada G</w:t>
      </w:r>
      <w:r w:rsidRPr="008A0130">
        <w:rPr>
          <w:rFonts w:ascii="Book Antiqua" w:eastAsia="宋体" w:hAnsi="Book Antiqua" w:cs="宋体"/>
          <w:color w:val="000000"/>
          <w:lang w:eastAsia="zh-CN"/>
        </w:rPr>
        <w:t>, Ueo H, Matsumura T, Uchi R, Ishibashi M, Mima K, Kurashige J, Takahashi Y, Akiyoshi S, Sudo T, Sugimachi K, Doki Y, Mori M, Mimori K. CHD8 is an independent prognostic indicator that regulates Wnt/β-catenin signaling and the cell cycle in gastric cancer. </w:t>
      </w:r>
      <w:r w:rsidRPr="008A0130">
        <w:rPr>
          <w:rFonts w:ascii="Book Antiqua" w:eastAsia="宋体" w:hAnsi="Book Antiqua" w:cs="宋体"/>
          <w:i/>
          <w:iCs/>
          <w:color w:val="000000"/>
          <w:lang w:eastAsia="zh-CN"/>
        </w:rPr>
        <w:t>Oncol Rep</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30</w:t>
      </w:r>
      <w:r w:rsidRPr="008A0130">
        <w:rPr>
          <w:rFonts w:ascii="Book Antiqua" w:eastAsia="宋体" w:hAnsi="Book Antiqua" w:cs="宋体"/>
          <w:color w:val="000000"/>
          <w:lang w:eastAsia="zh-CN"/>
        </w:rPr>
        <w:t>: 1137-1142 [PMID: 23835524 DOI: 10.3892/or.2013.2597]</w:t>
      </w:r>
    </w:p>
    <w:p w14:paraId="3D286D5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132 </w:t>
      </w:r>
      <w:r w:rsidRPr="008A0130">
        <w:rPr>
          <w:rFonts w:ascii="Book Antiqua" w:eastAsia="宋体" w:hAnsi="Book Antiqua" w:cs="宋体"/>
          <w:b/>
          <w:bCs/>
          <w:color w:val="000000"/>
          <w:lang w:eastAsia="zh-CN"/>
        </w:rPr>
        <w:t>Nishiyama M</w:t>
      </w:r>
      <w:r w:rsidRPr="008A0130">
        <w:rPr>
          <w:rFonts w:ascii="Book Antiqua" w:eastAsia="宋体" w:hAnsi="Book Antiqua" w:cs="宋体"/>
          <w:color w:val="000000"/>
          <w:lang w:eastAsia="zh-CN"/>
        </w:rPr>
        <w:t>, Skoultchi AI, Nakayama KI. Histone H1 recruitment by CHD8 is essential for suppression of the Wnt-β-catenin signaling pathway. </w:t>
      </w:r>
      <w:r w:rsidRPr="008A0130">
        <w:rPr>
          <w:rFonts w:ascii="Book Antiqua" w:eastAsia="宋体" w:hAnsi="Book Antiqua" w:cs="宋体"/>
          <w:i/>
          <w:iCs/>
          <w:color w:val="000000"/>
          <w:lang w:eastAsia="zh-CN"/>
        </w:rPr>
        <w:t>Mol Cell Biol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32</w:t>
      </w:r>
      <w:r w:rsidRPr="008A0130">
        <w:rPr>
          <w:rFonts w:ascii="Book Antiqua" w:eastAsia="宋体" w:hAnsi="Book Antiqua" w:cs="宋体"/>
          <w:color w:val="000000"/>
          <w:lang w:eastAsia="zh-CN"/>
        </w:rPr>
        <w:t>: 501-512 [PMID: 22083958 DOI: 10.1128/MCB.06409-11]</w:t>
      </w:r>
    </w:p>
    <w:p w14:paraId="52F6C89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133 </w:t>
      </w:r>
      <w:r w:rsidRPr="008A0130">
        <w:rPr>
          <w:rFonts w:ascii="Book Antiqua" w:eastAsia="宋体" w:hAnsi="Book Antiqua" w:cs="宋体"/>
          <w:b/>
          <w:bCs/>
          <w:color w:val="000000"/>
          <w:lang w:eastAsia="zh-CN"/>
        </w:rPr>
        <w:t>Horii A</w:t>
      </w:r>
      <w:r w:rsidRPr="008A0130">
        <w:rPr>
          <w:rFonts w:ascii="Book Antiqua" w:eastAsia="宋体" w:hAnsi="Book Antiqua" w:cs="宋体"/>
          <w:color w:val="000000"/>
          <w:lang w:eastAsia="zh-CN"/>
        </w:rPr>
        <w:t>, Nakatsuru S, Miyoshi Y, Ichii S, Nagase H, Kato Y, Yanagisawa A, Nakamura Y. The APC gene, responsible for familial adenomatous polyposis, is mutated in human gastric cancer.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1992; </w:t>
      </w:r>
      <w:r w:rsidRPr="008A0130">
        <w:rPr>
          <w:rFonts w:ascii="Book Antiqua" w:eastAsia="宋体" w:hAnsi="Book Antiqua" w:cs="宋体"/>
          <w:b/>
          <w:bCs/>
          <w:color w:val="000000"/>
          <w:lang w:eastAsia="zh-CN"/>
        </w:rPr>
        <w:t>52</w:t>
      </w:r>
      <w:r w:rsidRPr="008A0130">
        <w:rPr>
          <w:rFonts w:ascii="Book Antiqua" w:eastAsia="宋体" w:hAnsi="Book Antiqua" w:cs="宋体"/>
          <w:color w:val="000000"/>
          <w:lang w:eastAsia="zh-CN"/>
        </w:rPr>
        <w:t>: 3231-3233 [PMID: 1317264]</w:t>
      </w:r>
    </w:p>
    <w:p w14:paraId="607B297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134 </w:t>
      </w:r>
      <w:r w:rsidRPr="008A0130">
        <w:rPr>
          <w:rFonts w:ascii="Book Antiqua" w:eastAsia="宋体" w:hAnsi="Book Antiqua" w:cs="宋体"/>
          <w:b/>
          <w:bCs/>
          <w:color w:val="000000"/>
          <w:lang w:eastAsia="zh-CN"/>
        </w:rPr>
        <w:t>Nakatsuru S</w:t>
      </w:r>
      <w:r w:rsidRPr="008A0130">
        <w:rPr>
          <w:rFonts w:ascii="Book Antiqua" w:eastAsia="宋体" w:hAnsi="Book Antiqua" w:cs="宋体"/>
          <w:color w:val="000000"/>
          <w:lang w:eastAsia="zh-CN"/>
        </w:rPr>
        <w:t>, Yanagisawa A, Furukawa Y, Ichii S, Kato Y, Nakamura Y, Horii A. Somatic mutations of the APC gene in precancerous lesion of the stomach. </w:t>
      </w:r>
      <w:r w:rsidRPr="008A0130">
        <w:rPr>
          <w:rFonts w:ascii="Book Antiqua" w:eastAsia="宋体" w:hAnsi="Book Antiqua" w:cs="宋体"/>
          <w:i/>
          <w:iCs/>
          <w:color w:val="000000"/>
          <w:lang w:eastAsia="zh-CN"/>
        </w:rPr>
        <w:t>Hum Mol Genet</w:t>
      </w:r>
      <w:r w:rsidRPr="008A0130">
        <w:rPr>
          <w:rFonts w:ascii="Book Antiqua" w:eastAsia="宋体" w:hAnsi="Book Antiqua" w:cs="宋体"/>
          <w:color w:val="000000"/>
          <w:lang w:eastAsia="zh-CN"/>
        </w:rPr>
        <w:t> 1993; </w:t>
      </w:r>
      <w:r w:rsidRPr="008A0130">
        <w:rPr>
          <w:rFonts w:ascii="Book Antiqua" w:eastAsia="宋体" w:hAnsi="Book Antiqua" w:cs="宋体"/>
          <w:b/>
          <w:bCs/>
          <w:color w:val="000000"/>
          <w:lang w:eastAsia="zh-CN"/>
        </w:rPr>
        <w:t>2</w:t>
      </w:r>
      <w:r w:rsidRPr="008A0130">
        <w:rPr>
          <w:rFonts w:ascii="Book Antiqua" w:eastAsia="宋体" w:hAnsi="Book Antiqua" w:cs="宋体"/>
          <w:color w:val="000000"/>
          <w:lang w:eastAsia="zh-CN"/>
        </w:rPr>
        <w:t>: 1463-1465 [PMID: 8242071 DOI: 10.1093/hmg/2.9.1463]</w:t>
      </w:r>
    </w:p>
    <w:p w14:paraId="6FF2B2CA"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135 </w:t>
      </w:r>
      <w:r w:rsidRPr="008A0130">
        <w:rPr>
          <w:rFonts w:ascii="Book Antiqua" w:eastAsia="宋体" w:hAnsi="Book Antiqua" w:cs="宋体"/>
          <w:b/>
          <w:bCs/>
          <w:color w:val="000000"/>
          <w:lang w:eastAsia="zh-CN"/>
        </w:rPr>
        <w:t>Rhyu MG</w:t>
      </w:r>
      <w:r w:rsidRPr="008A0130">
        <w:rPr>
          <w:rFonts w:ascii="Book Antiqua" w:eastAsia="宋体" w:hAnsi="Book Antiqua" w:cs="宋体"/>
          <w:color w:val="000000"/>
          <w:lang w:eastAsia="zh-CN"/>
        </w:rPr>
        <w:t>, Park WS, Jung YJ, Choi SW, Meltzer SJ. Allelic deletions of MCC/APC and p53 are frequent late events in human gastric carcinogenesis. </w:t>
      </w:r>
      <w:r w:rsidRPr="008A0130">
        <w:rPr>
          <w:rFonts w:ascii="Book Antiqua" w:eastAsia="宋体" w:hAnsi="Book Antiqua" w:cs="宋体"/>
          <w:i/>
          <w:iCs/>
          <w:color w:val="000000"/>
          <w:lang w:eastAsia="zh-CN"/>
        </w:rPr>
        <w:t>Gastroenterology</w:t>
      </w:r>
      <w:r w:rsidRPr="008A0130">
        <w:rPr>
          <w:rFonts w:ascii="Book Antiqua" w:eastAsia="宋体" w:hAnsi="Book Antiqua" w:cs="宋体"/>
          <w:color w:val="000000"/>
          <w:lang w:eastAsia="zh-CN"/>
        </w:rPr>
        <w:t> 1994; </w:t>
      </w:r>
      <w:r w:rsidRPr="008A0130">
        <w:rPr>
          <w:rFonts w:ascii="Book Antiqua" w:eastAsia="宋体" w:hAnsi="Book Antiqua" w:cs="宋体"/>
          <w:b/>
          <w:bCs/>
          <w:color w:val="000000"/>
          <w:lang w:eastAsia="zh-CN"/>
        </w:rPr>
        <w:t>106</w:t>
      </w:r>
      <w:r w:rsidRPr="008A0130">
        <w:rPr>
          <w:rFonts w:ascii="Book Antiqua" w:eastAsia="宋体" w:hAnsi="Book Antiqua" w:cs="宋体"/>
          <w:color w:val="000000"/>
          <w:lang w:eastAsia="zh-CN"/>
        </w:rPr>
        <w:t>: 1584-1588 [PMID: 8194705]</w:t>
      </w:r>
    </w:p>
    <w:p w14:paraId="4CC1D33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136 </w:t>
      </w:r>
      <w:r w:rsidRPr="008A0130">
        <w:rPr>
          <w:rFonts w:ascii="Book Antiqua" w:eastAsia="宋体" w:hAnsi="Book Antiqua" w:cs="宋体"/>
          <w:b/>
          <w:bCs/>
          <w:color w:val="000000"/>
          <w:lang w:eastAsia="zh-CN"/>
        </w:rPr>
        <w:t>Sanz-Ortega J</w:t>
      </w:r>
      <w:r w:rsidRPr="008A0130">
        <w:rPr>
          <w:rFonts w:ascii="Book Antiqua" w:eastAsia="宋体" w:hAnsi="Book Antiqua" w:cs="宋体"/>
          <w:color w:val="000000"/>
          <w:lang w:eastAsia="zh-CN"/>
        </w:rPr>
        <w:t xml:space="preserve">, Sanz-Esponera J, Caldes T, Gomez de la Concha E, Sobel ME, Merino MJ. LOH at the APC/MCC gene (5Q21) in gastric cancer and </w:t>
      </w:r>
      <w:r w:rsidRPr="008A0130">
        <w:rPr>
          <w:rFonts w:ascii="Book Antiqua" w:eastAsia="宋体" w:hAnsi="Book Antiqua" w:cs="宋体"/>
          <w:color w:val="000000"/>
          <w:lang w:eastAsia="zh-CN"/>
        </w:rPr>
        <w:lastRenderedPageBreak/>
        <w:t>preneoplastic lesions. Prognostic implications. </w:t>
      </w:r>
      <w:r w:rsidRPr="008A0130">
        <w:rPr>
          <w:rFonts w:ascii="Book Antiqua" w:eastAsia="宋体" w:hAnsi="Book Antiqua" w:cs="宋体"/>
          <w:i/>
          <w:iCs/>
          <w:color w:val="000000"/>
          <w:lang w:eastAsia="zh-CN"/>
        </w:rPr>
        <w:t>Pathol Res Pract</w:t>
      </w:r>
      <w:r w:rsidRPr="008A0130">
        <w:rPr>
          <w:rFonts w:ascii="Book Antiqua" w:eastAsia="宋体" w:hAnsi="Book Antiqua" w:cs="宋体"/>
          <w:color w:val="000000"/>
          <w:lang w:eastAsia="zh-CN"/>
        </w:rPr>
        <w:t> 1996; </w:t>
      </w:r>
      <w:r w:rsidRPr="008A0130">
        <w:rPr>
          <w:rFonts w:ascii="Book Antiqua" w:eastAsia="宋体" w:hAnsi="Book Antiqua" w:cs="宋体"/>
          <w:b/>
          <w:bCs/>
          <w:color w:val="000000"/>
          <w:lang w:eastAsia="zh-CN"/>
        </w:rPr>
        <w:t>192</w:t>
      </w:r>
      <w:r w:rsidRPr="008A0130">
        <w:rPr>
          <w:rFonts w:ascii="Book Antiqua" w:eastAsia="宋体" w:hAnsi="Book Antiqua" w:cs="宋体"/>
          <w:color w:val="000000"/>
          <w:lang w:eastAsia="zh-CN"/>
        </w:rPr>
        <w:t>: 1206-1210 [PMID: 9182290 DOI: 10.1016/S0344-0338(96)80152-X]</w:t>
      </w:r>
    </w:p>
    <w:p w14:paraId="42CFB02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137 </w:t>
      </w:r>
      <w:r w:rsidRPr="008A0130">
        <w:rPr>
          <w:rFonts w:ascii="Book Antiqua" w:eastAsia="宋体" w:hAnsi="Book Antiqua" w:cs="宋体"/>
          <w:b/>
          <w:bCs/>
          <w:color w:val="000000"/>
          <w:lang w:eastAsia="zh-CN"/>
        </w:rPr>
        <w:t>Fang Z</w:t>
      </w:r>
      <w:r w:rsidRPr="008A0130">
        <w:rPr>
          <w:rFonts w:ascii="Book Antiqua" w:eastAsia="宋体" w:hAnsi="Book Antiqua" w:cs="宋体"/>
          <w:color w:val="000000"/>
          <w:lang w:eastAsia="zh-CN"/>
        </w:rPr>
        <w:t>, Xiong Y, Li J, Liu L, Zhang W, Zhang C, Wan J. APC gene deletions in gastric adenocarcinomas in a Chinese population: a correlation with tumour progression. </w:t>
      </w:r>
      <w:r w:rsidRPr="008A0130">
        <w:rPr>
          <w:rFonts w:ascii="Book Antiqua" w:eastAsia="宋体" w:hAnsi="Book Antiqua" w:cs="宋体"/>
          <w:i/>
          <w:iCs/>
          <w:color w:val="000000"/>
          <w:lang w:eastAsia="zh-CN"/>
        </w:rPr>
        <w:t>Clin Transl Oncol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14</w:t>
      </w:r>
      <w:r w:rsidRPr="008A0130">
        <w:rPr>
          <w:rFonts w:ascii="Book Antiqua" w:eastAsia="宋体" w:hAnsi="Book Antiqua" w:cs="宋体"/>
          <w:color w:val="000000"/>
          <w:lang w:eastAsia="zh-CN"/>
        </w:rPr>
        <w:t>: 60-65 [PMID: 22262720 DOI: 10.1007/s12094-012-0762-x]</w:t>
      </w:r>
    </w:p>
    <w:p w14:paraId="34A6A31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138 </w:t>
      </w:r>
      <w:r w:rsidRPr="008A0130">
        <w:rPr>
          <w:rFonts w:ascii="Book Antiqua" w:eastAsia="宋体" w:hAnsi="Book Antiqua" w:cs="宋体"/>
          <w:b/>
          <w:bCs/>
          <w:color w:val="000000"/>
          <w:lang w:eastAsia="zh-CN"/>
        </w:rPr>
        <w:t>Smits R</w:t>
      </w:r>
      <w:r w:rsidRPr="008A0130">
        <w:rPr>
          <w:rFonts w:ascii="Book Antiqua" w:eastAsia="宋体" w:hAnsi="Book Antiqua" w:cs="宋体"/>
          <w:color w:val="000000"/>
          <w:lang w:eastAsia="zh-CN"/>
        </w:rPr>
        <w:t>, Ruiz P, Diaz-Cano S, Luz A, Jagmohan-Changur S, Breukel C, Birchmeier C, Birchmeier W, Fodde R. E-cadherin and adenomatous polyposis coli mutations are synergistic in intestinal tumor initiation in mice. </w:t>
      </w:r>
      <w:r w:rsidRPr="008A0130">
        <w:rPr>
          <w:rFonts w:ascii="Book Antiqua" w:eastAsia="宋体" w:hAnsi="Book Antiqua" w:cs="宋体"/>
          <w:i/>
          <w:iCs/>
          <w:color w:val="000000"/>
          <w:lang w:eastAsia="zh-CN"/>
        </w:rPr>
        <w:t>Gastroenterology</w:t>
      </w:r>
      <w:r w:rsidRPr="008A0130">
        <w:rPr>
          <w:rFonts w:ascii="Book Antiqua" w:eastAsia="宋体" w:hAnsi="Book Antiqua" w:cs="宋体"/>
          <w:color w:val="000000"/>
          <w:lang w:eastAsia="zh-CN"/>
        </w:rPr>
        <w:t> 2000; </w:t>
      </w:r>
      <w:r w:rsidRPr="008A0130">
        <w:rPr>
          <w:rFonts w:ascii="Book Antiqua" w:eastAsia="宋体" w:hAnsi="Book Antiqua" w:cs="宋体"/>
          <w:b/>
          <w:bCs/>
          <w:color w:val="000000"/>
          <w:lang w:eastAsia="zh-CN"/>
        </w:rPr>
        <w:t>119</w:t>
      </w:r>
      <w:r w:rsidRPr="008A0130">
        <w:rPr>
          <w:rFonts w:ascii="Book Antiqua" w:eastAsia="宋体" w:hAnsi="Book Antiqua" w:cs="宋体"/>
          <w:color w:val="000000"/>
          <w:lang w:eastAsia="zh-CN"/>
        </w:rPr>
        <w:t>: 1045-1053 [PMID: 11040191 DOI: 10.1053/gast.2000.18162]</w:t>
      </w:r>
    </w:p>
    <w:p w14:paraId="77CB5CA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139 </w:t>
      </w:r>
      <w:r w:rsidRPr="008A0130">
        <w:rPr>
          <w:rFonts w:ascii="Book Antiqua" w:eastAsia="宋体" w:hAnsi="Book Antiqua" w:cs="宋体"/>
          <w:b/>
          <w:bCs/>
          <w:color w:val="000000"/>
          <w:lang w:eastAsia="zh-CN"/>
        </w:rPr>
        <w:t>Perreault N</w:t>
      </w:r>
      <w:r w:rsidRPr="008A0130">
        <w:rPr>
          <w:rFonts w:ascii="Book Antiqua" w:eastAsia="宋体" w:hAnsi="Book Antiqua" w:cs="宋体"/>
          <w:color w:val="000000"/>
          <w:lang w:eastAsia="zh-CN"/>
        </w:rPr>
        <w:t>, Sackett SD, Katz JP, Furth EE, Kaestner KH. Foxl1 is a mesenchymal Modifier of Min in carcinogenesis of stomach and colon. </w:t>
      </w:r>
      <w:r w:rsidRPr="008A0130">
        <w:rPr>
          <w:rFonts w:ascii="Book Antiqua" w:eastAsia="宋体" w:hAnsi="Book Antiqua" w:cs="宋体"/>
          <w:i/>
          <w:iCs/>
          <w:color w:val="000000"/>
          <w:lang w:eastAsia="zh-CN"/>
        </w:rPr>
        <w:t>Genes Dev</w:t>
      </w:r>
      <w:r w:rsidRPr="008A0130">
        <w:rPr>
          <w:rFonts w:ascii="Book Antiqua" w:eastAsia="宋体" w:hAnsi="Book Antiqua" w:cs="宋体"/>
          <w:color w:val="000000"/>
          <w:lang w:eastAsia="zh-CN"/>
        </w:rPr>
        <w:t> 2005; </w:t>
      </w:r>
      <w:r w:rsidRPr="008A0130">
        <w:rPr>
          <w:rFonts w:ascii="Book Antiqua" w:eastAsia="宋体" w:hAnsi="Book Antiqua" w:cs="宋体"/>
          <w:b/>
          <w:bCs/>
          <w:color w:val="000000"/>
          <w:lang w:eastAsia="zh-CN"/>
        </w:rPr>
        <w:t>19</w:t>
      </w:r>
      <w:r w:rsidRPr="008A0130">
        <w:rPr>
          <w:rFonts w:ascii="Book Antiqua" w:eastAsia="宋体" w:hAnsi="Book Antiqua" w:cs="宋体"/>
          <w:color w:val="000000"/>
          <w:lang w:eastAsia="zh-CN"/>
        </w:rPr>
        <w:t>: 311-315 [PMID: 15650110 DOI: 10.1101/gad.1260605]</w:t>
      </w:r>
    </w:p>
    <w:p w14:paraId="4FAF694F" w14:textId="10ACD22D"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140 </w:t>
      </w:r>
      <w:r w:rsidRPr="008A0130">
        <w:rPr>
          <w:rFonts w:ascii="Book Antiqua" w:eastAsia="宋体" w:hAnsi="Book Antiqua" w:cs="宋体"/>
          <w:b/>
          <w:bCs/>
          <w:color w:val="000000"/>
          <w:lang w:eastAsia="zh-CN"/>
        </w:rPr>
        <w:t>Mazzoni SM</w:t>
      </w:r>
      <w:r w:rsidRPr="008A0130">
        <w:rPr>
          <w:rFonts w:ascii="Book Antiqua" w:eastAsia="宋体" w:hAnsi="Book Antiqua" w:cs="宋体"/>
          <w:color w:val="000000"/>
          <w:lang w:eastAsia="zh-CN"/>
        </w:rPr>
        <w:t>, Fearon ER. AXIN1 and AXIN2 variants in gastrointestinal cancers. </w:t>
      </w:r>
      <w:r w:rsidRPr="008A0130">
        <w:rPr>
          <w:rFonts w:ascii="Book Antiqua" w:eastAsia="宋体" w:hAnsi="Book Antiqua" w:cs="宋体"/>
          <w:i/>
          <w:iCs/>
          <w:color w:val="000000"/>
          <w:lang w:eastAsia="zh-CN"/>
        </w:rPr>
        <w:t>Cancer Lett</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355</w:t>
      </w:r>
      <w:r w:rsidRPr="008A0130">
        <w:rPr>
          <w:rFonts w:ascii="Book Antiqua" w:eastAsia="宋体" w:hAnsi="Book Antiqua" w:cs="宋体"/>
          <w:color w:val="000000"/>
          <w:lang w:eastAsia="zh-CN"/>
        </w:rPr>
        <w:t>: 1-8 [PMID: 25236910 DOI: 10.1016/j.canlet.2014.09.018</w:t>
      </w:r>
      <w:r w:rsidR="008A0130">
        <w:rPr>
          <w:rFonts w:ascii="Book Antiqua" w:eastAsia="宋体" w:hAnsi="Book Antiqua" w:cs="宋体" w:hint="eastAsia"/>
          <w:color w:val="000000"/>
          <w:lang w:eastAsia="zh-CN"/>
        </w:rPr>
        <w:t>]</w:t>
      </w:r>
    </w:p>
    <w:p w14:paraId="1767DD5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141 </w:t>
      </w:r>
      <w:r w:rsidRPr="008A0130">
        <w:rPr>
          <w:rFonts w:ascii="Book Antiqua" w:eastAsia="宋体" w:hAnsi="Book Antiqua" w:cs="宋体"/>
          <w:b/>
          <w:bCs/>
          <w:color w:val="000000"/>
          <w:lang w:eastAsia="zh-CN"/>
        </w:rPr>
        <w:t>Jho EH</w:t>
      </w:r>
      <w:r w:rsidRPr="008A0130">
        <w:rPr>
          <w:rFonts w:ascii="Book Antiqua" w:eastAsia="宋体" w:hAnsi="Book Antiqua" w:cs="宋体"/>
          <w:color w:val="000000"/>
          <w:lang w:eastAsia="zh-CN"/>
        </w:rPr>
        <w:t>, Zhang T, Domon C, Joo CK, Freund JN, Costantini F. Wnt/beta-catenin/Tcf signaling induces the transcription of Axin2, a negative regulator of the signaling pathway. </w:t>
      </w:r>
      <w:r w:rsidRPr="008A0130">
        <w:rPr>
          <w:rFonts w:ascii="Book Antiqua" w:eastAsia="宋体" w:hAnsi="Book Antiqua" w:cs="宋体"/>
          <w:i/>
          <w:iCs/>
          <w:color w:val="000000"/>
          <w:lang w:eastAsia="zh-CN"/>
        </w:rPr>
        <w:t>Mol Cell Biol</w:t>
      </w:r>
      <w:r w:rsidRPr="008A0130">
        <w:rPr>
          <w:rFonts w:ascii="Book Antiqua" w:eastAsia="宋体" w:hAnsi="Book Antiqua" w:cs="宋体"/>
          <w:color w:val="000000"/>
          <w:lang w:eastAsia="zh-CN"/>
        </w:rPr>
        <w:t> 2002; </w:t>
      </w:r>
      <w:r w:rsidRPr="008A0130">
        <w:rPr>
          <w:rFonts w:ascii="Book Antiqua" w:eastAsia="宋体" w:hAnsi="Book Antiqua" w:cs="宋体"/>
          <w:b/>
          <w:bCs/>
          <w:color w:val="000000"/>
          <w:lang w:eastAsia="zh-CN"/>
        </w:rPr>
        <w:t>22</w:t>
      </w:r>
      <w:r w:rsidRPr="008A0130">
        <w:rPr>
          <w:rFonts w:ascii="Book Antiqua" w:eastAsia="宋体" w:hAnsi="Book Antiqua" w:cs="宋体"/>
          <w:color w:val="000000"/>
          <w:lang w:eastAsia="zh-CN"/>
        </w:rPr>
        <w:t>: 1172-1183 [PMID: 11809808 DOI: 10.1128/MCB.22.4.1172-1183.2002]</w:t>
      </w:r>
    </w:p>
    <w:p w14:paraId="06A2D35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142 </w:t>
      </w:r>
      <w:r w:rsidRPr="008A0130">
        <w:rPr>
          <w:rFonts w:ascii="Book Antiqua" w:eastAsia="宋体" w:hAnsi="Book Antiqua" w:cs="宋体"/>
          <w:b/>
          <w:bCs/>
          <w:color w:val="000000"/>
          <w:lang w:eastAsia="zh-CN"/>
        </w:rPr>
        <w:t>Kim CJ</w:t>
      </w:r>
      <w:r w:rsidRPr="008A0130">
        <w:rPr>
          <w:rFonts w:ascii="Book Antiqua" w:eastAsia="宋体" w:hAnsi="Book Antiqua" w:cs="宋体"/>
          <w:color w:val="000000"/>
          <w:lang w:eastAsia="zh-CN"/>
        </w:rPr>
        <w:t>, Song JH, Cho YG, Kim YS, Kim SY, Nam SW, Yoo NJ, Lee JY, Park WS. Somatic mutations of the beta-TrCP gene in gastric cancer. </w:t>
      </w:r>
      <w:r w:rsidRPr="008A0130">
        <w:rPr>
          <w:rFonts w:ascii="Book Antiqua" w:eastAsia="宋体" w:hAnsi="Book Antiqua" w:cs="宋体"/>
          <w:i/>
          <w:iCs/>
          <w:color w:val="000000"/>
          <w:lang w:eastAsia="zh-CN"/>
        </w:rPr>
        <w:t>APMIS</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115</w:t>
      </w:r>
      <w:r w:rsidRPr="008A0130">
        <w:rPr>
          <w:rFonts w:ascii="Book Antiqua" w:eastAsia="宋体" w:hAnsi="Book Antiqua" w:cs="宋体"/>
          <w:color w:val="000000"/>
          <w:lang w:eastAsia="zh-CN"/>
        </w:rPr>
        <w:t>: 127-133 [PMID: 17295679 DOI: 10.1111/j.1600-0463.2007.apm_562.x]</w:t>
      </w:r>
    </w:p>
    <w:p w14:paraId="2F931CD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143 </w:t>
      </w:r>
      <w:r w:rsidRPr="008A0130">
        <w:rPr>
          <w:rFonts w:ascii="Book Antiqua" w:eastAsia="宋体" w:hAnsi="Book Antiqua" w:cs="宋体"/>
          <w:b/>
          <w:bCs/>
          <w:color w:val="000000"/>
          <w:lang w:eastAsia="zh-CN"/>
        </w:rPr>
        <w:t>Yoo NJ</w:t>
      </w:r>
      <w:r w:rsidRPr="008A0130">
        <w:rPr>
          <w:rFonts w:ascii="Book Antiqua" w:eastAsia="宋体" w:hAnsi="Book Antiqua" w:cs="宋体"/>
          <w:color w:val="000000"/>
          <w:lang w:eastAsia="zh-CN"/>
        </w:rPr>
        <w:t>, Kim S, Lee SH. Mutational analysis of WTX gene in Wnt/ beta-catenin pathway in gastric, colorectal, and hepatocellular carcinomas. </w:t>
      </w:r>
      <w:r w:rsidRPr="008A0130">
        <w:rPr>
          <w:rFonts w:ascii="Book Antiqua" w:eastAsia="宋体" w:hAnsi="Book Antiqua" w:cs="宋体"/>
          <w:i/>
          <w:iCs/>
          <w:color w:val="000000"/>
          <w:lang w:eastAsia="zh-CN"/>
        </w:rPr>
        <w:t>Dig Dis Sci</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54</w:t>
      </w:r>
      <w:r w:rsidRPr="008A0130">
        <w:rPr>
          <w:rFonts w:ascii="Book Antiqua" w:eastAsia="宋体" w:hAnsi="Book Antiqua" w:cs="宋体"/>
          <w:color w:val="000000"/>
          <w:lang w:eastAsia="zh-CN"/>
        </w:rPr>
        <w:t>: 1011-1014 [PMID: 18720004 DOI: 10.1007/s10620-008-0458-9]</w:t>
      </w:r>
    </w:p>
    <w:p w14:paraId="39C6CC6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144 </w:t>
      </w:r>
      <w:r w:rsidRPr="008A0130">
        <w:rPr>
          <w:rFonts w:ascii="Book Antiqua" w:eastAsia="宋体" w:hAnsi="Book Antiqua" w:cs="宋体"/>
          <w:b/>
          <w:bCs/>
          <w:color w:val="000000"/>
          <w:lang w:eastAsia="zh-CN"/>
        </w:rPr>
        <w:t>Guo Y</w:t>
      </w:r>
      <w:r w:rsidRPr="008A0130">
        <w:rPr>
          <w:rFonts w:ascii="Book Antiqua" w:eastAsia="宋体" w:hAnsi="Book Antiqua" w:cs="宋体"/>
          <w:color w:val="000000"/>
          <w:lang w:eastAsia="zh-CN"/>
        </w:rPr>
        <w:t xml:space="preserve">, Guo W, Chen Z, Kuang G, Yang Z, Dong Z. Hypermethylation and aberrant expression of Wnt-antagonist family genes in gastric cardia </w:t>
      </w:r>
      <w:r w:rsidRPr="008A0130">
        <w:rPr>
          <w:rFonts w:ascii="Book Antiqua" w:eastAsia="宋体" w:hAnsi="Book Antiqua" w:cs="宋体"/>
          <w:color w:val="000000"/>
          <w:lang w:eastAsia="zh-CN"/>
        </w:rPr>
        <w:lastRenderedPageBreak/>
        <w:t>adenocarcinoma. </w:t>
      </w:r>
      <w:r w:rsidRPr="008A0130">
        <w:rPr>
          <w:rFonts w:ascii="Book Antiqua" w:eastAsia="宋体" w:hAnsi="Book Antiqua" w:cs="宋体"/>
          <w:i/>
          <w:iCs/>
          <w:color w:val="000000"/>
          <w:lang w:eastAsia="zh-CN"/>
        </w:rPr>
        <w:t>Neoplasma</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58</w:t>
      </w:r>
      <w:r w:rsidRPr="008A0130">
        <w:rPr>
          <w:rFonts w:ascii="Book Antiqua" w:eastAsia="宋体" w:hAnsi="Book Antiqua" w:cs="宋体"/>
          <w:color w:val="000000"/>
          <w:lang w:eastAsia="zh-CN"/>
        </w:rPr>
        <w:t>: 110-117 [PMID: 21275459 DOI: 10.4149/neo_2011_02_110]</w:t>
      </w:r>
    </w:p>
    <w:p w14:paraId="1A9BA8B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145 </w:t>
      </w:r>
      <w:r w:rsidRPr="008A0130">
        <w:rPr>
          <w:rFonts w:ascii="Book Antiqua" w:eastAsia="宋体" w:hAnsi="Book Antiqua" w:cs="宋体"/>
          <w:b/>
          <w:bCs/>
          <w:color w:val="000000"/>
          <w:lang w:eastAsia="zh-CN"/>
        </w:rPr>
        <w:t>Wang ZK</w:t>
      </w:r>
      <w:r w:rsidRPr="008A0130">
        <w:rPr>
          <w:rFonts w:ascii="Book Antiqua" w:eastAsia="宋体" w:hAnsi="Book Antiqua" w:cs="宋体"/>
          <w:color w:val="000000"/>
          <w:lang w:eastAsia="zh-CN"/>
        </w:rPr>
        <w:t>, Liu J, Liu C, Wang FY, Chen CY, Zhang XH. Hypermethylation of adenomatous polyposis coli gene promoter is associated with novel Wnt signaling pathway in gastric adenomas. </w:t>
      </w:r>
      <w:r w:rsidRPr="008A0130">
        <w:rPr>
          <w:rFonts w:ascii="Book Antiqua" w:eastAsia="宋体" w:hAnsi="Book Antiqua" w:cs="宋体"/>
          <w:i/>
          <w:iCs/>
          <w:color w:val="000000"/>
          <w:lang w:eastAsia="zh-CN"/>
        </w:rPr>
        <w:t>J Gastroenterol Hepatol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27</w:t>
      </w:r>
      <w:r w:rsidRPr="008A0130">
        <w:rPr>
          <w:rFonts w:ascii="Book Antiqua" w:eastAsia="宋体" w:hAnsi="Book Antiqua" w:cs="宋体"/>
          <w:color w:val="000000"/>
          <w:lang w:eastAsia="zh-CN"/>
        </w:rPr>
        <w:t>: 1629-1634 [PMID: 22741528 DOI: 10.1111/j.1440-1746.2012.07219.x]</w:t>
      </w:r>
    </w:p>
    <w:p w14:paraId="60A52C0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146 </w:t>
      </w:r>
      <w:r w:rsidRPr="008A0130">
        <w:rPr>
          <w:rFonts w:ascii="Book Antiqua" w:eastAsia="宋体" w:hAnsi="Book Antiqua" w:cs="宋体"/>
          <w:b/>
          <w:bCs/>
          <w:color w:val="000000"/>
          <w:lang w:eastAsia="zh-CN"/>
        </w:rPr>
        <w:t>Qu Y</w:t>
      </w:r>
      <w:r w:rsidRPr="008A0130">
        <w:rPr>
          <w:rFonts w:ascii="Book Antiqua" w:eastAsia="宋体" w:hAnsi="Book Antiqua" w:cs="宋体"/>
          <w:color w:val="000000"/>
          <w:lang w:eastAsia="zh-CN"/>
        </w:rPr>
        <w:t>, Dang S, Hou P. Gene methylation in gastric cancer. </w:t>
      </w:r>
      <w:r w:rsidRPr="008A0130">
        <w:rPr>
          <w:rFonts w:ascii="Book Antiqua" w:eastAsia="宋体" w:hAnsi="Book Antiqua" w:cs="宋体"/>
          <w:i/>
          <w:iCs/>
          <w:color w:val="000000"/>
          <w:lang w:eastAsia="zh-CN"/>
        </w:rPr>
        <w:t>Clin Chim Acta</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424</w:t>
      </w:r>
      <w:r w:rsidRPr="008A0130">
        <w:rPr>
          <w:rFonts w:ascii="Book Antiqua" w:eastAsia="宋体" w:hAnsi="Book Antiqua" w:cs="宋体"/>
          <w:color w:val="000000"/>
          <w:lang w:eastAsia="zh-CN"/>
        </w:rPr>
        <w:t>: 53-65 [PMID: 23669186 DOI: 10.1016/j.cca.2013.05.002]</w:t>
      </w:r>
    </w:p>
    <w:p w14:paraId="3B9712C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147 </w:t>
      </w:r>
      <w:r w:rsidRPr="008A0130">
        <w:rPr>
          <w:rFonts w:ascii="Book Antiqua" w:eastAsia="宋体" w:hAnsi="Book Antiqua" w:cs="宋体"/>
          <w:b/>
          <w:bCs/>
          <w:color w:val="000000"/>
          <w:lang w:eastAsia="zh-CN"/>
        </w:rPr>
        <w:t>Ito K</w:t>
      </w:r>
      <w:r w:rsidRPr="008A0130">
        <w:rPr>
          <w:rFonts w:ascii="Book Antiqua" w:eastAsia="宋体" w:hAnsi="Book Antiqua" w:cs="宋体"/>
          <w:color w:val="000000"/>
          <w:lang w:eastAsia="zh-CN"/>
        </w:rPr>
        <w:t>, Liu Q, Salto-Tellez M, Yano T, Tada K, Ida H, Huang C, Shah N, Inoue M, Rajnakova A, Hiong KC, Peh BK, Han HC, Ito T, Teh M, Yeoh KG, Ito Y. RUNX3, a novel tumor suppressor, is frequently inactivated in gastric cancer by protein mislocalization.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2005; </w:t>
      </w:r>
      <w:r w:rsidRPr="008A0130">
        <w:rPr>
          <w:rFonts w:ascii="Book Antiqua" w:eastAsia="宋体" w:hAnsi="Book Antiqua" w:cs="宋体"/>
          <w:b/>
          <w:bCs/>
          <w:color w:val="000000"/>
          <w:lang w:eastAsia="zh-CN"/>
        </w:rPr>
        <w:t>65</w:t>
      </w:r>
      <w:r w:rsidRPr="008A0130">
        <w:rPr>
          <w:rFonts w:ascii="Book Antiqua" w:eastAsia="宋体" w:hAnsi="Book Antiqua" w:cs="宋体"/>
          <w:color w:val="000000"/>
          <w:lang w:eastAsia="zh-CN"/>
        </w:rPr>
        <w:t>: 7743-7750 [PMID: 16140942]</w:t>
      </w:r>
    </w:p>
    <w:p w14:paraId="2DB887B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148 </w:t>
      </w:r>
      <w:r w:rsidRPr="008A0130">
        <w:rPr>
          <w:rFonts w:ascii="Book Antiqua" w:eastAsia="宋体" w:hAnsi="Book Antiqua" w:cs="宋体"/>
          <w:b/>
          <w:bCs/>
          <w:color w:val="000000"/>
          <w:lang w:eastAsia="zh-CN"/>
        </w:rPr>
        <w:t>Yu J</w:t>
      </w:r>
      <w:r w:rsidRPr="008A0130">
        <w:rPr>
          <w:rFonts w:ascii="Book Antiqua" w:eastAsia="宋体" w:hAnsi="Book Antiqua" w:cs="宋体"/>
          <w:color w:val="000000"/>
          <w:lang w:eastAsia="zh-CN"/>
        </w:rPr>
        <w:t>, Tao Q, Cheng YY, Lee KY, Ng SS, Cheung KF, Tian L, Rha SY, Neumann U, Röcken C, Ebert MP, Chan FK, Sung JJ. Promoter methylation of the Wnt/beta-catenin signaling antagonist Dkk-3 is associated with poor survival in gastric cancer. </w:t>
      </w:r>
      <w:r w:rsidRPr="008A0130">
        <w:rPr>
          <w:rFonts w:ascii="Book Antiqua" w:eastAsia="宋体" w:hAnsi="Book Antiqua" w:cs="宋体"/>
          <w:i/>
          <w:iCs/>
          <w:color w:val="000000"/>
          <w:lang w:eastAsia="zh-CN"/>
        </w:rPr>
        <w:t>Cancer</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115</w:t>
      </w:r>
      <w:r w:rsidRPr="008A0130">
        <w:rPr>
          <w:rFonts w:ascii="Book Antiqua" w:eastAsia="宋体" w:hAnsi="Book Antiqua" w:cs="宋体"/>
          <w:color w:val="000000"/>
          <w:lang w:eastAsia="zh-CN"/>
        </w:rPr>
        <w:t>: 49-60 [PMID: 19051296 DOI: 10.1002/cncr.23989]</w:t>
      </w:r>
    </w:p>
    <w:p w14:paraId="1B3BDB31" w14:textId="25A36CD8" w:rsidR="00950BD5" w:rsidRPr="008A0130" w:rsidRDefault="001B2241"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 xml:space="preserve">149 </w:t>
      </w:r>
      <w:r w:rsidR="00950BD5" w:rsidRPr="008A0130">
        <w:rPr>
          <w:rFonts w:ascii="Book Antiqua" w:eastAsia="宋体" w:hAnsi="Book Antiqua" w:cs="宋体"/>
          <w:b/>
          <w:color w:val="000000"/>
          <w:lang w:eastAsia="zh-CN"/>
        </w:rPr>
        <w:t xml:space="preserve">Yoda Y, </w:t>
      </w:r>
      <w:r w:rsidR="00950BD5" w:rsidRPr="008A0130">
        <w:rPr>
          <w:rFonts w:ascii="Book Antiqua" w:eastAsia="宋体" w:hAnsi="Book Antiqua" w:cs="宋体"/>
          <w:color w:val="000000"/>
          <w:lang w:eastAsia="zh-CN"/>
        </w:rPr>
        <w:t xml:space="preserve">Takeshima H, Niwa T, Kim JG, Ando T, Kushima R, Sugiyama T, Katai H, Noshiro H, Ushijima T. Integrated analysis of cancer-related pathways affected by genetic and epigenetic alterations in gastric cancer. </w:t>
      </w:r>
      <w:r w:rsidR="00950BD5" w:rsidRPr="008A0130">
        <w:rPr>
          <w:rFonts w:ascii="Book Antiqua" w:eastAsia="宋体" w:hAnsi="Book Antiqua" w:cs="宋体"/>
          <w:i/>
          <w:color w:val="000000"/>
          <w:lang w:eastAsia="zh-CN"/>
        </w:rPr>
        <w:t xml:space="preserve">Gastric Cancer </w:t>
      </w:r>
      <w:r w:rsidRPr="008A0130">
        <w:rPr>
          <w:rFonts w:ascii="Book Antiqua" w:eastAsia="宋体" w:hAnsi="Book Antiqua" w:cs="宋体"/>
          <w:color w:val="000000"/>
          <w:lang w:eastAsia="zh-CN"/>
        </w:rPr>
        <w:t>2014</w:t>
      </w:r>
      <w:r w:rsidR="00950BD5" w:rsidRPr="008A0130">
        <w:rPr>
          <w:rFonts w:ascii="Book Antiqua" w:eastAsia="宋体" w:hAnsi="Book Antiqua" w:cs="宋体"/>
          <w:color w:val="000000"/>
          <w:lang w:eastAsia="zh-CN"/>
        </w:rPr>
        <w:t xml:space="preserve"> [Epub ahead of print] </w:t>
      </w:r>
      <w:r w:rsidRPr="008A0130">
        <w:rPr>
          <w:rFonts w:ascii="Book Antiqua" w:eastAsia="宋体" w:hAnsi="Book Antiqua" w:cs="宋体" w:hint="eastAsia"/>
          <w:color w:val="000000"/>
          <w:lang w:eastAsia="zh-CN"/>
        </w:rPr>
        <w:t>[</w:t>
      </w:r>
      <w:r w:rsidR="00950BD5" w:rsidRPr="008A0130">
        <w:rPr>
          <w:rFonts w:ascii="Book Antiqua" w:eastAsia="宋体" w:hAnsi="Book Antiqua" w:cs="宋体"/>
          <w:color w:val="000000"/>
          <w:lang w:eastAsia="zh-CN"/>
        </w:rPr>
        <w:t>DOI</w:t>
      </w:r>
      <w:r w:rsidRPr="008A0130">
        <w:rPr>
          <w:rFonts w:ascii="Book Antiqua" w:eastAsia="宋体" w:hAnsi="Book Antiqua" w:cs="宋体" w:hint="eastAsia"/>
          <w:color w:val="000000"/>
          <w:lang w:eastAsia="zh-CN"/>
        </w:rPr>
        <w:t>:</w:t>
      </w:r>
      <w:r w:rsidR="00950BD5" w:rsidRPr="008A0130">
        <w:rPr>
          <w:rFonts w:ascii="Book Antiqua" w:eastAsia="宋体" w:hAnsi="Book Antiqua" w:cs="宋体"/>
          <w:color w:val="000000"/>
          <w:lang w:eastAsia="zh-CN"/>
        </w:rPr>
        <w:t xml:space="preserve"> 10.1007/s10120-014-0348-0</w:t>
      </w:r>
      <w:r w:rsidRPr="008A0130">
        <w:rPr>
          <w:rFonts w:ascii="Book Antiqua" w:eastAsia="宋体" w:hAnsi="Book Antiqua" w:cs="宋体" w:hint="eastAsia"/>
          <w:color w:val="000000"/>
          <w:lang w:eastAsia="zh-CN"/>
        </w:rPr>
        <w:t>]</w:t>
      </w:r>
    </w:p>
    <w:p w14:paraId="62549A8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150 </w:t>
      </w:r>
      <w:r w:rsidRPr="008A0130">
        <w:rPr>
          <w:rFonts w:ascii="Book Antiqua" w:eastAsia="宋体" w:hAnsi="Book Antiqua" w:cs="宋体"/>
          <w:b/>
          <w:bCs/>
          <w:color w:val="000000"/>
          <w:lang w:eastAsia="zh-CN"/>
        </w:rPr>
        <w:t>Kim JG</w:t>
      </w:r>
      <w:r w:rsidRPr="008A0130">
        <w:rPr>
          <w:rFonts w:ascii="Book Antiqua" w:eastAsia="宋体" w:hAnsi="Book Antiqua" w:cs="宋体"/>
          <w:color w:val="000000"/>
          <w:lang w:eastAsia="zh-CN"/>
        </w:rPr>
        <w:t>, Takeshima H, Niwa T, Rehnberg E, Shigematsu Y, Yoda Y, Yamashita S, Kushima R, Maekita T, Ichinose M, Katai H, Park WS, Hong YS, Park CH, Ushijima T. Comprehensive DNA methylation and extensive mutation analyses reveal an association between the CpG island methylator phenotype and oncogenic mutations in gastric cancers. </w:t>
      </w:r>
      <w:r w:rsidRPr="008A0130">
        <w:rPr>
          <w:rFonts w:ascii="Book Antiqua" w:eastAsia="宋体" w:hAnsi="Book Antiqua" w:cs="宋体"/>
          <w:i/>
          <w:iCs/>
          <w:color w:val="000000"/>
          <w:lang w:eastAsia="zh-CN"/>
        </w:rPr>
        <w:t>Cancer Lett</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330</w:t>
      </w:r>
      <w:r w:rsidRPr="008A0130">
        <w:rPr>
          <w:rFonts w:ascii="Book Antiqua" w:eastAsia="宋体" w:hAnsi="Book Antiqua" w:cs="宋体"/>
          <w:color w:val="000000"/>
          <w:lang w:eastAsia="zh-CN"/>
        </w:rPr>
        <w:t>: 33-40 [PMID: 23196062 DOI: 10.1016/j.canlet.2012.11.022]</w:t>
      </w:r>
    </w:p>
    <w:p w14:paraId="62B8071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151 </w:t>
      </w:r>
      <w:r w:rsidRPr="008A0130">
        <w:rPr>
          <w:rFonts w:ascii="Book Antiqua" w:eastAsia="宋体" w:hAnsi="Book Antiqua" w:cs="宋体"/>
          <w:b/>
          <w:bCs/>
          <w:color w:val="000000"/>
          <w:lang w:eastAsia="zh-CN"/>
        </w:rPr>
        <w:t>Kormish JD</w:t>
      </w:r>
      <w:r w:rsidRPr="008A0130">
        <w:rPr>
          <w:rFonts w:ascii="Book Antiqua" w:eastAsia="宋体" w:hAnsi="Book Antiqua" w:cs="宋体"/>
          <w:color w:val="000000"/>
          <w:lang w:eastAsia="zh-CN"/>
        </w:rPr>
        <w:t>, Sinner D, Zorn AM. Interactions between SOX factors and Wnt/beta-catenin signaling in development and disease. </w:t>
      </w:r>
      <w:r w:rsidRPr="008A0130">
        <w:rPr>
          <w:rFonts w:ascii="Book Antiqua" w:eastAsia="宋体" w:hAnsi="Book Antiqua" w:cs="宋体"/>
          <w:i/>
          <w:iCs/>
          <w:color w:val="000000"/>
          <w:lang w:eastAsia="zh-CN"/>
        </w:rPr>
        <w:t>Dev Dyn</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239</w:t>
      </w:r>
      <w:r w:rsidRPr="008A0130">
        <w:rPr>
          <w:rFonts w:ascii="Book Antiqua" w:eastAsia="宋体" w:hAnsi="Book Antiqua" w:cs="宋体"/>
          <w:color w:val="000000"/>
          <w:lang w:eastAsia="zh-CN"/>
        </w:rPr>
        <w:t>: 56-68 [PMID: 19655378 DOI: 10.1002/dvdy.22046]</w:t>
      </w:r>
    </w:p>
    <w:p w14:paraId="48F4574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152 </w:t>
      </w:r>
      <w:r w:rsidRPr="008A0130">
        <w:rPr>
          <w:rFonts w:ascii="Book Antiqua" w:eastAsia="宋体" w:hAnsi="Book Antiqua" w:cs="宋体"/>
          <w:b/>
          <w:bCs/>
          <w:color w:val="000000"/>
          <w:lang w:eastAsia="zh-CN"/>
        </w:rPr>
        <w:t>Duan Z</w:t>
      </w:r>
      <w:r w:rsidRPr="008A0130">
        <w:rPr>
          <w:rFonts w:ascii="Book Antiqua" w:eastAsia="宋体" w:hAnsi="Book Antiqua" w:cs="宋体"/>
          <w:color w:val="000000"/>
          <w:lang w:eastAsia="zh-CN"/>
        </w:rPr>
        <w:t>, Person RE, Lee HH, Huang S, Donadieu J, Badolato R, Grimes HL, Papayannopoulou T, Horwitz MS. Epigenetic regulation of protein-coding and microRNA genes by the Gfi1-interacting tumor suppressor PRDM5. </w:t>
      </w:r>
      <w:r w:rsidRPr="008A0130">
        <w:rPr>
          <w:rFonts w:ascii="Book Antiqua" w:eastAsia="宋体" w:hAnsi="Book Antiqua" w:cs="宋体"/>
          <w:i/>
          <w:iCs/>
          <w:color w:val="000000"/>
          <w:lang w:eastAsia="zh-CN"/>
        </w:rPr>
        <w:t>Mol Cell Biol</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27</w:t>
      </w:r>
      <w:r w:rsidRPr="008A0130">
        <w:rPr>
          <w:rFonts w:ascii="Book Antiqua" w:eastAsia="宋体" w:hAnsi="Book Antiqua" w:cs="宋体"/>
          <w:color w:val="000000"/>
          <w:lang w:eastAsia="zh-CN"/>
        </w:rPr>
        <w:t>: 6889-6902 [PMID: 17636019 DOI: 10.1128/MCB.00762-07]</w:t>
      </w:r>
    </w:p>
    <w:p w14:paraId="60C5A79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153 </w:t>
      </w:r>
      <w:r w:rsidRPr="008A0130">
        <w:rPr>
          <w:rFonts w:ascii="Book Antiqua" w:eastAsia="宋体" w:hAnsi="Book Antiqua" w:cs="宋体"/>
          <w:b/>
          <w:bCs/>
          <w:color w:val="000000"/>
          <w:lang w:eastAsia="zh-CN"/>
        </w:rPr>
        <w:t>Shu XS</w:t>
      </w:r>
      <w:r w:rsidRPr="008A0130">
        <w:rPr>
          <w:rFonts w:ascii="Book Antiqua" w:eastAsia="宋体" w:hAnsi="Book Antiqua" w:cs="宋体"/>
          <w:color w:val="000000"/>
          <w:lang w:eastAsia="zh-CN"/>
        </w:rPr>
        <w:t>, Geng H, Li L, Ying J, Ma C, Wang Y, Poon FF, Wang X, Ying Y, Yeo W, Srivastava G, Tsao SW, Yu J, Sung JJ, Huang S, Chan AT, Tao Q. The epigenetic modifier PRDM5 functions as a tumor suppressor through modulating WNT/β-catenin signaling and is frequently silenced in multiple tumors.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6</w:t>
      </w:r>
      <w:r w:rsidRPr="008A0130">
        <w:rPr>
          <w:rFonts w:ascii="Book Antiqua" w:eastAsia="宋体" w:hAnsi="Book Antiqua" w:cs="宋体"/>
          <w:color w:val="000000"/>
          <w:lang w:eastAsia="zh-CN"/>
        </w:rPr>
        <w:t>: e27346 [PMID: 22087297 DOI: 10.1371/journal.pone.0027346]</w:t>
      </w:r>
    </w:p>
    <w:p w14:paraId="19BB59C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154 </w:t>
      </w:r>
      <w:r w:rsidRPr="008A0130">
        <w:rPr>
          <w:rFonts w:ascii="Book Antiqua" w:eastAsia="宋体" w:hAnsi="Book Antiqua" w:cs="宋体"/>
          <w:b/>
          <w:bCs/>
          <w:color w:val="000000"/>
          <w:lang w:eastAsia="zh-CN"/>
        </w:rPr>
        <w:t>Wei Z</w:t>
      </w:r>
      <w:r w:rsidRPr="008A0130">
        <w:rPr>
          <w:rFonts w:ascii="Book Antiqua" w:eastAsia="宋体" w:hAnsi="Book Antiqua" w:cs="宋体"/>
          <w:color w:val="000000"/>
          <w:lang w:eastAsia="zh-CN"/>
        </w:rPr>
        <w:t>, Chen X, Chen J, Wang W, Xu X, Cai Q. RASSF10 is epigenetically silenced and functions as a tumor suppressor in gastric cancer. </w:t>
      </w:r>
      <w:r w:rsidRPr="008A0130">
        <w:rPr>
          <w:rFonts w:ascii="Book Antiqua" w:eastAsia="宋体" w:hAnsi="Book Antiqua" w:cs="宋体"/>
          <w:i/>
          <w:iCs/>
          <w:color w:val="000000"/>
          <w:lang w:eastAsia="zh-CN"/>
        </w:rPr>
        <w:t>Biochem Biophys Res Commun</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432</w:t>
      </w:r>
      <w:r w:rsidRPr="008A0130">
        <w:rPr>
          <w:rFonts w:ascii="Book Antiqua" w:eastAsia="宋体" w:hAnsi="Book Antiqua" w:cs="宋体"/>
          <w:color w:val="000000"/>
          <w:lang w:eastAsia="zh-CN"/>
        </w:rPr>
        <w:t>: 632-637 [PMID: 23428420 DOI: 10.1016/j.bbrc.2013.02.033]</w:t>
      </w:r>
    </w:p>
    <w:p w14:paraId="436FB57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155 </w:t>
      </w:r>
      <w:r w:rsidRPr="008A0130">
        <w:rPr>
          <w:rFonts w:ascii="Book Antiqua" w:eastAsia="宋体" w:hAnsi="Book Antiqua" w:cs="宋体"/>
          <w:b/>
          <w:bCs/>
          <w:color w:val="000000"/>
          <w:lang w:eastAsia="zh-CN"/>
        </w:rPr>
        <w:t>Gartel AL</w:t>
      </w:r>
      <w:r w:rsidRPr="008A0130">
        <w:rPr>
          <w:rFonts w:ascii="Book Antiqua" w:eastAsia="宋体" w:hAnsi="Book Antiqua" w:cs="宋体"/>
          <w:color w:val="000000"/>
          <w:lang w:eastAsia="zh-CN"/>
        </w:rPr>
        <w:t>, Kandel ES. miRNAs: Little known mediators of oncogenesis. </w:t>
      </w:r>
      <w:r w:rsidRPr="008A0130">
        <w:rPr>
          <w:rFonts w:ascii="Book Antiqua" w:eastAsia="宋体" w:hAnsi="Book Antiqua" w:cs="宋体"/>
          <w:i/>
          <w:iCs/>
          <w:color w:val="000000"/>
          <w:lang w:eastAsia="zh-CN"/>
        </w:rPr>
        <w:t>Semin Cancer Biol</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18</w:t>
      </w:r>
      <w:r w:rsidRPr="008A0130">
        <w:rPr>
          <w:rFonts w:ascii="Book Antiqua" w:eastAsia="宋体" w:hAnsi="Book Antiqua" w:cs="宋体"/>
          <w:color w:val="000000"/>
          <w:lang w:eastAsia="zh-CN"/>
        </w:rPr>
        <w:t>: 103-110 [PMID: 18295504 DOI: 10.1016/j.semcancer.2008.01.008]</w:t>
      </w:r>
    </w:p>
    <w:p w14:paraId="2F9109A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156 </w:t>
      </w:r>
      <w:r w:rsidRPr="008A0130">
        <w:rPr>
          <w:rFonts w:ascii="Book Antiqua" w:eastAsia="宋体" w:hAnsi="Book Antiqua" w:cs="宋体"/>
          <w:b/>
          <w:bCs/>
          <w:color w:val="000000"/>
          <w:lang w:eastAsia="zh-CN"/>
        </w:rPr>
        <w:t>Shenoy A</w:t>
      </w:r>
      <w:r w:rsidRPr="008A0130">
        <w:rPr>
          <w:rFonts w:ascii="Book Antiqua" w:eastAsia="宋体" w:hAnsi="Book Antiqua" w:cs="宋体"/>
          <w:color w:val="000000"/>
          <w:lang w:eastAsia="zh-CN"/>
        </w:rPr>
        <w:t>, Blelloch RH. Regulation of microRNA function in somatic stem cell proliferation and differentiation. </w:t>
      </w:r>
      <w:r w:rsidRPr="008A0130">
        <w:rPr>
          <w:rFonts w:ascii="Book Antiqua" w:eastAsia="宋体" w:hAnsi="Book Antiqua" w:cs="宋体"/>
          <w:i/>
          <w:iCs/>
          <w:color w:val="000000"/>
          <w:lang w:eastAsia="zh-CN"/>
        </w:rPr>
        <w:t>Nat Rev Mol Cell Biol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15</w:t>
      </w:r>
      <w:r w:rsidRPr="008A0130">
        <w:rPr>
          <w:rFonts w:ascii="Book Antiqua" w:eastAsia="宋体" w:hAnsi="Book Antiqua" w:cs="宋体"/>
          <w:color w:val="000000"/>
          <w:lang w:eastAsia="zh-CN"/>
        </w:rPr>
        <w:t>: 565-576 [PMID: 25118717 DOI: 10.1038/nrm3854]</w:t>
      </w:r>
    </w:p>
    <w:p w14:paraId="6A2BC4F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157 </w:t>
      </w:r>
      <w:r w:rsidRPr="008A0130">
        <w:rPr>
          <w:rFonts w:ascii="Book Antiqua" w:eastAsia="宋体" w:hAnsi="Book Antiqua" w:cs="宋体"/>
          <w:b/>
          <w:bCs/>
          <w:color w:val="000000"/>
          <w:lang w:eastAsia="zh-CN"/>
        </w:rPr>
        <w:t>Adams BD</w:t>
      </w:r>
      <w:r w:rsidRPr="008A0130">
        <w:rPr>
          <w:rFonts w:ascii="Book Antiqua" w:eastAsia="宋体" w:hAnsi="Book Antiqua" w:cs="宋体"/>
          <w:color w:val="000000"/>
          <w:lang w:eastAsia="zh-CN"/>
        </w:rPr>
        <w:t>, Kasinski AL, Slack FJ. Aberrant regulation and function of microRNAs in cancer. </w:t>
      </w:r>
      <w:r w:rsidRPr="008A0130">
        <w:rPr>
          <w:rFonts w:ascii="Book Antiqua" w:eastAsia="宋体" w:hAnsi="Book Antiqua" w:cs="宋体"/>
          <w:i/>
          <w:iCs/>
          <w:color w:val="000000"/>
          <w:lang w:eastAsia="zh-CN"/>
        </w:rPr>
        <w:t>Curr Biol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24</w:t>
      </w:r>
      <w:r w:rsidRPr="008A0130">
        <w:rPr>
          <w:rFonts w:ascii="Book Antiqua" w:eastAsia="宋体" w:hAnsi="Book Antiqua" w:cs="宋体"/>
          <w:color w:val="000000"/>
          <w:lang w:eastAsia="zh-CN"/>
        </w:rPr>
        <w:t>: R762-R776 [PMID: 25137592 DOI: 10.1016/j.cub.2014.06.043]</w:t>
      </w:r>
    </w:p>
    <w:p w14:paraId="2C31647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158 </w:t>
      </w:r>
      <w:r w:rsidRPr="008A0130">
        <w:rPr>
          <w:rFonts w:ascii="Book Antiqua" w:eastAsia="宋体" w:hAnsi="Book Antiqua" w:cs="宋体"/>
          <w:b/>
          <w:bCs/>
          <w:color w:val="000000"/>
          <w:lang w:eastAsia="zh-CN"/>
        </w:rPr>
        <w:t>Ribeiro-dos-Santos Â</w:t>
      </w:r>
      <w:r w:rsidRPr="008A0130">
        <w:rPr>
          <w:rFonts w:ascii="Book Antiqua" w:eastAsia="宋体" w:hAnsi="Book Antiqua" w:cs="宋体"/>
          <w:color w:val="000000"/>
          <w:lang w:eastAsia="zh-CN"/>
        </w:rPr>
        <w:t>, Khayat AS, Silva A, Alencar DO, Lobato J, Luz L, Pinheiro DG, Varuzza L, Assumpção M, Assumpção P, Santos S, Zanette DL, Silva WA, Burbano R, Darnet S. Ultra-deep sequencing reveals the microRNA expression pattern of the human stomach.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e13205 [PMID: 20949028 DOI: 10.1371/journal.pone.0013205]</w:t>
      </w:r>
    </w:p>
    <w:p w14:paraId="7DE836C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159 </w:t>
      </w:r>
      <w:r w:rsidRPr="008A0130">
        <w:rPr>
          <w:rFonts w:ascii="Book Antiqua" w:eastAsia="宋体" w:hAnsi="Book Antiqua" w:cs="宋体"/>
          <w:b/>
          <w:bCs/>
          <w:color w:val="000000"/>
          <w:lang w:eastAsia="zh-CN"/>
        </w:rPr>
        <w:t>Wang JL</w:t>
      </w:r>
      <w:r w:rsidRPr="008A0130">
        <w:rPr>
          <w:rFonts w:ascii="Book Antiqua" w:eastAsia="宋体" w:hAnsi="Book Antiqua" w:cs="宋体"/>
          <w:color w:val="000000"/>
          <w:lang w:eastAsia="zh-CN"/>
        </w:rPr>
        <w:t xml:space="preserve">, Hu Y, Kong X, Wang ZH, Chen HY, Xu J, Fang JY. Candidate microRNA biomarkers in human gastric cancer: a systematic review and </w:t>
      </w:r>
      <w:r w:rsidRPr="008A0130">
        <w:rPr>
          <w:rFonts w:ascii="Book Antiqua" w:eastAsia="宋体" w:hAnsi="Book Antiqua" w:cs="宋体"/>
          <w:color w:val="000000"/>
          <w:lang w:eastAsia="zh-CN"/>
        </w:rPr>
        <w:lastRenderedPageBreak/>
        <w:t>validation study.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8</w:t>
      </w:r>
      <w:r w:rsidRPr="008A0130">
        <w:rPr>
          <w:rFonts w:ascii="Book Antiqua" w:eastAsia="宋体" w:hAnsi="Book Antiqua" w:cs="宋体"/>
          <w:color w:val="000000"/>
          <w:lang w:eastAsia="zh-CN"/>
        </w:rPr>
        <w:t>: e73683 [PMID: 24040025 DOI: 10.1371/journal.pone.0073683]</w:t>
      </w:r>
    </w:p>
    <w:p w14:paraId="508A01FA" w14:textId="3667C93B"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160 </w:t>
      </w:r>
      <w:r w:rsidRPr="008A0130">
        <w:rPr>
          <w:rFonts w:ascii="Book Antiqua" w:eastAsia="宋体" w:hAnsi="Book Antiqua" w:cs="宋体"/>
          <w:b/>
          <w:bCs/>
          <w:color w:val="000000"/>
          <w:lang w:eastAsia="zh-CN"/>
        </w:rPr>
        <w:t>Shrestha S</w:t>
      </w:r>
      <w:r w:rsidRPr="008A0130">
        <w:rPr>
          <w:rFonts w:ascii="Book Antiqua" w:eastAsia="宋体" w:hAnsi="Book Antiqua" w:cs="宋体"/>
          <w:color w:val="000000"/>
          <w:lang w:eastAsia="zh-CN"/>
        </w:rPr>
        <w:t>, Hsu SD, Huang WY, Huang HY, Chen W, Weng SL, Huang HD. A systematic review of microRNA expression profiling studies in human gastric cancer. </w:t>
      </w:r>
      <w:r w:rsidRPr="008A0130">
        <w:rPr>
          <w:rFonts w:ascii="Book Antiqua" w:eastAsia="宋体" w:hAnsi="Book Antiqua" w:cs="宋体"/>
          <w:i/>
          <w:iCs/>
          <w:color w:val="000000"/>
          <w:lang w:eastAsia="zh-CN"/>
        </w:rPr>
        <w:t>Cancer Med</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3</w:t>
      </w:r>
      <w:r w:rsidRPr="008A0130">
        <w:rPr>
          <w:rFonts w:ascii="Book Antiqua" w:eastAsia="宋体" w:hAnsi="Book Antiqua" w:cs="宋体"/>
          <w:color w:val="000000"/>
          <w:lang w:eastAsia="zh-CN"/>
        </w:rPr>
        <w:t>: 878-888 [PMID: 24902858 DOI: 10.1002/cam4.246</w:t>
      </w:r>
      <w:r w:rsidR="008A0130">
        <w:rPr>
          <w:rFonts w:ascii="Book Antiqua" w:eastAsia="宋体" w:hAnsi="Book Antiqua" w:cs="宋体" w:hint="eastAsia"/>
          <w:color w:val="000000"/>
          <w:lang w:eastAsia="zh-CN"/>
        </w:rPr>
        <w:t>]</w:t>
      </w:r>
    </w:p>
    <w:p w14:paraId="597AA89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161 </w:t>
      </w:r>
      <w:r w:rsidRPr="008A0130">
        <w:rPr>
          <w:rFonts w:ascii="Book Antiqua" w:eastAsia="宋体" w:hAnsi="Book Antiqua" w:cs="宋体"/>
          <w:b/>
          <w:bCs/>
          <w:color w:val="000000"/>
          <w:lang w:eastAsia="zh-CN"/>
        </w:rPr>
        <w:t>Wu Q</w:t>
      </w:r>
      <w:r w:rsidRPr="008A0130">
        <w:rPr>
          <w:rFonts w:ascii="Book Antiqua" w:eastAsia="宋体" w:hAnsi="Book Antiqua" w:cs="宋体"/>
          <w:color w:val="000000"/>
          <w:lang w:eastAsia="zh-CN"/>
        </w:rPr>
        <w:t>, Yang Z, Wang F, Hu S, Yang L, Shi Y, Fan D. MiR-19b/20a/92a regulates the self-renewal and proliferation of gastric cancer stem cells. </w:t>
      </w:r>
      <w:r w:rsidRPr="008A0130">
        <w:rPr>
          <w:rFonts w:ascii="Book Antiqua" w:eastAsia="宋体" w:hAnsi="Book Antiqua" w:cs="宋体"/>
          <w:i/>
          <w:iCs/>
          <w:color w:val="000000"/>
          <w:lang w:eastAsia="zh-CN"/>
        </w:rPr>
        <w:t>J Cell Sci</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126</w:t>
      </w:r>
      <w:r w:rsidRPr="008A0130">
        <w:rPr>
          <w:rFonts w:ascii="Book Antiqua" w:eastAsia="宋体" w:hAnsi="Book Antiqua" w:cs="宋体"/>
          <w:color w:val="000000"/>
          <w:lang w:eastAsia="zh-CN"/>
        </w:rPr>
        <w:t>: 4220-4229 [PMID: 23868977 DOI: 10.1242/jcs.127944]</w:t>
      </w:r>
    </w:p>
    <w:p w14:paraId="51A186D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162 </w:t>
      </w:r>
      <w:r w:rsidRPr="008A0130">
        <w:rPr>
          <w:rFonts w:ascii="Book Antiqua" w:eastAsia="宋体" w:hAnsi="Book Antiqua" w:cs="宋体"/>
          <w:b/>
          <w:bCs/>
          <w:color w:val="000000"/>
          <w:lang w:eastAsia="zh-CN"/>
        </w:rPr>
        <w:t>Zhang X</w:t>
      </w:r>
      <w:r w:rsidRPr="008A0130">
        <w:rPr>
          <w:rFonts w:ascii="Book Antiqua" w:eastAsia="宋体" w:hAnsi="Book Antiqua" w:cs="宋体"/>
          <w:color w:val="000000"/>
          <w:lang w:eastAsia="zh-CN"/>
        </w:rPr>
        <w:t>, Yan Z, Zhang J, Gong L, Li W, Cui J, Liu Y, Gao Z, Li J, Shen L, Lu Y. Combination of hsa-miR-375 and hsa-miR-142-5p as a predictor for recurrence risk in gastric cancer patients following surgical resection. </w:t>
      </w:r>
      <w:r w:rsidRPr="008A0130">
        <w:rPr>
          <w:rFonts w:ascii="Book Antiqua" w:eastAsia="宋体" w:hAnsi="Book Antiqua" w:cs="宋体"/>
          <w:i/>
          <w:iCs/>
          <w:color w:val="000000"/>
          <w:lang w:eastAsia="zh-CN"/>
        </w:rPr>
        <w:t>Ann Oncol</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22</w:t>
      </w:r>
      <w:r w:rsidRPr="008A0130">
        <w:rPr>
          <w:rFonts w:ascii="Book Antiqua" w:eastAsia="宋体" w:hAnsi="Book Antiqua" w:cs="宋体"/>
          <w:color w:val="000000"/>
          <w:lang w:eastAsia="zh-CN"/>
        </w:rPr>
        <w:t>: 2257-2266 [PMID: 21343377 DOI: 10.1093/annonc/mdq758]</w:t>
      </w:r>
    </w:p>
    <w:p w14:paraId="3CBF8B0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163 </w:t>
      </w:r>
      <w:r w:rsidRPr="008A0130">
        <w:rPr>
          <w:rFonts w:ascii="Book Antiqua" w:eastAsia="宋体" w:hAnsi="Book Antiqua" w:cs="宋体"/>
          <w:b/>
          <w:bCs/>
          <w:color w:val="000000"/>
          <w:lang w:eastAsia="zh-CN"/>
        </w:rPr>
        <w:t>Zhou H</w:t>
      </w:r>
      <w:r w:rsidRPr="008A0130">
        <w:rPr>
          <w:rFonts w:ascii="Book Antiqua" w:eastAsia="宋体" w:hAnsi="Book Antiqua" w:cs="宋体"/>
          <w:color w:val="000000"/>
          <w:lang w:eastAsia="zh-CN"/>
        </w:rPr>
        <w:t>, Wang K, Hu Z, Wen J. TGF-β1 alters microRNA profile in human gastric cancer cells. </w:t>
      </w:r>
      <w:r w:rsidRPr="008A0130">
        <w:rPr>
          <w:rFonts w:ascii="Book Antiqua" w:eastAsia="宋体" w:hAnsi="Book Antiqua" w:cs="宋体"/>
          <w:i/>
          <w:iCs/>
          <w:color w:val="000000"/>
          <w:lang w:eastAsia="zh-CN"/>
        </w:rPr>
        <w:t>Chin J Cancer Res</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25</w:t>
      </w:r>
      <w:r w:rsidRPr="008A0130">
        <w:rPr>
          <w:rFonts w:ascii="Book Antiqua" w:eastAsia="宋体" w:hAnsi="Book Antiqua" w:cs="宋体"/>
          <w:color w:val="000000"/>
          <w:lang w:eastAsia="zh-CN"/>
        </w:rPr>
        <w:t>: 102-111 [PMID: 23372348 DOI: 10.3978/j.issn.1000-9604.2013.01.09]</w:t>
      </w:r>
    </w:p>
    <w:p w14:paraId="1B445A1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164 </w:t>
      </w:r>
      <w:r w:rsidRPr="008A0130">
        <w:rPr>
          <w:rFonts w:ascii="Book Antiqua" w:eastAsia="宋体" w:hAnsi="Book Antiqua" w:cs="宋体"/>
          <w:b/>
          <w:bCs/>
          <w:color w:val="000000"/>
          <w:lang w:eastAsia="zh-CN"/>
        </w:rPr>
        <w:t>Liu D</w:t>
      </w:r>
      <w:r w:rsidRPr="008A0130">
        <w:rPr>
          <w:rFonts w:ascii="Book Antiqua" w:eastAsia="宋体" w:hAnsi="Book Antiqua" w:cs="宋体"/>
          <w:color w:val="000000"/>
          <w:lang w:eastAsia="zh-CN"/>
        </w:rPr>
        <w:t>, Hu X, Zhou H, Shi G, Wu J. Identification of Aberrantly Expressed miRNAs in Gastric Cancer. </w:t>
      </w:r>
      <w:r w:rsidRPr="008A0130">
        <w:rPr>
          <w:rFonts w:ascii="Book Antiqua" w:eastAsia="宋体" w:hAnsi="Book Antiqua" w:cs="宋体"/>
          <w:i/>
          <w:iCs/>
          <w:color w:val="000000"/>
          <w:lang w:eastAsia="zh-CN"/>
        </w:rPr>
        <w:t>Gastroenterol Res Pract</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2014</w:t>
      </w:r>
      <w:r w:rsidRPr="008A0130">
        <w:rPr>
          <w:rFonts w:ascii="Book Antiqua" w:eastAsia="宋体" w:hAnsi="Book Antiqua" w:cs="宋体"/>
          <w:color w:val="000000"/>
          <w:lang w:eastAsia="zh-CN"/>
        </w:rPr>
        <w:t>: 473817 [PMID: 24982669 DOI: 10.1155/2014/473817]</w:t>
      </w:r>
    </w:p>
    <w:p w14:paraId="2841DF95" w14:textId="0BAE6D4A"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 xml:space="preserve">165 </w:t>
      </w:r>
      <w:r w:rsidR="001B2241" w:rsidRPr="008A0130">
        <w:rPr>
          <w:rFonts w:ascii="Book Antiqua" w:hAnsi="Book Antiqua" w:cs="Times New Roman"/>
          <w:b/>
          <w:lang w:val="es-ES_tradnl"/>
        </w:rPr>
        <w:t>Zheng G,</w:t>
      </w:r>
      <w:r w:rsidR="001B2241" w:rsidRPr="008A0130">
        <w:rPr>
          <w:rFonts w:ascii="Book Antiqua" w:hAnsi="Book Antiqua" w:cs="Times New Roman"/>
          <w:lang w:val="es-ES_tradnl"/>
        </w:rPr>
        <w:t> Xiong Y, Xu W, Wang Y, </w:t>
      </w:r>
      <w:hyperlink r:id="rId19" w:history="1">
        <w:r w:rsidR="001B2241" w:rsidRPr="008A0130">
          <w:rPr>
            <w:rFonts w:ascii="Book Antiqua" w:hAnsi="Book Antiqua" w:cs="Times New Roman"/>
            <w:lang w:val="es-ES_tradnl"/>
          </w:rPr>
          <w:t>Chen F</w:t>
        </w:r>
      </w:hyperlink>
      <w:r w:rsidR="001B2241" w:rsidRPr="008A0130">
        <w:rPr>
          <w:rFonts w:ascii="Book Antiqua" w:hAnsi="Book Antiqua" w:cs="Times New Roman"/>
          <w:lang w:val="es-ES_tradnl"/>
        </w:rPr>
        <w:t>, Wang Z, </w:t>
      </w:r>
      <w:hyperlink r:id="rId20" w:history="1">
        <w:r w:rsidR="001B2241" w:rsidRPr="008A0130">
          <w:rPr>
            <w:rFonts w:ascii="Book Antiqua" w:hAnsi="Book Antiqua" w:cs="Times New Roman"/>
            <w:lang w:val="es-ES_tradnl"/>
          </w:rPr>
          <w:t>Yan Z</w:t>
        </w:r>
      </w:hyperlink>
      <w:r w:rsidRPr="008A0130">
        <w:rPr>
          <w:rFonts w:ascii="Book Antiqua" w:eastAsia="宋体" w:hAnsi="Book Antiqua" w:cs="宋体"/>
          <w:color w:val="000000"/>
          <w:lang w:eastAsia="zh-CN"/>
        </w:rPr>
        <w:t>. A two-microRNA signature as a potential biomarker for early gastric cancer. </w:t>
      </w:r>
      <w:r w:rsidRPr="008A0130">
        <w:rPr>
          <w:rFonts w:ascii="Book Antiqua" w:eastAsia="宋体" w:hAnsi="Book Antiqua" w:cs="宋体"/>
          <w:i/>
          <w:iCs/>
          <w:color w:val="000000"/>
          <w:lang w:eastAsia="zh-CN"/>
        </w:rPr>
        <w:t>Oncol Lett</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7</w:t>
      </w:r>
      <w:r w:rsidRPr="008A0130">
        <w:rPr>
          <w:rFonts w:ascii="Book Antiqua" w:eastAsia="宋体" w:hAnsi="Book Antiqua" w:cs="宋体"/>
          <w:color w:val="000000"/>
          <w:lang w:eastAsia="zh-CN"/>
        </w:rPr>
        <w:t>: 679-684 [PMID: 24527072]</w:t>
      </w:r>
    </w:p>
    <w:p w14:paraId="022B10D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166 </w:t>
      </w:r>
      <w:r w:rsidRPr="008A0130">
        <w:rPr>
          <w:rFonts w:ascii="Book Antiqua" w:eastAsia="宋体" w:hAnsi="Book Antiqua" w:cs="宋体"/>
          <w:b/>
          <w:bCs/>
          <w:color w:val="000000"/>
          <w:lang w:eastAsia="zh-CN"/>
        </w:rPr>
        <w:t>Yan Z</w:t>
      </w:r>
      <w:r w:rsidRPr="008A0130">
        <w:rPr>
          <w:rFonts w:ascii="Book Antiqua" w:eastAsia="宋体" w:hAnsi="Book Antiqua" w:cs="宋体"/>
          <w:color w:val="000000"/>
          <w:lang w:eastAsia="zh-CN"/>
        </w:rPr>
        <w:t>, Xiong Y, Xu W, Gao J, Cheng Y, Wang Z, Chen F, Zheng G. Identification of hsa-miR-335 as a prognostic signature in gastric cancer.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7</w:t>
      </w:r>
      <w:r w:rsidRPr="008A0130">
        <w:rPr>
          <w:rFonts w:ascii="Book Antiqua" w:eastAsia="宋体" w:hAnsi="Book Antiqua" w:cs="宋体"/>
          <w:color w:val="000000"/>
          <w:lang w:eastAsia="zh-CN"/>
        </w:rPr>
        <w:t>: e40037 [PMID: 22802949 DOI: 10.1371/journal.pone.0040037]</w:t>
      </w:r>
    </w:p>
    <w:p w14:paraId="4931433F" w14:textId="78CCE55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167 </w:t>
      </w:r>
      <w:r w:rsidRPr="008A0130">
        <w:rPr>
          <w:rFonts w:ascii="Book Antiqua" w:eastAsia="宋体" w:hAnsi="Book Antiqua" w:cs="宋体"/>
          <w:b/>
          <w:bCs/>
          <w:color w:val="000000"/>
          <w:lang w:eastAsia="zh-CN"/>
        </w:rPr>
        <w:t>Ueno K</w:t>
      </w:r>
      <w:r w:rsidRPr="008A0130">
        <w:rPr>
          <w:rFonts w:ascii="Book Antiqua" w:eastAsia="宋体" w:hAnsi="Book Antiqua" w:cs="宋体"/>
          <w:color w:val="000000"/>
          <w:lang w:eastAsia="zh-CN"/>
        </w:rPr>
        <w:t>, Hirata H, Hinoda Y, Dahiya R. Frizzled homolog proteins, microRNAs and Wnt signaling in cancer. </w:t>
      </w:r>
      <w:r w:rsidRPr="008A0130">
        <w:rPr>
          <w:rFonts w:ascii="Book Antiqua" w:eastAsia="宋体" w:hAnsi="Book Antiqua" w:cs="宋体"/>
          <w:i/>
          <w:iCs/>
          <w:color w:val="000000"/>
          <w:lang w:eastAsia="zh-CN"/>
        </w:rPr>
        <w:t>Int J Cancer</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132</w:t>
      </w:r>
      <w:r w:rsidRPr="008A0130">
        <w:rPr>
          <w:rFonts w:ascii="Book Antiqua" w:eastAsia="宋体" w:hAnsi="Book Antiqua" w:cs="宋体"/>
          <w:color w:val="000000"/>
          <w:lang w:eastAsia="zh-CN"/>
        </w:rPr>
        <w:t>: 1731-1740 [PMID: 22833265 DOI: 10.1002/ijc.27746</w:t>
      </w:r>
      <w:r w:rsidR="008A0130">
        <w:rPr>
          <w:rFonts w:ascii="Book Antiqua" w:eastAsia="宋体" w:hAnsi="Book Antiqua" w:cs="宋体" w:hint="eastAsia"/>
          <w:color w:val="000000"/>
          <w:lang w:eastAsia="zh-CN"/>
        </w:rPr>
        <w:t>]</w:t>
      </w:r>
    </w:p>
    <w:p w14:paraId="29771805" w14:textId="1A98E637" w:rsidR="001B2241" w:rsidRPr="008A0130" w:rsidRDefault="001B2241" w:rsidP="008A0130">
      <w:pPr>
        <w:pStyle w:val="ListParagraph"/>
        <w:spacing w:line="360" w:lineRule="auto"/>
        <w:ind w:left="0"/>
        <w:jc w:val="both"/>
        <w:rPr>
          <w:rFonts w:ascii="Book Antiqua" w:eastAsia="宋体" w:hAnsi="Book Antiqua" w:cs="Times New Roman"/>
          <w:lang w:val="es-ES_tradnl" w:eastAsia="zh-CN"/>
        </w:rPr>
      </w:pPr>
      <w:r w:rsidRPr="008A0130">
        <w:rPr>
          <w:rFonts w:ascii="Book Antiqua" w:eastAsia="宋体" w:hAnsi="Book Antiqua" w:cs="Times New Roman" w:hint="eastAsia"/>
          <w:lang w:val="es-ES_tradnl" w:eastAsia="zh-CN"/>
        </w:rPr>
        <w:t xml:space="preserve">168 </w:t>
      </w:r>
      <w:r w:rsidRPr="008A0130">
        <w:rPr>
          <w:rFonts w:ascii="Book Antiqua" w:hAnsi="Book Antiqua" w:cs="Times New Roman"/>
          <w:b/>
          <w:lang w:val="es-ES_tradnl"/>
        </w:rPr>
        <w:t>Chen W,</w:t>
      </w:r>
      <w:r w:rsidRPr="008A0130">
        <w:rPr>
          <w:rFonts w:ascii="Book Antiqua" w:hAnsi="Book Antiqua" w:cs="Times New Roman"/>
          <w:lang w:val="es-ES_tradnl"/>
        </w:rPr>
        <w:t> </w:t>
      </w:r>
      <w:hyperlink r:id="rId21" w:history="1">
        <w:r w:rsidRPr="008A0130">
          <w:rPr>
            <w:rFonts w:ascii="Book Antiqua" w:hAnsi="Book Antiqua" w:cs="Times New Roman"/>
            <w:lang w:val="es-ES_tradnl"/>
          </w:rPr>
          <w:t>Tang Z</w:t>
        </w:r>
      </w:hyperlink>
      <w:r w:rsidRPr="008A0130">
        <w:rPr>
          <w:rFonts w:ascii="Book Antiqua" w:hAnsi="Book Antiqua" w:cs="Times New Roman"/>
          <w:lang w:val="es-ES_tradnl"/>
        </w:rPr>
        <w:t>, </w:t>
      </w:r>
      <w:hyperlink r:id="rId22" w:history="1">
        <w:r w:rsidRPr="008A0130">
          <w:rPr>
            <w:rFonts w:ascii="Book Antiqua" w:hAnsi="Book Antiqua" w:cs="Times New Roman"/>
            <w:lang w:val="es-ES_tradnl"/>
          </w:rPr>
          <w:t>Sun Y</w:t>
        </w:r>
      </w:hyperlink>
      <w:r w:rsidRPr="008A0130">
        <w:rPr>
          <w:rFonts w:ascii="Book Antiqua" w:hAnsi="Book Antiqua" w:cs="Times New Roman"/>
          <w:lang w:val="es-ES_tradnl"/>
        </w:rPr>
        <w:t>, </w:t>
      </w:r>
      <w:hyperlink r:id="rId23" w:history="1">
        <w:r w:rsidRPr="008A0130">
          <w:rPr>
            <w:rFonts w:ascii="Book Antiqua" w:hAnsi="Book Antiqua" w:cs="Times New Roman"/>
            <w:lang w:val="es-ES_tradnl"/>
          </w:rPr>
          <w:t>Zhang Y</w:t>
        </w:r>
      </w:hyperlink>
      <w:r w:rsidRPr="008A0130">
        <w:rPr>
          <w:rFonts w:ascii="Book Antiqua" w:hAnsi="Book Antiqua" w:cs="Times New Roman"/>
          <w:lang w:val="es-ES_tradnl"/>
        </w:rPr>
        <w:t>, </w:t>
      </w:r>
      <w:hyperlink r:id="rId24" w:history="1">
        <w:r w:rsidRPr="008A0130">
          <w:rPr>
            <w:rFonts w:ascii="Book Antiqua" w:hAnsi="Book Antiqua" w:cs="Times New Roman"/>
            <w:lang w:val="es-ES_tradnl"/>
          </w:rPr>
          <w:t>Wang X</w:t>
        </w:r>
      </w:hyperlink>
      <w:r w:rsidRPr="008A0130">
        <w:rPr>
          <w:rFonts w:ascii="Book Antiqua" w:hAnsi="Book Antiqua" w:cs="Times New Roman"/>
          <w:lang w:val="es-ES_tradnl"/>
        </w:rPr>
        <w:t>, </w:t>
      </w:r>
      <w:hyperlink r:id="rId25" w:history="1">
        <w:r w:rsidRPr="008A0130">
          <w:rPr>
            <w:rFonts w:ascii="Book Antiqua" w:hAnsi="Book Antiqua" w:cs="Times New Roman"/>
            <w:lang w:val="es-ES_tradnl"/>
          </w:rPr>
          <w:t>Shen Z</w:t>
        </w:r>
      </w:hyperlink>
      <w:r w:rsidRPr="008A0130">
        <w:rPr>
          <w:rFonts w:ascii="Book Antiqua" w:hAnsi="Book Antiqua" w:cs="Times New Roman"/>
          <w:lang w:val="es-ES_tradnl"/>
        </w:rPr>
        <w:t>, </w:t>
      </w:r>
      <w:hyperlink r:id="rId26" w:history="1">
        <w:r w:rsidRPr="008A0130">
          <w:rPr>
            <w:rFonts w:ascii="Book Antiqua" w:hAnsi="Book Antiqua" w:cs="Times New Roman"/>
            <w:lang w:val="es-ES_tradnl"/>
          </w:rPr>
          <w:t>Liu F</w:t>
        </w:r>
      </w:hyperlink>
      <w:r w:rsidRPr="008A0130">
        <w:rPr>
          <w:rFonts w:ascii="Book Antiqua" w:hAnsi="Book Antiqua" w:cs="Times New Roman"/>
          <w:lang w:val="es-ES_tradnl"/>
        </w:rPr>
        <w:t>, </w:t>
      </w:r>
      <w:hyperlink r:id="rId27" w:history="1">
        <w:r w:rsidRPr="008A0130">
          <w:rPr>
            <w:rFonts w:ascii="Book Antiqua" w:hAnsi="Book Antiqua" w:cs="Times New Roman"/>
            <w:lang w:val="es-ES_tradnl"/>
          </w:rPr>
          <w:t>Qin X</w:t>
        </w:r>
      </w:hyperlink>
      <w:r w:rsidRPr="008A0130">
        <w:rPr>
          <w:rFonts w:ascii="Book Antiqua" w:hAnsi="Book Antiqua" w:cs="Times New Roman"/>
          <w:lang w:val="es-ES_tradnl"/>
        </w:rPr>
        <w:t xml:space="preserve">. miRNA expression profile in primary gastric cancers and paired lymph node metastases </w:t>
      </w:r>
      <w:r w:rsidRPr="008A0130">
        <w:rPr>
          <w:rFonts w:ascii="Book Antiqua" w:hAnsi="Book Antiqua" w:cs="Times New Roman"/>
          <w:lang w:val="es-ES_tradnl"/>
        </w:rPr>
        <w:lastRenderedPageBreak/>
        <w:t>indicates that miR-10a plays a role</w:t>
      </w:r>
      <w:r w:rsidRPr="008A0130">
        <w:rPr>
          <w:rFonts w:ascii="MS Mincho" w:eastAsia="MS Mincho" w:hAnsi="MS Mincho" w:cs="MS Mincho" w:hint="eastAsia"/>
          <w:lang w:val="es-ES_tradnl"/>
        </w:rPr>
        <w:t> </w:t>
      </w:r>
      <w:r w:rsidRPr="008A0130">
        <w:rPr>
          <w:rFonts w:ascii="Book Antiqua" w:hAnsi="Book Antiqua" w:cs="Times New Roman"/>
          <w:lang w:val="es-ES_tradnl"/>
        </w:rPr>
        <w:t xml:space="preserve">in metastasis from primary gastric cancer to lymph nodes. </w:t>
      </w:r>
      <w:hyperlink r:id="rId28" w:tooltip="Experimental and therapeutic medicine." w:history="1">
        <w:r w:rsidRPr="008A0130">
          <w:rPr>
            <w:rFonts w:ascii="Book Antiqua" w:hAnsi="Book Antiqua" w:cs="Times New Roman"/>
            <w:i/>
            <w:lang w:val="es-ES_tradnl"/>
          </w:rPr>
          <w:t>Exp Ther Med</w:t>
        </w:r>
      </w:hyperlink>
      <w:r w:rsidRPr="008A0130">
        <w:rPr>
          <w:rFonts w:ascii="Book Antiqua" w:hAnsi="Book Antiqua" w:cs="Times New Roman"/>
          <w:lang w:val="es-ES_tradnl"/>
        </w:rPr>
        <w:t xml:space="preserve"> 2012; </w:t>
      </w:r>
      <w:r w:rsidRPr="008A0130">
        <w:rPr>
          <w:rFonts w:ascii="Book Antiqua" w:hAnsi="Book Antiqua" w:cs="Times New Roman"/>
          <w:b/>
          <w:lang w:val="es-ES_tradnl"/>
        </w:rPr>
        <w:t>3:</w:t>
      </w:r>
      <w:r w:rsidRPr="008A0130">
        <w:rPr>
          <w:rFonts w:ascii="Book Antiqua" w:hAnsi="Book Antiqua" w:cs="Times New Roman"/>
          <w:lang w:val="es-ES_tradnl"/>
        </w:rPr>
        <w:t xml:space="preserve"> 351-356 </w:t>
      </w:r>
      <w:r w:rsidRPr="008A0130">
        <w:rPr>
          <w:rFonts w:ascii="Book Antiqua" w:eastAsia="宋体" w:hAnsi="Book Antiqua" w:cs="Times New Roman" w:hint="eastAsia"/>
          <w:lang w:val="es-ES_tradnl" w:eastAsia="zh-CN"/>
        </w:rPr>
        <w:t>[</w:t>
      </w:r>
      <w:r w:rsidRPr="008A0130">
        <w:rPr>
          <w:rFonts w:ascii="Book Antiqua" w:hAnsi="Book Antiqua" w:cs="Times New Roman"/>
          <w:lang w:val="es-ES_tradnl"/>
        </w:rPr>
        <w:t>PMID: 22969895</w:t>
      </w:r>
      <w:r w:rsidRPr="008A0130">
        <w:rPr>
          <w:rFonts w:ascii="Book Antiqua" w:eastAsia="宋体" w:hAnsi="Book Antiqua" w:cs="Times New Roman" w:hint="eastAsia"/>
          <w:lang w:val="es-ES_tradnl" w:eastAsia="zh-CN"/>
        </w:rPr>
        <w:t>]</w:t>
      </w:r>
    </w:p>
    <w:p w14:paraId="14CCA07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169 </w:t>
      </w:r>
      <w:r w:rsidRPr="008A0130">
        <w:rPr>
          <w:rFonts w:ascii="Book Antiqua" w:eastAsia="宋体" w:hAnsi="Book Antiqua" w:cs="宋体"/>
          <w:b/>
          <w:bCs/>
          <w:color w:val="000000"/>
          <w:lang w:eastAsia="zh-CN"/>
        </w:rPr>
        <w:t>Takei Y</w:t>
      </w:r>
      <w:r w:rsidRPr="008A0130">
        <w:rPr>
          <w:rFonts w:ascii="Book Antiqua" w:eastAsia="宋体" w:hAnsi="Book Antiqua" w:cs="宋体"/>
          <w:color w:val="000000"/>
          <w:lang w:eastAsia="zh-CN"/>
        </w:rPr>
        <w:t>, Takigahira M, Mihara K, Tarumi Y, Yanagihara K. The metastasis-associated microRNA miR-516a-3p is a novel therapeutic target for inhibiting peritoneal dissemination of human scirrhous gastric cancer.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71</w:t>
      </w:r>
      <w:r w:rsidRPr="008A0130">
        <w:rPr>
          <w:rFonts w:ascii="Book Antiqua" w:eastAsia="宋体" w:hAnsi="Book Antiqua" w:cs="宋体"/>
          <w:color w:val="000000"/>
          <w:lang w:eastAsia="zh-CN"/>
        </w:rPr>
        <w:t>: 1442-1453 [PMID: 21169410 DOI: 10.1158/0008-5472.CAN-10-2530]</w:t>
      </w:r>
    </w:p>
    <w:p w14:paraId="0934A02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170 </w:t>
      </w:r>
      <w:r w:rsidRPr="008A0130">
        <w:rPr>
          <w:rFonts w:ascii="Book Antiqua" w:eastAsia="宋体" w:hAnsi="Book Antiqua" w:cs="宋体"/>
          <w:b/>
          <w:bCs/>
          <w:color w:val="000000"/>
          <w:lang w:eastAsia="zh-CN"/>
        </w:rPr>
        <w:t>Ai X</w:t>
      </w:r>
      <w:r w:rsidRPr="008A0130">
        <w:rPr>
          <w:rFonts w:ascii="Book Antiqua" w:eastAsia="宋体" w:hAnsi="Book Antiqua" w:cs="宋体"/>
          <w:color w:val="000000"/>
          <w:lang w:eastAsia="zh-CN"/>
        </w:rPr>
        <w:t>, Do AT, Lozynska O, Kusche-Gullberg M, Lindahl U, Emerson CP. QSulf1 remodels the 6-O sulfation states of cell surface heparan sulfate proteoglycans to promote Wnt signaling. </w:t>
      </w:r>
      <w:r w:rsidRPr="008A0130">
        <w:rPr>
          <w:rFonts w:ascii="Book Antiqua" w:eastAsia="宋体" w:hAnsi="Book Antiqua" w:cs="宋体"/>
          <w:i/>
          <w:iCs/>
          <w:color w:val="000000"/>
          <w:lang w:eastAsia="zh-CN"/>
        </w:rPr>
        <w:t>J Cell Biol</w:t>
      </w:r>
      <w:r w:rsidRPr="008A0130">
        <w:rPr>
          <w:rFonts w:ascii="Book Antiqua" w:eastAsia="宋体" w:hAnsi="Book Antiqua" w:cs="宋体"/>
          <w:color w:val="000000"/>
          <w:lang w:eastAsia="zh-CN"/>
        </w:rPr>
        <w:t> 2003; </w:t>
      </w:r>
      <w:r w:rsidRPr="008A0130">
        <w:rPr>
          <w:rFonts w:ascii="Book Antiqua" w:eastAsia="宋体" w:hAnsi="Book Antiqua" w:cs="宋体"/>
          <w:b/>
          <w:bCs/>
          <w:color w:val="000000"/>
          <w:lang w:eastAsia="zh-CN"/>
        </w:rPr>
        <w:t>162</w:t>
      </w:r>
      <w:r w:rsidRPr="008A0130">
        <w:rPr>
          <w:rFonts w:ascii="Book Antiqua" w:eastAsia="宋体" w:hAnsi="Book Antiqua" w:cs="宋体"/>
          <w:color w:val="000000"/>
          <w:lang w:eastAsia="zh-CN"/>
        </w:rPr>
        <w:t>: 341-351 [PMID: 12860968 DOI: 10.1083/jcb.200212083]</w:t>
      </w:r>
    </w:p>
    <w:p w14:paraId="42F15F2C" w14:textId="76C4822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171 </w:t>
      </w:r>
      <w:r w:rsidRPr="008A0130">
        <w:rPr>
          <w:rFonts w:ascii="Book Antiqua" w:eastAsia="宋体" w:hAnsi="Book Antiqua" w:cs="宋体"/>
          <w:b/>
          <w:bCs/>
          <w:color w:val="000000"/>
          <w:lang w:eastAsia="zh-CN"/>
        </w:rPr>
        <w:t>Tang X</w:t>
      </w:r>
      <w:r w:rsidRPr="008A0130">
        <w:rPr>
          <w:rFonts w:ascii="Book Antiqua" w:eastAsia="宋体" w:hAnsi="Book Antiqua" w:cs="宋体"/>
          <w:color w:val="000000"/>
          <w:lang w:eastAsia="zh-CN"/>
        </w:rPr>
        <w:t>, Zheng D, Hu P, Zeng Z, Li M, Tucker L, Monahan R, Resnick MB, Liu M, Ramratnam B. Glycogen synthase kinase 3 beta inhibits microRNA-183-96-182 cluster via the β-Catenin/TCF/LEF-1 pathway in gastric cancer cells. </w:t>
      </w:r>
      <w:r w:rsidRPr="008A0130">
        <w:rPr>
          <w:rFonts w:ascii="Book Antiqua" w:eastAsia="宋体" w:hAnsi="Book Antiqua" w:cs="宋体"/>
          <w:i/>
          <w:iCs/>
          <w:color w:val="000000"/>
          <w:lang w:eastAsia="zh-CN"/>
        </w:rPr>
        <w:t>Nucleic Acids Res</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42</w:t>
      </w:r>
      <w:r w:rsidRPr="008A0130">
        <w:rPr>
          <w:rFonts w:ascii="Book Antiqua" w:eastAsia="宋体" w:hAnsi="Book Antiqua" w:cs="宋体"/>
          <w:color w:val="000000"/>
          <w:lang w:eastAsia="zh-CN"/>
        </w:rPr>
        <w:t>: 2988-2998 [PMID: 24335145 DOI: 10.1093/nar/gkt1275]</w:t>
      </w:r>
    </w:p>
    <w:p w14:paraId="0B67E4CE" w14:textId="38A911B1" w:rsidR="001B2241" w:rsidRPr="008A0130" w:rsidRDefault="001B2241" w:rsidP="008A0130">
      <w:pPr>
        <w:pStyle w:val="ListParagraph"/>
        <w:spacing w:line="360" w:lineRule="auto"/>
        <w:ind w:left="0"/>
        <w:jc w:val="both"/>
        <w:rPr>
          <w:rFonts w:ascii="Book Antiqua" w:eastAsia="宋体" w:hAnsi="Book Antiqua" w:cs="Times New Roman"/>
          <w:lang w:val="es-ES_tradnl" w:eastAsia="zh-CN"/>
        </w:rPr>
      </w:pPr>
      <w:r w:rsidRPr="008A0130">
        <w:rPr>
          <w:rFonts w:ascii="Book Antiqua" w:eastAsia="宋体" w:hAnsi="Book Antiqua" w:hint="eastAsia"/>
          <w:lang w:eastAsia="zh-CN"/>
        </w:rPr>
        <w:t xml:space="preserve">172 </w:t>
      </w:r>
      <w:hyperlink r:id="rId29" w:history="1">
        <w:r w:rsidRPr="008A0130">
          <w:rPr>
            <w:rFonts w:ascii="Book Antiqua" w:hAnsi="Book Antiqua" w:cs="Times New Roman"/>
            <w:b/>
            <w:lang w:val="es-ES_tradnl"/>
          </w:rPr>
          <w:t>Tang H</w:t>
        </w:r>
      </w:hyperlink>
      <w:r w:rsidRPr="008A0130">
        <w:rPr>
          <w:rFonts w:ascii="Book Antiqua" w:hAnsi="Book Antiqua" w:cs="Times New Roman"/>
          <w:b/>
          <w:lang w:val="es-ES_tradnl"/>
        </w:rPr>
        <w:t>, </w:t>
      </w:r>
      <w:hyperlink r:id="rId30" w:history="1">
        <w:r w:rsidRPr="008A0130">
          <w:rPr>
            <w:rFonts w:ascii="Book Antiqua" w:hAnsi="Book Antiqua" w:cs="Times New Roman"/>
            <w:lang w:val="es-ES_tradnl"/>
          </w:rPr>
          <w:t>Kong Y</w:t>
        </w:r>
      </w:hyperlink>
      <w:r w:rsidRPr="008A0130">
        <w:rPr>
          <w:rFonts w:ascii="Book Antiqua" w:hAnsi="Book Antiqua" w:cs="Times New Roman"/>
          <w:lang w:val="es-ES_tradnl"/>
        </w:rPr>
        <w:t>, </w:t>
      </w:r>
      <w:hyperlink r:id="rId31" w:history="1">
        <w:r w:rsidRPr="008A0130">
          <w:rPr>
            <w:rFonts w:ascii="Book Antiqua" w:hAnsi="Book Antiqua" w:cs="Times New Roman"/>
            <w:lang w:val="es-ES_tradnl"/>
          </w:rPr>
          <w:t>Guo J</w:t>
        </w:r>
      </w:hyperlink>
      <w:r w:rsidRPr="008A0130">
        <w:rPr>
          <w:rFonts w:ascii="Book Antiqua" w:hAnsi="Book Antiqua" w:cs="Times New Roman"/>
          <w:lang w:val="es-ES_tradnl"/>
        </w:rPr>
        <w:t>, </w:t>
      </w:r>
      <w:hyperlink r:id="rId32" w:history="1">
        <w:r w:rsidRPr="008A0130">
          <w:rPr>
            <w:rFonts w:ascii="Book Antiqua" w:hAnsi="Book Antiqua" w:cs="Times New Roman"/>
            <w:lang w:val="es-ES_tradnl"/>
          </w:rPr>
          <w:t>Tang Y</w:t>
        </w:r>
      </w:hyperlink>
      <w:r w:rsidRPr="008A0130">
        <w:rPr>
          <w:rFonts w:ascii="Book Antiqua" w:hAnsi="Book Antiqua" w:cs="Times New Roman"/>
          <w:lang w:val="es-ES_tradnl"/>
        </w:rPr>
        <w:t>, </w:t>
      </w:r>
      <w:hyperlink r:id="rId33" w:history="1">
        <w:r w:rsidRPr="008A0130">
          <w:rPr>
            <w:rFonts w:ascii="Book Antiqua" w:hAnsi="Book Antiqua" w:cs="Times New Roman"/>
            <w:lang w:val="es-ES_tradnl"/>
          </w:rPr>
          <w:t>Xie X</w:t>
        </w:r>
      </w:hyperlink>
      <w:r w:rsidRPr="008A0130">
        <w:rPr>
          <w:rFonts w:ascii="Book Antiqua" w:hAnsi="Book Antiqua" w:cs="Times New Roman"/>
          <w:lang w:val="es-ES_tradnl"/>
        </w:rPr>
        <w:t>, </w:t>
      </w:r>
      <w:hyperlink r:id="rId34" w:history="1">
        <w:r w:rsidRPr="008A0130">
          <w:rPr>
            <w:rFonts w:ascii="Book Antiqua" w:hAnsi="Book Antiqua" w:cs="Times New Roman"/>
            <w:lang w:val="es-ES_tradnl"/>
          </w:rPr>
          <w:t>Yang L</w:t>
        </w:r>
      </w:hyperlink>
      <w:r w:rsidRPr="008A0130">
        <w:rPr>
          <w:rFonts w:ascii="Book Antiqua" w:hAnsi="Book Antiqua" w:cs="Times New Roman"/>
          <w:lang w:val="es-ES_tradnl"/>
        </w:rPr>
        <w:t>, </w:t>
      </w:r>
      <w:hyperlink r:id="rId35" w:history="1">
        <w:r w:rsidRPr="008A0130">
          <w:rPr>
            <w:rFonts w:ascii="Book Antiqua" w:hAnsi="Book Antiqua" w:cs="Times New Roman"/>
            <w:lang w:val="es-ES_tradnl"/>
          </w:rPr>
          <w:t>Su Q</w:t>
        </w:r>
      </w:hyperlink>
      <w:r w:rsidRPr="008A0130">
        <w:rPr>
          <w:rFonts w:ascii="Book Antiqua" w:hAnsi="Book Antiqua" w:cs="Times New Roman"/>
          <w:lang w:val="es-ES_tradnl"/>
        </w:rPr>
        <w:t>, </w:t>
      </w:r>
      <w:hyperlink r:id="rId36" w:history="1">
        <w:r w:rsidRPr="008A0130">
          <w:rPr>
            <w:rFonts w:ascii="Book Antiqua" w:hAnsi="Book Antiqua" w:cs="Times New Roman"/>
            <w:lang w:val="es-ES_tradnl"/>
          </w:rPr>
          <w:t>Xie X</w:t>
        </w:r>
      </w:hyperlink>
      <w:r w:rsidRPr="008A0130">
        <w:rPr>
          <w:rFonts w:ascii="Book Antiqua" w:hAnsi="Book Antiqua" w:cs="Times New Roman"/>
          <w:lang w:val="es-ES_tradnl"/>
        </w:rPr>
        <w:t>. Diallyl disulfide suppresses proliferation and induces apoptosis in human gastric cancer through Wnt-1 signaling pathway</w:t>
      </w:r>
      <w:r w:rsidRPr="008A0130">
        <w:rPr>
          <w:rFonts w:ascii="MS Mincho" w:eastAsia="MS Mincho" w:hAnsi="MS Mincho" w:cs="MS Mincho" w:hint="eastAsia"/>
          <w:lang w:val="es-ES_tradnl"/>
        </w:rPr>
        <w:t> </w:t>
      </w:r>
      <w:r w:rsidRPr="008A0130">
        <w:rPr>
          <w:rFonts w:ascii="Book Antiqua" w:hAnsi="Book Antiqua" w:cs="Times New Roman"/>
          <w:lang w:val="es-ES_tradnl"/>
        </w:rPr>
        <w:t xml:space="preserve">by up-regulation of miR-200b and miR-22. </w:t>
      </w:r>
      <w:hyperlink r:id="rId37" w:tooltip="Cancer letters." w:history="1">
        <w:r w:rsidRPr="008A0130">
          <w:rPr>
            <w:rFonts w:ascii="Book Antiqua" w:hAnsi="Book Antiqua" w:cs="Times New Roman"/>
            <w:i/>
            <w:lang w:val="es-ES_tradnl"/>
          </w:rPr>
          <w:t>Cancer Lett</w:t>
        </w:r>
      </w:hyperlink>
      <w:r w:rsidRPr="008A0130">
        <w:rPr>
          <w:rFonts w:ascii="Book Antiqua" w:hAnsi="Book Antiqua" w:cs="Times New Roman"/>
          <w:i/>
          <w:lang w:val="es-ES_tradnl"/>
        </w:rPr>
        <w:t> </w:t>
      </w:r>
      <w:r w:rsidRPr="008A0130">
        <w:rPr>
          <w:rFonts w:ascii="Book Antiqua" w:hAnsi="Book Antiqua" w:cs="Times New Roman"/>
          <w:lang w:val="es-ES_tradnl"/>
        </w:rPr>
        <w:t xml:space="preserve">2013; </w:t>
      </w:r>
      <w:r w:rsidRPr="008A0130">
        <w:rPr>
          <w:rFonts w:ascii="Book Antiqua" w:hAnsi="Book Antiqua" w:cs="Times New Roman"/>
          <w:b/>
          <w:lang w:val="es-ES_tradnl"/>
        </w:rPr>
        <w:t>340:</w:t>
      </w:r>
      <w:r w:rsidRPr="008A0130">
        <w:rPr>
          <w:rFonts w:ascii="Book Antiqua" w:hAnsi="Book Antiqua" w:cs="Times New Roman"/>
          <w:lang w:val="es-ES_tradnl"/>
        </w:rPr>
        <w:t xml:space="preserve"> 72-81 </w:t>
      </w:r>
      <w:r w:rsidRPr="008A0130">
        <w:rPr>
          <w:rFonts w:ascii="Book Antiqua" w:eastAsia="宋体" w:hAnsi="Book Antiqua" w:cs="Times New Roman" w:hint="eastAsia"/>
          <w:lang w:val="es-ES_tradnl" w:eastAsia="zh-CN"/>
        </w:rPr>
        <w:t>[</w:t>
      </w:r>
      <w:r w:rsidRPr="008A0130">
        <w:rPr>
          <w:rFonts w:ascii="Book Antiqua" w:hAnsi="Book Antiqua" w:cs="Times New Roman"/>
          <w:lang w:val="es-ES_tradnl"/>
        </w:rPr>
        <w:t>PMID: 23851184</w:t>
      </w:r>
      <w:r w:rsidRPr="008A0130">
        <w:rPr>
          <w:rFonts w:ascii="Book Antiqua" w:eastAsia="宋体" w:hAnsi="Book Antiqua" w:cs="Times New Roman" w:hint="eastAsia"/>
          <w:lang w:val="es-ES_tradnl" w:eastAsia="zh-CN"/>
        </w:rPr>
        <w:t xml:space="preserve"> DOI:</w:t>
      </w:r>
      <w:r w:rsidRPr="008A0130">
        <w:rPr>
          <w:rFonts w:ascii="Book Antiqua" w:hAnsi="Book Antiqua" w:cs="Times New Roman"/>
          <w:lang w:val="es-ES_tradnl"/>
        </w:rPr>
        <w:t xml:space="preserve"> 10.1016/j.canlet.2013.06.027</w:t>
      </w:r>
      <w:r w:rsidRPr="008A0130">
        <w:rPr>
          <w:rFonts w:ascii="Book Antiqua" w:eastAsia="宋体" w:hAnsi="Book Antiqua" w:cs="Times New Roman" w:hint="eastAsia"/>
          <w:lang w:val="es-ES_tradnl" w:eastAsia="zh-CN"/>
        </w:rPr>
        <w:t>]</w:t>
      </w:r>
    </w:p>
    <w:p w14:paraId="77A6347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173 </w:t>
      </w:r>
      <w:r w:rsidRPr="008A0130">
        <w:rPr>
          <w:rFonts w:ascii="Book Antiqua" w:eastAsia="宋体" w:hAnsi="Book Antiqua" w:cs="宋体"/>
          <w:b/>
          <w:bCs/>
          <w:color w:val="000000"/>
          <w:lang w:eastAsia="zh-CN"/>
        </w:rPr>
        <w:t>Liu M</w:t>
      </w:r>
      <w:r w:rsidRPr="008A0130">
        <w:rPr>
          <w:rFonts w:ascii="Book Antiqua" w:eastAsia="宋体" w:hAnsi="Book Antiqua" w:cs="宋体"/>
          <w:color w:val="000000"/>
          <w:lang w:eastAsia="zh-CN"/>
        </w:rPr>
        <w:t>, Yang S, Wang Y, Zhu H, Yan S, Zhang W, Quan L, Bai J, Xu N. EB1 acts as an oncogene via activating beta-catenin/TCF pathway to promote cellular growth and inhibit apoptosis. </w:t>
      </w:r>
      <w:r w:rsidRPr="008A0130">
        <w:rPr>
          <w:rFonts w:ascii="Book Antiqua" w:eastAsia="宋体" w:hAnsi="Book Antiqua" w:cs="宋体"/>
          <w:i/>
          <w:iCs/>
          <w:color w:val="000000"/>
          <w:lang w:eastAsia="zh-CN"/>
        </w:rPr>
        <w:t>Mol Carcinog</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48</w:t>
      </w:r>
      <w:r w:rsidRPr="008A0130">
        <w:rPr>
          <w:rFonts w:ascii="Book Antiqua" w:eastAsia="宋体" w:hAnsi="Book Antiqua" w:cs="宋体"/>
          <w:color w:val="000000"/>
          <w:lang w:eastAsia="zh-CN"/>
        </w:rPr>
        <w:t>: 212-219 [PMID: 18680107 DOI: 10.1002/mc.20471]</w:t>
      </w:r>
    </w:p>
    <w:p w14:paraId="3E3723A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174 </w:t>
      </w:r>
      <w:r w:rsidRPr="008A0130">
        <w:rPr>
          <w:rFonts w:ascii="Book Antiqua" w:eastAsia="宋体" w:hAnsi="Book Antiqua" w:cs="宋体"/>
          <w:b/>
          <w:bCs/>
          <w:color w:val="000000"/>
          <w:lang w:eastAsia="zh-CN"/>
        </w:rPr>
        <w:t>Kim K</w:t>
      </w:r>
      <w:r w:rsidRPr="008A0130">
        <w:rPr>
          <w:rFonts w:ascii="Book Antiqua" w:eastAsia="宋体" w:hAnsi="Book Antiqua" w:cs="宋体"/>
          <w:color w:val="000000"/>
          <w:lang w:eastAsia="zh-CN"/>
        </w:rPr>
        <w:t>, Lee HC, Park JL, Kim M, Kim SY, Noh SM, Song KS, Kim JC, Kim YS. Epigenetic regulation of microRNA-10b and targeting of oncogenic MAPRE1 in gastric cancer. </w:t>
      </w:r>
      <w:r w:rsidRPr="008A0130">
        <w:rPr>
          <w:rFonts w:ascii="Book Antiqua" w:eastAsia="宋体" w:hAnsi="Book Antiqua" w:cs="宋体"/>
          <w:i/>
          <w:iCs/>
          <w:color w:val="000000"/>
          <w:lang w:eastAsia="zh-CN"/>
        </w:rPr>
        <w:t>Epigenetics</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6</w:t>
      </w:r>
      <w:r w:rsidRPr="008A0130">
        <w:rPr>
          <w:rFonts w:ascii="Book Antiqua" w:eastAsia="宋体" w:hAnsi="Book Antiqua" w:cs="宋体"/>
          <w:color w:val="000000"/>
          <w:lang w:eastAsia="zh-CN"/>
        </w:rPr>
        <w:t>: 740-751 [PMID: 21562367 DOI: 10.4161/epi.6.6.15874]</w:t>
      </w:r>
    </w:p>
    <w:p w14:paraId="645F8B8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175 </w:t>
      </w:r>
      <w:r w:rsidRPr="008A0130">
        <w:rPr>
          <w:rFonts w:ascii="Book Antiqua" w:eastAsia="宋体" w:hAnsi="Book Antiqua" w:cs="宋体"/>
          <w:b/>
          <w:bCs/>
          <w:color w:val="000000"/>
          <w:lang w:eastAsia="zh-CN"/>
        </w:rPr>
        <w:t>Zhang Z</w:t>
      </w:r>
      <w:r w:rsidRPr="008A0130">
        <w:rPr>
          <w:rFonts w:ascii="Book Antiqua" w:eastAsia="宋体" w:hAnsi="Book Antiqua" w:cs="宋体"/>
          <w:color w:val="000000"/>
          <w:lang w:eastAsia="zh-CN"/>
        </w:rPr>
        <w:t>, Liu S, Shi R, Zhao G. miR-27 promotes human gastric cancer cell metastasis by inducing epithelial-to-mesenchymal transition. </w:t>
      </w:r>
      <w:r w:rsidRPr="008A0130">
        <w:rPr>
          <w:rFonts w:ascii="Book Antiqua" w:eastAsia="宋体" w:hAnsi="Book Antiqua" w:cs="宋体"/>
          <w:i/>
          <w:iCs/>
          <w:color w:val="000000"/>
          <w:lang w:eastAsia="zh-CN"/>
        </w:rPr>
        <w:t>Cancer Genet</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204</w:t>
      </w:r>
      <w:r w:rsidRPr="008A0130">
        <w:rPr>
          <w:rFonts w:ascii="Book Antiqua" w:eastAsia="宋体" w:hAnsi="Book Antiqua" w:cs="宋体"/>
          <w:color w:val="000000"/>
          <w:lang w:eastAsia="zh-CN"/>
        </w:rPr>
        <w:t>: 486-491 [PMID: 22018270 DOI: 10.1016/j.cancergen.2011.07.004]</w:t>
      </w:r>
    </w:p>
    <w:p w14:paraId="40783C97" w14:textId="47474735"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176 </w:t>
      </w:r>
      <w:r w:rsidRPr="008A0130">
        <w:rPr>
          <w:rFonts w:ascii="Book Antiqua" w:eastAsia="宋体" w:hAnsi="Book Antiqua" w:cs="宋体"/>
          <w:b/>
          <w:bCs/>
          <w:color w:val="000000"/>
          <w:lang w:eastAsia="zh-CN"/>
        </w:rPr>
        <w:t>Su J</w:t>
      </w:r>
      <w:r w:rsidRPr="008A0130">
        <w:rPr>
          <w:rFonts w:ascii="Book Antiqua" w:eastAsia="宋体" w:hAnsi="Book Antiqua" w:cs="宋体"/>
          <w:color w:val="000000"/>
          <w:lang w:eastAsia="zh-CN"/>
        </w:rPr>
        <w:t>, Zhang A, Shi Z, Ma F, Pu P, Wang T, Zhang J, Kang C, Zhang Q. MicroRNA-200a suppresses the Wnt/β-catenin signaling pathway by interacting with β-catenin. </w:t>
      </w:r>
      <w:r w:rsidRPr="008A0130">
        <w:rPr>
          <w:rFonts w:ascii="Book Antiqua" w:eastAsia="宋体" w:hAnsi="Book Antiqua" w:cs="宋体"/>
          <w:i/>
          <w:iCs/>
          <w:color w:val="000000"/>
          <w:lang w:eastAsia="zh-CN"/>
        </w:rPr>
        <w:t>Int J Oncol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40</w:t>
      </w:r>
      <w:r w:rsidRPr="008A0130">
        <w:rPr>
          <w:rFonts w:ascii="Book Antiqua" w:eastAsia="宋体" w:hAnsi="Book Antiqua" w:cs="宋体"/>
          <w:color w:val="000000"/>
          <w:lang w:eastAsia="zh-CN"/>
        </w:rPr>
        <w:t>: 1162-1170 [PMID: 22211245 DOI: 10.3892/ijo.2011.1322</w:t>
      </w:r>
      <w:r w:rsidR="008A0130">
        <w:rPr>
          <w:rFonts w:ascii="Book Antiqua" w:eastAsia="宋体" w:hAnsi="Book Antiqua" w:cs="宋体" w:hint="eastAsia"/>
          <w:color w:val="000000"/>
          <w:lang w:eastAsia="zh-CN"/>
        </w:rPr>
        <w:t>]</w:t>
      </w:r>
    </w:p>
    <w:p w14:paraId="5FB94D7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177 </w:t>
      </w:r>
      <w:r w:rsidRPr="008A0130">
        <w:rPr>
          <w:rFonts w:ascii="Book Antiqua" w:eastAsia="宋体" w:hAnsi="Book Antiqua" w:cs="宋体"/>
          <w:b/>
          <w:bCs/>
          <w:color w:val="000000"/>
          <w:lang w:eastAsia="zh-CN"/>
        </w:rPr>
        <w:t>Cong N</w:t>
      </w:r>
      <w:r w:rsidRPr="008A0130">
        <w:rPr>
          <w:rFonts w:ascii="Book Antiqua" w:eastAsia="宋体" w:hAnsi="Book Antiqua" w:cs="宋体"/>
          <w:color w:val="000000"/>
          <w:lang w:eastAsia="zh-CN"/>
        </w:rPr>
        <w:t>, Du P, Zhang A, Shen F, Su J, Pu P, Wang T, Zjang J, Kang C, Zhang Q. Downregulated microRNA-200a promotes EMT and tumor growth through the wnt/β-catenin pathway by targeting the E-cadherin repressors ZEB1/ZEB2 in gastric adenocarcinoma. </w:t>
      </w:r>
      <w:r w:rsidRPr="008A0130">
        <w:rPr>
          <w:rFonts w:ascii="Book Antiqua" w:eastAsia="宋体" w:hAnsi="Book Antiqua" w:cs="宋体"/>
          <w:i/>
          <w:iCs/>
          <w:color w:val="000000"/>
          <w:lang w:eastAsia="zh-CN"/>
        </w:rPr>
        <w:t>Oncol Rep</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29</w:t>
      </w:r>
      <w:r w:rsidRPr="008A0130">
        <w:rPr>
          <w:rFonts w:ascii="Book Antiqua" w:eastAsia="宋体" w:hAnsi="Book Antiqua" w:cs="宋体"/>
          <w:color w:val="000000"/>
          <w:lang w:eastAsia="zh-CN"/>
        </w:rPr>
        <w:t>: 1579-1587 [PMID: 23381389 DOI: 10.3892/or.2013.2267]</w:t>
      </w:r>
    </w:p>
    <w:p w14:paraId="62DCA0B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178 </w:t>
      </w:r>
      <w:r w:rsidRPr="008A0130">
        <w:rPr>
          <w:rFonts w:ascii="Book Antiqua" w:eastAsia="宋体" w:hAnsi="Book Antiqua" w:cs="宋体"/>
          <w:b/>
          <w:bCs/>
          <w:color w:val="000000"/>
          <w:lang w:eastAsia="zh-CN"/>
        </w:rPr>
        <w:t>Hambardzumyan D</w:t>
      </w:r>
      <w:r w:rsidRPr="008A0130">
        <w:rPr>
          <w:rFonts w:ascii="Book Antiqua" w:eastAsia="宋体" w:hAnsi="Book Antiqua" w:cs="宋体"/>
          <w:color w:val="000000"/>
          <w:lang w:eastAsia="zh-CN"/>
        </w:rPr>
        <w:t>, Becher OJ, Holland EC. Cancer stem cells and survival pathways. </w:t>
      </w:r>
      <w:r w:rsidRPr="008A0130">
        <w:rPr>
          <w:rFonts w:ascii="Book Antiqua" w:eastAsia="宋体" w:hAnsi="Book Antiqua" w:cs="宋体"/>
          <w:i/>
          <w:iCs/>
          <w:color w:val="000000"/>
          <w:lang w:eastAsia="zh-CN"/>
        </w:rPr>
        <w:t>Cell Cycle</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7</w:t>
      </w:r>
      <w:r w:rsidRPr="008A0130">
        <w:rPr>
          <w:rFonts w:ascii="Book Antiqua" w:eastAsia="宋体" w:hAnsi="Book Antiqua" w:cs="宋体"/>
          <w:color w:val="000000"/>
          <w:lang w:eastAsia="zh-CN"/>
        </w:rPr>
        <w:t>: 1371-1378 [PMID: 18421251 DOI: 10.4161/cc.7.10.5954]</w:t>
      </w:r>
    </w:p>
    <w:p w14:paraId="450DB2C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179 </w:t>
      </w:r>
      <w:r w:rsidRPr="008A0130">
        <w:rPr>
          <w:rFonts w:ascii="Book Antiqua" w:eastAsia="宋体" w:hAnsi="Book Antiqua" w:cs="宋体"/>
          <w:b/>
          <w:bCs/>
          <w:color w:val="000000"/>
          <w:lang w:eastAsia="zh-CN"/>
        </w:rPr>
        <w:t>Visvader JE</w:t>
      </w:r>
      <w:r w:rsidRPr="008A0130">
        <w:rPr>
          <w:rFonts w:ascii="Book Antiqua" w:eastAsia="宋体" w:hAnsi="Book Antiqua" w:cs="宋体"/>
          <w:color w:val="000000"/>
          <w:lang w:eastAsia="zh-CN"/>
        </w:rPr>
        <w:t>, Lindeman GJ. Cancer stem cells in solid tumours: accumulating evidence and unresolved questions. </w:t>
      </w:r>
      <w:r w:rsidRPr="008A0130">
        <w:rPr>
          <w:rFonts w:ascii="Book Antiqua" w:eastAsia="宋体" w:hAnsi="Book Antiqua" w:cs="宋体"/>
          <w:i/>
          <w:iCs/>
          <w:color w:val="000000"/>
          <w:lang w:eastAsia="zh-CN"/>
        </w:rPr>
        <w:t>Nat Rev Cancer</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8</w:t>
      </w:r>
      <w:r w:rsidRPr="008A0130">
        <w:rPr>
          <w:rFonts w:ascii="Book Antiqua" w:eastAsia="宋体" w:hAnsi="Book Antiqua" w:cs="宋体"/>
          <w:color w:val="000000"/>
          <w:lang w:eastAsia="zh-CN"/>
        </w:rPr>
        <w:t>: 755-768 [PMID: 18784658 DOI: 10.1038/nrc2499]</w:t>
      </w:r>
    </w:p>
    <w:p w14:paraId="3990DF5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180 </w:t>
      </w:r>
      <w:r w:rsidRPr="008A0130">
        <w:rPr>
          <w:rFonts w:ascii="Book Antiqua" w:eastAsia="宋体" w:hAnsi="Book Antiqua" w:cs="宋体"/>
          <w:b/>
          <w:bCs/>
          <w:color w:val="000000"/>
          <w:lang w:eastAsia="zh-CN"/>
        </w:rPr>
        <w:t>Williams SA</w:t>
      </w:r>
      <w:r w:rsidRPr="008A0130">
        <w:rPr>
          <w:rFonts w:ascii="Book Antiqua" w:eastAsia="宋体" w:hAnsi="Book Antiqua" w:cs="宋体"/>
          <w:color w:val="000000"/>
          <w:lang w:eastAsia="zh-CN"/>
        </w:rPr>
        <w:t>, Anderson WC, Santaguida MT, Dylla SJ. Patient-derived xenografts, the cancer stem cell paradigm, and cancer pathobiology in the 21st century. </w:t>
      </w:r>
      <w:r w:rsidRPr="008A0130">
        <w:rPr>
          <w:rFonts w:ascii="Book Antiqua" w:eastAsia="宋体" w:hAnsi="Book Antiqua" w:cs="宋体"/>
          <w:i/>
          <w:iCs/>
          <w:color w:val="000000"/>
          <w:lang w:eastAsia="zh-CN"/>
        </w:rPr>
        <w:t>Lab Invest</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93</w:t>
      </w:r>
      <w:r w:rsidRPr="008A0130">
        <w:rPr>
          <w:rFonts w:ascii="Book Antiqua" w:eastAsia="宋体" w:hAnsi="Book Antiqua" w:cs="宋体"/>
          <w:color w:val="000000"/>
          <w:lang w:eastAsia="zh-CN"/>
        </w:rPr>
        <w:t>: 970-982 [PMID: 23917877 DOI: 10.1038/labinvest.2013.92]</w:t>
      </w:r>
    </w:p>
    <w:p w14:paraId="05D45B3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181 </w:t>
      </w:r>
      <w:r w:rsidRPr="008A0130">
        <w:rPr>
          <w:rFonts w:ascii="Book Antiqua" w:eastAsia="宋体" w:hAnsi="Book Antiqua" w:cs="宋体"/>
          <w:b/>
          <w:bCs/>
          <w:color w:val="000000"/>
          <w:lang w:eastAsia="zh-CN"/>
        </w:rPr>
        <w:t>Yang L</w:t>
      </w:r>
      <w:r w:rsidRPr="008A0130">
        <w:rPr>
          <w:rFonts w:ascii="Book Antiqua" w:eastAsia="宋体" w:hAnsi="Book Antiqua" w:cs="宋体"/>
          <w:color w:val="000000"/>
          <w:lang w:eastAsia="zh-CN"/>
        </w:rPr>
        <w:t>, Lai D. Ovarian cancer stem cells enrichment. </w:t>
      </w:r>
      <w:r w:rsidRPr="008A0130">
        <w:rPr>
          <w:rFonts w:ascii="Book Antiqua" w:eastAsia="宋体" w:hAnsi="Book Antiqua" w:cs="宋体"/>
          <w:i/>
          <w:iCs/>
          <w:color w:val="000000"/>
          <w:lang w:eastAsia="zh-CN"/>
        </w:rPr>
        <w:t>Methods Mol Biol</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1049</w:t>
      </w:r>
      <w:r w:rsidRPr="008A0130">
        <w:rPr>
          <w:rFonts w:ascii="Book Antiqua" w:eastAsia="宋体" w:hAnsi="Book Antiqua" w:cs="宋体"/>
          <w:color w:val="000000"/>
          <w:lang w:eastAsia="zh-CN"/>
        </w:rPr>
        <w:t>: 337-345 [PMID: 23913228 DOI: 10.1007/978-1-62703-547-7_25]</w:t>
      </w:r>
    </w:p>
    <w:p w14:paraId="3EBCA56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182 </w:t>
      </w:r>
      <w:r w:rsidRPr="008A0130">
        <w:rPr>
          <w:rFonts w:ascii="Book Antiqua" w:eastAsia="宋体" w:hAnsi="Book Antiqua" w:cs="宋体"/>
          <w:b/>
          <w:bCs/>
          <w:color w:val="000000"/>
          <w:lang w:eastAsia="zh-CN"/>
        </w:rPr>
        <w:t>Jimeno A</w:t>
      </w:r>
      <w:r w:rsidRPr="008A0130">
        <w:rPr>
          <w:rFonts w:ascii="Book Antiqua" w:eastAsia="宋体" w:hAnsi="Book Antiqua" w:cs="宋体"/>
          <w:color w:val="000000"/>
          <w:lang w:eastAsia="zh-CN"/>
        </w:rPr>
        <w:t>, Feldmann G, Suárez-Gauthier A, Rasheed Z, Solomon A, Zou GM, Rubio-Viqueira B, García-García E, López-Ríos F, Matsui W, Maitra A, Hidalgo M. A direct pancreatic cancer xenograft model as a platform for cancer stem cell therapeutic development. </w:t>
      </w:r>
      <w:r w:rsidRPr="008A0130">
        <w:rPr>
          <w:rFonts w:ascii="Book Antiqua" w:eastAsia="宋体" w:hAnsi="Book Antiqua" w:cs="宋体"/>
          <w:i/>
          <w:iCs/>
          <w:color w:val="000000"/>
          <w:lang w:eastAsia="zh-CN"/>
        </w:rPr>
        <w:t>Mol Cancer Ther</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8</w:t>
      </w:r>
      <w:r w:rsidRPr="008A0130">
        <w:rPr>
          <w:rFonts w:ascii="Book Antiqua" w:eastAsia="宋体" w:hAnsi="Book Antiqua" w:cs="宋体"/>
          <w:color w:val="000000"/>
          <w:lang w:eastAsia="zh-CN"/>
        </w:rPr>
        <w:t>: 310-314 [PMID: 19174553 DOI: 10.1158/1535-7163.mct-08-0924]</w:t>
      </w:r>
    </w:p>
    <w:p w14:paraId="66211D8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183 </w:t>
      </w:r>
      <w:r w:rsidRPr="008A0130">
        <w:rPr>
          <w:rFonts w:ascii="Book Antiqua" w:eastAsia="宋体" w:hAnsi="Book Antiqua" w:cs="宋体"/>
          <w:b/>
          <w:bCs/>
          <w:color w:val="000000"/>
          <w:lang w:eastAsia="zh-CN"/>
        </w:rPr>
        <w:t>O'Brien CA</w:t>
      </w:r>
      <w:r w:rsidRPr="008A0130">
        <w:rPr>
          <w:rFonts w:ascii="Book Antiqua" w:eastAsia="宋体" w:hAnsi="Book Antiqua" w:cs="宋体"/>
          <w:color w:val="000000"/>
          <w:lang w:eastAsia="zh-CN"/>
        </w:rPr>
        <w:t>, Pollett A, Gallinger S, Dick JE. A human colon cancer cell capable of initiating tumour growth in immunodeficient mice. </w:t>
      </w:r>
      <w:r w:rsidRPr="008A0130">
        <w:rPr>
          <w:rFonts w:ascii="Book Antiqua" w:eastAsia="宋体" w:hAnsi="Book Antiqua" w:cs="宋体"/>
          <w:i/>
          <w:iCs/>
          <w:color w:val="000000"/>
          <w:lang w:eastAsia="zh-CN"/>
        </w:rPr>
        <w:t>Nature</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445</w:t>
      </w:r>
      <w:r w:rsidRPr="008A0130">
        <w:rPr>
          <w:rFonts w:ascii="Book Antiqua" w:eastAsia="宋体" w:hAnsi="Book Antiqua" w:cs="宋体"/>
          <w:color w:val="000000"/>
          <w:lang w:eastAsia="zh-CN"/>
        </w:rPr>
        <w:t>: 106-110 [PMID: 17122772 DOI: 10.1038/nature05372]</w:t>
      </w:r>
    </w:p>
    <w:p w14:paraId="1F76B31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184 </w:t>
      </w:r>
      <w:r w:rsidRPr="008A0130">
        <w:rPr>
          <w:rFonts w:ascii="Book Antiqua" w:eastAsia="宋体" w:hAnsi="Book Antiqua" w:cs="宋体"/>
          <w:b/>
          <w:bCs/>
          <w:color w:val="000000"/>
          <w:lang w:eastAsia="zh-CN"/>
        </w:rPr>
        <w:t>Alison MR</w:t>
      </w:r>
      <w:r w:rsidRPr="008A0130">
        <w:rPr>
          <w:rFonts w:ascii="Book Antiqua" w:eastAsia="宋体" w:hAnsi="Book Antiqua" w:cs="宋体"/>
          <w:color w:val="000000"/>
          <w:lang w:eastAsia="zh-CN"/>
        </w:rPr>
        <w:t>. Characterization of the differentiation capacity of rat-derived hepatic stem cells. </w:t>
      </w:r>
      <w:r w:rsidRPr="008A0130">
        <w:rPr>
          <w:rFonts w:ascii="Book Antiqua" w:eastAsia="宋体" w:hAnsi="Book Antiqua" w:cs="宋体"/>
          <w:i/>
          <w:iCs/>
          <w:color w:val="000000"/>
          <w:lang w:eastAsia="zh-CN"/>
        </w:rPr>
        <w:t>Semin Liver Dis</w:t>
      </w:r>
      <w:r w:rsidRPr="008A0130">
        <w:rPr>
          <w:rFonts w:ascii="Book Antiqua" w:eastAsia="宋体" w:hAnsi="Book Antiqua" w:cs="宋体"/>
          <w:color w:val="000000"/>
          <w:lang w:eastAsia="zh-CN"/>
        </w:rPr>
        <w:t> 2003; </w:t>
      </w:r>
      <w:r w:rsidRPr="008A0130">
        <w:rPr>
          <w:rFonts w:ascii="Book Antiqua" w:eastAsia="宋体" w:hAnsi="Book Antiqua" w:cs="宋体"/>
          <w:b/>
          <w:bCs/>
          <w:color w:val="000000"/>
          <w:lang w:eastAsia="zh-CN"/>
        </w:rPr>
        <w:t>23</w:t>
      </w:r>
      <w:r w:rsidRPr="008A0130">
        <w:rPr>
          <w:rFonts w:ascii="Book Antiqua" w:eastAsia="宋体" w:hAnsi="Book Antiqua" w:cs="宋体"/>
          <w:color w:val="000000"/>
          <w:lang w:eastAsia="zh-CN"/>
        </w:rPr>
        <w:t>: 325-336 [PMID: 14722810 DOI: 10.1055/s-2004-815561]</w:t>
      </w:r>
    </w:p>
    <w:p w14:paraId="27C1342D"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185 </w:t>
      </w:r>
      <w:r w:rsidRPr="008A0130">
        <w:rPr>
          <w:rFonts w:ascii="Book Antiqua" w:eastAsia="宋体" w:hAnsi="Book Antiqua" w:cs="宋体"/>
          <w:b/>
          <w:bCs/>
          <w:color w:val="000000"/>
          <w:lang w:eastAsia="zh-CN"/>
        </w:rPr>
        <w:t>Janssens N</w:t>
      </w:r>
      <w:r w:rsidRPr="008A0130">
        <w:rPr>
          <w:rFonts w:ascii="Book Antiqua" w:eastAsia="宋体" w:hAnsi="Book Antiqua" w:cs="宋体"/>
          <w:color w:val="000000"/>
          <w:lang w:eastAsia="zh-CN"/>
        </w:rPr>
        <w:t>, Janicot M, Perera T. The Wnt-dependent signaling pathways as target in oncology drug discovery. </w:t>
      </w:r>
      <w:r w:rsidRPr="008A0130">
        <w:rPr>
          <w:rFonts w:ascii="Book Antiqua" w:eastAsia="宋体" w:hAnsi="Book Antiqua" w:cs="宋体"/>
          <w:i/>
          <w:iCs/>
          <w:color w:val="000000"/>
          <w:lang w:eastAsia="zh-CN"/>
        </w:rPr>
        <w:t>Invest New Drugs</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24</w:t>
      </w:r>
      <w:r w:rsidRPr="008A0130">
        <w:rPr>
          <w:rFonts w:ascii="Book Antiqua" w:eastAsia="宋体" w:hAnsi="Book Antiqua" w:cs="宋体"/>
          <w:color w:val="000000"/>
          <w:lang w:eastAsia="zh-CN"/>
        </w:rPr>
        <w:t>: 263-280 [PMID: 16683072 DOI: 10.1007/s10637-005-5199-4]</w:t>
      </w:r>
    </w:p>
    <w:p w14:paraId="39FB6C6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186 </w:t>
      </w:r>
      <w:r w:rsidRPr="008A0130">
        <w:rPr>
          <w:rFonts w:ascii="Book Antiqua" w:eastAsia="宋体" w:hAnsi="Book Antiqua" w:cs="宋体"/>
          <w:b/>
          <w:bCs/>
          <w:color w:val="000000"/>
          <w:lang w:eastAsia="zh-CN"/>
        </w:rPr>
        <w:t>Massagué J</w:t>
      </w:r>
      <w:r w:rsidRPr="008A0130">
        <w:rPr>
          <w:rFonts w:ascii="Book Antiqua" w:eastAsia="宋体" w:hAnsi="Book Antiqua" w:cs="宋体"/>
          <w:color w:val="000000"/>
          <w:lang w:eastAsia="zh-CN"/>
        </w:rPr>
        <w:t>, Blain SW, Lo RS. TGFbeta signaling in growth control, cancer, and heritable disorders. </w:t>
      </w:r>
      <w:r w:rsidRPr="008A0130">
        <w:rPr>
          <w:rFonts w:ascii="Book Antiqua" w:eastAsia="宋体" w:hAnsi="Book Antiqua" w:cs="宋体"/>
          <w:i/>
          <w:iCs/>
          <w:color w:val="000000"/>
          <w:lang w:eastAsia="zh-CN"/>
        </w:rPr>
        <w:t>Cell</w:t>
      </w:r>
      <w:r w:rsidRPr="008A0130">
        <w:rPr>
          <w:rFonts w:ascii="Book Antiqua" w:eastAsia="宋体" w:hAnsi="Book Antiqua" w:cs="宋体"/>
          <w:color w:val="000000"/>
          <w:lang w:eastAsia="zh-CN"/>
        </w:rPr>
        <w:t> 2000; </w:t>
      </w:r>
      <w:r w:rsidRPr="008A0130">
        <w:rPr>
          <w:rFonts w:ascii="Book Antiqua" w:eastAsia="宋体" w:hAnsi="Book Antiqua" w:cs="宋体"/>
          <w:b/>
          <w:bCs/>
          <w:color w:val="000000"/>
          <w:lang w:eastAsia="zh-CN"/>
        </w:rPr>
        <w:t>103</w:t>
      </w:r>
      <w:r w:rsidRPr="008A0130">
        <w:rPr>
          <w:rFonts w:ascii="Book Antiqua" w:eastAsia="宋体" w:hAnsi="Book Antiqua" w:cs="宋体"/>
          <w:color w:val="000000"/>
          <w:lang w:eastAsia="zh-CN"/>
        </w:rPr>
        <w:t>: 295-309 [PMID: 11057902]</w:t>
      </w:r>
    </w:p>
    <w:p w14:paraId="7D798A65"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187 </w:t>
      </w:r>
      <w:r w:rsidRPr="008A0130">
        <w:rPr>
          <w:rFonts w:ascii="Book Antiqua" w:eastAsia="宋体" w:hAnsi="Book Antiqua" w:cs="宋体"/>
          <w:b/>
          <w:bCs/>
          <w:color w:val="000000"/>
          <w:lang w:eastAsia="zh-CN"/>
        </w:rPr>
        <w:t>Taipale J</w:t>
      </w:r>
      <w:r w:rsidRPr="008A0130">
        <w:rPr>
          <w:rFonts w:ascii="Book Antiqua" w:eastAsia="宋体" w:hAnsi="Book Antiqua" w:cs="宋体"/>
          <w:color w:val="000000"/>
          <w:lang w:eastAsia="zh-CN"/>
        </w:rPr>
        <w:t>, Beachy PA. The Hedgehog and Wnt signalling pathways in cancer. </w:t>
      </w:r>
      <w:r w:rsidRPr="008A0130">
        <w:rPr>
          <w:rFonts w:ascii="Book Antiqua" w:eastAsia="宋体" w:hAnsi="Book Antiqua" w:cs="宋体"/>
          <w:i/>
          <w:iCs/>
          <w:color w:val="000000"/>
          <w:lang w:eastAsia="zh-CN"/>
        </w:rPr>
        <w:t>Nature</w:t>
      </w:r>
      <w:r w:rsidRPr="008A0130">
        <w:rPr>
          <w:rFonts w:ascii="Book Antiqua" w:eastAsia="宋体" w:hAnsi="Book Antiqua" w:cs="宋体"/>
          <w:color w:val="000000"/>
          <w:lang w:eastAsia="zh-CN"/>
        </w:rPr>
        <w:t> 2001; </w:t>
      </w:r>
      <w:r w:rsidRPr="008A0130">
        <w:rPr>
          <w:rFonts w:ascii="Book Antiqua" w:eastAsia="宋体" w:hAnsi="Book Antiqua" w:cs="宋体"/>
          <w:b/>
          <w:bCs/>
          <w:color w:val="000000"/>
          <w:lang w:eastAsia="zh-CN"/>
        </w:rPr>
        <w:t>411</w:t>
      </w:r>
      <w:r w:rsidRPr="008A0130">
        <w:rPr>
          <w:rFonts w:ascii="Book Antiqua" w:eastAsia="宋体" w:hAnsi="Book Antiqua" w:cs="宋体"/>
          <w:color w:val="000000"/>
          <w:lang w:eastAsia="zh-CN"/>
        </w:rPr>
        <w:t>: 349-354 [PMID: 11357142 DOI: 10.1038/35077219]</w:t>
      </w:r>
    </w:p>
    <w:p w14:paraId="3ABF37A2" w14:textId="05C4766C" w:rsidR="00950BD5" w:rsidRPr="008A0130" w:rsidRDefault="001B2241" w:rsidP="008A0130">
      <w:pPr>
        <w:pStyle w:val="ListParagraph"/>
        <w:spacing w:line="360" w:lineRule="auto"/>
        <w:ind w:left="0"/>
        <w:jc w:val="both"/>
        <w:rPr>
          <w:rFonts w:ascii="Book Antiqua" w:eastAsia="宋体" w:hAnsi="Book Antiqua" w:cs="Times New Roman"/>
          <w:lang w:val="es-ES_tradnl" w:eastAsia="zh-CN"/>
        </w:rPr>
      </w:pPr>
      <w:r w:rsidRPr="008A0130">
        <w:rPr>
          <w:rFonts w:ascii="Book Antiqua" w:eastAsia="宋体" w:hAnsi="Book Antiqua" w:cs="宋体" w:hint="eastAsia"/>
          <w:color w:val="000000"/>
          <w:lang w:eastAsia="zh-CN"/>
        </w:rPr>
        <w:t>188</w:t>
      </w:r>
      <w:r w:rsidRPr="008A0130">
        <w:rPr>
          <w:rFonts w:ascii="Book Antiqua" w:hAnsi="Book Antiqua" w:cs="Times New Roman"/>
          <w:lang w:val="es-ES_tradnl"/>
        </w:rPr>
        <w:t xml:space="preserve"> </w:t>
      </w:r>
      <w:r w:rsidRPr="008A0130">
        <w:rPr>
          <w:rFonts w:ascii="Book Antiqua" w:hAnsi="Book Antiqua" w:cs="Times New Roman"/>
          <w:b/>
          <w:lang w:val="es-ES_tradnl"/>
        </w:rPr>
        <w:t>Nguyen LV,</w:t>
      </w:r>
      <w:r w:rsidRPr="008A0130">
        <w:rPr>
          <w:rFonts w:ascii="Book Antiqua" w:hAnsi="Book Antiqua" w:cs="Times New Roman"/>
          <w:lang w:val="es-ES_tradnl"/>
        </w:rPr>
        <w:t xml:space="preserve"> Vanner R, Dirks P, Eaves CJ. Cancer stem cells: an evolving concept. </w:t>
      </w:r>
      <w:r w:rsidRPr="008A0130">
        <w:rPr>
          <w:rFonts w:ascii="Book Antiqua" w:hAnsi="Book Antiqua" w:cs="Times New Roman"/>
          <w:i/>
          <w:lang w:val="es-ES_tradnl"/>
        </w:rPr>
        <w:t xml:space="preserve">Nat Rev </w:t>
      </w:r>
      <w:r w:rsidRPr="008A0130">
        <w:rPr>
          <w:rFonts w:ascii="MS Mincho" w:eastAsia="MS Mincho" w:hAnsi="MS Mincho" w:cs="MS Mincho" w:hint="eastAsia"/>
          <w:i/>
          <w:lang w:val="es-ES_tradnl"/>
        </w:rPr>
        <w:t> </w:t>
      </w:r>
      <w:r w:rsidRPr="008A0130">
        <w:rPr>
          <w:rFonts w:ascii="Book Antiqua" w:hAnsi="Book Antiqua" w:cs="Times New Roman"/>
          <w:i/>
          <w:lang w:val="es-ES_tradnl"/>
        </w:rPr>
        <w:t>Cancer</w:t>
      </w:r>
      <w:r w:rsidRPr="008A0130">
        <w:rPr>
          <w:rFonts w:ascii="Book Antiqua" w:hAnsi="Book Antiqua" w:cs="Times New Roman"/>
          <w:lang w:val="es-ES_tradnl"/>
        </w:rPr>
        <w:t xml:space="preserve"> 2012; </w:t>
      </w:r>
      <w:r w:rsidRPr="008A0130">
        <w:rPr>
          <w:rFonts w:ascii="Book Antiqua" w:hAnsi="Book Antiqua" w:cs="Times New Roman"/>
          <w:b/>
          <w:lang w:val="es-ES_tradnl"/>
        </w:rPr>
        <w:t xml:space="preserve">12: </w:t>
      </w:r>
      <w:r w:rsidRPr="008A0130">
        <w:rPr>
          <w:rFonts w:ascii="Book Antiqua" w:hAnsi="Book Antiqua" w:cs="Times New Roman"/>
          <w:lang w:val="es-ES_tradnl"/>
        </w:rPr>
        <w:t>133</w:t>
      </w:r>
      <w:r w:rsidRPr="008A0130">
        <w:rPr>
          <w:rFonts w:ascii="Book Antiqua" w:hAnsi="Book Antiqua" w:cs="Book Antiqua"/>
          <w:lang w:val="es-ES_tradnl"/>
        </w:rPr>
        <w:t>–</w:t>
      </w:r>
      <w:r w:rsidRPr="008A0130">
        <w:rPr>
          <w:rFonts w:ascii="Book Antiqua" w:hAnsi="Book Antiqua" w:cs="Times New Roman"/>
          <w:lang w:val="es-ES_tradnl"/>
        </w:rPr>
        <w:t xml:space="preserve">143 </w:t>
      </w:r>
      <w:r w:rsidRPr="008A0130">
        <w:rPr>
          <w:rFonts w:ascii="Book Antiqua" w:eastAsia="宋体" w:hAnsi="Book Antiqua" w:cs="Times New Roman" w:hint="eastAsia"/>
          <w:lang w:val="es-ES_tradnl" w:eastAsia="zh-CN"/>
        </w:rPr>
        <w:t>[</w:t>
      </w:r>
      <w:r w:rsidRPr="008A0130">
        <w:rPr>
          <w:rFonts w:ascii="Book Antiqua" w:hAnsi="Book Antiqua" w:cs="Times New Roman"/>
          <w:lang w:val="es-ES_tradnl"/>
        </w:rPr>
        <w:t>PMID: 22237392 DOI: 10.1038/nrc3184</w:t>
      </w:r>
      <w:r w:rsidRPr="008A0130">
        <w:rPr>
          <w:rFonts w:ascii="Book Antiqua" w:eastAsia="宋体" w:hAnsi="Book Antiqua" w:cs="Times New Roman" w:hint="eastAsia"/>
          <w:lang w:val="es-ES_tradnl" w:eastAsia="zh-CN"/>
        </w:rPr>
        <w:t>]</w:t>
      </w:r>
    </w:p>
    <w:p w14:paraId="54C60DC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189 </w:t>
      </w:r>
      <w:r w:rsidRPr="008A0130">
        <w:rPr>
          <w:rFonts w:ascii="Book Antiqua" w:eastAsia="宋体" w:hAnsi="Book Antiqua" w:cs="宋体"/>
          <w:b/>
          <w:bCs/>
          <w:color w:val="000000"/>
          <w:lang w:eastAsia="zh-CN"/>
        </w:rPr>
        <w:t>Zhu Y</w:t>
      </w:r>
      <w:r w:rsidRPr="008A0130">
        <w:rPr>
          <w:rFonts w:ascii="Book Antiqua" w:eastAsia="宋体" w:hAnsi="Book Antiqua" w:cs="宋体"/>
          <w:color w:val="000000"/>
          <w:lang w:eastAsia="zh-CN"/>
        </w:rPr>
        <w:t>, Sun Z, Han Q, Liao L, Wang J, Bian C, Li J, Yan X, Liu Y, Shao C, Zhao RC. Human mesenchymal stem cells inhibit cancer cell proliferation by secreting DKK-1. </w:t>
      </w:r>
      <w:r w:rsidRPr="008A0130">
        <w:rPr>
          <w:rFonts w:ascii="Book Antiqua" w:eastAsia="宋体" w:hAnsi="Book Antiqua" w:cs="宋体"/>
          <w:i/>
          <w:iCs/>
          <w:color w:val="000000"/>
          <w:lang w:eastAsia="zh-CN"/>
        </w:rPr>
        <w:t>Leukemia</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23</w:t>
      </w:r>
      <w:r w:rsidRPr="008A0130">
        <w:rPr>
          <w:rFonts w:ascii="Book Antiqua" w:eastAsia="宋体" w:hAnsi="Book Antiqua" w:cs="宋体"/>
          <w:color w:val="000000"/>
          <w:lang w:eastAsia="zh-CN"/>
        </w:rPr>
        <w:t>: 925-933 [PMID: 19148141]</w:t>
      </w:r>
    </w:p>
    <w:p w14:paraId="4D0A7F0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190 </w:t>
      </w:r>
      <w:r w:rsidRPr="008A0130">
        <w:rPr>
          <w:rFonts w:ascii="Book Antiqua" w:eastAsia="宋体" w:hAnsi="Book Antiqua" w:cs="宋体"/>
          <w:b/>
          <w:bCs/>
          <w:color w:val="000000"/>
          <w:lang w:eastAsia="zh-CN"/>
        </w:rPr>
        <w:t>Teng Y</w:t>
      </w:r>
      <w:r w:rsidRPr="008A0130">
        <w:rPr>
          <w:rFonts w:ascii="Book Antiqua" w:eastAsia="宋体" w:hAnsi="Book Antiqua" w:cs="宋体"/>
          <w:color w:val="000000"/>
          <w:lang w:eastAsia="zh-CN"/>
        </w:rPr>
        <w:t>, Wang X, Wang Y, Ma D. Wnt/beta-catenin signaling regulates cancer stem cells in lung cancer A549 cells. </w:t>
      </w:r>
      <w:r w:rsidRPr="008A0130">
        <w:rPr>
          <w:rFonts w:ascii="Book Antiqua" w:eastAsia="宋体" w:hAnsi="Book Antiqua" w:cs="宋体"/>
          <w:i/>
          <w:iCs/>
          <w:color w:val="000000"/>
          <w:lang w:eastAsia="zh-CN"/>
        </w:rPr>
        <w:t>Biochem Biophys Res Commun</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392</w:t>
      </w:r>
      <w:r w:rsidRPr="008A0130">
        <w:rPr>
          <w:rFonts w:ascii="Book Antiqua" w:eastAsia="宋体" w:hAnsi="Book Antiqua" w:cs="宋体"/>
          <w:color w:val="000000"/>
          <w:lang w:eastAsia="zh-CN"/>
        </w:rPr>
        <w:t>: 373-379 [PMID: 20074550 DOI: 10.1016/j.bbrc.2010.01.028]</w:t>
      </w:r>
    </w:p>
    <w:p w14:paraId="26B8082F" w14:textId="31F59C8F"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191</w:t>
      </w:r>
      <w:r w:rsidRPr="008A0130">
        <w:rPr>
          <w:rFonts w:ascii="Book Antiqua" w:eastAsia="宋体" w:hAnsi="Book Antiqua" w:cs="宋体"/>
          <w:b/>
          <w:color w:val="000000"/>
          <w:lang w:eastAsia="zh-CN"/>
        </w:rPr>
        <w:t xml:space="preserve"> </w:t>
      </w:r>
      <w:r w:rsidR="001B2241" w:rsidRPr="008A0130">
        <w:rPr>
          <w:rFonts w:ascii="Book Antiqua" w:hAnsi="Book Antiqua" w:cs="Times New Roman"/>
          <w:b/>
          <w:lang w:val="es-ES_tradnl"/>
        </w:rPr>
        <w:t>Sun M,</w:t>
      </w:r>
      <w:r w:rsidR="001B2241" w:rsidRPr="008A0130">
        <w:rPr>
          <w:rFonts w:ascii="Book Antiqua" w:hAnsi="Book Antiqua" w:cs="Times New Roman"/>
          <w:lang w:val="es-ES_tradnl"/>
        </w:rPr>
        <w:t xml:space="preserve"> Zhou W, Zhang YY, Wang DL, Wu XL</w:t>
      </w:r>
      <w:r w:rsidRPr="008A0130">
        <w:rPr>
          <w:rFonts w:ascii="Book Antiqua" w:eastAsia="宋体" w:hAnsi="Book Antiqua" w:cs="宋体"/>
          <w:color w:val="000000"/>
          <w:lang w:eastAsia="zh-CN"/>
        </w:rPr>
        <w:t>. CD44(+) gastric cancer cells with stemness properties are chemoradioresistant and highly invasive. </w:t>
      </w:r>
      <w:r w:rsidRPr="008A0130">
        <w:rPr>
          <w:rFonts w:ascii="Book Antiqua" w:eastAsia="宋体" w:hAnsi="Book Antiqua" w:cs="宋体"/>
          <w:i/>
          <w:iCs/>
          <w:color w:val="000000"/>
          <w:lang w:eastAsia="zh-CN"/>
        </w:rPr>
        <w:t>Oncol Lett</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1793-1798 [PMID: 23833643]</w:t>
      </w:r>
    </w:p>
    <w:p w14:paraId="7D1EC85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192 </w:t>
      </w:r>
      <w:r w:rsidRPr="008A0130">
        <w:rPr>
          <w:rFonts w:ascii="Book Antiqua" w:eastAsia="宋体" w:hAnsi="Book Antiqua" w:cs="宋体"/>
          <w:b/>
          <w:bCs/>
          <w:color w:val="000000"/>
          <w:lang w:eastAsia="zh-CN"/>
        </w:rPr>
        <w:t>Hashimoto K</w:t>
      </w:r>
      <w:r w:rsidRPr="008A0130">
        <w:rPr>
          <w:rFonts w:ascii="Book Antiqua" w:eastAsia="宋体" w:hAnsi="Book Antiqua" w:cs="宋体"/>
          <w:color w:val="000000"/>
          <w:lang w:eastAsia="zh-CN"/>
        </w:rPr>
        <w:t>, Aoyagi K, Isobe T, Kouhuji K, Shirouzu K. Expression of CD133 in the cytoplasm is associated with cancer progression and poor prognosis in gastric cancer. </w:t>
      </w:r>
      <w:r w:rsidRPr="008A0130">
        <w:rPr>
          <w:rFonts w:ascii="Book Antiqua" w:eastAsia="宋体" w:hAnsi="Book Antiqua" w:cs="宋体"/>
          <w:i/>
          <w:iCs/>
          <w:color w:val="000000"/>
          <w:lang w:eastAsia="zh-CN"/>
        </w:rPr>
        <w:t>Gastric Cancer</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17</w:t>
      </w:r>
      <w:r w:rsidRPr="008A0130">
        <w:rPr>
          <w:rFonts w:ascii="Book Antiqua" w:eastAsia="宋体" w:hAnsi="Book Antiqua" w:cs="宋体"/>
          <w:color w:val="000000"/>
          <w:lang w:eastAsia="zh-CN"/>
        </w:rPr>
        <w:t>: 97-106 [PMID: 23558457 DOI: 10.1007/s10120-013-0255-9]</w:t>
      </w:r>
    </w:p>
    <w:p w14:paraId="20F8A69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193 </w:t>
      </w:r>
      <w:r w:rsidRPr="008A0130">
        <w:rPr>
          <w:rFonts w:ascii="Book Antiqua" w:eastAsia="宋体" w:hAnsi="Book Antiqua" w:cs="宋体"/>
          <w:b/>
          <w:bCs/>
          <w:color w:val="000000"/>
          <w:lang w:eastAsia="zh-CN"/>
        </w:rPr>
        <w:t>Wen L</w:t>
      </w:r>
      <w:r w:rsidRPr="008A0130">
        <w:rPr>
          <w:rFonts w:ascii="Book Antiqua" w:eastAsia="宋体" w:hAnsi="Book Antiqua" w:cs="宋体"/>
          <w:color w:val="000000"/>
          <w:lang w:eastAsia="zh-CN"/>
        </w:rPr>
        <w:t>, Chen XZ, Yang K, Chen ZX, Zhang B, Chen JP, Zhou ZG, Mo XM, Hu JK. Prognostic value of cancer stem cell marker CD133 expression in gastric cancer: a systematic review.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8</w:t>
      </w:r>
      <w:r w:rsidRPr="008A0130">
        <w:rPr>
          <w:rFonts w:ascii="Book Antiqua" w:eastAsia="宋体" w:hAnsi="Book Antiqua" w:cs="宋体"/>
          <w:color w:val="000000"/>
          <w:lang w:eastAsia="zh-CN"/>
        </w:rPr>
        <w:t>: e59154 [PMID: 23533603 DOI: 10.1371/journal.pone.0059154]</w:t>
      </w:r>
    </w:p>
    <w:p w14:paraId="7E1AF75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194 </w:t>
      </w:r>
      <w:r w:rsidRPr="008A0130">
        <w:rPr>
          <w:rFonts w:ascii="Book Antiqua" w:eastAsia="宋体" w:hAnsi="Book Antiqua" w:cs="宋体"/>
          <w:b/>
          <w:bCs/>
          <w:color w:val="000000"/>
          <w:lang w:eastAsia="zh-CN"/>
        </w:rPr>
        <w:t>Zhi QM</w:t>
      </w:r>
      <w:r w:rsidRPr="008A0130">
        <w:rPr>
          <w:rFonts w:ascii="Book Antiqua" w:eastAsia="宋体" w:hAnsi="Book Antiqua" w:cs="宋体"/>
          <w:color w:val="000000"/>
          <w:lang w:eastAsia="zh-CN"/>
        </w:rPr>
        <w:t>, Chen XH, Ji J, Zhang JN, Li JF, Cai Q, Liu BY, Gu QL, Zhu ZG, Yu YY. Salinomycin can effectively kill ALDH(high) stem-like cells on gastric cancer. </w:t>
      </w:r>
      <w:r w:rsidRPr="008A0130">
        <w:rPr>
          <w:rFonts w:ascii="Book Antiqua" w:eastAsia="宋体" w:hAnsi="Book Antiqua" w:cs="宋体"/>
          <w:i/>
          <w:iCs/>
          <w:color w:val="000000"/>
          <w:lang w:eastAsia="zh-CN"/>
        </w:rPr>
        <w:t>Biomed Pharmacother</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65</w:t>
      </w:r>
      <w:r w:rsidRPr="008A0130">
        <w:rPr>
          <w:rFonts w:ascii="Book Antiqua" w:eastAsia="宋体" w:hAnsi="Book Antiqua" w:cs="宋体"/>
          <w:color w:val="000000"/>
          <w:lang w:eastAsia="zh-CN"/>
        </w:rPr>
        <w:t>: 509-515 [PMID: 21996439 DOI: 10.1016/j.biopha.2011.06.006]</w:t>
      </w:r>
    </w:p>
    <w:p w14:paraId="6B8FCFA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195 </w:t>
      </w:r>
      <w:r w:rsidRPr="008A0130">
        <w:rPr>
          <w:rFonts w:ascii="Book Antiqua" w:eastAsia="宋体" w:hAnsi="Book Antiqua" w:cs="宋体"/>
          <w:b/>
          <w:bCs/>
          <w:color w:val="000000"/>
          <w:lang w:eastAsia="zh-CN"/>
        </w:rPr>
        <w:t>Talbot LJ</w:t>
      </w:r>
      <w:r w:rsidRPr="008A0130">
        <w:rPr>
          <w:rFonts w:ascii="Book Antiqua" w:eastAsia="宋体" w:hAnsi="Book Antiqua" w:cs="宋体"/>
          <w:color w:val="000000"/>
          <w:lang w:eastAsia="zh-CN"/>
        </w:rPr>
        <w:t>, Bhattacharya SD, Kuo PC. Epithelial-mesenchymal transition, the tumor microenvironment, and metastatic behavior of epithelial malignancies. </w:t>
      </w:r>
      <w:r w:rsidRPr="008A0130">
        <w:rPr>
          <w:rFonts w:ascii="Book Antiqua" w:eastAsia="宋体" w:hAnsi="Book Antiqua" w:cs="宋体"/>
          <w:i/>
          <w:iCs/>
          <w:color w:val="000000"/>
          <w:lang w:eastAsia="zh-CN"/>
        </w:rPr>
        <w:t>Int J Biochem Mol Biol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3</w:t>
      </w:r>
      <w:r w:rsidRPr="008A0130">
        <w:rPr>
          <w:rFonts w:ascii="Book Antiqua" w:eastAsia="宋体" w:hAnsi="Book Antiqua" w:cs="宋体"/>
          <w:color w:val="000000"/>
          <w:lang w:eastAsia="zh-CN"/>
        </w:rPr>
        <w:t>: 117-136 [PMID: 22773954]</w:t>
      </w:r>
    </w:p>
    <w:p w14:paraId="071ED81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196 </w:t>
      </w:r>
      <w:r w:rsidRPr="008A0130">
        <w:rPr>
          <w:rFonts w:ascii="Book Antiqua" w:eastAsia="宋体" w:hAnsi="Book Antiqua" w:cs="宋体"/>
          <w:b/>
          <w:bCs/>
          <w:color w:val="000000"/>
          <w:lang w:eastAsia="zh-CN"/>
        </w:rPr>
        <w:t>Hanaki H</w:t>
      </w:r>
      <w:r w:rsidRPr="008A0130">
        <w:rPr>
          <w:rFonts w:ascii="Book Antiqua" w:eastAsia="宋体" w:hAnsi="Book Antiqua" w:cs="宋体"/>
          <w:color w:val="000000"/>
          <w:lang w:eastAsia="zh-CN"/>
        </w:rPr>
        <w:t>, Yamamoto H, Sakane H, Matsumoto S, Ohdan H, Sato A, Kikuchi A. An anti-Wnt5a antibody suppresses metastasis of gastric cancer cells in vivo by inhibiting receptor-mediated endocytosis. </w:t>
      </w:r>
      <w:r w:rsidRPr="008A0130">
        <w:rPr>
          <w:rFonts w:ascii="Book Antiqua" w:eastAsia="宋体" w:hAnsi="Book Antiqua" w:cs="宋体"/>
          <w:i/>
          <w:iCs/>
          <w:color w:val="000000"/>
          <w:lang w:eastAsia="zh-CN"/>
        </w:rPr>
        <w:t>Mol Cancer Ther</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11</w:t>
      </w:r>
      <w:r w:rsidRPr="008A0130">
        <w:rPr>
          <w:rFonts w:ascii="Book Antiqua" w:eastAsia="宋体" w:hAnsi="Book Antiqua" w:cs="宋体"/>
          <w:color w:val="000000"/>
          <w:lang w:eastAsia="zh-CN"/>
        </w:rPr>
        <w:t>: 298-307 [PMID: 22101459 DOI: 10.1158/1535-7163.MCT-11-0682]</w:t>
      </w:r>
    </w:p>
    <w:p w14:paraId="4555E09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197 </w:t>
      </w:r>
      <w:r w:rsidRPr="008A0130">
        <w:rPr>
          <w:rFonts w:ascii="Book Antiqua" w:eastAsia="宋体" w:hAnsi="Book Antiqua" w:cs="宋体"/>
          <w:b/>
          <w:bCs/>
          <w:color w:val="000000"/>
          <w:lang w:eastAsia="zh-CN"/>
        </w:rPr>
        <w:t>Yamamoto H</w:t>
      </w:r>
      <w:r w:rsidRPr="008A0130">
        <w:rPr>
          <w:rFonts w:ascii="Book Antiqua" w:eastAsia="宋体" w:hAnsi="Book Antiqua" w:cs="宋体"/>
          <w:color w:val="000000"/>
          <w:lang w:eastAsia="zh-CN"/>
        </w:rPr>
        <w:t>, Kitadai Y, Yamamoto H, Oue N, Ohdan H, Yasui W, Kikuchi A. Laminin gamma2 mediates Wnt5a-induced invasion of gastric cancer cells. </w:t>
      </w:r>
      <w:r w:rsidRPr="008A0130">
        <w:rPr>
          <w:rFonts w:ascii="Book Antiqua" w:eastAsia="宋体" w:hAnsi="Book Antiqua" w:cs="宋体"/>
          <w:i/>
          <w:iCs/>
          <w:color w:val="000000"/>
          <w:lang w:eastAsia="zh-CN"/>
        </w:rPr>
        <w:t>Gastroenterology</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137</w:t>
      </w:r>
      <w:r w:rsidRPr="008A0130">
        <w:rPr>
          <w:rFonts w:ascii="Book Antiqua" w:eastAsia="宋体" w:hAnsi="Book Antiqua" w:cs="宋体"/>
          <w:color w:val="000000"/>
          <w:lang w:eastAsia="zh-CN"/>
        </w:rPr>
        <w:t>: 242-52, 252.e1-6 [PMID: 19582886 DOI: 10.1053/j.gastro.2009.02.003]</w:t>
      </w:r>
    </w:p>
    <w:p w14:paraId="0A9718E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198 </w:t>
      </w:r>
      <w:r w:rsidRPr="008A0130">
        <w:rPr>
          <w:rFonts w:ascii="Book Antiqua" w:eastAsia="宋体" w:hAnsi="Book Antiqua" w:cs="宋体"/>
          <w:b/>
          <w:bCs/>
          <w:color w:val="000000"/>
          <w:lang w:eastAsia="zh-CN"/>
        </w:rPr>
        <w:t>Miyazawa K</w:t>
      </w:r>
      <w:r w:rsidRPr="008A0130">
        <w:rPr>
          <w:rFonts w:ascii="Book Antiqua" w:eastAsia="宋体" w:hAnsi="Book Antiqua" w:cs="宋体"/>
          <w:color w:val="000000"/>
          <w:lang w:eastAsia="zh-CN"/>
        </w:rPr>
        <w:t>, Iwaya K, Kuroda M, Harada M, Serizawa H, Koyanagi Y, Sato Y, Mizokami Y, Matsuoka T, Mukai K. Nuclear accumulation of beta-catenin in intestinal-type gastric carcinoma: correlation with early tumor invasion. </w:t>
      </w:r>
      <w:r w:rsidRPr="008A0130">
        <w:rPr>
          <w:rFonts w:ascii="Book Antiqua" w:eastAsia="宋体" w:hAnsi="Book Antiqua" w:cs="宋体"/>
          <w:i/>
          <w:iCs/>
          <w:color w:val="000000"/>
          <w:lang w:eastAsia="zh-CN"/>
        </w:rPr>
        <w:t>Virchows Arch</w:t>
      </w:r>
      <w:r w:rsidRPr="008A0130">
        <w:rPr>
          <w:rFonts w:ascii="Book Antiqua" w:eastAsia="宋体" w:hAnsi="Book Antiqua" w:cs="宋体"/>
          <w:color w:val="000000"/>
          <w:lang w:eastAsia="zh-CN"/>
        </w:rPr>
        <w:t> 2000; </w:t>
      </w:r>
      <w:r w:rsidRPr="008A0130">
        <w:rPr>
          <w:rFonts w:ascii="Book Antiqua" w:eastAsia="宋体" w:hAnsi="Book Antiqua" w:cs="宋体"/>
          <w:b/>
          <w:bCs/>
          <w:color w:val="000000"/>
          <w:lang w:eastAsia="zh-CN"/>
        </w:rPr>
        <w:t>437</w:t>
      </w:r>
      <w:r w:rsidRPr="008A0130">
        <w:rPr>
          <w:rFonts w:ascii="Book Antiqua" w:eastAsia="宋体" w:hAnsi="Book Antiqua" w:cs="宋体"/>
          <w:color w:val="000000"/>
          <w:lang w:eastAsia="zh-CN"/>
        </w:rPr>
        <w:t>: 508-513 [PMID: 11147171 DOI: 10.1007/s004280000283]</w:t>
      </w:r>
    </w:p>
    <w:p w14:paraId="61A3AB1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199 </w:t>
      </w:r>
      <w:r w:rsidRPr="008A0130">
        <w:rPr>
          <w:rFonts w:ascii="Book Antiqua" w:eastAsia="宋体" w:hAnsi="Book Antiqua" w:cs="宋体"/>
          <w:b/>
          <w:bCs/>
          <w:color w:val="000000"/>
          <w:lang w:eastAsia="zh-CN"/>
        </w:rPr>
        <w:t>Lowy AM</w:t>
      </w:r>
      <w:r w:rsidRPr="008A0130">
        <w:rPr>
          <w:rFonts w:ascii="Book Antiqua" w:eastAsia="宋体" w:hAnsi="Book Antiqua" w:cs="宋体"/>
          <w:color w:val="000000"/>
          <w:lang w:eastAsia="zh-CN"/>
        </w:rPr>
        <w:t>, Clements WM, Bishop J, Kong L, Bonney T, Sisco K, Aronow B, Fenoglio-Preiser C, Groden J. beta-Catenin/Wnt signaling regulates expression of the membrane type 3 matrix metalloproteinase in gastric cancer.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66</w:t>
      </w:r>
      <w:r w:rsidRPr="008A0130">
        <w:rPr>
          <w:rFonts w:ascii="Book Antiqua" w:eastAsia="宋体" w:hAnsi="Book Antiqua" w:cs="宋体"/>
          <w:color w:val="000000"/>
          <w:lang w:eastAsia="zh-CN"/>
        </w:rPr>
        <w:t>: 4734-4741 [PMID: 16651426 DOI: 10.1158/0008-5472.CAN-05-4268]</w:t>
      </w:r>
    </w:p>
    <w:p w14:paraId="5EE7624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200 </w:t>
      </w:r>
      <w:r w:rsidRPr="008A0130">
        <w:rPr>
          <w:rFonts w:ascii="Book Antiqua" w:eastAsia="宋体" w:hAnsi="Book Antiqua" w:cs="宋体"/>
          <w:b/>
          <w:bCs/>
          <w:color w:val="000000"/>
          <w:lang w:eastAsia="zh-CN"/>
        </w:rPr>
        <w:t>Huang J</w:t>
      </w:r>
      <w:r w:rsidRPr="008A0130">
        <w:rPr>
          <w:rFonts w:ascii="Book Antiqua" w:eastAsia="宋体" w:hAnsi="Book Antiqua" w:cs="宋体"/>
          <w:color w:val="000000"/>
          <w:lang w:eastAsia="zh-CN"/>
        </w:rPr>
        <w:t>, Xiao D, Li G, Ma J, Chen P, Yuan W, Hou F, Ge J, Zhong M, Tang Y, Xia X, Chen Z. EphA2 promotes epithelial-mesenchymal transition through the Wnt/β-catenin pathway in gastric cancer cells.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33</w:t>
      </w:r>
      <w:r w:rsidRPr="008A0130">
        <w:rPr>
          <w:rFonts w:ascii="Book Antiqua" w:eastAsia="宋体" w:hAnsi="Book Antiqua" w:cs="宋体"/>
          <w:color w:val="000000"/>
          <w:lang w:eastAsia="zh-CN"/>
        </w:rPr>
        <w:t>: 2737-2747 [PMID: 23752181 DOI: 10.1038/onc.2013.238]</w:t>
      </w:r>
    </w:p>
    <w:p w14:paraId="6DB21E39" w14:textId="5107CD2B"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201 </w:t>
      </w:r>
      <w:r w:rsidRPr="008A0130">
        <w:rPr>
          <w:rFonts w:ascii="Book Antiqua" w:eastAsia="宋体" w:hAnsi="Book Antiqua" w:cs="宋体"/>
          <w:b/>
          <w:bCs/>
          <w:color w:val="000000"/>
          <w:lang w:eastAsia="zh-CN"/>
        </w:rPr>
        <w:t>Kim B</w:t>
      </w:r>
      <w:r w:rsidRPr="008A0130">
        <w:rPr>
          <w:rFonts w:ascii="Book Antiqua" w:eastAsia="宋体" w:hAnsi="Book Antiqua" w:cs="宋体"/>
          <w:color w:val="000000"/>
          <w:lang w:eastAsia="zh-CN"/>
        </w:rPr>
        <w:t xml:space="preserve">, Koo H, Yang S, Bang S, Jung Y, Kim Y, Kim J, Park J, Moon RT, Song K, Lee I. TC1(C8orf4) correlates with Wnt/beta-catenin target genes and </w:t>
      </w:r>
      <w:r w:rsidRPr="008A0130">
        <w:rPr>
          <w:rFonts w:ascii="Book Antiqua" w:eastAsia="宋体" w:hAnsi="Book Antiqua" w:cs="宋体"/>
          <w:color w:val="000000"/>
          <w:lang w:eastAsia="zh-CN"/>
        </w:rPr>
        <w:lastRenderedPageBreak/>
        <w:t>aggressive biological behavior in gastric cancer. </w:t>
      </w:r>
      <w:r w:rsidRPr="008A0130">
        <w:rPr>
          <w:rFonts w:ascii="Book Antiqua" w:eastAsia="宋体" w:hAnsi="Book Antiqua" w:cs="宋体"/>
          <w:i/>
          <w:iCs/>
          <w:color w:val="000000"/>
          <w:lang w:eastAsia="zh-CN"/>
        </w:rPr>
        <w:t>Clin Cancer Res</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12</w:t>
      </w:r>
      <w:r w:rsidRPr="008A0130">
        <w:rPr>
          <w:rFonts w:ascii="Book Antiqua" w:eastAsia="宋体" w:hAnsi="Book Antiqua" w:cs="宋体"/>
          <w:color w:val="000000"/>
          <w:lang w:eastAsia="zh-CN"/>
        </w:rPr>
        <w:t xml:space="preserve">: 3541-3548 [PMID: 16740781 DOI: </w:t>
      </w:r>
      <w:r w:rsidR="008A0130">
        <w:rPr>
          <w:rFonts w:ascii="Book Antiqua" w:eastAsia="宋体" w:hAnsi="Book Antiqua" w:cs="宋体" w:hint="eastAsia"/>
          <w:color w:val="000000"/>
          <w:lang w:eastAsia="zh-CN"/>
        </w:rPr>
        <w:t>1</w:t>
      </w:r>
      <w:r w:rsidRPr="008A0130">
        <w:rPr>
          <w:rFonts w:ascii="Book Antiqua" w:eastAsia="宋体" w:hAnsi="Book Antiqua" w:cs="宋体"/>
          <w:color w:val="000000"/>
          <w:lang w:eastAsia="zh-CN"/>
        </w:rPr>
        <w:t>0.1158/1078-0432.CCR-05-2440]</w:t>
      </w:r>
    </w:p>
    <w:p w14:paraId="653E682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202 </w:t>
      </w:r>
      <w:r w:rsidRPr="008A0130">
        <w:rPr>
          <w:rFonts w:ascii="Book Antiqua" w:eastAsia="宋体" w:hAnsi="Book Antiqua" w:cs="宋体"/>
          <w:b/>
          <w:bCs/>
          <w:color w:val="000000"/>
          <w:lang w:eastAsia="zh-CN"/>
        </w:rPr>
        <w:t>Kim B</w:t>
      </w:r>
      <w:r w:rsidRPr="008A0130">
        <w:rPr>
          <w:rFonts w:ascii="Book Antiqua" w:eastAsia="宋体" w:hAnsi="Book Antiqua" w:cs="宋体"/>
          <w:color w:val="000000"/>
          <w:lang w:eastAsia="zh-CN"/>
        </w:rPr>
        <w:t>, Bang S, Lee S, Kim S, Jung Y, Lee C, Choi K, Lee SG, Lee K, Lee Y, Kim SS, Yeom YI, Kim YS, Yoo HS, Song K, Lee I. Expression profiling and subtype-specific expression of stomach cancer.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2003; </w:t>
      </w:r>
      <w:r w:rsidRPr="008A0130">
        <w:rPr>
          <w:rFonts w:ascii="Book Antiqua" w:eastAsia="宋体" w:hAnsi="Book Antiqua" w:cs="宋体"/>
          <w:b/>
          <w:bCs/>
          <w:color w:val="000000"/>
          <w:lang w:eastAsia="zh-CN"/>
        </w:rPr>
        <w:t>63</w:t>
      </w:r>
      <w:r w:rsidRPr="008A0130">
        <w:rPr>
          <w:rFonts w:ascii="Book Antiqua" w:eastAsia="宋体" w:hAnsi="Book Antiqua" w:cs="宋体"/>
          <w:color w:val="000000"/>
          <w:lang w:eastAsia="zh-CN"/>
        </w:rPr>
        <w:t>: 8248-8255 [PMID: 14678982]</w:t>
      </w:r>
    </w:p>
    <w:p w14:paraId="262E1B7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203 </w:t>
      </w:r>
      <w:r w:rsidRPr="008A0130">
        <w:rPr>
          <w:rFonts w:ascii="Book Antiqua" w:eastAsia="宋体" w:hAnsi="Book Antiqua" w:cs="宋体"/>
          <w:b/>
          <w:bCs/>
          <w:color w:val="000000"/>
          <w:lang w:eastAsia="zh-CN"/>
        </w:rPr>
        <w:t>Jung Y</w:t>
      </w:r>
      <w:r w:rsidRPr="008A0130">
        <w:rPr>
          <w:rFonts w:ascii="Book Antiqua" w:eastAsia="宋体" w:hAnsi="Book Antiqua" w:cs="宋体"/>
          <w:color w:val="000000"/>
          <w:lang w:eastAsia="zh-CN"/>
        </w:rPr>
        <w:t>, Bang S, Choi K, Kim E, Kim Y, Kim J, Park J, Koo H, Moon RT, Song K, Lee I. TC1 (C8orf4) enhances the Wnt/beta-catenin pathway by relieving antagonistic activity of Chibby.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66</w:t>
      </w:r>
      <w:r w:rsidRPr="008A0130">
        <w:rPr>
          <w:rFonts w:ascii="Book Antiqua" w:eastAsia="宋体" w:hAnsi="Book Antiqua" w:cs="宋体"/>
          <w:color w:val="000000"/>
          <w:lang w:eastAsia="zh-CN"/>
        </w:rPr>
        <w:t>: 723-728 [PMID: 16424001 DOI: 10.1158/0008-5472.CAN-05-3124]</w:t>
      </w:r>
    </w:p>
    <w:p w14:paraId="51DFD39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204 </w:t>
      </w:r>
      <w:r w:rsidRPr="008A0130">
        <w:rPr>
          <w:rFonts w:ascii="Book Antiqua" w:eastAsia="宋体" w:hAnsi="Book Antiqua" w:cs="宋体"/>
          <w:b/>
          <w:bCs/>
          <w:color w:val="000000"/>
          <w:lang w:eastAsia="zh-CN"/>
        </w:rPr>
        <w:t>Takemaru K</w:t>
      </w:r>
      <w:r w:rsidRPr="008A0130">
        <w:rPr>
          <w:rFonts w:ascii="Book Antiqua" w:eastAsia="宋体" w:hAnsi="Book Antiqua" w:cs="宋体"/>
          <w:color w:val="000000"/>
          <w:lang w:eastAsia="zh-CN"/>
        </w:rPr>
        <w:t>, Yamaguchi S, Lee YS, Zhang Y, Carthew RW, Moon RT. Chibby, a nuclear beta-catenin-associated antagonist of the Wnt/Wingless pathway. </w:t>
      </w:r>
      <w:r w:rsidRPr="008A0130">
        <w:rPr>
          <w:rFonts w:ascii="Book Antiqua" w:eastAsia="宋体" w:hAnsi="Book Antiqua" w:cs="宋体"/>
          <w:i/>
          <w:iCs/>
          <w:color w:val="000000"/>
          <w:lang w:eastAsia="zh-CN"/>
        </w:rPr>
        <w:t>Nature</w:t>
      </w:r>
      <w:r w:rsidRPr="008A0130">
        <w:rPr>
          <w:rFonts w:ascii="Book Antiqua" w:eastAsia="宋体" w:hAnsi="Book Antiqua" w:cs="宋体"/>
          <w:color w:val="000000"/>
          <w:lang w:eastAsia="zh-CN"/>
        </w:rPr>
        <w:t> 2003; </w:t>
      </w:r>
      <w:r w:rsidRPr="008A0130">
        <w:rPr>
          <w:rFonts w:ascii="Book Antiqua" w:eastAsia="宋体" w:hAnsi="Book Antiqua" w:cs="宋体"/>
          <w:b/>
          <w:bCs/>
          <w:color w:val="000000"/>
          <w:lang w:eastAsia="zh-CN"/>
        </w:rPr>
        <w:t>422</w:t>
      </w:r>
      <w:r w:rsidRPr="008A0130">
        <w:rPr>
          <w:rFonts w:ascii="Book Antiqua" w:eastAsia="宋体" w:hAnsi="Book Antiqua" w:cs="宋体"/>
          <w:color w:val="000000"/>
          <w:lang w:eastAsia="zh-CN"/>
        </w:rPr>
        <w:t>: 905-909 [PMID: 12712206 DOI: 10.1038/nature01570]</w:t>
      </w:r>
    </w:p>
    <w:p w14:paraId="12C5D06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205 </w:t>
      </w:r>
      <w:r w:rsidRPr="008A0130">
        <w:rPr>
          <w:rFonts w:ascii="Book Antiqua" w:eastAsia="宋体" w:hAnsi="Book Antiqua" w:cs="宋体"/>
          <w:b/>
          <w:bCs/>
          <w:color w:val="000000"/>
          <w:lang w:eastAsia="zh-CN"/>
        </w:rPr>
        <w:t>Ganesan K</w:t>
      </w:r>
      <w:r w:rsidRPr="008A0130">
        <w:rPr>
          <w:rFonts w:ascii="Book Antiqua" w:eastAsia="宋体" w:hAnsi="Book Antiqua" w:cs="宋体"/>
          <w:color w:val="000000"/>
          <w:lang w:eastAsia="zh-CN"/>
        </w:rPr>
        <w:t>, Ivanova T, Wu Y, Rajasegaran V, Wu J, Lee MH, Yu K, Rha SY, Chung HC, Ylstra B, Meijer G, Lian KO, Grabsch H, Tan P. Inhibition of gastric cancer invasion and metastasis by PLA2G2A, a novel beta-catenin/TCF target gene.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68</w:t>
      </w:r>
      <w:r w:rsidRPr="008A0130">
        <w:rPr>
          <w:rFonts w:ascii="Book Antiqua" w:eastAsia="宋体" w:hAnsi="Book Antiqua" w:cs="宋体"/>
          <w:color w:val="000000"/>
          <w:lang w:eastAsia="zh-CN"/>
        </w:rPr>
        <w:t>: 4277-4286 [PMID: 18519687 DOI: 10.1158/0008-5472.CAN-07-6517]</w:t>
      </w:r>
    </w:p>
    <w:p w14:paraId="49D9CDB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206 </w:t>
      </w:r>
      <w:r w:rsidRPr="008A0130">
        <w:rPr>
          <w:rFonts w:ascii="Book Antiqua" w:eastAsia="宋体" w:hAnsi="Book Antiqua" w:cs="宋体"/>
          <w:b/>
          <w:bCs/>
          <w:color w:val="000000"/>
          <w:lang w:eastAsia="zh-CN"/>
        </w:rPr>
        <w:t>Xing XF</w:t>
      </w:r>
      <w:r w:rsidRPr="008A0130">
        <w:rPr>
          <w:rFonts w:ascii="Book Antiqua" w:eastAsia="宋体" w:hAnsi="Book Antiqua" w:cs="宋体"/>
          <w:color w:val="000000"/>
          <w:lang w:eastAsia="zh-CN"/>
        </w:rPr>
        <w:t>, Li H, Zhong XY, Zhang LH, Wang XH, Liu YQ, Jia SQ, Shi T, Niu ZJ, Peng Y, Du H, Zhang GG, Hu Y, Lu AP, Li JY, Chen S, Ji JF. Phospholipase A2 group IIA expression correlates with prolonged survival in gastric cancer. </w:t>
      </w:r>
      <w:r w:rsidRPr="008A0130">
        <w:rPr>
          <w:rFonts w:ascii="Book Antiqua" w:eastAsia="宋体" w:hAnsi="Book Antiqua" w:cs="宋体"/>
          <w:i/>
          <w:iCs/>
          <w:color w:val="000000"/>
          <w:lang w:eastAsia="zh-CN"/>
        </w:rPr>
        <w:t>Histopathology</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59</w:t>
      </w:r>
      <w:r w:rsidRPr="008A0130">
        <w:rPr>
          <w:rFonts w:ascii="Book Antiqua" w:eastAsia="宋体" w:hAnsi="Book Antiqua" w:cs="宋体"/>
          <w:color w:val="000000"/>
          <w:lang w:eastAsia="zh-CN"/>
        </w:rPr>
        <w:t>: 198-206 [PMID: 21884198]</w:t>
      </w:r>
    </w:p>
    <w:p w14:paraId="43B704A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207 </w:t>
      </w:r>
      <w:r w:rsidRPr="008A0130">
        <w:rPr>
          <w:rFonts w:ascii="Book Antiqua" w:eastAsia="宋体" w:hAnsi="Book Antiqua" w:cs="宋体"/>
          <w:b/>
          <w:bCs/>
          <w:color w:val="000000"/>
          <w:lang w:eastAsia="zh-CN"/>
        </w:rPr>
        <w:t>Wang X</w:t>
      </w:r>
      <w:r w:rsidRPr="008A0130">
        <w:rPr>
          <w:rFonts w:ascii="Book Antiqua" w:eastAsia="宋体" w:hAnsi="Book Antiqua" w:cs="宋体"/>
          <w:color w:val="000000"/>
          <w:lang w:eastAsia="zh-CN"/>
        </w:rPr>
        <w:t>, Huang CJ, Yu GZ, Wang JJ, Wang R, Li YM, Wu Q. Expression of group IIA phospholipase A2 is an independent predictor of favorable outcome for patients with gastric cancer. </w:t>
      </w:r>
      <w:r w:rsidRPr="008A0130">
        <w:rPr>
          <w:rFonts w:ascii="Book Antiqua" w:eastAsia="宋体" w:hAnsi="Book Antiqua" w:cs="宋体"/>
          <w:i/>
          <w:iCs/>
          <w:color w:val="000000"/>
          <w:lang w:eastAsia="zh-CN"/>
        </w:rPr>
        <w:t>Hum Pathol</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44</w:t>
      </w:r>
      <w:r w:rsidRPr="008A0130">
        <w:rPr>
          <w:rFonts w:ascii="Book Antiqua" w:eastAsia="宋体" w:hAnsi="Book Antiqua" w:cs="宋体"/>
          <w:color w:val="000000"/>
          <w:lang w:eastAsia="zh-CN"/>
        </w:rPr>
        <w:t>: 2020-2027 [PMID: 23664539 DOI: 10.1016/j.humpath.2013.01.027]</w:t>
      </w:r>
    </w:p>
    <w:p w14:paraId="5F3A8CED" w14:textId="18E5341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208 </w:t>
      </w:r>
      <w:r w:rsidRPr="008A0130">
        <w:rPr>
          <w:rFonts w:ascii="Book Antiqua" w:eastAsia="宋体" w:hAnsi="Book Antiqua" w:cs="宋体"/>
          <w:b/>
          <w:bCs/>
          <w:color w:val="000000"/>
          <w:lang w:eastAsia="zh-CN"/>
        </w:rPr>
        <w:t>Ozturk N</w:t>
      </w:r>
      <w:r w:rsidRPr="008A0130">
        <w:rPr>
          <w:rFonts w:ascii="Book Antiqua" w:eastAsia="宋体" w:hAnsi="Book Antiqua" w:cs="宋体"/>
          <w:color w:val="000000"/>
          <w:lang w:eastAsia="zh-CN"/>
        </w:rPr>
        <w:t>, Singh I, Mehta A, Braun T, Barreto G. HMGA proteins as modulators of chromatin structure during transcriptional activation. </w:t>
      </w:r>
      <w:r w:rsidRPr="008A0130">
        <w:rPr>
          <w:rFonts w:ascii="Book Antiqua" w:eastAsia="宋体" w:hAnsi="Book Antiqua" w:cs="宋体"/>
          <w:i/>
          <w:iCs/>
          <w:color w:val="000000"/>
          <w:lang w:eastAsia="zh-CN"/>
        </w:rPr>
        <w:t>Front Cell Dev Biol</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2</w:t>
      </w:r>
      <w:r w:rsidRPr="008A0130">
        <w:rPr>
          <w:rFonts w:ascii="Book Antiqua" w:eastAsia="宋体" w:hAnsi="Book Antiqua" w:cs="宋体"/>
          <w:color w:val="000000"/>
          <w:lang w:eastAsia="zh-CN"/>
        </w:rPr>
        <w:t>: 5 [PMID: 25364713 DOI: 10.3389/fcell.2014.00005</w:t>
      </w:r>
      <w:r w:rsidR="008A0130">
        <w:rPr>
          <w:rFonts w:ascii="Book Antiqua" w:eastAsia="宋体" w:hAnsi="Book Antiqua" w:cs="宋体" w:hint="eastAsia"/>
          <w:color w:val="000000"/>
          <w:lang w:eastAsia="zh-CN"/>
        </w:rPr>
        <w:t>]</w:t>
      </w:r>
    </w:p>
    <w:p w14:paraId="643D4F84"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209 </w:t>
      </w:r>
      <w:r w:rsidRPr="008A0130">
        <w:rPr>
          <w:rFonts w:ascii="Book Antiqua" w:eastAsia="宋体" w:hAnsi="Book Antiqua" w:cs="宋体"/>
          <w:b/>
          <w:bCs/>
          <w:color w:val="000000"/>
          <w:lang w:eastAsia="zh-CN"/>
        </w:rPr>
        <w:t>Nam ES</w:t>
      </w:r>
      <w:r w:rsidRPr="008A0130">
        <w:rPr>
          <w:rFonts w:ascii="Book Antiqua" w:eastAsia="宋体" w:hAnsi="Book Antiqua" w:cs="宋体"/>
          <w:color w:val="000000"/>
          <w:lang w:eastAsia="zh-CN"/>
        </w:rPr>
        <w:t>, Kim DH, Cho SJ, Chae SW, Kim HY, Kim SM, Han JJ, Shin HS, Park YE. Expression of HMGI(Y) associated with malignant phenotype of human gastric tissue. </w:t>
      </w:r>
      <w:r w:rsidRPr="008A0130">
        <w:rPr>
          <w:rFonts w:ascii="Book Antiqua" w:eastAsia="宋体" w:hAnsi="Book Antiqua" w:cs="宋体"/>
          <w:i/>
          <w:iCs/>
          <w:color w:val="000000"/>
          <w:lang w:eastAsia="zh-CN"/>
        </w:rPr>
        <w:t>Histopathology</w:t>
      </w:r>
      <w:r w:rsidRPr="008A0130">
        <w:rPr>
          <w:rFonts w:ascii="Book Antiqua" w:eastAsia="宋体" w:hAnsi="Book Antiqua" w:cs="宋体"/>
          <w:color w:val="000000"/>
          <w:lang w:eastAsia="zh-CN"/>
        </w:rPr>
        <w:t> 2003; </w:t>
      </w:r>
      <w:r w:rsidRPr="008A0130">
        <w:rPr>
          <w:rFonts w:ascii="Book Antiqua" w:eastAsia="宋体" w:hAnsi="Book Antiqua" w:cs="宋体"/>
          <w:b/>
          <w:bCs/>
          <w:color w:val="000000"/>
          <w:lang w:eastAsia="zh-CN"/>
        </w:rPr>
        <w:t>42</w:t>
      </w:r>
      <w:r w:rsidRPr="008A0130">
        <w:rPr>
          <w:rFonts w:ascii="Book Antiqua" w:eastAsia="宋体" w:hAnsi="Book Antiqua" w:cs="宋体"/>
          <w:color w:val="000000"/>
          <w:lang w:eastAsia="zh-CN"/>
        </w:rPr>
        <w:t>: 466-471 [PMID: 12713623 DOI: 10.1046/j.1365-2559.2003.01618.x]</w:t>
      </w:r>
    </w:p>
    <w:p w14:paraId="1F20589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210 </w:t>
      </w:r>
      <w:r w:rsidRPr="008A0130">
        <w:rPr>
          <w:rFonts w:ascii="Book Antiqua" w:eastAsia="宋体" w:hAnsi="Book Antiqua" w:cs="宋体"/>
          <w:b/>
          <w:bCs/>
          <w:color w:val="000000"/>
          <w:lang w:eastAsia="zh-CN"/>
        </w:rPr>
        <w:t>Akaboshi S</w:t>
      </w:r>
      <w:r w:rsidRPr="008A0130">
        <w:rPr>
          <w:rFonts w:ascii="Book Antiqua" w:eastAsia="宋体" w:hAnsi="Book Antiqua" w:cs="宋体"/>
          <w:color w:val="000000"/>
          <w:lang w:eastAsia="zh-CN"/>
        </w:rPr>
        <w:t>, Watanabe S, Hino Y, Sekita Y, Xi Y, Araki K, Yamamura K, Oshima M, Ito T, Baba H, Nakao M. HMGA1 is induced by Wnt/beta-catenin pathway and maintains cell proliferation in gastric cancer. </w:t>
      </w:r>
      <w:r w:rsidRPr="008A0130">
        <w:rPr>
          <w:rFonts w:ascii="Book Antiqua" w:eastAsia="宋体" w:hAnsi="Book Antiqua" w:cs="宋体"/>
          <w:i/>
          <w:iCs/>
          <w:color w:val="000000"/>
          <w:lang w:eastAsia="zh-CN"/>
        </w:rPr>
        <w:t>Am J Pathol</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175</w:t>
      </w:r>
      <w:r w:rsidRPr="008A0130">
        <w:rPr>
          <w:rFonts w:ascii="Book Antiqua" w:eastAsia="宋体" w:hAnsi="Book Antiqua" w:cs="宋体"/>
          <w:color w:val="000000"/>
          <w:lang w:eastAsia="zh-CN"/>
        </w:rPr>
        <w:t>: 1675-1685 [PMID: 19729480 DOI: 10.2353/ajpath.2009.090069]</w:t>
      </w:r>
    </w:p>
    <w:p w14:paraId="36F45AD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211 </w:t>
      </w:r>
      <w:r w:rsidRPr="008A0130">
        <w:rPr>
          <w:rFonts w:ascii="Book Antiqua" w:eastAsia="宋体" w:hAnsi="Book Antiqua" w:cs="宋体"/>
          <w:b/>
          <w:bCs/>
          <w:color w:val="000000"/>
          <w:lang w:eastAsia="zh-CN"/>
        </w:rPr>
        <w:t>Zha L</w:t>
      </w:r>
      <w:r w:rsidRPr="008A0130">
        <w:rPr>
          <w:rFonts w:ascii="Book Antiqua" w:eastAsia="宋体" w:hAnsi="Book Antiqua" w:cs="宋体"/>
          <w:color w:val="000000"/>
          <w:lang w:eastAsia="zh-CN"/>
        </w:rPr>
        <w:t>, Zhang J, Tang W, Zhang N, He M, Guo Y, Wang Z. HMGA2 elicits EMT by activating the Wnt/β-catenin pathway in gastric cancer. </w:t>
      </w:r>
      <w:r w:rsidRPr="008A0130">
        <w:rPr>
          <w:rFonts w:ascii="Book Antiqua" w:eastAsia="宋体" w:hAnsi="Book Antiqua" w:cs="宋体"/>
          <w:i/>
          <w:iCs/>
          <w:color w:val="000000"/>
          <w:lang w:eastAsia="zh-CN"/>
        </w:rPr>
        <w:t>Dig Dis Sci</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58</w:t>
      </w:r>
      <w:r w:rsidRPr="008A0130">
        <w:rPr>
          <w:rFonts w:ascii="Book Antiqua" w:eastAsia="宋体" w:hAnsi="Book Antiqua" w:cs="宋体"/>
          <w:color w:val="000000"/>
          <w:lang w:eastAsia="zh-CN"/>
        </w:rPr>
        <w:t>: 724-733 [PMID: 23135750 DOI: 10.1007/s10620-012-2399-6]</w:t>
      </w:r>
    </w:p>
    <w:p w14:paraId="574D17A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212 </w:t>
      </w:r>
      <w:r w:rsidRPr="008A0130">
        <w:rPr>
          <w:rFonts w:ascii="Book Antiqua" w:eastAsia="宋体" w:hAnsi="Book Antiqua" w:cs="宋体"/>
          <w:b/>
          <w:bCs/>
          <w:color w:val="000000"/>
          <w:lang w:eastAsia="zh-CN"/>
        </w:rPr>
        <w:t>Shiota S</w:t>
      </w:r>
      <w:r w:rsidRPr="008A0130">
        <w:rPr>
          <w:rFonts w:ascii="Book Antiqua" w:eastAsia="宋体" w:hAnsi="Book Antiqua" w:cs="宋体"/>
          <w:color w:val="000000"/>
          <w:lang w:eastAsia="zh-CN"/>
        </w:rPr>
        <w:t>, Suzuki R, Yamaoka Y. The significance of virulence factors in Helicobacter pylori. </w:t>
      </w:r>
      <w:r w:rsidRPr="008A0130">
        <w:rPr>
          <w:rFonts w:ascii="Book Antiqua" w:eastAsia="宋体" w:hAnsi="Book Antiqua" w:cs="宋体"/>
          <w:i/>
          <w:iCs/>
          <w:color w:val="000000"/>
          <w:lang w:eastAsia="zh-CN"/>
        </w:rPr>
        <w:t>J Dig Dis</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14</w:t>
      </w:r>
      <w:r w:rsidRPr="008A0130">
        <w:rPr>
          <w:rFonts w:ascii="Book Antiqua" w:eastAsia="宋体" w:hAnsi="Book Antiqua" w:cs="宋体"/>
          <w:color w:val="000000"/>
          <w:lang w:eastAsia="zh-CN"/>
        </w:rPr>
        <w:t>: 341-349 [PMID: 23452293 DOI: 10.1111/1751-2980.12054]</w:t>
      </w:r>
    </w:p>
    <w:p w14:paraId="439275E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213 </w:t>
      </w:r>
      <w:r w:rsidRPr="008A0130">
        <w:rPr>
          <w:rFonts w:ascii="Book Antiqua" w:eastAsia="宋体" w:hAnsi="Book Antiqua" w:cs="宋体"/>
          <w:b/>
          <w:bCs/>
          <w:color w:val="000000"/>
          <w:lang w:eastAsia="zh-CN"/>
        </w:rPr>
        <w:t>Parsonnet J</w:t>
      </w:r>
      <w:r w:rsidRPr="008A0130">
        <w:rPr>
          <w:rFonts w:ascii="Book Antiqua" w:eastAsia="宋体" w:hAnsi="Book Antiqua" w:cs="宋体"/>
          <w:color w:val="000000"/>
          <w:lang w:eastAsia="zh-CN"/>
        </w:rPr>
        <w:t>, Friedman GD, Orentreich N, Vogelman H. Risk for gastric cancer in people with CagA positive or CagA negative Helicobacter pylori infection. </w:t>
      </w:r>
      <w:r w:rsidRPr="008A0130">
        <w:rPr>
          <w:rFonts w:ascii="Book Antiqua" w:eastAsia="宋体" w:hAnsi="Book Antiqua" w:cs="宋体"/>
          <w:i/>
          <w:iCs/>
          <w:color w:val="000000"/>
          <w:lang w:eastAsia="zh-CN"/>
        </w:rPr>
        <w:t>Gut</w:t>
      </w:r>
      <w:r w:rsidRPr="008A0130">
        <w:rPr>
          <w:rFonts w:ascii="Book Antiqua" w:eastAsia="宋体" w:hAnsi="Book Antiqua" w:cs="宋体"/>
          <w:color w:val="000000"/>
          <w:lang w:eastAsia="zh-CN"/>
        </w:rPr>
        <w:t> 1997; </w:t>
      </w:r>
      <w:r w:rsidRPr="008A0130">
        <w:rPr>
          <w:rFonts w:ascii="Book Antiqua" w:eastAsia="宋体" w:hAnsi="Book Antiqua" w:cs="宋体"/>
          <w:b/>
          <w:bCs/>
          <w:color w:val="000000"/>
          <w:lang w:eastAsia="zh-CN"/>
        </w:rPr>
        <w:t>40</w:t>
      </w:r>
      <w:r w:rsidRPr="008A0130">
        <w:rPr>
          <w:rFonts w:ascii="Book Antiqua" w:eastAsia="宋体" w:hAnsi="Book Antiqua" w:cs="宋体"/>
          <w:color w:val="000000"/>
          <w:lang w:eastAsia="zh-CN"/>
        </w:rPr>
        <w:t>: 297-301 [PMID: 9135515]</w:t>
      </w:r>
    </w:p>
    <w:p w14:paraId="64C21D3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214 </w:t>
      </w:r>
      <w:r w:rsidRPr="008A0130">
        <w:rPr>
          <w:rFonts w:ascii="Book Antiqua" w:eastAsia="宋体" w:hAnsi="Book Antiqua" w:cs="宋体"/>
          <w:b/>
          <w:bCs/>
          <w:color w:val="000000"/>
          <w:lang w:eastAsia="zh-CN"/>
        </w:rPr>
        <w:t>Odenbreit S</w:t>
      </w:r>
      <w:r w:rsidRPr="008A0130">
        <w:rPr>
          <w:rFonts w:ascii="Book Antiqua" w:eastAsia="宋体" w:hAnsi="Book Antiqua" w:cs="宋体"/>
          <w:color w:val="000000"/>
          <w:lang w:eastAsia="zh-CN"/>
        </w:rPr>
        <w:t>, Püls J, Sedlmaier B, Gerland E, Fischer W, Haas R. Translocation of Helicobacter pylori CagA into gastric epithelial cells by type IV secretion. </w:t>
      </w:r>
      <w:r w:rsidRPr="008A0130">
        <w:rPr>
          <w:rFonts w:ascii="Book Antiqua" w:eastAsia="宋体" w:hAnsi="Book Antiqua" w:cs="宋体"/>
          <w:i/>
          <w:iCs/>
          <w:color w:val="000000"/>
          <w:lang w:eastAsia="zh-CN"/>
        </w:rPr>
        <w:t>Science</w:t>
      </w:r>
      <w:r w:rsidRPr="008A0130">
        <w:rPr>
          <w:rFonts w:ascii="Book Antiqua" w:eastAsia="宋体" w:hAnsi="Book Antiqua" w:cs="宋体"/>
          <w:color w:val="000000"/>
          <w:lang w:eastAsia="zh-CN"/>
        </w:rPr>
        <w:t> 2000; </w:t>
      </w:r>
      <w:r w:rsidRPr="008A0130">
        <w:rPr>
          <w:rFonts w:ascii="Book Antiqua" w:eastAsia="宋体" w:hAnsi="Book Antiqua" w:cs="宋体"/>
          <w:b/>
          <w:bCs/>
          <w:color w:val="000000"/>
          <w:lang w:eastAsia="zh-CN"/>
        </w:rPr>
        <w:t>287</w:t>
      </w:r>
      <w:r w:rsidRPr="008A0130">
        <w:rPr>
          <w:rFonts w:ascii="Book Antiqua" w:eastAsia="宋体" w:hAnsi="Book Antiqua" w:cs="宋体"/>
          <w:color w:val="000000"/>
          <w:lang w:eastAsia="zh-CN"/>
        </w:rPr>
        <w:t>: 1497-1500 [PMID: 10688800]</w:t>
      </w:r>
    </w:p>
    <w:p w14:paraId="05E8DD2C"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215 </w:t>
      </w:r>
      <w:r w:rsidRPr="008A0130">
        <w:rPr>
          <w:rFonts w:ascii="Book Antiqua" w:eastAsia="宋体" w:hAnsi="Book Antiqua" w:cs="宋体"/>
          <w:b/>
          <w:bCs/>
          <w:color w:val="000000"/>
          <w:lang w:eastAsia="zh-CN"/>
        </w:rPr>
        <w:t>Tegtmeyer N</w:t>
      </w:r>
      <w:r w:rsidRPr="008A0130">
        <w:rPr>
          <w:rFonts w:ascii="Book Antiqua" w:eastAsia="宋体" w:hAnsi="Book Antiqua" w:cs="宋体"/>
          <w:color w:val="000000"/>
          <w:lang w:eastAsia="zh-CN"/>
        </w:rPr>
        <w:t>, Wessler S, Backert S. Role of the cag-pathogenicity island encoded type IV secretion system in Helicobacter pylori pathogenesis. </w:t>
      </w:r>
      <w:r w:rsidRPr="008A0130">
        <w:rPr>
          <w:rFonts w:ascii="Book Antiqua" w:eastAsia="宋体" w:hAnsi="Book Antiqua" w:cs="宋体"/>
          <w:i/>
          <w:iCs/>
          <w:color w:val="000000"/>
          <w:lang w:eastAsia="zh-CN"/>
        </w:rPr>
        <w:t>FEBS J</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278</w:t>
      </w:r>
      <w:r w:rsidRPr="008A0130">
        <w:rPr>
          <w:rFonts w:ascii="Book Antiqua" w:eastAsia="宋体" w:hAnsi="Book Antiqua" w:cs="宋体"/>
          <w:color w:val="000000"/>
          <w:lang w:eastAsia="zh-CN"/>
        </w:rPr>
        <w:t>: 1190-1202 [PMID: 21352489 DOI: 10.1111/j.1742-4658.2011.08035.x]</w:t>
      </w:r>
    </w:p>
    <w:p w14:paraId="517987F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216 </w:t>
      </w:r>
      <w:r w:rsidRPr="008A0130">
        <w:rPr>
          <w:rFonts w:ascii="Book Antiqua" w:eastAsia="宋体" w:hAnsi="Book Antiqua" w:cs="宋体"/>
          <w:b/>
          <w:bCs/>
          <w:color w:val="000000"/>
          <w:lang w:eastAsia="zh-CN"/>
        </w:rPr>
        <w:t>Cover TL</w:t>
      </w:r>
      <w:r w:rsidRPr="008A0130">
        <w:rPr>
          <w:rFonts w:ascii="Book Antiqua" w:eastAsia="宋体" w:hAnsi="Book Antiqua" w:cs="宋体"/>
          <w:color w:val="000000"/>
          <w:lang w:eastAsia="zh-CN"/>
        </w:rPr>
        <w:t>, Blanke SR. Helicobacter pylori VacA, a paradigm for toxin multifunctionality. </w:t>
      </w:r>
      <w:r w:rsidRPr="008A0130">
        <w:rPr>
          <w:rFonts w:ascii="Book Antiqua" w:eastAsia="宋体" w:hAnsi="Book Antiqua" w:cs="宋体"/>
          <w:i/>
          <w:iCs/>
          <w:color w:val="000000"/>
          <w:lang w:eastAsia="zh-CN"/>
        </w:rPr>
        <w:t>Nat Rev Microbiol</w:t>
      </w:r>
      <w:r w:rsidRPr="008A0130">
        <w:rPr>
          <w:rFonts w:ascii="Book Antiqua" w:eastAsia="宋体" w:hAnsi="Book Antiqua" w:cs="宋体"/>
          <w:color w:val="000000"/>
          <w:lang w:eastAsia="zh-CN"/>
        </w:rPr>
        <w:t> 2005; </w:t>
      </w:r>
      <w:r w:rsidRPr="008A0130">
        <w:rPr>
          <w:rFonts w:ascii="Book Antiqua" w:eastAsia="宋体" w:hAnsi="Book Antiqua" w:cs="宋体"/>
          <w:b/>
          <w:bCs/>
          <w:color w:val="000000"/>
          <w:lang w:eastAsia="zh-CN"/>
        </w:rPr>
        <w:t>3</w:t>
      </w:r>
      <w:r w:rsidRPr="008A0130">
        <w:rPr>
          <w:rFonts w:ascii="Book Antiqua" w:eastAsia="宋体" w:hAnsi="Book Antiqua" w:cs="宋体"/>
          <w:color w:val="000000"/>
          <w:lang w:eastAsia="zh-CN"/>
        </w:rPr>
        <w:t>: 320-332 [PMID: 15759043 DOI: 10.1038/nrmicro1095]</w:t>
      </w:r>
    </w:p>
    <w:p w14:paraId="3E613A2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217 </w:t>
      </w:r>
      <w:r w:rsidRPr="008A0130">
        <w:rPr>
          <w:rFonts w:ascii="Book Antiqua" w:eastAsia="宋体" w:hAnsi="Book Antiqua" w:cs="宋体"/>
          <w:b/>
          <w:bCs/>
          <w:color w:val="000000"/>
          <w:lang w:eastAsia="zh-CN"/>
        </w:rPr>
        <w:t>Boquet P</w:t>
      </w:r>
      <w:r w:rsidRPr="008A0130">
        <w:rPr>
          <w:rFonts w:ascii="Book Antiqua" w:eastAsia="宋体" w:hAnsi="Book Antiqua" w:cs="宋体"/>
          <w:color w:val="000000"/>
          <w:lang w:eastAsia="zh-CN"/>
        </w:rPr>
        <w:t>, Ricci V. Intoxication strategy of Helicobacter pylori VacA toxin. </w:t>
      </w:r>
      <w:r w:rsidRPr="008A0130">
        <w:rPr>
          <w:rFonts w:ascii="Book Antiqua" w:eastAsia="宋体" w:hAnsi="Book Antiqua" w:cs="宋体"/>
          <w:i/>
          <w:iCs/>
          <w:color w:val="000000"/>
          <w:lang w:eastAsia="zh-CN"/>
        </w:rPr>
        <w:t>Trends Microbiol</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20</w:t>
      </w:r>
      <w:r w:rsidRPr="008A0130">
        <w:rPr>
          <w:rFonts w:ascii="Book Antiqua" w:eastAsia="宋体" w:hAnsi="Book Antiqua" w:cs="宋体"/>
          <w:color w:val="000000"/>
          <w:lang w:eastAsia="zh-CN"/>
        </w:rPr>
        <w:t>: 165-174 [PMID: 22364673 DOI: 10.1016/j.tim.2012.01.008]</w:t>
      </w:r>
    </w:p>
    <w:p w14:paraId="330027C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218 </w:t>
      </w:r>
      <w:r w:rsidRPr="008A0130">
        <w:rPr>
          <w:rFonts w:ascii="Book Antiqua" w:eastAsia="宋体" w:hAnsi="Book Antiqua" w:cs="宋体"/>
          <w:b/>
          <w:bCs/>
          <w:color w:val="000000"/>
          <w:lang w:eastAsia="zh-CN"/>
        </w:rPr>
        <w:t>Gebert B</w:t>
      </w:r>
      <w:r w:rsidRPr="008A0130">
        <w:rPr>
          <w:rFonts w:ascii="Book Antiqua" w:eastAsia="宋体" w:hAnsi="Book Antiqua" w:cs="宋体"/>
          <w:color w:val="000000"/>
          <w:lang w:eastAsia="zh-CN"/>
        </w:rPr>
        <w:t>, Fischer W, Weiss E, Hoffmann R, Haas R. Helicobacter pylori vacuolating cytotoxin inhibits T lymphocyte activation. </w:t>
      </w:r>
      <w:r w:rsidRPr="008A0130">
        <w:rPr>
          <w:rFonts w:ascii="Book Antiqua" w:eastAsia="宋体" w:hAnsi="Book Antiqua" w:cs="宋体"/>
          <w:i/>
          <w:iCs/>
          <w:color w:val="000000"/>
          <w:lang w:eastAsia="zh-CN"/>
        </w:rPr>
        <w:t>Science</w:t>
      </w:r>
      <w:r w:rsidRPr="008A0130">
        <w:rPr>
          <w:rFonts w:ascii="Book Antiqua" w:eastAsia="宋体" w:hAnsi="Book Antiqua" w:cs="宋体"/>
          <w:color w:val="000000"/>
          <w:lang w:eastAsia="zh-CN"/>
        </w:rPr>
        <w:t> 2003; </w:t>
      </w:r>
      <w:r w:rsidRPr="008A0130">
        <w:rPr>
          <w:rFonts w:ascii="Book Antiqua" w:eastAsia="宋体" w:hAnsi="Book Antiqua" w:cs="宋体"/>
          <w:b/>
          <w:bCs/>
          <w:color w:val="000000"/>
          <w:lang w:eastAsia="zh-CN"/>
        </w:rPr>
        <w:t>301</w:t>
      </w:r>
      <w:r w:rsidRPr="008A0130">
        <w:rPr>
          <w:rFonts w:ascii="Book Antiqua" w:eastAsia="宋体" w:hAnsi="Book Antiqua" w:cs="宋体"/>
          <w:color w:val="000000"/>
          <w:lang w:eastAsia="zh-CN"/>
        </w:rPr>
        <w:t>: 1099-1102 [PMID: 12934009 DOI: 10.1126/science.1086871]</w:t>
      </w:r>
    </w:p>
    <w:p w14:paraId="2803000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219 </w:t>
      </w:r>
      <w:r w:rsidRPr="008A0130">
        <w:rPr>
          <w:rFonts w:ascii="Book Antiqua" w:eastAsia="宋体" w:hAnsi="Book Antiqua" w:cs="宋体"/>
          <w:b/>
          <w:bCs/>
          <w:color w:val="000000"/>
          <w:lang w:eastAsia="zh-CN"/>
        </w:rPr>
        <w:t>Aituov B</w:t>
      </w:r>
      <w:r w:rsidRPr="008A0130">
        <w:rPr>
          <w:rFonts w:ascii="Book Antiqua" w:eastAsia="宋体" w:hAnsi="Book Antiqua" w:cs="宋体"/>
          <w:color w:val="000000"/>
          <w:lang w:eastAsia="zh-CN"/>
        </w:rPr>
        <w:t>, Duisembekova A, Bulenova A, Alibek K. Pathogen-driven gastrointestinal cancers: Time for a change in treatment paradigm? </w:t>
      </w:r>
      <w:r w:rsidRPr="008A0130">
        <w:rPr>
          <w:rFonts w:ascii="Book Antiqua" w:eastAsia="宋体" w:hAnsi="Book Antiqua" w:cs="宋体"/>
          <w:i/>
          <w:iCs/>
          <w:color w:val="000000"/>
          <w:lang w:eastAsia="zh-CN"/>
        </w:rPr>
        <w:t>Infect Agent Cancer</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7</w:t>
      </w:r>
      <w:r w:rsidRPr="008A0130">
        <w:rPr>
          <w:rFonts w:ascii="Book Antiqua" w:eastAsia="宋体" w:hAnsi="Book Antiqua" w:cs="宋体"/>
          <w:color w:val="000000"/>
          <w:lang w:eastAsia="zh-CN"/>
        </w:rPr>
        <w:t>: 18 [PMID: 22873119 DOI: 10.1186/1750-9378-7-18]</w:t>
      </w:r>
    </w:p>
    <w:p w14:paraId="16257E6A"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220 </w:t>
      </w:r>
      <w:r w:rsidRPr="008A0130">
        <w:rPr>
          <w:rFonts w:ascii="Book Antiqua" w:eastAsia="宋体" w:hAnsi="Book Antiqua" w:cs="宋体"/>
          <w:b/>
          <w:bCs/>
          <w:color w:val="000000"/>
          <w:lang w:eastAsia="zh-CN"/>
        </w:rPr>
        <w:t>Murata-Kamiya N</w:t>
      </w:r>
      <w:r w:rsidRPr="008A0130">
        <w:rPr>
          <w:rFonts w:ascii="Book Antiqua" w:eastAsia="宋体" w:hAnsi="Book Antiqua" w:cs="宋体"/>
          <w:color w:val="000000"/>
          <w:lang w:eastAsia="zh-CN"/>
        </w:rPr>
        <w:t>, Kurashima Y, Teishikata Y, Yamahashi Y, Saito Y, Higashi H, Aburatani H, Akiyama T, Peek RM, Azuma T, Hatakeyama M. Helicobacter pylori CagA interacts with E-cadherin and deregulates the beta-catenin signal that promotes intestinal transdifferentiation in gastric epithelial cells.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26</w:t>
      </w:r>
      <w:r w:rsidRPr="008A0130">
        <w:rPr>
          <w:rFonts w:ascii="Book Antiqua" w:eastAsia="宋体" w:hAnsi="Book Antiqua" w:cs="宋体"/>
          <w:color w:val="000000"/>
          <w:lang w:eastAsia="zh-CN"/>
        </w:rPr>
        <w:t>: 4617-4626 [PMID: 17237808 DOI: 10.1038/sj.onc.1210251]</w:t>
      </w:r>
    </w:p>
    <w:p w14:paraId="376F68D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221 </w:t>
      </w:r>
      <w:r w:rsidRPr="008A0130">
        <w:rPr>
          <w:rFonts w:ascii="Book Antiqua" w:eastAsia="宋体" w:hAnsi="Book Antiqua" w:cs="宋体"/>
          <w:b/>
          <w:bCs/>
          <w:color w:val="000000"/>
          <w:lang w:eastAsia="zh-CN"/>
        </w:rPr>
        <w:t>Sokolova O</w:t>
      </w:r>
      <w:r w:rsidRPr="008A0130">
        <w:rPr>
          <w:rFonts w:ascii="Book Antiqua" w:eastAsia="宋体" w:hAnsi="Book Antiqua" w:cs="宋体"/>
          <w:color w:val="000000"/>
          <w:lang w:eastAsia="zh-CN"/>
        </w:rPr>
        <w:t>, Bozko PM, Naumann M. Helicobacter pylori suppresses glycogen synthase kinase 3beta to promote beta-catenin activity. </w:t>
      </w:r>
      <w:r w:rsidRPr="008A0130">
        <w:rPr>
          <w:rFonts w:ascii="Book Antiqua" w:eastAsia="宋体" w:hAnsi="Book Antiqua" w:cs="宋体"/>
          <w:i/>
          <w:iCs/>
          <w:color w:val="000000"/>
          <w:lang w:eastAsia="zh-CN"/>
        </w:rPr>
        <w:t>J Biol Chem</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283</w:t>
      </w:r>
      <w:r w:rsidRPr="008A0130">
        <w:rPr>
          <w:rFonts w:ascii="Book Antiqua" w:eastAsia="宋体" w:hAnsi="Book Antiqua" w:cs="宋体"/>
          <w:color w:val="000000"/>
          <w:lang w:eastAsia="zh-CN"/>
        </w:rPr>
        <w:t>: 29367-29374 [PMID: 18772141 DOI: 10.1074/jbc.M801818200]</w:t>
      </w:r>
    </w:p>
    <w:p w14:paraId="48170DF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222 </w:t>
      </w:r>
      <w:r w:rsidRPr="008A0130">
        <w:rPr>
          <w:rFonts w:ascii="Book Antiqua" w:eastAsia="宋体" w:hAnsi="Book Antiqua" w:cs="宋体"/>
          <w:b/>
          <w:bCs/>
          <w:color w:val="000000"/>
          <w:lang w:eastAsia="zh-CN"/>
        </w:rPr>
        <w:t>Nakayama M</w:t>
      </w:r>
      <w:r w:rsidRPr="008A0130">
        <w:rPr>
          <w:rFonts w:ascii="Book Antiqua" w:eastAsia="宋体" w:hAnsi="Book Antiqua" w:cs="宋体"/>
          <w:color w:val="000000"/>
          <w:lang w:eastAsia="zh-CN"/>
        </w:rPr>
        <w:t>, Hisatsune J, Yamasaki E, Isomoto H, Kurazono H, Hatakeyama M, Azuma T, Yamaoka Y, Yahiro K, Moss J, Hirayama T. Helicobacter pylori VacA-induced inhibition of GSK3 through the PI3K/Akt signaling pathway. </w:t>
      </w:r>
      <w:r w:rsidRPr="008A0130">
        <w:rPr>
          <w:rFonts w:ascii="Book Antiqua" w:eastAsia="宋体" w:hAnsi="Book Antiqua" w:cs="宋体"/>
          <w:i/>
          <w:iCs/>
          <w:color w:val="000000"/>
          <w:lang w:eastAsia="zh-CN"/>
        </w:rPr>
        <w:t>J Biol Chem</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284</w:t>
      </w:r>
      <w:r w:rsidRPr="008A0130">
        <w:rPr>
          <w:rFonts w:ascii="Book Antiqua" w:eastAsia="宋体" w:hAnsi="Book Antiqua" w:cs="宋体"/>
          <w:color w:val="000000"/>
          <w:lang w:eastAsia="zh-CN"/>
        </w:rPr>
        <w:t>: 1612-1619 [PMID: 18996844 DOI: 10.1074/jbc.M806981200]</w:t>
      </w:r>
    </w:p>
    <w:p w14:paraId="377FF6E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223 </w:t>
      </w:r>
      <w:r w:rsidRPr="008A0130">
        <w:rPr>
          <w:rFonts w:ascii="Book Antiqua" w:eastAsia="宋体" w:hAnsi="Book Antiqua" w:cs="宋体"/>
          <w:b/>
          <w:bCs/>
          <w:color w:val="000000"/>
          <w:lang w:eastAsia="zh-CN"/>
        </w:rPr>
        <w:t>Suzuki M</w:t>
      </w:r>
      <w:r w:rsidRPr="008A0130">
        <w:rPr>
          <w:rFonts w:ascii="Book Antiqua" w:eastAsia="宋体" w:hAnsi="Book Antiqua" w:cs="宋体"/>
          <w:color w:val="000000"/>
          <w:lang w:eastAsia="zh-CN"/>
        </w:rPr>
        <w:t>, Mimuro H, Kiga K, Fukumatsu M, Ishijima N, Morikawa H, Nagai S, Koyasu S, Gilman RH, Kersulyte D, Berg DE, Sasakawa C. Helicobacter pylori CagA phosphorylation-independent function in epithelial proliferation and inflammation. </w:t>
      </w:r>
      <w:r w:rsidRPr="008A0130">
        <w:rPr>
          <w:rFonts w:ascii="Book Antiqua" w:eastAsia="宋体" w:hAnsi="Book Antiqua" w:cs="宋体"/>
          <w:i/>
          <w:iCs/>
          <w:color w:val="000000"/>
          <w:lang w:eastAsia="zh-CN"/>
        </w:rPr>
        <w:t>Cell Host Microbe</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5</w:t>
      </w:r>
      <w:r w:rsidRPr="008A0130">
        <w:rPr>
          <w:rFonts w:ascii="Book Antiqua" w:eastAsia="宋体" w:hAnsi="Book Antiqua" w:cs="宋体"/>
          <w:color w:val="000000"/>
          <w:lang w:eastAsia="zh-CN"/>
        </w:rPr>
        <w:t>: 23-34 [PMID: 19154985 DOI: 10.1016/j.chom.2008.11.010]</w:t>
      </w:r>
    </w:p>
    <w:p w14:paraId="4330CA6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224 </w:t>
      </w:r>
      <w:r w:rsidRPr="008A0130">
        <w:rPr>
          <w:rFonts w:ascii="Book Antiqua" w:eastAsia="宋体" w:hAnsi="Book Antiqua" w:cs="宋体"/>
          <w:b/>
          <w:bCs/>
          <w:color w:val="000000"/>
          <w:lang w:eastAsia="zh-CN"/>
        </w:rPr>
        <w:t>Neal JT</w:t>
      </w:r>
      <w:r w:rsidRPr="008A0130">
        <w:rPr>
          <w:rFonts w:ascii="Book Antiqua" w:eastAsia="宋体" w:hAnsi="Book Antiqua" w:cs="宋体"/>
          <w:color w:val="000000"/>
          <w:lang w:eastAsia="zh-CN"/>
        </w:rPr>
        <w:t>, Peterson TS, Kent ML, Guillemin K. H. pylori virulence factor CagA increases intestinal cell proliferation by Wnt pathway activation in a transgenic zebrafish model. </w:t>
      </w:r>
      <w:r w:rsidRPr="008A0130">
        <w:rPr>
          <w:rFonts w:ascii="Book Antiqua" w:eastAsia="宋体" w:hAnsi="Book Antiqua" w:cs="宋体"/>
          <w:i/>
          <w:iCs/>
          <w:color w:val="000000"/>
          <w:lang w:eastAsia="zh-CN"/>
        </w:rPr>
        <w:t>Dis Model Mech</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6</w:t>
      </w:r>
      <w:r w:rsidRPr="008A0130">
        <w:rPr>
          <w:rFonts w:ascii="Book Antiqua" w:eastAsia="宋体" w:hAnsi="Book Antiqua" w:cs="宋体"/>
          <w:color w:val="000000"/>
          <w:lang w:eastAsia="zh-CN"/>
        </w:rPr>
        <w:t>: 802-810 [PMID: 23471915 DOI: 10.1242/dmm.011163]</w:t>
      </w:r>
    </w:p>
    <w:p w14:paraId="41D17EE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225 </w:t>
      </w:r>
      <w:r w:rsidRPr="008A0130">
        <w:rPr>
          <w:rFonts w:ascii="Book Antiqua" w:eastAsia="宋体" w:hAnsi="Book Antiqua" w:cs="宋体"/>
          <w:b/>
          <w:bCs/>
          <w:color w:val="000000"/>
          <w:lang w:eastAsia="zh-CN"/>
        </w:rPr>
        <w:t>Udhayakumar G</w:t>
      </w:r>
      <w:r w:rsidRPr="008A0130">
        <w:rPr>
          <w:rFonts w:ascii="Book Antiqua" w:eastAsia="宋体" w:hAnsi="Book Antiqua" w:cs="宋体"/>
          <w:color w:val="000000"/>
          <w:lang w:eastAsia="zh-CN"/>
        </w:rPr>
        <w:t xml:space="preserve">, Jayanthi V, Devaraj N, Devaraj H. Interaction of MUC1 with beta-catenin modulates the Wnt target gene cyclinD1 in H. pylori-induced </w:t>
      </w:r>
      <w:r w:rsidRPr="008A0130">
        <w:rPr>
          <w:rFonts w:ascii="Book Antiqua" w:eastAsia="宋体" w:hAnsi="Book Antiqua" w:cs="宋体"/>
          <w:color w:val="000000"/>
          <w:lang w:eastAsia="zh-CN"/>
        </w:rPr>
        <w:lastRenderedPageBreak/>
        <w:t>gastric cancer. </w:t>
      </w:r>
      <w:r w:rsidRPr="008A0130">
        <w:rPr>
          <w:rFonts w:ascii="Book Antiqua" w:eastAsia="宋体" w:hAnsi="Book Antiqua" w:cs="宋体"/>
          <w:i/>
          <w:iCs/>
          <w:color w:val="000000"/>
          <w:lang w:eastAsia="zh-CN"/>
        </w:rPr>
        <w:t>Mol Carcinog</w:t>
      </w:r>
      <w:r w:rsidRPr="008A0130">
        <w:rPr>
          <w:rFonts w:ascii="Book Antiqua" w:eastAsia="宋体" w:hAnsi="Book Antiqua" w:cs="宋体"/>
          <w:color w:val="000000"/>
          <w:lang w:eastAsia="zh-CN"/>
        </w:rPr>
        <w:t> 2007; </w:t>
      </w:r>
      <w:r w:rsidRPr="008A0130">
        <w:rPr>
          <w:rFonts w:ascii="Book Antiqua" w:eastAsia="宋体" w:hAnsi="Book Antiqua" w:cs="宋体"/>
          <w:b/>
          <w:bCs/>
          <w:color w:val="000000"/>
          <w:lang w:eastAsia="zh-CN"/>
        </w:rPr>
        <w:t>46</w:t>
      </w:r>
      <w:r w:rsidRPr="008A0130">
        <w:rPr>
          <w:rFonts w:ascii="Book Antiqua" w:eastAsia="宋体" w:hAnsi="Book Antiqua" w:cs="宋体"/>
          <w:color w:val="000000"/>
          <w:lang w:eastAsia="zh-CN"/>
        </w:rPr>
        <w:t>: 807-817 [PMID: 17393422 DOI: 10.1002/mc.20311]</w:t>
      </w:r>
    </w:p>
    <w:p w14:paraId="1CFE213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226 </w:t>
      </w:r>
      <w:r w:rsidRPr="008A0130">
        <w:rPr>
          <w:rFonts w:ascii="Book Antiqua" w:eastAsia="宋体" w:hAnsi="Book Antiqua" w:cs="宋体"/>
          <w:b/>
          <w:bCs/>
          <w:color w:val="000000"/>
          <w:lang w:eastAsia="zh-CN"/>
        </w:rPr>
        <w:t>Yang ZM</w:t>
      </w:r>
      <w:r w:rsidRPr="008A0130">
        <w:rPr>
          <w:rFonts w:ascii="Book Antiqua" w:eastAsia="宋体" w:hAnsi="Book Antiqua" w:cs="宋体"/>
          <w:color w:val="000000"/>
          <w:lang w:eastAsia="zh-CN"/>
        </w:rPr>
        <w:t>, Chen WW, Wang YF. Gene expression profiling in gastric mucosa from Helicobacter pylori-infected and uninfected patients undergoing chronic superficial gastritis.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7</w:t>
      </w:r>
      <w:r w:rsidRPr="008A0130">
        <w:rPr>
          <w:rFonts w:ascii="Book Antiqua" w:eastAsia="宋体" w:hAnsi="Book Antiqua" w:cs="宋体"/>
          <w:color w:val="000000"/>
          <w:lang w:eastAsia="zh-CN"/>
        </w:rPr>
        <w:t>: e33030 [PMID: 22438889 DOI: 10.1371/journal.pone.0033030]</w:t>
      </w:r>
    </w:p>
    <w:p w14:paraId="5C4CDE6C" w14:textId="3356D163"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227 </w:t>
      </w:r>
      <w:r w:rsidRPr="008A0130">
        <w:rPr>
          <w:rFonts w:ascii="Book Antiqua" w:eastAsia="宋体" w:hAnsi="Book Antiqua" w:cs="宋体"/>
          <w:b/>
          <w:bCs/>
          <w:color w:val="000000"/>
          <w:lang w:eastAsia="zh-CN"/>
        </w:rPr>
        <w:t>Yamada M</w:t>
      </w:r>
      <w:r w:rsidRPr="008A0130">
        <w:rPr>
          <w:rFonts w:ascii="Book Antiqua" w:eastAsia="宋体" w:hAnsi="Book Antiqua" w:cs="宋体"/>
          <w:color w:val="000000"/>
          <w:lang w:eastAsia="zh-CN"/>
        </w:rPr>
        <w:t>, Ohnishi J, Ohkawara B, Iemura S, Satoh K, Hyodo-Miura J, Kawachi K, Natsume T, Shibuya H. NARF, an nemo-like kinase (NLK)-associated ring finger protein regulates the ubiquitylation and degradation of T cell factor/lymphoid enhancer factor (TCF/LEF). </w:t>
      </w:r>
      <w:r w:rsidRPr="008A0130">
        <w:rPr>
          <w:rFonts w:ascii="Book Antiqua" w:eastAsia="宋体" w:hAnsi="Book Antiqua" w:cs="宋体"/>
          <w:i/>
          <w:iCs/>
          <w:color w:val="000000"/>
          <w:lang w:eastAsia="zh-CN"/>
        </w:rPr>
        <w:t>J Biol Chem</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281</w:t>
      </w:r>
      <w:r w:rsidRPr="008A0130">
        <w:rPr>
          <w:rFonts w:ascii="Book Antiqua" w:eastAsia="宋体" w:hAnsi="Book Antiqua" w:cs="宋体"/>
          <w:color w:val="000000"/>
          <w:lang w:eastAsia="zh-CN"/>
        </w:rPr>
        <w:t xml:space="preserve">: 20749-20760 [PMID: 16714285 DOI: </w:t>
      </w:r>
      <w:r w:rsidR="008A0130">
        <w:rPr>
          <w:rFonts w:ascii="Book Antiqua" w:eastAsia="宋体" w:hAnsi="Book Antiqua" w:cs="宋体" w:hint="eastAsia"/>
          <w:color w:val="000000"/>
          <w:lang w:eastAsia="zh-CN"/>
        </w:rPr>
        <w:t>1</w:t>
      </w:r>
      <w:r w:rsidRPr="008A0130">
        <w:rPr>
          <w:rFonts w:ascii="Book Antiqua" w:eastAsia="宋体" w:hAnsi="Book Antiqua" w:cs="宋体"/>
          <w:color w:val="000000"/>
          <w:lang w:eastAsia="zh-CN"/>
        </w:rPr>
        <w:t>0.1074/jbc.M602089200]</w:t>
      </w:r>
    </w:p>
    <w:p w14:paraId="0BFDABD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228 </w:t>
      </w:r>
      <w:r w:rsidRPr="008A0130">
        <w:rPr>
          <w:rFonts w:ascii="Book Antiqua" w:eastAsia="宋体" w:hAnsi="Book Antiqua" w:cs="宋体"/>
          <w:b/>
          <w:bCs/>
          <w:color w:val="000000"/>
          <w:lang w:eastAsia="zh-CN"/>
        </w:rPr>
        <w:t>Gnad T</w:t>
      </w:r>
      <w:r w:rsidRPr="008A0130">
        <w:rPr>
          <w:rFonts w:ascii="Book Antiqua" w:eastAsia="宋体" w:hAnsi="Book Antiqua" w:cs="宋体"/>
          <w:color w:val="000000"/>
          <w:lang w:eastAsia="zh-CN"/>
        </w:rPr>
        <w:t>, Feoktistova M, Leverkus M, Lendeckel U, Naumann M. Helicobacter pylori-induced activation of beta-catenin involves low density lipoprotein receptor-related protein 6 and Dishevelled. </w:t>
      </w:r>
      <w:r w:rsidRPr="008A0130">
        <w:rPr>
          <w:rFonts w:ascii="Book Antiqua" w:eastAsia="宋体" w:hAnsi="Book Antiqua" w:cs="宋体"/>
          <w:i/>
          <w:iCs/>
          <w:color w:val="000000"/>
          <w:lang w:eastAsia="zh-CN"/>
        </w:rPr>
        <w:t>Mol Cancer</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9</w:t>
      </w:r>
      <w:r w:rsidRPr="008A0130">
        <w:rPr>
          <w:rFonts w:ascii="Book Antiqua" w:eastAsia="宋体" w:hAnsi="Book Antiqua" w:cs="宋体"/>
          <w:color w:val="000000"/>
          <w:lang w:eastAsia="zh-CN"/>
        </w:rPr>
        <w:t>: 31 [PMID: 20137080 DOI: 10.1186/1476-4598-9-31]</w:t>
      </w:r>
    </w:p>
    <w:p w14:paraId="1DB6A323"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229 </w:t>
      </w:r>
      <w:r w:rsidRPr="008A0130">
        <w:rPr>
          <w:rFonts w:ascii="Book Antiqua" w:eastAsia="宋体" w:hAnsi="Book Antiqua" w:cs="宋体"/>
          <w:b/>
          <w:bCs/>
          <w:color w:val="000000"/>
          <w:lang w:eastAsia="zh-CN"/>
        </w:rPr>
        <w:t>Oshima H</w:t>
      </w:r>
      <w:r w:rsidRPr="008A0130">
        <w:rPr>
          <w:rFonts w:ascii="Book Antiqua" w:eastAsia="宋体" w:hAnsi="Book Antiqua" w:cs="宋体"/>
          <w:color w:val="000000"/>
          <w:lang w:eastAsia="zh-CN"/>
        </w:rPr>
        <w:t>, Oguma K, Du YC, Oshima M. Prostaglandin E2, Wnt, and BMP in gastric tumor mouse models. </w:t>
      </w:r>
      <w:r w:rsidRPr="008A0130">
        <w:rPr>
          <w:rFonts w:ascii="Book Antiqua" w:eastAsia="宋体" w:hAnsi="Book Antiqua" w:cs="宋体"/>
          <w:i/>
          <w:iCs/>
          <w:color w:val="000000"/>
          <w:lang w:eastAsia="zh-CN"/>
        </w:rPr>
        <w:t>Cancer Sci</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100</w:t>
      </w:r>
      <w:r w:rsidRPr="008A0130">
        <w:rPr>
          <w:rFonts w:ascii="Book Antiqua" w:eastAsia="宋体" w:hAnsi="Book Antiqua" w:cs="宋体"/>
          <w:color w:val="000000"/>
          <w:lang w:eastAsia="zh-CN"/>
        </w:rPr>
        <w:t>: 1779-1785 [PMID: 19622104 DOI: 10.1111/j.1349-7006.2009.01258.x]</w:t>
      </w:r>
    </w:p>
    <w:p w14:paraId="029D407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230 </w:t>
      </w:r>
      <w:r w:rsidRPr="008A0130">
        <w:rPr>
          <w:rFonts w:ascii="Book Antiqua" w:eastAsia="宋体" w:hAnsi="Book Antiqua" w:cs="宋体"/>
          <w:b/>
          <w:bCs/>
          <w:color w:val="000000"/>
          <w:lang w:eastAsia="zh-CN"/>
        </w:rPr>
        <w:t>Takasu S</w:t>
      </w:r>
      <w:r w:rsidRPr="008A0130">
        <w:rPr>
          <w:rFonts w:ascii="Book Antiqua" w:eastAsia="宋体" w:hAnsi="Book Antiqua" w:cs="宋体"/>
          <w:color w:val="000000"/>
          <w:lang w:eastAsia="zh-CN"/>
        </w:rPr>
        <w:t>, Tsukamoto T, Cao XY, Toyoda T, Hirata A, Ban H, Yamamoto M, Sakai H, Yanai T, Masegi T, Oshima M, Tatematsu M. Roles of cyclooxygenase-2 and microsomal prostaglandin E synthase-1 expression and beta-catenin activation in gastric carcinogenesis in N-methyl-N-nitrosourea-treated K19-C2mE transgenic mice. </w:t>
      </w:r>
      <w:r w:rsidRPr="008A0130">
        <w:rPr>
          <w:rFonts w:ascii="Book Antiqua" w:eastAsia="宋体" w:hAnsi="Book Antiqua" w:cs="宋体"/>
          <w:i/>
          <w:iCs/>
          <w:color w:val="000000"/>
          <w:lang w:eastAsia="zh-CN"/>
        </w:rPr>
        <w:t>Cancer Sci</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99</w:t>
      </w:r>
      <w:r w:rsidRPr="008A0130">
        <w:rPr>
          <w:rFonts w:ascii="Book Antiqua" w:eastAsia="宋体" w:hAnsi="Book Antiqua" w:cs="宋体"/>
          <w:color w:val="000000"/>
          <w:lang w:eastAsia="zh-CN"/>
        </w:rPr>
        <w:t>: 2356-2364 [PMID: 19018769 DOI: 10.1111/j.1349-7006.2008.00983.x]</w:t>
      </w:r>
    </w:p>
    <w:p w14:paraId="65C0064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231 </w:t>
      </w:r>
      <w:r w:rsidRPr="008A0130">
        <w:rPr>
          <w:rFonts w:ascii="Book Antiqua" w:eastAsia="宋体" w:hAnsi="Book Antiqua" w:cs="宋体"/>
          <w:b/>
          <w:bCs/>
          <w:color w:val="000000"/>
          <w:lang w:eastAsia="zh-CN"/>
        </w:rPr>
        <w:t>Nuñez F</w:t>
      </w:r>
      <w:r w:rsidRPr="008A0130">
        <w:rPr>
          <w:rFonts w:ascii="Book Antiqua" w:eastAsia="宋体" w:hAnsi="Book Antiqua" w:cs="宋体"/>
          <w:color w:val="000000"/>
          <w:lang w:eastAsia="zh-CN"/>
        </w:rPr>
        <w:t>, Bravo S, Cruzat F, Montecino M, De Ferrari GV. Wnt/β-catenin signaling enhances cyclooxygenase-2 (COX2) transcriptional activity in gastric cancer cells. </w:t>
      </w:r>
      <w:r w:rsidRPr="008A0130">
        <w:rPr>
          <w:rFonts w:ascii="Book Antiqua" w:eastAsia="宋体" w:hAnsi="Book Antiqua" w:cs="宋体"/>
          <w:i/>
          <w:iCs/>
          <w:color w:val="000000"/>
          <w:lang w:eastAsia="zh-CN"/>
        </w:rPr>
        <w:t>PLoS One</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6</w:t>
      </w:r>
      <w:r w:rsidRPr="008A0130">
        <w:rPr>
          <w:rFonts w:ascii="Book Antiqua" w:eastAsia="宋体" w:hAnsi="Book Antiqua" w:cs="宋体"/>
          <w:color w:val="000000"/>
          <w:lang w:eastAsia="zh-CN"/>
        </w:rPr>
        <w:t>: e18562 [PMID: 21494638 DOI: 10.1371/journal.pone.0018562]</w:t>
      </w:r>
    </w:p>
    <w:p w14:paraId="12BCB55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232 </w:t>
      </w:r>
      <w:r w:rsidRPr="008A0130">
        <w:rPr>
          <w:rFonts w:ascii="Book Antiqua" w:eastAsia="宋体" w:hAnsi="Book Antiqua" w:cs="宋体"/>
          <w:b/>
          <w:bCs/>
          <w:color w:val="000000"/>
          <w:lang w:eastAsia="zh-CN"/>
        </w:rPr>
        <w:t>Kirikoshi H</w:t>
      </w:r>
      <w:r w:rsidRPr="008A0130">
        <w:rPr>
          <w:rFonts w:ascii="Book Antiqua" w:eastAsia="宋体" w:hAnsi="Book Antiqua" w:cs="宋体"/>
          <w:color w:val="000000"/>
          <w:lang w:eastAsia="zh-CN"/>
        </w:rPr>
        <w:t>, Sekihara H, Katoh M. Up-regulation of WNT10A by tumor necrosis factor alpha and Helicobacter pylori in gastric cancer. </w:t>
      </w:r>
      <w:r w:rsidRPr="008A0130">
        <w:rPr>
          <w:rFonts w:ascii="Book Antiqua" w:eastAsia="宋体" w:hAnsi="Book Antiqua" w:cs="宋体"/>
          <w:i/>
          <w:iCs/>
          <w:color w:val="000000"/>
          <w:lang w:eastAsia="zh-CN"/>
        </w:rPr>
        <w:t>Int J Oncol</w:t>
      </w:r>
      <w:r w:rsidRPr="008A0130">
        <w:rPr>
          <w:rFonts w:ascii="Book Antiqua" w:eastAsia="宋体" w:hAnsi="Book Antiqua" w:cs="宋体"/>
          <w:color w:val="000000"/>
          <w:lang w:eastAsia="zh-CN"/>
        </w:rPr>
        <w:t> 2001; </w:t>
      </w:r>
      <w:r w:rsidRPr="008A0130">
        <w:rPr>
          <w:rFonts w:ascii="Book Antiqua" w:eastAsia="宋体" w:hAnsi="Book Antiqua" w:cs="宋体"/>
          <w:b/>
          <w:bCs/>
          <w:color w:val="000000"/>
          <w:lang w:eastAsia="zh-CN"/>
        </w:rPr>
        <w:t>19</w:t>
      </w:r>
      <w:r w:rsidRPr="008A0130">
        <w:rPr>
          <w:rFonts w:ascii="Book Antiqua" w:eastAsia="宋体" w:hAnsi="Book Antiqua" w:cs="宋体"/>
          <w:color w:val="000000"/>
          <w:lang w:eastAsia="zh-CN"/>
        </w:rPr>
        <w:t>: 533-536 [PMID: 11494032]</w:t>
      </w:r>
    </w:p>
    <w:p w14:paraId="6C85D79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233 </w:t>
      </w:r>
      <w:r w:rsidRPr="008A0130">
        <w:rPr>
          <w:rFonts w:ascii="Book Antiqua" w:eastAsia="宋体" w:hAnsi="Book Antiqua" w:cs="宋体"/>
          <w:b/>
          <w:bCs/>
          <w:color w:val="000000"/>
          <w:lang w:eastAsia="zh-CN"/>
        </w:rPr>
        <w:t>Kim B</w:t>
      </w:r>
      <w:r w:rsidRPr="008A0130">
        <w:rPr>
          <w:rFonts w:ascii="Book Antiqua" w:eastAsia="宋体" w:hAnsi="Book Antiqua" w:cs="宋体"/>
          <w:color w:val="000000"/>
          <w:lang w:eastAsia="zh-CN"/>
        </w:rPr>
        <w:t>, Byun SJ, Kim YA, Kim JE, Lee BL, Kim WH, Chang MS. Cell cycle regulators, APC/beta-catenin, NF-kappaB and Epstein-Barr virus in gastric carcinomas. </w:t>
      </w:r>
      <w:r w:rsidRPr="008A0130">
        <w:rPr>
          <w:rFonts w:ascii="Book Antiqua" w:eastAsia="宋体" w:hAnsi="Book Antiqua" w:cs="宋体"/>
          <w:i/>
          <w:iCs/>
          <w:color w:val="000000"/>
          <w:lang w:eastAsia="zh-CN"/>
        </w:rPr>
        <w:t>Pathology</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42</w:t>
      </w:r>
      <w:r w:rsidRPr="008A0130">
        <w:rPr>
          <w:rFonts w:ascii="Book Antiqua" w:eastAsia="宋体" w:hAnsi="Book Antiqua" w:cs="宋体"/>
          <w:color w:val="000000"/>
          <w:lang w:eastAsia="zh-CN"/>
        </w:rPr>
        <w:t>: 58-65 [PMID: 20025482 DOI: 10.3109/00313020903356392]</w:t>
      </w:r>
    </w:p>
    <w:p w14:paraId="65ADC2C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234 </w:t>
      </w:r>
      <w:r w:rsidRPr="008A0130">
        <w:rPr>
          <w:rFonts w:ascii="Book Antiqua" w:eastAsia="宋体" w:hAnsi="Book Antiqua" w:cs="宋体"/>
          <w:b/>
          <w:bCs/>
          <w:color w:val="000000"/>
          <w:lang w:eastAsia="zh-CN"/>
        </w:rPr>
        <w:t>Fukayama M</w:t>
      </w:r>
      <w:r w:rsidRPr="008A0130">
        <w:rPr>
          <w:rFonts w:ascii="Book Antiqua" w:eastAsia="宋体" w:hAnsi="Book Antiqua" w:cs="宋体"/>
          <w:color w:val="000000"/>
          <w:lang w:eastAsia="zh-CN"/>
        </w:rPr>
        <w:t>, Hino R, Uozaki H. Epstein-Barr virus and gastric carcinoma: virus-host interactions leading to carcinoma. </w:t>
      </w:r>
      <w:r w:rsidRPr="008A0130">
        <w:rPr>
          <w:rFonts w:ascii="Book Antiqua" w:eastAsia="宋体" w:hAnsi="Book Antiqua" w:cs="宋体"/>
          <w:i/>
          <w:iCs/>
          <w:color w:val="000000"/>
          <w:lang w:eastAsia="zh-CN"/>
        </w:rPr>
        <w:t>Cancer Sci</w:t>
      </w:r>
      <w:r w:rsidRPr="008A0130">
        <w:rPr>
          <w:rFonts w:ascii="Book Antiqua" w:eastAsia="宋体" w:hAnsi="Book Antiqua" w:cs="宋体"/>
          <w:color w:val="000000"/>
          <w:lang w:eastAsia="zh-CN"/>
        </w:rPr>
        <w:t> 2008; </w:t>
      </w:r>
      <w:r w:rsidRPr="008A0130">
        <w:rPr>
          <w:rFonts w:ascii="Book Antiqua" w:eastAsia="宋体" w:hAnsi="Book Antiqua" w:cs="宋体"/>
          <w:b/>
          <w:bCs/>
          <w:color w:val="000000"/>
          <w:lang w:eastAsia="zh-CN"/>
        </w:rPr>
        <w:t>99</w:t>
      </w:r>
      <w:r w:rsidRPr="008A0130">
        <w:rPr>
          <w:rFonts w:ascii="Book Antiqua" w:eastAsia="宋体" w:hAnsi="Book Antiqua" w:cs="宋体"/>
          <w:color w:val="000000"/>
          <w:lang w:eastAsia="zh-CN"/>
        </w:rPr>
        <w:t>: 1726-1733 [PMID: 18616681 DOI: 10.1111/j.1349-7006.2008.00888.x]</w:t>
      </w:r>
    </w:p>
    <w:p w14:paraId="561557C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235 </w:t>
      </w:r>
      <w:r w:rsidRPr="008A0130">
        <w:rPr>
          <w:rFonts w:ascii="Book Antiqua" w:eastAsia="宋体" w:hAnsi="Book Antiqua" w:cs="宋体"/>
          <w:b/>
          <w:bCs/>
          <w:color w:val="000000"/>
          <w:lang w:eastAsia="zh-CN"/>
        </w:rPr>
        <w:t>Kahn M</w:t>
      </w:r>
      <w:r w:rsidRPr="008A0130">
        <w:rPr>
          <w:rFonts w:ascii="Book Antiqua" w:eastAsia="宋体" w:hAnsi="Book Antiqua" w:cs="宋体"/>
          <w:color w:val="000000"/>
          <w:lang w:eastAsia="zh-CN"/>
        </w:rPr>
        <w:t>. Can we safely target the WNT pathway? </w:t>
      </w:r>
      <w:r w:rsidRPr="008A0130">
        <w:rPr>
          <w:rFonts w:ascii="Book Antiqua" w:eastAsia="宋体" w:hAnsi="Book Antiqua" w:cs="宋体"/>
          <w:i/>
          <w:iCs/>
          <w:color w:val="000000"/>
          <w:lang w:eastAsia="zh-CN"/>
        </w:rPr>
        <w:t>Nat Rev Drug Discov</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13</w:t>
      </w:r>
      <w:r w:rsidRPr="008A0130">
        <w:rPr>
          <w:rFonts w:ascii="Book Antiqua" w:eastAsia="宋体" w:hAnsi="Book Antiqua" w:cs="宋体"/>
          <w:color w:val="000000"/>
          <w:lang w:eastAsia="zh-CN"/>
        </w:rPr>
        <w:t>: 513-532 [PMID: 24981364 DOI: 10.1038/nrd4233]</w:t>
      </w:r>
    </w:p>
    <w:p w14:paraId="0BD55C3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236 </w:t>
      </w:r>
      <w:r w:rsidRPr="008A0130">
        <w:rPr>
          <w:rFonts w:ascii="Book Antiqua" w:eastAsia="宋体" w:hAnsi="Book Antiqua" w:cs="宋体"/>
          <w:b/>
          <w:bCs/>
          <w:color w:val="000000"/>
          <w:lang w:eastAsia="zh-CN"/>
        </w:rPr>
        <w:t>Rosenbluh J</w:t>
      </w:r>
      <w:r w:rsidRPr="008A0130">
        <w:rPr>
          <w:rFonts w:ascii="Book Antiqua" w:eastAsia="宋体" w:hAnsi="Book Antiqua" w:cs="宋体"/>
          <w:color w:val="000000"/>
          <w:lang w:eastAsia="zh-CN"/>
        </w:rPr>
        <w:t>, Wang X, Hahn WC. Genomic insights into WNT/β-catenin signaling. </w:t>
      </w:r>
      <w:r w:rsidRPr="008A0130">
        <w:rPr>
          <w:rFonts w:ascii="Book Antiqua" w:eastAsia="宋体" w:hAnsi="Book Antiqua" w:cs="宋体"/>
          <w:i/>
          <w:iCs/>
          <w:color w:val="000000"/>
          <w:lang w:eastAsia="zh-CN"/>
        </w:rPr>
        <w:t>Trends Pharmacol Sci</w:t>
      </w:r>
      <w:r w:rsidRPr="008A0130">
        <w:rPr>
          <w:rFonts w:ascii="Book Antiqua" w:eastAsia="宋体" w:hAnsi="Book Antiqua" w:cs="宋体"/>
          <w:color w:val="000000"/>
          <w:lang w:eastAsia="zh-CN"/>
        </w:rPr>
        <w:t> 2014; </w:t>
      </w:r>
      <w:r w:rsidRPr="008A0130">
        <w:rPr>
          <w:rFonts w:ascii="Book Antiqua" w:eastAsia="宋体" w:hAnsi="Book Antiqua" w:cs="宋体"/>
          <w:b/>
          <w:bCs/>
          <w:color w:val="000000"/>
          <w:lang w:eastAsia="zh-CN"/>
        </w:rPr>
        <w:t>35</w:t>
      </w:r>
      <w:r w:rsidRPr="008A0130">
        <w:rPr>
          <w:rFonts w:ascii="Book Antiqua" w:eastAsia="宋体" w:hAnsi="Book Antiqua" w:cs="宋体"/>
          <w:color w:val="000000"/>
          <w:lang w:eastAsia="zh-CN"/>
        </w:rPr>
        <w:t>: 103-109 [PMID: 24365576]</w:t>
      </w:r>
    </w:p>
    <w:p w14:paraId="133E70B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237 </w:t>
      </w:r>
      <w:r w:rsidRPr="008A0130">
        <w:rPr>
          <w:rFonts w:ascii="Book Antiqua" w:eastAsia="宋体" w:hAnsi="Book Antiqua" w:cs="宋体"/>
          <w:b/>
          <w:bCs/>
          <w:color w:val="000000"/>
          <w:lang w:eastAsia="zh-CN"/>
        </w:rPr>
        <w:t>Chen W</w:t>
      </w:r>
      <w:r w:rsidRPr="008A0130">
        <w:rPr>
          <w:rFonts w:ascii="Book Antiqua" w:eastAsia="宋体" w:hAnsi="Book Antiqua" w:cs="宋体"/>
          <w:color w:val="000000"/>
          <w:lang w:eastAsia="zh-CN"/>
        </w:rPr>
        <w:t>, Chen M, Barak LS. Development of small molecules targeting the Wnt pathway for the treatment of colon cancer: a high-throughput screening approach. </w:t>
      </w:r>
      <w:r w:rsidRPr="008A0130">
        <w:rPr>
          <w:rFonts w:ascii="Book Antiqua" w:eastAsia="宋体" w:hAnsi="Book Antiqua" w:cs="宋体"/>
          <w:i/>
          <w:iCs/>
          <w:color w:val="000000"/>
          <w:lang w:eastAsia="zh-CN"/>
        </w:rPr>
        <w:t>Am J Physiol Gastrointest Liver Physiol</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299</w:t>
      </w:r>
      <w:r w:rsidRPr="008A0130">
        <w:rPr>
          <w:rFonts w:ascii="Book Antiqua" w:eastAsia="宋体" w:hAnsi="Book Antiqua" w:cs="宋体"/>
          <w:color w:val="000000"/>
          <w:lang w:eastAsia="zh-CN"/>
        </w:rPr>
        <w:t>: G293-G300 [PMID: 20508156 DOI: 10.1152/ajpgi.00005.2010]</w:t>
      </w:r>
    </w:p>
    <w:p w14:paraId="5D75BBD8"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238 </w:t>
      </w:r>
      <w:r w:rsidRPr="008A0130">
        <w:rPr>
          <w:rFonts w:ascii="Book Antiqua" w:eastAsia="宋体" w:hAnsi="Book Antiqua" w:cs="宋体"/>
          <w:b/>
          <w:bCs/>
          <w:color w:val="000000"/>
          <w:lang w:eastAsia="zh-CN"/>
        </w:rPr>
        <w:t>Ewan K</w:t>
      </w:r>
      <w:r w:rsidRPr="008A0130">
        <w:rPr>
          <w:rFonts w:ascii="Book Antiqua" w:eastAsia="宋体" w:hAnsi="Book Antiqua" w:cs="宋体"/>
          <w:color w:val="000000"/>
          <w:lang w:eastAsia="zh-CN"/>
        </w:rPr>
        <w:t>, Pajak B, Stubbs M, Todd H, Barbeau O, Quevedo C, Botfield H, Young R, Ruddle R, Samuel L, Battersby A, Raynaud F, Allen N, Wilson S, Latinkic B, Workman P, McDonald E, Blagg J, Aherne W, Dale T. A useful approach to identify novel small-molecule inhibitors of Wnt-dependent transcription. </w:t>
      </w:r>
      <w:r w:rsidRPr="008A0130">
        <w:rPr>
          <w:rFonts w:ascii="Book Antiqua" w:eastAsia="宋体" w:hAnsi="Book Antiqua" w:cs="宋体"/>
          <w:i/>
          <w:iCs/>
          <w:color w:val="000000"/>
          <w:lang w:eastAsia="zh-CN"/>
        </w:rPr>
        <w:t>Cancer Res</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70</w:t>
      </w:r>
      <w:r w:rsidRPr="008A0130">
        <w:rPr>
          <w:rFonts w:ascii="Book Antiqua" w:eastAsia="宋体" w:hAnsi="Book Antiqua" w:cs="宋体"/>
          <w:color w:val="000000"/>
          <w:lang w:eastAsia="zh-CN"/>
        </w:rPr>
        <w:t>: 5963-5973 [PMID: 20610623 DOI: 10.1158/0008-5472.CAN-10-1028]</w:t>
      </w:r>
    </w:p>
    <w:p w14:paraId="08B4383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239 </w:t>
      </w:r>
      <w:r w:rsidRPr="008A0130">
        <w:rPr>
          <w:rFonts w:ascii="Book Antiqua" w:eastAsia="宋体" w:hAnsi="Book Antiqua" w:cs="宋体"/>
          <w:b/>
          <w:bCs/>
          <w:color w:val="000000"/>
          <w:lang w:eastAsia="zh-CN"/>
        </w:rPr>
        <w:t>Anastas JN</w:t>
      </w:r>
      <w:r w:rsidRPr="008A0130">
        <w:rPr>
          <w:rFonts w:ascii="Book Antiqua" w:eastAsia="宋体" w:hAnsi="Book Antiqua" w:cs="宋体"/>
          <w:color w:val="000000"/>
          <w:lang w:eastAsia="zh-CN"/>
        </w:rPr>
        <w:t>, Moon RT. WNT signalling pathways as therapeutic targets in cancer. </w:t>
      </w:r>
      <w:r w:rsidRPr="008A0130">
        <w:rPr>
          <w:rFonts w:ascii="Book Antiqua" w:eastAsia="宋体" w:hAnsi="Book Antiqua" w:cs="宋体"/>
          <w:i/>
          <w:iCs/>
          <w:color w:val="000000"/>
          <w:lang w:eastAsia="zh-CN"/>
        </w:rPr>
        <w:t>Nat Rev Cancer</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13</w:t>
      </w:r>
      <w:r w:rsidRPr="008A0130">
        <w:rPr>
          <w:rFonts w:ascii="Book Antiqua" w:eastAsia="宋体" w:hAnsi="Book Antiqua" w:cs="宋体"/>
          <w:color w:val="000000"/>
          <w:lang w:eastAsia="zh-CN"/>
        </w:rPr>
        <w:t>: 11-26 [PMID: 23258168 DOI: 10.1038/nrc3419]</w:t>
      </w:r>
    </w:p>
    <w:p w14:paraId="04DE7626" w14:textId="166E7E2D" w:rsidR="00950BD5" w:rsidRPr="008A0130" w:rsidRDefault="005B558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240</w:t>
      </w:r>
      <w:r w:rsidR="00950BD5" w:rsidRPr="008A0130">
        <w:rPr>
          <w:rFonts w:ascii="Book Antiqua" w:eastAsia="宋体" w:hAnsi="Book Antiqua" w:cs="宋体"/>
          <w:color w:val="000000"/>
          <w:lang w:eastAsia="zh-CN"/>
        </w:rPr>
        <w:t xml:space="preserve"> </w:t>
      </w:r>
      <w:r w:rsidR="00950BD5" w:rsidRPr="008A0130">
        <w:rPr>
          <w:rFonts w:ascii="Book Antiqua" w:eastAsia="宋体" w:hAnsi="Book Antiqua" w:cs="宋体"/>
          <w:b/>
          <w:color w:val="000000"/>
          <w:lang w:eastAsia="zh-CN"/>
        </w:rPr>
        <w:t xml:space="preserve">Le PN, </w:t>
      </w:r>
      <w:r w:rsidR="00950BD5" w:rsidRPr="008A0130">
        <w:rPr>
          <w:rFonts w:ascii="Book Antiqua" w:eastAsia="宋体" w:hAnsi="Book Antiqua" w:cs="宋体"/>
          <w:color w:val="000000"/>
          <w:lang w:eastAsia="zh-CN"/>
        </w:rPr>
        <w:t xml:space="preserve">McDermott JD, Jimeno A. Targeting the Wnt pathway in human cancers: Therapeutic targeting with a focus on OMP-54F28. </w:t>
      </w:r>
      <w:r w:rsidR="00950BD5" w:rsidRPr="008A0130">
        <w:rPr>
          <w:rFonts w:ascii="Book Antiqua" w:eastAsia="宋体" w:hAnsi="Book Antiqua" w:cs="宋体"/>
          <w:i/>
          <w:color w:val="000000"/>
          <w:lang w:eastAsia="zh-CN"/>
        </w:rPr>
        <w:t xml:space="preserve">Pharmacol Ther </w:t>
      </w:r>
      <w:r w:rsidR="00950BD5" w:rsidRPr="008A0130">
        <w:rPr>
          <w:rFonts w:ascii="Book Antiqua" w:eastAsia="宋体" w:hAnsi="Book Antiqua" w:cs="宋体"/>
          <w:color w:val="000000"/>
          <w:lang w:eastAsia="zh-CN"/>
        </w:rPr>
        <w:t xml:space="preserve">2014 </w:t>
      </w:r>
      <w:r w:rsidRPr="008A0130">
        <w:rPr>
          <w:rFonts w:ascii="Book Antiqua" w:eastAsia="宋体" w:hAnsi="Book Antiqua" w:cs="宋体" w:hint="eastAsia"/>
          <w:color w:val="000000"/>
          <w:lang w:eastAsia="zh-CN"/>
        </w:rPr>
        <w:t>[</w:t>
      </w:r>
      <w:r w:rsidR="00950BD5" w:rsidRPr="008A0130">
        <w:rPr>
          <w:rFonts w:ascii="Book Antiqua" w:eastAsia="宋体" w:hAnsi="Book Antiqua" w:cs="宋体"/>
          <w:color w:val="000000"/>
          <w:lang w:eastAsia="zh-CN"/>
        </w:rPr>
        <w:t>DOI: 10.1016/j.pharmthera.2014.08.005</w:t>
      </w:r>
      <w:r w:rsidRPr="008A0130">
        <w:rPr>
          <w:rFonts w:ascii="Book Antiqua" w:eastAsia="宋体" w:hAnsi="Book Antiqua" w:cs="宋体" w:hint="eastAsia"/>
          <w:color w:val="000000"/>
          <w:lang w:eastAsia="zh-CN"/>
        </w:rPr>
        <w:t>]</w:t>
      </w:r>
    </w:p>
    <w:p w14:paraId="6567383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241 </w:t>
      </w:r>
      <w:r w:rsidRPr="008A0130">
        <w:rPr>
          <w:rFonts w:ascii="Book Antiqua" w:eastAsia="宋体" w:hAnsi="Book Antiqua" w:cs="宋体"/>
          <w:b/>
          <w:bCs/>
          <w:color w:val="000000"/>
          <w:lang w:eastAsia="zh-CN"/>
        </w:rPr>
        <w:t>Gupta PB</w:t>
      </w:r>
      <w:r w:rsidRPr="008A0130">
        <w:rPr>
          <w:rFonts w:ascii="Book Antiqua" w:eastAsia="宋体" w:hAnsi="Book Antiqua" w:cs="宋体"/>
          <w:color w:val="000000"/>
          <w:lang w:eastAsia="zh-CN"/>
        </w:rPr>
        <w:t>, Onder TT, Jiang G, Tao K, Kuperwasser C, Weinberg RA, Lander ES. Identification of selective inhibitors of cancer stem cells by high-throughput screening. </w:t>
      </w:r>
      <w:r w:rsidRPr="008A0130">
        <w:rPr>
          <w:rFonts w:ascii="Book Antiqua" w:eastAsia="宋体" w:hAnsi="Book Antiqua" w:cs="宋体"/>
          <w:i/>
          <w:iCs/>
          <w:color w:val="000000"/>
          <w:lang w:eastAsia="zh-CN"/>
        </w:rPr>
        <w:t>Cell</w:t>
      </w:r>
      <w:r w:rsidRPr="008A0130">
        <w:rPr>
          <w:rFonts w:ascii="Book Antiqua" w:eastAsia="宋体" w:hAnsi="Book Antiqua" w:cs="宋体"/>
          <w:color w:val="000000"/>
          <w:lang w:eastAsia="zh-CN"/>
        </w:rPr>
        <w:t> 2009; </w:t>
      </w:r>
      <w:r w:rsidRPr="008A0130">
        <w:rPr>
          <w:rFonts w:ascii="Book Antiqua" w:eastAsia="宋体" w:hAnsi="Book Antiqua" w:cs="宋体"/>
          <w:b/>
          <w:bCs/>
          <w:color w:val="000000"/>
          <w:lang w:eastAsia="zh-CN"/>
        </w:rPr>
        <w:t>138</w:t>
      </w:r>
      <w:r w:rsidRPr="008A0130">
        <w:rPr>
          <w:rFonts w:ascii="Book Antiqua" w:eastAsia="宋体" w:hAnsi="Book Antiqua" w:cs="宋体"/>
          <w:color w:val="000000"/>
          <w:lang w:eastAsia="zh-CN"/>
        </w:rPr>
        <w:t>: 645-659 [PMID: 19682730 DOI: 10.1016/j.cell.2009.06.034]</w:t>
      </w:r>
    </w:p>
    <w:p w14:paraId="43E385F8" w14:textId="732B3D5B"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242 </w:t>
      </w:r>
      <w:r w:rsidRPr="008A0130">
        <w:rPr>
          <w:rFonts w:ascii="Book Antiqua" w:eastAsia="宋体" w:hAnsi="Book Antiqua" w:cs="宋体"/>
          <w:b/>
          <w:bCs/>
          <w:color w:val="000000"/>
          <w:lang w:eastAsia="zh-CN"/>
        </w:rPr>
        <w:t>Lu D</w:t>
      </w:r>
      <w:r w:rsidRPr="008A0130">
        <w:rPr>
          <w:rFonts w:ascii="Book Antiqua" w:eastAsia="宋体" w:hAnsi="Book Antiqua" w:cs="宋体"/>
          <w:color w:val="000000"/>
          <w:lang w:eastAsia="zh-CN"/>
        </w:rPr>
        <w:t>, Choi MY, Yu J, Castro JE, Kipps TJ, Carson DA. Salinomycin inhibits Wnt signaling and selectively induces apoptosis in chronic lymphocytic leukemia cells. </w:t>
      </w:r>
      <w:r w:rsidR="005B5585" w:rsidRPr="008A0130">
        <w:rPr>
          <w:rFonts w:ascii="Book Antiqua" w:eastAsia="宋体" w:hAnsi="Book Antiqua" w:cs="宋体"/>
          <w:i/>
          <w:iCs/>
          <w:color w:val="000000"/>
          <w:lang w:eastAsia="zh-CN"/>
        </w:rPr>
        <w:t>Proc Natl Acad Sci US</w:t>
      </w:r>
      <w:r w:rsidRPr="008A0130">
        <w:rPr>
          <w:rFonts w:ascii="Book Antiqua" w:eastAsia="宋体" w:hAnsi="Book Antiqua" w:cs="宋体"/>
          <w:i/>
          <w:iCs/>
          <w:color w:val="000000"/>
          <w:lang w:eastAsia="zh-CN"/>
        </w:rPr>
        <w:t>A</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108</w:t>
      </w:r>
      <w:r w:rsidRPr="008A0130">
        <w:rPr>
          <w:rFonts w:ascii="Book Antiqua" w:eastAsia="宋体" w:hAnsi="Book Antiqua" w:cs="宋体"/>
          <w:color w:val="000000"/>
          <w:lang w:eastAsia="zh-CN"/>
        </w:rPr>
        <w:t>: 13253-13257 [PMID: 21788521 DOI: 10.1073/pnas.1110431108]</w:t>
      </w:r>
    </w:p>
    <w:p w14:paraId="0A975097"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243 </w:t>
      </w:r>
      <w:r w:rsidRPr="008A0130">
        <w:rPr>
          <w:rFonts w:ascii="Book Antiqua" w:eastAsia="宋体" w:hAnsi="Book Antiqua" w:cs="宋体"/>
          <w:b/>
          <w:bCs/>
          <w:color w:val="000000"/>
          <w:lang w:eastAsia="zh-CN"/>
        </w:rPr>
        <w:t>Zhang YS</w:t>
      </w:r>
      <w:r w:rsidRPr="008A0130">
        <w:rPr>
          <w:rFonts w:ascii="Book Antiqua" w:eastAsia="宋体" w:hAnsi="Book Antiqua" w:cs="宋体"/>
          <w:color w:val="000000"/>
          <w:lang w:eastAsia="zh-CN"/>
        </w:rPr>
        <w:t>, Xie JZ, Zhong JL, Li YY, Wang RQ, Qin YZ, Lou HX, Gao ZH, Qu XJ. Acetyl-11-keto-β-boswellic acid (AKBA) inhibits human gastric carcinoma growth through modulation of the Wnt/β-catenin signaling pathway. </w:t>
      </w:r>
      <w:r w:rsidRPr="008A0130">
        <w:rPr>
          <w:rFonts w:ascii="Book Antiqua" w:eastAsia="宋体" w:hAnsi="Book Antiqua" w:cs="宋体"/>
          <w:i/>
          <w:iCs/>
          <w:color w:val="000000"/>
          <w:lang w:eastAsia="zh-CN"/>
        </w:rPr>
        <w:t>Biochim Biophys Acta</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1830</w:t>
      </w:r>
      <w:r w:rsidRPr="008A0130">
        <w:rPr>
          <w:rFonts w:ascii="Book Antiqua" w:eastAsia="宋体" w:hAnsi="Book Antiqua" w:cs="宋体"/>
          <w:color w:val="000000"/>
          <w:lang w:eastAsia="zh-CN"/>
        </w:rPr>
        <w:t>: 3604-3615 [PMID: 23500016 DOI: 10.1016/j.bbagen.2013.03.003]</w:t>
      </w:r>
    </w:p>
    <w:p w14:paraId="69FB6DFF"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244 </w:t>
      </w:r>
      <w:r w:rsidRPr="008A0130">
        <w:rPr>
          <w:rFonts w:ascii="Book Antiqua" w:eastAsia="宋体" w:hAnsi="Book Antiqua" w:cs="宋体"/>
          <w:b/>
          <w:bCs/>
          <w:color w:val="000000"/>
          <w:lang w:eastAsia="zh-CN"/>
        </w:rPr>
        <w:t>Liu HP</w:t>
      </w:r>
      <w:r w:rsidRPr="008A0130">
        <w:rPr>
          <w:rFonts w:ascii="Book Antiqua" w:eastAsia="宋体" w:hAnsi="Book Antiqua" w:cs="宋体"/>
          <w:color w:val="000000"/>
          <w:lang w:eastAsia="zh-CN"/>
        </w:rPr>
        <w:t>, Gao ZH, Cui SX, Wang Y, Li BY, Lou HX, Qu XJ. Chemoprevention of intestinal adenomatous polyposis by acetyl-11-keto-beta-boswellic acid in APC(Min/+) mice. </w:t>
      </w:r>
      <w:r w:rsidRPr="008A0130">
        <w:rPr>
          <w:rFonts w:ascii="Book Antiqua" w:eastAsia="宋体" w:hAnsi="Book Antiqua" w:cs="宋体"/>
          <w:i/>
          <w:iCs/>
          <w:color w:val="000000"/>
          <w:lang w:eastAsia="zh-CN"/>
        </w:rPr>
        <w:t>Int J Cancer</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132</w:t>
      </w:r>
      <w:r w:rsidRPr="008A0130">
        <w:rPr>
          <w:rFonts w:ascii="Book Antiqua" w:eastAsia="宋体" w:hAnsi="Book Antiqua" w:cs="宋体"/>
          <w:color w:val="000000"/>
          <w:lang w:eastAsia="zh-CN"/>
        </w:rPr>
        <w:t>: 2667-2681 [PMID: 23132636 DOI: 10.1002/ijc.27929]</w:t>
      </w:r>
    </w:p>
    <w:p w14:paraId="6DB7B1DE"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245 </w:t>
      </w:r>
      <w:r w:rsidRPr="008A0130">
        <w:rPr>
          <w:rFonts w:ascii="Book Antiqua" w:eastAsia="宋体" w:hAnsi="Book Antiqua" w:cs="宋体"/>
          <w:b/>
          <w:bCs/>
          <w:color w:val="000000"/>
          <w:lang w:eastAsia="zh-CN"/>
        </w:rPr>
        <w:t>Shen W</w:t>
      </w:r>
      <w:r w:rsidRPr="008A0130">
        <w:rPr>
          <w:rFonts w:ascii="Book Antiqua" w:eastAsia="宋体" w:hAnsi="Book Antiqua" w:cs="宋体"/>
          <w:color w:val="000000"/>
          <w:lang w:eastAsia="zh-CN"/>
        </w:rPr>
        <w:t>, Zou X, Chen M, Liu P, Shen Y, Huang S, Guo H, Zhang L. Effects of diphyllin as a novel V-ATPase inhibitor on gastric adenocarcinoma. </w:t>
      </w:r>
      <w:r w:rsidRPr="008A0130">
        <w:rPr>
          <w:rFonts w:ascii="Book Antiqua" w:eastAsia="宋体" w:hAnsi="Book Antiqua" w:cs="宋体"/>
          <w:i/>
          <w:iCs/>
          <w:color w:val="000000"/>
          <w:lang w:eastAsia="zh-CN"/>
        </w:rPr>
        <w:t>Eur J Pharmacol</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667</w:t>
      </w:r>
      <w:r w:rsidRPr="008A0130">
        <w:rPr>
          <w:rFonts w:ascii="Book Antiqua" w:eastAsia="宋体" w:hAnsi="Book Antiqua" w:cs="宋体"/>
          <w:color w:val="000000"/>
          <w:lang w:eastAsia="zh-CN"/>
        </w:rPr>
        <w:t>: 330-338 [PMID: 21645513 DOI: 10.1016/j.ejphar.2011.05.042]</w:t>
      </w:r>
    </w:p>
    <w:p w14:paraId="3B2F708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246 </w:t>
      </w:r>
      <w:r w:rsidRPr="008A0130">
        <w:rPr>
          <w:rFonts w:ascii="Book Antiqua" w:eastAsia="宋体" w:hAnsi="Book Antiqua" w:cs="宋体"/>
          <w:b/>
          <w:bCs/>
          <w:color w:val="000000"/>
          <w:lang w:eastAsia="zh-CN"/>
        </w:rPr>
        <w:t>Park CH</w:t>
      </w:r>
      <w:r w:rsidRPr="008A0130">
        <w:rPr>
          <w:rFonts w:ascii="Book Antiqua" w:eastAsia="宋体" w:hAnsi="Book Antiqua" w:cs="宋体"/>
          <w:color w:val="000000"/>
          <w:lang w:eastAsia="zh-CN"/>
        </w:rPr>
        <w:t>, Hahm ER, Lee JH, Jung KC, Yang CH. Inhibition of beta-catenin-mediated transactivation by flavanone in AGS gastric cancer cells. </w:t>
      </w:r>
      <w:r w:rsidRPr="008A0130">
        <w:rPr>
          <w:rFonts w:ascii="Book Antiqua" w:eastAsia="宋体" w:hAnsi="Book Antiqua" w:cs="宋体"/>
          <w:i/>
          <w:iCs/>
          <w:color w:val="000000"/>
          <w:lang w:eastAsia="zh-CN"/>
        </w:rPr>
        <w:t>Biochem Biophys Res Commun</w:t>
      </w:r>
      <w:r w:rsidRPr="008A0130">
        <w:rPr>
          <w:rFonts w:ascii="Book Antiqua" w:eastAsia="宋体" w:hAnsi="Book Antiqua" w:cs="宋体"/>
          <w:color w:val="000000"/>
          <w:lang w:eastAsia="zh-CN"/>
        </w:rPr>
        <w:t> 2005; </w:t>
      </w:r>
      <w:r w:rsidRPr="008A0130">
        <w:rPr>
          <w:rFonts w:ascii="Book Antiqua" w:eastAsia="宋体" w:hAnsi="Book Antiqua" w:cs="宋体"/>
          <w:b/>
          <w:bCs/>
          <w:color w:val="000000"/>
          <w:lang w:eastAsia="zh-CN"/>
        </w:rPr>
        <w:t>331</w:t>
      </w:r>
      <w:r w:rsidRPr="008A0130">
        <w:rPr>
          <w:rFonts w:ascii="Book Antiqua" w:eastAsia="宋体" w:hAnsi="Book Antiqua" w:cs="宋体"/>
          <w:color w:val="000000"/>
          <w:lang w:eastAsia="zh-CN"/>
        </w:rPr>
        <w:t>: 1222-1228 [PMID: 15883006 DOI: 10.1016/j.bbrc.2005.03.242]</w:t>
      </w:r>
    </w:p>
    <w:p w14:paraId="25FC036B"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247 </w:t>
      </w:r>
      <w:r w:rsidRPr="008A0130">
        <w:rPr>
          <w:rFonts w:ascii="Book Antiqua" w:eastAsia="宋体" w:hAnsi="Book Antiqua" w:cs="宋体"/>
          <w:b/>
          <w:bCs/>
          <w:color w:val="000000"/>
          <w:lang w:eastAsia="zh-CN"/>
        </w:rPr>
        <w:t>Li Y</w:t>
      </w:r>
      <w:r w:rsidRPr="008A0130">
        <w:rPr>
          <w:rFonts w:ascii="Book Antiqua" w:eastAsia="宋体" w:hAnsi="Book Antiqua" w:cs="宋体"/>
          <w:color w:val="000000"/>
          <w:lang w:eastAsia="zh-CN"/>
        </w:rPr>
        <w:t>, Sun WG, Liu HK, Qi GY, Wang Q, Sun XR, Chen BQ, Liu JR. γ-Tocotrienol inhibits angiogenesis of human umbilical vein endothelial cell induced by cancer cell. </w:t>
      </w:r>
      <w:r w:rsidRPr="008A0130">
        <w:rPr>
          <w:rFonts w:ascii="Book Antiqua" w:eastAsia="宋体" w:hAnsi="Book Antiqua" w:cs="宋体"/>
          <w:i/>
          <w:iCs/>
          <w:color w:val="000000"/>
          <w:lang w:eastAsia="zh-CN"/>
        </w:rPr>
        <w:t>J Nutr Biochem</w:t>
      </w:r>
      <w:r w:rsidRPr="008A0130">
        <w:rPr>
          <w:rFonts w:ascii="Book Antiqua" w:eastAsia="宋体" w:hAnsi="Book Antiqua" w:cs="宋体"/>
          <w:color w:val="000000"/>
          <w:lang w:eastAsia="zh-CN"/>
        </w:rPr>
        <w:t> 2011; </w:t>
      </w:r>
      <w:r w:rsidRPr="008A0130">
        <w:rPr>
          <w:rFonts w:ascii="Book Antiqua" w:eastAsia="宋体" w:hAnsi="Book Antiqua" w:cs="宋体"/>
          <w:b/>
          <w:bCs/>
          <w:color w:val="000000"/>
          <w:lang w:eastAsia="zh-CN"/>
        </w:rPr>
        <w:t>22</w:t>
      </w:r>
      <w:r w:rsidRPr="008A0130">
        <w:rPr>
          <w:rFonts w:ascii="Book Antiqua" w:eastAsia="宋体" w:hAnsi="Book Antiqua" w:cs="宋体"/>
          <w:color w:val="000000"/>
          <w:lang w:eastAsia="zh-CN"/>
        </w:rPr>
        <w:t>: 1127-1136 [PMID: 21292465 DOI: 10.1016/j.jnutbio.2010.09.012]</w:t>
      </w:r>
    </w:p>
    <w:p w14:paraId="501BF1B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248 </w:t>
      </w:r>
      <w:r w:rsidRPr="008A0130">
        <w:rPr>
          <w:rFonts w:ascii="Book Antiqua" w:eastAsia="宋体" w:hAnsi="Book Antiqua" w:cs="宋体"/>
          <w:b/>
          <w:bCs/>
          <w:color w:val="000000"/>
          <w:lang w:eastAsia="zh-CN"/>
        </w:rPr>
        <w:t>Kim YM</w:t>
      </w:r>
      <w:r w:rsidRPr="008A0130">
        <w:rPr>
          <w:rFonts w:ascii="Book Antiqua" w:eastAsia="宋体" w:hAnsi="Book Antiqua" w:cs="宋体"/>
          <w:color w:val="000000"/>
          <w:lang w:eastAsia="zh-CN"/>
        </w:rPr>
        <w:t>, Kim IH, Nam TJ. Capsosiphon fulvescens glycoprotein inhibits AGS gastric cancer cell proliferation by downregulating Wnt-1 signaling. </w:t>
      </w:r>
      <w:r w:rsidRPr="008A0130">
        <w:rPr>
          <w:rFonts w:ascii="Book Antiqua" w:eastAsia="宋体" w:hAnsi="Book Antiqua" w:cs="宋体"/>
          <w:i/>
          <w:iCs/>
          <w:color w:val="000000"/>
          <w:lang w:eastAsia="zh-CN"/>
        </w:rPr>
        <w:t>Int J Oncol</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43</w:t>
      </w:r>
      <w:r w:rsidRPr="008A0130">
        <w:rPr>
          <w:rFonts w:ascii="Book Antiqua" w:eastAsia="宋体" w:hAnsi="Book Antiqua" w:cs="宋体"/>
          <w:color w:val="000000"/>
          <w:lang w:eastAsia="zh-CN"/>
        </w:rPr>
        <w:t>: 1395-1401 [PMID: 23982808 DOI: 10.3892/ijo.2013.2079]</w:t>
      </w:r>
    </w:p>
    <w:p w14:paraId="5B13FAA0"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lastRenderedPageBreak/>
        <w:t>249 </w:t>
      </w:r>
      <w:r w:rsidRPr="008A0130">
        <w:rPr>
          <w:rFonts w:ascii="Book Antiqua" w:eastAsia="宋体" w:hAnsi="Book Antiqua" w:cs="宋体"/>
          <w:b/>
          <w:bCs/>
          <w:color w:val="000000"/>
          <w:lang w:eastAsia="zh-CN"/>
        </w:rPr>
        <w:t>Cruciat CM</w:t>
      </w:r>
      <w:r w:rsidRPr="008A0130">
        <w:rPr>
          <w:rFonts w:ascii="Book Antiqua" w:eastAsia="宋体" w:hAnsi="Book Antiqua" w:cs="宋体"/>
          <w:color w:val="000000"/>
          <w:lang w:eastAsia="zh-CN"/>
        </w:rPr>
        <w:t>, Ohkawara B, Acebron SP, Karaulanov E, Reinhard C, Ingelfinger D, Boutros M, Niehrs C. Requirement of prorenin receptor and vacuolar H+-ATPase-mediated acidification for Wnt signaling. </w:t>
      </w:r>
      <w:r w:rsidRPr="008A0130">
        <w:rPr>
          <w:rFonts w:ascii="Book Antiqua" w:eastAsia="宋体" w:hAnsi="Book Antiqua" w:cs="宋体"/>
          <w:i/>
          <w:iCs/>
          <w:color w:val="000000"/>
          <w:lang w:eastAsia="zh-CN"/>
        </w:rPr>
        <w:t>Science</w:t>
      </w:r>
      <w:r w:rsidRPr="008A0130">
        <w:rPr>
          <w:rFonts w:ascii="Book Antiqua" w:eastAsia="宋体" w:hAnsi="Book Antiqua" w:cs="宋体"/>
          <w:color w:val="000000"/>
          <w:lang w:eastAsia="zh-CN"/>
        </w:rPr>
        <w:t> 2010; </w:t>
      </w:r>
      <w:r w:rsidRPr="008A0130">
        <w:rPr>
          <w:rFonts w:ascii="Book Antiqua" w:eastAsia="宋体" w:hAnsi="Book Antiqua" w:cs="宋体"/>
          <w:b/>
          <w:bCs/>
          <w:color w:val="000000"/>
          <w:lang w:eastAsia="zh-CN"/>
        </w:rPr>
        <w:t>327</w:t>
      </w:r>
      <w:r w:rsidRPr="008A0130">
        <w:rPr>
          <w:rFonts w:ascii="Book Antiqua" w:eastAsia="宋体" w:hAnsi="Book Antiqua" w:cs="宋体"/>
          <w:color w:val="000000"/>
          <w:lang w:eastAsia="zh-CN"/>
        </w:rPr>
        <w:t>: 459-463 [PMID: 20093472 DOI: 10.1126/science.1179802]</w:t>
      </w:r>
    </w:p>
    <w:p w14:paraId="2882B879"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250 </w:t>
      </w:r>
      <w:r w:rsidRPr="008A0130">
        <w:rPr>
          <w:rFonts w:ascii="Book Antiqua" w:eastAsia="宋体" w:hAnsi="Book Antiqua" w:cs="宋体"/>
          <w:b/>
          <w:bCs/>
          <w:color w:val="000000"/>
          <w:lang w:eastAsia="zh-CN"/>
        </w:rPr>
        <w:t>Yamamoto H</w:t>
      </w:r>
      <w:r w:rsidRPr="008A0130">
        <w:rPr>
          <w:rFonts w:ascii="Book Antiqua" w:eastAsia="宋体" w:hAnsi="Book Antiqua" w:cs="宋体"/>
          <w:color w:val="000000"/>
          <w:lang w:eastAsia="zh-CN"/>
        </w:rPr>
        <w:t>, Komekado H, Kikuchi A. Caveolin is necessary for Wnt-3a-dependent internalization of LRP6 and accumulation of beta-catenin. </w:t>
      </w:r>
      <w:r w:rsidRPr="008A0130">
        <w:rPr>
          <w:rFonts w:ascii="Book Antiqua" w:eastAsia="宋体" w:hAnsi="Book Antiqua" w:cs="宋体"/>
          <w:i/>
          <w:iCs/>
          <w:color w:val="000000"/>
          <w:lang w:eastAsia="zh-CN"/>
        </w:rPr>
        <w:t>Dev Cell</w:t>
      </w:r>
      <w:r w:rsidRPr="008A0130">
        <w:rPr>
          <w:rFonts w:ascii="Book Antiqua" w:eastAsia="宋体" w:hAnsi="Book Antiqua" w:cs="宋体"/>
          <w:color w:val="000000"/>
          <w:lang w:eastAsia="zh-CN"/>
        </w:rPr>
        <w:t> 2006; </w:t>
      </w:r>
      <w:r w:rsidRPr="008A0130">
        <w:rPr>
          <w:rFonts w:ascii="Book Antiqua" w:eastAsia="宋体" w:hAnsi="Book Antiqua" w:cs="宋体"/>
          <w:b/>
          <w:bCs/>
          <w:color w:val="000000"/>
          <w:lang w:eastAsia="zh-CN"/>
        </w:rPr>
        <w:t>11</w:t>
      </w:r>
      <w:r w:rsidRPr="008A0130">
        <w:rPr>
          <w:rFonts w:ascii="Book Antiqua" w:eastAsia="宋体" w:hAnsi="Book Antiqua" w:cs="宋体"/>
          <w:color w:val="000000"/>
          <w:lang w:eastAsia="zh-CN"/>
        </w:rPr>
        <w:t>: 213-223 [PMID: 16890161 DOI: 10.1016/j.devcel.2006.07.003]</w:t>
      </w:r>
    </w:p>
    <w:p w14:paraId="39EBC676"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251 </w:t>
      </w:r>
      <w:r w:rsidRPr="008A0130">
        <w:rPr>
          <w:rFonts w:ascii="Book Antiqua" w:eastAsia="宋体" w:hAnsi="Book Antiqua" w:cs="宋体"/>
          <w:b/>
          <w:bCs/>
          <w:color w:val="000000"/>
          <w:lang w:eastAsia="zh-CN"/>
        </w:rPr>
        <w:t>Yao J</w:t>
      </w:r>
      <w:r w:rsidRPr="008A0130">
        <w:rPr>
          <w:rFonts w:ascii="Book Antiqua" w:eastAsia="宋体" w:hAnsi="Book Antiqua" w:cs="宋体"/>
          <w:color w:val="000000"/>
          <w:lang w:eastAsia="zh-CN"/>
        </w:rPr>
        <w:t>, Qian C, Shu T, Zhang X, Zhao Z, Liang Y. Combination treatment of PD98059 and DAPT in gastric cancer through induction of apoptosis and downregulation of WNT/β-catenin. </w:t>
      </w:r>
      <w:r w:rsidRPr="008A0130">
        <w:rPr>
          <w:rFonts w:ascii="Book Antiqua" w:eastAsia="宋体" w:hAnsi="Book Antiqua" w:cs="宋体"/>
          <w:i/>
          <w:iCs/>
          <w:color w:val="000000"/>
          <w:lang w:eastAsia="zh-CN"/>
        </w:rPr>
        <w:t>Cancer Biol Ther</w:t>
      </w:r>
      <w:r w:rsidRPr="008A0130">
        <w:rPr>
          <w:rFonts w:ascii="Book Antiqua" w:eastAsia="宋体" w:hAnsi="Book Antiqua" w:cs="宋体"/>
          <w:color w:val="000000"/>
          <w:lang w:eastAsia="zh-CN"/>
        </w:rPr>
        <w:t> 2013; </w:t>
      </w:r>
      <w:r w:rsidRPr="008A0130">
        <w:rPr>
          <w:rFonts w:ascii="Book Antiqua" w:eastAsia="宋体" w:hAnsi="Book Antiqua" w:cs="宋体"/>
          <w:b/>
          <w:bCs/>
          <w:color w:val="000000"/>
          <w:lang w:eastAsia="zh-CN"/>
        </w:rPr>
        <w:t>14</w:t>
      </w:r>
      <w:r w:rsidRPr="008A0130">
        <w:rPr>
          <w:rFonts w:ascii="Book Antiqua" w:eastAsia="宋体" w:hAnsi="Book Antiqua" w:cs="宋体"/>
          <w:color w:val="000000"/>
          <w:lang w:eastAsia="zh-CN"/>
        </w:rPr>
        <w:t>: 833-839 [PMID: 23792588 DOI: 10.4161/cbt.25332]</w:t>
      </w:r>
    </w:p>
    <w:p w14:paraId="252961CE" w14:textId="4A34A7A3"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252 </w:t>
      </w:r>
      <w:r w:rsidRPr="008A0130">
        <w:rPr>
          <w:rFonts w:ascii="Book Antiqua" w:eastAsia="宋体" w:hAnsi="Book Antiqua" w:cs="宋体"/>
          <w:b/>
          <w:bCs/>
          <w:color w:val="000000"/>
          <w:lang w:eastAsia="zh-CN"/>
        </w:rPr>
        <w:t>He B</w:t>
      </w:r>
      <w:r w:rsidRPr="008A0130">
        <w:rPr>
          <w:rFonts w:ascii="Book Antiqua" w:eastAsia="宋体" w:hAnsi="Book Antiqua" w:cs="宋体"/>
          <w:color w:val="000000"/>
          <w:lang w:eastAsia="zh-CN"/>
        </w:rPr>
        <w:t>, You L, Uematsu K, Xu Z, Lee AY, Matsangou M, McCormick F, Jablons DM. A monoclonal antibody against Wnt-1 induces apoptosis in human cancer cells. </w:t>
      </w:r>
      <w:r w:rsidRPr="008A0130">
        <w:rPr>
          <w:rFonts w:ascii="Book Antiqua" w:eastAsia="宋体" w:hAnsi="Book Antiqua" w:cs="宋体"/>
          <w:i/>
          <w:iCs/>
          <w:color w:val="000000"/>
          <w:lang w:eastAsia="zh-CN"/>
        </w:rPr>
        <w:t>Neoplasia</w:t>
      </w:r>
      <w:r w:rsidRPr="008A0130">
        <w:rPr>
          <w:rFonts w:ascii="Book Antiqua" w:eastAsia="宋体" w:hAnsi="Book Antiqua" w:cs="宋体"/>
          <w:color w:val="000000"/>
          <w:lang w:eastAsia="zh-CN"/>
        </w:rPr>
        <w:t> </w:t>
      </w:r>
      <w:r w:rsidR="00821466" w:rsidRPr="008A0130">
        <w:rPr>
          <w:rFonts w:ascii="Book Antiqua" w:eastAsia="宋体" w:hAnsi="Book Antiqua" w:cs="宋体" w:hint="eastAsia"/>
          <w:color w:val="000000"/>
          <w:lang w:eastAsia="zh-CN"/>
        </w:rPr>
        <w:t>2004</w:t>
      </w:r>
      <w:r w:rsidRPr="008A0130">
        <w:rPr>
          <w:rFonts w:ascii="Book Antiqua" w:eastAsia="宋体" w:hAnsi="Book Antiqua" w:cs="宋体"/>
          <w:color w:val="000000"/>
          <w:lang w:eastAsia="zh-CN"/>
        </w:rPr>
        <w:t>; </w:t>
      </w:r>
      <w:r w:rsidRPr="008A0130">
        <w:rPr>
          <w:rFonts w:ascii="Book Antiqua" w:eastAsia="宋体" w:hAnsi="Book Antiqua" w:cs="宋体"/>
          <w:b/>
          <w:bCs/>
          <w:color w:val="000000"/>
          <w:lang w:eastAsia="zh-CN"/>
        </w:rPr>
        <w:t>6</w:t>
      </w:r>
      <w:r w:rsidRPr="008A0130">
        <w:rPr>
          <w:rFonts w:ascii="Book Antiqua" w:eastAsia="宋体" w:hAnsi="Book Antiqua" w:cs="宋体"/>
          <w:color w:val="000000"/>
          <w:lang w:eastAsia="zh-CN"/>
        </w:rPr>
        <w:t>: 7-14 [PMID: 15068666 DOI: 10.1016/S1476-5586(04)80048-4]</w:t>
      </w:r>
    </w:p>
    <w:p w14:paraId="3F99D382"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253 </w:t>
      </w:r>
      <w:r w:rsidRPr="008A0130">
        <w:rPr>
          <w:rFonts w:ascii="Book Antiqua" w:eastAsia="宋体" w:hAnsi="Book Antiqua" w:cs="宋体"/>
          <w:b/>
          <w:bCs/>
          <w:color w:val="000000"/>
          <w:lang w:eastAsia="zh-CN"/>
        </w:rPr>
        <w:t>You L</w:t>
      </w:r>
      <w:r w:rsidRPr="008A0130">
        <w:rPr>
          <w:rFonts w:ascii="Book Antiqua" w:eastAsia="宋体" w:hAnsi="Book Antiqua" w:cs="宋体"/>
          <w:color w:val="000000"/>
          <w:lang w:eastAsia="zh-CN"/>
        </w:rPr>
        <w:t>, He B, Xu Z, Uematsu K, Mazieres J, Mikami I, Reguart N, Moody TW, Kitajewski J, McCormick F, Jablons DM. Inhibition of Wnt-2-mediated signaling induces programmed cell death in non-small-cell lung cancer cells. </w:t>
      </w:r>
      <w:r w:rsidRPr="008A0130">
        <w:rPr>
          <w:rFonts w:ascii="Book Antiqua" w:eastAsia="宋体" w:hAnsi="Book Antiqua" w:cs="宋体"/>
          <w:i/>
          <w:iCs/>
          <w:color w:val="000000"/>
          <w:lang w:eastAsia="zh-CN"/>
        </w:rPr>
        <w:t>Oncogene</w:t>
      </w:r>
      <w:r w:rsidRPr="008A0130">
        <w:rPr>
          <w:rFonts w:ascii="Book Antiqua" w:eastAsia="宋体" w:hAnsi="Book Antiqua" w:cs="宋体"/>
          <w:color w:val="000000"/>
          <w:lang w:eastAsia="zh-CN"/>
        </w:rPr>
        <w:t> 2004; </w:t>
      </w:r>
      <w:r w:rsidRPr="008A0130">
        <w:rPr>
          <w:rFonts w:ascii="Book Antiqua" w:eastAsia="宋体" w:hAnsi="Book Antiqua" w:cs="宋体"/>
          <w:b/>
          <w:bCs/>
          <w:color w:val="000000"/>
          <w:lang w:eastAsia="zh-CN"/>
        </w:rPr>
        <w:t>23</w:t>
      </w:r>
      <w:r w:rsidRPr="008A0130">
        <w:rPr>
          <w:rFonts w:ascii="Book Antiqua" w:eastAsia="宋体" w:hAnsi="Book Antiqua" w:cs="宋体"/>
          <w:color w:val="000000"/>
          <w:lang w:eastAsia="zh-CN"/>
        </w:rPr>
        <w:t>: 6170-6174 [PMID: 15208662 DOI: 10.1038/sj.onc.1207844]</w:t>
      </w:r>
    </w:p>
    <w:p w14:paraId="3BA3F6E4" w14:textId="5C3870BC" w:rsidR="00821466" w:rsidRPr="008A0130" w:rsidRDefault="00821466" w:rsidP="008A0130">
      <w:pPr>
        <w:pStyle w:val="ListParagraph"/>
        <w:spacing w:line="360" w:lineRule="auto"/>
        <w:ind w:left="0"/>
        <w:jc w:val="both"/>
        <w:rPr>
          <w:rFonts w:ascii="Book Antiqua" w:eastAsia="宋体" w:hAnsi="Book Antiqua" w:cs="Times New Roman"/>
          <w:lang w:val="es-ES_tradnl" w:eastAsia="zh-CN"/>
        </w:rPr>
      </w:pPr>
      <w:r w:rsidRPr="008A0130">
        <w:rPr>
          <w:rFonts w:ascii="Book Antiqua" w:eastAsia="宋体" w:hAnsi="Book Antiqua" w:hint="eastAsia"/>
          <w:lang w:eastAsia="zh-CN"/>
        </w:rPr>
        <w:t xml:space="preserve">254 </w:t>
      </w:r>
      <w:hyperlink r:id="rId38" w:history="1">
        <w:r w:rsidRPr="008A0130">
          <w:rPr>
            <w:rFonts w:ascii="Book Antiqua" w:hAnsi="Book Antiqua" w:cs="Times New Roman"/>
            <w:b/>
            <w:lang w:val="es-ES_tradnl"/>
          </w:rPr>
          <w:t>Wang B</w:t>
        </w:r>
      </w:hyperlink>
      <w:r w:rsidRPr="008A0130">
        <w:rPr>
          <w:rFonts w:ascii="Book Antiqua" w:hAnsi="Book Antiqua" w:cs="Times New Roman"/>
          <w:b/>
          <w:lang w:val="es-ES_tradnl"/>
        </w:rPr>
        <w:t>,</w:t>
      </w:r>
      <w:r w:rsidRPr="008A0130">
        <w:rPr>
          <w:rFonts w:ascii="Book Antiqua" w:hAnsi="Book Antiqua" w:cs="Times New Roman"/>
          <w:lang w:val="es-ES_tradnl"/>
        </w:rPr>
        <w:t> </w:t>
      </w:r>
      <w:hyperlink r:id="rId39" w:history="1">
        <w:r w:rsidRPr="008A0130">
          <w:rPr>
            <w:rFonts w:ascii="Book Antiqua" w:hAnsi="Book Antiqua" w:cs="Times New Roman"/>
            <w:lang w:val="es-ES_tradnl"/>
          </w:rPr>
          <w:t>Liu J</w:t>
        </w:r>
      </w:hyperlink>
      <w:r w:rsidRPr="008A0130">
        <w:rPr>
          <w:rFonts w:ascii="Book Antiqua" w:hAnsi="Book Antiqua" w:cs="Times New Roman"/>
          <w:lang w:val="es-ES_tradnl"/>
        </w:rPr>
        <w:t>, </w:t>
      </w:r>
      <w:hyperlink r:id="rId40" w:history="1">
        <w:r w:rsidRPr="008A0130">
          <w:rPr>
            <w:rFonts w:ascii="Book Antiqua" w:hAnsi="Book Antiqua" w:cs="Times New Roman"/>
            <w:lang w:val="es-ES_tradnl"/>
          </w:rPr>
          <w:t>Ma LN</w:t>
        </w:r>
      </w:hyperlink>
      <w:r w:rsidRPr="008A0130">
        <w:rPr>
          <w:rFonts w:ascii="Book Antiqua" w:hAnsi="Book Antiqua" w:cs="Times New Roman"/>
          <w:lang w:val="es-ES_tradnl"/>
        </w:rPr>
        <w:t>, </w:t>
      </w:r>
      <w:hyperlink r:id="rId41" w:history="1">
        <w:r w:rsidRPr="008A0130">
          <w:rPr>
            <w:rFonts w:ascii="Book Antiqua" w:hAnsi="Book Antiqua" w:cs="Times New Roman"/>
            <w:lang w:val="es-ES_tradnl"/>
          </w:rPr>
          <w:t>Xiao HL</w:t>
        </w:r>
      </w:hyperlink>
      <w:r w:rsidRPr="008A0130">
        <w:rPr>
          <w:rFonts w:ascii="Book Antiqua" w:hAnsi="Book Antiqua" w:cs="Times New Roman"/>
          <w:lang w:val="es-ES_tradnl"/>
        </w:rPr>
        <w:t>, </w:t>
      </w:r>
      <w:hyperlink r:id="rId42" w:history="1">
        <w:r w:rsidRPr="008A0130">
          <w:rPr>
            <w:rFonts w:ascii="Book Antiqua" w:hAnsi="Book Antiqua" w:cs="Times New Roman"/>
            <w:lang w:val="es-ES_tradnl"/>
          </w:rPr>
          <w:t>Wang YZ</w:t>
        </w:r>
      </w:hyperlink>
      <w:r w:rsidRPr="008A0130">
        <w:rPr>
          <w:rFonts w:ascii="Book Antiqua" w:hAnsi="Book Antiqua" w:cs="Times New Roman"/>
          <w:lang w:val="es-ES_tradnl"/>
        </w:rPr>
        <w:t>, </w:t>
      </w:r>
      <w:hyperlink r:id="rId43" w:history="1">
        <w:r w:rsidRPr="008A0130">
          <w:rPr>
            <w:rFonts w:ascii="Book Antiqua" w:hAnsi="Book Antiqua" w:cs="Times New Roman"/>
            <w:lang w:val="es-ES_tradnl"/>
          </w:rPr>
          <w:t>Li Y</w:t>
        </w:r>
      </w:hyperlink>
      <w:r w:rsidRPr="008A0130">
        <w:rPr>
          <w:rFonts w:ascii="Book Antiqua" w:hAnsi="Book Antiqua" w:cs="Times New Roman"/>
          <w:lang w:val="es-ES_tradnl"/>
        </w:rPr>
        <w:t>, </w:t>
      </w:r>
      <w:hyperlink r:id="rId44" w:history="1">
        <w:r w:rsidRPr="008A0130">
          <w:rPr>
            <w:rFonts w:ascii="Book Antiqua" w:hAnsi="Book Antiqua" w:cs="Times New Roman"/>
            <w:lang w:val="es-ES_tradnl"/>
          </w:rPr>
          <w:t>Wang Z</w:t>
        </w:r>
      </w:hyperlink>
      <w:r w:rsidRPr="008A0130">
        <w:rPr>
          <w:rFonts w:ascii="Book Antiqua" w:hAnsi="Book Antiqua" w:cs="Times New Roman"/>
          <w:lang w:val="es-ES_tradnl"/>
        </w:rPr>
        <w:t>, </w:t>
      </w:r>
      <w:hyperlink r:id="rId45" w:history="1">
        <w:r w:rsidRPr="008A0130">
          <w:rPr>
            <w:rFonts w:ascii="Book Antiqua" w:hAnsi="Book Antiqua" w:cs="Times New Roman"/>
            <w:lang w:val="es-ES_tradnl"/>
          </w:rPr>
          <w:t>Fan L</w:t>
        </w:r>
      </w:hyperlink>
      <w:r w:rsidRPr="008A0130">
        <w:rPr>
          <w:rFonts w:ascii="Book Antiqua" w:hAnsi="Book Antiqua" w:cs="Times New Roman"/>
          <w:lang w:val="es-ES_tradnl"/>
        </w:rPr>
        <w:t>, </w:t>
      </w:r>
      <w:hyperlink r:id="rId46" w:history="1">
        <w:r w:rsidRPr="008A0130">
          <w:rPr>
            <w:rFonts w:ascii="Book Antiqua" w:hAnsi="Book Antiqua" w:cs="Times New Roman"/>
            <w:lang w:val="es-ES_tradnl"/>
          </w:rPr>
          <w:t>Lan C</w:t>
        </w:r>
      </w:hyperlink>
      <w:r w:rsidRPr="008A0130">
        <w:rPr>
          <w:rFonts w:ascii="Book Antiqua" w:hAnsi="Book Antiqua" w:cs="Times New Roman"/>
          <w:lang w:val="es-ES_tradnl"/>
        </w:rPr>
        <w:t>, </w:t>
      </w:r>
      <w:hyperlink r:id="rId47" w:history="1">
        <w:r w:rsidRPr="008A0130">
          <w:rPr>
            <w:rFonts w:ascii="Book Antiqua" w:hAnsi="Book Antiqua" w:cs="Times New Roman"/>
            <w:lang w:val="es-ES_tradnl"/>
          </w:rPr>
          <w:t>Yang M</w:t>
        </w:r>
      </w:hyperlink>
      <w:r w:rsidRPr="008A0130">
        <w:rPr>
          <w:rFonts w:ascii="Book Antiqua" w:hAnsi="Book Antiqua" w:cs="Times New Roman"/>
          <w:lang w:val="es-ES_tradnl"/>
        </w:rPr>
        <w:t>, </w:t>
      </w:r>
      <w:hyperlink r:id="rId48" w:history="1">
        <w:r w:rsidRPr="008A0130">
          <w:rPr>
            <w:rFonts w:ascii="Book Antiqua" w:hAnsi="Book Antiqua" w:cs="Times New Roman"/>
            <w:lang w:val="es-ES_tradnl"/>
          </w:rPr>
          <w:t>Hu L</w:t>
        </w:r>
      </w:hyperlink>
      <w:r w:rsidRPr="008A0130">
        <w:rPr>
          <w:rFonts w:ascii="Book Antiqua" w:hAnsi="Book Antiqua" w:cs="Times New Roman"/>
          <w:lang w:val="es-ES_tradnl"/>
        </w:rPr>
        <w:t>, </w:t>
      </w:r>
      <w:hyperlink r:id="rId49" w:history="1">
        <w:r w:rsidRPr="008A0130">
          <w:rPr>
            <w:rFonts w:ascii="Book Antiqua" w:hAnsi="Book Antiqua" w:cs="Times New Roman"/>
            <w:lang w:val="es-ES_tradnl"/>
          </w:rPr>
          <w:t>Wei Y</w:t>
        </w:r>
      </w:hyperlink>
      <w:r w:rsidRPr="008A0130">
        <w:rPr>
          <w:rFonts w:ascii="Book Antiqua" w:hAnsi="Book Antiqua" w:cs="Times New Roman"/>
          <w:lang w:val="es-ES_tradnl"/>
        </w:rPr>
        <w:t>, </w:t>
      </w:r>
      <w:hyperlink r:id="rId50" w:history="1">
        <w:r w:rsidRPr="008A0130">
          <w:rPr>
            <w:rFonts w:ascii="Book Antiqua" w:hAnsi="Book Antiqua" w:cs="Times New Roman"/>
            <w:lang w:val="es-ES_tradnl"/>
          </w:rPr>
          <w:t>Bian XW</w:t>
        </w:r>
      </w:hyperlink>
      <w:r w:rsidRPr="008A0130">
        <w:rPr>
          <w:rFonts w:ascii="Book Antiqua" w:hAnsi="Book Antiqua" w:cs="Times New Roman"/>
          <w:lang w:val="es-ES_tradnl"/>
        </w:rPr>
        <w:t>, </w:t>
      </w:r>
      <w:hyperlink r:id="rId51" w:history="1">
        <w:r w:rsidRPr="008A0130">
          <w:rPr>
            <w:rFonts w:ascii="Book Antiqua" w:hAnsi="Book Antiqua" w:cs="Times New Roman"/>
            <w:lang w:val="es-ES_tradnl"/>
          </w:rPr>
          <w:t>Chen D</w:t>
        </w:r>
      </w:hyperlink>
      <w:r w:rsidRPr="008A0130">
        <w:rPr>
          <w:rFonts w:ascii="Book Antiqua" w:hAnsi="Book Antiqua" w:cs="Times New Roman"/>
          <w:lang w:val="es-ES_tradnl"/>
        </w:rPr>
        <w:t>, </w:t>
      </w:r>
      <w:hyperlink r:id="rId52" w:history="1">
        <w:r w:rsidRPr="008A0130">
          <w:rPr>
            <w:rFonts w:ascii="Book Antiqua" w:hAnsi="Book Antiqua" w:cs="Times New Roman"/>
            <w:lang w:val="es-ES_tradnl"/>
          </w:rPr>
          <w:t>Wang J</w:t>
        </w:r>
      </w:hyperlink>
      <w:r w:rsidRPr="008A0130">
        <w:rPr>
          <w:rFonts w:ascii="Book Antiqua" w:hAnsi="Book Antiqua" w:cs="Times New Roman"/>
          <w:lang w:val="es-ES_tradnl"/>
        </w:rPr>
        <w:t>. Chimeric 5/35 adenovirus-mediated Dickkopf-1 overexpression suppressed tumorigenicity of CD44+ gastric cancer cells</w:t>
      </w:r>
      <w:r w:rsidRPr="008A0130">
        <w:rPr>
          <w:rFonts w:ascii="MS Mincho" w:eastAsia="MS Mincho" w:hAnsi="MS Mincho" w:cs="MS Mincho" w:hint="eastAsia"/>
          <w:lang w:val="es-ES_tradnl"/>
        </w:rPr>
        <w:t> </w:t>
      </w:r>
      <w:r w:rsidRPr="008A0130">
        <w:rPr>
          <w:rFonts w:ascii="Book Antiqua" w:hAnsi="Book Antiqua" w:cs="Times New Roman"/>
          <w:lang w:val="es-ES_tradnl"/>
        </w:rPr>
        <w:t xml:space="preserve">via attenuating Wnt signaling. </w:t>
      </w:r>
      <w:hyperlink r:id="rId53" w:tooltip="Journal of gastroenterology." w:history="1">
        <w:r w:rsidRPr="008A0130">
          <w:rPr>
            <w:rFonts w:ascii="Book Antiqua" w:hAnsi="Book Antiqua" w:cs="Times New Roman"/>
            <w:i/>
            <w:lang w:val="es-ES_tradnl"/>
          </w:rPr>
          <w:t>J Gastroenterol</w:t>
        </w:r>
      </w:hyperlink>
      <w:r w:rsidRPr="008A0130">
        <w:rPr>
          <w:rFonts w:ascii="Book Antiqua" w:hAnsi="Book Antiqua" w:cs="Times New Roman"/>
          <w:lang w:val="es-ES_tradnl"/>
        </w:rPr>
        <w:t xml:space="preserve"> 2013; </w:t>
      </w:r>
      <w:r w:rsidRPr="008A0130">
        <w:rPr>
          <w:rFonts w:ascii="Book Antiqua" w:hAnsi="Book Antiqua" w:cs="Times New Roman"/>
          <w:b/>
          <w:lang w:val="es-ES_tradnl"/>
        </w:rPr>
        <w:t>48:</w:t>
      </w:r>
      <w:r w:rsidRPr="008A0130">
        <w:rPr>
          <w:rFonts w:ascii="Book Antiqua" w:hAnsi="Book Antiqua" w:cs="Times New Roman"/>
          <w:lang w:val="es-ES_tradnl"/>
        </w:rPr>
        <w:t xml:space="preserve"> 798-808 </w:t>
      </w:r>
      <w:r w:rsidRPr="008A0130">
        <w:rPr>
          <w:rFonts w:ascii="Book Antiqua" w:eastAsia="宋体" w:hAnsi="Book Antiqua" w:cs="Times New Roman" w:hint="eastAsia"/>
          <w:lang w:val="es-ES_tradnl" w:eastAsia="zh-CN"/>
        </w:rPr>
        <w:t>[</w:t>
      </w:r>
      <w:r w:rsidRPr="008A0130">
        <w:rPr>
          <w:rFonts w:ascii="Book Antiqua" w:hAnsi="Book Antiqua" w:cs="Times New Roman"/>
          <w:lang w:val="es-ES_tradnl"/>
        </w:rPr>
        <w:t xml:space="preserve">PMID: 23188090 DOI: </w:t>
      </w:r>
      <w:r w:rsidR="00407A5E">
        <w:fldChar w:fldCharType="begin"/>
      </w:r>
      <w:r w:rsidR="00407A5E">
        <w:instrText xml:space="preserve"> HYPERLINK "http://dx.doi.org/10.1007/s00535-012-0711-z" \t "_blank" </w:instrText>
      </w:r>
      <w:r w:rsidR="00407A5E">
        <w:fldChar w:fldCharType="separate"/>
      </w:r>
      <w:r w:rsidRPr="008A0130">
        <w:rPr>
          <w:rFonts w:ascii="Book Antiqua" w:hAnsi="Book Antiqua" w:cs="Times New Roman"/>
          <w:lang w:val="es-ES_tradnl"/>
        </w:rPr>
        <w:t>10.1007/s00535-012-0711-z</w:t>
      </w:r>
      <w:r w:rsidR="00407A5E">
        <w:rPr>
          <w:rFonts w:ascii="Book Antiqua" w:hAnsi="Book Antiqua" w:cs="Times New Roman"/>
          <w:lang w:val="es-ES_tradnl"/>
        </w:rPr>
        <w:fldChar w:fldCharType="end"/>
      </w:r>
      <w:r w:rsidRPr="008A0130">
        <w:rPr>
          <w:rFonts w:ascii="Book Antiqua" w:eastAsia="宋体" w:hAnsi="Book Antiqua" w:cs="Times New Roman" w:hint="eastAsia"/>
          <w:lang w:val="es-ES_tradnl" w:eastAsia="zh-CN"/>
        </w:rPr>
        <w:t>]</w:t>
      </w:r>
    </w:p>
    <w:p w14:paraId="2FBD8C91" w14:textId="77777777" w:rsidR="00950BD5" w:rsidRPr="008A0130" w:rsidRDefault="00950BD5" w:rsidP="008A0130">
      <w:pPr>
        <w:spacing w:line="360" w:lineRule="auto"/>
        <w:jc w:val="both"/>
        <w:rPr>
          <w:rFonts w:ascii="Book Antiqua" w:eastAsia="宋体" w:hAnsi="Book Antiqua" w:cs="宋体"/>
          <w:color w:val="000000"/>
          <w:lang w:eastAsia="zh-CN"/>
        </w:rPr>
      </w:pPr>
      <w:r w:rsidRPr="008A0130">
        <w:rPr>
          <w:rFonts w:ascii="Book Antiqua" w:eastAsia="宋体" w:hAnsi="Book Antiqua" w:cs="宋体"/>
          <w:color w:val="000000"/>
          <w:lang w:eastAsia="zh-CN"/>
        </w:rPr>
        <w:t>255 </w:t>
      </w:r>
      <w:r w:rsidRPr="008A0130">
        <w:rPr>
          <w:rFonts w:ascii="Book Antiqua" w:eastAsia="宋体" w:hAnsi="Book Antiqua" w:cs="宋体"/>
          <w:b/>
          <w:bCs/>
          <w:color w:val="000000"/>
          <w:lang w:eastAsia="zh-CN"/>
        </w:rPr>
        <w:t>Menezes ME</w:t>
      </w:r>
      <w:r w:rsidRPr="008A0130">
        <w:rPr>
          <w:rFonts w:ascii="Book Antiqua" w:eastAsia="宋体" w:hAnsi="Book Antiqua" w:cs="宋体"/>
          <w:color w:val="000000"/>
          <w:lang w:eastAsia="zh-CN"/>
        </w:rPr>
        <w:t>, Devine DJ, Shevde LA, Samant RS. Dickkopf1: a tumor suppressor or metastasis promoter? </w:t>
      </w:r>
      <w:r w:rsidRPr="008A0130">
        <w:rPr>
          <w:rFonts w:ascii="Book Antiqua" w:eastAsia="宋体" w:hAnsi="Book Antiqua" w:cs="宋体"/>
          <w:i/>
          <w:iCs/>
          <w:color w:val="000000"/>
          <w:lang w:eastAsia="zh-CN"/>
        </w:rPr>
        <w:t>Int J Cancer</w:t>
      </w:r>
      <w:r w:rsidRPr="008A0130">
        <w:rPr>
          <w:rFonts w:ascii="Book Antiqua" w:eastAsia="宋体" w:hAnsi="Book Antiqua" w:cs="宋体"/>
          <w:color w:val="000000"/>
          <w:lang w:eastAsia="zh-CN"/>
        </w:rPr>
        <w:t> 2012; </w:t>
      </w:r>
      <w:r w:rsidRPr="008A0130">
        <w:rPr>
          <w:rFonts w:ascii="Book Antiqua" w:eastAsia="宋体" w:hAnsi="Book Antiqua" w:cs="宋体"/>
          <w:b/>
          <w:bCs/>
          <w:color w:val="000000"/>
          <w:lang w:eastAsia="zh-CN"/>
        </w:rPr>
        <w:t>130</w:t>
      </w:r>
      <w:r w:rsidRPr="008A0130">
        <w:rPr>
          <w:rFonts w:ascii="Book Antiqua" w:eastAsia="宋体" w:hAnsi="Book Antiqua" w:cs="宋体"/>
          <w:color w:val="000000"/>
          <w:lang w:eastAsia="zh-CN"/>
        </w:rPr>
        <w:t>: 1477-1483 [PMID: 21953410 DOI: 10.1002/ijc.26449]</w:t>
      </w:r>
    </w:p>
    <w:p w14:paraId="41BE44D4" w14:textId="006E918A" w:rsidR="00950BD5" w:rsidRPr="008A0130" w:rsidRDefault="00950BD5" w:rsidP="008A0130">
      <w:pPr>
        <w:pStyle w:val="ListParagraph"/>
        <w:spacing w:line="360" w:lineRule="auto"/>
        <w:ind w:left="0"/>
        <w:jc w:val="both"/>
        <w:rPr>
          <w:rFonts w:ascii="Book Antiqua" w:eastAsia="宋体" w:hAnsi="Book Antiqua" w:cs="Times New Roman"/>
          <w:lang w:val="es-ES_tradnl" w:eastAsia="zh-CN"/>
        </w:rPr>
      </w:pPr>
      <w:r w:rsidRPr="008A0130">
        <w:rPr>
          <w:rFonts w:ascii="Book Antiqua" w:eastAsia="宋体" w:hAnsi="Book Antiqua" w:cs="Times New Roman"/>
          <w:lang w:val="es-ES_tradnl" w:eastAsia="zh-CN"/>
        </w:rPr>
        <w:t xml:space="preserve">256 </w:t>
      </w:r>
      <w:r w:rsidRPr="008A0130">
        <w:rPr>
          <w:rFonts w:ascii="Book Antiqua" w:hAnsi="Book Antiqua" w:cs="Times New Roman"/>
          <w:b/>
          <w:lang w:val="es-ES_tradnl"/>
        </w:rPr>
        <w:t>Zhang B</w:t>
      </w:r>
      <w:r w:rsidRPr="008A0130">
        <w:rPr>
          <w:rFonts w:ascii="Book Antiqua" w:hAnsi="Book Antiqua" w:cs="Times New Roman"/>
          <w:lang w:val="es-ES_tradnl"/>
        </w:rPr>
        <w:t>, Yang Y, Shi X, Liao W, Chen M,</w:t>
      </w:r>
      <w:r w:rsidRPr="008A0130">
        <w:rPr>
          <w:rFonts w:ascii="MS Mincho" w:eastAsia="MS Mincho" w:hAnsi="MS Mincho" w:cs="MS Mincho" w:hint="eastAsia"/>
          <w:lang w:val="es-ES_tradnl"/>
        </w:rPr>
        <w:t> </w:t>
      </w:r>
      <w:r w:rsidRPr="008A0130">
        <w:rPr>
          <w:rFonts w:ascii="Book Antiqua" w:hAnsi="Book Antiqua" w:cs="Times New Roman"/>
          <w:lang w:val="es-ES_tradnl"/>
        </w:rPr>
        <w:t xml:space="preserve"> Cheng AS, Yan H, Fang C, Zhang S, Xu G, Shen S, Huang S, Chen G, Lv Y, Ling T, Zhang X, Wang L, Zhuge Y, Zou X. Proton pump inhibitor pantoprazole abrogates adriamycin-resistant gastric </w:t>
      </w:r>
      <w:r w:rsidRPr="008A0130">
        <w:rPr>
          <w:rFonts w:ascii="Book Antiqua" w:hAnsi="Book Antiqua" w:cs="Times New Roman"/>
          <w:lang w:val="es-ES_tradnl"/>
        </w:rPr>
        <w:lastRenderedPageBreak/>
        <w:t>cancer cell invasiveness via suppression of Akt/GSK-β/β- catenin signaling and epithelial–mesenchymal transition. Cancer Lett Pub</w:t>
      </w:r>
      <w:r w:rsidR="008A0130">
        <w:rPr>
          <w:rFonts w:ascii="Book Antiqua" w:hAnsi="Book Antiqua" w:cs="Times New Roman"/>
          <w:lang w:val="es-ES_tradnl"/>
        </w:rPr>
        <w:t>lished online: October 23, 2014</w:t>
      </w:r>
      <w:r w:rsidRPr="008A0130">
        <w:rPr>
          <w:rFonts w:ascii="Book Antiqua" w:hAnsi="Book Antiqua" w:cs="Times New Roman"/>
          <w:lang w:val="es-ES_tradnl"/>
        </w:rPr>
        <w:t xml:space="preserve"> </w:t>
      </w:r>
      <w:r w:rsidR="008A0130">
        <w:rPr>
          <w:rFonts w:ascii="Book Antiqua" w:eastAsia="宋体" w:hAnsi="Book Antiqua" w:cs="Times New Roman" w:hint="eastAsia"/>
          <w:lang w:val="es-ES_tradnl" w:eastAsia="zh-CN"/>
        </w:rPr>
        <w:t>[</w:t>
      </w:r>
      <w:r w:rsidRPr="008A0130">
        <w:rPr>
          <w:rFonts w:ascii="Book Antiqua" w:hAnsi="Book Antiqua" w:cs="Times New Roman"/>
          <w:lang w:val="es-ES_tradnl"/>
        </w:rPr>
        <w:t>DOI: 10.1016/j.canlet.2014.10.016</w:t>
      </w:r>
      <w:r w:rsidR="008A0130">
        <w:rPr>
          <w:rFonts w:ascii="Book Antiqua" w:eastAsia="宋体" w:hAnsi="Book Antiqua" w:cs="Times New Roman" w:hint="eastAsia"/>
          <w:lang w:val="es-ES_tradnl" w:eastAsia="zh-CN"/>
        </w:rPr>
        <w:t>]</w:t>
      </w:r>
    </w:p>
    <w:p w14:paraId="12AFE8FA" w14:textId="77777777" w:rsidR="00067A27" w:rsidRPr="008A0130" w:rsidRDefault="00067A27" w:rsidP="008A0130">
      <w:pPr>
        <w:pStyle w:val="Header"/>
        <w:spacing w:line="360" w:lineRule="auto"/>
        <w:jc w:val="both"/>
        <w:rPr>
          <w:rFonts w:ascii="Book Antiqua" w:eastAsia="宋体" w:hAnsi="Book Antiqua" w:cs="Times New Roman"/>
          <w:b/>
          <w:lang w:eastAsia="zh-CN"/>
        </w:rPr>
      </w:pPr>
    </w:p>
    <w:p w14:paraId="41A6767D" w14:textId="254ACD47" w:rsidR="00821466" w:rsidRPr="008A0130" w:rsidRDefault="00821466" w:rsidP="00407A5E">
      <w:pPr>
        <w:spacing w:line="360" w:lineRule="auto"/>
        <w:ind w:left="519" w:hangingChars="200" w:hanging="519"/>
        <w:jc w:val="right"/>
        <w:rPr>
          <w:rFonts w:ascii="Book Antiqua" w:eastAsia="宋体" w:hAnsi="Book Antiqua"/>
          <w:szCs w:val="21"/>
          <w:lang w:eastAsia="zh-CN"/>
        </w:rPr>
      </w:pPr>
      <w:r w:rsidRPr="008A0130">
        <w:rPr>
          <w:rFonts w:ascii="Book Antiqua" w:hAnsi="Book Antiqua"/>
          <w:b/>
          <w:szCs w:val="21"/>
        </w:rPr>
        <w:t>P-</w:t>
      </w:r>
      <w:r w:rsidRPr="008A0130">
        <w:rPr>
          <w:rFonts w:ascii="Book Antiqua" w:hAnsi="Book Antiqua" w:hint="eastAsia"/>
          <w:b/>
          <w:szCs w:val="21"/>
        </w:rPr>
        <w:t xml:space="preserve"> </w:t>
      </w:r>
      <w:r w:rsidRPr="008A0130">
        <w:rPr>
          <w:rFonts w:ascii="Book Antiqua" w:hAnsi="Book Antiqua"/>
          <w:b/>
          <w:szCs w:val="21"/>
        </w:rPr>
        <w:t>Reviewer:</w:t>
      </w:r>
      <w:r w:rsidRPr="008A0130">
        <w:rPr>
          <w:rFonts w:ascii="Book Antiqua" w:hAnsi="Book Antiqua" w:hint="eastAsia"/>
          <w:b/>
          <w:szCs w:val="21"/>
        </w:rPr>
        <w:t xml:space="preserve"> </w:t>
      </w:r>
      <w:r w:rsidRPr="008A0130">
        <w:rPr>
          <w:rFonts w:ascii="Book Antiqua" w:eastAsia="宋体" w:hAnsi="Book Antiqua"/>
          <w:szCs w:val="21"/>
          <w:lang w:eastAsia="zh-CN"/>
        </w:rPr>
        <w:t>Ditzel</w:t>
      </w:r>
      <w:r w:rsidRPr="008A0130">
        <w:rPr>
          <w:rFonts w:ascii="Book Antiqua" w:eastAsia="宋体" w:hAnsi="Book Antiqua" w:hint="eastAsia"/>
          <w:szCs w:val="21"/>
          <w:lang w:eastAsia="zh-CN"/>
        </w:rPr>
        <w:t xml:space="preserve"> M, </w:t>
      </w:r>
      <w:r w:rsidRPr="008A0130">
        <w:rPr>
          <w:rFonts w:ascii="Book Antiqua" w:eastAsia="宋体" w:hAnsi="Book Antiqua"/>
          <w:szCs w:val="21"/>
          <w:lang w:eastAsia="zh-CN"/>
        </w:rPr>
        <w:t>Dalay</w:t>
      </w:r>
      <w:r w:rsidRPr="008A0130">
        <w:rPr>
          <w:rFonts w:ascii="Book Antiqua" w:eastAsia="宋体" w:hAnsi="Book Antiqua" w:hint="eastAsia"/>
          <w:szCs w:val="21"/>
          <w:lang w:eastAsia="zh-CN"/>
        </w:rPr>
        <w:t xml:space="preserve"> N,</w:t>
      </w:r>
      <w:r w:rsidRPr="008A0130">
        <w:rPr>
          <w:rFonts w:ascii="Book Antiqua" w:eastAsia="宋体" w:hAnsi="Book Antiqua"/>
          <w:szCs w:val="21"/>
          <w:lang w:eastAsia="zh-CN"/>
        </w:rPr>
        <w:t xml:space="preserve"> Huerta-Franco</w:t>
      </w:r>
      <w:r w:rsidRPr="008A0130">
        <w:rPr>
          <w:rFonts w:ascii="Book Antiqua" w:eastAsia="宋体" w:hAnsi="Book Antiqua" w:hint="eastAsia"/>
          <w:szCs w:val="21"/>
          <w:lang w:eastAsia="zh-CN"/>
        </w:rPr>
        <w:t xml:space="preserve"> </w:t>
      </w:r>
      <w:r w:rsidRPr="008A0130">
        <w:rPr>
          <w:rFonts w:ascii="Book Antiqua" w:eastAsia="宋体" w:hAnsi="Book Antiqua"/>
          <w:szCs w:val="21"/>
          <w:lang w:eastAsia="zh-CN"/>
        </w:rPr>
        <w:t>MR</w:t>
      </w:r>
      <w:r w:rsidRPr="008A0130">
        <w:rPr>
          <w:rFonts w:ascii="Book Antiqua" w:eastAsia="宋体" w:hAnsi="Book Antiqua" w:hint="eastAsia"/>
          <w:szCs w:val="21"/>
          <w:lang w:eastAsia="zh-CN"/>
        </w:rPr>
        <w:t xml:space="preserve">, </w:t>
      </w:r>
      <w:r w:rsidRPr="008A0130">
        <w:rPr>
          <w:rFonts w:ascii="Book Antiqua" w:eastAsia="宋体" w:hAnsi="Book Antiqua"/>
          <w:szCs w:val="21"/>
          <w:lang w:eastAsia="zh-CN"/>
        </w:rPr>
        <w:t>Singh</w:t>
      </w:r>
      <w:r w:rsidRPr="008A0130">
        <w:rPr>
          <w:rFonts w:ascii="Book Antiqua" w:eastAsia="宋体" w:hAnsi="Book Antiqua" w:hint="eastAsia"/>
          <w:szCs w:val="21"/>
          <w:lang w:eastAsia="zh-CN"/>
        </w:rPr>
        <w:t xml:space="preserve"> </w:t>
      </w:r>
      <w:r w:rsidRPr="008A0130">
        <w:rPr>
          <w:rFonts w:ascii="Book Antiqua" w:eastAsia="宋体" w:hAnsi="Book Antiqua"/>
          <w:szCs w:val="21"/>
          <w:lang w:eastAsia="zh-CN"/>
        </w:rPr>
        <w:t>S</w:t>
      </w:r>
      <w:r w:rsidRPr="008A0130">
        <w:rPr>
          <w:rFonts w:ascii="Book Antiqua" w:eastAsia="宋体" w:hAnsi="Book Antiqua" w:hint="eastAsia"/>
          <w:szCs w:val="21"/>
          <w:lang w:eastAsia="zh-CN"/>
        </w:rPr>
        <w:t xml:space="preserve">R, </w:t>
      </w:r>
    </w:p>
    <w:p w14:paraId="37079E68" w14:textId="2DD11C49" w:rsidR="00821466" w:rsidRPr="008A0130" w:rsidRDefault="00821466" w:rsidP="008A0130">
      <w:pPr>
        <w:spacing w:line="360" w:lineRule="auto"/>
        <w:ind w:left="480" w:hangingChars="200" w:hanging="480"/>
        <w:jc w:val="right"/>
        <w:rPr>
          <w:rFonts w:ascii="Book Antiqua" w:hAnsi="Book Antiqua"/>
          <w:szCs w:val="21"/>
        </w:rPr>
      </w:pPr>
      <w:r w:rsidRPr="008A0130">
        <w:rPr>
          <w:rFonts w:ascii="Book Antiqua" w:eastAsia="宋体" w:hAnsi="Book Antiqua"/>
          <w:szCs w:val="21"/>
          <w:lang w:eastAsia="zh-CN"/>
        </w:rPr>
        <w:t>Wiemer</w:t>
      </w:r>
      <w:r w:rsidRPr="008A0130">
        <w:rPr>
          <w:rFonts w:ascii="Book Antiqua" w:eastAsia="宋体" w:hAnsi="Book Antiqua" w:hint="eastAsia"/>
          <w:szCs w:val="21"/>
          <w:lang w:eastAsia="zh-CN"/>
        </w:rPr>
        <w:t xml:space="preserve"> EAC </w:t>
      </w:r>
      <w:r w:rsidRPr="008A0130">
        <w:rPr>
          <w:rFonts w:ascii="Book Antiqua" w:hAnsi="Book Antiqua"/>
          <w:b/>
          <w:szCs w:val="21"/>
        </w:rPr>
        <w:t>S-</w:t>
      </w:r>
      <w:r w:rsidRPr="008A0130">
        <w:rPr>
          <w:rFonts w:ascii="Book Antiqua" w:hAnsi="Book Antiqua" w:hint="eastAsia"/>
          <w:b/>
          <w:szCs w:val="21"/>
        </w:rPr>
        <w:t xml:space="preserve"> </w:t>
      </w:r>
      <w:r w:rsidRPr="008A0130">
        <w:rPr>
          <w:rFonts w:ascii="Book Antiqua" w:hAnsi="Book Antiqua"/>
          <w:b/>
          <w:szCs w:val="21"/>
        </w:rPr>
        <w:t>Editor:</w:t>
      </w:r>
      <w:r w:rsidRPr="008A0130">
        <w:rPr>
          <w:rFonts w:ascii="Book Antiqua" w:hAnsi="Book Antiqua" w:hint="eastAsia"/>
          <w:szCs w:val="21"/>
        </w:rPr>
        <w:t xml:space="preserve"> </w:t>
      </w:r>
      <w:r w:rsidRPr="008A0130">
        <w:rPr>
          <w:rFonts w:ascii="Book Antiqua" w:eastAsia="宋体" w:hAnsi="Book Antiqua" w:hint="eastAsia"/>
          <w:szCs w:val="21"/>
          <w:lang w:eastAsia="zh-CN"/>
        </w:rPr>
        <w:t>Song XX</w:t>
      </w:r>
      <w:r w:rsidRPr="008A0130">
        <w:rPr>
          <w:rFonts w:ascii="Book Antiqua" w:hAnsi="Book Antiqua" w:hint="eastAsia"/>
          <w:szCs w:val="21"/>
        </w:rPr>
        <w:t xml:space="preserve"> </w:t>
      </w:r>
      <w:r w:rsidRPr="008A0130">
        <w:rPr>
          <w:rFonts w:ascii="Book Antiqua" w:hAnsi="Book Antiqua"/>
          <w:b/>
          <w:szCs w:val="21"/>
        </w:rPr>
        <w:t>L</w:t>
      </w:r>
      <w:r w:rsidRPr="008A0130">
        <w:rPr>
          <w:rFonts w:ascii="Book Antiqua" w:hAnsi="Book Antiqua" w:hint="eastAsia"/>
          <w:b/>
          <w:szCs w:val="21"/>
        </w:rPr>
        <w:t xml:space="preserve">- </w:t>
      </w:r>
      <w:r w:rsidRPr="008A0130">
        <w:rPr>
          <w:rFonts w:ascii="Book Antiqua" w:hAnsi="Book Antiqua"/>
          <w:b/>
          <w:szCs w:val="21"/>
        </w:rPr>
        <w:t>Editor:</w:t>
      </w:r>
      <w:r w:rsidRPr="008A0130">
        <w:rPr>
          <w:rFonts w:ascii="Book Antiqua" w:hAnsi="Book Antiqua" w:hint="eastAsia"/>
          <w:szCs w:val="21"/>
        </w:rPr>
        <w:t xml:space="preserve">  </w:t>
      </w:r>
      <w:r w:rsidRPr="008A0130">
        <w:rPr>
          <w:rFonts w:ascii="Book Antiqua" w:hAnsi="Book Antiqua"/>
          <w:szCs w:val="21"/>
        </w:rPr>
        <w:t xml:space="preserve"> </w:t>
      </w:r>
      <w:r w:rsidRPr="008A0130">
        <w:rPr>
          <w:rFonts w:ascii="Book Antiqua" w:hAnsi="Book Antiqua"/>
          <w:b/>
          <w:szCs w:val="21"/>
        </w:rPr>
        <w:t>E</w:t>
      </w:r>
      <w:r w:rsidRPr="008A0130">
        <w:rPr>
          <w:rFonts w:ascii="Book Antiqua" w:hAnsi="Book Antiqua" w:hint="eastAsia"/>
          <w:b/>
          <w:szCs w:val="21"/>
        </w:rPr>
        <w:t xml:space="preserve">- </w:t>
      </w:r>
      <w:r w:rsidRPr="008A0130">
        <w:rPr>
          <w:rFonts w:ascii="Book Antiqua" w:hAnsi="Book Antiqua"/>
          <w:b/>
          <w:szCs w:val="21"/>
        </w:rPr>
        <w:t>Editor:</w:t>
      </w:r>
    </w:p>
    <w:p w14:paraId="01897DC4" w14:textId="77777777" w:rsidR="00067A27" w:rsidRPr="008A0130" w:rsidRDefault="00067A27" w:rsidP="008A0130">
      <w:pPr>
        <w:pStyle w:val="Header"/>
        <w:spacing w:line="360" w:lineRule="auto"/>
        <w:jc w:val="both"/>
        <w:rPr>
          <w:rFonts w:ascii="Book Antiqua" w:eastAsia="宋体" w:hAnsi="Book Antiqua" w:cs="Times New Roman"/>
          <w:b/>
          <w:lang w:eastAsia="zh-CN"/>
        </w:rPr>
      </w:pPr>
    </w:p>
    <w:p w14:paraId="12AA6B7F" w14:textId="77777777" w:rsidR="00067A27" w:rsidRPr="008A0130" w:rsidRDefault="00067A27" w:rsidP="008A0130">
      <w:pPr>
        <w:pStyle w:val="Header"/>
        <w:spacing w:line="360" w:lineRule="auto"/>
        <w:jc w:val="both"/>
        <w:rPr>
          <w:rFonts w:ascii="Book Antiqua" w:eastAsia="宋体" w:hAnsi="Book Antiqua" w:cs="Times New Roman"/>
          <w:b/>
          <w:lang w:eastAsia="zh-CN"/>
        </w:rPr>
      </w:pPr>
    </w:p>
    <w:p w14:paraId="29DB5371" w14:textId="77777777" w:rsidR="00CB6995" w:rsidRPr="008A0130" w:rsidRDefault="00CB6995" w:rsidP="008A0130">
      <w:pPr>
        <w:pStyle w:val="Header"/>
        <w:spacing w:line="360" w:lineRule="auto"/>
        <w:jc w:val="both"/>
        <w:rPr>
          <w:rFonts w:ascii="Book Antiqua" w:eastAsia="宋体" w:hAnsi="Book Antiqua" w:cs="Times New Roman"/>
          <w:b/>
          <w:lang w:eastAsia="zh-CN"/>
        </w:rPr>
      </w:pPr>
    </w:p>
    <w:p w14:paraId="5E1CD6CA" w14:textId="77777777" w:rsidR="00CB6995" w:rsidRPr="008A0130" w:rsidRDefault="00CB6995" w:rsidP="008A0130">
      <w:pPr>
        <w:pStyle w:val="Header"/>
        <w:spacing w:line="360" w:lineRule="auto"/>
        <w:jc w:val="both"/>
        <w:rPr>
          <w:rFonts w:ascii="Book Antiqua" w:eastAsia="宋体" w:hAnsi="Book Antiqua" w:cs="Times New Roman"/>
          <w:b/>
          <w:lang w:eastAsia="zh-CN"/>
        </w:rPr>
      </w:pPr>
    </w:p>
    <w:p w14:paraId="1368DAD4" w14:textId="77777777" w:rsidR="00CB6995" w:rsidRPr="008A0130" w:rsidRDefault="00CB6995" w:rsidP="008A0130">
      <w:pPr>
        <w:pStyle w:val="Header"/>
        <w:spacing w:line="360" w:lineRule="auto"/>
        <w:jc w:val="both"/>
        <w:rPr>
          <w:rFonts w:ascii="Book Antiqua" w:eastAsia="宋体" w:hAnsi="Book Antiqua" w:cs="Times New Roman"/>
          <w:b/>
          <w:lang w:eastAsia="zh-CN"/>
        </w:rPr>
      </w:pPr>
    </w:p>
    <w:p w14:paraId="70E13D28"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0BF42A49"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3106E4A6"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707E7BA2"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3F59F30F"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78CE4E01"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1D93681D"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3B0DDBA7"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1DB07B93"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16816B14"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7DF5AC56"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54E169C9"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66A41850"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40459C2A"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4984CEB3"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06FA81E5"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5355F200"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2331D29A"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4969274D"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62158824"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6F14BEBE" w14:textId="77777777" w:rsidR="00950BD5" w:rsidRPr="008A0130" w:rsidRDefault="00950BD5" w:rsidP="008A0130">
      <w:pPr>
        <w:pStyle w:val="Header"/>
        <w:spacing w:line="360" w:lineRule="auto"/>
        <w:jc w:val="both"/>
        <w:rPr>
          <w:rFonts w:ascii="Book Antiqua" w:eastAsia="宋体" w:hAnsi="Book Antiqua" w:cs="Times New Roman"/>
          <w:b/>
          <w:lang w:eastAsia="zh-CN"/>
        </w:rPr>
      </w:pPr>
    </w:p>
    <w:p w14:paraId="2EEAAFD2" w14:textId="77777777" w:rsidR="00067A27" w:rsidRPr="008A0130" w:rsidRDefault="00067A27" w:rsidP="008A0130">
      <w:pPr>
        <w:pStyle w:val="Header"/>
        <w:spacing w:line="360" w:lineRule="auto"/>
        <w:jc w:val="both"/>
        <w:rPr>
          <w:rFonts w:ascii="Book Antiqua" w:eastAsia="宋体" w:hAnsi="Book Antiqua" w:cs="Times New Roman"/>
          <w:b/>
          <w:lang w:eastAsia="zh-CN"/>
        </w:rPr>
      </w:pPr>
    </w:p>
    <w:p w14:paraId="389FA985" w14:textId="29DCFD24" w:rsidR="00CB6995" w:rsidRPr="008A0130" w:rsidRDefault="00821466" w:rsidP="008A0130">
      <w:pPr>
        <w:pStyle w:val="Header"/>
        <w:spacing w:line="360" w:lineRule="auto"/>
        <w:jc w:val="both"/>
        <w:rPr>
          <w:rFonts w:ascii="Book Antiqua" w:eastAsia="宋体" w:hAnsi="Book Antiqua" w:cs="Times New Roman"/>
          <w:b/>
          <w:lang w:eastAsia="zh-CN"/>
        </w:rPr>
      </w:pPr>
      <w:r w:rsidRPr="008A0130">
        <w:rPr>
          <w:rFonts w:ascii="Book Antiqua" w:hAnsi="Book Antiqua" w:cs="Times New Roman"/>
          <w:b/>
        </w:rPr>
        <w:t>Table 1</w:t>
      </w:r>
      <w:r w:rsidR="00ED7EDD" w:rsidRPr="008A0130">
        <w:rPr>
          <w:rFonts w:ascii="Book Antiqua" w:hAnsi="Book Antiqua" w:cs="Times New Roman"/>
        </w:rPr>
        <w:t xml:space="preserve"> </w:t>
      </w:r>
      <w:r w:rsidR="00ED7EDD" w:rsidRPr="008A0130">
        <w:rPr>
          <w:rFonts w:ascii="Book Antiqua" w:hAnsi="Book Antiqua" w:cs="Times New Roman"/>
          <w:b/>
        </w:rPr>
        <w:t>Components of Wnt/</w:t>
      </w:r>
      <w:r w:rsidR="00F926B4" w:rsidRPr="008A0130">
        <w:rPr>
          <w:rFonts w:ascii="Book Antiqua" w:hAnsi="Book Antiqua" w:cs="Times New Roman"/>
          <w:b/>
        </w:rPr>
        <w:t>β</w:t>
      </w:r>
      <w:r w:rsidR="00ED7EDD" w:rsidRPr="008A0130">
        <w:rPr>
          <w:rFonts w:ascii="Book Antiqua" w:hAnsi="Book Antiqua" w:cs="Times New Roman"/>
          <w:b/>
        </w:rPr>
        <w:t>-catenin signalin</w:t>
      </w:r>
      <w:r w:rsidRPr="008A0130">
        <w:rPr>
          <w:rFonts w:ascii="Book Antiqua" w:hAnsi="Book Antiqua" w:cs="Times New Roman"/>
          <w:b/>
        </w:rPr>
        <w:t>g deregulated in gastric cancer</w:t>
      </w:r>
    </w:p>
    <w:tbl>
      <w:tblPr>
        <w:tblStyle w:val="TableGrid"/>
        <w:tblpPr w:leftFromText="180" w:rightFromText="180" w:vertAnchor="page" w:horzAnchor="page" w:tblpX="1729" w:tblpY="1981"/>
        <w:tblW w:w="96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20"/>
      </w:tblGrid>
      <w:tr w:rsidR="00CB6995" w:rsidRPr="008A0130" w14:paraId="13509BD9" w14:textId="77777777" w:rsidTr="00821466">
        <w:tc>
          <w:tcPr>
            <w:tcW w:w="9606" w:type="dxa"/>
            <w:gridSpan w:val="2"/>
            <w:shd w:val="clear" w:color="auto" w:fill="auto"/>
          </w:tcPr>
          <w:p w14:paraId="5A94A37B" w14:textId="77777777" w:rsidR="00CB6995" w:rsidRPr="008A0130" w:rsidRDefault="00CB6995" w:rsidP="008A0130">
            <w:pPr>
              <w:spacing w:line="360" w:lineRule="auto"/>
              <w:jc w:val="both"/>
              <w:rPr>
                <w:rFonts w:ascii="Book Antiqua" w:hAnsi="Book Antiqua" w:cs="Tahoma"/>
              </w:rPr>
            </w:pPr>
            <w:r w:rsidRPr="008A0130">
              <w:rPr>
                <w:rFonts w:ascii="Book Antiqua" w:hAnsi="Book Antiqua" w:cs="Tahoma"/>
                <w:b/>
                <w:bCs/>
              </w:rPr>
              <w:t>Upregulation or function increase in gastric cancer</w:t>
            </w:r>
          </w:p>
        </w:tc>
      </w:tr>
      <w:tr w:rsidR="00CB6995" w:rsidRPr="008A0130" w14:paraId="0520F5C2" w14:textId="77777777" w:rsidTr="00821466">
        <w:tc>
          <w:tcPr>
            <w:tcW w:w="9606" w:type="dxa"/>
            <w:gridSpan w:val="2"/>
            <w:shd w:val="clear" w:color="auto" w:fill="auto"/>
          </w:tcPr>
          <w:p w14:paraId="16779878"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lastRenderedPageBreak/>
              <w:t xml:space="preserve">Wnt-1, Wnt-2, Wnt-2B, Wnt-5a, Wnt-6, Wnt-10A </w:t>
            </w:r>
            <w:r w:rsidRPr="008A0130">
              <w:rPr>
                <w:rFonts w:ascii="Book Antiqua" w:hAnsi="Book Antiqua" w:cs="Arial"/>
                <w:vertAlign w:val="superscript"/>
              </w:rPr>
              <w:t>[47,69-75,232]</w:t>
            </w:r>
          </w:p>
        </w:tc>
      </w:tr>
      <w:tr w:rsidR="00CB6995" w:rsidRPr="008A0130" w14:paraId="55995693" w14:textId="77777777" w:rsidTr="00821466">
        <w:tc>
          <w:tcPr>
            <w:tcW w:w="9606" w:type="dxa"/>
            <w:gridSpan w:val="2"/>
            <w:shd w:val="clear" w:color="auto" w:fill="auto"/>
          </w:tcPr>
          <w:p w14:paraId="5C80D5DD" w14:textId="77777777" w:rsidR="00CB6995" w:rsidRPr="008A0130" w:rsidRDefault="00CB6995" w:rsidP="008A0130">
            <w:pPr>
              <w:spacing w:line="360" w:lineRule="auto"/>
              <w:jc w:val="both"/>
              <w:rPr>
                <w:rFonts w:ascii="Book Antiqua" w:hAnsi="Book Antiqua" w:cs="Arial"/>
              </w:rPr>
            </w:pPr>
            <w:r w:rsidRPr="008A0130">
              <w:rPr>
                <w:rFonts w:ascii="Book Antiqua" w:hAnsi="Book Antiqua" w:cs="Arial"/>
                <w:i/>
              </w:rPr>
              <w:t xml:space="preserve">Fzd-3 </w:t>
            </w:r>
            <w:r w:rsidRPr="008A0130">
              <w:rPr>
                <w:rFonts w:ascii="Book Antiqua" w:hAnsi="Book Antiqua" w:cs="Arial"/>
                <w:vertAlign w:val="superscript"/>
              </w:rPr>
              <w:t>[78]</w:t>
            </w:r>
          </w:p>
        </w:tc>
      </w:tr>
      <w:tr w:rsidR="00CB6995" w:rsidRPr="008A0130" w14:paraId="3B8E16B8" w14:textId="77777777" w:rsidTr="00821466">
        <w:tc>
          <w:tcPr>
            <w:tcW w:w="9606" w:type="dxa"/>
            <w:gridSpan w:val="2"/>
            <w:shd w:val="clear" w:color="auto" w:fill="auto"/>
          </w:tcPr>
          <w:p w14:paraId="769B36B1"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CTNNB1</w:t>
            </w:r>
            <w:r w:rsidRPr="008A0130">
              <w:rPr>
                <w:rFonts w:ascii="Book Antiqua" w:hAnsi="Book Antiqua" w:cs="Arial"/>
                <w:vertAlign w:val="superscript"/>
              </w:rPr>
              <w:t>[9,88-93,96,97]</w:t>
            </w:r>
          </w:p>
        </w:tc>
      </w:tr>
      <w:tr w:rsidR="00CB6995" w:rsidRPr="008A0130" w14:paraId="08083727" w14:textId="77777777" w:rsidTr="00821466">
        <w:tc>
          <w:tcPr>
            <w:tcW w:w="9606" w:type="dxa"/>
            <w:gridSpan w:val="2"/>
            <w:shd w:val="clear" w:color="auto" w:fill="auto"/>
          </w:tcPr>
          <w:p w14:paraId="550A5268"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 xml:space="preserve">LRP6 </w:t>
            </w:r>
            <w:r w:rsidRPr="008A0130">
              <w:rPr>
                <w:rFonts w:ascii="Book Antiqua" w:hAnsi="Book Antiqua" w:cs="Arial"/>
                <w:vertAlign w:val="superscript"/>
              </w:rPr>
              <w:t>[228]</w:t>
            </w:r>
          </w:p>
        </w:tc>
      </w:tr>
      <w:tr w:rsidR="00CB6995" w:rsidRPr="008A0130" w14:paraId="18618753" w14:textId="77777777" w:rsidTr="00821466">
        <w:tc>
          <w:tcPr>
            <w:tcW w:w="9606" w:type="dxa"/>
            <w:gridSpan w:val="2"/>
            <w:shd w:val="clear" w:color="auto" w:fill="auto"/>
          </w:tcPr>
          <w:p w14:paraId="3E387EB4"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TCF7L2</w:t>
            </w:r>
            <w:r w:rsidRPr="008A0130">
              <w:rPr>
                <w:rFonts w:ascii="Book Antiqua" w:hAnsi="Book Antiqua" w:cs="Arial"/>
                <w:vertAlign w:val="superscript"/>
              </w:rPr>
              <w:t>[98-100]</w:t>
            </w:r>
          </w:p>
        </w:tc>
      </w:tr>
      <w:tr w:rsidR="00CB6995" w:rsidRPr="008A0130" w14:paraId="0EDE8F55" w14:textId="77777777" w:rsidTr="00821466">
        <w:tc>
          <w:tcPr>
            <w:tcW w:w="9606" w:type="dxa"/>
            <w:gridSpan w:val="2"/>
            <w:shd w:val="clear" w:color="auto" w:fill="auto"/>
          </w:tcPr>
          <w:p w14:paraId="70913D03"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PPN</w:t>
            </w:r>
            <w:r w:rsidRPr="008A0130">
              <w:rPr>
                <w:rFonts w:ascii="Book Antiqua" w:hAnsi="Book Antiqua" w:cs="Arial"/>
                <w:vertAlign w:val="superscript"/>
              </w:rPr>
              <w:t>[79]</w:t>
            </w:r>
          </w:p>
        </w:tc>
      </w:tr>
      <w:tr w:rsidR="00CB6995" w:rsidRPr="008A0130" w14:paraId="6965D36A" w14:textId="77777777" w:rsidTr="00821466">
        <w:tc>
          <w:tcPr>
            <w:tcW w:w="9606" w:type="dxa"/>
            <w:gridSpan w:val="2"/>
            <w:shd w:val="clear" w:color="auto" w:fill="auto"/>
          </w:tcPr>
          <w:p w14:paraId="0B2D7172" w14:textId="77777777" w:rsidR="00CB6995" w:rsidRPr="008A0130" w:rsidRDefault="00CB6995" w:rsidP="008A0130">
            <w:pPr>
              <w:tabs>
                <w:tab w:val="left" w:pos="3800"/>
              </w:tabs>
              <w:spacing w:line="360" w:lineRule="auto"/>
              <w:jc w:val="both"/>
              <w:rPr>
                <w:rFonts w:ascii="Book Antiqua" w:hAnsi="Book Antiqua" w:cs="Arial"/>
                <w:i/>
              </w:rPr>
            </w:pPr>
            <w:r w:rsidRPr="008A0130">
              <w:rPr>
                <w:rFonts w:ascii="Book Antiqua" w:hAnsi="Book Antiqua" w:cs="Arial"/>
                <w:i/>
              </w:rPr>
              <w:t>CDH17</w:t>
            </w:r>
            <w:r w:rsidRPr="008A0130">
              <w:rPr>
                <w:rFonts w:ascii="Book Antiqua" w:hAnsi="Book Antiqua" w:cs="Arial"/>
                <w:vertAlign w:val="superscript"/>
              </w:rPr>
              <w:t>[80]</w:t>
            </w:r>
            <w:r w:rsidRPr="008A0130">
              <w:rPr>
                <w:rFonts w:ascii="Book Antiqua" w:hAnsi="Book Antiqua" w:cs="Arial"/>
                <w:i/>
              </w:rPr>
              <w:tab/>
            </w:r>
          </w:p>
        </w:tc>
      </w:tr>
      <w:tr w:rsidR="00CB6995" w:rsidRPr="008A0130" w14:paraId="025A325E" w14:textId="77777777" w:rsidTr="00821466">
        <w:tc>
          <w:tcPr>
            <w:tcW w:w="9606" w:type="dxa"/>
            <w:gridSpan w:val="2"/>
            <w:shd w:val="clear" w:color="auto" w:fill="auto"/>
          </w:tcPr>
          <w:p w14:paraId="026C81C6"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EZH2</w:t>
            </w:r>
            <w:r w:rsidRPr="008A0130">
              <w:rPr>
                <w:rFonts w:ascii="Book Antiqua" w:hAnsi="Book Antiqua" w:cs="Arial"/>
                <w:vertAlign w:val="superscript"/>
              </w:rPr>
              <w:t>[81]</w:t>
            </w:r>
          </w:p>
          <w:p w14:paraId="17BB2A80"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HMGA1, HMGA2</w:t>
            </w:r>
            <w:r w:rsidRPr="008A0130">
              <w:rPr>
                <w:rFonts w:ascii="Book Antiqua" w:hAnsi="Book Antiqua" w:cs="Arial"/>
                <w:vertAlign w:val="superscript"/>
              </w:rPr>
              <w:t>[210,211]</w:t>
            </w:r>
          </w:p>
        </w:tc>
      </w:tr>
      <w:tr w:rsidR="00CB6995" w:rsidRPr="008A0130" w14:paraId="2CF24179" w14:textId="77777777" w:rsidTr="00821466">
        <w:tc>
          <w:tcPr>
            <w:tcW w:w="9606" w:type="dxa"/>
            <w:gridSpan w:val="2"/>
            <w:shd w:val="clear" w:color="auto" w:fill="auto"/>
          </w:tcPr>
          <w:p w14:paraId="594AFDAA"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YY1</w:t>
            </w:r>
            <w:r w:rsidRPr="008A0130">
              <w:rPr>
                <w:rFonts w:ascii="Book Antiqua" w:hAnsi="Book Antiqua" w:cs="Arial"/>
                <w:vertAlign w:val="superscript"/>
              </w:rPr>
              <w:t>[86]</w:t>
            </w:r>
          </w:p>
        </w:tc>
      </w:tr>
      <w:tr w:rsidR="00CB6995" w:rsidRPr="008A0130" w14:paraId="2D3D7132" w14:textId="77777777" w:rsidTr="00821466">
        <w:tc>
          <w:tcPr>
            <w:tcW w:w="9606" w:type="dxa"/>
            <w:gridSpan w:val="2"/>
            <w:shd w:val="clear" w:color="auto" w:fill="auto"/>
          </w:tcPr>
          <w:p w14:paraId="64C679D9"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 xml:space="preserve">TC1 </w:t>
            </w:r>
            <w:r w:rsidRPr="008A0130">
              <w:rPr>
                <w:rFonts w:ascii="Book Antiqua" w:hAnsi="Book Antiqua" w:cs="Arial"/>
              </w:rPr>
              <w:t>(C8orf4)</w:t>
            </w:r>
            <w:r w:rsidRPr="008A0130">
              <w:rPr>
                <w:rFonts w:ascii="Book Antiqua" w:hAnsi="Book Antiqua" w:cs="Arial"/>
                <w:vertAlign w:val="superscript"/>
              </w:rPr>
              <w:t>[201,202]</w:t>
            </w:r>
          </w:p>
        </w:tc>
      </w:tr>
      <w:tr w:rsidR="00CB6995" w:rsidRPr="008A0130" w14:paraId="237433D8" w14:textId="77777777" w:rsidTr="00821466">
        <w:tc>
          <w:tcPr>
            <w:tcW w:w="9606" w:type="dxa"/>
            <w:gridSpan w:val="2"/>
            <w:shd w:val="clear" w:color="auto" w:fill="auto"/>
          </w:tcPr>
          <w:p w14:paraId="292C4C34"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miR-17-92</w:t>
            </w:r>
            <w:r w:rsidRPr="008A0130">
              <w:rPr>
                <w:rFonts w:ascii="Book Antiqua" w:hAnsi="Book Antiqua" w:cs="Arial"/>
                <w:vertAlign w:val="superscript"/>
              </w:rPr>
              <w:t>[161]</w:t>
            </w:r>
          </w:p>
        </w:tc>
      </w:tr>
      <w:tr w:rsidR="00CB6995" w:rsidRPr="008A0130" w14:paraId="5B1B4981" w14:textId="77777777" w:rsidTr="00821466">
        <w:tc>
          <w:tcPr>
            <w:tcW w:w="9606" w:type="dxa"/>
            <w:gridSpan w:val="2"/>
            <w:shd w:val="clear" w:color="auto" w:fill="auto"/>
          </w:tcPr>
          <w:p w14:paraId="3BF5ADDA"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mir-10a</w:t>
            </w:r>
            <w:r w:rsidRPr="008A0130">
              <w:rPr>
                <w:rFonts w:ascii="Book Antiqua" w:hAnsi="Book Antiqua" w:cs="Arial"/>
                <w:vertAlign w:val="superscript"/>
              </w:rPr>
              <w:t>[168]</w:t>
            </w:r>
          </w:p>
        </w:tc>
      </w:tr>
      <w:tr w:rsidR="00CB6995" w:rsidRPr="008A0130" w14:paraId="6117B0E6" w14:textId="77777777" w:rsidTr="00821466">
        <w:tc>
          <w:tcPr>
            <w:tcW w:w="9606" w:type="dxa"/>
            <w:gridSpan w:val="2"/>
            <w:shd w:val="clear" w:color="auto" w:fill="auto"/>
          </w:tcPr>
          <w:p w14:paraId="40DFB460"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has-miR-335</w:t>
            </w:r>
            <w:r w:rsidRPr="008A0130">
              <w:rPr>
                <w:rFonts w:ascii="Book Antiqua" w:hAnsi="Book Antiqua" w:cs="Arial"/>
                <w:vertAlign w:val="superscript"/>
              </w:rPr>
              <w:t>[166]</w:t>
            </w:r>
          </w:p>
        </w:tc>
      </w:tr>
      <w:tr w:rsidR="00CB6995" w:rsidRPr="008A0130" w14:paraId="09FB2FF2" w14:textId="77777777" w:rsidTr="00821466">
        <w:tc>
          <w:tcPr>
            <w:tcW w:w="9606" w:type="dxa"/>
            <w:gridSpan w:val="2"/>
            <w:shd w:val="clear" w:color="auto" w:fill="auto"/>
          </w:tcPr>
          <w:p w14:paraId="64EA4237"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hsa-miR-375</w:t>
            </w:r>
            <w:r w:rsidRPr="008A0130">
              <w:rPr>
                <w:rFonts w:ascii="Book Antiqua" w:hAnsi="Book Antiqua" w:cs="Arial"/>
                <w:vertAlign w:val="superscript"/>
              </w:rPr>
              <w:t>[163]</w:t>
            </w:r>
            <w:r w:rsidRPr="008A0130">
              <w:rPr>
                <w:rFonts w:ascii="Book Antiqua" w:hAnsi="Book Antiqua" w:cs="Arial"/>
                <w:i/>
              </w:rPr>
              <w:t> </w:t>
            </w:r>
          </w:p>
        </w:tc>
      </w:tr>
      <w:tr w:rsidR="00CB6995" w:rsidRPr="008A0130" w14:paraId="185DDCCE" w14:textId="77777777" w:rsidTr="00821466">
        <w:tc>
          <w:tcPr>
            <w:tcW w:w="9606" w:type="dxa"/>
            <w:gridSpan w:val="2"/>
            <w:shd w:val="clear" w:color="auto" w:fill="auto"/>
          </w:tcPr>
          <w:p w14:paraId="046B02FA" w14:textId="77777777" w:rsidR="00CB6995" w:rsidRPr="008A0130" w:rsidRDefault="00CB6995" w:rsidP="008A0130">
            <w:pPr>
              <w:spacing w:line="360" w:lineRule="auto"/>
              <w:jc w:val="both"/>
              <w:rPr>
                <w:rFonts w:ascii="Book Antiqua" w:hAnsi="Book Antiqua" w:cs="Arial"/>
              </w:rPr>
            </w:pPr>
            <w:r w:rsidRPr="008A0130">
              <w:rPr>
                <w:rFonts w:ascii="Book Antiqua" w:hAnsi="Book Antiqua" w:cs="Tahoma"/>
                <w:b/>
                <w:bCs/>
              </w:rPr>
              <w:t>Downregulation or function inhibition in gastric cancer</w:t>
            </w:r>
          </w:p>
        </w:tc>
      </w:tr>
      <w:tr w:rsidR="00CB6995" w:rsidRPr="008A0130" w14:paraId="1B32BCCF" w14:textId="77777777" w:rsidTr="00821466">
        <w:trPr>
          <w:trHeight w:val="269"/>
        </w:trPr>
        <w:tc>
          <w:tcPr>
            <w:tcW w:w="4786" w:type="dxa"/>
            <w:shd w:val="clear" w:color="auto" w:fill="auto"/>
          </w:tcPr>
          <w:p w14:paraId="63EC9636" w14:textId="77777777" w:rsidR="00CB6995" w:rsidRPr="008A0130" w:rsidRDefault="00CB6995" w:rsidP="008A0130">
            <w:pPr>
              <w:spacing w:line="360" w:lineRule="auto"/>
              <w:jc w:val="both"/>
              <w:rPr>
                <w:rFonts w:ascii="Book Antiqua" w:hAnsi="Book Antiqua" w:cs="Arial"/>
              </w:rPr>
            </w:pPr>
            <w:r w:rsidRPr="008A0130">
              <w:rPr>
                <w:rFonts w:ascii="Book Antiqua" w:hAnsi="Book Antiqua" w:cs="Arial"/>
                <w:b/>
              </w:rPr>
              <w:t>Downregulation by hypermethylation</w:t>
            </w:r>
          </w:p>
        </w:tc>
        <w:tc>
          <w:tcPr>
            <w:tcW w:w="4820" w:type="dxa"/>
            <w:shd w:val="clear" w:color="auto" w:fill="auto"/>
          </w:tcPr>
          <w:p w14:paraId="064B8B7C" w14:textId="77777777" w:rsidR="00CB6995" w:rsidRPr="008A0130" w:rsidRDefault="00CB6995" w:rsidP="008A0130">
            <w:pPr>
              <w:spacing w:line="360" w:lineRule="auto"/>
              <w:jc w:val="both"/>
              <w:rPr>
                <w:rFonts w:ascii="Book Antiqua" w:hAnsi="Book Antiqua" w:cs="Arial"/>
                <w:b/>
              </w:rPr>
            </w:pPr>
            <w:r w:rsidRPr="008A0130">
              <w:rPr>
                <w:rFonts w:ascii="Book Antiqua" w:hAnsi="Book Antiqua" w:cs="Arial"/>
                <w:b/>
              </w:rPr>
              <w:t>Inactivation by miRNAs</w:t>
            </w:r>
          </w:p>
        </w:tc>
      </w:tr>
      <w:tr w:rsidR="00CB6995" w:rsidRPr="008A0130" w14:paraId="6DDD0438" w14:textId="77777777" w:rsidTr="00821466">
        <w:trPr>
          <w:trHeight w:val="261"/>
        </w:trPr>
        <w:tc>
          <w:tcPr>
            <w:tcW w:w="4786" w:type="dxa"/>
            <w:shd w:val="clear" w:color="auto" w:fill="auto"/>
          </w:tcPr>
          <w:p w14:paraId="048223D9"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APC</w:t>
            </w:r>
            <w:r w:rsidRPr="008A0130">
              <w:rPr>
                <w:rFonts w:ascii="Book Antiqua" w:hAnsi="Book Antiqua" w:cs="Arial"/>
                <w:vertAlign w:val="superscript"/>
              </w:rPr>
              <w:t>[145,146]</w:t>
            </w:r>
          </w:p>
        </w:tc>
        <w:tc>
          <w:tcPr>
            <w:tcW w:w="4820" w:type="dxa"/>
            <w:shd w:val="clear" w:color="auto" w:fill="auto"/>
          </w:tcPr>
          <w:p w14:paraId="0FA5FCB9" w14:textId="77777777" w:rsidR="00CB6995" w:rsidRPr="008A0130" w:rsidRDefault="00CB6995" w:rsidP="008A0130">
            <w:pPr>
              <w:tabs>
                <w:tab w:val="left" w:pos="1213"/>
              </w:tabs>
              <w:spacing w:line="360" w:lineRule="auto"/>
              <w:jc w:val="both"/>
              <w:rPr>
                <w:rFonts w:ascii="Book Antiqua" w:hAnsi="Book Antiqua" w:cs="Arial"/>
                <w:i/>
              </w:rPr>
            </w:pPr>
            <w:r w:rsidRPr="008A0130">
              <w:rPr>
                <w:rFonts w:ascii="Book Antiqua" w:hAnsi="Book Antiqua" w:cs="Arial"/>
                <w:i/>
              </w:rPr>
              <w:t>APC</w:t>
            </w:r>
            <w:r w:rsidRPr="008A0130">
              <w:rPr>
                <w:rFonts w:ascii="Book Antiqua" w:hAnsi="Book Antiqua" w:cs="Arial"/>
                <w:vertAlign w:val="superscript"/>
              </w:rPr>
              <w:t>[175]</w:t>
            </w:r>
          </w:p>
        </w:tc>
      </w:tr>
      <w:tr w:rsidR="00CB6995" w:rsidRPr="008A0130" w14:paraId="45EC0E3E" w14:textId="77777777" w:rsidTr="00821466">
        <w:trPr>
          <w:trHeight w:val="261"/>
        </w:trPr>
        <w:tc>
          <w:tcPr>
            <w:tcW w:w="4786" w:type="dxa"/>
            <w:shd w:val="clear" w:color="auto" w:fill="auto"/>
          </w:tcPr>
          <w:p w14:paraId="52F7CF54"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sFRP1, sFRP2, sFRP4, sFRP5</w:t>
            </w:r>
            <w:r w:rsidRPr="008A0130">
              <w:rPr>
                <w:rFonts w:ascii="Book Antiqua" w:hAnsi="Book Antiqua" w:cs="Arial"/>
                <w:vertAlign w:val="superscript"/>
              </w:rPr>
              <w:t>[78,96,149]</w:t>
            </w:r>
          </w:p>
        </w:tc>
        <w:tc>
          <w:tcPr>
            <w:tcW w:w="4820" w:type="dxa"/>
            <w:shd w:val="clear" w:color="auto" w:fill="auto"/>
          </w:tcPr>
          <w:p w14:paraId="07D9B471"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AXIN2</w:t>
            </w:r>
            <w:r w:rsidRPr="008A0130">
              <w:rPr>
                <w:rFonts w:ascii="Book Antiqua" w:hAnsi="Book Antiqua" w:cs="Arial"/>
                <w:vertAlign w:val="superscript"/>
              </w:rPr>
              <w:t>[159]</w:t>
            </w:r>
          </w:p>
        </w:tc>
      </w:tr>
      <w:tr w:rsidR="00CB6995" w:rsidRPr="008A0130" w14:paraId="21DC1920" w14:textId="77777777" w:rsidTr="00821466">
        <w:trPr>
          <w:trHeight w:val="261"/>
        </w:trPr>
        <w:tc>
          <w:tcPr>
            <w:tcW w:w="4786" w:type="dxa"/>
            <w:shd w:val="clear" w:color="auto" w:fill="auto"/>
          </w:tcPr>
          <w:p w14:paraId="0BEB4D66"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WIF-1</w:t>
            </w:r>
            <w:r w:rsidRPr="008A0130">
              <w:rPr>
                <w:rFonts w:ascii="Book Antiqua" w:hAnsi="Book Antiqua" w:cs="Arial"/>
                <w:vertAlign w:val="superscript"/>
              </w:rPr>
              <w:t>[144,149]</w:t>
            </w:r>
          </w:p>
        </w:tc>
        <w:tc>
          <w:tcPr>
            <w:tcW w:w="4820" w:type="dxa"/>
            <w:shd w:val="clear" w:color="auto" w:fill="auto"/>
          </w:tcPr>
          <w:p w14:paraId="5D04F29B"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EZF1</w:t>
            </w:r>
            <w:r w:rsidRPr="008A0130">
              <w:rPr>
                <w:rFonts w:ascii="Book Antiqua" w:hAnsi="Book Antiqua" w:cs="Arial"/>
                <w:vertAlign w:val="superscript"/>
              </w:rPr>
              <w:t>[78]</w:t>
            </w:r>
          </w:p>
        </w:tc>
      </w:tr>
      <w:tr w:rsidR="00CB6995" w:rsidRPr="008A0130" w14:paraId="42A9AB57" w14:textId="77777777" w:rsidTr="00821466">
        <w:trPr>
          <w:trHeight w:val="261"/>
        </w:trPr>
        <w:tc>
          <w:tcPr>
            <w:tcW w:w="4786" w:type="dxa"/>
            <w:shd w:val="clear" w:color="auto" w:fill="auto"/>
          </w:tcPr>
          <w:p w14:paraId="13BC9AEC"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Dkk-1, Dkk-2, Dkk-3</w:t>
            </w:r>
            <w:r w:rsidRPr="008A0130">
              <w:rPr>
                <w:rFonts w:ascii="Book Antiqua" w:hAnsi="Book Antiqua" w:cs="Arial"/>
                <w:vertAlign w:val="superscript"/>
              </w:rPr>
              <w:t>[59,144,148,149]</w:t>
            </w:r>
          </w:p>
        </w:tc>
        <w:tc>
          <w:tcPr>
            <w:tcW w:w="4820" w:type="dxa"/>
            <w:shd w:val="clear" w:color="auto" w:fill="auto"/>
          </w:tcPr>
          <w:p w14:paraId="45900F59"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HIPK1</w:t>
            </w:r>
            <w:r w:rsidRPr="008A0130">
              <w:rPr>
                <w:rFonts w:ascii="Book Antiqua" w:hAnsi="Book Antiqua" w:cs="Arial"/>
                <w:vertAlign w:val="superscript"/>
              </w:rPr>
              <w:t>[161]</w:t>
            </w:r>
          </w:p>
        </w:tc>
      </w:tr>
      <w:tr w:rsidR="00CB6995" w:rsidRPr="008A0130" w14:paraId="1FB9F191" w14:textId="77777777" w:rsidTr="00821466">
        <w:trPr>
          <w:trHeight w:val="261"/>
        </w:trPr>
        <w:tc>
          <w:tcPr>
            <w:tcW w:w="4786" w:type="dxa"/>
            <w:shd w:val="clear" w:color="auto" w:fill="auto"/>
          </w:tcPr>
          <w:p w14:paraId="021EF290"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NKD1</w:t>
            </w:r>
            <w:r w:rsidRPr="008A0130">
              <w:rPr>
                <w:rFonts w:ascii="Book Antiqua" w:hAnsi="Book Antiqua" w:cs="Arial"/>
                <w:vertAlign w:val="superscript"/>
              </w:rPr>
              <w:t>[149]</w:t>
            </w:r>
          </w:p>
        </w:tc>
        <w:tc>
          <w:tcPr>
            <w:tcW w:w="4820" w:type="dxa"/>
            <w:shd w:val="clear" w:color="auto" w:fill="auto"/>
          </w:tcPr>
          <w:p w14:paraId="784C3C80"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HSulf-1</w:t>
            </w:r>
            <w:r w:rsidRPr="008A0130">
              <w:rPr>
                <w:rFonts w:ascii="Book Antiqua" w:hAnsi="Book Antiqua" w:cs="Arial"/>
                <w:vertAlign w:val="superscript"/>
              </w:rPr>
              <w:t>[168]</w:t>
            </w:r>
          </w:p>
        </w:tc>
      </w:tr>
      <w:tr w:rsidR="00CB6995" w:rsidRPr="008A0130" w14:paraId="7F1A84CF" w14:textId="77777777" w:rsidTr="00821466">
        <w:trPr>
          <w:trHeight w:val="261"/>
        </w:trPr>
        <w:tc>
          <w:tcPr>
            <w:tcW w:w="4786" w:type="dxa"/>
            <w:shd w:val="clear" w:color="auto" w:fill="auto"/>
          </w:tcPr>
          <w:p w14:paraId="3B7503D8"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Sox10</w:t>
            </w:r>
            <w:r w:rsidRPr="008A0130">
              <w:rPr>
                <w:rFonts w:ascii="Book Antiqua" w:hAnsi="Book Antiqua" w:cs="Arial"/>
              </w:rPr>
              <w:t xml:space="preserve">, </w:t>
            </w:r>
            <w:r w:rsidRPr="008A0130">
              <w:rPr>
                <w:rFonts w:ascii="Book Antiqua" w:hAnsi="Book Antiqua" w:cs="Arial"/>
                <w:i/>
              </w:rPr>
              <w:t>Sox17</w:t>
            </w:r>
            <w:r w:rsidRPr="008A0130">
              <w:rPr>
                <w:rFonts w:ascii="Book Antiqua" w:hAnsi="Book Antiqua" w:cs="Arial"/>
                <w:vertAlign w:val="superscript"/>
              </w:rPr>
              <w:t>[106,107,112,149]</w:t>
            </w:r>
          </w:p>
        </w:tc>
        <w:tc>
          <w:tcPr>
            <w:tcW w:w="4820" w:type="dxa"/>
            <w:shd w:val="clear" w:color="auto" w:fill="auto"/>
          </w:tcPr>
          <w:p w14:paraId="132149D7"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RUNX2</w:t>
            </w:r>
            <w:r w:rsidRPr="008A0130">
              <w:rPr>
                <w:rFonts w:ascii="Book Antiqua" w:hAnsi="Book Antiqua" w:cs="Arial"/>
                <w:vertAlign w:val="superscript"/>
              </w:rPr>
              <w:t>[159]</w:t>
            </w:r>
          </w:p>
        </w:tc>
      </w:tr>
      <w:tr w:rsidR="00CB6995" w:rsidRPr="008A0130" w14:paraId="3AF16D42" w14:textId="77777777" w:rsidTr="00821466">
        <w:trPr>
          <w:trHeight w:val="261"/>
        </w:trPr>
        <w:tc>
          <w:tcPr>
            <w:tcW w:w="4786" w:type="dxa"/>
            <w:shd w:val="clear" w:color="auto" w:fill="auto"/>
          </w:tcPr>
          <w:p w14:paraId="3765F2E2"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HSulf-1</w:t>
            </w:r>
            <w:r w:rsidRPr="008A0130">
              <w:rPr>
                <w:rFonts w:ascii="Book Antiqua" w:hAnsi="Book Antiqua" w:cs="Arial"/>
                <w:vertAlign w:val="superscript"/>
              </w:rPr>
              <w:t>[108]</w:t>
            </w:r>
          </w:p>
        </w:tc>
        <w:tc>
          <w:tcPr>
            <w:tcW w:w="4820" w:type="dxa"/>
            <w:shd w:val="clear" w:color="auto" w:fill="auto"/>
          </w:tcPr>
          <w:p w14:paraId="5D23A157"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b/>
              </w:rPr>
              <w:t>Inactivation by phosphorylation</w:t>
            </w:r>
          </w:p>
        </w:tc>
      </w:tr>
      <w:tr w:rsidR="00CB6995" w:rsidRPr="008A0130" w14:paraId="1A2CC081" w14:textId="77777777" w:rsidTr="00821466">
        <w:trPr>
          <w:trHeight w:val="261"/>
        </w:trPr>
        <w:tc>
          <w:tcPr>
            <w:tcW w:w="4786" w:type="dxa"/>
            <w:shd w:val="clear" w:color="auto" w:fill="auto"/>
          </w:tcPr>
          <w:p w14:paraId="5AF950F8"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RUNX3</w:t>
            </w:r>
            <w:r w:rsidRPr="008A0130">
              <w:rPr>
                <w:rFonts w:ascii="Book Antiqua" w:hAnsi="Book Antiqua" w:cs="Arial"/>
                <w:vertAlign w:val="superscript"/>
              </w:rPr>
              <w:t>[147]</w:t>
            </w:r>
          </w:p>
        </w:tc>
        <w:tc>
          <w:tcPr>
            <w:tcW w:w="4820" w:type="dxa"/>
            <w:shd w:val="clear" w:color="auto" w:fill="auto"/>
          </w:tcPr>
          <w:p w14:paraId="29A42BB0"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GSK3ß</w:t>
            </w:r>
            <w:r w:rsidRPr="008A0130">
              <w:rPr>
                <w:rFonts w:ascii="Book Antiqua" w:hAnsi="Book Antiqua" w:cs="Arial"/>
                <w:vertAlign w:val="superscript"/>
              </w:rPr>
              <w:t>[105]</w:t>
            </w:r>
          </w:p>
        </w:tc>
      </w:tr>
      <w:tr w:rsidR="00CB6995" w:rsidRPr="008A0130" w14:paraId="35D86DCB" w14:textId="77777777" w:rsidTr="00821466">
        <w:trPr>
          <w:trHeight w:val="261"/>
        </w:trPr>
        <w:tc>
          <w:tcPr>
            <w:tcW w:w="4786" w:type="dxa"/>
            <w:shd w:val="clear" w:color="auto" w:fill="auto"/>
          </w:tcPr>
          <w:p w14:paraId="41E1C5DE"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PRDM5</w:t>
            </w:r>
            <w:r w:rsidRPr="008A0130">
              <w:rPr>
                <w:rFonts w:ascii="Book Antiqua" w:hAnsi="Book Antiqua" w:cs="Arial"/>
                <w:vertAlign w:val="superscript"/>
              </w:rPr>
              <w:t>[152,153]</w:t>
            </w:r>
          </w:p>
        </w:tc>
        <w:tc>
          <w:tcPr>
            <w:tcW w:w="4820" w:type="dxa"/>
            <w:shd w:val="clear" w:color="auto" w:fill="auto"/>
          </w:tcPr>
          <w:p w14:paraId="0D70A78C"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b/>
              </w:rPr>
              <w:t>Inactivation by overexpression of EZH2</w:t>
            </w:r>
          </w:p>
        </w:tc>
      </w:tr>
      <w:tr w:rsidR="00CB6995" w:rsidRPr="008A0130" w14:paraId="1775B1A3" w14:textId="77777777" w:rsidTr="00821466">
        <w:trPr>
          <w:trHeight w:val="261"/>
        </w:trPr>
        <w:tc>
          <w:tcPr>
            <w:tcW w:w="4786" w:type="dxa"/>
            <w:shd w:val="clear" w:color="auto" w:fill="auto"/>
          </w:tcPr>
          <w:p w14:paraId="4AF8C69C"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RASSF10</w:t>
            </w:r>
            <w:r w:rsidRPr="008A0130">
              <w:rPr>
                <w:rFonts w:ascii="Book Antiqua" w:hAnsi="Book Antiqua" w:cs="Arial"/>
                <w:vertAlign w:val="superscript"/>
              </w:rPr>
              <w:t>[154]</w:t>
            </w:r>
          </w:p>
        </w:tc>
        <w:tc>
          <w:tcPr>
            <w:tcW w:w="4820" w:type="dxa"/>
            <w:shd w:val="clear" w:color="auto" w:fill="auto"/>
          </w:tcPr>
          <w:p w14:paraId="44E81B8C"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CXXC4</w:t>
            </w:r>
            <w:r w:rsidRPr="008A0130">
              <w:rPr>
                <w:rFonts w:ascii="Book Antiqua" w:hAnsi="Book Antiqua" w:cs="Arial"/>
                <w:vertAlign w:val="superscript"/>
              </w:rPr>
              <w:t>[81]</w:t>
            </w:r>
          </w:p>
        </w:tc>
      </w:tr>
      <w:tr w:rsidR="00CB6995" w:rsidRPr="008A0130" w14:paraId="69588BCF" w14:textId="77777777" w:rsidTr="00821466">
        <w:trPr>
          <w:trHeight w:val="261"/>
        </w:trPr>
        <w:tc>
          <w:tcPr>
            <w:tcW w:w="4786" w:type="dxa"/>
            <w:shd w:val="clear" w:color="auto" w:fill="auto"/>
          </w:tcPr>
          <w:p w14:paraId="192C83A6"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OSR1</w:t>
            </w:r>
            <w:r w:rsidRPr="008A0130">
              <w:rPr>
                <w:rFonts w:ascii="Book Antiqua" w:hAnsi="Book Antiqua" w:cs="Arial"/>
                <w:vertAlign w:val="superscript"/>
              </w:rPr>
              <w:t>[111,112]</w:t>
            </w:r>
          </w:p>
        </w:tc>
        <w:tc>
          <w:tcPr>
            <w:tcW w:w="4820" w:type="dxa"/>
            <w:shd w:val="clear" w:color="auto" w:fill="auto"/>
          </w:tcPr>
          <w:p w14:paraId="5BC32B14"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b/>
              </w:rPr>
              <w:t>Other or undefined mechanisms</w:t>
            </w:r>
          </w:p>
        </w:tc>
      </w:tr>
      <w:tr w:rsidR="00CB6995" w:rsidRPr="008A0130" w14:paraId="28641175" w14:textId="77777777" w:rsidTr="00821466">
        <w:trPr>
          <w:trHeight w:val="261"/>
        </w:trPr>
        <w:tc>
          <w:tcPr>
            <w:tcW w:w="4786" w:type="dxa"/>
            <w:shd w:val="clear" w:color="auto" w:fill="auto"/>
          </w:tcPr>
          <w:p w14:paraId="04F87379" w14:textId="77777777" w:rsidR="00CB6995" w:rsidRPr="008A0130" w:rsidRDefault="00CB6995" w:rsidP="008A0130">
            <w:pPr>
              <w:spacing w:line="360" w:lineRule="auto"/>
              <w:jc w:val="both"/>
              <w:rPr>
                <w:rFonts w:ascii="Book Antiqua" w:hAnsi="Book Antiqua" w:cs="Arial"/>
                <w:b/>
              </w:rPr>
            </w:pPr>
            <w:r w:rsidRPr="008A0130">
              <w:rPr>
                <w:rFonts w:ascii="Book Antiqua" w:hAnsi="Book Antiqua" w:cs="Arial"/>
                <w:b/>
              </w:rPr>
              <w:t>Inactivation by protein mislocalization</w:t>
            </w:r>
          </w:p>
        </w:tc>
        <w:tc>
          <w:tcPr>
            <w:tcW w:w="4820" w:type="dxa"/>
            <w:shd w:val="clear" w:color="auto" w:fill="auto"/>
          </w:tcPr>
          <w:p w14:paraId="4A729251"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Sox7</w:t>
            </w:r>
            <w:r w:rsidRPr="008A0130">
              <w:rPr>
                <w:rFonts w:ascii="Book Antiqua" w:hAnsi="Book Antiqua" w:cs="Arial"/>
                <w:vertAlign w:val="superscript"/>
              </w:rPr>
              <w:t>[113]</w:t>
            </w:r>
          </w:p>
        </w:tc>
      </w:tr>
      <w:tr w:rsidR="00CB6995" w:rsidRPr="008A0130" w14:paraId="33651B81" w14:textId="77777777" w:rsidTr="00821466">
        <w:trPr>
          <w:trHeight w:val="261"/>
        </w:trPr>
        <w:tc>
          <w:tcPr>
            <w:tcW w:w="4786" w:type="dxa"/>
            <w:shd w:val="clear" w:color="auto" w:fill="auto"/>
          </w:tcPr>
          <w:p w14:paraId="21FE7BCA"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lastRenderedPageBreak/>
              <w:t>RUNX3</w:t>
            </w:r>
            <w:r w:rsidRPr="008A0130">
              <w:rPr>
                <w:rFonts w:ascii="Book Antiqua" w:hAnsi="Book Antiqua" w:cs="Arial"/>
                <w:vertAlign w:val="superscript"/>
              </w:rPr>
              <w:t>[147]</w:t>
            </w:r>
          </w:p>
        </w:tc>
        <w:tc>
          <w:tcPr>
            <w:tcW w:w="4820" w:type="dxa"/>
            <w:shd w:val="clear" w:color="auto" w:fill="auto"/>
          </w:tcPr>
          <w:p w14:paraId="3ADFB665"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RACK1</w:t>
            </w:r>
            <w:r w:rsidRPr="008A0130">
              <w:rPr>
                <w:rFonts w:ascii="Book Antiqua" w:hAnsi="Book Antiqua" w:cs="Arial"/>
                <w:vertAlign w:val="superscript"/>
              </w:rPr>
              <w:t>[109]</w:t>
            </w:r>
          </w:p>
        </w:tc>
      </w:tr>
      <w:tr w:rsidR="00CB6995" w:rsidRPr="008A0130" w14:paraId="3CD912E5" w14:textId="77777777" w:rsidTr="00821466">
        <w:trPr>
          <w:trHeight w:val="261"/>
        </w:trPr>
        <w:tc>
          <w:tcPr>
            <w:tcW w:w="4786" w:type="dxa"/>
            <w:shd w:val="clear" w:color="auto" w:fill="auto"/>
          </w:tcPr>
          <w:p w14:paraId="48DD0366" w14:textId="77777777" w:rsidR="00CB6995" w:rsidRPr="008A0130" w:rsidRDefault="00CB6995" w:rsidP="008A0130">
            <w:pPr>
              <w:spacing w:line="360" w:lineRule="auto"/>
              <w:jc w:val="both"/>
              <w:rPr>
                <w:rFonts w:ascii="Book Antiqua" w:hAnsi="Book Antiqua" w:cs="Arial"/>
                <w:b/>
              </w:rPr>
            </w:pPr>
            <w:r w:rsidRPr="008A0130">
              <w:rPr>
                <w:rFonts w:ascii="Book Antiqua" w:hAnsi="Book Antiqua" w:cs="Arial"/>
                <w:b/>
              </w:rPr>
              <w:t xml:space="preserve">Inactivation by </w:t>
            </w:r>
            <w:r w:rsidRPr="008A0130">
              <w:rPr>
                <w:rFonts w:ascii="Book Antiqua" w:hAnsi="Book Antiqua" w:cs="Arial"/>
                <w:b/>
                <w:i/>
              </w:rPr>
              <w:t>H. pylori</w:t>
            </w:r>
            <w:r w:rsidRPr="008A0130">
              <w:rPr>
                <w:rFonts w:ascii="Book Antiqua" w:hAnsi="Book Antiqua" w:cs="Arial"/>
                <w:b/>
              </w:rPr>
              <w:t xml:space="preserve"> virulence factor</w:t>
            </w:r>
          </w:p>
        </w:tc>
        <w:tc>
          <w:tcPr>
            <w:tcW w:w="4820" w:type="dxa"/>
            <w:shd w:val="clear" w:color="auto" w:fill="auto"/>
          </w:tcPr>
          <w:p w14:paraId="61D82A3B" w14:textId="77777777" w:rsidR="00CB6995" w:rsidRPr="008A0130" w:rsidRDefault="00CB6995" w:rsidP="008A0130">
            <w:pPr>
              <w:spacing w:line="360" w:lineRule="auto"/>
              <w:jc w:val="both"/>
              <w:rPr>
                <w:rFonts w:ascii="Book Antiqua" w:hAnsi="Book Antiqua" w:cs="Arial"/>
                <w:b/>
                <w:i/>
              </w:rPr>
            </w:pPr>
            <w:r w:rsidRPr="008A0130">
              <w:rPr>
                <w:rFonts w:ascii="Book Antiqua" w:hAnsi="Book Antiqua" w:cs="Arial"/>
                <w:i/>
              </w:rPr>
              <w:t>ZNRF3</w:t>
            </w:r>
            <w:r w:rsidRPr="008A0130">
              <w:rPr>
                <w:rFonts w:ascii="Book Antiqua" w:hAnsi="Book Antiqua" w:cs="Arial"/>
                <w:vertAlign w:val="superscript"/>
              </w:rPr>
              <w:t>[110]</w:t>
            </w:r>
          </w:p>
        </w:tc>
      </w:tr>
      <w:tr w:rsidR="00CB6995" w:rsidRPr="008A0130" w14:paraId="3EF6E19C" w14:textId="77777777" w:rsidTr="00821466">
        <w:trPr>
          <w:trHeight w:val="261"/>
        </w:trPr>
        <w:tc>
          <w:tcPr>
            <w:tcW w:w="4786" w:type="dxa"/>
            <w:shd w:val="clear" w:color="auto" w:fill="auto"/>
          </w:tcPr>
          <w:p w14:paraId="6EB69F86"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RNF138</w:t>
            </w:r>
            <w:r w:rsidRPr="008A0130">
              <w:rPr>
                <w:rFonts w:ascii="Book Antiqua" w:hAnsi="Book Antiqua" w:cs="Arial"/>
                <w:vertAlign w:val="superscript"/>
              </w:rPr>
              <w:t>[226,227]</w:t>
            </w:r>
          </w:p>
        </w:tc>
        <w:tc>
          <w:tcPr>
            <w:tcW w:w="4820" w:type="dxa"/>
            <w:shd w:val="clear" w:color="auto" w:fill="auto"/>
          </w:tcPr>
          <w:p w14:paraId="6F12CAB1"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CHD8</w:t>
            </w:r>
            <w:r w:rsidRPr="008A0130">
              <w:rPr>
                <w:rFonts w:ascii="Book Antiqua" w:hAnsi="Book Antiqua" w:cs="Arial"/>
                <w:vertAlign w:val="superscript"/>
              </w:rPr>
              <w:t>[131]</w:t>
            </w:r>
          </w:p>
        </w:tc>
      </w:tr>
      <w:tr w:rsidR="00CB6995" w:rsidRPr="008A0130" w14:paraId="63D1255B" w14:textId="77777777" w:rsidTr="00821466">
        <w:trPr>
          <w:trHeight w:val="261"/>
        </w:trPr>
        <w:tc>
          <w:tcPr>
            <w:tcW w:w="4786" w:type="dxa"/>
            <w:shd w:val="clear" w:color="auto" w:fill="auto"/>
          </w:tcPr>
          <w:p w14:paraId="2039FA83" w14:textId="77777777" w:rsidR="00CB6995" w:rsidRPr="008A0130" w:rsidRDefault="00CB6995" w:rsidP="008A0130">
            <w:pPr>
              <w:spacing w:line="360" w:lineRule="auto"/>
              <w:jc w:val="both"/>
              <w:rPr>
                <w:rFonts w:ascii="Book Antiqua" w:hAnsi="Book Antiqua" w:cs="Arial"/>
              </w:rPr>
            </w:pPr>
            <w:r w:rsidRPr="008A0130">
              <w:rPr>
                <w:rFonts w:ascii="Book Antiqua" w:hAnsi="Book Antiqua" w:cs="Arial"/>
                <w:b/>
              </w:rPr>
              <w:t>Deletion or mutation</w:t>
            </w:r>
          </w:p>
        </w:tc>
        <w:tc>
          <w:tcPr>
            <w:tcW w:w="4820" w:type="dxa"/>
            <w:shd w:val="clear" w:color="auto" w:fill="auto"/>
          </w:tcPr>
          <w:p w14:paraId="6B4C2916"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PLA2G2A</w:t>
            </w:r>
            <w:r w:rsidRPr="008A0130">
              <w:rPr>
                <w:rFonts w:ascii="Book Antiqua" w:hAnsi="Book Antiqua" w:cs="Arial"/>
                <w:vertAlign w:val="superscript"/>
              </w:rPr>
              <w:t>[205]</w:t>
            </w:r>
          </w:p>
        </w:tc>
      </w:tr>
      <w:tr w:rsidR="00CB6995" w:rsidRPr="008A0130" w14:paraId="01152B6F" w14:textId="77777777" w:rsidTr="00821466">
        <w:trPr>
          <w:trHeight w:val="261"/>
        </w:trPr>
        <w:tc>
          <w:tcPr>
            <w:tcW w:w="4786" w:type="dxa"/>
            <w:shd w:val="clear" w:color="auto" w:fill="auto"/>
          </w:tcPr>
          <w:p w14:paraId="6992F158" w14:textId="77777777" w:rsidR="00CB6995" w:rsidRPr="008A0130" w:rsidRDefault="00CB6995" w:rsidP="008A0130">
            <w:pPr>
              <w:spacing w:line="360" w:lineRule="auto"/>
              <w:jc w:val="both"/>
              <w:rPr>
                <w:rFonts w:ascii="Book Antiqua" w:hAnsi="Book Antiqua" w:cs="Arial"/>
              </w:rPr>
            </w:pPr>
            <w:r w:rsidRPr="008A0130">
              <w:rPr>
                <w:rFonts w:ascii="Book Antiqua" w:hAnsi="Book Antiqua" w:cs="Arial"/>
                <w:i/>
              </w:rPr>
              <w:t>APC</w:t>
            </w:r>
            <w:r w:rsidRPr="008A0130">
              <w:rPr>
                <w:rFonts w:ascii="Book Antiqua" w:hAnsi="Book Antiqua" w:cs="Arial"/>
                <w:vertAlign w:val="superscript"/>
              </w:rPr>
              <w:t>[92,104,133-137]</w:t>
            </w:r>
          </w:p>
        </w:tc>
        <w:tc>
          <w:tcPr>
            <w:tcW w:w="4820" w:type="dxa"/>
            <w:shd w:val="clear" w:color="auto" w:fill="auto"/>
          </w:tcPr>
          <w:p w14:paraId="45419C47"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has-miR-148a</w:t>
            </w:r>
            <w:r w:rsidRPr="008A0130">
              <w:rPr>
                <w:rFonts w:ascii="Book Antiqua" w:hAnsi="Book Antiqua" w:cs="Arial"/>
                <w:vertAlign w:val="superscript"/>
              </w:rPr>
              <w:t>[165]</w:t>
            </w:r>
          </w:p>
        </w:tc>
      </w:tr>
      <w:tr w:rsidR="00CB6995" w:rsidRPr="008A0130" w14:paraId="1BCB2C22" w14:textId="77777777" w:rsidTr="00821466">
        <w:trPr>
          <w:trHeight w:val="261"/>
        </w:trPr>
        <w:tc>
          <w:tcPr>
            <w:tcW w:w="4786" w:type="dxa"/>
            <w:shd w:val="clear" w:color="auto" w:fill="auto"/>
          </w:tcPr>
          <w:p w14:paraId="242FFA6C" w14:textId="77777777" w:rsidR="00CB6995" w:rsidRPr="008A0130" w:rsidRDefault="00CB6995" w:rsidP="008A0130">
            <w:pPr>
              <w:spacing w:line="360" w:lineRule="auto"/>
              <w:jc w:val="both"/>
              <w:rPr>
                <w:rFonts w:ascii="Book Antiqua" w:hAnsi="Book Antiqua" w:cs="Arial"/>
              </w:rPr>
            </w:pPr>
            <w:r w:rsidRPr="008A0130">
              <w:rPr>
                <w:rFonts w:ascii="Book Antiqua" w:hAnsi="Book Antiqua" w:cs="Arial"/>
                <w:i/>
              </w:rPr>
              <w:t>GSK3ß</w:t>
            </w:r>
            <w:r w:rsidRPr="008A0130">
              <w:rPr>
                <w:rFonts w:ascii="Book Antiqua" w:hAnsi="Book Antiqua" w:cs="Arial"/>
                <w:vertAlign w:val="superscript"/>
              </w:rPr>
              <w:t>[104]</w:t>
            </w:r>
          </w:p>
        </w:tc>
        <w:tc>
          <w:tcPr>
            <w:tcW w:w="4820" w:type="dxa"/>
            <w:shd w:val="clear" w:color="auto" w:fill="auto"/>
          </w:tcPr>
          <w:p w14:paraId="5FA6C472"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miR-193b</w:t>
            </w:r>
            <w:r w:rsidRPr="008A0130">
              <w:rPr>
                <w:rFonts w:ascii="Book Antiqua" w:hAnsi="Book Antiqua" w:cs="Arial"/>
                <w:vertAlign w:val="superscript"/>
              </w:rPr>
              <w:t>[163]</w:t>
            </w:r>
          </w:p>
        </w:tc>
      </w:tr>
      <w:tr w:rsidR="00CB6995" w:rsidRPr="008A0130" w14:paraId="3EF29EF4" w14:textId="77777777" w:rsidTr="00821466">
        <w:trPr>
          <w:trHeight w:val="261"/>
        </w:trPr>
        <w:tc>
          <w:tcPr>
            <w:tcW w:w="4786" w:type="dxa"/>
            <w:shd w:val="clear" w:color="auto" w:fill="auto"/>
          </w:tcPr>
          <w:p w14:paraId="5C68E6EC" w14:textId="77777777" w:rsidR="00CB6995" w:rsidRPr="008A0130" w:rsidRDefault="00CB6995" w:rsidP="008A0130">
            <w:pPr>
              <w:spacing w:line="360" w:lineRule="auto"/>
              <w:jc w:val="both"/>
              <w:rPr>
                <w:rFonts w:ascii="Book Antiqua" w:hAnsi="Book Antiqua" w:cs="Arial"/>
              </w:rPr>
            </w:pPr>
            <w:r w:rsidRPr="008A0130">
              <w:rPr>
                <w:rFonts w:ascii="Book Antiqua" w:hAnsi="Book Antiqua" w:cs="Arial"/>
                <w:i/>
              </w:rPr>
              <w:t>ß-TrCP</w:t>
            </w:r>
            <w:r w:rsidRPr="008A0130">
              <w:rPr>
                <w:rFonts w:ascii="Book Antiqua" w:hAnsi="Book Antiqua" w:cs="Arial"/>
                <w:vertAlign w:val="superscript"/>
              </w:rPr>
              <w:t>[142]</w:t>
            </w:r>
          </w:p>
        </w:tc>
        <w:tc>
          <w:tcPr>
            <w:tcW w:w="4820" w:type="dxa"/>
            <w:shd w:val="clear" w:color="auto" w:fill="auto"/>
          </w:tcPr>
          <w:p w14:paraId="3F6FCC05" w14:textId="77777777" w:rsidR="00CB6995" w:rsidRPr="008A0130" w:rsidRDefault="00CB6995" w:rsidP="008A0130">
            <w:pPr>
              <w:spacing w:line="360" w:lineRule="auto"/>
              <w:jc w:val="both"/>
              <w:rPr>
                <w:rFonts w:ascii="Book Antiqua" w:hAnsi="Book Antiqua" w:cs="Arial"/>
                <w:i/>
              </w:rPr>
            </w:pPr>
            <w:r w:rsidRPr="008A0130">
              <w:rPr>
                <w:rFonts w:ascii="Book Antiqua" w:hAnsi="Book Antiqua" w:cs="Arial"/>
                <w:i/>
              </w:rPr>
              <w:t>miR-200a</w:t>
            </w:r>
            <w:r w:rsidRPr="008A0130">
              <w:rPr>
                <w:rFonts w:ascii="Book Antiqua" w:hAnsi="Book Antiqua" w:cs="Arial"/>
                <w:vertAlign w:val="superscript"/>
              </w:rPr>
              <w:t>[176,177]</w:t>
            </w:r>
          </w:p>
        </w:tc>
      </w:tr>
      <w:tr w:rsidR="00CB6995" w:rsidRPr="008A0130" w14:paraId="60FB1A97" w14:textId="77777777" w:rsidTr="00821466">
        <w:trPr>
          <w:trHeight w:val="261"/>
        </w:trPr>
        <w:tc>
          <w:tcPr>
            <w:tcW w:w="4786" w:type="dxa"/>
            <w:shd w:val="clear" w:color="auto" w:fill="auto"/>
          </w:tcPr>
          <w:p w14:paraId="7CC8C6E3" w14:textId="77777777" w:rsidR="00CB6995" w:rsidRPr="008A0130" w:rsidRDefault="00CB6995" w:rsidP="008A0130">
            <w:pPr>
              <w:spacing w:line="360" w:lineRule="auto"/>
              <w:jc w:val="both"/>
              <w:rPr>
                <w:rFonts w:ascii="Book Antiqua" w:hAnsi="Book Antiqua" w:cs="Arial"/>
              </w:rPr>
            </w:pPr>
            <w:r w:rsidRPr="008A0130">
              <w:rPr>
                <w:rFonts w:ascii="Book Antiqua" w:hAnsi="Book Antiqua" w:cs="Arial"/>
                <w:i/>
              </w:rPr>
              <w:t>AXIN1, AXIN2</w:t>
            </w:r>
            <w:r w:rsidRPr="008A0130">
              <w:rPr>
                <w:rFonts w:ascii="Book Antiqua" w:hAnsi="Book Antiqua" w:cs="Arial"/>
                <w:vertAlign w:val="superscript"/>
              </w:rPr>
              <w:t>[90,91]</w:t>
            </w:r>
          </w:p>
        </w:tc>
        <w:tc>
          <w:tcPr>
            <w:tcW w:w="4820" w:type="dxa"/>
            <w:shd w:val="clear" w:color="auto" w:fill="auto"/>
          </w:tcPr>
          <w:p w14:paraId="3D82E0E9" w14:textId="77777777" w:rsidR="00CB6995" w:rsidRPr="008A0130" w:rsidRDefault="00CB6995" w:rsidP="008A0130">
            <w:pPr>
              <w:spacing w:line="360" w:lineRule="auto"/>
              <w:jc w:val="both"/>
              <w:rPr>
                <w:rFonts w:ascii="Book Antiqua" w:hAnsi="Book Antiqua" w:cs="Arial"/>
                <w:i/>
              </w:rPr>
            </w:pPr>
          </w:p>
        </w:tc>
      </w:tr>
      <w:tr w:rsidR="00CB6995" w:rsidRPr="008A0130" w14:paraId="1E707742" w14:textId="77777777" w:rsidTr="00821466">
        <w:trPr>
          <w:trHeight w:val="261"/>
        </w:trPr>
        <w:tc>
          <w:tcPr>
            <w:tcW w:w="4786" w:type="dxa"/>
            <w:shd w:val="clear" w:color="auto" w:fill="auto"/>
          </w:tcPr>
          <w:p w14:paraId="1C380BCB" w14:textId="77777777" w:rsidR="00CB6995" w:rsidRPr="008A0130" w:rsidRDefault="00CB6995" w:rsidP="008A0130">
            <w:pPr>
              <w:spacing w:line="360" w:lineRule="auto"/>
              <w:jc w:val="both"/>
              <w:rPr>
                <w:rFonts w:ascii="Book Antiqua" w:hAnsi="Book Antiqua" w:cs="Arial"/>
                <w:i/>
              </w:rPr>
            </w:pPr>
          </w:p>
        </w:tc>
        <w:tc>
          <w:tcPr>
            <w:tcW w:w="4820" w:type="dxa"/>
            <w:shd w:val="clear" w:color="auto" w:fill="auto"/>
          </w:tcPr>
          <w:p w14:paraId="2D2924AB" w14:textId="77777777" w:rsidR="00CB6995" w:rsidRPr="008A0130" w:rsidRDefault="00CB6995" w:rsidP="008A0130">
            <w:pPr>
              <w:spacing w:line="360" w:lineRule="auto"/>
              <w:jc w:val="both"/>
              <w:rPr>
                <w:rFonts w:ascii="Book Antiqua" w:hAnsi="Book Antiqua" w:cs="Arial"/>
                <w:i/>
              </w:rPr>
            </w:pPr>
          </w:p>
        </w:tc>
      </w:tr>
    </w:tbl>
    <w:p w14:paraId="59C9952C" w14:textId="460D7CE3" w:rsidR="00ED7EDD" w:rsidRPr="008A0130" w:rsidRDefault="00ED7EDD" w:rsidP="008A0130">
      <w:pPr>
        <w:spacing w:line="360" w:lineRule="auto"/>
        <w:jc w:val="both"/>
        <w:rPr>
          <w:rFonts w:ascii="Book Antiqua" w:hAnsi="Book Antiqua"/>
          <w:b/>
          <w:noProof/>
        </w:rPr>
      </w:pPr>
      <w:r w:rsidRPr="008A0130">
        <w:rPr>
          <w:rFonts w:ascii="Book Antiqua" w:hAnsi="Book Antiqua" w:cs="Times New Roman"/>
        </w:rPr>
        <w:t>APC</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A</w:t>
      </w:r>
      <w:r w:rsidRPr="008A0130">
        <w:rPr>
          <w:rFonts w:ascii="Book Antiqua" w:hAnsi="Book Antiqua" w:cs="Times New Roman"/>
        </w:rPr>
        <w:t>denomatous polyposis coli; AXIN</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Axis inhibition protein; ß-TrCP</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Beta-transducin repeats-containing protein; CDH</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C</w:t>
      </w:r>
      <w:r w:rsidRPr="008A0130">
        <w:rPr>
          <w:rFonts w:ascii="Book Antiqua" w:hAnsi="Book Antiqua" w:cs="Times New Roman"/>
        </w:rPr>
        <w:t>adherin; CHD</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C</w:t>
      </w:r>
      <w:r w:rsidRPr="008A0130">
        <w:rPr>
          <w:rFonts w:ascii="Book Antiqua" w:hAnsi="Book Antiqua" w:cs="Times New Roman"/>
        </w:rPr>
        <w:t>hromodomain helicase DNA binding protein; CTNNB1</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C</w:t>
      </w:r>
      <w:r w:rsidRPr="008A0130">
        <w:rPr>
          <w:rFonts w:ascii="Book Antiqua" w:hAnsi="Book Antiqua" w:cs="Times New Roman"/>
        </w:rPr>
        <w:t>adherin-associated protein (ß-catenin); CXXC</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CXXC finger protein; Dkk</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Dickkopf; Fzd</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hyperlink r:id="rId54" w:tooltip="Frizzled" w:history="1">
        <w:r w:rsidR="00821466" w:rsidRPr="008A0130">
          <w:rPr>
            <w:rFonts w:ascii="Book Antiqua" w:hAnsi="Book Antiqua" w:cs="Times New Roman"/>
          </w:rPr>
          <w:t>F</w:t>
        </w:r>
        <w:r w:rsidRPr="008A0130">
          <w:rPr>
            <w:rFonts w:ascii="Book Antiqua" w:hAnsi="Book Antiqua" w:cs="Times New Roman"/>
          </w:rPr>
          <w:t>rizzled</w:t>
        </w:r>
      </w:hyperlink>
      <w:r w:rsidRPr="008A0130">
        <w:rPr>
          <w:rFonts w:ascii="Book Antiqua" w:hAnsi="Book Antiqua" w:cs="Times New Roman"/>
        </w:rPr>
        <w:t>;</w:t>
      </w:r>
      <w:r w:rsidRPr="008A0130">
        <w:rPr>
          <w:rFonts w:ascii="Book Antiqua" w:eastAsia="Times New Roman" w:hAnsi="Book Antiqua" w:cs="Times New Roman"/>
          <w:lang w:val="es-ES_tradnl"/>
        </w:rPr>
        <w:t> </w:t>
      </w:r>
      <w:r w:rsidRPr="008A0130">
        <w:rPr>
          <w:rFonts w:ascii="Book Antiqua" w:hAnsi="Book Antiqua" w:cs="Times New Roman"/>
        </w:rPr>
        <w:t>EZF</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E</w:t>
      </w:r>
      <w:r w:rsidRPr="008A0130">
        <w:rPr>
          <w:rFonts w:ascii="Book Antiqua" w:hAnsi="Book Antiqua" w:cs="Times New Roman"/>
        </w:rPr>
        <w:t>ndothelial zinc finger; EZH2</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Histone-lysine N-methyltransferase; GSK3</w:t>
      </w:r>
      <w:r w:rsidRPr="008A0130">
        <w:rPr>
          <w:rFonts w:ascii="Book Antiqua" w:hAnsi="Book Antiqua" w:cs="Arial"/>
        </w:rPr>
        <w:t>ß</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G</w:t>
      </w:r>
      <w:r w:rsidRPr="008A0130">
        <w:rPr>
          <w:rFonts w:ascii="Book Antiqua" w:hAnsi="Book Antiqua" w:cs="Times New Roman"/>
        </w:rPr>
        <w:t>lycogen synthase kinase-3</w:t>
      </w:r>
      <w:r w:rsidRPr="008A0130">
        <w:rPr>
          <w:rFonts w:ascii="Book Antiqua" w:hAnsi="Book Antiqua" w:cs="Arial"/>
        </w:rPr>
        <w:t>ß</w:t>
      </w:r>
      <w:r w:rsidRPr="008A0130">
        <w:rPr>
          <w:rFonts w:ascii="Book Antiqua" w:hAnsi="Book Antiqua" w:cs="Times New Roman"/>
        </w:rPr>
        <w:t>; HIPK</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H</w:t>
      </w:r>
      <w:r w:rsidRPr="008A0130">
        <w:rPr>
          <w:rFonts w:ascii="Book Antiqua" w:hAnsi="Book Antiqua" w:cs="Times New Roman"/>
        </w:rPr>
        <w:t>omeodomain interacting protein kinase; HMGA2</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High-mobility group AT-hook; HSulf</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Human endosulfatase; LRP</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L</w:t>
      </w:r>
      <w:r w:rsidRPr="008A0130">
        <w:rPr>
          <w:rFonts w:ascii="Book Antiqua" w:hAnsi="Book Antiqua" w:cs="Times New Roman"/>
        </w:rPr>
        <w:t>ow density lipoprotein receptor-related protein; NKD</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N</w:t>
      </w:r>
      <w:r w:rsidRPr="008A0130">
        <w:rPr>
          <w:rFonts w:ascii="Book Antiqua" w:hAnsi="Book Antiqua" w:cs="Times New Roman"/>
        </w:rPr>
        <w:t>aked cuticle homolog; OSR</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O</w:t>
      </w:r>
      <w:r w:rsidRPr="008A0130">
        <w:rPr>
          <w:rFonts w:ascii="Book Antiqua" w:hAnsi="Book Antiqua" w:cs="Times New Roman"/>
        </w:rPr>
        <w:t>dd-skipped-related; PLA2GA2</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P</w:t>
      </w:r>
      <w:r w:rsidRPr="008A0130">
        <w:rPr>
          <w:rFonts w:ascii="Book Antiqua" w:hAnsi="Book Antiqua" w:cs="Times New Roman"/>
        </w:rPr>
        <w:t>hospholipase A2</w:t>
      </w:r>
      <w:r w:rsidRPr="008A0130">
        <w:rPr>
          <w:rFonts w:ascii="Book Antiqua" w:eastAsia="Times New Roman" w:hAnsi="Book Antiqua" w:cs="Times New Roman"/>
          <w:lang w:val="es-ES_tradnl"/>
        </w:rPr>
        <w:t xml:space="preserve">; </w:t>
      </w:r>
      <w:r w:rsidRPr="008A0130">
        <w:rPr>
          <w:rFonts w:ascii="Book Antiqua" w:hAnsi="Book Antiqua" w:cs="Times New Roman"/>
        </w:rPr>
        <w:t>PPN</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P</w:t>
      </w:r>
      <w:r w:rsidRPr="008A0130">
        <w:rPr>
          <w:rFonts w:ascii="Book Antiqua" w:hAnsi="Book Antiqua" w:cs="Times New Roman"/>
        </w:rPr>
        <w:t>almitoyltransferase porcupine; PRDM</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PR domain containing; RACK: Receptor for Activated C Kinase; RAFFS</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Ras association domain family; RNF</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R</w:t>
      </w:r>
      <w:r w:rsidRPr="008A0130">
        <w:rPr>
          <w:rFonts w:ascii="Book Antiqua" w:hAnsi="Book Antiqua" w:cs="Times New Roman"/>
        </w:rPr>
        <w:t>ing finger protein; RUNX</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Runt-related transcription factor 3; sFRP</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S</w:t>
      </w:r>
      <w:r w:rsidRPr="008A0130">
        <w:rPr>
          <w:rFonts w:ascii="Book Antiqua" w:hAnsi="Book Antiqua" w:cs="Times New Roman"/>
        </w:rPr>
        <w:t>ecreted frizzled-related protein; SOX</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Sry-related HMG box; TCF7L2</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Transcription factor 7-like 2; WIF</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Wnt inhibitory factor;</w:t>
      </w:r>
      <w:r w:rsidRPr="008A0130">
        <w:rPr>
          <w:rFonts w:ascii="MS Mincho" w:eastAsia="MS Mincho" w:hAnsi="MS Mincho" w:cs="MS Mincho" w:hint="eastAsia"/>
        </w:rPr>
        <w:t> </w:t>
      </w:r>
      <w:r w:rsidRPr="008A0130">
        <w:rPr>
          <w:rFonts w:ascii="Book Antiqua" w:hAnsi="Book Antiqua" w:cs="Times New Roman"/>
        </w:rPr>
        <w:t>Wnt</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Wingless-type; YY1</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Ying Yang 1; ZNRF</w:t>
      </w:r>
      <w:r w:rsidR="00821466" w:rsidRPr="008A0130">
        <w:rPr>
          <w:rFonts w:ascii="Book Antiqua" w:eastAsia="宋体" w:hAnsi="Book Antiqua" w:cs="Times New Roman" w:hint="eastAsia"/>
          <w:lang w:eastAsia="zh-CN"/>
        </w:rPr>
        <w:t>:</w:t>
      </w:r>
      <w:r w:rsidRPr="008A0130">
        <w:rPr>
          <w:rFonts w:ascii="Book Antiqua" w:hAnsi="Book Antiqua" w:cs="Times New Roman"/>
        </w:rPr>
        <w:t xml:space="preserve"> </w:t>
      </w:r>
      <w:r w:rsidR="00821466" w:rsidRPr="008A0130">
        <w:rPr>
          <w:rFonts w:ascii="Book Antiqua" w:hAnsi="Book Antiqua" w:cs="Times New Roman"/>
        </w:rPr>
        <w:t>Z</w:t>
      </w:r>
      <w:r w:rsidRPr="008A0130">
        <w:rPr>
          <w:rFonts w:ascii="Book Antiqua" w:hAnsi="Book Antiqua" w:cs="Times New Roman"/>
        </w:rPr>
        <w:t>inc and ring finger.</w:t>
      </w:r>
    </w:p>
    <w:p w14:paraId="256C9BD1" w14:textId="77777777" w:rsidR="00ED7EDD" w:rsidRPr="008A0130" w:rsidRDefault="00ED7EDD" w:rsidP="008A0130">
      <w:pPr>
        <w:autoSpaceDE w:val="0"/>
        <w:autoSpaceDN w:val="0"/>
        <w:adjustRightInd w:val="0"/>
        <w:spacing w:line="360" w:lineRule="auto"/>
        <w:jc w:val="both"/>
        <w:rPr>
          <w:rFonts w:ascii="Book Antiqua" w:hAnsi="Book Antiqua"/>
          <w:b/>
          <w:noProof/>
        </w:rPr>
      </w:pPr>
    </w:p>
    <w:p w14:paraId="0450063E" w14:textId="3235A5FE" w:rsidR="00ED7EDD" w:rsidRPr="008A0130" w:rsidRDefault="00821466" w:rsidP="008A0130">
      <w:pPr>
        <w:autoSpaceDE w:val="0"/>
        <w:autoSpaceDN w:val="0"/>
        <w:adjustRightInd w:val="0"/>
        <w:spacing w:line="360" w:lineRule="auto"/>
        <w:jc w:val="both"/>
        <w:rPr>
          <w:rFonts w:ascii="Book Antiqua" w:hAnsi="Book Antiqua"/>
          <w:b/>
          <w:noProof/>
        </w:rPr>
      </w:pPr>
      <w:r w:rsidRPr="008A0130">
        <w:rPr>
          <w:rFonts w:ascii="Book Antiqua" w:hAnsi="Book Antiqua"/>
          <w:b/>
          <w:noProof/>
        </w:rPr>
        <w:lastRenderedPageBreak/>
        <w:drawing>
          <wp:inline distT="0" distB="0" distL="0" distR="0" wp14:anchorId="6912BA8B" wp14:editId="78D778A5">
            <wp:extent cx="5486400" cy="6309058"/>
            <wp:effectExtent l="0" t="0" r="0" b="0"/>
            <wp:docPr id="1" name="图片 1" descr="E:\宋秀霞\新期刊\修回稿\已编辑，给作者发信修改\作者改回\14444\Figure 1_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已编辑，给作者发信修改\作者改回\14444\Figure 1_revised.t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6309058"/>
                    </a:xfrm>
                    <a:prstGeom prst="rect">
                      <a:avLst/>
                    </a:prstGeom>
                    <a:noFill/>
                    <a:ln>
                      <a:noFill/>
                    </a:ln>
                  </pic:spPr>
                </pic:pic>
              </a:graphicData>
            </a:graphic>
          </wp:inline>
        </w:drawing>
      </w:r>
    </w:p>
    <w:p w14:paraId="7B4CA7F2" w14:textId="0A42B3FE" w:rsidR="00F93366" w:rsidRPr="008A0130" w:rsidRDefault="00821466" w:rsidP="008A0130">
      <w:pPr>
        <w:autoSpaceDE w:val="0"/>
        <w:autoSpaceDN w:val="0"/>
        <w:adjustRightInd w:val="0"/>
        <w:spacing w:line="360" w:lineRule="auto"/>
        <w:jc w:val="both"/>
        <w:rPr>
          <w:rFonts w:ascii="Book Antiqua" w:eastAsia="宋体" w:hAnsi="Book Antiqua"/>
          <w:b/>
          <w:noProof/>
          <w:lang w:eastAsia="zh-CN"/>
        </w:rPr>
      </w:pPr>
      <w:r w:rsidRPr="008A0130">
        <w:rPr>
          <w:rFonts w:ascii="Book Antiqua" w:eastAsia="宋体" w:hAnsi="Book Antiqua" w:hint="eastAsia"/>
          <w:b/>
          <w:noProof/>
          <w:lang w:eastAsia="zh-CN"/>
        </w:rPr>
        <w:t xml:space="preserve">         A                                                                                  B</w:t>
      </w:r>
    </w:p>
    <w:p w14:paraId="5BCFDD78" w14:textId="7B836886" w:rsidR="00A70C54" w:rsidRPr="008A0130" w:rsidRDefault="00BE1FC8" w:rsidP="008A0130">
      <w:pPr>
        <w:widowControl w:val="0"/>
        <w:autoSpaceDE w:val="0"/>
        <w:autoSpaceDN w:val="0"/>
        <w:adjustRightInd w:val="0"/>
        <w:spacing w:line="360" w:lineRule="auto"/>
        <w:jc w:val="both"/>
        <w:rPr>
          <w:rFonts w:ascii="Book Antiqua" w:hAnsi="Book Antiqua" w:cs="Times"/>
        </w:rPr>
      </w:pPr>
      <w:r w:rsidRPr="008A0130">
        <w:rPr>
          <w:rFonts w:ascii="Book Antiqua" w:hAnsi="Book Antiqua" w:cs="Times"/>
          <w:b/>
        </w:rPr>
        <w:t>Figure</w:t>
      </w:r>
      <w:r w:rsidR="00821466" w:rsidRPr="008A0130">
        <w:rPr>
          <w:rFonts w:ascii="Book Antiqua" w:hAnsi="Book Antiqua" w:cs="Times"/>
          <w:b/>
        </w:rPr>
        <w:t xml:space="preserve"> 1</w:t>
      </w:r>
      <w:r w:rsidR="00821466" w:rsidRPr="008A0130">
        <w:rPr>
          <w:rFonts w:ascii="Book Antiqua" w:eastAsia="宋体" w:hAnsi="Book Antiqua" w:cs="Times" w:hint="eastAsia"/>
          <w:b/>
          <w:lang w:eastAsia="zh-CN"/>
        </w:rPr>
        <w:t xml:space="preserve"> </w:t>
      </w:r>
      <w:r w:rsidR="00231CD6" w:rsidRPr="008A0130">
        <w:rPr>
          <w:rFonts w:ascii="Book Antiqua" w:hAnsi="Book Antiqua" w:cs="Times"/>
          <w:b/>
        </w:rPr>
        <w:t>The Wnt/</w:t>
      </w:r>
      <w:r w:rsidR="003712BA" w:rsidRPr="008A0130">
        <w:rPr>
          <w:rFonts w:ascii="Book Antiqua" w:hAnsi="Book Antiqua" w:cs="Times"/>
          <w:b/>
        </w:rPr>
        <w:t>ß</w:t>
      </w:r>
      <w:r w:rsidR="00231CD6" w:rsidRPr="008A0130">
        <w:rPr>
          <w:rFonts w:ascii="Book Antiqua" w:hAnsi="Book Antiqua" w:cs="Times"/>
          <w:b/>
        </w:rPr>
        <w:t>-cateni</w:t>
      </w:r>
      <w:r w:rsidRPr="008A0130">
        <w:rPr>
          <w:rFonts w:ascii="Book Antiqua" w:hAnsi="Book Antiqua" w:cs="Times"/>
          <w:b/>
        </w:rPr>
        <w:t>n signalling pathway.</w:t>
      </w:r>
      <w:r w:rsidRPr="008A0130">
        <w:rPr>
          <w:rFonts w:ascii="Book Antiqua" w:hAnsi="Book Antiqua" w:cs="Times"/>
        </w:rPr>
        <w:t xml:space="preserve"> </w:t>
      </w:r>
      <w:r w:rsidR="00821466" w:rsidRPr="008A0130">
        <w:rPr>
          <w:rFonts w:ascii="Book Antiqua" w:eastAsia="宋体" w:hAnsi="Book Antiqua" w:cs="Times" w:hint="eastAsia"/>
          <w:lang w:eastAsia="zh-CN"/>
        </w:rPr>
        <w:t>A</w:t>
      </w:r>
      <w:r w:rsidRPr="008A0130">
        <w:rPr>
          <w:rFonts w:ascii="Book Antiqua" w:hAnsi="Book Antiqua" w:cs="Times"/>
        </w:rPr>
        <w:t>:</w:t>
      </w:r>
      <w:r w:rsidR="00407A5E">
        <w:rPr>
          <w:rFonts w:ascii="Book Antiqua" w:hAnsi="Book Antiqua" w:cs="Times"/>
        </w:rPr>
        <w:t xml:space="preserve"> I</w:t>
      </w:r>
      <w:bookmarkStart w:id="4" w:name="_GoBack"/>
      <w:bookmarkEnd w:id="4"/>
      <w:r w:rsidR="00231CD6" w:rsidRPr="008A0130">
        <w:rPr>
          <w:rFonts w:ascii="Book Antiqua" w:hAnsi="Book Antiqua" w:cs="Times"/>
        </w:rPr>
        <w:t xml:space="preserve">n the absence of Wnt ligands, cytoplasmic </w:t>
      </w:r>
      <w:r w:rsidRPr="008A0130">
        <w:rPr>
          <w:rFonts w:ascii="Book Antiqua" w:hAnsi="Book Antiqua" w:cs="Times"/>
        </w:rPr>
        <w:t>ß</w:t>
      </w:r>
      <w:r w:rsidR="003712BA" w:rsidRPr="008A0130">
        <w:rPr>
          <w:rFonts w:ascii="Book Antiqua" w:hAnsi="Book Antiqua" w:cs="Times"/>
        </w:rPr>
        <w:t>-catenin binds to the</w:t>
      </w:r>
      <w:r w:rsidRPr="008A0130">
        <w:rPr>
          <w:rFonts w:ascii="Book Antiqua" w:hAnsi="Book Antiqua" w:cs="Times"/>
        </w:rPr>
        <w:t xml:space="preserve"> </w:t>
      </w:r>
      <w:r w:rsidR="003712BA" w:rsidRPr="008A0130">
        <w:rPr>
          <w:rFonts w:ascii="Book Antiqua" w:hAnsi="Book Antiqua" w:cs="Times"/>
        </w:rPr>
        <w:t xml:space="preserve">‘‘destruction’’ </w:t>
      </w:r>
      <w:r w:rsidRPr="008A0130">
        <w:rPr>
          <w:rFonts w:ascii="Book Antiqua" w:hAnsi="Book Antiqua" w:cs="Times"/>
        </w:rPr>
        <w:t xml:space="preserve">complex </w:t>
      </w:r>
      <w:r w:rsidR="003712BA" w:rsidRPr="008A0130">
        <w:rPr>
          <w:rFonts w:ascii="Book Antiqua" w:hAnsi="Book Antiqua" w:cs="Times"/>
        </w:rPr>
        <w:t xml:space="preserve">composed by Axin, adenomatous polyposis coli (APC), </w:t>
      </w:r>
      <w:proofErr w:type="gramStart"/>
      <w:r w:rsidR="003712BA" w:rsidRPr="008A0130">
        <w:rPr>
          <w:rFonts w:ascii="Book Antiqua" w:hAnsi="Book Antiqua" w:cs="Times"/>
        </w:rPr>
        <w:t>the glycogen synthase kinase 3ß (GSK3ß) and casein kinase 1</w:t>
      </w:r>
      <w:proofErr w:type="gramEnd"/>
      <w:r w:rsidR="003712BA" w:rsidRPr="008A0130">
        <w:rPr>
          <w:rFonts w:ascii="Book Antiqua" w:hAnsi="Book Antiqua" w:cs="Times"/>
        </w:rPr>
        <w:sym w:font="Symbol" w:char="F061"/>
      </w:r>
      <w:r w:rsidR="003712BA" w:rsidRPr="008A0130">
        <w:rPr>
          <w:rFonts w:ascii="Book Antiqua" w:hAnsi="Book Antiqua" w:cs="Times"/>
        </w:rPr>
        <w:t xml:space="preserve"> (CK1</w:t>
      </w:r>
      <w:r w:rsidR="003712BA" w:rsidRPr="008A0130">
        <w:rPr>
          <w:rFonts w:ascii="Book Antiqua" w:hAnsi="Book Antiqua" w:cs="Times"/>
        </w:rPr>
        <w:sym w:font="Symbol" w:char="F061"/>
      </w:r>
      <w:r w:rsidR="003712BA" w:rsidRPr="008A0130">
        <w:rPr>
          <w:rFonts w:ascii="Book Antiqua" w:hAnsi="Book Antiqua" w:cs="Times"/>
        </w:rPr>
        <w:t>)</w:t>
      </w:r>
      <w:r w:rsidR="00D14449" w:rsidRPr="008A0130">
        <w:rPr>
          <w:rFonts w:ascii="Book Antiqua" w:hAnsi="Book Antiqua" w:cs="Times"/>
        </w:rPr>
        <w:t>.</w:t>
      </w:r>
      <w:r w:rsidR="00231CD6" w:rsidRPr="008A0130">
        <w:rPr>
          <w:rFonts w:ascii="Book Antiqua" w:hAnsi="Book Antiqua" w:cs="Times"/>
        </w:rPr>
        <w:t xml:space="preserve"> </w:t>
      </w:r>
      <w:r w:rsidRPr="008A0130">
        <w:rPr>
          <w:rFonts w:ascii="Book Antiqua" w:hAnsi="Book Antiqua" w:cs="Times"/>
        </w:rPr>
        <w:t xml:space="preserve">ß-catenin </w:t>
      </w:r>
      <w:r w:rsidR="00231CD6" w:rsidRPr="008A0130">
        <w:rPr>
          <w:rFonts w:ascii="Book Antiqua" w:hAnsi="Book Antiqua" w:cs="Times"/>
        </w:rPr>
        <w:t xml:space="preserve">is phosphorylated </w:t>
      </w:r>
      <w:r w:rsidR="00D14449" w:rsidRPr="008A0130">
        <w:rPr>
          <w:rFonts w:ascii="Book Antiqua" w:hAnsi="Book Antiqua" w:cs="Times"/>
        </w:rPr>
        <w:t xml:space="preserve">by the kinases of the complex </w:t>
      </w:r>
      <w:r w:rsidR="00231CD6" w:rsidRPr="008A0130">
        <w:rPr>
          <w:rFonts w:ascii="Book Antiqua" w:hAnsi="Book Antiqua" w:cs="Times"/>
        </w:rPr>
        <w:t>on a set of conserved Ser and Thr residues in its amino terminus</w:t>
      </w:r>
      <w:r w:rsidR="003712BA" w:rsidRPr="008A0130">
        <w:rPr>
          <w:rFonts w:ascii="Book Antiqua" w:hAnsi="Book Antiqua" w:cs="Times"/>
        </w:rPr>
        <w:t xml:space="preserve">. </w:t>
      </w:r>
      <w:r w:rsidRPr="008A0130">
        <w:rPr>
          <w:rFonts w:ascii="Book Antiqua" w:hAnsi="Book Antiqua" w:cs="Times"/>
        </w:rPr>
        <w:lastRenderedPageBreak/>
        <w:t>The phosphorylated form of ß-catenin is recognized by a</w:t>
      </w:r>
      <w:r w:rsidR="003712BA" w:rsidRPr="008A0130">
        <w:rPr>
          <w:rFonts w:ascii="Book Antiqua" w:hAnsi="Book Antiqua" w:cs="Times"/>
        </w:rPr>
        <w:t>n</w:t>
      </w:r>
      <w:r w:rsidRPr="008A0130">
        <w:rPr>
          <w:rFonts w:ascii="Book Antiqua" w:hAnsi="Book Antiqua" w:cs="Times"/>
        </w:rPr>
        <w:t xml:space="preserve"> E3 ubiquitin ligase</w:t>
      </w:r>
      <w:r w:rsidR="00231CD6" w:rsidRPr="008A0130">
        <w:rPr>
          <w:rFonts w:ascii="Book Antiqua" w:hAnsi="Book Antiqua" w:cs="Times"/>
        </w:rPr>
        <w:t xml:space="preserve"> </w:t>
      </w:r>
      <w:r w:rsidRPr="008A0130">
        <w:rPr>
          <w:rFonts w:ascii="Book Antiqua" w:hAnsi="Book Antiqua" w:cs="Times"/>
        </w:rPr>
        <w:t>(ß-TrCP) and then targeted to proteosomal degradation</w:t>
      </w:r>
      <w:r w:rsidR="00D45CA1" w:rsidRPr="008A0130">
        <w:rPr>
          <w:rFonts w:ascii="Book Antiqua" w:hAnsi="Book Antiqua" w:cs="Times"/>
        </w:rPr>
        <w:t>, resulting</w:t>
      </w:r>
      <w:r w:rsidR="00231CD6" w:rsidRPr="008A0130">
        <w:rPr>
          <w:rFonts w:ascii="Book Antiqua" w:hAnsi="Book Antiqua" w:cs="Times"/>
        </w:rPr>
        <w:t xml:space="preserve"> in low cytosolic l</w:t>
      </w:r>
      <w:r w:rsidR="00D45CA1" w:rsidRPr="008A0130">
        <w:rPr>
          <w:rFonts w:ascii="Book Antiqua" w:hAnsi="Book Antiqua" w:cs="Times"/>
        </w:rPr>
        <w:t xml:space="preserve">evels. </w:t>
      </w:r>
      <w:r w:rsidR="006E13AD" w:rsidRPr="008A0130">
        <w:rPr>
          <w:rFonts w:ascii="Book Antiqua" w:hAnsi="Book Antiqua" w:cs="Times"/>
        </w:rPr>
        <w:t xml:space="preserve">In the absence of nuclear ß-catenin, </w:t>
      </w:r>
      <w:r w:rsidR="00D14449" w:rsidRPr="008A0130">
        <w:rPr>
          <w:rFonts w:ascii="Book Antiqua" w:hAnsi="Book Antiqua" w:cs="Times"/>
        </w:rPr>
        <w:t>T cell-specific factors (TCF)/lymphoid enhancer-binding factor (LEF) proteins repress target genes expression through a direct association with transcriptional inhibitors of the Groucho family an</w:t>
      </w:r>
      <w:r w:rsidR="00821466" w:rsidRPr="008A0130">
        <w:rPr>
          <w:rFonts w:ascii="Book Antiqua" w:hAnsi="Book Antiqua" w:cs="Times"/>
        </w:rPr>
        <w:t>d histone deacetylases (HDACs)</w:t>
      </w:r>
      <w:r w:rsidR="00821466" w:rsidRPr="008A0130">
        <w:rPr>
          <w:rFonts w:ascii="Book Antiqua" w:eastAsia="宋体" w:hAnsi="Book Antiqua" w:cs="Times" w:hint="eastAsia"/>
          <w:lang w:eastAsia="zh-CN"/>
        </w:rPr>
        <w:t>; B</w:t>
      </w:r>
      <w:r w:rsidR="003712BA" w:rsidRPr="008A0130">
        <w:rPr>
          <w:rFonts w:ascii="Book Antiqua" w:hAnsi="Book Antiqua" w:cs="Times"/>
        </w:rPr>
        <w:t>:</w:t>
      </w:r>
      <w:r w:rsidR="00231CD6" w:rsidRPr="008A0130">
        <w:rPr>
          <w:rFonts w:ascii="Book Antiqua" w:hAnsi="Book Antiqua" w:cs="Times"/>
        </w:rPr>
        <w:t xml:space="preserve"> </w:t>
      </w:r>
      <w:r w:rsidR="00FB1431" w:rsidRPr="008A0130">
        <w:rPr>
          <w:rFonts w:ascii="Book Antiqua" w:hAnsi="Book Antiqua" w:cs="Times"/>
        </w:rPr>
        <w:t xml:space="preserve">In the presence of Wnt ligand, </w:t>
      </w:r>
      <w:r w:rsidR="00231CD6" w:rsidRPr="008A0130">
        <w:rPr>
          <w:rFonts w:ascii="Book Antiqua" w:hAnsi="Book Antiqua" w:cs="Times"/>
        </w:rPr>
        <w:t>secreted Wnt bind</w:t>
      </w:r>
      <w:r w:rsidR="00FB1431" w:rsidRPr="008A0130">
        <w:rPr>
          <w:rFonts w:ascii="Book Antiqua" w:hAnsi="Book Antiqua" w:cs="Times"/>
        </w:rPr>
        <w:t>s</w:t>
      </w:r>
      <w:r w:rsidR="00231CD6" w:rsidRPr="008A0130">
        <w:rPr>
          <w:rFonts w:ascii="Book Antiqua" w:hAnsi="Book Antiqua" w:cs="Times"/>
        </w:rPr>
        <w:t xml:space="preserve"> to their receptor compl</w:t>
      </w:r>
      <w:r w:rsidR="003712BA" w:rsidRPr="008A0130">
        <w:rPr>
          <w:rFonts w:ascii="Book Antiqua" w:hAnsi="Book Antiqua" w:cs="Times"/>
        </w:rPr>
        <w:t xml:space="preserve">ex, consisting of Frizzled </w:t>
      </w:r>
      <w:r w:rsidR="00231CD6" w:rsidRPr="008A0130">
        <w:rPr>
          <w:rFonts w:ascii="Book Antiqua" w:hAnsi="Book Antiqua" w:cs="Times"/>
        </w:rPr>
        <w:t xml:space="preserve">and one member of the low-density lipoprotein </w:t>
      </w:r>
      <w:r w:rsidR="006E4E83" w:rsidRPr="008A0130">
        <w:rPr>
          <w:rFonts w:ascii="Book Antiqua" w:hAnsi="Book Antiqua" w:cs="Times"/>
        </w:rPr>
        <w:t>receptor family</w:t>
      </w:r>
      <w:r w:rsidR="00231CD6" w:rsidRPr="008A0130">
        <w:rPr>
          <w:rFonts w:ascii="Book Antiqua" w:hAnsi="Book Antiqua" w:cs="Times"/>
        </w:rPr>
        <w:t xml:space="preserve"> </w:t>
      </w:r>
      <w:r w:rsidR="006E4E83" w:rsidRPr="008A0130">
        <w:rPr>
          <w:rFonts w:ascii="Book Antiqua" w:hAnsi="Book Antiqua" w:cs="Times"/>
        </w:rPr>
        <w:t>(</w:t>
      </w:r>
      <w:r w:rsidR="00231CD6" w:rsidRPr="008A0130">
        <w:rPr>
          <w:rFonts w:ascii="Book Antiqua" w:hAnsi="Book Antiqua" w:cs="Times"/>
        </w:rPr>
        <w:t>LRP5/6</w:t>
      </w:r>
      <w:r w:rsidR="006E4E83" w:rsidRPr="008A0130">
        <w:rPr>
          <w:rFonts w:ascii="Book Antiqua" w:hAnsi="Book Antiqua" w:cs="Times"/>
        </w:rPr>
        <w:t>)</w:t>
      </w:r>
      <w:r w:rsidR="00231CD6" w:rsidRPr="008A0130">
        <w:rPr>
          <w:rFonts w:ascii="Book Antiqua" w:hAnsi="Book Antiqua" w:cs="Times"/>
        </w:rPr>
        <w:t xml:space="preserve">. This binding disrupts the ‘‘destruction complex’’ by recruiting Dishevelled (Dvl) to the cytoplasmic domain of </w:t>
      </w:r>
      <w:r w:rsidR="00AE5B93" w:rsidRPr="008A0130">
        <w:rPr>
          <w:rFonts w:ascii="Book Antiqua" w:hAnsi="Book Antiqua" w:cs="Times"/>
        </w:rPr>
        <w:t>Frizzled</w:t>
      </w:r>
      <w:r w:rsidR="002D6E17" w:rsidRPr="008A0130">
        <w:rPr>
          <w:rFonts w:ascii="Book Antiqua" w:hAnsi="Book Antiqua" w:cs="Times"/>
        </w:rPr>
        <w:t>, which</w:t>
      </w:r>
      <w:r w:rsidR="00231CD6" w:rsidRPr="008A0130">
        <w:rPr>
          <w:rFonts w:ascii="Book Antiqua" w:hAnsi="Book Antiqua" w:cs="Times"/>
        </w:rPr>
        <w:t xml:space="preserve"> induces the delocalization of cytoplasmic Axin to the cytoplasmic tail of LRP </w:t>
      </w:r>
      <w:r w:rsidR="00FB1431" w:rsidRPr="008A0130">
        <w:rPr>
          <w:rFonts w:ascii="Book Antiqua" w:hAnsi="Book Antiqua" w:cs="Times"/>
        </w:rPr>
        <w:t>and</w:t>
      </w:r>
      <w:r w:rsidR="00231CD6" w:rsidRPr="008A0130">
        <w:rPr>
          <w:rFonts w:ascii="Book Antiqua" w:hAnsi="Book Antiqua" w:cs="Times"/>
        </w:rPr>
        <w:t xml:space="preserve"> </w:t>
      </w:r>
      <w:r w:rsidR="00FB1431" w:rsidRPr="008A0130">
        <w:rPr>
          <w:rFonts w:ascii="Book Antiqua" w:hAnsi="Book Antiqua" w:cs="Times"/>
        </w:rPr>
        <w:t>phosphorylation by CK1</w:t>
      </w:r>
      <w:r w:rsidR="00FB1431" w:rsidRPr="008A0130">
        <w:rPr>
          <w:rFonts w:ascii="Book Antiqua" w:hAnsi="Book Antiqua" w:cs="Times"/>
        </w:rPr>
        <w:sym w:font="Symbol" w:char="F061"/>
      </w:r>
      <w:r w:rsidR="00FB1431" w:rsidRPr="008A0130">
        <w:rPr>
          <w:rFonts w:ascii="Book Antiqua" w:hAnsi="Book Antiqua" w:cs="Times"/>
        </w:rPr>
        <w:t xml:space="preserve"> and GSK3ß </w:t>
      </w:r>
      <w:r w:rsidR="00231CD6" w:rsidRPr="008A0130">
        <w:rPr>
          <w:rFonts w:ascii="Book Antiqua" w:hAnsi="Book Antiqua" w:cs="Times"/>
        </w:rPr>
        <w:t xml:space="preserve">of </w:t>
      </w:r>
      <w:r w:rsidR="002D6E17" w:rsidRPr="008A0130">
        <w:rPr>
          <w:rFonts w:ascii="Book Antiqua" w:hAnsi="Book Antiqua" w:cs="Times"/>
        </w:rPr>
        <w:t>the latter</w:t>
      </w:r>
      <w:r w:rsidR="00231CD6" w:rsidRPr="008A0130">
        <w:rPr>
          <w:rFonts w:ascii="Book Antiqua" w:hAnsi="Book Antiqua" w:cs="Times"/>
        </w:rPr>
        <w:t>.</w:t>
      </w:r>
      <w:r w:rsidR="00D14449" w:rsidRPr="008A0130">
        <w:rPr>
          <w:rFonts w:ascii="Book Antiqua" w:hAnsi="Book Antiqua" w:cs="Times"/>
        </w:rPr>
        <w:t xml:space="preserve"> </w:t>
      </w:r>
      <w:r w:rsidR="00FB1431" w:rsidRPr="008A0130">
        <w:rPr>
          <w:rFonts w:ascii="Book Antiqua" w:hAnsi="Book Antiqua" w:cs="Times"/>
        </w:rPr>
        <w:t xml:space="preserve">The </w:t>
      </w:r>
      <w:r w:rsidR="002D6E17" w:rsidRPr="008A0130">
        <w:rPr>
          <w:rFonts w:ascii="Book Antiqua" w:hAnsi="Book Antiqua" w:cs="Times"/>
        </w:rPr>
        <w:t>disruption of</w:t>
      </w:r>
      <w:r w:rsidR="00FB1431" w:rsidRPr="008A0130">
        <w:rPr>
          <w:rFonts w:ascii="Book Antiqua" w:hAnsi="Book Antiqua" w:cs="Times"/>
        </w:rPr>
        <w:t xml:space="preserve"> </w:t>
      </w:r>
      <w:r w:rsidR="00D14449" w:rsidRPr="008A0130">
        <w:rPr>
          <w:rFonts w:ascii="Book Antiqua" w:hAnsi="Book Antiqua" w:cs="Times"/>
        </w:rPr>
        <w:t xml:space="preserve">the ‘‘destruction’’ complex prevents </w:t>
      </w:r>
      <w:r w:rsidR="00FB1431" w:rsidRPr="008A0130">
        <w:rPr>
          <w:rFonts w:ascii="Book Antiqua" w:hAnsi="Book Antiqua" w:cs="Times"/>
        </w:rPr>
        <w:t xml:space="preserve">phosphorylation/degradation of ß-catenin, leading to accumulation of </w:t>
      </w:r>
      <w:r w:rsidR="00D14449" w:rsidRPr="008A0130">
        <w:rPr>
          <w:rFonts w:ascii="Book Antiqua" w:hAnsi="Book Antiqua" w:cs="Times"/>
        </w:rPr>
        <w:t>ß</w:t>
      </w:r>
      <w:r w:rsidR="00FB1431" w:rsidRPr="008A0130">
        <w:rPr>
          <w:rFonts w:ascii="Book Antiqua" w:hAnsi="Book Antiqua" w:cs="Times"/>
        </w:rPr>
        <w:t>-catenin in the cytoplasm</w:t>
      </w:r>
      <w:r w:rsidR="00D14449" w:rsidRPr="008A0130">
        <w:rPr>
          <w:rFonts w:ascii="Book Antiqua" w:hAnsi="Book Antiqua" w:cs="Times"/>
        </w:rPr>
        <w:t>. Active ß-catenin translocates in the nucleus</w:t>
      </w:r>
      <w:r w:rsidR="00FB1431" w:rsidRPr="008A0130">
        <w:rPr>
          <w:rFonts w:ascii="Book Antiqua" w:hAnsi="Book Antiqua" w:cs="Times"/>
        </w:rPr>
        <w:t xml:space="preserve">, where it acts as a transcriptional co-activator with </w:t>
      </w:r>
      <w:r w:rsidR="00D14449" w:rsidRPr="008A0130">
        <w:rPr>
          <w:rFonts w:ascii="Book Antiqua" w:hAnsi="Book Antiqua" w:cs="Times"/>
        </w:rPr>
        <w:t>TCFLEF</w:t>
      </w:r>
      <w:r w:rsidR="00FB1431" w:rsidRPr="008A0130">
        <w:rPr>
          <w:rFonts w:ascii="Book Antiqua" w:hAnsi="Book Antiqua" w:cs="Times"/>
        </w:rPr>
        <w:t xml:space="preserve"> to activate Wnt-responsive target genes.</w:t>
      </w:r>
      <w:r w:rsidR="00D14449" w:rsidRPr="008A0130">
        <w:rPr>
          <w:rFonts w:ascii="Book Antiqua" w:hAnsi="Book Antiqua" w:cs="Times"/>
        </w:rPr>
        <w:t xml:space="preserve"> </w:t>
      </w:r>
      <w:r w:rsidR="00CE7662" w:rsidRPr="008A0130">
        <w:rPr>
          <w:rFonts w:ascii="Book Antiqua" w:hAnsi="Book Antiqua" w:cs="Times"/>
        </w:rPr>
        <w:t xml:space="preserve">Extracellular </w:t>
      </w:r>
      <w:r w:rsidR="005F668C" w:rsidRPr="008A0130">
        <w:rPr>
          <w:rFonts w:ascii="Book Antiqua" w:hAnsi="Book Antiqua" w:cs="Times"/>
        </w:rPr>
        <w:t xml:space="preserve">Wnt signaling can be inhibited by binding of members of the secreted frizzled related protein (sFRP) </w:t>
      </w:r>
      <w:r w:rsidR="00600795" w:rsidRPr="008A0130">
        <w:rPr>
          <w:rFonts w:ascii="Book Antiqua" w:hAnsi="Book Antiqua" w:cs="Times"/>
        </w:rPr>
        <w:t>and</w:t>
      </w:r>
      <w:r w:rsidR="005F668C" w:rsidRPr="008A0130">
        <w:rPr>
          <w:rFonts w:ascii="Book Antiqua" w:hAnsi="Book Antiqua" w:cs="Times"/>
        </w:rPr>
        <w:t xml:space="preserve"> </w:t>
      </w:r>
      <w:r w:rsidR="005F668C" w:rsidRPr="008A0130">
        <w:rPr>
          <w:rFonts w:ascii="Book Antiqua" w:hAnsi="Book Antiqua" w:cs="Times New Roman"/>
        </w:rPr>
        <w:t>Wnt inhibitory factor</w:t>
      </w:r>
      <w:r w:rsidR="005F668C" w:rsidRPr="008A0130">
        <w:rPr>
          <w:rFonts w:ascii="Book Antiqua" w:hAnsi="Book Antiqua" w:cs="Times"/>
        </w:rPr>
        <w:t xml:space="preserve"> (WIF) families to Wnt ligands, or by the interaction of soluble Dickkopf (DKK) with LRP.</w:t>
      </w:r>
    </w:p>
    <w:sectPr w:rsidR="00A70C54" w:rsidRPr="008A0130" w:rsidSect="00ED7EDD">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4B222" w14:textId="77777777" w:rsidR="00625BE7" w:rsidRDefault="00625BE7" w:rsidP="00CC5B78">
      <w:r>
        <w:separator/>
      </w:r>
    </w:p>
  </w:endnote>
  <w:endnote w:type="continuationSeparator" w:id="0">
    <w:p w14:paraId="705F2A97" w14:textId="77777777" w:rsidR="00625BE7" w:rsidRDefault="00625BE7" w:rsidP="00CC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Garamond">
    <w:panose1 w:val="02020404030301010803"/>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529B" w14:textId="77777777" w:rsidR="00950BD5" w:rsidRDefault="00950BD5" w:rsidP="001E67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932DE" w14:textId="77777777" w:rsidR="00950BD5" w:rsidRDefault="00950BD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B06B" w14:textId="77777777" w:rsidR="00950BD5" w:rsidRDefault="00950BD5" w:rsidP="001E67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7A5E">
      <w:rPr>
        <w:rStyle w:val="PageNumber"/>
        <w:noProof/>
      </w:rPr>
      <w:t>65</w:t>
    </w:r>
    <w:r>
      <w:rPr>
        <w:rStyle w:val="PageNumber"/>
      </w:rPr>
      <w:fldChar w:fldCharType="end"/>
    </w:r>
  </w:p>
  <w:p w14:paraId="189F9743" w14:textId="77777777" w:rsidR="00950BD5" w:rsidRDefault="00950B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91A67" w14:textId="77777777" w:rsidR="00625BE7" w:rsidRDefault="00625BE7" w:rsidP="00CC5B78">
      <w:r>
        <w:separator/>
      </w:r>
    </w:p>
  </w:footnote>
  <w:footnote w:type="continuationSeparator" w:id="0">
    <w:p w14:paraId="497E0D33" w14:textId="77777777" w:rsidR="00625BE7" w:rsidRDefault="00625BE7" w:rsidP="00CC5B7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CC4AEA4"/>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A6B369E"/>
    <w:multiLevelType w:val="multilevel"/>
    <w:tmpl w:val="F85C7B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C46E0E"/>
    <w:multiLevelType w:val="hybridMultilevel"/>
    <w:tmpl w:val="DDF6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A3DBD"/>
    <w:multiLevelType w:val="multilevel"/>
    <w:tmpl w:val="88F4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77340"/>
    <w:multiLevelType w:val="hybridMultilevel"/>
    <w:tmpl w:val="06CAF696"/>
    <w:lvl w:ilvl="0" w:tplc="A3C2E920">
      <w:start w:val="12"/>
      <w:numFmt w:val="decimal"/>
      <w:lvlText w:val="%1"/>
      <w:lvlJc w:val="left"/>
      <w:pPr>
        <w:ind w:left="720" w:hanging="360"/>
      </w:pPr>
      <w:rPr>
        <w:rFonts w:ascii="Times" w:eastAsiaTheme="minorEastAsia" w:hAnsi="Times" w:cs="Times"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92B51"/>
    <w:multiLevelType w:val="hybridMultilevel"/>
    <w:tmpl w:val="DDF6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615F26"/>
    <w:multiLevelType w:val="hybridMultilevel"/>
    <w:tmpl w:val="2BF6F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7E4789"/>
    <w:multiLevelType w:val="hybridMultilevel"/>
    <w:tmpl w:val="DDF6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8F6BB2"/>
    <w:multiLevelType w:val="hybridMultilevel"/>
    <w:tmpl w:val="D0D4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EE5CFC"/>
    <w:multiLevelType w:val="hybridMultilevel"/>
    <w:tmpl w:val="DDF6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4C1648"/>
    <w:multiLevelType w:val="hybridMultilevel"/>
    <w:tmpl w:val="702E2562"/>
    <w:lvl w:ilvl="0" w:tplc="8C80849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6FD3BCA"/>
    <w:multiLevelType w:val="hybridMultilevel"/>
    <w:tmpl w:val="DDF6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3B13EC"/>
    <w:multiLevelType w:val="hybridMultilevel"/>
    <w:tmpl w:val="DDF6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436247"/>
    <w:multiLevelType w:val="hybridMultilevel"/>
    <w:tmpl w:val="DDF6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94484B"/>
    <w:multiLevelType w:val="hybridMultilevel"/>
    <w:tmpl w:val="2BF6F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AD6DEA"/>
    <w:multiLevelType w:val="hybridMultilevel"/>
    <w:tmpl w:val="3CC4AEA4"/>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3"/>
  </w:num>
  <w:num w:numId="4">
    <w:abstractNumId w:val="12"/>
  </w:num>
  <w:num w:numId="5">
    <w:abstractNumId w:val="4"/>
  </w:num>
  <w:num w:numId="6">
    <w:abstractNumId w:val="9"/>
  </w:num>
  <w:num w:numId="7">
    <w:abstractNumId w:val="5"/>
  </w:num>
  <w:num w:numId="8">
    <w:abstractNumId w:val="13"/>
  </w:num>
  <w:num w:numId="9">
    <w:abstractNumId w:val="7"/>
  </w:num>
  <w:num w:numId="10">
    <w:abstractNumId w:val="11"/>
  </w:num>
  <w:num w:numId="11">
    <w:abstractNumId w:val="15"/>
  </w:num>
  <w:num w:numId="12">
    <w:abstractNumId w:val="8"/>
  </w:num>
  <w:num w:numId="13">
    <w:abstractNumId w:val="14"/>
  </w:num>
  <w:num w:numId="14">
    <w:abstractNumId w:val="6"/>
  </w:num>
  <w:num w:numId="15">
    <w:abstractNumId w:val="1"/>
  </w:num>
  <w:num w:numId="16">
    <w:abstractNumId w:val="1"/>
    <w:lvlOverride w:ilvl="1">
      <w:lvl w:ilvl="1">
        <w:numFmt w:val="bullet"/>
        <w:lvlText w:val=""/>
        <w:lvlJc w:val="left"/>
        <w:pPr>
          <w:tabs>
            <w:tab w:val="num" w:pos="1440"/>
          </w:tabs>
          <w:ind w:left="1440" w:hanging="360"/>
        </w:pPr>
        <w:rPr>
          <w:rFonts w:ascii="Symbol" w:hAnsi="Symbol" w:hint="default"/>
          <w:sz w:val="20"/>
        </w:rPr>
      </w:lvl>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EEC"/>
    <w:rsid w:val="00000292"/>
    <w:rsid w:val="000019DE"/>
    <w:rsid w:val="00001B4B"/>
    <w:rsid w:val="0000406C"/>
    <w:rsid w:val="00004BA1"/>
    <w:rsid w:val="00006EDC"/>
    <w:rsid w:val="00014C68"/>
    <w:rsid w:val="0001645D"/>
    <w:rsid w:val="0002043B"/>
    <w:rsid w:val="00020CF8"/>
    <w:rsid w:val="00023F52"/>
    <w:rsid w:val="00027018"/>
    <w:rsid w:val="00027DBE"/>
    <w:rsid w:val="000329BE"/>
    <w:rsid w:val="00032AB6"/>
    <w:rsid w:val="00032C1E"/>
    <w:rsid w:val="00033DB8"/>
    <w:rsid w:val="00034794"/>
    <w:rsid w:val="00037EF8"/>
    <w:rsid w:val="00037FDE"/>
    <w:rsid w:val="00040485"/>
    <w:rsid w:val="00040DB2"/>
    <w:rsid w:val="000438F3"/>
    <w:rsid w:val="000448A4"/>
    <w:rsid w:val="00050C49"/>
    <w:rsid w:val="0006269F"/>
    <w:rsid w:val="00062F16"/>
    <w:rsid w:val="000646B8"/>
    <w:rsid w:val="00064714"/>
    <w:rsid w:val="00064EF2"/>
    <w:rsid w:val="00067A27"/>
    <w:rsid w:val="00070257"/>
    <w:rsid w:val="000721C5"/>
    <w:rsid w:val="00076025"/>
    <w:rsid w:val="00076809"/>
    <w:rsid w:val="000830FB"/>
    <w:rsid w:val="00084A35"/>
    <w:rsid w:val="00086D7D"/>
    <w:rsid w:val="00086FA5"/>
    <w:rsid w:val="00087A33"/>
    <w:rsid w:val="00090DF9"/>
    <w:rsid w:val="0009107B"/>
    <w:rsid w:val="0009182C"/>
    <w:rsid w:val="000A3519"/>
    <w:rsid w:val="000A6B16"/>
    <w:rsid w:val="000A74D2"/>
    <w:rsid w:val="000B083A"/>
    <w:rsid w:val="000B67EB"/>
    <w:rsid w:val="000C24E3"/>
    <w:rsid w:val="000C382F"/>
    <w:rsid w:val="000C3F04"/>
    <w:rsid w:val="000C4694"/>
    <w:rsid w:val="000C70A5"/>
    <w:rsid w:val="000D0228"/>
    <w:rsid w:val="000D3E5C"/>
    <w:rsid w:val="000D6A88"/>
    <w:rsid w:val="000D70D2"/>
    <w:rsid w:val="000E30AF"/>
    <w:rsid w:val="000E38DF"/>
    <w:rsid w:val="000E4DA2"/>
    <w:rsid w:val="000E62E8"/>
    <w:rsid w:val="000E77A2"/>
    <w:rsid w:val="000F1F44"/>
    <w:rsid w:val="000F3FBA"/>
    <w:rsid w:val="000F54BD"/>
    <w:rsid w:val="000F6D64"/>
    <w:rsid w:val="001005D1"/>
    <w:rsid w:val="00101E6D"/>
    <w:rsid w:val="001032A0"/>
    <w:rsid w:val="0010535E"/>
    <w:rsid w:val="001070B2"/>
    <w:rsid w:val="001077EB"/>
    <w:rsid w:val="001109DE"/>
    <w:rsid w:val="00113602"/>
    <w:rsid w:val="0011381E"/>
    <w:rsid w:val="001166F1"/>
    <w:rsid w:val="0011755F"/>
    <w:rsid w:val="00121D3B"/>
    <w:rsid w:val="001241C1"/>
    <w:rsid w:val="00125C27"/>
    <w:rsid w:val="00125CC5"/>
    <w:rsid w:val="001277F0"/>
    <w:rsid w:val="00131EFE"/>
    <w:rsid w:val="00136B87"/>
    <w:rsid w:val="00137CE2"/>
    <w:rsid w:val="001418BC"/>
    <w:rsid w:val="00141DB4"/>
    <w:rsid w:val="0014393A"/>
    <w:rsid w:val="00145B5A"/>
    <w:rsid w:val="00145E2E"/>
    <w:rsid w:val="00145E3C"/>
    <w:rsid w:val="001465B3"/>
    <w:rsid w:val="001471C1"/>
    <w:rsid w:val="00147BD5"/>
    <w:rsid w:val="00151C9E"/>
    <w:rsid w:val="00153DA4"/>
    <w:rsid w:val="00155F9F"/>
    <w:rsid w:val="00157536"/>
    <w:rsid w:val="00160439"/>
    <w:rsid w:val="00160E17"/>
    <w:rsid w:val="00163236"/>
    <w:rsid w:val="001633D7"/>
    <w:rsid w:val="001655B0"/>
    <w:rsid w:val="00165A43"/>
    <w:rsid w:val="00167E1B"/>
    <w:rsid w:val="00173FDD"/>
    <w:rsid w:val="001752DE"/>
    <w:rsid w:val="00175A19"/>
    <w:rsid w:val="00175C99"/>
    <w:rsid w:val="00176552"/>
    <w:rsid w:val="00176E9F"/>
    <w:rsid w:val="001855BA"/>
    <w:rsid w:val="00187DB9"/>
    <w:rsid w:val="00187E1B"/>
    <w:rsid w:val="001918B2"/>
    <w:rsid w:val="00191BA5"/>
    <w:rsid w:val="00191CAA"/>
    <w:rsid w:val="00191E83"/>
    <w:rsid w:val="00192A6B"/>
    <w:rsid w:val="00197AC6"/>
    <w:rsid w:val="001A3FCC"/>
    <w:rsid w:val="001A4DFE"/>
    <w:rsid w:val="001A611E"/>
    <w:rsid w:val="001A7091"/>
    <w:rsid w:val="001B0320"/>
    <w:rsid w:val="001B2241"/>
    <w:rsid w:val="001B25F1"/>
    <w:rsid w:val="001B2E8A"/>
    <w:rsid w:val="001B3602"/>
    <w:rsid w:val="001B5E6F"/>
    <w:rsid w:val="001C1D94"/>
    <w:rsid w:val="001C510B"/>
    <w:rsid w:val="001C75D0"/>
    <w:rsid w:val="001D0537"/>
    <w:rsid w:val="001D1AB7"/>
    <w:rsid w:val="001D42ED"/>
    <w:rsid w:val="001D7358"/>
    <w:rsid w:val="001D73CA"/>
    <w:rsid w:val="001E01B3"/>
    <w:rsid w:val="001E1D95"/>
    <w:rsid w:val="001E5A7C"/>
    <w:rsid w:val="001E676F"/>
    <w:rsid w:val="001F02B1"/>
    <w:rsid w:val="001F4C6A"/>
    <w:rsid w:val="001F4C9D"/>
    <w:rsid w:val="001F6F05"/>
    <w:rsid w:val="001F7958"/>
    <w:rsid w:val="0020113B"/>
    <w:rsid w:val="00203198"/>
    <w:rsid w:val="002045D8"/>
    <w:rsid w:val="00204745"/>
    <w:rsid w:val="00205587"/>
    <w:rsid w:val="0020618C"/>
    <w:rsid w:val="00211554"/>
    <w:rsid w:val="00213CD9"/>
    <w:rsid w:val="0021412B"/>
    <w:rsid w:val="00214B15"/>
    <w:rsid w:val="00215DAE"/>
    <w:rsid w:val="0021652E"/>
    <w:rsid w:val="0022091C"/>
    <w:rsid w:val="00221FFA"/>
    <w:rsid w:val="002238E9"/>
    <w:rsid w:val="002253B7"/>
    <w:rsid w:val="00225B21"/>
    <w:rsid w:val="002261BA"/>
    <w:rsid w:val="00230103"/>
    <w:rsid w:val="00231CD6"/>
    <w:rsid w:val="00234425"/>
    <w:rsid w:val="00234FCC"/>
    <w:rsid w:val="002422DD"/>
    <w:rsid w:val="0024240B"/>
    <w:rsid w:val="00242830"/>
    <w:rsid w:val="00242865"/>
    <w:rsid w:val="00242928"/>
    <w:rsid w:val="00242EE2"/>
    <w:rsid w:val="00243157"/>
    <w:rsid w:val="002435F7"/>
    <w:rsid w:val="00244B0E"/>
    <w:rsid w:val="00247B83"/>
    <w:rsid w:val="00251AEC"/>
    <w:rsid w:val="00254A92"/>
    <w:rsid w:val="00260EE3"/>
    <w:rsid w:val="00261641"/>
    <w:rsid w:val="002624A9"/>
    <w:rsid w:val="002641E5"/>
    <w:rsid w:val="002642C1"/>
    <w:rsid w:val="00264E8F"/>
    <w:rsid w:val="00266386"/>
    <w:rsid w:val="00267131"/>
    <w:rsid w:val="00267252"/>
    <w:rsid w:val="00267335"/>
    <w:rsid w:val="00270172"/>
    <w:rsid w:val="00272395"/>
    <w:rsid w:val="002728DA"/>
    <w:rsid w:val="00273019"/>
    <w:rsid w:val="00273E8B"/>
    <w:rsid w:val="00276C70"/>
    <w:rsid w:val="00280FFC"/>
    <w:rsid w:val="00281C38"/>
    <w:rsid w:val="002840AF"/>
    <w:rsid w:val="002879C1"/>
    <w:rsid w:val="0029191F"/>
    <w:rsid w:val="00292A1E"/>
    <w:rsid w:val="00292F8E"/>
    <w:rsid w:val="00296043"/>
    <w:rsid w:val="002A126E"/>
    <w:rsid w:val="002A38A1"/>
    <w:rsid w:val="002A3C9C"/>
    <w:rsid w:val="002A3EC7"/>
    <w:rsid w:val="002A5A3F"/>
    <w:rsid w:val="002A6188"/>
    <w:rsid w:val="002A649D"/>
    <w:rsid w:val="002A697F"/>
    <w:rsid w:val="002A74A1"/>
    <w:rsid w:val="002A7C19"/>
    <w:rsid w:val="002B068D"/>
    <w:rsid w:val="002B5D3C"/>
    <w:rsid w:val="002B6F07"/>
    <w:rsid w:val="002B6FFC"/>
    <w:rsid w:val="002C0CD3"/>
    <w:rsid w:val="002C4F68"/>
    <w:rsid w:val="002C5436"/>
    <w:rsid w:val="002C5EC2"/>
    <w:rsid w:val="002C7BEF"/>
    <w:rsid w:val="002D151F"/>
    <w:rsid w:val="002D6E17"/>
    <w:rsid w:val="002D7998"/>
    <w:rsid w:val="002E3CBB"/>
    <w:rsid w:val="002E4257"/>
    <w:rsid w:val="002F0C48"/>
    <w:rsid w:val="002F1AED"/>
    <w:rsid w:val="002F1E9B"/>
    <w:rsid w:val="002F549D"/>
    <w:rsid w:val="002F5ECA"/>
    <w:rsid w:val="002F7773"/>
    <w:rsid w:val="00300038"/>
    <w:rsid w:val="003041E1"/>
    <w:rsid w:val="00305041"/>
    <w:rsid w:val="00306638"/>
    <w:rsid w:val="003072A3"/>
    <w:rsid w:val="003108CD"/>
    <w:rsid w:val="00310D87"/>
    <w:rsid w:val="0031237B"/>
    <w:rsid w:val="00314C4D"/>
    <w:rsid w:val="00314DF3"/>
    <w:rsid w:val="00314F8A"/>
    <w:rsid w:val="003231D8"/>
    <w:rsid w:val="00323948"/>
    <w:rsid w:val="00324CD5"/>
    <w:rsid w:val="00324F72"/>
    <w:rsid w:val="00326F5C"/>
    <w:rsid w:val="00331D54"/>
    <w:rsid w:val="00332BD0"/>
    <w:rsid w:val="00333347"/>
    <w:rsid w:val="003410AC"/>
    <w:rsid w:val="00344FB5"/>
    <w:rsid w:val="00352EFF"/>
    <w:rsid w:val="003548CB"/>
    <w:rsid w:val="00354C56"/>
    <w:rsid w:val="003567C8"/>
    <w:rsid w:val="00360A03"/>
    <w:rsid w:val="00361337"/>
    <w:rsid w:val="0036153B"/>
    <w:rsid w:val="00362A01"/>
    <w:rsid w:val="00363208"/>
    <w:rsid w:val="00363246"/>
    <w:rsid w:val="003711E9"/>
    <w:rsid w:val="003712BA"/>
    <w:rsid w:val="0037263D"/>
    <w:rsid w:val="003820B4"/>
    <w:rsid w:val="00383781"/>
    <w:rsid w:val="00384A03"/>
    <w:rsid w:val="00384CE8"/>
    <w:rsid w:val="00385F97"/>
    <w:rsid w:val="00387993"/>
    <w:rsid w:val="00390068"/>
    <w:rsid w:val="00390F5B"/>
    <w:rsid w:val="00391A71"/>
    <w:rsid w:val="00392034"/>
    <w:rsid w:val="003948C7"/>
    <w:rsid w:val="0039769D"/>
    <w:rsid w:val="003A1DFD"/>
    <w:rsid w:val="003A357A"/>
    <w:rsid w:val="003A41EB"/>
    <w:rsid w:val="003A6BD0"/>
    <w:rsid w:val="003B02F6"/>
    <w:rsid w:val="003B0ADF"/>
    <w:rsid w:val="003B2DD4"/>
    <w:rsid w:val="003B3A9E"/>
    <w:rsid w:val="003B432D"/>
    <w:rsid w:val="003B47E4"/>
    <w:rsid w:val="003B4CA7"/>
    <w:rsid w:val="003B5877"/>
    <w:rsid w:val="003B5B0B"/>
    <w:rsid w:val="003C224E"/>
    <w:rsid w:val="003C2991"/>
    <w:rsid w:val="003C2B4C"/>
    <w:rsid w:val="003C4F61"/>
    <w:rsid w:val="003C5FB4"/>
    <w:rsid w:val="003D2445"/>
    <w:rsid w:val="003D2CC0"/>
    <w:rsid w:val="003D2F1B"/>
    <w:rsid w:val="003D5AA8"/>
    <w:rsid w:val="003D5FC2"/>
    <w:rsid w:val="003E2E1E"/>
    <w:rsid w:val="003E4155"/>
    <w:rsid w:val="003E42D9"/>
    <w:rsid w:val="003E6259"/>
    <w:rsid w:val="003E7409"/>
    <w:rsid w:val="003E772B"/>
    <w:rsid w:val="003F0F22"/>
    <w:rsid w:val="00400E46"/>
    <w:rsid w:val="004024E0"/>
    <w:rsid w:val="00403B55"/>
    <w:rsid w:val="00403D48"/>
    <w:rsid w:val="00407A2A"/>
    <w:rsid w:val="00407A5E"/>
    <w:rsid w:val="00414264"/>
    <w:rsid w:val="00415C5E"/>
    <w:rsid w:val="004174EE"/>
    <w:rsid w:val="004209A0"/>
    <w:rsid w:val="0042104A"/>
    <w:rsid w:val="00423198"/>
    <w:rsid w:val="00425676"/>
    <w:rsid w:val="004263C1"/>
    <w:rsid w:val="00426FDF"/>
    <w:rsid w:val="0043198C"/>
    <w:rsid w:val="00431C98"/>
    <w:rsid w:val="00432104"/>
    <w:rsid w:val="004358DC"/>
    <w:rsid w:val="004409A3"/>
    <w:rsid w:val="00440A99"/>
    <w:rsid w:val="004422A1"/>
    <w:rsid w:val="004425B7"/>
    <w:rsid w:val="0044626D"/>
    <w:rsid w:val="00452E2B"/>
    <w:rsid w:val="004619B1"/>
    <w:rsid w:val="00464ADD"/>
    <w:rsid w:val="00466AC3"/>
    <w:rsid w:val="004762F7"/>
    <w:rsid w:val="0047714E"/>
    <w:rsid w:val="0048166D"/>
    <w:rsid w:val="004818D6"/>
    <w:rsid w:val="00482C34"/>
    <w:rsid w:val="00483412"/>
    <w:rsid w:val="00484443"/>
    <w:rsid w:val="0048631F"/>
    <w:rsid w:val="00486B7C"/>
    <w:rsid w:val="00487592"/>
    <w:rsid w:val="004916D5"/>
    <w:rsid w:val="00494ED1"/>
    <w:rsid w:val="0049648D"/>
    <w:rsid w:val="00496583"/>
    <w:rsid w:val="004A1873"/>
    <w:rsid w:val="004A1980"/>
    <w:rsid w:val="004A26F5"/>
    <w:rsid w:val="004A3021"/>
    <w:rsid w:val="004B3D03"/>
    <w:rsid w:val="004C24BF"/>
    <w:rsid w:val="004C330D"/>
    <w:rsid w:val="004D2E92"/>
    <w:rsid w:val="004D4FCF"/>
    <w:rsid w:val="004D54DE"/>
    <w:rsid w:val="004D7B77"/>
    <w:rsid w:val="004E023B"/>
    <w:rsid w:val="004E06F0"/>
    <w:rsid w:val="004E3C69"/>
    <w:rsid w:val="004F2BA7"/>
    <w:rsid w:val="004F41C6"/>
    <w:rsid w:val="004F6071"/>
    <w:rsid w:val="005014F7"/>
    <w:rsid w:val="00501C26"/>
    <w:rsid w:val="00506EDF"/>
    <w:rsid w:val="005101E0"/>
    <w:rsid w:val="005107A6"/>
    <w:rsid w:val="0051207F"/>
    <w:rsid w:val="0051305B"/>
    <w:rsid w:val="00514715"/>
    <w:rsid w:val="00514A04"/>
    <w:rsid w:val="00517B82"/>
    <w:rsid w:val="0052168A"/>
    <w:rsid w:val="00523BEB"/>
    <w:rsid w:val="00524BE2"/>
    <w:rsid w:val="00535592"/>
    <w:rsid w:val="00536220"/>
    <w:rsid w:val="00540548"/>
    <w:rsid w:val="00540FDA"/>
    <w:rsid w:val="0054194F"/>
    <w:rsid w:val="00543CB0"/>
    <w:rsid w:val="00544B76"/>
    <w:rsid w:val="00545DDC"/>
    <w:rsid w:val="005460A2"/>
    <w:rsid w:val="005466A8"/>
    <w:rsid w:val="00547651"/>
    <w:rsid w:val="00551AC0"/>
    <w:rsid w:val="005534BC"/>
    <w:rsid w:val="005636A4"/>
    <w:rsid w:val="00563EF7"/>
    <w:rsid w:val="00564BD0"/>
    <w:rsid w:val="005656FE"/>
    <w:rsid w:val="00567256"/>
    <w:rsid w:val="00567439"/>
    <w:rsid w:val="00572752"/>
    <w:rsid w:val="00572C72"/>
    <w:rsid w:val="0058241D"/>
    <w:rsid w:val="00583421"/>
    <w:rsid w:val="00585381"/>
    <w:rsid w:val="005867A6"/>
    <w:rsid w:val="00586A1A"/>
    <w:rsid w:val="005876EF"/>
    <w:rsid w:val="005903E3"/>
    <w:rsid w:val="005905F6"/>
    <w:rsid w:val="00596B3E"/>
    <w:rsid w:val="005A1593"/>
    <w:rsid w:val="005A29E3"/>
    <w:rsid w:val="005A4859"/>
    <w:rsid w:val="005A5375"/>
    <w:rsid w:val="005A5C33"/>
    <w:rsid w:val="005B0D20"/>
    <w:rsid w:val="005B1E02"/>
    <w:rsid w:val="005B5585"/>
    <w:rsid w:val="005B6272"/>
    <w:rsid w:val="005C1B8A"/>
    <w:rsid w:val="005C3A25"/>
    <w:rsid w:val="005C4E2E"/>
    <w:rsid w:val="005C58F7"/>
    <w:rsid w:val="005C5B13"/>
    <w:rsid w:val="005D0871"/>
    <w:rsid w:val="005D1630"/>
    <w:rsid w:val="005D5BA1"/>
    <w:rsid w:val="005D6471"/>
    <w:rsid w:val="005D7010"/>
    <w:rsid w:val="005D7164"/>
    <w:rsid w:val="005E30B3"/>
    <w:rsid w:val="005E596E"/>
    <w:rsid w:val="005E6173"/>
    <w:rsid w:val="005E62B4"/>
    <w:rsid w:val="005E66B8"/>
    <w:rsid w:val="005F04EA"/>
    <w:rsid w:val="005F1216"/>
    <w:rsid w:val="005F17EB"/>
    <w:rsid w:val="005F2272"/>
    <w:rsid w:val="005F42BE"/>
    <w:rsid w:val="005F4474"/>
    <w:rsid w:val="005F668C"/>
    <w:rsid w:val="00600795"/>
    <w:rsid w:val="00601066"/>
    <w:rsid w:val="006037B1"/>
    <w:rsid w:val="006050D6"/>
    <w:rsid w:val="00606002"/>
    <w:rsid w:val="00607A38"/>
    <w:rsid w:val="00610BCB"/>
    <w:rsid w:val="00612259"/>
    <w:rsid w:val="00615446"/>
    <w:rsid w:val="00615852"/>
    <w:rsid w:val="006161FF"/>
    <w:rsid w:val="00617ECB"/>
    <w:rsid w:val="00621DA3"/>
    <w:rsid w:val="00622E12"/>
    <w:rsid w:val="00623641"/>
    <w:rsid w:val="00623673"/>
    <w:rsid w:val="00624A90"/>
    <w:rsid w:val="00624DFD"/>
    <w:rsid w:val="0062570D"/>
    <w:rsid w:val="00625BE7"/>
    <w:rsid w:val="00631020"/>
    <w:rsid w:val="00632721"/>
    <w:rsid w:val="00632BE4"/>
    <w:rsid w:val="006332CB"/>
    <w:rsid w:val="006335E5"/>
    <w:rsid w:val="00634FEF"/>
    <w:rsid w:val="00641EB6"/>
    <w:rsid w:val="0064330B"/>
    <w:rsid w:val="00643DDE"/>
    <w:rsid w:val="00644355"/>
    <w:rsid w:val="00646744"/>
    <w:rsid w:val="00651516"/>
    <w:rsid w:val="00655ADA"/>
    <w:rsid w:val="006569AA"/>
    <w:rsid w:val="00656EAC"/>
    <w:rsid w:val="00657722"/>
    <w:rsid w:val="006603AA"/>
    <w:rsid w:val="00660846"/>
    <w:rsid w:val="00660886"/>
    <w:rsid w:val="00660EEC"/>
    <w:rsid w:val="0066390F"/>
    <w:rsid w:val="00664757"/>
    <w:rsid w:val="006650DE"/>
    <w:rsid w:val="00665C52"/>
    <w:rsid w:val="006858C0"/>
    <w:rsid w:val="00687575"/>
    <w:rsid w:val="006929E9"/>
    <w:rsid w:val="00692E95"/>
    <w:rsid w:val="006944CC"/>
    <w:rsid w:val="00694AB6"/>
    <w:rsid w:val="006A2F9C"/>
    <w:rsid w:val="006A33AF"/>
    <w:rsid w:val="006A3E8D"/>
    <w:rsid w:val="006A6DCD"/>
    <w:rsid w:val="006A7499"/>
    <w:rsid w:val="006A79E1"/>
    <w:rsid w:val="006A7A5D"/>
    <w:rsid w:val="006B3E48"/>
    <w:rsid w:val="006B46AB"/>
    <w:rsid w:val="006B46BA"/>
    <w:rsid w:val="006B5B78"/>
    <w:rsid w:val="006B7485"/>
    <w:rsid w:val="006C1F1F"/>
    <w:rsid w:val="006C30EC"/>
    <w:rsid w:val="006C42F9"/>
    <w:rsid w:val="006C69FA"/>
    <w:rsid w:val="006D3C81"/>
    <w:rsid w:val="006D7A88"/>
    <w:rsid w:val="006E13AD"/>
    <w:rsid w:val="006E4D21"/>
    <w:rsid w:val="006E4E83"/>
    <w:rsid w:val="006E5ED7"/>
    <w:rsid w:val="006F04CD"/>
    <w:rsid w:val="006F317D"/>
    <w:rsid w:val="006F46A6"/>
    <w:rsid w:val="006F4EBD"/>
    <w:rsid w:val="006F677A"/>
    <w:rsid w:val="006F69AA"/>
    <w:rsid w:val="006F7012"/>
    <w:rsid w:val="007002F5"/>
    <w:rsid w:val="00703191"/>
    <w:rsid w:val="00703557"/>
    <w:rsid w:val="007103C8"/>
    <w:rsid w:val="00710C43"/>
    <w:rsid w:val="00713610"/>
    <w:rsid w:val="00715398"/>
    <w:rsid w:val="00717B67"/>
    <w:rsid w:val="00722A9E"/>
    <w:rsid w:val="00726A94"/>
    <w:rsid w:val="00726E54"/>
    <w:rsid w:val="007313CB"/>
    <w:rsid w:val="00732DBA"/>
    <w:rsid w:val="00736E20"/>
    <w:rsid w:val="007371DA"/>
    <w:rsid w:val="0074070F"/>
    <w:rsid w:val="00744C33"/>
    <w:rsid w:val="00744CD4"/>
    <w:rsid w:val="0075024A"/>
    <w:rsid w:val="007540FB"/>
    <w:rsid w:val="00754CE1"/>
    <w:rsid w:val="00755BF9"/>
    <w:rsid w:val="00762543"/>
    <w:rsid w:val="00762B74"/>
    <w:rsid w:val="007639D4"/>
    <w:rsid w:val="00765703"/>
    <w:rsid w:val="007666CA"/>
    <w:rsid w:val="0077181B"/>
    <w:rsid w:val="00772910"/>
    <w:rsid w:val="00772F56"/>
    <w:rsid w:val="0077449B"/>
    <w:rsid w:val="0077522F"/>
    <w:rsid w:val="00775267"/>
    <w:rsid w:val="00776138"/>
    <w:rsid w:val="007778C1"/>
    <w:rsid w:val="00780956"/>
    <w:rsid w:val="0078188E"/>
    <w:rsid w:val="0078363A"/>
    <w:rsid w:val="00787300"/>
    <w:rsid w:val="0079094F"/>
    <w:rsid w:val="00790FCB"/>
    <w:rsid w:val="00795C0B"/>
    <w:rsid w:val="00796ABC"/>
    <w:rsid w:val="007A08D0"/>
    <w:rsid w:val="007A17B8"/>
    <w:rsid w:val="007A44BD"/>
    <w:rsid w:val="007A50E2"/>
    <w:rsid w:val="007A6076"/>
    <w:rsid w:val="007B3340"/>
    <w:rsid w:val="007B42BD"/>
    <w:rsid w:val="007B4D41"/>
    <w:rsid w:val="007B6A44"/>
    <w:rsid w:val="007B6F76"/>
    <w:rsid w:val="007C0795"/>
    <w:rsid w:val="007C0E1D"/>
    <w:rsid w:val="007C6B05"/>
    <w:rsid w:val="007D2C08"/>
    <w:rsid w:val="007D3475"/>
    <w:rsid w:val="007D5242"/>
    <w:rsid w:val="007E154A"/>
    <w:rsid w:val="007E1628"/>
    <w:rsid w:val="007E661D"/>
    <w:rsid w:val="007E6F77"/>
    <w:rsid w:val="007F33E3"/>
    <w:rsid w:val="007F7C9A"/>
    <w:rsid w:val="00800CFE"/>
    <w:rsid w:val="008011B8"/>
    <w:rsid w:val="00801B89"/>
    <w:rsid w:val="00804ECF"/>
    <w:rsid w:val="00810DC4"/>
    <w:rsid w:val="00814985"/>
    <w:rsid w:val="00821466"/>
    <w:rsid w:val="00825817"/>
    <w:rsid w:val="0082686C"/>
    <w:rsid w:val="008276B8"/>
    <w:rsid w:val="00833995"/>
    <w:rsid w:val="00834B39"/>
    <w:rsid w:val="00835D33"/>
    <w:rsid w:val="008362BD"/>
    <w:rsid w:val="0083699D"/>
    <w:rsid w:val="00837885"/>
    <w:rsid w:val="008406AE"/>
    <w:rsid w:val="00840F44"/>
    <w:rsid w:val="00841DCE"/>
    <w:rsid w:val="00842356"/>
    <w:rsid w:val="00842A9F"/>
    <w:rsid w:val="00843FA0"/>
    <w:rsid w:val="008448AF"/>
    <w:rsid w:val="00851C40"/>
    <w:rsid w:val="00851C48"/>
    <w:rsid w:val="0085445B"/>
    <w:rsid w:val="00856863"/>
    <w:rsid w:val="00857ED0"/>
    <w:rsid w:val="0086018F"/>
    <w:rsid w:val="008604D2"/>
    <w:rsid w:val="00862A1C"/>
    <w:rsid w:val="0086360C"/>
    <w:rsid w:val="008640E8"/>
    <w:rsid w:val="0086431C"/>
    <w:rsid w:val="00865BC6"/>
    <w:rsid w:val="00865D33"/>
    <w:rsid w:val="00866800"/>
    <w:rsid w:val="00866AC7"/>
    <w:rsid w:val="00866C62"/>
    <w:rsid w:val="0087151B"/>
    <w:rsid w:val="00875CAA"/>
    <w:rsid w:val="00877CCD"/>
    <w:rsid w:val="00880C03"/>
    <w:rsid w:val="00881835"/>
    <w:rsid w:val="00881892"/>
    <w:rsid w:val="008841AF"/>
    <w:rsid w:val="008858EA"/>
    <w:rsid w:val="00886546"/>
    <w:rsid w:val="00891585"/>
    <w:rsid w:val="0089282E"/>
    <w:rsid w:val="008A0130"/>
    <w:rsid w:val="008A0CE8"/>
    <w:rsid w:val="008A6899"/>
    <w:rsid w:val="008B13C5"/>
    <w:rsid w:val="008B18E4"/>
    <w:rsid w:val="008B2615"/>
    <w:rsid w:val="008B2A52"/>
    <w:rsid w:val="008B5C60"/>
    <w:rsid w:val="008B73B8"/>
    <w:rsid w:val="008B74FB"/>
    <w:rsid w:val="008C04CA"/>
    <w:rsid w:val="008C109C"/>
    <w:rsid w:val="008C4E14"/>
    <w:rsid w:val="008D01CB"/>
    <w:rsid w:val="008D1286"/>
    <w:rsid w:val="008D539F"/>
    <w:rsid w:val="008D5AFF"/>
    <w:rsid w:val="008E4480"/>
    <w:rsid w:val="008E55D0"/>
    <w:rsid w:val="008E5961"/>
    <w:rsid w:val="008E6BBD"/>
    <w:rsid w:val="008E6E04"/>
    <w:rsid w:val="008E730A"/>
    <w:rsid w:val="008E7576"/>
    <w:rsid w:val="008F4427"/>
    <w:rsid w:val="008F51B8"/>
    <w:rsid w:val="008F6CE5"/>
    <w:rsid w:val="008F6E65"/>
    <w:rsid w:val="008F7B91"/>
    <w:rsid w:val="00902995"/>
    <w:rsid w:val="009044F9"/>
    <w:rsid w:val="0090689D"/>
    <w:rsid w:val="00911BB8"/>
    <w:rsid w:val="009133B9"/>
    <w:rsid w:val="00921D82"/>
    <w:rsid w:val="00923449"/>
    <w:rsid w:val="00923D91"/>
    <w:rsid w:val="00925F33"/>
    <w:rsid w:val="00927C22"/>
    <w:rsid w:val="00927ECF"/>
    <w:rsid w:val="00930D7A"/>
    <w:rsid w:val="00931715"/>
    <w:rsid w:val="00933D4B"/>
    <w:rsid w:val="009431D8"/>
    <w:rsid w:val="0094630F"/>
    <w:rsid w:val="009464B2"/>
    <w:rsid w:val="00947946"/>
    <w:rsid w:val="00950B97"/>
    <w:rsid w:val="00950BD5"/>
    <w:rsid w:val="009510C1"/>
    <w:rsid w:val="00956ED3"/>
    <w:rsid w:val="00962096"/>
    <w:rsid w:val="009660C4"/>
    <w:rsid w:val="00966E27"/>
    <w:rsid w:val="00973227"/>
    <w:rsid w:val="00974767"/>
    <w:rsid w:val="00975346"/>
    <w:rsid w:val="0097546D"/>
    <w:rsid w:val="009802C8"/>
    <w:rsid w:val="0098102E"/>
    <w:rsid w:val="00982FD7"/>
    <w:rsid w:val="00984F0A"/>
    <w:rsid w:val="00985B58"/>
    <w:rsid w:val="00985EB3"/>
    <w:rsid w:val="00986E03"/>
    <w:rsid w:val="00987F69"/>
    <w:rsid w:val="009905FE"/>
    <w:rsid w:val="00990E1E"/>
    <w:rsid w:val="009913D5"/>
    <w:rsid w:val="00992F70"/>
    <w:rsid w:val="00993FAE"/>
    <w:rsid w:val="00996755"/>
    <w:rsid w:val="00996A46"/>
    <w:rsid w:val="00996F91"/>
    <w:rsid w:val="009972BB"/>
    <w:rsid w:val="009A1660"/>
    <w:rsid w:val="009A1E3E"/>
    <w:rsid w:val="009A2E57"/>
    <w:rsid w:val="009A42CC"/>
    <w:rsid w:val="009A4B6D"/>
    <w:rsid w:val="009A5103"/>
    <w:rsid w:val="009A59EB"/>
    <w:rsid w:val="009A7E43"/>
    <w:rsid w:val="009B3568"/>
    <w:rsid w:val="009B4244"/>
    <w:rsid w:val="009C0233"/>
    <w:rsid w:val="009C0A8F"/>
    <w:rsid w:val="009C372F"/>
    <w:rsid w:val="009C66EF"/>
    <w:rsid w:val="009D09DE"/>
    <w:rsid w:val="009D0ED8"/>
    <w:rsid w:val="009D29C2"/>
    <w:rsid w:val="009D5CAC"/>
    <w:rsid w:val="009E45B0"/>
    <w:rsid w:val="009E7E60"/>
    <w:rsid w:val="009F14CC"/>
    <w:rsid w:val="009F7590"/>
    <w:rsid w:val="00A01571"/>
    <w:rsid w:val="00A033A2"/>
    <w:rsid w:val="00A05BF2"/>
    <w:rsid w:val="00A10FDC"/>
    <w:rsid w:val="00A123B8"/>
    <w:rsid w:val="00A13821"/>
    <w:rsid w:val="00A139FB"/>
    <w:rsid w:val="00A15782"/>
    <w:rsid w:val="00A15788"/>
    <w:rsid w:val="00A21AF7"/>
    <w:rsid w:val="00A22913"/>
    <w:rsid w:val="00A25A58"/>
    <w:rsid w:val="00A30829"/>
    <w:rsid w:val="00A30A4B"/>
    <w:rsid w:val="00A30E94"/>
    <w:rsid w:val="00A3590E"/>
    <w:rsid w:val="00A36BAB"/>
    <w:rsid w:val="00A426B3"/>
    <w:rsid w:val="00A43726"/>
    <w:rsid w:val="00A456FC"/>
    <w:rsid w:val="00A51761"/>
    <w:rsid w:val="00A52A62"/>
    <w:rsid w:val="00A53A19"/>
    <w:rsid w:val="00A577EE"/>
    <w:rsid w:val="00A64DB6"/>
    <w:rsid w:val="00A67A66"/>
    <w:rsid w:val="00A67CD3"/>
    <w:rsid w:val="00A67FA3"/>
    <w:rsid w:val="00A67FD5"/>
    <w:rsid w:val="00A70C54"/>
    <w:rsid w:val="00A71530"/>
    <w:rsid w:val="00A72BBB"/>
    <w:rsid w:val="00A76DBE"/>
    <w:rsid w:val="00A77B3C"/>
    <w:rsid w:val="00A81A0C"/>
    <w:rsid w:val="00A84293"/>
    <w:rsid w:val="00A85EBA"/>
    <w:rsid w:val="00A86033"/>
    <w:rsid w:val="00A861F6"/>
    <w:rsid w:val="00A86DCB"/>
    <w:rsid w:val="00A86DFA"/>
    <w:rsid w:val="00A86EE4"/>
    <w:rsid w:val="00A90939"/>
    <w:rsid w:val="00A944FC"/>
    <w:rsid w:val="00A94D0A"/>
    <w:rsid w:val="00AA04FF"/>
    <w:rsid w:val="00AA091B"/>
    <w:rsid w:val="00AA3D68"/>
    <w:rsid w:val="00AB02F4"/>
    <w:rsid w:val="00AB257A"/>
    <w:rsid w:val="00AB30A7"/>
    <w:rsid w:val="00AB3E33"/>
    <w:rsid w:val="00AB4975"/>
    <w:rsid w:val="00AB4EBC"/>
    <w:rsid w:val="00AB6AD6"/>
    <w:rsid w:val="00AB77AD"/>
    <w:rsid w:val="00AC0253"/>
    <w:rsid w:val="00AC0E69"/>
    <w:rsid w:val="00AC18A7"/>
    <w:rsid w:val="00AC1F58"/>
    <w:rsid w:val="00AC6BDF"/>
    <w:rsid w:val="00AD10FC"/>
    <w:rsid w:val="00AD20CA"/>
    <w:rsid w:val="00AD3EED"/>
    <w:rsid w:val="00AD7F53"/>
    <w:rsid w:val="00AE031A"/>
    <w:rsid w:val="00AE1C72"/>
    <w:rsid w:val="00AE3EE6"/>
    <w:rsid w:val="00AE52D9"/>
    <w:rsid w:val="00AE5B93"/>
    <w:rsid w:val="00AE5D60"/>
    <w:rsid w:val="00AF44E3"/>
    <w:rsid w:val="00AF6180"/>
    <w:rsid w:val="00AF7EE2"/>
    <w:rsid w:val="00B02AAA"/>
    <w:rsid w:val="00B070CE"/>
    <w:rsid w:val="00B101A1"/>
    <w:rsid w:val="00B118F4"/>
    <w:rsid w:val="00B125D7"/>
    <w:rsid w:val="00B14052"/>
    <w:rsid w:val="00B167C2"/>
    <w:rsid w:val="00B21674"/>
    <w:rsid w:val="00B269C5"/>
    <w:rsid w:val="00B305A7"/>
    <w:rsid w:val="00B332AC"/>
    <w:rsid w:val="00B336FC"/>
    <w:rsid w:val="00B434B9"/>
    <w:rsid w:val="00B438FB"/>
    <w:rsid w:val="00B45FD5"/>
    <w:rsid w:val="00B5191A"/>
    <w:rsid w:val="00B51E66"/>
    <w:rsid w:val="00B532EA"/>
    <w:rsid w:val="00B560B4"/>
    <w:rsid w:val="00B57821"/>
    <w:rsid w:val="00B57932"/>
    <w:rsid w:val="00B579CD"/>
    <w:rsid w:val="00B61FAB"/>
    <w:rsid w:val="00B634B6"/>
    <w:rsid w:val="00B64947"/>
    <w:rsid w:val="00B65F03"/>
    <w:rsid w:val="00B70031"/>
    <w:rsid w:val="00B73322"/>
    <w:rsid w:val="00B73BCB"/>
    <w:rsid w:val="00B73E25"/>
    <w:rsid w:val="00B74AA0"/>
    <w:rsid w:val="00B74CCD"/>
    <w:rsid w:val="00B759D0"/>
    <w:rsid w:val="00B804FD"/>
    <w:rsid w:val="00B81FBD"/>
    <w:rsid w:val="00B83B0C"/>
    <w:rsid w:val="00B86593"/>
    <w:rsid w:val="00B90C4A"/>
    <w:rsid w:val="00B9279F"/>
    <w:rsid w:val="00B94BC1"/>
    <w:rsid w:val="00B954CF"/>
    <w:rsid w:val="00B96E7B"/>
    <w:rsid w:val="00BA0FA2"/>
    <w:rsid w:val="00BA55A1"/>
    <w:rsid w:val="00BA7FCF"/>
    <w:rsid w:val="00BB25EF"/>
    <w:rsid w:val="00BB3D15"/>
    <w:rsid w:val="00BC09CD"/>
    <w:rsid w:val="00BC2B5E"/>
    <w:rsid w:val="00BC3190"/>
    <w:rsid w:val="00BD0D17"/>
    <w:rsid w:val="00BD1408"/>
    <w:rsid w:val="00BD18C7"/>
    <w:rsid w:val="00BD1AE2"/>
    <w:rsid w:val="00BD2DE6"/>
    <w:rsid w:val="00BD5EC2"/>
    <w:rsid w:val="00BE144A"/>
    <w:rsid w:val="00BE1FC8"/>
    <w:rsid w:val="00BE22DF"/>
    <w:rsid w:val="00BE3037"/>
    <w:rsid w:val="00BE7CB3"/>
    <w:rsid w:val="00BF099F"/>
    <w:rsid w:val="00BF1BAD"/>
    <w:rsid w:val="00BF1DA0"/>
    <w:rsid w:val="00BF43DD"/>
    <w:rsid w:val="00BF52CE"/>
    <w:rsid w:val="00BF5B5F"/>
    <w:rsid w:val="00BF5D10"/>
    <w:rsid w:val="00BF64EF"/>
    <w:rsid w:val="00C03743"/>
    <w:rsid w:val="00C05E99"/>
    <w:rsid w:val="00C06375"/>
    <w:rsid w:val="00C065FF"/>
    <w:rsid w:val="00C117A6"/>
    <w:rsid w:val="00C136BA"/>
    <w:rsid w:val="00C1372E"/>
    <w:rsid w:val="00C16198"/>
    <w:rsid w:val="00C16645"/>
    <w:rsid w:val="00C238AC"/>
    <w:rsid w:val="00C23D3D"/>
    <w:rsid w:val="00C24215"/>
    <w:rsid w:val="00C26508"/>
    <w:rsid w:val="00C27840"/>
    <w:rsid w:val="00C27AC3"/>
    <w:rsid w:val="00C27B94"/>
    <w:rsid w:val="00C27D3C"/>
    <w:rsid w:val="00C31779"/>
    <w:rsid w:val="00C32933"/>
    <w:rsid w:val="00C36184"/>
    <w:rsid w:val="00C362C7"/>
    <w:rsid w:val="00C368F6"/>
    <w:rsid w:val="00C370D4"/>
    <w:rsid w:val="00C3796A"/>
    <w:rsid w:val="00C37B92"/>
    <w:rsid w:val="00C40DBD"/>
    <w:rsid w:val="00C41530"/>
    <w:rsid w:val="00C43491"/>
    <w:rsid w:val="00C44073"/>
    <w:rsid w:val="00C446E7"/>
    <w:rsid w:val="00C453A2"/>
    <w:rsid w:val="00C45B4A"/>
    <w:rsid w:val="00C460BF"/>
    <w:rsid w:val="00C46E78"/>
    <w:rsid w:val="00C47452"/>
    <w:rsid w:val="00C476F0"/>
    <w:rsid w:val="00C51CCD"/>
    <w:rsid w:val="00C52721"/>
    <w:rsid w:val="00C53165"/>
    <w:rsid w:val="00C53698"/>
    <w:rsid w:val="00C5409B"/>
    <w:rsid w:val="00C6145D"/>
    <w:rsid w:val="00C6197A"/>
    <w:rsid w:val="00C61E47"/>
    <w:rsid w:val="00C63F57"/>
    <w:rsid w:val="00C64B68"/>
    <w:rsid w:val="00C67837"/>
    <w:rsid w:val="00C70714"/>
    <w:rsid w:val="00C70958"/>
    <w:rsid w:val="00C713F0"/>
    <w:rsid w:val="00C71FFB"/>
    <w:rsid w:val="00C72624"/>
    <w:rsid w:val="00C72E71"/>
    <w:rsid w:val="00C736CC"/>
    <w:rsid w:val="00C810F7"/>
    <w:rsid w:val="00C81CA8"/>
    <w:rsid w:val="00C84F30"/>
    <w:rsid w:val="00C85049"/>
    <w:rsid w:val="00C85966"/>
    <w:rsid w:val="00C862F1"/>
    <w:rsid w:val="00C9280A"/>
    <w:rsid w:val="00C9282E"/>
    <w:rsid w:val="00CA072C"/>
    <w:rsid w:val="00CA08BF"/>
    <w:rsid w:val="00CA1033"/>
    <w:rsid w:val="00CA2059"/>
    <w:rsid w:val="00CA26A5"/>
    <w:rsid w:val="00CA598C"/>
    <w:rsid w:val="00CB0F8C"/>
    <w:rsid w:val="00CB24D3"/>
    <w:rsid w:val="00CB45AD"/>
    <w:rsid w:val="00CB576C"/>
    <w:rsid w:val="00CB6995"/>
    <w:rsid w:val="00CC03A0"/>
    <w:rsid w:val="00CC0573"/>
    <w:rsid w:val="00CC2EFA"/>
    <w:rsid w:val="00CC3C9B"/>
    <w:rsid w:val="00CC4C08"/>
    <w:rsid w:val="00CC539E"/>
    <w:rsid w:val="00CC5B78"/>
    <w:rsid w:val="00CD2726"/>
    <w:rsid w:val="00CD4519"/>
    <w:rsid w:val="00CD45E6"/>
    <w:rsid w:val="00CD5B51"/>
    <w:rsid w:val="00CE06D2"/>
    <w:rsid w:val="00CE08F2"/>
    <w:rsid w:val="00CE0D57"/>
    <w:rsid w:val="00CE0F9A"/>
    <w:rsid w:val="00CE418C"/>
    <w:rsid w:val="00CE4A57"/>
    <w:rsid w:val="00CE6439"/>
    <w:rsid w:val="00CE7662"/>
    <w:rsid w:val="00CF1874"/>
    <w:rsid w:val="00CF2D49"/>
    <w:rsid w:val="00CF4049"/>
    <w:rsid w:val="00CF616E"/>
    <w:rsid w:val="00CF7654"/>
    <w:rsid w:val="00D02160"/>
    <w:rsid w:val="00D02B28"/>
    <w:rsid w:val="00D03B0C"/>
    <w:rsid w:val="00D0434B"/>
    <w:rsid w:val="00D0785C"/>
    <w:rsid w:val="00D07D75"/>
    <w:rsid w:val="00D12D0C"/>
    <w:rsid w:val="00D14449"/>
    <w:rsid w:val="00D146AB"/>
    <w:rsid w:val="00D15A44"/>
    <w:rsid w:val="00D208FC"/>
    <w:rsid w:val="00D265D4"/>
    <w:rsid w:val="00D2681C"/>
    <w:rsid w:val="00D32BC7"/>
    <w:rsid w:val="00D3520B"/>
    <w:rsid w:val="00D35B69"/>
    <w:rsid w:val="00D40268"/>
    <w:rsid w:val="00D427E1"/>
    <w:rsid w:val="00D45CA1"/>
    <w:rsid w:val="00D460F8"/>
    <w:rsid w:val="00D46599"/>
    <w:rsid w:val="00D55892"/>
    <w:rsid w:val="00D55A2F"/>
    <w:rsid w:val="00D56AE7"/>
    <w:rsid w:val="00D57AEA"/>
    <w:rsid w:val="00D62654"/>
    <w:rsid w:val="00D63B62"/>
    <w:rsid w:val="00D63F23"/>
    <w:rsid w:val="00D66444"/>
    <w:rsid w:val="00D73022"/>
    <w:rsid w:val="00D80B91"/>
    <w:rsid w:val="00D836F4"/>
    <w:rsid w:val="00D83973"/>
    <w:rsid w:val="00D83E19"/>
    <w:rsid w:val="00D847A9"/>
    <w:rsid w:val="00D84F36"/>
    <w:rsid w:val="00D85805"/>
    <w:rsid w:val="00D86A4A"/>
    <w:rsid w:val="00D9175D"/>
    <w:rsid w:val="00D91B78"/>
    <w:rsid w:val="00D92479"/>
    <w:rsid w:val="00D93B75"/>
    <w:rsid w:val="00D94445"/>
    <w:rsid w:val="00D94474"/>
    <w:rsid w:val="00D94C5F"/>
    <w:rsid w:val="00D95A25"/>
    <w:rsid w:val="00D97D9F"/>
    <w:rsid w:val="00DA2D7C"/>
    <w:rsid w:val="00DB0F54"/>
    <w:rsid w:val="00DB23E1"/>
    <w:rsid w:val="00DB4649"/>
    <w:rsid w:val="00DB564B"/>
    <w:rsid w:val="00DB5DC2"/>
    <w:rsid w:val="00DB6A46"/>
    <w:rsid w:val="00DB7139"/>
    <w:rsid w:val="00DC05B8"/>
    <w:rsid w:val="00DC1063"/>
    <w:rsid w:val="00DC3846"/>
    <w:rsid w:val="00DC3929"/>
    <w:rsid w:val="00DD11F5"/>
    <w:rsid w:val="00DD34DC"/>
    <w:rsid w:val="00DE1896"/>
    <w:rsid w:val="00DE362E"/>
    <w:rsid w:val="00DE479A"/>
    <w:rsid w:val="00DE47B0"/>
    <w:rsid w:val="00DE57EC"/>
    <w:rsid w:val="00DE640A"/>
    <w:rsid w:val="00DE6DF3"/>
    <w:rsid w:val="00DE73C5"/>
    <w:rsid w:val="00DF0151"/>
    <w:rsid w:val="00DF213D"/>
    <w:rsid w:val="00DF28B5"/>
    <w:rsid w:val="00DF28BE"/>
    <w:rsid w:val="00DF2CD9"/>
    <w:rsid w:val="00DF2F63"/>
    <w:rsid w:val="00DF62BC"/>
    <w:rsid w:val="00DF6744"/>
    <w:rsid w:val="00DF677C"/>
    <w:rsid w:val="00E03DC8"/>
    <w:rsid w:val="00E03F2E"/>
    <w:rsid w:val="00E130A1"/>
    <w:rsid w:val="00E1405B"/>
    <w:rsid w:val="00E14A1F"/>
    <w:rsid w:val="00E224E0"/>
    <w:rsid w:val="00E25498"/>
    <w:rsid w:val="00E26C69"/>
    <w:rsid w:val="00E307C8"/>
    <w:rsid w:val="00E311F8"/>
    <w:rsid w:val="00E31930"/>
    <w:rsid w:val="00E3235B"/>
    <w:rsid w:val="00E3439F"/>
    <w:rsid w:val="00E34882"/>
    <w:rsid w:val="00E36A3A"/>
    <w:rsid w:val="00E37A8D"/>
    <w:rsid w:val="00E400DA"/>
    <w:rsid w:val="00E41067"/>
    <w:rsid w:val="00E42E5D"/>
    <w:rsid w:val="00E458F4"/>
    <w:rsid w:val="00E47A00"/>
    <w:rsid w:val="00E47ED8"/>
    <w:rsid w:val="00E51094"/>
    <w:rsid w:val="00E5342C"/>
    <w:rsid w:val="00E60C26"/>
    <w:rsid w:val="00E62465"/>
    <w:rsid w:val="00E63B11"/>
    <w:rsid w:val="00E66BAA"/>
    <w:rsid w:val="00E70097"/>
    <w:rsid w:val="00E703D0"/>
    <w:rsid w:val="00E71FC6"/>
    <w:rsid w:val="00E738FD"/>
    <w:rsid w:val="00E74A1E"/>
    <w:rsid w:val="00E76D94"/>
    <w:rsid w:val="00E77AB7"/>
    <w:rsid w:val="00E8028E"/>
    <w:rsid w:val="00E81EFB"/>
    <w:rsid w:val="00E84A4D"/>
    <w:rsid w:val="00E84BFB"/>
    <w:rsid w:val="00E864FF"/>
    <w:rsid w:val="00E9101E"/>
    <w:rsid w:val="00E95A99"/>
    <w:rsid w:val="00E97BCB"/>
    <w:rsid w:val="00EA2999"/>
    <w:rsid w:val="00EA7456"/>
    <w:rsid w:val="00EB27A4"/>
    <w:rsid w:val="00EB2F62"/>
    <w:rsid w:val="00EB4B1A"/>
    <w:rsid w:val="00EB5B7D"/>
    <w:rsid w:val="00EB6469"/>
    <w:rsid w:val="00EB78D8"/>
    <w:rsid w:val="00EB7986"/>
    <w:rsid w:val="00EC19A1"/>
    <w:rsid w:val="00EC2468"/>
    <w:rsid w:val="00EC46CD"/>
    <w:rsid w:val="00EC5553"/>
    <w:rsid w:val="00EC7953"/>
    <w:rsid w:val="00ED0C12"/>
    <w:rsid w:val="00ED2523"/>
    <w:rsid w:val="00ED4192"/>
    <w:rsid w:val="00ED6DCA"/>
    <w:rsid w:val="00ED7EDD"/>
    <w:rsid w:val="00EE252D"/>
    <w:rsid w:val="00EE2EF3"/>
    <w:rsid w:val="00EE502E"/>
    <w:rsid w:val="00EE647A"/>
    <w:rsid w:val="00EE6831"/>
    <w:rsid w:val="00EE7729"/>
    <w:rsid w:val="00EF2A03"/>
    <w:rsid w:val="00EF2AB3"/>
    <w:rsid w:val="00EF30CE"/>
    <w:rsid w:val="00EF6FF6"/>
    <w:rsid w:val="00F00DEE"/>
    <w:rsid w:val="00F010EA"/>
    <w:rsid w:val="00F035A6"/>
    <w:rsid w:val="00F04010"/>
    <w:rsid w:val="00F04356"/>
    <w:rsid w:val="00F10532"/>
    <w:rsid w:val="00F10ECC"/>
    <w:rsid w:val="00F133AE"/>
    <w:rsid w:val="00F1370F"/>
    <w:rsid w:val="00F14688"/>
    <w:rsid w:val="00F1556D"/>
    <w:rsid w:val="00F1574A"/>
    <w:rsid w:val="00F22661"/>
    <w:rsid w:val="00F272B3"/>
    <w:rsid w:val="00F277BB"/>
    <w:rsid w:val="00F27818"/>
    <w:rsid w:val="00F31031"/>
    <w:rsid w:val="00F33650"/>
    <w:rsid w:val="00F3488E"/>
    <w:rsid w:val="00F3503C"/>
    <w:rsid w:val="00F3554E"/>
    <w:rsid w:val="00F35B8B"/>
    <w:rsid w:val="00F37243"/>
    <w:rsid w:val="00F40881"/>
    <w:rsid w:val="00F432AB"/>
    <w:rsid w:val="00F44136"/>
    <w:rsid w:val="00F445EC"/>
    <w:rsid w:val="00F45782"/>
    <w:rsid w:val="00F45D04"/>
    <w:rsid w:val="00F45E27"/>
    <w:rsid w:val="00F47ECB"/>
    <w:rsid w:val="00F50383"/>
    <w:rsid w:val="00F52F39"/>
    <w:rsid w:val="00F60352"/>
    <w:rsid w:val="00F62F15"/>
    <w:rsid w:val="00F6440B"/>
    <w:rsid w:val="00F66436"/>
    <w:rsid w:val="00F7000C"/>
    <w:rsid w:val="00F716D7"/>
    <w:rsid w:val="00F7245E"/>
    <w:rsid w:val="00F724E5"/>
    <w:rsid w:val="00F731E4"/>
    <w:rsid w:val="00F80ACF"/>
    <w:rsid w:val="00F80EE0"/>
    <w:rsid w:val="00F8494D"/>
    <w:rsid w:val="00F875A9"/>
    <w:rsid w:val="00F87B9D"/>
    <w:rsid w:val="00F926B4"/>
    <w:rsid w:val="00F93366"/>
    <w:rsid w:val="00F94182"/>
    <w:rsid w:val="00FA40AF"/>
    <w:rsid w:val="00FA5AAD"/>
    <w:rsid w:val="00FA7192"/>
    <w:rsid w:val="00FA7FB8"/>
    <w:rsid w:val="00FB1431"/>
    <w:rsid w:val="00FB2826"/>
    <w:rsid w:val="00FB7E47"/>
    <w:rsid w:val="00FC1D27"/>
    <w:rsid w:val="00FC292F"/>
    <w:rsid w:val="00FC2CC0"/>
    <w:rsid w:val="00FC3430"/>
    <w:rsid w:val="00FC3DEC"/>
    <w:rsid w:val="00FC4FC7"/>
    <w:rsid w:val="00FC6BF0"/>
    <w:rsid w:val="00FD1B27"/>
    <w:rsid w:val="00FD3489"/>
    <w:rsid w:val="00FD6D2F"/>
    <w:rsid w:val="00FD7BC7"/>
    <w:rsid w:val="00FE4415"/>
    <w:rsid w:val="00FF42A2"/>
    <w:rsid w:val="00FF5B5D"/>
    <w:rsid w:val="00FF67F5"/>
    <w:rsid w:val="00FF6F00"/>
    <w:rsid w:val="00FF720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320B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link w:val="Heading1Char"/>
    <w:uiPriority w:val="9"/>
    <w:qFormat/>
    <w:rsid w:val="00C45B4A"/>
    <w:pPr>
      <w:spacing w:before="100" w:beforeAutospacing="1" w:after="100" w:afterAutospacing="1"/>
      <w:outlineLvl w:val="0"/>
    </w:pPr>
    <w:rPr>
      <w:rFonts w:ascii="Times" w:hAnsi="Times"/>
      <w:b/>
      <w:bCs/>
      <w:kern w:val="36"/>
      <w:sz w:val="48"/>
      <w:szCs w:val="48"/>
      <w:lang w:val="es-ES_tradnl"/>
    </w:rPr>
  </w:style>
  <w:style w:type="paragraph" w:styleId="Heading2">
    <w:name w:val="heading 2"/>
    <w:basedOn w:val="Normal"/>
    <w:next w:val="Normal"/>
    <w:link w:val="Heading2Char"/>
    <w:uiPriority w:val="9"/>
    <w:semiHidden/>
    <w:unhideWhenUsed/>
    <w:qFormat/>
    <w:rsid w:val="005E62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03D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7F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60EEC"/>
  </w:style>
  <w:style w:type="character" w:customStyle="1" w:styleId="il">
    <w:name w:val="il"/>
    <w:basedOn w:val="DefaultParagraphFont"/>
    <w:rsid w:val="00660EEC"/>
  </w:style>
  <w:style w:type="character" w:customStyle="1" w:styleId="Heading1Char">
    <w:name w:val="Heading 1 Char"/>
    <w:basedOn w:val="DefaultParagraphFont"/>
    <w:link w:val="Heading1"/>
    <w:uiPriority w:val="9"/>
    <w:rsid w:val="00C45B4A"/>
    <w:rPr>
      <w:rFonts w:ascii="Times" w:hAnsi="Times"/>
      <w:b/>
      <w:bCs/>
      <w:kern w:val="36"/>
      <w:sz w:val="48"/>
      <w:szCs w:val="48"/>
    </w:rPr>
  </w:style>
  <w:style w:type="character" w:styleId="Hyperlink">
    <w:name w:val="Hyperlink"/>
    <w:basedOn w:val="DefaultParagraphFont"/>
    <w:uiPriority w:val="99"/>
    <w:unhideWhenUsed/>
    <w:rsid w:val="00C45B4A"/>
    <w:rPr>
      <w:color w:val="0000FF"/>
      <w:u w:val="single"/>
    </w:rPr>
  </w:style>
  <w:style w:type="character" w:customStyle="1" w:styleId="highlight">
    <w:name w:val="highlight"/>
    <w:basedOn w:val="DefaultParagraphFont"/>
    <w:rsid w:val="00C45B4A"/>
  </w:style>
  <w:style w:type="character" w:styleId="Emphasis">
    <w:name w:val="Emphasis"/>
    <w:basedOn w:val="DefaultParagraphFont"/>
    <w:uiPriority w:val="20"/>
    <w:qFormat/>
    <w:rsid w:val="00037EF8"/>
    <w:rPr>
      <w:i/>
      <w:iCs/>
    </w:rPr>
  </w:style>
  <w:style w:type="paragraph" w:styleId="NormalWeb">
    <w:name w:val="Normal (Web)"/>
    <w:basedOn w:val="Normal"/>
    <w:uiPriority w:val="99"/>
    <w:semiHidden/>
    <w:unhideWhenUsed/>
    <w:rsid w:val="003E2E1E"/>
    <w:pPr>
      <w:spacing w:before="100" w:beforeAutospacing="1" w:after="100" w:afterAutospacing="1"/>
    </w:pPr>
    <w:rPr>
      <w:rFonts w:ascii="Times" w:hAnsi="Times" w:cs="Times New Roman"/>
      <w:sz w:val="20"/>
      <w:szCs w:val="20"/>
      <w:lang w:val="es-ES_tradnl"/>
    </w:rPr>
  </w:style>
  <w:style w:type="character" w:styleId="Strong">
    <w:name w:val="Strong"/>
    <w:basedOn w:val="DefaultParagraphFont"/>
    <w:uiPriority w:val="22"/>
    <w:qFormat/>
    <w:rsid w:val="003E2E1E"/>
    <w:rPr>
      <w:b/>
      <w:bCs/>
    </w:rPr>
  </w:style>
  <w:style w:type="character" w:styleId="PlaceholderText">
    <w:name w:val="Placeholder Text"/>
    <w:basedOn w:val="DefaultParagraphFont"/>
    <w:uiPriority w:val="99"/>
    <w:semiHidden/>
    <w:rsid w:val="006A7499"/>
    <w:rPr>
      <w:color w:val="808080"/>
    </w:rPr>
  </w:style>
  <w:style w:type="paragraph" w:styleId="BalloonText">
    <w:name w:val="Balloon Text"/>
    <w:basedOn w:val="Normal"/>
    <w:link w:val="BalloonTextChar"/>
    <w:uiPriority w:val="99"/>
    <w:semiHidden/>
    <w:unhideWhenUsed/>
    <w:rsid w:val="006A74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499"/>
    <w:rPr>
      <w:rFonts w:ascii="Lucida Grande" w:hAnsi="Lucida Grande" w:cs="Lucida Grande"/>
      <w:sz w:val="18"/>
      <w:szCs w:val="18"/>
      <w:lang w:val="en-US"/>
    </w:rPr>
  </w:style>
  <w:style w:type="paragraph" w:styleId="ListParagraph">
    <w:name w:val="List Paragraph"/>
    <w:basedOn w:val="Normal"/>
    <w:uiPriority w:val="34"/>
    <w:qFormat/>
    <w:rsid w:val="00875CAA"/>
    <w:pPr>
      <w:ind w:left="720"/>
      <w:contextualSpacing/>
    </w:pPr>
  </w:style>
  <w:style w:type="paragraph" w:customStyle="1" w:styleId="desc">
    <w:name w:val="desc"/>
    <w:basedOn w:val="Normal"/>
    <w:rsid w:val="00267252"/>
    <w:pPr>
      <w:spacing w:before="100" w:beforeAutospacing="1" w:after="100" w:afterAutospacing="1"/>
    </w:pPr>
    <w:rPr>
      <w:rFonts w:ascii="Times" w:hAnsi="Times"/>
      <w:sz w:val="20"/>
      <w:szCs w:val="20"/>
      <w:lang w:val="es-ES_tradnl"/>
    </w:rPr>
  </w:style>
  <w:style w:type="paragraph" w:customStyle="1" w:styleId="details">
    <w:name w:val="details"/>
    <w:basedOn w:val="Normal"/>
    <w:rsid w:val="00267252"/>
    <w:pPr>
      <w:spacing w:before="100" w:beforeAutospacing="1" w:after="100" w:afterAutospacing="1"/>
    </w:pPr>
    <w:rPr>
      <w:rFonts w:ascii="Times" w:hAnsi="Times"/>
      <w:sz w:val="20"/>
      <w:szCs w:val="20"/>
      <w:lang w:val="es-ES_tradnl"/>
    </w:rPr>
  </w:style>
  <w:style w:type="character" w:customStyle="1" w:styleId="jrnl">
    <w:name w:val="jrnl"/>
    <w:basedOn w:val="DefaultParagraphFont"/>
    <w:rsid w:val="00267252"/>
  </w:style>
  <w:style w:type="character" w:customStyle="1" w:styleId="ref-journal">
    <w:name w:val="ref-journal"/>
    <w:basedOn w:val="DefaultParagraphFont"/>
    <w:rsid w:val="007B6F76"/>
  </w:style>
  <w:style w:type="character" w:customStyle="1" w:styleId="ref-vol">
    <w:name w:val="ref-vol"/>
    <w:basedOn w:val="DefaultParagraphFont"/>
    <w:rsid w:val="007B6F76"/>
  </w:style>
  <w:style w:type="character" w:styleId="FollowedHyperlink">
    <w:name w:val="FollowedHyperlink"/>
    <w:basedOn w:val="DefaultParagraphFont"/>
    <w:uiPriority w:val="99"/>
    <w:semiHidden/>
    <w:unhideWhenUsed/>
    <w:rsid w:val="00033DB8"/>
    <w:rPr>
      <w:color w:val="800080" w:themeColor="followedHyperlink"/>
      <w:u w:val="single"/>
    </w:rPr>
  </w:style>
  <w:style w:type="character" w:customStyle="1" w:styleId="cit">
    <w:name w:val="cit"/>
    <w:basedOn w:val="DefaultParagraphFont"/>
    <w:rsid w:val="00C70714"/>
  </w:style>
  <w:style w:type="character" w:customStyle="1" w:styleId="doi">
    <w:name w:val="doi"/>
    <w:basedOn w:val="DefaultParagraphFont"/>
    <w:rsid w:val="00C70714"/>
  </w:style>
  <w:style w:type="character" w:customStyle="1" w:styleId="fm-citation-ids-label">
    <w:name w:val="fm-citation-ids-label"/>
    <w:basedOn w:val="DefaultParagraphFont"/>
    <w:rsid w:val="00C70714"/>
  </w:style>
  <w:style w:type="paragraph" w:styleId="Title">
    <w:name w:val="Title"/>
    <w:aliases w:val="title"/>
    <w:basedOn w:val="Normal"/>
    <w:link w:val="TitleChar"/>
    <w:uiPriority w:val="10"/>
    <w:qFormat/>
    <w:rsid w:val="00B5191A"/>
    <w:pPr>
      <w:spacing w:before="100" w:beforeAutospacing="1" w:after="100" w:afterAutospacing="1"/>
    </w:pPr>
    <w:rPr>
      <w:rFonts w:ascii="Times" w:hAnsi="Times"/>
      <w:sz w:val="20"/>
      <w:szCs w:val="20"/>
      <w:lang w:val="es-ES_tradnl"/>
    </w:rPr>
  </w:style>
  <w:style w:type="character" w:customStyle="1" w:styleId="TitleChar">
    <w:name w:val="Title Char"/>
    <w:aliases w:val="title Char"/>
    <w:basedOn w:val="DefaultParagraphFont"/>
    <w:link w:val="Title"/>
    <w:uiPriority w:val="10"/>
    <w:rsid w:val="00B5191A"/>
    <w:rPr>
      <w:rFonts w:ascii="Times" w:hAnsi="Times"/>
      <w:sz w:val="20"/>
      <w:szCs w:val="20"/>
    </w:rPr>
  </w:style>
  <w:style w:type="character" w:customStyle="1" w:styleId="Heading2Char">
    <w:name w:val="Heading 2 Char"/>
    <w:basedOn w:val="DefaultParagraphFont"/>
    <w:link w:val="Heading2"/>
    <w:uiPriority w:val="9"/>
    <w:semiHidden/>
    <w:rsid w:val="005E62B4"/>
    <w:rPr>
      <w:rFonts w:asciiTheme="majorHAnsi" w:eastAsiaTheme="majorEastAsia" w:hAnsiTheme="majorHAnsi" w:cstheme="majorBidi"/>
      <w:b/>
      <w:bCs/>
      <w:color w:val="4F81BD" w:themeColor="accent1"/>
      <w:sz w:val="26"/>
      <w:szCs w:val="26"/>
      <w:lang w:val="en-US"/>
    </w:rPr>
  </w:style>
  <w:style w:type="paragraph" w:customStyle="1" w:styleId="svarticle">
    <w:name w:val="svarticle"/>
    <w:basedOn w:val="Normal"/>
    <w:rsid w:val="005E62B4"/>
    <w:pPr>
      <w:spacing w:before="100" w:beforeAutospacing="1" w:after="100" w:afterAutospacing="1"/>
    </w:pPr>
    <w:rPr>
      <w:rFonts w:ascii="Times" w:hAnsi="Times"/>
      <w:sz w:val="20"/>
      <w:szCs w:val="20"/>
      <w:lang w:val="es-ES_tradnl"/>
    </w:rPr>
  </w:style>
  <w:style w:type="character" w:customStyle="1" w:styleId="Heading4Char">
    <w:name w:val="Heading 4 Char"/>
    <w:basedOn w:val="DefaultParagraphFont"/>
    <w:link w:val="Heading4"/>
    <w:uiPriority w:val="9"/>
    <w:semiHidden/>
    <w:rsid w:val="00987F69"/>
    <w:rPr>
      <w:rFonts w:asciiTheme="majorHAnsi" w:eastAsiaTheme="majorEastAsia" w:hAnsiTheme="majorHAnsi" w:cstheme="majorBidi"/>
      <w:b/>
      <w:bCs/>
      <w:i/>
      <w:iCs/>
      <w:color w:val="4F81BD" w:themeColor="accent1"/>
      <w:lang w:val="en-US"/>
    </w:rPr>
  </w:style>
  <w:style w:type="paragraph" w:styleId="Header">
    <w:name w:val="header"/>
    <w:basedOn w:val="Normal"/>
    <w:link w:val="HeaderChar"/>
    <w:uiPriority w:val="99"/>
    <w:unhideWhenUsed/>
    <w:rsid w:val="00CC5B78"/>
    <w:pPr>
      <w:tabs>
        <w:tab w:val="center" w:pos="4153"/>
        <w:tab w:val="right" w:pos="8306"/>
      </w:tabs>
    </w:pPr>
  </w:style>
  <w:style w:type="character" w:customStyle="1" w:styleId="HeaderChar">
    <w:name w:val="Header Char"/>
    <w:basedOn w:val="DefaultParagraphFont"/>
    <w:link w:val="Header"/>
    <w:uiPriority w:val="99"/>
    <w:rsid w:val="00CC5B78"/>
    <w:rPr>
      <w:lang w:val="en-US"/>
    </w:rPr>
  </w:style>
  <w:style w:type="paragraph" w:styleId="Footer">
    <w:name w:val="footer"/>
    <w:basedOn w:val="Normal"/>
    <w:link w:val="FooterChar"/>
    <w:uiPriority w:val="99"/>
    <w:unhideWhenUsed/>
    <w:rsid w:val="00CC5B78"/>
    <w:pPr>
      <w:tabs>
        <w:tab w:val="center" w:pos="4153"/>
        <w:tab w:val="right" w:pos="8306"/>
      </w:tabs>
    </w:pPr>
  </w:style>
  <w:style w:type="character" w:customStyle="1" w:styleId="FooterChar">
    <w:name w:val="Footer Char"/>
    <w:basedOn w:val="DefaultParagraphFont"/>
    <w:link w:val="Footer"/>
    <w:uiPriority w:val="99"/>
    <w:rsid w:val="00CC5B78"/>
    <w:rPr>
      <w:lang w:val="en-US"/>
    </w:rPr>
  </w:style>
  <w:style w:type="character" w:customStyle="1" w:styleId="Heading3Char">
    <w:name w:val="Heading 3 Char"/>
    <w:basedOn w:val="DefaultParagraphFont"/>
    <w:link w:val="Heading3"/>
    <w:uiPriority w:val="9"/>
    <w:semiHidden/>
    <w:rsid w:val="00403D48"/>
    <w:rPr>
      <w:rFonts w:asciiTheme="majorHAnsi" w:eastAsiaTheme="majorEastAsia" w:hAnsiTheme="majorHAnsi" w:cstheme="majorBidi"/>
      <w:b/>
      <w:bCs/>
      <w:color w:val="4F81BD" w:themeColor="accent1"/>
      <w:lang w:val="en-US"/>
    </w:rPr>
  </w:style>
  <w:style w:type="character" w:styleId="PageNumber">
    <w:name w:val="page number"/>
    <w:basedOn w:val="DefaultParagraphFont"/>
    <w:uiPriority w:val="99"/>
    <w:semiHidden/>
    <w:unhideWhenUsed/>
    <w:rsid w:val="00281C38"/>
  </w:style>
  <w:style w:type="table" w:styleId="TableGrid">
    <w:name w:val="Table Grid"/>
    <w:basedOn w:val="TableNormal"/>
    <w:uiPriority w:val="59"/>
    <w:rsid w:val="00276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1855BA"/>
  </w:style>
  <w:style w:type="character" w:customStyle="1" w:styleId="nowrap">
    <w:name w:val="nowrap"/>
    <w:basedOn w:val="DefaultParagraphFont"/>
    <w:rsid w:val="00187DB9"/>
  </w:style>
  <w:style w:type="character" w:customStyle="1" w:styleId="mb">
    <w:name w:val="mb"/>
    <w:basedOn w:val="DefaultParagraphFont"/>
    <w:rsid w:val="007F33E3"/>
  </w:style>
  <w:style w:type="character" w:customStyle="1" w:styleId="label">
    <w:name w:val="label"/>
    <w:basedOn w:val="DefaultParagraphFont"/>
    <w:rsid w:val="001032A0"/>
  </w:style>
  <w:style w:type="character" w:styleId="CommentReference">
    <w:name w:val="annotation reference"/>
    <w:basedOn w:val="DefaultParagraphFont"/>
    <w:uiPriority w:val="99"/>
    <w:semiHidden/>
    <w:unhideWhenUsed/>
    <w:rsid w:val="00E458F4"/>
    <w:rPr>
      <w:sz w:val="21"/>
      <w:szCs w:val="21"/>
    </w:rPr>
  </w:style>
  <w:style w:type="paragraph" w:styleId="CommentText">
    <w:name w:val="annotation text"/>
    <w:basedOn w:val="Normal"/>
    <w:link w:val="CommentTextChar"/>
    <w:unhideWhenUsed/>
    <w:rsid w:val="00E458F4"/>
  </w:style>
  <w:style w:type="character" w:customStyle="1" w:styleId="CommentTextChar">
    <w:name w:val="Comment Text Char"/>
    <w:basedOn w:val="DefaultParagraphFont"/>
    <w:link w:val="CommentText"/>
    <w:rsid w:val="00E458F4"/>
    <w:rPr>
      <w:lang w:val="en-US"/>
    </w:rPr>
  </w:style>
  <w:style w:type="paragraph" w:styleId="CommentSubject">
    <w:name w:val="annotation subject"/>
    <w:basedOn w:val="CommentText"/>
    <w:next w:val="CommentText"/>
    <w:link w:val="CommentSubjectChar"/>
    <w:uiPriority w:val="99"/>
    <w:semiHidden/>
    <w:unhideWhenUsed/>
    <w:rsid w:val="00D57AEA"/>
    <w:rPr>
      <w:b/>
      <w:bCs/>
    </w:rPr>
  </w:style>
  <w:style w:type="character" w:customStyle="1" w:styleId="CommentSubjectChar">
    <w:name w:val="Comment Subject Char"/>
    <w:basedOn w:val="CommentTextChar"/>
    <w:link w:val="CommentSubject"/>
    <w:uiPriority w:val="99"/>
    <w:semiHidden/>
    <w:rsid w:val="00D57AEA"/>
    <w:rPr>
      <w:b/>
      <w:bCs/>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link w:val="Heading1Char"/>
    <w:uiPriority w:val="9"/>
    <w:qFormat/>
    <w:rsid w:val="00C45B4A"/>
    <w:pPr>
      <w:spacing w:before="100" w:beforeAutospacing="1" w:after="100" w:afterAutospacing="1"/>
      <w:outlineLvl w:val="0"/>
    </w:pPr>
    <w:rPr>
      <w:rFonts w:ascii="Times" w:hAnsi="Times"/>
      <w:b/>
      <w:bCs/>
      <w:kern w:val="36"/>
      <w:sz w:val="48"/>
      <w:szCs w:val="48"/>
      <w:lang w:val="es-ES_tradnl"/>
    </w:rPr>
  </w:style>
  <w:style w:type="paragraph" w:styleId="Heading2">
    <w:name w:val="heading 2"/>
    <w:basedOn w:val="Normal"/>
    <w:next w:val="Normal"/>
    <w:link w:val="Heading2Char"/>
    <w:uiPriority w:val="9"/>
    <w:semiHidden/>
    <w:unhideWhenUsed/>
    <w:qFormat/>
    <w:rsid w:val="005E62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03D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7F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60EEC"/>
  </w:style>
  <w:style w:type="character" w:customStyle="1" w:styleId="il">
    <w:name w:val="il"/>
    <w:basedOn w:val="DefaultParagraphFont"/>
    <w:rsid w:val="00660EEC"/>
  </w:style>
  <w:style w:type="character" w:customStyle="1" w:styleId="Heading1Char">
    <w:name w:val="Heading 1 Char"/>
    <w:basedOn w:val="DefaultParagraphFont"/>
    <w:link w:val="Heading1"/>
    <w:uiPriority w:val="9"/>
    <w:rsid w:val="00C45B4A"/>
    <w:rPr>
      <w:rFonts w:ascii="Times" w:hAnsi="Times"/>
      <w:b/>
      <w:bCs/>
      <w:kern w:val="36"/>
      <w:sz w:val="48"/>
      <w:szCs w:val="48"/>
    </w:rPr>
  </w:style>
  <w:style w:type="character" w:styleId="Hyperlink">
    <w:name w:val="Hyperlink"/>
    <w:basedOn w:val="DefaultParagraphFont"/>
    <w:uiPriority w:val="99"/>
    <w:unhideWhenUsed/>
    <w:rsid w:val="00C45B4A"/>
    <w:rPr>
      <w:color w:val="0000FF"/>
      <w:u w:val="single"/>
    </w:rPr>
  </w:style>
  <w:style w:type="character" w:customStyle="1" w:styleId="highlight">
    <w:name w:val="highlight"/>
    <w:basedOn w:val="DefaultParagraphFont"/>
    <w:rsid w:val="00C45B4A"/>
  </w:style>
  <w:style w:type="character" w:styleId="Emphasis">
    <w:name w:val="Emphasis"/>
    <w:basedOn w:val="DefaultParagraphFont"/>
    <w:uiPriority w:val="20"/>
    <w:qFormat/>
    <w:rsid w:val="00037EF8"/>
    <w:rPr>
      <w:i/>
      <w:iCs/>
    </w:rPr>
  </w:style>
  <w:style w:type="paragraph" w:styleId="NormalWeb">
    <w:name w:val="Normal (Web)"/>
    <w:basedOn w:val="Normal"/>
    <w:uiPriority w:val="99"/>
    <w:semiHidden/>
    <w:unhideWhenUsed/>
    <w:rsid w:val="003E2E1E"/>
    <w:pPr>
      <w:spacing w:before="100" w:beforeAutospacing="1" w:after="100" w:afterAutospacing="1"/>
    </w:pPr>
    <w:rPr>
      <w:rFonts w:ascii="Times" w:hAnsi="Times" w:cs="Times New Roman"/>
      <w:sz w:val="20"/>
      <w:szCs w:val="20"/>
      <w:lang w:val="es-ES_tradnl"/>
    </w:rPr>
  </w:style>
  <w:style w:type="character" w:styleId="Strong">
    <w:name w:val="Strong"/>
    <w:basedOn w:val="DefaultParagraphFont"/>
    <w:uiPriority w:val="22"/>
    <w:qFormat/>
    <w:rsid w:val="003E2E1E"/>
    <w:rPr>
      <w:b/>
      <w:bCs/>
    </w:rPr>
  </w:style>
  <w:style w:type="character" w:styleId="PlaceholderText">
    <w:name w:val="Placeholder Text"/>
    <w:basedOn w:val="DefaultParagraphFont"/>
    <w:uiPriority w:val="99"/>
    <w:semiHidden/>
    <w:rsid w:val="006A7499"/>
    <w:rPr>
      <w:color w:val="808080"/>
    </w:rPr>
  </w:style>
  <w:style w:type="paragraph" w:styleId="BalloonText">
    <w:name w:val="Balloon Text"/>
    <w:basedOn w:val="Normal"/>
    <w:link w:val="BalloonTextChar"/>
    <w:uiPriority w:val="99"/>
    <w:semiHidden/>
    <w:unhideWhenUsed/>
    <w:rsid w:val="006A74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499"/>
    <w:rPr>
      <w:rFonts w:ascii="Lucida Grande" w:hAnsi="Lucida Grande" w:cs="Lucida Grande"/>
      <w:sz w:val="18"/>
      <w:szCs w:val="18"/>
      <w:lang w:val="en-US"/>
    </w:rPr>
  </w:style>
  <w:style w:type="paragraph" w:styleId="ListParagraph">
    <w:name w:val="List Paragraph"/>
    <w:basedOn w:val="Normal"/>
    <w:uiPriority w:val="34"/>
    <w:qFormat/>
    <w:rsid w:val="00875CAA"/>
    <w:pPr>
      <w:ind w:left="720"/>
      <w:contextualSpacing/>
    </w:pPr>
  </w:style>
  <w:style w:type="paragraph" w:customStyle="1" w:styleId="desc">
    <w:name w:val="desc"/>
    <w:basedOn w:val="Normal"/>
    <w:rsid w:val="00267252"/>
    <w:pPr>
      <w:spacing w:before="100" w:beforeAutospacing="1" w:after="100" w:afterAutospacing="1"/>
    </w:pPr>
    <w:rPr>
      <w:rFonts w:ascii="Times" w:hAnsi="Times"/>
      <w:sz w:val="20"/>
      <w:szCs w:val="20"/>
      <w:lang w:val="es-ES_tradnl"/>
    </w:rPr>
  </w:style>
  <w:style w:type="paragraph" w:customStyle="1" w:styleId="details">
    <w:name w:val="details"/>
    <w:basedOn w:val="Normal"/>
    <w:rsid w:val="00267252"/>
    <w:pPr>
      <w:spacing w:before="100" w:beforeAutospacing="1" w:after="100" w:afterAutospacing="1"/>
    </w:pPr>
    <w:rPr>
      <w:rFonts w:ascii="Times" w:hAnsi="Times"/>
      <w:sz w:val="20"/>
      <w:szCs w:val="20"/>
      <w:lang w:val="es-ES_tradnl"/>
    </w:rPr>
  </w:style>
  <w:style w:type="character" w:customStyle="1" w:styleId="jrnl">
    <w:name w:val="jrnl"/>
    <w:basedOn w:val="DefaultParagraphFont"/>
    <w:rsid w:val="00267252"/>
  </w:style>
  <w:style w:type="character" w:customStyle="1" w:styleId="ref-journal">
    <w:name w:val="ref-journal"/>
    <w:basedOn w:val="DefaultParagraphFont"/>
    <w:rsid w:val="007B6F76"/>
  </w:style>
  <w:style w:type="character" w:customStyle="1" w:styleId="ref-vol">
    <w:name w:val="ref-vol"/>
    <w:basedOn w:val="DefaultParagraphFont"/>
    <w:rsid w:val="007B6F76"/>
  </w:style>
  <w:style w:type="character" w:styleId="FollowedHyperlink">
    <w:name w:val="FollowedHyperlink"/>
    <w:basedOn w:val="DefaultParagraphFont"/>
    <w:uiPriority w:val="99"/>
    <w:semiHidden/>
    <w:unhideWhenUsed/>
    <w:rsid w:val="00033DB8"/>
    <w:rPr>
      <w:color w:val="800080" w:themeColor="followedHyperlink"/>
      <w:u w:val="single"/>
    </w:rPr>
  </w:style>
  <w:style w:type="character" w:customStyle="1" w:styleId="cit">
    <w:name w:val="cit"/>
    <w:basedOn w:val="DefaultParagraphFont"/>
    <w:rsid w:val="00C70714"/>
  </w:style>
  <w:style w:type="character" w:customStyle="1" w:styleId="doi">
    <w:name w:val="doi"/>
    <w:basedOn w:val="DefaultParagraphFont"/>
    <w:rsid w:val="00C70714"/>
  </w:style>
  <w:style w:type="character" w:customStyle="1" w:styleId="fm-citation-ids-label">
    <w:name w:val="fm-citation-ids-label"/>
    <w:basedOn w:val="DefaultParagraphFont"/>
    <w:rsid w:val="00C70714"/>
  </w:style>
  <w:style w:type="paragraph" w:styleId="Title">
    <w:name w:val="Title"/>
    <w:aliases w:val="title"/>
    <w:basedOn w:val="Normal"/>
    <w:link w:val="TitleChar"/>
    <w:uiPriority w:val="10"/>
    <w:qFormat/>
    <w:rsid w:val="00B5191A"/>
    <w:pPr>
      <w:spacing w:before="100" w:beforeAutospacing="1" w:after="100" w:afterAutospacing="1"/>
    </w:pPr>
    <w:rPr>
      <w:rFonts w:ascii="Times" w:hAnsi="Times"/>
      <w:sz w:val="20"/>
      <w:szCs w:val="20"/>
      <w:lang w:val="es-ES_tradnl"/>
    </w:rPr>
  </w:style>
  <w:style w:type="character" w:customStyle="1" w:styleId="TitleChar">
    <w:name w:val="Title Char"/>
    <w:aliases w:val="title Char"/>
    <w:basedOn w:val="DefaultParagraphFont"/>
    <w:link w:val="Title"/>
    <w:uiPriority w:val="10"/>
    <w:rsid w:val="00B5191A"/>
    <w:rPr>
      <w:rFonts w:ascii="Times" w:hAnsi="Times"/>
      <w:sz w:val="20"/>
      <w:szCs w:val="20"/>
    </w:rPr>
  </w:style>
  <w:style w:type="character" w:customStyle="1" w:styleId="Heading2Char">
    <w:name w:val="Heading 2 Char"/>
    <w:basedOn w:val="DefaultParagraphFont"/>
    <w:link w:val="Heading2"/>
    <w:uiPriority w:val="9"/>
    <w:semiHidden/>
    <w:rsid w:val="005E62B4"/>
    <w:rPr>
      <w:rFonts w:asciiTheme="majorHAnsi" w:eastAsiaTheme="majorEastAsia" w:hAnsiTheme="majorHAnsi" w:cstheme="majorBidi"/>
      <w:b/>
      <w:bCs/>
      <w:color w:val="4F81BD" w:themeColor="accent1"/>
      <w:sz w:val="26"/>
      <w:szCs w:val="26"/>
      <w:lang w:val="en-US"/>
    </w:rPr>
  </w:style>
  <w:style w:type="paragraph" w:customStyle="1" w:styleId="svarticle">
    <w:name w:val="svarticle"/>
    <w:basedOn w:val="Normal"/>
    <w:rsid w:val="005E62B4"/>
    <w:pPr>
      <w:spacing w:before="100" w:beforeAutospacing="1" w:after="100" w:afterAutospacing="1"/>
    </w:pPr>
    <w:rPr>
      <w:rFonts w:ascii="Times" w:hAnsi="Times"/>
      <w:sz w:val="20"/>
      <w:szCs w:val="20"/>
      <w:lang w:val="es-ES_tradnl"/>
    </w:rPr>
  </w:style>
  <w:style w:type="character" w:customStyle="1" w:styleId="Heading4Char">
    <w:name w:val="Heading 4 Char"/>
    <w:basedOn w:val="DefaultParagraphFont"/>
    <w:link w:val="Heading4"/>
    <w:uiPriority w:val="9"/>
    <w:semiHidden/>
    <w:rsid w:val="00987F69"/>
    <w:rPr>
      <w:rFonts w:asciiTheme="majorHAnsi" w:eastAsiaTheme="majorEastAsia" w:hAnsiTheme="majorHAnsi" w:cstheme="majorBidi"/>
      <w:b/>
      <w:bCs/>
      <w:i/>
      <w:iCs/>
      <w:color w:val="4F81BD" w:themeColor="accent1"/>
      <w:lang w:val="en-US"/>
    </w:rPr>
  </w:style>
  <w:style w:type="paragraph" w:styleId="Header">
    <w:name w:val="header"/>
    <w:basedOn w:val="Normal"/>
    <w:link w:val="HeaderChar"/>
    <w:uiPriority w:val="99"/>
    <w:unhideWhenUsed/>
    <w:rsid w:val="00CC5B78"/>
    <w:pPr>
      <w:tabs>
        <w:tab w:val="center" w:pos="4153"/>
        <w:tab w:val="right" w:pos="8306"/>
      </w:tabs>
    </w:pPr>
  </w:style>
  <w:style w:type="character" w:customStyle="1" w:styleId="HeaderChar">
    <w:name w:val="Header Char"/>
    <w:basedOn w:val="DefaultParagraphFont"/>
    <w:link w:val="Header"/>
    <w:uiPriority w:val="99"/>
    <w:rsid w:val="00CC5B78"/>
    <w:rPr>
      <w:lang w:val="en-US"/>
    </w:rPr>
  </w:style>
  <w:style w:type="paragraph" w:styleId="Footer">
    <w:name w:val="footer"/>
    <w:basedOn w:val="Normal"/>
    <w:link w:val="FooterChar"/>
    <w:uiPriority w:val="99"/>
    <w:unhideWhenUsed/>
    <w:rsid w:val="00CC5B78"/>
    <w:pPr>
      <w:tabs>
        <w:tab w:val="center" w:pos="4153"/>
        <w:tab w:val="right" w:pos="8306"/>
      </w:tabs>
    </w:pPr>
  </w:style>
  <w:style w:type="character" w:customStyle="1" w:styleId="FooterChar">
    <w:name w:val="Footer Char"/>
    <w:basedOn w:val="DefaultParagraphFont"/>
    <w:link w:val="Footer"/>
    <w:uiPriority w:val="99"/>
    <w:rsid w:val="00CC5B78"/>
    <w:rPr>
      <w:lang w:val="en-US"/>
    </w:rPr>
  </w:style>
  <w:style w:type="character" w:customStyle="1" w:styleId="Heading3Char">
    <w:name w:val="Heading 3 Char"/>
    <w:basedOn w:val="DefaultParagraphFont"/>
    <w:link w:val="Heading3"/>
    <w:uiPriority w:val="9"/>
    <w:semiHidden/>
    <w:rsid w:val="00403D48"/>
    <w:rPr>
      <w:rFonts w:asciiTheme="majorHAnsi" w:eastAsiaTheme="majorEastAsia" w:hAnsiTheme="majorHAnsi" w:cstheme="majorBidi"/>
      <w:b/>
      <w:bCs/>
      <w:color w:val="4F81BD" w:themeColor="accent1"/>
      <w:lang w:val="en-US"/>
    </w:rPr>
  </w:style>
  <w:style w:type="character" w:styleId="PageNumber">
    <w:name w:val="page number"/>
    <w:basedOn w:val="DefaultParagraphFont"/>
    <w:uiPriority w:val="99"/>
    <w:semiHidden/>
    <w:unhideWhenUsed/>
    <w:rsid w:val="00281C38"/>
  </w:style>
  <w:style w:type="table" w:styleId="TableGrid">
    <w:name w:val="Table Grid"/>
    <w:basedOn w:val="TableNormal"/>
    <w:uiPriority w:val="59"/>
    <w:rsid w:val="00276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1855BA"/>
  </w:style>
  <w:style w:type="character" w:customStyle="1" w:styleId="nowrap">
    <w:name w:val="nowrap"/>
    <w:basedOn w:val="DefaultParagraphFont"/>
    <w:rsid w:val="00187DB9"/>
  </w:style>
  <w:style w:type="character" w:customStyle="1" w:styleId="mb">
    <w:name w:val="mb"/>
    <w:basedOn w:val="DefaultParagraphFont"/>
    <w:rsid w:val="007F33E3"/>
  </w:style>
  <w:style w:type="character" w:customStyle="1" w:styleId="label">
    <w:name w:val="label"/>
    <w:basedOn w:val="DefaultParagraphFont"/>
    <w:rsid w:val="001032A0"/>
  </w:style>
  <w:style w:type="character" w:styleId="CommentReference">
    <w:name w:val="annotation reference"/>
    <w:basedOn w:val="DefaultParagraphFont"/>
    <w:uiPriority w:val="99"/>
    <w:semiHidden/>
    <w:unhideWhenUsed/>
    <w:rsid w:val="00E458F4"/>
    <w:rPr>
      <w:sz w:val="21"/>
      <w:szCs w:val="21"/>
    </w:rPr>
  </w:style>
  <w:style w:type="paragraph" w:styleId="CommentText">
    <w:name w:val="annotation text"/>
    <w:basedOn w:val="Normal"/>
    <w:link w:val="CommentTextChar"/>
    <w:unhideWhenUsed/>
    <w:rsid w:val="00E458F4"/>
  </w:style>
  <w:style w:type="character" w:customStyle="1" w:styleId="CommentTextChar">
    <w:name w:val="Comment Text Char"/>
    <w:basedOn w:val="DefaultParagraphFont"/>
    <w:link w:val="CommentText"/>
    <w:rsid w:val="00E458F4"/>
    <w:rPr>
      <w:lang w:val="en-US"/>
    </w:rPr>
  </w:style>
  <w:style w:type="paragraph" w:styleId="CommentSubject">
    <w:name w:val="annotation subject"/>
    <w:basedOn w:val="CommentText"/>
    <w:next w:val="CommentText"/>
    <w:link w:val="CommentSubjectChar"/>
    <w:uiPriority w:val="99"/>
    <w:semiHidden/>
    <w:unhideWhenUsed/>
    <w:rsid w:val="00D57AEA"/>
    <w:rPr>
      <w:b/>
      <w:bCs/>
    </w:rPr>
  </w:style>
  <w:style w:type="character" w:customStyle="1" w:styleId="CommentSubjectChar">
    <w:name w:val="Comment Subject Char"/>
    <w:basedOn w:val="CommentTextChar"/>
    <w:link w:val="CommentSubject"/>
    <w:uiPriority w:val="99"/>
    <w:semiHidden/>
    <w:rsid w:val="00D57AEA"/>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301">
      <w:bodyDiv w:val="1"/>
      <w:marLeft w:val="0"/>
      <w:marRight w:val="0"/>
      <w:marTop w:val="0"/>
      <w:marBottom w:val="0"/>
      <w:divBdr>
        <w:top w:val="none" w:sz="0" w:space="0" w:color="auto"/>
        <w:left w:val="none" w:sz="0" w:space="0" w:color="auto"/>
        <w:bottom w:val="none" w:sz="0" w:space="0" w:color="auto"/>
        <w:right w:val="none" w:sz="0" w:space="0" w:color="auto"/>
      </w:divBdr>
    </w:div>
    <w:div w:id="5403577">
      <w:bodyDiv w:val="1"/>
      <w:marLeft w:val="0"/>
      <w:marRight w:val="0"/>
      <w:marTop w:val="0"/>
      <w:marBottom w:val="0"/>
      <w:divBdr>
        <w:top w:val="none" w:sz="0" w:space="0" w:color="auto"/>
        <w:left w:val="none" w:sz="0" w:space="0" w:color="auto"/>
        <w:bottom w:val="none" w:sz="0" w:space="0" w:color="auto"/>
        <w:right w:val="none" w:sz="0" w:space="0" w:color="auto"/>
      </w:divBdr>
    </w:div>
    <w:div w:id="9261571">
      <w:bodyDiv w:val="1"/>
      <w:marLeft w:val="0"/>
      <w:marRight w:val="0"/>
      <w:marTop w:val="0"/>
      <w:marBottom w:val="0"/>
      <w:divBdr>
        <w:top w:val="none" w:sz="0" w:space="0" w:color="auto"/>
        <w:left w:val="none" w:sz="0" w:space="0" w:color="auto"/>
        <w:bottom w:val="none" w:sz="0" w:space="0" w:color="auto"/>
        <w:right w:val="none" w:sz="0" w:space="0" w:color="auto"/>
      </w:divBdr>
    </w:div>
    <w:div w:id="12852384">
      <w:bodyDiv w:val="1"/>
      <w:marLeft w:val="0"/>
      <w:marRight w:val="0"/>
      <w:marTop w:val="0"/>
      <w:marBottom w:val="0"/>
      <w:divBdr>
        <w:top w:val="none" w:sz="0" w:space="0" w:color="auto"/>
        <w:left w:val="none" w:sz="0" w:space="0" w:color="auto"/>
        <w:bottom w:val="none" w:sz="0" w:space="0" w:color="auto"/>
        <w:right w:val="none" w:sz="0" w:space="0" w:color="auto"/>
      </w:divBdr>
    </w:div>
    <w:div w:id="15931972">
      <w:bodyDiv w:val="1"/>
      <w:marLeft w:val="0"/>
      <w:marRight w:val="0"/>
      <w:marTop w:val="0"/>
      <w:marBottom w:val="0"/>
      <w:divBdr>
        <w:top w:val="none" w:sz="0" w:space="0" w:color="auto"/>
        <w:left w:val="none" w:sz="0" w:space="0" w:color="auto"/>
        <w:bottom w:val="none" w:sz="0" w:space="0" w:color="auto"/>
        <w:right w:val="none" w:sz="0" w:space="0" w:color="auto"/>
      </w:divBdr>
    </w:div>
    <w:div w:id="28720821">
      <w:bodyDiv w:val="1"/>
      <w:marLeft w:val="0"/>
      <w:marRight w:val="0"/>
      <w:marTop w:val="0"/>
      <w:marBottom w:val="0"/>
      <w:divBdr>
        <w:top w:val="none" w:sz="0" w:space="0" w:color="auto"/>
        <w:left w:val="none" w:sz="0" w:space="0" w:color="auto"/>
        <w:bottom w:val="none" w:sz="0" w:space="0" w:color="auto"/>
        <w:right w:val="none" w:sz="0" w:space="0" w:color="auto"/>
      </w:divBdr>
    </w:div>
    <w:div w:id="31925979">
      <w:bodyDiv w:val="1"/>
      <w:marLeft w:val="0"/>
      <w:marRight w:val="0"/>
      <w:marTop w:val="0"/>
      <w:marBottom w:val="0"/>
      <w:divBdr>
        <w:top w:val="none" w:sz="0" w:space="0" w:color="auto"/>
        <w:left w:val="none" w:sz="0" w:space="0" w:color="auto"/>
        <w:bottom w:val="none" w:sz="0" w:space="0" w:color="auto"/>
        <w:right w:val="none" w:sz="0" w:space="0" w:color="auto"/>
      </w:divBdr>
    </w:div>
    <w:div w:id="32316443">
      <w:bodyDiv w:val="1"/>
      <w:marLeft w:val="0"/>
      <w:marRight w:val="0"/>
      <w:marTop w:val="0"/>
      <w:marBottom w:val="0"/>
      <w:divBdr>
        <w:top w:val="none" w:sz="0" w:space="0" w:color="auto"/>
        <w:left w:val="none" w:sz="0" w:space="0" w:color="auto"/>
        <w:bottom w:val="none" w:sz="0" w:space="0" w:color="auto"/>
        <w:right w:val="none" w:sz="0" w:space="0" w:color="auto"/>
      </w:divBdr>
    </w:div>
    <w:div w:id="41947046">
      <w:bodyDiv w:val="1"/>
      <w:marLeft w:val="0"/>
      <w:marRight w:val="0"/>
      <w:marTop w:val="0"/>
      <w:marBottom w:val="0"/>
      <w:divBdr>
        <w:top w:val="none" w:sz="0" w:space="0" w:color="auto"/>
        <w:left w:val="none" w:sz="0" w:space="0" w:color="auto"/>
        <w:bottom w:val="none" w:sz="0" w:space="0" w:color="auto"/>
        <w:right w:val="none" w:sz="0" w:space="0" w:color="auto"/>
      </w:divBdr>
    </w:div>
    <w:div w:id="46343168">
      <w:bodyDiv w:val="1"/>
      <w:marLeft w:val="0"/>
      <w:marRight w:val="0"/>
      <w:marTop w:val="0"/>
      <w:marBottom w:val="0"/>
      <w:divBdr>
        <w:top w:val="none" w:sz="0" w:space="0" w:color="auto"/>
        <w:left w:val="none" w:sz="0" w:space="0" w:color="auto"/>
        <w:bottom w:val="none" w:sz="0" w:space="0" w:color="auto"/>
        <w:right w:val="none" w:sz="0" w:space="0" w:color="auto"/>
      </w:divBdr>
    </w:div>
    <w:div w:id="50814198">
      <w:bodyDiv w:val="1"/>
      <w:marLeft w:val="0"/>
      <w:marRight w:val="0"/>
      <w:marTop w:val="0"/>
      <w:marBottom w:val="0"/>
      <w:divBdr>
        <w:top w:val="none" w:sz="0" w:space="0" w:color="auto"/>
        <w:left w:val="none" w:sz="0" w:space="0" w:color="auto"/>
        <w:bottom w:val="none" w:sz="0" w:space="0" w:color="auto"/>
        <w:right w:val="none" w:sz="0" w:space="0" w:color="auto"/>
      </w:divBdr>
    </w:div>
    <w:div w:id="53818285">
      <w:bodyDiv w:val="1"/>
      <w:marLeft w:val="0"/>
      <w:marRight w:val="0"/>
      <w:marTop w:val="0"/>
      <w:marBottom w:val="0"/>
      <w:divBdr>
        <w:top w:val="none" w:sz="0" w:space="0" w:color="auto"/>
        <w:left w:val="none" w:sz="0" w:space="0" w:color="auto"/>
        <w:bottom w:val="none" w:sz="0" w:space="0" w:color="auto"/>
        <w:right w:val="none" w:sz="0" w:space="0" w:color="auto"/>
      </w:divBdr>
    </w:div>
    <w:div w:id="56251890">
      <w:bodyDiv w:val="1"/>
      <w:marLeft w:val="0"/>
      <w:marRight w:val="0"/>
      <w:marTop w:val="0"/>
      <w:marBottom w:val="0"/>
      <w:divBdr>
        <w:top w:val="none" w:sz="0" w:space="0" w:color="auto"/>
        <w:left w:val="none" w:sz="0" w:space="0" w:color="auto"/>
        <w:bottom w:val="none" w:sz="0" w:space="0" w:color="auto"/>
        <w:right w:val="none" w:sz="0" w:space="0" w:color="auto"/>
      </w:divBdr>
    </w:div>
    <w:div w:id="66416416">
      <w:bodyDiv w:val="1"/>
      <w:marLeft w:val="0"/>
      <w:marRight w:val="0"/>
      <w:marTop w:val="0"/>
      <w:marBottom w:val="0"/>
      <w:divBdr>
        <w:top w:val="none" w:sz="0" w:space="0" w:color="auto"/>
        <w:left w:val="none" w:sz="0" w:space="0" w:color="auto"/>
        <w:bottom w:val="none" w:sz="0" w:space="0" w:color="auto"/>
        <w:right w:val="none" w:sz="0" w:space="0" w:color="auto"/>
      </w:divBdr>
    </w:div>
    <w:div w:id="67843842">
      <w:bodyDiv w:val="1"/>
      <w:marLeft w:val="0"/>
      <w:marRight w:val="0"/>
      <w:marTop w:val="0"/>
      <w:marBottom w:val="0"/>
      <w:divBdr>
        <w:top w:val="none" w:sz="0" w:space="0" w:color="auto"/>
        <w:left w:val="none" w:sz="0" w:space="0" w:color="auto"/>
        <w:bottom w:val="none" w:sz="0" w:space="0" w:color="auto"/>
        <w:right w:val="none" w:sz="0" w:space="0" w:color="auto"/>
      </w:divBdr>
    </w:div>
    <w:div w:id="70397388">
      <w:bodyDiv w:val="1"/>
      <w:marLeft w:val="0"/>
      <w:marRight w:val="0"/>
      <w:marTop w:val="0"/>
      <w:marBottom w:val="0"/>
      <w:divBdr>
        <w:top w:val="none" w:sz="0" w:space="0" w:color="auto"/>
        <w:left w:val="none" w:sz="0" w:space="0" w:color="auto"/>
        <w:bottom w:val="none" w:sz="0" w:space="0" w:color="auto"/>
        <w:right w:val="none" w:sz="0" w:space="0" w:color="auto"/>
      </w:divBdr>
    </w:div>
    <w:div w:id="81486944">
      <w:bodyDiv w:val="1"/>
      <w:marLeft w:val="0"/>
      <w:marRight w:val="0"/>
      <w:marTop w:val="0"/>
      <w:marBottom w:val="0"/>
      <w:divBdr>
        <w:top w:val="none" w:sz="0" w:space="0" w:color="auto"/>
        <w:left w:val="none" w:sz="0" w:space="0" w:color="auto"/>
        <w:bottom w:val="none" w:sz="0" w:space="0" w:color="auto"/>
        <w:right w:val="none" w:sz="0" w:space="0" w:color="auto"/>
      </w:divBdr>
    </w:div>
    <w:div w:id="83504042">
      <w:bodyDiv w:val="1"/>
      <w:marLeft w:val="0"/>
      <w:marRight w:val="0"/>
      <w:marTop w:val="0"/>
      <w:marBottom w:val="0"/>
      <w:divBdr>
        <w:top w:val="none" w:sz="0" w:space="0" w:color="auto"/>
        <w:left w:val="none" w:sz="0" w:space="0" w:color="auto"/>
        <w:bottom w:val="none" w:sz="0" w:space="0" w:color="auto"/>
        <w:right w:val="none" w:sz="0" w:space="0" w:color="auto"/>
      </w:divBdr>
    </w:div>
    <w:div w:id="95640485">
      <w:bodyDiv w:val="1"/>
      <w:marLeft w:val="0"/>
      <w:marRight w:val="0"/>
      <w:marTop w:val="0"/>
      <w:marBottom w:val="0"/>
      <w:divBdr>
        <w:top w:val="none" w:sz="0" w:space="0" w:color="auto"/>
        <w:left w:val="none" w:sz="0" w:space="0" w:color="auto"/>
        <w:bottom w:val="none" w:sz="0" w:space="0" w:color="auto"/>
        <w:right w:val="none" w:sz="0" w:space="0" w:color="auto"/>
      </w:divBdr>
    </w:div>
    <w:div w:id="96412989">
      <w:bodyDiv w:val="1"/>
      <w:marLeft w:val="0"/>
      <w:marRight w:val="0"/>
      <w:marTop w:val="0"/>
      <w:marBottom w:val="0"/>
      <w:divBdr>
        <w:top w:val="none" w:sz="0" w:space="0" w:color="auto"/>
        <w:left w:val="none" w:sz="0" w:space="0" w:color="auto"/>
        <w:bottom w:val="none" w:sz="0" w:space="0" w:color="auto"/>
        <w:right w:val="none" w:sz="0" w:space="0" w:color="auto"/>
      </w:divBdr>
    </w:div>
    <w:div w:id="97146967">
      <w:bodyDiv w:val="1"/>
      <w:marLeft w:val="0"/>
      <w:marRight w:val="0"/>
      <w:marTop w:val="0"/>
      <w:marBottom w:val="0"/>
      <w:divBdr>
        <w:top w:val="none" w:sz="0" w:space="0" w:color="auto"/>
        <w:left w:val="none" w:sz="0" w:space="0" w:color="auto"/>
        <w:bottom w:val="none" w:sz="0" w:space="0" w:color="auto"/>
        <w:right w:val="none" w:sz="0" w:space="0" w:color="auto"/>
      </w:divBdr>
    </w:div>
    <w:div w:id="98448017">
      <w:bodyDiv w:val="1"/>
      <w:marLeft w:val="0"/>
      <w:marRight w:val="0"/>
      <w:marTop w:val="0"/>
      <w:marBottom w:val="0"/>
      <w:divBdr>
        <w:top w:val="none" w:sz="0" w:space="0" w:color="auto"/>
        <w:left w:val="none" w:sz="0" w:space="0" w:color="auto"/>
        <w:bottom w:val="none" w:sz="0" w:space="0" w:color="auto"/>
        <w:right w:val="none" w:sz="0" w:space="0" w:color="auto"/>
      </w:divBdr>
    </w:div>
    <w:div w:id="101610689">
      <w:bodyDiv w:val="1"/>
      <w:marLeft w:val="0"/>
      <w:marRight w:val="0"/>
      <w:marTop w:val="0"/>
      <w:marBottom w:val="0"/>
      <w:divBdr>
        <w:top w:val="none" w:sz="0" w:space="0" w:color="auto"/>
        <w:left w:val="none" w:sz="0" w:space="0" w:color="auto"/>
        <w:bottom w:val="none" w:sz="0" w:space="0" w:color="auto"/>
        <w:right w:val="none" w:sz="0" w:space="0" w:color="auto"/>
      </w:divBdr>
    </w:div>
    <w:div w:id="104623879">
      <w:bodyDiv w:val="1"/>
      <w:marLeft w:val="0"/>
      <w:marRight w:val="0"/>
      <w:marTop w:val="0"/>
      <w:marBottom w:val="0"/>
      <w:divBdr>
        <w:top w:val="none" w:sz="0" w:space="0" w:color="auto"/>
        <w:left w:val="none" w:sz="0" w:space="0" w:color="auto"/>
        <w:bottom w:val="none" w:sz="0" w:space="0" w:color="auto"/>
        <w:right w:val="none" w:sz="0" w:space="0" w:color="auto"/>
      </w:divBdr>
    </w:div>
    <w:div w:id="108744328">
      <w:bodyDiv w:val="1"/>
      <w:marLeft w:val="0"/>
      <w:marRight w:val="0"/>
      <w:marTop w:val="0"/>
      <w:marBottom w:val="0"/>
      <w:divBdr>
        <w:top w:val="none" w:sz="0" w:space="0" w:color="auto"/>
        <w:left w:val="none" w:sz="0" w:space="0" w:color="auto"/>
        <w:bottom w:val="none" w:sz="0" w:space="0" w:color="auto"/>
        <w:right w:val="none" w:sz="0" w:space="0" w:color="auto"/>
      </w:divBdr>
    </w:div>
    <w:div w:id="114645144">
      <w:bodyDiv w:val="1"/>
      <w:marLeft w:val="0"/>
      <w:marRight w:val="0"/>
      <w:marTop w:val="0"/>
      <w:marBottom w:val="0"/>
      <w:divBdr>
        <w:top w:val="none" w:sz="0" w:space="0" w:color="auto"/>
        <w:left w:val="none" w:sz="0" w:space="0" w:color="auto"/>
        <w:bottom w:val="none" w:sz="0" w:space="0" w:color="auto"/>
        <w:right w:val="none" w:sz="0" w:space="0" w:color="auto"/>
      </w:divBdr>
      <w:divsChild>
        <w:div w:id="1979261129">
          <w:marLeft w:val="0"/>
          <w:marRight w:val="0"/>
          <w:marTop w:val="0"/>
          <w:marBottom w:val="0"/>
          <w:divBdr>
            <w:top w:val="none" w:sz="0" w:space="0" w:color="auto"/>
            <w:left w:val="none" w:sz="0" w:space="0" w:color="auto"/>
            <w:bottom w:val="none" w:sz="0" w:space="0" w:color="auto"/>
            <w:right w:val="none" w:sz="0" w:space="0" w:color="auto"/>
          </w:divBdr>
        </w:div>
        <w:div w:id="1534268188">
          <w:marLeft w:val="0"/>
          <w:marRight w:val="0"/>
          <w:marTop w:val="0"/>
          <w:marBottom w:val="0"/>
          <w:divBdr>
            <w:top w:val="none" w:sz="0" w:space="0" w:color="auto"/>
            <w:left w:val="none" w:sz="0" w:space="0" w:color="auto"/>
            <w:bottom w:val="none" w:sz="0" w:space="0" w:color="auto"/>
            <w:right w:val="none" w:sz="0" w:space="0" w:color="auto"/>
          </w:divBdr>
        </w:div>
        <w:div w:id="907810796">
          <w:marLeft w:val="0"/>
          <w:marRight w:val="0"/>
          <w:marTop w:val="0"/>
          <w:marBottom w:val="0"/>
          <w:divBdr>
            <w:top w:val="none" w:sz="0" w:space="0" w:color="auto"/>
            <w:left w:val="none" w:sz="0" w:space="0" w:color="auto"/>
            <w:bottom w:val="none" w:sz="0" w:space="0" w:color="auto"/>
            <w:right w:val="none" w:sz="0" w:space="0" w:color="auto"/>
          </w:divBdr>
        </w:div>
        <w:div w:id="1049187365">
          <w:marLeft w:val="0"/>
          <w:marRight w:val="0"/>
          <w:marTop w:val="0"/>
          <w:marBottom w:val="0"/>
          <w:divBdr>
            <w:top w:val="none" w:sz="0" w:space="0" w:color="auto"/>
            <w:left w:val="none" w:sz="0" w:space="0" w:color="auto"/>
            <w:bottom w:val="none" w:sz="0" w:space="0" w:color="auto"/>
            <w:right w:val="none" w:sz="0" w:space="0" w:color="auto"/>
          </w:divBdr>
        </w:div>
        <w:div w:id="924071969">
          <w:marLeft w:val="0"/>
          <w:marRight w:val="0"/>
          <w:marTop w:val="0"/>
          <w:marBottom w:val="0"/>
          <w:divBdr>
            <w:top w:val="none" w:sz="0" w:space="0" w:color="auto"/>
            <w:left w:val="none" w:sz="0" w:space="0" w:color="auto"/>
            <w:bottom w:val="none" w:sz="0" w:space="0" w:color="auto"/>
            <w:right w:val="none" w:sz="0" w:space="0" w:color="auto"/>
          </w:divBdr>
        </w:div>
        <w:div w:id="1624116731">
          <w:marLeft w:val="0"/>
          <w:marRight w:val="0"/>
          <w:marTop w:val="0"/>
          <w:marBottom w:val="0"/>
          <w:divBdr>
            <w:top w:val="none" w:sz="0" w:space="0" w:color="auto"/>
            <w:left w:val="none" w:sz="0" w:space="0" w:color="auto"/>
            <w:bottom w:val="none" w:sz="0" w:space="0" w:color="auto"/>
            <w:right w:val="none" w:sz="0" w:space="0" w:color="auto"/>
          </w:divBdr>
        </w:div>
        <w:div w:id="1898467702">
          <w:marLeft w:val="0"/>
          <w:marRight w:val="0"/>
          <w:marTop w:val="0"/>
          <w:marBottom w:val="0"/>
          <w:divBdr>
            <w:top w:val="none" w:sz="0" w:space="0" w:color="auto"/>
            <w:left w:val="none" w:sz="0" w:space="0" w:color="auto"/>
            <w:bottom w:val="none" w:sz="0" w:space="0" w:color="auto"/>
            <w:right w:val="none" w:sz="0" w:space="0" w:color="auto"/>
          </w:divBdr>
        </w:div>
        <w:div w:id="730618681">
          <w:marLeft w:val="0"/>
          <w:marRight w:val="0"/>
          <w:marTop w:val="0"/>
          <w:marBottom w:val="0"/>
          <w:divBdr>
            <w:top w:val="none" w:sz="0" w:space="0" w:color="auto"/>
            <w:left w:val="none" w:sz="0" w:space="0" w:color="auto"/>
            <w:bottom w:val="none" w:sz="0" w:space="0" w:color="auto"/>
            <w:right w:val="none" w:sz="0" w:space="0" w:color="auto"/>
          </w:divBdr>
        </w:div>
        <w:div w:id="1214270961">
          <w:marLeft w:val="0"/>
          <w:marRight w:val="0"/>
          <w:marTop w:val="0"/>
          <w:marBottom w:val="0"/>
          <w:divBdr>
            <w:top w:val="none" w:sz="0" w:space="0" w:color="auto"/>
            <w:left w:val="none" w:sz="0" w:space="0" w:color="auto"/>
            <w:bottom w:val="none" w:sz="0" w:space="0" w:color="auto"/>
            <w:right w:val="none" w:sz="0" w:space="0" w:color="auto"/>
          </w:divBdr>
        </w:div>
        <w:div w:id="744717172">
          <w:marLeft w:val="0"/>
          <w:marRight w:val="0"/>
          <w:marTop w:val="0"/>
          <w:marBottom w:val="0"/>
          <w:divBdr>
            <w:top w:val="none" w:sz="0" w:space="0" w:color="auto"/>
            <w:left w:val="none" w:sz="0" w:space="0" w:color="auto"/>
            <w:bottom w:val="none" w:sz="0" w:space="0" w:color="auto"/>
            <w:right w:val="none" w:sz="0" w:space="0" w:color="auto"/>
          </w:divBdr>
        </w:div>
        <w:div w:id="1331521806">
          <w:marLeft w:val="0"/>
          <w:marRight w:val="0"/>
          <w:marTop w:val="0"/>
          <w:marBottom w:val="0"/>
          <w:divBdr>
            <w:top w:val="none" w:sz="0" w:space="0" w:color="auto"/>
            <w:left w:val="none" w:sz="0" w:space="0" w:color="auto"/>
            <w:bottom w:val="none" w:sz="0" w:space="0" w:color="auto"/>
            <w:right w:val="none" w:sz="0" w:space="0" w:color="auto"/>
          </w:divBdr>
        </w:div>
        <w:div w:id="1692880148">
          <w:marLeft w:val="0"/>
          <w:marRight w:val="0"/>
          <w:marTop w:val="0"/>
          <w:marBottom w:val="0"/>
          <w:divBdr>
            <w:top w:val="none" w:sz="0" w:space="0" w:color="auto"/>
            <w:left w:val="none" w:sz="0" w:space="0" w:color="auto"/>
            <w:bottom w:val="none" w:sz="0" w:space="0" w:color="auto"/>
            <w:right w:val="none" w:sz="0" w:space="0" w:color="auto"/>
          </w:divBdr>
        </w:div>
        <w:div w:id="102463546">
          <w:marLeft w:val="0"/>
          <w:marRight w:val="0"/>
          <w:marTop w:val="0"/>
          <w:marBottom w:val="0"/>
          <w:divBdr>
            <w:top w:val="none" w:sz="0" w:space="0" w:color="auto"/>
            <w:left w:val="none" w:sz="0" w:space="0" w:color="auto"/>
            <w:bottom w:val="none" w:sz="0" w:space="0" w:color="auto"/>
            <w:right w:val="none" w:sz="0" w:space="0" w:color="auto"/>
          </w:divBdr>
        </w:div>
        <w:div w:id="2138376342">
          <w:marLeft w:val="0"/>
          <w:marRight w:val="0"/>
          <w:marTop w:val="0"/>
          <w:marBottom w:val="0"/>
          <w:divBdr>
            <w:top w:val="none" w:sz="0" w:space="0" w:color="auto"/>
            <w:left w:val="none" w:sz="0" w:space="0" w:color="auto"/>
            <w:bottom w:val="none" w:sz="0" w:space="0" w:color="auto"/>
            <w:right w:val="none" w:sz="0" w:space="0" w:color="auto"/>
          </w:divBdr>
        </w:div>
        <w:div w:id="1624800556">
          <w:marLeft w:val="0"/>
          <w:marRight w:val="0"/>
          <w:marTop w:val="0"/>
          <w:marBottom w:val="0"/>
          <w:divBdr>
            <w:top w:val="none" w:sz="0" w:space="0" w:color="auto"/>
            <w:left w:val="none" w:sz="0" w:space="0" w:color="auto"/>
            <w:bottom w:val="none" w:sz="0" w:space="0" w:color="auto"/>
            <w:right w:val="none" w:sz="0" w:space="0" w:color="auto"/>
          </w:divBdr>
        </w:div>
        <w:div w:id="886333292">
          <w:marLeft w:val="0"/>
          <w:marRight w:val="0"/>
          <w:marTop w:val="0"/>
          <w:marBottom w:val="0"/>
          <w:divBdr>
            <w:top w:val="none" w:sz="0" w:space="0" w:color="auto"/>
            <w:left w:val="none" w:sz="0" w:space="0" w:color="auto"/>
            <w:bottom w:val="none" w:sz="0" w:space="0" w:color="auto"/>
            <w:right w:val="none" w:sz="0" w:space="0" w:color="auto"/>
          </w:divBdr>
        </w:div>
        <w:div w:id="1290210797">
          <w:marLeft w:val="0"/>
          <w:marRight w:val="0"/>
          <w:marTop w:val="0"/>
          <w:marBottom w:val="0"/>
          <w:divBdr>
            <w:top w:val="none" w:sz="0" w:space="0" w:color="auto"/>
            <w:left w:val="none" w:sz="0" w:space="0" w:color="auto"/>
            <w:bottom w:val="none" w:sz="0" w:space="0" w:color="auto"/>
            <w:right w:val="none" w:sz="0" w:space="0" w:color="auto"/>
          </w:divBdr>
        </w:div>
        <w:div w:id="1364863093">
          <w:marLeft w:val="0"/>
          <w:marRight w:val="0"/>
          <w:marTop w:val="0"/>
          <w:marBottom w:val="0"/>
          <w:divBdr>
            <w:top w:val="none" w:sz="0" w:space="0" w:color="auto"/>
            <w:left w:val="none" w:sz="0" w:space="0" w:color="auto"/>
            <w:bottom w:val="none" w:sz="0" w:space="0" w:color="auto"/>
            <w:right w:val="none" w:sz="0" w:space="0" w:color="auto"/>
          </w:divBdr>
        </w:div>
        <w:div w:id="481700154">
          <w:marLeft w:val="0"/>
          <w:marRight w:val="0"/>
          <w:marTop w:val="0"/>
          <w:marBottom w:val="0"/>
          <w:divBdr>
            <w:top w:val="none" w:sz="0" w:space="0" w:color="auto"/>
            <w:left w:val="none" w:sz="0" w:space="0" w:color="auto"/>
            <w:bottom w:val="none" w:sz="0" w:space="0" w:color="auto"/>
            <w:right w:val="none" w:sz="0" w:space="0" w:color="auto"/>
          </w:divBdr>
        </w:div>
        <w:div w:id="989939506">
          <w:marLeft w:val="0"/>
          <w:marRight w:val="0"/>
          <w:marTop w:val="0"/>
          <w:marBottom w:val="0"/>
          <w:divBdr>
            <w:top w:val="none" w:sz="0" w:space="0" w:color="auto"/>
            <w:left w:val="none" w:sz="0" w:space="0" w:color="auto"/>
            <w:bottom w:val="none" w:sz="0" w:space="0" w:color="auto"/>
            <w:right w:val="none" w:sz="0" w:space="0" w:color="auto"/>
          </w:divBdr>
        </w:div>
        <w:div w:id="1484854132">
          <w:marLeft w:val="0"/>
          <w:marRight w:val="0"/>
          <w:marTop w:val="0"/>
          <w:marBottom w:val="0"/>
          <w:divBdr>
            <w:top w:val="none" w:sz="0" w:space="0" w:color="auto"/>
            <w:left w:val="none" w:sz="0" w:space="0" w:color="auto"/>
            <w:bottom w:val="none" w:sz="0" w:space="0" w:color="auto"/>
            <w:right w:val="none" w:sz="0" w:space="0" w:color="auto"/>
          </w:divBdr>
        </w:div>
        <w:div w:id="1560549879">
          <w:marLeft w:val="0"/>
          <w:marRight w:val="0"/>
          <w:marTop w:val="0"/>
          <w:marBottom w:val="0"/>
          <w:divBdr>
            <w:top w:val="none" w:sz="0" w:space="0" w:color="auto"/>
            <w:left w:val="none" w:sz="0" w:space="0" w:color="auto"/>
            <w:bottom w:val="none" w:sz="0" w:space="0" w:color="auto"/>
            <w:right w:val="none" w:sz="0" w:space="0" w:color="auto"/>
          </w:divBdr>
        </w:div>
        <w:div w:id="457378803">
          <w:marLeft w:val="0"/>
          <w:marRight w:val="0"/>
          <w:marTop w:val="0"/>
          <w:marBottom w:val="0"/>
          <w:divBdr>
            <w:top w:val="none" w:sz="0" w:space="0" w:color="auto"/>
            <w:left w:val="none" w:sz="0" w:space="0" w:color="auto"/>
            <w:bottom w:val="none" w:sz="0" w:space="0" w:color="auto"/>
            <w:right w:val="none" w:sz="0" w:space="0" w:color="auto"/>
          </w:divBdr>
        </w:div>
        <w:div w:id="2059476689">
          <w:marLeft w:val="0"/>
          <w:marRight w:val="0"/>
          <w:marTop w:val="0"/>
          <w:marBottom w:val="0"/>
          <w:divBdr>
            <w:top w:val="none" w:sz="0" w:space="0" w:color="auto"/>
            <w:left w:val="none" w:sz="0" w:space="0" w:color="auto"/>
            <w:bottom w:val="none" w:sz="0" w:space="0" w:color="auto"/>
            <w:right w:val="none" w:sz="0" w:space="0" w:color="auto"/>
          </w:divBdr>
        </w:div>
        <w:div w:id="1243218125">
          <w:marLeft w:val="0"/>
          <w:marRight w:val="0"/>
          <w:marTop w:val="0"/>
          <w:marBottom w:val="0"/>
          <w:divBdr>
            <w:top w:val="none" w:sz="0" w:space="0" w:color="auto"/>
            <w:left w:val="none" w:sz="0" w:space="0" w:color="auto"/>
            <w:bottom w:val="none" w:sz="0" w:space="0" w:color="auto"/>
            <w:right w:val="none" w:sz="0" w:space="0" w:color="auto"/>
          </w:divBdr>
        </w:div>
        <w:div w:id="893391634">
          <w:marLeft w:val="0"/>
          <w:marRight w:val="0"/>
          <w:marTop w:val="0"/>
          <w:marBottom w:val="0"/>
          <w:divBdr>
            <w:top w:val="none" w:sz="0" w:space="0" w:color="auto"/>
            <w:left w:val="none" w:sz="0" w:space="0" w:color="auto"/>
            <w:bottom w:val="none" w:sz="0" w:space="0" w:color="auto"/>
            <w:right w:val="none" w:sz="0" w:space="0" w:color="auto"/>
          </w:divBdr>
        </w:div>
        <w:div w:id="816149159">
          <w:marLeft w:val="0"/>
          <w:marRight w:val="0"/>
          <w:marTop w:val="0"/>
          <w:marBottom w:val="0"/>
          <w:divBdr>
            <w:top w:val="none" w:sz="0" w:space="0" w:color="auto"/>
            <w:left w:val="none" w:sz="0" w:space="0" w:color="auto"/>
            <w:bottom w:val="none" w:sz="0" w:space="0" w:color="auto"/>
            <w:right w:val="none" w:sz="0" w:space="0" w:color="auto"/>
          </w:divBdr>
        </w:div>
        <w:div w:id="277881543">
          <w:marLeft w:val="0"/>
          <w:marRight w:val="0"/>
          <w:marTop w:val="0"/>
          <w:marBottom w:val="0"/>
          <w:divBdr>
            <w:top w:val="none" w:sz="0" w:space="0" w:color="auto"/>
            <w:left w:val="none" w:sz="0" w:space="0" w:color="auto"/>
            <w:bottom w:val="none" w:sz="0" w:space="0" w:color="auto"/>
            <w:right w:val="none" w:sz="0" w:space="0" w:color="auto"/>
          </w:divBdr>
        </w:div>
        <w:div w:id="777211700">
          <w:marLeft w:val="0"/>
          <w:marRight w:val="0"/>
          <w:marTop w:val="0"/>
          <w:marBottom w:val="0"/>
          <w:divBdr>
            <w:top w:val="none" w:sz="0" w:space="0" w:color="auto"/>
            <w:left w:val="none" w:sz="0" w:space="0" w:color="auto"/>
            <w:bottom w:val="none" w:sz="0" w:space="0" w:color="auto"/>
            <w:right w:val="none" w:sz="0" w:space="0" w:color="auto"/>
          </w:divBdr>
        </w:div>
        <w:div w:id="487941347">
          <w:marLeft w:val="0"/>
          <w:marRight w:val="0"/>
          <w:marTop w:val="0"/>
          <w:marBottom w:val="0"/>
          <w:divBdr>
            <w:top w:val="none" w:sz="0" w:space="0" w:color="auto"/>
            <w:left w:val="none" w:sz="0" w:space="0" w:color="auto"/>
            <w:bottom w:val="none" w:sz="0" w:space="0" w:color="auto"/>
            <w:right w:val="none" w:sz="0" w:space="0" w:color="auto"/>
          </w:divBdr>
        </w:div>
        <w:div w:id="246621187">
          <w:marLeft w:val="0"/>
          <w:marRight w:val="0"/>
          <w:marTop w:val="0"/>
          <w:marBottom w:val="0"/>
          <w:divBdr>
            <w:top w:val="none" w:sz="0" w:space="0" w:color="auto"/>
            <w:left w:val="none" w:sz="0" w:space="0" w:color="auto"/>
            <w:bottom w:val="none" w:sz="0" w:space="0" w:color="auto"/>
            <w:right w:val="none" w:sz="0" w:space="0" w:color="auto"/>
          </w:divBdr>
        </w:div>
        <w:div w:id="315190282">
          <w:marLeft w:val="0"/>
          <w:marRight w:val="0"/>
          <w:marTop w:val="0"/>
          <w:marBottom w:val="0"/>
          <w:divBdr>
            <w:top w:val="none" w:sz="0" w:space="0" w:color="auto"/>
            <w:left w:val="none" w:sz="0" w:space="0" w:color="auto"/>
            <w:bottom w:val="none" w:sz="0" w:space="0" w:color="auto"/>
            <w:right w:val="none" w:sz="0" w:space="0" w:color="auto"/>
          </w:divBdr>
        </w:div>
        <w:div w:id="1503936726">
          <w:marLeft w:val="0"/>
          <w:marRight w:val="0"/>
          <w:marTop w:val="0"/>
          <w:marBottom w:val="0"/>
          <w:divBdr>
            <w:top w:val="none" w:sz="0" w:space="0" w:color="auto"/>
            <w:left w:val="none" w:sz="0" w:space="0" w:color="auto"/>
            <w:bottom w:val="none" w:sz="0" w:space="0" w:color="auto"/>
            <w:right w:val="none" w:sz="0" w:space="0" w:color="auto"/>
          </w:divBdr>
        </w:div>
        <w:div w:id="2086221964">
          <w:marLeft w:val="0"/>
          <w:marRight w:val="0"/>
          <w:marTop w:val="0"/>
          <w:marBottom w:val="0"/>
          <w:divBdr>
            <w:top w:val="none" w:sz="0" w:space="0" w:color="auto"/>
            <w:left w:val="none" w:sz="0" w:space="0" w:color="auto"/>
            <w:bottom w:val="none" w:sz="0" w:space="0" w:color="auto"/>
            <w:right w:val="none" w:sz="0" w:space="0" w:color="auto"/>
          </w:divBdr>
        </w:div>
        <w:div w:id="1787767598">
          <w:marLeft w:val="0"/>
          <w:marRight w:val="0"/>
          <w:marTop w:val="0"/>
          <w:marBottom w:val="0"/>
          <w:divBdr>
            <w:top w:val="none" w:sz="0" w:space="0" w:color="auto"/>
            <w:left w:val="none" w:sz="0" w:space="0" w:color="auto"/>
            <w:bottom w:val="none" w:sz="0" w:space="0" w:color="auto"/>
            <w:right w:val="none" w:sz="0" w:space="0" w:color="auto"/>
          </w:divBdr>
        </w:div>
        <w:div w:id="238757010">
          <w:marLeft w:val="0"/>
          <w:marRight w:val="0"/>
          <w:marTop w:val="0"/>
          <w:marBottom w:val="0"/>
          <w:divBdr>
            <w:top w:val="none" w:sz="0" w:space="0" w:color="auto"/>
            <w:left w:val="none" w:sz="0" w:space="0" w:color="auto"/>
            <w:bottom w:val="none" w:sz="0" w:space="0" w:color="auto"/>
            <w:right w:val="none" w:sz="0" w:space="0" w:color="auto"/>
          </w:divBdr>
        </w:div>
        <w:div w:id="277298085">
          <w:marLeft w:val="0"/>
          <w:marRight w:val="0"/>
          <w:marTop w:val="0"/>
          <w:marBottom w:val="0"/>
          <w:divBdr>
            <w:top w:val="none" w:sz="0" w:space="0" w:color="auto"/>
            <w:left w:val="none" w:sz="0" w:space="0" w:color="auto"/>
            <w:bottom w:val="none" w:sz="0" w:space="0" w:color="auto"/>
            <w:right w:val="none" w:sz="0" w:space="0" w:color="auto"/>
          </w:divBdr>
        </w:div>
        <w:div w:id="1354189641">
          <w:marLeft w:val="0"/>
          <w:marRight w:val="0"/>
          <w:marTop w:val="0"/>
          <w:marBottom w:val="0"/>
          <w:divBdr>
            <w:top w:val="none" w:sz="0" w:space="0" w:color="auto"/>
            <w:left w:val="none" w:sz="0" w:space="0" w:color="auto"/>
            <w:bottom w:val="none" w:sz="0" w:space="0" w:color="auto"/>
            <w:right w:val="none" w:sz="0" w:space="0" w:color="auto"/>
          </w:divBdr>
        </w:div>
        <w:div w:id="1551963204">
          <w:marLeft w:val="0"/>
          <w:marRight w:val="0"/>
          <w:marTop w:val="0"/>
          <w:marBottom w:val="0"/>
          <w:divBdr>
            <w:top w:val="none" w:sz="0" w:space="0" w:color="auto"/>
            <w:left w:val="none" w:sz="0" w:space="0" w:color="auto"/>
            <w:bottom w:val="none" w:sz="0" w:space="0" w:color="auto"/>
            <w:right w:val="none" w:sz="0" w:space="0" w:color="auto"/>
          </w:divBdr>
        </w:div>
        <w:div w:id="2111270753">
          <w:marLeft w:val="0"/>
          <w:marRight w:val="0"/>
          <w:marTop w:val="0"/>
          <w:marBottom w:val="0"/>
          <w:divBdr>
            <w:top w:val="none" w:sz="0" w:space="0" w:color="auto"/>
            <w:left w:val="none" w:sz="0" w:space="0" w:color="auto"/>
            <w:bottom w:val="none" w:sz="0" w:space="0" w:color="auto"/>
            <w:right w:val="none" w:sz="0" w:space="0" w:color="auto"/>
          </w:divBdr>
        </w:div>
        <w:div w:id="1983807321">
          <w:marLeft w:val="0"/>
          <w:marRight w:val="0"/>
          <w:marTop w:val="0"/>
          <w:marBottom w:val="0"/>
          <w:divBdr>
            <w:top w:val="none" w:sz="0" w:space="0" w:color="auto"/>
            <w:left w:val="none" w:sz="0" w:space="0" w:color="auto"/>
            <w:bottom w:val="none" w:sz="0" w:space="0" w:color="auto"/>
            <w:right w:val="none" w:sz="0" w:space="0" w:color="auto"/>
          </w:divBdr>
        </w:div>
        <w:div w:id="657658943">
          <w:marLeft w:val="0"/>
          <w:marRight w:val="0"/>
          <w:marTop w:val="0"/>
          <w:marBottom w:val="0"/>
          <w:divBdr>
            <w:top w:val="none" w:sz="0" w:space="0" w:color="auto"/>
            <w:left w:val="none" w:sz="0" w:space="0" w:color="auto"/>
            <w:bottom w:val="none" w:sz="0" w:space="0" w:color="auto"/>
            <w:right w:val="none" w:sz="0" w:space="0" w:color="auto"/>
          </w:divBdr>
        </w:div>
        <w:div w:id="1095974499">
          <w:marLeft w:val="0"/>
          <w:marRight w:val="0"/>
          <w:marTop w:val="0"/>
          <w:marBottom w:val="0"/>
          <w:divBdr>
            <w:top w:val="none" w:sz="0" w:space="0" w:color="auto"/>
            <w:left w:val="none" w:sz="0" w:space="0" w:color="auto"/>
            <w:bottom w:val="none" w:sz="0" w:space="0" w:color="auto"/>
            <w:right w:val="none" w:sz="0" w:space="0" w:color="auto"/>
          </w:divBdr>
        </w:div>
        <w:div w:id="1796098985">
          <w:marLeft w:val="0"/>
          <w:marRight w:val="0"/>
          <w:marTop w:val="0"/>
          <w:marBottom w:val="0"/>
          <w:divBdr>
            <w:top w:val="none" w:sz="0" w:space="0" w:color="auto"/>
            <w:left w:val="none" w:sz="0" w:space="0" w:color="auto"/>
            <w:bottom w:val="none" w:sz="0" w:space="0" w:color="auto"/>
            <w:right w:val="none" w:sz="0" w:space="0" w:color="auto"/>
          </w:divBdr>
        </w:div>
        <w:div w:id="725447603">
          <w:marLeft w:val="0"/>
          <w:marRight w:val="0"/>
          <w:marTop w:val="0"/>
          <w:marBottom w:val="0"/>
          <w:divBdr>
            <w:top w:val="none" w:sz="0" w:space="0" w:color="auto"/>
            <w:left w:val="none" w:sz="0" w:space="0" w:color="auto"/>
            <w:bottom w:val="none" w:sz="0" w:space="0" w:color="auto"/>
            <w:right w:val="none" w:sz="0" w:space="0" w:color="auto"/>
          </w:divBdr>
        </w:div>
        <w:div w:id="1105006191">
          <w:marLeft w:val="0"/>
          <w:marRight w:val="0"/>
          <w:marTop w:val="0"/>
          <w:marBottom w:val="0"/>
          <w:divBdr>
            <w:top w:val="none" w:sz="0" w:space="0" w:color="auto"/>
            <w:left w:val="none" w:sz="0" w:space="0" w:color="auto"/>
            <w:bottom w:val="none" w:sz="0" w:space="0" w:color="auto"/>
            <w:right w:val="none" w:sz="0" w:space="0" w:color="auto"/>
          </w:divBdr>
        </w:div>
        <w:div w:id="856041191">
          <w:marLeft w:val="0"/>
          <w:marRight w:val="0"/>
          <w:marTop w:val="0"/>
          <w:marBottom w:val="0"/>
          <w:divBdr>
            <w:top w:val="none" w:sz="0" w:space="0" w:color="auto"/>
            <w:left w:val="none" w:sz="0" w:space="0" w:color="auto"/>
            <w:bottom w:val="none" w:sz="0" w:space="0" w:color="auto"/>
            <w:right w:val="none" w:sz="0" w:space="0" w:color="auto"/>
          </w:divBdr>
        </w:div>
        <w:div w:id="310646364">
          <w:marLeft w:val="0"/>
          <w:marRight w:val="0"/>
          <w:marTop w:val="0"/>
          <w:marBottom w:val="0"/>
          <w:divBdr>
            <w:top w:val="none" w:sz="0" w:space="0" w:color="auto"/>
            <w:left w:val="none" w:sz="0" w:space="0" w:color="auto"/>
            <w:bottom w:val="none" w:sz="0" w:space="0" w:color="auto"/>
            <w:right w:val="none" w:sz="0" w:space="0" w:color="auto"/>
          </w:divBdr>
        </w:div>
        <w:div w:id="1545943603">
          <w:marLeft w:val="0"/>
          <w:marRight w:val="0"/>
          <w:marTop w:val="0"/>
          <w:marBottom w:val="0"/>
          <w:divBdr>
            <w:top w:val="none" w:sz="0" w:space="0" w:color="auto"/>
            <w:left w:val="none" w:sz="0" w:space="0" w:color="auto"/>
            <w:bottom w:val="none" w:sz="0" w:space="0" w:color="auto"/>
            <w:right w:val="none" w:sz="0" w:space="0" w:color="auto"/>
          </w:divBdr>
        </w:div>
        <w:div w:id="1248808216">
          <w:marLeft w:val="0"/>
          <w:marRight w:val="0"/>
          <w:marTop w:val="0"/>
          <w:marBottom w:val="0"/>
          <w:divBdr>
            <w:top w:val="none" w:sz="0" w:space="0" w:color="auto"/>
            <w:left w:val="none" w:sz="0" w:space="0" w:color="auto"/>
            <w:bottom w:val="none" w:sz="0" w:space="0" w:color="auto"/>
            <w:right w:val="none" w:sz="0" w:space="0" w:color="auto"/>
          </w:divBdr>
        </w:div>
        <w:div w:id="768046846">
          <w:marLeft w:val="0"/>
          <w:marRight w:val="0"/>
          <w:marTop w:val="0"/>
          <w:marBottom w:val="0"/>
          <w:divBdr>
            <w:top w:val="none" w:sz="0" w:space="0" w:color="auto"/>
            <w:left w:val="none" w:sz="0" w:space="0" w:color="auto"/>
            <w:bottom w:val="none" w:sz="0" w:space="0" w:color="auto"/>
            <w:right w:val="none" w:sz="0" w:space="0" w:color="auto"/>
          </w:divBdr>
        </w:div>
        <w:div w:id="473256917">
          <w:marLeft w:val="0"/>
          <w:marRight w:val="0"/>
          <w:marTop w:val="0"/>
          <w:marBottom w:val="0"/>
          <w:divBdr>
            <w:top w:val="none" w:sz="0" w:space="0" w:color="auto"/>
            <w:left w:val="none" w:sz="0" w:space="0" w:color="auto"/>
            <w:bottom w:val="none" w:sz="0" w:space="0" w:color="auto"/>
            <w:right w:val="none" w:sz="0" w:space="0" w:color="auto"/>
          </w:divBdr>
        </w:div>
        <w:div w:id="786657455">
          <w:marLeft w:val="0"/>
          <w:marRight w:val="0"/>
          <w:marTop w:val="0"/>
          <w:marBottom w:val="0"/>
          <w:divBdr>
            <w:top w:val="none" w:sz="0" w:space="0" w:color="auto"/>
            <w:left w:val="none" w:sz="0" w:space="0" w:color="auto"/>
            <w:bottom w:val="none" w:sz="0" w:space="0" w:color="auto"/>
            <w:right w:val="none" w:sz="0" w:space="0" w:color="auto"/>
          </w:divBdr>
        </w:div>
        <w:div w:id="379594386">
          <w:marLeft w:val="0"/>
          <w:marRight w:val="0"/>
          <w:marTop w:val="0"/>
          <w:marBottom w:val="0"/>
          <w:divBdr>
            <w:top w:val="none" w:sz="0" w:space="0" w:color="auto"/>
            <w:left w:val="none" w:sz="0" w:space="0" w:color="auto"/>
            <w:bottom w:val="none" w:sz="0" w:space="0" w:color="auto"/>
            <w:right w:val="none" w:sz="0" w:space="0" w:color="auto"/>
          </w:divBdr>
        </w:div>
        <w:div w:id="1229415368">
          <w:marLeft w:val="0"/>
          <w:marRight w:val="0"/>
          <w:marTop w:val="0"/>
          <w:marBottom w:val="0"/>
          <w:divBdr>
            <w:top w:val="none" w:sz="0" w:space="0" w:color="auto"/>
            <w:left w:val="none" w:sz="0" w:space="0" w:color="auto"/>
            <w:bottom w:val="none" w:sz="0" w:space="0" w:color="auto"/>
            <w:right w:val="none" w:sz="0" w:space="0" w:color="auto"/>
          </w:divBdr>
        </w:div>
        <w:div w:id="538737929">
          <w:marLeft w:val="0"/>
          <w:marRight w:val="0"/>
          <w:marTop w:val="0"/>
          <w:marBottom w:val="0"/>
          <w:divBdr>
            <w:top w:val="none" w:sz="0" w:space="0" w:color="auto"/>
            <w:left w:val="none" w:sz="0" w:space="0" w:color="auto"/>
            <w:bottom w:val="none" w:sz="0" w:space="0" w:color="auto"/>
            <w:right w:val="none" w:sz="0" w:space="0" w:color="auto"/>
          </w:divBdr>
        </w:div>
        <w:div w:id="1757438742">
          <w:marLeft w:val="0"/>
          <w:marRight w:val="0"/>
          <w:marTop w:val="0"/>
          <w:marBottom w:val="0"/>
          <w:divBdr>
            <w:top w:val="none" w:sz="0" w:space="0" w:color="auto"/>
            <w:left w:val="none" w:sz="0" w:space="0" w:color="auto"/>
            <w:bottom w:val="none" w:sz="0" w:space="0" w:color="auto"/>
            <w:right w:val="none" w:sz="0" w:space="0" w:color="auto"/>
          </w:divBdr>
        </w:div>
        <w:div w:id="1965958902">
          <w:marLeft w:val="0"/>
          <w:marRight w:val="0"/>
          <w:marTop w:val="0"/>
          <w:marBottom w:val="0"/>
          <w:divBdr>
            <w:top w:val="none" w:sz="0" w:space="0" w:color="auto"/>
            <w:left w:val="none" w:sz="0" w:space="0" w:color="auto"/>
            <w:bottom w:val="none" w:sz="0" w:space="0" w:color="auto"/>
            <w:right w:val="none" w:sz="0" w:space="0" w:color="auto"/>
          </w:divBdr>
        </w:div>
        <w:div w:id="826822943">
          <w:marLeft w:val="0"/>
          <w:marRight w:val="0"/>
          <w:marTop w:val="0"/>
          <w:marBottom w:val="0"/>
          <w:divBdr>
            <w:top w:val="none" w:sz="0" w:space="0" w:color="auto"/>
            <w:left w:val="none" w:sz="0" w:space="0" w:color="auto"/>
            <w:bottom w:val="none" w:sz="0" w:space="0" w:color="auto"/>
            <w:right w:val="none" w:sz="0" w:space="0" w:color="auto"/>
          </w:divBdr>
        </w:div>
        <w:div w:id="652493778">
          <w:marLeft w:val="0"/>
          <w:marRight w:val="0"/>
          <w:marTop w:val="0"/>
          <w:marBottom w:val="0"/>
          <w:divBdr>
            <w:top w:val="none" w:sz="0" w:space="0" w:color="auto"/>
            <w:left w:val="none" w:sz="0" w:space="0" w:color="auto"/>
            <w:bottom w:val="none" w:sz="0" w:space="0" w:color="auto"/>
            <w:right w:val="none" w:sz="0" w:space="0" w:color="auto"/>
          </w:divBdr>
        </w:div>
        <w:div w:id="1779058507">
          <w:marLeft w:val="0"/>
          <w:marRight w:val="0"/>
          <w:marTop w:val="0"/>
          <w:marBottom w:val="0"/>
          <w:divBdr>
            <w:top w:val="none" w:sz="0" w:space="0" w:color="auto"/>
            <w:left w:val="none" w:sz="0" w:space="0" w:color="auto"/>
            <w:bottom w:val="none" w:sz="0" w:space="0" w:color="auto"/>
            <w:right w:val="none" w:sz="0" w:space="0" w:color="auto"/>
          </w:divBdr>
        </w:div>
        <w:div w:id="815730189">
          <w:marLeft w:val="0"/>
          <w:marRight w:val="0"/>
          <w:marTop w:val="0"/>
          <w:marBottom w:val="0"/>
          <w:divBdr>
            <w:top w:val="none" w:sz="0" w:space="0" w:color="auto"/>
            <w:left w:val="none" w:sz="0" w:space="0" w:color="auto"/>
            <w:bottom w:val="none" w:sz="0" w:space="0" w:color="auto"/>
            <w:right w:val="none" w:sz="0" w:space="0" w:color="auto"/>
          </w:divBdr>
        </w:div>
        <w:div w:id="354043244">
          <w:marLeft w:val="0"/>
          <w:marRight w:val="0"/>
          <w:marTop w:val="0"/>
          <w:marBottom w:val="0"/>
          <w:divBdr>
            <w:top w:val="none" w:sz="0" w:space="0" w:color="auto"/>
            <w:left w:val="none" w:sz="0" w:space="0" w:color="auto"/>
            <w:bottom w:val="none" w:sz="0" w:space="0" w:color="auto"/>
            <w:right w:val="none" w:sz="0" w:space="0" w:color="auto"/>
          </w:divBdr>
        </w:div>
        <w:div w:id="1586111347">
          <w:marLeft w:val="0"/>
          <w:marRight w:val="0"/>
          <w:marTop w:val="0"/>
          <w:marBottom w:val="0"/>
          <w:divBdr>
            <w:top w:val="none" w:sz="0" w:space="0" w:color="auto"/>
            <w:left w:val="none" w:sz="0" w:space="0" w:color="auto"/>
            <w:bottom w:val="none" w:sz="0" w:space="0" w:color="auto"/>
            <w:right w:val="none" w:sz="0" w:space="0" w:color="auto"/>
          </w:divBdr>
        </w:div>
        <w:div w:id="2062361062">
          <w:marLeft w:val="0"/>
          <w:marRight w:val="0"/>
          <w:marTop w:val="0"/>
          <w:marBottom w:val="0"/>
          <w:divBdr>
            <w:top w:val="none" w:sz="0" w:space="0" w:color="auto"/>
            <w:left w:val="none" w:sz="0" w:space="0" w:color="auto"/>
            <w:bottom w:val="none" w:sz="0" w:space="0" w:color="auto"/>
            <w:right w:val="none" w:sz="0" w:space="0" w:color="auto"/>
          </w:divBdr>
        </w:div>
        <w:div w:id="429669258">
          <w:marLeft w:val="0"/>
          <w:marRight w:val="0"/>
          <w:marTop w:val="0"/>
          <w:marBottom w:val="0"/>
          <w:divBdr>
            <w:top w:val="none" w:sz="0" w:space="0" w:color="auto"/>
            <w:left w:val="none" w:sz="0" w:space="0" w:color="auto"/>
            <w:bottom w:val="none" w:sz="0" w:space="0" w:color="auto"/>
            <w:right w:val="none" w:sz="0" w:space="0" w:color="auto"/>
          </w:divBdr>
        </w:div>
        <w:div w:id="886263249">
          <w:marLeft w:val="0"/>
          <w:marRight w:val="0"/>
          <w:marTop w:val="0"/>
          <w:marBottom w:val="0"/>
          <w:divBdr>
            <w:top w:val="none" w:sz="0" w:space="0" w:color="auto"/>
            <w:left w:val="none" w:sz="0" w:space="0" w:color="auto"/>
            <w:bottom w:val="none" w:sz="0" w:space="0" w:color="auto"/>
            <w:right w:val="none" w:sz="0" w:space="0" w:color="auto"/>
          </w:divBdr>
        </w:div>
        <w:div w:id="1745684488">
          <w:marLeft w:val="0"/>
          <w:marRight w:val="0"/>
          <w:marTop w:val="0"/>
          <w:marBottom w:val="0"/>
          <w:divBdr>
            <w:top w:val="none" w:sz="0" w:space="0" w:color="auto"/>
            <w:left w:val="none" w:sz="0" w:space="0" w:color="auto"/>
            <w:bottom w:val="none" w:sz="0" w:space="0" w:color="auto"/>
            <w:right w:val="none" w:sz="0" w:space="0" w:color="auto"/>
          </w:divBdr>
        </w:div>
        <w:div w:id="807551944">
          <w:marLeft w:val="0"/>
          <w:marRight w:val="0"/>
          <w:marTop w:val="0"/>
          <w:marBottom w:val="0"/>
          <w:divBdr>
            <w:top w:val="none" w:sz="0" w:space="0" w:color="auto"/>
            <w:left w:val="none" w:sz="0" w:space="0" w:color="auto"/>
            <w:bottom w:val="none" w:sz="0" w:space="0" w:color="auto"/>
            <w:right w:val="none" w:sz="0" w:space="0" w:color="auto"/>
          </w:divBdr>
        </w:div>
        <w:div w:id="2025131909">
          <w:marLeft w:val="0"/>
          <w:marRight w:val="0"/>
          <w:marTop w:val="0"/>
          <w:marBottom w:val="0"/>
          <w:divBdr>
            <w:top w:val="none" w:sz="0" w:space="0" w:color="auto"/>
            <w:left w:val="none" w:sz="0" w:space="0" w:color="auto"/>
            <w:bottom w:val="none" w:sz="0" w:space="0" w:color="auto"/>
            <w:right w:val="none" w:sz="0" w:space="0" w:color="auto"/>
          </w:divBdr>
        </w:div>
        <w:div w:id="1709379084">
          <w:marLeft w:val="0"/>
          <w:marRight w:val="0"/>
          <w:marTop w:val="0"/>
          <w:marBottom w:val="0"/>
          <w:divBdr>
            <w:top w:val="none" w:sz="0" w:space="0" w:color="auto"/>
            <w:left w:val="none" w:sz="0" w:space="0" w:color="auto"/>
            <w:bottom w:val="none" w:sz="0" w:space="0" w:color="auto"/>
            <w:right w:val="none" w:sz="0" w:space="0" w:color="auto"/>
          </w:divBdr>
        </w:div>
        <w:div w:id="1587611568">
          <w:marLeft w:val="0"/>
          <w:marRight w:val="0"/>
          <w:marTop w:val="0"/>
          <w:marBottom w:val="0"/>
          <w:divBdr>
            <w:top w:val="none" w:sz="0" w:space="0" w:color="auto"/>
            <w:left w:val="none" w:sz="0" w:space="0" w:color="auto"/>
            <w:bottom w:val="none" w:sz="0" w:space="0" w:color="auto"/>
            <w:right w:val="none" w:sz="0" w:space="0" w:color="auto"/>
          </w:divBdr>
        </w:div>
        <w:div w:id="2080325304">
          <w:marLeft w:val="0"/>
          <w:marRight w:val="0"/>
          <w:marTop w:val="0"/>
          <w:marBottom w:val="0"/>
          <w:divBdr>
            <w:top w:val="none" w:sz="0" w:space="0" w:color="auto"/>
            <w:left w:val="none" w:sz="0" w:space="0" w:color="auto"/>
            <w:bottom w:val="none" w:sz="0" w:space="0" w:color="auto"/>
            <w:right w:val="none" w:sz="0" w:space="0" w:color="auto"/>
          </w:divBdr>
        </w:div>
        <w:div w:id="657000426">
          <w:marLeft w:val="0"/>
          <w:marRight w:val="0"/>
          <w:marTop w:val="0"/>
          <w:marBottom w:val="0"/>
          <w:divBdr>
            <w:top w:val="none" w:sz="0" w:space="0" w:color="auto"/>
            <w:left w:val="none" w:sz="0" w:space="0" w:color="auto"/>
            <w:bottom w:val="none" w:sz="0" w:space="0" w:color="auto"/>
            <w:right w:val="none" w:sz="0" w:space="0" w:color="auto"/>
          </w:divBdr>
        </w:div>
        <w:div w:id="636910998">
          <w:marLeft w:val="0"/>
          <w:marRight w:val="0"/>
          <w:marTop w:val="0"/>
          <w:marBottom w:val="0"/>
          <w:divBdr>
            <w:top w:val="none" w:sz="0" w:space="0" w:color="auto"/>
            <w:left w:val="none" w:sz="0" w:space="0" w:color="auto"/>
            <w:bottom w:val="none" w:sz="0" w:space="0" w:color="auto"/>
            <w:right w:val="none" w:sz="0" w:space="0" w:color="auto"/>
          </w:divBdr>
        </w:div>
        <w:div w:id="385422014">
          <w:marLeft w:val="0"/>
          <w:marRight w:val="0"/>
          <w:marTop w:val="0"/>
          <w:marBottom w:val="0"/>
          <w:divBdr>
            <w:top w:val="none" w:sz="0" w:space="0" w:color="auto"/>
            <w:left w:val="none" w:sz="0" w:space="0" w:color="auto"/>
            <w:bottom w:val="none" w:sz="0" w:space="0" w:color="auto"/>
            <w:right w:val="none" w:sz="0" w:space="0" w:color="auto"/>
          </w:divBdr>
        </w:div>
        <w:div w:id="107702223">
          <w:marLeft w:val="0"/>
          <w:marRight w:val="0"/>
          <w:marTop w:val="0"/>
          <w:marBottom w:val="0"/>
          <w:divBdr>
            <w:top w:val="none" w:sz="0" w:space="0" w:color="auto"/>
            <w:left w:val="none" w:sz="0" w:space="0" w:color="auto"/>
            <w:bottom w:val="none" w:sz="0" w:space="0" w:color="auto"/>
            <w:right w:val="none" w:sz="0" w:space="0" w:color="auto"/>
          </w:divBdr>
        </w:div>
        <w:div w:id="433787655">
          <w:marLeft w:val="0"/>
          <w:marRight w:val="0"/>
          <w:marTop w:val="0"/>
          <w:marBottom w:val="0"/>
          <w:divBdr>
            <w:top w:val="none" w:sz="0" w:space="0" w:color="auto"/>
            <w:left w:val="none" w:sz="0" w:space="0" w:color="auto"/>
            <w:bottom w:val="none" w:sz="0" w:space="0" w:color="auto"/>
            <w:right w:val="none" w:sz="0" w:space="0" w:color="auto"/>
          </w:divBdr>
        </w:div>
        <w:div w:id="1882403677">
          <w:marLeft w:val="0"/>
          <w:marRight w:val="0"/>
          <w:marTop w:val="0"/>
          <w:marBottom w:val="0"/>
          <w:divBdr>
            <w:top w:val="none" w:sz="0" w:space="0" w:color="auto"/>
            <w:left w:val="none" w:sz="0" w:space="0" w:color="auto"/>
            <w:bottom w:val="none" w:sz="0" w:space="0" w:color="auto"/>
            <w:right w:val="none" w:sz="0" w:space="0" w:color="auto"/>
          </w:divBdr>
        </w:div>
        <w:div w:id="400717429">
          <w:marLeft w:val="0"/>
          <w:marRight w:val="0"/>
          <w:marTop w:val="0"/>
          <w:marBottom w:val="0"/>
          <w:divBdr>
            <w:top w:val="none" w:sz="0" w:space="0" w:color="auto"/>
            <w:left w:val="none" w:sz="0" w:space="0" w:color="auto"/>
            <w:bottom w:val="none" w:sz="0" w:space="0" w:color="auto"/>
            <w:right w:val="none" w:sz="0" w:space="0" w:color="auto"/>
          </w:divBdr>
        </w:div>
        <w:div w:id="334116942">
          <w:marLeft w:val="0"/>
          <w:marRight w:val="0"/>
          <w:marTop w:val="0"/>
          <w:marBottom w:val="0"/>
          <w:divBdr>
            <w:top w:val="none" w:sz="0" w:space="0" w:color="auto"/>
            <w:left w:val="none" w:sz="0" w:space="0" w:color="auto"/>
            <w:bottom w:val="none" w:sz="0" w:space="0" w:color="auto"/>
            <w:right w:val="none" w:sz="0" w:space="0" w:color="auto"/>
          </w:divBdr>
        </w:div>
        <w:div w:id="438843439">
          <w:marLeft w:val="0"/>
          <w:marRight w:val="0"/>
          <w:marTop w:val="0"/>
          <w:marBottom w:val="0"/>
          <w:divBdr>
            <w:top w:val="none" w:sz="0" w:space="0" w:color="auto"/>
            <w:left w:val="none" w:sz="0" w:space="0" w:color="auto"/>
            <w:bottom w:val="none" w:sz="0" w:space="0" w:color="auto"/>
            <w:right w:val="none" w:sz="0" w:space="0" w:color="auto"/>
          </w:divBdr>
        </w:div>
        <w:div w:id="134614964">
          <w:marLeft w:val="0"/>
          <w:marRight w:val="0"/>
          <w:marTop w:val="0"/>
          <w:marBottom w:val="0"/>
          <w:divBdr>
            <w:top w:val="none" w:sz="0" w:space="0" w:color="auto"/>
            <w:left w:val="none" w:sz="0" w:space="0" w:color="auto"/>
            <w:bottom w:val="none" w:sz="0" w:space="0" w:color="auto"/>
            <w:right w:val="none" w:sz="0" w:space="0" w:color="auto"/>
          </w:divBdr>
        </w:div>
        <w:div w:id="179465992">
          <w:marLeft w:val="0"/>
          <w:marRight w:val="0"/>
          <w:marTop w:val="0"/>
          <w:marBottom w:val="0"/>
          <w:divBdr>
            <w:top w:val="none" w:sz="0" w:space="0" w:color="auto"/>
            <w:left w:val="none" w:sz="0" w:space="0" w:color="auto"/>
            <w:bottom w:val="none" w:sz="0" w:space="0" w:color="auto"/>
            <w:right w:val="none" w:sz="0" w:space="0" w:color="auto"/>
          </w:divBdr>
        </w:div>
        <w:div w:id="710304084">
          <w:marLeft w:val="0"/>
          <w:marRight w:val="0"/>
          <w:marTop w:val="0"/>
          <w:marBottom w:val="0"/>
          <w:divBdr>
            <w:top w:val="none" w:sz="0" w:space="0" w:color="auto"/>
            <w:left w:val="none" w:sz="0" w:space="0" w:color="auto"/>
            <w:bottom w:val="none" w:sz="0" w:space="0" w:color="auto"/>
            <w:right w:val="none" w:sz="0" w:space="0" w:color="auto"/>
          </w:divBdr>
        </w:div>
        <w:div w:id="2103840368">
          <w:marLeft w:val="0"/>
          <w:marRight w:val="0"/>
          <w:marTop w:val="0"/>
          <w:marBottom w:val="0"/>
          <w:divBdr>
            <w:top w:val="none" w:sz="0" w:space="0" w:color="auto"/>
            <w:left w:val="none" w:sz="0" w:space="0" w:color="auto"/>
            <w:bottom w:val="none" w:sz="0" w:space="0" w:color="auto"/>
            <w:right w:val="none" w:sz="0" w:space="0" w:color="auto"/>
          </w:divBdr>
        </w:div>
        <w:div w:id="1523932697">
          <w:marLeft w:val="0"/>
          <w:marRight w:val="0"/>
          <w:marTop w:val="0"/>
          <w:marBottom w:val="0"/>
          <w:divBdr>
            <w:top w:val="none" w:sz="0" w:space="0" w:color="auto"/>
            <w:left w:val="none" w:sz="0" w:space="0" w:color="auto"/>
            <w:bottom w:val="none" w:sz="0" w:space="0" w:color="auto"/>
            <w:right w:val="none" w:sz="0" w:space="0" w:color="auto"/>
          </w:divBdr>
        </w:div>
        <w:div w:id="1984312858">
          <w:marLeft w:val="0"/>
          <w:marRight w:val="0"/>
          <w:marTop w:val="0"/>
          <w:marBottom w:val="0"/>
          <w:divBdr>
            <w:top w:val="none" w:sz="0" w:space="0" w:color="auto"/>
            <w:left w:val="none" w:sz="0" w:space="0" w:color="auto"/>
            <w:bottom w:val="none" w:sz="0" w:space="0" w:color="auto"/>
            <w:right w:val="none" w:sz="0" w:space="0" w:color="auto"/>
          </w:divBdr>
        </w:div>
        <w:div w:id="294532944">
          <w:marLeft w:val="0"/>
          <w:marRight w:val="0"/>
          <w:marTop w:val="0"/>
          <w:marBottom w:val="0"/>
          <w:divBdr>
            <w:top w:val="none" w:sz="0" w:space="0" w:color="auto"/>
            <w:left w:val="none" w:sz="0" w:space="0" w:color="auto"/>
            <w:bottom w:val="none" w:sz="0" w:space="0" w:color="auto"/>
            <w:right w:val="none" w:sz="0" w:space="0" w:color="auto"/>
          </w:divBdr>
        </w:div>
        <w:div w:id="513886529">
          <w:marLeft w:val="0"/>
          <w:marRight w:val="0"/>
          <w:marTop w:val="0"/>
          <w:marBottom w:val="0"/>
          <w:divBdr>
            <w:top w:val="none" w:sz="0" w:space="0" w:color="auto"/>
            <w:left w:val="none" w:sz="0" w:space="0" w:color="auto"/>
            <w:bottom w:val="none" w:sz="0" w:space="0" w:color="auto"/>
            <w:right w:val="none" w:sz="0" w:space="0" w:color="auto"/>
          </w:divBdr>
        </w:div>
        <w:div w:id="1308777079">
          <w:marLeft w:val="0"/>
          <w:marRight w:val="0"/>
          <w:marTop w:val="0"/>
          <w:marBottom w:val="0"/>
          <w:divBdr>
            <w:top w:val="none" w:sz="0" w:space="0" w:color="auto"/>
            <w:left w:val="none" w:sz="0" w:space="0" w:color="auto"/>
            <w:bottom w:val="none" w:sz="0" w:space="0" w:color="auto"/>
            <w:right w:val="none" w:sz="0" w:space="0" w:color="auto"/>
          </w:divBdr>
        </w:div>
        <w:div w:id="485973665">
          <w:marLeft w:val="0"/>
          <w:marRight w:val="0"/>
          <w:marTop w:val="0"/>
          <w:marBottom w:val="0"/>
          <w:divBdr>
            <w:top w:val="none" w:sz="0" w:space="0" w:color="auto"/>
            <w:left w:val="none" w:sz="0" w:space="0" w:color="auto"/>
            <w:bottom w:val="none" w:sz="0" w:space="0" w:color="auto"/>
            <w:right w:val="none" w:sz="0" w:space="0" w:color="auto"/>
          </w:divBdr>
        </w:div>
        <w:div w:id="1829130605">
          <w:marLeft w:val="0"/>
          <w:marRight w:val="0"/>
          <w:marTop w:val="0"/>
          <w:marBottom w:val="0"/>
          <w:divBdr>
            <w:top w:val="none" w:sz="0" w:space="0" w:color="auto"/>
            <w:left w:val="none" w:sz="0" w:space="0" w:color="auto"/>
            <w:bottom w:val="none" w:sz="0" w:space="0" w:color="auto"/>
            <w:right w:val="none" w:sz="0" w:space="0" w:color="auto"/>
          </w:divBdr>
        </w:div>
        <w:div w:id="1541090237">
          <w:marLeft w:val="0"/>
          <w:marRight w:val="0"/>
          <w:marTop w:val="0"/>
          <w:marBottom w:val="0"/>
          <w:divBdr>
            <w:top w:val="none" w:sz="0" w:space="0" w:color="auto"/>
            <w:left w:val="none" w:sz="0" w:space="0" w:color="auto"/>
            <w:bottom w:val="none" w:sz="0" w:space="0" w:color="auto"/>
            <w:right w:val="none" w:sz="0" w:space="0" w:color="auto"/>
          </w:divBdr>
        </w:div>
        <w:div w:id="6911487">
          <w:marLeft w:val="0"/>
          <w:marRight w:val="0"/>
          <w:marTop w:val="0"/>
          <w:marBottom w:val="0"/>
          <w:divBdr>
            <w:top w:val="none" w:sz="0" w:space="0" w:color="auto"/>
            <w:left w:val="none" w:sz="0" w:space="0" w:color="auto"/>
            <w:bottom w:val="none" w:sz="0" w:space="0" w:color="auto"/>
            <w:right w:val="none" w:sz="0" w:space="0" w:color="auto"/>
          </w:divBdr>
        </w:div>
        <w:div w:id="1474983972">
          <w:marLeft w:val="0"/>
          <w:marRight w:val="0"/>
          <w:marTop w:val="0"/>
          <w:marBottom w:val="0"/>
          <w:divBdr>
            <w:top w:val="none" w:sz="0" w:space="0" w:color="auto"/>
            <w:left w:val="none" w:sz="0" w:space="0" w:color="auto"/>
            <w:bottom w:val="none" w:sz="0" w:space="0" w:color="auto"/>
            <w:right w:val="none" w:sz="0" w:space="0" w:color="auto"/>
          </w:divBdr>
        </w:div>
        <w:div w:id="777257903">
          <w:marLeft w:val="0"/>
          <w:marRight w:val="0"/>
          <w:marTop w:val="0"/>
          <w:marBottom w:val="0"/>
          <w:divBdr>
            <w:top w:val="none" w:sz="0" w:space="0" w:color="auto"/>
            <w:left w:val="none" w:sz="0" w:space="0" w:color="auto"/>
            <w:bottom w:val="none" w:sz="0" w:space="0" w:color="auto"/>
            <w:right w:val="none" w:sz="0" w:space="0" w:color="auto"/>
          </w:divBdr>
        </w:div>
        <w:div w:id="1414008219">
          <w:marLeft w:val="0"/>
          <w:marRight w:val="0"/>
          <w:marTop w:val="0"/>
          <w:marBottom w:val="0"/>
          <w:divBdr>
            <w:top w:val="none" w:sz="0" w:space="0" w:color="auto"/>
            <w:left w:val="none" w:sz="0" w:space="0" w:color="auto"/>
            <w:bottom w:val="none" w:sz="0" w:space="0" w:color="auto"/>
            <w:right w:val="none" w:sz="0" w:space="0" w:color="auto"/>
          </w:divBdr>
        </w:div>
        <w:div w:id="1840265900">
          <w:marLeft w:val="0"/>
          <w:marRight w:val="0"/>
          <w:marTop w:val="0"/>
          <w:marBottom w:val="0"/>
          <w:divBdr>
            <w:top w:val="none" w:sz="0" w:space="0" w:color="auto"/>
            <w:left w:val="none" w:sz="0" w:space="0" w:color="auto"/>
            <w:bottom w:val="none" w:sz="0" w:space="0" w:color="auto"/>
            <w:right w:val="none" w:sz="0" w:space="0" w:color="auto"/>
          </w:divBdr>
        </w:div>
        <w:div w:id="1598713390">
          <w:marLeft w:val="0"/>
          <w:marRight w:val="0"/>
          <w:marTop w:val="0"/>
          <w:marBottom w:val="0"/>
          <w:divBdr>
            <w:top w:val="none" w:sz="0" w:space="0" w:color="auto"/>
            <w:left w:val="none" w:sz="0" w:space="0" w:color="auto"/>
            <w:bottom w:val="none" w:sz="0" w:space="0" w:color="auto"/>
            <w:right w:val="none" w:sz="0" w:space="0" w:color="auto"/>
          </w:divBdr>
        </w:div>
        <w:div w:id="1892687089">
          <w:marLeft w:val="0"/>
          <w:marRight w:val="0"/>
          <w:marTop w:val="0"/>
          <w:marBottom w:val="0"/>
          <w:divBdr>
            <w:top w:val="none" w:sz="0" w:space="0" w:color="auto"/>
            <w:left w:val="none" w:sz="0" w:space="0" w:color="auto"/>
            <w:bottom w:val="none" w:sz="0" w:space="0" w:color="auto"/>
            <w:right w:val="none" w:sz="0" w:space="0" w:color="auto"/>
          </w:divBdr>
        </w:div>
        <w:div w:id="1349795634">
          <w:marLeft w:val="0"/>
          <w:marRight w:val="0"/>
          <w:marTop w:val="0"/>
          <w:marBottom w:val="0"/>
          <w:divBdr>
            <w:top w:val="none" w:sz="0" w:space="0" w:color="auto"/>
            <w:left w:val="none" w:sz="0" w:space="0" w:color="auto"/>
            <w:bottom w:val="none" w:sz="0" w:space="0" w:color="auto"/>
            <w:right w:val="none" w:sz="0" w:space="0" w:color="auto"/>
          </w:divBdr>
        </w:div>
        <w:div w:id="1953248795">
          <w:marLeft w:val="0"/>
          <w:marRight w:val="0"/>
          <w:marTop w:val="0"/>
          <w:marBottom w:val="0"/>
          <w:divBdr>
            <w:top w:val="none" w:sz="0" w:space="0" w:color="auto"/>
            <w:left w:val="none" w:sz="0" w:space="0" w:color="auto"/>
            <w:bottom w:val="none" w:sz="0" w:space="0" w:color="auto"/>
            <w:right w:val="none" w:sz="0" w:space="0" w:color="auto"/>
          </w:divBdr>
        </w:div>
        <w:div w:id="1311133628">
          <w:marLeft w:val="0"/>
          <w:marRight w:val="0"/>
          <w:marTop w:val="0"/>
          <w:marBottom w:val="0"/>
          <w:divBdr>
            <w:top w:val="none" w:sz="0" w:space="0" w:color="auto"/>
            <w:left w:val="none" w:sz="0" w:space="0" w:color="auto"/>
            <w:bottom w:val="none" w:sz="0" w:space="0" w:color="auto"/>
            <w:right w:val="none" w:sz="0" w:space="0" w:color="auto"/>
          </w:divBdr>
        </w:div>
        <w:div w:id="179859005">
          <w:marLeft w:val="0"/>
          <w:marRight w:val="0"/>
          <w:marTop w:val="0"/>
          <w:marBottom w:val="0"/>
          <w:divBdr>
            <w:top w:val="none" w:sz="0" w:space="0" w:color="auto"/>
            <w:left w:val="none" w:sz="0" w:space="0" w:color="auto"/>
            <w:bottom w:val="none" w:sz="0" w:space="0" w:color="auto"/>
            <w:right w:val="none" w:sz="0" w:space="0" w:color="auto"/>
          </w:divBdr>
        </w:div>
        <w:div w:id="1279675937">
          <w:marLeft w:val="0"/>
          <w:marRight w:val="0"/>
          <w:marTop w:val="0"/>
          <w:marBottom w:val="0"/>
          <w:divBdr>
            <w:top w:val="none" w:sz="0" w:space="0" w:color="auto"/>
            <w:left w:val="none" w:sz="0" w:space="0" w:color="auto"/>
            <w:bottom w:val="none" w:sz="0" w:space="0" w:color="auto"/>
            <w:right w:val="none" w:sz="0" w:space="0" w:color="auto"/>
          </w:divBdr>
        </w:div>
        <w:div w:id="1618367454">
          <w:marLeft w:val="0"/>
          <w:marRight w:val="0"/>
          <w:marTop w:val="0"/>
          <w:marBottom w:val="0"/>
          <w:divBdr>
            <w:top w:val="none" w:sz="0" w:space="0" w:color="auto"/>
            <w:left w:val="none" w:sz="0" w:space="0" w:color="auto"/>
            <w:bottom w:val="none" w:sz="0" w:space="0" w:color="auto"/>
            <w:right w:val="none" w:sz="0" w:space="0" w:color="auto"/>
          </w:divBdr>
        </w:div>
        <w:div w:id="2103721094">
          <w:marLeft w:val="0"/>
          <w:marRight w:val="0"/>
          <w:marTop w:val="0"/>
          <w:marBottom w:val="0"/>
          <w:divBdr>
            <w:top w:val="none" w:sz="0" w:space="0" w:color="auto"/>
            <w:left w:val="none" w:sz="0" w:space="0" w:color="auto"/>
            <w:bottom w:val="none" w:sz="0" w:space="0" w:color="auto"/>
            <w:right w:val="none" w:sz="0" w:space="0" w:color="auto"/>
          </w:divBdr>
        </w:div>
        <w:div w:id="1804762920">
          <w:marLeft w:val="0"/>
          <w:marRight w:val="0"/>
          <w:marTop w:val="0"/>
          <w:marBottom w:val="0"/>
          <w:divBdr>
            <w:top w:val="none" w:sz="0" w:space="0" w:color="auto"/>
            <w:left w:val="none" w:sz="0" w:space="0" w:color="auto"/>
            <w:bottom w:val="none" w:sz="0" w:space="0" w:color="auto"/>
            <w:right w:val="none" w:sz="0" w:space="0" w:color="auto"/>
          </w:divBdr>
        </w:div>
        <w:div w:id="1455754356">
          <w:marLeft w:val="0"/>
          <w:marRight w:val="0"/>
          <w:marTop w:val="0"/>
          <w:marBottom w:val="0"/>
          <w:divBdr>
            <w:top w:val="none" w:sz="0" w:space="0" w:color="auto"/>
            <w:left w:val="none" w:sz="0" w:space="0" w:color="auto"/>
            <w:bottom w:val="none" w:sz="0" w:space="0" w:color="auto"/>
            <w:right w:val="none" w:sz="0" w:space="0" w:color="auto"/>
          </w:divBdr>
        </w:div>
        <w:div w:id="1160658479">
          <w:marLeft w:val="0"/>
          <w:marRight w:val="0"/>
          <w:marTop w:val="0"/>
          <w:marBottom w:val="0"/>
          <w:divBdr>
            <w:top w:val="none" w:sz="0" w:space="0" w:color="auto"/>
            <w:left w:val="none" w:sz="0" w:space="0" w:color="auto"/>
            <w:bottom w:val="none" w:sz="0" w:space="0" w:color="auto"/>
            <w:right w:val="none" w:sz="0" w:space="0" w:color="auto"/>
          </w:divBdr>
        </w:div>
        <w:div w:id="719866210">
          <w:marLeft w:val="0"/>
          <w:marRight w:val="0"/>
          <w:marTop w:val="0"/>
          <w:marBottom w:val="0"/>
          <w:divBdr>
            <w:top w:val="none" w:sz="0" w:space="0" w:color="auto"/>
            <w:left w:val="none" w:sz="0" w:space="0" w:color="auto"/>
            <w:bottom w:val="none" w:sz="0" w:space="0" w:color="auto"/>
            <w:right w:val="none" w:sz="0" w:space="0" w:color="auto"/>
          </w:divBdr>
        </w:div>
        <w:div w:id="1462698032">
          <w:marLeft w:val="0"/>
          <w:marRight w:val="0"/>
          <w:marTop w:val="0"/>
          <w:marBottom w:val="0"/>
          <w:divBdr>
            <w:top w:val="none" w:sz="0" w:space="0" w:color="auto"/>
            <w:left w:val="none" w:sz="0" w:space="0" w:color="auto"/>
            <w:bottom w:val="none" w:sz="0" w:space="0" w:color="auto"/>
            <w:right w:val="none" w:sz="0" w:space="0" w:color="auto"/>
          </w:divBdr>
        </w:div>
        <w:div w:id="1078333407">
          <w:marLeft w:val="0"/>
          <w:marRight w:val="0"/>
          <w:marTop w:val="0"/>
          <w:marBottom w:val="0"/>
          <w:divBdr>
            <w:top w:val="none" w:sz="0" w:space="0" w:color="auto"/>
            <w:left w:val="none" w:sz="0" w:space="0" w:color="auto"/>
            <w:bottom w:val="none" w:sz="0" w:space="0" w:color="auto"/>
            <w:right w:val="none" w:sz="0" w:space="0" w:color="auto"/>
          </w:divBdr>
        </w:div>
        <w:div w:id="1827161502">
          <w:marLeft w:val="0"/>
          <w:marRight w:val="0"/>
          <w:marTop w:val="0"/>
          <w:marBottom w:val="0"/>
          <w:divBdr>
            <w:top w:val="none" w:sz="0" w:space="0" w:color="auto"/>
            <w:left w:val="none" w:sz="0" w:space="0" w:color="auto"/>
            <w:bottom w:val="none" w:sz="0" w:space="0" w:color="auto"/>
            <w:right w:val="none" w:sz="0" w:space="0" w:color="auto"/>
          </w:divBdr>
        </w:div>
        <w:div w:id="1586115003">
          <w:marLeft w:val="0"/>
          <w:marRight w:val="0"/>
          <w:marTop w:val="0"/>
          <w:marBottom w:val="0"/>
          <w:divBdr>
            <w:top w:val="none" w:sz="0" w:space="0" w:color="auto"/>
            <w:left w:val="none" w:sz="0" w:space="0" w:color="auto"/>
            <w:bottom w:val="none" w:sz="0" w:space="0" w:color="auto"/>
            <w:right w:val="none" w:sz="0" w:space="0" w:color="auto"/>
          </w:divBdr>
        </w:div>
        <w:div w:id="1457138060">
          <w:marLeft w:val="0"/>
          <w:marRight w:val="0"/>
          <w:marTop w:val="0"/>
          <w:marBottom w:val="0"/>
          <w:divBdr>
            <w:top w:val="none" w:sz="0" w:space="0" w:color="auto"/>
            <w:left w:val="none" w:sz="0" w:space="0" w:color="auto"/>
            <w:bottom w:val="none" w:sz="0" w:space="0" w:color="auto"/>
            <w:right w:val="none" w:sz="0" w:space="0" w:color="auto"/>
          </w:divBdr>
        </w:div>
        <w:div w:id="1919752102">
          <w:marLeft w:val="0"/>
          <w:marRight w:val="0"/>
          <w:marTop w:val="0"/>
          <w:marBottom w:val="0"/>
          <w:divBdr>
            <w:top w:val="none" w:sz="0" w:space="0" w:color="auto"/>
            <w:left w:val="none" w:sz="0" w:space="0" w:color="auto"/>
            <w:bottom w:val="none" w:sz="0" w:space="0" w:color="auto"/>
            <w:right w:val="none" w:sz="0" w:space="0" w:color="auto"/>
          </w:divBdr>
        </w:div>
        <w:div w:id="1436055596">
          <w:marLeft w:val="0"/>
          <w:marRight w:val="0"/>
          <w:marTop w:val="0"/>
          <w:marBottom w:val="0"/>
          <w:divBdr>
            <w:top w:val="none" w:sz="0" w:space="0" w:color="auto"/>
            <w:left w:val="none" w:sz="0" w:space="0" w:color="auto"/>
            <w:bottom w:val="none" w:sz="0" w:space="0" w:color="auto"/>
            <w:right w:val="none" w:sz="0" w:space="0" w:color="auto"/>
          </w:divBdr>
        </w:div>
        <w:div w:id="1774788678">
          <w:marLeft w:val="0"/>
          <w:marRight w:val="0"/>
          <w:marTop w:val="0"/>
          <w:marBottom w:val="0"/>
          <w:divBdr>
            <w:top w:val="none" w:sz="0" w:space="0" w:color="auto"/>
            <w:left w:val="none" w:sz="0" w:space="0" w:color="auto"/>
            <w:bottom w:val="none" w:sz="0" w:space="0" w:color="auto"/>
            <w:right w:val="none" w:sz="0" w:space="0" w:color="auto"/>
          </w:divBdr>
        </w:div>
        <w:div w:id="557935731">
          <w:marLeft w:val="0"/>
          <w:marRight w:val="0"/>
          <w:marTop w:val="0"/>
          <w:marBottom w:val="0"/>
          <w:divBdr>
            <w:top w:val="none" w:sz="0" w:space="0" w:color="auto"/>
            <w:left w:val="none" w:sz="0" w:space="0" w:color="auto"/>
            <w:bottom w:val="none" w:sz="0" w:space="0" w:color="auto"/>
            <w:right w:val="none" w:sz="0" w:space="0" w:color="auto"/>
          </w:divBdr>
        </w:div>
        <w:div w:id="464467503">
          <w:marLeft w:val="0"/>
          <w:marRight w:val="0"/>
          <w:marTop w:val="0"/>
          <w:marBottom w:val="0"/>
          <w:divBdr>
            <w:top w:val="none" w:sz="0" w:space="0" w:color="auto"/>
            <w:left w:val="none" w:sz="0" w:space="0" w:color="auto"/>
            <w:bottom w:val="none" w:sz="0" w:space="0" w:color="auto"/>
            <w:right w:val="none" w:sz="0" w:space="0" w:color="auto"/>
          </w:divBdr>
        </w:div>
        <w:div w:id="867181686">
          <w:marLeft w:val="0"/>
          <w:marRight w:val="0"/>
          <w:marTop w:val="0"/>
          <w:marBottom w:val="0"/>
          <w:divBdr>
            <w:top w:val="none" w:sz="0" w:space="0" w:color="auto"/>
            <w:left w:val="none" w:sz="0" w:space="0" w:color="auto"/>
            <w:bottom w:val="none" w:sz="0" w:space="0" w:color="auto"/>
            <w:right w:val="none" w:sz="0" w:space="0" w:color="auto"/>
          </w:divBdr>
        </w:div>
        <w:div w:id="1205754006">
          <w:marLeft w:val="0"/>
          <w:marRight w:val="0"/>
          <w:marTop w:val="0"/>
          <w:marBottom w:val="0"/>
          <w:divBdr>
            <w:top w:val="none" w:sz="0" w:space="0" w:color="auto"/>
            <w:left w:val="none" w:sz="0" w:space="0" w:color="auto"/>
            <w:bottom w:val="none" w:sz="0" w:space="0" w:color="auto"/>
            <w:right w:val="none" w:sz="0" w:space="0" w:color="auto"/>
          </w:divBdr>
        </w:div>
        <w:div w:id="173767799">
          <w:marLeft w:val="0"/>
          <w:marRight w:val="0"/>
          <w:marTop w:val="0"/>
          <w:marBottom w:val="0"/>
          <w:divBdr>
            <w:top w:val="none" w:sz="0" w:space="0" w:color="auto"/>
            <w:left w:val="none" w:sz="0" w:space="0" w:color="auto"/>
            <w:bottom w:val="none" w:sz="0" w:space="0" w:color="auto"/>
            <w:right w:val="none" w:sz="0" w:space="0" w:color="auto"/>
          </w:divBdr>
        </w:div>
        <w:div w:id="339354794">
          <w:marLeft w:val="0"/>
          <w:marRight w:val="0"/>
          <w:marTop w:val="0"/>
          <w:marBottom w:val="0"/>
          <w:divBdr>
            <w:top w:val="none" w:sz="0" w:space="0" w:color="auto"/>
            <w:left w:val="none" w:sz="0" w:space="0" w:color="auto"/>
            <w:bottom w:val="none" w:sz="0" w:space="0" w:color="auto"/>
            <w:right w:val="none" w:sz="0" w:space="0" w:color="auto"/>
          </w:divBdr>
        </w:div>
        <w:div w:id="660424164">
          <w:marLeft w:val="0"/>
          <w:marRight w:val="0"/>
          <w:marTop w:val="0"/>
          <w:marBottom w:val="0"/>
          <w:divBdr>
            <w:top w:val="none" w:sz="0" w:space="0" w:color="auto"/>
            <w:left w:val="none" w:sz="0" w:space="0" w:color="auto"/>
            <w:bottom w:val="none" w:sz="0" w:space="0" w:color="auto"/>
            <w:right w:val="none" w:sz="0" w:space="0" w:color="auto"/>
          </w:divBdr>
        </w:div>
        <w:div w:id="1382753898">
          <w:marLeft w:val="0"/>
          <w:marRight w:val="0"/>
          <w:marTop w:val="0"/>
          <w:marBottom w:val="0"/>
          <w:divBdr>
            <w:top w:val="none" w:sz="0" w:space="0" w:color="auto"/>
            <w:left w:val="none" w:sz="0" w:space="0" w:color="auto"/>
            <w:bottom w:val="none" w:sz="0" w:space="0" w:color="auto"/>
            <w:right w:val="none" w:sz="0" w:space="0" w:color="auto"/>
          </w:divBdr>
        </w:div>
        <w:div w:id="1449662045">
          <w:marLeft w:val="0"/>
          <w:marRight w:val="0"/>
          <w:marTop w:val="0"/>
          <w:marBottom w:val="0"/>
          <w:divBdr>
            <w:top w:val="none" w:sz="0" w:space="0" w:color="auto"/>
            <w:left w:val="none" w:sz="0" w:space="0" w:color="auto"/>
            <w:bottom w:val="none" w:sz="0" w:space="0" w:color="auto"/>
            <w:right w:val="none" w:sz="0" w:space="0" w:color="auto"/>
          </w:divBdr>
        </w:div>
        <w:div w:id="2051371514">
          <w:marLeft w:val="0"/>
          <w:marRight w:val="0"/>
          <w:marTop w:val="0"/>
          <w:marBottom w:val="0"/>
          <w:divBdr>
            <w:top w:val="none" w:sz="0" w:space="0" w:color="auto"/>
            <w:left w:val="none" w:sz="0" w:space="0" w:color="auto"/>
            <w:bottom w:val="none" w:sz="0" w:space="0" w:color="auto"/>
            <w:right w:val="none" w:sz="0" w:space="0" w:color="auto"/>
          </w:divBdr>
        </w:div>
        <w:div w:id="782530203">
          <w:marLeft w:val="0"/>
          <w:marRight w:val="0"/>
          <w:marTop w:val="0"/>
          <w:marBottom w:val="0"/>
          <w:divBdr>
            <w:top w:val="none" w:sz="0" w:space="0" w:color="auto"/>
            <w:left w:val="none" w:sz="0" w:space="0" w:color="auto"/>
            <w:bottom w:val="none" w:sz="0" w:space="0" w:color="auto"/>
            <w:right w:val="none" w:sz="0" w:space="0" w:color="auto"/>
          </w:divBdr>
        </w:div>
        <w:div w:id="997613067">
          <w:marLeft w:val="0"/>
          <w:marRight w:val="0"/>
          <w:marTop w:val="0"/>
          <w:marBottom w:val="0"/>
          <w:divBdr>
            <w:top w:val="none" w:sz="0" w:space="0" w:color="auto"/>
            <w:left w:val="none" w:sz="0" w:space="0" w:color="auto"/>
            <w:bottom w:val="none" w:sz="0" w:space="0" w:color="auto"/>
            <w:right w:val="none" w:sz="0" w:space="0" w:color="auto"/>
          </w:divBdr>
        </w:div>
        <w:div w:id="2117016226">
          <w:marLeft w:val="0"/>
          <w:marRight w:val="0"/>
          <w:marTop w:val="0"/>
          <w:marBottom w:val="0"/>
          <w:divBdr>
            <w:top w:val="none" w:sz="0" w:space="0" w:color="auto"/>
            <w:left w:val="none" w:sz="0" w:space="0" w:color="auto"/>
            <w:bottom w:val="none" w:sz="0" w:space="0" w:color="auto"/>
            <w:right w:val="none" w:sz="0" w:space="0" w:color="auto"/>
          </w:divBdr>
        </w:div>
        <w:div w:id="1134251708">
          <w:marLeft w:val="0"/>
          <w:marRight w:val="0"/>
          <w:marTop w:val="0"/>
          <w:marBottom w:val="0"/>
          <w:divBdr>
            <w:top w:val="none" w:sz="0" w:space="0" w:color="auto"/>
            <w:left w:val="none" w:sz="0" w:space="0" w:color="auto"/>
            <w:bottom w:val="none" w:sz="0" w:space="0" w:color="auto"/>
            <w:right w:val="none" w:sz="0" w:space="0" w:color="auto"/>
          </w:divBdr>
        </w:div>
        <w:div w:id="279190873">
          <w:marLeft w:val="0"/>
          <w:marRight w:val="0"/>
          <w:marTop w:val="0"/>
          <w:marBottom w:val="0"/>
          <w:divBdr>
            <w:top w:val="none" w:sz="0" w:space="0" w:color="auto"/>
            <w:left w:val="none" w:sz="0" w:space="0" w:color="auto"/>
            <w:bottom w:val="none" w:sz="0" w:space="0" w:color="auto"/>
            <w:right w:val="none" w:sz="0" w:space="0" w:color="auto"/>
          </w:divBdr>
        </w:div>
        <w:div w:id="1662930096">
          <w:marLeft w:val="0"/>
          <w:marRight w:val="0"/>
          <w:marTop w:val="0"/>
          <w:marBottom w:val="0"/>
          <w:divBdr>
            <w:top w:val="none" w:sz="0" w:space="0" w:color="auto"/>
            <w:left w:val="none" w:sz="0" w:space="0" w:color="auto"/>
            <w:bottom w:val="none" w:sz="0" w:space="0" w:color="auto"/>
            <w:right w:val="none" w:sz="0" w:space="0" w:color="auto"/>
          </w:divBdr>
        </w:div>
        <w:div w:id="516502245">
          <w:marLeft w:val="0"/>
          <w:marRight w:val="0"/>
          <w:marTop w:val="0"/>
          <w:marBottom w:val="0"/>
          <w:divBdr>
            <w:top w:val="none" w:sz="0" w:space="0" w:color="auto"/>
            <w:left w:val="none" w:sz="0" w:space="0" w:color="auto"/>
            <w:bottom w:val="none" w:sz="0" w:space="0" w:color="auto"/>
            <w:right w:val="none" w:sz="0" w:space="0" w:color="auto"/>
          </w:divBdr>
        </w:div>
        <w:div w:id="166790666">
          <w:marLeft w:val="0"/>
          <w:marRight w:val="0"/>
          <w:marTop w:val="0"/>
          <w:marBottom w:val="0"/>
          <w:divBdr>
            <w:top w:val="none" w:sz="0" w:space="0" w:color="auto"/>
            <w:left w:val="none" w:sz="0" w:space="0" w:color="auto"/>
            <w:bottom w:val="none" w:sz="0" w:space="0" w:color="auto"/>
            <w:right w:val="none" w:sz="0" w:space="0" w:color="auto"/>
          </w:divBdr>
        </w:div>
        <w:div w:id="667631100">
          <w:marLeft w:val="0"/>
          <w:marRight w:val="0"/>
          <w:marTop w:val="0"/>
          <w:marBottom w:val="0"/>
          <w:divBdr>
            <w:top w:val="none" w:sz="0" w:space="0" w:color="auto"/>
            <w:left w:val="none" w:sz="0" w:space="0" w:color="auto"/>
            <w:bottom w:val="none" w:sz="0" w:space="0" w:color="auto"/>
            <w:right w:val="none" w:sz="0" w:space="0" w:color="auto"/>
          </w:divBdr>
        </w:div>
        <w:div w:id="413865045">
          <w:marLeft w:val="0"/>
          <w:marRight w:val="0"/>
          <w:marTop w:val="0"/>
          <w:marBottom w:val="0"/>
          <w:divBdr>
            <w:top w:val="none" w:sz="0" w:space="0" w:color="auto"/>
            <w:left w:val="none" w:sz="0" w:space="0" w:color="auto"/>
            <w:bottom w:val="none" w:sz="0" w:space="0" w:color="auto"/>
            <w:right w:val="none" w:sz="0" w:space="0" w:color="auto"/>
          </w:divBdr>
        </w:div>
        <w:div w:id="321472968">
          <w:marLeft w:val="0"/>
          <w:marRight w:val="0"/>
          <w:marTop w:val="0"/>
          <w:marBottom w:val="0"/>
          <w:divBdr>
            <w:top w:val="none" w:sz="0" w:space="0" w:color="auto"/>
            <w:left w:val="none" w:sz="0" w:space="0" w:color="auto"/>
            <w:bottom w:val="none" w:sz="0" w:space="0" w:color="auto"/>
            <w:right w:val="none" w:sz="0" w:space="0" w:color="auto"/>
          </w:divBdr>
        </w:div>
        <w:div w:id="353388361">
          <w:marLeft w:val="0"/>
          <w:marRight w:val="0"/>
          <w:marTop w:val="0"/>
          <w:marBottom w:val="0"/>
          <w:divBdr>
            <w:top w:val="none" w:sz="0" w:space="0" w:color="auto"/>
            <w:left w:val="none" w:sz="0" w:space="0" w:color="auto"/>
            <w:bottom w:val="none" w:sz="0" w:space="0" w:color="auto"/>
            <w:right w:val="none" w:sz="0" w:space="0" w:color="auto"/>
          </w:divBdr>
        </w:div>
        <w:div w:id="1473518961">
          <w:marLeft w:val="0"/>
          <w:marRight w:val="0"/>
          <w:marTop w:val="0"/>
          <w:marBottom w:val="0"/>
          <w:divBdr>
            <w:top w:val="none" w:sz="0" w:space="0" w:color="auto"/>
            <w:left w:val="none" w:sz="0" w:space="0" w:color="auto"/>
            <w:bottom w:val="none" w:sz="0" w:space="0" w:color="auto"/>
            <w:right w:val="none" w:sz="0" w:space="0" w:color="auto"/>
          </w:divBdr>
        </w:div>
        <w:div w:id="189103572">
          <w:marLeft w:val="0"/>
          <w:marRight w:val="0"/>
          <w:marTop w:val="0"/>
          <w:marBottom w:val="0"/>
          <w:divBdr>
            <w:top w:val="none" w:sz="0" w:space="0" w:color="auto"/>
            <w:left w:val="none" w:sz="0" w:space="0" w:color="auto"/>
            <w:bottom w:val="none" w:sz="0" w:space="0" w:color="auto"/>
            <w:right w:val="none" w:sz="0" w:space="0" w:color="auto"/>
          </w:divBdr>
        </w:div>
        <w:div w:id="1812405795">
          <w:marLeft w:val="0"/>
          <w:marRight w:val="0"/>
          <w:marTop w:val="0"/>
          <w:marBottom w:val="0"/>
          <w:divBdr>
            <w:top w:val="none" w:sz="0" w:space="0" w:color="auto"/>
            <w:left w:val="none" w:sz="0" w:space="0" w:color="auto"/>
            <w:bottom w:val="none" w:sz="0" w:space="0" w:color="auto"/>
            <w:right w:val="none" w:sz="0" w:space="0" w:color="auto"/>
          </w:divBdr>
        </w:div>
        <w:div w:id="632949257">
          <w:marLeft w:val="0"/>
          <w:marRight w:val="0"/>
          <w:marTop w:val="0"/>
          <w:marBottom w:val="0"/>
          <w:divBdr>
            <w:top w:val="none" w:sz="0" w:space="0" w:color="auto"/>
            <w:left w:val="none" w:sz="0" w:space="0" w:color="auto"/>
            <w:bottom w:val="none" w:sz="0" w:space="0" w:color="auto"/>
            <w:right w:val="none" w:sz="0" w:space="0" w:color="auto"/>
          </w:divBdr>
        </w:div>
        <w:div w:id="200283465">
          <w:marLeft w:val="0"/>
          <w:marRight w:val="0"/>
          <w:marTop w:val="0"/>
          <w:marBottom w:val="0"/>
          <w:divBdr>
            <w:top w:val="none" w:sz="0" w:space="0" w:color="auto"/>
            <w:left w:val="none" w:sz="0" w:space="0" w:color="auto"/>
            <w:bottom w:val="none" w:sz="0" w:space="0" w:color="auto"/>
            <w:right w:val="none" w:sz="0" w:space="0" w:color="auto"/>
          </w:divBdr>
        </w:div>
        <w:div w:id="668143042">
          <w:marLeft w:val="0"/>
          <w:marRight w:val="0"/>
          <w:marTop w:val="0"/>
          <w:marBottom w:val="0"/>
          <w:divBdr>
            <w:top w:val="none" w:sz="0" w:space="0" w:color="auto"/>
            <w:left w:val="none" w:sz="0" w:space="0" w:color="auto"/>
            <w:bottom w:val="none" w:sz="0" w:space="0" w:color="auto"/>
            <w:right w:val="none" w:sz="0" w:space="0" w:color="auto"/>
          </w:divBdr>
        </w:div>
        <w:div w:id="1301879428">
          <w:marLeft w:val="0"/>
          <w:marRight w:val="0"/>
          <w:marTop w:val="0"/>
          <w:marBottom w:val="0"/>
          <w:divBdr>
            <w:top w:val="none" w:sz="0" w:space="0" w:color="auto"/>
            <w:left w:val="none" w:sz="0" w:space="0" w:color="auto"/>
            <w:bottom w:val="none" w:sz="0" w:space="0" w:color="auto"/>
            <w:right w:val="none" w:sz="0" w:space="0" w:color="auto"/>
          </w:divBdr>
        </w:div>
        <w:div w:id="1455364062">
          <w:marLeft w:val="0"/>
          <w:marRight w:val="0"/>
          <w:marTop w:val="0"/>
          <w:marBottom w:val="0"/>
          <w:divBdr>
            <w:top w:val="none" w:sz="0" w:space="0" w:color="auto"/>
            <w:left w:val="none" w:sz="0" w:space="0" w:color="auto"/>
            <w:bottom w:val="none" w:sz="0" w:space="0" w:color="auto"/>
            <w:right w:val="none" w:sz="0" w:space="0" w:color="auto"/>
          </w:divBdr>
        </w:div>
        <w:div w:id="601841622">
          <w:marLeft w:val="0"/>
          <w:marRight w:val="0"/>
          <w:marTop w:val="0"/>
          <w:marBottom w:val="0"/>
          <w:divBdr>
            <w:top w:val="none" w:sz="0" w:space="0" w:color="auto"/>
            <w:left w:val="none" w:sz="0" w:space="0" w:color="auto"/>
            <w:bottom w:val="none" w:sz="0" w:space="0" w:color="auto"/>
            <w:right w:val="none" w:sz="0" w:space="0" w:color="auto"/>
          </w:divBdr>
        </w:div>
        <w:div w:id="1133213693">
          <w:marLeft w:val="0"/>
          <w:marRight w:val="0"/>
          <w:marTop w:val="0"/>
          <w:marBottom w:val="0"/>
          <w:divBdr>
            <w:top w:val="none" w:sz="0" w:space="0" w:color="auto"/>
            <w:left w:val="none" w:sz="0" w:space="0" w:color="auto"/>
            <w:bottom w:val="none" w:sz="0" w:space="0" w:color="auto"/>
            <w:right w:val="none" w:sz="0" w:space="0" w:color="auto"/>
          </w:divBdr>
        </w:div>
        <w:div w:id="1237863778">
          <w:marLeft w:val="0"/>
          <w:marRight w:val="0"/>
          <w:marTop w:val="0"/>
          <w:marBottom w:val="0"/>
          <w:divBdr>
            <w:top w:val="none" w:sz="0" w:space="0" w:color="auto"/>
            <w:left w:val="none" w:sz="0" w:space="0" w:color="auto"/>
            <w:bottom w:val="none" w:sz="0" w:space="0" w:color="auto"/>
            <w:right w:val="none" w:sz="0" w:space="0" w:color="auto"/>
          </w:divBdr>
        </w:div>
        <w:div w:id="1354452197">
          <w:marLeft w:val="0"/>
          <w:marRight w:val="0"/>
          <w:marTop w:val="0"/>
          <w:marBottom w:val="0"/>
          <w:divBdr>
            <w:top w:val="none" w:sz="0" w:space="0" w:color="auto"/>
            <w:left w:val="none" w:sz="0" w:space="0" w:color="auto"/>
            <w:bottom w:val="none" w:sz="0" w:space="0" w:color="auto"/>
            <w:right w:val="none" w:sz="0" w:space="0" w:color="auto"/>
          </w:divBdr>
        </w:div>
        <w:div w:id="202523801">
          <w:marLeft w:val="0"/>
          <w:marRight w:val="0"/>
          <w:marTop w:val="0"/>
          <w:marBottom w:val="0"/>
          <w:divBdr>
            <w:top w:val="none" w:sz="0" w:space="0" w:color="auto"/>
            <w:left w:val="none" w:sz="0" w:space="0" w:color="auto"/>
            <w:bottom w:val="none" w:sz="0" w:space="0" w:color="auto"/>
            <w:right w:val="none" w:sz="0" w:space="0" w:color="auto"/>
          </w:divBdr>
        </w:div>
        <w:div w:id="1047684710">
          <w:marLeft w:val="0"/>
          <w:marRight w:val="0"/>
          <w:marTop w:val="0"/>
          <w:marBottom w:val="0"/>
          <w:divBdr>
            <w:top w:val="none" w:sz="0" w:space="0" w:color="auto"/>
            <w:left w:val="none" w:sz="0" w:space="0" w:color="auto"/>
            <w:bottom w:val="none" w:sz="0" w:space="0" w:color="auto"/>
            <w:right w:val="none" w:sz="0" w:space="0" w:color="auto"/>
          </w:divBdr>
        </w:div>
        <w:div w:id="69037047">
          <w:marLeft w:val="0"/>
          <w:marRight w:val="0"/>
          <w:marTop w:val="0"/>
          <w:marBottom w:val="0"/>
          <w:divBdr>
            <w:top w:val="none" w:sz="0" w:space="0" w:color="auto"/>
            <w:left w:val="none" w:sz="0" w:space="0" w:color="auto"/>
            <w:bottom w:val="none" w:sz="0" w:space="0" w:color="auto"/>
            <w:right w:val="none" w:sz="0" w:space="0" w:color="auto"/>
          </w:divBdr>
        </w:div>
        <w:div w:id="93089161">
          <w:marLeft w:val="0"/>
          <w:marRight w:val="0"/>
          <w:marTop w:val="0"/>
          <w:marBottom w:val="0"/>
          <w:divBdr>
            <w:top w:val="none" w:sz="0" w:space="0" w:color="auto"/>
            <w:left w:val="none" w:sz="0" w:space="0" w:color="auto"/>
            <w:bottom w:val="none" w:sz="0" w:space="0" w:color="auto"/>
            <w:right w:val="none" w:sz="0" w:space="0" w:color="auto"/>
          </w:divBdr>
        </w:div>
        <w:div w:id="1268154196">
          <w:marLeft w:val="0"/>
          <w:marRight w:val="0"/>
          <w:marTop w:val="0"/>
          <w:marBottom w:val="0"/>
          <w:divBdr>
            <w:top w:val="none" w:sz="0" w:space="0" w:color="auto"/>
            <w:left w:val="none" w:sz="0" w:space="0" w:color="auto"/>
            <w:bottom w:val="none" w:sz="0" w:space="0" w:color="auto"/>
            <w:right w:val="none" w:sz="0" w:space="0" w:color="auto"/>
          </w:divBdr>
        </w:div>
        <w:div w:id="1866484662">
          <w:marLeft w:val="0"/>
          <w:marRight w:val="0"/>
          <w:marTop w:val="0"/>
          <w:marBottom w:val="0"/>
          <w:divBdr>
            <w:top w:val="none" w:sz="0" w:space="0" w:color="auto"/>
            <w:left w:val="none" w:sz="0" w:space="0" w:color="auto"/>
            <w:bottom w:val="none" w:sz="0" w:space="0" w:color="auto"/>
            <w:right w:val="none" w:sz="0" w:space="0" w:color="auto"/>
          </w:divBdr>
        </w:div>
        <w:div w:id="569342677">
          <w:marLeft w:val="0"/>
          <w:marRight w:val="0"/>
          <w:marTop w:val="0"/>
          <w:marBottom w:val="0"/>
          <w:divBdr>
            <w:top w:val="none" w:sz="0" w:space="0" w:color="auto"/>
            <w:left w:val="none" w:sz="0" w:space="0" w:color="auto"/>
            <w:bottom w:val="none" w:sz="0" w:space="0" w:color="auto"/>
            <w:right w:val="none" w:sz="0" w:space="0" w:color="auto"/>
          </w:divBdr>
        </w:div>
        <w:div w:id="1583369463">
          <w:marLeft w:val="0"/>
          <w:marRight w:val="0"/>
          <w:marTop w:val="0"/>
          <w:marBottom w:val="0"/>
          <w:divBdr>
            <w:top w:val="none" w:sz="0" w:space="0" w:color="auto"/>
            <w:left w:val="none" w:sz="0" w:space="0" w:color="auto"/>
            <w:bottom w:val="none" w:sz="0" w:space="0" w:color="auto"/>
            <w:right w:val="none" w:sz="0" w:space="0" w:color="auto"/>
          </w:divBdr>
        </w:div>
        <w:div w:id="1019548082">
          <w:marLeft w:val="0"/>
          <w:marRight w:val="0"/>
          <w:marTop w:val="0"/>
          <w:marBottom w:val="0"/>
          <w:divBdr>
            <w:top w:val="none" w:sz="0" w:space="0" w:color="auto"/>
            <w:left w:val="none" w:sz="0" w:space="0" w:color="auto"/>
            <w:bottom w:val="none" w:sz="0" w:space="0" w:color="auto"/>
            <w:right w:val="none" w:sz="0" w:space="0" w:color="auto"/>
          </w:divBdr>
        </w:div>
        <w:div w:id="1821728318">
          <w:marLeft w:val="0"/>
          <w:marRight w:val="0"/>
          <w:marTop w:val="0"/>
          <w:marBottom w:val="0"/>
          <w:divBdr>
            <w:top w:val="none" w:sz="0" w:space="0" w:color="auto"/>
            <w:left w:val="none" w:sz="0" w:space="0" w:color="auto"/>
            <w:bottom w:val="none" w:sz="0" w:space="0" w:color="auto"/>
            <w:right w:val="none" w:sz="0" w:space="0" w:color="auto"/>
          </w:divBdr>
        </w:div>
        <w:div w:id="170222588">
          <w:marLeft w:val="0"/>
          <w:marRight w:val="0"/>
          <w:marTop w:val="0"/>
          <w:marBottom w:val="0"/>
          <w:divBdr>
            <w:top w:val="none" w:sz="0" w:space="0" w:color="auto"/>
            <w:left w:val="none" w:sz="0" w:space="0" w:color="auto"/>
            <w:bottom w:val="none" w:sz="0" w:space="0" w:color="auto"/>
            <w:right w:val="none" w:sz="0" w:space="0" w:color="auto"/>
          </w:divBdr>
        </w:div>
        <w:div w:id="1333290195">
          <w:marLeft w:val="0"/>
          <w:marRight w:val="0"/>
          <w:marTop w:val="0"/>
          <w:marBottom w:val="0"/>
          <w:divBdr>
            <w:top w:val="none" w:sz="0" w:space="0" w:color="auto"/>
            <w:left w:val="none" w:sz="0" w:space="0" w:color="auto"/>
            <w:bottom w:val="none" w:sz="0" w:space="0" w:color="auto"/>
            <w:right w:val="none" w:sz="0" w:space="0" w:color="auto"/>
          </w:divBdr>
        </w:div>
        <w:div w:id="214894557">
          <w:marLeft w:val="0"/>
          <w:marRight w:val="0"/>
          <w:marTop w:val="0"/>
          <w:marBottom w:val="0"/>
          <w:divBdr>
            <w:top w:val="none" w:sz="0" w:space="0" w:color="auto"/>
            <w:left w:val="none" w:sz="0" w:space="0" w:color="auto"/>
            <w:bottom w:val="none" w:sz="0" w:space="0" w:color="auto"/>
            <w:right w:val="none" w:sz="0" w:space="0" w:color="auto"/>
          </w:divBdr>
        </w:div>
        <w:div w:id="884755009">
          <w:marLeft w:val="0"/>
          <w:marRight w:val="0"/>
          <w:marTop w:val="0"/>
          <w:marBottom w:val="0"/>
          <w:divBdr>
            <w:top w:val="none" w:sz="0" w:space="0" w:color="auto"/>
            <w:left w:val="none" w:sz="0" w:space="0" w:color="auto"/>
            <w:bottom w:val="none" w:sz="0" w:space="0" w:color="auto"/>
            <w:right w:val="none" w:sz="0" w:space="0" w:color="auto"/>
          </w:divBdr>
        </w:div>
        <w:div w:id="886179757">
          <w:marLeft w:val="0"/>
          <w:marRight w:val="0"/>
          <w:marTop w:val="0"/>
          <w:marBottom w:val="0"/>
          <w:divBdr>
            <w:top w:val="none" w:sz="0" w:space="0" w:color="auto"/>
            <w:left w:val="none" w:sz="0" w:space="0" w:color="auto"/>
            <w:bottom w:val="none" w:sz="0" w:space="0" w:color="auto"/>
            <w:right w:val="none" w:sz="0" w:space="0" w:color="auto"/>
          </w:divBdr>
        </w:div>
        <w:div w:id="134877350">
          <w:marLeft w:val="0"/>
          <w:marRight w:val="0"/>
          <w:marTop w:val="0"/>
          <w:marBottom w:val="0"/>
          <w:divBdr>
            <w:top w:val="none" w:sz="0" w:space="0" w:color="auto"/>
            <w:left w:val="none" w:sz="0" w:space="0" w:color="auto"/>
            <w:bottom w:val="none" w:sz="0" w:space="0" w:color="auto"/>
            <w:right w:val="none" w:sz="0" w:space="0" w:color="auto"/>
          </w:divBdr>
        </w:div>
        <w:div w:id="1104376534">
          <w:marLeft w:val="0"/>
          <w:marRight w:val="0"/>
          <w:marTop w:val="0"/>
          <w:marBottom w:val="0"/>
          <w:divBdr>
            <w:top w:val="none" w:sz="0" w:space="0" w:color="auto"/>
            <w:left w:val="none" w:sz="0" w:space="0" w:color="auto"/>
            <w:bottom w:val="none" w:sz="0" w:space="0" w:color="auto"/>
            <w:right w:val="none" w:sz="0" w:space="0" w:color="auto"/>
          </w:divBdr>
        </w:div>
        <w:div w:id="398944256">
          <w:marLeft w:val="0"/>
          <w:marRight w:val="0"/>
          <w:marTop w:val="0"/>
          <w:marBottom w:val="0"/>
          <w:divBdr>
            <w:top w:val="none" w:sz="0" w:space="0" w:color="auto"/>
            <w:left w:val="none" w:sz="0" w:space="0" w:color="auto"/>
            <w:bottom w:val="none" w:sz="0" w:space="0" w:color="auto"/>
            <w:right w:val="none" w:sz="0" w:space="0" w:color="auto"/>
          </w:divBdr>
        </w:div>
        <w:div w:id="1814981421">
          <w:marLeft w:val="0"/>
          <w:marRight w:val="0"/>
          <w:marTop w:val="0"/>
          <w:marBottom w:val="0"/>
          <w:divBdr>
            <w:top w:val="none" w:sz="0" w:space="0" w:color="auto"/>
            <w:left w:val="none" w:sz="0" w:space="0" w:color="auto"/>
            <w:bottom w:val="none" w:sz="0" w:space="0" w:color="auto"/>
            <w:right w:val="none" w:sz="0" w:space="0" w:color="auto"/>
          </w:divBdr>
        </w:div>
        <w:div w:id="916325786">
          <w:marLeft w:val="0"/>
          <w:marRight w:val="0"/>
          <w:marTop w:val="0"/>
          <w:marBottom w:val="0"/>
          <w:divBdr>
            <w:top w:val="none" w:sz="0" w:space="0" w:color="auto"/>
            <w:left w:val="none" w:sz="0" w:space="0" w:color="auto"/>
            <w:bottom w:val="none" w:sz="0" w:space="0" w:color="auto"/>
            <w:right w:val="none" w:sz="0" w:space="0" w:color="auto"/>
          </w:divBdr>
        </w:div>
        <w:div w:id="9911503">
          <w:marLeft w:val="0"/>
          <w:marRight w:val="0"/>
          <w:marTop w:val="0"/>
          <w:marBottom w:val="0"/>
          <w:divBdr>
            <w:top w:val="none" w:sz="0" w:space="0" w:color="auto"/>
            <w:left w:val="none" w:sz="0" w:space="0" w:color="auto"/>
            <w:bottom w:val="none" w:sz="0" w:space="0" w:color="auto"/>
            <w:right w:val="none" w:sz="0" w:space="0" w:color="auto"/>
          </w:divBdr>
        </w:div>
        <w:div w:id="1877816573">
          <w:marLeft w:val="0"/>
          <w:marRight w:val="0"/>
          <w:marTop w:val="0"/>
          <w:marBottom w:val="0"/>
          <w:divBdr>
            <w:top w:val="none" w:sz="0" w:space="0" w:color="auto"/>
            <w:left w:val="none" w:sz="0" w:space="0" w:color="auto"/>
            <w:bottom w:val="none" w:sz="0" w:space="0" w:color="auto"/>
            <w:right w:val="none" w:sz="0" w:space="0" w:color="auto"/>
          </w:divBdr>
        </w:div>
        <w:div w:id="1834180380">
          <w:marLeft w:val="0"/>
          <w:marRight w:val="0"/>
          <w:marTop w:val="0"/>
          <w:marBottom w:val="0"/>
          <w:divBdr>
            <w:top w:val="none" w:sz="0" w:space="0" w:color="auto"/>
            <w:left w:val="none" w:sz="0" w:space="0" w:color="auto"/>
            <w:bottom w:val="none" w:sz="0" w:space="0" w:color="auto"/>
            <w:right w:val="none" w:sz="0" w:space="0" w:color="auto"/>
          </w:divBdr>
        </w:div>
        <w:div w:id="1201630768">
          <w:marLeft w:val="0"/>
          <w:marRight w:val="0"/>
          <w:marTop w:val="0"/>
          <w:marBottom w:val="0"/>
          <w:divBdr>
            <w:top w:val="none" w:sz="0" w:space="0" w:color="auto"/>
            <w:left w:val="none" w:sz="0" w:space="0" w:color="auto"/>
            <w:bottom w:val="none" w:sz="0" w:space="0" w:color="auto"/>
            <w:right w:val="none" w:sz="0" w:space="0" w:color="auto"/>
          </w:divBdr>
        </w:div>
        <w:div w:id="1371684164">
          <w:marLeft w:val="0"/>
          <w:marRight w:val="0"/>
          <w:marTop w:val="0"/>
          <w:marBottom w:val="0"/>
          <w:divBdr>
            <w:top w:val="none" w:sz="0" w:space="0" w:color="auto"/>
            <w:left w:val="none" w:sz="0" w:space="0" w:color="auto"/>
            <w:bottom w:val="none" w:sz="0" w:space="0" w:color="auto"/>
            <w:right w:val="none" w:sz="0" w:space="0" w:color="auto"/>
          </w:divBdr>
        </w:div>
        <w:div w:id="58791715">
          <w:marLeft w:val="0"/>
          <w:marRight w:val="0"/>
          <w:marTop w:val="0"/>
          <w:marBottom w:val="0"/>
          <w:divBdr>
            <w:top w:val="none" w:sz="0" w:space="0" w:color="auto"/>
            <w:left w:val="none" w:sz="0" w:space="0" w:color="auto"/>
            <w:bottom w:val="none" w:sz="0" w:space="0" w:color="auto"/>
            <w:right w:val="none" w:sz="0" w:space="0" w:color="auto"/>
          </w:divBdr>
        </w:div>
        <w:div w:id="820661029">
          <w:marLeft w:val="0"/>
          <w:marRight w:val="0"/>
          <w:marTop w:val="0"/>
          <w:marBottom w:val="0"/>
          <w:divBdr>
            <w:top w:val="none" w:sz="0" w:space="0" w:color="auto"/>
            <w:left w:val="none" w:sz="0" w:space="0" w:color="auto"/>
            <w:bottom w:val="none" w:sz="0" w:space="0" w:color="auto"/>
            <w:right w:val="none" w:sz="0" w:space="0" w:color="auto"/>
          </w:divBdr>
        </w:div>
        <w:div w:id="1992824235">
          <w:marLeft w:val="0"/>
          <w:marRight w:val="0"/>
          <w:marTop w:val="0"/>
          <w:marBottom w:val="0"/>
          <w:divBdr>
            <w:top w:val="none" w:sz="0" w:space="0" w:color="auto"/>
            <w:left w:val="none" w:sz="0" w:space="0" w:color="auto"/>
            <w:bottom w:val="none" w:sz="0" w:space="0" w:color="auto"/>
            <w:right w:val="none" w:sz="0" w:space="0" w:color="auto"/>
          </w:divBdr>
        </w:div>
        <w:div w:id="1298410940">
          <w:marLeft w:val="0"/>
          <w:marRight w:val="0"/>
          <w:marTop w:val="0"/>
          <w:marBottom w:val="0"/>
          <w:divBdr>
            <w:top w:val="none" w:sz="0" w:space="0" w:color="auto"/>
            <w:left w:val="none" w:sz="0" w:space="0" w:color="auto"/>
            <w:bottom w:val="none" w:sz="0" w:space="0" w:color="auto"/>
            <w:right w:val="none" w:sz="0" w:space="0" w:color="auto"/>
          </w:divBdr>
        </w:div>
        <w:div w:id="515926894">
          <w:marLeft w:val="0"/>
          <w:marRight w:val="0"/>
          <w:marTop w:val="0"/>
          <w:marBottom w:val="0"/>
          <w:divBdr>
            <w:top w:val="none" w:sz="0" w:space="0" w:color="auto"/>
            <w:left w:val="none" w:sz="0" w:space="0" w:color="auto"/>
            <w:bottom w:val="none" w:sz="0" w:space="0" w:color="auto"/>
            <w:right w:val="none" w:sz="0" w:space="0" w:color="auto"/>
          </w:divBdr>
        </w:div>
        <w:div w:id="2074427509">
          <w:marLeft w:val="0"/>
          <w:marRight w:val="0"/>
          <w:marTop w:val="0"/>
          <w:marBottom w:val="0"/>
          <w:divBdr>
            <w:top w:val="none" w:sz="0" w:space="0" w:color="auto"/>
            <w:left w:val="none" w:sz="0" w:space="0" w:color="auto"/>
            <w:bottom w:val="none" w:sz="0" w:space="0" w:color="auto"/>
            <w:right w:val="none" w:sz="0" w:space="0" w:color="auto"/>
          </w:divBdr>
        </w:div>
        <w:div w:id="1675034773">
          <w:marLeft w:val="0"/>
          <w:marRight w:val="0"/>
          <w:marTop w:val="0"/>
          <w:marBottom w:val="0"/>
          <w:divBdr>
            <w:top w:val="none" w:sz="0" w:space="0" w:color="auto"/>
            <w:left w:val="none" w:sz="0" w:space="0" w:color="auto"/>
            <w:bottom w:val="none" w:sz="0" w:space="0" w:color="auto"/>
            <w:right w:val="none" w:sz="0" w:space="0" w:color="auto"/>
          </w:divBdr>
        </w:div>
        <w:div w:id="1328903264">
          <w:marLeft w:val="0"/>
          <w:marRight w:val="0"/>
          <w:marTop w:val="0"/>
          <w:marBottom w:val="0"/>
          <w:divBdr>
            <w:top w:val="none" w:sz="0" w:space="0" w:color="auto"/>
            <w:left w:val="none" w:sz="0" w:space="0" w:color="auto"/>
            <w:bottom w:val="none" w:sz="0" w:space="0" w:color="auto"/>
            <w:right w:val="none" w:sz="0" w:space="0" w:color="auto"/>
          </w:divBdr>
        </w:div>
        <w:div w:id="727999930">
          <w:marLeft w:val="0"/>
          <w:marRight w:val="0"/>
          <w:marTop w:val="0"/>
          <w:marBottom w:val="0"/>
          <w:divBdr>
            <w:top w:val="none" w:sz="0" w:space="0" w:color="auto"/>
            <w:left w:val="none" w:sz="0" w:space="0" w:color="auto"/>
            <w:bottom w:val="none" w:sz="0" w:space="0" w:color="auto"/>
            <w:right w:val="none" w:sz="0" w:space="0" w:color="auto"/>
          </w:divBdr>
        </w:div>
        <w:div w:id="1227955700">
          <w:marLeft w:val="0"/>
          <w:marRight w:val="0"/>
          <w:marTop w:val="0"/>
          <w:marBottom w:val="0"/>
          <w:divBdr>
            <w:top w:val="none" w:sz="0" w:space="0" w:color="auto"/>
            <w:left w:val="none" w:sz="0" w:space="0" w:color="auto"/>
            <w:bottom w:val="none" w:sz="0" w:space="0" w:color="auto"/>
            <w:right w:val="none" w:sz="0" w:space="0" w:color="auto"/>
          </w:divBdr>
        </w:div>
        <w:div w:id="394357319">
          <w:marLeft w:val="0"/>
          <w:marRight w:val="0"/>
          <w:marTop w:val="0"/>
          <w:marBottom w:val="0"/>
          <w:divBdr>
            <w:top w:val="none" w:sz="0" w:space="0" w:color="auto"/>
            <w:left w:val="none" w:sz="0" w:space="0" w:color="auto"/>
            <w:bottom w:val="none" w:sz="0" w:space="0" w:color="auto"/>
            <w:right w:val="none" w:sz="0" w:space="0" w:color="auto"/>
          </w:divBdr>
        </w:div>
        <w:div w:id="1547182015">
          <w:marLeft w:val="0"/>
          <w:marRight w:val="0"/>
          <w:marTop w:val="0"/>
          <w:marBottom w:val="0"/>
          <w:divBdr>
            <w:top w:val="none" w:sz="0" w:space="0" w:color="auto"/>
            <w:left w:val="none" w:sz="0" w:space="0" w:color="auto"/>
            <w:bottom w:val="none" w:sz="0" w:space="0" w:color="auto"/>
            <w:right w:val="none" w:sz="0" w:space="0" w:color="auto"/>
          </w:divBdr>
        </w:div>
        <w:div w:id="26103433">
          <w:marLeft w:val="0"/>
          <w:marRight w:val="0"/>
          <w:marTop w:val="0"/>
          <w:marBottom w:val="0"/>
          <w:divBdr>
            <w:top w:val="none" w:sz="0" w:space="0" w:color="auto"/>
            <w:left w:val="none" w:sz="0" w:space="0" w:color="auto"/>
            <w:bottom w:val="none" w:sz="0" w:space="0" w:color="auto"/>
            <w:right w:val="none" w:sz="0" w:space="0" w:color="auto"/>
          </w:divBdr>
        </w:div>
        <w:div w:id="2103187648">
          <w:marLeft w:val="0"/>
          <w:marRight w:val="0"/>
          <w:marTop w:val="0"/>
          <w:marBottom w:val="0"/>
          <w:divBdr>
            <w:top w:val="none" w:sz="0" w:space="0" w:color="auto"/>
            <w:left w:val="none" w:sz="0" w:space="0" w:color="auto"/>
            <w:bottom w:val="none" w:sz="0" w:space="0" w:color="auto"/>
            <w:right w:val="none" w:sz="0" w:space="0" w:color="auto"/>
          </w:divBdr>
        </w:div>
        <w:div w:id="280497919">
          <w:marLeft w:val="0"/>
          <w:marRight w:val="0"/>
          <w:marTop w:val="0"/>
          <w:marBottom w:val="0"/>
          <w:divBdr>
            <w:top w:val="none" w:sz="0" w:space="0" w:color="auto"/>
            <w:left w:val="none" w:sz="0" w:space="0" w:color="auto"/>
            <w:bottom w:val="none" w:sz="0" w:space="0" w:color="auto"/>
            <w:right w:val="none" w:sz="0" w:space="0" w:color="auto"/>
          </w:divBdr>
        </w:div>
        <w:div w:id="1210386435">
          <w:marLeft w:val="0"/>
          <w:marRight w:val="0"/>
          <w:marTop w:val="0"/>
          <w:marBottom w:val="0"/>
          <w:divBdr>
            <w:top w:val="none" w:sz="0" w:space="0" w:color="auto"/>
            <w:left w:val="none" w:sz="0" w:space="0" w:color="auto"/>
            <w:bottom w:val="none" w:sz="0" w:space="0" w:color="auto"/>
            <w:right w:val="none" w:sz="0" w:space="0" w:color="auto"/>
          </w:divBdr>
        </w:div>
        <w:div w:id="1619869664">
          <w:marLeft w:val="0"/>
          <w:marRight w:val="0"/>
          <w:marTop w:val="0"/>
          <w:marBottom w:val="0"/>
          <w:divBdr>
            <w:top w:val="none" w:sz="0" w:space="0" w:color="auto"/>
            <w:left w:val="none" w:sz="0" w:space="0" w:color="auto"/>
            <w:bottom w:val="none" w:sz="0" w:space="0" w:color="auto"/>
            <w:right w:val="none" w:sz="0" w:space="0" w:color="auto"/>
          </w:divBdr>
        </w:div>
        <w:div w:id="475802300">
          <w:marLeft w:val="0"/>
          <w:marRight w:val="0"/>
          <w:marTop w:val="0"/>
          <w:marBottom w:val="0"/>
          <w:divBdr>
            <w:top w:val="none" w:sz="0" w:space="0" w:color="auto"/>
            <w:left w:val="none" w:sz="0" w:space="0" w:color="auto"/>
            <w:bottom w:val="none" w:sz="0" w:space="0" w:color="auto"/>
            <w:right w:val="none" w:sz="0" w:space="0" w:color="auto"/>
          </w:divBdr>
        </w:div>
        <w:div w:id="260336840">
          <w:marLeft w:val="0"/>
          <w:marRight w:val="0"/>
          <w:marTop w:val="0"/>
          <w:marBottom w:val="0"/>
          <w:divBdr>
            <w:top w:val="none" w:sz="0" w:space="0" w:color="auto"/>
            <w:left w:val="none" w:sz="0" w:space="0" w:color="auto"/>
            <w:bottom w:val="none" w:sz="0" w:space="0" w:color="auto"/>
            <w:right w:val="none" w:sz="0" w:space="0" w:color="auto"/>
          </w:divBdr>
        </w:div>
        <w:div w:id="1653485785">
          <w:marLeft w:val="0"/>
          <w:marRight w:val="0"/>
          <w:marTop w:val="0"/>
          <w:marBottom w:val="0"/>
          <w:divBdr>
            <w:top w:val="none" w:sz="0" w:space="0" w:color="auto"/>
            <w:left w:val="none" w:sz="0" w:space="0" w:color="auto"/>
            <w:bottom w:val="none" w:sz="0" w:space="0" w:color="auto"/>
            <w:right w:val="none" w:sz="0" w:space="0" w:color="auto"/>
          </w:divBdr>
        </w:div>
        <w:div w:id="483162843">
          <w:marLeft w:val="0"/>
          <w:marRight w:val="0"/>
          <w:marTop w:val="0"/>
          <w:marBottom w:val="0"/>
          <w:divBdr>
            <w:top w:val="none" w:sz="0" w:space="0" w:color="auto"/>
            <w:left w:val="none" w:sz="0" w:space="0" w:color="auto"/>
            <w:bottom w:val="none" w:sz="0" w:space="0" w:color="auto"/>
            <w:right w:val="none" w:sz="0" w:space="0" w:color="auto"/>
          </w:divBdr>
        </w:div>
        <w:div w:id="1102727421">
          <w:marLeft w:val="0"/>
          <w:marRight w:val="0"/>
          <w:marTop w:val="0"/>
          <w:marBottom w:val="0"/>
          <w:divBdr>
            <w:top w:val="none" w:sz="0" w:space="0" w:color="auto"/>
            <w:left w:val="none" w:sz="0" w:space="0" w:color="auto"/>
            <w:bottom w:val="none" w:sz="0" w:space="0" w:color="auto"/>
            <w:right w:val="none" w:sz="0" w:space="0" w:color="auto"/>
          </w:divBdr>
        </w:div>
        <w:div w:id="704446889">
          <w:marLeft w:val="0"/>
          <w:marRight w:val="0"/>
          <w:marTop w:val="0"/>
          <w:marBottom w:val="0"/>
          <w:divBdr>
            <w:top w:val="none" w:sz="0" w:space="0" w:color="auto"/>
            <w:left w:val="none" w:sz="0" w:space="0" w:color="auto"/>
            <w:bottom w:val="none" w:sz="0" w:space="0" w:color="auto"/>
            <w:right w:val="none" w:sz="0" w:space="0" w:color="auto"/>
          </w:divBdr>
        </w:div>
        <w:div w:id="1043098798">
          <w:marLeft w:val="0"/>
          <w:marRight w:val="0"/>
          <w:marTop w:val="0"/>
          <w:marBottom w:val="0"/>
          <w:divBdr>
            <w:top w:val="none" w:sz="0" w:space="0" w:color="auto"/>
            <w:left w:val="none" w:sz="0" w:space="0" w:color="auto"/>
            <w:bottom w:val="none" w:sz="0" w:space="0" w:color="auto"/>
            <w:right w:val="none" w:sz="0" w:space="0" w:color="auto"/>
          </w:divBdr>
        </w:div>
        <w:div w:id="19092306">
          <w:marLeft w:val="0"/>
          <w:marRight w:val="0"/>
          <w:marTop w:val="0"/>
          <w:marBottom w:val="0"/>
          <w:divBdr>
            <w:top w:val="none" w:sz="0" w:space="0" w:color="auto"/>
            <w:left w:val="none" w:sz="0" w:space="0" w:color="auto"/>
            <w:bottom w:val="none" w:sz="0" w:space="0" w:color="auto"/>
            <w:right w:val="none" w:sz="0" w:space="0" w:color="auto"/>
          </w:divBdr>
        </w:div>
        <w:div w:id="134221061">
          <w:marLeft w:val="0"/>
          <w:marRight w:val="0"/>
          <w:marTop w:val="0"/>
          <w:marBottom w:val="0"/>
          <w:divBdr>
            <w:top w:val="none" w:sz="0" w:space="0" w:color="auto"/>
            <w:left w:val="none" w:sz="0" w:space="0" w:color="auto"/>
            <w:bottom w:val="none" w:sz="0" w:space="0" w:color="auto"/>
            <w:right w:val="none" w:sz="0" w:space="0" w:color="auto"/>
          </w:divBdr>
        </w:div>
        <w:div w:id="325287710">
          <w:marLeft w:val="0"/>
          <w:marRight w:val="0"/>
          <w:marTop w:val="0"/>
          <w:marBottom w:val="0"/>
          <w:divBdr>
            <w:top w:val="none" w:sz="0" w:space="0" w:color="auto"/>
            <w:left w:val="none" w:sz="0" w:space="0" w:color="auto"/>
            <w:bottom w:val="none" w:sz="0" w:space="0" w:color="auto"/>
            <w:right w:val="none" w:sz="0" w:space="0" w:color="auto"/>
          </w:divBdr>
        </w:div>
        <w:div w:id="1280576072">
          <w:marLeft w:val="0"/>
          <w:marRight w:val="0"/>
          <w:marTop w:val="0"/>
          <w:marBottom w:val="0"/>
          <w:divBdr>
            <w:top w:val="none" w:sz="0" w:space="0" w:color="auto"/>
            <w:left w:val="none" w:sz="0" w:space="0" w:color="auto"/>
            <w:bottom w:val="none" w:sz="0" w:space="0" w:color="auto"/>
            <w:right w:val="none" w:sz="0" w:space="0" w:color="auto"/>
          </w:divBdr>
        </w:div>
        <w:div w:id="2035380368">
          <w:marLeft w:val="0"/>
          <w:marRight w:val="0"/>
          <w:marTop w:val="0"/>
          <w:marBottom w:val="0"/>
          <w:divBdr>
            <w:top w:val="none" w:sz="0" w:space="0" w:color="auto"/>
            <w:left w:val="none" w:sz="0" w:space="0" w:color="auto"/>
            <w:bottom w:val="none" w:sz="0" w:space="0" w:color="auto"/>
            <w:right w:val="none" w:sz="0" w:space="0" w:color="auto"/>
          </w:divBdr>
        </w:div>
        <w:div w:id="2004550794">
          <w:marLeft w:val="0"/>
          <w:marRight w:val="0"/>
          <w:marTop w:val="0"/>
          <w:marBottom w:val="0"/>
          <w:divBdr>
            <w:top w:val="none" w:sz="0" w:space="0" w:color="auto"/>
            <w:left w:val="none" w:sz="0" w:space="0" w:color="auto"/>
            <w:bottom w:val="none" w:sz="0" w:space="0" w:color="auto"/>
            <w:right w:val="none" w:sz="0" w:space="0" w:color="auto"/>
          </w:divBdr>
        </w:div>
        <w:div w:id="510028378">
          <w:marLeft w:val="0"/>
          <w:marRight w:val="0"/>
          <w:marTop w:val="0"/>
          <w:marBottom w:val="0"/>
          <w:divBdr>
            <w:top w:val="none" w:sz="0" w:space="0" w:color="auto"/>
            <w:left w:val="none" w:sz="0" w:space="0" w:color="auto"/>
            <w:bottom w:val="none" w:sz="0" w:space="0" w:color="auto"/>
            <w:right w:val="none" w:sz="0" w:space="0" w:color="auto"/>
          </w:divBdr>
        </w:div>
        <w:div w:id="741565562">
          <w:marLeft w:val="0"/>
          <w:marRight w:val="0"/>
          <w:marTop w:val="0"/>
          <w:marBottom w:val="0"/>
          <w:divBdr>
            <w:top w:val="none" w:sz="0" w:space="0" w:color="auto"/>
            <w:left w:val="none" w:sz="0" w:space="0" w:color="auto"/>
            <w:bottom w:val="none" w:sz="0" w:space="0" w:color="auto"/>
            <w:right w:val="none" w:sz="0" w:space="0" w:color="auto"/>
          </w:divBdr>
        </w:div>
        <w:div w:id="1360667534">
          <w:marLeft w:val="0"/>
          <w:marRight w:val="0"/>
          <w:marTop w:val="0"/>
          <w:marBottom w:val="0"/>
          <w:divBdr>
            <w:top w:val="none" w:sz="0" w:space="0" w:color="auto"/>
            <w:left w:val="none" w:sz="0" w:space="0" w:color="auto"/>
            <w:bottom w:val="none" w:sz="0" w:space="0" w:color="auto"/>
            <w:right w:val="none" w:sz="0" w:space="0" w:color="auto"/>
          </w:divBdr>
        </w:div>
        <w:div w:id="2126806899">
          <w:marLeft w:val="0"/>
          <w:marRight w:val="0"/>
          <w:marTop w:val="0"/>
          <w:marBottom w:val="0"/>
          <w:divBdr>
            <w:top w:val="none" w:sz="0" w:space="0" w:color="auto"/>
            <w:left w:val="none" w:sz="0" w:space="0" w:color="auto"/>
            <w:bottom w:val="none" w:sz="0" w:space="0" w:color="auto"/>
            <w:right w:val="none" w:sz="0" w:space="0" w:color="auto"/>
          </w:divBdr>
        </w:div>
        <w:div w:id="470096861">
          <w:marLeft w:val="0"/>
          <w:marRight w:val="0"/>
          <w:marTop w:val="0"/>
          <w:marBottom w:val="0"/>
          <w:divBdr>
            <w:top w:val="none" w:sz="0" w:space="0" w:color="auto"/>
            <w:left w:val="none" w:sz="0" w:space="0" w:color="auto"/>
            <w:bottom w:val="none" w:sz="0" w:space="0" w:color="auto"/>
            <w:right w:val="none" w:sz="0" w:space="0" w:color="auto"/>
          </w:divBdr>
        </w:div>
        <w:div w:id="2146727329">
          <w:marLeft w:val="0"/>
          <w:marRight w:val="0"/>
          <w:marTop w:val="0"/>
          <w:marBottom w:val="0"/>
          <w:divBdr>
            <w:top w:val="none" w:sz="0" w:space="0" w:color="auto"/>
            <w:left w:val="none" w:sz="0" w:space="0" w:color="auto"/>
            <w:bottom w:val="none" w:sz="0" w:space="0" w:color="auto"/>
            <w:right w:val="none" w:sz="0" w:space="0" w:color="auto"/>
          </w:divBdr>
        </w:div>
        <w:div w:id="1480196932">
          <w:marLeft w:val="0"/>
          <w:marRight w:val="0"/>
          <w:marTop w:val="0"/>
          <w:marBottom w:val="0"/>
          <w:divBdr>
            <w:top w:val="none" w:sz="0" w:space="0" w:color="auto"/>
            <w:left w:val="none" w:sz="0" w:space="0" w:color="auto"/>
            <w:bottom w:val="none" w:sz="0" w:space="0" w:color="auto"/>
            <w:right w:val="none" w:sz="0" w:space="0" w:color="auto"/>
          </w:divBdr>
        </w:div>
        <w:div w:id="1281912706">
          <w:marLeft w:val="0"/>
          <w:marRight w:val="0"/>
          <w:marTop w:val="0"/>
          <w:marBottom w:val="0"/>
          <w:divBdr>
            <w:top w:val="none" w:sz="0" w:space="0" w:color="auto"/>
            <w:left w:val="none" w:sz="0" w:space="0" w:color="auto"/>
            <w:bottom w:val="none" w:sz="0" w:space="0" w:color="auto"/>
            <w:right w:val="none" w:sz="0" w:space="0" w:color="auto"/>
          </w:divBdr>
        </w:div>
        <w:div w:id="1828595114">
          <w:marLeft w:val="0"/>
          <w:marRight w:val="0"/>
          <w:marTop w:val="0"/>
          <w:marBottom w:val="0"/>
          <w:divBdr>
            <w:top w:val="none" w:sz="0" w:space="0" w:color="auto"/>
            <w:left w:val="none" w:sz="0" w:space="0" w:color="auto"/>
            <w:bottom w:val="none" w:sz="0" w:space="0" w:color="auto"/>
            <w:right w:val="none" w:sz="0" w:space="0" w:color="auto"/>
          </w:divBdr>
        </w:div>
        <w:div w:id="1850363585">
          <w:marLeft w:val="0"/>
          <w:marRight w:val="0"/>
          <w:marTop w:val="0"/>
          <w:marBottom w:val="0"/>
          <w:divBdr>
            <w:top w:val="none" w:sz="0" w:space="0" w:color="auto"/>
            <w:left w:val="none" w:sz="0" w:space="0" w:color="auto"/>
            <w:bottom w:val="none" w:sz="0" w:space="0" w:color="auto"/>
            <w:right w:val="none" w:sz="0" w:space="0" w:color="auto"/>
          </w:divBdr>
        </w:div>
        <w:div w:id="1617132846">
          <w:marLeft w:val="0"/>
          <w:marRight w:val="0"/>
          <w:marTop w:val="0"/>
          <w:marBottom w:val="0"/>
          <w:divBdr>
            <w:top w:val="none" w:sz="0" w:space="0" w:color="auto"/>
            <w:left w:val="none" w:sz="0" w:space="0" w:color="auto"/>
            <w:bottom w:val="none" w:sz="0" w:space="0" w:color="auto"/>
            <w:right w:val="none" w:sz="0" w:space="0" w:color="auto"/>
          </w:divBdr>
        </w:div>
        <w:div w:id="2034108015">
          <w:marLeft w:val="0"/>
          <w:marRight w:val="0"/>
          <w:marTop w:val="0"/>
          <w:marBottom w:val="0"/>
          <w:divBdr>
            <w:top w:val="none" w:sz="0" w:space="0" w:color="auto"/>
            <w:left w:val="none" w:sz="0" w:space="0" w:color="auto"/>
            <w:bottom w:val="none" w:sz="0" w:space="0" w:color="auto"/>
            <w:right w:val="none" w:sz="0" w:space="0" w:color="auto"/>
          </w:divBdr>
        </w:div>
        <w:div w:id="1264463032">
          <w:marLeft w:val="0"/>
          <w:marRight w:val="0"/>
          <w:marTop w:val="0"/>
          <w:marBottom w:val="0"/>
          <w:divBdr>
            <w:top w:val="none" w:sz="0" w:space="0" w:color="auto"/>
            <w:left w:val="none" w:sz="0" w:space="0" w:color="auto"/>
            <w:bottom w:val="none" w:sz="0" w:space="0" w:color="auto"/>
            <w:right w:val="none" w:sz="0" w:space="0" w:color="auto"/>
          </w:divBdr>
        </w:div>
        <w:div w:id="828786275">
          <w:marLeft w:val="0"/>
          <w:marRight w:val="0"/>
          <w:marTop w:val="0"/>
          <w:marBottom w:val="0"/>
          <w:divBdr>
            <w:top w:val="none" w:sz="0" w:space="0" w:color="auto"/>
            <w:left w:val="none" w:sz="0" w:space="0" w:color="auto"/>
            <w:bottom w:val="none" w:sz="0" w:space="0" w:color="auto"/>
            <w:right w:val="none" w:sz="0" w:space="0" w:color="auto"/>
          </w:divBdr>
        </w:div>
        <w:div w:id="1766733190">
          <w:marLeft w:val="0"/>
          <w:marRight w:val="0"/>
          <w:marTop w:val="0"/>
          <w:marBottom w:val="0"/>
          <w:divBdr>
            <w:top w:val="none" w:sz="0" w:space="0" w:color="auto"/>
            <w:left w:val="none" w:sz="0" w:space="0" w:color="auto"/>
            <w:bottom w:val="none" w:sz="0" w:space="0" w:color="auto"/>
            <w:right w:val="none" w:sz="0" w:space="0" w:color="auto"/>
          </w:divBdr>
        </w:div>
        <w:div w:id="2039697159">
          <w:marLeft w:val="0"/>
          <w:marRight w:val="0"/>
          <w:marTop w:val="0"/>
          <w:marBottom w:val="0"/>
          <w:divBdr>
            <w:top w:val="none" w:sz="0" w:space="0" w:color="auto"/>
            <w:left w:val="none" w:sz="0" w:space="0" w:color="auto"/>
            <w:bottom w:val="none" w:sz="0" w:space="0" w:color="auto"/>
            <w:right w:val="none" w:sz="0" w:space="0" w:color="auto"/>
          </w:divBdr>
        </w:div>
        <w:div w:id="1654480458">
          <w:marLeft w:val="0"/>
          <w:marRight w:val="0"/>
          <w:marTop w:val="0"/>
          <w:marBottom w:val="0"/>
          <w:divBdr>
            <w:top w:val="none" w:sz="0" w:space="0" w:color="auto"/>
            <w:left w:val="none" w:sz="0" w:space="0" w:color="auto"/>
            <w:bottom w:val="none" w:sz="0" w:space="0" w:color="auto"/>
            <w:right w:val="none" w:sz="0" w:space="0" w:color="auto"/>
          </w:divBdr>
        </w:div>
        <w:div w:id="1543244290">
          <w:marLeft w:val="0"/>
          <w:marRight w:val="0"/>
          <w:marTop w:val="0"/>
          <w:marBottom w:val="0"/>
          <w:divBdr>
            <w:top w:val="none" w:sz="0" w:space="0" w:color="auto"/>
            <w:left w:val="none" w:sz="0" w:space="0" w:color="auto"/>
            <w:bottom w:val="none" w:sz="0" w:space="0" w:color="auto"/>
            <w:right w:val="none" w:sz="0" w:space="0" w:color="auto"/>
          </w:divBdr>
        </w:div>
        <w:div w:id="2136100011">
          <w:marLeft w:val="0"/>
          <w:marRight w:val="0"/>
          <w:marTop w:val="0"/>
          <w:marBottom w:val="0"/>
          <w:divBdr>
            <w:top w:val="none" w:sz="0" w:space="0" w:color="auto"/>
            <w:left w:val="none" w:sz="0" w:space="0" w:color="auto"/>
            <w:bottom w:val="none" w:sz="0" w:space="0" w:color="auto"/>
            <w:right w:val="none" w:sz="0" w:space="0" w:color="auto"/>
          </w:divBdr>
        </w:div>
        <w:div w:id="1466120624">
          <w:marLeft w:val="0"/>
          <w:marRight w:val="0"/>
          <w:marTop w:val="0"/>
          <w:marBottom w:val="0"/>
          <w:divBdr>
            <w:top w:val="none" w:sz="0" w:space="0" w:color="auto"/>
            <w:left w:val="none" w:sz="0" w:space="0" w:color="auto"/>
            <w:bottom w:val="none" w:sz="0" w:space="0" w:color="auto"/>
            <w:right w:val="none" w:sz="0" w:space="0" w:color="auto"/>
          </w:divBdr>
        </w:div>
        <w:div w:id="1048530807">
          <w:marLeft w:val="0"/>
          <w:marRight w:val="0"/>
          <w:marTop w:val="0"/>
          <w:marBottom w:val="0"/>
          <w:divBdr>
            <w:top w:val="none" w:sz="0" w:space="0" w:color="auto"/>
            <w:left w:val="none" w:sz="0" w:space="0" w:color="auto"/>
            <w:bottom w:val="none" w:sz="0" w:space="0" w:color="auto"/>
            <w:right w:val="none" w:sz="0" w:space="0" w:color="auto"/>
          </w:divBdr>
        </w:div>
        <w:div w:id="620304337">
          <w:marLeft w:val="0"/>
          <w:marRight w:val="0"/>
          <w:marTop w:val="0"/>
          <w:marBottom w:val="0"/>
          <w:divBdr>
            <w:top w:val="none" w:sz="0" w:space="0" w:color="auto"/>
            <w:left w:val="none" w:sz="0" w:space="0" w:color="auto"/>
            <w:bottom w:val="none" w:sz="0" w:space="0" w:color="auto"/>
            <w:right w:val="none" w:sz="0" w:space="0" w:color="auto"/>
          </w:divBdr>
        </w:div>
        <w:div w:id="829979615">
          <w:marLeft w:val="0"/>
          <w:marRight w:val="0"/>
          <w:marTop w:val="0"/>
          <w:marBottom w:val="0"/>
          <w:divBdr>
            <w:top w:val="none" w:sz="0" w:space="0" w:color="auto"/>
            <w:left w:val="none" w:sz="0" w:space="0" w:color="auto"/>
            <w:bottom w:val="none" w:sz="0" w:space="0" w:color="auto"/>
            <w:right w:val="none" w:sz="0" w:space="0" w:color="auto"/>
          </w:divBdr>
        </w:div>
        <w:div w:id="1345746974">
          <w:marLeft w:val="0"/>
          <w:marRight w:val="0"/>
          <w:marTop w:val="0"/>
          <w:marBottom w:val="0"/>
          <w:divBdr>
            <w:top w:val="none" w:sz="0" w:space="0" w:color="auto"/>
            <w:left w:val="none" w:sz="0" w:space="0" w:color="auto"/>
            <w:bottom w:val="none" w:sz="0" w:space="0" w:color="auto"/>
            <w:right w:val="none" w:sz="0" w:space="0" w:color="auto"/>
          </w:divBdr>
        </w:div>
        <w:div w:id="1025248248">
          <w:marLeft w:val="0"/>
          <w:marRight w:val="0"/>
          <w:marTop w:val="0"/>
          <w:marBottom w:val="0"/>
          <w:divBdr>
            <w:top w:val="none" w:sz="0" w:space="0" w:color="auto"/>
            <w:left w:val="none" w:sz="0" w:space="0" w:color="auto"/>
            <w:bottom w:val="none" w:sz="0" w:space="0" w:color="auto"/>
            <w:right w:val="none" w:sz="0" w:space="0" w:color="auto"/>
          </w:divBdr>
        </w:div>
        <w:div w:id="719061118">
          <w:marLeft w:val="0"/>
          <w:marRight w:val="0"/>
          <w:marTop w:val="0"/>
          <w:marBottom w:val="0"/>
          <w:divBdr>
            <w:top w:val="none" w:sz="0" w:space="0" w:color="auto"/>
            <w:left w:val="none" w:sz="0" w:space="0" w:color="auto"/>
            <w:bottom w:val="none" w:sz="0" w:space="0" w:color="auto"/>
            <w:right w:val="none" w:sz="0" w:space="0" w:color="auto"/>
          </w:divBdr>
        </w:div>
        <w:div w:id="1867331482">
          <w:marLeft w:val="0"/>
          <w:marRight w:val="0"/>
          <w:marTop w:val="0"/>
          <w:marBottom w:val="0"/>
          <w:divBdr>
            <w:top w:val="none" w:sz="0" w:space="0" w:color="auto"/>
            <w:left w:val="none" w:sz="0" w:space="0" w:color="auto"/>
            <w:bottom w:val="none" w:sz="0" w:space="0" w:color="auto"/>
            <w:right w:val="none" w:sz="0" w:space="0" w:color="auto"/>
          </w:divBdr>
        </w:div>
        <w:div w:id="397750251">
          <w:marLeft w:val="0"/>
          <w:marRight w:val="0"/>
          <w:marTop w:val="0"/>
          <w:marBottom w:val="0"/>
          <w:divBdr>
            <w:top w:val="none" w:sz="0" w:space="0" w:color="auto"/>
            <w:left w:val="none" w:sz="0" w:space="0" w:color="auto"/>
            <w:bottom w:val="none" w:sz="0" w:space="0" w:color="auto"/>
            <w:right w:val="none" w:sz="0" w:space="0" w:color="auto"/>
          </w:divBdr>
        </w:div>
        <w:div w:id="1410729829">
          <w:marLeft w:val="0"/>
          <w:marRight w:val="0"/>
          <w:marTop w:val="0"/>
          <w:marBottom w:val="0"/>
          <w:divBdr>
            <w:top w:val="none" w:sz="0" w:space="0" w:color="auto"/>
            <w:left w:val="none" w:sz="0" w:space="0" w:color="auto"/>
            <w:bottom w:val="none" w:sz="0" w:space="0" w:color="auto"/>
            <w:right w:val="none" w:sz="0" w:space="0" w:color="auto"/>
          </w:divBdr>
        </w:div>
        <w:div w:id="1255473205">
          <w:marLeft w:val="0"/>
          <w:marRight w:val="0"/>
          <w:marTop w:val="0"/>
          <w:marBottom w:val="0"/>
          <w:divBdr>
            <w:top w:val="none" w:sz="0" w:space="0" w:color="auto"/>
            <w:left w:val="none" w:sz="0" w:space="0" w:color="auto"/>
            <w:bottom w:val="none" w:sz="0" w:space="0" w:color="auto"/>
            <w:right w:val="none" w:sz="0" w:space="0" w:color="auto"/>
          </w:divBdr>
        </w:div>
        <w:div w:id="2119368836">
          <w:marLeft w:val="0"/>
          <w:marRight w:val="0"/>
          <w:marTop w:val="0"/>
          <w:marBottom w:val="0"/>
          <w:divBdr>
            <w:top w:val="none" w:sz="0" w:space="0" w:color="auto"/>
            <w:left w:val="none" w:sz="0" w:space="0" w:color="auto"/>
            <w:bottom w:val="none" w:sz="0" w:space="0" w:color="auto"/>
            <w:right w:val="none" w:sz="0" w:space="0" w:color="auto"/>
          </w:divBdr>
        </w:div>
        <w:div w:id="1063482931">
          <w:marLeft w:val="0"/>
          <w:marRight w:val="0"/>
          <w:marTop w:val="0"/>
          <w:marBottom w:val="0"/>
          <w:divBdr>
            <w:top w:val="none" w:sz="0" w:space="0" w:color="auto"/>
            <w:left w:val="none" w:sz="0" w:space="0" w:color="auto"/>
            <w:bottom w:val="none" w:sz="0" w:space="0" w:color="auto"/>
            <w:right w:val="none" w:sz="0" w:space="0" w:color="auto"/>
          </w:divBdr>
        </w:div>
        <w:div w:id="946812798">
          <w:marLeft w:val="0"/>
          <w:marRight w:val="0"/>
          <w:marTop w:val="0"/>
          <w:marBottom w:val="0"/>
          <w:divBdr>
            <w:top w:val="none" w:sz="0" w:space="0" w:color="auto"/>
            <w:left w:val="none" w:sz="0" w:space="0" w:color="auto"/>
            <w:bottom w:val="none" w:sz="0" w:space="0" w:color="auto"/>
            <w:right w:val="none" w:sz="0" w:space="0" w:color="auto"/>
          </w:divBdr>
        </w:div>
        <w:div w:id="1678923678">
          <w:marLeft w:val="0"/>
          <w:marRight w:val="0"/>
          <w:marTop w:val="0"/>
          <w:marBottom w:val="0"/>
          <w:divBdr>
            <w:top w:val="none" w:sz="0" w:space="0" w:color="auto"/>
            <w:left w:val="none" w:sz="0" w:space="0" w:color="auto"/>
            <w:bottom w:val="none" w:sz="0" w:space="0" w:color="auto"/>
            <w:right w:val="none" w:sz="0" w:space="0" w:color="auto"/>
          </w:divBdr>
        </w:div>
        <w:div w:id="1614048506">
          <w:marLeft w:val="0"/>
          <w:marRight w:val="0"/>
          <w:marTop w:val="0"/>
          <w:marBottom w:val="0"/>
          <w:divBdr>
            <w:top w:val="none" w:sz="0" w:space="0" w:color="auto"/>
            <w:left w:val="none" w:sz="0" w:space="0" w:color="auto"/>
            <w:bottom w:val="none" w:sz="0" w:space="0" w:color="auto"/>
            <w:right w:val="none" w:sz="0" w:space="0" w:color="auto"/>
          </w:divBdr>
        </w:div>
        <w:div w:id="1488982636">
          <w:marLeft w:val="0"/>
          <w:marRight w:val="0"/>
          <w:marTop w:val="0"/>
          <w:marBottom w:val="0"/>
          <w:divBdr>
            <w:top w:val="none" w:sz="0" w:space="0" w:color="auto"/>
            <w:left w:val="none" w:sz="0" w:space="0" w:color="auto"/>
            <w:bottom w:val="none" w:sz="0" w:space="0" w:color="auto"/>
            <w:right w:val="none" w:sz="0" w:space="0" w:color="auto"/>
          </w:divBdr>
        </w:div>
        <w:div w:id="1413046710">
          <w:marLeft w:val="0"/>
          <w:marRight w:val="0"/>
          <w:marTop w:val="0"/>
          <w:marBottom w:val="0"/>
          <w:divBdr>
            <w:top w:val="none" w:sz="0" w:space="0" w:color="auto"/>
            <w:left w:val="none" w:sz="0" w:space="0" w:color="auto"/>
            <w:bottom w:val="none" w:sz="0" w:space="0" w:color="auto"/>
            <w:right w:val="none" w:sz="0" w:space="0" w:color="auto"/>
          </w:divBdr>
        </w:div>
        <w:div w:id="722601109">
          <w:marLeft w:val="0"/>
          <w:marRight w:val="0"/>
          <w:marTop w:val="0"/>
          <w:marBottom w:val="0"/>
          <w:divBdr>
            <w:top w:val="none" w:sz="0" w:space="0" w:color="auto"/>
            <w:left w:val="none" w:sz="0" w:space="0" w:color="auto"/>
            <w:bottom w:val="none" w:sz="0" w:space="0" w:color="auto"/>
            <w:right w:val="none" w:sz="0" w:space="0" w:color="auto"/>
          </w:divBdr>
        </w:div>
        <w:div w:id="1629120856">
          <w:marLeft w:val="0"/>
          <w:marRight w:val="0"/>
          <w:marTop w:val="0"/>
          <w:marBottom w:val="0"/>
          <w:divBdr>
            <w:top w:val="none" w:sz="0" w:space="0" w:color="auto"/>
            <w:left w:val="none" w:sz="0" w:space="0" w:color="auto"/>
            <w:bottom w:val="none" w:sz="0" w:space="0" w:color="auto"/>
            <w:right w:val="none" w:sz="0" w:space="0" w:color="auto"/>
          </w:divBdr>
        </w:div>
        <w:div w:id="1875849129">
          <w:marLeft w:val="0"/>
          <w:marRight w:val="0"/>
          <w:marTop w:val="0"/>
          <w:marBottom w:val="0"/>
          <w:divBdr>
            <w:top w:val="none" w:sz="0" w:space="0" w:color="auto"/>
            <w:left w:val="none" w:sz="0" w:space="0" w:color="auto"/>
            <w:bottom w:val="none" w:sz="0" w:space="0" w:color="auto"/>
            <w:right w:val="none" w:sz="0" w:space="0" w:color="auto"/>
          </w:divBdr>
        </w:div>
        <w:div w:id="7366949">
          <w:marLeft w:val="0"/>
          <w:marRight w:val="0"/>
          <w:marTop w:val="0"/>
          <w:marBottom w:val="0"/>
          <w:divBdr>
            <w:top w:val="none" w:sz="0" w:space="0" w:color="auto"/>
            <w:left w:val="none" w:sz="0" w:space="0" w:color="auto"/>
            <w:bottom w:val="none" w:sz="0" w:space="0" w:color="auto"/>
            <w:right w:val="none" w:sz="0" w:space="0" w:color="auto"/>
          </w:divBdr>
        </w:div>
        <w:div w:id="1380082224">
          <w:marLeft w:val="0"/>
          <w:marRight w:val="0"/>
          <w:marTop w:val="0"/>
          <w:marBottom w:val="0"/>
          <w:divBdr>
            <w:top w:val="none" w:sz="0" w:space="0" w:color="auto"/>
            <w:left w:val="none" w:sz="0" w:space="0" w:color="auto"/>
            <w:bottom w:val="none" w:sz="0" w:space="0" w:color="auto"/>
            <w:right w:val="none" w:sz="0" w:space="0" w:color="auto"/>
          </w:divBdr>
        </w:div>
        <w:div w:id="1945769733">
          <w:marLeft w:val="0"/>
          <w:marRight w:val="0"/>
          <w:marTop w:val="0"/>
          <w:marBottom w:val="0"/>
          <w:divBdr>
            <w:top w:val="none" w:sz="0" w:space="0" w:color="auto"/>
            <w:left w:val="none" w:sz="0" w:space="0" w:color="auto"/>
            <w:bottom w:val="none" w:sz="0" w:space="0" w:color="auto"/>
            <w:right w:val="none" w:sz="0" w:space="0" w:color="auto"/>
          </w:divBdr>
        </w:div>
        <w:div w:id="472525965">
          <w:marLeft w:val="0"/>
          <w:marRight w:val="0"/>
          <w:marTop w:val="0"/>
          <w:marBottom w:val="0"/>
          <w:divBdr>
            <w:top w:val="none" w:sz="0" w:space="0" w:color="auto"/>
            <w:left w:val="none" w:sz="0" w:space="0" w:color="auto"/>
            <w:bottom w:val="none" w:sz="0" w:space="0" w:color="auto"/>
            <w:right w:val="none" w:sz="0" w:space="0" w:color="auto"/>
          </w:divBdr>
        </w:div>
        <w:div w:id="610359980">
          <w:marLeft w:val="0"/>
          <w:marRight w:val="0"/>
          <w:marTop w:val="0"/>
          <w:marBottom w:val="0"/>
          <w:divBdr>
            <w:top w:val="none" w:sz="0" w:space="0" w:color="auto"/>
            <w:left w:val="none" w:sz="0" w:space="0" w:color="auto"/>
            <w:bottom w:val="none" w:sz="0" w:space="0" w:color="auto"/>
            <w:right w:val="none" w:sz="0" w:space="0" w:color="auto"/>
          </w:divBdr>
        </w:div>
        <w:div w:id="527262539">
          <w:marLeft w:val="0"/>
          <w:marRight w:val="0"/>
          <w:marTop w:val="0"/>
          <w:marBottom w:val="0"/>
          <w:divBdr>
            <w:top w:val="none" w:sz="0" w:space="0" w:color="auto"/>
            <w:left w:val="none" w:sz="0" w:space="0" w:color="auto"/>
            <w:bottom w:val="none" w:sz="0" w:space="0" w:color="auto"/>
            <w:right w:val="none" w:sz="0" w:space="0" w:color="auto"/>
          </w:divBdr>
        </w:div>
        <w:div w:id="1355837862">
          <w:marLeft w:val="0"/>
          <w:marRight w:val="0"/>
          <w:marTop w:val="0"/>
          <w:marBottom w:val="0"/>
          <w:divBdr>
            <w:top w:val="none" w:sz="0" w:space="0" w:color="auto"/>
            <w:left w:val="none" w:sz="0" w:space="0" w:color="auto"/>
            <w:bottom w:val="none" w:sz="0" w:space="0" w:color="auto"/>
            <w:right w:val="none" w:sz="0" w:space="0" w:color="auto"/>
          </w:divBdr>
        </w:div>
      </w:divsChild>
    </w:div>
    <w:div w:id="120854214">
      <w:bodyDiv w:val="1"/>
      <w:marLeft w:val="0"/>
      <w:marRight w:val="0"/>
      <w:marTop w:val="0"/>
      <w:marBottom w:val="0"/>
      <w:divBdr>
        <w:top w:val="none" w:sz="0" w:space="0" w:color="auto"/>
        <w:left w:val="none" w:sz="0" w:space="0" w:color="auto"/>
        <w:bottom w:val="none" w:sz="0" w:space="0" w:color="auto"/>
        <w:right w:val="none" w:sz="0" w:space="0" w:color="auto"/>
      </w:divBdr>
    </w:div>
    <w:div w:id="151265277">
      <w:bodyDiv w:val="1"/>
      <w:marLeft w:val="0"/>
      <w:marRight w:val="0"/>
      <w:marTop w:val="0"/>
      <w:marBottom w:val="0"/>
      <w:divBdr>
        <w:top w:val="none" w:sz="0" w:space="0" w:color="auto"/>
        <w:left w:val="none" w:sz="0" w:space="0" w:color="auto"/>
        <w:bottom w:val="none" w:sz="0" w:space="0" w:color="auto"/>
        <w:right w:val="none" w:sz="0" w:space="0" w:color="auto"/>
      </w:divBdr>
    </w:div>
    <w:div w:id="151606354">
      <w:bodyDiv w:val="1"/>
      <w:marLeft w:val="0"/>
      <w:marRight w:val="0"/>
      <w:marTop w:val="0"/>
      <w:marBottom w:val="0"/>
      <w:divBdr>
        <w:top w:val="none" w:sz="0" w:space="0" w:color="auto"/>
        <w:left w:val="none" w:sz="0" w:space="0" w:color="auto"/>
        <w:bottom w:val="none" w:sz="0" w:space="0" w:color="auto"/>
        <w:right w:val="none" w:sz="0" w:space="0" w:color="auto"/>
      </w:divBdr>
    </w:div>
    <w:div w:id="154490800">
      <w:bodyDiv w:val="1"/>
      <w:marLeft w:val="0"/>
      <w:marRight w:val="0"/>
      <w:marTop w:val="0"/>
      <w:marBottom w:val="0"/>
      <w:divBdr>
        <w:top w:val="none" w:sz="0" w:space="0" w:color="auto"/>
        <w:left w:val="none" w:sz="0" w:space="0" w:color="auto"/>
        <w:bottom w:val="none" w:sz="0" w:space="0" w:color="auto"/>
        <w:right w:val="none" w:sz="0" w:space="0" w:color="auto"/>
      </w:divBdr>
    </w:div>
    <w:div w:id="158035101">
      <w:bodyDiv w:val="1"/>
      <w:marLeft w:val="0"/>
      <w:marRight w:val="0"/>
      <w:marTop w:val="0"/>
      <w:marBottom w:val="0"/>
      <w:divBdr>
        <w:top w:val="none" w:sz="0" w:space="0" w:color="auto"/>
        <w:left w:val="none" w:sz="0" w:space="0" w:color="auto"/>
        <w:bottom w:val="none" w:sz="0" w:space="0" w:color="auto"/>
        <w:right w:val="none" w:sz="0" w:space="0" w:color="auto"/>
      </w:divBdr>
    </w:div>
    <w:div w:id="168102840">
      <w:bodyDiv w:val="1"/>
      <w:marLeft w:val="0"/>
      <w:marRight w:val="0"/>
      <w:marTop w:val="0"/>
      <w:marBottom w:val="0"/>
      <w:divBdr>
        <w:top w:val="none" w:sz="0" w:space="0" w:color="auto"/>
        <w:left w:val="none" w:sz="0" w:space="0" w:color="auto"/>
        <w:bottom w:val="none" w:sz="0" w:space="0" w:color="auto"/>
        <w:right w:val="none" w:sz="0" w:space="0" w:color="auto"/>
      </w:divBdr>
    </w:div>
    <w:div w:id="178475183">
      <w:bodyDiv w:val="1"/>
      <w:marLeft w:val="0"/>
      <w:marRight w:val="0"/>
      <w:marTop w:val="0"/>
      <w:marBottom w:val="0"/>
      <w:divBdr>
        <w:top w:val="none" w:sz="0" w:space="0" w:color="auto"/>
        <w:left w:val="none" w:sz="0" w:space="0" w:color="auto"/>
        <w:bottom w:val="none" w:sz="0" w:space="0" w:color="auto"/>
        <w:right w:val="none" w:sz="0" w:space="0" w:color="auto"/>
      </w:divBdr>
    </w:div>
    <w:div w:id="181017647">
      <w:bodyDiv w:val="1"/>
      <w:marLeft w:val="0"/>
      <w:marRight w:val="0"/>
      <w:marTop w:val="0"/>
      <w:marBottom w:val="0"/>
      <w:divBdr>
        <w:top w:val="none" w:sz="0" w:space="0" w:color="auto"/>
        <w:left w:val="none" w:sz="0" w:space="0" w:color="auto"/>
        <w:bottom w:val="none" w:sz="0" w:space="0" w:color="auto"/>
        <w:right w:val="none" w:sz="0" w:space="0" w:color="auto"/>
      </w:divBdr>
    </w:div>
    <w:div w:id="191848395">
      <w:bodyDiv w:val="1"/>
      <w:marLeft w:val="0"/>
      <w:marRight w:val="0"/>
      <w:marTop w:val="0"/>
      <w:marBottom w:val="0"/>
      <w:divBdr>
        <w:top w:val="none" w:sz="0" w:space="0" w:color="auto"/>
        <w:left w:val="none" w:sz="0" w:space="0" w:color="auto"/>
        <w:bottom w:val="none" w:sz="0" w:space="0" w:color="auto"/>
        <w:right w:val="none" w:sz="0" w:space="0" w:color="auto"/>
      </w:divBdr>
    </w:div>
    <w:div w:id="192161217">
      <w:bodyDiv w:val="1"/>
      <w:marLeft w:val="0"/>
      <w:marRight w:val="0"/>
      <w:marTop w:val="0"/>
      <w:marBottom w:val="0"/>
      <w:divBdr>
        <w:top w:val="none" w:sz="0" w:space="0" w:color="auto"/>
        <w:left w:val="none" w:sz="0" w:space="0" w:color="auto"/>
        <w:bottom w:val="none" w:sz="0" w:space="0" w:color="auto"/>
        <w:right w:val="none" w:sz="0" w:space="0" w:color="auto"/>
      </w:divBdr>
    </w:div>
    <w:div w:id="200240916">
      <w:bodyDiv w:val="1"/>
      <w:marLeft w:val="0"/>
      <w:marRight w:val="0"/>
      <w:marTop w:val="0"/>
      <w:marBottom w:val="0"/>
      <w:divBdr>
        <w:top w:val="none" w:sz="0" w:space="0" w:color="auto"/>
        <w:left w:val="none" w:sz="0" w:space="0" w:color="auto"/>
        <w:bottom w:val="none" w:sz="0" w:space="0" w:color="auto"/>
        <w:right w:val="none" w:sz="0" w:space="0" w:color="auto"/>
      </w:divBdr>
    </w:div>
    <w:div w:id="202713950">
      <w:bodyDiv w:val="1"/>
      <w:marLeft w:val="0"/>
      <w:marRight w:val="0"/>
      <w:marTop w:val="0"/>
      <w:marBottom w:val="0"/>
      <w:divBdr>
        <w:top w:val="none" w:sz="0" w:space="0" w:color="auto"/>
        <w:left w:val="none" w:sz="0" w:space="0" w:color="auto"/>
        <w:bottom w:val="none" w:sz="0" w:space="0" w:color="auto"/>
        <w:right w:val="none" w:sz="0" w:space="0" w:color="auto"/>
      </w:divBdr>
    </w:div>
    <w:div w:id="204173198">
      <w:bodyDiv w:val="1"/>
      <w:marLeft w:val="0"/>
      <w:marRight w:val="0"/>
      <w:marTop w:val="0"/>
      <w:marBottom w:val="0"/>
      <w:divBdr>
        <w:top w:val="none" w:sz="0" w:space="0" w:color="auto"/>
        <w:left w:val="none" w:sz="0" w:space="0" w:color="auto"/>
        <w:bottom w:val="none" w:sz="0" w:space="0" w:color="auto"/>
        <w:right w:val="none" w:sz="0" w:space="0" w:color="auto"/>
      </w:divBdr>
    </w:div>
    <w:div w:id="207650334">
      <w:bodyDiv w:val="1"/>
      <w:marLeft w:val="0"/>
      <w:marRight w:val="0"/>
      <w:marTop w:val="0"/>
      <w:marBottom w:val="0"/>
      <w:divBdr>
        <w:top w:val="none" w:sz="0" w:space="0" w:color="auto"/>
        <w:left w:val="none" w:sz="0" w:space="0" w:color="auto"/>
        <w:bottom w:val="none" w:sz="0" w:space="0" w:color="auto"/>
        <w:right w:val="none" w:sz="0" w:space="0" w:color="auto"/>
      </w:divBdr>
    </w:div>
    <w:div w:id="207686924">
      <w:bodyDiv w:val="1"/>
      <w:marLeft w:val="0"/>
      <w:marRight w:val="0"/>
      <w:marTop w:val="0"/>
      <w:marBottom w:val="0"/>
      <w:divBdr>
        <w:top w:val="none" w:sz="0" w:space="0" w:color="auto"/>
        <w:left w:val="none" w:sz="0" w:space="0" w:color="auto"/>
        <w:bottom w:val="none" w:sz="0" w:space="0" w:color="auto"/>
        <w:right w:val="none" w:sz="0" w:space="0" w:color="auto"/>
      </w:divBdr>
    </w:div>
    <w:div w:id="209264259">
      <w:bodyDiv w:val="1"/>
      <w:marLeft w:val="0"/>
      <w:marRight w:val="0"/>
      <w:marTop w:val="0"/>
      <w:marBottom w:val="0"/>
      <w:divBdr>
        <w:top w:val="none" w:sz="0" w:space="0" w:color="auto"/>
        <w:left w:val="none" w:sz="0" w:space="0" w:color="auto"/>
        <w:bottom w:val="none" w:sz="0" w:space="0" w:color="auto"/>
        <w:right w:val="none" w:sz="0" w:space="0" w:color="auto"/>
      </w:divBdr>
    </w:div>
    <w:div w:id="212271922">
      <w:bodyDiv w:val="1"/>
      <w:marLeft w:val="0"/>
      <w:marRight w:val="0"/>
      <w:marTop w:val="0"/>
      <w:marBottom w:val="0"/>
      <w:divBdr>
        <w:top w:val="none" w:sz="0" w:space="0" w:color="auto"/>
        <w:left w:val="none" w:sz="0" w:space="0" w:color="auto"/>
        <w:bottom w:val="none" w:sz="0" w:space="0" w:color="auto"/>
        <w:right w:val="none" w:sz="0" w:space="0" w:color="auto"/>
      </w:divBdr>
    </w:div>
    <w:div w:id="223688935">
      <w:bodyDiv w:val="1"/>
      <w:marLeft w:val="0"/>
      <w:marRight w:val="0"/>
      <w:marTop w:val="0"/>
      <w:marBottom w:val="0"/>
      <w:divBdr>
        <w:top w:val="none" w:sz="0" w:space="0" w:color="auto"/>
        <w:left w:val="none" w:sz="0" w:space="0" w:color="auto"/>
        <w:bottom w:val="none" w:sz="0" w:space="0" w:color="auto"/>
        <w:right w:val="none" w:sz="0" w:space="0" w:color="auto"/>
      </w:divBdr>
    </w:div>
    <w:div w:id="226499687">
      <w:bodyDiv w:val="1"/>
      <w:marLeft w:val="0"/>
      <w:marRight w:val="0"/>
      <w:marTop w:val="0"/>
      <w:marBottom w:val="0"/>
      <w:divBdr>
        <w:top w:val="none" w:sz="0" w:space="0" w:color="auto"/>
        <w:left w:val="none" w:sz="0" w:space="0" w:color="auto"/>
        <w:bottom w:val="none" w:sz="0" w:space="0" w:color="auto"/>
        <w:right w:val="none" w:sz="0" w:space="0" w:color="auto"/>
      </w:divBdr>
    </w:div>
    <w:div w:id="236940426">
      <w:bodyDiv w:val="1"/>
      <w:marLeft w:val="0"/>
      <w:marRight w:val="0"/>
      <w:marTop w:val="0"/>
      <w:marBottom w:val="0"/>
      <w:divBdr>
        <w:top w:val="none" w:sz="0" w:space="0" w:color="auto"/>
        <w:left w:val="none" w:sz="0" w:space="0" w:color="auto"/>
        <w:bottom w:val="none" w:sz="0" w:space="0" w:color="auto"/>
        <w:right w:val="none" w:sz="0" w:space="0" w:color="auto"/>
      </w:divBdr>
    </w:div>
    <w:div w:id="239488004">
      <w:bodyDiv w:val="1"/>
      <w:marLeft w:val="0"/>
      <w:marRight w:val="0"/>
      <w:marTop w:val="0"/>
      <w:marBottom w:val="0"/>
      <w:divBdr>
        <w:top w:val="none" w:sz="0" w:space="0" w:color="auto"/>
        <w:left w:val="none" w:sz="0" w:space="0" w:color="auto"/>
        <w:bottom w:val="none" w:sz="0" w:space="0" w:color="auto"/>
        <w:right w:val="none" w:sz="0" w:space="0" w:color="auto"/>
      </w:divBdr>
    </w:div>
    <w:div w:id="245309711">
      <w:bodyDiv w:val="1"/>
      <w:marLeft w:val="0"/>
      <w:marRight w:val="0"/>
      <w:marTop w:val="0"/>
      <w:marBottom w:val="0"/>
      <w:divBdr>
        <w:top w:val="none" w:sz="0" w:space="0" w:color="auto"/>
        <w:left w:val="none" w:sz="0" w:space="0" w:color="auto"/>
        <w:bottom w:val="none" w:sz="0" w:space="0" w:color="auto"/>
        <w:right w:val="none" w:sz="0" w:space="0" w:color="auto"/>
      </w:divBdr>
    </w:div>
    <w:div w:id="246235578">
      <w:bodyDiv w:val="1"/>
      <w:marLeft w:val="0"/>
      <w:marRight w:val="0"/>
      <w:marTop w:val="0"/>
      <w:marBottom w:val="0"/>
      <w:divBdr>
        <w:top w:val="none" w:sz="0" w:space="0" w:color="auto"/>
        <w:left w:val="none" w:sz="0" w:space="0" w:color="auto"/>
        <w:bottom w:val="none" w:sz="0" w:space="0" w:color="auto"/>
        <w:right w:val="none" w:sz="0" w:space="0" w:color="auto"/>
      </w:divBdr>
    </w:div>
    <w:div w:id="251158643">
      <w:bodyDiv w:val="1"/>
      <w:marLeft w:val="0"/>
      <w:marRight w:val="0"/>
      <w:marTop w:val="0"/>
      <w:marBottom w:val="0"/>
      <w:divBdr>
        <w:top w:val="none" w:sz="0" w:space="0" w:color="auto"/>
        <w:left w:val="none" w:sz="0" w:space="0" w:color="auto"/>
        <w:bottom w:val="none" w:sz="0" w:space="0" w:color="auto"/>
        <w:right w:val="none" w:sz="0" w:space="0" w:color="auto"/>
      </w:divBdr>
    </w:div>
    <w:div w:id="257058796">
      <w:bodyDiv w:val="1"/>
      <w:marLeft w:val="0"/>
      <w:marRight w:val="0"/>
      <w:marTop w:val="0"/>
      <w:marBottom w:val="0"/>
      <w:divBdr>
        <w:top w:val="none" w:sz="0" w:space="0" w:color="auto"/>
        <w:left w:val="none" w:sz="0" w:space="0" w:color="auto"/>
        <w:bottom w:val="none" w:sz="0" w:space="0" w:color="auto"/>
        <w:right w:val="none" w:sz="0" w:space="0" w:color="auto"/>
      </w:divBdr>
    </w:div>
    <w:div w:id="257912435">
      <w:bodyDiv w:val="1"/>
      <w:marLeft w:val="0"/>
      <w:marRight w:val="0"/>
      <w:marTop w:val="0"/>
      <w:marBottom w:val="0"/>
      <w:divBdr>
        <w:top w:val="none" w:sz="0" w:space="0" w:color="auto"/>
        <w:left w:val="none" w:sz="0" w:space="0" w:color="auto"/>
        <w:bottom w:val="none" w:sz="0" w:space="0" w:color="auto"/>
        <w:right w:val="none" w:sz="0" w:space="0" w:color="auto"/>
      </w:divBdr>
    </w:div>
    <w:div w:id="259292663">
      <w:bodyDiv w:val="1"/>
      <w:marLeft w:val="0"/>
      <w:marRight w:val="0"/>
      <w:marTop w:val="0"/>
      <w:marBottom w:val="0"/>
      <w:divBdr>
        <w:top w:val="none" w:sz="0" w:space="0" w:color="auto"/>
        <w:left w:val="none" w:sz="0" w:space="0" w:color="auto"/>
        <w:bottom w:val="none" w:sz="0" w:space="0" w:color="auto"/>
        <w:right w:val="none" w:sz="0" w:space="0" w:color="auto"/>
      </w:divBdr>
    </w:div>
    <w:div w:id="263155291">
      <w:bodyDiv w:val="1"/>
      <w:marLeft w:val="0"/>
      <w:marRight w:val="0"/>
      <w:marTop w:val="0"/>
      <w:marBottom w:val="0"/>
      <w:divBdr>
        <w:top w:val="none" w:sz="0" w:space="0" w:color="auto"/>
        <w:left w:val="none" w:sz="0" w:space="0" w:color="auto"/>
        <w:bottom w:val="none" w:sz="0" w:space="0" w:color="auto"/>
        <w:right w:val="none" w:sz="0" w:space="0" w:color="auto"/>
      </w:divBdr>
    </w:div>
    <w:div w:id="264509219">
      <w:bodyDiv w:val="1"/>
      <w:marLeft w:val="0"/>
      <w:marRight w:val="0"/>
      <w:marTop w:val="0"/>
      <w:marBottom w:val="0"/>
      <w:divBdr>
        <w:top w:val="none" w:sz="0" w:space="0" w:color="auto"/>
        <w:left w:val="none" w:sz="0" w:space="0" w:color="auto"/>
        <w:bottom w:val="none" w:sz="0" w:space="0" w:color="auto"/>
        <w:right w:val="none" w:sz="0" w:space="0" w:color="auto"/>
      </w:divBdr>
    </w:div>
    <w:div w:id="265315065">
      <w:bodyDiv w:val="1"/>
      <w:marLeft w:val="0"/>
      <w:marRight w:val="0"/>
      <w:marTop w:val="0"/>
      <w:marBottom w:val="0"/>
      <w:divBdr>
        <w:top w:val="none" w:sz="0" w:space="0" w:color="auto"/>
        <w:left w:val="none" w:sz="0" w:space="0" w:color="auto"/>
        <w:bottom w:val="none" w:sz="0" w:space="0" w:color="auto"/>
        <w:right w:val="none" w:sz="0" w:space="0" w:color="auto"/>
      </w:divBdr>
      <w:divsChild>
        <w:div w:id="1420298282">
          <w:marLeft w:val="0"/>
          <w:marRight w:val="0"/>
          <w:marTop w:val="34"/>
          <w:marBottom w:val="34"/>
          <w:divBdr>
            <w:top w:val="none" w:sz="0" w:space="0" w:color="auto"/>
            <w:left w:val="none" w:sz="0" w:space="0" w:color="auto"/>
            <w:bottom w:val="none" w:sz="0" w:space="0" w:color="auto"/>
            <w:right w:val="none" w:sz="0" w:space="0" w:color="auto"/>
          </w:divBdr>
        </w:div>
        <w:div w:id="857238723">
          <w:marLeft w:val="0"/>
          <w:marRight w:val="0"/>
          <w:marTop w:val="0"/>
          <w:marBottom w:val="0"/>
          <w:divBdr>
            <w:top w:val="none" w:sz="0" w:space="0" w:color="auto"/>
            <w:left w:val="none" w:sz="0" w:space="0" w:color="auto"/>
            <w:bottom w:val="none" w:sz="0" w:space="0" w:color="auto"/>
            <w:right w:val="none" w:sz="0" w:space="0" w:color="auto"/>
          </w:divBdr>
        </w:div>
      </w:divsChild>
    </w:div>
    <w:div w:id="267394147">
      <w:bodyDiv w:val="1"/>
      <w:marLeft w:val="0"/>
      <w:marRight w:val="0"/>
      <w:marTop w:val="0"/>
      <w:marBottom w:val="0"/>
      <w:divBdr>
        <w:top w:val="none" w:sz="0" w:space="0" w:color="auto"/>
        <w:left w:val="none" w:sz="0" w:space="0" w:color="auto"/>
        <w:bottom w:val="none" w:sz="0" w:space="0" w:color="auto"/>
        <w:right w:val="none" w:sz="0" w:space="0" w:color="auto"/>
      </w:divBdr>
    </w:div>
    <w:div w:id="270363241">
      <w:bodyDiv w:val="1"/>
      <w:marLeft w:val="0"/>
      <w:marRight w:val="0"/>
      <w:marTop w:val="0"/>
      <w:marBottom w:val="0"/>
      <w:divBdr>
        <w:top w:val="none" w:sz="0" w:space="0" w:color="auto"/>
        <w:left w:val="none" w:sz="0" w:space="0" w:color="auto"/>
        <w:bottom w:val="none" w:sz="0" w:space="0" w:color="auto"/>
        <w:right w:val="none" w:sz="0" w:space="0" w:color="auto"/>
      </w:divBdr>
    </w:div>
    <w:div w:id="271279407">
      <w:bodyDiv w:val="1"/>
      <w:marLeft w:val="0"/>
      <w:marRight w:val="0"/>
      <w:marTop w:val="0"/>
      <w:marBottom w:val="0"/>
      <w:divBdr>
        <w:top w:val="none" w:sz="0" w:space="0" w:color="auto"/>
        <w:left w:val="none" w:sz="0" w:space="0" w:color="auto"/>
        <w:bottom w:val="none" w:sz="0" w:space="0" w:color="auto"/>
        <w:right w:val="none" w:sz="0" w:space="0" w:color="auto"/>
      </w:divBdr>
    </w:div>
    <w:div w:id="273025123">
      <w:bodyDiv w:val="1"/>
      <w:marLeft w:val="0"/>
      <w:marRight w:val="0"/>
      <w:marTop w:val="0"/>
      <w:marBottom w:val="0"/>
      <w:divBdr>
        <w:top w:val="none" w:sz="0" w:space="0" w:color="auto"/>
        <w:left w:val="none" w:sz="0" w:space="0" w:color="auto"/>
        <w:bottom w:val="none" w:sz="0" w:space="0" w:color="auto"/>
        <w:right w:val="none" w:sz="0" w:space="0" w:color="auto"/>
      </w:divBdr>
    </w:div>
    <w:div w:id="274404234">
      <w:bodyDiv w:val="1"/>
      <w:marLeft w:val="0"/>
      <w:marRight w:val="0"/>
      <w:marTop w:val="0"/>
      <w:marBottom w:val="0"/>
      <w:divBdr>
        <w:top w:val="none" w:sz="0" w:space="0" w:color="auto"/>
        <w:left w:val="none" w:sz="0" w:space="0" w:color="auto"/>
        <w:bottom w:val="none" w:sz="0" w:space="0" w:color="auto"/>
        <w:right w:val="none" w:sz="0" w:space="0" w:color="auto"/>
      </w:divBdr>
    </w:div>
    <w:div w:id="277222678">
      <w:bodyDiv w:val="1"/>
      <w:marLeft w:val="0"/>
      <w:marRight w:val="0"/>
      <w:marTop w:val="0"/>
      <w:marBottom w:val="0"/>
      <w:divBdr>
        <w:top w:val="none" w:sz="0" w:space="0" w:color="auto"/>
        <w:left w:val="none" w:sz="0" w:space="0" w:color="auto"/>
        <w:bottom w:val="none" w:sz="0" w:space="0" w:color="auto"/>
        <w:right w:val="none" w:sz="0" w:space="0" w:color="auto"/>
      </w:divBdr>
    </w:div>
    <w:div w:id="287901107">
      <w:bodyDiv w:val="1"/>
      <w:marLeft w:val="0"/>
      <w:marRight w:val="0"/>
      <w:marTop w:val="0"/>
      <w:marBottom w:val="0"/>
      <w:divBdr>
        <w:top w:val="none" w:sz="0" w:space="0" w:color="auto"/>
        <w:left w:val="none" w:sz="0" w:space="0" w:color="auto"/>
        <w:bottom w:val="none" w:sz="0" w:space="0" w:color="auto"/>
        <w:right w:val="none" w:sz="0" w:space="0" w:color="auto"/>
      </w:divBdr>
    </w:div>
    <w:div w:id="288781275">
      <w:bodyDiv w:val="1"/>
      <w:marLeft w:val="0"/>
      <w:marRight w:val="0"/>
      <w:marTop w:val="0"/>
      <w:marBottom w:val="0"/>
      <w:divBdr>
        <w:top w:val="none" w:sz="0" w:space="0" w:color="auto"/>
        <w:left w:val="none" w:sz="0" w:space="0" w:color="auto"/>
        <w:bottom w:val="none" w:sz="0" w:space="0" w:color="auto"/>
        <w:right w:val="none" w:sz="0" w:space="0" w:color="auto"/>
      </w:divBdr>
    </w:div>
    <w:div w:id="291332078">
      <w:bodyDiv w:val="1"/>
      <w:marLeft w:val="0"/>
      <w:marRight w:val="0"/>
      <w:marTop w:val="0"/>
      <w:marBottom w:val="0"/>
      <w:divBdr>
        <w:top w:val="none" w:sz="0" w:space="0" w:color="auto"/>
        <w:left w:val="none" w:sz="0" w:space="0" w:color="auto"/>
        <w:bottom w:val="none" w:sz="0" w:space="0" w:color="auto"/>
        <w:right w:val="none" w:sz="0" w:space="0" w:color="auto"/>
      </w:divBdr>
    </w:div>
    <w:div w:id="291403558">
      <w:bodyDiv w:val="1"/>
      <w:marLeft w:val="0"/>
      <w:marRight w:val="0"/>
      <w:marTop w:val="0"/>
      <w:marBottom w:val="0"/>
      <w:divBdr>
        <w:top w:val="none" w:sz="0" w:space="0" w:color="auto"/>
        <w:left w:val="none" w:sz="0" w:space="0" w:color="auto"/>
        <w:bottom w:val="none" w:sz="0" w:space="0" w:color="auto"/>
        <w:right w:val="none" w:sz="0" w:space="0" w:color="auto"/>
      </w:divBdr>
    </w:div>
    <w:div w:id="291641987">
      <w:bodyDiv w:val="1"/>
      <w:marLeft w:val="0"/>
      <w:marRight w:val="0"/>
      <w:marTop w:val="0"/>
      <w:marBottom w:val="0"/>
      <w:divBdr>
        <w:top w:val="none" w:sz="0" w:space="0" w:color="auto"/>
        <w:left w:val="none" w:sz="0" w:space="0" w:color="auto"/>
        <w:bottom w:val="none" w:sz="0" w:space="0" w:color="auto"/>
        <w:right w:val="none" w:sz="0" w:space="0" w:color="auto"/>
      </w:divBdr>
    </w:div>
    <w:div w:id="293490262">
      <w:bodyDiv w:val="1"/>
      <w:marLeft w:val="0"/>
      <w:marRight w:val="0"/>
      <w:marTop w:val="0"/>
      <w:marBottom w:val="0"/>
      <w:divBdr>
        <w:top w:val="none" w:sz="0" w:space="0" w:color="auto"/>
        <w:left w:val="none" w:sz="0" w:space="0" w:color="auto"/>
        <w:bottom w:val="none" w:sz="0" w:space="0" w:color="auto"/>
        <w:right w:val="none" w:sz="0" w:space="0" w:color="auto"/>
      </w:divBdr>
    </w:div>
    <w:div w:id="294265144">
      <w:bodyDiv w:val="1"/>
      <w:marLeft w:val="0"/>
      <w:marRight w:val="0"/>
      <w:marTop w:val="0"/>
      <w:marBottom w:val="0"/>
      <w:divBdr>
        <w:top w:val="none" w:sz="0" w:space="0" w:color="auto"/>
        <w:left w:val="none" w:sz="0" w:space="0" w:color="auto"/>
        <w:bottom w:val="none" w:sz="0" w:space="0" w:color="auto"/>
        <w:right w:val="none" w:sz="0" w:space="0" w:color="auto"/>
      </w:divBdr>
    </w:div>
    <w:div w:id="300889172">
      <w:bodyDiv w:val="1"/>
      <w:marLeft w:val="0"/>
      <w:marRight w:val="0"/>
      <w:marTop w:val="0"/>
      <w:marBottom w:val="0"/>
      <w:divBdr>
        <w:top w:val="none" w:sz="0" w:space="0" w:color="auto"/>
        <w:left w:val="none" w:sz="0" w:space="0" w:color="auto"/>
        <w:bottom w:val="none" w:sz="0" w:space="0" w:color="auto"/>
        <w:right w:val="none" w:sz="0" w:space="0" w:color="auto"/>
      </w:divBdr>
      <w:divsChild>
        <w:div w:id="1837649124">
          <w:marLeft w:val="0"/>
          <w:marRight w:val="0"/>
          <w:marTop w:val="34"/>
          <w:marBottom w:val="34"/>
          <w:divBdr>
            <w:top w:val="none" w:sz="0" w:space="0" w:color="auto"/>
            <w:left w:val="none" w:sz="0" w:space="0" w:color="auto"/>
            <w:bottom w:val="none" w:sz="0" w:space="0" w:color="auto"/>
            <w:right w:val="none" w:sz="0" w:space="0" w:color="auto"/>
          </w:divBdr>
        </w:div>
        <w:div w:id="1882089760">
          <w:marLeft w:val="0"/>
          <w:marRight w:val="0"/>
          <w:marTop w:val="0"/>
          <w:marBottom w:val="0"/>
          <w:divBdr>
            <w:top w:val="none" w:sz="0" w:space="0" w:color="auto"/>
            <w:left w:val="none" w:sz="0" w:space="0" w:color="auto"/>
            <w:bottom w:val="none" w:sz="0" w:space="0" w:color="auto"/>
            <w:right w:val="none" w:sz="0" w:space="0" w:color="auto"/>
          </w:divBdr>
        </w:div>
      </w:divsChild>
    </w:div>
    <w:div w:id="330446278">
      <w:bodyDiv w:val="1"/>
      <w:marLeft w:val="0"/>
      <w:marRight w:val="0"/>
      <w:marTop w:val="0"/>
      <w:marBottom w:val="0"/>
      <w:divBdr>
        <w:top w:val="none" w:sz="0" w:space="0" w:color="auto"/>
        <w:left w:val="none" w:sz="0" w:space="0" w:color="auto"/>
        <w:bottom w:val="none" w:sz="0" w:space="0" w:color="auto"/>
        <w:right w:val="none" w:sz="0" w:space="0" w:color="auto"/>
      </w:divBdr>
    </w:div>
    <w:div w:id="333149627">
      <w:bodyDiv w:val="1"/>
      <w:marLeft w:val="0"/>
      <w:marRight w:val="0"/>
      <w:marTop w:val="0"/>
      <w:marBottom w:val="0"/>
      <w:divBdr>
        <w:top w:val="none" w:sz="0" w:space="0" w:color="auto"/>
        <w:left w:val="none" w:sz="0" w:space="0" w:color="auto"/>
        <w:bottom w:val="none" w:sz="0" w:space="0" w:color="auto"/>
        <w:right w:val="none" w:sz="0" w:space="0" w:color="auto"/>
      </w:divBdr>
    </w:div>
    <w:div w:id="337194246">
      <w:bodyDiv w:val="1"/>
      <w:marLeft w:val="0"/>
      <w:marRight w:val="0"/>
      <w:marTop w:val="0"/>
      <w:marBottom w:val="0"/>
      <w:divBdr>
        <w:top w:val="none" w:sz="0" w:space="0" w:color="auto"/>
        <w:left w:val="none" w:sz="0" w:space="0" w:color="auto"/>
        <w:bottom w:val="none" w:sz="0" w:space="0" w:color="auto"/>
        <w:right w:val="none" w:sz="0" w:space="0" w:color="auto"/>
      </w:divBdr>
    </w:div>
    <w:div w:id="345644227">
      <w:bodyDiv w:val="1"/>
      <w:marLeft w:val="0"/>
      <w:marRight w:val="0"/>
      <w:marTop w:val="0"/>
      <w:marBottom w:val="0"/>
      <w:divBdr>
        <w:top w:val="none" w:sz="0" w:space="0" w:color="auto"/>
        <w:left w:val="none" w:sz="0" w:space="0" w:color="auto"/>
        <w:bottom w:val="none" w:sz="0" w:space="0" w:color="auto"/>
        <w:right w:val="none" w:sz="0" w:space="0" w:color="auto"/>
      </w:divBdr>
    </w:div>
    <w:div w:id="346254157">
      <w:bodyDiv w:val="1"/>
      <w:marLeft w:val="0"/>
      <w:marRight w:val="0"/>
      <w:marTop w:val="0"/>
      <w:marBottom w:val="0"/>
      <w:divBdr>
        <w:top w:val="none" w:sz="0" w:space="0" w:color="auto"/>
        <w:left w:val="none" w:sz="0" w:space="0" w:color="auto"/>
        <w:bottom w:val="none" w:sz="0" w:space="0" w:color="auto"/>
        <w:right w:val="none" w:sz="0" w:space="0" w:color="auto"/>
      </w:divBdr>
    </w:div>
    <w:div w:id="358706494">
      <w:bodyDiv w:val="1"/>
      <w:marLeft w:val="0"/>
      <w:marRight w:val="0"/>
      <w:marTop w:val="0"/>
      <w:marBottom w:val="0"/>
      <w:divBdr>
        <w:top w:val="none" w:sz="0" w:space="0" w:color="auto"/>
        <w:left w:val="none" w:sz="0" w:space="0" w:color="auto"/>
        <w:bottom w:val="none" w:sz="0" w:space="0" w:color="auto"/>
        <w:right w:val="none" w:sz="0" w:space="0" w:color="auto"/>
      </w:divBdr>
    </w:div>
    <w:div w:id="364211442">
      <w:bodyDiv w:val="1"/>
      <w:marLeft w:val="0"/>
      <w:marRight w:val="0"/>
      <w:marTop w:val="0"/>
      <w:marBottom w:val="0"/>
      <w:divBdr>
        <w:top w:val="none" w:sz="0" w:space="0" w:color="auto"/>
        <w:left w:val="none" w:sz="0" w:space="0" w:color="auto"/>
        <w:bottom w:val="none" w:sz="0" w:space="0" w:color="auto"/>
        <w:right w:val="none" w:sz="0" w:space="0" w:color="auto"/>
      </w:divBdr>
    </w:div>
    <w:div w:id="370960485">
      <w:bodyDiv w:val="1"/>
      <w:marLeft w:val="0"/>
      <w:marRight w:val="0"/>
      <w:marTop w:val="0"/>
      <w:marBottom w:val="0"/>
      <w:divBdr>
        <w:top w:val="none" w:sz="0" w:space="0" w:color="auto"/>
        <w:left w:val="none" w:sz="0" w:space="0" w:color="auto"/>
        <w:bottom w:val="none" w:sz="0" w:space="0" w:color="auto"/>
        <w:right w:val="none" w:sz="0" w:space="0" w:color="auto"/>
      </w:divBdr>
    </w:div>
    <w:div w:id="381100131">
      <w:bodyDiv w:val="1"/>
      <w:marLeft w:val="0"/>
      <w:marRight w:val="0"/>
      <w:marTop w:val="0"/>
      <w:marBottom w:val="0"/>
      <w:divBdr>
        <w:top w:val="none" w:sz="0" w:space="0" w:color="auto"/>
        <w:left w:val="none" w:sz="0" w:space="0" w:color="auto"/>
        <w:bottom w:val="none" w:sz="0" w:space="0" w:color="auto"/>
        <w:right w:val="none" w:sz="0" w:space="0" w:color="auto"/>
      </w:divBdr>
    </w:div>
    <w:div w:id="381247080">
      <w:bodyDiv w:val="1"/>
      <w:marLeft w:val="0"/>
      <w:marRight w:val="0"/>
      <w:marTop w:val="0"/>
      <w:marBottom w:val="0"/>
      <w:divBdr>
        <w:top w:val="none" w:sz="0" w:space="0" w:color="auto"/>
        <w:left w:val="none" w:sz="0" w:space="0" w:color="auto"/>
        <w:bottom w:val="none" w:sz="0" w:space="0" w:color="auto"/>
        <w:right w:val="none" w:sz="0" w:space="0" w:color="auto"/>
      </w:divBdr>
    </w:div>
    <w:div w:id="384255369">
      <w:bodyDiv w:val="1"/>
      <w:marLeft w:val="0"/>
      <w:marRight w:val="0"/>
      <w:marTop w:val="0"/>
      <w:marBottom w:val="0"/>
      <w:divBdr>
        <w:top w:val="none" w:sz="0" w:space="0" w:color="auto"/>
        <w:left w:val="none" w:sz="0" w:space="0" w:color="auto"/>
        <w:bottom w:val="none" w:sz="0" w:space="0" w:color="auto"/>
        <w:right w:val="none" w:sz="0" w:space="0" w:color="auto"/>
      </w:divBdr>
    </w:div>
    <w:div w:id="388386116">
      <w:bodyDiv w:val="1"/>
      <w:marLeft w:val="0"/>
      <w:marRight w:val="0"/>
      <w:marTop w:val="0"/>
      <w:marBottom w:val="0"/>
      <w:divBdr>
        <w:top w:val="none" w:sz="0" w:space="0" w:color="auto"/>
        <w:left w:val="none" w:sz="0" w:space="0" w:color="auto"/>
        <w:bottom w:val="none" w:sz="0" w:space="0" w:color="auto"/>
        <w:right w:val="none" w:sz="0" w:space="0" w:color="auto"/>
      </w:divBdr>
    </w:div>
    <w:div w:id="396904145">
      <w:bodyDiv w:val="1"/>
      <w:marLeft w:val="0"/>
      <w:marRight w:val="0"/>
      <w:marTop w:val="0"/>
      <w:marBottom w:val="0"/>
      <w:divBdr>
        <w:top w:val="none" w:sz="0" w:space="0" w:color="auto"/>
        <w:left w:val="none" w:sz="0" w:space="0" w:color="auto"/>
        <w:bottom w:val="none" w:sz="0" w:space="0" w:color="auto"/>
        <w:right w:val="none" w:sz="0" w:space="0" w:color="auto"/>
      </w:divBdr>
    </w:div>
    <w:div w:id="398022903">
      <w:bodyDiv w:val="1"/>
      <w:marLeft w:val="0"/>
      <w:marRight w:val="0"/>
      <w:marTop w:val="0"/>
      <w:marBottom w:val="0"/>
      <w:divBdr>
        <w:top w:val="none" w:sz="0" w:space="0" w:color="auto"/>
        <w:left w:val="none" w:sz="0" w:space="0" w:color="auto"/>
        <w:bottom w:val="none" w:sz="0" w:space="0" w:color="auto"/>
        <w:right w:val="none" w:sz="0" w:space="0" w:color="auto"/>
      </w:divBdr>
    </w:div>
    <w:div w:id="399642803">
      <w:bodyDiv w:val="1"/>
      <w:marLeft w:val="0"/>
      <w:marRight w:val="0"/>
      <w:marTop w:val="0"/>
      <w:marBottom w:val="0"/>
      <w:divBdr>
        <w:top w:val="none" w:sz="0" w:space="0" w:color="auto"/>
        <w:left w:val="none" w:sz="0" w:space="0" w:color="auto"/>
        <w:bottom w:val="none" w:sz="0" w:space="0" w:color="auto"/>
        <w:right w:val="none" w:sz="0" w:space="0" w:color="auto"/>
      </w:divBdr>
    </w:div>
    <w:div w:id="411049184">
      <w:bodyDiv w:val="1"/>
      <w:marLeft w:val="0"/>
      <w:marRight w:val="0"/>
      <w:marTop w:val="0"/>
      <w:marBottom w:val="0"/>
      <w:divBdr>
        <w:top w:val="none" w:sz="0" w:space="0" w:color="auto"/>
        <w:left w:val="none" w:sz="0" w:space="0" w:color="auto"/>
        <w:bottom w:val="none" w:sz="0" w:space="0" w:color="auto"/>
        <w:right w:val="none" w:sz="0" w:space="0" w:color="auto"/>
      </w:divBdr>
      <w:divsChild>
        <w:div w:id="19867735">
          <w:marLeft w:val="0"/>
          <w:marRight w:val="0"/>
          <w:marTop w:val="34"/>
          <w:marBottom w:val="34"/>
          <w:divBdr>
            <w:top w:val="none" w:sz="0" w:space="0" w:color="auto"/>
            <w:left w:val="none" w:sz="0" w:space="0" w:color="auto"/>
            <w:bottom w:val="none" w:sz="0" w:space="0" w:color="auto"/>
            <w:right w:val="none" w:sz="0" w:space="0" w:color="auto"/>
          </w:divBdr>
        </w:div>
      </w:divsChild>
    </w:div>
    <w:div w:id="411319831">
      <w:bodyDiv w:val="1"/>
      <w:marLeft w:val="0"/>
      <w:marRight w:val="0"/>
      <w:marTop w:val="0"/>
      <w:marBottom w:val="0"/>
      <w:divBdr>
        <w:top w:val="none" w:sz="0" w:space="0" w:color="auto"/>
        <w:left w:val="none" w:sz="0" w:space="0" w:color="auto"/>
        <w:bottom w:val="none" w:sz="0" w:space="0" w:color="auto"/>
        <w:right w:val="none" w:sz="0" w:space="0" w:color="auto"/>
      </w:divBdr>
    </w:div>
    <w:div w:id="432285390">
      <w:bodyDiv w:val="1"/>
      <w:marLeft w:val="0"/>
      <w:marRight w:val="0"/>
      <w:marTop w:val="0"/>
      <w:marBottom w:val="0"/>
      <w:divBdr>
        <w:top w:val="none" w:sz="0" w:space="0" w:color="auto"/>
        <w:left w:val="none" w:sz="0" w:space="0" w:color="auto"/>
        <w:bottom w:val="none" w:sz="0" w:space="0" w:color="auto"/>
        <w:right w:val="none" w:sz="0" w:space="0" w:color="auto"/>
      </w:divBdr>
    </w:div>
    <w:div w:id="436606614">
      <w:bodyDiv w:val="1"/>
      <w:marLeft w:val="0"/>
      <w:marRight w:val="0"/>
      <w:marTop w:val="0"/>
      <w:marBottom w:val="0"/>
      <w:divBdr>
        <w:top w:val="none" w:sz="0" w:space="0" w:color="auto"/>
        <w:left w:val="none" w:sz="0" w:space="0" w:color="auto"/>
        <w:bottom w:val="none" w:sz="0" w:space="0" w:color="auto"/>
        <w:right w:val="none" w:sz="0" w:space="0" w:color="auto"/>
      </w:divBdr>
    </w:div>
    <w:div w:id="438377468">
      <w:bodyDiv w:val="1"/>
      <w:marLeft w:val="0"/>
      <w:marRight w:val="0"/>
      <w:marTop w:val="0"/>
      <w:marBottom w:val="0"/>
      <w:divBdr>
        <w:top w:val="none" w:sz="0" w:space="0" w:color="auto"/>
        <w:left w:val="none" w:sz="0" w:space="0" w:color="auto"/>
        <w:bottom w:val="none" w:sz="0" w:space="0" w:color="auto"/>
        <w:right w:val="none" w:sz="0" w:space="0" w:color="auto"/>
      </w:divBdr>
    </w:div>
    <w:div w:id="444497261">
      <w:bodyDiv w:val="1"/>
      <w:marLeft w:val="0"/>
      <w:marRight w:val="0"/>
      <w:marTop w:val="0"/>
      <w:marBottom w:val="0"/>
      <w:divBdr>
        <w:top w:val="none" w:sz="0" w:space="0" w:color="auto"/>
        <w:left w:val="none" w:sz="0" w:space="0" w:color="auto"/>
        <w:bottom w:val="none" w:sz="0" w:space="0" w:color="auto"/>
        <w:right w:val="none" w:sz="0" w:space="0" w:color="auto"/>
      </w:divBdr>
    </w:div>
    <w:div w:id="447315527">
      <w:bodyDiv w:val="1"/>
      <w:marLeft w:val="0"/>
      <w:marRight w:val="0"/>
      <w:marTop w:val="0"/>
      <w:marBottom w:val="0"/>
      <w:divBdr>
        <w:top w:val="none" w:sz="0" w:space="0" w:color="auto"/>
        <w:left w:val="none" w:sz="0" w:space="0" w:color="auto"/>
        <w:bottom w:val="none" w:sz="0" w:space="0" w:color="auto"/>
        <w:right w:val="none" w:sz="0" w:space="0" w:color="auto"/>
      </w:divBdr>
    </w:div>
    <w:div w:id="448014585">
      <w:bodyDiv w:val="1"/>
      <w:marLeft w:val="0"/>
      <w:marRight w:val="0"/>
      <w:marTop w:val="0"/>
      <w:marBottom w:val="0"/>
      <w:divBdr>
        <w:top w:val="none" w:sz="0" w:space="0" w:color="auto"/>
        <w:left w:val="none" w:sz="0" w:space="0" w:color="auto"/>
        <w:bottom w:val="none" w:sz="0" w:space="0" w:color="auto"/>
        <w:right w:val="none" w:sz="0" w:space="0" w:color="auto"/>
      </w:divBdr>
    </w:div>
    <w:div w:id="451175363">
      <w:bodyDiv w:val="1"/>
      <w:marLeft w:val="0"/>
      <w:marRight w:val="0"/>
      <w:marTop w:val="0"/>
      <w:marBottom w:val="0"/>
      <w:divBdr>
        <w:top w:val="none" w:sz="0" w:space="0" w:color="auto"/>
        <w:left w:val="none" w:sz="0" w:space="0" w:color="auto"/>
        <w:bottom w:val="none" w:sz="0" w:space="0" w:color="auto"/>
        <w:right w:val="none" w:sz="0" w:space="0" w:color="auto"/>
      </w:divBdr>
    </w:div>
    <w:div w:id="460807804">
      <w:bodyDiv w:val="1"/>
      <w:marLeft w:val="0"/>
      <w:marRight w:val="0"/>
      <w:marTop w:val="0"/>
      <w:marBottom w:val="0"/>
      <w:divBdr>
        <w:top w:val="none" w:sz="0" w:space="0" w:color="auto"/>
        <w:left w:val="none" w:sz="0" w:space="0" w:color="auto"/>
        <w:bottom w:val="none" w:sz="0" w:space="0" w:color="auto"/>
        <w:right w:val="none" w:sz="0" w:space="0" w:color="auto"/>
      </w:divBdr>
    </w:div>
    <w:div w:id="471682135">
      <w:bodyDiv w:val="1"/>
      <w:marLeft w:val="0"/>
      <w:marRight w:val="0"/>
      <w:marTop w:val="0"/>
      <w:marBottom w:val="0"/>
      <w:divBdr>
        <w:top w:val="none" w:sz="0" w:space="0" w:color="auto"/>
        <w:left w:val="none" w:sz="0" w:space="0" w:color="auto"/>
        <w:bottom w:val="none" w:sz="0" w:space="0" w:color="auto"/>
        <w:right w:val="none" w:sz="0" w:space="0" w:color="auto"/>
      </w:divBdr>
    </w:div>
    <w:div w:id="476269292">
      <w:bodyDiv w:val="1"/>
      <w:marLeft w:val="0"/>
      <w:marRight w:val="0"/>
      <w:marTop w:val="0"/>
      <w:marBottom w:val="0"/>
      <w:divBdr>
        <w:top w:val="none" w:sz="0" w:space="0" w:color="auto"/>
        <w:left w:val="none" w:sz="0" w:space="0" w:color="auto"/>
        <w:bottom w:val="none" w:sz="0" w:space="0" w:color="auto"/>
        <w:right w:val="none" w:sz="0" w:space="0" w:color="auto"/>
      </w:divBdr>
    </w:div>
    <w:div w:id="483816449">
      <w:bodyDiv w:val="1"/>
      <w:marLeft w:val="0"/>
      <w:marRight w:val="0"/>
      <w:marTop w:val="0"/>
      <w:marBottom w:val="0"/>
      <w:divBdr>
        <w:top w:val="none" w:sz="0" w:space="0" w:color="auto"/>
        <w:left w:val="none" w:sz="0" w:space="0" w:color="auto"/>
        <w:bottom w:val="none" w:sz="0" w:space="0" w:color="auto"/>
        <w:right w:val="none" w:sz="0" w:space="0" w:color="auto"/>
      </w:divBdr>
      <w:divsChild>
        <w:div w:id="331877698">
          <w:marLeft w:val="0"/>
          <w:marRight w:val="0"/>
          <w:marTop w:val="34"/>
          <w:marBottom w:val="34"/>
          <w:divBdr>
            <w:top w:val="none" w:sz="0" w:space="0" w:color="auto"/>
            <w:left w:val="none" w:sz="0" w:space="0" w:color="auto"/>
            <w:bottom w:val="none" w:sz="0" w:space="0" w:color="auto"/>
            <w:right w:val="none" w:sz="0" w:space="0" w:color="auto"/>
          </w:divBdr>
        </w:div>
      </w:divsChild>
    </w:div>
    <w:div w:id="483931074">
      <w:bodyDiv w:val="1"/>
      <w:marLeft w:val="0"/>
      <w:marRight w:val="0"/>
      <w:marTop w:val="0"/>
      <w:marBottom w:val="0"/>
      <w:divBdr>
        <w:top w:val="none" w:sz="0" w:space="0" w:color="auto"/>
        <w:left w:val="none" w:sz="0" w:space="0" w:color="auto"/>
        <w:bottom w:val="none" w:sz="0" w:space="0" w:color="auto"/>
        <w:right w:val="none" w:sz="0" w:space="0" w:color="auto"/>
      </w:divBdr>
    </w:div>
    <w:div w:id="484321245">
      <w:bodyDiv w:val="1"/>
      <w:marLeft w:val="0"/>
      <w:marRight w:val="0"/>
      <w:marTop w:val="0"/>
      <w:marBottom w:val="0"/>
      <w:divBdr>
        <w:top w:val="none" w:sz="0" w:space="0" w:color="auto"/>
        <w:left w:val="none" w:sz="0" w:space="0" w:color="auto"/>
        <w:bottom w:val="none" w:sz="0" w:space="0" w:color="auto"/>
        <w:right w:val="none" w:sz="0" w:space="0" w:color="auto"/>
      </w:divBdr>
    </w:div>
    <w:div w:id="486434075">
      <w:bodyDiv w:val="1"/>
      <w:marLeft w:val="0"/>
      <w:marRight w:val="0"/>
      <w:marTop w:val="0"/>
      <w:marBottom w:val="0"/>
      <w:divBdr>
        <w:top w:val="none" w:sz="0" w:space="0" w:color="auto"/>
        <w:left w:val="none" w:sz="0" w:space="0" w:color="auto"/>
        <w:bottom w:val="none" w:sz="0" w:space="0" w:color="auto"/>
        <w:right w:val="none" w:sz="0" w:space="0" w:color="auto"/>
      </w:divBdr>
      <w:divsChild>
        <w:div w:id="864516914">
          <w:marLeft w:val="0"/>
          <w:marRight w:val="0"/>
          <w:marTop w:val="0"/>
          <w:marBottom w:val="166"/>
          <w:divBdr>
            <w:top w:val="none" w:sz="0" w:space="0" w:color="auto"/>
            <w:left w:val="none" w:sz="0" w:space="0" w:color="auto"/>
            <w:bottom w:val="none" w:sz="0" w:space="0" w:color="auto"/>
            <w:right w:val="none" w:sz="0" w:space="0" w:color="auto"/>
          </w:divBdr>
          <w:divsChild>
            <w:div w:id="1264722864">
              <w:marLeft w:val="0"/>
              <w:marRight w:val="0"/>
              <w:marTop w:val="0"/>
              <w:marBottom w:val="0"/>
              <w:divBdr>
                <w:top w:val="none" w:sz="0" w:space="0" w:color="auto"/>
                <w:left w:val="none" w:sz="0" w:space="0" w:color="auto"/>
                <w:bottom w:val="none" w:sz="0" w:space="0" w:color="auto"/>
                <w:right w:val="none" w:sz="0" w:space="0" w:color="auto"/>
              </w:divBdr>
              <w:divsChild>
                <w:div w:id="2055956395">
                  <w:marLeft w:val="0"/>
                  <w:marRight w:val="0"/>
                  <w:marTop w:val="0"/>
                  <w:marBottom w:val="0"/>
                  <w:divBdr>
                    <w:top w:val="none" w:sz="0" w:space="0" w:color="auto"/>
                    <w:left w:val="none" w:sz="0" w:space="0" w:color="auto"/>
                    <w:bottom w:val="none" w:sz="0" w:space="0" w:color="auto"/>
                    <w:right w:val="none" w:sz="0" w:space="0" w:color="auto"/>
                  </w:divBdr>
                  <w:divsChild>
                    <w:div w:id="2145461467">
                      <w:marLeft w:val="0"/>
                      <w:marRight w:val="0"/>
                      <w:marTop w:val="0"/>
                      <w:marBottom w:val="0"/>
                      <w:divBdr>
                        <w:top w:val="none" w:sz="0" w:space="0" w:color="auto"/>
                        <w:left w:val="none" w:sz="0" w:space="0" w:color="auto"/>
                        <w:bottom w:val="none" w:sz="0" w:space="0" w:color="auto"/>
                        <w:right w:val="none" w:sz="0" w:space="0" w:color="auto"/>
                      </w:divBdr>
                      <w:divsChild>
                        <w:div w:id="513803480">
                          <w:marLeft w:val="0"/>
                          <w:marRight w:val="0"/>
                          <w:marTop w:val="0"/>
                          <w:marBottom w:val="0"/>
                          <w:divBdr>
                            <w:top w:val="none" w:sz="0" w:space="0" w:color="auto"/>
                            <w:left w:val="none" w:sz="0" w:space="0" w:color="auto"/>
                            <w:bottom w:val="none" w:sz="0" w:space="0" w:color="auto"/>
                            <w:right w:val="none" w:sz="0" w:space="0" w:color="auto"/>
                          </w:divBdr>
                        </w:div>
                        <w:div w:id="17144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8830">
                  <w:marLeft w:val="0"/>
                  <w:marRight w:val="0"/>
                  <w:marTop w:val="0"/>
                  <w:marBottom w:val="0"/>
                  <w:divBdr>
                    <w:top w:val="none" w:sz="0" w:space="0" w:color="auto"/>
                    <w:left w:val="none" w:sz="0" w:space="0" w:color="auto"/>
                    <w:bottom w:val="none" w:sz="0" w:space="0" w:color="auto"/>
                    <w:right w:val="none" w:sz="0" w:space="0" w:color="auto"/>
                  </w:divBdr>
                  <w:divsChild>
                    <w:div w:id="5557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7932">
          <w:marLeft w:val="0"/>
          <w:marRight w:val="0"/>
          <w:marTop w:val="166"/>
          <w:marBottom w:val="166"/>
          <w:divBdr>
            <w:top w:val="none" w:sz="0" w:space="0" w:color="auto"/>
            <w:left w:val="none" w:sz="0" w:space="0" w:color="auto"/>
            <w:bottom w:val="none" w:sz="0" w:space="0" w:color="auto"/>
            <w:right w:val="none" w:sz="0" w:space="0" w:color="auto"/>
          </w:divBdr>
          <w:divsChild>
            <w:div w:id="17529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5564">
      <w:bodyDiv w:val="1"/>
      <w:marLeft w:val="0"/>
      <w:marRight w:val="0"/>
      <w:marTop w:val="0"/>
      <w:marBottom w:val="0"/>
      <w:divBdr>
        <w:top w:val="none" w:sz="0" w:space="0" w:color="auto"/>
        <w:left w:val="none" w:sz="0" w:space="0" w:color="auto"/>
        <w:bottom w:val="none" w:sz="0" w:space="0" w:color="auto"/>
        <w:right w:val="none" w:sz="0" w:space="0" w:color="auto"/>
      </w:divBdr>
    </w:div>
    <w:div w:id="494036087">
      <w:bodyDiv w:val="1"/>
      <w:marLeft w:val="0"/>
      <w:marRight w:val="0"/>
      <w:marTop w:val="0"/>
      <w:marBottom w:val="0"/>
      <w:divBdr>
        <w:top w:val="none" w:sz="0" w:space="0" w:color="auto"/>
        <w:left w:val="none" w:sz="0" w:space="0" w:color="auto"/>
        <w:bottom w:val="none" w:sz="0" w:space="0" w:color="auto"/>
        <w:right w:val="none" w:sz="0" w:space="0" w:color="auto"/>
      </w:divBdr>
    </w:div>
    <w:div w:id="502889969">
      <w:bodyDiv w:val="1"/>
      <w:marLeft w:val="0"/>
      <w:marRight w:val="0"/>
      <w:marTop w:val="0"/>
      <w:marBottom w:val="0"/>
      <w:divBdr>
        <w:top w:val="none" w:sz="0" w:space="0" w:color="auto"/>
        <w:left w:val="none" w:sz="0" w:space="0" w:color="auto"/>
        <w:bottom w:val="none" w:sz="0" w:space="0" w:color="auto"/>
        <w:right w:val="none" w:sz="0" w:space="0" w:color="auto"/>
      </w:divBdr>
    </w:div>
    <w:div w:id="503594814">
      <w:bodyDiv w:val="1"/>
      <w:marLeft w:val="0"/>
      <w:marRight w:val="0"/>
      <w:marTop w:val="0"/>
      <w:marBottom w:val="0"/>
      <w:divBdr>
        <w:top w:val="none" w:sz="0" w:space="0" w:color="auto"/>
        <w:left w:val="none" w:sz="0" w:space="0" w:color="auto"/>
        <w:bottom w:val="none" w:sz="0" w:space="0" w:color="auto"/>
        <w:right w:val="none" w:sz="0" w:space="0" w:color="auto"/>
      </w:divBdr>
    </w:div>
    <w:div w:id="507409256">
      <w:bodyDiv w:val="1"/>
      <w:marLeft w:val="0"/>
      <w:marRight w:val="0"/>
      <w:marTop w:val="0"/>
      <w:marBottom w:val="0"/>
      <w:divBdr>
        <w:top w:val="none" w:sz="0" w:space="0" w:color="auto"/>
        <w:left w:val="none" w:sz="0" w:space="0" w:color="auto"/>
        <w:bottom w:val="none" w:sz="0" w:space="0" w:color="auto"/>
        <w:right w:val="none" w:sz="0" w:space="0" w:color="auto"/>
      </w:divBdr>
    </w:div>
    <w:div w:id="508329690">
      <w:bodyDiv w:val="1"/>
      <w:marLeft w:val="0"/>
      <w:marRight w:val="0"/>
      <w:marTop w:val="0"/>
      <w:marBottom w:val="0"/>
      <w:divBdr>
        <w:top w:val="none" w:sz="0" w:space="0" w:color="auto"/>
        <w:left w:val="none" w:sz="0" w:space="0" w:color="auto"/>
        <w:bottom w:val="none" w:sz="0" w:space="0" w:color="auto"/>
        <w:right w:val="none" w:sz="0" w:space="0" w:color="auto"/>
      </w:divBdr>
    </w:div>
    <w:div w:id="513690480">
      <w:bodyDiv w:val="1"/>
      <w:marLeft w:val="0"/>
      <w:marRight w:val="0"/>
      <w:marTop w:val="0"/>
      <w:marBottom w:val="0"/>
      <w:divBdr>
        <w:top w:val="none" w:sz="0" w:space="0" w:color="auto"/>
        <w:left w:val="none" w:sz="0" w:space="0" w:color="auto"/>
        <w:bottom w:val="none" w:sz="0" w:space="0" w:color="auto"/>
        <w:right w:val="none" w:sz="0" w:space="0" w:color="auto"/>
      </w:divBdr>
    </w:div>
    <w:div w:id="518542600">
      <w:bodyDiv w:val="1"/>
      <w:marLeft w:val="0"/>
      <w:marRight w:val="0"/>
      <w:marTop w:val="0"/>
      <w:marBottom w:val="0"/>
      <w:divBdr>
        <w:top w:val="none" w:sz="0" w:space="0" w:color="auto"/>
        <w:left w:val="none" w:sz="0" w:space="0" w:color="auto"/>
        <w:bottom w:val="none" w:sz="0" w:space="0" w:color="auto"/>
        <w:right w:val="none" w:sz="0" w:space="0" w:color="auto"/>
      </w:divBdr>
    </w:div>
    <w:div w:id="519315085">
      <w:bodyDiv w:val="1"/>
      <w:marLeft w:val="0"/>
      <w:marRight w:val="0"/>
      <w:marTop w:val="0"/>
      <w:marBottom w:val="0"/>
      <w:divBdr>
        <w:top w:val="none" w:sz="0" w:space="0" w:color="auto"/>
        <w:left w:val="none" w:sz="0" w:space="0" w:color="auto"/>
        <w:bottom w:val="none" w:sz="0" w:space="0" w:color="auto"/>
        <w:right w:val="none" w:sz="0" w:space="0" w:color="auto"/>
      </w:divBdr>
    </w:div>
    <w:div w:id="520244564">
      <w:bodyDiv w:val="1"/>
      <w:marLeft w:val="0"/>
      <w:marRight w:val="0"/>
      <w:marTop w:val="0"/>
      <w:marBottom w:val="0"/>
      <w:divBdr>
        <w:top w:val="none" w:sz="0" w:space="0" w:color="auto"/>
        <w:left w:val="none" w:sz="0" w:space="0" w:color="auto"/>
        <w:bottom w:val="none" w:sz="0" w:space="0" w:color="auto"/>
        <w:right w:val="none" w:sz="0" w:space="0" w:color="auto"/>
      </w:divBdr>
    </w:div>
    <w:div w:id="520973094">
      <w:bodyDiv w:val="1"/>
      <w:marLeft w:val="0"/>
      <w:marRight w:val="0"/>
      <w:marTop w:val="0"/>
      <w:marBottom w:val="0"/>
      <w:divBdr>
        <w:top w:val="none" w:sz="0" w:space="0" w:color="auto"/>
        <w:left w:val="none" w:sz="0" w:space="0" w:color="auto"/>
        <w:bottom w:val="none" w:sz="0" w:space="0" w:color="auto"/>
        <w:right w:val="none" w:sz="0" w:space="0" w:color="auto"/>
      </w:divBdr>
    </w:div>
    <w:div w:id="523832928">
      <w:bodyDiv w:val="1"/>
      <w:marLeft w:val="0"/>
      <w:marRight w:val="0"/>
      <w:marTop w:val="0"/>
      <w:marBottom w:val="0"/>
      <w:divBdr>
        <w:top w:val="none" w:sz="0" w:space="0" w:color="auto"/>
        <w:left w:val="none" w:sz="0" w:space="0" w:color="auto"/>
        <w:bottom w:val="none" w:sz="0" w:space="0" w:color="auto"/>
        <w:right w:val="none" w:sz="0" w:space="0" w:color="auto"/>
      </w:divBdr>
    </w:div>
    <w:div w:id="525750968">
      <w:bodyDiv w:val="1"/>
      <w:marLeft w:val="0"/>
      <w:marRight w:val="0"/>
      <w:marTop w:val="0"/>
      <w:marBottom w:val="0"/>
      <w:divBdr>
        <w:top w:val="none" w:sz="0" w:space="0" w:color="auto"/>
        <w:left w:val="none" w:sz="0" w:space="0" w:color="auto"/>
        <w:bottom w:val="none" w:sz="0" w:space="0" w:color="auto"/>
        <w:right w:val="none" w:sz="0" w:space="0" w:color="auto"/>
      </w:divBdr>
    </w:div>
    <w:div w:id="526212824">
      <w:bodyDiv w:val="1"/>
      <w:marLeft w:val="0"/>
      <w:marRight w:val="0"/>
      <w:marTop w:val="0"/>
      <w:marBottom w:val="0"/>
      <w:divBdr>
        <w:top w:val="none" w:sz="0" w:space="0" w:color="auto"/>
        <w:left w:val="none" w:sz="0" w:space="0" w:color="auto"/>
        <w:bottom w:val="none" w:sz="0" w:space="0" w:color="auto"/>
        <w:right w:val="none" w:sz="0" w:space="0" w:color="auto"/>
      </w:divBdr>
    </w:div>
    <w:div w:id="534460897">
      <w:bodyDiv w:val="1"/>
      <w:marLeft w:val="0"/>
      <w:marRight w:val="0"/>
      <w:marTop w:val="0"/>
      <w:marBottom w:val="0"/>
      <w:divBdr>
        <w:top w:val="none" w:sz="0" w:space="0" w:color="auto"/>
        <w:left w:val="none" w:sz="0" w:space="0" w:color="auto"/>
        <w:bottom w:val="none" w:sz="0" w:space="0" w:color="auto"/>
        <w:right w:val="none" w:sz="0" w:space="0" w:color="auto"/>
      </w:divBdr>
    </w:div>
    <w:div w:id="544950858">
      <w:bodyDiv w:val="1"/>
      <w:marLeft w:val="0"/>
      <w:marRight w:val="0"/>
      <w:marTop w:val="0"/>
      <w:marBottom w:val="0"/>
      <w:divBdr>
        <w:top w:val="none" w:sz="0" w:space="0" w:color="auto"/>
        <w:left w:val="none" w:sz="0" w:space="0" w:color="auto"/>
        <w:bottom w:val="none" w:sz="0" w:space="0" w:color="auto"/>
        <w:right w:val="none" w:sz="0" w:space="0" w:color="auto"/>
      </w:divBdr>
    </w:div>
    <w:div w:id="545877440">
      <w:bodyDiv w:val="1"/>
      <w:marLeft w:val="0"/>
      <w:marRight w:val="0"/>
      <w:marTop w:val="0"/>
      <w:marBottom w:val="0"/>
      <w:divBdr>
        <w:top w:val="none" w:sz="0" w:space="0" w:color="auto"/>
        <w:left w:val="none" w:sz="0" w:space="0" w:color="auto"/>
        <w:bottom w:val="none" w:sz="0" w:space="0" w:color="auto"/>
        <w:right w:val="none" w:sz="0" w:space="0" w:color="auto"/>
      </w:divBdr>
    </w:div>
    <w:div w:id="553784490">
      <w:bodyDiv w:val="1"/>
      <w:marLeft w:val="0"/>
      <w:marRight w:val="0"/>
      <w:marTop w:val="0"/>
      <w:marBottom w:val="0"/>
      <w:divBdr>
        <w:top w:val="none" w:sz="0" w:space="0" w:color="auto"/>
        <w:left w:val="none" w:sz="0" w:space="0" w:color="auto"/>
        <w:bottom w:val="none" w:sz="0" w:space="0" w:color="auto"/>
        <w:right w:val="none" w:sz="0" w:space="0" w:color="auto"/>
      </w:divBdr>
    </w:div>
    <w:div w:id="555632231">
      <w:bodyDiv w:val="1"/>
      <w:marLeft w:val="0"/>
      <w:marRight w:val="0"/>
      <w:marTop w:val="0"/>
      <w:marBottom w:val="0"/>
      <w:divBdr>
        <w:top w:val="none" w:sz="0" w:space="0" w:color="auto"/>
        <w:left w:val="none" w:sz="0" w:space="0" w:color="auto"/>
        <w:bottom w:val="none" w:sz="0" w:space="0" w:color="auto"/>
        <w:right w:val="none" w:sz="0" w:space="0" w:color="auto"/>
      </w:divBdr>
    </w:div>
    <w:div w:id="558905334">
      <w:bodyDiv w:val="1"/>
      <w:marLeft w:val="0"/>
      <w:marRight w:val="0"/>
      <w:marTop w:val="0"/>
      <w:marBottom w:val="0"/>
      <w:divBdr>
        <w:top w:val="none" w:sz="0" w:space="0" w:color="auto"/>
        <w:left w:val="none" w:sz="0" w:space="0" w:color="auto"/>
        <w:bottom w:val="none" w:sz="0" w:space="0" w:color="auto"/>
        <w:right w:val="none" w:sz="0" w:space="0" w:color="auto"/>
      </w:divBdr>
    </w:div>
    <w:div w:id="563369416">
      <w:bodyDiv w:val="1"/>
      <w:marLeft w:val="0"/>
      <w:marRight w:val="0"/>
      <w:marTop w:val="0"/>
      <w:marBottom w:val="0"/>
      <w:divBdr>
        <w:top w:val="none" w:sz="0" w:space="0" w:color="auto"/>
        <w:left w:val="none" w:sz="0" w:space="0" w:color="auto"/>
        <w:bottom w:val="none" w:sz="0" w:space="0" w:color="auto"/>
        <w:right w:val="none" w:sz="0" w:space="0" w:color="auto"/>
      </w:divBdr>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8151963">
      <w:bodyDiv w:val="1"/>
      <w:marLeft w:val="0"/>
      <w:marRight w:val="0"/>
      <w:marTop w:val="0"/>
      <w:marBottom w:val="0"/>
      <w:divBdr>
        <w:top w:val="none" w:sz="0" w:space="0" w:color="auto"/>
        <w:left w:val="none" w:sz="0" w:space="0" w:color="auto"/>
        <w:bottom w:val="none" w:sz="0" w:space="0" w:color="auto"/>
        <w:right w:val="none" w:sz="0" w:space="0" w:color="auto"/>
      </w:divBdr>
    </w:div>
    <w:div w:id="573203243">
      <w:bodyDiv w:val="1"/>
      <w:marLeft w:val="0"/>
      <w:marRight w:val="0"/>
      <w:marTop w:val="0"/>
      <w:marBottom w:val="0"/>
      <w:divBdr>
        <w:top w:val="none" w:sz="0" w:space="0" w:color="auto"/>
        <w:left w:val="none" w:sz="0" w:space="0" w:color="auto"/>
        <w:bottom w:val="none" w:sz="0" w:space="0" w:color="auto"/>
        <w:right w:val="none" w:sz="0" w:space="0" w:color="auto"/>
      </w:divBdr>
    </w:div>
    <w:div w:id="577714740">
      <w:bodyDiv w:val="1"/>
      <w:marLeft w:val="0"/>
      <w:marRight w:val="0"/>
      <w:marTop w:val="0"/>
      <w:marBottom w:val="0"/>
      <w:divBdr>
        <w:top w:val="none" w:sz="0" w:space="0" w:color="auto"/>
        <w:left w:val="none" w:sz="0" w:space="0" w:color="auto"/>
        <w:bottom w:val="none" w:sz="0" w:space="0" w:color="auto"/>
        <w:right w:val="none" w:sz="0" w:space="0" w:color="auto"/>
      </w:divBdr>
    </w:div>
    <w:div w:id="579563764">
      <w:bodyDiv w:val="1"/>
      <w:marLeft w:val="0"/>
      <w:marRight w:val="0"/>
      <w:marTop w:val="0"/>
      <w:marBottom w:val="0"/>
      <w:divBdr>
        <w:top w:val="none" w:sz="0" w:space="0" w:color="auto"/>
        <w:left w:val="none" w:sz="0" w:space="0" w:color="auto"/>
        <w:bottom w:val="none" w:sz="0" w:space="0" w:color="auto"/>
        <w:right w:val="none" w:sz="0" w:space="0" w:color="auto"/>
      </w:divBdr>
    </w:div>
    <w:div w:id="580527699">
      <w:bodyDiv w:val="1"/>
      <w:marLeft w:val="0"/>
      <w:marRight w:val="0"/>
      <w:marTop w:val="0"/>
      <w:marBottom w:val="0"/>
      <w:divBdr>
        <w:top w:val="none" w:sz="0" w:space="0" w:color="auto"/>
        <w:left w:val="none" w:sz="0" w:space="0" w:color="auto"/>
        <w:bottom w:val="none" w:sz="0" w:space="0" w:color="auto"/>
        <w:right w:val="none" w:sz="0" w:space="0" w:color="auto"/>
      </w:divBdr>
      <w:divsChild>
        <w:div w:id="599066275">
          <w:marLeft w:val="0"/>
          <w:marRight w:val="0"/>
          <w:marTop w:val="96"/>
          <w:marBottom w:val="0"/>
          <w:divBdr>
            <w:top w:val="none" w:sz="0" w:space="0" w:color="auto"/>
            <w:left w:val="none" w:sz="0" w:space="0" w:color="auto"/>
            <w:bottom w:val="none" w:sz="0" w:space="0" w:color="auto"/>
            <w:right w:val="none" w:sz="0" w:space="0" w:color="auto"/>
          </w:divBdr>
        </w:div>
      </w:divsChild>
    </w:div>
    <w:div w:id="580874794">
      <w:bodyDiv w:val="1"/>
      <w:marLeft w:val="0"/>
      <w:marRight w:val="0"/>
      <w:marTop w:val="0"/>
      <w:marBottom w:val="0"/>
      <w:divBdr>
        <w:top w:val="none" w:sz="0" w:space="0" w:color="auto"/>
        <w:left w:val="none" w:sz="0" w:space="0" w:color="auto"/>
        <w:bottom w:val="none" w:sz="0" w:space="0" w:color="auto"/>
        <w:right w:val="none" w:sz="0" w:space="0" w:color="auto"/>
      </w:divBdr>
    </w:div>
    <w:div w:id="581765528">
      <w:bodyDiv w:val="1"/>
      <w:marLeft w:val="0"/>
      <w:marRight w:val="0"/>
      <w:marTop w:val="0"/>
      <w:marBottom w:val="0"/>
      <w:divBdr>
        <w:top w:val="none" w:sz="0" w:space="0" w:color="auto"/>
        <w:left w:val="none" w:sz="0" w:space="0" w:color="auto"/>
        <w:bottom w:val="none" w:sz="0" w:space="0" w:color="auto"/>
        <w:right w:val="none" w:sz="0" w:space="0" w:color="auto"/>
      </w:divBdr>
    </w:div>
    <w:div w:id="583496845">
      <w:bodyDiv w:val="1"/>
      <w:marLeft w:val="0"/>
      <w:marRight w:val="0"/>
      <w:marTop w:val="0"/>
      <w:marBottom w:val="0"/>
      <w:divBdr>
        <w:top w:val="none" w:sz="0" w:space="0" w:color="auto"/>
        <w:left w:val="none" w:sz="0" w:space="0" w:color="auto"/>
        <w:bottom w:val="none" w:sz="0" w:space="0" w:color="auto"/>
        <w:right w:val="none" w:sz="0" w:space="0" w:color="auto"/>
      </w:divBdr>
    </w:div>
    <w:div w:id="584654282">
      <w:bodyDiv w:val="1"/>
      <w:marLeft w:val="0"/>
      <w:marRight w:val="0"/>
      <w:marTop w:val="0"/>
      <w:marBottom w:val="0"/>
      <w:divBdr>
        <w:top w:val="none" w:sz="0" w:space="0" w:color="auto"/>
        <w:left w:val="none" w:sz="0" w:space="0" w:color="auto"/>
        <w:bottom w:val="none" w:sz="0" w:space="0" w:color="auto"/>
        <w:right w:val="none" w:sz="0" w:space="0" w:color="auto"/>
      </w:divBdr>
      <w:divsChild>
        <w:div w:id="82117690">
          <w:marLeft w:val="0"/>
          <w:marRight w:val="0"/>
          <w:marTop w:val="34"/>
          <w:marBottom w:val="34"/>
          <w:divBdr>
            <w:top w:val="none" w:sz="0" w:space="0" w:color="auto"/>
            <w:left w:val="none" w:sz="0" w:space="0" w:color="auto"/>
            <w:bottom w:val="none" w:sz="0" w:space="0" w:color="auto"/>
            <w:right w:val="none" w:sz="0" w:space="0" w:color="auto"/>
          </w:divBdr>
        </w:div>
      </w:divsChild>
    </w:div>
    <w:div w:id="585000541">
      <w:bodyDiv w:val="1"/>
      <w:marLeft w:val="0"/>
      <w:marRight w:val="0"/>
      <w:marTop w:val="0"/>
      <w:marBottom w:val="0"/>
      <w:divBdr>
        <w:top w:val="none" w:sz="0" w:space="0" w:color="auto"/>
        <w:left w:val="none" w:sz="0" w:space="0" w:color="auto"/>
        <w:bottom w:val="none" w:sz="0" w:space="0" w:color="auto"/>
        <w:right w:val="none" w:sz="0" w:space="0" w:color="auto"/>
      </w:divBdr>
    </w:div>
    <w:div w:id="591357083">
      <w:bodyDiv w:val="1"/>
      <w:marLeft w:val="0"/>
      <w:marRight w:val="0"/>
      <w:marTop w:val="0"/>
      <w:marBottom w:val="0"/>
      <w:divBdr>
        <w:top w:val="none" w:sz="0" w:space="0" w:color="auto"/>
        <w:left w:val="none" w:sz="0" w:space="0" w:color="auto"/>
        <w:bottom w:val="none" w:sz="0" w:space="0" w:color="auto"/>
        <w:right w:val="none" w:sz="0" w:space="0" w:color="auto"/>
      </w:divBdr>
    </w:div>
    <w:div w:id="593897443">
      <w:bodyDiv w:val="1"/>
      <w:marLeft w:val="0"/>
      <w:marRight w:val="0"/>
      <w:marTop w:val="0"/>
      <w:marBottom w:val="0"/>
      <w:divBdr>
        <w:top w:val="none" w:sz="0" w:space="0" w:color="auto"/>
        <w:left w:val="none" w:sz="0" w:space="0" w:color="auto"/>
        <w:bottom w:val="none" w:sz="0" w:space="0" w:color="auto"/>
        <w:right w:val="none" w:sz="0" w:space="0" w:color="auto"/>
      </w:divBdr>
    </w:div>
    <w:div w:id="601376895">
      <w:bodyDiv w:val="1"/>
      <w:marLeft w:val="0"/>
      <w:marRight w:val="0"/>
      <w:marTop w:val="0"/>
      <w:marBottom w:val="0"/>
      <w:divBdr>
        <w:top w:val="none" w:sz="0" w:space="0" w:color="auto"/>
        <w:left w:val="none" w:sz="0" w:space="0" w:color="auto"/>
        <w:bottom w:val="none" w:sz="0" w:space="0" w:color="auto"/>
        <w:right w:val="none" w:sz="0" w:space="0" w:color="auto"/>
      </w:divBdr>
    </w:div>
    <w:div w:id="620576358">
      <w:bodyDiv w:val="1"/>
      <w:marLeft w:val="0"/>
      <w:marRight w:val="0"/>
      <w:marTop w:val="0"/>
      <w:marBottom w:val="0"/>
      <w:divBdr>
        <w:top w:val="none" w:sz="0" w:space="0" w:color="auto"/>
        <w:left w:val="none" w:sz="0" w:space="0" w:color="auto"/>
        <w:bottom w:val="none" w:sz="0" w:space="0" w:color="auto"/>
        <w:right w:val="none" w:sz="0" w:space="0" w:color="auto"/>
      </w:divBdr>
    </w:div>
    <w:div w:id="621883094">
      <w:bodyDiv w:val="1"/>
      <w:marLeft w:val="0"/>
      <w:marRight w:val="0"/>
      <w:marTop w:val="0"/>
      <w:marBottom w:val="0"/>
      <w:divBdr>
        <w:top w:val="none" w:sz="0" w:space="0" w:color="auto"/>
        <w:left w:val="none" w:sz="0" w:space="0" w:color="auto"/>
        <w:bottom w:val="none" w:sz="0" w:space="0" w:color="auto"/>
        <w:right w:val="none" w:sz="0" w:space="0" w:color="auto"/>
      </w:divBdr>
    </w:div>
    <w:div w:id="640816246">
      <w:bodyDiv w:val="1"/>
      <w:marLeft w:val="0"/>
      <w:marRight w:val="0"/>
      <w:marTop w:val="0"/>
      <w:marBottom w:val="0"/>
      <w:divBdr>
        <w:top w:val="none" w:sz="0" w:space="0" w:color="auto"/>
        <w:left w:val="none" w:sz="0" w:space="0" w:color="auto"/>
        <w:bottom w:val="none" w:sz="0" w:space="0" w:color="auto"/>
        <w:right w:val="none" w:sz="0" w:space="0" w:color="auto"/>
      </w:divBdr>
    </w:div>
    <w:div w:id="642125077">
      <w:bodyDiv w:val="1"/>
      <w:marLeft w:val="0"/>
      <w:marRight w:val="0"/>
      <w:marTop w:val="0"/>
      <w:marBottom w:val="0"/>
      <w:divBdr>
        <w:top w:val="none" w:sz="0" w:space="0" w:color="auto"/>
        <w:left w:val="none" w:sz="0" w:space="0" w:color="auto"/>
        <w:bottom w:val="none" w:sz="0" w:space="0" w:color="auto"/>
        <w:right w:val="none" w:sz="0" w:space="0" w:color="auto"/>
      </w:divBdr>
    </w:div>
    <w:div w:id="642467214">
      <w:bodyDiv w:val="1"/>
      <w:marLeft w:val="0"/>
      <w:marRight w:val="0"/>
      <w:marTop w:val="0"/>
      <w:marBottom w:val="0"/>
      <w:divBdr>
        <w:top w:val="none" w:sz="0" w:space="0" w:color="auto"/>
        <w:left w:val="none" w:sz="0" w:space="0" w:color="auto"/>
        <w:bottom w:val="none" w:sz="0" w:space="0" w:color="auto"/>
        <w:right w:val="none" w:sz="0" w:space="0" w:color="auto"/>
      </w:divBdr>
    </w:div>
    <w:div w:id="649094911">
      <w:bodyDiv w:val="1"/>
      <w:marLeft w:val="0"/>
      <w:marRight w:val="0"/>
      <w:marTop w:val="0"/>
      <w:marBottom w:val="0"/>
      <w:divBdr>
        <w:top w:val="none" w:sz="0" w:space="0" w:color="auto"/>
        <w:left w:val="none" w:sz="0" w:space="0" w:color="auto"/>
        <w:bottom w:val="none" w:sz="0" w:space="0" w:color="auto"/>
        <w:right w:val="none" w:sz="0" w:space="0" w:color="auto"/>
      </w:divBdr>
    </w:div>
    <w:div w:id="663629607">
      <w:bodyDiv w:val="1"/>
      <w:marLeft w:val="0"/>
      <w:marRight w:val="0"/>
      <w:marTop w:val="0"/>
      <w:marBottom w:val="0"/>
      <w:divBdr>
        <w:top w:val="none" w:sz="0" w:space="0" w:color="auto"/>
        <w:left w:val="none" w:sz="0" w:space="0" w:color="auto"/>
        <w:bottom w:val="none" w:sz="0" w:space="0" w:color="auto"/>
        <w:right w:val="none" w:sz="0" w:space="0" w:color="auto"/>
      </w:divBdr>
    </w:div>
    <w:div w:id="680745194">
      <w:bodyDiv w:val="1"/>
      <w:marLeft w:val="0"/>
      <w:marRight w:val="0"/>
      <w:marTop w:val="0"/>
      <w:marBottom w:val="0"/>
      <w:divBdr>
        <w:top w:val="none" w:sz="0" w:space="0" w:color="auto"/>
        <w:left w:val="none" w:sz="0" w:space="0" w:color="auto"/>
        <w:bottom w:val="none" w:sz="0" w:space="0" w:color="auto"/>
        <w:right w:val="none" w:sz="0" w:space="0" w:color="auto"/>
      </w:divBdr>
    </w:div>
    <w:div w:id="683900838">
      <w:bodyDiv w:val="1"/>
      <w:marLeft w:val="0"/>
      <w:marRight w:val="0"/>
      <w:marTop w:val="0"/>
      <w:marBottom w:val="0"/>
      <w:divBdr>
        <w:top w:val="none" w:sz="0" w:space="0" w:color="auto"/>
        <w:left w:val="none" w:sz="0" w:space="0" w:color="auto"/>
        <w:bottom w:val="none" w:sz="0" w:space="0" w:color="auto"/>
        <w:right w:val="none" w:sz="0" w:space="0" w:color="auto"/>
      </w:divBdr>
    </w:div>
    <w:div w:id="689793636">
      <w:bodyDiv w:val="1"/>
      <w:marLeft w:val="0"/>
      <w:marRight w:val="0"/>
      <w:marTop w:val="0"/>
      <w:marBottom w:val="0"/>
      <w:divBdr>
        <w:top w:val="none" w:sz="0" w:space="0" w:color="auto"/>
        <w:left w:val="none" w:sz="0" w:space="0" w:color="auto"/>
        <w:bottom w:val="none" w:sz="0" w:space="0" w:color="auto"/>
        <w:right w:val="none" w:sz="0" w:space="0" w:color="auto"/>
      </w:divBdr>
    </w:div>
    <w:div w:id="701398156">
      <w:bodyDiv w:val="1"/>
      <w:marLeft w:val="0"/>
      <w:marRight w:val="0"/>
      <w:marTop w:val="0"/>
      <w:marBottom w:val="0"/>
      <w:divBdr>
        <w:top w:val="none" w:sz="0" w:space="0" w:color="auto"/>
        <w:left w:val="none" w:sz="0" w:space="0" w:color="auto"/>
        <w:bottom w:val="none" w:sz="0" w:space="0" w:color="auto"/>
        <w:right w:val="none" w:sz="0" w:space="0" w:color="auto"/>
      </w:divBdr>
    </w:div>
    <w:div w:id="706876479">
      <w:bodyDiv w:val="1"/>
      <w:marLeft w:val="0"/>
      <w:marRight w:val="0"/>
      <w:marTop w:val="0"/>
      <w:marBottom w:val="0"/>
      <w:divBdr>
        <w:top w:val="none" w:sz="0" w:space="0" w:color="auto"/>
        <w:left w:val="none" w:sz="0" w:space="0" w:color="auto"/>
        <w:bottom w:val="none" w:sz="0" w:space="0" w:color="auto"/>
        <w:right w:val="none" w:sz="0" w:space="0" w:color="auto"/>
      </w:divBdr>
    </w:div>
    <w:div w:id="727655585">
      <w:bodyDiv w:val="1"/>
      <w:marLeft w:val="0"/>
      <w:marRight w:val="0"/>
      <w:marTop w:val="0"/>
      <w:marBottom w:val="0"/>
      <w:divBdr>
        <w:top w:val="none" w:sz="0" w:space="0" w:color="auto"/>
        <w:left w:val="none" w:sz="0" w:space="0" w:color="auto"/>
        <w:bottom w:val="none" w:sz="0" w:space="0" w:color="auto"/>
        <w:right w:val="none" w:sz="0" w:space="0" w:color="auto"/>
      </w:divBdr>
    </w:div>
    <w:div w:id="735396631">
      <w:bodyDiv w:val="1"/>
      <w:marLeft w:val="0"/>
      <w:marRight w:val="0"/>
      <w:marTop w:val="0"/>
      <w:marBottom w:val="0"/>
      <w:divBdr>
        <w:top w:val="none" w:sz="0" w:space="0" w:color="auto"/>
        <w:left w:val="none" w:sz="0" w:space="0" w:color="auto"/>
        <w:bottom w:val="none" w:sz="0" w:space="0" w:color="auto"/>
        <w:right w:val="none" w:sz="0" w:space="0" w:color="auto"/>
      </w:divBdr>
    </w:div>
    <w:div w:id="740516891">
      <w:bodyDiv w:val="1"/>
      <w:marLeft w:val="0"/>
      <w:marRight w:val="0"/>
      <w:marTop w:val="0"/>
      <w:marBottom w:val="0"/>
      <w:divBdr>
        <w:top w:val="none" w:sz="0" w:space="0" w:color="auto"/>
        <w:left w:val="none" w:sz="0" w:space="0" w:color="auto"/>
        <w:bottom w:val="none" w:sz="0" w:space="0" w:color="auto"/>
        <w:right w:val="none" w:sz="0" w:space="0" w:color="auto"/>
      </w:divBdr>
    </w:div>
    <w:div w:id="746070209">
      <w:bodyDiv w:val="1"/>
      <w:marLeft w:val="0"/>
      <w:marRight w:val="0"/>
      <w:marTop w:val="0"/>
      <w:marBottom w:val="0"/>
      <w:divBdr>
        <w:top w:val="none" w:sz="0" w:space="0" w:color="auto"/>
        <w:left w:val="none" w:sz="0" w:space="0" w:color="auto"/>
        <w:bottom w:val="none" w:sz="0" w:space="0" w:color="auto"/>
        <w:right w:val="none" w:sz="0" w:space="0" w:color="auto"/>
      </w:divBdr>
    </w:div>
    <w:div w:id="751395699">
      <w:bodyDiv w:val="1"/>
      <w:marLeft w:val="0"/>
      <w:marRight w:val="0"/>
      <w:marTop w:val="0"/>
      <w:marBottom w:val="0"/>
      <w:divBdr>
        <w:top w:val="none" w:sz="0" w:space="0" w:color="auto"/>
        <w:left w:val="none" w:sz="0" w:space="0" w:color="auto"/>
        <w:bottom w:val="none" w:sz="0" w:space="0" w:color="auto"/>
        <w:right w:val="none" w:sz="0" w:space="0" w:color="auto"/>
      </w:divBdr>
    </w:div>
    <w:div w:id="763649803">
      <w:bodyDiv w:val="1"/>
      <w:marLeft w:val="0"/>
      <w:marRight w:val="0"/>
      <w:marTop w:val="0"/>
      <w:marBottom w:val="0"/>
      <w:divBdr>
        <w:top w:val="none" w:sz="0" w:space="0" w:color="auto"/>
        <w:left w:val="none" w:sz="0" w:space="0" w:color="auto"/>
        <w:bottom w:val="none" w:sz="0" w:space="0" w:color="auto"/>
        <w:right w:val="none" w:sz="0" w:space="0" w:color="auto"/>
      </w:divBdr>
    </w:div>
    <w:div w:id="765271676">
      <w:bodyDiv w:val="1"/>
      <w:marLeft w:val="0"/>
      <w:marRight w:val="0"/>
      <w:marTop w:val="0"/>
      <w:marBottom w:val="0"/>
      <w:divBdr>
        <w:top w:val="none" w:sz="0" w:space="0" w:color="auto"/>
        <w:left w:val="none" w:sz="0" w:space="0" w:color="auto"/>
        <w:bottom w:val="none" w:sz="0" w:space="0" w:color="auto"/>
        <w:right w:val="none" w:sz="0" w:space="0" w:color="auto"/>
      </w:divBdr>
    </w:div>
    <w:div w:id="771828108">
      <w:bodyDiv w:val="1"/>
      <w:marLeft w:val="0"/>
      <w:marRight w:val="0"/>
      <w:marTop w:val="0"/>
      <w:marBottom w:val="0"/>
      <w:divBdr>
        <w:top w:val="none" w:sz="0" w:space="0" w:color="auto"/>
        <w:left w:val="none" w:sz="0" w:space="0" w:color="auto"/>
        <w:bottom w:val="none" w:sz="0" w:space="0" w:color="auto"/>
        <w:right w:val="none" w:sz="0" w:space="0" w:color="auto"/>
      </w:divBdr>
    </w:div>
    <w:div w:id="775827516">
      <w:bodyDiv w:val="1"/>
      <w:marLeft w:val="0"/>
      <w:marRight w:val="0"/>
      <w:marTop w:val="0"/>
      <w:marBottom w:val="0"/>
      <w:divBdr>
        <w:top w:val="none" w:sz="0" w:space="0" w:color="auto"/>
        <w:left w:val="none" w:sz="0" w:space="0" w:color="auto"/>
        <w:bottom w:val="none" w:sz="0" w:space="0" w:color="auto"/>
        <w:right w:val="none" w:sz="0" w:space="0" w:color="auto"/>
      </w:divBdr>
    </w:div>
    <w:div w:id="779185955">
      <w:bodyDiv w:val="1"/>
      <w:marLeft w:val="0"/>
      <w:marRight w:val="0"/>
      <w:marTop w:val="0"/>
      <w:marBottom w:val="0"/>
      <w:divBdr>
        <w:top w:val="none" w:sz="0" w:space="0" w:color="auto"/>
        <w:left w:val="none" w:sz="0" w:space="0" w:color="auto"/>
        <w:bottom w:val="none" w:sz="0" w:space="0" w:color="auto"/>
        <w:right w:val="none" w:sz="0" w:space="0" w:color="auto"/>
      </w:divBdr>
    </w:div>
    <w:div w:id="781147428">
      <w:bodyDiv w:val="1"/>
      <w:marLeft w:val="0"/>
      <w:marRight w:val="0"/>
      <w:marTop w:val="0"/>
      <w:marBottom w:val="0"/>
      <w:divBdr>
        <w:top w:val="none" w:sz="0" w:space="0" w:color="auto"/>
        <w:left w:val="none" w:sz="0" w:space="0" w:color="auto"/>
        <w:bottom w:val="none" w:sz="0" w:space="0" w:color="auto"/>
        <w:right w:val="none" w:sz="0" w:space="0" w:color="auto"/>
      </w:divBdr>
    </w:div>
    <w:div w:id="802432016">
      <w:bodyDiv w:val="1"/>
      <w:marLeft w:val="0"/>
      <w:marRight w:val="0"/>
      <w:marTop w:val="0"/>
      <w:marBottom w:val="0"/>
      <w:divBdr>
        <w:top w:val="none" w:sz="0" w:space="0" w:color="auto"/>
        <w:left w:val="none" w:sz="0" w:space="0" w:color="auto"/>
        <w:bottom w:val="none" w:sz="0" w:space="0" w:color="auto"/>
        <w:right w:val="none" w:sz="0" w:space="0" w:color="auto"/>
      </w:divBdr>
    </w:div>
    <w:div w:id="805510061">
      <w:bodyDiv w:val="1"/>
      <w:marLeft w:val="0"/>
      <w:marRight w:val="0"/>
      <w:marTop w:val="0"/>
      <w:marBottom w:val="0"/>
      <w:divBdr>
        <w:top w:val="none" w:sz="0" w:space="0" w:color="auto"/>
        <w:left w:val="none" w:sz="0" w:space="0" w:color="auto"/>
        <w:bottom w:val="none" w:sz="0" w:space="0" w:color="auto"/>
        <w:right w:val="none" w:sz="0" w:space="0" w:color="auto"/>
      </w:divBdr>
    </w:div>
    <w:div w:id="820972324">
      <w:bodyDiv w:val="1"/>
      <w:marLeft w:val="0"/>
      <w:marRight w:val="0"/>
      <w:marTop w:val="0"/>
      <w:marBottom w:val="0"/>
      <w:divBdr>
        <w:top w:val="none" w:sz="0" w:space="0" w:color="auto"/>
        <w:left w:val="none" w:sz="0" w:space="0" w:color="auto"/>
        <w:bottom w:val="none" w:sz="0" w:space="0" w:color="auto"/>
        <w:right w:val="none" w:sz="0" w:space="0" w:color="auto"/>
      </w:divBdr>
    </w:div>
    <w:div w:id="824004929">
      <w:bodyDiv w:val="1"/>
      <w:marLeft w:val="0"/>
      <w:marRight w:val="0"/>
      <w:marTop w:val="0"/>
      <w:marBottom w:val="0"/>
      <w:divBdr>
        <w:top w:val="none" w:sz="0" w:space="0" w:color="auto"/>
        <w:left w:val="none" w:sz="0" w:space="0" w:color="auto"/>
        <w:bottom w:val="none" w:sz="0" w:space="0" w:color="auto"/>
        <w:right w:val="none" w:sz="0" w:space="0" w:color="auto"/>
      </w:divBdr>
    </w:div>
    <w:div w:id="857962929">
      <w:bodyDiv w:val="1"/>
      <w:marLeft w:val="0"/>
      <w:marRight w:val="0"/>
      <w:marTop w:val="0"/>
      <w:marBottom w:val="0"/>
      <w:divBdr>
        <w:top w:val="none" w:sz="0" w:space="0" w:color="auto"/>
        <w:left w:val="none" w:sz="0" w:space="0" w:color="auto"/>
        <w:bottom w:val="none" w:sz="0" w:space="0" w:color="auto"/>
        <w:right w:val="none" w:sz="0" w:space="0" w:color="auto"/>
      </w:divBdr>
      <w:divsChild>
        <w:div w:id="1946960383">
          <w:marLeft w:val="0"/>
          <w:marRight w:val="0"/>
          <w:marTop w:val="34"/>
          <w:marBottom w:val="34"/>
          <w:divBdr>
            <w:top w:val="none" w:sz="0" w:space="0" w:color="auto"/>
            <w:left w:val="none" w:sz="0" w:space="0" w:color="auto"/>
            <w:bottom w:val="none" w:sz="0" w:space="0" w:color="auto"/>
            <w:right w:val="none" w:sz="0" w:space="0" w:color="auto"/>
          </w:divBdr>
        </w:div>
        <w:div w:id="2071609733">
          <w:marLeft w:val="0"/>
          <w:marRight w:val="0"/>
          <w:marTop w:val="0"/>
          <w:marBottom w:val="0"/>
          <w:divBdr>
            <w:top w:val="none" w:sz="0" w:space="0" w:color="auto"/>
            <w:left w:val="none" w:sz="0" w:space="0" w:color="auto"/>
            <w:bottom w:val="none" w:sz="0" w:space="0" w:color="auto"/>
            <w:right w:val="none" w:sz="0" w:space="0" w:color="auto"/>
          </w:divBdr>
        </w:div>
      </w:divsChild>
    </w:div>
    <w:div w:id="860320874">
      <w:bodyDiv w:val="1"/>
      <w:marLeft w:val="0"/>
      <w:marRight w:val="0"/>
      <w:marTop w:val="0"/>
      <w:marBottom w:val="0"/>
      <w:divBdr>
        <w:top w:val="none" w:sz="0" w:space="0" w:color="auto"/>
        <w:left w:val="none" w:sz="0" w:space="0" w:color="auto"/>
        <w:bottom w:val="none" w:sz="0" w:space="0" w:color="auto"/>
        <w:right w:val="none" w:sz="0" w:space="0" w:color="auto"/>
      </w:divBdr>
    </w:div>
    <w:div w:id="860508118">
      <w:bodyDiv w:val="1"/>
      <w:marLeft w:val="0"/>
      <w:marRight w:val="0"/>
      <w:marTop w:val="0"/>
      <w:marBottom w:val="0"/>
      <w:divBdr>
        <w:top w:val="none" w:sz="0" w:space="0" w:color="auto"/>
        <w:left w:val="none" w:sz="0" w:space="0" w:color="auto"/>
        <w:bottom w:val="none" w:sz="0" w:space="0" w:color="auto"/>
        <w:right w:val="none" w:sz="0" w:space="0" w:color="auto"/>
      </w:divBdr>
    </w:div>
    <w:div w:id="862325101">
      <w:bodyDiv w:val="1"/>
      <w:marLeft w:val="0"/>
      <w:marRight w:val="0"/>
      <w:marTop w:val="0"/>
      <w:marBottom w:val="0"/>
      <w:divBdr>
        <w:top w:val="none" w:sz="0" w:space="0" w:color="auto"/>
        <w:left w:val="none" w:sz="0" w:space="0" w:color="auto"/>
        <w:bottom w:val="none" w:sz="0" w:space="0" w:color="auto"/>
        <w:right w:val="none" w:sz="0" w:space="0" w:color="auto"/>
      </w:divBdr>
    </w:div>
    <w:div w:id="869805018">
      <w:bodyDiv w:val="1"/>
      <w:marLeft w:val="0"/>
      <w:marRight w:val="0"/>
      <w:marTop w:val="0"/>
      <w:marBottom w:val="0"/>
      <w:divBdr>
        <w:top w:val="none" w:sz="0" w:space="0" w:color="auto"/>
        <w:left w:val="none" w:sz="0" w:space="0" w:color="auto"/>
        <w:bottom w:val="none" w:sz="0" w:space="0" w:color="auto"/>
        <w:right w:val="none" w:sz="0" w:space="0" w:color="auto"/>
      </w:divBdr>
    </w:div>
    <w:div w:id="870412590">
      <w:bodyDiv w:val="1"/>
      <w:marLeft w:val="0"/>
      <w:marRight w:val="0"/>
      <w:marTop w:val="0"/>
      <w:marBottom w:val="0"/>
      <w:divBdr>
        <w:top w:val="none" w:sz="0" w:space="0" w:color="auto"/>
        <w:left w:val="none" w:sz="0" w:space="0" w:color="auto"/>
        <w:bottom w:val="none" w:sz="0" w:space="0" w:color="auto"/>
        <w:right w:val="none" w:sz="0" w:space="0" w:color="auto"/>
      </w:divBdr>
    </w:div>
    <w:div w:id="874000034">
      <w:bodyDiv w:val="1"/>
      <w:marLeft w:val="0"/>
      <w:marRight w:val="0"/>
      <w:marTop w:val="0"/>
      <w:marBottom w:val="0"/>
      <w:divBdr>
        <w:top w:val="none" w:sz="0" w:space="0" w:color="auto"/>
        <w:left w:val="none" w:sz="0" w:space="0" w:color="auto"/>
        <w:bottom w:val="none" w:sz="0" w:space="0" w:color="auto"/>
        <w:right w:val="none" w:sz="0" w:space="0" w:color="auto"/>
      </w:divBdr>
    </w:div>
    <w:div w:id="883910851">
      <w:bodyDiv w:val="1"/>
      <w:marLeft w:val="0"/>
      <w:marRight w:val="0"/>
      <w:marTop w:val="0"/>
      <w:marBottom w:val="0"/>
      <w:divBdr>
        <w:top w:val="none" w:sz="0" w:space="0" w:color="auto"/>
        <w:left w:val="none" w:sz="0" w:space="0" w:color="auto"/>
        <w:bottom w:val="none" w:sz="0" w:space="0" w:color="auto"/>
        <w:right w:val="none" w:sz="0" w:space="0" w:color="auto"/>
      </w:divBdr>
    </w:div>
    <w:div w:id="884945521">
      <w:bodyDiv w:val="1"/>
      <w:marLeft w:val="0"/>
      <w:marRight w:val="0"/>
      <w:marTop w:val="0"/>
      <w:marBottom w:val="0"/>
      <w:divBdr>
        <w:top w:val="none" w:sz="0" w:space="0" w:color="auto"/>
        <w:left w:val="none" w:sz="0" w:space="0" w:color="auto"/>
        <w:bottom w:val="none" w:sz="0" w:space="0" w:color="auto"/>
        <w:right w:val="none" w:sz="0" w:space="0" w:color="auto"/>
      </w:divBdr>
    </w:div>
    <w:div w:id="891190374">
      <w:bodyDiv w:val="1"/>
      <w:marLeft w:val="0"/>
      <w:marRight w:val="0"/>
      <w:marTop w:val="0"/>
      <w:marBottom w:val="0"/>
      <w:divBdr>
        <w:top w:val="none" w:sz="0" w:space="0" w:color="auto"/>
        <w:left w:val="none" w:sz="0" w:space="0" w:color="auto"/>
        <w:bottom w:val="none" w:sz="0" w:space="0" w:color="auto"/>
        <w:right w:val="none" w:sz="0" w:space="0" w:color="auto"/>
      </w:divBdr>
    </w:div>
    <w:div w:id="893083933">
      <w:bodyDiv w:val="1"/>
      <w:marLeft w:val="0"/>
      <w:marRight w:val="0"/>
      <w:marTop w:val="0"/>
      <w:marBottom w:val="0"/>
      <w:divBdr>
        <w:top w:val="none" w:sz="0" w:space="0" w:color="auto"/>
        <w:left w:val="none" w:sz="0" w:space="0" w:color="auto"/>
        <w:bottom w:val="none" w:sz="0" w:space="0" w:color="auto"/>
        <w:right w:val="none" w:sz="0" w:space="0" w:color="auto"/>
      </w:divBdr>
    </w:div>
    <w:div w:id="894390221">
      <w:bodyDiv w:val="1"/>
      <w:marLeft w:val="0"/>
      <w:marRight w:val="0"/>
      <w:marTop w:val="0"/>
      <w:marBottom w:val="0"/>
      <w:divBdr>
        <w:top w:val="none" w:sz="0" w:space="0" w:color="auto"/>
        <w:left w:val="none" w:sz="0" w:space="0" w:color="auto"/>
        <w:bottom w:val="none" w:sz="0" w:space="0" w:color="auto"/>
        <w:right w:val="none" w:sz="0" w:space="0" w:color="auto"/>
      </w:divBdr>
    </w:div>
    <w:div w:id="905607489">
      <w:bodyDiv w:val="1"/>
      <w:marLeft w:val="0"/>
      <w:marRight w:val="0"/>
      <w:marTop w:val="0"/>
      <w:marBottom w:val="0"/>
      <w:divBdr>
        <w:top w:val="none" w:sz="0" w:space="0" w:color="auto"/>
        <w:left w:val="none" w:sz="0" w:space="0" w:color="auto"/>
        <w:bottom w:val="none" w:sz="0" w:space="0" w:color="auto"/>
        <w:right w:val="none" w:sz="0" w:space="0" w:color="auto"/>
      </w:divBdr>
    </w:div>
    <w:div w:id="919172249">
      <w:bodyDiv w:val="1"/>
      <w:marLeft w:val="0"/>
      <w:marRight w:val="0"/>
      <w:marTop w:val="0"/>
      <w:marBottom w:val="0"/>
      <w:divBdr>
        <w:top w:val="none" w:sz="0" w:space="0" w:color="auto"/>
        <w:left w:val="none" w:sz="0" w:space="0" w:color="auto"/>
        <w:bottom w:val="none" w:sz="0" w:space="0" w:color="auto"/>
        <w:right w:val="none" w:sz="0" w:space="0" w:color="auto"/>
      </w:divBdr>
    </w:div>
    <w:div w:id="919488796">
      <w:bodyDiv w:val="1"/>
      <w:marLeft w:val="0"/>
      <w:marRight w:val="0"/>
      <w:marTop w:val="0"/>
      <w:marBottom w:val="0"/>
      <w:divBdr>
        <w:top w:val="none" w:sz="0" w:space="0" w:color="auto"/>
        <w:left w:val="none" w:sz="0" w:space="0" w:color="auto"/>
        <w:bottom w:val="none" w:sz="0" w:space="0" w:color="auto"/>
        <w:right w:val="none" w:sz="0" w:space="0" w:color="auto"/>
      </w:divBdr>
    </w:div>
    <w:div w:id="921720505">
      <w:bodyDiv w:val="1"/>
      <w:marLeft w:val="0"/>
      <w:marRight w:val="0"/>
      <w:marTop w:val="0"/>
      <w:marBottom w:val="0"/>
      <w:divBdr>
        <w:top w:val="none" w:sz="0" w:space="0" w:color="auto"/>
        <w:left w:val="none" w:sz="0" w:space="0" w:color="auto"/>
        <w:bottom w:val="none" w:sz="0" w:space="0" w:color="auto"/>
        <w:right w:val="none" w:sz="0" w:space="0" w:color="auto"/>
      </w:divBdr>
    </w:div>
    <w:div w:id="929241974">
      <w:bodyDiv w:val="1"/>
      <w:marLeft w:val="0"/>
      <w:marRight w:val="0"/>
      <w:marTop w:val="0"/>
      <w:marBottom w:val="0"/>
      <w:divBdr>
        <w:top w:val="none" w:sz="0" w:space="0" w:color="auto"/>
        <w:left w:val="none" w:sz="0" w:space="0" w:color="auto"/>
        <w:bottom w:val="none" w:sz="0" w:space="0" w:color="auto"/>
        <w:right w:val="none" w:sz="0" w:space="0" w:color="auto"/>
      </w:divBdr>
    </w:div>
    <w:div w:id="929657208">
      <w:bodyDiv w:val="1"/>
      <w:marLeft w:val="0"/>
      <w:marRight w:val="0"/>
      <w:marTop w:val="0"/>
      <w:marBottom w:val="0"/>
      <w:divBdr>
        <w:top w:val="none" w:sz="0" w:space="0" w:color="auto"/>
        <w:left w:val="none" w:sz="0" w:space="0" w:color="auto"/>
        <w:bottom w:val="none" w:sz="0" w:space="0" w:color="auto"/>
        <w:right w:val="none" w:sz="0" w:space="0" w:color="auto"/>
      </w:divBdr>
    </w:div>
    <w:div w:id="936715412">
      <w:bodyDiv w:val="1"/>
      <w:marLeft w:val="0"/>
      <w:marRight w:val="0"/>
      <w:marTop w:val="0"/>
      <w:marBottom w:val="0"/>
      <w:divBdr>
        <w:top w:val="none" w:sz="0" w:space="0" w:color="auto"/>
        <w:left w:val="none" w:sz="0" w:space="0" w:color="auto"/>
        <w:bottom w:val="none" w:sz="0" w:space="0" w:color="auto"/>
        <w:right w:val="none" w:sz="0" w:space="0" w:color="auto"/>
      </w:divBdr>
    </w:div>
    <w:div w:id="936909988">
      <w:bodyDiv w:val="1"/>
      <w:marLeft w:val="0"/>
      <w:marRight w:val="0"/>
      <w:marTop w:val="0"/>
      <w:marBottom w:val="0"/>
      <w:divBdr>
        <w:top w:val="none" w:sz="0" w:space="0" w:color="auto"/>
        <w:left w:val="none" w:sz="0" w:space="0" w:color="auto"/>
        <w:bottom w:val="none" w:sz="0" w:space="0" w:color="auto"/>
        <w:right w:val="none" w:sz="0" w:space="0" w:color="auto"/>
      </w:divBdr>
    </w:div>
    <w:div w:id="937756597">
      <w:bodyDiv w:val="1"/>
      <w:marLeft w:val="0"/>
      <w:marRight w:val="0"/>
      <w:marTop w:val="0"/>
      <w:marBottom w:val="0"/>
      <w:divBdr>
        <w:top w:val="none" w:sz="0" w:space="0" w:color="auto"/>
        <w:left w:val="none" w:sz="0" w:space="0" w:color="auto"/>
        <w:bottom w:val="none" w:sz="0" w:space="0" w:color="auto"/>
        <w:right w:val="none" w:sz="0" w:space="0" w:color="auto"/>
      </w:divBdr>
    </w:div>
    <w:div w:id="938099960">
      <w:bodyDiv w:val="1"/>
      <w:marLeft w:val="0"/>
      <w:marRight w:val="0"/>
      <w:marTop w:val="0"/>
      <w:marBottom w:val="0"/>
      <w:divBdr>
        <w:top w:val="none" w:sz="0" w:space="0" w:color="auto"/>
        <w:left w:val="none" w:sz="0" w:space="0" w:color="auto"/>
        <w:bottom w:val="none" w:sz="0" w:space="0" w:color="auto"/>
        <w:right w:val="none" w:sz="0" w:space="0" w:color="auto"/>
      </w:divBdr>
    </w:div>
    <w:div w:id="940142167">
      <w:bodyDiv w:val="1"/>
      <w:marLeft w:val="0"/>
      <w:marRight w:val="0"/>
      <w:marTop w:val="0"/>
      <w:marBottom w:val="0"/>
      <w:divBdr>
        <w:top w:val="none" w:sz="0" w:space="0" w:color="auto"/>
        <w:left w:val="none" w:sz="0" w:space="0" w:color="auto"/>
        <w:bottom w:val="none" w:sz="0" w:space="0" w:color="auto"/>
        <w:right w:val="none" w:sz="0" w:space="0" w:color="auto"/>
      </w:divBdr>
    </w:div>
    <w:div w:id="942032449">
      <w:bodyDiv w:val="1"/>
      <w:marLeft w:val="0"/>
      <w:marRight w:val="0"/>
      <w:marTop w:val="0"/>
      <w:marBottom w:val="0"/>
      <w:divBdr>
        <w:top w:val="none" w:sz="0" w:space="0" w:color="auto"/>
        <w:left w:val="none" w:sz="0" w:space="0" w:color="auto"/>
        <w:bottom w:val="none" w:sz="0" w:space="0" w:color="auto"/>
        <w:right w:val="none" w:sz="0" w:space="0" w:color="auto"/>
      </w:divBdr>
    </w:div>
    <w:div w:id="946617577">
      <w:bodyDiv w:val="1"/>
      <w:marLeft w:val="0"/>
      <w:marRight w:val="0"/>
      <w:marTop w:val="0"/>
      <w:marBottom w:val="0"/>
      <w:divBdr>
        <w:top w:val="none" w:sz="0" w:space="0" w:color="auto"/>
        <w:left w:val="none" w:sz="0" w:space="0" w:color="auto"/>
        <w:bottom w:val="none" w:sz="0" w:space="0" w:color="auto"/>
        <w:right w:val="none" w:sz="0" w:space="0" w:color="auto"/>
      </w:divBdr>
    </w:div>
    <w:div w:id="956713332">
      <w:bodyDiv w:val="1"/>
      <w:marLeft w:val="0"/>
      <w:marRight w:val="0"/>
      <w:marTop w:val="0"/>
      <w:marBottom w:val="0"/>
      <w:divBdr>
        <w:top w:val="none" w:sz="0" w:space="0" w:color="auto"/>
        <w:left w:val="none" w:sz="0" w:space="0" w:color="auto"/>
        <w:bottom w:val="none" w:sz="0" w:space="0" w:color="auto"/>
        <w:right w:val="none" w:sz="0" w:space="0" w:color="auto"/>
      </w:divBdr>
    </w:div>
    <w:div w:id="965356992">
      <w:bodyDiv w:val="1"/>
      <w:marLeft w:val="0"/>
      <w:marRight w:val="0"/>
      <w:marTop w:val="0"/>
      <w:marBottom w:val="0"/>
      <w:divBdr>
        <w:top w:val="none" w:sz="0" w:space="0" w:color="auto"/>
        <w:left w:val="none" w:sz="0" w:space="0" w:color="auto"/>
        <w:bottom w:val="none" w:sz="0" w:space="0" w:color="auto"/>
        <w:right w:val="none" w:sz="0" w:space="0" w:color="auto"/>
      </w:divBdr>
    </w:div>
    <w:div w:id="971208314">
      <w:bodyDiv w:val="1"/>
      <w:marLeft w:val="0"/>
      <w:marRight w:val="0"/>
      <w:marTop w:val="0"/>
      <w:marBottom w:val="0"/>
      <w:divBdr>
        <w:top w:val="none" w:sz="0" w:space="0" w:color="auto"/>
        <w:left w:val="none" w:sz="0" w:space="0" w:color="auto"/>
        <w:bottom w:val="none" w:sz="0" w:space="0" w:color="auto"/>
        <w:right w:val="none" w:sz="0" w:space="0" w:color="auto"/>
      </w:divBdr>
    </w:div>
    <w:div w:id="974989215">
      <w:bodyDiv w:val="1"/>
      <w:marLeft w:val="0"/>
      <w:marRight w:val="0"/>
      <w:marTop w:val="0"/>
      <w:marBottom w:val="0"/>
      <w:divBdr>
        <w:top w:val="none" w:sz="0" w:space="0" w:color="auto"/>
        <w:left w:val="none" w:sz="0" w:space="0" w:color="auto"/>
        <w:bottom w:val="none" w:sz="0" w:space="0" w:color="auto"/>
        <w:right w:val="none" w:sz="0" w:space="0" w:color="auto"/>
      </w:divBdr>
    </w:div>
    <w:div w:id="992220292">
      <w:bodyDiv w:val="1"/>
      <w:marLeft w:val="0"/>
      <w:marRight w:val="0"/>
      <w:marTop w:val="0"/>
      <w:marBottom w:val="0"/>
      <w:divBdr>
        <w:top w:val="none" w:sz="0" w:space="0" w:color="auto"/>
        <w:left w:val="none" w:sz="0" w:space="0" w:color="auto"/>
        <w:bottom w:val="none" w:sz="0" w:space="0" w:color="auto"/>
        <w:right w:val="none" w:sz="0" w:space="0" w:color="auto"/>
      </w:divBdr>
    </w:div>
    <w:div w:id="999843465">
      <w:bodyDiv w:val="1"/>
      <w:marLeft w:val="0"/>
      <w:marRight w:val="0"/>
      <w:marTop w:val="0"/>
      <w:marBottom w:val="0"/>
      <w:divBdr>
        <w:top w:val="none" w:sz="0" w:space="0" w:color="auto"/>
        <w:left w:val="none" w:sz="0" w:space="0" w:color="auto"/>
        <w:bottom w:val="none" w:sz="0" w:space="0" w:color="auto"/>
        <w:right w:val="none" w:sz="0" w:space="0" w:color="auto"/>
      </w:divBdr>
    </w:div>
    <w:div w:id="1005523521">
      <w:bodyDiv w:val="1"/>
      <w:marLeft w:val="0"/>
      <w:marRight w:val="0"/>
      <w:marTop w:val="0"/>
      <w:marBottom w:val="0"/>
      <w:divBdr>
        <w:top w:val="none" w:sz="0" w:space="0" w:color="auto"/>
        <w:left w:val="none" w:sz="0" w:space="0" w:color="auto"/>
        <w:bottom w:val="none" w:sz="0" w:space="0" w:color="auto"/>
        <w:right w:val="none" w:sz="0" w:space="0" w:color="auto"/>
      </w:divBdr>
    </w:div>
    <w:div w:id="1008868208">
      <w:bodyDiv w:val="1"/>
      <w:marLeft w:val="0"/>
      <w:marRight w:val="0"/>
      <w:marTop w:val="0"/>
      <w:marBottom w:val="0"/>
      <w:divBdr>
        <w:top w:val="none" w:sz="0" w:space="0" w:color="auto"/>
        <w:left w:val="none" w:sz="0" w:space="0" w:color="auto"/>
        <w:bottom w:val="none" w:sz="0" w:space="0" w:color="auto"/>
        <w:right w:val="none" w:sz="0" w:space="0" w:color="auto"/>
      </w:divBdr>
    </w:div>
    <w:div w:id="1012536954">
      <w:bodyDiv w:val="1"/>
      <w:marLeft w:val="0"/>
      <w:marRight w:val="0"/>
      <w:marTop w:val="0"/>
      <w:marBottom w:val="0"/>
      <w:divBdr>
        <w:top w:val="none" w:sz="0" w:space="0" w:color="auto"/>
        <w:left w:val="none" w:sz="0" w:space="0" w:color="auto"/>
        <w:bottom w:val="none" w:sz="0" w:space="0" w:color="auto"/>
        <w:right w:val="none" w:sz="0" w:space="0" w:color="auto"/>
      </w:divBdr>
      <w:divsChild>
        <w:div w:id="1593971076">
          <w:marLeft w:val="0"/>
          <w:marRight w:val="0"/>
          <w:marTop w:val="34"/>
          <w:marBottom w:val="34"/>
          <w:divBdr>
            <w:top w:val="none" w:sz="0" w:space="0" w:color="auto"/>
            <w:left w:val="none" w:sz="0" w:space="0" w:color="auto"/>
            <w:bottom w:val="none" w:sz="0" w:space="0" w:color="auto"/>
            <w:right w:val="none" w:sz="0" w:space="0" w:color="auto"/>
          </w:divBdr>
        </w:div>
        <w:div w:id="1966425795">
          <w:marLeft w:val="0"/>
          <w:marRight w:val="0"/>
          <w:marTop w:val="0"/>
          <w:marBottom w:val="0"/>
          <w:divBdr>
            <w:top w:val="none" w:sz="0" w:space="0" w:color="auto"/>
            <w:left w:val="none" w:sz="0" w:space="0" w:color="auto"/>
            <w:bottom w:val="none" w:sz="0" w:space="0" w:color="auto"/>
            <w:right w:val="none" w:sz="0" w:space="0" w:color="auto"/>
          </w:divBdr>
        </w:div>
      </w:divsChild>
    </w:div>
    <w:div w:id="1017656029">
      <w:bodyDiv w:val="1"/>
      <w:marLeft w:val="0"/>
      <w:marRight w:val="0"/>
      <w:marTop w:val="0"/>
      <w:marBottom w:val="0"/>
      <w:divBdr>
        <w:top w:val="none" w:sz="0" w:space="0" w:color="auto"/>
        <w:left w:val="none" w:sz="0" w:space="0" w:color="auto"/>
        <w:bottom w:val="none" w:sz="0" w:space="0" w:color="auto"/>
        <w:right w:val="none" w:sz="0" w:space="0" w:color="auto"/>
      </w:divBdr>
    </w:div>
    <w:div w:id="1018582852">
      <w:bodyDiv w:val="1"/>
      <w:marLeft w:val="0"/>
      <w:marRight w:val="0"/>
      <w:marTop w:val="0"/>
      <w:marBottom w:val="0"/>
      <w:divBdr>
        <w:top w:val="none" w:sz="0" w:space="0" w:color="auto"/>
        <w:left w:val="none" w:sz="0" w:space="0" w:color="auto"/>
        <w:bottom w:val="none" w:sz="0" w:space="0" w:color="auto"/>
        <w:right w:val="none" w:sz="0" w:space="0" w:color="auto"/>
      </w:divBdr>
    </w:div>
    <w:div w:id="1020090045">
      <w:bodyDiv w:val="1"/>
      <w:marLeft w:val="0"/>
      <w:marRight w:val="0"/>
      <w:marTop w:val="0"/>
      <w:marBottom w:val="0"/>
      <w:divBdr>
        <w:top w:val="none" w:sz="0" w:space="0" w:color="auto"/>
        <w:left w:val="none" w:sz="0" w:space="0" w:color="auto"/>
        <w:bottom w:val="none" w:sz="0" w:space="0" w:color="auto"/>
        <w:right w:val="none" w:sz="0" w:space="0" w:color="auto"/>
      </w:divBdr>
    </w:div>
    <w:div w:id="1020856934">
      <w:bodyDiv w:val="1"/>
      <w:marLeft w:val="0"/>
      <w:marRight w:val="0"/>
      <w:marTop w:val="0"/>
      <w:marBottom w:val="0"/>
      <w:divBdr>
        <w:top w:val="none" w:sz="0" w:space="0" w:color="auto"/>
        <w:left w:val="none" w:sz="0" w:space="0" w:color="auto"/>
        <w:bottom w:val="none" w:sz="0" w:space="0" w:color="auto"/>
        <w:right w:val="none" w:sz="0" w:space="0" w:color="auto"/>
      </w:divBdr>
    </w:div>
    <w:div w:id="1029062962">
      <w:bodyDiv w:val="1"/>
      <w:marLeft w:val="0"/>
      <w:marRight w:val="0"/>
      <w:marTop w:val="0"/>
      <w:marBottom w:val="0"/>
      <w:divBdr>
        <w:top w:val="none" w:sz="0" w:space="0" w:color="auto"/>
        <w:left w:val="none" w:sz="0" w:space="0" w:color="auto"/>
        <w:bottom w:val="none" w:sz="0" w:space="0" w:color="auto"/>
        <w:right w:val="none" w:sz="0" w:space="0" w:color="auto"/>
      </w:divBdr>
    </w:div>
    <w:div w:id="1030716116">
      <w:bodyDiv w:val="1"/>
      <w:marLeft w:val="0"/>
      <w:marRight w:val="0"/>
      <w:marTop w:val="0"/>
      <w:marBottom w:val="0"/>
      <w:divBdr>
        <w:top w:val="none" w:sz="0" w:space="0" w:color="auto"/>
        <w:left w:val="none" w:sz="0" w:space="0" w:color="auto"/>
        <w:bottom w:val="none" w:sz="0" w:space="0" w:color="auto"/>
        <w:right w:val="none" w:sz="0" w:space="0" w:color="auto"/>
      </w:divBdr>
    </w:div>
    <w:div w:id="1044910223">
      <w:bodyDiv w:val="1"/>
      <w:marLeft w:val="0"/>
      <w:marRight w:val="0"/>
      <w:marTop w:val="0"/>
      <w:marBottom w:val="0"/>
      <w:divBdr>
        <w:top w:val="none" w:sz="0" w:space="0" w:color="auto"/>
        <w:left w:val="none" w:sz="0" w:space="0" w:color="auto"/>
        <w:bottom w:val="none" w:sz="0" w:space="0" w:color="auto"/>
        <w:right w:val="none" w:sz="0" w:space="0" w:color="auto"/>
      </w:divBdr>
    </w:div>
    <w:div w:id="1045064202">
      <w:bodyDiv w:val="1"/>
      <w:marLeft w:val="0"/>
      <w:marRight w:val="0"/>
      <w:marTop w:val="0"/>
      <w:marBottom w:val="0"/>
      <w:divBdr>
        <w:top w:val="none" w:sz="0" w:space="0" w:color="auto"/>
        <w:left w:val="none" w:sz="0" w:space="0" w:color="auto"/>
        <w:bottom w:val="none" w:sz="0" w:space="0" w:color="auto"/>
        <w:right w:val="none" w:sz="0" w:space="0" w:color="auto"/>
      </w:divBdr>
    </w:div>
    <w:div w:id="1045642956">
      <w:bodyDiv w:val="1"/>
      <w:marLeft w:val="0"/>
      <w:marRight w:val="0"/>
      <w:marTop w:val="0"/>
      <w:marBottom w:val="0"/>
      <w:divBdr>
        <w:top w:val="none" w:sz="0" w:space="0" w:color="auto"/>
        <w:left w:val="none" w:sz="0" w:space="0" w:color="auto"/>
        <w:bottom w:val="none" w:sz="0" w:space="0" w:color="auto"/>
        <w:right w:val="none" w:sz="0" w:space="0" w:color="auto"/>
      </w:divBdr>
      <w:divsChild>
        <w:div w:id="1215046002">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0"/>
          <w:marBottom w:val="0"/>
          <w:divBdr>
            <w:top w:val="none" w:sz="0" w:space="0" w:color="auto"/>
            <w:left w:val="none" w:sz="0" w:space="0" w:color="auto"/>
            <w:bottom w:val="none" w:sz="0" w:space="0" w:color="auto"/>
            <w:right w:val="none" w:sz="0" w:space="0" w:color="auto"/>
          </w:divBdr>
        </w:div>
        <w:div w:id="1420252336">
          <w:marLeft w:val="0"/>
          <w:marRight w:val="0"/>
          <w:marTop w:val="0"/>
          <w:marBottom w:val="0"/>
          <w:divBdr>
            <w:top w:val="none" w:sz="0" w:space="0" w:color="auto"/>
            <w:left w:val="none" w:sz="0" w:space="0" w:color="auto"/>
            <w:bottom w:val="none" w:sz="0" w:space="0" w:color="auto"/>
            <w:right w:val="none" w:sz="0" w:space="0" w:color="auto"/>
          </w:divBdr>
        </w:div>
        <w:div w:id="1923026825">
          <w:marLeft w:val="0"/>
          <w:marRight w:val="0"/>
          <w:marTop w:val="0"/>
          <w:marBottom w:val="0"/>
          <w:divBdr>
            <w:top w:val="none" w:sz="0" w:space="0" w:color="auto"/>
            <w:left w:val="none" w:sz="0" w:space="0" w:color="auto"/>
            <w:bottom w:val="none" w:sz="0" w:space="0" w:color="auto"/>
            <w:right w:val="none" w:sz="0" w:space="0" w:color="auto"/>
          </w:divBdr>
        </w:div>
        <w:div w:id="2128696398">
          <w:marLeft w:val="0"/>
          <w:marRight w:val="0"/>
          <w:marTop w:val="0"/>
          <w:marBottom w:val="0"/>
          <w:divBdr>
            <w:top w:val="none" w:sz="0" w:space="0" w:color="auto"/>
            <w:left w:val="none" w:sz="0" w:space="0" w:color="auto"/>
            <w:bottom w:val="none" w:sz="0" w:space="0" w:color="auto"/>
            <w:right w:val="none" w:sz="0" w:space="0" w:color="auto"/>
          </w:divBdr>
        </w:div>
        <w:div w:id="1464229479">
          <w:marLeft w:val="0"/>
          <w:marRight w:val="0"/>
          <w:marTop w:val="0"/>
          <w:marBottom w:val="0"/>
          <w:divBdr>
            <w:top w:val="none" w:sz="0" w:space="0" w:color="auto"/>
            <w:left w:val="none" w:sz="0" w:space="0" w:color="auto"/>
            <w:bottom w:val="none" w:sz="0" w:space="0" w:color="auto"/>
            <w:right w:val="none" w:sz="0" w:space="0" w:color="auto"/>
          </w:divBdr>
        </w:div>
        <w:div w:id="747002098">
          <w:marLeft w:val="0"/>
          <w:marRight w:val="0"/>
          <w:marTop w:val="0"/>
          <w:marBottom w:val="0"/>
          <w:divBdr>
            <w:top w:val="none" w:sz="0" w:space="0" w:color="auto"/>
            <w:left w:val="none" w:sz="0" w:space="0" w:color="auto"/>
            <w:bottom w:val="none" w:sz="0" w:space="0" w:color="auto"/>
            <w:right w:val="none" w:sz="0" w:space="0" w:color="auto"/>
          </w:divBdr>
        </w:div>
        <w:div w:id="1834685413">
          <w:marLeft w:val="0"/>
          <w:marRight w:val="0"/>
          <w:marTop w:val="0"/>
          <w:marBottom w:val="0"/>
          <w:divBdr>
            <w:top w:val="none" w:sz="0" w:space="0" w:color="auto"/>
            <w:left w:val="none" w:sz="0" w:space="0" w:color="auto"/>
            <w:bottom w:val="none" w:sz="0" w:space="0" w:color="auto"/>
            <w:right w:val="none" w:sz="0" w:space="0" w:color="auto"/>
          </w:divBdr>
        </w:div>
        <w:div w:id="1379091939">
          <w:marLeft w:val="0"/>
          <w:marRight w:val="0"/>
          <w:marTop w:val="0"/>
          <w:marBottom w:val="0"/>
          <w:divBdr>
            <w:top w:val="none" w:sz="0" w:space="0" w:color="auto"/>
            <w:left w:val="none" w:sz="0" w:space="0" w:color="auto"/>
            <w:bottom w:val="none" w:sz="0" w:space="0" w:color="auto"/>
            <w:right w:val="none" w:sz="0" w:space="0" w:color="auto"/>
          </w:divBdr>
        </w:div>
        <w:div w:id="646787671">
          <w:marLeft w:val="0"/>
          <w:marRight w:val="0"/>
          <w:marTop w:val="0"/>
          <w:marBottom w:val="0"/>
          <w:divBdr>
            <w:top w:val="none" w:sz="0" w:space="0" w:color="auto"/>
            <w:left w:val="none" w:sz="0" w:space="0" w:color="auto"/>
            <w:bottom w:val="none" w:sz="0" w:space="0" w:color="auto"/>
            <w:right w:val="none" w:sz="0" w:space="0" w:color="auto"/>
          </w:divBdr>
        </w:div>
      </w:divsChild>
    </w:div>
    <w:div w:id="1055853192">
      <w:bodyDiv w:val="1"/>
      <w:marLeft w:val="0"/>
      <w:marRight w:val="0"/>
      <w:marTop w:val="0"/>
      <w:marBottom w:val="0"/>
      <w:divBdr>
        <w:top w:val="none" w:sz="0" w:space="0" w:color="auto"/>
        <w:left w:val="none" w:sz="0" w:space="0" w:color="auto"/>
        <w:bottom w:val="none" w:sz="0" w:space="0" w:color="auto"/>
        <w:right w:val="none" w:sz="0" w:space="0" w:color="auto"/>
      </w:divBdr>
    </w:div>
    <w:div w:id="1058746804">
      <w:bodyDiv w:val="1"/>
      <w:marLeft w:val="0"/>
      <w:marRight w:val="0"/>
      <w:marTop w:val="0"/>
      <w:marBottom w:val="0"/>
      <w:divBdr>
        <w:top w:val="none" w:sz="0" w:space="0" w:color="auto"/>
        <w:left w:val="none" w:sz="0" w:space="0" w:color="auto"/>
        <w:bottom w:val="none" w:sz="0" w:space="0" w:color="auto"/>
        <w:right w:val="none" w:sz="0" w:space="0" w:color="auto"/>
      </w:divBdr>
    </w:div>
    <w:div w:id="1065687762">
      <w:bodyDiv w:val="1"/>
      <w:marLeft w:val="0"/>
      <w:marRight w:val="0"/>
      <w:marTop w:val="0"/>
      <w:marBottom w:val="0"/>
      <w:divBdr>
        <w:top w:val="none" w:sz="0" w:space="0" w:color="auto"/>
        <w:left w:val="none" w:sz="0" w:space="0" w:color="auto"/>
        <w:bottom w:val="none" w:sz="0" w:space="0" w:color="auto"/>
        <w:right w:val="none" w:sz="0" w:space="0" w:color="auto"/>
      </w:divBdr>
    </w:div>
    <w:div w:id="1067269496">
      <w:bodyDiv w:val="1"/>
      <w:marLeft w:val="0"/>
      <w:marRight w:val="0"/>
      <w:marTop w:val="0"/>
      <w:marBottom w:val="0"/>
      <w:divBdr>
        <w:top w:val="none" w:sz="0" w:space="0" w:color="auto"/>
        <w:left w:val="none" w:sz="0" w:space="0" w:color="auto"/>
        <w:bottom w:val="none" w:sz="0" w:space="0" w:color="auto"/>
        <w:right w:val="none" w:sz="0" w:space="0" w:color="auto"/>
      </w:divBdr>
    </w:div>
    <w:div w:id="1071583134">
      <w:bodyDiv w:val="1"/>
      <w:marLeft w:val="0"/>
      <w:marRight w:val="0"/>
      <w:marTop w:val="0"/>
      <w:marBottom w:val="0"/>
      <w:divBdr>
        <w:top w:val="none" w:sz="0" w:space="0" w:color="auto"/>
        <w:left w:val="none" w:sz="0" w:space="0" w:color="auto"/>
        <w:bottom w:val="none" w:sz="0" w:space="0" w:color="auto"/>
        <w:right w:val="none" w:sz="0" w:space="0" w:color="auto"/>
      </w:divBdr>
    </w:div>
    <w:div w:id="1072195044">
      <w:bodyDiv w:val="1"/>
      <w:marLeft w:val="0"/>
      <w:marRight w:val="0"/>
      <w:marTop w:val="0"/>
      <w:marBottom w:val="0"/>
      <w:divBdr>
        <w:top w:val="none" w:sz="0" w:space="0" w:color="auto"/>
        <w:left w:val="none" w:sz="0" w:space="0" w:color="auto"/>
        <w:bottom w:val="none" w:sz="0" w:space="0" w:color="auto"/>
        <w:right w:val="none" w:sz="0" w:space="0" w:color="auto"/>
      </w:divBdr>
    </w:div>
    <w:div w:id="1081870310">
      <w:bodyDiv w:val="1"/>
      <w:marLeft w:val="0"/>
      <w:marRight w:val="0"/>
      <w:marTop w:val="0"/>
      <w:marBottom w:val="0"/>
      <w:divBdr>
        <w:top w:val="none" w:sz="0" w:space="0" w:color="auto"/>
        <w:left w:val="none" w:sz="0" w:space="0" w:color="auto"/>
        <w:bottom w:val="none" w:sz="0" w:space="0" w:color="auto"/>
        <w:right w:val="none" w:sz="0" w:space="0" w:color="auto"/>
      </w:divBdr>
    </w:div>
    <w:div w:id="1088422102">
      <w:bodyDiv w:val="1"/>
      <w:marLeft w:val="0"/>
      <w:marRight w:val="0"/>
      <w:marTop w:val="0"/>
      <w:marBottom w:val="0"/>
      <w:divBdr>
        <w:top w:val="none" w:sz="0" w:space="0" w:color="auto"/>
        <w:left w:val="none" w:sz="0" w:space="0" w:color="auto"/>
        <w:bottom w:val="none" w:sz="0" w:space="0" w:color="auto"/>
        <w:right w:val="none" w:sz="0" w:space="0" w:color="auto"/>
      </w:divBdr>
    </w:div>
    <w:div w:id="1092966317">
      <w:bodyDiv w:val="1"/>
      <w:marLeft w:val="0"/>
      <w:marRight w:val="0"/>
      <w:marTop w:val="0"/>
      <w:marBottom w:val="0"/>
      <w:divBdr>
        <w:top w:val="none" w:sz="0" w:space="0" w:color="auto"/>
        <w:left w:val="none" w:sz="0" w:space="0" w:color="auto"/>
        <w:bottom w:val="none" w:sz="0" w:space="0" w:color="auto"/>
        <w:right w:val="none" w:sz="0" w:space="0" w:color="auto"/>
      </w:divBdr>
    </w:div>
    <w:div w:id="1096704499">
      <w:bodyDiv w:val="1"/>
      <w:marLeft w:val="0"/>
      <w:marRight w:val="0"/>
      <w:marTop w:val="0"/>
      <w:marBottom w:val="0"/>
      <w:divBdr>
        <w:top w:val="none" w:sz="0" w:space="0" w:color="auto"/>
        <w:left w:val="none" w:sz="0" w:space="0" w:color="auto"/>
        <w:bottom w:val="none" w:sz="0" w:space="0" w:color="auto"/>
        <w:right w:val="none" w:sz="0" w:space="0" w:color="auto"/>
      </w:divBdr>
    </w:div>
    <w:div w:id="1105030695">
      <w:bodyDiv w:val="1"/>
      <w:marLeft w:val="0"/>
      <w:marRight w:val="0"/>
      <w:marTop w:val="0"/>
      <w:marBottom w:val="0"/>
      <w:divBdr>
        <w:top w:val="none" w:sz="0" w:space="0" w:color="auto"/>
        <w:left w:val="none" w:sz="0" w:space="0" w:color="auto"/>
        <w:bottom w:val="none" w:sz="0" w:space="0" w:color="auto"/>
        <w:right w:val="none" w:sz="0" w:space="0" w:color="auto"/>
      </w:divBdr>
    </w:div>
    <w:div w:id="1106466784">
      <w:bodyDiv w:val="1"/>
      <w:marLeft w:val="0"/>
      <w:marRight w:val="0"/>
      <w:marTop w:val="0"/>
      <w:marBottom w:val="0"/>
      <w:divBdr>
        <w:top w:val="none" w:sz="0" w:space="0" w:color="auto"/>
        <w:left w:val="none" w:sz="0" w:space="0" w:color="auto"/>
        <w:bottom w:val="none" w:sz="0" w:space="0" w:color="auto"/>
        <w:right w:val="none" w:sz="0" w:space="0" w:color="auto"/>
      </w:divBdr>
    </w:div>
    <w:div w:id="1124227070">
      <w:bodyDiv w:val="1"/>
      <w:marLeft w:val="0"/>
      <w:marRight w:val="0"/>
      <w:marTop w:val="0"/>
      <w:marBottom w:val="0"/>
      <w:divBdr>
        <w:top w:val="none" w:sz="0" w:space="0" w:color="auto"/>
        <w:left w:val="none" w:sz="0" w:space="0" w:color="auto"/>
        <w:bottom w:val="none" w:sz="0" w:space="0" w:color="auto"/>
        <w:right w:val="none" w:sz="0" w:space="0" w:color="auto"/>
      </w:divBdr>
    </w:div>
    <w:div w:id="1126242529">
      <w:bodyDiv w:val="1"/>
      <w:marLeft w:val="0"/>
      <w:marRight w:val="0"/>
      <w:marTop w:val="0"/>
      <w:marBottom w:val="0"/>
      <w:divBdr>
        <w:top w:val="none" w:sz="0" w:space="0" w:color="auto"/>
        <w:left w:val="none" w:sz="0" w:space="0" w:color="auto"/>
        <w:bottom w:val="none" w:sz="0" w:space="0" w:color="auto"/>
        <w:right w:val="none" w:sz="0" w:space="0" w:color="auto"/>
      </w:divBdr>
      <w:divsChild>
        <w:div w:id="1887447661">
          <w:marLeft w:val="0"/>
          <w:marRight w:val="0"/>
          <w:marTop w:val="34"/>
          <w:marBottom w:val="34"/>
          <w:divBdr>
            <w:top w:val="none" w:sz="0" w:space="0" w:color="auto"/>
            <w:left w:val="none" w:sz="0" w:space="0" w:color="auto"/>
            <w:bottom w:val="none" w:sz="0" w:space="0" w:color="auto"/>
            <w:right w:val="none" w:sz="0" w:space="0" w:color="auto"/>
          </w:divBdr>
        </w:div>
        <w:div w:id="702629217">
          <w:marLeft w:val="0"/>
          <w:marRight w:val="0"/>
          <w:marTop w:val="0"/>
          <w:marBottom w:val="0"/>
          <w:divBdr>
            <w:top w:val="none" w:sz="0" w:space="0" w:color="auto"/>
            <w:left w:val="none" w:sz="0" w:space="0" w:color="auto"/>
            <w:bottom w:val="none" w:sz="0" w:space="0" w:color="auto"/>
            <w:right w:val="none" w:sz="0" w:space="0" w:color="auto"/>
          </w:divBdr>
        </w:div>
      </w:divsChild>
    </w:div>
    <w:div w:id="1139689723">
      <w:bodyDiv w:val="1"/>
      <w:marLeft w:val="0"/>
      <w:marRight w:val="0"/>
      <w:marTop w:val="0"/>
      <w:marBottom w:val="0"/>
      <w:divBdr>
        <w:top w:val="none" w:sz="0" w:space="0" w:color="auto"/>
        <w:left w:val="none" w:sz="0" w:space="0" w:color="auto"/>
        <w:bottom w:val="none" w:sz="0" w:space="0" w:color="auto"/>
        <w:right w:val="none" w:sz="0" w:space="0" w:color="auto"/>
      </w:divBdr>
    </w:div>
    <w:div w:id="1141846306">
      <w:bodyDiv w:val="1"/>
      <w:marLeft w:val="0"/>
      <w:marRight w:val="0"/>
      <w:marTop w:val="0"/>
      <w:marBottom w:val="0"/>
      <w:divBdr>
        <w:top w:val="none" w:sz="0" w:space="0" w:color="auto"/>
        <w:left w:val="none" w:sz="0" w:space="0" w:color="auto"/>
        <w:bottom w:val="none" w:sz="0" w:space="0" w:color="auto"/>
        <w:right w:val="none" w:sz="0" w:space="0" w:color="auto"/>
      </w:divBdr>
    </w:div>
    <w:div w:id="1142312370">
      <w:bodyDiv w:val="1"/>
      <w:marLeft w:val="0"/>
      <w:marRight w:val="0"/>
      <w:marTop w:val="0"/>
      <w:marBottom w:val="0"/>
      <w:divBdr>
        <w:top w:val="none" w:sz="0" w:space="0" w:color="auto"/>
        <w:left w:val="none" w:sz="0" w:space="0" w:color="auto"/>
        <w:bottom w:val="none" w:sz="0" w:space="0" w:color="auto"/>
        <w:right w:val="none" w:sz="0" w:space="0" w:color="auto"/>
      </w:divBdr>
    </w:div>
    <w:div w:id="1143736887">
      <w:bodyDiv w:val="1"/>
      <w:marLeft w:val="0"/>
      <w:marRight w:val="0"/>
      <w:marTop w:val="0"/>
      <w:marBottom w:val="0"/>
      <w:divBdr>
        <w:top w:val="none" w:sz="0" w:space="0" w:color="auto"/>
        <w:left w:val="none" w:sz="0" w:space="0" w:color="auto"/>
        <w:bottom w:val="none" w:sz="0" w:space="0" w:color="auto"/>
        <w:right w:val="none" w:sz="0" w:space="0" w:color="auto"/>
      </w:divBdr>
    </w:div>
    <w:div w:id="1145010237">
      <w:bodyDiv w:val="1"/>
      <w:marLeft w:val="0"/>
      <w:marRight w:val="0"/>
      <w:marTop w:val="0"/>
      <w:marBottom w:val="0"/>
      <w:divBdr>
        <w:top w:val="none" w:sz="0" w:space="0" w:color="auto"/>
        <w:left w:val="none" w:sz="0" w:space="0" w:color="auto"/>
        <w:bottom w:val="none" w:sz="0" w:space="0" w:color="auto"/>
        <w:right w:val="none" w:sz="0" w:space="0" w:color="auto"/>
      </w:divBdr>
    </w:div>
    <w:div w:id="1146244251">
      <w:bodyDiv w:val="1"/>
      <w:marLeft w:val="0"/>
      <w:marRight w:val="0"/>
      <w:marTop w:val="0"/>
      <w:marBottom w:val="0"/>
      <w:divBdr>
        <w:top w:val="none" w:sz="0" w:space="0" w:color="auto"/>
        <w:left w:val="none" w:sz="0" w:space="0" w:color="auto"/>
        <w:bottom w:val="none" w:sz="0" w:space="0" w:color="auto"/>
        <w:right w:val="none" w:sz="0" w:space="0" w:color="auto"/>
      </w:divBdr>
    </w:div>
    <w:div w:id="1148088771">
      <w:bodyDiv w:val="1"/>
      <w:marLeft w:val="0"/>
      <w:marRight w:val="0"/>
      <w:marTop w:val="0"/>
      <w:marBottom w:val="0"/>
      <w:divBdr>
        <w:top w:val="none" w:sz="0" w:space="0" w:color="auto"/>
        <w:left w:val="none" w:sz="0" w:space="0" w:color="auto"/>
        <w:bottom w:val="none" w:sz="0" w:space="0" w:color="auto"/>
        <w:right w:val="none" w:sz="0" w:space="0" w:color="auto"/>
      </w:divBdr>
    </w:div>
    <w:div w:id="1151945640">
      <w:bodyDiv w:val="1"/>
      <w:marLeft w:val="0"/>
      <w:marRight w:val="0"/>
      <w:marTop w:val="0"/>
      <w:marBottom w:val="0"/>
      <w:divBdr>
        <w:top w:val="none" w:sz="0" w:space="0" w:color="auto"/>
        <w:left w:val="none" w:sz="0" w:space="0" w:color="auto"/>
        <w:bottom w:val="none" w:sz="0" w:space="0" w:color="auto"/>
        <w:right w:val="none" w:sz="0" w:space="0" w:color="auto"/>
      </w:divBdr>
    </w:div>
    <w:div w:id="1153329652">
      <w:bodyDiv w:val="1"/>
      <w:marLeft w:val="0"/>
      <w:marRight w:val="0"/>
      <w:marTop w:val="0"/>
      <w:marBottom w:val="0"/>
      <w:divBdr>
        <w:top w:val="none" w:sz="0" w:space="0" w:color="auto"/>
        <w:left w:val="none" w:sz="0" w:space="0" w:color="auto"/>
        <w:bottom w:val="none" w:sz="0" w:space="0" w:color="auto"/>
        <w:right w:val="none" w:sz="0" w:space="0" w:color="auto"/>
      </w:divBdr>
    </w:div>
    <w:div w:id="1178231322">
      <w:bodyDiv w:val="1"/>
      <w:marLeft w:val="0"/>
      <w:marRight w:val="0"/>
      <w:marTop w:val="0"/>
      <w:marBottom w:val="0"/>
      <w:divBdr>
        <w:top w:val="none" w:sz="0" w:space="0" w:color="auto"/>
        <w:left w:val="none" w:sz="0" w:space="0" w:color="auto"/>
        <w:bottom w:val="none" w:sz="0" w:space="0" w:color="auto"/>
        <w:right w:val="none" w:sz="0" w:space="0" w:color="auto"/>
      </w:divBdr>
    </w:div>
    <w:div w:id="1181116434">
      <w:bodyDiv w:val="1"/>
      <w:marLeft w:val="0"/>
      <w:marRight w:val="0"/>
      <w:marTop w:val="0"/>
      <w:marBottom w:val="0"/>
      <w:divBdr>
        <w:top w:val="none" w:sz="0" w:space="0" w:color="auto"/>
        <w:left w:val="none" w:sz="0" w:space="0" w:color="auto"/>
        <w:bottom w:val="none" w:sz="0" w:space="0" w:color="auto"/>
        <w:right w:val="none" w:sz="0" w:space="0" w:color="auto"/>
      </w:divBdr>
    </w:div>
    <w:div w:id="1209414909">
      <w:bodyDiv w:val="1"/>
      <w:marLeft w:val="0"/>
      <w:marRight w:val="0"/>
      <w:marTop w:val="0"/>
      <w:marBottom w:val="0"/>
      <w:divBdr>
        <w:top w:val="none" w:sz="0" w:space="0" w:color="auto"/>
        <w:left w:val="none" w:sz="0" w:space="0" w:color="auto"/>
        <w:bottom w:val="none" w:sz="0" w:space="0" w:color="auto"/>
        <w:right w:val="none" w:sz="0" w:space="0" w:color="auto"/>
      </w:divBdr>
    </w:div>
    <w:div w:id="1213080800">
      <w:bodyDiv w:val="1"/>
      <w:marLeft w:val="0"/>
      <w:marRight w:val="0"/>
      <w:marTop w:val="0"/>
      <w:marBottom w:val="0"/>
      <w:divBdr>
        <w:top w:val="none" w:sz="0" w:space="0" w:color="auto"/>
        <w:left w:val="none" w:sz="0" w:space="0" w:color="auto"/>
        <w:bottom w:val="none" w:sz="0" w:space="0" w:color="auto"/>
        <w:right w:val="none" w:sz="0" w:space="0" w:color="auto"/>
      </w:divBdr>
    </w:div>
    <w:div w:id="1215700050">
      <w:bodyDiv w:val="1"/>
      <w:marLeft w:val="0"/>
      <w:marRight w:val="0"/>
      <w:marTop w:val="0"/>
      <w:marBottom w:val="0"/>
      <w:divBdr>
        <w:top w:val="none" w:sz="0" w:space="0" w:color="auto"/>
        <w:left w:val="none" w:sz="0" w:space="0" w:color="auto"/>
        <w:bottom w:val="none" w:sz="0" w:space="0" w:color="auto"/>
        <w:right w:val="none" w:sz="0" w:space="0" w:color="auto"/>
      </w:divBdr>
    </w:div>
    <w:div w:id="1220555401">
      <w:bodyDiv w:val="1"/>
      <w:marLeft w:val="0"/>
      <w:marRight w:val="0"/>
      <w:marTop w:val="0"/>
      <w:marBottom w:val="0"/>
      <w:divBdr>
        <w:top w:val="none" w:sz="0" w:space="0" w:color="auto"/>
        <w:left w:val="none" w:sz="0" w:space="0" w:color="auto"/>
        <w:bottom w:val="none" w:sz="0" w:space="0" w:color="auto"/>
        <w:right w:val="none" w:sz="0" w:space="0" w:color="auto"/>
      </w:divBdr>
    </w:div>
    <w:div w:id="1226768528">
      <w:bodyDiv w:val="1"/>
      <w:marLeft w:val="0"/>
      <w:marRight w:val="0"/>
      <w:marTop w:val="0"/>
      <w:marBottom w:val="0"/>
      <w:divBdr>
        <w:top w:val="none" w:sz="0" w:space="0" w:color="auto"/>
        <w:left w:val="none" w:sz="0" w:space="0" w:color="auto"/>
        <w:bottom w:val="none" w:sz="0" w:space="0" w:color="auto"/>
        <w:right w:val="none" w:sz="0" w:space="0" w:color="auto"/>
      </w:divBdr>
    </w:div>
    <w:div w:id="1234124037">
      <w:bodyDiv w:val="1"/>
      <w:marLeft w:val="0"/>
      <w:marRight w:val="0"/>
      <w:marTop w:val="0"/>
      <w:marBottom w:val="0"/>
      <w:divBdr>
        <w:top w:val="none" w:sz="0" w:space="0" w:color="auto"/>
        <w:left w:val="none" w:sz="0" w:space="0" w:color="auto"/>
        <w:bottom w:val="none" w:sz="0" w:space="0" w:color="auto"/>
        <w:right w:val="none" w:sz="0" w:space="0" w:color="auto"/>
      </w:divBdr>
    </w:div>
    <w:div w:id="1239051497">
      <w:bodyDiv w:val="1"/>
      <w:marLeft w:val="0"/>
      <w:marRight w:val="0"/>
      <w:marTop w:val="0"/>
      <w:marBottom w:val="0"/>
      <w:divBdr>
        <w:top w:val="none" w:sz="0" w:space="0" w:color="auto"/>
        <w:left w:val="none" w:sz="0" w:space="0" w:color="auto"/>
        <w:bottom w:val="none" w:sz="0" w:space="0" w:color="auto"/>
        <w:right w:val="none" w:sz="0" w:space="0" w:color="auto"/>
      </w:divBdr>
    </w:div>
    <w:div w:id="1242718718">
      <w:bodyDiv w:val="1"/>
      <w:marLeft w:val="0"/>
      <w:marRight w:val="0"/>
      <w:marTop w:val="0"/>
      <w:marBottom w:val="0"/>
      <w:divBdr>
        <w:top w:val="none" w:sz="0" w:space="0" w:color="auto"/>
        <w:left w:val="none" w:sz="0" w:space="0" w:color="auto"/>
        <w:bottom w:val="none" w:sz="0" w:space="0" w:color="auto"/>
        <w:right w:val="none" w:sz="0" w:space="0" w:color="auto"/>
      </w:divBdr>
    </w:div>
    <w:div w:id="1249116555">
      <w:bodyDiv w:val="1"/>
      <w:marLeft w:val="0"/>
      <w:marRight w:val="0"/>
      <w:marTop w:val="0"/>
      <w:marBottom w:val="0"/>
      <w:divBdr>
        <w:top w:val="none" w:sz="0" w:space="0" w:color="auto"/>
        <w:left w:val="none" w:sz="0" w:space="0" w:color="auto"/>
        <w:bottom w:val="none" w:sz="0" w:space="0" w:color="auto"/>
        <w:right w:val="none" w:sz="0" w:space="0" w:color="auto"/>
      </w:divBdr>
    </w:div>
    <w:div w:id="1249655258">
      <w:bodyDiv w:val="1"/>
      <w:marLeft w:val="0"/>
      <w:marRight w:val="0"/>
      <w:marTop w:val="0"/>
      <w:marBottom w:val="0"/>
      <w:divBdr>
        <w:top w:val="none" w:sz="0" w:space="0" w:color="auto"/>
        <w:left w:val="none" w:sz="0" w:space="0" w:color="auto"/>
        <w:bottom w:val="none" w:sz="0" w:space="0" w:color="auto"/>
        <w:right w:val="none" w:sz="0" w:space="0" w:color="auto"/>
      </w:divBdr>
    </w:div>
    <w:div w:id="1256784222">
      <w:bodyDiv w:val="1"/>
      <w:marLeft w:val="0"/>
      <w:marRight w:val="0"/>
      <w:marTop w:val="0"/>
      <w:marBottom w:val="0"/>
      <w:divBdr>
        <w:top w:val="none" w:sz="0" w:space="0" w:color="auto"/>
        <w:left w:val="none" w:sz="0" w:space="0" w:color="auto"/>
        <w:bottom w:val="none" w:sz="0" w:space="0" w:color="auto"/>
        <w:right w:val="none" w:sz="0" w:space="0" w:color="auto"/>
      </w:divBdr>
    </w:div>
    <w:div w:id="1257707957">
      <w:bodyDiv w:val="1"/>
      <w:marLeft w:val="0"/>
      <w:marRight w:val="0"/>
      <w:marTop w:val="0"/>
      <w:marBottom w:val="0"/>
      <w:divBdr>
        <w:top w:val="none" w:sz="0" w:space="0" w:color="auto"/>
        <w:left w:val="none" w:sz="0" w:space="0" w:color="auto"/>
        <w:bottom w:val="none" w:sz="0" w:space="0" w:color="auto"/>
        <w:right w:val="none" w:sz="0" w:space="0" w:color="auto"/>
      </w:divBdr>
    </w:div>
    <w:div w:id="1259407226">
      <w:bodyDiv w:val="1"/>
      <w:marLeft w:val="0"/>
      <w:marRight w:val="0"/>
      <w:marTop w:val="0"/>
      <w:marBottom w:val="0"/>
      <w:divBdr>
        <w:top w:val="none" w:sz="0" w:space="0" w:color="auto"/>
        <w:left w:val="none" w:sz="0" w:space="0" w:color="auto"/>
        <w:bottom w:val="none" w:sz="0" w:space="0" w:color="auto"/>
        <w:right w:val="none" w:sz="0" w:space="0" w:color="auto"/>
      </w:divBdr>
    </w:div>
    <w:div w:id="1263682457">
      <w:bodyDiv w:val="1"/>
      <w:marLeft w:val="0"/>
      <w:marRight w:val="0"/>
      <w:marTop w:val="0"/>
      <w:marBottom w:val="0"/>
      <w:divBdr>
        <w:top w:val="none" w:sz="0" w:space="0" w:color="auto"/>
        <w:left w:val="none" w:sz="0" w:space="0" w:color="auto"/>
        <w:bottom w:val="none" w:sz="0" w:space="0" w:color="auto"/>
        <w:right w:val="none" w:sz="0" w:space="0" w:color="auto"/>
      </w:divBdr>
    </w:div>
    <w:div w:id="1272661652">
      <w:bodyDiv w:val="1"/>
      <w:marLeft w:val="0"/>
      <w:marRight w:val="0"/>
      <w:marTop w:val="0"/>
      <w:marBottom w:val="0"/>
      <w:divBdr>
        <w:top w:val="none" w:sz="0" w:space="0" w:color="auto"/>
        <w:left w:val="none" w:sz="0" w:space="0" w:color="auto"/>
        <w:bottom w:val="none" w:sz="0" w:space="0" w:color="auto"/>
        <w:right w:val="none" w:sz="0" w:space="0" w:color="auto"/>
      </w:divBdr>
    </w:div>
    <w:div w:id="1274701750">
      <w:bodyDiv w:val="1"/>
      <w:marLeft w:val="0"/>
      <w:marRight w:val="0"/>
      <w:marTop w:val="0"/>
      <w:marBottom w:val="0"/>
      <w:divBdr>
        <w:top w:val="none" w:sz="0" w:space="0" w:color="auto"/>
        <w:left w:val="none" w:sz="0" w:space="0" w:color="auto"/>
        <w:bottom w:val="none" w:sz="0" w:space="0" w:color="auto"/>
        <w:right w:val="none" w:sz="0" w:space="0" w:color="auto"/>
      </w:divBdr>
    </w:div>
    <w:div w:id="1281641691">
      <w:bodyDiv w:val="1"/>
      <w:marLeft w:val="0"/>
      <w:marRight w:val="0"/>
      <w:marTop w:val="0"/>
      <w:marBottom w:val="0"/>
      <w:divBdr>
        <w:top w:val="none" w:sz="0" w:space="0" w:color="auto"/>
        <w:left w:val="none" w:sz="0" w:space="0" w:color="auto"/>
        <w:bottom w:val="none" w:sz="0" w:space="0" w:color="auto"/>
        <w:right w:val="none" w:sz="0" w:space="0" w:color="auto"/>
      </w:divBdr>
    </w:div>
    <w:div w:id="1287396005">
      <w:bodyDiv w:val="1"/>
      <w:marLeft w:val="0"/>
      <w:marRight w:val="0"/>
      <w:marTop w:val="0"/>
      <w:marBottom w:val="0"/>
      <w:divBdr>
        <w:top w:val="none" w:sz="0" w:space="0" w:color="auto"/>
        <w:left w:val="none" w:sz="0" w:space="0" w:color="auto"/>
        <w:bottom w:val="none" w:sz="0" w:space="0" w:color="auto"/>
        <w:right w:val="none" w:sz="0" w:space="0" w:color="auto"/>
      </w:divBdr>
    </w:div>
    <w:div w:id="1293319819">
      <w:bodyDiv w:val="1"/>
      <w:marLeft w:val="0"/>
      <w:marRight w:val="0"/>
      <w:marTop w:val="0"/>
      <w:marBottom w:val="0"/>
      <w:divBdr>
        <w:top w:val="none" w:sz="0" w:space="0" w:color="auto"/>
        <w:left w:val="none" w:sz="0" w:space="0" w:color="auto"/>
        <w:bottom w:val="none" w:sz="0" w:space="0" w:color="auto"/>
        <w:right w:val="none" w:sz="0" w:space="0" w:color="auto"/>
      </w:divBdr>
    </w:div>
    <w:div w:id="1294406986">
      <w:bodyDiv w:val="1"/>
      <w:marLeft w:val="0"/>
      <w:marRight w:val="0"/>
      <w:marTop w:val="0"/>
      <w:marBottom w:val="0"/>
      <w:divBdr>
        <w:top w:val="none" w:sz="0" w:space="0" w:color="auto"/>
        <w:left w:val="none" w:sz="0" w:space="0" w:color="auto"/>
        <w:bottom w:val="none" w:sz="0" w:space="0" w:color="auto"/>
        <w:right w:val="none" w:sz="0" w:space="0" w:color="auto"/>
      </w:divBdr>
    </w:div>
    <w:div w:id="1303540777">
      <w:bodyDiv w:val="1"/>
      <w:marLeft w:val="0"/>
      <w:marRight w:val="0"/>
      <w:marTop w:val="0"/>
      <w:marBottom w:val="0"/>
      <w:divBdr>
        <w:top w:val="none" w:sz="0" w:space="0" w:color="auto"/>
        <w:left w:val="none" w:sz="0" w:space="0" w:color="auto"/>
        <w:bottom w:val="none" w:sz="0" w:space="0" w:color="auto"/>
        <w:right w:val="none" w:sz="0" w:space="0" w:color="auto"/>
      </w:divBdr>
    </w:div>
    <w:div w:id="1314872259">
      <w:bodyDiv w:val="1"/>
      <w:marLeft w:val="0"/>
      <w:marRight w:val="0"/>
      <w:marTop w:val="0"/>
      <w:marBottom w:val="0"/>
      <w:divBdr>
        <w:top w:val="none" w:sz="0" w:space="0" w:color="auto"/>
        <w:left w:val="none" w:sz="0" w:space="0" w:color="auto"/>
        <w:bottom w:val="none" w:sz="0" w:space="0" w:color="auto"/>
        <w:right w:val="none" w:sz="0" w:space="0" w:color="auto"/>
      </w:divBdr>
    </w:div>
    <w:div w:id="1336759756">
      <w:bodyDiv w:val="1"/>
      <w:marLeft w:val="0"/>
      <w:marRight w:val="0"/>
      <w:marTop w:val="0"/>
      <w:marBottom w:val="0"/>
      <w:divBdr>
        <w:top w:val="none" w:sz="0" w:space="0" w:color="auto"/>
        <w:left w:val="none" w:sz="0" w:space="0" w:color="auto"/>
        <w:bottom w:val="none" w:sz="0" w:space="0" w:color="auto"/>
        <w:right w:val="none" w:sz="0" w:space="0" w:color="auto"/>
      </w:divBdr>
    </w:div>
    <w:div w:id="1336885654">
      <w:bodyDiv w:val="1"/>
      <w:marLeft w:val="0"/>
      <w:marRight w:val="0"/>
      <w:marTop w:val="0"/>
      <w:marBottom w:val="0"/>
      <w:divBdr>
        <w:top w:val="none" w:sz="0" w:space="0" w:color="auto"/>
        <w:left w:val="none" w:sz="0" w:space="0" w:color="auto"/>
        <w:bottom w:val="none" w:sz="0" w:space="0" w:color="auto"/>
        <w:right w:val="none" w:sz="0" w:space="0" w:color="auto"/>
      </w:divBdr>
    </w:div>
    <w:div w:id="1338657739">
      <w:bodyDiv w:val="1"/>
      <w:marLeft w:val="0"/>
      <w:marRight w:val="0"/>
      <w:marTop w:val="0"/>
      <w:marBottom w:val="0"/>
      <w:divBdr>
        <w:top w:val="none" w:sz="0" w:space="0" w:color="auto"/>
        <w:left w:val="none" w:sz="0" w:space="0" w:color="auto"/>
        <w:bottom w:val="none" w:sz="0" w:space="0" w:color="auto"/>
        <w:right w:val="none" w:sz="0" w:space="0" w:color="auto"/>
      </w:divBdr>
    </w:div>
    <w:div w:id="1353452706">
      <w:bodyDiv w:val="1"/>
      <w:marLeft w:val="0"/>
      <w:marRight w:val="0"/>
      <w:marTop w:val="0"/>
      <w:marBottom w:val="0"/>
      <w:divBdr>
        <w:top w:val="none" w:sz="0" w:space="0" w:color="auto"/>
        <w:left w:val="none" w:sz="0" w:space="0" w:color="auto"/>
        <w:bottom w:val="none" w:sz="0" w:space="0" w:color="auto"/>
        <w:right w:val="none" w:sz="0" w:space="0" w:color="auto"/>
      </w:divBdr>
    </w:div>
    <w:div w:id="1382245300">
      <w:bodyDiv w:val="1"/>
      <w:marLeft w:val="0"/>
      <w:marRight w:val="0"/>
      <w:marTop w:val="0"/>
      <w:marBottom w:val="0"/>
      <w:divBdr>
        <w:top w:val="none" w:sz="0" w:space="0" w:color="auto"/>
        <w:left w:val="none" w:sz="0" w:space="0" w:color="auto"/>
        <w:bottom w:val="none" w:sz="0" w:space="0" w:color="auto"/>
        <w:right w:val="none" w:sz="0" w:space="0" w:color="auto"/>
      </w:divBdr>
    </w:div>
    <w:div w:id="1400060712">
      <w:bodyDiv w:val="1"/>
      <w:marLeft w:val="0"/>
      <w:marRight w:val="0"/>
      <w:marTop w:val="0"/>
      <w:marBottom w:val="0"/>
      <w:divBdr>
        <w:top w:val="none" w:sz="0" w:space="0" w:color="auto"/>
        <w:left w:val="none" w:sz="0" w:space="0" w:color="auto"/>
        <w:bottom w:val="none" w:sz="0" w:space="0" w:color="auto"/>
        <w:right w:val="none" w:sz="0" w:space="0" w:color="auto"/>
      </w:divBdr>
    </w:div>
    <w:div w:id="1403288685">
      <w:bodyDiv w:val="1"/>
      <w:marLeft w:val="0"/>
      <w:marRight w:val="0"/>
      <w:marTop w:val="0"/>
      <w:marBottom w:val="0"/>
      <w:divBdr>
        <w:top w:val="none" w:sz="0" w:space="0" w:color="auto"/>
        <w:left w:val="none" w:sz="0" w:space="0" w:color="auto"/>
        <w:bottom w:val="none" w:sz="0" w:space="0" w:color="auto"/>
        <w:right w:val="none" w:sz="0" w:space="0" w:color="auto"/>
      </w:divBdr>
    </w:div>
    <w:div w:id="1405493794">
      <w:bodyDiv w:val="1"/>
      <w:marLeft w:val="0"/>
      <w:marRight w:val="0"/>
      <w:marTop w:val="0"/>
      <w:marBottom w:val="0"/>
      <w:divBdr>
        <w:top w:val="none" w:sz="0" w:space="0" w:color="auto"/>
        <w:left w:val="none" w:sz="0" w:space="0" w:color="auto"/>
        <w:bottom w:val="none" w:sz="0" w:space="0" w:color="auto"/>
        <w:right w:val="none" w:sz="0" w:space="0" w:color="auto"/>
      </w:divBdr>
      <w:divsChild>
        <w:div w:id="400712086">
          <w:marLeft w:val="0"/>
          <w:marRight w:val="0"/>
          <w:marTop w:val="34"/>
          <w:marBottom w:val="34"/>
          <w:divBdr>
            <w:top w:val="none" w:sz="0" w:space="0" w:color="auto"/>
            <w:left w:val="none" w:sz="0" w:space="0" w:color="auto"/>
            <w:bottom w:val="none" w:sz="0" w:space="0" w:color="auto"/>
            <w:right w:val="none" w:sz="0" w:space="0" w:color="auto"/>
          </w:divBdr>
        </w:div>
      </w:divsChild>
    </w:div>
    <w:div w:id="1409185806">
      <w:bodyDiv w:val="1"/>
      <w:marLeft w:val="0"/>
      <w:marRight w:val="0"/>
      <w:marTop w:val="0"/>
      <w:marBottom w:val="0"/>
      <w:divBdr>
        <w:top w:val="none" w:sz="0" w:space="0" w:color="auto"/>
        <w:left w:val="none" w:sz="0" w:space="0" w:color="auto"/>
        <w:bottom w:val="none" w:sz="0" w:space="0" w:color="auto"/>
        <w:right w:val="none" w:sz="0" w:space="0" w:color="auto"/>
      </w:divBdr>
    </w:div>
    <w:div w:id="1410082850">
      <w:bodyDiv w:val="1"/>
      <w:marLeft w:val="0"/>
      <w:marRight w:val="0"/>
      <w:marTop w:val="0"/>
      <w:marBottom w:val="0"/>
      <w:divBdr>
        <w:top w:val="none" w:sz="0" w:space="0" w:color="auto"/>
        <w:left w:val="none" w:sz="0" w:space="0" w:color="auto"/>
        <w:bottom w:val="none" w:sz="0" w:space="0" w:color="auto"/>
        <w:right w:val="none" w:sz="0" w:space="0" w:color="auto"/>
      </w:divBdr>
    </w:div>
    <w:div w:id="1410813904">
      <w:bodyDiv w:val="1"/>
      <w:marLeft w:val="0"/>
      <w:marRight w:val="0"/>
      <w:marTop w:val="0"/>
      <w:marBottom w:val="0"/>
      <w:divBdr>
        <w:top w:val="none" w:sz="0" w:space="0" w:color="auto"/>
        <w:left w:val="none" w:sz="0" w:space="0" w:color="auto"/>
        <w:bottom w:val="none" w:sz="0" w:space="0" w:color="auto"/>
        <w:right w:val="none" w:sz="0" w:space="0" w:color="auto"/>
      </w:divBdr>
    </w:div>
    <w:div w:id="1415392703">
      <w:bodyDiv w:val="1"/>
      <w:marLeft w:val="0"/>
      <w:marRight w:val="0"/>
      <w:marTop w:val="0"/>
      <w:marBottom w:val="0"/>
      <w:divBdr>
        <w:top w:val="none" w:sz="0" w:space="0" w:color="auto"/>
        <w:left w:val="none" w:sz="0" w:space="0" w:color="auto"/>
        <w:bottom w:val="none" w:sz="0" w:space="0" w:color="auto"/>
        <w:right w:val="none" w:sz="0" w:space="0" w:color="auto"/>
      </w:divBdr>
    </w:div>
    <w:div w:id="1422874468">
      <w:bodyDiv w:val="1"/>
      <w:marLeft w:val="0"/>
      <w:marRight w:val="0"/>
      <w:marTop w:val="0"/>
      <w:marBottom w:val="0"/>
      <w:divBdr>
        <w:top w:val="none" w:sz="0" w:space="0" w:color="auto"/>
        <w:left w:val="none" w:sz="0" w:space="0" w:color="auto"/>
        <w:bottom w:val="none" w:sz="0" w:space="0" w:color="auto"/>
        <w:right w:val="none" w:sz="0" w:space="0" w:color="auto"/>
      </w:divBdr>
    </w:div>
    <w:div w:id="1425612404">
      <w:bodyDiv w:val="1"/>
      <w:marLeft w:val="0"/>
      <w:marRight w:val="0"/>
      <w:marTop w:val="0"/>
      <w:marBottom w:val="0"/>
      <w:divBdr>
        <w:top w:val="none" w:sz="0" w:space="0" w:color="auto"/>
        <w:left w:val="none" w:sz="0" w:space="0" w:color="auto"/>
        <w:bottom w:val="none" w:sz="0" w:space="0" w:color="auto"/>
        <w:right w:val="none" w:sz="0" w:space="0" w:color="auto"/>
      </w:divBdr>
    </w:div>
    <w:div w:id="1430658929">
      <w:bodyDiv w:val="1"/>
      <w:marLeft w:val="0"/>
      <w:marRight w:val="0"/>
      <w:marTop w:val="0"/>
      <w:marBottom w:val="0"/>
      <w:divBdr>
        <w:top w:val="none" w:sz="0" w:space="0" w:color="auto"/>
        <w:left w:val="none" w:sz="0" w:space="0" w:color="auto"/>
        <w:bottom w:val="none" w:sz="0" w:space="0" w:color="auto"/>
        <w:right w:val="none" w:sz="0" w:space="0" w:color="auto"/>
      </w:divBdr>
    </w:div>
    <w:div w:id="1436632975">
      <w:bodyDiv w:val="1"/>
      <w:marLeft w:val="0"/>
      <w:marRight w:val="0"/>
      <w:marTop w:val="0"/>
      <w:marBottom w:val="0"/>
      <w:divBdr>
        <w:top w:val="none" w:sz="0" w:space="0" w:color="auto"/>
        <w:left w:val="none" w:sz="0" w:space="0" w:color="auto"/>
        <w:bottom w:val="none" w:sz="0" w:space="0" w:color="auto"/>
        <w:right w:val="none" w:sz="0" w:space="0" w:color="auto"/>
      </w:divBdr>
    </w:div>
    <w:div w:id="1441873388">
      <w:bodyDiv w:val="1"/>
      <w:marLeft w:val="0"/>
      <w:marRight w:val="0"/>
      <w:marTop w:val="0"/>
      <w:marBottom w:val="0"/>
      <w:divBdr>
        <w:top w:val="none" w:sz="0" w:space="0" w:color="auto"/>
        <w:left w:val="none" w:sz="0" w:space="0" w:color="auto"/>
        <w:bottom w:val="none" w:sz="0" w:space="0" w:color="auto"/>
        <w:right w:val="none" w:sz="0" w:space="0" w:color="auto"/>
      </w:divBdr>
    </w:div>
    <w:div w:id="1442146833">
      <w:bodyDiv w:val="1"/>
      <w:marLeft w:val="0"/>
      <w:marRight w:val="0"/>
      <w:marTop w:val="0"/>
      <w:marBottom w:val="0"/>
      <w:divBdr>
        <w:top w:val="none" w:sz="0" w:space="0" w:color="auto"/>
        <w:left w:val="none" w:sz="0" w:space="0" w:color="auto"/>
        <w:bottom w:val="none" w:sz="0" w:space="0" w:color="auto"/>
        <w:right w:val="none" w:sz="0" w:space="0" w:color="auto"/>
      </w:divBdr>
    </w:div>
    <w:div w:id="1447235278">
      <w:bodyDiv w:val="1"/>
      <w:marLeft w:val="0"/>
      <w:marRight w:val="0"/>
      <w:marTop w:val="0"/>
      <w:marBottom w:val="0"/>
      <w:divBdr>
        <w:top w:val="none" w:sz="0" w:space="0" w:color="auto"/>
        <w:left w:val="none" w:sz="0" w:space="0" w:color="auto"/>
        <w:bottom w:val="none" w:sz="0" w:space="0" w:color="auto"/>
        <w:right w:val="none" w:sz="0" w:space="0" w:color="auto"/>
      </w:divBdr>
    </w:div>
    <w:div w:id="1450323135">
      <w:bodyDiv w:val="1"/>
      <w:marLeft w:val="0"/>
      <w:marRight w:val="0"/>
      <w:marTop w:val="0"/>
      <w:marBottom w:val="0"/>
      <w:divBdr>
        <w:top w:val="none" w:sz="0" w:space="0" w:color="auto"/>
        <w:left w:val="none" w:sz="0" w:space="0" w:color="auto"/>
        <w:bottom w:val="none" w:sz="0" w:space="0" w:color="auto"/>
        <w:right w:val="none" w:sz="0" w:space="0" w:color="auto"/>
      </w:divBdr>
    </w:div>
    <w:div w:id="1452283611">
      <w:bodyDiv w:val="1"/>
      <w:marLeft w:val="0"/>
      <w:marRight w:val="0"/>
      <w:marTop w:val="0"/>
      <w:marBottom w:val="0"/>
      <w:divBdr>
        <w:top w:val="none" w:sz="0" w:space="0" w:color="auto"/>
        <w:left w:val="none" w:sz="0" w:space="0" w:color="auto"/>
        <w:bottom w:val="none" w:sz="0" w:space="0" w:color="auto"/>
        <w:right w:val="none" w:sz="0" w:space="0" w:color="auto"/>
      </w:divBdr>
    </w:div>
    <w:div w:id="1456171348">
      <w:bodyDiv w:val="1"/>
      <w:marLeft w:val="0"/>
      <w:marRight w:val="0"/>
      <w:marTop w:val="0"/>
      <w:marBottom w:val="0"/>
      <w:divBdr>
        <w:top w:val="none" w:sz="0" w:space="0" w:color="auto"/>
        <w:left w:val="none" w:sz="0" w:space="0" w:color="auto"/>
        <w:bottom w:val="none" w:sz="0" w:space="0" w:color="auto"/>
        <w:right w:val="none" w:sz="0" w:space="0" w:color="auto"/>
      </w:divBdr>
    </w:div>
    <w:div w:id="1459108616">
      <w:bodyDiv w:val="1"/>
      <w:marLeft w:val="0"/>
      <w:marRight w:val="0"/>
      <w:marTop w:val="0"/>
      <w:marBottom w:val="0"/>
      <w:divBdr>
        <w:top w:val="none" w:sz="0" w:space="0" w:color="auto"/>
        <w:left w:val="none" w:sz="0" w:space="0" w:color="auto"/>
        <w:bottom w:val="none" w:sz="0" w:space="0" w:color="auto"/>
        <w:right w:val="none" w:sz="0" w:space="0" w:color="auto"/>
      </w:divBdr>
    </w:div>
    <w:div w:id="1462385313">
      <w:bodyDiv w:val="1"/>
      <w:marLeft w:val="0"/>
      <w:marRight w:val="0"/>
      <w:marTop w:val="0"/>
      <w:marBottom w:val="0"/>
      <w:divBdr>
        <w:top w:val="none" w:sz="0" w:space="0" w:color="auto"/>
        <w:left w:val="none" w:sz="0" w:space="0" w:color="auto"/>
        <w:bottom w:val="none" w:sz="0" w:space="0" w:color="auto"/>
        <w:right w:val="none" w:sz="0" w:space="0" w:color="auto"/>
      </w:divBdr>
    </w:div>
    <w:div w:id="1469593167">
      <w:bodyDiv w:val="1"/>
      <w:marLeft w:val="0"/>
      <w:marRight w:val="0"/>
      <w:marTop w:val="0"/>
      <w:marBottom w:val="0"/>
      <w:divBdr>
        <w:top w:val="none" w:sz="0" w:space="0" w:color="auto"/>
        <w:left w:val="none" w:sz="0" w:space="0" w:color="auto"/>
        <w:bottom w:val="none" w:sz="0" w:space="0" w:color="auto"/>
        <w:right w:val="none" w:sz="0" w:space="0" w:color="auto"/>
      </w:divBdr>
    </w:div>
    <w:div w:id="1469931392">
      <w:bodyDiv w:val="1"/>
      <w:marLeft w:val="0"/>
      <w:marRight w:val="0"/>
      <w:marTop w:val="0"/>
      <w:marBottom w:val="0"/>
      <w:divBdr>
        <w:top w:val="none" w:sz="0" w:space="0" w:color="auto"/>
        <w:left w:val="none" w:sz="0" w:space="0" w:color="auto"/>
        <w:bottom w:val="none" w:sz="0" w:space="0" w:color="auto"/>
        <w:right w:val="none" w:sz="0" w:space="0" w:color="auto"/>
      </w:divBdr>
    </w:div>
    <w:div w:id="1472333286">
      <w:bodyDiv w:val="1"/>
      <w:marLeft w:val="0"/>
      <w:marRight w:val="0"/>
      <w:marTop w:val="0"/>
      <w:marBottom w:val="0"/>
      <w:divBdr>
        <w:top w:val="none" w:sz="0" w:space="0" w:color="auto"/>
        <w:left w:val="none" w:sz="0" w:space="0" w:color="auto"/>
        <w:bottom w:val="none" w:sz="0" w:space="0" w:color="auto"/>
        <w:right w:val="none" w:sz="0" w:space="0" w:color="auto"/>
      </w:divBdr>
    </w:div>
    <w:div w:id="1485588004">
      <w:bodyDiv w:val="1"/>
      <w:marLeft w:val="0"/>
      <w:marRight w:val="0"/>
      <w:marTop w:val="0"/>
      <w:marBottom w:val="0"/>
      <w:divBdr>
        <w:top w:val="none" w:sz="0" w:space="0" w:color="auto"/>
        <w:left w:val="none" w:sz="0" w:space="0" w:color="auto"/>
        <w:bottom w:val="none" w:sz="0" w:space="0" w:color="auto"/>
        <w:right w:val="none" w:sz="0" w:space="0" w:color="auto"/>
      </w:divBdr>
    </w:div>
    <w:div w:id="1488323632">
      <w:bodyDiv w:val="1"/>
      <w:marLeft w:val="0"/>
      <w:marRight w:val="0"/>
      <w:marTop w:val="0"/>
      <w:marBottom w:val="0"/>
      <w:divBdr>
        <w:top w:val="none" w:sz="0" w:space="0" w:color="auto"/>
        <w:left w:val="none" w:sz="0" w:space="0" w:color="auto"/>
        <w:bottom w:val="none" w:sz="0" w:space="0" w:color="auto"/>
        <w:right w:val="none" w:sz="0" w:space="0" w:color="auto"/>
      </w:divBdr>
    </w:div>
    <w:div w:id="1491285341">
      <w:bodyDiv w:val="1"/>
      <w:marLeft w:val="0"/>
      <w:marRight w:val="0"/>
      <w:marTop w:val="0"/>
      <w:marBottom w:val="0"/>
      <w:divBdr>
        <w:top w:val="none" w:sz="0" w:space="0" w:color="auto"/>
        <w:left w:val="none" w:sz="0" w:space="0" w:color="auto"/>
        <w:bottom w:val="none" w:sz="0" w:space="0" w:color="auto"/>
        <w:right w:val="none" w:sz="0" w:space="0" w:color="auto"/>
      </w:divBdr>
    </w:div>
    <w:div w:id="1494638237">
      <w:bodyDiv w:val="1"/>
      <w:marLeft w:val="0"/>
      <w:marRight w:val="0"/>
      <w:marTop w:val="0"/>
      <w:marBottom w:val="0"/>
      <w:divBdr>
        <w:top w:val="none" w:sz="0" w:space="0" w:color="auto"/>
        <w:left w:val="none" w:sz="0" w:space="0" w:color="auto"/>
        <w:bottom w:val="none" w:sz="0" w:space="0" w:color="auto"/>
        <w:right w:val="none" w:sz="0" w:space="0" w:color="auto"/>
      </w:divBdr>
    </w:div>
    <w:div w:id="1495027533">
      <w:bodyDiv w:val="1"/>
      <w:marLeft w:val="0"/>
      <w:marRight w:val="0"/>
      <w:marTop w:val="0"/>
      <w:marBottom w:val="0"/>
      <w:divBdr>
        <w:top w:val="none" w:sz="0" w:space="0" w:color="auto"/>
        <w:left w:val="none" w:sz="0" w:space="0" w:color="auto"/>
        <w:bottom w:val="none" w:sz="0" w:space="0" w:color="auto"/>
        <w:right w:val="none" w:sz="0" w:space="0" w:color="auto"/>
      </w:divBdr>
    </w:div>
    <w:div w:id="1495338052">
      <w:bodyDiv w:val="1"/>
      <w:marLeft w:val="0"/>
      <w:marRight w:val="0"/>
      <w:marTop w:val="0"/>
      <w:marBottom w:val="0"/>
      <w:divBdr>
        <w:top w:val="none" w:sz="0" w:space="0" w:color="auto"/>
        <w:left w:val="none" w:sz="0" w:space="0" w:color="auto"/>
        <w:bottom w:val="none" w:sz="0" w:space="0" w:color="auto"/>
        <w:right w:val="none" w:sz="0" w:space="0" w:color="auto"/>
      </w:divBdr>
    </w:div>
    <w:div w:id="1496800239">
      <w:bodyDiv w:val="1"/>
      <w:marLeft w:val="0"/>
      <w:marRight w:val="0"/>
      <w:marTop w:val="0"/>
      <w:marBottom w:val="0"/>
      <w:divBdr>
        <w:top w:val="none" w:sz="0" w:space="0" w:color="auto"/>
        <w:left w:val="none" w:sz="0" w:space="0" w:color="auto"/>
        <w:bottom w:val="none" w:sz="0" w:space="0" w:color="auto"/>
        <w:right w:val="none" w:sz="0" w:space="0" w:color="auto"/>
      </w:divBdr>
    </w:div>
    <w:div w:id="1509976705">
      <w:bodyDiv w:val="1"/>
      <w:marLeft w:val="0"/>
      <w:marRight w:val="0"/>
      <w:marTop w:val="0"/>
      <w:marBottom w:val="0"/>
      <w:divBdr>
        <w:top w:val="none" w:sz="0" w:space="0" w:color="auto"/>
        <w:left w:val="none" w:sz="0" w:space="0" w:color="auto"/>
        <w:bottom w:val="none" w:sz="0" w:space="0" w:color="auto"/>
        <w:right w:val="none" w:sz="0" w:space="0" w:color="auto"/>
      </w:divBdr>
    </w:div>
    <w:div w:id="1510026679">
      <w:bodyDiv w:val="1"/>
      <w:marLeft w:val="0"/>
      <w:marRight w:val="0"/>
      <w:marTop w:val="0"/>
      <w:marBottom w:val="0"/>
      <w:divBdr>
        <w:top w:val="none" w:sz="0" w:space="0" w:color="auto"/>
        <w:left w:val="none" w:sz="0" w:space="0" w:color="auto"/>
        <w:bottom w:val="none" w:sz="0" w:space="0" w:color="auto"/>
        <w:right w:val="none" w:sz="0" w:space="0" w:color="auto"/>
      </w:divBdr>
    </w:div>
    <w:div w:id="1516460762">
      <w:bodyDiv w:val="1"/>
      <w:marLeft w:val="0"/>
      <w:marRight w:val="0"/>
      <w:marTop w:val="0"/>
      <w:marBottom w:val="0"/>
      <w:divBdr>
        <w:top w:val="none" w:sz="0" w:space="0" w:color="auto"/>
        <w:left w:val="none" w:sz="0" w:space="0" w:color="auto"/>
        <w:bottom w:val="none" w:sz="0" w:space="0" w:color="auto"/>
        <w:right w:val="none" w:sz="0" w:space="0" w:color="auto"/>
      </w:divBdr>
    </w:div>
    <w:div w:id="1528062817">
      <w:bodyDiv w:val="1"/>
      <w:marLeft w:val="0"/>
      <w:marRight w:val="0"/>
      <w:marTop w:val="0"/>
      <w:marBottom w:val="0"/>
      <w:divBdr>
        <w:top w:val="none" w:sz="0" w:space="0" w:color="auto"/>
        <w:left w:val="none" w:sz="0" w:space="0" w:color="auto"/>
        <w:bottom w:val="none" w:sz="0" w:space="0" w:color="auto"/>
        <w:right w:val="none" w:sz="0" w:space="0" w:color="auto"/>
      </w:divBdr>
    </w:div>
    <w:div w:id="1532455837">
      <w:bodyDiv w:val="1"/>
      <w:marLeft w:val="0"/>
      <w:marRight w:val="0"/>
      <w:marTop w:val="0"/>
      <w:marBottom w:val="0"/>
      <w:divBdr>
        <w:top w:val="none" w:sz="0" w:space="0" w:color="auto"/>
        <w:left w:val="none" w:sz="0" w:space="0" w:color="auto"/>
        <w:bottom w:val="none" w:sz="0" w:space="0" w:color="auto"/>
        <w:right w:val="none" w:sz="0" w:space="0" w:color="auto"/>
      </w:divBdr>
    </w:div>
    <w:div w:id="1533957336">
      <w:bodyDiv w:val="1"/>
      <w:marLeft w:val="0"/>
      <w:marRight w:val="0"/>
      <w:marTop w:val="0"/>
      <w:marBottom w:val="0"/>
      <w:divBdr>
        <w:top w:val="none" w:sz="0" w:space="0" w:color="auto"/>
        <w:left w:val="none" w:sz="0" w:space="0" w:color="auto"/>
        <w:bottom w:val="none" w:sz="0" w:space="0" w:color="auto"/>
        <w:right w:val="none" w:sz="0" w:space="0" w:color="auto"/>
      </w:divBdr>
    </w:div>
    <w:div w:id="1534421256">
      <w:bodyDiv w:val="1"/>
      <w:marLeft w:val="0"/>
      <w:marRight w:val="0"/>
      <w:marTop w:val="0"/>
      <w:marBottom w:val="0"/>
      <w:divBdr>
        <w:top w:val="none" w:sz="0" w:space="0" w:color="auto"/>
        <w:left w:val="none" w:sz="0" w:space="0" w:color="auto"/>
        <w:bottom w:val="none" w:sz="0" w:space="0" w:color="auto"/>
        <w:right w:val="none" w:sz="0" w:space="0" w:color="auto"/>
      </w:divBdr>
    </w:div>
    <w:div w:id="1545170415">
      <w:bodyDiv w:val="1"/>
      <w:marLeft w:val="0"/>
      <w:marRight w:val="0"/>
      <w:marTop w:val="0"/>
      <w:marBottom w:val="0"/>
      <w:divBdr>
        <w:top w:val="none" w:sz="0" w:space="0" w:color="auto"/>
        <w:left w:val="none" w:sz="0" w:space="0" w:color="auto"/>
        <w:bottom w:val="none" w:sz="0" w:space="0" w:color="auto"/>
        <w:right w:val="none" w:sz="0" w:space="0" w:color="auto"/>
      </w:divBdr>
    </w:div>
    <w:div w:id="1549684587">
      <w:bodyDiv w:val="1"/>
      <w:marLeft w:val="0"/>
      <w:marRight w:val="0"/>
      <w:marTop w:val="0"/>
      <w:marBottom w:val="0"/>
      <w:divBdr>
        <w:top w:val="none" w:sz="0" w:space="0" w:color="auto"/>
        <w:left w:val="none" w:sz="0" w:space="0" w:color="auto"/>
        <w:bottom w:val="none" w:sz="0" w:space="0" w:color="auto"/>
        <w:right w:val="none" w:sz="0" w:space="0" w:color="auto"/>
      </w:divBdr>
    </w:div>
    <w:div w:id="1558664115">
      <w:bodyDiv w:val="1"/>
      <w:marLeft w:val="0"/>
      <w:marRight w:val="0"/>
      <w:marTop w:val="0"/>
      <w:marBottom w:val="0"/>
      <w:divBdr>
        <w:top w:val="none" w:sz="0" w:space="0" w:color="auto"/>
        <w:left w:val="none" w:sz="0" w:space="0" w:color="auto"/>
        <w:bottom w:val="none" w:sz="0" w:space="0" w:color="auto"/>
        <w:right w:val="none" w:sz="0" w:space="0" w:color="auto"/>
      </w:divBdr>
    </w:div>
    <w:div w:id="1566183309">
      <w:bodyDiv w:val="1"/>
      <w:marLeft w:val="0"/>
      <w:marRight w:val="0"/>
      <w:marTop w:val="0"/>
      <w:marBottom w:val="0"/>
      <w:divBdr>
        <w:top w:val="none" w:sz="0" w:space="0" w:color="auto"/>
        <w:left w:val="none" w:sz="0" w:space="0" w:color="auto"/>
        <w:bottom w:val="none" w:sz="0" w:space="0" w:color="auto"/>
        <w:right w:val="none" w:sz="0" w:space="0" w:color="auto"/>
      </w:divBdr>
    </w:div>
    <w:div w:id="1576546151">
      <w:bodyDiv w:val="1"/>
      <w:marLeft w:val="0"/>
      <w:marRight w:val="0"/>
      <w:marTop w:val="0"/>
      <w:marBottom w:val="0"/>
      <w:divBdr>
        <w:top w:val="none" w:sz="0" w:space="0" w:color="auto"/>
        <w:left w:val="none" w:sz="0" w:space="0" w:color="auto"/>
        <w:bottom w:val="none" w:sz="0" w:space="0" w:color="auto"/>
        <w:right w:val="none" w:sz="0" w:space="0" w:color="auto"/>
      </w:divBdr>
    </w:div>
    <w:div w:id="1582451682">
      <w:bodyDiv w:val="1"/>
      <w:marLeft w:val="0"/>
      <w:marRight w:val="0"/>
      <w:marTop w:val="0"/>
      <w:marBottom w:val="0"/>
      <w:divBdr>
        <w:top w:val="none" w:sz="0" w:space="0" w:color="auto"/>
        <w:left w:val="none" w:sz="0" w:space="0" w:color="auto"/>
        <w:bottom w:val="none" w:sz="0" w:space="0" w:color="auto"/>
        <w:right w:val="none" w:sz="0" w:space="0" w:color="auto"/>
      </w:divBdr>
    </w:div>
    <w:div w:id="1583760695">
      <w:bodyDiv w:val="1"/>
      <w:marLeft w:val="0"/>
      <w:marRight w:val="0"/>
      <w:marTop w:val="0"/>
      <w:marBottom w:val="0"/>
      <w:divBdr>
        <w:top w:val="none" w:sz="0" w:space="0" w:color="auto"/>
        <w:left w:val="none" w:sz="0" w:space="0" w:color="auto"/>
        <w:bottom w:val="none" w:sz="0" w:space="0" w:color="auto"/>
        <w:right w:val="none" w:sz="0" w:space="0" w:color="auto"/>
      </w:divBdr>
    </w:div>
    <w:div w:id="1588416159">
      <w:bodyDiv w:val="1"/>
      <w:marLeft w:val="0"/>
      <w:marRight w:val="0"/>
      <w:marTop w:val="0"/>
      <w:marBottom w:val="0"/>
      <w:divBdr>
        <w:top w:val="none" w:sz="0" w:space="0" w:color="auto"/>
        <w:left w:val="none" w:sz="0" w:space="0" w:color="auto"/>
        <w:bottom w:val="none" w:sz="0" w:space="0" w:color="auto"/>
        <w:right w:val="none" w:sz="0" w:space="0" w:color="auto"/>
      </w:divBdr>
    </w:div>
    <w:div w:id="1590652079">
      <w:bodyDiv w:val="1"/>
      <w:marLeft w:val="0"/>
      <w:marRight w:val="0"/>
      <w:marTop w:val="0"/>
      <w:marBottom w:val="0"/>
      <w:divBdr>
        <w:top w:val="none" w:sz="0" w:space="0" w:color="auto"/>
        <w:left w:val="none" w:sz="0" w:space="0" w:color="auto"/>
        <w:bottom w:val="none" w:sz="0" w:space="0" w:color="auto"/>
        <w:right w:val="none" w:sz="0" w:space="0" w:color="auto"/>
      </w:divBdr>
    </w:div>
    <w:div w:id="1590961122">
      <w:bodyDiv w:val="1"/>
      <w:marLeft w:val="0"/>
      <w:marRight w:val="0"/>
      <w:marTop w:val="0"/>
      <w:marBottom w:val="0"/>
      <w:divBdr>
        <w:top w:val="none" w:sz="0" w:space="0" w:color="auto"/>
        <w:left w:val="none" w:sz="0" w:space="0" w:color="auto"/>
        <w:bottom w:val="none" w:sz="0" w:space="0" w:color="auto"/>
        <w:right w:val="none" w:sz="0" w:space="0" w:color="auto"/>
      </w:divBdr>
    </w:div>
    <w:div w:id="1591162057">
      <w:bodyDiv w:val="1"/>
      <w:marLeft w:val="0"/>
      <w:marRight w:val="0"/>
      <w:marTop w:val="0"/>
      <w:marBottom w:val="0"/>
      <w:divBdr>
        <w:top w:val="none" w:sz="0" w:space="0" w:color="auto"/>
        <w:left w:val="none" w:sz="0" w:space="0" w:color="auto"/>
        <w:bottom w:val="none" w:sz="0" w:space="0" w:color="auto"/>
        <w:right w:val="none" w:sz="0" w:space="0" w:color="auto"/>
      </w:divBdr>
    </w:div>
    <w:div w:id="1604147905">
      <w:bodyDiv w:val="1"/>
      <w:marLeft w:val="0"/>
      <w:marRight w:val="0"/>
      <w:marTop w:val="0"/>
      <w:marBottom w:val="0"/>
      <w:divBdr>
        <w:top w:val="none" w:sz="0" w:space="0" w:color="auto"/>
        <w:left w:val="none" w:sz="0" w:space="0" w:color="auto"/>
        <w:bottom w:val="none" w:sz="0" w:space="0" w:color="auto"/>
        <w:right w:val="none" w:sz="0" w:space="0" w:color="auto"/>
      </w:divBdr>
    </w:div>
    <w:div w:id="1610040916">
      <w:bodyDiv w:val="1"/>
      <w:marLeft w:val="0"/>
      <w:marRight w:val="0"/>
      <w:marTop w:val="0"/>
      <w:marBottom w:val="0"/>
      <w:divBdr>
        <w:top w:val="none" w:sz="0" w:space="0" w:color="auto"/>
        <w:left w:val="none" w:sz="0" w:space="0" w:color="auto"/>
        <w:bottom w:val="none" w:sz="0" w:space="0" w:color="auto"/>
        <w:right w:val="none" w:sz="0" w:space="0" w:color="auto"/>
      </w:divBdr>
    </w:div>
    <w:div w:id="1617954369">
      <w:bodyDiv w:val="1"/>
      <w:marLeft w:val="0"/>
      <w:marRight w:val="0"/>
      <w:marTop w:val="0"/>
      <w:marBottom w:val="0"/>
      <w:divBdr>
        <w:top w:val="none" w:sz="0" w:space="0" w:color="auto"/>
        <w:left w:val="none" w:sz="0" w:space="0" w:color="auto"/>
        <w:bottom w:val="none" w:sz="0" w:space="0" w:color="auto"/>
        <w:right w:val="none" w:sz="0" w:space="0" w:color="auto"/>
      </w:divBdr>
    </w:div>
    <w:div w:id="1620069977">
      <w:bodyDiv w:val="1"/>
      <w:marLeft w:val="0"/>
      <w:marRight w:val="0"/>
      <w:marTop w:val="0"/>
      <w:marBottom w:val="0"/>
      <w:divBdr>
        <w:top w:val="none" w:sz="0" w:space="0" w:color="auto"/>
        <w:left w:val="none" w:sz="0" w:space="0" w:color="auto"/>
        <w:bottom w:val="none" w:sz="0" w:space="0" w:color="auto"/>
        <w:right w:val="none" w:sz="0" w:space="0" w:color="auto"/>
      </w:divBdr>
    </w:div>
    <w:div w:id="1627083275">
      <w:bodyDiv w:val="1"/>
      <w:marLeft w:val="0"/>
      <w:marRight w:val="0"/>
      <w:marTop w:val="0"/>
      <w:marBottom w:val="0"/>
      <w:divBdr>
        <w:top w:val="none" w:sz="0" w:space="0" w:color="auto"/>
        <w:left w:val="none" w:sz="0" w:space="0" w:color="auto"/>
        <w:bottom w:val="none" w:sz="0" w:space="0" w:color="auto"/>
        <w:right w:val="none" w:sz="0" w:space="0" w:color="auto"/>
      </w:divBdr>
    </w:div>
    <w:div w:id="1630549442">
      <w:bodyDiv w:val="1"/>
      <w:marLeft w:val="0"/>
      <w:marRight w:val="0"/>
      <w:marTop w:val="0"/>
      <w:marBottom w:val="0"/>
      <w:divBdr>
        <w:top w:val="none" w:sz="0" w:space="0" w:color="auto"/>
        <w:left w:val="none" w:sz="0" w:space="0" w:color="auto"/>
        <w:bottom w:val="none" w:sz="0" w:space="0" w:color="auto"/>
        <w:right w:val="none" w:sz="0" w:space="0" w:color="auto"/>
      </w:divBdr>
    </w:div>
    <w:div w:id="1634869329">
      <w:bodyDiv w:val="1"/>
      <w:marLeft w:val="0"/>
      <w:marRight w:val="0"/>
      <w:marTop w:val="0"/>
      <w:marBottom w:val="0"/>
      <w:divBdr>
        <w:top w:val="none" w:sz="0" w:space="0" w:color="auto"/>
        <w:left w:val="none" w:sz="0" w:space="0" w:color="auto"/>
        <w:bottom w:val="none" w:sz="0" w:space="0" w:color="auto"/>
        <w:right w:val="none" w:sz="0" w:space="0" w:color="auto"/>
      </w:divBdr>
    </w:div>
    <w:div w:id="1638366622">
      <w:bodyDiv w:val="1"/>
      <w:marLeft w:val="0"/>
      <w:marRight w:val="0"/>
      <w:marTop w:val="0"/>
      <w:marBottom w:val="0"/>
      <w:divBdr>
        <w:top w:val="none" w:sz="0" w:space="0" w:color="auto"/>
        <w:left w:val="none" w:sz="0" w:space="0" w:color="auto"/>
        <w:bottom w:val="none" w:sz="0" w:space="0" w:color="auto"/>
        <w:right w:val="none" w:sz="0" w:space="0" w:color="auto"/>
      </w:divBdr>
    </w:div>
    <w:div w:id="1638411466">
      <w:bodyDiv w:val="1"/>
      <w:marLeft w:val="0"/>
      <w:marRight w:val="0"/>
      <w:marTop w:val="0"/>
      <w:marBottom w:val="0"/>
      <w:divBdr>
        <w:top w:val="none" w:sz="0" w:space="0" w:color="auto"/>
        <w:left w:val="none" w:sz="0" w:space="0" w:color="auto"/>
        <w:bottom w:val="none" w:sz="0" w:space="0" w:color="auto"/>
        <w:right w:val="none" w:sz="0" w:space="0" w:color="auto"/>
      </w:divBdr>
    </w:div>
    <w:div w:id="1643775333">
      <w:bodyDiv w:val="1"/>
      <w:marLeft w:val="0"/>
      <w:marRight w:val="0"/>
      <w:marTop w:val="0"/>
      <w:marBottom w:val="0"/>
      <w:divBdr>
        <w:top w:val="none" w:sz="0" w:space="0" w:color="auto"/>
        <w:left w:val="none" w:sz="0" w:space="0" w:color="auto"/>
        <w:bottom w:val="none" w:sz="0" w:space="0" w:color="auto"/>
        <w:right w:val="none" w:sz="0" w:space="0" w:color="auto"/>
      </w:divBdr>
    </w:div>
    <w:div w:id="1644042124">
      <w:bodyDiv w:val="1"/>
      <w:marLeft w:val="0"/>
      <w:marRight w:val="0"/>
      <w:marTop w:val="0"/>
      <w:marBottom w:val="0"/>
      <w:divBdr>
        <w:top w:val="none" w:sz="0" w:space="0" w:color="auto"/>
        <w:left w:val="none" w:sz="0" w:space="0" w:color="auto"/>
        <w:bottom w:val="none" w:sz="0" w:space="0" w:color="auto"/>
        <w:right w:val="none" w:sz="0" w:space="0" w:color="auto"/>
      </w:divBdr>
    </w:div>
    <w:div w:id="1647123962">
      <w:bodyDiv w:val="1"/>
      <w:marLeft w:val="0"/>
      <w:marRight w:val="0"/>
      <w:marTop w:val="0"/>
      <w:marBottom w:val="0"/>
      <w:divBdr>
        <w:top w:val="none" w:sz="0" w:space="0" w:color="auto"/>
        <w:left w:val="none" w:sz="0" w:space="0" w:color="auto"/>
        <w:bottom w:val="none" w:sz="0" w:space="0" w:color="auto"/>
        <w:right w:val="none" w:sz="0" w:space="0" w:color="auto"/>
      </w:divBdr>
    </w:div>
    <w:div w:id="1647589044">
      <w:bodyDiv w:val="1"/>
      <w:marLeft w:val="0"/>
      <w:marRight w:val="0"/>
      <w:marTop w:val="0"/>
      <w:marBottom w:val="0"/>
      <w:divBdr>
        <w:top w:val="none" w:sz="0" w:space="0" w:color="auto"/>
        <w:left w:val="none" w:sz="0" w:space="0" w:color="auto"/>
        <w:bottom w:val="none" w:sz="0" w:space="0" w:color="auto"/>
        <w:right w:val="none" w:sz="0" w:space="0" w:color="auto"/>
      </w:divBdr>
    </w:div>
    <w:div w:id="1652951087">
      <w:bodyDiv w:val="1"/>
      <w:marLeft w:val="0"/>
      <w:marRight w:val="0"/>
      <w:marTop w:val="0"/>
      <w:marBottom w:val="0"/>
      <w:divBdr>
        <w:top w:val="none" w:sz="0" w:space="0" w:color="auto"/>
        <w:left w:val="none" w:sz="0" w:space="0" w:color="auto"/>
        <w:bottom w:val="none" w:sz="0" w:space="0" w:color="auto"/>
        <w:right w:val="none" w:sz="0" w:space="0" w:color="auto"/>
      </w:divBdr>
      <w:divsChild>
        <w:div w:id="386800297">
          <w:marLeft w:val="0"/>
          <w:marRight w:val="0"/>
          <w:marTop w:val="34"/>
          <w:marBottom w:val="34"/>
          <w:divBdr>
            <w:top w:val="none" w:sz="0" w:space="0" w:color="auto"/>
            <w:left w:val="none" w:sz="0" w:space="0" w:color="auto"/>
            <w:bottom w:val="none" w:sz="0" w:space="0" w:color="auto"/>
            <w:right w:val="none" w:sz="0" w:space="0" w:color="auto"/>
          </w:divBdr>
        </w:div>
      </w:divsChild>
    </w:div>
    <w:div w:id="1657225673">
      <w:bodyDiv w:val="1"/>
      <w:marLeft w:val="0"/>
      <w:marRight w:val="0"/>
      <w:marTop w:val="0"/>
      <w:marBottom w:val="0"/>
      <w:divBdr>
        <w:top w:val="none" w:sz="0" w:space="0" w:color="auto"/>
        <w:left w:val="none" w:sz="0" w:space="0" w:color="auto"/>
        <w:bottom w:val="none" w:sz="0" w:space="0" w:color="auto"/>
        <w:right w:val="none" w:sz="0" w:space="0" w:color="auto"/>
      </w:divBdr>
    </w:div>
    <w:div w:id="1674722092">
      <w:bodyDiv w:val="1"/>
      <w:marLeft w:val="0"/>
      <w:marRight w:val="0"/>
      <w:marTop w:val="0"/>
      <w:marBottom w:val="0"/>
      <w:divBdr>
        <w:top w:val="none" w:sz="0" w:space="0" w:color="auto"/>
        <w:left w:val="none" w:sz="0" w:space="0" w:color="auto"/>
        <w:bottom w:val="none" w:sz="0" w:space="0" w:color="auto"/>
        <w:right w:val="none" w:sz="0" w:space="0" w:color="auto"/>
      </w:divBdr>
    </w:div>
    <w:div w:id="1679429927">
      <w:bodyDiv w:val="1"/>
      <w:marLeft w:val="0"/>
      <w:marRight w:val="0"/>
      <w:marTop w:val="0"/>
      <w:marBottom w:val="0"/>
      <w:divBdr>
        <w:top w:val="none" w:sz="0" w:space="0" w:color="auto"/>
        <w:left w:val="none" w:sz="0" w:space="0" w:color="auto"/>
        <w:bottom w:val="none" w:sz="0" w:space="0" w:color="auto"/>
        <w:right w:val="none" w:sz="0" w:space="0" w:color="auto"/>
      </w:divBdr>
    </w:div>
    <w:div w:id="1680043558">
      <w:bodyDiv w:val="1"/>
      <w:marLeft w:val="0"/>
      <w:marRight w:val="0"/>
      <w:marTop w:val="0"/>
      <w:marBottom w:val="0"/>
      <w:divBdr>
        <w:top w:val="none" w:sz="0" w:space="0" w:color="auto"/>
        <w:left w:val="none" w:sz="0" w:space="0" w:color="auto"/>
        <w:bottom w:val="none" w:sz="0" w:space="0" w:color="auto"/>
        <w:right w:val="none" w:sz="0" w:space="0" w:color="auto"/>
      </w:divBdr>
    </w:div>
    <w:div w:id="1680694220">
      <w:bodyDiv w:val="1"/>
      <w:marLeft w:val="0"/>
      <w:marRight w:val="0"/>
      <w:marTop w:val="0"/>
      <w:marBottom w:val="0"/>
      <w:divBdr>
        <w:top w:val="none" w:sz="0" w:space="0" w:color="auto"/>
        <w:left w:val="none" w:sz="0" w:space="0" w:color="auto"/>
        <w:bottom w:val="none" w:sz="0" w:space="0" w:color="auto"/>
        <w:right w:val="none" w:sz="0" w:space="0" w:color="auto"/>
      </w:divBdr>
    </w:div>
    <w:div w:id="1698653397">
      <w:bodyDiv w:val="1"/>
      <w:marLeft w:val="0"/>
      <w:marRight w:val="0"/>
      <w:marTop w:val="0"/>
      <w:marBottom w:val="0"/>
      <w:divBdr>
        <w:top w:val="none" w:sz="0" w:space="0" w:color="auto"/>
        <w:left w:val="none" w:sz="0" w:space="0" w:color="auto"/>
        <w:bottom w:val="none" w:sz="0" w:space="0" w:color="auto"/>
        <w:right w:val="none" w:sz="0" w:space="0" w:color="auto"/>
      </w:divBdr>
    </w:div>
    <w:div w:id="1709914726">
      <w:bodyDiv w:val="1"/>
      <w:marLeft w:val="0"/>
      <w:marRight w:val="0"/>
      <w:marTop w:val="0"/>
      <w:marBottom w:val="0"/>
      <w:divBdr>
        <w:top w:val="none" w:sz="0" w:space="0" w:color="auto"/>
        <w:left w:val="none" w:sz="0" w:space="0" w:color="auto"/>
        <w:bottom w:val="none" w:sz="0" w:space="0" w:color="auto"/>
        <w:right w:val="none" w:sz="0" w:space="0" w:color="auto"/>
      </w:divBdr>
    </w:div>
    <w:div w:id="1717654396">
      <w:bodyDiv w:val="1"/>
      <w:marLeft w:val="0"/>
      <w:marRight w:val="0"/>
      <w:marTop w:val="0"/>
      <w:marBottom w:val="0"/>
      <w:divBdr>
        <w:top w:val="none" w:sz="0" w:space="0" w:color="auto"/>
        <w:left w:val="none" w:sz="0" w:space="0" w:color="auto"/>
        <w:bottom w:val="none" w:sz="0" w:space="0" w:color="auto"/>
        <w:right w:val="none" w:sz="0" w:space="0" w:color="auto"/>
      </w:divBdr>
    </w:div>
    <w:div w:id="1723946279">
      <w:bodyDiv w:val="1"/>
      <w:marLeft w:val="0"/>
      <w:marRight w:val="0"/>
      <w:marTop w:val="0"/>
      <w:marBottom w:val="0"/>
      <w:divBdr>
        <w:top w:val="none" w:sz="0" w:space="0" w:color="auto"/>
        <w:left w:val="none" w:sz="0" w:space="0" w:color="auto"/>
        <w:bottom w:val="none" w:sz="0" w:space="0" w:color="auto"/>
        <w:right w:val="none" w:sz="0" w:space="0" w:color="auto"/>
      </w:divBdr>
      <w:divsChild>
        <w:div w:id="1428112825">
          <w:marLeft w:val="0"/>
          <w:marRight w:val="0"/>
          <w:marTop w:val="34"/>
          <w:marBottom w:val="34"/>
          <w:divBdr>
            <w:top w:val="none" w:sz="0" w:space="0" w:color="auto"/>
            <w:left w:val="none" w:sz="0" w:space="0" w:color="auto"/>
            <w:bottom w:val="none" w:sz="0" w:space="0" w:color="auto"/>
            <w:right w:val="none" w:sz="0" w:space="0" w:color="auto"/>
          </w:divBdr>
        </w:div>
      </w:divsChild>
    </w:div>
    <w:div w:id="1728719731">
      <w:bodyDiv w:val="1"/>
      <w:marLeft w:val="0"/>
      <w:marRight w:val="0"/>
      <w:marTop w:val="0"/>
      <w:marBottom w:val="0"/>
      <w:divBdr>
        <w:top w:val="none" w:sz="0" w:space="0" w:color="auto"/>
        <w:left w:val="none" w:sz="0" w:space="0" w:color="auto"/>
        <w:bottom w:val="none" w:sz="0" w:space="0" w:color="auto"/>
        <w:right w:val="none" w:sz="0" w:space="0" w:color="auto"/>
      </w:divBdr>
    </w:div>
    <w:div w:id="1729303586">
      <w:bodyDiv w:val="1"/>
      <w:marLeft w:val="0"/>
      <w:marRight w:val="0"/>
      <w:marTop w:val="0"/>
      <w:marBottom w:val="0"/>
      <w:divBdr>
        <w:top w:val="none" w:sz="0" w:space="0" w:color="auto"/>
        <w:left w:val="none" w:sz="0" w:space="0" w:color="auto"/>
        <w:bottom w:val="none" w:sz="0" w:space="0" w:color="auto"/>
        <w:right w:val="none" w:sz="0" w:space="0" w:color="auto"/>
      </w:divBdr>
    </w:div>
    <w:div w:id="1732918250">
      <w:bodyDiv w:val="1"/>
      <w:marLeft w:val="0"/>
      <w:marRight w:val="0"/>
      <w:marTop w:val="0"/>
      <w:marBottom w:val="0"/>
      <w:divBdr>
        <w:top w:val="none" w:sz="0" w:space="0" w:color="auto"/>
        <w:left w:val="none" w:sz="0" w:space="0" w:color="auto"/>
        <w:bottom w:val="none" w:sz="0" w:space="0" w:color="auto"/>
        <w:right w:val="none" w:sz="0" w:space="0" w:color="auto"/>
      </w:divBdr>
      <w:divsChild>
        <w:div w:id="423915464">
          <w:marLeft w:val="0"/>
          <w:marRight w:val="0"/>
          <w:marTop w:val="34"/>
          <w:marBottom w:val="34"/>
          <w:divBdr>
            <w:top w:val="none" w:sz="0" w:space="0" w:color="auto"/>
            <w:left w:val="none" w:sz="0" w:space="0" w:color="auto"/>
            <w:bottom w:val="none" w:sz="0" w:space="0" w:color="auto"/>
            <w:right w:val="none" w:sz="0" w:space="0" w:color="auto"/>
          </w:divBdr>
        </w:div>
      </w:divsChild>
    </w:div>
    <w:div w:id="1733312942">
      <w:bodyDiv w:val="1"/>
      <w:marLeft w:val="0"/>
      <w:marRight w:val="0"/>
      <w:marTop w:val="0"/>
      <w:marBottom w:val="0"/>
      <w:divBdr>
        <w:top w:val="none" w:sz="0" w:space="0" w:color="auto"/>
        <w:left w:val="none" w:sz="0" w:space="0" w:color="auto"/>
        <w:bottom w:val="none" w:sz="0" w:space="0" w:color="auto"/>
        <w:right w:val="none" w:sz="0" w:space="0" w:color="auto"/>
      </w:divBdr>
    </w:div>
    <w:div w:id="1733845539">
      <w:bodyDiv w:val="1"/>
      <w:marLeft w:val="0"/>
      <w:marRight w:val="0"/>
      <w:marTop w:val="0"/>
      <w:marBottom w:val="0"/>
      <w:divBdr>
        <w:top w:val="none" w:sz="0" w:space="0" w:color="auto"/>
        <w:left w:val="none" w:sz="0" w:space="0" w:color="auto"/>
        <w:bottom w:val="none" w:sz="0" w:space="0" w:color="auto"/>
        <w:right w:val="none" w:sz="0" w:space="0" w:color="auto"/>
      </w:divBdr>
    </w:div>
    <w:div w:id="1739207079">
      <w:bodyDiv w:val="1"/>
      <w:marLeft w:val="0"/>
      <w:marRight w:val="0"/>
      <w:marTop w:val="0"/>
      <w:marBottom w:val="0"/>
      <w:divBdr>
        <w:top w:val="none" w:sz="0" w:space="0" w:color="auto"/>
        <w:left w:val="none" w:sz="0" w:space="0" w:color="auto"/>
        <w:bottom w:val="none" w:sz="0" w:space="0" w:color="auto"/>
        <w:right w:val="none" w:sz="0" w:space="0" w:color="auto"/>
      </w:divBdr>
    </w:div>
    <w:div w:id="1756391785">
      <w:bodyDiv w:val="1"/>
      <w:marLeft w:val="0"/>
      <w:marRight w:val="0"/>
      <w:marTop w:val="0"/>
      <w:marBottom w:val="0"/>
      <w:divBdr>
        <w:top w:val="none" w:sz="0" w:space="0" w:color="auto"/>
        <w:left w:val="none" w:sz="0" w:space="0" w:color="auto"/>
        <w:bottom w:val="none" w:sz="0" w:space="0" w:color="auto"/>
        <w:right w:val="none" w:sz="0" w:space="0" w:color="auto"/>
      </w:divBdr>
    </w:div>
    <w:div w:id="1759522084">
      <w:bodyDiv w:val="1"/>
      <w:marLeft w:val="0"/>
      <w:marRight w:val="0"/>
      <w:marTop w:val="0"/>
      <w:marBottom w:val="0"/>
      <w:divBdr>
        <w:top w:val="none" w:sz="0" w:space="0" w:color="auto"/>
        <w:left w:val="none" w:sz="0" w:space="0" w:color="auto"/>
        <w:bottom w:val="none" w:sz="0" w:space="0" w:color="auto"/>
        <w:right w:val="none" w:sz="0" w:space="0" w:color="auto"/>
      </w:divBdr>
    </w:div>
    <w:div w:id="1767769052">
      <w:bodyDiv w:val="1"/>
      <w:marLeft w:val="0"/>
      <w:marRight w:val="0"/>
      <w:marTop w:val="0"/>
      <w:marBottom w:val="0"/>
      <w:divBdr>
        <w:top w:val="none" w:sz="0" w:space="0" w:color="auto"/>
        <w:left w:val="none" w:sz="0" w:space="0" w:color="auto"/>
        <w:bottom w:val="none" w:sz="0" w:space="0" w:color="auto"/>
        <w:right w:val="none" w:sz="0" w:space="0" w:color="auto"/>
      </w:divBdr>
    </w:div>
    <w:div w:id="1767769393">
      <w:bodyDiv w:val="1"/>
      <w:marLeft w:val="0"/>
      <w:marRight w:val="0"/>
      <w:marTop w:val="0"/>
      <w:marBottom w:val="0"/>
      <w:divBdr>
        <w:top w:val="none" w:sz="0" w:space="0" w:color="auto"/>
        <w:left w:val="none" w:sz="0" w:space="0" w:color="auto"/>
        <w:bottom w:val="none" w:sz="0" w:space="0" w:color="auto"/>
        <w:right w:val="none" w:sz="0" w:space="0" w:color="auto"/>
      </w:divBdr>
    </w:div>
    <w:div w:id="1772775066">
      <w:bodyDiv w:val="1"/>
      <w:marLeft w:val="0"/>
      <w:marRight w:val="0"/>
      <w:marTop w:val="0"/>
      <w:marBottom w:val="0"/>
      <w:divBdr>
        <w:top w:val="none" w:sz="0" w:space="0" w:color="auto"/>
        <w:left w:val="none" w:sz="0" w:space="0" w:color="auto"/>
        <w:bottom w:val="none" w:sz="0" w:space="0" w:color="auto"/>
        <w:right w:val="none" w:sz="0" w:space="0" w:color="auto"/>
      </w:divBdr>
    </w:div>
    <w:div w:id="1778796649">
      <w:bodyDiv w:val="1"/>
      <w:marLeft w:val="0"/>
      <w:marRight w:val="0"/>
      <w:marTop w:val="0"/>
      <w:marBottom w:val="0"/>
      <w:divBdr>
        <w:top w:val="none" w:sz="0" w:space="0" w:color="auto"/>
        <w:left w:val="none" w:sz="0" w:space="0" w:color="auto"/>
        <w:bottom w:val="none" w:sz="0" w:space="0" w:color="auto"/>
        <w:right w:val="none" w:sz="0" w:space="0" w:color="auto"/>
      </w:divBdr>
    </w:div>
    <w:div w:id="1780757222">
      <w:bodyDiv w:val="1"/>
      <w:marLeft w:val="0"/>
      <w:marRight w:val="0"/>
      <w:marTop w:val="0"/>
      <w:marBottom w:val="0"/>
      <w:divBdr>
        <w:top w:val="none" w:sz="0" w:space="0" w:color="auto"/>
        <w:left w:val="none" w:sz="0" w:space="0" w:color="auto"/>
        <w:bottom w:val="none" w:sz="0" w:space="0" w:color="auto"/>
        <w:right w:val="none" w:sz="0" w:space="0" w:color="auto"/>
      </w:divBdr>
    </w:div>
    <w:div w:id="1781754068">
      <w:bodyDiv w:val="1"/>
      <w:marLeft w:val="0"/>
      <w:marRight w:val="0"/>
      <w:marTop w:val="0"/>
      <w:marBottom w:val="0"/>
      <w:divBdr>
        <w:top w:val="none" w:sz="0" w:space="0" w:color="auto"/>
        <w:left w:val="none" w:sz="0" w:space="0" w:color="auto"/>
        <w:bottom w:val="none" w:sz="0" w:space="0" w:color="auto"/>
        <w:right w:val="none" w:sz="0" w:space="0" w:color="auto"/>
      </w:divBdr>
    </w:div>
    <w:div w:id="1782723002">
      <w:bodyDiv w:val="1"/>
      <w:marLeft w:val="0"/>
      <w:marRight w:val="0"/>
      <w:marTop w:val="0"/>
      <w:marBottom w:val="0"/>
      <w:divBdr>
        <w:top w:val="none" w:sz="0" w:space="0" w:color="auto"/>
        <w:left w:val="none" w:sz="0" w:space="0" w:color="auto"/>
        <w:bottom w:val="none" w:sz="0" w:space="0" w:color="auto"/>
        <w:right w:val="none" w:sz="0" w:space="0" w:color="auto"/>
      </w:divBdr>
    </w:div>
    <w:div w:id="1784693582">
      <w:bodyDiv w:val="1"/>
      <w:marLeft w:val="0"/>
      <w:marRight w:val="0"/>
      <w:marTop w:val="0"/>
      <w:marBottom w:val="0"/>
      <w:divBdr>
        <w:top w:val="none" w:sz="0" w:space="0" w:color="auto"/>
        <w:left w:val="none" w:sz="0" w:space="0" w:color="auto"/>
        <w:bottom w:val="none" w:sz="0" w:space="0" w:color="auto"/>
        <w:right w:val="none" w:sz="0" w:space="0" w:color="auto"/>
      </w:divBdr>
    </w:div>
    <w:div w:id="1790509072">
      <w:bodyDiv w:val="1"/>
      <w:marLeft w:val="0"/>
      <w:marRight w:val="0"/>
      <w:marTop w:val="0"/>
      <w:marBottom w:val="0"/>
      <w:divBdr>
        <w:top w:val="none" w:sz="0" w:space="0" w:color="auto"/>
        <w:left w:val="none" w:sz="0" w:space="0" w:color="auto"/>
        <w:bottom w:val="none" w:sz="0" w:space="0" w:color="auto"/>
        <w:right w:val="none" w:sz="0" w:space="0" w:color="auto"/>
      </w:divBdr>
    </w:div>
    <w:div w:id="1793160600">
      <w:bodyDiv w:val="1"/>
      <w:marLeft w:val="0"/>
      <w:marRight w:val="0"/>
      <w:marTop w:val="0"/>
      <w:marBottom w:val="0"/>
      <w:divBdr>
        <w:top w:val="none" w:sz="0" w:space="0" w:color="auto"/>
        <w:left w:val="none" w:sz="0" w:space="0" w:color="auto"/>
        <w:bottom w:val="none" w:sz="0" w:space="0" w:color="auto"/>
        <w:right w:val="none" w:sz="0" w:space="0" w:color="auto"/>
      </w:divBdr>
    </w:div>
    <w:div w:id="1795057552">
      <w:bodyDiv w:val="1"/>
      <w:marLeft w:val="0"/>
      <w:marRight w:val="0"/>
      <w:marTop w:val="0"/>
      <w:marBottom w:val="0"/>
      <w:divBdr>
        <w:top w:val="none" w:sz="0" w:space="0" w:color="auto"/>
        <w:left w:val="none" w:sz="0" w:space="0" w:color="auto"/>
        <w:bottom w:val="none" w:sz="0" w:space="0" w:color="auto"/>
        <w:right w:val="none" w:sz="0" w:space="0" w:color="auto"/>
      </w:divBdr>
    </w:div>
    <w:div w:id="1807892222">
      <w:bodyDiv w:val="1"/>
      <w:marLeft w:val="0"/>
      <w:marRight w:val="0"/>
      <w:marTop w:val="0"/>
      <w:marBottom w:val="0"/>
      <w:divBdr>
        <w:top w:val="none" w:sz="0" w:space="0" w:color="auto"/>
        <w:left w:val="none" w:sz="0" w:space="0" w:color="auto"/>
        <w:bottom w:val="none" w:sz="0" w:space="0" w:color="auto"/>
        <w:right w:val="none" w:sz="0" w:space="0" w:color="auto"/>
      </w:divBdr>
    </w:div>
    <w:div w:id="1808158947">
      <w:bodyDiv w:val="1"/>
      <w:marLeft w:val="0"/>
      <w:marRight w:val="0"/>
      <w:marTop w:val="0"/>
      <w:marBottom w:val="0"/>
      <w:divBdr>
        <w:top w:val="none" w:sz="0" w:space="0" w:color="auto"/>
        <w:left w:val="none" w:sz="0" w:space="0" w:color="auto"/>
        <w:bottom w:val="none" w:sz="0" w:space="0" w:color="auto"/>
        <w:right w:val="none" w:sz="0" w:space="0" w:color="auto"/>
      </w:divBdr>
    </w:div>
    <w:div w:id="1811241300">
      <w:bodyDiv w:val="1"/>
      <w:marLeft w:val="0"/>
      <w:marRight w:val="0"/>
      <w:marTop w:val="0"/>
      <w:marBottom w:val="0"/>
      <w:divBdr>
        <w:top w:val="none" w:sz="0" w:space="0" w:color="auto"/>
        <w:left w:val="none" w:sz="0" w:space="0" w:color="auto"/>
        <w:bottom w:val="none" w:sz="0" w:space="0" w:color="auto"/>
        <w:right w:val="none" w:sz="0" w:space="0" w:color="auto"/>
      </w:divBdr>
    </w:div>
    <w:div w:id="1816988392">
      <w:bodyDiv w:val="1"/>
      <w:marLeft w:val="0"/>
      <w:marRight w:val="0"/>
      <w:marTop w:val="0"/>
      <w:marBottom w:val="0"/>
      <w:divBdr>
        <w:top w:val="none" w:sz="0" w:space="0" w:color="auto"/>
        <w:left w:val="none" w:sz="0" w:space="0" w:color="auto"/>
        <w:bottom w:val="none" w:sz="0" w:space="0" w:color="auto"/>
        <w:right w:val="none" w:sz="0" w:space="0" w:color="auto"/>
      </w:divBdr>
    </w:div>
    <w:div w:id="1824468788">
      <w:bodyDiv w:val="1"/>
      <w:marLeft w:val="0"/>
      <w:marRight w:val="0"/>
      <w:marTop w:val="0"/>
      <w:marBottom w:val="0"/>
      <w:divBdr>
        <w:top w:val="none" w:sz="0" w:space="0" w:color="auto"/>
        <w:left w:val="none" w:sz="0" w:space="0" w:color="auto"/>
        <w:bottom w:val="none" w:sz="0" w:space="0" w:color="auto"/>
        <w:right w:val="none" w:sz="0" w:space="0" w:color="auto"/>
      </w:divBdr>
    </w:div>
    <w:div w:id="1826051155">
      <w:bodyDiv w:val="1"/>
      <w:marLeft w:val="0"/>
      <w:marRight w:val="0"/>
      <w:marTop w:val="0"/>
      <w:marBottom w:val="0"/>
      <w:divBdr>
        <w:top w:val="none" w:sz="0" w:space="0" w:color="auto"/>
        <w:left w:val="none" w:sz="0" w:space="0" w:color="auto"/>
        <w:bottom w:val="none" w:sz="0" w:space="0" w:color="auto"/>
        <w:right w:val="none" w:sz="0" w:space="0" w:color="auto"/>
      </w:divBdr>
    </w:div>
    <w:div w:id="1835756415">
      <w:bodyDiv w:val="1"/>
      <w:marLeft w:val="0"/>
      <w:marRight w:val="0"/>
      <w:marTop w:val="0"/>
      <w:marBottom w:val="0"/>
      <w:divBdr>
        <w:top w:val="none" w:sz="0" w:space="0" w:color="auto"/>
        <w:left w:val="none" w:sz="0" w:space="0" w:color="auto"/>
        <w:bottom w:val="none" w:sz="0" w:space="0" w:color="auto"/>
        <w:right w:val="none" w:sz="0" w:space="0" w:color="auto"/>
      </w:divBdr>
    </w:div>
    <w:div w:id="1841501173">
      <w:bodyDiv w:val="1"/>
      <w:marLeft w:val="0"/>
      <w:marRight w:val="0"/>
      <w:marTop w:val="0"/>
      <w:marBottom w:val="0"/>
      <w:divBdr>
        <w:top w:val="none" w:sz="0" w:space="0" w:color="auto"/>
        <w:left w:val="none" w:sz="0" w:space="0" w:color="auto"/>
        <w:bottom w:val="none" w:sz="0" w:space="0" w:color="auto"/>
        <w:right w:val="none" w:sz="0" w:space="0" w:color="auto"/>
      </w:divBdr>
    </w:div>
    <w:div w:id="1847405140">
      <w:bodyDiv w:val="1"/>
      <w:marLeft w:val="0"/>
      <w:marRight w:val="0"/>
      <w:marTop w:val="0"/>
      <w:marBottom w:val="0"/>
      <w:divBdr>
        <w:top w:val="none" w:sz="0" w:space="0" w:color="auto"/>
        <w:left w:val="none" w:sz="0" w:space="0" w:color="auto"/>
        <w:bottom w:val="none" w:sz="0" w:space="0" w:color="auto"/>
        <w:right w:val="none" w:sz="0" w:space="0" w:color="auto"/>
      </w:divBdr>
    </w:div>
    <w:div w:id="1848977272">
      <w:bodyDiv w:val="1"/>
      <w:marLeft w:val="0"/>
      <w:marRight w:val="0"/>
      <w:marTop w:val="0"/>
      <w:marBottom w:val="0"/>
      <w:divBdr>
        <w:top w:val="none" w:sz="0" w:space="0" w:color="auto"/>
        <w:left w:val="none" w:sz="0" w:space="0" w:color="auto"/>
        <w:bottom w:val="none" w:sz="0" w:space="0" w:color="auto"/>
        <w:right w:val="none" w:sz="0" w:space="0" w:color="auto"/>
      </w:divBdr>
    </w:div>
    <w:div w:id="1861891834">
      <w:bodyDiv w:val="1"/>
      <w:marLeft w:val="0"/>
      <w:marRight w:val="0"/>
      <w:marTop w:val="0"/>
      <w:marBottom w:val="0"/>
      <w:divBdr>
        <w:top w:val="none" w:sz="0" w:space="0" w:color="auto"/>
        <w:left w:val="none" w:sz="0" w:space="0" w:color="auto"/>
        <w:bottom w:val="none" w:sz="0" w:space="0" w:color="auto"/>
        <w:right w:val="none" w:sz="0" w:space="0" w:color="auto"/>
      </w:divBdr>
    </w:div>
    <w:div w:id="1870484481">
      <w:bodyDiv w:val="1"/>
      <w:marLeft w:val="0"/>
      <w:marRight w:val="0"/>
      <w:marTop w:val="0"/>
      <w:marBottom w:val="0"/>
      <w:divBdr>
        <w:top w:val="none" w:sz="0" w:space="0" w:color="auto"/>
        <w:left w:val="none" w:sz="0" w:space="0" w:color="auto"/>
        <w:bottom w:val="none" w:sz="0" w:space="0" w:color="auto"/>
        <w:right w:val="none" w:sz="0" w:space="0" w:color="auto"/>
      </w:divBdr>
    </w:div>
    <w:div w:id="1875191230">
      <w:bodyDiv w:val="1"/>
      <w:marLeft w:val="0"/>
      <w:marRight w:val="0"/>
      <w:marTop w:val="0"/>
      <w:marBottom w:val="0"/>
      <w:divBdr>
        <w:top w:val="none" w:sz="0" w:space="0" w:color="auto"/>
        <w:left w:val="none" w:sz="0" w:space="0" w:color="auto"/>
        <w:bottom w:val="none" w:sz="0" w:space="0" w:color="auto"/>
        <w:right w:val="none" w:sz="0" w:space="0" w:color="auto"/>
      </w:divBdr>
    </w:div>
    <w:div w:id="1891502134">
      <w:bodyDiv w:val="1"/>
      <w:marLeft w:val="0"/>
      <w:marRight w:val="0"/>
      <w:marTop w:val="0"/>
      <w:marBottom w:val="0"/>
      <w:divBdr>
        <w:top w:val="none" w:sz="0" w:space="0" w:color="auto"/>
        <w:left w:val="none" w:sz="0" w:space="0" w:color="auto"/>
        <w:bottom w:val="none" w:sz="0" w:space="0" w:color="auto"/>
        <w:right w:val="none" w:sz="0" w:space="0" w:color="auto"/>
      </w:divBdr>
    </w:div>
    <w:div w:id="1892111501">
      <w:bodyDiv w:val="1"/>
      <w:marLeft w:val="0"/>
      <w:marRight w:val="0"/>
      <w:marTop w:val="0"/>
      <w:marBottom w:val="0"/>
      <w:divBdr>
        <w:top w:val="none" w:sz="0" w:space="0" w:color="auto"/>
        <w:left w:val="none" w:sz="0" w:space="0" w:color="auto"/>
        <w:bottom w:val="none" w:sz="0" w:space="0" w:color="auto"/>
        <w:right w:val="none" w:sz="0" w:space="0" w:color="auto"/>
      </w:divBdr>
    </w:div>
    <w:div w:id="1914006033">
      <w:bodyDiv w:val="1"/>
      <w:marLeft w:val="0"/>
      <w:marRight w:val="0"/>
      <w:marTop w:val="0"/>
      <w:marBottom w:val="0"/>
      <w:divBdr>
        <w:top w:val="none" w:sz="0" w:space="0" w:color="auto"/>
        <w:left w:val="none" w:sz="0" w:space="0" w:color="auto"/>
        <w:bottom w:val="none" w:sz="0" w:space="0" w:color="auto"/>
        <w:right w:val="none" w:sz="0" w:space="0" w:color="auto"/>
      </w:divBdr>
    </w:div>
    <w:div w:id="1917125548">
      <w:bodyDiv w:val="1"/>
      <w:marLeft w:val="0"/>
      <w:marRight w:val="0"/>
      <w:marTop w:val="0"/>
      <w:marBottom w:val="0"/>
      <w:divBdr>
        <w:top w:val="none" w:sz="0" w:space="0" w:color="auto"/>
        <w:left w:val="none" w:sz="0" w:space="0" w:color="auto"/>
        <w:bottom w:val="none" w:sz="0" w:space="0" w:color="auto"/>
        <w:right w:val="none" w:sz="0" w:space="0" w:color="auto"/>
      </w:divBdr>
    </w:div>
    <w:div w:id="1935162558">
      <w:bodyDiv w:val="1"/>
      <w:marLeft w:val="0"/>
      <w:marRight w:val="0"/>
      <w:marTop w:val="0"/>
      <w:marBottom w:val="0"/>
      <w:divBdr>
        <w:top w:val="none" w:sz="0" w:space="0" w:color="auto"/>
        <w:left w:val="none" w:sz="0" w:space="0" w:color="auto"/>
        <w:bottom w:val="none" w:sz="0" w:space="0" w:color="auto"/>
        <w:right w:val="none" w:sz="0" w:space="0" w:color="auto"/>
      </w:divBdr>
      <w:divsChild>
        <w:div w:id="277102843">
          <w:marLeft w:val="0"/>
          <w:marRight w:val="0"/>
          <w:marTop w:val="166"/>
          <w:marBottom w:val="166"/>
          <w:divBdr>
            <w:top w:val="none" w:sz="0" w:space="0" w:color="auto"/>
            <w:left w:val="none" w:sz="0" w:space="0" w:color="auto"/>
            <w:bottom w:val="none" w:sz="0" w:space="0" w:color="auto"/>
            <w:right w:val="none" w:sz="0" w:space="0" w:color="auto"/>
          </w:divBdr>
        </w:div>
        <w:div w:id="106045684">
          <w:marLeft w:val="0"/>
          <w:marRight w:val="0"/>
          <w:marTop w:val="166"/>
          <w:marBottom w:val="166"/>
          <w:divBdr>
            <w:top w:val="none" w:sz="0" w:space="0" w:color="auto"/>
            <w:left w:val="none" w:sz="0" w:space="0" w:color="auto"/>
            <w:bottom w:val="none" w:sz="0" w:space="0" w:color="auto"/>
            <w:right w:val="none" w:sz="0" w:space="0" w:color="auto"/>
          </w:divBdr>
        </w:div>
        <w:div w:id="1053503531">
          <w:marLeft w:val="0"/>
          <w:marRight w:val="0"/>
          <w:marTop w:val="166"/>
          <w:marBottom w:val="166"/>
          <w:divBdr>
            <w:top w:val="none" w:sz="0" w:space="0" w:color="auto"/>
            <w:left w:val="none" w:sz="0" w:space="0" w:color="auto"/>
            <w:bottom w:val="none" w:sz="0" w:space="0" w:color="auto"/>
            <w:right w:val="none" w:sz="0" w:space="0" w:color="auto"/>
          </w:divBdr>
        </w:div>
        <w:div w:id="1855420724">
          <w:marLeft w:val="0"/>
          <w:marRight w:val="0"/>
          <w:marTop w:val="166"/>
          <w:marBottom w:val="166"/>
          <w:divBdr>
            <w:top w:val="none" w:sz="0" w:space="0" w:color="auto"/>
            <w:left w:val="none" w:sz="0" w:space="0" w:color="auto"/>
            <w:bottom w:val="none" w:sz="0" w:space="0" w:color="auto"/>
            <w:right w:val="none" w:sz="0" w:space="0" w:color="auto"/>
          </w:divBdr>
        </w:div>
        <w:div w:id="2003971384">
          <w:marLeft w:val="0"/>
          <w:marRight w:val="0"/>
          <w:marTop w:val="166"/>
          <w:marBottom w:val="166"/>
          <w:divBdr>
            <w:top w:val="none" w:sz="0" w:space="0" w:color="auto"/>
            <w:left w:val="none" w:sz="0" w:space="0" w:color="auto"/>
            <w:bottom w:val="none" w:sz="0" w:space="0" w:color="auto"/>
            <w:right w:val="none" w:sz="0" w:space="0" w:color="auto"/>
          </w:divBdr>
        </w:div>
        <w:div w:id="1365212697">
          <w:marLeft w:val="0"/>
          <w:marRight w:val="0"/>
          <w:marTop w:val="166"/>
          <w:marBottom w:val="166"/>
          <w:divBdr>
            <w:top w:val="none" w:sz="0" w:space="0" w:color="auto"/>
            <w:left w:val="none" w:sz="0" w:space="0" w:color="auto"/>
            <w:bottom w:val="none" w:sz="0" w:space="0" w:color="auto"/>
            <w:right w:val="none" w:sz="0" w:space="0" w:color="auto"/>
          </w:divBdr>
        </w:div>
        <w:div w:id="612398287">
          <w:marLeft w:val="0"/>
          <w:marRight w:val="0"/>
          <w:marTop w:val="166"/>
          <w:marBottom w:val="166"/>
          <w:divBdr>
            <w:top w:val="none" w:sz="0" w:space="0" w:color="auto"/>
            <w:left w:val="none" w:sz="0" w:space="0" w:color="auto"/>
            <w:bottom w:val="none" w:sz="0" w:space="0" w:color="auto"/>
            <w:right w:val="none" w:sz="0" w:space="0" w:color="auto"/>
          </w:divBdr>
        </w:div>
        <w:div w:id="1404989046">
          <w:marLeft w:val="0"/>
          <w:marRight w:val="0"/>
          <w:marTop w:val="166"/>
          <w:marBottom w:val="166"/>
          <w:divBdr>
            <w:top w:val="none" w:sz="0" w:space="0" w:color="auto"/>
            <w:left w:val="none" w:sz="0" w:space="0" w:color="auto"/>
            <w:bottom w:val="none" w:sz="0" w:space="0" w:color="auto"/>
            <w:right w:val="none" w:sz="0" w:space="0" w:color="auto"/>
          </w:divBdr>
        </w:div>
        <w:div w:id="1477145817">
          <w:marLeft w:val="0"/>
          <w:marRight w:val="0"/>
          <w:marTop w:val="166"/>
          <w:marBottom w:val="166"/>
          <w:divBdr>
            <w:top w:val="none" w:sz="0" w:space="0" w:color="auto"/>
            <w:left w:val="none" w:sz="0" w:space="0" w:color="auto"/>
            <w:bottom w:val="none" w:sz="0" w:space="0" w:color="auto"/>
            <w:right w:val="none" w:sz="0" w:space="0" w:color="auto"/>
          </w:divBdr>
        </w:div>
        <w:div w:id="1332485421">
          <w:marLeft w:val="0"/>
          <w:marRight w:val="0"/>
          <w:marTop w:val="166"/>
          <w:marBottom w:val="166"/>
          <w:divBdr>
            <w:top w:val="none" w:sz="0" w:space="0" w:color="auto"/>
            <w:left w:val="none" w:sz="0" w:space="0" w:color="auto"/>
            <w:bottom w:val="none" w:sz="0" w:space="0" w:color="auto"/>
            <w:right w:val="none" w:sz="0" w:space="0" w:color="auto"/>
          </w:divBdr>
        </w:div>
        <w:div w:id="1788162845">
          <w:marLeft w:val="0"/>
          <w:marRight w:val="0"/>
          <w:marTop w:val="166"/>
          <w:marBottom w:val="166"/>
          <w:divBdr>
            <w:top w:val="none" w:sz="0" w:space="0" w:color="auto"/>
            <w:left w:val="none" w:sz="0" w:space="0" w:color="auto"/>
            <w:bottom w:val="none" w:sz="0" w:space="0" w:color="auto"/>
            <w:right w:val="none" w:sz="0" w:space="0" w:color="auto"/>
          </w:divBdr>
        </w:div>
      </w:divsChild>
    </w:div>
    <w:div w:id="1938102529">
      <w:bodyDiv w:val="1"/>
      <w:marLeft w:val="0"/>
      <w:marRight w:val="0"/>
      <w:marTop w:val="0"/>
      <w:marBottom w:val="0"/>
      <w:divBdr>
        <w:top w:val="none" w:sz="0" w:space="0" w:color="auto"/>
        <w:left w:val="none" w:sz="0" w:space="0" w:color="auto"/>
        <w:bottom w:val="none" w:sz="0" w:space="0" w:color="auto"/>
        <w:right w:val="none" w:sz="0" w:space="0" w:color="auto"/>
      </w:divBdr>
    </w:div>
    <w:div w:id="1944801697">
      <w:bodyDiv w:val="1"/>
      <w:marLeft w:val="0"/>
      <w:marRight w:val="0"/>
      <w:marTop w:val="0"/>
      <w:marBottom w:val="0"/>
      <w:divBdr>
        <w:top w:val="none" w:sz="0" w:space="0" w:color="auto"/>
        <w:left w:val="none" w:sz="0" w:space="0" w:color="auto"/>
        <w:bottom w:val="none" w:sz="0" w:space="0" w:color="auto"/>
        <w:right w:val="none" w:sz="0" w:space="0" w:color="auto"/>
      </w:divBdr>
    </w:div>
    <w:div w:id="1948613655">
      <w:bodyDiv w:val="1"/>
      <w:marLeft w:val="0"/>
      <w:marRight w:val="0"/>
      <w:marTop w:val="0"/>
      <w:marBottom w:val="0"/>
      <w:divBdr>
        <w:top w:val="none" w:sz="0" w:space="0" w:color="auto"/>
        <w:left w:val="none" w:sz="0" w:space="0" w:color="auto"/>
        <w:bottom w:val="none" w:sz="0" w:space="0" w:color="auto"/>
        <w:right w:val="none" w:sz="0" w:space="0" w:color="auto"/>
      </w:divBdr>
    </w:div>
    <w:div w:id="1950312767">
      <w:bodyDiv w:val="1"/>
      <w:marLeft w:val="0"/>
      <w:marRight w:val="0"/>
      <w:marTop w:val="0"/>
      <w:marBottom w:val="0"/>
      <w:divBdr>
        <w:top w:val="none" w:sz="0" w:space="0" w:color="auto"/>
        <w:left w:val="none" w:sz="0" w:space="0" w:color="auto"/>
        <w:bottom w:val="none" w:sz="0" w:space="0" w:color="auto"/>
        <w:right w:val="none" w:sz="0" w:space="0" w:color="auto"/>
      </w:divBdr>
    </w:div>
    <w:div w:id="1952324209">
      <w:bodyDiv w:val="1"/>
      <w:marLeft w:val="0"/>
      <w:marRight w:val="0"/>
      <w:marTop w:val="0"/>
      <w:marBottom w:val="0"/>
      <w:divBdr>
        <w:top w:val="none" w:sz="0" w:space="0" w:color="auto"/>
        <w:left w:val="none" w:sz="0" w:space="0" w:color="auto"/>
        <w:bottom w:val="none" w:sz="0" w:space="0" w:color="auto"/>
        <w:right w:val="none" w:sz="0" w:space="0" w:color="auto"/>
      </w:divBdr>
    </w:div>
    <w:div w:id="1953976889">
      <w:bodyDiv w:val="1"/>
      <w:marLeft w:val="0"/>
      <w:marRight w:val="0"/>
      <w:marTop w:val="0"/>
      <w:marBottom w:val="0"/>
      <w:divBdr>
        <w:top w:val="none" w:sz="0" w:space="0" w:color="auto"/>
        <w:left w:val="none" w:sz="0" w:space="0" w:color="auto"/>
        <w:bottom w:val="none" w:sz="0" w:space="0" w:color="auto"/>
        <w:right w:val="none" w:sz="0" w:space="0" w:color="auto"/>
      </w:divBdr>
    </w:div>
    <w:div w:id="1956594503">
      <w:bodyDiv w:val="1"/>
      <w:marLeft w:val="0"/>
      <w:marRight w:val="0"/>
      <w:marTop w:val="0"/>
      <w:marBottom w:val="0"/>
      <w:divBdr>
        <w:top w:val="none" w:sz="0" w:space="0" w:color="auto"/>
        <w:left w:val="none" w:sz="0" w:space="0" w:color="auto"/>
        <w:bottom w:val="none" w:sz="0" w:space="0" w:color="auto"/>
        <w:right w:val="none" w:sz="0" w:space="0" w:color="auto"/>
      </w:divBdr>
    </w:div>
    <w:div w:id="1962418135">
      <w:bodyDiv w:val="1"/>
      <w:marLeft w:val="0"/>
      <w:marRight w:val="0"/>
      <w:marTop w:val="0"/>
      <w:marBottom w:val="0"/>
      <w:divBdr>
        <w:top w:val="none" w:sz="0" w:space="0" w:color="auto"/>
        <w:left w:val="none" w:sz="0" w:space="0" w:color="auto"/>
        <w:bottom w:val="none" w:sz="0" w:space="0" w:color="auto"/>
        <w:right w:val="none" w:sz="0" w:space="0" w:color="auto"/>
      </w:divBdr>
    </w:div>
    <w:div w:id="1968048350">
      <w:bodyDiv w:val="1"/>
      <w:marLeft w:val="0"/>
      <w:marRight w:val="0"/>
      <w:marTop w:val="0"/>
      <w:marBottom w:val="0"/>
      <w:divBdr>
        <w:top w:val="none" w:sz="0" w:space="0" w:color="auto"/>
        <w:left w:val="none" w:sz="0" w:space="0" w:color="auto"/>
        <w:bottom w:val="none" w:sz="0" w:space="0" w:color="auto"/>
        <w:right w:val="none" w:sz="0" w:space="0" w:color="auto"/>
      </w:divBdr>
    </w:div>
    <w:div w:id="1970549305">
      <w:bodyDiv w:val="1"/>
      <w:marLeft w:val="0"/>
      <w:marRight w:val="0"/>
      <w:marTop w:val="0"/>
      <w:marBottom w:val="0"/>
      <w:divBdr>
        <w:top w:val="none" w:sz="0" w:space="0" w:color="auto"/>
        <w:left w:val="none" w:sz="0" w:space="0" w:color="auto"/>
        <w:bottom w:val="none" w:sz="0" w:space="0" w:color="auto"/>
        <w:right w:val="none" w:sz="0" w:space="0" w:color="auto"/>
      </w:divBdr>
    </w:div>
    <w:div w:id="1972444096">
      <w:bodyDiv w:val="1"/>
      <w:marLeft w:val="0"/>
      <w:marRight w:val="0"/>
      <w:marTop w:val="0"/>
      <w:marBottom w:val="0"/>
      <w:divBdr>
        <w:top w:val="none" w:sz="0" w:space="0" w:color="auto"/>
        <w:left w:val="none" w:sz="0" w:space="0" w:color="auto"/>
        <w:bottom w:val="none" w:sz="0" w:space="0" w:color="auto"/>
        <w:right w:val="none" w:sz="0" w:space="0" w:color="auto"/>
      </w:divBdr>
    </w:div>
    <w:div w:id="1974600834">
      <w:bodyDiv w:val="1"/>
      <w:marLeft w:val="0"/>
      <w:marRight w:val="0"/>
      <w:marTop w:val="0"/>
      <w:marBottom w:val="0"/>
      <w:divBdr>
        <w:top w:val="none" w:sz="0" w:space="0" w:color="auto"/>
        <w:left w:val="none" w:sz="0" w:space="0" w:color="auto"/>
        <w:bottom w:val="none" w:sz="0" w:space="0" w:color="auto"/>
        <w:right w:val="none" w:sz="0" w:space="0" w:color="auto"/>
      </w:divBdr>
    </w:div>
    <w:div w:id="1977102408">
      <w:bodyDiv w:val="1"/>
      <w:marLeft w:val="0"/>
      <w:marRight w:val="0"/>
      <w:marTop w:val="0"/>
      <w:marBottom w:val="0"/>
      <w:divBdr>
        <w:top w:val="none" w:sz="0" w:space="0" w:color="auto"/>
        <w:left w:val="none" w:sz="0" w:space="0" w:color="auto"/>
        <w:bottom w:val="none" w:sz="0" w:space="0" w:color="auto"/>
        <w:right w:val="none" w:sz="0" w:space="0" w:color="auto"/>
      </w:divBdr>
    </w:div>
    <w:div w:id="1978803766">
      <w:bodyDiv w:val="1"/>
      <w:marLeft w:val="0"/>
      <w:marRight w:val="0"/>
      <w:marTop w:val="0"/>
      <w:marBottom w:val="0"/>
      <w:divBdr>
        <w:top w:val="none" w:sz="0" w:space="0" w:color="auto"/>
        <w:left w:val="none" w:sz="0" w:space="0" w:color="auto"/>
        <w:bottom w:val="none" w:sz="0" w:space="0" w:color="auto"/>
        <w:right w:val="none" w:sz="0" w:space="0" w:color="auto"/>
      </w:divBdr>
    </w:div>
    <w:div w:id="1981227004">
      <w:bodyDiv w:val="1"/>
      <w:marLeft w:val="0"/>
      <w:marRight w:val="0"/>
      <w:marTop w:val="0"/>
      <w:marBottom w:val="0"/>
      <w:divBdr>
        <w:top w:val="none" w:sz="0" w:space="0" w:color="auto"/>
        <w:left w:val="none" w:sz="0" w:space="0" w:color="auto"/>
        <w:bottom w:val="none" w:sz="0" w:space="0" w:color="auto"/>
        <w:right w:val="none" w:sz="0" w:space="0" w:color="auto"/>
      </w:divBdr>
    </w:div>
    <w:div w:id="1983390633">
      <w:bodyDiv w:val="1"/>
      <w:marLeft w:val="0"/>
      <w:marRight w:val="0"/>
      <w:marTop w:val="0"/>
      <w:marBottom w:val="0"/>
      <w:divBdr>
        <w:top w:val="none" w:sz="0" w:space="0" w:color="auto"/>
        <w:left w:val="none" w:sz="0" w:space="0" w:color="auto"/>
        <w:bottom w:val="none" w:sz="0" w:space="0" w:color="auto"/>
        <w:right w:val="none" w:sz="0" w:space="0" w:color="auto"/>
      </w:divBdr>
    </w:div>
    <w:div w:id="1987978245">
      <w:bodyDiv w:val="1"/>
      <w:marLeft w:val="0"/>
      <w:marRight w:val="0"/>
      <w:marTop w:val="0"/>
      <w:marBottom w:val="0"/>
      <w:divBdr>
        <w:top w:val="none" w:sz="0" w:space="0" w:color="auto"/>
        <w:left w:val="none" w:sz="0" w:space="0" w:color="auto"/>
        <w:bottom w:val="none" w:sz="0" w:space="0" w:color="auto"/>
        <w:right w:val="none" w:sz="0" w:space="0" w:color="auto"/>
      </w:divBdr>
    </w:div>
    <w:div w:id="1993409385">
      <w:bodyDiv w:val="1"/>
      <w:marLeft w:val="0"/>
      <w:marRight w:val="0"/>
      <w:marTop w:val="0"/>
      <w:marBottom w:val="0"/>
      <w:divBdr>
        <w:top w:val="none" w:sz="0" w:space="0" w:color="auto"/>
        <w:left w:val="none" w:sz="0" w:space="0" w:color="auto"/>
        <w:bottom w:val="none" w:sz="0" w:space="0" w:color="auto"/>
        <w:right w:val="none" w:sz="0" w:space="0" w:color="auto"/>
      </w:divBdr>
    </w:div>
    <w:div w:id="1993752634">
      <w:bodyDiv w:val="1"/>
      <w:marLeft w:val="0"/>
      <w:marRight w:val="0"/>
      <w:marTop w:val="0"/>
      <w:marBottom w:val="0"/>
      <w:divBdr>
        <w:top w:val="none" w:sz="0" w:space="0" w:color="auto"/>
        <w:left w:val="none" w:sz="0" w:space="0" w:color="auto"/>
        <w:bottom w:val="none" w:sz="0" w:space="0" w:color="auto"/>
        <w:right w:val="none" w:sz="0" w:space="0" w:color="auto"/>
      </w:divBdr>
    </w:div>
    <w:div w:id="2007129194">
      <w:bodyDiv w:val="1"/>
      <w:marLeft w:val="0"/>
      <w:marRight w:val="0"/>
      <w:marTop w:val="0"/>
      <w:marBottom w:val="0"/>
      <w:divBdr>
        <w:top w:val="none" w:sz="0" w:space="0" w:color="auto"/>
        <w:left w:val="none" w:sz="0" w:space="0" w:color="auto"/>
        <w:bottom w:val="none" w:sz="0" w:space="0" w:color="auto"/>
        <w:right w:val="none" w:sz="0" w:space="0" w:color="auto"/>
      </w:divBdr>
    </w:div>
    <w:div w:id="2015956089">
      <w:bodyDiv w:val="1"/>
      <w:marLeft w:val="0"/>
      <w:marRight w:val="0"/>
      <w:marTop w:val="0"/>
      <w:marBottom w:val="0"/>
      <w:divBdr>
        <w:top w:val="none" w:sz="0" w:space="0" w:color="auto"/>
        <w:left w:val="none" w:sz="0" w:space="0" w:color="auto"/>
        <w:bottom w:val="none" w:sz="0" w:space="0" w:color="auto"/>
        <w:right w:val="none" w:sz="0" w:space="0" w:color="auto"/>
      </w:divBdr>
    </w:div>
    <w:div w:id="2017727457">
      <w:bodyDiv w:val="1"/>
      <w:marLeft w:val="0"/>
      <w:marRight w:val="0"/>
      <w:marTop w:val="0"/>
      <w:marBottom w:val="0"/>
      <w:divBdr>
        <w:top w:val="none" w:sz="0" w:space="0" w:color="auto"/>
        <w:left w:val="none" w:sz="0" w:space="0" w:color="auto"/>
        <w:bottom w:val="none" w:sz="0" w:space="0" w:color="auto"/>
        <w:right w:val="none" w:sz="0" w:space="0" w:color="auto"/>
      </w:divBdr>
    </w:div>
    <w:div w:id="2018532546">
      <w:bodyDiv w:val="1"/>
      <w:marLeft w:val="0"/>
      <w:marRight w:val="0"/>
      <w:marTop w:val="0"/>
      <w:marBottom w:val="0"/>
      <w:divBdr>
        <w:top w:val="none" w:sz="0" w:space="0" w:color="auto"/>
        <w:left w:val="none" w:sz="0" w:space="0" w:color="auto"/>
        <w:bottom w:val="none" w:sz="0" w:space="0" w:color="auto"/>
        <w:right w:val="none" w:sz="0" w:space="0" w:color="auto"/>
      </w:divBdr>
    </w:div>
    <w:div w:id="2023895098">
      <w:bodyDiv w:val="1"/>
      <w:marLeft w:val="0"/>
      <w:marRight w:val="0"/>
      <w:marTop w:val="0"/>
      <w:marBottom w:val="0"/>
      <w:divBdr>
        <w:top w:val="none" w:sz="0" w:space="0" w:color="auto"/>
        <w:left w:val="none" w:sz="0" w:space="0" w:color="auto"/>
        <w:bottom w:val="none" w:sz="0" w:space="0" w:color="auto"/>
        <w:right w:val="none" w:sz="0" w:space="0" w:color="auto"/>
      </w:divBdr>
    </w:div>
    <w:div w:id="2033872771">
      <w:bodyDiv w:val="1"/>
      <w:marLeft w:val="0"/>
      <w:marRight w:val="0"/>
      <w:marTop w:val="0"/>
      <w:marBottom w:val="0"/>
      <w:divBdr>
        <w:top w:val="none" w:sz="0" w:space="0" w:color="auto"/>
        <w:left w:val="none" w:sz="0" w:space="0" w:color="auto"/>
        <w:bottom w:val="none" w:sz="0" w:space="0" w:color="auto"/>
        <w:right w:val="none" w:sz="0" w:space="0" w:color="auto"/>
      </w:divBdr>
    </w:div>
    <w:div w:id="2039424189">
      <w:bodyDiv w:val="1"/>
      <w:marLeft w:val="0"/>
      <w:marRight w:val="0"/>
      <w:marTop w:val="0"/>
      <w:marBottom w:val="0"/>
      <w:divBdr>
        <w:top w:val="none" w:sz="0" w:space="0" w:color="auto"/>
        <w:left w:val="none" w:sz="0" w:space="0" w:color="auto"/>
        <w:bottom w:val="none" w:sz="0" w:space="0" w:color="auto"/>
        <w:right w:val="none" w:sz="0" w:space="0" w:color="auto"/>
      </w:divBdr>
    </w:div>
    <w:div w:id="2047102505">
      <w:bodyDiv w:val="1"/>
      <w:marLeft w:val="0"/>
      <w:marRight w:val="0"/>
      <w:marTop w:val="0"/>
      <w:marBottom w:val="0"/>
      <w:divBdr>
        <w:top w:val="none" w:sz="0" w:space="0" w:color="auto"/>
        <w:left w:val="none" w:sz="0" w:space="0" w:color="auto"/>
        <w:bottom w:val="none" w:sz="0" w:space="0" w:color="auto"/>
        <w:right w:val="none" w:sz="0" w:space="0" w:color="auto"/>
      </w:divBdr>
    </w:div>
    <w:div w:id="2060277468">
      <w:bodyDiv w:val="1"/>
      <w:marLeft w:val="0"/>
      <w:marRight w:val="0"/>
      <w:marTop w:val="0"/>
      <w:marBottom w:val="0"/>
      <w:divBdr>
        <w:top w:val="none" w:sz="0" w:space="0" w:color="auto"/>
        <w:left w:val="none" w:sz="0" w:space="0" w:color="auto"/>
        <w:bottom w:val="none" w:sz="0" w:space="0" w:color="auto"/>
        <w:right w:val="none" w:sz="0" w:space="0" w:color="auto"/>
      </w:divBdr>
    </w:div>
    <w:div w:id="2061173277">
      <w:bodyDiv w:val="1"/>
      <w:marLeft w:val="0"/>
      <w:marRight w:val="0"/>
      <w:marTop w:val="0"/>
      <w:marBottom w:val="0"/>
      <w:divBdr>
        <w:top w:val="none" w:sz="0" w:space="0" w:color="auto"/>
        <w:left w:val="none" w:sz="0" w:space="0" w:color="auto"/>
        <w:bottom w:val="none" w:sz="0" w:space="0" w:color="auto"/>
        <w:right w:val="none" w:sz="0" w:space="0" w:color="auto"/>
      </w:divBdr>
    </w:div>
    <w:div w:id="2073430462">
      <w:bodyDiv w:val="1"/>
      <w:marLeft w:val="0"/>
      <w:marRight w:val="0"/>
      <w:marTop w:val="0"/>
      <w:marBottom w:val="0"/>
      <w:divBdr>
        <w:top w:val="none" w:sz="0" w:space="0" w:color="auto"/>
        <w:left w:val="none" w:sz="0" w:space="0" w:color="auto"/>
        <w:bottom w:val="none" w:sz="0" w:space="0" w:color="auto"/>
        <w:right w:val="none" w:sz="0" w:space="0" w:color="auto"/>
      </w:divBdr>
      <w:divsChild>
        <w:div w:id="968128053">
          <w:marLeft w:val="0"/>
          <w:marRight w:val="0"/>
          <w:marTop w:val="34"/>
          <w:marBottom w:val="34"/>
          <w:divBdr>
            <w:top w:val="none" w:sz="0" w:space="0" w:color="auto"/>
            <w:left w:val="none" w:sz="0" w:space="0" w:color="auto"/>
            <w:bottom w:val="none" w:sz="0" w:space="0" w:color="auto"/>
            <w:right w:val="none" w:sz="0" w:space="0" w:color="auto"/>
          </w:divBdr>
        </w:div>
      </w:divsChild>
    </w:div>
    <w:div w:id="2074353080">
      <w:bodyDiv w:val="1"/>
      <w:marLeft w:val="0"/>
      <w:marRight w:val="0"/>
      <w:marTop w:val="0"/>
      <w:marBottom w:val="0"/>
      <w:divBdr>
        <w:top w:val="none" w:sz="0" w:space="0" w:color="auto"/>
        <w:left w:val="none" w:sz="0" w:space="0" w:color="auto"/>
        <w:bottom w:val="none" w:sz="0" w:space="0" w:color="auto"/>
        <w:right w:val="none" w:sz="0" w:space="0" w:color="auto"/>
      </w:divBdr>
      <w:divsChild>
        <w:div w:id="2112123141">
          <w:marLeft w:val="0"/>
          <w:marRight w:val="0"/>
          <w:marTop w:val="34"/>
          <w:marBottom w:val="34"/>
          <w:divBdr>
            <w:top w:val="none" w:sz="0" w:space="0" w:color="auto"/>
            <w:left w:val="none" w:sz="0" w:space="0" w:color="auto"/>
            <w:bottom w:val="none" w:sz="0" w:space="0" w:color="auto"/>
            <w:right w:val="none" w:sz="0" w:space="0" w:color="auto"/>
          </w:divBdr>
        </w:div>
      </w:divsChild>
    </w:div>
    <w:div w:id="2076203630">
      <w:bodyDiv w:val="1"/>
      <w:marLeft w:val="0"/>
      <w:marRight w:val="0"/>
      <w:marTop w:val="0"/>
      <w:marBottom w:val="0"/>
      <w:divBdr>
        <w:top w:val="none" w:sz="0" w:space="0" w:color="auto"/>
        <w:left w:val="none" w:sz="0" w:space="0" w:color="auto"/>
        <w:bottom w:val="none" w:sz="0" w:space="0" w:color="auto"/>
        <w:right w:val="none" w:sz="0" w:space="0" w:color="auto"/>
      </w:divBdr>
    </w:div>
    <w:div w:id="2083134418">
      <w:bodyDiv w:val="1"/>
      <w:marLeft w:val="0"/>
      <w:marRight w:val="0"/>
      <w:marTop w:val="0"/>
      <w:marBottom w:val="0"/>
      <w:divBdr>
        <w:top w:val="none" w:sz="0" w:space="0" w:color="auto"/>
        <w:left w:val="none" w:sz="0" w:space="0" w:color="auto"/>
        <w:bottom w:val="none" w:sz="0" w:space="0" w:color="auto"/>
        <w:right w:val="none" w:sz="0" w:space="0" w:color="auto"/>
      </w:divBdr>
    </w:div>
    <w:div w:id="2111470145">
      <w:bodyDiv w:val="1"/>
      <w:marLeft w:val="0"/>
      <w:marRight w:val="0"/>
      <w:marTop w:val="0"/>
      <w:marBottom w:val="0"/>
      <w:divBdr>
        <w:top w:val="none" w:sz="0" w:space="0" w:color="auto"/>
        <w:left w:val="none" w:sz="0" w:space="0" w:color="auto"/>
        <w:bottom w:val="none" w:sz="0" w:space="0" w:color="auto"/>
        <w:right w:val="none" w:sz="0" w:space="0" w:color="auto"/>
      </w:divBdr>
    </w:div>
    <w:div w:id="2114083723">
      <w:bodyDiv w:val="1"/>
      <w:marLeft w:val="0"/>
      <w:marRight w:val="0"/>
      <w:marTop w:val="0"/>
      <w:marBottom w:val="0"/>
      <w:divBdr>
        <w:top w:val="none" w:sz="0" w:space="0" w:color="auto"/>
        <w:left w:val="none" w:sz="0" w:space="0" w:color="auto"/>
        <w:bottom w:val="none" w:sz="0" w:space="0" w:color="auto"/>
        <w:right w:val="none" w:sz="0" w:space="0" w:color="auto"/>
      </w:divBdr>
    </w:div>
    <w:div w:id="2122844963">
      <w:bodyDiv w:val="1"/>
      <w:marLeft w:val="0"/>
      <w:marRight w:val="0"/>
      <w:marTop w:val="0"/>
      <w:marBottom w:val="0"/>
      <w:divBdr>
        <w:top w:val="none" w:sz="0" w:space="0" w:color="auto"/>
        <w:left w:val="none" w:sz="0" w:space="0" w:color="auto"/>
        <w:bottom w:val="none" w:sz="0" w:space="0" w:color="auto"/>
        <w:right w:val="none" w:sz="0" w:space="0" w:color="auto"/>
      </w:divBdr>
    </w:div>
    <w:div w:id="2124810559">
      <w:bodyDiv w:val="1"/>
      <w:marLeft w:val="0"/>
      <w:marRight w:val="0"/>
      <w:marTop w:val="0"/>
      <w:marBottom w:val="0"/>
      <w:divBdr>
        <w:top w:val="none" w:sz="0" w:space="0" w:color="auto"/>
        <w:left w:val="none" w:sz="0" w:space="0" w:color="auto"/>
        <w:bottom w:val="none" w:sz="0" w:space="0" w:color="auto"/>
        <w:right w:val="none" w:sz="0" w:space="0" w:color="auto"/>
      </w:divBdr>
    </w:div>
    <w:div w:id="2125422218">
      <w:bodyDiv w:val="1"/>
      <w:marLeft w:val="0"/>
      <w:marRight w:val="0"/>
      <w:marTop w:val="0"/>
      <w:marBottom w:val="0"/>
      <w:divBdr>
        <w:top w:val="none" w:sz="0" w:space="0" w:color="auto"/>
        <w:left w:val="none" w:sz="0" w:space="0" w:color="auto"/>
        <w:bottom w:val="none" w:sz="0" w:space="0" w:color="auto"/>
        <w:right w:val="none" w:sz="0" w:space="0" w:color="auto"/>
      </w:divBdr>
      <w:divsChild>
        <w:div w:id="750932774">
          <w:marLeft w:val="0"/>
          <w:marRight w:val="0"/>
          <w:marTop w:val="34"/>
          <w:marBottom w:val="34"/>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yperlink" Target="http://www.ncbi.nlm.nih.gov/pubmed?term=Li%20MR%5BAuthor%5D&amp;cauthor=true&amp;cauthor_uid=23761839" TargetMode="External"/><Relationship Id="rId15" Type="http://schemas.openxmlformats.org/officeDocument/2006/relationships/hyperlink" Target="http://www.ncbi.nlm.nih.gov/pubmed?term=Chen%20Z%5BAuthor%5D&amp;cauthor=true&amp;cauthor_uid=23761839" TargetMode="External"/><Relationship Id="rId16" Type="http://schemas.openxmlformats.org/officeDocument/2006/relationships/hyperlink" Target="http://www.ncbi.nlm.nih.gov/pubmed?term=Liu%20XW%5BAuthor%5D&amp;cauthor=true&amp;cauthor_uid=23761839" TargetMode="External"/><Relationship Id="rId17" Type="http://schemas.openxmlformats.org/officeDocument/2006/relationships/hyperlink" Target="http://www.ncbi.nlm.nih.gov/pubmed?term=Sheng%20Q%5BAuthor%5D&amp;cauthor=true&amp;cauthor_uid=23761839" TargetMode="External"/><Relationship Id="rId18" Type="http://schemas.openxmlformats.org/officeDocument/2006/relationships/hyperlink" Target="http://www.ncbi.nlm.nih.gov/pubmed?term=Zhou%20HM%5BAuthor%5D&amp;cauthor=true&amp;cauthor_uid=23761839" TargetMode="External"/><Relationship Id="rId19" Type="http://schemas.openxmlformats.org/officeDocument/2006/relationships/hyperlink" Target="http://www.ncbi.nlm.nih.gov/pubmed?term=Chen%20F%5BAuthor%5D&amp;cauthor=true&amp;cauthor_uid=24527072" TargetMode="External"/><Relationship Id="rId50" Type="http://schemas.openxmlformats.org/officeDocument/2006/relationships/hyperlink" Target="http://www.ncbi.nlm.nih.gov/pubmed?term=Bian%20XW%5BAuthor%5D&amp;cauthor=true&amp;cauthor_uid=23188090" TargetMode="External"/><Relationship Id="rId51" Type="http://schemas.openxmlformats.org/officeDocument/2006/relationships/hyperlink" Target="http://www.ncbi.nlm.nih.gov/pubmed?term=Chen%20D%5BAuthor%5D&amp;cauthor=true&amp;cauthor_uid=23188090" TargetMode="External"/><Relationship Id="rId52" Type="http://schemas.openxmlformats.org/officeDocument/2006/relationships/hyperlink" Target="http://www.ncbi.nlm.nih.gov/pubmed?term=Wang%20J%5BAuthor%5D&amp;cauthor=true&amp;cauthor_uid=23188090" TargetMode="External"/><Relationship Id="rId53" Type="http://schemas.openxmlformats.org/officeDocument/2006/relationships/hyperlink" Target="http://www.ncbi.nlm.nih.gov/pubmed/?term=Chimeric+5%2F35+adenovirus-mediated+Dickkopf-1+overexpression+suppressed+tumorigenicity+of+CD44%2B+gastric+cancer+cells+via+attenuating+Wnt+signaling" TargetMode="External"/><Relationship Id="rId54" Type="http://schemas.openxmlformats.org/officeDocument/2006/relationships/hyperlink" Target="http://en.wikipedia.org/wiki/Frizzled" TargetMode="External"/><Relationship Id="rId55" Type="http://schemas.openxmlformats.org/officeDocument/2006/relationships/image" Target="media/image1.tiff"/><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ncbi.nlm.nih.gov/pubmed?term=Ma%20LN%5BAuthor%5D&amp;cauthor=true&amp;cauthor_uid=23188090" TargetMode="External"/><Relationship Id="rId41" Type="http://schemas.openxmlformats.org/officeDocument/2006/relationships/hyperlink" Target="http://www.ncbi.nlm.nih.gov/pubmed?term=Xiao%20HL%5BAuthor%5D&amp;cauthor=true&amp;cauthor_uid=23188090" TargetMode="External"/><Relationship Id="rId42" Type="http://schemas.openxmlformats.org/officeDocument/2006/relationships/hyperlink" Target="http://www.ncbi.nlm.nih.gov/pubmed?term=Wang%20YZ%5BAuthor%5D&amp;cauthor=true&amp;cauthor_uid=23188090" TargetMode="External"/><Relationship Id="rId43" Type="http://schemas.openxmlformats.org/officeDocument/2006/relationships/hyperlink" Target="http://www.ncbi.nlm.nih.gov/pubmed?term=Li%20Y%5BAuthor%5D&amp;cauthor=true&amp;cauthor_uid=23188090" TargetMode="External"/><Relationship Id="rId44" Type="http://schemas.openxmlformats.org/officeDocument/2006/relationships/hyperlink" Target="http://www.ncbi.nlm.nih.gov/pubmed?term=Wang%20Z%5BAuthor%5D&amp;cauthor=true&amp;cauthor_uid=23188090" TargetMode="External"/><Relationship Id="rId45" Type="http://schemas.openxmlformats.org/officeDocument/2006/relationships/hyperlink" Target="http://www.ncbi.nlm.nih.gov/pubmed?term=Fan%20L%5BAuthor%5D&amp;cauthor=true&amp;cauthor_uid=23188090" TargetMode="External"/><Relationship Id="rId46" Type="http://schemas.openxmlformats.org/officeDocument/2006/relationships/hyperlink" Target="http://www.ncbi.nlm.nih.gov/pubmed?term=Lan%20C%5BAuthor%5D&amp;cauthor=true&amp;cauthor_uid=23188090" TargetMode="External"/><Relationship Id="rId47" Type="http://schemas.openxmlformats.org/officeDocument/2006/relationships/hyperlink" Target="http://www.ncbi.nlm.nih.gov/pubmed?term=Yang%20M%5BAuthor%5D&amp;cauthor=true&amp;cauthor_uid=23188090" TargetMode="External"/><Relationship Id="rId48" Type="http://schemas.openxmlformats.org/officeDocument/2006/relationships/hyperlink" Target="http://www.ncbi.nlm.nih.gov/pubmed?term=Hu%20L%5BAuthor%5D&amp;cauthor=true&amp;cauthor_uid=23188090" TargetMode="External"/><Relationship Id="rId49" Type="http://schemas.openxmlformats.org/officeDocument/2006/relationships/hyperlink" Target="http://www.ncbi.nlm.nih.gov/pubmed?term=Wei%20Y%5BAuthor%5D&amp;cauthor=true&amp;cauthor_uid=2318809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chiurillo@ucla.edu.ve" TargetMode="External"/><Relationship Id="rId30" Type="http://schemas.openxmlformats.org/officeDocument/2006/relationships/hyperlink" Target="http://www.ncbi.nlm.nih.gov/pubmed?term=Kong%20Y%5BAuthor%5D&amp;cauthor=true&amp;cauthor_uid=23851184" TargetMode="External"/><Relationship Id="rId31" Type="http://schemas.openxmlformats.org/officeDocument/2006/relationships/hyperlink" Target="http://www.ncbi.nlm.nih.gov/pubmed?term=Guo%20J%5BAuthor%5D&amp;cauthor=true&amp;cauthor_uid=23851184" TargetMode="External"/><Relationship Id="rId32" Type="http://schemas.openxmlformats.org/officeDocument/2006/relationships/hyperlink" Target="http://www.ncbi.nlm.nih.gov/pubmed?term=Tang%20Y%5BAuthor%5D&amp;cauthor=true&amp;cauthor_uid=23851184" TargetMode="External"/><Relationship Id="rId33" Type="http://schemas.openxmlformats.org/officeDocument/2006/relationships/hyperlink" Target="http://www.ncbi.nlm.nih.gov/pubmed?term=Xie%20X%5BAuthor%5D&amp;cauthor=true&amp;cauthor_uid=23851184" TargetMode="External"/><Relationship Id="rId34" Type="http://schemas.openxmlformats.org/officeDocument/2006/relationships/hyperlink" Target="http://www.ncbi.nlm.nih.gov/pubmed?term=Yang%20L%5BAuthor%5D&amp;cauthor=true&amp;cauthor_uid=23851184" TargetMode="External"/><Relationship Id="rId35" Type="http://schemas.openxmlformats.org/officeDocument/2006/relationships/hyperlink" Target="http://www.ncbi.nlm.nih.gov/pubmed?term=Su%20Q%5BAuthor%5D&amp;cauthor=true&amp;cauthor_uid=23851184" TargetMode="External"/><Relationship Id="rId36" Type="http://schemas.openxmlformats.org/officeDocument/2006/relationships/hyperlink" Target="http://www.ncbi.nlm.nih.gov/pubmed?term=Xie%20X%5BAuthor%5D&amp;cauthor=true&amp;cauthor_uid=23851184" TargetMode="External"/><Relationship Id="rId37" Type="http://schemas.openxmlformats.org/officeDocument/2006/relationships/hyperlink" Target="http://www.ncbi.nlm.nih.gov/pubmed/?term=Diallyl+disulfide+suppresses+proliferation+and+induces+apoptosis+in+human+gastric+cancer+through+Wnt-1+signaling+pathway+by+up-regulation+of+miR-200b+and+miR-22" TargetMode="External"/><Relationship Id="rId38" Type="http://schemas.openxmlformats.org/officeDocument/2006/relationships/hyperlink" Target="http://www.ncbi.nlm.nih.gov/pubmed?term=Wang%20B%5BAuthor%5D&amp;cauthor=true&amp;cauthor_uid=23188090" TargetMode="External"/><Relationship Id="rId39" Type="http://schemas.openxmlformats.org/officeDocument/2006/relationships/hyperlink" Target="http://www.ncbi.nlm.nih.gov/pubmed?term=Liu%20J%5BAuthor%5D&amp;cauthor=true&amp;cauthor_uid=23188090" TargetMode="External"/><Relationship Id="rId20" Type="http://schemas.openxmlformats.org/officeDocument/2006/relationships/hyperlink" Target="http://www.ncbi.nlm.nih.gov/pubmed?term=Yan%20Z%5BAuthor%5D&amp;cauthor=true&amp;cauthor_uid=24527072" TargetMode="External"/><Relationship Id="rId21" Type="http://schemas.openxmlformats.org/officeDocument/2006/relationships/hyperlink" Target="http://www.ncbi.nlm.nih.gov/pubmed?term=Tang%20Z%5BAuthor%5D&amp;cauthor=true&amp;cauthor_uid=22969895" TargetMode="External"/><Relationship Id="rId22" Type="http://schemas.openxmlformats.org/officeDocument/2006/relationships/hyperlink" Target="http://www.ncbi.nlm.nih.gov/pubmed?term=Sun%20Y%5BAuthor%5D&amp;cauthor=true&amp;cauthor_uid=22969895" TargetMode="External"/><Relationship Id="rId23" Type="http://schemas.openxmlformats.org/officeDocument/2006/relationships/hyperlink" Target="http://www.ncbi.nlm.nih.gov/pubmed?term=Zhang%20Y%5BAuthor%5D&amp;cauthor=true&amp;cauthor_uid=22969895" TargetMode="External"/><Relationship Id="rId24" Type="http://schemas.openxmlformats.org/officeDocument/2006/relationships/hyperlink" Target="http://www.ncbi.nlm.nih.gov/pubmed?term=Wang%20X%5BAuthor%5D&amp;cauthor=true&amp;cauthor_uid=22969895" TargetMode="External"/><Relationship Id="rId25" Type="http://schemas.openxmlformats.org/officeDocument/2006/relationships/hyperlink" Target="http://www.ncbi.nlm.nih.gov/pubmed?term=Shen%20Z%5BAuthor%5D&amp;cauthor=true&amp;cauthor_uid=22969895" TargetMode="External"/><Relationship Id="rId26" Type="http://schemas.openxmlformats.org/officeDocument/2006/relationships/hyperlink" Target="http://www.ncbi.nlm.nih.gov/pubmed?term=Liu%20F%5BAuthor%5D&amp;cauthor=true&amp;cauthor_uid=22969895" TargetMode="External"/><Relationship Id="rId27" Type="http://schemas.openxmlformats.org/officeDocument/2006/relationships/hyperlink" Target="http://www.ncbi.nlm.nih.gov/pubmed?term=Qin%20X%5BAuthor%5D&amp;cauthor=true&amp;cauthor_uid=22969895" TargetMode="External"/><Relationship Id="rId28" Type="http://schemas.openxmlformats.org/officeDocument/2006/relationships/hyperlink" Target="http://www.ncbi.nlm.nih.gov/pubmed/?term=miRNA+expression+profile+in+primary+gastric+cancers+and+paired+lymph+node+metastases+indicates+that+miR-10a+plays+a+role+in+metastasis+from+primary+gastric+cancer+to+lymph+nodes" TargetMode="External"/><Relationship Id="rId29" Type="http://schemas.openxmlformats.org/officeDocument/2006/relationships/hyperlink" Target="http://www.ncbi.nlm.nih.gov/pubmed?term=Tang%20H%5BAuthor%5D&amp;cauthor=true&amp;cauthor_uid=23851184" TargetMode="External"/><Relationship Id="rId10" Type="http://schemas.openxmlformats.org/officeDocument/2006/relationships/hyperlink" Target="http://www.ncbi.nlm.nih.gov/pmc/articles/PMC2699823/" TargetMode="External"/><Relationship Id="rId11" Type="http://schemas.openxmlformats.org/officeDocument/2006/relationships/hyperlink" Target="http://en.wikipedia.org/wiki/Signal_transduction"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4647C-49DF-8A40-A1ED-31D061AF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18979</Words>
  <Characters>108186</Characters>
  <Application>Microsoft Macintosh Word</Application>
  <DocSecurity>0</DocSecurity>
  <Lines>901</Lines>
  <Paragraphs>253</Paragraphs>
  <ScaleCrop>false</ScaleCrop>
  <Company/>
  <LinksUpToDate>false</LinksUpToDate>
  <CharactersWithSpaces>126912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Chiurillo</dc:creator>
  <cp:keywords/>
  <dc:description/>
  <cp:lastModifiedBy>NA MA</cp:lastModifiedBy>
  <cp:revision>2</cp:revision>
  <cp:lastPrinted>2014-09-05T01:23:00Z</cp:lastPrinted>
  <dcterms:created xsi:type="dcterms:W3CDTF">2015-03-19T22:23:00Z</dcterms:created>
  <dcterms:modified xsi:type="dcterms:W3CDTF">2015-03-19T22:23:00Z</dcterms:modified>
</cp:coreProperties>
</file>