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sz w:val="24"/>
        </w:rPr>
        <w:t>Name of journal:</w:t>
      </w:r>
      <w:r w:rsidRPr="00533779">
        <w:rPr>
          <w:rFonts w:ascii="Book Antiqua" w:eastAsiaTheme="minorEastAsia" w:hAnsi="Book Antiqua"/>
          <w:b/>
          <w:sz w:val="24"/>
          <w:lang w:eastAsia="zh-CN"/>
        </w:rPr>
        <w:t xml:space="preserve"> </w:t>
      </w:r>
      <w:r w:rsidRPr="00533779">
        <w:rPr>
          <w:rFonts w:ascii="Book Antiqua" w:hAnsi="Book Antiqua"/>
          <w:b/>
          <w:i/>
          <w:sz w:val="24"/>
        </w:rPr>
        <w:t>World Journal of Gastrointestinal Endoscopy</w:t>
      </w: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ESPS Manuscript NO: 14503</w:t>
      </w: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Columns: CASE REPORT</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 xml:space="preserve">Metallic stent insertion with double-balloon endoscopy for malignant afferent loop obstruction </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 xml:space="preserve">Fujii M </w:t>
      </w:r>
      <w:r w:rsidRPr="00533779">
        <w:rPr>
          <w:rFonts w:ascii="Book Antiqua" w:hAnsi="Book Antiqua"/>
          <w:i/>
          <w:sz w:val="24"/>
        </w:rPr>
        <w:t>et al</w:t>
      </w:r>
      <w:r w:rsidRPr="00533779">
        <w:rPr>
          <w:rFonts w:ascii="Book Antiqua" w:hAnsi="Book Antiqua"/>
          <w:sz w:val="24"/>
        </w:rPr>
        <w:t>. Afferent loop obstruction endoscopy treatment</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eastAsiaTheme="minorEastAsia" w:hAnsi="Book Antiqua"/>
          <w:sz w:val="24"/>
          <w:lang w:eastAsia="zh-CN"/>
        </w:rPr>
      </w:pPr>
      <w:r w:rsidRPr="00533779">
        <w:rPr>
          <w:rFonts w:ascii="Book Antiqua" w:hAnsi="Book Antiqua"/>
          <w:sz w:val="24"/>
        </w:rPr>
        <w:t>Masakuni Fujii, Shuhei Ishiyama, Hiroaki Saito, Mamoru Ito, Akiko Fujiwara, Takefumi Niguma, Masao Yoshioka, Junji Shiode</w:t>
      </w:r>
    </w:p>
    <w:p w:rsidR="007746F4" w:rsidRPr="00533779" w:rsidRDefault="007746F4" w:rsidP="00533779">
      <w:pPr>
        <w:spacing w:line="360" w:lineRule="auto"/>
        <w:contextualSpacing/>
        <w:rPr>
          <w:rFonts w:ascii="Book Antiqua" w:hAnsi="Book Antiqua"/>
          <w:b/>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Masakuni Fujii, Shuhei Ishiyama, Hiroaki Saito, Mamoru Ito, Akiko Fujiwara, Masao Yoshioka, Junji Shiode,</w:t>
      </w:r>
      <w:r w:rsidRPr="00533779">
        <w:rPr>
          <w:rFonts w:ascii="Book Antiqua" w:hAnsi="Book Antiqua"/>
          <w:sz w:val="24"/>
        </w:rPr>
        <w:t xml:space="preserve"> Department of Internal Medicine, Okayama Saiseikai</w:t>
      </w:r>
      <w:r w:rsidR="00C54A81">
        <w:rPr>
          <w:rFonts w:ascii="Book Antiqua" w:hAnsi="Book Antiqua"/>
          <w:sz w:val="24"/>
        </w:rPr>
        <w:t xml:space="preserve"> General Hospital, Okayama 700-</w:t>
      </w:r>
      <w:r w:rsidRPr="00533779">
        <w:rPr>
          <w:rFonts w:ascii="Book Antiqua" w:hAnsi="Book Antiqua"/>
          <w:sz w:val="24"/>
        </w:rPr>
        <w:t>8511, Japan</w:t>
      </w:r>
    </w:p>
    <w:p w:rsidR="007746F4" w:rsidRPr="00533779" w:rsidRDefault="007746F4" w:rsidP="00533779">
      <w:pPr>
        <w:spacing w:line="360" w:lineRule="auto"/>
        <w:contextualSpacing/>
        <w:rPr>
          <w:rFonts w:ascii="Book Antiqua" w:hAnsi="Book Antiqua"/>
          <w:b/>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Takefumi Niguma,</w:t>
      </w:r>
      <w:r w:rsidRPr="00533779">
        <w:rPr>
          <w:rFonts w:ascii="Book Antiqua" w:hAnsi="Book Antiqua"/>
          <w:sz w:val="24"/>
        </w:rPr>
        <w:t xml:space="preserve"> Department of Surgery, Okayama Saiseikai General Hospital, Okayama 700-8511, Japan</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 xml:space="preserve">Author contributions: </w:t>
      </w:r>
      <w:r w:rsidRPr="00533779">
        <w:rPr>
          <w:rFonts w:ascii="Book Antiqua" w:hAnsi="Book Antiqua"/>
          <w:sz w:val="24"/>
        </w:rPr>
        <w:t xml:space="preserve">Fujii M, Ishiyama S, Saito H, Ito M, Fujiwara A, Niguma T, Yoshioka M, and Shiode J were responsible for the care of the patients; Fujii M, Ishiyama S, and Saito H performed endoscopic therapy; Niguma T conducted patient follow-ups; Fujii M, Yoshioka M, and Shiode J wrote the manuscript; </w:t>
      </w:r>
      <w:r w:rsidRPr="00533779">
        <w:rPr>
          <w:rFonts w:ascii="Book Antiqua" w:eastAsiaTheme="minorEastAsia" w:hAnsi="Book Antiqua"/>
          <w:sz w:val="24"/>
          <w:lang w:eastAsia="zh-CN"/>
        </w:rPr>
        <w:t>a</w:t>
      </w:r>
      <w:r w:rsidRPr="00533779">
        <w:rPr>
          <w:rFonts w:ascii="Book Antiqua" w:hAnsi="Book Antiqua"/>
          <w:sz w:val="24"/>
        </w:rPr>
        <w:t>ll authors read and approved the final manuscript.</w:t>
      </w:r>
    </w:p>
    <w:p w:rsidR="007746F4" w:rsidRPr="00533779" w:rsidRDefault="007746F4" w:rsidP="00533779">
      <w:pPr>
        <w:spacing w:line="360" w:lineRule="auto"/>
        <w:contextualSpacing/>
        <w:rPr>
          <w:rFonts w:ascii="Book Antiqua" w:eastAsiaTheme="minorEastAsia" w:hAnsi="Book Antiqua"/>
          <w:sz w:val="24"/>
          <w:lang w:eastAsia="zh-CN"/>
        </w:rPr>
      </w:pPr>
    </w:p>
    <w:p w:rsidR="007746F4" w:rsidRPr="00533779" w:rsidRDefault="007746F4" w:rsidP="00533779">
      <w:pPr>
        <w:spacing w:line="360" w:lineRule="auto"/>
        <w:rPr>
          <w:rFonts w:ascii="Book Antiqua" w:hAnsi="Book Antiqua"/>
          <w:sz w:val="24"/>
        </w:rPr>
      </w:pPr>
      <w:r w:rsidRPr="00533779">
        <w:rPr>
          <w:rFonts w:ascii="Book Antiqua" w:hAnsi="Book Antiqua"/>
          <w:b/>
          <w:sz w:val="24"/>
        </w:rPr>
        <w:t xml:space="preserve">Ethics approval: </w:t>
      </w:r>
      <w:r w:rsidRPr="00533779">
        <w:rPr>
          <w:rFonts w:ascii="Book Antiqua" w:hAnsi="Book Antiqua" w:cs="TimesNewRomanPS-BoldItalicMT"/>
          <w:bCs/>
          <w:iCs/>
          <w:color w:val="000000"/>
          <w:sz w:val="24"/>
        </w:rPr>
        <w:t xml:space="preserve">Case reports do not require examination </w:t>
      </w:r>
      <w:r w:rsidRPr="00533779">
        <w:rPr>
          <w:rFonts w:ascii="Book Antiqua" w:hAnsi="Book Antiqua"/>
          <w:bCs/>
          <w:iCs/>
          <w:sz w:val="24"/>
        </w:rPr>
        <w:t xml:space="preserve">by the </w:t>
      </w:r>
      <w:r w:rsidRPr="00533779">
        <w:rPr>
          <w:rFonts w:ascii="Book Antiqua" w:hAnsi="Book Antiqua"/>
          <w:sz w:val="24"/>
        </w:rPr>
        <w:t xml:space="preserve">Okayama Saiseikai General Hospital </w:t>
      </w:r>
      <w:r w:rsidRPr="00533779">
        <w:rPr>
          <w:rFonts w:ascii="Book Antiqua" w:hAnsi="Book Antiqua"/>
          <w:bCs/>
          <w:iCs/>
          <w:sz w:val="24"/>
        </w:rPr>
        <w:t>Institutional Review Board. Ethical considerations were upheld and patient personal information was protected.</w:t>
      </w:r>
    </w:p>
    <w:p w:rsidR="007746F4" w:rsidRPr="00533779" w:rsidRDefault="007746F4" w:rsidP="00533779">
      <w:pPr>
        <w:spacing w:line="360" w:lineRule="auto"/>
        <w:rPr>
          <w:rFonts w:ascii="Book Antiqua" w:hAnsi="Book Antiqua"/>
          <w:b/>
          <w:sz w:val="24"/>
          <w:highlight w:val="yellow"/>
        </w:rPr>
      </w:pPr>
    </w:p>
    <w:p w:rsidR="007746F4" w:rsidRPr="00533779" w:rsidRDefault="007746F4" w:rsidP="00533779">
      <w:pPr>
        <w:spacing w:line="360" w:lineRule="auto"/>
        <w:rPr>
          <w:rFonts w:ascii="Book Antiqua" w:hAnsi="Book Antiqua"/>
          <w:b/>
          <w:sz w:val="24"/>
        </w:rPr>
      </w:pPr>
      <w:r w:rsidRPr="00533779">
        <w:rPr>
          <w:rFonts w:ascii="Book Antiqua" w:hAnsi="Book Antiqua"/>
          <w:b/>
          <w:sz w:val="24"/>
        </w:rPr>
        <w:t xml:space="preserve">Informed consent: </w:t>
      </w:r>
      <w:r w:rsidRPr="00533779">
        <w:rPr>
          <w:rFonts w:ascii="Book Antiqua" w:hAnsi="Book Antiqua"/>
          <w:sz w:val="24"/>
        </w:rPr>
        <w:t>All study participants, or their legal guardian, provided written informed consent prior to study enrollment.</w:t>
      </w:r>
    </w:p>
    <w:p w:rsidR="007746F4" w:rsidRPr="00533779" w:rsidRDefault="007746F4" w:rsidP="00533779">
      <w:pPr>
        <w:spacing w:line="360" w:lineRule="auto"/>
        <w:rPr>
          <w:rFonts w:ascii="Book Antiqua" w:hAnsi="Book Antiqua"/>
          <w:b/>
          <w:sz w:val="24"/>
        </w:rPr>
      </w:pPr>
    </w:p>
    <w:p w:rsidR="007746F4" w:rsidRPr="00533779" w:rsidRDefault="007746F4" w:rsidP="00533779">
      <w:pPr>
        <w:autoSpaceDE w:val="0"/>
        <w:autoSpaceDN w:val="0"/>
        <w:adjustRightInd w:val="0"/>
        <w:spacing w:line="360" w:lineRule="auto"/>
        <w:contextualSpacing/>
        <w:rPr>
          <w:rFonts w:ascii="Book Antiqua" w:hAnsi="Book Antiqua" w:cs="TimesNewRomanPS-BoldItalicMT"/>
          <w:b/>
          <w:bCs/>
          <w:iCs/>
          <w:kern w:val="0"/>
          <w:sz w:val="24"/>
        </w:rPr>
      </w:pPr>
      <w:r w:rsidRPr="00533779">
        <w:rPr>
          <w:rFonts w:ascii="Book Antiqua" w:hAnsi="Book Antiqua"/>
          <w:b/>
          <w:sz w:val="24"/>
        </w:rPr>
        <w:lastRenderedPageBreak/>
        <w:t>Conflict-of-interest:</w:t>
      </w:r>
      <w:r w:rsidRPr="00533779">
        <w:rPr>
          <w:rFonts w:ascii="Book Antiqua" w:eastAsiaTheme="minorEastAsia" w:hAnsi="Book Antiqua"/>
          <w:b/>
          <w:sz w:val="24"/>
          <w:lang w:eastAsia="zh-CN"/>
        </w:rPr>
        <w:t xml:space="preserve"> </w:t>
      </w:r>
      <w:r w:rsidRPr="00533779">
        <w:rPr>
          <w:rFonts w:ascii="Book Antiqua" w:hAnsi="Book Antiqua"/>
          <w:sz w:val="24"/>
        </w:rPr>
        <w:t xml:space="preserve">The authors </w:t>
      </w:r>
      <w:bookmarkStart w:id="0" w:name="OLE_LINK71"/>
      <w:bookmarkStart w:id="1" w:name="OLE_LINK72"/>
      <w:r w:rsidRPr="00533779">
        <w:rPr>
          <w:rFonts w:ascii="Book Antiqua" w:hAnsi="Book Antiqua" w:cs="TimesNewRomanPS-BoldItalicMT"/>
          <w:bCs/>
          <w:iCs/>
          <w:kern w:val="0"/>
          <w:sz w:val="24"/>
        </w:rPr>
        <w:t>declare that there are no competing financial or personal relationships with other people or organizations that could inappropriately influence the research.</w:t>
      </w:r>
      <w:bookmarkEnd w:id="0"/>
      <w:bookmarkEnd w:id="1"/>
    </w:p>
    <w:p w:rsidR="007746F4" w:rsidRPr="00533779" w:rsidRDefault="007746F4" w:rsidP="00533779">
      <w:pPr>
        <w:autoSpaceDE w:val="0"/>
        <w:autoSpaceDN w:val="0"/>
        <w:adjustRightInd w:val="0"/>
        <w:spacing w:line="360" w:lineRule="auto"/>
        <w:rPr>
          <w:rFonts w:ascii="Book Antiqua" w:eastAsiaTheme="minorEastAsia" w:hAnsi="Book Antiqua" w:cs="TimesNewRomanPS-BoldItalicMT"/>
          <w:b/>
          <w:bCs/>
          <w:i/>
          <w:iCs/>
          <w:color w:val="000000"/>
          <w:kern w:val="0"/>
          <w:sz w:val="24"/>
          <w:lang w:eastAsia="zh-CN"/>
        </w:rPr>
      </w:pPr>
    </w:p>
    <w:p w:rsidR="007746F4" w:rsidRPr="00533779" w:rsidRDefault="007746F4" w:rsidP="00533779">
      <w:pPr>
        <w:widowControl/>
        <w:spacing w:line="360" w:lineRule="auto"/>
        <w:rPr>
          <w:rFonts w:ascii="Book Antiqua" w:eastAsia="宋体" w:hAnsi="Book Antiqua" w:cs="宋体"/>
          <w:color w:val="000000" w:themeColor="text1"/>
          <w:kern w:val="0"/>
          <w:sz w:val="24"/>
          <w:lang w:eastAsia="zh-CN"/>
        </w:rPr>
      </w:pPr>
      <w:bookmarkStart w:id="2" w:name="OLE_LINK507"/>
      <w:bookmarkStart w:id="3" w:name="OLE_LINK506"/>
      <w:bookmarkStart w:id="4" w:name="OLE_LINK496"/>
      <w:bookmarkStart w:id="5" w:name="OLE_LINK479"/>
      <w:r w:rsidRPr="00533779">
        <w:rPr>
          <w:rFonts w:ascii="Book Antiqua" w:eastAsia="宋体" w:hAnsi="Book Antiqua" w:cs="宋体"/>
          <w:b/>
          <w:color w:val="000000" w:themeColor="text1"/>
          <w:kern w:val="0"/>
          <w:sz w:val="24"/>
          <w:lang w:eastAsia="zh-CN"/>
        </w:rPr>
        <w:t xml:space="preserve">Open-Access: </w:t>
      </w:r>
      <w:r w:rsidRPr="00533779">
        <w:rPr>
          <w:rFonts w:ascii="Book Antiqua" w:eastAsia="宋体" w:hAnsi="Book Antiqua" w:cs="宋体"/>
          <w:color w:val="000000" w:themeColor="text1"/>
          <w:kern w:val="0"/>
          <w:sz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33779">
          <w:rPr>
            <w:rFonts w:ascii="Book Antiqua" w:eastAsia="宋体" w:hAnsi="Book Antiqua" w:cs="宋体"/>
            <w:color w:val="000000" w:themeColor="text1"/>
            <w:kern w:val="0"/>
            <w:sz w:val="24"/>
            <w:u w:val="single"/>
            <w:lang w:eastAsia="zh-CN"/>
          </w:rPr>
          <w:t>http://creativecommons.org/licenses/by-nc/4.0/</w:t>
        </w:r>
      </w:hyperlink>
      <w:bookmarkEnd w:id="2"/>
      <w:bookmarkEnd w:id="3"/>
      <w:bookmarkEnd w:id="4"/>
      <w:bookmarkEnd w:id="5"/>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 xml:space="preserve">Correspondence to: Masakuni Fujii, MD, </w:t>
      </w:r>
      <w:r w:rsidRPr="00533779">
        <w:rPr>
          <w:rFonts w:ascii="Book Antiqua" w:hAnsi="Book Antiqua"/>
          <w:sz w:val="24"/>
        </w:rPr>
        <w:t>Department of Internal Medicine, Okayama Saiseikai General Hospital, 1-17-18 Ifuku-cho, Okayama 700-8511, Japan. sktng334@yahoo.co.jp</w:t>
      </w:r>
    </w:p>
    <w:p w:rsidR="007746F4" w:rsidRPr="00533779" w:rsidRDefault="007746F4" w:rsidP="00533779">
      <w:pPr>
        <w:spacing w:line="360" w:lineRule="auto"/>
        <w:contextualSpacing/>
        <w:rPr>
          <w:rFonts w:ascii="Book Antiqua" w:hAnsi="Book Antiqua"/>
          <w:b/>
          <w:sz w:val="24"/>
        </w:rPr>
      </w:pPr>
    </w:p>
    <w:p w:rsidR="007746F4" w:rsidRPr="00533779" w:rsidRDefault="007746F4" w:rsidP="00533779">
      <w:pPr>
        <w:spacing w:line="360" w:lineRule="auto"/>
        <w:contextualSpacing/>
        <w:rPr>
          <w:rFonts w:ascii="Book Antiqua" w:eastAsiaTheme="minorEastAsia" w:hAnsi="Book Antiqua"/>
          <w:sz w:val="24"/>
          <w:lang w:eastAsia="zh-CN"/>
        </w:rPr>
      </w:pPr>
      <w:r w:rsidRPr="00533779">
        <w:rPr>
          <w:rFonts w:ascii="Book Antiqua" w:hAnsi="Book Antiqua"/>
          <w:b/>
          <w:sz w:val="24"/>
        </w:rPr>
        <w:t xml:space="preserve">Telephone: </w:t>
      </w:r>
      <w:r w:rsidRPr="00533779">
        <w:rPr>
          <w:rFonts w:ascii="Book Antiqua" w:hAnsi="Book Antiqua"/>
          <w:sz w:val="24"/>
        </w:rPr>
        <w:t>+81-86-2237151</w:t>
      </w:r>
      <w:r w:rsidRPr="00533779">
        <w:rPr>
          <w:rFonts w:ascii="Book Antiqua" w:hAnsi="Book Antiqua"/>
          <w:sz w:val="24"/>
        </w:rPr>
        <w:tab/>
      </w:r>
      <w:r w:rsidRPr="00533779">
        <w:rPr>
          <w:rFonts w:ascii="Book Antiqua" w:hAnsi="Book Antiqua"/>
          <w:sz w:val="24"/>
        </w:rPr>
        <w:tab/>
      </w:r>
    </w:p>
    <w:p w:rsidR="007746F4" w:rsidRPr="00533779" w:rsidRDefault="007746F4" w:rsidP="00533779">
      <w:pPr>
        <w:spacing w:line="360" w:lineRule="auto"/>
        <w:contextualSpacing/>
        <w:rPr>
          <w:rFonts w:ascii="Book Antiqua" w:eastAsiaTheme="minorEastAsia" w:hAnsi="Book Antiqua"/>
          <w:sz w:val="24"/>
          <w:lang w:eastAsia="zh-CN"/>
        </w:rPr>
      </w:pPr>
      <w:r w:rsidRPr="00533779">
        <w:rPr>
          <w:rFonts w:ascii="Book Antiqua" w:hAnsi="Book Antiqua"/>
          <w:b/>
          <w:sz w:val="24"/>
        </w:rPr>
        <w:t xml:space="preserve">Fax: </w:t>
      </w:r>
      <w:r w:rsidRPr="00533779">
        <w:rPr>
          <w:rFonts w:ascii="Book Antiqua" w:hAnsi="Book Antiqua"/>
          <w:sz w:val="24"/>
        </w:rPr>
        <w:t>+81-86-2357636</w:t>
      </w:r>
    </w:p>
    <w:p w:rsidR="007605AF" w:rsidRPr="00533779" w:rsidRDefault="007605AF" w:rsidP="00533779">
      <w:pPr>
        <w:spacing w:line="360" w:lineRule="auto"/>
        <w:rPr>
          <w:rFonts w:ascii="Book Antiqua" w:hAnsi="Book Antiqua"/>
          <w:b/>
          <w:sz w:val="24"/>
        </w:rPr>
      </w:pPr>
      <w:bookmarkStart w:id="6" w:name="OLE_LINK7"/>
      <w:bookmarkStart w:id="7" w:name="OLE_LINK8"/>
      <w:r w:rsidRPr="00533779">
        <w:rPr>
          <w:rFonts w:ascii="Book Antiqua" w:hAnsi="Book Antiqua"/>
          <w:b/>
          <w:sz w:val="24"/>
        </w:rPr>
        <w:t>Received:</w:t>
      </w:r>
      <w:r w:rsidRPr="00533779">
        <w:rPr>
          <w:rFonts w:ascii="Book Antiqua" w:eastAsiaTheme="minorEastAsia" w:hAnsi="Book Antiqua"/>
          <w:b/>
          <w:sz w:val="24"/>
          <w:lang w:eastAsia="zh-CN"/>
        </w:rPr>
        <w:t xml:space="preserve"> </w:t>
      </w:r>
      <w:r w:rsidRPr="00533779">
        <w:rPr>
          <w:rFonts w:ascii="Book Antiqua" w:eastAsiaTheme="minorEastAsia" w:hAnsi="Book Antiqua"/>
          <w:sz w:val="24"/>
          <w:lang w:eastAsia="zh-CN"/>
        </w:rPr>
        <w:t>October 8, 2014</w:t>
      </w:r>
      <w:r w:rsidRPr="00533779">
        <w:rPr>
          <w:rFonts w:ascii="Book Antiqua" w:hAnsi="Book Antiqua"/>
          <w:sz w:val="24"/>
        </w:rPr>
        <w:t xml:space="preserve"> </w:t>
      </w:r>
    </w:p>
    <w:p w:rsidR="007605AF" w:rsidRPr="00533779" w:rsidRDefault="007605AF" w:rsidP="00533779">
      <w:pPr>
        <w:spacing w:line="360" w:lineRule="auto"/>
        <w:rPr>
          <w:rFonts w:ascii="Book Antiqua" w:eastAsiaTheme="minorEastAsia" w:hAnsi="Book Antiqua"/>
          <w:b/>
          <w:sz w:val="24"/>
          <w:lang w:eastAsia="zh-CN"/>
        </w:rPr>
      </w:pPr>
      <w:r w:rsidRPr="00533779">
        <w:rPr>
          <w:rFonts w:ascii="Book Antiqua" w:hAnsi="Book Antiqua"/>
          <w:b/>
          <w:sz w:val="24"/>
        </w:rPr>
        <w:t>Peer-review started:</w:t>
      </w:r>
      <w:r w:rsidRPr="00533779">
        <w:rPr>
          <w:rFonts w:ascii="Book Antiqua" w:eastAsiaTheme="minorEastAsia" w:hAnsi="Book Antiqua"/>
          <w:b/>
          <w:sz w:val="24"/>
          <w:lang w:eastAsia="zh-CN"/>
        </w:rPr>
        <w:t xml:space="preserve"> </w:t>
      </w:r>
      <w:r w:rsidRPr="00533779">
        <w:rPr>
          <w:rFonts w:ascii="Book Antiqua" w:eastAsiaTheme="minorEastAsia" w:hAnsi="Book Antiqua"/>
          <w:sz w:val="24"/>
          <w:lang w:eastAsia="zh-CN"/>
        </w:rPr>
        <w:t>October 8, 2014</w:t>
      </w:r>
    </w:p>
    <w:p w:rsidR="007605AF" w:rsidRPr="00533779" w:rsidRDefault="007605AF" w:rsidP="00533779">
      <w:pPr>
        <w:spacing w:line="360" w:lineRule="auto"/>
        <w:rPr>
          <w:rFonts w:ascii="Book Antiqua" w:eastAsiaTheme="minorEastAsia" w:hAnsi="Book Antiqua"/>
          <w:b/>
          <w:sz w:val="24"/>
          <w:lang w:eastAsia="zh-CN"/>
        </w:rPr>
      </w:pPr>
      <w:r w:rsidRPr="00533779">
        <w:rPr>
          <w:rFonts w:ascii="Book Antiqua" w:hAnsi="Book Antiqua"/>
          <w:b/>
          <w:sz w:val="24"/>
        </w:rPr>
        <w:t>First decision:</w:t>
      </w:r>
      <w:r w:rsidRPr="00533779">
        <w:rPr>
          <w:rFonts w:ascii="Book Antiqua" w:eastAsiaTheme="minorEastAsia" w:hAnsi="Book Antiqua"/>
          <w:b/>
          <w:sz w:val="24"/>
          <w:lang w:eastAsia="zh-CN"/>
        </w:rPr>
        <w:t xml:space="preserve"> </w:t>
      </w:r>
      <w:r w:rsidRPr="00533779">
        <w:rPr>
          <w:rFonts w:ascii="Book Antiqua" w:eastAsiaTheme="minorEastAsia" w:hAnsi="Book Antiqua"/>
          <w:sz w:val="24"/>
          <w:lang w:eastAsia="zh-CN"/>
        </w:rPr>
        <w:t>November 14, 2014</w:t>
      </w:r>
    </w:p>
    <w:p w:rsidR="007605AF" w:rsidRPr="00533779" w:rsidRDefault="007605AF" w:rsidP="00533779">
      <w:pPr>
        <w:spacing w:line="360" w:lineRule="auto"/>
        <w:rPr>
          <w:rFonts w:ascii="Book Antiqua" w:eastAsiaTheme="minorEastAsia" w:hAnsi="Book Antiqua"/>
          <w:b/>
          <w:sz w:val="24"/>
          <w:lang w:eastAsia="zh-CN"/>
        </w:rPr>
      </w:pPr>
      <w:r w:rsidRPr="00533779">
        <w:rPr>
          <w:rFonts w:ascii="Book Antiqua" w:hAnsi="Book Antiqua"/>
          <w:b/>
          <w:sz w:val="24"/>
        </w:rPr>
        <w:t>Revised:</w:t>
      </w:r>
      <w:r w:rsidRPr="00533779">
        <w:rPr>
          <w:rFonts w:ascii="Book Antiqua" w:eastAsiaTheme="minorEastAsia" w:hAnsi="Book Antiqua"/>
          <w:b/>
          <w:sz w:val="24"/>
          <w:lang w:eastAsia="zh-CN"/>
        </w:rPr>
        <w:t xml:space="preserve"> </w:t>
      </w:r>
      <w:r w:rsidRPr="00533779">
        <w:rPr>
          <w:rFonts w:ascii="Book Antiqua" w:eastAsiaTheme="minorEastAsia" w:hAnsi="Book Antiqua"/>
          <w:sz w:val="24"/>
          <w:lang w:eastAsia="zh-CN"/>
        </w:rPr>
        <w:t>December 19, 2014</w:t>
      </w:r>
    </w:p>
    <w:p w:rsidR="007605AF" w:rsidRPr="00533779" w:rsidRDefault="007605AF" w:rsidP="00533779">
      <w:pPr>
        <w:spacing w:line="360" w:lineRule="auto"/>
        <w:rPr>
          <w:rFonts w:ascii="Book Antiqua" w:hAnsi="Book Antiqua"/>
          <w:b/>
          <w:sz w:val="24"/>
        </w:rPr>
      </w:pPr>
      <w:r w:rsidRPr="00533779">
        <w:rPr>
          <w:rFonts w:ascii="Book Antiqua" w:hAnsi="Book Antiqua"/>
          <w:b/>
          <w:sz w:val="24"/>
        </w:rPr>
        <w:t>Accepted:</w:t>
      </w:r>
      <w:r w:rsidR="00730568" w:rsidRPr="00730568">
        <w:t xml:space="preserve"> </w:t>
      </w:r>
      <w:r w:rsidR="00730568" w:rsidRPr="00730568">
        <w:rPr>
          <w:rFonts w:ascii="Book Antiqua" w:hAnsi="Book Antiqua"/>
          <w:sz w:val="24"/>
        </w:rPr>
        <w:t>March 16, 2015</w:t>
      </w:r>
      <w:r w:rsidRPr="00533779">
        <w:rPr>
          <w:rFonts w:ascii="Book Antiqua" w:hAnsi="Book Antiqua"/>
          <w:b/>
          <w:sz w:val="24"/>
        </w:rPr>
        <w:t xml:space="preserve">  </w:t>
      </w:r>
    </w:p>
    <w:p w:rsidR="007605AF" w:rsidRPr="00533779" w:rsidRDefault="007605AF" w:rsidP="00533779">
      <w:pPr>
        <w:spacing w:line="360" w:lineRule="auto"/>
        <w:rPr>
          <w:rFonts w:ascii="Book Antiqua" w:hAnsi="Book Antiqua"/>
          <w:b/>
          <w:sz w:val="24"/>
        </w:rPr>
      </w:pPr>
      <w:r w:rsidRPr="00533779">
        <w:rPr>
          <w:rFonts w:ascii="Book Antiqua" w:hAnsi="Book Antiqua"/>
          <w:b/>
          <w:sz w:val="24"/>
        </w:rPr>
        <w:t>Article in press:</w:t>
      </w:r>
      <w:bookmarkStart w:id="8" w:name="_GoBack"/>
      <w:bookmarkEnd w:id="8"/>
    </w:p>
    <w:p w:rsidR="007746F4" w:rsidRPr="00533779" w:rsidRDefault="007605AF" w:rsidP="00533779">
      <w:pPr>
        <w:spacing w:line="360" w:lineRule="auto"/>
        <w:rPr>
          <w:rFonts w:ascii="Book Antiqua" w:eastAsiaTheme="minorEastAsia" w:hAnsi="Book Antiqua"/>
          <w:b/>
          <w:sz w:val="24"/>
          <w:lang w:eastAsia="zh-CN"/>
        </w:rPr>
      </w:pPr>
      <w:r w:rsidRPr="00533779">
        <w:rPr>
          <w:rFonts w:ascii="Book Antiqua" w:hAnsi="Book Antiqua"/>
          <w:b/>
          <w:sz w:val="24"/>
        </w:rPr>
        <w:t xml:space="preserve">Published online: </w:t>
      </w:r>
      <w:bookmarkEnd w:id="6"/>
      <w:bookmarkEnd w:id="7"/>
    </w:p>
    <w:p w:rsidR="007746F4" w:rsidRPr="00533779" w:rsidRDefault="007746F4" w:rsidP="00533779">
      <w:pPr>
        <w:widowControl/>
        <w:spacing w:line="360" w:lineRule="auto"/>
        <w:rPr>
          <w:rFonts w:ascii="Book Antiqua" w:eastAsiaTheme="minorEastAsia" w:hAnsi="Book Antiqua"/>
          <w:sz w:val="24"/>
          <w:lang w:eastAsia="zh-CN"/>
        </w:rPr>
      </w:pPr>
    </w:p>
    <w:p w:rsidR="007746F4" w:rsidRPr="00533779" w:rsidRDefault="007746F4" w:rsidP="00533779">
      <w:pPr>
        <w:widowControl/>
        <w:spacing w:line="360" w:lineRule="auto"/>
        <w:rPr>
          <w:rFonts w:ascii="Book Antiqua" w:hAnsi="Book Antiqua"/>
          <w:sz w:val="24"/>
        </w:rPr>
      </w:pPr>
      <w:r w:rsidRPr="00533779">
        <w:rPr>
          <w:rFonts w:ascii="Book Antiqua" w:hAnsi="Book Antiqua"/>
          <w:b/>
          <w:sz w:val="24"/>
        </w:rPr>
        <w:t>Abstract</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 xml:space="preserve">Progress in double-balloon endoscopy (DBE) has allowed for the diagnosis and treatment of disease in the postoperative bowel. For example, a short DBE, which has a 2.8 mm working channel and 152 cm working length, is useful for endoscopic retrograde cholangiopancreatography in bowel disease patients. However, afferent loop and Roux-limb obstruction, though rare, is caused by postoperative recurrence of biliary tract cancer with intractable complications. Most of the clinical findings involving these complications are relatively nonspecific and include abdominal pain, nausea, vomiting, fever, and obstructive jaundice. Treatments by surgery, percutaneous transhepatic biliary drainage, percutaneous enteral stent insertion, and endoscopic therapy have been reported. The general conditions of patients with these complications are poor due to cancer progression; therefore, a less invasive treatment is better. We report on the usefulness of metallic stent insertion using an overtube for afferent loop and Roux-limb obstruction caused by postoperative recurrence of biliary tract cancer under short DBE in two patients with complexly reconstructed intestines. </w:t>
      </w:r>
    </w:p>
    <w:p w:rsidR="007746F4" w:rsidRPr="00533779" w:rsidRDefault="007746F4" w:rsidP="00533779">
      <w:pPr>
        <w:spacing w:line="360" w:lineRule="auto"/>
        <w:contextualSpacing/>
        <w:rPr>
          <w:rFonts w:ascii="Book Antiqua" w:eastAsiaTheme="minorEastAsia" w:hAnsi="Book Antiqua"/>
          <w:sz w:val="24"/>
          <w:lang w:eastAsia="zh-CN"/>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Key words:</w:t>
      </w:r>
      <w:r w:rsidRPr="00533779">
        <w:rPr>
          <w:rFonts w:ascii="Book Antiqua" w:hAnsi="Book Antiqua"/>
          <w:sz w:val="24"/>
        </w:rPr>
        <w:t xml:space="preserve"> Afferent loop obstruction; Double balloon endoscopy; Overtube; Metallic stent; </w:t>
      </w:r>
      <w:proofErr w:type="gramStart"/>
      <w:r w:rsidRPr="00533779">
        <w:rPr>
          <w:rFonts w:ascii="Book Antiqua" w:hAnsi="Book Antiqua"/>
          <w:sz w:val="24"/>
        </w:rPr>
        <w:t>Biliary</w:t>
      </w:r>
      <w:proofErr w:type="gramEnd"/>
      <w:r w:rsidRPr="00533779">
        <w:rPr>
          <w:rFonts w:ascii="Book Antiqua" w:hAnsi="Book Antiqua"/>
          <w:sz w:val="24"/>
        </w:rPr>
        <w:t xml:space="preserve"> tract cancer</w:t>
      </w:r>
    </w:p>
    <w:p w:rsidR="007746F4" w:rsidRPr="00533779" w:rsidRDefault="007746F4" w:rsidP="00533779">
      <w:pPr>
        <w:spacing w:line="360" w:lineRule="auto"/>
        <w:contextualSpacing/>
        <w:rPr>
          <w:rFonts w:ascii="Book Antiqua" w:eastAsiaTheme="minorEastAsia" w:hAnsi="Book Antiqua"/>
          <w:sz w:val="24"/>
          <w:lang w:eastAsia="zh-CN"/>
        </w:rPr>
      </w:pPr>
    </w:p>
    <w:p w:rsidR="007605AF" w:rsidRPr="00533779" w:rsidRDefault="007605AF" w:rsidP="00533779">
      <w:pPr>
        <w:spacing w:line="360" w:lineRule="auto"/>
        <w:rPr>
          <w:rFonts w:ascii="Book Antiqua" w:hAnsi="Book Antiqua"/>
          <w:i/>
          <w:iCs/>
          <w:sz w:val="24"/>
        </w:rPr>
      </w:pPr>
      <w:proofErr w:type="gramStart"/>
      <w:r w:rsidRPr="00533779">
        <w:rPr>
          <w:rFonts w:ascii="Book Antiqua" w:hAnsi="Book Antiqua" w:cs="Tahoma"/>
          <w:b/>
          <w:color w:val="000000"/>
          <w:sz w:val="24"/>
          <w:lang w:val="en-GB"/>
        </w:rPr>
        <w:t xml:space="preserve">© </w:t>
      </w:r>
      <w:r w:rsidRPr="00533779">
        <w:rPr>
          <w:rFonts w:ascii="Book Antiqua" w:eastAsia="AdvTimes" w:hAnsi="Book Antiqua" w:cs="AdvTimes"/>
          <w:b/>
          <w:color w:val="000000"/>
          <w:sz w:val="24"/>
          <w:lang w:val="fr-FR"/>
        </w:rPr>
        <w:t>The Author(s) 2015.</w:t>
      </w:r>
      <w:proofErr w:type="gramEnd"/>
      <w:r w:rsidRPr="00533779">
        <w:rPr>
          <w:rFonts w:ascii="Book Antiqua" w:eastAsia="AdvTimes" w:hAnsi="Book Antiqua" w:cs="AdvTimes"/>
          <w:color w:val="000000"/>
          <w:sz w:val="24"/>
          <w:lang w:val="fr-FR"/>
        </w:rPr>
        <w:t xml:space="preserve"> Published by </w:t>
      </w:r>
      <w:r w:rsidRPr="00533779">
        <w:rPr>
          <w:rFonts w:ascii="Book Antiqua" w:hAnsi="Book Antiqua" w:cs="Arial Unicode MS"/>
          <w:color w:val="000000"/>
          <w:sz w:val="24"/>
          <w:lang w:val="en-GB"/>
        </w:rPr>
        <w:t>Baishideng Publishing Group Inc.</w:t>
      </w:r>
      <w:r w:rsidRPr="00533779">
        <w:rPr>
          <w:rFonts w:ascii="Book Antiqua" w:hAnsi="Book Antiqua" w:cs="Arial Unicode MS"/>
          <w:sz w:val="24"/>
          <w:lang w:val="en-GB"/>
        </w:rPr>
        <w:t xml:space="preserve"> </w:t>
      </w:r>
      <w:r w:rsidRPr="00533779">
        <w:rPr>
          <w:rFonts w:ascii="Book Antiqua" w:hAnsi="Book Antiqua" w:cs="Arial Unicode MS"/>
          <w:sz w:val="24"/>
          <w:lang w:val="fr-FR"/>
        </w:rPr>
        <w:t>All rights reserved.</w:t>
      </w:r>
    </w:p>
    <w:p w:rsidR="007605AF" w:rsidRPr="00533779" w:rsidRDefault="007605AF" w:rsidP="00533779">
      <w:pPr>
        <w:spacing w:line="360" w:lineRule="auto"/>
        <w:contextualSpacing/>
        <w:rPr>
          <w:rFonts w:ascii="Book Antiqua" w:eastAsiaTheme="minorEastAsia" w:hAnsi="Book Antiqua"/>
          <w:sz w:val="24"/>
          <w:lang w:eastAsia="zh-CN"/>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Core tip:</w:t>
      </w:r>
      <w:r w:rsidRPr="00533779">
        <w:rPr>
          <w:rFonts w:ascii="Book Antiqua" w:hAnsi="Book Antiqua"/>
          <w:sz w:val="24"/>
        </w:rPr>
        <w:t xml:space="preserve"> Malignant afferent loop and Roux-limb obstruction are intractable complications caused by postoperative recurrence of biliary tract cancer. Metallic stent insertion using an overtube under double-balloon endoscopy is a safe and feasible treatment option in such cases.</w:t>
      </w:r>
    </w:p>
    <w:p w:rsidR="007605AF" w:rsidRPr="00533779" w:rsidRDefault="007605AF" w:rsidP="00533779">
      <w:pPr>
        <w:spacing w:line="360" w:lineRule="auto"/>
        <w:contextualSpacing/>
        <w:rPr>
          <w:rFonts w:ascii="Book Antiqua" w:eastAsiaTheme="minorEastAsia" w:hAnsi="Book Antiqua"/>
          <w:sz w:val="24"/>
          <w:lang w:eastAsia="zh-CN"/>
        </w:rPr>
      </w:pPr>
    </w:p>
    <w:p w:rsidR="007605AF" w:rsidRPr="00533779" w:rsidRDefault="007605AF" w:rsidP="00533779">
      <w:pPr>
        <w:spacing w:line="360" w:lineRule="auto"/>
        <w:contextualSpacing/>
        <w:rPr>
          <w:rFonts w:ascii="Book Antiqua" w:eastAsiaTheme="minorEastAsia" w:hAnsi="Book Antiqua"/>
          <w:sz w:val="24"/>
          <w:lang w:eastAsia="zh-CN"/>
        </w:rPr>
      </w:pPr>
      <w:r w:rsidRPr="00533779">
        <w:rPr>
          <w:rFonts w:ascii="Book Antiqua" w:hAnsi="Book Antiqua"/>
          <w:sz w:val="24"/>
        </w:rPr>
        <w:t>Fujii M</w:t>
      </w:r>
      <w:r w:rsidRPr="00533779">
        <w:rPr>
          <w:rFonts w:ascii="Book Antiqua" w:eastAsiaTheme="minorEastAsia" w:hAnsi="Book Antiqua"/>
          <w:sz w:val="24"/>
          <w:lang w:eastAsia="zh-CN"/>
        </w:rPr>
        <w:t xml:space="preserve">, </w:t>
      </w:r>
      <w:r w:rsidRPr="00533779">
        <w:rPr>
          <w:rFonts w:ascii="Book Antiqua" w:hAnsi="Book Antiqua"/>
          <w:sz w:val="24"/>
        </w:rPr>
        <w:t>Ishiyama</w:t>
      </w:r>
      <w:r w:rsidRPr="00533779">
        <w:rPr>
          <w:rFonts w:ascii="Book Antiqua" w:eastAsiaTheme="minorEastAsia" w:hAnsi="Book Antiqua"/>
          <w:sz w:val="24"/>
          <w:lang w:eastAsia="zh-CN"/>
        </w:rPr>
        <w:t xml:space="preserve"> S, </w:t>
      </w:r>
      <w:r w:rsidRPr="00533779">
        <w:rPr>
          <w:rFonts w:ascii="Book Antiqua" w:hAnsi="Book Antiqua"/>
          <w:sz w:val="24"/>
        </w:rPr>
        <w:t>Saito</w:t>
      </w:r>
      <w:r w:rsidRPr="00533779">
        <w:rPr>
          <w:rFonts w:ascii="Book Antiqua" w:eastAsiaTheme="minorEastAsia" w:hAnsi="Book Antiqua"/>
          <w:sz w:val="24"/>
          <w:lang w:eastAsia="zh-CN"/>
        </w:rPr>
        <w:t xml:space="preserve"> H, </w:t>
      </w:r>
      <w:r w:rsidRPr="00533779">
        <w:rPr>
          <w:rFonts w:ascii="Book Antiqua" w:hAnsi="Book Antiqua"/>
          <w:sz w:val="24"/>
        </w:rPr>
        <w:t>Ito</w:t>
      </w:r>
      <w:r w:rsidRPr="00533779">
        <w:rPr>
          <w:rFonts w:ascii="Book Antiqua" w:eastAsiaTheme="minorEastAsia" w:hAnsi="Book Antiqua"/>
          <w:sz w:val="24"/>
          <w:lang w:eastAsia="zh-CN"/>
        </w:rPr>
        <w:t xml:space="preserve"> M, </w:t>
      </w:r>
      <w:r w:rsidRPr="00533779">
        <w:rPr>
          <w:rFonts w:ascii="Book Antiqua" w:hAnsi="Book Antiqua"/>
          <w:sz w:val="24"/>
        </w:rPr>
        <w:t>Fujiwara</w:t>
      </w:r>
      <w:r w:rsidRPr="00533779">
        <w:rPr>
          <w:rFonts w:ascii="Book Antiqua" w:eastAsiaTheme="minorEastAsia" w:hAnsi="Book Antiqua"/>
          <w:sz w:val="24"/>
          <w:lang w:eastAsia="zh-CN"/>
        </w:rPr>
        <w:t xml:space="preserve"> A, </w:t>
      </w:r>
      <w:r w:rsidRPr="00533779">
        <w:rPr>
          <w:rFonts w:ascii="Book Antiqua" w:hAnsi="Book Antiqua"/>
          <w:sz w:val="24"/>
        </w:rPr>
        <w:t>Niguma</w:t>
      </w:r>
      <w:r w:rsidRPr="00533779">
        <w:rPr>
          <w:rFonts w:ascii="Book Antiqua" w:eastAsiaTheme="minorEastAsia" w:hAnsi="Book Antiqua"/>
          <w:sz w:val="24"/>
          <w:lang w:eastAsia="zh-CN"/>
        </w:rPr>
        <w:t xml:space="preserve"> T, </w:t>
      </w:r>
      <w:r w:rsidRPr="00533779">
        <w:rPr>
          <w:rFonts w:ascii="Book Antiqua" w:hAnsi="Book Antiqua"/>
          <w:sz w:val="24"/>
        </w:rPr>
        <w:t>Yoshioka</w:t>
      </w:r>
      <w:r w:rsidRPr="00533779">
        <w:rPr>
          <w:rFonts w:ascii="Book Antiqua" w:eastAsiaTheme="minorEastAsia" w:hAnsi="Book Antiqua"/>
          <w:sz w:val="24"/>
          <w:lang w:eastAsia="zh-CN"/>
        </w:rPr>
        <w:t xml:space="preserve"> M, </w:t>
      </w:r>
      <w:r w:rsidRPr="00533779">
        <w:rPr>
          <w:rFonts w:ascii="Book Antiqua" w:hAnsi="Book Antiqua"/>
          <w:sz w:val="24"/>
        </w:rPr>
        <w:t>Shiode</w:t>
      </w:r>
      <w:r w:rsidRPr="00533779">
        <w:rPr>
          <w:rFonts w:ascii="Book Antiqua" w:eastAsiaTheme="minorEastAsia" w:hAnsi="Book Antiqua"/>
          <w:sz w:val="24"/>
          <w:lang w:eastAsia="zh-CN"/>
        </w:rPr>
        <w:t xml:space="preserve"> J. </w:t>
      </w:r>
      <w:r w:rsidRPr="00533779">
        <w:rPr>
          <w:rFonts w:ascii="Book Antiqua" w:hAnsi="Book Antiqua"/>
          <w:sz w:val="24"/>
        </w:rPr>
        <w:t>Metallic stent insertion with double-balloon endoscopy for malignant afferent loop obstruction</w:t>
      </w:r>
      <w:r w:rsidRPr="00533779">
        <w:rPr>
          <w:rFonts w:ascii="Book Antiqua" w:eastAsiaTheme="minorEastAsia" w:hAnsi="Book Antiqua"/>
          <w:sz w:val="24"/>
          <w:lang w:eastAsia="zh-CN"/>
        </w:rPr>
        <w:t xml:space="preserve">. </w:t>
      </w:r>
      <w:r w:rsidRPr="00533779">
        <w:rPr>
          <w:rFonts w:ascii="Book Antiqua" w:hAnsi="Book Antiqua"/>
          <w:i/>
          <w:iCs/>
          <w:sz w:val="24"/>
        </w:rPr>
        <w:t>World J Gastrointest Endosc</w:t>
      </w:r>
      <w:r w:rsidRPr="00533779">
        <w:rPr>
          <w:rFonts w:ascii="Book Antiqua" w:eastAsiaTheme="minorEastAsia" w:hAnsi="Book Antiqua"/>
          <w:iCs/>
          <w:sz w:val="24"/>
          <w:lang w:eastAsia="zh-CN"/>
        </w:rPr>
        <w:t xml:space="preserve"> 2015; </w:t>
      </w:r>
      <w:proofErr w:type="gramStart"/>
      <w:r w:rsidRPr="00533779">
        <w:rPr>
          <w:rFonts w:ascii="Book Antiqua" w:eastAsiaTheme="minorEastAsia" w:hAnsi="Book Antiqua"/>
          <w:iCs/>
          <w:sz w:val="24"/>
          <w:lang w:eastAsia="zh-CN"/>
        </w:rPr>
        <w:t>In</w:t>
      </w:r>
      <w:proofErr w:type="gramEnd"/>
      <w:r w:rsidRPr="00533779">
        <w:rPr>
          <w:rFonts w:ascii="Book Antiqua" w:eastAsiaTheme="minorEastAsia" w:hAnsi="Book Antiqua"/>
          <w:iCs/>
          <w:sz w:val="24"/>
          <w:lang w:eastAsia="zh-CN"/>
        </w:rPr>
        <w:t xml:space="preserve"> press</w:t>
      </w:r>
    </w:p>
    <w:p w:rsidR="007605AF" w:rsidRPr="00533779" w:rsidRDefault="007605AF" w:rsidP="00533779">
      <w:pPr>
        <w:spacing w:line="360" w:lineRule="auto"/>
        <w:contextualSpacing/>
        <w:rPr>
          <w:rFonts w:ascii="Book Antiqua" w:eastAsiaTheme="minorEastAsia" w:hAnsi="Book Antiqua"/>
          <w:sz w:val="24"/>
          <w:lang w:eastAsia="zh-CN"/>
        </w:rPr>
      </w:pPr>
    </w:p>
    <w:p w:rsidR="007746F4" w:rsidRPr="00533779" w:rsidRDefault="007746F4" w:rsidP="00533779">
      <w:pPr>
        <w:widowControl/>
        <w:spacing w:line="360" w:lineRule="auto"/>
        <w:rPr>
          <w:rFonts w:ascii="Book Antiqua" w:hAnsi="Book Antiqua"/>
          <w:sz w:val="24"/>
        </w:rPr>
      </w:pPr>
      <w:r w:rsidRPr="00533779">
        <w:rPr>
          <w:rFonts w:ascii="Book Antiqua" w:hAnsi="Book Antiqua"/>
          <w:b/>
          <w:sz w:val="24"/>
        </w:rPr>
        <w:t>INTRODUCTION</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 xml:space="preserve">Malignant afferent loop obstruction is a potentially life-threatening adverse event of Billroth II gastrectomy and pancreaticoduodenectomy. The occlusion is generally caused by a recurrent tumor, and often presents as chronic, progressive, partial </w:t>
      </w:r>
      <w:proofErr w:type="gramStart"/>
      <w:r w:rsidRPr="00533779">
        <w:rPr>
          <w:rFonts w:ascii="Book Antiqua" w:hAnsi="Book Antiqua"/>
          <w:sz w:val="24"/>
        </w:rPr>
        <w:t>obstruction</w:t>
      </w:r>
      <w:r w:rsidRPr="00533779">
        <w:rPr>
          <w:rFonts w:ascii="Book Antiqua" w:hAnsi="Book Antiqua"/>
          <w:sz w:val="24"/>
          <w:vertAlign w:val="superscript"/>
        </w:rPr>
        <w:t>[</w:t>
      </w:r>
      <w:proofErr w:type="gramEnd"/>
      <w:r w:rsidRPr="00533779">
        <w:rPr>
          <w:rFonts w:ascii="Book Antiqua" w:hAnsi="Book Antiqua"/>
          <w:sz w:val="24"/>
          <w:vertAlign w:val="superscript"/>
        </w:rPr>
        <w:t>1–3]</w:t>
      </w:r>
      <w:r w:rsidRPr="00533779">
        <w:rPr>
          <w:rFonts w:ascii="Book Antiqua" w:hAnsi="Book Antiqua"/>
          <w:sz w:val="24"/>
        </w:rPr>
        <w:t xml:space="preserve">. This type of complication is expected to increase along with therapeutic advances for malignant tumors, thus necessitating the development of safe, effective treatments. </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 xml:space="preserve">The general condition of patients with malignant afferent loop obstructions is poor due to cancer progression, and thus a less invasive treatment is preferred. Malignant afferent loop obstructions can be treated with surgery, percutaneous transhepatic biliary drainage, percutaneous enteral stent insertion, or endoscopic </w:t>
      </w:r>
      <w:proofErr w:type="gramStart"/>
      <w:r w:rsidRPr="00533779">
        <w:rPr>
          <w:rFonts w:ascii="Book Antiqua" w:hAnsi="Book Antiqua"/>
          <w:sz w:val="24"/>
        </w:rPr>
        <w:t>therapy</w:t>
      </w:r>
      <w:r w:rsidRPr="00533779">
        <w:rPr>
          <w:rFonts w:ascii="Book Antiqua" w:hAnsi="Book Antiqua"/>
          <w:sz w:val="24"/>
          <w:vertAlign w:val="superscript"/>
        </w:rPr>
        <w:t>[</w:t>
      </w:r>
      <w:proofErr w:type="gramEnd"/>
      <w:r w:rsidRPr="00533779">
        <w:rPr>
          <w:rFonts w:ascii="Book Antiqua" w:hAnsi="Book Antiqua"/>
          <w:sz w:val="24"/>
          <w:vertAlign w:val="superscript"/>
        </w:rPr>
        <w:t>4–6]</w:t>
      </w:r>
      <w:r w:rsidRPr="00533779">
        <w:rPr>
          <w:rFonts w:ascii="Book Antiqua" w:hAnsi="Book Antiqua"/>
          <w:sz w:val="24"/>
        </w:rPr>
        <w:t xml:space="preserve">. Endoscopic stents for digestive tract obstruction are a minimally invasive, useful, and safe </w:t>
      </w:r>
      <w:proofErr w:type="gramStart"/>
      <w:r w:rsidRPr="00533779">
        <w:rPr>
          <w:rFonts w:ascii="Book Antiqua" w:hAnsi="Book Antiqua"/>
          <w:sz w:val="24"/>
        </w:rPr>
        <w:t>treatment</w:t>
      </w:r>
      <w:r w:rsidRPr="00533779">
        <w:rPr>
          <w:rFonts w:ascii="Book Antiqua" w:hAnsi="Book Antiqua"/>
          <w:sz w:val="24"/>
          <w:vertAlign w:val="superscript"/>
        </w:rPr>
        <w:t>[</w:t>
      </w:r>
      <w:proofErr w:type="gramEnd"/>
      <w:r w:rsidRPr="00533779">
        <w:rPr>
          <w:rFonts w:ascii="Book Antiqua" w:hAnsi="Book Antiqua"/>
          <w:sz w:val="24"/>
          <w:vertAlign w:val="superscript"/>
        </w:rPr>
        <w:t>7–9]</w:t>
      </w:r>
      <w:r w:rsidRPr="00533779">
        <w:rPr>
          <w:rFonts w:ascii="Book Antiqua" w:hAnsi="Book Antiqua"/>
          <w:sz w:val="24"/>
        </w:rPr>
        <w:t xml:space="preserve">. The primary obstacle for endoscopic stent treatment in postoperative digestive tract obstruction is the difficulty in approaching the obstructing lesion. Of note, there are reports on the use of double-balloon endoscopy (DBE) for complicated postoperative bowel </w:t>
      </w:r>
      <w:proofErr w:type="gramStart"/>
      <w:r w:rsidRPr="00533779">
        <w:rPr>
          <w:rFonts w:ascii="Book Antiqua" w:hAnsi="Book Antiqua"/>
          <w:sz w:val="24"/>
        </w:rPr>
        <w:t>reconstructions</w:t>
      </w:r>
      <w:r w:rsidRPr="00533779">
        <w:rPr>
          <w:rFonts w:ascii="Book Antiqua" w:hAnsi="Book Antiqua"/>
          <w:sz w:val="24"/>
          <w:vertAlign w:val="superscript"/>
        </w:rPr>
        <w:t>[</w:t>
      </w:r>
      <w:proofErr w:type="gramEnd"/>
      <w:r w:rsidRPr="00533779">
        <w:rPr>
          <w:rFonts w:ascii="Book Antiqua" w:hAnsi="Book Antiqua"/>
          <w:sz w:val="24"/>
          <w:vertAlign w:val="superscript"/>
        </w:rPr>
        <w:t>10,11]</w:t>
      </w:r>
      <w:r w:rsidRPr="00533779">
        <w:rPr>
          <w:rFonts w:ascii="Book Antiqua" w:hAnsi="Book Antiqua"/>
          <w:sz w:val="24"/>
        </w:rPr>
        <w:t xml:space="preserve">. Furthermore, a short DBE, which has a 2.8 mm working channel and 152 cm working length, is useful for endoscopic retrograde cholangiopancreatography in these </w:t>
      </w:r>
      <w:proofErr w:type="gramStart"/>
      <w:r w:rsidRPr="00533779">
        <w:rPr>
          <w:rFonts w:ascii="Book Antiqua" w:hAnsi="Book Antiqua"/>
          <w:sz w:val="24"/>
        </w:rPr>
        <w:t>patients</w:t>
      </w:r>
      <w:r w:rsidRPr="00533779">
        <w:rPr>
          <w:rFonts w:ascii="Book Antiqua" w:hAnsi="Book Antiqua"/>
          <w:sz w:val="24"/>
          <w:vertAlign w:val="superscript"/>
        </w:rPr>
        <w:t>[</w:t>
      </w:r>
      <w:proofErr w:type="gramEnd"/>
      <w:r w:rsidRPr="00533779">
        <w:rPr>
          <w:rFonts w:ascii="Book Antiqua" w:hAnsi="Book Antiqua"/>
          <w:sz w:val="24"/>
          <w:vertAlign w:val="superscript"/>
        </w:rPr>
        <w:t>12]</w:t>
      </w:r>
      <w:r w:rsidRPr="00533779">
        <w:rPr>
          <w:rFonts w:ascii="Book Antiqua" w:hAnsi="Book Antiqua"/>
          <w:sz w:val="24"/>
        </w:rPr>
        <w:t xml:space="preserve">. However, because of the large diameter of the system for delivery of metallic stents (MS) indigestive tract obstructions, they cannot be deployed through the narrow working channel of a short DBE. Therefore, new methods are needed to deploy an MS with DBE. </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We report on the usefulness of MS insertion using an overtube under a short DBE for afferent loop and Roux-limb obstruction caused by postoperative recurrence of biliary tract cancer in two patients with complexly reconstructed intestines.</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CASE REPORT</w:t>
      </w: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Case 1</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A man in his sixties underwent Roux-en-Y hepaticojejunostomy because of cholangiocarcinoma. Chemotherapy was performed one year later for recurrence of peritoneal dissemination. Two years after chemotherapy, the patient developed a fever and elevated serum transaminase levels. Laboratory tests were as follows: white blood cell (WBC) counts, 9410/</w:t>
      </w:r>
      <w:r w:rsidRPr="00533779">
        <w:rPr>
          <w:rFonts w:ascii="Book Antiqua" w:eastAsiaTheme="minorEastAsia" w:hAnsi="Book Antiqua"/>
          <w:sz w:val="24"/>
          <w:lang w:eastAsia="zh-CN"/>
        </w:rPr>
        <w:t>μ</w:t>
      </w:r>
      <w:r w:rsidRPr="00533779">
        <w:rPr>
          <w:rFonts w:ascii="Book Antiqua" w:hAnsi="Book Antiqua"/>
          <w:sz w:val="24"/>
        </w:rPr>
        <w:t>L(normal: 4500–8500/μL); C-reactive protein, 4.7 mg/dL</w:t>
      </w:r>
      <w:r w:rsidRPr="00533779">
        <w:rPr>
          <w:rFonts w:ascii="Book Antiqua" w:eastAsiaTheme="minorEastAsia" w:hAnsi="Book Antiqua"/>
          <w:sz w:val="24"/>
          <w:lang w:eastAsia="zh-CN"/>
        </w:rPr>
        <w:t xml:space="preserve"> </w:t>
      </w:r>
      <w:r w:rsidRPr="00533779">
        <w:rPr>
          <w:rFonts w:ascii="Book Antiqua" w:hAnsi="Book Antiqua"/>
          <w:sz w:val="24"/>
        </w:rPr>
        <w:t>(normal:</w:t>
      </w:r>
      <w:r w:rsidRPr="00533779">
        <w:rPr>
          <w:rFonts w:ascii="Book Antiqua" w:eastAsiaTheme="minorEastAsia" w:hAnsi="Book Antiqua"/>
          <w:sz w:val="24"/>
          <w:lang w:eastAsia="zh-CN"/>
        </w:rPr>
        <w:t xml:space="preserve"> </w:t>
      </w:r>
      <w:r w:rsidRPr="00533779">
        <w:rPr>
          <w:rFonts w:ascii="Book Antiqua" w:hAnsi="Book Antiqua"/>
          <w:sz w:val="24"/>
        </w:rPr>
        <w:t>&lt;</w:t>
      </w:r>
      <w:r w:rsidRPr="00533779">
        <w:rPr>
          <w:rFonts w:ascii="Book Antiqua" w:eastAsiaTheme="minorEastAsia" w:hAnsi="Book Antiqua"/>
          <w:sz w:val="24"/>
          <w:lang w:eastAsia="zh-CN"/>
        </w:rPr>
        <w:t xml:space="preserve"> </w:t>
      </w:r>
      <w:r w:rsidRPr="00533779">
        <w:rPr>
          <w:rFonts w:ascii="Book Antiqua" w:hAnsi="Book Antiqua"/>
          <w:sz w:val="24"/>
        </w:rPr>
        <w:t>0.26</w:t>
      </w:r>
      <w:r w:rsidRPr="00533779">
        <w:rPr>
          <w:rFonts w:ascii="Book Antiqua" w:eastAsiaTheme="minorEastAsia" w:hAnsi="Book Antiqua"/>
          <w:sz w:val="24"/>
          <w:lang w:eastAsia="zh-CN"/>
        </w:rPr>
        <w:t xml:space="preserve"> </w:t>
      </w:r>
      <w:r w:rsidRPr="00533779">
        <w:rPr>
          <w:rFonts w:ascii="Book Antiqua" w:hAnsi="Book Antiqua"/>
          <w:sz w:val="24"/>
        </w:rPr>
        <w:t>mg/dL); total bilirubin, 1.2 mg/dL</w:t>
      </w:r>
      <w:r w:rsidRPr="00533779">
        <w:rPr>
          <w:rFonts w:ascii="Book Antiqua" w:eastAsiaTheme="minorEastAsia" w:hAnsi="Book Antiqua"/>
          <w:sz w:val="24"/>
          <w:lang w:eastAsia="zh-CN"/>
        </w:rPr>
        <w:t xml:space="preserve"> </w:t>
      </w:r>
      <w:r w:rsidRPr="00533779">
        <w:rPr>
          <w:rFonts w:ascii="Book Antiqua" w:hAnsi="Book Antiqua"/>
          <w:sz w:val="24"/>
        </w:rPr>
        <w:t>(normal: 0.2</w:t>
      </w:r>
      <w:r w:rsidRPr="00533779">
        <w:rPr>
          <w:rFonts w:ascii="Book Antiqua" w:eastAsiaTheme="minorEastAsia" w:hAnsi="Book Antiqua"/>
          <w:sz w:val="24"/>
          <w:lang w:eastAsia="zh-CN"/>
        </w:rPr>
        <w:t>-</w:t>
      </w:r>
      <w:r w:rsidRPr="00533779">
        <w:rPr>
          <w:rFonts w:ascii="Book Antiqua" w:hAnsi="Book Antiqua"/>
          <w:sz w:val="24"/>
        </w:rPr>
        <w:t>1.2</w:t>
      </w:r>
      <w:r w:rsidRPr="00533779">
        <w:rPr>
          <w:rFonts w:ascii="Book Antiqua" w:eastAsiaTheme="minorEastAsia" w:hAnsi="Book Antiqua"/>
          <w:sz w:val="24"/>
          <w:lang w:eastAsia="zh-CN"/>
        </w:rPr>
        <w:t xml:space="preserve"> </w:t>
      </w:r>
      <w:r w:rsidRPr="00533779">
        <w:rPr>
          <w:rFonts w:ascii="Book Antiqua" w:hAnsi="Book Antiqua"/>
          <w:sz w:val="24"/>
        </w:rPr>
        <w:t>mg/dL); γ-glutamyltranspeptidase (γGTP), 256 IU/L</w:t>
      </w:r>
      <w:r w:rsidRPr="00533779">
        <w:rPr>
          <w:rFonts w:ascii="Book Antiqua" w:eastAsiaTheme="minorEastAsia" w:hAnsi="Book Antiqua"/>
          <w:sz w:val="24"/>
          <w:lang w:eastAsia="zh-CN"/>
        </w:rPr>
        <w:t xml:space="preserve"> </w:t>
      </w:r>
      <w:r w:rsidRPr="00533779">
        <w:rPr>
          <w:rFonts w:ascii="Book Antiqua" w:hAnsi="Book Antiqua"/>
          <w:sz w:val="24"/>
        </w:rPr>
        <w:t>(normal: 5–40 IU/L); aspartate aminotransferase (AST), 38 IU/L (normal: 10–35 IU/L); and alanine aminotransferase (ALT), 17 IU/L</w:t>
      </w:r>
      <w:r w:rsidRPr="00533779">
        <w:rPr>
          <w:rFonts w:ascii="Book Antiqua" w:eastAsiaTheme="minorEastAsia" w:hAnsi="Book Antiqua"/>
          <w:sz w:val="24"/>
          <w:lang w:eastAsia="zh-CN"/>
        </w:rPr>
        <w:t xml:space="preserve"> </w:t>
      </w:r>
      <w:r w:rsidRPr="00533779">
        <w:rPr>
          <w:rFonts w:ascii="Book Antiqua" w:hAnsi="Book Antiqua"/>
          <w:sz w:val="24"/>
        </w:rPr>
        <w:t>(normal:</w:t>
      </w:r>
      <w:r w:rsidRPr="00533779">
        <w:rPr>
          <w:rFonts w:ascii="Book Antiqua" w:eastAsiaTheme="minorEastAsia" w:hAnsi="Book Antiqua"/>
          <w:sz w:val="24"/>
          <w:lang w:eastAsia="zh-CN"/>
        </w:rPr>
        <w:t xml:space="preserve"> </w:t>
      </w:r>
      <w:r w:rsidRPr="00533779">
        <w:rPr>
          <w:rFonts w:ascii="Book Antiqua" w:hAnsi="Book Antiqua"/>
          <w:sz w:val="24"/>
        </w:rPr>
        <w:t>7</w:t>
      </w:r>
      <w:r w:rsidRPr="00533779">
        <w:rPr>
          <w:rFonts w:ascii="Book Antiqua" w:eastAsiaTheme="minorEastAsia" w:hAnsi="Book Antiqua"/>
          <w:sz w:val="24"/>
          <w:lang w:eastAsia="zh-CN"/>
        </w:rPr>
        <w:t>-</w:t>
      </w:r>
      <w:r w:rsidRPr="00533779">
        <w:rPr>
          <w:rFonts w:ascii="Book Antiqua" w:hAnsi="Book Antiqua"/>
          <w:sz w:val="24"/>
        </w:rPr>
        <w:t>42</w:t>
      </w:r>
      <w:r w:rsidRPr="00533779">
        <w:rPr>
          <w:rFonts w:ascii="Book Antiqua" w:eastAsiaTheme="minorEastAsia" w:hAnsi="Book Antiqua"/>
          <w:sz w:val="24"/>
          <w:lang w:eastAsia="zh-CN"/>
        </w:rPr>
        <w:t xml:space="preserve"> </w:t>
      </w:r>
      <w:r w:rsidRPr="00533779">
        <w:rPr>
          <w:rFonts w:ascii="Book Antiqua" w:hAnsi="Book Antiqua"/>
          <w:sz w:val="24"/>
        </w:rPr>
        <w:t>IU/L). Abdominal computed tomography (CT) showed the reconstructed jejunum that was expanded at the site of hepatectomy, mild expansion of the intrahepatic bile ducts and stenosis of the reconstructed jejunum (Figure 1A). The patient was diagnosed with malignant Roux-limb obstruction due to peritoneal dissemination and cholangitis.</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Ultrasound-guided drainage was performed for the dilated jejunal Roux-limb, but repeated inflammatory aggravation with drain obstruction occurred. Therefore, a short DBE was performed with the patient under conscious sedation. The short DBE (EC-450BI5; Fujifilm, Tokyo, Japan) was inserted into the Roux-limb obstruction (Figure 1B), and a 0.035 inch guide-wire (Radifocus; Terumo, Tokyo, Japan) was passed through the site of the stricture. Then, a standard endoscopic retrograde cholangiopancreatography injection catheter (MTW Endoskopie, Düsseldorf, Germany) was inserted, and passage through the stenosis was confirmed by radiography. The guide-wire was exchanged with a 0.035 inch Jagwire (Boston Scientific Co., Natick, MA, U</w:t>
      </w:r>
      <w:r w:rsidRPr="00533779">
        <w:rPr>
          <w:rFonts w:ascii="Book Antiqua" w:eastAsiaTheme="minorEastAsia" w:hAnsi="Book Antiqua"/>
          <w:sz w:val="24"/>
          <w:lang w:eastAsia="zh-CN"/>
        </w:rPr>
        <w:t>nited States</w:t>
      </w:r>
      <w:r w:rsidRPr="00533779">
        <w:rPr>
          <w:rFonts w:ascii="Book Antiqua" w:hAnsi="Book Antiqua"/>
          <w:sz w:val="24"/>
        </w:rPr>
        <w:t xml:space="preserve">), and an overtube was left to prevent bowel expansion. The DBE was then removed. Finally, an MS (2.2 </w:t>
      </w:r>
      <w:r w:rsidRPr="00533779">
        <w:rPr>
          <w:rFonts w:ascii="Book Antiqua" w:hAnsi="Book Antiqua"/>
          <w:sz w:val="24"/>
        </w:rPr>
        <w:sym w:font="Symbol" w:char="F0B4"/>
      </w:r>
      <w:r w:rsidRPr="00533779">
        <w:rPr>
          <w:rFonts w:ascii="Book Antiqua" w:hAnsi="Book Antiqua"/>
          <w:sz w:val="24"/>
        </w:rPr>
        <w:t xml:space="preserve"> 6.0 cm, Wallflex duodenal stent; Boston Scientific Co.) was inserted through the overtube in combination with an over-the-wire technique (Figure 1C) and deployed (Figure 1D). There were no perioperative or postoperative adverse events. </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After stent insertion, the patient’s cholangitis, general condition, and laboratory tests improved as follows: WBC count, 7960/μL; C-reactive protein, 1.86</w:t>
      </w:r>
      <w:r w:rsidR="007605AF" w:rsidRPr="00533779">
        <w:rPr>
          <w:rFonts w:ascii="Book Antiqua" w:eastAsiaTheme="minorEastAsia" w:hAnsi="Book Antiqua"/>
          <w:sz w:val="24"/>
          <w:lang w:eastAsia="zh-CN"/>
        </w:rPr>
        <w:t xml:space="preserve"> </w:t>
      </w:r>
      <w:r w:rsidRPr="00533779">
        <w:rPr>
          <w:rFonts w:ascii="Book Antiqua" w:hAnsi="Book Antiqua"/>
          <w:sz w:val="24"/>
        </w:rPr>
        <w:t>mg/dL; total bilirubin, 0.7 mg/dL; γGTP, 96 IU/L; AST, 25 IU/L; and ALT, 19 IU/L. On CT, dilation of the Roux-limb disappeared, and chemotherapy resumed. However, this patient died because of peritonitis carcinomatosa 141 days after stent insertion.</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 xml:space="preserve">Case 2 </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 xml:space="preserve">A man in his sixties underwent pancreaticoduodenectomy because of Vater’s papilla cancer. He developed a fever and jaundice approximately 10 </w:t>
      </w:r>
      <w:proofErr w:type="gramStart"/>
      <w:r w:rsidRPr="00533779">
        <w:rPr>
          <w:rFonts w:ascii="Book Antiqua" w:hAnsi="Book Antiqua"/>
          <w:sz w:val="24"/>
        </w:rPr>
        <w:t>mo</w:t>
      </w:r>
      <w:proofErr w:type="gramEnd"/>
      <w:r w:rsidRPr="00533779">
        <w:rPr>
          <w:rFonts w:ascii="Book Antiqua" w:hAnsi="Book Antiqua"/>
          <w:sz w:val="24"/>
        </w:rPr>
        <w:t xml:space="preserve"> after the operation. Laboratory tests were as follows: total bilirubin 9.9</w:t>
      </w:r>
      <w:r w:rsidR="007605AF" w:rsidRPr="00533779">
        <w:rPr>
          <w:rFonts w:ascii="Book Antiqua" w:eastAsiaTheme="minorEastAsia" w:hAnsi="Book Antiqua"/>
          <w:sz w:val="24"/>
          <w:lang w:eastAsia="zh-CN"/>
        </w:rPr>
        <w:t xml:space="preserve"> </w:t>
      </w:r>
      <w:r w:rsidRPr="00533779">
        <w:rPr>
          <w:rFonts w:ascii="Book Antiqua" w:hAnsi="Book Antiqua"/>
          <w:sz w:val="24"/>
        </w:rPr>
        <w:t xml:space="preserve">mg/dL; γGTP, 401 IU/L; AST, 273 IU/L; and ALT, 283 IU/L. Abdominal CT showed ascites, dilation of the afferent loop, and a surrounding soft density (Figure 2A). The patient was thus diagnosed with malignant afferent loop obstruction due to peritoneal dissemination and cholangitis. </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ab/>
        <w:t xml:space="preserve">A short DBE (EC-450BI5; Fujifilm) was performed, which revealed stenosis with irregular mucosa at the afferent loop obstruction (Figure 2B and C). An MS (2.2 </w:t>
      </w:r>
      <w:r w:rsidRPr="00533779">
        <w:rPr>
          <w:rFonts w:ascii="Book Antiqua" w:hAnsi="Book Antiqua"/>
          <w:sz w:val="24"/>
        </w:rPr>
        <w:sym w:font="Symbol" w:char="F0B4"/>
      </w:r>
      <w:r w:rsidRPr="00533779">
        <w:rPr>
          <w:rFonts w:ascii="Book Antiqua" w:hAnsi="Book Antiqua"/>
          <w:sz w:val="24"/>
        </w:rPr>
        <w:t xml:space="preserve"> 6.0 cm, Niti-S D-type stent; Taewoong Medical Inc., Seoul, South Korea) was inserted and deployed as described in case 1 (Figure 2D and E). There were no perioperative or postoperative adverse events.</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After insertion of the MS, the patient’s general condition and laboratory tests improved: total bilirubin, 1.5 mg/dL; γGTP, 296 IU/L; AST, 92 IU/L; and ALT, 77 IU/L. Chemotherapy was resumed, however this patient also died from peritonitis carcinomatosa 140 days after stent insertion.</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DISCUSSION</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Afferent loop and Roux-limb obstruction are rare adverse events that result in the obstruction of the postoperative intestinal tract. When jaundice and/or fever occur in a postoperative cancer patient with intestinal tract reconstruction, it is important to consider afferent loop or Roux-limb obstruction due to recurrence. Obstructions are typically treated with surgery; however, the general condition of many of these patients is so poor that surgery is not possible. In such cases, insertion of an MS through the stenosis is a useful treatment.</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 xml:space="preserve">Although percutaneous stent deployment has been </w:t>
      </w:r>
      <w:proofErr w:type="gramStart"/>
      <w:r w:rsidRPr="00533779">
        <w:rPr>
          <w:rFonts w:ascii="Book Antiqua" w:hAnsi="Book Antiqua"/>
          <w:sz w:val="24"/>
        </w:rPr>
        <w:t>reported</w:t>
      </w:r>
      <w:r w:rsidRPr="00533779">
        <w:rPr>
          <w:rFonts w:ascii="Book Antiqua" w:hAnsi="Book Antiqua"/>
          <w:sz w:val="24"/>
          <w:vertAlign w:val="superscript"/>
        </w:rPr>
        <w:t>[</w:t>
      </w:r>
      <w:proofErr w:type="gramEnd"/>
      <w:r w:rsidRPr="00533779">
        <w:rPr>
          <w:rFonts w:ascii="Book Antiqua" w:hAnsi="Book Antiqua"/>
          <w:sz w:val="24"/>
          <w:vertAlign w:val="superscript"/>
        </w:rPr>
        <w:t>13,14]</w:t>
      </w:r>
      <w:r w:rsidRPr="00533779">
        <w:rPr>
          <w:rFonts w:ascii="Book Antiqua" w:hAnsi="Book Antiqua"/>
          <w:sz w:val="24"/>
        </w:rPr>
        <w:t>, the endoscopic approach allows for direct identification of the stenosis. There are few reports using this method, due to the difficulty in reaching the stenosis with an endoscope, and the need for a scope with a large enough working channel diameter to permit insertion of an MS. In the cases reported here, malignant afferent loop and Roux-limb obstructions were confirmed by DBE and the stenoses were penetrated with a guide-wire. The endoscope was then removed, leaving the overtube to prevent bowel expansion and deploy the MS with an over-the-wire technique. With this method, the stents were safely and easily inserted through the stenoses using a DBE, eliminating the need for a new endoscope. DBE was chosen over a colonoscope in these cases, as it can cause patient discomfort and poses a risk to the patient’s health. Stents were safely inserted without a high degree of difficulty and did not produce major adverse events. Moreover, the patients were able to leave the hospital early.</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There are other treatments for afferent loop obstruction, such as percutaneous transhepatic biliary drainage or endoscopic ultrasound-guided transhepatic drainage. When a hepatic-jejunal anastomotic stricture coexists, these methods may be particularly useful. However, biliary access can be challenging in patients without dilation of intrahepatic biliary ducts or in patients with ascites. In our cases, we could confirm the absence of judge hepatic-jejunal anastomotic strictures because the bile ducts were easily contrasted by cystography from the afferent loop. Thus, treatments should be selected depending on the patient’s condition.</w:t>
      </w:r>
    </w:p>
    <w:p w:rsidR="007746F4" w:rsidRPr="00533779" w:rsidRDefault="007746F4" w:rsidP="00533779">
      <w:pPr>
        <w:spacing w:line="360" w:lineRule="auto"/>
        <w:ind w:firstLine="420"/>
        <w:contextualSpacing/>
        <w:rPr>
          <w:rFonts w:ascii="Book Antiqua" w:hAnsi="Book Antiqua"/>
          <w:sz w:val="24"/>
        </w:rPr>
      </w:pPr>
      <w:r w:rsidRPr="00533779">
        <w:rPr>
          <w:rFonts w:ascii="Book Antiqua" w:hAnsi="Book Antiqua"/>
          <w:sz w:val="24"/>
        </w:rPr>
        <w:t>In conclusion, MS insertion using an overtube for afferent loop and Roux-limb obstruction from postoperative recurrence of biliary tract cancer under short DBE is safe and feasible. However, it is necessary to accumulate more cases to determine the true rates of adverse events and confirm the effectiveness of this approach in comparison with surgery and other treatments.</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sz w:val="24"/>
        </w:rPr>
      </w:pPr>
      <w:r w:rsidRPr="00533779">
        <w:rPr>
          <w:rFonts w:ascii="Book Antiqua" w:hAnsi="Book Antiqua"/>
          <w:b/>
          <w:sz w:val="24"/>
        </w:rPr>
        <w:t>COMMENTS</w:t>
      </w: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Case characteristics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Two men in their sixties who underwent Roux-en-Y hepaticojejunostomy after presenting with cholangiocarcinoma and a fever (Case 1) and pancreaticoduodenectomy due to Vater’s papilla cancer after presenting with fever and jaundice (Case 2) are reported here.</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Clinical diagnosis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Case 1: Fever; Case 2: fever and jaundice upon physical exam.</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Differential diagnosis</w:t>
      </w:r>
    </w:p>
    <w:p w:rsidR="007746F4" w:rsidRPr="00533779" w:rsidRDefault="007746F4" w:rsidP="00533779">
      <w:pPr>
        <w:spacing w:line="360" w:lineRule="auto"/>
        <w:contextualSpacing/>
        <w:rPr>
          <w:rFonts w:ascii="Book Antiqua" w:hAnsi="Book Antiqua"/>
          <w:sz w:val="24"/>
        </w:rPr>
      </w:pPr>
      <w:proofErr w:type="gramStart"/>
      <w:r w:rsidRPr="00533779">
        <w:rPr>
          <w:rFonts w:ascii="Book Antiqua" w:hAnsi="Book Antiqua"/>
          <w:sz w:val="24"/>
        </w:rPr>
        <w:t>Pseudocyst; ileus.</w:t>
      </w:r>
      <w:proofErr w:type="gramEnd"/>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Laboratory diagnosis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Case 1: WBC, 9410/μL; C-reactive protein, 4.7 mg/dL; total bilirubin, 1.2 and 9.9mg/dL; γ-glutamyltranspeptidase, 256 and 401 IU/L; aspartate aminotransferase, 38 and 273IU/L; and alanine aminotransferase,17 and 283 IU/L, for case 1 and case 2, respectively.</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Imaging diagnosis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Computed tomography (CT) in case 1 revealed expansion at the site of hepatectomy in the reconstructed jejunum, mild expansion of intrahepatic bile ducts, and stenosis of reconstructed jejunum; in case 2, CT revealed ascites, dilation of the afferent loop, and a surrounding soft density.</w:t>
      </w:r>
    </w:p>
    <w:p w:rsidR="007746F4" w:rsidRPr="00533779" w:rsidRDefault="007746F4" w:rsidP="00533779">
      <w:pPr>
        <w:spacing w:line="360" w:lineRule="auto"/>
        <w:contextualSpacing/>
        <w:rPr>
          <w:rFonts w:ascii="Book Antiqua" w:eastAsiaTheme="minorEastAsia" w:hAnsi="Book Antiqua"/>
          <w:sz w:val="24"/>
          <w:lang w:eastAsia="zh-CN"/>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 xml:space="preserve">Treatment </w:t>
      </w:r>
    </w:p>
    <w:p w:rsidR="007746F4" w:rsidRPr="00533779" w:rsidRDefault="007746F4" w:rsidP="00533779">
      <w:pPr>
        <w:spacing w:line="360" w:lineRule="auto"/>
        <w:contextualSpacing/>
        <w:rPr>
          <w:rFonts w:ascii="Book Antiqua" w:hAnsi="Book Antiqua"/>
          <w:sz w:val="24"/>
        </w:rPr>
      </w:pPr>
      <w:proofErr w:type="gramStart"/>
      <w:r w:rsidRPr="00533779">
        <w:rPr>
          <w:rFonts w:ascii="Book Antiqua" w:hAnsi="Book Antiqua"/>
          <w:sz w:val="24"/>
        </w:rPr>
        <w:t>Metallic stent insertion with double-balloon endoscopy for malignant afferent loop and Roux-limb obstruction.</w:t>
      </w:r>
      <w:proofErr w:type="gramEnd"/>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Related reports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Afferent loop and Roux-limb obstructions caused by postoperative recurrence of biliary tract cancer are rare and intractable.</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Term explanation</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Malignant afferent loop obstructions are rare adverse events due to the obstruction of the postoperative intestinal tract of Billroth II gastrectomy and pancreaticoduodenectomy.</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Experiences and lessons</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Metallic stent insertion using an overtube for afferent loop and Roux-limb obstruction caused by postoperative recurrence of biliary tract cancer under short double-balloon endoscopy is safe and feasible.</w:t>
      </w:r>
    </w:p>
    <w:p w:rsidR="007746F4" w:rsidRPr="00533779" w:rsidRDefault="007746F4" w:rsidP="00533779">
      <w:pPr>
        <w:spacing w:line="360" w:lineRule="auto"/>
        <w:contextualSpacing/>
        <w:rPr>
          <w:rFonts w:ascii="Book Antiqua" w:hAnsi="Book Antiqua"/>
          <w:sz w:val="24"/>
        </w:rPr>
      </w:pPr>
    </w:p>
    <w:p w:rsidR="007746F4" w:rsidRPr="00533779" w:rsidRDefault="007746F4" w:rsidP="00533779">
      <w:pPr>
        <w:spacing w:line="360" w:lineRule="auto"/>
        <w:contextualSpacing/>
        <w:rPr>
          <w:rFonts w:ascii="Book Antiqua" w:hAnsi="Book Antiqua"/>
          <w:b/>
          <w:i/>
          <w:sz w:val="24"/>
        </w:rPr>
      </w:pPr>
      <w:r w:rsidRPr="00533779">
        <w:rPr>
          <w:rFonts w:ascii="Book Antiqua" w:hAnsi="Book Antiqua"/>
          <w:b/>
          <w:i/>
          <w:sz w:val="24"/>
        </w:rPr>
        <w:t>Peer</w:t>
      </w:r>
      <w:r w:rsidRPr="00533779">
        <w:rPr>
          <w:rFonts w:ascii="Book Antiqua" w:eastAsiaTheme="minorEastAsia" w:hAnsi="Book Antiqua"/>
          <w:b/>
          <w:i/>
          <w:sz w:val="24"/>
          <w:lang w:eastAsia="zh-CN"/>
        </w:rPr>
        <w:t>-</w:t>
      </w:r>
      <w:r w:rsidRPr="00533779">
        <w:rPr>
          <w:rFonts w:ascii="Book Antiqua" w:hAnsi="Book Antiqua"/>
          <w:b/>
          <w:i/>
          <w:sz w:val="24"/>
        </w:rPr>
        <w:t>review</w:t>
      </w:r>
    </w:p>
    <w:p w:rsidR="007746F4" w:rsidRPr="00533779" w:rsidRDefault="007746F4" w:rsidP="00533779">
      <w:pPr>
        <w:spacing w:line="360" w:lineRule="auto"/>
        <w:contextualSpacing/>
        <w:rPr>
          <w:rFonts w:ascii="Book Antiqua" w:hAnsi="Book Antiqua"/>
          <w:sz w:val="24"/>
        </w:rPr>
      </w:pPr>
      <w:r w:rsidRPr="00533779">
        <w:rPr>
          <w:rFonts w:ascii="Book Antiqua" w:hAnsi="Book Antiqua"/>
          <w:sz w:val="24"/>
        </w:rPr>
        <w:t>The technique is interesting and clinically relevant, and will be of interest to this journal’s readership.</w:t>
      </w:r>
    </w:p>
    <w:p w:rsidR="007746F4" w:rsidRPr="00533779" w:rsidRDefault="007746F4" w:rsidP="00533779">
      <w:pPr>
        <w:widowControl/>
        <w:spacing w:line="360" w:lineRule="auto"/>
        <w:rPr>
          <w:rFonts w:ascii="Book Antiqua" w:eastAsiaTheme="minorEastAsia" w:hAnsi="Book Antiqua"/>
          <w:sz w:val="24"/>
          <w:lang w:eastAsia="zh-CN"/>
        </w:rPr>
      </w:pPr>
    </w:p>
    <w:p w:rsidR="007746F4" w:rsidRPr="00533779" w:rsidRDefault="007746F4" w:rsidP="00533779">
      <w:pPr>
        <w:widowControl/>
        <w:spacing w:line="360" w:lineRule="auto"/>
        <w:rPr>
          <w:rFonts w:ascii="Book Antiqua" w:hAnsi="Book Antiqua"/>
          <w:sz w:val="24"/>
        </w:rPr>
      </w:pPr>
      <w:r w:rsidRPr="00533779">
        <w:rPr>
          <w:rFonts w:ascii="Book Antiqua" w:hAnsi="Book Antiqua"/>
          <w:b/>
          <w:sz w:val="24"/>
        </w:rPr>
        <w:t>REFERENCES</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1 </w:t>
      </w:r>
      <w:r w:rsidRPr="00533779">
        <w:rPr>
          <w:rFonts w:ascii="Book Antiqua" w:eastAsia="宋体" w:hAnsi="Book Antiqua" w:cs="宋体"/>
          <w:b/>
          <w:bCs/>
          <w:kern w:val="0"/>
          <w:sz w:val="24"/>
        </w:rPr>
        <w:t>Burdick JS</w:t>
      </w:r>
      <w:r w:rsidRPr="00533779">
        <w:rPr>
          <w:rFonts w:ascii="Book Antiqua" w:eastAsia="宋体" w:hAnsi="Book Antiqua" w:cs="宋体"/>
          <w:kern w:val="0"/>
          <w:sz w:val="24"/>
        </w:rPr>
        <w:t xml:space="preserve">, Garza AA, Magee DJ, Dykes C, Jeyarajah R. Endoscopic management of afferent loop syndrome of malignant etiology. </w:t>
      </w:r>
      <w:r w:rsidRPr="00533779">
        <w:rPr>
          <w:rFonts w:ascii="Book Antiqua" w:eastAsia="宋体" w:hAnsi="Book Antiqua" w:cs="宋体"/>
          <w:i/>
          <w:iCs/>
          <w:kern w:val="0"/>
          <w:sz w:val="24"/>
        </w:rPr>
        <w:t>Gastrointest Endosc</w:t>
      </w:r>
      <w:r w:rsidRPr="00533779">
        <w:rPr>
          <w:rFonts w:ascii="Book Antiqua" w:eastAsia="宋体" w:hAnsi="Book Antiqua" w:cs="宋体"/>
          <w:kern w:val="0"/>
          <w:sz w:val="24"/>
        </w:rPr>
        <w:t xml:space="preserve"> 2002; </w:t>
      </w:r>
      <w:r w:rsidRPr="00533779">
        <w:rPr>
          <w:rFonts w:ascii="Book Antiqua" w:eastAsia="宋体" w:hAnsi="Book Antiqua" w:cs="宋体"/>
          <w:b/>
          <w:bCs/>
          <w:kern w:val="0"/>
          <w:sz w:val="24"/>
        </w:rPr>
        <w:t>55</w:t>
      </w:r>
      <w:r w:rsidRPr="00533779">
        <w:rPr>
          <w:rFonts w:ascii="Book Antiqua" w:eastAsia="宋体" w:hAnsi="Book Antiqua" w:cs="宋体"/>
          <w:kern w:val="0"/>
          <w:sz w:val="24"/>
        </w:rPr>
        <w:t>: 602-605 [PMID: 11923786 DOI: 10.1067/mge.2002.122584]</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2 </w:t>
      </w:r>
      <w:r w:rsidRPr="00533779">
        <w:rPr>
          <w:rFonts w:ascii="Book Antiqua" w:eastAsia="宋体" w:hAnsi="Book Antiqua" w:cs="宋体"/>
          <w:b/>
          <w:bCs/>
          <w:kern w:val="0"/>
          <w:sz w:val="24"/>
        </w:rPr>
        <w:t>Aimoto T</w:t>
      </w:r>
      <w:r w:rsidRPr="00533779">
        <w:rPr>
          <w:rFonts w:ascii="Book Antiqua" w:eastAsia="宋体" w:hAnsi="Book Antiqua" w:cs="宋体"/>
          <w:kern w:val="0"/>
          <w:sz w:val="24"/>
        </w:rPr>
        <w:t xml:space="preserve">, Uchida E, Nakamura Y, Katsuno A, Chou K, Tajiri T, Naito Z. Malignant afferent loop obstruction following pancreaticoduodenectomy: report of two cases. </w:t>
      </w:r>
      <w:r w:rsidRPr="00533779">
        <w:rPr>
          <w:rFonts w:ascii="Book Antiqua" w:eastAsia="宋体" w:hAnsi="Book Antiqua" w:cs="宋体"/>
          <w:i/>
          <w:iCs/>
          <w:kern w:val="0"/>
          <w:sz w:val="24"/>
        </w:rPr>
        <w:t>J Nippon Med Sch</w:t>
      </w:r>
      <w:r w:rsidRPr="00533779">
        <w:rPr>
          <w:rFonts w:ascii="Book Antiqua" w:eastAsia="宋体" w:hAnsi="Book Antiqua" w:cs="宋体"/>
          <w:kern w:val="0"/>
          <w:sz w:val="24"/>
        </w:rPr>
        <w:t xml:space="preserve"> 2006; </w:t>
      </w:r>
      <w:r w:rsidRPr="00533779">
        <w:rPr>
          <w:rFonts w:ascii="Book Antiqua" w:eastAsia="宋体" w:hAnsi="Book Antiqua" w:cs="宋体"/>
          <w:b/>
          <w:bCs/>
          <w:kern w:val="0"/>
          <w:sz w:val="24"/>
        </w:rPr>
        <w:t>73</w:t>
      </w:r>
      <w:r w:rsidRPr="00533779">
        <w:rPr>
          <w:rFonts w:ascii="Book Antiqua" w:eastAsia="宋体" w:hAnsi="Book Antiqua" w:cs="宋体"/>
          <w:kern w:val="0"/>
          <w:sz w:val="24"/>
        </w:rPr>
        <w:t>: 226-230 [PMID: 16936449 DOI: 10.1272/jnms.73.226]</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3 </w:t>
      </w:r>
      <w:r w:rsidRPr="00533779">
        <w:rPr>
          <w:rFonts w:ascii="Book Antiqua" w:eastAsia="宋体" w:hAnsi="Book Antiqua" w:cs="宋体"/>
          <w:b/>
          <w:bCs/>
          <w:kern w:val="0"/>
          <w:sz w:val="24"/>
        </w:rPr>
        <w:t>Kim YH</w:t>
      </w:r>
      <w:r w:rsidRPr="00533779">
        <w:rPr>
          <w:rFonts w:ascii="Book Antiqua" w:eastAsia="宋体" w:hAnsi="Book Antiqua" w:cs="宋体"/>
          <w:kern w:val="0"/>
          <w:sz w:val="24"/>
        </w:rPr>
        <w:t xml:space="preserve">, Han JK, Lee KH, Kim TK, Kim KW, Choi BI. Palliative percutaneous tube enterostomy in afferent-loop syndrome presenting as jaundice: clinical effectiveness. </w:t>
      </w:r>
      <w:r w:rsidRPr="00533779">
        <w:rPr>
          <w:rFonts w:ascii="Book Antiqua" w:eastAsia="宋体" w:hAnsi="Book Antiqua" w:cs="宋体"/>
          <w:i/>
          <w:iCs/>
          <w:kern w:val="0"/>
          <w:sz w:val="24"/>
        </w:rPr>
        <w:t>J Vasc Interv Radiol</w:t>
      </w:r>
      <w:r w:rsidRPr="00533779">
        <w:rPr>
          <w:rFonts w:ascii="Book Antiqua" w:eastAsia="宋体" w:hAnsi="Book Antiqua" w:cs="宋体"/>
          <w:kern w:val="0"/>
          <w:sz w:val="24"/>
        </w:rPr>
        <w:t xml:space="preserve"> 2002; </w:t>
      </w:r>
      <w:r w:rsidRPr="00533779">
        <w:rPr>
          <w:rFonts w:ascii="Book Antiqua" w:eastAsia="宋体" w:hAnsi="Book Antiqua" w:cs="宋体"/>
          <w:b/>
          <w:bCs/>
          <w:kern w:val="0"/>
          <w:sz w:val="24"/>
        </w:rPr>
        <w:t>13</w:t>
      </w:r>
      <w:r w:rsidRPr="00533779">
        <w:rPr>
          <w:rFonts w:ascii="Book Antiqua" w:eastAsia="宋体" w:hAnsi="Book Antiqua" w:cs="宋体"/>
          <w:kern w:val="0"/>
          <w:sz w:val="24"/>
        </w:rPr>
        <w:t>: 845-849 [PMID: 12171989 DOI: 10.1016/S1051-0443(07)61995-2]</w:t>
      </w:r>
    </w:p>
    <w:p w:rsidR="007605AF" w:rsidRPr="00533779" w:rsidRDefault="007605AF" w:rsidP="00533779">
      <w:pPr>
        <w:widowControl/>
        <w:spacing w:line="360" w:lineRule="auto"/>
        <w:rPr>
          <w:rFonts w:ascii="Book Antiqua" w:eastAsia="宋体" w:hAnsi="Book Antiqua" w:cs="宋体"/>
          <w:kern w:val="0"/>
          <w:sz w:val="24"/>
        </w:rPr>
      </w:pPr>
      <w:proofErr w:type="gramStart"/>
      <w:r w:rsidRPr="00533779">
        <w:rPr>
          <w:rFonts w:ascii="Book Antiqua" w:eastAsia="宋体" w:hAnsi="Book Antiqua" w:cs="宋体"/>
          <w:kern w:val="0"/>
          <w:sz w:val="24"/>
        </w:rPr>
        <w:t xml:space="preserve">4 </w:t>
      </w:r>
      <w:r w:rsidRPr="00533779">
        <w:rPr>
          <w:rFonts w:ascii="Book Antiqua" w:eastAsia="宋体" w:hAnsi="Book Antiqua" w:cs="宋体"/>
          <w:b/>
          <w:bCs/>
          <w:kern w:val="0"/>
          <w:sz w:val="24"/>
        </w:rPr>
        <w:t>Laasch HU</w:t>
      </w:r>
      <w:r w:rsidRPr="00533779">
        <w:rPr>
          <w:rFonts w:ascii="Book Antiqua" w:eastAsia="宋体" w:hAnsi="Book Antiqua" w:cs="宋体"/>
          <w:kern w:val="0"/>
          <w:sz w:val="24"/>
        </w:rPr>
        <w:t>.</w:t>
      </w:r>
      <w:proofErr w:type="gramEnd"/>
      <w:r w:rsidRPr="00533779">
        <w:rPr>
          <w:rFonts w:ascii="Book Antiqua" w:eastAsia="宋体" w:hAnsi="Book Antiqua" w:cs="宋体"/>
          <w:kern w:val="0"/>
          <w:sz w:val="24"/>
        </w:rPr>
        <w:t xml:space="preserve"> Obstructive jaundice after bilioenteric anastomosis: transhepatic and direct percutaneous enteral stent insertion for afferent loop occlusion. </w:t>
      </w:r>
      <w:r w:rsidRPr="00533779">
        <w:rPr>
          <w:rFonts w:ascii="Book Antiqua" w:eastAsia="宋体" w:hAnsi="Book Antiqua" w:cs="宋体"/>
          <w:i/>
          <w:iCs/>
          <w:kern w:val="0"/>
          <w:sz w:val="24"/>
        </w:rPr>
        <w:t>Gut Liver</w:t>
      </w:r>
      <w:r w:rsidRPr="00533779">
        <w:rPr>
          <w:rFonts w:ascii="Book Antiqua" w:eastAsia="宋体" w:hAnsi="Book Antiqua" w:cs="宋体"/>
          <w:kern w:val="0"/>
          <w:sz w:val="24"/>
        </w:rPr>
        <w:t xml:space="preserve"> 2010; </w:t>
      </w:r>
      <w:r w:rsidRPr="00533779">
        <w:rPr>
          <w:rFonts w:ascii="Book Antiqua" w:eastAsia="宋体" w:hAnsi="Book Antiqua" w:cs="宋体"/>
          <w:b/>
          <w:bCs/>
          <w:kern w:val="0"/>
          <w:sz w:val="24"/>
        </w:rPr>
        <w:t xml:space="preserve">4 </w:t>
      </w:r>
      <w:r w:rsidRPr="00533779">
        <w:rPr>
          <w:rFonts w:ascii="Book Antiqua" w:eastAsia="宋体" w:hAnsi="Book Antiqua" w:cs="宋体"/>
          <w:bCs/>
          <w:kern w:val="0"/>
          <w:sz w:val="24"/>
        </w:rPr>
        <w:t>Suppl 1</w:t>
      </w:r>
      <w:r w:rsidRPr="00533779">
        <w:rPr>
          <w:rFonts w:ascii="Book Antiqua" w:eastAsia="宋体" w:hAnsi="Book Antiqua" w:cs="宋体"/>
          <w:kern w:val="0"/>
          <w:sz w:val="24"/>
        </w:rPr>
        <w:t>: S89-S95 [PMID: 21103301 DOI: 10.5009/gnl.2010.4.S1.S89]</w:t>
      </w:r>
    </w:p>
    <w:p w:rsidR="007605AF" w:rsidRPr="00533779" w:rsidRDefault="007605AF" w:rsidP="00533779">
      <w:pPr>
        <w:widowControl/>
        <w:spacing w:line="360" w:lineRule="auto"/>
        <w:rPr>
          <w:rFonts w:ascii="Book Antiqua" w:eastAsia="宋体" w:hAnsi="Book Antiqua" w:cs="宋体"/>
          <w:kern w:val="0"/>
          <w:sz w:val="24"/>
        </w:rPr>
      </w:pPr>
      <w:proofErr w:type="gramStart"/>
      <w:r w:rsidRPr="00533779">
        <w:rPr>
          <w:rFonts w:ascii="Book Antiqua" w:eastAsia="宋体" w:hAnsi="Book Antiqua" w:cs="宋体"/>
          <w:kern w:val="0"/>
          <w:sz w:val="24"/>
        </w:rPr>
        <w:t xml:space="preserve">5 </w:t>
      </w:r>
      <w:r w:rsidRPr="00533779">
        <w:rPr>
          <w:rFonts w:ascii="Book Antiqua" w:eastAsia="宋体" w:hAnsi="Book Antiqua" w:cs="宋体"/>
          <w:b/>
          <w:bCs/>
          <w:kern w:val="0"/>
          <w:sz w:val="24"/>
        </w:rPr>
        <w:t>Bakes D</w:t>
      </w:r>
      <w:r w:rsidRPr="00533779">
        <w:rPr>
          <w:rFonts w:ascii="Book Antiqua" w:eastAsia="宋体" w:hAnsi="Book Antiqua" w:cs="宋体"/>
          <w:kern w:val="0"/>
          <w:sz w:val="24"/>
        </w:rPr>
        <w:t>, Cain C, King M, Dong Xda E. Management of afferent loop obstruction from recurrent metastatic pancreatic cancer using a venting gastrojejunostomy.</w:t>
      </w:r>
      <w:proofErr w:type="gramEnd"/>
      <w:r w:rsidRPr="00533779">
        <w:rPr>
          <w:rFonts w:ascii="Book Antiqua" w:eastAsia="宋体" w:hAnsi="Book Antiqua" w:cs="宋体"/>
          <w:kern w:val="0"/>
          <w:sz w:val="24"/>
        </w:rPr>
        <w:t xml:space="preserve"> </w:t>
      </w:r>
      <w:r w:rsidRPr="00533779">
        <w:rPr>
          <w:rFonts w:ascii="Book Antiqua" w:eastAsia="宋体" w:hAnsi="Book Antiqua" w:cs="宋体"/>
          <w:i/>
          <w:iCs/>
          <w:kern w:val="0"/>
          <w:sz w:val="24"/>
        </w:rPr>
        <w:t>World J Gastrointest Oncol</w:t>
      </w:r>
      <w:r w:rsidRPr="00533779">
        <w:rPr>
          <w:rFonts w:ascii="Book Antiqua" w:eastAsia="宋体" w:hAnsi="Book Antiqua" w:cs="宋体"/>
          <w:kern w:val="0"/>
          <w:sz w:val="24"/>
        </w:rPr>
        <w:t xml:space="preserve"> 2013; </w:t>
      </w:r>
      <w:r w:rsidRPr="00533779">
        <w:rPr>
          <w:rFonts w:ascii="Book Antiqua" w:eastAsia="宋体" w:hAnsi="Book Antiqua" w:cs="宋体"/>
          <w:b/>
          <w:bCs/>
          <w:kern w:val="0"/>
          <w:sz w:val="24"/>
        </w:rPr>
        <w:t>5</w:t>
      </w:r>
      <w:r w:rsidRPr="00533779">
        <w:rPr>
          <w:rFonts w:ascii="Book Antiqua" w:eastAsia="宋体" w:hAnsi="Book Antiqua" w:cs="宋体"/>
          <w:kern w:val="0"/>
          <w:sz w:val="24"/>
        </w:rPr>
        <w:t>: 235-239 [PMID: 24363832 DOI: 10.4251/wjgo.v5.i12.235]</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6 </w:t>
      </w:r>
      <w:r w:rsidRPr="00533779">
        <w:rPr>
          <w:rFonts w:ascii="Book Antiqua" w:eastAsia="宋体" w:hAnsi="Book Antiqua" w:cs="宋体"/>
          <w:b/>
          <w:bCs/>
          <w:kern w:val="0"/>
          <w:sz w:val="24"/>
        </w:rPr>
        <w:t>Pannala R</w:t>
      </w:r>
      <w:r w:rsidRPr="00533779">
        <w:rPr>
          <w:rFonts w:ascii="Book Antiqua" w:eastAsia="宋体" w:hAnsi="Book Antiqua" w:cs="宋体"/>
          <w:kern w:val="0"/>
          <w:sz w:val="24"/>
        </w:rPr>
        <w:t xml:space="preserve">, Brandabur JJ, Gan SI, Gluck M, Irani S, Patterson DJ, Ross AS, Dorer R, Traverso LW, Picozzi VJ, Kozarek RA. Afferent limb syndrome and delayed GI problems after pancreaticoduodenectomy for pancreatic cancer: single-center, 14-year experience. </w:t>
      </w:r>
      <w:r w:rsidRPr="00533779">
        <w:rPr>
          <w:rFonts w:ascii="Book Antiqua" w:eastAsia="宋体" w:hAnsi="Book Antiqua" w:cs="宋体"/>
          <w:i/>
          <w:iCs/>
          <w:kern w:val="0"/>
          <w:sz w:val="24"/>
        </w:rPr>
        <w:t>Gastrointest Endosc</w:t>
      </w:r>
      <w:r w:rsidRPr="00533779">
        <w:rPr>
          <w:rFonts w:ascii="Book Antiqua" w:eastAsia="宋体" w:hAnsi="Book Antiqua" w:cs="宋体"/>
          <w:kern w:val="0"/>
          <w:sz w:val="24"/>
        </w:rPr>
        <w:t xml:space="preserve"> 2011; </w:t>
      </w:r>
      <w:r w:rsidRPr="00533779">
        <w:rPr>
          <w:rFonts w:ascii="Book Antiqua" w:eastAsia="宋体" w:hAnsi="Book Antiqua" w:cs="宋体"/>
          <w:b/>
          <w:bCs/>
          <w:kern w:val="0"/>
          <w:sz w:val="24"/>
        </w:rPr>
        <w:t>74</w:t>
      </w:r>
      <w:r w:rsidRPr="00533779">
        <w:rPr>
          <w:rFonts w:ascii="Book Antiqua" w:eastAsia="宋体" w:hAnsi="Book Antiqua" w:cs="宋体"/>
          <w:kern w:val="0"/>
          <w:sz w:val="24"/>
        </w:rPr>
        <w:t>: 295-302 [PMID: 21689816 DOI: 10.1016/j.gie.2011.04.029]</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7 </w:t>
      </w:r>
      <w:r w:rsidRPr="00533779">
        <w:rPr>
          <w:rFonts w:ascii="Book Antiqua" w:eastAsia="宋体" w:hAnsi="Book Antiqua" w:cs="宋体"/>
          <w:b/>
          <w:bCs/>
          <w:kern w:val="0"/>
          <w:sz w:val="24"/>
        </w:rPr>
        <w:t>Repici A</w:t>
      </w:r>
      <w:r w:rsidRPr="00533779">
        <w:rPr>
          <w:rFonts w:ascii="Book Antiqua" w:eastAsia="宋体" w:hAnsi="Book Antiqua" w:cs="宋体"/>
          <w:kern w:val="0"/>
          <w:sz w:val="24"/>
        </w:rPr>
        <w:t xml:space="preserve">, de Paula Pessoa Ferreira D. Expandable metal stents for malignant colorectal strictures. </w:t>
      </w:r>
      <w:r w:rsidRPr="00533779">
        <w:rPr>
          <w:rFonts w:ascii="Book Antiqua" w:eastAsia="宋体" w:hAnsi="Book Antiqua" w:cs="宋体"/>
          <w:i/>
          <w:iCs/>
          <w:kern w:val="0"/>
          <w:sz w:val="24"/>
        </w:rPr>
        <w:t>Gastrointest Endosc Clin N Am</w:t>
      </w:r>
      <w:r w:rsidRPr="00533779">
        <w:rPr>
          <w:rFonts w:ascii="Book Antiqua" w:eastAsia="宋体" w:hAnsi="Book Antiqua" w:cs="宋体"/>
          <w:kern w:val="0"/>
          <w:sz w:val="24"/>
        </w:rPr>
        <w:t xml:space="preserve"> 2011; </w:t>
      </w:r>
      <w:r w:rsidRPr="00533779">
        <w:rPr>
          <w:rFonts w:ascii="Book Antiqua" w:eastAsia="宋体" w:hAnsi="Book Antiqua" w:cs="宋体"/>
          <w:b/>
          <w:bCs/>
          <w:kern w:val="0"/>
          <w:sz w:val="24"/>
        </w:rPr>
        <w:t>21</w:t>
      </w:r>
      <w:r w:rsidRPr="00533779">
        <w:rPr>
          <w:rFonts w:ascii="Book Antiqua" w:eastAsia="宋体" w:hAnsi="Book Antiqua" w:cs="宋体"/>
          <w:kern w:val="0"/>
          <w:sz w:val="24"/>
        </w:rPr>
        <w:t>: 511-533, ix [PMID: 21684468 DOI: 10.1016/j.giec.2011.04.005]</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8 </w:t>
      </w:r>
      <w:r w:rsidRPr="00533779">
        <w:rPr>
          <w:rFonts w:ascii="Book Antiqua" w:eastAsia="宋体" w:hAnsi="Book Antiqua" w:cs="宋体"/>
          <w:b/>
          <w:bCs/>
          <w:kern w:val="0"/>
          <w:sz w:val="24"/>
        </w:rPr>
        <w:t>Sasaki T</w:t>
      </w:r>
      <w:r w:rsidRPr="00533779">
        <w:rPr>
          <w:rFonts w:ascii="Book Antiqua" w:eastAsia="宋体" w:hAnsi="Book Antiqua" w:cs="宋体"/>
          <w:kern w:val="0"/>
          <w:sz w:val="24"/>
        </w:rPr>
        <w:t xml:space="preserve">, Isayama H, Maetani I, Nakai Y, Kogure H, Kawakubo K, Mizuno S, Yagioka H, Matsubara S, Ito Y, Yamamoto N, Sasahira N, Hirano K, Tsujino T, Toda N, Tada M, Koike K. Japanese multicenter estimation of WallFlex duodenal stent for unresectable malignant gastric outlet obstruction. </w:t>
      </w:r>
      <w:r w:rsidRPr="00533779">
        <w:rPr>
          <w:rFonts w:ascii="Book Antiqua" w:eastAsia="宋体" w:hAnsi="Book Antiqua" w:cs="宋体"/>
          <w:i/>
          <w:iCs/>
          <w:kern w:val="0"/>
          <w:sz w:val="24"/>
        </w:rPr>
        <w:t>Dig Endosc</w:t>
      </w:r>
      <w:r w:rsidRPr="00533779">
        <w:rPr>
          <w:rFonts w:ascii="Book Antiqua" w:eastAsia="宋体" w:hAnsi="Book Antiqua" w:cs="宋体"/>
          <w:kern w:val="0"/>
          <w:sz w:val="24"/>
        </w:rPr>
        <w:t xml:space="preserve"> 2013; </w:t>
      </w:r>
      <w:r w:rsidRPr="00533779">
        <w:rPr>
          <w:rFonts w:ascii="Book Antiqua" w:eastAsia="宋体" w:hAnsi="Book Antiqua" w:cs="宋体"/>
          <w:b/>
          <w:bCs/>
          <w:kern w:val="0"/>
          <w:sz w:val="24"/>
        </w:rPr>
        <w:t>25</w:t>
      </w:r>
      <w:r w:rsidRPr="00533779">
        <w:rPr>
          <w:rFonts w:ascii="Book Antiqua" w:eastAsia="宋体" w:hAnsi="Book Antiqua" w:cs="宋体"/>
          <w:kern w:val="0"/>
          <w:sz w:val="24"/>
        </w:rPr>
        <w:t>: 1-6 [PMID: 23286249 DOI: 10.1111/j.1443-1661.2012.01319.x]</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9 </w:t>
      </w:r>
      <w:r w:rsidRPr="00533779">
        <w:rPr>
          <w:rFonts w:ascii="Book Antiqua" w:eastAsia="宋体" w:hAnsi="Book Antiqua" w:cs="宋体"/>
          <w:b/>
          <w:bCs/>
          <w:kern w:val="0"/>
          <w:sz w:val="24"/>
        </w:rPr>
        <w:t>Saida Y</w:t>
      </w:r>
      <w:r w:rsidRPr="00533779">
        <w:rPr>
          <w:rFonts w:ascii="Book Antiqua" w:eastAsia="宋体" w:hAnsi="Book Antiqua" w:cs="宋体"/>
          <w:kern w:val="0"/>
          <w:sz w:val="24"/>
        </w:rPr>
        <w:t xml:space="preserve">, Enomoto T, Takabayashi K, Otsuji A, Nakamura Y, Nagao J, Kusachi S. Outcome of 141 cases of self-expandable metallic stent placements for malignant and benign colorectal strictures in a single center. </w:t>
      </w:r>
      <w:r w:rsidRPr="00533779">
        <w:rPr>
          <w:rFonts w:ascii="Book Antiqua" w:eastAsia="宋体" w:hAnsi="Book Antiqua" w:cs="宋体"/>
          <w:i/>
          <w:iCs/>
          <w:kern w:val="0"/>
          <w:sz w:val="24"/>
        </w:rPr>
        <w:t>Surg Endosc</w:t>
      </w:r>
      <w:r w:rsidRPr="00533779">
        <w:rPr>
          <w:rFonts w:ascii="Book Antiqua" w:eastAsia="宋体" w:hAnsi="Book Antiqua" w:cs="宋体"/>
          <w:kern w:val="0"/>
          <w:sz w:val="24"/>
        </w:rPr>
        <w:t xml:space="preserve"> 2011; </w:t>
      </w:r>
      <w:r w:rsidRPr="00533779">
        <w:rPr>
          <w:rFonts w:ascii="Book Antiqua" w:eastAsia="宋体" w:hAnsi="Book Antiqua" w:cs="宋体"/>
          <w:b/>
          <w:bCs/>
          <w:kern w:val="0"/>
          <w:sz w:val="24"/>
        </w:rPr>
        <w:t>25</w:t>
      </w:r>
      <w:r w:rsidRPr="00533779">
        <w:rPr>
          <w:rFonts w:ascii="Book Antiqua" w:eastAsia="宋体" w:hAnsi="Book Antiqua" w:cs="宋体"/>
          <w:kern w:val="0"/>
          <w:sz w:val="24"/>
        </w:rPr>
        <w:t>: 1748-1752 [PMID: 21437740 DOI: 10.1007/s00464-010-1310-9]</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10 </w:t>
      </w:r>
      <w:r w:rsidRPr="00533779">
        <w:rPr>
          <w:rFonts w:ascii="Book Antiqua" w:eastAsia="宋体" w:hAnsi="Book Antiqua" w:cs="宋体"/>
          <w:b/>
          <w:bCs/>
          <w:kern w:val="0"/>
          <w:sz w:val="24"/>
        </w:rPr>
        <w:t>Shimatani M</w:t>
      </w:r>
      <w:r w:rsidRPr="00533779">
        <w:rPr>
          <w:rFonts w:ascii="Book Antiqua" w:eastAsia="宋体" w:hAnsi="Book Antiqua" w:cs="宋体"/>
          <w:kern w:val="0"/>
          <w:sz w:val="24"/>
        </w:rPr>
        <w:t xml:space="preserve">, Matsushita M, Takaoka M, Koyabu M, Ikeura T, Kato K, Fukui T, Uchida K, Okazaki K. Effective "short" double-balloon enteroscope for diagnostic and therapeutic ERCP in patients with altered gastrointestinal anatomy: a large case series. </w:t>
      </w:r>
      <w:r w:rsidRPr="00533779">
        <w:rPr>
          <w:rFonts w:ascii="Book Antiqua" w:eastAsia="宋体" w:hAnsi="Book Antiqua" w:cs="宋体"/>
          <w:i/>
          <w:iCs/>
          <w:kern w:val="0"/>
          <w:sz w:val="24"/>
        </w:rPr>
        <w:t>Endoscopy</w:t>
      </w:r>
      <w:r w:rsidRPr="00533779">
        <w:rPr>
          <w:rFonts w:ascii="Book Antiqua" w:eastAsia="宋体" w:hAnsi="Book Antiqua" w:cs="宋体"/>
          <w:kern w:val="0"/>
          <w:sz w:val="24"/>
        </w:rPr>
        <w:t xml:space="preserve"> 2009; </w:t>
      </w:r>
      <w:r w:rsidRPr="00533779">
        <w:rPr>
          <w:rFonts w:ascii="Book Antiqua" w:eastAsia="宋体" w:hAnsi="Book Antiqua" w:cs="宋体"/>
          <w:b/>
          <w:bCs/>
          <w:kern w:val="0"/>
          <w:sz w:val="24"/>
        </w:rPr>
        <w:t>41</w:t>
      </w:r>
      <w:r w:rsidRPr="00533779">
        <w:rPr>
          <w:rFonts w:ascii="Book Antiqua" w:eastAsia="宋体" w:hAnsi="Book Antiqua" w:cs="宋体"/>
          <w:kern w:val="0"/>
          <w:sz w:val="24"/>
        </w:rPr>
        <w:t>: 849-854 [PMID: 19750447 DOI: 10.1055/s-0029-1215108]</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11 </w:t>
      </w:r>
      <w:r w:rsidRPr="00533779">
        <w:rPr>
          <w:rFonts w:ascii="Book Antiqua" w:eastAsia="宋体" w:hAnsi="Book Antiqua" w:cs="宋体"/>
          <w:b/>
          <w:bCs/>
          <w:kern w:val="0"/>
          <w:sz w:val="24"/>
        </w:rPr>
        <w:t>Kato H</w:t>
      </w:r>
      <w:r w:rsidRPr="00533779">
        <w:rPr>
          <w:rFonts w:ascii="Book Antiqua" w:eastAsia="宋体" w:hAnsi="Book Antiqua" w:cs="宋体"/>
          <w:kern w:val="0"/>
          <w:sz w:val="24"/>
        </w:rPr>
        <w:t xml:space="preserve">, Tsutsumi K, Harada R, Okada H, Yamamoto K. Short double-balloon enteroscopy is feasible and effective for endoscopic retrograde cholangiopancreatography in patients with surgically altered gastrointestinal anatomy. </w:t>
      </w:r>
      <w:r w:rsidRPr="00533779">
        <w:rPr>
          <w:rFonts w:ascii="Book Antiqua" w:eastAsia="宋体" w:hAnsi="Book Antiqua" w:cs="宋体"/>
          <w:i/>
          <w:iCs/>
          <w:kern w:val="0"/>
          <w:sz w:val="24"/>
        </w:rPr>
        <w:t>Dig Endosc</w:t>
      </w:r>
      <w:r w:rsidRPr="00533779">
        <w:rPr>
          <w:rFonts w:ascii="Book Antiqua" w:eastAsia="宋体" w:hAnsi="Book Antiqua" w:cs="宋体"/>
          <w:kern w:val="0"/>
          <w:sz w:val="24"/>
        </w:rPr>
        <w:t xml:space="preserve"> 2014; </w:t>
      </w:r>
      <w:r w:rsidRPr="00533779">
        <w:rPr>
          <w:rFonts w:ascii="Book Antiqua" w:eastAsia="宋体" w:hAnsi="Book Antiqua" w:cs="宋体"/>
          <w:b/>
          <w:bCs/>
          <w:kern w:val="0"/>
          <w:sz w:val="24"/>
        </w:rPr>
        <w:t xml:space="preserve">26 </w:t>
      </w:r>
      <w:r w:rsidRPr="00533779">
        <w:rPr>
          <w:rFonts w:ascii="Book Antiqua" w:eastAsia="宋体" w:hAnsi="Book Antiqua" w:cs="宋体"/>
          <w:bCs/>
          <w:kern w:val="0"/>
          <w:sz w:val="24"/>
        </w:rPr>
        <w:t>Suppl 2</w:t>
      </w:r>
      <w:r w:rsidRPr="00533779">
        <w:rPr>
          <w:rFonts w:ascii="Book Antiqua" w:eastAsia="宋体" w:hAnsi="Book Antiqua" w:cs="宋体"/>
          <w:kern w:val="0"/>
          <w:sz w:val="24"/>
        </w:rPr>
        <w:t>: 130-135 [PMID: 24750163 DOI: 10.1111/den.12251]</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12 </w:t>
      </w:r>
      <w:r w:rsidRPr="00533779">
        <w:rPr>
          <w:rFonts w:ascii="Book Antiqua" w:eastAsia="宋体" w:hAnsi="Book Antiqua" w:cs="宋体"/>
          <w:b/>
          <w:bCs/>
          <w:kern w:val="0"/>
          <w:sz w:val="24"/>
        </w:rPr>
        <w:t>Ikeura T</w:t>
      </w:r>
      <w:r w:rsidRPr="00533779">
        <w:rPr>
          <w:rFonts w:ascii="Book Antiqua" w:eastAsia="宋体" w:hAnsi="Book Antiqua" w:cs="宋体"/>
          <w:kern w:val="0"/>
          <w:sz w:val="24"/>
        </w:rPr>
        <w:t xml:space="preserve">, Shimatani M, Takaoka M, Matsushita M, Miyoshi H, Kurishima A, Sumimoto K, Miyamoto S, Okazaki K. Intrahepatic cholangiocarcinoma diagnosed via endoscopic retrograde cholangiopancreatography with a short double-balloon enteroscope. </w:t>
      </w:r>
      <w:r w:rsidRPr="00533779">
        <w:rPr>
          <w:rFonts w:ascii="Book Antiqua" w:eastAsia="宋体" w:hAnsi="Book Antiqua" w:cs="宋体"/>
          <w:i/>
          <w:iCs/>
          <w:kern w:val="0"/>
          <w:sz w:val="24"/>
        </w:rPr>
        <w:t>World J Gastroenterol</w:t>
      </w:r>
      <w:r w:rsidRPr="00533779">
        <w:rPr>
          <w:rFonts w:ascii="Book Antiqua" w:eastAsia="宋体" w:hAnsi="Book Antiqua" w:cs="宋体"/>
          <w:kern w:val="0"/>
          <w:sz w:val="24"/>
        </w:rPr>
        <w:t xml:space="preserve"> 2013; </w:t>
      </w:r>
      <w:r w:rsidRPr="00533779">
        <w:rPr>
          <w:rFonts w:ascii="Book Antiqua" w:eastAsia="宋体" w:hAnsi="Book Antiqua" w:cs="宋体"/>
          <w:b/>
          <w:bCs/>
          <w:kern w:val="0"/>
          <w:sz w:val="24"/>
        </w:rPr>
        <w:t>19</w:t>
      </w:r>
      <w:r w:rsidRPr="00533779">
        <w:rPr>
          <w:rFonts w:ascii="Book Antiqua" w:eastAsia="宋体" w:hAnsi="Book Antiqua" w:cs="宋体"/>
          <w:kern w:val="0"/>
          <w:sz w:val="24"/>
        </w:rPr>
        <w:t>: 4427-4431 [PMID: 23885158 DOI: 10.3748/wjg.v19.i27.4427]</w:t>
      </w:r>
    </w:p>
    <w:p w:rsidR="007605AF" w:rsidRPr="00533779" w:rsidRDefault="007605AF" w:rsidP="00533779">
      <w:pPr>
        <w:widowControl/>
        <w:spacing w:line="360" w:lineRule="auto"/>
        <w:rPr>
          <w:rFonts w:ascii="Book Antiqua" w:eastAsia="宋体" w:hAnsi="Book Antiqua" w:cs="宋体"/>
          <w:kern w:val="0"/>
          <w:sz w:val="24"/>
        </w:rPr>
      </w:pPr>
      <w:r w:rsidRPr="00533779">
        <w:rPr>
          <w:rFonts w:ascii="Book Antiqua" w:eastAsia="宋体" w:hAnsi="Book Antiqua" w:cs="宋体"/>
          <w:kern w:val="0"/>
          <w:sz w:val="24"/>
        </w:rPr>
        <w:t xml:space="preserve">13 </w:t>
      </w:r>
      <w:r w:rsidRPr="00533779">
        <w:rPr>
          <w:rFonts w:ascii="Book Antiqua" w:eastAsia="宋体" w:hAnsi="Book Antiqua" w:cs="宋体"/>
          <w:b/>
          <w:bCs/>
          <w:kern w:val="0"/>
          <w:sz w:val="24"/>
        </w:rPr>
        <w:t>Hosokawa I</w:t>
      </w:r>
      <w:r w:rsidRPr="00533779">
        <w:rPr>
          <w:rFonts w:ascii="Book Antiqua" w:eastAsia="宋体" w:hAnsi="Book Antiqua" w:cs="宋体"/>
          <w:kern w:val="0"/>
          <w:sz w:val="24"/>
        </w:rPr>
        <w:t>, Kato A, Shimizu H, Furukawa K, Miyazaki M. Percutaneous transhepatic metallic stent insertion for malignant afferent loop obstruction following</w:t>
      </w:r>
      <w:r w:rsidRPr="00533779">
        <w:rPr>
          <w:rFonts w:ascii="Cambria Math" w:hAnsi="Cambria Math" w:cs="Cambria Math"/>
          <w:kern w:val="0"/>
          <w:sz w:val="24"/>
        </w:rPr>
        <w:t> </w:t>
      </w:r>
      <w:r w:rsidRPr="00533779">
        <w:rPr>
          <w:rFonts w:ascii="Book Antiqua" w:eastAsia="宋体" w:hAnsi="Book Antiqua" w:cs="宋体"/>
          <w:kern w:val="0"/>
          <w:sz w:val="24"/>
        </w:rPr>
        <w:t xml:space="preserve">pancreaticoduodenectomy: a case report. </w:t>
      </w:r>
      <w:r w:rsidRPr="00533779">
        <w:rPr>
          <w:rFonts w:ascii="Book Antiqua" w:eastAsia="宋体" w:hAnsi="Book Antiqua" w:cs="宋体"/>
          <w:i/>
          <w:iCs/>
          <w:kern w:val="0"/>
          <w:sz w:val="24"/>
        </w:rPr>
        <w:t>J Med Case Rep</w:t>
      </w:r>
      <w:r w:rsidRPr="00533779">
        <w:rPr>
          <w:rFonts w:ascii="Book Antiqua" w:eastAsia="宋体" w:hAnsi="Book Antiqua" w:cs="宋体"/>
          <w:kern w:val="0"/>
          <w:sz w:val="24"/>
        </w:rPr>
        <w:t xml:space="preserve"> 2012; </w:t>
      </w:r>
      <w:r w:rsidRPr="00533779">
        <w:rPr>
          <w:rFonts w:ascii="Book Antiqua" w:eastAsia="宋体" w:hAnsi="Book Antiqua" w:cs="宋体"/>
          <w:b/>
          <w:bCs/>
          <w:kern w:val="0"/>
          <w:sz w:val="24"/>
        </w:rPr>
        <w:t>6</w:t>
      </w:r>
      <w:r w:rsidRPr="00533779">
        <w:rPr>
          <w:rFonts w:ascii="Book Antiqua" w:eastAsia="宋体" w:hAnsi="Book Antiqua" w:cs="宋体"/>
          <w:kern w:val="0"/>
          <w:sz w:val="24"/>
        </w:rPr>
        <w:t>: 198 [PMID: 22800503 DOI: 10.1186/1752-1947-6-198]</w:t>
      </w:r>
    </w:p>
    <w:p w:rsidR="007605AF" w:rsidRPr="00533779" w:rsidRDefault="007605AF" w:rsidP="00533779">
      <w:pPr>
        <w:widowControl/>
        <w:spacing w:line="360" w:lineRule="auto"/>
        <w:rPr>
          <w:rFonts w:ascii="Book Antiqua" w:eastAsia="宋体" w:hAnsi="Book Antiqua" w:cs="宋体"/>
          <w:kern w:val="0"/>
          <w:sz w:val="24"/>
          <w:lang w:eastAsia="zh-CN"/>
        </w:rPr>
      </w:pPr>
      <w:proofErr w:type="gramStart"/>
      <w:r w:rsidRPr="00533779">
        <w:rPr>
          <w:rFonts w:ascii="Book Antiqua" w:eastAsia="宋体" w:hAnsi="Book Antiqua" w:cs="宋体"/>
          <w:kern w:val="0"/>
          <w:sz w:val="24"/>
        </w:rPr>
        <w:t xml:space="preserve">14 </w:t>
      </w:r>
      <w:r w:rsidRPr="00533779">
        <w:rPr>
          <w:rFonts w:ascii="Book Antiqua" w:eastAsia="宋体" w:hAnsi="Book Antiqua" w:cs="宋体"/>
          <w:b/>
          <w:bCs/>
          <w:kern w:val="0"/>
          <w:sz w:val="24"/>
        </w:rPr>
        <w:t>Mocanu SN</w:t>
      </w:r>
      <w:r w:rsidRPr="00533779">
        <w:rPr>
          <w:rFonts w:ascii="Book Antiqua" w:eastAsia="宋体" w:hAnsi="Book Antiqua" w:cs="宋体"/>
          <w:kern w:val="0"/>
          <w:sz w:val="24"/>
        </w:rPr>
        <w:t>, González López JA, Villalba Auñón J, Artigas Raventós V. [Percutaneous treatment of a tumour obstruction of the afferent loop of a hepaticojejunostomy].</w:t>
      </w:r>
      <w:proofErr w:type="gramEnd"/>
      <w:r w:rsidRPr="00533779">
        <w:rPr>
          <w:rFonts w:ascii="Book Antiqua" w:eastAsia="宋体" w:hAnsi="Book Antiqua" w:cs="宋体"/>
          <w:kern w:val="0"/>
          <w:sz w:val="24"/>
        </w:rPr>
        <w:t xml:space="preserve"> </w:t>
      </w:r>
      <w:r w:rsidRPr="00533779">
        <w:rPr>
          <w:rFonts w:ascii="Book Antiqua" w:eastAsia="宋体" w:hAnsi="Book Antiqua" w:cs="宋体"/>
          <w:i/>
          <w:iCs/>
          <w:kern w:val="0"/>
          <w:sz w:val="24"/>
        </w:rPr>
        <w:t>Cir Esp</w:t>
      </w:r>
      <w:r w:rsidRPr="00533779">
        <w:rPr>
          <w:rFonts w:ascii="Book Antiqua" w:eastAsia="宋体" w:hAnsi="Book Antiqua" w:cs="宋体"/>
          <w:kern w:val="0"/>
          <w:sz w:val="24"/>
        </w:rPr>
        <w:t xml:space="preserve"> 2014; </w:t>
      </w:r>
      <w:r w:rsidRPr="00533779">
        <w:rPr>
          <w:rFonts w:ascii="Book Antiqua" w:eastAsia="宋体" w:hAnsi="Book Antiqua" w:cs="宋体"/>
          <w:b/>
          <w:bCs/>
          <w:kern w:val="0"/>
          <w:sz w:val="24"/>
        </w:rPr>
        <w:t>92</w:t>
      </w:r>
      <w:r w:rsidRPr="00533779">
        <w:rPr>
          <w:rFonts w:ascii="Book Antiqua" w:eastAsia="宋体" w:hAnsi="Book Antiqua" w:cs="宋体"/>
          <w:kern w:val="0"/>
          <w:sz w:val="24"/>
        </w:rPr>
        <w:t>: 209-210 [PMID: 23219420 DOI: 10.1016/j.ciresp.2012.05.021]</w:t>
      </w:r>
    </w:p>
    <w:p w:rsidR="007605AF" w:rsidRPr="00533779" w:rsidRDefault="007605AF" w:rsidP="00533779">
      <w:pPr>
        <w:adjustRightInd w:val="0"/>
        <w:snapToGrid w:val="0"/>
        <w:spacing w:line="360" w:lineRule="auto"/>
        <w:ind w:right="239"/>
        <w:jc w:val="right"/>
        <w:rPr>
          <w:rFonts w:ascii="Book Antiqua" w:hAnsi="Book Antiqua"/>
          <w:b/>
          <w:bCs/>
          <w:sz w:val="24"/>
          <w:lang w:val="en-GB"/>
        </w:rPr>
      </w:pPr>
      <w:r w:rsidRPr="00533779">
        <w:rPr>
          <w:rStyle w:val="Strong"/>
          <w:rFonts w:ascii="Book Antiqua" w:hAnsi="Book Antiqua" w:cs="Arial"/>
          <w:noProof/>
          <w:sz w:val="24"/>
          <w:lang w:val="en-GB"/>
        </w:rPr>
        <w:t>P-Reviewer:</w:t>
      </w:r>
      <w:r w:rsidRPr="00533779">
        <w:rPr>
          <w:rFonts w:ascii="Book Antiqua" w:hAnsi="Book Antiqua"/>
          <w:color w:val="000000"/>
          <w:sz w:val="24"/>
          <w:lang w:val="en-GB"/>
        </w:rPr>
        <w:t xml:space="preserve"> Botaitis</w:t>
      </w:r>
      <w:r w:rsidRPr="00533779">
        <w:rPr>
          <w:rFonts w:ascii="Book Antiqua" w:eastAsiaTheme="minorEastAsia" w:hAnsi="Book Antiqua"/>
          <w:color w:val="000000"/>
          <w:sz w:val="24"/>
          <w:lang w:val="en-GB" w:eastAsia="zh-CN"/>
        </w:rPr>
        <w:t xml:space="preserve"> SC</w:t>
      </w:r>
      <w:r w:rsidRPr="00533779">
        <w:rPr>
          <w:rFonts w:ascii="Book Antiqua" w:hAnsi="Book Antiqua"/>
          <w:color w:val="000000"/>
          <w:sz w:val="24"/>
          <w:lang w:val="en-GB"/>
        </w:rPr>
        <w:t>, Camellini</w:t>
      </w:r>
      <w:r w:rsidRPr="00533779">
        <w:rPr>
          <w:rFonts w:ascii="Book Antiqua" w:hAnsi="Book Antiqua"/>
          <w:color w:val="000000"/>
          <w:sz w:val="24"/>
          <w:lang w:val="en-GB" w:eastAsia="zh-CN"/>
        </w:rPr>
        <w:t xml:space="preserve"> </w:t>
      </w:r>
      <w:r w:rsidRPr="00533779">
        <w:rPr>
          <w:rFonts w:ascii="Book Antiqua" w:eastAsiaTheme="minorEastAsia" w:hAnsi="Book Antiqua"/>
          <w:color w:val="000000"/>
          <w:sz w:val="24"/>
          <w:lang w:val="en-GB" w:eastAsia="zh-CN"/>
        </w:rPr>
        <w:t>L</w:t>
      </w:r>
      <w:r w:rsidRPr="00533779">
        <w:rPr>
          <w:rFonts w:ascii="Book Antiqua" w:hAnsi="Book Antiqua"/>
          <w:color w:val="000000"/>
          <w:sz w:val="24"/>
          <w:lang w:val="en-GB" w:eastAsia="zh-CN"/>
        </w:rPr>
        <w:t xml:space="preserve">, Kayaalp </w:t>
      </w:r>
      <w:r w:rsidRPr="00533779">
        <w:rPr>
          <w:rFonts w:ascii="Book Antiqua" w:eastAsiaTheme="minorEastAsia" w:hAnsi="Book Antiqua"/>
          <w:color w:val="000000"/>
          <w:sz w:val="24"/>
          <w:lang w:val="en-GB" w:eastAsia="zh-CN"/>
        </w:rPr>
        <w:t>C, Ladas SD</w:t>
      </w:r>
      <w:r w:rsidRPr="00533779">
        <w:rPr>
          <w:rFonts w:ascii="Book Antiqua" w:hAnsi="Book Antiqua"/>
          <w:bCs/>
          <w:sz w:val="24"/>
          <w:lang w:val="en-GB"/>
        </w:rPr>
        <w:t xml:space="preserve"> </w:t>
      </w:r>
      <w:r w:rsidRPr="00533779">
        <w:rPr>
          <w:rFonts w:ascii="Book Antiqua" w:hAnsi="Book Antiqua"/>
          <w:b/>
          <w:bCs/>
          <w:sz w:val="24"/>
          <w:lang w:val="en-GB"/>
        </w:rPr>
        <w:t>S-Editor:</w:t>
      </w:r>
      <w:r w:rsidRPr="00533779">
        <w:rPr>
          <w:rFonts w:ascii="Book Antiqua" w:hAnsi="Book Antiqua"/>
          <w:bCs/>
          <w:sz w:val="24"/>
          <w:lang w:val="en-GB"/>
        </w:rPr>
        <w:t xml:space="preserve"> Tian YL</w:t>
      </w:r>
    </w:p>
    <w:p w:rsidR="007605AF" w:rsidRPr="00533779" w:rsidRDefault="007605AF" w:rsidP="00533779">
      <w:pPr>
        <w:adjustRightInd w:val="0"/>
        <w:snapToGrid w:val="0"/>
        <w:spacing w:line="360" w:lineRule="auto"/>
        <w:ind w:right="239"/>
        <w:jc w:val="right"/>
        <w:rPr>
          <w:rFonts w:ascii="Book Antiqua" w:hAnsi="Book Antiqua"/>
          <w:bCs/>
          <w:sz w:val="24"/>
        </w:rPr>
      </w:pPr>
      <w:r w:rsidRPr="00533779">
        <w:rPr>
          <w:rFonts w:ascii="Book Antiqua" w:hAnsi="Book Antiqua"/>
          <w:b/>
          <w:bCs/>
          <w:sz w:val="24"/>
        </w:rPr>
        <w:t>L-Editor:   E-Editor:</w:t>
      </w:r>
    </w:p>
    <w:p w:rsidR="007746F4" w:rsidRPr="00533779" w:rsidRDefault="007746F4" w:rsidP="00533779">
      <w:pPr>
        <w:widowControl/>
        <w:spacing w:line="360" w:lineRule="auto"/>
        <w:rPr>
          <w:rFonts w:ascii="Book Antiqua" w:eastAsiaTheme="minorEastAsia" w:hAnsi="Book Antiqua"/>
          <w:b/>
          <w:sz w:val="24"/>
          <w:lang w:eastAsia="zh-CN"/>
        </w:rPr>
      </w:pPr>
      <w:r w:rsidRPr="00533779">
        <w:rPr>
          <w:rFonts w:ascii="Book Antiqua" w:eastAsiaTheme="minorEastAsia" w:hAnsi="Book Antiqua"/>
          <w:b/>
          <w:sz w:val="24"/>
          <w:lang w:eastAsia="zh-CN"/>
        </w:rPr>
        <w:br w:type="page"/>
      </w:r>
    </w:p>
    <w:p w:rsidR="007746F4" w:rsidRPr="00533779" w:rsidRDefault="007605AF" w:rsidP="00533779">
      <w:pPr>
        <w:spacing w:line="360" w:lineRule="auto"/>
        <w:contextualSpacing/>
        <w:rPr>
          <w:rFonts w:ascii="Book Antiqua" w:eastAsiaTheme="minorEastAsia" w:hAnsi="Book Antiqua"/>
          <w:sz w:val="24"/>
          <w:lang w:eastAsia="zh-CN"/>
        </w:rPr>
      </w:pPr>
      <w:r w:rsidRPr="00533779">
        <w:rPr>
          <w:rFonts w:ascii="Book Antiqua" w:hAnsi="Book Antiqua"/>
          <w:b/>
          <w:sz w:val="24"/>
        </w:rPr>
        <w:t>Figure 1 Metallic stent</w:t>
      </w:r>
      <w:r w:rsidR="007746F4" w:rsidRPr="00533779">
        <w:rPr>
          <w:rFonts w:ascii="Book Antiqua" w:hAnsi="Book Antiqua"/>
          <w:b/>
          <w:sz w:val="24"/>
        </w:rPr>
        <w:t xml:space="preserve"> insertion with double-balloon endoscopy for malignant afferent loop obstruction in case 1. </w:t>
      </w:r>
      <w:r w:rsidR="007746F4" w:rsidRPr="00533779">
        <w:rPr>
          <w:rFonts w:ascii="Book Antiqua" w:hAnsi="Book Antiqua"/>
          <w:sz w:val="24"/>
        </w:rPr>
        <w:t xml:space="preserve">A: Abdominal computed tomography (CT) showed the reconstructed jejunum that was expanded at the site of hepatectomy, expansion of intrahepatic bile ducts, and the stenosis of the reconstructed jejunum (arrows); B: The stenosis (arrows) was seen when the </w:t>
      </w:r>
      <w:r w:rsidRPr="00533779">
        <w:rPr>
          <w:rFonts w:ascii="Book Antiqua" w:hAnsi="Book Antiqua"/>
          <w:sz w:val="24"/>
        </w:rPr>
        <w:t>double-balloon endoscopy (DBE)</w:t>
      </w:r>
      <w:r w:rsidR="007746F4" w:rsidRPr="00533779">
        <w:rPr>
          <w:rFonts w:ascii="Book Antiqua" w:hAnsi="Book Antiqua"/>
          <w:sz w:val="24"/>
        </w:rPr>
        <w:t xml:space="preserve"> reached the Roux-limb obstruction; C: An overtube was left to prevent bowel expansion. The DBE was then removed and an </w:t>
      </w:r>
      <w:r w:rsidRPr="00533779">
        <w:rPr>
          <w:rFonts w:ascii="Book Antiqua" w:hAnsi="Book Antiqua"/>
          <w:sz w:val="24"/>
        </w:rPr>
        <w:t xml:space="preserve">metallic stent </w:t>
      </w:r>
      <w:r w:rsidRPr="00533779">
        <w:rPr>
          <w:rFonts w:ascii="Book Antiqua" w:eastAsiaTheme="minorEastAsia" w:hAnsi="Book Antiqua"/>
          <w:sz w:val="24"/>
          <w:lang w:eastAsia="zh-CN"/>
        </w:rPr>
        <w:t>(</w:t>
      </w:r>
      <w:r w:rsidR="007746F4" w:rsidRPr="00533779">
        <w:rPr>
          <w:rFonts w:ascii="Book Antiqua" w:hAnsi="Book Antiqua"/>
          <w:sz w:val="24"/>
        </w:rPr>
        <w:t>MS</w:t>
      </w:r>
      <w:r w:rsidRPr="00533779">
        <w:rPr>
          <w:rFonts w:ascii="Book Antiqua" w:eastAsiaTheme="minorEastAsia" w:hAnsi="Book Antiqua"/>
          <w:sz w:val="24"/>
          <w:lang w:eastAsia="zh-CN"/>
        </w:rPr>
        <w:t>)</w:t>
      </w:r>
      <w:r w:rsidR="007746F4" w:rsidRPr="00533779">
        <w:rPr>
          <w:rFonts w:ascii="Book Antiqua" w:hAnsi="Book Antiqua"/>
          <w:sz w:val="24"/>
        </w:rPr>
        <w:t xml:space="preserve"> (black arrows) was inserted through the overtube (white arrows) in combination with the over-the-wire technique; D: A Wallflex duodenal MS with a diameter of 2.2 cm and a length of 6.0 cm was deployed.</w:t>
      </w:r>
    </w:p>
    <w:p w:rsidR="007746F4" w:rsidRPr="00533779" w:rsidRDefault="007605AF" w:rsidP="00533779">
      <w:pPr>
        <w:widowControl/>
        <w:spacing w:line="360" w:lineRule="auto"/>
        <w:rPr>
          <w:rFonts w:ascii="Book Antiqua" w:eastAsiaTheme="minorEastAsia" w:hAnsi="Book Antiqua"/>
          <w:b/>
          <w:sz w:val="24"/>
          <w:lang w:eastAsia="zh-CN"/>
        </w:rPr>
      </w:pPr>
      <w:r w:rsidRPr="00533779">
        <w:rPr>
          <w:rFonts w:ascii="Book Antiqua" w:hAnsi="Book Antiqua"/>
          <w:noProof/>
          <w:sz w:val="24"/>
          <w:lang w:eastAsia="en-US"/>
        </w:rPr>
        <w:drawing>
          <wp:anchor distT="0" distB="0" distL="114300" distR="114300" simplePos="0" relativeHeight="251669504" behindDoc="0" locked="0" layoutInCell="1" allowOverlap="1" wp14:anchorId="18549ADF" wp14:editId="00C60B9F">
            <wp:simplePos x="0" y="0"/>
            <wp:positionH relativeFrom="column">
              <wp:posOffset>2863850</wp:posOffset>
            </wp:positionH>
            <wp:positionV relativeFrom="paragraph">
              <wp:posOffset>3847465</wp:posOffset>
            </wp:positionV>
            <wp:extent cx="2528570" cy="2524760"/>
            <wp:effectExtent l="0" t="0" r="5080" b="8890"/>
            <wp:wrapNone/>
            <wp:docPr id="8" name="图片 8" descr="Description: C:\Documents and Settings\Administrator\デスクトップ\2014.2 デスクトップ　すべて\輸入脚　ＭＳ留置 論文\WJGE\最終WJGE 提出用2\WJGE 画像修正\Fig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Description: C:\Documents and Settings\Administrator\デスクトップ\2014.2 デスクトップ　すべて\輸入脚　ＭＳ留置 論文\WJGE\最終WJGE 提出用2\WJGE 画像修正\Fig1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8570"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779">
        <w:rPr>
          <w:rFonts w:ascii="Book Antiqua" w:hAnsi="Book Antiqua"/>
          <w:noProof/>
          <w:sz w:val="24"/>
          <w:lang w:eastAsia="en-US"/>
        </w:rPr>
        <w:drawing>
          <wp:anchor distT="0" distB="0" distL="114300" distR="114300" simplePos="0" relativeHeight="251672576" behindDoc="0" locked="0" layoutInCell="1" allowOverlap="1" wp14:anchorId="48B8857D" wp14:editId="69E5E520">
            <wp:simplePos x="0" y="0"/>
            <wp:positionH relativeFrom="column">
              <wp:posOffset>-203200</wp:posOffset>
            </wp:positionH>
            <wp:positionV relativeFrom="paragraph">
              <wp:posOffset>3580765</wp:posOffset>
            </wp:positionV>
            <wp:extent cx="2865755" cy="2947035"/>
            <wp:effectExtent l="0" t="0" r="0" b="5715"/>
            <wp:wrapNone/>
            <wp:docPr id="5" name="图片 5" descr="Description: C:\Documents and Settings\Administrator\デスクトップ\2014.2 デスクトップ　すべて\輸入脚　ＭＳ留置 論文\WJGE\最終WJGE 提出用2\WJGE 画像修正\Fig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escription: C:\Documents and Settings\Administrator\デスクトップ\2014.2 デスクトップ　すべて\輸入脚　ＭＳ留置 論文\WJGE\最終WJGE 提出用2\WJGE 画像修正\Fig1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75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779">
        <w:rPr>
          <w:rFonts w:ascii="Book Antiqua" w:hAnsi="Book Antiqua"/>
          <w:noProof/>
          <w:sz w:val="24"/>
          <w:lang w:eastAsia="en-US"/>
        </w:rPr>
        <w:drawing>
          <wp:anchor distT="0" distB="0" distL="114300" distR="114300" simplePos="0" relativeHeight="251670528" behindDoc="0" locked="0" layoutInCell="1" allowOverlap="1" wp14:anchorId="3393E454" wp14:editId="4BAB2CFA">
            <wp:simplePos x="0" y="0"/>
            <wp:positionH relativeFrom="column">
              <wp:posOffset>2921000</wp:posOffset>
            </wp:positionH>
            <wp:positionV relativeFrom="paragraph">
              <wp:posOffset>941705</wp:posOffset>
            </wp:positionV>
            <wp:extent cx="2740025" cy="2908935"/>
            <wp:effectExtent l="0" t="0" r="3175" b="5715"/>
            <wp:wrapNone/>
            <wp:docPr id="7" name="图片 7" descr="Description: C:\Documents and Settings\Administrator\デスクトップ\2014.2 デスクトップ　すべて\輸入脚　ＭＳ留置 論文\WJGE\最終WJGE 提出用2\WJGE 画像修正\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escription: C:\Documents and Settings\Administrator\デスクトップ\2014.2 デスクトップ　すべて\輸入脚　ＭＳ留置 論文\WJGE\最終WJGE 提出用2\WJGE 画像修正\Fig1B.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25"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779">
        <w:rPr>
          <w:rFonts w:ascii="Book Antiqua" w:hAnsi="Book Antiqua"/>
          <w:noProof/>
          <w:sz w:val="24"/>
          <w:lang w:eastAsia="en-US"/>
        </w:rPr>
        <w:drawing>
          <wp:anchor distT="0" distB="0" distL="114300" distR="114300" simplePos="0" relativeHeight="251671552" behindDoc="0" locked="0" layoutInCell="1" allowOverlap="1" wp14:anchorId="00E95116" wp14:editId="11D85970">
            <wp:simplePos x="0" y="0"/>
            <wp:positionH relativeFrom="column">
              <wp:posOffset>-149860</wp:posOffset>
            </wp:positionH>
            <wp:positionV relativeFrom="paragraph">
              <wp:posOffset>1161415</wp:posOffset>
            </wp:positionV>
            <wp:extent cx="3014345" cy="2324735"/>
            <wp:effectExtent l="0" t="0" r="0" b="0"/>
            <wp:wrapNone/>
            <wp:docPr id="6" name="图片 6" descr="Description: C:\Documents and Settings\Administrator\デスクトップ\2014.2 デスクトップ　すべて\輸入脚　ＭＳ留置 論文\WJGE\最終WJGE 提出用2\WJGE 画像修正\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escription: C:\Documents and Settings\Administrator\デスクトップ\2014.2 デスクトップ　すべて\輸入脚　ＭＳ留置 論文\WJGE\最終WJGE 提出用2\WJGE 画像修正\Fig1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34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6F4" w:rsidRPr="00533779">
        <w:rPr>
          <w:rFonts w:ascii="Book Antiqua" w:hAnsi="Book Antiqua"/>
          <w:b/>
          <w:sz w:val="24"/>
        </w:rPr>
        <w:br w:type="page"/>
      </w:r>
    </w:p>
    <w:p w:rsidR="007746F4" w:rsidRPr="00533779" w:rsidRDefault="007746F4" w:rsidP="00533779">
      <w:pPr>
        <w:spacing w:line="360" w:lineRule="auto"/>
        <w:contextualSpacing/>
        <w:rPr>
          <w:rFonts w:ascii="Book Antiqua" w:eastAsiaTheme="minorEastAsia" w:hAnsi="Book Antiqua"/>
          <w:sz w:val="24"/>
          <w:lang w:eastAsia="zh-CN"/>
        </w:rPr>
      </w:pPr>
    </w:p>
    <w:p w:rsidR="007746F4" w:rsidRPr="00533779" w:rsidRDefault="007746F4" w:rsidP="00533779">
      <w:pPr>
        <w:widowControl/>
        <w:spacing w:line="360" w:lineRule="auto"/>
        <w:rPr>
          <w:rFonts w:ascii="Book Antiqua" w:hAnsi="Book Antiqua"/>
          <w:b/>
          <w:sz w:val="24"/>
        </w:rPr>
      </w:pPr>
    </w:p>
    <w:p w:rsidR="007746F4" w:rsidRPr="00533779" w:rsidRDefault="007746F4" w:rsidP="00533779">
      <w:pPr>
        <w:spacing w:line="360" w:lineRule="auto"/>
        <w:contextualSpacing/>
        <w:rPr>
          <w:rFonts w:ascii="Book Antiqua" w:hAnsi="Book Antiqua"/>
          <w:sz w:val="24"/>
        </w:rPr>
      </w:pPr>
      <w:r w:rsidRPr="00533779">
        <w:rPr>
          <w:rFonts w:ascii="Book Antiqua" w:hAnsi="Book Antiqua"/>
          <w:b/>
          <w:sz w:val="24"/>
        </w:rPr>
        <w:t xml:space="preserve">Figure 2 Metallic stent </w:t>
      </w:r>
      <w:proofErr w:type="gramStart"/>
      <w:r w:rsidRPr="00533779">
        <w:rPr>
          <w:rFonts w:ascii="Book Antiqua" w:hAnsi="Book Antiqua"/>
          <w:b/>
          <w:sz w:val="24"/>
        </w:rPr>
        <w:t>insertion</w:t>
      </w:r>
      <w:proofErr w:type="gramEnd"/>
      <w:r w:rsidRPr="00533779">
        <w:rPr>
          <w:rFonts w:ascii="Book Antiqua" w:hAnsi="Book Antiqua"/>
          <w:b/>
          <w:sz w:val="24"/>
        </w:rPr>
        <w:t xml:space="preserve"> with double-balloon endoscopy</w:t>
      </w:r>
      <w:r w:rsidR="007605AF" w:rsidRPr="00533779">
        <w:rPr>
          <w:rFonts w:ascii="Book Antiqua" w:eastAsiaTheme="minorEastAsia" w:hAnsi="Book Antiqua"/>
          <w:b/>
          <w:sz w:val="24"/>
          <w:lang w:eastAsia="zh-CN"/>
        </w:rPr>
        <w:t xml:space="preserve"> </w:t>
      </w:r>
      <w:r w:rsidRPr="00533779">
        <w:rPr>
          <w:rFonts w:ascii="Book Antiqua" w:hAnsi="Book Antiqua"/>
          <w:b/>
          <w:sz w:val="24"/>
        </w:rPr>
        <w:t>for malignant afferent loop obstruction in case 2.</w:t>
      </w:r>
      <w:r w:rsidRPr="00533779">
        <w:rPr>
          <w:rFonts w:ascii="Book Antiqua" w:hAnsi="Book Antiqua"/>
          <w:sz w:val="24"/>
        </w:rPr>
        <w:t xml:space="preserve"> A: Computed tomography</w:t>
      </w:r>
      <w:r w:rsidR="007605AF" w:rsidRPr="00533779">
        <w:rPr>
          <w:rFonts w:ascii="Book Antiqua" w:eastAsiaTheme="minorEastAsia" w:hAnsi="Book Antiqua"/>
          <w:sz w:val="24"/>
          <w:lang w:eastAsia="zh-CN"/>
        </w:rPr>
        <w:t xml:space="preserve"> </w:t>
      </w:r>
      <w:r w:rsidRPr="00533779">
        <w:rPr>
          <w:rFonts w:ascii="Book Antiqua" w:hAnsi="Book Antiqua"/>
          <w:sz w:val="24"/>
        </w:rPr>
        <w:t xml:space="preserve">showed ascites, dilation of the afferent loop (white arrow), and a surrounding soft density (black arrow); B: The </w:t>
      </w:r>
      <w:r w:rsidR="007605AF" w:rsidRPr="00533779">
        <w:rPr>
          <w:rFonts w:ascii="Book Antiqua" w:hAnsi="Book Antiqua"/>
          <w:sz w:val="24"/>
        </w:rPr>
        <w:t xml:space="preserve">double-balloon endoscopy </w:t>
      </w:r>
      <w:r w:rsidRPr="00533779">
        <w:rPr>
          <w:rFonts w:ascii="Book Antiqua" w:hAnsi="Book Antiqua"/>
          <w:sz w:val="24"/>
        </w:rPr>
        <w:t>reached the afferent loop obstruction (arrows); C: Stenosis with irregular mucosa was seen; D</w:t>
      </w:r>
      <w:r w:rsidR="00533779" w:rsidRPr="00533779">
        <w:rPr>
          <w:rFonts w:ascii="Book Antiqua" w:eastAsiaTheme="minorEastAsia" w:hAnsi="Book Antiqua"/>
          <w:sz w:val="24"/>
          <w:lang w:eastAsia="zh-CN"/>
        </w:rPr>
        <w:t xml:space="preserve"> and E</w:t>
      </w:r>
      <w:r w:rsidRPr="00533779">
        <w:rPr>
          <w:rFonts w:ascii="Book Antiqua" w:hAnsi="Book Antiqua"/>
          <w:sz w:val="24"/>
        </w:rPr>
        <w:t xml:space="preserve">: A Niti-S duodenal </w:t>
      </w:r>
      <w:r w:rsidR="007605AF" w:rsidRPr="00533779">
        <w:rPr>
          <w:rFonts w:ascii="Book Antiqua" w:hAnsi="Book Antiqua"/>
          <w:sz w:val="24"/>
        </w:rPr>
        <w:t xml:space="preserve">metallic stent </w:t>
      </w:r>
      <w:r w:rsidRPr="00533779">
        <w:rPr>
          <w:rFonts w:ascii="Book Antiqua" w:hAnsi="Book Antiqua"/>
          <w:sz w:val="24"/>
        </w:rPr>
        <w:t>with a diameter of 2.2 cm and a length of 6.0 cm was inserted and deployed.</w:t>
      </w:r>
    </w:p>
    <w:p w:rsidR="00533779" w:rsidRPr="00533779" w:rsidRDefault="00533779" w:rsidP="00533779">
      <w:pPr>
        <w:widowControl/>
        <w:spacing w:line="360" w:lineRule="auto"/>
        <w:rPr>
          <w:rFonts w:ascii="Book Antiqua" w:eastAsiaTheme="minorEastAsia" w:hAnsi="Book Antiqua"/>
          <w:b/>
          <w:sz w:val="24"/>
          <w:lang w:eastAsia="zh-CN"/>
        </w:rPr>
      </w:pPr>
      <w:r w:rsidRPr="00533779">
        <w:rPr>
          <w:rFonts w:ascii="Book Antiqua" w:hAnsi="Book Antiqua"/>
          <w:noProof/>
          <w:sz w:val="24"/>
          <w:lang w:eastAsia="en-US"/>
        </w:rPr>
        <w:drawing>
          <wp:anchor distT="0" distB="0" distL="114300" distR="114300" simplePos="0" relativeHeight="251666432" behindDoc="0" locked="0" layoutInCell="1" allowOverlap="1" wp14:anchorId="33EBEA1E" wp14:editId="7C814A5D">
            <wp:simplePos x="0" y="0"/>
            <wp:positionH relativeFrom="column">
              <wp:posOffset>1885950</wp:posOffset>
            </wp:positionH>
            <wp:positionV relativeFrom="paragraph">
              <wp:posOffset>79375</wp:posOffset>
            </wp:positionV>
            <wp:extent cx="1568836" cy="1458340"/>
            <wp:effectExtent l="0" t="0" r="0" b="8890"/>
            <wp:wrapNone/>
            <wp:docPr id="2" name="图片 2" descr="Description: C:\Documents and Settings\Administrator\デスクトップ\2014.2 デスクトップ　すべて\輸入脚　ＭＳ留置 論文\WJGE\最終WJGE 提出用2\WJGE 画像修正\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Description: C:\Documents and Settings\Administrator\デスクトップ\2014.2 デスクトップ　すべて\輸入脚　ＭＳ留置 論文\WJGE\最終WJGE 提出用2\WJGE 画像修正\Fig2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8836" cy="14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779">
        <w:rPr>
          <w:rFonts w:ascii="Book Antiqua" w:hAnsi="Book Antiqua"/>
          <w:noProof/>
          <w:sz w:val="24"/>
          <w:lang w:eastAsia="en-US"/>
        </w:rPr>
        <w:drawing>
          <wp:anchor distT="0" distB="0" distL="114300" distR="114300" simplePos="0" relativeHeight="251667456" behindDoc="0" locked="0" layoutInCell="1" allowOverlap="1" wp14:anchorId="070EC298" wp14:editId="5C4BF332">
            <wp:simplePos x="0" y="0"/>
            <wp:positionH relativeFrom="column">
              <wp:posOffset>0</wp:posOffset>
            </wp:positionH>
            <wp:positionV relativeFrom="paragraph">
              <wp:posOffset>79375</wp:posOffset>
            </wp:positionV>
            <wp:extent cx="1854200" cy="1462405"/>
            <wp:effectExtent l="0" t="0" r="0" b="4445"/>
            <wp:wrapNone/>
            <wp:docPr id="1" name="图片 1" descr="Description: C:\Documents and Settings\Administrator\デスクトップ\2014.2 デスクトップ　すべて\輸入脚　ＭＳ留置 論文\WJGE\最終WJGE 提出用2\WJGE 画像修正\Fi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Description: C:\Documents and Settings\Administrator\デスクトップ\2014.2 デスクトップ　すべて\輸入脚　ＭＳ留置 論文\WJGE\最終WJGE 提出用2\WJGE 画像修正\Fig2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2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r w:rsidRPr="00533779">
        <w:rPr>
          <w:rFonts w:ascii="Book Antiqua" w:hAnsi="Book Antiqua"/>
          <w:noProof/>
          <w:sz w:val="24"/>
          <w:lang w:eastAsia="en-US"/>
        </w:rPr>
        <w:drawing>
          <wp:anchor distT="0" distB="0" distL="114300" distR="114300" simplePos="0" relativeHeight="251664384" behindDoc="0" locked="0" layoutInCell="1" allowOverlap="1" wp14:anchorId="076736CF" wp14:editId="1DAE57CD">
            <wp:simplePos x="0" y="0"/>
            <wp:positionH relativeFrom="column">
              <wp:posOffset>2006600</wp:posOffset>
            </wp:positionH>
            <wp:positionV relativeFrom="paragraph">
              <wp:posOffset>93980</wp:posOffset>
            </wp:positionV>
            <wp:extent cx="1447800" cy="1320800"/>
            <wp:effectExtent l="0" t="0" r="0" b="0"/>
            <wp:wrapNone/>
            <wp:docPr id="4" name="图片 4" descr="Description: C:\Documents and Settings\Administrator\デスクトップ\2014.2 デスクトップ　すべて\輸入脚　ＭＳ留置 論文\WJGE\最終WJGE 提出用2\WJGE 画像修正\Fig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Description: C:\Documents and Settings\Administrator\デスクトップ\2014.2 デスクトップ　すべて\輸入脚　ＭＳ留置 論文\WJGE\最終WJGE 提出用2\WJGE 画像修正\Fig2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779">
        <w:rPr>
          <w:rFonts w:ascii="Book Antiqua" w:hAnsi="Book Antiqua"/>
          <w:noProof/>
          <w:sz w:val="24"/>
          <w:lang w:eastAsia="en-US"/>
        </w:rPr>
        <w:drawing>
          <wp:anchor distT="0" distB="0" distL="114300" distR="114300" simplePos="0" relativeHeight="251665408" behindDoc="0" locked="0" layoutInCell="1" allowOverlap="1" wp14:anchorId="7617B912" wp14:editId="0723E725">
            <wp:simplePos x="0" y="0"/>
            <wp:positionH relativeFrom="column">
              <wp:posOffset>31750</wp:posOffset>
            </wp:positionH>
            <wp:positionV relativeFrom="paragraph">
              <wp:posOffset>93980</wp:posOffset>
            </wp:positionV>
            <wp:extent cx="1854200" cy="1492250"/>
            <wp:effectExtent l="0" t="0" r="0" b="0"/>
            <wp:wrapNone/>
            <wp:docPr id="3" name="图片 3" descr="Description: C:\Documents and Settings\Administrator\デスクトップ\2014.2 デスクトップ　すべて\輸入脚　ＭＳ留置 論文\WJGE\最終WJGE 提出用2\WJGE 画像修正\Fig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Description: C:\Documents and Settings\Administrator\デスクトップ\2014.2 デスクトップ　すべて\輸入脚　ＭＳ留置 論文\WJGE\最終WJGE 提出用2\WJGE 画像修正\Fig2C.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20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r w:rsidRPr="00533779">
        <w:rPr>
          <w:rFonts w:ascii="Book Antiqua" w:eastAsiaTheme="minorEastAsia" w:hAnsi="Book Antiqua"/>
          <w:noProof/>
          <w:sz w:val="24"/>
          <w:lang w:eastAsia="en-US"/>
        </w:rPr>
        <w:drawing>
          <wp:inline distT="0" distB="0" distL="0" distR="0" wp14:anchorId="6CE6CC21" wp14:editId="6D320652">
            <wp:extent cx="1454150" cy="1342182"/>
            <wp:effectExtent l="0" t="0" r="0" b="0"/>
            <wp:docPr id="9" name="図 10" descr="C:\Documents and Settings\Administrator\デスクトップ\2014.2 デスクトップ　すべて\輸入脚　ＭＳ留置 論文\WJGE\最終WJGE 提出用2\WJGE 画像修正\Fig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デスクトップ\2014.2 デスクトップ　すべて\輸入脚　ＭＳ留置 論文\WJGE\最終WJGE 提出用2\WJGE 画像修正\Fig2E.tif"/>
                    <pic:cNvPicPr>
                      <a:picLocks noChangeAspect="1" noChangeArrowheads="1"/>
                    </pic:cNvPicPr>
                  </pic:nvPicPr>
                  <pic:blipFill>
                    <a:blip r:embed="rId17" cstate="print"/>
                    <a:srcRect/>
                    <a:stretch>
                      <a:fillRect/>
                    </a:stretch>
                  </pic:blipFill>
                  <pic:spPr bwMode="auto">
                    <a:xfrm>
                      <a:off x="0" y="0"/>
                      <a:ext cx="1455788" cy="1343694"/>
                    </a:xfrm>
                    <a:prstGeom prst="rect">
                      <a:avLst/>
                    </a:prstGeom>
                    <a:noFill/>
                    <a:ln w="9525">
                      <a:noFill/>
                      <a:miter lim="800000"/>
                      <a:headEnd/>
                      <a:tailEnd/>
                    </a:ln>
                  </pic:spPr>
                </pic:pic>
              </a:graphicData>
            </a:graphic>
          </wp:inline>
        </w:drawing>
      </w:r>
    </w:p>
    <w:p w:rsidR="00533779" w:rsidRPr="00533779" w:rsidRDefault="00533779" w:rsidP="00533779">
      <w:pPr>
        <w:widowControl/>
        <w:spacing w:line="360" w:lineRule="auto"/>
        <w:rPr>
          <w:rFonts w:ascii="Book Antiqua" w:eastAsiaTheme="minorEastAsia" w:hAnsi="Book Antiqua"/>
          <w:b/>
          <w:sz w:val="24"/>
          <w:lang w:eastAsia="zh-CN"/>
        </w:rPr>
      </w:pPr>
    </w:p>
    <w:p w:rsidR="00533779" w:rsidRPr="00533779" w:rsidRDefault="00533779" w:rsidP="00533779">
      <w:pPr>
        <w:widowControl/>
        <w:spacing w:line="360" w:lineRule="auto"/>
        <w:rPr>
          <w:rFonts w:ascii="Book Antiqua" w:eastAsiaTheme="minorEastAsia" w:hAnsi="Book Antiqua"/>
          <w:b/>
          <w:sz w:val="24"/>
          <w:lang w:eastAsia="zh-CN"/>
        </w:rPr>
      </w:pPr>
      <w:r w:rsidRPr="00533779">
        <w:rPr>
          <w:rFonts w:ascii="Book Antiqua" w:eastAsiaTheme="minorEastAsia" w:hAnsi="Book Antiqua"/>
          <w:b/>
          <w:sz w:val="24"/>
          <w:lang w:eastAsia="zh-CN"/>
        </w:rPr>
        <w:t xml:space="preserve">                      </w:t>
      </w:r>
    </w:p>
    <w:p w:rsidR="00533779" w:rsidRPr="00533779" w:rsidRDefault="00533779" w:rsidP="00533779">
      <w:pPr>
        <w:widowControl/>
        <w:spacing w:line="360" w:lineRule="auto"/>
        <w:rPr>
          <w:rFonts w:ascii="Book Antiqua" w:eastAsiaTheme="minorEastAsia" w:hAnsi="Book Antiqua"/>
          <w:b/>
          <w:sz w:val="24"/>
          <w:lang w:eastAsia="zh-CN"/>
        </w:rPr>
      </w:pPr>
    </w:p>
    <w:p w:rsidR="00A5187C" w:rsidRPr="00533779" w:rsidRDefault="00A5187C" w:rsidP="00533779">
      <w:pPr>
        <w:widowControl/>
        <w:spacing w:line="360" w:lineRule="auto"/>
        <w:rPr>
          <w:rFonts w:ascii="Book Antiqua" w:eastAsiaTheme="minorEastAsia" w:hAnsi="Book Antiqua"/>
          <w:b/>
          <w:sz w:val="24"/>
          <w:lang w:eastAsia="zh-CN"/>
        </w:rPr>
      </w:pPr>
    </w:p>
    <w:sectPr w:rsidR="00A5187C" w:rsidRPr="00533779" w:rsidSect="008B2332">
      <w:pgSz w:w="11900" w:h="16840"/>
      <w:pgMar w:top="1440" w:right="1361"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056" w:rsidRDefault="00AC5056" w:rsidP="00AE13D1">
      <w:r>
        <w:separator/>
      </w:r>
    </w:p>
  </w:endnote>
  <w:endnote w:type="continuationSeparator" w:id="0">
    <w:p w:rsidR="00AC5056" w:rsidRDefault="00AC5056" w:rsidP="00AE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056" w:rsidRDefault="00AC5056" w:rsidP="00AE13D1">
      <w:r>
        <w:separator/>
      </w:r>
    </w:p>
  </w:footnote>
  <w:footnote w:type="continuationSeparator" w:id="0">
    <w:p w:rsidR="00AC5056" w:rsidRDefault="00AC5056" w:rsidP="00AE13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6F4"/>
    <w:rsid w:val="0002792A"/>
    <w:rsid w:val="002B08FA"/>
    <w:rsid w:val="00533779"/>
    <w:rsid w:val="00730568"/>
    <w:rsid w:val="007605AF"/>
    <w:rsid w:val="007746F4"/>
    <w:rsid w:val="00911973"/>
    <w:rsid w:val="00A5187C"/>
    <w:rsid w:val="00AC5056"/>
    <w:rsid w:val="00AE13D1"/>
    <w:rsid w:val="00BD3765"/>
    <w:rsid w:val="00C54A81"/>
    <w:rsid w:val="00EE3456"/>
    <w:rsid w:val="00F46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6F4"/>
    <w:pPr>
      <w:widowControl w:val="0"/>
      <w:jc w:val="both"/>
    </w:pPr>
    <w:rPr>
      <w:rFonts w:ascii="Century" w:eastAsia="MS Mincho" w:hAnsi="Century" w:cs="Times New Roman"/>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7746F4"/>
    <w:rPr>
      <w:sz w:val="16"/>
      <w:szCs w:val="16"/>
    </w:rPr>
  </w:style>
  <w:style w:type="paragraph" w:styleId="CommentText">
    <w:name w:val="annotation text"/>
    <w:basedOn w:val="Normal"/>
    <w:link w:val="CommentTextChar"/>
    <w:uiPriority w:val="99"/>
    <w:semiHidden/>
    <w:unhideWhenUsed/>
    <w:rsid w:val="007746F4"/>
    <w:rPr>
      <w:sz w:val="20"/>
      <w:szCs w:val="20"/>
      <w:lang w:val="x-none"/>
    </w:rPr>
  </w:style>
  <w:style w:type="character" w:customStyle="1" w:styleId="CommentTextChar">
    <w:name w:val="Comment Text Char"/>
    <w:basedOn w:val="DefaultParagraphFont"/>
    <w:link w:val="CommentText"/>
    <w:uiPriority w:val="99"/>
    <w:semiHidden/>
    <w:rsid w:val="007746F4"/>
    <w:rPr>
      <w:rFonts w:ascii="Century" w:eastAsia="MS Mincho" w:hAnsi="Century" w:cs="Times New Roman"/>
      <w:sz w:val="20"/>
      <w:szCs w:val="20"/>
      <w:lang w:val="x-none" w:eastAsia="ja-JP"/>
    </w:rPr>
  </w:style>
  <w:style w:type="paragraph" w:styleId="BalloonText">
    <w:name w:val="Balloon Text"/>
    <w:basedOn w:val="Normal"/>
    <w:link w:val="BalloonTextChar"/>
    <w:uiPriority w:val="99"/>
    <w:semiHidden/>
    <w:unhideWhenUsed/>
    <w:rsid w:val="007746F4"/>
    <w:rPr>
      <w:rFonts w:ascii="Lucida Grande" w:hAnsi="Lucida Grande"/>
      <w:sz w:val="18"/>
      <w:szCs w:val="18"/>
      <w:lang w:val="x-none"/>
    </w:rPr>
  </w:style>
  <w:style w:type="character" w:customStyle="1" w:styleId="BalloonTextChar">
    <w:name w:val="Balloon Text Char"/>
    <w:basedOn w:val="DefaultParagraphFont"/>
    <w:link w:val="BalloonText"/>
    <w:uiPriority w:val="99"/>
    <w:semiHidden/>
    <w:rsid w:val="007746F4"/>
    <w:rPr>
      <w:rFonts w:ascii="Lucida Grande" w:eastAsia="MS Mincho" w:hAnsi="Lucida Grande" w:cs="Times New Roman"/>
      <w:sz w:val="18"/>
      <w:szCs w:val="18"/>
      <w:lang w:val="x-none" w:eastAsia="ja-JP"/>
    </w:rPr>
  </w:style>
  <w:style w:type="paragraph" w:styleId="Header">
    <w:name w:val="header"/>
    <w:basedOn w:val="Normal"/>
    <w:link w:val="HeaderChar"/>
    <w:uiPriority w:val="99"/>
    <w:unhideWhenUsed/>
    <w:rsid w:val="007746F4"/>
    <w:pPr>
      <w:tabs>
        <w:tab w:val="center" w:pos="4252"/>
        <w:tab w:val="right" w:pos="8504"/>
      </w:tabs>
      <w:snapToGrid w:val="0"/>
    </w:pPr>
    <w:rPr>
      <w:szCs w:val="20"/>
      <w:lang w:val="x-none"/>
    </w:rPr>
  </w:style>
  <w:style w:type="character" w:customStyle="1" w:styleId="HeaderChar">
    <w:name w:val="Header Char"/>
    <w:basedOn w:val="DefaultParagraphFont"/>
    <w:link w:val="Header"/>
    <w:uiPriority w:val="99"/>
    <w:rsid w:val="007746F4"/>
    <w:rPr>
      <w:rFonts w:ascii="Century" w:eastAsia="MS Mincho" w:hAnsi="Century" w:cs="Times New Roman"/>
      <w:szCs w:val="20"/>
      <w:lang w:val="x-none" w:eastAsia="ja-JP"/>
    </w:rPr>
  </w:style>
  <w:style w:type="paragraph" w:styleId="Footer">
    <w:name w:val="footer"/>
    <w:basedOn w:val="Normal"/>
    <w:link w:val="FooterChar"/>
    <w:uiPriority w:val="99"/>
    <w:unhideWhenUsed/>
    <w:rsid w:val="007746F4"/>
    <w:pPr>
      <w:tabs>
        <w:tab w:val="center" w:pos="4252"/>
        <w:tab w:val="right" w:pos="8504"/>
      </w:tabs>
      <w:snapToGrid w:val="0"/>
    </w:pPr>
    <w:rPr>
      <w:szCs w:val="20"/>
      <w:lang w:val="x-none"/>
    </w:rPr>
  </w:style>
  <w:style w:type="character" w:customStyle="1" w:styleId="FooterChar">
    <w:name w:val="Footer Char"/>
    <w:basedOn w:val="DefaultParagraphFont"/>
    <w:link w:val="Footer"/>
    <w:uiPriority w:val="99"/>
    <w:rsid w:val="007746F4"/>
    <w:rPr>
      <w:rFonts w:ascii="Century" w:eastAsia="MS Mincho" w:hAnsi="Century" w:cs="Times New Roman"/>
      <w:szCs w:val="20"/>
      <w:lang w:val="x-none" w:eastAsia="ja-JP"/>
    </w:rPr>
  </w:style>
  <w:style w:type="character" w:styleId="Strong">
    <w:name w:val="Strong"/>
    <w:qFormat/>
    <w:rsid w:val="007605AF"/>
    <w:rPr>
      <w:b/>
      <w:bCs/>
    </w:rPr>
  </w:style>
  <w:style w:type="paragraph" w:styleId="CommentSubject">
    <w:name w:val="annotation subject"/>
    <w:basedOn w:val="CommentText"/>
    <w:next w:val="CommentText"/>
    <w:link w:val="CommentSubjectChar"/>
    <w:uiPriority w:val="99"/>
    <w:semiHidden/>
    <w:unhideWhenUsed/>
    <w:rsid w:val="00AE13D1"/>
    <w:pPr>
      <w:jc w:val="left"/>
    </w:pPr>
    <w:rPr>
      <w:b/>
      <w:bCs/>
      <w:sz w:val="21"/>
      <w:szCs w:val="24"/>
      <w:lang w:val="en-US"/>
    </w:rPr>
  </w:style>
  <w:style w:type="character" w:customStyle="1" w:styleId="CommentSubjectChar">
    <w:name w:val="Comment Subject Char"/>
    <w:basedOn w:val="CommentTextChar"/>
    <w:link w:val="CommentSubject"/>
    <w:uiPriority w:val="99"/>
    <w:semiHidden/>
    <w:rsid w:val="00AE13D1"/>
    <w:rPr>
      <w:rFonts w:ascii="Century" w:eastAsia="MS Mincho" w:hAnsi="Century" w:cs="Times New Roman"/>
      <w:b/>
      <w:bCs/>
      <w:sz w:val="20"/>
      <w:szCs w:val="24"/>
      <w:lang w:val="x-non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6F4"/>
    <w:pPr>
      <w:widowControl w:val="0"/>
      <w:jc w:val="both"/>
    </w:pPr>
    <w:rPr>
      <w:rFonts w:ascii="Century" w:eastAsia="MS Mincho" w:hAnsi="Century" w:cs="Times New Roman"/>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7746F4"/>
    <w:rPr>
      <w:sz w:val="16"/>
      <w:szCs w:val="16"/>
    </w:rPr>
  </w:style>
  <w:style w:type="paragraph" w:styleId="CommentText">
    <w:name w:val="annotation text"/>
    <w:basedOn w:val="Normal"/>
    <w:link w:val="CommentTextChar"/>
    <w:uiPriority w:val="99"/>
    <w:semiHidden/>
    <w:unhideWhenUsed/>
    <w:rsid w:val="007746F4"/>
    <w:rPr>
      <w:sz w:val="20"/>
      <w:szCs w:val="20"/>
      <w:lang w:val="x-none"/>
    </w:rPr>
  </w:style>
  <w:style w:type="character" w:customStyle="1" w:styleId="CommentTextChar">
    <w:name w:val="Comment Text Char"/>
    <w:basedOn w:val="DefaultParagraphFont"/>
    <w:link w:val="CommentText"/>
    <w:uiPriority w:val="99"/>
    <w:semiHidden/>
    <w:rsid w:val="007746F4"/>
    <w:rPr>
      <w:rFonts w:ascii="Century" w:eastAsia="MS Mincho" w:hAnsi="Century" w:cs="Times New Roman"/>
      <w:sz w:val="20"/>
      <w:szCs w:val="20"/>
      <w:lang w:val="x-none" w:eastAsia="ja-JP"/>
    </w:rPr>
  </w:style>
  <w:style w:type="paragraph" w:styleId="BalloonText">
    <w:name w:val="Balloon Text"/>
    <w:basedOn w:val="Normal"/>
    <w:link w:val="BalloonTextChar"/>
    <w:uiPriority w:val="99"/>
    <w:semiHidden/>
    <w:unhideWhenUsed/>
    <w:rsid w:val="007746F4"/>
    <w:rPr>
      <w:rFonts w:ascii="Lucida Grande" w:hAnsi="Lucida Grande"/>
      <w:sz w:val="18"/>
      <w:szCs w:val="18"/>
      <w:lang w:val="x-none"/>
    </w:rPr>
  </w:style>
  <w:style w:type="character" w:customStyle="1" w:styleId="BalloonTextChar">
    <w:name w:val="Balloon Text Char"/>
    <w:basedOn w:val="DefaultParagraphFont"/>
    <w:link w:val="BalloonText"/>
    <w:uiPriority w:val="99"/>
    <w:semiHidden/>
    <w:rsid w:val="007746F4"/>
    <w:rPr>
      <w:rFonts w:ascii="Lucida Grande" w:eastAsia="MS Mincho" w:hAnsi="Lucida Grande" w:cs="Times New Roman"/>
      <w:sz w:val="18"/>
      <w:szCs w:val="18"/>
      <w:lang w:val="x-none" w:eastAsia="ja-JP"/>
    </w:rPr>
  </w:style>
  <w:style w:type="paragraph" w:styleId="Header">
    <w:name w:val="header"/>
    <w:basedOn w:val="Normal"/>
    <w:link w:val="HeaderChar"/>
    <w:uiPriority w:val="99"/>
    <w:unhideWhenUsed/>
    <w:rsid w:val="007746F4"/>
    <w:pPr>
      <w:tabs>
        <w:tab w:val="center" w:pos="4252"/>
        <w:tab w:val="right" w:pos="8504"/>
      </w:tabs>
      <w:snapToGrid w:val="0"/>
    </w:pPr>
    <w:rPr>
      <w:szCs w:val="20"/>
      <w:lang w:val="x-none"/>
    </w:rPr>
  </w:style>
  <w:style w:type="character" w:customStyle="1" w:styleId="HeaderChar">
    <w:name w:val="Header Char"/>
    <w:basedOn w:val="DefaultParagraphFont"/>
    <w:link w:val="Header"/>
    <w:uiPriority w:val="99"/>
    <w:rsid w:val="007746F4"/>
    <w:rPr>
      <w:rFonts w:ascii="Century" w:eastAsia="MS Mincho" w:hAnsi="Century" w:cs="Times New Roman"/>
      <w:szCs w:val="20"/>
      <w:lang w:val="x-none" w:eastAsia="ja-JP"/>
    </w:rPr>
  </w:style>
  <w:style w:type="paragraph" w:styleId="Footer">
    <w:name w:val="footer"/>
    <w:basedOn w:val="Normal"/>
    <w:link w:val="FooterChar"/>
    <w:uiPriority w:val="99"/>
    <w:unhideWhenUsed/>
    <w:rsid w:val="007746F4"/>
    <w:pPr>
      <w:tabs>
        <w:tab w:val="center" w:pos="4252"/>
        <w:tab w:val="right" w:pos="8504"/>
      </w:tabs>
      <w:snapToGrid w:val="0"/>
    </w:pPr>
    <w:rPr>
      <w:szCs w:val="20"/>
      <w:lang w:val="x-none"/>
    </w:rPr>
  </w:style>
  <w:style w:type="character" w:customStyle="1" w:styleId="FooterChar">
    <w:name w:val="Footer Char"/>
    <w:basedOn w:val="DefaultParagraphFont"/>
    <w:link w:val="Footer"/>
    <w:uiPriority w:val="99"/>
    <w:rsid w:val="007746F4"/>
    <w:rPr>
      <w:rFonts w:ascii="Century" w:eastAsia="MS Mincho" w:hAnsi="Century" w:cs="Times New Roman"/>
      <w:szCs w:val="20"/>
      <w:lang w:val="x-none" w:eastAsia="ja-JP"/>
    </w:rPr>
  </w:style>
  <w:style w:type="character" w:styleId="Strong">
    <w:name w:val="Strong"/>
    <w:qFormat/>
    <w:rsid w:val="007605AF"/>
    <w:rPr>
      <w:b/>
      <w:bCs/>
    </w:rPr>
  </w:style>
  <w:style w:type="paragraph" w:styleId="CommentSubject">
    <w:name w:val="annotation subject"/>
    <w:basedOn w:val="CommentText"/>
    <w:next w:val="CommentText"/>
    <w:link w:val="CommentSubjectChar"/>
    <w:uiPriority w:val="99"/>
    <w:semiHidden/>
    <w:unhideWhenUsed/>
    <w:rsid w:val="00AE13D1"/>
    <w:pPr>
      <w:jc w:val="left"/>
    </w:pPr>
    <w:rPr>
      <w:b/>
      <w:bCs/>
      <w:sz w:val="21"/>
      <w:szCs w:val="24"/>
      <w:lang w:val="en-US"/>
    </w:rPr>
  </w:style>
  <w:style w:type="character" w:customStyle="1" w:styleId="CommentSubjectChar">
    <w:name w:val="Comment Subject Char"/>
    <w:basedOn w:val="CommentTextChar"/>
    <w:link w:val="CommentSubject"/>
    <w:uiPriority w:val="99"/>
    <w:semiHidden/>
    <w:rsid w:val="00AE13D1"/>
    <w:rPr>
      <w:rFonts w:ascii="Century" w:eastAsia="MS Mincho" w:hAnsi="Century" w:cs="Times New Roman"/>
      <w:b/>
      <w:bCs/>
      <w:sz w:val="20"/>
      <w:szCs w:val="24"/>
      <w:lang w:val="x-non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0C605-AFF1-D742-9AB6-F5DBE1503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2942</Words>
  <Characters>16773</Characters>
  <Application>Microsoft Macintosh Word</Application>
  <DocSecurity>0</DocSecurity>
  <Lines>139</Lines>
  <Paragraphs>39</Paragraphs>
  <ScaleCrop>false</ScaleCrop>
  <Company>微软中国</Company>
  <LinksUpToDate>false</LinksUpToDate>
  <CharactersWithSpaces>19676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NA MA</cp:lastModifiedBy>
  <cp:revision>2</cp:revision>
  <dcterms:created xsi:type="dcterms:W3CDTF">2015-03-17T16:33:00Z</dcterms:created>
  <dcterms:modified xsi:type="dcterms:W3CDTF">2015-03-17T16:33:00Z</dcterms:modified>
</cp:coreProperties>
</file>