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51F" w:rsidRPr="004C750C" w:rsidRDefault="0043551F" w:rsidP="004C750C">
      <w:pPr>
        <w:spacing w:after="0" w:line="360" w:lineRule="auto"/>
        <w:jc w:val="both"/>
        <w:rPr>
          <w:rFonts w:ascii="Book Antiqua" w:hAnsi="Book Antiqua"/>
          <w:sz w:val="24"/>
          <w:szCs w:val="24"/>
          <w:lang w:val="en-US"/>
        </w:rPr>
      </w:pPr>
      <w:r w:rsidRPr="004C750C">
        <w:rPr>
          <w:rFonts w:ascii="Book Antiqua" w:hAnsi="Book Antiqua"/>
          <w:sz w:val="24"/>
          <w:szCs w:val="24"/>
          <w:lang w:val="en-US"/>
        </w:rPr>
        <w:t xml:space="preserve">Name of journal: </w:t>
      </w:r>
      <w:r w:rsidRPr="004C750C">
        <w:rPr>
          <w:rFonts w:ascii="Book Antiqua" w:hAnsi="Book Antiqua"/>
          <w:i/>
          <w:sz w:val="24"/>
          <w:szCs w:val="24"/>
          <w:lang w:val="en-US"/>
        </w:rPr>
        <w:t>World Journal of Virology</w:t>
      </w:r>
    </w:p>
    <w:p w:rsidR="0043551F" w:rsidRPr="004C750C" w:rsidRDefault="0043551F" w:rsidP="004C750C">
      <w:pPr>
        <w:spacing w:after="0" w:line="360" w:lineRule="auto"/>
        <w:jc w:val="both"/>
        <w:rPr>
          <w:rFonts w:ascii="Book Antiqua" w:hAnsi="Book Antiqua"/>
          <w:sz w:val="24"/>
          <w:szCs w:val="24"/>
          <w:lang w:val="en-US" w:eastAsia="zh-CN"/>
        </w:rPr>
      </w:pPr>
      <w:r w:rsidRPr="004C750C">
        <w:rPr>
          <w:rFonts w:ascii="Book Antiqua" w:hAnsi="Book Antiqua"/>
          <w:sz w:val="24"/>
          <w:szCs w:val="24"/>
          <w:lang w:val="en-US"/>
        </w:rPr>
        <w:t xml:space="preserve">ESPS Manuscript NO: </w:t>
      </w:r>
      <w:r w:rsidRPr="004C750C">
        <w:rPr>
          <w:rFonts w:ascii="Book Antiqua" w:hAnsi="Book Antiqua"/>
          <w:sz w:val="24"/>
          <w:szCs w:val="24"/>
          <w:lang w:val="en-US" w:eastAsia="zh-CN"/>
        </w:rPr>
        <w:t>14847</w:t>
      </w:r>
    </w:p>
    <w:p w:rsidR="00484B62" w:rsidRPr="004C750C" w:rsidRDefault="0043551F" w:rsidP="004C750C">
      <w:pPr>
        <w:spacing w:after="0" w:line="360" w:lineRule="auto"/>
        <w:jc w:val="both"/>
        <w:rPr>
          <w:rFonts w:ascii="Book Antiqua" w:hAnsi="Book Antiqua"/>
          <w:sz w:val="24"/>
          <w:szCs w:val="24"/>
          <w:lang w:val="en-US" w:eastAsia="zh-CN"/>
        </w:rPr>
      </w:pPr>
      <w:r w:rsidRPr="004C750C">
        <w:rPr>
          <w:rFonts w:ascii="Book Antiqua" w:hAnsi="Book Antiqua"/>
          <w:sz w:val="24"/>
          <w:szCs w:val="24"/>
          <w:lang w:val="en-US"/>
        </w:rPr>
        <w:t>Columns:</w:t>
      </w:r>
      <w:r w:rsidR="00411762" w:rsidRPr="004C750C">
        <w:rPr>
          <w:rFonts w:ascii="Book Antiqua" w:hAnsi="Book Antiqua"/>
          <w:sz w:val="24"/>
          <w:szCs w:val="24"/>
          <w:lang w:val="en-US"/>
        </w:rPr>
        <w:t xml:space="preserve"> </w:t>
      </w:r>
      <w:r w:rsidRPr="004C750C">
        <w:rPr>
          <w:rFonts w:ascii="Book Antiqua" w:hAnsi="Book Antiqua"/>
          <w:sz w:val="24"/>
          <w:szCs w:val="24"/>
          <w:lang w:val="en-US" w:eastAsia="zh-CN"/>
        </w:rPr>
        <w:t>REVIEW</w:t>
      </w:r>
    </w:p>
    <w:p w:rsidR="00F93C54" w:rsidRPr="004C750C" w:rsidRDefault="00F93C54" w:rsidP="004C750C">
      <w:pPr>
        <w:spacing w:after="0" w:line="360" w:lineRule="auto"/>
        <w:jc w:val="both"/>
        <w:rPr>
          <w:rFonts w:ascii="Book Antiqua" w:hAnsi="Book Antiqua" w:cs="Arial"/>
          <w:b/>
          <w:sz w:val="24"/>
          <w:szCs w:val="24"/>
          <w:lang w:val="en-US" w:eastAsia="zh-CN"/>
        </w:rPr>
      </w:pPr>
    </w:p>
    <w:p w:rsidR="00B2210C" w:rsidRPr="004C750C" w:rsidRDefault="00B2210C" w:rsidP="004C750C">
      <w:pPr>
        <w:spacing w:after="0" w:line="360" w:lineRule="auto"/>
        <w:jc w:val="both"/>
        <w:rPr>
          <w:rFonts w:ascii="Book Antiqua" w:hAnsi="Book Antiqua" w:cs="Arial"/>
          <w:b/>
          <w:sz w:val="24"/>
          <w:szCs w:val="24"/>
          <w:lang w:eastAsia="zh-CN"/>
        </w:rPr>
      </w:pPr>
      <w:r w:rsidRPr="004C750C">
        <w:rPr>
          <w:rFonts w:ascii="Book Antiqua" w:hAnsi="Book Antiqua" w:cs="Arial"/>
          <w:b/>
          <w:sz w:val="24"/>
          <w:szCs w:val="24"/>
          <w:lang w:val="en-US"/>
        </w:rPr>
        <w:t xml:space="preserve">Impact of antiretroviral therapy on lipid metabolism of </w:t>
      </w:r>
      <w:r w:rsidR="004C750C" w:rsidRPr="004C750C">
        <w:rPr>
          <w:rFonts w:ascii="Book Antiqua" w:eastAsia="Times New Roman" w:hAnsi="Book Antiqua"/>
          <w:b/>
          <w:sz w:val="24"/>
          <w:szCs w:val="24"/>
          <w:lang w:val="en-US"/>
        </w:rPr>
        <w:t>human immunodeficiency virus</w:t>
      </w:r>
      <w:r w:rsidRPr="004C750C">
        <w:rPr>
          <w:rFonts w:ascii="Book Antiqua" w:hAnsi="Book Antiqua" w:cs="Arial"/>
          <w:b/>
          <w:sz w:val="24"/>
          <w:szCs w:val="24"/>
          <w:lang w:val="en-US"/>
        </w:rPr>
        <w:t>-infec</w:t>
      </w:r>
      <w:r w:rsidR="00F93C54" w:rsidRPr="004C750C">
        <w:rPr>
          <w:rFonts w:ascii="Book Antiqua" w:hAnsi="Book Antiqua" w:cs="Arial"/>
          <w:b/>
          <w:sz w:val="24"/>
          <w:szCs w:val="24"/>
          <w:lang w:val="en-US"/>
        </w:rPr>
        <w:t>ted patients: Old and new drugs</w:t>
      </w:r>
    </w:p>
    <w:p w:rsidR="00FE19C1" w:rsidRPr="004C750C" w:rsidRDefault="00FE19C1" w:rsidP="004C750C">
      <w:pPr>
        <w:spacing w:after="0" w:line="360" w:lineRule="auto"/>
        <w:jc w:val="both"/>
        <w:rPr>
          <w:rFonts w:ascii="Book Antiqua" w:hAnsi="Book Antiqua" w:cs="Arial"/>
          <w:b/>
          <w:sz w:val="24"/>
          <w:szCs w:val="24"/>
          <w:lang w:val="en-US" w:eastAsia="zh-CN"/>
        </w:rPr>
      </w:pPr>
    </w:p>
    <w:p w:rsidR="00F93C54" w:rsidRPr="004C750C" w:rsidRDefault="00FE19C1" w:rsidP="004C750C">
      <w:pPr>
        <w:spacing w:after="0" w:line="360" w:lineRule="auto"/>
        <w:jc w:val="both"/>
        <w:rPr>
          <w:rFonts w:ascii="Book Antiqua" w:hAnsi="Book Antiqua" w:cs="Arial"/>
          <w:sz w:val="24"/>
          <w:szCs w:val="24"/>
          <w:lang w:val="en-US" w:eastAsia="zh-CN"/>
        </w:rPr>
      </w:pPr>
      <w:r w:rsidRPr="004C750C">
        <w:rPr>
          <w:rFonts w:ascii="Book Antiqua" w:hAnsi="Book Antiqua"/>
          <w:sz w:val="24"/>
          <w:szCs w:val="24"/>
          <w:lang w:eastAsia="zh-CN"/>
        </w:rPr>
        <w:t xml:space="preserve">da Cunha J </w:t>
      </w:r>
      <w:r w:rsidRPr="004C750C">
        <w:rPr>
          <w:rFonts w:ascii="Book Antiqua" w:hAnsi="Book Antiqua"/>
          <w:i/>
          <w:sz w:val="24"/>
          <w:szCs w:val="24"/>
          <w:lang w:eastAsia="zh-CN"/>
        </w:rPr>
        <w:t>et al.</w:t>
      </w:r>
      <w:r w:rsidRPr="004C750C">
        <w:rPr>
          <w:rFonts w:ascii="Book Antiqua" w:hAnsi="Book Antiqua" w:cs="Arial"/>
          <w:sz w:val="24"/>
          <w:szCs w:val="24"/>
        </w:rPr>
        <w:t xml:space="preserve"> </w:t>
      </w:r>
      <w:r w:rsidRPr="004C750C">
        <w:rPr>
          <w:rFonts w:ascii="Book Antiqua" w:hAnsi="Book Antiqua" w:cs="Arial"/>
          <w:sz w:val="24"/>
          <w:szCs w:val="24"/>
          <w:lang w:val="en-US"/>
        </w:rPr>
        <w:t>Antiretroviral therapy and lipid metabolism in HIV-infected patients</w:t>
      </w:r>
    </w:p>
    <w:p w:rsidR="00FE19C1" w:rsidRPr="004C750C" w:rsidRDefault="00FE19C1" w:rsidP="004C750C">
      <w:pPr>
        <w:spacing w:after="0" w:line="360" w:lineRule="auto"/>
        <w:jc w:val="both"/>
        <w:rPr>
          <w:rFonts w:ascii="Book Antiqua" w:eastAsia="Arial Unicode MS" w:hAnsi="Book Antiqua" w:cs="Arial Unicode MS"/>
          <w:i/>
          <w:sz w:val="24"/>
          <w:szCs w:val="24"/>
          <w:lang w:val="en-US" w:eastAsia="zh-CN"/>
        </w:rPr>
      </w:pPr>
    </w:p>
    <w:p w:rsidR="0043551F" w:rsidRPr="004C750C" w:rsidRDefault="00F93C54" w:rsidP="004C750C">
      <w:pPr>
        <w:spacing w:after="0" w:line="360" w:lineRule="auto"/>
        <w:jc w:val="both"/>
        <w:rPr>
          <w:rFonts w:ascii="Book Antiqua" w:hAnsi="Book Antiqua"/>
          <w:sz w:val="24"/>
          <w:szCs w:val="24"/>
          <w:lang w:eastAsia="zh-CN"/>
        </w:rPr>
      </w:pPr>
      <w:r w:rsidRPr="004C750C">
        <w:rPr>
          <w:rFonts w:ascii="Book Antiqua" w:hAnsi="Book Antiqua"/>
          <w:sz w:val="24"/>
          <w:szCs w:val="24"/>
          <w:lang w:eastAsia="zh-CN"/>
        </w:rPr>
        <w:t xml:space="preserve">Joel </w:t>
      </w:r>
      <w:r w:rsidR="00FE19C1" w:rsidRPr="004C750C">
        <w:rPr>
          <w:rFonts w:ascii="Book Antiqua" w:hAnsi="Book Antiqua"/>
          <w:sz w:val="24"/>
          <w:szCs w:val="24"/>
          <w:lang w:eastAsia="zh-CN"/>
        </w:rPr>
        <w:t>da Cunha</w:t>
      </w:r>
      <w:r w:rsidRPr="004C750C">
        <w:rPr>
          <w:rFonts w:ascii="Book Antiqua" w:hAnsi="Book Antiqua"/>
          <w:sz w:val="24"/>
          <w:szCs w:val="24"/>
          <w:lang w:eastAsia="zh-CN"/>
        </w:rPr>
        <w:t xml:space="preserve">, </w:t>
      </w:r>
      <w:r w:rsidRPr="004C750C">
        <w:rPr>
          <w:rFonts w:ascii="Book Antiqua" w:hAnsi="Book Antiqua"/>
          <w:sz w:val="24"/>
          <w:szCs w:val="24"/>
        </w:rPr>
        <w:t>Luciana Morganti Ferreira Maselli</w:t>
      </w:r>
      <w:r w:rsidRPr="004C750C">
        <w:rPr>
          <w:rFonts w:ascii="Book Antiqua" w:hAnsi="Book Antiqua"/>
          <w:sz w:val="24"/>
          <w:szCs w:val="24"/>
          <w:lang w:eastAsia="zh-CN"/>
        </w:rPr>
        <w:t xml:space="preserve">, Celso Spada, </w:t>
      </w:r>
      <w:r w:rsidRPr="004C750C">
        <w:rPr>
          <w:rFonts w:ascii="Book Antiqua" w:hAnsi="Book Antiqua"/>
          <w:sz w:val="24"/>
          <w:szCs w:val="24"/>
        </w:rPr>
        <w:t>Sérgio Paulo Bydlowski</w:t>
      </w:r>
    </w:p>
    <w:p w:rsidR="00B2210C" w:rsidRPr="004C750C" w:rsidRDefault="00B2210C" w:rsidP="004C750C">
      <w:pPr>
        <w:spacing w:after="0" w:line="360" w:lineRule="auto"/>
        <w:jc w:val="both"/>
        <w:rPr>
          <w:rFonts w:ascii="Book Antiqua" w:hAnsi="Book Antiqua"/>
          <w:sz w:val="24"/>
          <w:szCs w:val="24"/>
          <w:lang w:eastAsia="zh-CN"/>
        </w:rPr>
      </w:pPr>
    </w:p>
    <w:p w:rsidR="00B2210C" w:rsidRPr="004C750C" w:rsidRDefault="00FE19C1" w:rsidP="004C750C">
      <w:pPr>
        <w:spacing w:after="0" w:line="360" w:lineRule="auto"/>
        <w:jc w:val="both"/>
        <w:rPr>
          <w:rFonts w:ascii="Book Antiqua" w:hAnsi="Book Antiqua" w:cs="Arial"/>
          <w:sz w:val="24"/>
          <w:szCs w:val="24"/>
          <w:lang w:eastAsia="zh-CN"/>
        </w:rPr>
      </w:pPr>
      <w:r w:rsidRPr="004C750C">
        <w:rPr>
          <w:rFonts w:ascii="Book Antiqua" w:hAnsi="Book Antiqua"/>
          <w:b/>
          <w:sz w:val="24"/>
          <w:szCs w:val="24"/>
          <w:lang w:eastAsia="zh-CN"/>
        </w:rPr>
        <w:t xml:space="preserve">Joel da Cunha, </w:t>
      </w:r>
      <w:r w:rsidRPr="004C750C">
        <w:rPr>
          <w:rFonts w:ascii="Book Antiqua" w:hAnsi="Book Antiqua"/>
          <w:b/>
          <w:sz w:val="24"/>
          <w:szCs w:val="24"/>
        </w:rPr>
        <w:t>Luciana Morganti Ferreira Maselli</w:t>
      </w:r>
      <w:r w:rsidRPr="004C750C">
        <w:rPr>
          <w:rFonts w:ascii="Book Antiqua" w:hAnsi="Book Antiqua"/>
          <w:b/>
          <w:sz w:val="24"/>
          <w:szCs w:val="24"/>
          <w:lang w:eastAsia="zh-CN"/>
        </w:rPr>
        <w:t xml:space="preserve">, </w:t>
      </w:r>
      <w:r w:rsidRPr="004C750C">
        <w:rPr>
          <w:rFonts w:ascii="Book Antiqua" w:hAnsi="Book Antiqua"/>
          <w:b/>
          <w:sz w:val="24"/>
          <w:szCs w:val="24"/>
        </w:rPr>
        <w:t>Sérgio Paulo Bydlowski</w:t>
      </w:r>
      <w:r w:rsidRPr="004C750C">
        <w:rPr>
          <w:rFonts w:ascii="Book Antiqua" w:hAnsi="Book Antiqua"/>
          <w:b/>
          <w:sz w:val="24"/>
          <w:szCs w:val="24"/>
          <w:lang w:eastAsia="zh-CN"/>
        </w:rPr>
        <w:t xml:space="preserve">, </w:t>
      </w:r>
      <w:r w:rsidR="00B2210C" w:rsidRPr="004C750C">
        <w:rPr>
          <w:rFonts w:ascii="Book Antiqua" w:hAnsi="Book Antiqua" w:cs="Arial"/>
          <w:sz w:val="24"/>
          <w:szCs w:val="24"/>
        </w:rPr>
        <w:t>Laboratory of Genetics and Molecular Hematology (LIM31), University of São Paulo Me</w:t>
      </w:r>
      <w:r w:rsidRPr="004C750C">
        <w:rPr>
          <w:rFonts w:ascii="Book Antiqua" w:hAnsi="Book Antiqua" w:cs="Arial"/>
          <w:sz w:val="24"/>
          <w:szCs w:val="24"/>
        </w:rPr>
        <w:t>dical School (FMUSP), São Paulo</w:t>
      </w:r>
      <w:r w:rsidR="00B2210C" w:rsidRPr="004C750C">
        <w:rPr>
          <w:rFonts w:ascii="Book Antiqua" w:hAnsi="Book Antiqua" w:cs="Arial"/>
          <w:sz w:val="24"/>
          <w:szCs w:val="24"/>
        </w:rPr>
        <w:t xml:space="preserve"> SP</w:t>
      </w:r>
      <w:r w:rsidRPr="004C750C">
        <w:rPr>
          <w:rFonts w:ascii="Book Antiqua" w:hAnsi="Book Antiqua" w:cs="Arial"/>
          <w:sz w:val="24"/>
          <w:szCs w:val="24"/>
          <w:lang w:eastAsia="zh-CN"/>
        </w:rPr>
        <w:t xml:space="preserve"> </w:t>
      </w:r>
      <w:r w:rsidRPr="004C750C">
        <w:rPr>
          <w:rFonts w:ascii="Book Antiqua" w:hAnsi="Book Antiqua" w:cs="Arial"/>
          <w:sz w:val="24"/>
          <w:szCs w:val="24"/>
        </w:rPr>
        <w:t>05403-000, Brazil</w:t>
      </w:r>
      <w:r w:rsidR="00B2210C" w:rsidRPr="004C750C">
        <w:rPr>
          <w:rFonts w:ascii="Book Antiqua" w:hAnsi="Book Antiqua" w:cs="Arial"/>
          <w:sz w:val="24"/>
          <w:szCs w:val="24"/>
        </w:rPr>
        <w:t xml:space="preserve"> </w:t>
      </w:r>
    </w:p>
    <w:p w:rsidR="00FE19C1" w:rsidRPr="004C750C" w:rsidRDefault="00FE19C1" w:rsidP="004C750C">
      <w:pPr>
        <w:spacing w:after="0" w:line="360" w:lineRule="auto"/>
        <w:jc w:val="both"/>
        <w:rPr>
          <w:rFonts w:ascii="Book Antiqua" w:hAnsi="Book Antiqua"/>
          <w:b/>
          <w:sz w:val="24"/>
          <w:szCs w:val="24"/>
          <w:lang w:eastAsia="zh-CN"/>
        </w:rPr>
      </w:pPr>
    </w:p>
    <w:p w:rsidR="00B2210C" w:rsidRPr="004C750C" w:rsidRDefault="00FE19C1" w:rsidP="004C750C">
      <w:pPr>
        <w:spacing w:after="0" w:line="360" w:lineRule="auto"/>
        <w:jc w:val="both"/>
        <w:rPr>
          <w:rFonts w:ascii="Book Antiqua" w:hAnsi="Book Antiqua" w:cs="Arial"/>
          <w:sz w:val="24"/>
          <w:szCs w:val="24"/>
          <w:lang w:eastAsia="zh-CN"/>
        </w:rPr>
      </w:pPr>
      <w:r w:rsidRPr="004C750C">
        <w:rPr>
          <w:rFonts w:ascii="Book Antiqua" w:hAnsi="Book Antiqua"/>
          <w:b/>
          <w:sz w:val="24"/>
          <w:szCs w:val="24"/>
          <w:lang w:eastAsia="zh-CN"/>
        </w:rPr>
        <w:t xml:space="preserve">Joel da Cunha, Celso Spada, </w:t>
      </w:r>
      <w:r w:rsidR="00B2210C" w:rsidRPr="004C750C">
        <w:rPr>
          <w:rFonts w:ascii="Book Antiqua" w:hAnsi="Book Antiqua" w:cs="Arial"/>
          <w:sz w:val="24"/>
          <w:szCs w:val="24"/>
        </w:rPr>
        <w:t>Clinical Analysis Department, Health Sciences Center, Federal University of Santa Cat</w:t>
      </w:r>
      <w:r w:rsidRPr="004C750C">
        <w:rPr>
          <w:rFonts w:ascii="Book Antiqua" w:hAnsi="Book Antiqua" w:cs="Arial"/>
          <w:sz w:val="24"/>
          <w:szCs w:val="24"/>
        </w:rPr>
        <w:t>arina (CCS/UFSC), Florianópolis</w:t>
      </w:r>
      <w:r w:rsidR="00B2210C" w:rsidRPr="004C750C">
        <w:rPr>
          <w:rFonts w:ascii="Book Antiqua" w:hAnsi="Book Antiqua" w:cs="Arial"/>
          <w:sz w:val="24"/>
          <w:szCs w:val="24"/>
        </w:rPr>
        <w:t xml:space="preserve"> SC</w:t>
      </w:r>
      <w:r w:rsidRPr="004C750C">
        <w:rPr>
          <w:rFonts w:ascii="Book Antiqua" w:hAnsi="Book Antiqua" w:cs="Arial"/>
          <w:sz w:val="24"/>
          <w:szCs w:val="24"/>
          <w:lang w:eastAsia="zh-CN"/>
        </w:rPr>
        <w:t xml:space="preserve"> </w:t>
      </w:r>
      <w:r w:rsidRPr="004C750C">
        <w:rPr>
          <w:rFonts w:ascii="Book Antiqua" w:hAnsi="Book Antiqua" w:cs="Arial"/>
          <w:sz w:val="24"/>
          <w:szCs w:val="24"/>
        </w:rPr>
        <w:t>88040-900</w:t>
      </w:r>
      <w:r w:rsidR="00B2210C" w:rsidRPr="004C750C">
        <w:rPr>
          <w:rFonts w:ascii="Book Antiqua" w:hAnsi="Book Antiqua" w:cs="Arial"/>
          <w:sz w:val="24"/>
          <w:szCs w:val="24"/>
        </w:rPr>
        <w:t xml:space="preserve">, Brazil, </w:t>
      </w:r>
    </w:p>
    <w:p w:rsidR="00FE19C1" w:rsidRPr="004C750C" w:rsidRDefault="00FE19C1" w:rsidP="004C750C">
      <w:pPr>
        <w:spacing w:after="0" w:line="360" w:lineRule="auto"/>
        <w:jc w:val="both"/>
        <w:rPr>
          <w:rFonts w:ascii="Book Antiqua" w:hAnsi="Book Antiqua" w:cs="Arial"/>
          <w:sz w:val="24"/>
          <w:szCs w:val="24"/>
          <w:lang w:eastAsia="zh-CN"/>
        </w:rPr>
      </w:pPr>
    </w:p>
    <w:p w:rsidR="00B2210C" w:rsidRPr="004C750C" w:rsidRDefault="00FE19C1" w:rsidP="004C750C">
      <w:pPr>
        <w:spacing w:after="0" w:line="360" w:lineRule="auto"/>
        <w:jc w:val="both"/>
        <w:rPr>
          <w:rFonts w:ascii="Book Antiqua" w:hAnsi="Book Antiqua" w:cs="Arial"/>
          <w:sz w:val="24"/>
          <w:szCs w:val="24"/>
          <w:lang w:eastAsia="zh-CN"/>
        </w:rPr>
      </w:pPr>
      <w:r w:rsidRPr="004C750C">
        <w:rPr>
          <w:rFonts w:ascii="Book Antiqua" w:hAnsi="Book Antiqua"/>
          <w:b/>
          <w:sz w:val="24"/>
          <w:szCs w:val="24"/>
        </w:rPr>
        <w:t>Luciana Morganti Ferreira Maselli</w:t>
      </w:r>
      <w:r w:rsidRPr="004C750C">
        <w:rPr>
          <w:rFonts w:ascii="Book Antiqua" w:hAnsi="Book Antiqua"/>
          <w:b/>
          <w:sz w:val="24"/>
          <w:szCs w:val="24"/>
          <w:lang w:eastAsia="zh-CN"/>
        </w:rPr>
        <w:t xml:space="preserve">, </w:t>
      </w:r>
      <w:r w:rsidR="00B2210C" w:rsidRPr="004C750C">
        <w:rPr>
          <w:rFonts w:ascii="Book Antiqua" w:hAnsi="Book Antiqua" w:cs="Arial"/>
          <w:sz w:val="24"/>
          <w:szCs w:val="24"/>
        </w:rPr>
        <w:t xml:space="preserve">Molecular Genetics and Biotechnology Department, Research Division, Pró-Sangue Foundation/Blood Center of São Paulo, </w:t>
      </w:r>
      <w:r w:rsidRPr="004C750C">
        <w:rPr>
          <w:rFonts w:ascii="Book Antiqua" w:hAnsi="Book Antiqua" w:cs="Arial"/>
          <w:sz w:val="24"/>
          <w:szCs w:val="24"/>
        </w:rPr>
        <w:t xml:space="preserve">São Paulo </w:t>
      </w:r>
      <w:r w:rsidR="00B2210C" w:rsidRPr="004C750C">
        <w:rPr>
          <w:rFonts w:ascii="Book Antiqua" w:hAnsi="Book Antiqua" w:cs="Arial"/>
          <w:sz w:val="24"/>
          <w:szCs w:val="24"/>
        </w:rPr>
        <w:t>SP</w:t>
      </w:r>
      <w:r w:rsidRPr="004C750C">
        <w:rPr>
          <w:rFonts w:ascii="Book Antiqua" w:hAnsi="Book Antiqua" w:cs="Arial"/>
          <w:sz w:val="24"/>
          <w:szCs w:val="24"/>
          <w:lang w:eastAsia="zh-CN"/>
        </w:rPr>
        <w:t xml:space="preserve"> </w:t>
      </w:r>
      <w:r w:rsidRPr="004C750C">
        <w:rPr>
          <w:rFonts w:ascii="Book Antiqua" w:hAnsi="Book Antiqua" w:cs="Arial"/>
          <w:sz w:val="24"/>
          <w:szCs w:val="24"/>
        </w:rPr>
        <w:t>05403-000, Brazil</w:t>
      </w:r>
    </w:p>
    <w:p w:rsidR="00B2210C" w:rsidRPr="004C750C" w:rsidRDefault="00B2210C" w:rsidP="004C750C">
      <w:pPr>
        <w:spacing w:after="0" w:line="360" w:lineRule="auto"/>
        <w:jc w:val="both"/>
        <w:rPr>
          <w:rFonts w:ascii="Book Antiqua" w:hAnsi="Book Antiqua" w:cs="Arial"/>
          <w:sz w:val="24"/>
          <w:szCs w:val="24"/>
          <w:lang w:eastAsia="zh-CN"/>
        </w:rPr>
      </w:pPr>
    </w:p>
    <w:p w:rsidR="00E769B0" w:rsidRPr="004C750C" w:rsidRDefault="00FE19C1" w:rsidP="004C750C">
      <w:pPr>
        <w:autoSpaceDE w:val="0"/>
        <w:autoSpaceDN w:val="0"/>
        <w:adjustRightInd w:val="0"/>
        <w:spacing w:after="0" w:line="360" w:lineRule="auto"/>
        <w:jc w:val="both"/>
        <w:rPr>
          <w:rFonts w:ascii="Book Antiqua" w:hAnsi="Book Antiqua" w:cs="Arial"/>
          <w:sz w:val="24"/>
          <w:szCs w:val="24"/>
          <w:lang w:val="en-US" w:eastAsia="pt-BR"/>
        </w:rPr>
      </w:pPr>
      <w:r w:rsidRPr="004C750C">
        <w:rPr>
          <w:rFonts w:ascii="Book Antiqua" w:hAnsi="Book Antiqua"/>
          <w:b/>
          <w:sz w:val="24"/>
          <w:szCs w:val="24"/>
          <w:lang w:val="en-US"/>
        </w:rPr>
        <w:t>Author contributions:</w:t>
      </w:r>
      <w:r w:rsidRPr="004C750C">
        <w:rPr>
          <w:rFonts w:ascii="Book Antiqua" w:hAnsi="Book Antiqua"/>
          <w:sz w:val="24"/>
          <w:szCs w:val="24"/>
          <w:lang w:val="en-US"/>
        </w:rPr>
        <w:t xml:space="preserve"> </w:t>
      </w:r>
      <w:r w:rsidR="00E769B0" w:rsidRPr="004C750C">
        <w:rPr>
          <w:rFonts w:ascii="Book Antiqua" w:hAnsi="Book Antiqua" w:cs="Arial"/>
          <w:sz w:val="24"/>
          <w:szCs w:val="24"/>
          <w:lang w:val="en-US" w:eastAsia="pt-BR"/>
        </w:rPr>
        <w:t>All authors have equally contributed to this work.</w:t>
      </w:r>
    </w:p>
    <w:p w:rsidR="00FE19C1" w:rsidRPr="004C750C" w:rsidRDefault="00FE19C1" w:rsidP="004C750C">
      <w:pPr>
        <w:spacing w:after="0" w:line="360" w:lineRule="auto"/>
        <w:jc w:val="both"/>
        <w:rPr>
          <w:rFonts w:ascii="Book Antiqua" w:hAnsi="Book Antiqua" w:cs="Arial"/>
          <w:sz w:val="24"/>
          <w:szCs w:val="24"/>
          <w:lang w:val="en-US" w:eastAsia="zh-CN"/>
        </w:rPr>
      </w:pPr>
    </w:p>
    <w:p w:rsidR="00FE19C1" w:rsidRPr="004C750C" w:rsidRDefault="00FE19C1" w:rsidP="004C750C">
      <w:pPr>
        <w:spacing w:after="0" w:line="360" w:lineRule="auto"/>
        <w:jc w:val="both"/>
        <w:rPr>
          <w:rFonts w:ascii="Book Antiqua" w:hAnsi="Book Antiqua" w:cs="Garamond"/>
          <w:sz w:val="24"/>
          <w:szCs w:val="24"/>
          <w:lang w:val="en-US"/>
        </w:rPr>
      </w:pPr>
      <w:r w:rsidRPr="004C750C">
        <w:rPr>
          <w:rFonts w:ascii="Book Antiqua" w:hAnsi="Book Antiqua" w:cs="TimesNewRomanPS-BoldItalicMT"/>
          <w:b/>
          <w:bCs/>
          <w:iCs/>
          <w:sz w:val="24"/>
          <w:szCs w:val="24"/>
          <w:lang w:val="en-US"/>
        </w:rPr>
        <w:t xml:space="preserve">Conflict-of-interest: </w:t>
      </w:r>
      <w:r w:rsidRPr="004C750C">
        <w:rPr>
          <w:rFonts w:ascii="Book Antiqua" w:hAnsi="Book Antiqua" w:cs="Arial"/>
          <w:sz w:val="24"/>
          <w:szCs w:val="24"/>
          <w:lang w:val="en-US" w:eastAsia="pt-BR"/>
        </w:rPr>
        <w:t>The authors state that there are no conflicts of interest regarding the publication of this work.</w:t>
      </w:r>
      <w:r w:rsidRPr="004C750C">
        <w:rPr>
          <w:rFonts w:ascii="Book Antiqua" w:hAnsi="Book Antiqua" w:cs="TimesNewRomanPS-BoldItalicMT"/>
          <w:b/>
          <w:bCs/>
          <w:iCs/>
          <w:sz w:val="24"/>
          <w:szCs w:val="24"/>
          <w:lang w:val="en-US"/>
        </w:rPr>
        <w:t xml:space="preserve"> </w:t>
      </w:r>
    </w:p>
    <w:p w:rsidR="00FE19C1" w:rsidRPr="004C750C" w:rsidRDefault="00FE19C1" w:rsidP="004C750C">
      <w:pPr>
        <w:spacing w:after="0" w:line="360" w:lineRule="auto"/>
        <w:jc w:val="both"/>
        <w:rPr>
          <w:rFonts w:ascii="Book Antiqua" w:hAnsi="Book Antiqua" w:cs="Arial"/>
          <w:sz w:val="24"/>
          <w:szCs w:val="24"/>
          <w:lang w:val="en-US" w:eastAsia="zh-CN"/>
        </w:rPr>
      </w:pPr>
    </w:p>
    <w:p w:rsidR="00FE19C1" w:rsidRPr="004C750C" w:rsidRDefault="00FE19C1" w:rsidP="004C750C">
      <w:pPr>
        <w:spacing w:after="0" w:line="360" w:lineRule="auto"/>
        <w:jc w:val="both"/>
        <w:rPr>
          <w:rFonts w:ascii="Book Antiqua" w:hAnsi="Book Antiqua"/>
          <w:sz w:val="24"/>
          <w:szCs w:val="24"/>
          <w:lang w:val="en-US"/>
        </w:rPr>
      </w:pPr>
      <w:bookmarkStart w:id="0" w:name="OLE_LINK507"/>
      <w:bookmarkStart w:id="1" w:name="OLE_LINK506"/>
      <w:bookmarkStart w:id="2" w:name="OLE_LINK496"/>
      <w:bookmarkStart w:id="3" w:name="OLE_LINK479"/>
      <w:r w:rsidRPr="004C750C">
        <w:rPr>
          <w:rFonts w:ascii="Book Antiqua" w:hAnsi="Book Antiqua"/>
          <w:b/>
          <w:sz w:val="24"/>
          <w:szCs w:val="24"/>
          <w:lang w:val="en-US"/>
        </w:rPr>
        <w:t xml:space="preserve">Open-Access: </w:t>
      </w:r>
      <w:r w:rsidRPr="004C750C">
        <w:rPr>
          <w:rFonts w:ascii="Book Antiqua" w:hAnsi="Book Antiqua"/>
          <w:sz w:val="24"/>
          <w:szCs w:val="24"/>
          <w:lang w:val="en-US"/>
        </w:rPr>
        <w:t xml:space="preserve">This article is an open-access article which was selected by an in-house editor and fully peer-reviewed by external reviewers. It is </w:t>
      </w:r>
      <w:r w:rsidRPr="004C750C">
        <w:rPr>
          <w:rFonts w:ascii="Book Antiqua" w:hAnsi="Book Antiqua"/>
          <w:sz w:val="24"/>
          <w:szCs w:val="24"/>
          <w:lang w:val="en-US"/>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C750C">
          <w:rPr>
            <w:rStyle w:val="Hyperlink"/>
            <w:rFonts w:ascii="Book Antiqua" w:hAnsi="Book Antiqua"/>
            <w:color w:val="auto"/>
            <w:sz w:val="24"/>
            <w:szCs w:val="24"/>
            <w:u w:val="none"/>
            <w:lang w:val="en-US"/>
          </w:rPr>
          <w:t>http://creativecommons.org/licenses/by-nc/4.0/</w:t>
        </w:r>
      </w:hyperlink>
      <w:bookmarkEnd w:id="0"/>
      <w:bookmarkEnd w:id="1"/>
      <w:bookmarkEnd w:id="2"/>
      <w:bookmarkEnd w:id="3"/>
    </w:p>
    <w:p w:rsidR="008718D6" w:rsidRPr="004C750C" w:rsidRDefault="008718D6" w:rsidP="004C750C">
      <w:pPr>
        <w:spacing w:after="0" w:line="360" w:lineRule="auto"/>
        <w:jc w:val="both"/>
        <w:rPr>
          <w:rFonts w:ascii="Book Antiqua" w:hAnsi="Book Antiqua" w:cs="Arial"/>
          <w:sz w:val="24"/>
          <w:szCs w:val="24"/>
          <w:lang w:val="en-US" w:eastAsia="zh-CN"/>
        </w:rPr>
      </w:pPr>
    </w:p>
    <w:p w:rsidR="00FE19C1" w:rsidRPr="004C750C" w:rsidRDefault="00FE19C1" w:rsidP="004C750C">
      <w:pPr>
        <w:spacing w:after="0" w:line="360" w:lineRule="auto"/>
        <w:jc w:val="both"/>
        <w:rPr>
          <w:rStyle w:val="Hyperlink"/>
          <w:rFonts w:ascii="Book Antiqua" w:hAnsi="Book Antiqua" w:cs="Arial"/>
          <w:color w:val="auto"/>
          <w:sz w:val="24"/>
          <w:szCs w:val="24"/>
          <w:u w:val="none"/>
          <w:lang w:val="en-US" w:eastAsia="zh-CN"/>
        </w:rPr>
      </w:pPr>
      <w:r w:rsidRPr="004C750C">
        <w:rPr>
          <w:rFonts w:ascii="Book Antiqua" w:hAnsi="Book Antiqua"/>
          <w:b/>
          <w:sz w:val="24"/>
          <w:szCs w:val="24"/>
          <w:lang w:val="en-US"/>
        </w:rPr>
        <w:t>Correspondence to:</w:t>
      </w:r>
      <w:r w:rsidRPr="004C750C">
        <w:rPr>
          <w:rFonts w:ascii="Book Antiqua" w:hAnsi="Book Antiqua"/>
          <w:b/>
          <w:sz w:val="24"/>
          <w:szCs w:val="24"/>
          <w:lang w:val="en-US" w:eastAsia="zh-CN"/>
        </w:rPr>
        <w:t xml:space="preserve"> </w:t>
      </w:r>
      <w:r w:rsidR="00B2210C" w:rsidRPr="004C750C">
        <w:rPr>
          <w:rFonts w:ascii="Book Antiqua" w:hAnsi="Book Antiqua" w:cs="Arial"/>
          <w:b/>
          <w:sz w:val="24"/>
          <w:szCs w:val="24"/>
          <w:lang w:val="en-US"/>
        </w:rPr>
        <w:t>Sérgio Paulo Bydlowski, MD, PhD</w:t>
      </w:r>
      <w:r w:rsidRPr="004C750C">
        <w:rPr>
          <w:rFonts w:ascii="Book Antiqua" w:hAnsi="Book Antiqua" w:cs="Arial"/>
          <w:b/>
          <w:sz w:val="24"/>
          <w:szCs w:val="24"/>
          <w:lang w:val="en-US" w:eastAsia="zh-CN"/>
        </w:rPr>
        <w:t xml:space="preserve">, </w:t>
      </w:r>
      <w:r w:rsidR="00B2210C" w:rsidRPr="004C750C">
        <w:rPr>
          <w:rFonts w:ascii="Book Antiqua" w:hAnsi="Book Antiqua" w:cs="Arial"/>
          <w:b/>
          <w:sz w:val="24"/>
          <w:szCs w:val="24"/>
          <w:lang w:val="en-US"/>
        </w:rPr>
        <w:t xml:space="preserve">Associate Professor </w:t>
      </w:r>
      <w:r w:rsidR="00B2210C" w:rsidRPr="004C750C">
        <w:rPr>
          <w:rFonts w:ascii="Book Antiqua" w:hAnsi="Book Antiqua" w:cs="Arial"/>
          <w:sz w:val="24"/>
          <w:szCs w:val="24"/>
          <w:lang w:val="en-US"/>
        </w:rPr>
        <w:t>of Hematology</w:t>
      </w:r>
      <w:r w:rsidRPr="004C750C">
        <w:rPr>
          <w:rFonts w:ascii="Book Antiqua" w:hAnsi="Book Antiqua" w:cs="Arial"/>
          <w:sz w:val="24"/>
          <w:szCs w:val="24"/>
          <w:lang w:val="en-US" w:eastAsia="zh-CN"/>
        </w:rPr>
        <w:t xml:space="preserve">, </w:t>
      </w:r>
      <w:r w:rsidR="00B2210C" w:rsidRPr="004C750C">
        <w:rPr>
          <w:rFonts w:ascii="Book Antiqua" w:hAnsi="Book Antiqua" w:cs="Arial"/>
          <w:b/>
          <w:sz w:val="24"/>
          <w:szCs w:val="24"/>
          <w:lang w:val="en-US"/>
        </w:rPr>
        <w:t>Director,</w:t>
      </w:r>
      <w:r w:rsidR="00B2210C" w:rsidRPr="004C750C">
        <w:rPr>
          <w:rFonts w:ascii="Book Antiqua" w:hAnsi="Book Antiqua" w:cs="Arial"/>
          <w:sz w:val="24"/>
          <w:szCs w:val="24"/>
          <w:lang w:val="en-US"/>
        </w:rPr>
        <w:t xml:space="preserve"> Laboratory of Genetics and Molecular Hematology (LIM-31)</w:t>
      </w:r>
      <w:r w:rsidRPr="004C750C">
        <w:rPr>
          <w:rFonts w:ascii="Book Antiqua" w:hAnsi="Book Antiqua" w:cs="Arial"/>
          <w:sz w:val="24"/>
          <w:szCs w:val="24"/>
          <w:lang w:val="en-US" w:eastAsia="zh-CN"/>
        </w:rPr>
        <w:t>,</w:t>
      </w:r>
      <w:r w:rsidR="004C750C">
        <w:rPr>
          <w:rFonts w:ascii="Book Antiqua" w:hAnsi="Book Antiqua" w:cs="Arial" w:hint="eastAsia"/>
          <w:sz w:val="24"/>
          <w:szCs w:val="24"/>
          <w:lang w:val="en-US" w:eastAsia="zh-CN"/>
        </w:rPr>
        <w:t xml:space="preserve"> </w:t>
      </w:r>
      <w:r w:rsidRPr="004C750C">
        <w:rPr>
          <w:rFonts w:ascii="Book Antiqua" w:hAnsi="Book Antiqua" w:cs="Arial"/>
          <w:sz w:val="24"/>
          <w:szCs w:val="24"/>
          <w:lang w:val="en-US"/>
        </w:rPr>
        <w:t xml:space="preserve">University of São Paulo Medical School (FMUSP), Av. </w:t>
      </w:r>
      <w:r w:rsidRPr="004C750C">
        <w:rPr>
          <w:rFonts w:ascii="Book Antiqua" w:hAnsi="Book Antiqua" w:cs="Arial"/>
          <w:sz w:val="24"/>
          <w:szCs w:val="24"/>
        </w:rPr>
        <w:t>Dr. Enéas de Carvalho Aguiar, 155, 1 andar, Sala 43</w:t>
      </w:r>
      <w:r w:rsidRPr="004C750C">
        <w:rPr>
          <w:rFonts w:ascii="Book Antiqua" w:hAnsi="Book Antiqua" w:cs="Arial"/>
          <w:sz w:val="24"/>
          <w:szCs w:val="24"/>
          <w:lang w:eastAsia="zh-CN"/>
        </w:rPr>
        <w:t>,</w:t>
      </w:r>
      <w:r w:rsidRPr="004C750C">
        <w:rPr>
          <w:rFonts w:ascii="Book Antiqua" w:hAnsi="Book Antiqua" w:cs="Arial"/>
          <w:sz w:val="24"/>
          <w:szCs w:val="24"/>
        </w:rPr>
        <w:t xml:space="preserve"> São Paulo SP</w:t>
      </w:r>
      <w:r w:rsidRPr="004C750C">
        <w:rPr>
          <w:rFonts w:ascii="Book Antiqua" w:hAnsi="Book Antiqua" w:cs="Arial"/>
          <w:sz w:val="24"/>
          <w:szCs w:val="24"/>
          <w:lang w:eastAsia="zh-CN"/>
        </w:rPr>
        <w:t xml:space="preserve"> </w:t>
      </w:r>
      <w:r w:rsidRPr="004C750C">
        <w:rPr>
          <w:rFonts w:ascii="Book Antiqua" w:hAnsi="Book Antiqua" w:cs="Arial"/>
          <w:sz w:val="24"/>
          <w:szCs w:val="24"/>
        </w:rPr>
        <w:t>05403-000, Brazil</w:t>
      </w:r>
      <w:r w:rsidRPr="004C750C">
        <w:rPr>
          <w:rFonts w:ascii="Book Antiqua" w:hAnsi="Book Antiqua" w:cs="Arial"/>
          <w:sz w:val="24"/>
          <w:szCs w:val="24"/>
          <w:lang w:eastAsia="zh-CN"/>
        </w:rPr>
        <w:t xml:space="preserve">. </w:t>
      </w:r>
      <w:hyperlink r:id="rId10" w:history="1">
        <w:r w:rsidRPr="004C750C">
          <w:rPr>
            <w:rStyle w:val="Hyperlink"/>
            <w:rFonts w:ascii="Book Antiqua" w:hAnsi="Book Antiqua" w:cs="Arial"/>
            <w:color w:val="auto"/>
            <w:sz w:val="24"/>
            <w:szCs w:val="24"/>
            <w:u w:val="none"/>
            <w:lang w:val="en-US"/>
          </w:rPr>
          <w:t>spbydlow@usp.br</w:t>
        </w:r>
      </w:hyperlink>
    </w:p>
    <w:p w:rsidR="00FE19C1" w:rsidRPr="004C750C" w:rsidRDefault="00FE19C1"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 xml:space="preserve"> </w:t>
      </w:r>
    </w:p>
    <w:p w:rsidR="00FE19C1" w:rsidRPr="004C750C" w:rsidRDefault="00FE19C1" w:rsidP="004C750C">
      <w:pPr>
        <w:spacing w:after="0" w:line="360" w:lineRule="auto"/>
        <w:jc w:val="both"/>
        <w:rPr>
          <w:rFonts w:ascii="Book Antiqua" w:hAnsi="Book Antiqua"/>
          <w:b/>
          <w:sz w:val="24"/>
          <w:szCs w:val="24"/>
          <w:lang w:val="en-US"/>
        </w:rPr>
      </w:pPr>
      <w:r w:rsidRPr="004C750C">
        <w:rPr>
          <w:rFonts w:ascii="Book Antiqua" w:hAnsi="Book Antiqua"/>
          <w:b/>
          <w:sz w:val="24"/>
          <w:szCs w:val="24"/>
          <w:lang w:val="en-US"/>
        </w:rPr>
        <w:t xml:space="preserve">Telephone: </w:t>
      </w:r>
      <w:r w:rsidRPr="004C750C">
        <w:rPr>
          <w:rFonts w:ascii="Book Antiqua" w:hAnsi="Book Antiqua" w:cs="Arial"/>
          <w:sz w:val="24"/>
          <w:szCs w:val="24"/>
          <w:lang w:val="en-US"/>
        </w:rPr>
        <w:t>+55</w:t>
      </w:r>
      <w:r w:rsidRPr="004C750C">
        <w:rPr>
          <w:rFonts w:ascii="Book Antiqua" w:hAnsi="Book Antiqua" w:cs="Arial"/>
          <w:sz w:val="24"/>
          <w:szCs w:val="24"/>
          <w:lang w:val="en-US" w:eastAsia="zh-CN"/>
        </w:rPr>
        <w:t>-</w:t>
      </w:r>
      <w:r w:rsidRPr="004C750C">
        <w:rPr>
          <w:rFonts w:ascii="Book Antiqua" w:hAnsi="Book Antiqua" w:cs="Arial"/>
          <w:sz w:val="24"/>
          <w:szCs w:val="24"/>
          <w:lang w:val="en-US"/>
        </w:rPr>
        <w:t>11</w:t>
      </w:r>
      <w:r w:rsidRPr="004C750C">
        <w:rPr>
          <w:rFonts w:ascii="Book Antiqua" w:hAnsi="Book Antiqua" w:cs="Arial"/>
          <w:sz w:val="24"/>
          <w:szCs w:val="24"/>
          <w:lang w:val="en-US" w:eastAsia="zh-CN"/>
        </w:rPr>
        <w:t>-</w:t>
      </w:r>
      <w:r w:rsidRPr="004C750C">
        <w:rPr>
          <w:rFonts w:ascii="Book Antiqua" w:hAnsi="Book Antiqua" w:cs="Arial"/>
          <w:sz w:val="24"/>
          <w:szCs w:val="24"/>
          <w:lang w:val="en-US"/>
        </w:rPr>
        <w:t>30822398</w:t>
      </w:r>
    </w:p>
    <w:p w:rsidR="00FE19C1" w:rsidRPr="004C750C" w:rsidRDefault="00FE19C1" w:rsidP="004C750C">
      <w:pPr>
        <w:spacing w:after="0" w:line="360" w:lineRule="auto"/>
        <w:jc w:val="both"/>
        <w:rPr>
          <w:rFonts w:ascii="Book Antiqua" w:hAnsi="Book Antiqua"/>
          <w:b/>
          <w:sz w:val="24"/>
          <w:szCs w:val="24"/>
          <w:lang w:val="en-US"/>
        </w:rPr>
      </w:pPr>
      <w:r w:rsidRPr="004C750C">
        <w:rPr>
          <w:rFonts w:ascii="Book Antiqua" w:hAnsi="Book Antiqua"/>
          <w:b/>
          <w:sz w:val="24"/>
          <w:szCs w:val="24"/>
          <w:lang w:val="en-US"/>
        </w:rPr>
        <w:t>Fax:</w:t>
      </w:r>
      <w:r w:rsidRPr="004C750C">
        <w:rPr>
          <w:rFonts w:ascii="Book Antiqua" w:hAnsi="Book Antiqua" w:cs="Arial"/>
          <w:sz w:val="24"/>
          <w:szCs w:val="24"/>
          <w:lang w:val="en-US"/>
        </w:rPr>
        <w:t xml:space="preserve"> +55</w:t>
      </w:r>
      <w:r w:rsidRPr="004C750C">
        <w:rPr>
          <w:rFonts w:ascii="Book Antiqua" w:hAnsi="Book Antiqua" w:cs="Arial"/>
          <w:sz w:val="24"/>
          <w:szCs w:val="24"/>
          <w:lang w:val="en-US" w:eastAsia="zh-CN"/>
        </w:rPr>
        <w:t>-</w:t>
      </w:r>
      <w:r w:rsidRPr="004C750C">
        <w:rPr>
          <w:rFonts w:ascii="Book Antiqua" w:hAnsi="Book Antiqua" w:cs="Arial"/>
          <w:sz w:val="24"/>
          <w:szCs w:val="24"/>
          <w:lang w:val="en-US"/>
        </w:rPr>
        <w:t>11</w:t>
      </w:r>
      <w:r w:rsidRPr="004C750C">
        <w:rPr>
          <w:rFonts w:ascii="Book Antiqua" w:hAnsi="Book Antiqua" w:cs="Arial"/>
          <w:sz w:val="24"/>
          <w:szCs w:val="24"/>
          <w:lang w:val="en-US" w:eastAsia="zh-CN"/>
        </w:rPr>
        <w:t>-</w:t>
      </w:r>
      <w:r w:rsidRPr="004C750C">
        <w:rPr>
          <w:rFonts w:ascii="Book Antiqua" w:hAnsi="Book Antiqua" w:cs="Arial"/>
          <w:sz w:val="24"/>
          <w:szCs w:val="24"/>
          <w:lang w:val="en-US"/>
        </w:rPr>
        <w:t>30822398</w:t>
      </w:r>
    </w:p>
    <w:p w:rsidR="008718D6" w:rsidRPr="004C750C" w:rsidRDefault="008718D6" w:rsidP="004C750C">
      <w:pPr>
        <w:spacing w:after="0" w:line="360" w:lineRule="auto"/>
        <w:jc w:val="both"/>
        <w:rPr>
          <w:rFonts w:ascii="Book Antiqua" w:hAnsi="Book Antiqua"/>
          <w:b/>
          <w:sz w:val="24"/>
          <w:szCs w:val="24"/>
          <w:lang w:val="en-US" w:eastAsia="zh-CN"/>
        </w:rPr>
      </w:pPr>
    </w:p>
    <w:p w:rsidR="008718D6" w:rsidRPr="004C750C" w:rsidRDefault="008718D6" w:rsidP="004C750C">
      <w:pPr>
        <w:spacing w:after="0" w:line="360" w:lineRule="auto"/>
        <w:jc w:val="both"/>
        <w:rPr>
          <w:rFonts w:ascii="Book Antiqua" w:hAnsi="Book Antiqua"/>
          <w:sz w:val="24"/>
          <w:szCs w:val="24"/>
          <w:lang w:val="en-US"/>
        </w:rPr>
      </w:pPr>
      <w:r w:rsidRPr="004C750C">
        <w:rPr>
          <w:rFonts w:ascii="Book Antiqua" w:hAnsi="Book Antiqua"/>
          <w:b/>
          <w:sz w:val="24"/>
          <w:szCs w:val="24"/>
          <w:lang w:val="en-US"/>
        </w:rPr>
        <w:t>Received:</w:t>
      </w:r>
      <w:r w:rsidRPr="004C750C">
        <w:rPr>
          <w:rFonts w:ascii="Book Antiqua" w:hAnsi="Book Antiqua"/>
          <w:b/>
          <w:sz w:val="24"/>
          <w:szCs w:val="24"/>
          <w:lang w:val="en-US" w:eastAsia="zh-CN"/>
        </w:rPr>
        <w:t xml:space="preserve"> </w:t>
      </w:r>
      <w:r w:rsidRPr="004C750C">
        <w:rPr>
          <w:rFonts w:ascii="Book Antiqua" w:hAnsi="Book Antiqua"/>
          <w:sz w:val="24"/>
          <w:szCs w:val="24"/>
          <w:lang w:val="en-US" w:eastAsia="zh-CN"/>
        </w:rPr>
        <w:t>October 27, 2014</w:t>
      </w:r>
      <w:r w:rsidRPr="004C750C">
        <w:rPr>
          <w:rFonts w:ascii="Book Antiqua" w:hAnsi="Book Antiqua"/>
          <w:sz w:val="24"/>
          <w:szCs w:val="24"/>
          <w:lang w:val="en-US"/>
        </w:rPr>
        <w:t xml:space="preserve"> </w:t>
      </w:r>
    </w:p>
    <w:p w:rsidR="008718D6" w:rsidRPr="004C750C" w:rsidRDefault="008718D6" w:rsidP="004C750C">
      <w:pPr>
        <w:spacing w:after="0" w:line="360" w:lineRule="auto"/>
        <w:jc w:val="both"/>
        <w:rPr>
          <w:rFonts w:ascii="Book Antiqua" w:hAnsi="Book Antiqua"/>
          <w:sz w:val="24"/>
          <w:szCs w:val="24"/>
          <w:lang w:val="en-US" w:eastAsia="zh-CN"/>
        </w:rPr>
      </w:pPr>
      <w:r w:rsidRPr="004C750C">
        <w:rPr>
          <w:rFonts w:ascii="Book Antiqua" w:hAnsi="Book Antiqua"/>
          <w:b/>
          <w:sz w:val="24"/>
          <w:szCs w:val="24"/>
          <w:lang w:val="en-US"/>
        </w:rPr>
        <w:t>Peer-review started:</w:t>
      </w:r>
      <w:r w:rsidRPr="004C750C">
        <w:rPr>
          <w:rFonts w:ascii="Book Antiqua" w:hAnsi="Book Antiqua"/>
          <w:sz w:val="24"/>
          <w:szCs w:val="24"/>
          <w:lang w:val="en-US" w:eastAsia="zh-CN"/>
        </w:rPr>
        <w:t xml:space="preserve"> October 28, 2014</w:t>
      </w:r>
      <w:r w:rsidRPr="004C750C">
        <w:rPr>
          <w:rFonts w:ascii="Book Antiqua" w:hAnsi="Book Antiqua"/>
          <w:sz w:val="24"/>
          <w:szCs w:val="24"/>
          <w:lang w:val="en-US"/>
        </w:rPr>
        <w:t xml:space="preserve"> </w:t>
      </w:r>
    </w:p>
    <w:p w:rsidR="008718D6" w:rsidRPr="004C750C" w:rsidRDefault="008718D6" w:rsidP="004C750C">
      <w:pPr>
        <w:spacing w:after="0" w:line="360" w:lineRule="auto"/>
        <w:jc w:val="both"/>
        <w:rPr>
          <w:rFonts w:ascii="Book Antiqua" w:hAnsi="Book Antiqua"/>
          <w:b/>
          <w:sz w:val="24"/>
          <w:szCs w:val="24"/>
          <w:lang w:val="en-US" w:eastAsia="zh-CN"/>
        </w:rPr>
      </w:pPr>
      <w:r w:rsidRPr="004C750C">
        <w:rPr>
          <w:rFonts w:ascii="Book Antiqua" w:hAnsi="Book Antiqua"/>
          <w:b/>
          <w:sz w:val="24"/>
          <w:szCs w:val="24"/>
          <w:lang w:val="en-US"/>
        </w:rPr>
        <w:t>First decision:</w:t>
      </w:r>
      <w:r w:rsidRPr="004C750C">
        <w:rPr>
          <w:rFonts w:ascii="Book Antiqua" w:hAnsi="Book Antiqua"/>
          <w:b/>
          <w:sz w:val="24"/>
          <w:szCs w:val="24"/>
          <w:lang w:val="en-US" w:eastAsia="zh-CN"/>
        </w:rPr>
        <w:t xml:space="preserve"> </w:t>
      </w:r>
      <w:r w:rsidRPr="004C750C">
        <w:rPr>
          <w:rFonts w:ascii="Book Antiqua" w:hAnsi="Book Antiqua"/>
          <w:sz w:val="24"/>
          <w:szCs w:val="24"/>
          <w:lang w:val="en-US" w:eastAsia="zh-CN"/>
        </w:rPr>
        <w:t>No</w:t>
      </w:r>
      <w:r w:rsidR="004C750C">
        <w:rPr>
          <w:rFonts w:ascii="Book Antiqua" w:hAnsi="Book Antiqua" w:hint="eastAsia"/>
          <w:sz w:val="24"/>
          <w:szCs w:val="24"/>
          <w:lang w:val="en-US" w:eastAsia="zh-CN"/>
        </w:rPr>
        <w:t>v</w:t>
      </w:r>
      <w:r w:rsidRPr="004C750C">
        <w:rPr>
          <w:rFonts w:ascii="Book Antiqua" w:hAnsi="Book Antiqua"/>
          <w:sz w:val="24"/>
          <w:szCs w:val="24"/>
          <w:lang w:val="en-US" w:eastAsia="zh-CN"/>
        </w:rPr>
        <w:t>ember 27, 2014</w:t>
      </w:r>
    </w:p>
    <w:p w:rsidR="008718D6" w:rsidRPr="004C750C" w:rsidRDefault="008718D6" w:rsidP="004C750C">
      <w:pPr>
        <w:spacing w:after="0" w:line="360" w:lineRule="auto"/>
        <w:jc w:val="both"/>
        <w:rPr>
          <w:rFonts w:ascii="Book Antiqua" w:hAnsi="Book Antiqua"/>
          <w:b/>
          <w:sz w:val="24"/>
          <w:szCs w:val="24"/>
          <w:lang w:val="en-US"/>
        </w:rPr>
      </w:pPr>
      <w:r w:rsidRPr="004C750C">
        <w:rPr>
          <w:rFonts w:ascii="Book Antiqua" w:hAnsi="Book Antiqua"/>
          <w:b/>
          <w:sz w:val="24"/>
          <w:szCs w:val="24"/>
          <w:lang w:val="en-US"/>
        </w:rPr>
        <w:t>Revised:</w:t>
      </w:r>
      <w:r w:rsidRPr="004C750C">
        <w:rPr>
          <w:rFonts w:ascii="Book Antiqua" w:hAnsi="Book Antiqua"/>
          <w:sz w:val="24"/>
          <w:szCs w:val="24"/>
          <w:lang w:val="en-US"/>
        </w:rPr>
        <w:t xml:space="preserve"> </w:t>
      </w:r>
      <w:r w:rsidR="004C750C">
        <w:rPr>
          <w:rFonts w:ascii="Book Antiqua" w:hAnsi="Book Antiqua" w:hint="eastAsia"/>
          <w:sz w:val="24"/>
          <w:szCs w:val="24"/>
          <w:lang w:val="en-US" w:eastAsia="zh-CN"/>
        </w:rPr>
        <w:t>February 9</w:t>
      </w:r>
      <w:r w:rsidRPr="004C750C">
        <w:rPr>
          <w:rFonts w:ascii="Book Antiqua" w:hAnsi="Book Antiqua"/>
          <w:sz w:val="24"/>
          <w:szCs w:val="24"/>
          <w:lang w:val="en-US" w:eastAsia="zh-CN"/>
        </w:rPr>
        <w:t>, 2015</w:t>
      </w:r>
      <w:r w:rsidRPr="004C750C">
        <w:rPr>
          <w:rFonts w:ascii="Book Antiqua" w:hAnsi="Book Antiqua"/>
          <w:sz w:val="24"/>
          <w:szCs w:val="24"/>
          <w:lang w:val="en-US"/>
        </w:rPr>
        <w:t xml:space="preserve"> </w:t>
      </w:r>
      <w:bookmarkStart w:id="4" w:name="_GoBack"/>
      <w:bookmarkEnd w:id="4"/>
    </w:p>
    <w:p w:rsidR="008718D6" w:rsidRPr="004C750C" w:rsidRDefault="008718D6" w:rsidP="004C750C">
      <w:pPr>
        <w:spacing w:after="0" w:line="360" w:lineRule="auto"/>
        <w:jc w:val="both"/>
        <w:rPr>
          <w:rFonts w:ascii="Book Antiqua" w:hAnsi="Book Antiqua"/>
          <w:b/>
          <w:sz w:val="24"/>
          <w:szCs w:val="24"/>
          <w:lang w:val="en-US"/>
        </w:rPr>
      </w:pPr>
      <w:r w:rsidRPr="004C750C">
        <w:rPr>
          <w:rFonts w:ascii="Book Antiqua" w:hAnsi="Book Antiqua"/>
          <w:b/>
          <w:sz w:val="24"/>
          <w:szCs w:val="24"/>
          <w:lang w:val="en-US"/>
        </w:rPr>
        <w:t xml:space="preserve">Accepted: </w:t>
      </w:r>
      <w:r w:rsidR="00D34022" w:rsidRPr="00D34022">
        <w:rPr>
          <w:rFonts w:ascii="Book Antiqua" w:hAnsi="Book Antiqua"/>
          <w:sz w:val="24"/>
          <w:szCs w:val="24"/>
          <w:lang w:val="en-US"/>
        </w:rPr>
        <w:t>March 5, 2015</w:t>
      </w:r>
    </w:p>
    <w:p w:rsidR="008718D6" w:rsidRPr="004C750C" w:rsidRDefault="008718D6" w:rsidP="004C750C">
      <w:pPr>
        <w:spacing w:after="0" w:line="360" w:lineRule="auto"/>
        <w:jc w:val="both"/>
        <w:rPr>
          <w:rFonts w:ascii="Book Antiqua" w:hAnsi="Book Antiqua"/>
          <w:b/>
          <w:sz w:val="24"/>
          <w:szCs w:val="24"/>
          <w:lang w:val="en-US"/>
        </w:rPr>
      </w:pPr>
      <w:r w:rsidRPr="004C750C">
        <w:rPr>
          <w:rFonts w:ascii="Book Antiqua" w:hAnsi="Book Antiqua"/>
          <w:b/>
          <w:sz w:val="24"/>
          <w:szCs w:val="24"/>
          <w:lang w:val="en-US"/>
        </w:rPr>
        <w:t>Article in press:</w:t>
      </w:r>
    </w:p>
    <w:p w:rsidR="008718D6" w:rsidRPr="004C750C" w:rsidRDefault="008718D6" w:rsidP="004C750C">
      <w:pPr>
        <w:spacing w:after="0" w:line="360" w:lineRule="auto"/>
        <w:jc w:val="both"/>
        <w:rPr>
          <w:rFonts w:ascii="Book Antiqua" w:hAnsi="Book Antiqua"/>
          <w:b/>
          <w:sz w:val="24"/>
          <w:szCs w:val="24"/>
          <w:lang w:val="en-US"/>
        </w:rPr>
      </w:pPr>
      <w:r w:rsidRPr="004C750C">
        <w:rPr>
          <w:rFonts w:ascii="Book Antiqua" w:hAnsi="Book Antiqua"/>
          <w:b/>
          <w:sz w:val="24"/>
          <w:szCs w:val="24"/>
          <w:lang w:val="en-US"/>
        </w:rPr>
        <w:t xml:space="preserve">Published online: </w:t>
      </w:r>
    </w:p>
    <w:p w:rsidR="00E2639F" w:rsidRPr="004C750C" w:rsidRDefault="00E2639F" w:rsidP="004C750C">
      <w:pPr>
        <w:spacing w:after="0" w:line="360" w:lineRule="auto"/>
        <w:jc w:val="both"/>
        <w:rPr>
          <w:rFonts w:ascii="Book Antiqua" w:hAnsi="Book Antiqua" w:cs="Arial"/>
          <w:sz w:val="24"/>
          <w:szCs w:val="24"/>
          <w:lang w:val="en-US" w:eastAsia="zh-CN"/>
        </w:rPr>
      </w:pPr>
    </w:p>
    <w:p w:rsidR="002B34C0" w:rsidRPr="004C750C" w:rsidRDefault="002B34C0"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Abstract</w:t>
      </w:r>
    </w:p>
    <w:p w:rsidR="00B81D32" w:rsidRPr="004C750C" w:rsidRDefault="00B81D32" w:rsidP="004C750C">
      <w:pPr>
        <w:pStyle w:val="Heading2"/>
        <w:spacing w:before="0" w:beforeAutospacing="0" w:after="0" w:afterAutospacing="0" w:line="360" w:lineRule="auto"/>
        <w:jc w:val="both"/>
        <w:textAlignment w:val="baseline"/>
        <w:rPr>
          <w:rFonts w:ascii="Book Antiqua" w:hAnsi="Book Antiqua" w:cs="Arial"/>
          <w:b w:val="0"/>
          <w:sz w:val="24"/>
          <w:szCs w:val="24"/>
          <w:lang w:val="en-US"/>
        </w:rPr>
      </w:pPr>
      <w:r w:rsidRPr="004C750C">
        <w:rPr>
          <w:rFonts w:ascii="Book Antiqua" w:hAnsi="Book Antiqua" w:cs="Arial"/>
          <w:b w:val="0"/>
          <w:sz w:val="24"/>
          <w:szCs w:val="24"/>
          <w:lang w:val="en-US"/>
        </w:rPr>
        <w:t xml:space="preserve">For </w:t>
      </w:r>
      <w:r w:rsidR="004C750C" w:rsidRPr="004C750C">
        <w:rPr>
          <w:rFonts w:ascii="Book Antiqua" w:hAnsi="Book Antiqua"/>
          <w:b w:val="0"/>
          <w:sz w:val="24"/>
          <w:szCs w:val="24"/>
          <w:lang w:val="en-US"/>
        </w:rPr>
        <w:t>human immunodeficiency virus</w:t>
      </w:r>
      <w:r w:rsidR="004C750C" w:rsidRPr="004C750C">
        <w:rPr>
          <w:rFonts w:ascii="Book Antiqua" w:hAnsi="Book Antiqua" w:cs="Arial"/>
          <w:b w:val="0"/>
          <w:sz w:val="24"/>
          <w:szCs w:val="24"/>
          <w:lang w:val="en-US"/>
        </w:rPr>
        <w:t xml:space="preserve"> </w:t>
      </w:r>
      <w:r w:rsidR="004C750C" w:rsidRPr="004C750C">
        <w:rPr>
          <w:rFonts w:ascii="Book Antiqua" w:eastAsiaTheme="minorEastAsia" w:hAnsi="Book Antiqua" w:cs="Arial"/>
          <w:b w:val="0"/>
          <w:sz w:val="24"/>
          <w:szCs w:val="24"/>
          <w:lang w:val="en-US" w:eastAsia="zh-CN"/>
        </w:rPr>
        <w:t>(</w:t>
      </w:r>
      <w:r w:rsidRPr="004C750C">
        <w:rPr>
          <w:rFonts w:ascii="Book Antiqua" w:hAnsi="Book Antiqua" w:cs="Arial"/>
          <w:b w:val="0"/>
          <w:sz w:val="24"/>
          <w:szCs w:val="24"/>
          <w:lang w:val="en-US"/>
        </w:rPr>
        <w:t>HIV</w:t>
      </w:r>
      <w:r w:rsidR="004C750C" w:rsidRPr="004C750C">
        <w:rPr>
          <w:rFonts w:ascii="Book Antiqua" w:eastAsiaTheme="minorEastAsia" w:hAnsi="Book Antiqua" w:cs="Arial"/>
          <w:b w:val="0"/>
          <w:sz w:val="24"/>
          <w:szCs w:val="24"/>
          <w:lang w:val="en-US" w:eastAsia="zh-CN"/>
        </w:rPr>
        <w:t>)</w:t>
      </w:r>
      <w:r w:rsidRPr="004C750C">
        <w:rPr>
          <w:rFonts w:ascii="Book Antiqua" w:hAnsi="Book Antiqua" w:cs="Arial"/>
          <w:b w:val="0"/>
          <w:sz w:val="24"/>
          <w:szCs w:val="24"/>
          <w:lang w:val="en-US"/>
        </w:rPr>
        <w:t xml:space="preserve">-infected patients, the 1990s were marked by the introduction of highly active antiretroviral therapy (HAART) representing a new perspective of life for these patients. The use of HAART was shown to effectively suppress the replication of HIV-1 and dramatically reduce mortality and morbidity, which led to a better and longer quality of life for HIV-1-infected patients. Apart from the </w:t>
      </w:r>
      <w:r w:rsidR="002E4A08" w:rsidRPr="004C750C">
        <w:rPr>
          <w:rFonts w:ascii="Book Antiqua" w:hAnsi="Book Antiqua" w:cs="Arial"/>
          <w:b w:val="0"/>
          <w:sz w:val="24"/>
          <w:szCs w:val="24"/>
          <w:lang w:val="en-US"/>
        </w:rPr>
        <w:t xml:space="preserve">substantial </w:t>
      </w:r>
      <w:r w:rsidRPr="004C750C">
        <w:rPr>
          <w:rFonts w:ascii="Book Antiqua" w:hAnsi="Book Antiqua" w:cs="Arial"/>
          <w:b w:val="0"/>
          <w:sz w:val="24"/>
          <w:szCs w:val="24"/>
          <w:lang w:val="en-US"/>
        </w:rPr>
        <w:t>benefits</w:t>
      </w:r>
      <w:r w:rsidR="00421EDC" w:rsidRPr="004C750C">
        <w:rPr>
          <w:rFonts w:ascii="Book Antiqua" w:hAnsi="Book Antiqua" w:cs="Arial"/>
          <w:b w:val="0"/>
          <w:sz w:val="24"/>
          <w:szCs w:val="24"/>
          <w:lang w:val="en-US"/>
        </w:rPr>
        <w:t xml:space="preserve"> that result</w:t>
      </w:r>
      <w:r w:rsidR="002E4A08" w:rsidRPr="004C750C">
        <w:rPr>
          <w:rFonts w:ascii="Book Antiqua" w:hAnsi="Book Antiqua" w:cs="Arial"/>
          <w:b w:val="0"/>
          <w:sz w:val="24"/>
          <w:szCs w:val="24"/>
          <w:lang w:val="en-US"/>
        </w:rPr>
        <w:t xml:space="preserve"> from</w:t>
      </w:r>
      <w:r w:rsidRPr="004C750C">
        <w:rPr>
          <w:rFonts w:ascii="Book Antiqua" w:hAnsi="Book Antiqua" w:cs="Arial"/>
          <w:b w:val="0"/>
          <w:sz w:val="24"/>
          <w:szCs w:val="24"/>
          <w:lang w:val="en-US"/>
        </w:rPr>
        <w:t xml:space="preserve"> the use of </w:t>
      </w:r>
      <w:r w:rsidR="002E4A08" w:rsidRPr="004C750C">
        <w:rPr>
          <w:rFonts w:ascii="Book Antiqua" w:hAnsi="Book Antiqua" w:cs="Arial"/>
          <w:b w:val="0"/>
          <w:sz w:val="24"/>
          <w:szCs w:val="24"/>
          <w:lang w:val="en-US"/>
        </w:rPr>
        <w:t>various</w:t>
      </w:r>
      <w:r w:rsidRPr="004C750C">
        <w:rPr>
          <w:rFonts w:ascii="Book Antiqua" w:hAnsi="Book Antiqua" w:cs="Arial"/>
          <w:b w:val="0"/>
          <w:sz w:val="24"/>
          <w:szCs w:val="24"/>
          <w:lang w:val="en-US"/>
        </w:rPr>
        <w:t xml:space="preserve"> HAART regimens, laboratory and clinical experience has shown that HAART can induce severe and considerable adverse effects </w:t>
      </w:r>
      <w:r w:rsidR="00203783" w:rsidRPr="004C750C">
        <w:rPr>
          <w:rFonts w:ascii="Book Antiqua" w:hAnsi="Book Antiqua" w:cs="Arial"/>
          <w:b w:val="0"/>
          <w:sz w:val="24"/>
          <w:szCs w:val="24"/>
          <w:lang w:val="en-US"/>
        </w:rPr>
        <w:t xml:space="preserve">related to </w:t>
      </w:r>
      <w:r w:rsidRPr="004C750C">
        <w:rPr>
          <w:rFonts w:ascii="Book Antiqua" w:hAnsi="Book Antiqua" w:cs="Arial"/>
          <w:b w:val="0"/>
          <w:sz w:val="24"/>
          <w:szCs w:val="24"/>
          <w:lang w:val="en-US"/>
        </w:rPr>
        <w:t>metabolic complications of lipid metabolism, characterized by signs of lipodystrophy, insulin resistance, central adiposity, dyslipidemia, increased risk of cardiovascular disease and even an increased risk of atherosclerosis. New drugs are being studied, new therapeutic strategies are being implemented, and the use of statins, fibrates</w:t>
      </w:r>
      <w:r w:rsidR="00CD542C" w:rsidRPr="004C750C">
        <w:rPr>
          <w:rFonts w:ascii="Book Antiqua" w:hAnsi="Book Antiqua" w:cs="Arial"/>
          <w:b w:val="0"/>
          <w:sz w:val="24"/>
          <w:szCs w:val="24"/>
          <w:lang w:val="en-US"/>
        </w:rPr>
        <w:t>,</w:t>
      </w:r>
      <w:r w:rsidRPr="004C750C">
        <w:rPr>
          <w:rFonts w:ascii="Book Antiqua" w:hAnsi="Book Antiqua" w:cs="Arial"/>
          <w:b w:val="0"/>
          <w:sz w:val="24"/>
          <w:szCs w:val="24"/>
          <w:lang w:val="en-US"/>
        </w:rPr>
        <w:t xml:space="preserve"> and inhibit</w:t>
      </w:r>
      <w:r w:rsidR="00537E68" w:rsidRPr="004C750C">
        <w:rPr>
          <w:rFonts w:ascii="Book Antiqua" w:hAnsi="Book Antiqua" w:cs="Arial"/>
          <w:b w:val="0"/>
          <w:sz w:val="24"/>
          <w:szCs w:val="24"/>
          <w:lang w:val="en-US"/>
        </w:rPr>
        <w:t>ors</w:t>
      </w:r>
      <w:r w:rsidR="00203783" w:rsidRPr="004C750C">
        <w:rPr>
          <w:rFonts w:ascii="Book Antiqua" w:hAnsi="Book Antiqua" w:cs="Arial"/>
          <w:b w:val="0"/>
          <w:sz w:val="24"/>
          <w:szCs w:val="24"/>
          <w:lang w:val="en-US"/>
        </w:rPr>
        <w:t xml:space="preserve"> of</w:t>
      </w:r>
      <w:r w:rsidRPr="004C750C">
        <w:rPr>
          <w:rFonts w:ascii="Book Antiqua" w:hAnsi="Book Antiqua" w:cs="Arial"/>
          <w:b w:val="0"/>
          <w:sz w:val="24"/>
          <w:szCs w:val="24"/>
          <w:lang w:val="en-US"/>
        </w:rPr>
        <w:t xml:space="preserve"> intestinal cholesterol absorption have been effective alternatives. Changes in diet and lifestyle have </w:t>
      </w:r>
      <w:r w:rsidR="00203783" w:rsidRPr="004C750C">
        <w:rPr>
          <w:rFonts w:ascii="Book Antiqua" w:hAnsi="Book Antiqua" w:cs="Arial"/>
          <w:b w:val="0"/>
          <w:sz w:val="24"/>
          <w:szCs w:val="24"/>
          <w:lang w:val="en-US"/>
        </w:rPr>
        <w:t xml:space="preserve">also </w:t>
      </w:r>
      <w:r w:rsidRPr="004C750C">
        <w:rPr>
          <w:rFonts w:ascii="Book Antiqua" w:hAnsi="Book Antiqua" w:cs="Arial"/>
          <w:b w:val="0"/>
          <w:sz w:val="24"/>
          <w:szCs w:val="24"/>
          <w:lang w:val="en-US"/>
        </w:rPr>
        <w:t>shown satisfactory results.</w:t>
      </w:r>
    </w:p>
    <w:p w:rsidR="00B2210C" w:rsidRPr="004C750C" w:rsidRDefault="00B2210C" w:rsidP="004C750C">
      <w:pPr>
        <w:spacing w:after="0" w:line="360" w:lineRule="auto"/>
        <w:jc w:val="both"/>
        <w:rPr>
          <w:rFonts w:ascii="Book Antiqua" w:hAnsi="Book Antiqua" w:cs="Arial"/>
          <w:sz w:val="24"/>
          <w:szCs w:val="24"/>
          <w:lang w:val="en-US"/>
        </w:rPr>
      </w:pPr>
    </w:p>
    <w:p w:rsidR="00B2210C" w:rsidRPr="004C750C" w:rsidRDefault="00B2210C"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Key</w:t>
      </w:r>
      <w:r w:rsidR="008718D6" w:rsidRPr="004C750C">
        <w:rPr>
          <w:rFonts w:ascii="Book Antiqua" w:hAnsi="Book Antiqua" w:cs="Arial"/>
          <w:b/>
          <w:sz w:val="24"/>
          <w:szCs w:val="24"/>
          <w:lang w:val="en-US" w:eastAsia="zh-CN"/>
        </w:rPr>
        <w:t xml:space="preserve"> </w:t>
      </w:r>
      <w:r w:rsidRPr="004C750C">
        <w:rPr>
          <w:rFonts w:ascii="Book Antiqua" w:hAnsi="Book Antiqua" w:cs="Arial"/>
          <w:b/>
          <w:sz w:val="24"/>
          <w:szCs w:val="24"/>
          <w:lang w:val="en-US"/>
        </w:rPr>
        <w:t>words:</w:t>
      </w:r>
      <w:r w:rsidR="008718D6" w:rsidRPr="004C750C">
        <w:rPr>
          <w:rFonts w:ascii="Book Antiqua" w:hAnsi="Book Antiqua" w:cs="Arial"/>
          <w:sz w:val="24"/>
          <w:szCs w:val="24"/>
          <w:lang w:val="en-US" w:eastAsia="zh-CN"/>
        </w:rPr>
        <w:t xml:space="preserve"> </w:t>
      </w:r>
      <w:r w:rsidR="004C750C" w:rsidRPr="004C750C">
        <w:rPr>
          <w:rFonts w:ascii="Book Antiqua" w:eastAsia="Times New Roman" w:hAnsi="Book Antiqua"/>
          <w:sz w:val="24"/>
          <w:szCs w:val="24"/>
          <w:lang w:val="en-US"/>
        </w:rPr>
        <w:t>Human immunodeficiency virus</w:t>
      </w:r>
      <w:r w:rsidRPr="004C750C">
        <w:rPr>
          <w:rFonts w:ascii="Book Antiqua" w:eastAsia="Arial Unicode MS" w:hAnsi="Book Antiqua" w:cs="Arial"/>
          <w:sz w:val="24"/>
          <w:szCs w:val="24"/>
          <w:bdr w:val="none" w:sz="0" w:space="0" w:color="auto" w:frame="1"/>
          <w:lang w:val="en-US" w:eastAsia="pt-BR"/>
        </w:rPr>
        <w:t>-1 infection</w:t>
      </w:r>
      <w:r w:rsidR="008718D6" w:rsidRPr="004C750C">
        <w:rPr>
          <w:rFonts w:ascii="Book Antiqua" w:eastAsia="Arial Unicode MS" w:hAnsi="Book Antiqua" w:cs="Arial"/>
          <w:sz w:val="24"/>
          <w:szCs w:val="24"/>
          <w:bdr w:val="none" w:sz="0" w:space="0" w:color="auto" w:frame="1"/>
          <w:lang w:val="en-US" w:eastAsia="zh-CN"/>
        </w:rPr>
        <w:t>;</w:t>
      </w:r>
      <w:r w:rsidRPr="004C750C">
        <w:rPr>
          <w:rFonts w:ascii="Book Antiqua" w:eastAsia="Arial Unicode MS" w:hAnsi="Book Antiqua" w:cs="Arial"/>
          <w:sz w:val="24"/>
          <w:szCs w:val="24"/>
          <w:bdr w:val="none" w:sz="0" w:space="0" w:color="auto" w:frame="1"/>
          <w:lang w:val="en-US" w:eastAsia="pt-BR"/>
        </w:rPr>
        <w:t xml:space="preserve"> </w:t>
      </w:r>
      <w:r w:rsidR="008718D6" w:rsidRPr="004C750C">
        <w:rPr>
          <w:rFonts w:ascii="Book Antiqua" w:eastAsia="Arial Unicode MS" w:hAnsi="Book Antiqua" w:cs="Arial"/>
          <w:sz w:val="24"/>
          <w:szCs w:val="24"/>
          <w:bdr w:val="none" w:sz="0" w:space="0" w:color="auto" w:frame="1"/>
          <w:lang w:val="en-US" w:eastAsia="pt-BR"/>
        </w:rPr>
        <w:t>H</w:t>
      </w:r>
      <w:r w:rsidRPr="004C750C">
        <w:rPr>
          <w:rFonts w:ascii="Book Antiqua" w:eastAsia="Arial Unicode MS" w:hAnsi="Book Antiqua" w:cs="Arial"/>
          <w:sz w:val="24"/>
          <w:szCs w:val="24"/>
          <w:bdr w:val="none" w:sz="0" w:space="0" w:color="auto" w:frame="1"/>
          <w:lang w:val="en-US" w:eastAsia="pt-BR"/>
        </w:rPr>
        <w:t>ighly active antiretroviral therapy</w:t>
      </w:r>
      <w:r w:rsidR="008718D6" w:rsidRPr="004C750C">
        <w:rPr>
          <w:rFonts w:ascii="Book Antiqua" w:eastAsia="Arial Unicode MS" w:hAnsi="Book Antiqua" w:cs="Arial"/>
          <w:sz w:val="24"/>
          <w:szCs w:val="24"/>
          <w:bdr w:val="none" w:sz="0" w:space="0" w:color="auto" w:frame="1"/>
          <w:lang w:val="en-US" w:eastAsia="zh-CN"/>
        </w:rPr>
        <w:t>;</w:t>
      </w:r>
      <w:r w:rsidRPr="004C750C">
        <w:rPr>
          <w:rFonts w:ascii="Book Antiqua" w:eastAsia="Arial Unicode MS" w:hAnsi="Book Antiqua" w:cs="Arial"/>
          <w:sz w:val="24"/>
          <w:szCs w:val="24"/>
          <w:bdr w:val="none" w:sz="0" w:space="0" w:color="auto" w:frame="1"/>
          <w:lang w:val="en-US" w:eastAsia="pt-BR"/>
        </w:rPr>
        <w:t xml:space="preserve"> </w:t>
      </w:r>
      <w:r w:rsidR="008718D6" w:rsidRPr="004C750C">
        <w:rPr>
          <w:rFonts w:ascii="Book Antiqua" w:eastAsia="Arial Unicode MS" w:hAnsi="Book Antiqua" w:cs="Arial"/>
          <w:sz w:val="24"/>
          <w:szCs w:val="24"/>
          <w:bdr w:val="none" w:sz="0" w:space="0" w:color="auto" w:frame="1"/>
          <w:lang w:val="en-US" w:eastAsia="pt-BR"/>
        </w:rPr>
        <w:t>P</w:t>
      </w:r>
      <w:r w:rsidRPr="004C750C">
        <w:rPr>
          <w:rFonts w:ascii="Book Antiqua" w:eastAsia="Arial Unicode MS" w:hAnsi="Book Antiqua" w:cs="Arial"/>
          <w:sz w:val="24"/>
          <w:szCs w:val="24"/>
          <w:bdr w:val="none" w:sz="0" w:space="0" w:color="auto" w:frame="1"/>
          <w:lang w:val="en-US" w:eastAsia="pt-BR"/>
        </w:rPr>
        <w:t xml:space="preserve">rotease inhibitors; </w:t>
      </w:r>
      <w:r w:rsidR="008718D6" w:rsidRPr="004C750C">
        <w:rPr>
          <w:rFonts w:ascii="Book Antiqua" w:hAnsi="Book Antiqua" w:cs="Arial"/>
          <w:sz w:val="24"/>
          <w:szCs w:val="24"/>
          <w:lang w:val="en-US"/>
        </w:rPr>
        <w:t>D</w:t>
      </w:r>
      <w:r w:rsidRPr="004C750C">
        <w:rPr>
          <w:rFonts w:ascii="Book Antiqua" w:hAnsi="Book Antiqua" w:cs="Arial"/>
          <w:sz w:val="24"/>
          <w:szCs w:val="24"/>
          <w:lang w:val="en-US"/>
        </w:rPr>
        <w:t>yslipidemia</w:t>
      </w:r>
      <w:r w:rsidR="008718D6" w:rsidRPr="004C750C">
        <w:rPr>
          <w:rFonts w:ascii="Book Antiqua" w:hAnsi="Book Antiqua" w:cs="Arial"/>
          <w:sz w:val="24"/>
          <w:szCs w:val="24"/>
          <w:lang w:val="en-US" w:eastAsia="zh-CN"/>
        </w:rPr>
        <w:t>;</w:t>
      </w:r>
      <w:r w:rsidRPr="004C750C">
        <w:rPr>
          <w:rFonts w:ascii="Book Antiqua" w:hAnsi="Book Antiqua" w:cs="Arial"/>
          <w:sz w:val="24"/>
          <w:szCs w:val="24"/>
          <w:lang w:val="en-US"/>
        </w:rPr>
        <w:t xml:space="preserve"> </w:t>
      </w:r>
      <w:r w:rsidR="008718D6" w:rsidRPr="004C750C">
        <w:rPr>
          <w:rFonts w:ascii="Book Antiqua" w:hAnsi="Book Antiqua" w:cs="Arial"/>
          <w:sz w:val="24"/>
          <w:szCs w:val="24"/>
          <w:lang w:val="en-US"/>
        </w:rPr>
        <w:t>A</w:t>
      </w:r>
      <w:r w:rsidRPr="004C750C">
        <w:rPr>
          <w:rFonts w:ascii="Book Antiqua" w:hAnsi="Book Antiqua" w:cs="Arial"/>
          <w:sz w:val="24"/>
          <w:szCs w:val="24"/>
          <w:lang w:val="en-US"/>
        </w:rPr>
        <w:t>therosclerosis</w:t>
      </w:r>
      <w:r w:rsidR="008718D6" w:rsidRPr="004C750C">
        <w:rPr>
          <w:rFonts w:ascii="Book Antiqua" w:hAnsi="Book Antiqua" w:cs="Arial"/>
          <w:sz w:val="24"/>
          <w:szCs w:val="24"/>
          <w:lang w:val="en-US" w:eastAsia="zh-CN"/>
        </w:rPr>
        <w:t>;</w:t>
      </w:r>
      <w:r w:rsidRPr="004C750C">
        <w:rPr>
          <w:rFonts w:ascii="Book Antiqua" w:hAnsi="Book Antiqua" w:cs="Arial"/>
          <w:sz w:val="24"/>
          <w:szCs w:val="24"/>
          <w:lang w:val="en-US"/>
        </w:rPr>
        <w:t xml:space="preserve"> </w:t>
      </w:r>
      <w:r w:rsidR="008718D6" w:rsidRPr="004C750C">
        <w:rPr>
          <w:rFonts w:ascii="Book Antiqua" w:hAnsi="Book Antiqua" w:cs="Arial"/>
          <w:sz w:val="24"/>
          <w:szCs w:val="24"/>
          <w:lang w:val="en-US"/>
        </w:rPr>
        <w:t>L</w:t>
      </w:r>
      <w:r w:rsidRPr="004C750C">
        <w:rPr>
          <w:rFonts w:ascii="Book Antiqua" w:hAnsi="Book Antiqua" w:cs="Arial"/>
          <w:sz w:val="24"/>
          <w:szCs w:val="24"/>
          <w:lang w:val="en-US"/>
        </w:rPr>
        <w:t>ipodystrophy</w:t>
      </w:r>
      <w:r w:rsidR="008718D6" w:rsidRPr="004C750C">
        <w:rPr>
          <w:rFonts w:ascii="Book Antiqua" w:hAnsi="Book Antiqua" w:cs="Arial"/>
          <w:sz w:val="24"/>
          <w:szCs w:val="24"/>
          <w:lang w:val="en-US" w:eastAsia="zh-CN"/>
        </w:rPr>
        <w:t>;</w:t>
      </w:r>
      <w:r w:rsidRPr="004C750C">
        <w:rPr>
          <w:rFonts w:ascii="Book Antiqua" w:hAnsi="Book Antiqua" w:cs="Arial"/>
          <w:sz w:val="24"/>
          <w:szCs w:val="24"/>
          <w:lang w:val="en-US"/>
        </w:rPr>
        <w:t xml:space="preserve"> </w:t>
      </w:r>
      <w:r w:rsidR="008718D6" w:rsidRPr="004C750C">
        <w:rPr>
          <w:rFonts w:ascii="Book Antiqua" w:hAnsi="Book Antiqua" w:cs="Arial"/>
          <w:sz w:val="24"/>
          <w:szCs w:val="24"/>
          <w:lang w:val="en-US"/>
        </w:rPr>
        <w:t>S</w:t>
      </w:r>
      <w:r w:rsidRPr="004C750C">
        <w:rPr>
          <w:rFonts w:ascii="Book Antiqua" w:hAnsi="Book Antiqua" w:cs="Arial"/>
          <w:sz w:val="24"/>
          <w:szCs w:val="24"/>
          <w:lang w:val="en-US"/>
        </w:rPr>
        <w:t>tatins</w:t>
      </w:r>
      <w:r w:rsidR="008718D6" w:rsidRPr="004C750C">
        <w:rPr>
          <w:rFonts w:ascii="Book Antiqua" w:hAnsi="Book Antiqua" w:cs="Arial"/>
          <w:sz w:val="24"/>
          <w:szCs w:val="24"/>
          <w:lang w:val="en-US" w:eastAsia="zh-CN"/>
        </w:rPr>
        <w:t>;</w:t>
      </w:r>
      <w:r w:rsidRPr="004C750C">
        <w:rPr>
          <w:rFonts w:ascii="Book Antiqua" w:hAnsi="Book Antiqua" w:cs="Arial"/>
          <w:sz w:val="24"/>
          <w:szCs w:val="24"/>
          <w:lang w:val="en-US"/>
        </w:rPr>
        <w:t xml:space="preserve"> </w:t>
      </w:r>
      <w:r w:rsidR="008718D6" w:rsidRPr="004C750C">
        <w:rPr>
          <w:rFonts w:ascii="Book Antiqua" w:hAnsi="Book Antiqua" w:cs="Arial"/>
          <w:sz w:val="24"/>
          <w:szCs w:val="24"/>
          <w:lang w:val="en-US"/>
        </w:rPr>
        <w:t>F</w:t>
      </w:r>
      <w:r w:rsidRPr="004C750C">
        <w:rPr>
          <w:rFonts w:ascii="Book Antiqua" w:hAnsi="Book Antiqua" w:cs="Arial"/>
          <w:sz w:val="24"/>
          <w:szCs w:val="24"/>
          <w:lang w:val="en-US"/>
        </w:rPr>
        <w:t>ibrates</w:t>
      </w:r>
      <w:r w:rsidR="008718D6" w:rsidRPr="004C750C">
        <w:rPr>
          <w:rFonts w:ascii="Book Antiqua" w:hAnsi="Book Antiqua" w:cs="Arial"/>
          <w:sz w:val="24"/>
          <w:szCs w:val="24"/>
          <w:lang w:val="en-US" w:eastAsia="zh-CN"/>
        </w:rPr>
        <w:t>;</w:t>
      </w:r>
      <w:r w:rsidRPr="004C750C">
        <w:rPr>
          <w:rFonts w:ascii="Book Antiqua" w:hAnsi="Book Antiqua" w:cs="Arial"/>
          <w:sz w:val="24"/>
          <w:szCs w:val="24"/>
          <w:lang w:val="en-US"/>
        </w:rPr>
        <w:t xml:space="preserve"> </w:t>
      </w:r>
      <w:r w:rsidR="008718D6" w:rsidRPr="004C750C">
        <w:rPr>
          <w:rFonts w:ascii="Book Antiqua" w:hAnsi="Book Antiqua" w:cs="Arial"/>
          <w:sz w:val="24"/>
          <w:szCs w:val="24"/>
          <w:lang w:val="en-US"/>
        </w:rPr>
        <w:t>D</w:t>
      </w:r>
      <w:r w:rsidRPr="004C750C">
        <w:rPr>
          <w:rFonts w:ascii="Book Antiqua" w:hAnsi="Book Antiqua" w:cs="Arial"/>
          <w:sz w:val="24"/>
          <w:szCs w:val="24"/>
          <w:lang w:val="en-US"/>
        </w:rPr>
        <w:t>iet</w:t>
      </w:r>
      <w:r w:rsidR="008718D6" w:rsidRPr="004C750C">
        <w:rPr>
          <w:rFonts w:ascii="Book Antiqua" w:hAnsi="Book Antiqua" w:cs="Arial"/>
          <w:sz w:val="24"/>
          <w:szCs w:val="24"/>
          <w:lang w:val="en-US" w:eastAsia="zh-CN"/>
        </w:rPr>
        <w:t>;</w:t>
      </w:r>
      <w:r w:rsidRPr="004C750C">
        <w:rPr>
          <w:rFonts w:ascii="Book Antiqua" w:hAnsi="Book Antiqua" w:cs="Arial"/>
          <w:sz w:val="24"/>
          <w:szCs w:val="24"/>
          <w:lang w:val="en-US"/>
        </w:rPr>
        <w:t xml:space="preserve"> </w:t>
      </w:r>
      <w:r w:rsidR="008718D6" w:rsidRPr="004C750C">
        <w:rPr>
          <w:rFonts w:ascii="Book Antiqua" w:hAnsi="Book Antiqua" w:cs="Arial"/>
          <w:sz w:val="24"/>
          <w:szCs w:val="24"/>
          <w:lang w:val="en-US"/>
        </w:rPr>
        <w:t>L</w:t>
      </w:r>
      <w:r w:rsidRPr="004C750C">
        <w:rPr>
          <w:rFonts w:ascii="Book Antiqua" w:hAnsi="Book Antiqua" w:cs="Arial"/>
          <w:sz w:val="24"/>
          <w:szCs w:val="24"/>
          <w:lang w:val="en-US"/>
        </w:rPr>
        <w:t>ifestyle</w:t>
      </w:r>
      <w:r w:rsidRPr="004C750C">
        <w:rPr>
          <w:rFonts w:ascii="Book Antiqua" w:eastAsia="Arial Unicode MS" w:hAnsi="Book Antiqua" w:cs="Arial"/>
          <w:sz w:val="24"/>
          <w:szCs w:val="24"/>
          <w:bdr w:val="none" w:sz="0" w:space="0" w:color="auto" w:frame="1"/>
          <w:lang w:val="en-US" w:eastAsia="pt-BR"/>
        </w:rPr>
        <w:t xml:space="preserve"> </w:t>
      </w:r>
    </w:p>
    <w:p w:rsidR="00114345" w:rsidRPr="004C750C" w:rsidRDefault="00114345" w:rsidP="004C750C">
      <w:pPr>
        <w:spacing w:after="0" w:line="360" w:lineRule="auto"/>
        <w:jc w:val="both"/>
        <w:rPr>
          <w:rFonts w:ascii="Book Antiqua" w:hAnsi="Book Antiqua" w:cs="Arial"/>
          <w:sz w:val="24"/>
          <w:szCs w:val="24"/>
          <w:lang w:val="en-US" w:eastAsia="zh-CN"/>
        </w:rPr>
      </w:pPr>
    </w:p>
    <w:p w:rsidR="008718D6" w:rsidRPr="004C750C" w:rsidRDefault="008718D6" w:rsidP="004C750C">
      <w:pPr>
        <w:spacing w:after="0" w:line="360" w:lineRule="auto"/>
        <w:jc w:val="both"/>
        <w:rPr>
          <w:rFonts w:ascii="Book Antiqua" w:hAnsi="Book Antiqua" w:cs="Arial"/>
          <w:sz w:val="24"/>
          <w:szCs w:val="24"/>
          <w:lang w:eastAsia="zh-CN"/>
        </w:rPr>
      </w:pPr>
      <w:r w:rsidRPr="004C750C">
        <w:rPr>
          <w:rFonts w:ascii="Book Antiqua" w:hAnsi="Book Antiqua"/>
          <w:b/>
          <w:sz w:val="24"/>
          <w:szCs w:val="24"/>
          <w:lang w:val="en-US"/>
        </w:rPr>
        <w:t xml:space="preserve">© </w:t>
      </w:r>
      <w:r w:rsidRPr="004C750C">
        <w:rPr>
          <w:rFonts w:ascii="Book Antiqua" w:hAnsi="Book Antiqua" w:cs="Arial"/>
          <w:b/>
          <w:sz w:val="24"/>
          <w:szCs w:val="24"/>
          <w:lang w:val="en-US"/>
        </w:rPr>
        <w:t>The Author(s) 2015.</w:t>
      </w:r>
      <w:r w:rsidRPr="004C750C">
        <w:rPr>
          <w:rFonts w:ascii="Book Antiqua" w:hAnsi="Book Antiqua" w:cs="Arial"/>
          <w:sz w:val="24"/>
          <w:szCs w:val="24"/>
          <w:lang w:val="en-US"/>
        </w:rPr>
        <w:t xml:space="preserve"> Published by Baishideng Publishing Group Inc. </w:t>
      </w:r>
      <w:r w:rsidRPr="004C750C">
        <w:rPr>
          <w:rFonts w:ascii="Book Antiqua" w:hAnsi="Book Antiqua" w:cs="Arial"/>
          <w:sz w:val="24"/>
          <w:szCs w:val="24"/>
        </w:rPr>
        <w:t>All rights reserved.</w:t>
      </w:r>
    </w:p>
    <w:p w:rsidR="00E769B0" w:rsidRPr="004C750C" w:rsidRDefault="00E769B0" w:rsidP="004C750C">
      <w:pPr>
        <w:spacing w:after="0" w:line="360" w:lineRule="auto"/>
        <w:jc w:val="both"/>
        <w:rPr>
          <w:rFonts w:ascii="Book Antiqua" w:hAnsi="Book Antiqua" w:cs="Arial"/>
          <w:sz w:val="24"/>
          <w:szCs w:val="24"/>
          <w:lang w:eastAsia="zh-CN"/>
        </w:rPr>
      </w:pPr>
    </w:p>
    <w:p w:rsidR="004D6D57" w:rsidRPr="004C750C" w:rsidRDefault="008718D6" w:rsidP="004C750C">
      <w:pPr>
        <w:spacing w:after="0" w:line="360" w:lineRule="auto"/>
        <w:jc w:val="both"/>
        <w:rPr>
          <w:rFonts w:ascii="Book Antiqua" w:hAnsi="Book Antiqua" w:cs="Arial"/>
          <w:sz w:val="24"/>
          <w:szCs w:val="24"/>
          <w:lang w:val="en-US" w:eastAsia="zh-CN"/>
        </w:rPr>
      </w:pPr>
      <w:r w:rsidRPr="004C750C">
        <w:rPr>
          <w:rFonts w:ascii="Book Antiqua" w:hAnsi="Book Antiqua" w:cs="Arial"/>
          <w:b/>
          <w:sz w:val="24"/>
          <w:szCs w:val="24"/>
          <w:lang w:val="en-US" w:eastAsia="zh-CN"/>
        </w:rPr>
        <w:t>Core tip:</w:t>
      </w:r>
      <w:r w:rsidRPr="004C750C">
        <w:rPr>
          <w:rFonts w:ascii="Book Antiqua" w:hAnsi="Book Antiqua" w:cs="Arial"/>
          <w:sz w:val="24"/>
          <w:szCs w:val="24"/>
          <w:lang w:val="en-US" w:eastAsia="zh-CN"/>
        </w:rPr>
        <w:t xml:space="preserve"> Antiretroviral therapy inhibits </w:t>
      </w:r>
      <w:r w:rsidR="004C750C" w:rsidRPr="004C750C">
        <w:rPr>
          <w:rFonts w:ascii="Book Antiqua" w:eastAsia="Times New Roman" w:hAnsi="Book Antiqua"/>
          <w:sz w:val="24"/>
          <w:szCs w:val="24"/>
          <w:lang w:val="en-US"/>
        </w:rPr>
        <w:t>human immunodeficiency virus</w:t>
      </w:r>
      <w:r w:rsidR="004C750C" w:rsidRPr="004C750C">
        <w:rPr>
          <w:rFonts w:ascii="Book Antiqua" w:hAnsi="Book Antiqua" w:cs="Arial"/>
          <w:sz w:val="24"/>
          <w:szCs w:val="24"/>
          <w:lang w:val="en-US"/>
        </w:rPr>
        <w:t xml:space="preserve"> </w:t>
      </w:r>
      <w:r w:rsidR="004C750C" w:rsidRPr="004C750C">
        <w:rPr>
          <w:rFonts w:ascii="Book Antiqua" w:hAnsi="Book Antiqua" w:cs="Arial"/>
          <w:sz w:val="24"/>
          <w:szCs w:val="24"/>
          <w:lang w:val="en-US" w:eastAsia="zh-CN"/>
        </w:rPr>
        <w:t>(</w:t>
      </w:r>
      <w:r w:rsidR="004C750C" w:rsidRPr="004C750C">
        <w:rPr>
          <w:rFonts w:ascii="Book Antiqua" w:hAnsi="Book Antiqua" w:cs="Arial"/>
          <w:sz w:val="24"/>
          <w:szCs w:val="24"/>
          <w:lang w:val="en-US"/>
        </w:rPr>
        <w:t>HIV</w:t>
      </w:r>
      <w:r w:rsidR="004C750C" w:rsidRPr="004C750C">
        <w:rPr>
          <w:rFonts w:ascii="Book Antiqua" w:hAnsi="Book Antiqua" w:cs="Arial"/>
          <w:sz w:val="24"/>
          <w:szCs w:val="24"/>
          <w:lang w:val="en-US" w:eastAsia="zh-CN"/>
        </w:rPr>
        <w:t>)</w:t>
      </w:r>
      <w:r w:rsidRPr="004C750C">
        <w:rPr>
          <w:rFonts w:ascii="Book Antiqua" w:hAnsi="Book Antiqua" w:cs="Arial"/>
          <w:sz w:val="24"/>
          <w:szCs w:val="24"/>
          <w:lang w:val="en-US" w:eastAsia="zh-CN"/>
        </w:rPr>
        <w:t xml:space="preserve">-1 replication, reduces mortality and increases survival. On the other hand, HIV-1 infection and antiretroviral therapy affect lipid metabolism. In fact, lipodystrophy is a well-documented side effect of </w:t>
      </w:r>
      <w:r w:rsidRPr="004C750C">
        <w:rPr>
          <w:rFonts w:ascii="Book Antiqua" w:hAnsi="Book Antiqua" w:cs="Arial"/>
          <w:sz w:val="24"/>
          <w:szCs w:val="24"/>
          <w:lang w:val="en-US"/>
        </w:rPr>
        <w:t>highly active antiretroviral therapy (HAART)</w:t>
      </w:r>
      <w:r w:rsidRPr="004C750C">
        <w:rPr>
          <w:rFonts w:ascii="Book Antiqua" w:hAnsi="Book Antiqua" w:cs="Arial"/>
          <w:sz w:val="24"/>
          <w:szCs w:val="24"/>
          <w:lang w:val="en-US" w:eastAsia="zh-CN"/>
        </w:rPr>
        <w:t>. Switching to a less metabolically active drug improve HAART-associated dyslipidemia. Other therapies may include statins, fibrates, inhibitors cholesterol absorption, fish oils, niacin. Moreover, changes in diet and lifestyle are needed to revert the dyslipidemia.</w:t>
      </w:r>
    </w:p>
    <w:p w:rsidR="008718D6" w:rsidRPr="004C750C" w:rsidRDefault="008718D6" w:rsidP="004C750C">
      <w:pPr>
        <w:spacing w:after="0" w:line="360" w:lineRule="auto"/>
        <w:jc w:val="both"/>
        <w:rPr>
          <w:rFonts w:ascii="Book Antiqua" w:eastAsia="Arial Unicode MS" w:hAnsi="Book Antiqua" w:cs="Arial Unicode MS"/>
          <w:i/>
          <w:sz w:val="24"/>
          <w:szCs w:val="24"/>
          <w:lang w:val="en-US" w:eastAsia="zh-CN"/>
        </w:rPr>
      </w:pPr>
    </w:p>
    <w:p w:rsidR="008718D6" w:rsidRPr="004C750C" w:rsidRDefault="008718D6" w:rsidP="004C750C">
      <w:pPr>
        <w:spacing w:after="0" w:line="360" w:lineRule="auto"/>
        <w:jc w:val="both"/>
        <w:rPr>
          <w:rFonts w:ascii="Book Antiqua" w:hAnsi="Book Antiqua" w:cs="Arial"/>
          <w:sz w:val="24"/>
          <w:szCs w:val="24"/>
          <w:lang w:val="en-US" w:eastAsia="zh-CN"/>
        </w:rPr>
      </w:pPr>
      <w:r w:rsidRPr="004C750C">
        <w:rPr>
          <w:rFonts w:ascii="Book Antiqua" w:hAnsi="Book Antiqua"/>
          <w:sz w:val="24"/>
          <w:szCs w:val="24"/>
          <w:lang w:eastAsia="zh-CN"/>
        </w:rPr>
        <w:t>da Cunha J,</w:t>
      </w:r>
      <w:r w:rsidRPr="004C750C">
        <w:rPr>
          <w:rFonts w:ascii="Book Antiqua" w:hAnsi="Book Antiqua"/>
          <w:sz w:val="24"/>
          <w:szCs w:val="24"/>
        </w:rPr>
        <w:t xml:space="preserve"> Maselli</w:t>
      </w:r>
      <w:r w:rsidRPr="004C750C">
        <w:rPr>
          <w:rFonts w:ascii="Book Antiqua" w:hAnsi="Book Antiqua"/>
          <w:sz w:val="24"/>
          <w:szCs w:val="24"/>
          <w:lang w:eastAsia="zh-CN"/>
        </w:rPr>
        <w:t xml:space="preserve"> LMF, Spada C, </w:t>
      </w:r>
      <w:r w:rsidRPr="004C750C">
        <w:rPr>
          <w:rFonts w:ascii="Book Antiqua" w:hAnsi="Book Antiqua"/>
          <w:sz w:val="24"/>
          <w:szCs w:val="24"/>
        </w:rPr>
        <w:t>Bydlowski</w:t>
      </w:r>
      <w:r w:rsidRPr="004C750C">
        <w:rPr>
          <w:rFonts w:ascii="Book Antiqua" w:hAnsi="Book Antiqua"/>
          <w:sz w:val="24"/>
          <w:szCs w:val="24"/>
          <w:lang w:eastAsia="zh-CN"/>
        </w:rPr>
        <w:t xml:space="preserve"> SP.</w:t>
      </w:r>
      <w:r w:rsidRPr="004C750C">
        <w:rPr>
          <w:rFonts w:ascii="Book Antiqua" w:hAnsi="Book Antiqua" w:cs="Arial"/>
          <w:sz w:val="24"/>
          <w:szCs w:val="24"/>
        </w:rPr>
        <w:t xml:space="preserve"> </w:t>
      </w:r>
      <w:r w:rsidRPr="004C750C">
        <w:rPr>
          <w:rFonts w:ascii="Book Antiqua" w:hAnsi="Book Antiqua" w:cs="Arial"/>
          <w:sz w:val="24"/>
          <w:szCs w:val="24"/>
          <w:lang w:val="en-US"/>
        </w:rPr>
        <w:t>Impact of antiretroviral therapy on lipid metabolism of HIV-infected patients: Old and new drugs</w:t>
      </w:r>
      <w:r w:rsidRPr="004C750C">
        <w:rPr>
          <w:rFonts w:ascii="Book Antiqua" w:hAnsi="Book Antiqua" w:cs="Arial"/>
          <w:sz w:val="24"/>
          <w:szCs w:val="24"/>
          <w:lang w:val="en-US" w:eastAsia="zh-CN"/>
        </w:rPr>
        <w:t xml:space="preserve">. </w:t>
      </w:r>
      <w:r w:rsidRPr="004C750C">
        <w:rPr>
          <w:rFonts w:ascii="Book Antiqua" w:hAnsi="Book Antiqua"/>
          <w:i/>
          <w:iCs/>
          <w:sz w:val="24"/>
          <w:szCs w:val="24"/>
        </w:rPr>
        <w:t>World J Virol</w:t>
      </w:r>
      <w:r w:rsidRPr="004C750C">
        <w:rPr>
          <w:rFonts w:ascii="Book Antiqua" w:hAnsi="Book Antiqua"/>
          <w:i/>
          <w:iCs/>
          <w:sz w:val="24"/>
          <w:szCs w:val="24"/>
          <w:lang w:eastAsia="zh-CN"/>
        </w:rPr>
        <w:t xml:space="preserve"> </w:t>
      </w:r>
      <w:r w:rsidRPr="004C750C">
        <w:rPr>
          <w:rFonts w:ascii="Book Antiqua" w:hAnsi="Book Antiqua"/>
          <w:iCs/>
          <w:sz w:val="24"/>
          <w:szCs w:val="24"/>
          <w:lang w:eastAsia="zh-CN"/>
        </w:rPr>
        <w:t>2015; In press</w:t>
      </w:r>
    </w:p>
    <w:p w:rsidR="004D6D57" w:rsidRPr="004C750C" w:rsidRDefault="004D6D57" w:rsidP="004C750C">
      <w:pPr>
        <w:spacing w:after="0" w:line="360" w:lineRule="auto"/>
        <w:jc w:val="both"/>
        <w:rPr>
          <w:rFonts w:ascii="Book Antiqua" w:hAnsi="Book Antiqua" w:cs="Arial"/>
          <w:b/>
          <w:sz w:val="24"/>
          <w:szCs w:val="24"/>
          <w:lang w:val="en-US" w:eastAsia="zh-CN"/>
        </w:rPr>
      </w:pPr>
    </w:p>
    <w:p w:rsidR="004D6D57" w:rsidRPr="004C750C" w:rsidRDefault="008718D6"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INTRODUCTION</w:t>
      </w:r>
    </w:p>
    <w:p w:rsidR="004D6D57" w:rsidRPr="004C750C" w:rsidRDefault="002A2536"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The introduction of</w:t>
      </w:r>
      <w:r w:rsidR="008C244C" w:rsidRPr="004C750C">
        <w:rPr>
          <w:rFonts w:ascii="Book Antiqua" w:hAnsi="Book Antiqua" w:cs="Arial"/>
          <w:sz w:val="24"/>
          <w:szCs w:val="24"/>
          <w:lang w:val="en-US"/>
        </w:rPr>
        <w:t xml:space="preserve"> highly</w:t>
      </w:r>
      <w:r w:rsidRPr="004C750C">
        <w:rPr>
          <w:rFonts w:ascii="Book Antiqua" w:hAnsi="Book Antiqua" w:cs="Arial"/>
          <w:sz w:val="24"/>
          <w:szCs w:val="24"/>
          <w:lang w:val="en-US"/>
        </w:rPr>
        <w:t xml:space="preserve"> active antiretroviral therapy (HAART) for </w:t>
      </w:r>
      <w:r w:rsidR="004C750C" w:rsidRPr="004C750C">
        <w:rPr>
          <w:rFonts w:ascii="Book Antiqua" w:eastAsia="Times New Roman" w:hAnsi="Book Antiqua"/>
          <w:sz w:val="24"/>
          <w:szCs w:val="24"/>
          <w:lang w:val="en-US"/>
        </w:rPr>
        <w:t>human immunodeficiency virus</w:t>
      </w:r>
      <w:r w:rsidR="004C750C" w:rsidRPr="004C750C">
        <w:rPr>
          <w:rFonts w:ascii="Book Antiqua" w:hAnsi="Book Antiqua" w:cs="Arial"/>
          <w:b/>
          <w:sz w:val="24"/>
          <w:szCs w:val="24"/>
          <w:lang w:val="en-US"/>
        </w:rPr>
        <w:t xml:space="preserve"> </w:t>
      </w:r>
      <w:r w:rsidR="004C750C" w:rsidRPr="004C750C">
        <w:rPr>
          <w:rFonts w:ascii="Book Antiqua" w:hAnsi="Book Antiqua" w:cs="Arial"/>
          <w:b/>
          <w:sz w:val="24"/>
          <w:szCs w:val="24"/>
          <w:lang w:val="en-US" w:eastAsia="zh-CN"/>
        </w:rPr>
        <w:t>(</w:t>
      </w:r>
      <w:r w:rsidR="004C750C" w:rsidRPr="004C750C">
        <w:rPr>
          <w:rFonts w:ascii="Book Antiqua" w:hAnsi="Book Antiqua" w:cs="Arial"/>
          <w:sz w:val="24"/>
          <w:szCs w:val="24"/>
          <w:lang w:val="en-US"/>
        </w:rPr>
        <w:t>HIV</w:t>
      </w:r>
      <w:r w:rsidR="004C750C" w:rsidRPr="004C750C">
        <w:rPr>
          <w:rFonts w:ascii="Book Antiqua" w:hAnsi="Book Antiqua" w:cs="Arial"/>
          <w:sz w:val="24"/>
          <w:szCs w:val="24"/>
          <w:lang w:val="en-US" w:eastAsia="zh-CN"/>
        </w:rPr>
        <w:t>)</w:t>
      </w:r>
      <w:r w:rsidRPr="004C750C">
        <w:rPr>
          <w:rFonts w:ascii="Book Antiqua" w:hAnsi="Book Antiqua" w:cs="Arial"/>
          <w:sz w:val="24"/>
          <w:szCs w:val="24"/>
          <w:lang w:val="en-US"/>
        </w:rPr>
        <w:t>-infected patients</w:t>
      </w:r>
      <w:r w:rsidR="00D6470C" w:rsidRPr="004C750C">
        <w:rPr>
          <w:rFonts w:ascii="Book Antiqua" w:hAnsi="Book Antiqua" w:cs="Arial"/>
          <w:sz w:val="24"/>
          <w:szCs w:val="24"/>
          <w:lang w:val="en-US"/>
        </w:rPr>
        <w:t xml:space="preserve"> in the</w:t>
      </w:r>
      <w:r w:rsidRPr="004C750C">
        <w:rPr>
          <w:rFonts w:ascii="Book Antiqua" w:hAnsi="Book Antiqua" w:cs="Arial"/>
          <w:sz w:val="24"/>
          <w:szCs w:val="24"/>
          <w:lang w:val="en-US"/>
        </w:rPr>
        <w:t xml:space="preserve"> early nineties (1990) represented a new perspective </w:t>
      </w:r>
      <w:r w:rsidR="009A5601" w:rsidRPr="004C750C">
        <w:rPr>
          <w:rFonts w:ascii="Book Antiqua" w:hAnsi="Book Antiqua" w:cs="Arial"/>
          <w:sz w:val="24"/>
          <w:szCs w:val="24"/>
          <w:lang w:val="en-US"/>
        </w:rPr>
        <w:t xml:space="preserve">on </w:t>
      </w:r>
      <w:r w:rsidRPr="004C750C">
        <w:rPr>
          <w:rFonts w:ascii="Book Antiqua" w:hAnsi="Book Antiqua" w:cs="Arial"/>
          <w:sz w:val="24"/>
          <w:szCs w:val="24"/>
          <w:lang w:val="en-US"/>
        </w:rPr>
        <w:t xml:space="preserve">life </w:t>
      </w:r>
      <w:r w:rsidR="00474F83" w:rsidRPr="004C750C">
        <w:rPr>
          <w:rFonts w:ascii="Book Antiqua" w:hAnsi="Book Antiqua" w:cs="Arial"/>
          <w:sz w:val="24"/>
          <w:szCs w:val="24"/>
          <w:lang w:val="en-US"/>
        </w:rPr>
        <w:t>f</w:t>
      </w:r>
      <w:r w:rsidRPr="004C750C">
        <w:rPr>
          <w:rFonts w:ascii="Book Antiqua" w:hAnsi="Book Antiqua" w:cs="Arial"/>
          <w:sz w:val="24"/>
          <w:szCs w:val="24"/>
          <w:lang w:val="en-US"/>
        </w:rPr>
        <w:t xml:space="preserve">or </w:t>
      </w:r>
      <w:r w:rsidR="00474F83" w:rsidRPr="004C750C">
        <w:rPr>
          <w:rFonts w:ascii="Book Antiqua" w:hAnsi="Book Antiqua" w:cs="Arial"/>
          <w:sz w:val="24"/>
          <w:szCs w:val="24"/>
          <w:lang w:val="en-US"/>
        </w:rPr>
        <w:t>t</w:t>
      </w:r>
      <w:r w:rsidRPr="004C750C">
        <w:rPr>
          <w:rFonts w:ascii="Book Antiqua" w:hAnsi="Book Antiqua" w:cs="Arial"/>
          <w:sz w:val="24"/>
          <w:szCs w:val="24"/>
          <w:lang w:val="en-US"/>
        </w:rPr>
        <w:t xml:space="preserve">hese </w:t>
      </w:r>
      <w:r w:rsidR="006950F4" w:rsidRPr="004C750C">
        <w:rPr>
          <w:rFonts w:ascii="Book Antiqua" w:hAnsi="Book Antiqua" w:cs="Arial"/>
          <w:sz w:val="24"/>
          <w:szCs w:val="24"/>
          <w:lang w:val="en-US"/>
        </w:rPr>
        <w:t>patients</w:t>
      </w:r>
      <w:r w:rsidRPr="004C750C">
        <w:rPr>
          <w:rFonts w:ascii="Book Antiqua" w:hAnsi="Book Antiqua" w:cs="Arial"/>
          <w:sz w:val="24"/>
          <w:szCs w:val="24"/>
          <w:vertAlign w:val="superscript"/>
          <w:lang w:val="en-US"/>
        </w:rPr>
        <w:t>[1]</w:t>
      </w:r>
      <w:r w:rsidRPr="004C750C">
        <w:rPr>
          <w:rFonts w:ascii="Book Antiqua" w:hAnsi="Book Antiqua" w:cs="Arial"/>
          <w:sz w:val="24"/>
          <w:szCs w:val="24"/>
          <w:lang w:val="en-US"/>
        </w:rPr>
        <w:t xml:space="preserve">. </w:t>
      </w:r>
      <w:r w:rsidR="004D6D57" w:rsidRPr="004C750C">
        <w:rPr>
          <w:rFonts w:ascii="Book Antiqua" w:hAnsi="Book Antiqua" w:cs="Arial"/>
          <w:sz w:val="24"/>
          <w:szCs w:val="24"/>
          <w:lang w:val="en-US"/>
        </w:rPr>
        <w:t>The use of HAART was shown to effectively suppress the replication of HIV-1 and dramatically reduce mortality and morbidity, which has led to a better and longer qua</w:t>
      </w:r>
      <w:r w:rsidR="006950F4" w:rsidRPr="004C750C">
        <w:rPr>
          <w:rFonts w:ascii="Book Antiqua" w:hAnsi="Book Antiqua" w:cs="Arial"/>
          <w:sz w:val="24"/>
          <w:szCs w:val="24"/>
          <w:lang w:val="en-US"/>
        </w:rPr>
        <w:t>lity of life for HIV-1 patients</w:t>
      </w:r>
      <w:r w:rsidR="004D6D57" w:rsidRPr="004C750C">
        <w:rPr>
          <w:rFonts w:ascii="Book Antiqua" w:hAnsi="Book Antiqua" w:cs="Arial"/>
          <w:sz w:val="24"/>
          <w:szCs w:val="24"/>
          <w:vertAlign w:val="superscript"/>
          <w:lang w:val="en-US"/>
        </w:rPr>
        <w:t>[2]</w:t>
      </w:r>
      <w:r w:rsidR="004D6D57" w:rsidRPr="004C750C">
        <w:rPr>
          <w:rFonts w:ascii="Book Antiqua" w:hAnsi="Book Antiqua" w:cs="Arial"/>
          <w:sz w:val="24"/>
          <w:szCs w:val="24"/>
          <w:lang w:val="en-US"/>
        </w:rPr>
        <w:t>. The different HAART regimens, all composed of at least three different antiretroviral drugs, are effective in reducing viral load (HIV-1-RNA) to undetect</w:t>
      </w:r>
      <w:r w:rsidR="006950F4" w:rsidRPr="004C750C">
        <w:rPr>
          <w:rFonts w:ascii="Book Antiqua" w:hAnsi="Book Antiqua" w:cs="Arial"/>
          <w:sz w:val="24"/>
          <w:szCs w:val="24"/>
          <w:lang w:val="en-US"/>
        </w:rPr>
        <w:t>able levels after its inception</w:t>
      </w:r>
      <w:r w:rsidR="004D6D57" w:rsidRPr="004C750C">
        <w:rPr>
          <w:rFonts w:ascii="Book Antiqua" w:hAnsi="Book Antiqua" w:cs="Arial"/>
          <w:sz w:val="24"/>
          <w:szCs w:val="24"/>
          <w:vertAlign w:val="superscript"/>
          <w:lang w:val="en-US"/>
        </w:rPr>
        <w:t>[3]</w:t>
      </w:r>
      <w:r w:rsidR="004D6D57" w:rsidRPr="004C750C">
        <w:rPr>
          <w:rFonts w:ascii="Book Antiqua" w:hAnsi="Book Antiqua" w:cs="Arial"/>
          <w:sz w:val="24"/>
          <w:szCs w:val="24"/>
          <w:lang w:val="en-US"/>
        </w:rPr>
        <w:t>. HAART regimes inhibit viral replication by acting at different stages</w:t>
      </w:r>
      <w:r w:rsidR="00AC4AB4" w:rsidRPr="004C750C">
        <w:rPr>
          <w:rFonts w:ascii="Book Antiqua" w:hAnsi="Book Antiqua" w:cs="Arial"/>
          <w:sz w:val="24"/>
          <w:szCs w:val="24"/>
          <w:lang w:val="en-US"/>
        </w:rPr>
        <w:t xml:space="preserve"> with their different combinations of drugs</w:t>
      </w:r>
      <w:r w:rsidR="004D6D57" w:rsidRPr="004C750C">
        <w:rPr>
          <w:rFonts w:ascii="Book Antiqua" w:hAnsi="Book Antiqua" w:cs="Arial"/>
          <w:sz w:val="24"/>
          <w:szCs w:val="24"/>
          <w:vertAlign w:val="superscript"/>
          <w:lang w:val="en-US"/>
        </w:rPr>
        <w:t>[4]</w:t>
      </w:r>
      <w:r w:rsidR="004D6D57" w:rsidRPr="004C750C">
        <w:rPr>
          <w:rFonts w:ascii="Book Antiqua" w:hAnsi="Book Antiqua" w:cs="Arial"/>
          <w:sz w:val="24"/>
          <w:szCs w:val="24"/>
          <w:lang w:val="en-US"/>
        </w:rPr>
        <w:t>. This allows them to reach the viral cycle and/or viral enzymes and causes them to be classified in different therapeutic groups according to their mechanisms of action: nucleoside reverse t</w:t>
      </w:r>
      <w:r w:rsidR="00D02333" w:rsidRPr="004C750C">
        <w:rPr>
          <w:rFonts w:ascii="Book Antiqua" w:hAnsi="Book Antiqua" w:cs="Arial"/>
          <w:sz w:val="24"/>
          <w:szCs w:val="24"/>
          <w:lang w:val="en-US"/>
        </w:rPr>
        <w:t>ranscriptase inhibitors (NRTIs)</w:t>
      </w:r>
      <w:r w:rsidR="004D6D57" w:rsidRPr="004C750C">
        <w:rPr>
          <w:rFonts w:ascii="Book Antiqua" w:hAnsi="Book Antiqua" w:cs="Arial"/>
          <w:sz w:val="24"/>
          <w:szCs w:val="24"/>
          <w:vertAlign w:val="superscript"/>
          <w:lang w:val="en-US"/>
        </w:rPr>
        <w:t>[5]</w:t>
      </w:r>
      <w:r w:rsidR="004D6D57" w:rsidRPr="004C750C">
        <w:rPr>
          <w:rFonts w:ascii="Book Antiqua" w:hAnsi="Book Antiqua" w:cs="Arial"/>
          <w:sz w:val="24"/>
          <w:szCs w:val="24"/>
          <w:lang w:val="en-US"/>
        </w:rPr>
        <w:t>, non-nucleoside reverse transcriptase inhibitors</w:t>
      </w:r>
      <w:r w:rsidR="004D6D57" w:rsidRPr="004C750C">
        <w:rPr>
          <w:rStyle w:val="apple-converted-space"/>
          <w:rFonts w:ascii="Book Antiqua" w:hAnsi="Book Antiqua" w:cs="Arial"/>
          <w:sz w:val="24"/>
          <w:szCs w:val="24"/>
          <w:lang w:val="en-US"/>
        </w:rPr>
        <w:t> </w:t>
      </w:r>
      <w:r w:rsidR="004D6D57" w:rsidRPr="004C750C">
        <w:rPr>
          <w:rFonts w:ascii="Book Antiqua" w:hAnsi="Book Antiqua" w:cs="Arial"/>
          <w:sz w:val="24"/>
          <w:szCs w:val="24"/>
          <w:lang w:val="en-US"/>
        </w:rPr>
        <w:t>(NNRTIs)</w:t>
      </w:r>
      <w:r w:rsidR="004D6D57" w:rsidRPr="004C750C">
        <w:rPr>
          <w:rFonts w:ascii="Book Antiqua" w:hAnsi="Book Antiqua" w:cs="Arial"/>
          <w:sz w:val="24"/>
          <w:szCs w:val="24"/>
          <w:vertAlign w:val="superscript"/>
          <w:lang w:val="en-US"/>
        </w:rPr>
        <w:t>[6]</w:t>
      </w:r>
      <w:r w:rsidR="004D6D57" w:rsidRPr="004C750C">
        <w:rPr>
          <w:rFonts w:ascii="Book Antiqua" w:hAnsi="Book Antiqua" w:cs="Arial"/>
          <w:sz w:val="24"/>
          <w:szCs w:val="24"/>
          <w:lang w:val="en-US"/>
        </w:rPr>
        <w:t>, protease inhibitors (PIs)</w:t>
      </w:r>
      <w:r w:rsidR="004D6D57" w:rsidRPr="004C750C">
        <w:rPr>
          <w:rFonts w:ascii="Book Antiqua" w:hAnsi="Book Antiqua" w:cs="Arial"/>
          <w:sz w:val="24"/>
          <w:szCs w:val="24"/>
          <w:vertAlign w:val="superscript"/>
          <w:lang w:val="en-US"/>
        </w:rPr>
        <w:t>[7]</w:t>
      </w:r>
      <w:r w:rsidR="004D6D57" w:rsidRPr="004C750C">
        <w:rPr>
          <w:rFonts w:ascii="Book Antiqua" w:hAnsi="Book Antiqua" w:cs="Arial"/>
          <w:sz w:val="24"/>
          <w:szCs w:val="24"/>
          <w:lang w:val="en-US"/>
        </w:rPr>
        <w:t>, fusion inhibitors</w:t>
      </w:r>
      <w:r w:rsidR="004D6D57" w:rsidRPr="004C750C">
        <w:rPr>
          <w:rFonts w:ascii="Book Antiqua" w:hAnsi="Book Antiqua" w:cs="Arial"/>
          <w:sz w:val="24"/>
          <w:szCs w:val="24"/>
          <w:vertAlign w:val="superscript"/>
          <w:lang w:val="en-US"/>
        </w:rPr>
        <w:t>[8]</w:t>
      </w:r>
      <w:r w:rsidR="004D6D57" w:rsidRPr="004C750C">
        <w:rPr>
          <w:rFonts w:ascii="Book Antiqua" w:hAnsi="Book Antiqua" w:cs="Arial"/>
          <w:sz w:val="24"/>
          <w:szCs w:val="24"/>
          <w:lang w:val="en-US"/>
        </w:rPr>
        <w:t xml:space="preserve">, entry inhibitors </w:t>
      </w:r>
      <w:r w:rsidR="00E769B0" w:rsidRPr="004C750C">
        <w:rPr>
          <w:rFonts w:ascii="Book Antiqua" w:hAnsi="Book Antiqua" w:cs="Arial"/>
          <w:sz w:val="24"/>
          <w:szCs w:val="24"/>
          <w:lang w:val="en-US" w:eastAsia="zh-CN"/>
        </w:rPr>
        <w:t>[</w:t>
      </w:r>
      <w:r w:rsidR="004D6D57" w:rsidRPr="004C750C">
        <w:rPr>
          <w:rFonts w:ascii="Book Antiqua" w:hAnsi="Book Antiqua" w:cs="Arial"/>
          <w:sz w:val="24"/>
          <w:szCs w:val="24"/>
          <w:lang w:val="en-US"/>
        </w:rPr>
        <w:t xml:space="preserve">CC chemokine receptor-5 </w:t>
      </w:r>
      <w:r w:rsidR="00E769B0" w:rsidRPr="004C750C">
        <w:rPr>
          <w:rFonts w:ascii="Book Antiqua" w:hAnsi="Book Antiqua" w:cs="Arial"/>
          <w:sz w:val="24"/>
          <w:szCs w:val="24"/>
          <w:lang w:val="en-US" w:eastAsia="zh-CN"/>
        </w:rPr>
        <w:t>(</w:t>
      </w:r>
      <w:r w:rsidR="004D6D57" w:rsidRPr="004C750C">
        <w:rPr>
          <w:rFonts w:ascii="Book Antiqua" w:hAnsi="Book Antiqua" w:cs="Arial"/>
          <w:sz w:val="24"/>
          <w:szCs w:val="24"/>
          <w:lang w:val="en-US"/>
        </w:rPr>
        <w:t>CCR5</w:t>
      </w:r>
      <w:r w:rsidR="00E769B0" w:rsidRPr="004C750C">
        <w:rPr>
          <w:rFonts w:ascii="Book Antiqua" w:hAnsi="Book Antiqua" w:cs="Arial"/>
          <w:sz w:val="24"/>
          <w:szCs w:val="24"/>
          <w:lang w:val="en-US" w:eastAsia="zh-CN"/>
        </w:rPr>
        <w:t>)</w:t>
      </w:r>
      <w:r w:rsidR="004D6D57" w:rsidRPr="004C750C">
        <w:rPr>
          <w:rFonts w:ascii="Book Antiqua" w:hAnsi="Book Antiqua" w:cs="Arial"/>
          <w:sz w:val="24"/>
          <w:szCs w:val="24"/>
          <w:lang w:val="en-US"/>
        </w:rPr>
        <w:t xml:space="preserve"> antagonists</w:t>
      </w:r>
      <w:r w:rsidR="00E769B0" w:rsidRPr="004C750C">
        <w:rPr>
          <w:rFonts w:ascii="Book Antiqua" w:hAnsi="Book Antiqua" w:cs="Arial"/>
          <w:sz w:val="24"/>
          <w:szCs w:val="24"/>
          <w:lang w:val="en-US" w:eastAsia="zh-CN"/>
        </w:rPr>
        <w:t>]</w:t>
      </w:r>
      <w:r w:rsidR="004D6D57" w:rsidRPr="004C750C">
        <w:rPr>
          <w:rFonts w:ascii="Book Antiqua" w:hAnsi="Book Antiqua" w:cs="Arial"/>
          <w:sz w:val="24"/>
          <w:szCs w:val="24"/>
          <w:vertAlign w:val="superscript"/>
          <w:lang w:val="en-US"/>
        </w:rPr>
        <w:t>[9]</w:t>
      </w:r>
      <w:r w:rsidR="004D6D57" w:rsidRPr="004C750C">
        <w:rPr>
          <w:rFonts w:ascii="Book Antiqua" w:hAnsi="Book Antiqua" w:cs="Arial"/>
          <w:sz w:val="24"/>
          <w:szCs w:val="24"/>
          <w:lang w:val="en-US"/>
        </w:rPr>
        <w:t xml:space="preserve"> and integrase strand transfer inhibitors (InSTIs)</w:t>
      </w:r>
      <w:r w:rsidR="004D6D57" w:rsidRPr="004C750C">
        <w:rPr>
          <w:rFonts w:ascii="Book Antiqua" w:hAnsi="Book Antiqua" w:cs="Arial"/>
          <w:sz w:val="24"/>
          <w:szCs w:val="24"/>
          <w:vertAlign w:val="superscript"/>
          <w:lang w:val="en-US"/>
        </w:rPr>
        <w:t>[10]</w:t>
      </w:r>
      <w:r w:rsidR="004D6D57" w:rsidRPr="004C750C">
        <w:rPr>
          <w:rFonts w:ascii="Book Antiqua" w:hAnsi="Book Antiqua" w:cs="Arial"/>
          <w:sz w:val="24"/>
          <w:szCs w:val="24"/>
          <w:lang w:val="en-US"/>
        </w:rPr>
        <w:t xml:space="preserve"> (</w:t>
      </w:r>
      <w:r w:rsidR="00E677A8" w:rsidRPr="004C750C">
        <w:rPr>
          <w:rFonts w:ascii="Book Antiqua" w:hAnsi="Book Antiqua" w:cs="Arial"/>
          <w:sz w:val="24"/>
          <w:szCs w:val="24"/>
          <w:lang w:val="en-US"/>
        </w:rPr>
        <w:t>T</w:t>
      </w:r>
      <w:r w:rsidR="004D6D57" w:rsidRPr="004C750C">
        <w:rPr>
          <w:rFonts w:ascii="Book Antiqua" w:hAnsi="Book Antiqua" w:cs="Arial"/>
          <w:sz w:val="24"/>
          <w:szCs w:val="24"/>
          <w:lang w:val="en-US"/>
        </w:rPr>
        <w:t xml:space="preserve">able 1). Apart from the </w:t>
      </w:r>
      <w:r w:rsidR="00421EDC" w:rsidRPr="004C750C">
        <w:rPr>
          <w:rFonts w:ascii="Book Antiqua" w:hAnsi="Book Antiqua" w:cs="Arial"/>
          <w:sz w:val="24"/>
          <w:szCs w:val="24"/>
          <w:lang w:val="en-US"/>
        </w:rPr>
        <w:t xml:space="preserve">substantial </w:t>
      </w:r>
      <w:r w:rsidR="004D6D57" w:rsidRPr="004C750C">
        <w:rPr>
          <w:rFonts w:ascii="Book Antiqua" w:hAnsi="Book Antiqua" w:cs="Arial"/>
          <w:sz w:val="24"/>
          <w:szCs w:val="24"/>
          <w:lang w:val="en-US"/>
        </w:rPr>
        <w:t>benefits</w:t>
      </w:r>
      <w:r w:rsidR="00421EDC" w:rsidRPr="004C750C">
        <w:rPr>
          <w:rFonts w:ascii="Book Antiqua" w:hAnsi="Book Antiqua" w:cs="Arial"/>
          <w:sz w:val="24"/>
          <w:szCs w:val="24"/>
          <w:lang w:val="en-US"/>
        </w:rPr>
        <w:t xml:space="preserve"> that result from</w:t>
      </w:r>
      <w:r w:rsidR="004D6D57" w:rsidRPr="004C750C">
        <w:rPr>
          <w:rFonts w:ascii="Book Antiqua" w:hAnsi="Book Antiqua" w:cs="Arial"/>
          <w:sz w:val="24"/>
          <w:szCs w:val="24"/>
          <w:lang w:val="en-US"/>
        </w:rPr>
        <w:t xml:space="preserve"> the use of </w:t>
      </w:r>
      <w:r w:rsidR="00421EDC" w:rsidRPr="004C750C">
        <w:rPr>
          <w:rFonts w:ascii="Book Antiqua" w:hAnsi="Book Antiqua" w:cs="Arial"/>
          <w:sz w:val="24"/>
          <w:szCs w:val="24"/>
          <w:lang w:val="en-US"/>
        </w:rPr>
        <w:t xml:space="preserve">various </w:t>
      </w:r>
      <w:r w:rsidR="004D6D57" w:rsidRPr="004C750C">
        <w:rPr>
          <w:rFonts w:ascii="Book Antiqua" w:hAnsi="Book Antiqua" w:cs="Arial"/>
          <w:sz w:val="24"/>
          <w:szCs w:val="24"/>
          <w:lang w:val="en-US"/>
        </w:rPr>
        <w:t>HAART regimens, laboratory and clinical experience has shown that HAART can induce severe and considerable adverse effects on metabolic complications of lipid metabolism, characterized by signs of lipodystrophy, insulin resistance, central adiposity, dyslipidemia, increased risk of cardiovascular disease and even an increased risk of atherosclerosis</w:t>
      </w:r>
      <w:r w:rsidR="004D6D57" w:rsidRPr="004C750C">
        <w:rPr>
          <w:rFonts w:ascii="Book Antiqua" w:hAnsi="Book Antiqua" w:cs="Arial"/>
          <w:sz w:val="24"/>
          <w:szCs w:val="24"/>
          <w:vertAlign w:val="superscript"/>
          <w:lang w:val="en-US"/>
        </w:rPr>
        <w:t>[11-14]</w:t>
      </w:r>
      <w:r w:rsidR="004D6D57" w:rsidRPr="004C750C">
        <w:rPr>
          <w:rFonts w:ascii="Book Antiqua" w:hAnsi="Book Antiqua" w:cs="Arial"/>
          <w:sz w:val="24"/>
          <w:szCs w:val="24"/>
          <w:lang w:val="en-US"/>
        </w:rPr>
        <w:t xml:space="preserve">. However, other factors, such as virological, genetic, and individual immunological features, may be involved in the metabolic and lipid alterations observed because not all of the patients exposed to the same HAART regimens are </w:t>
      </w:r>
      <w:r w:rsidR="00C7379E" w:rsidRPr="004C750C">
        <w:rPr>
          <w:rFonts w:ascii="Book Antiqua" w:hAnsi="Book Antiqua" w:cs="Arial"/>
          <w:sz w:val="24"/>
          <w:szCs w:val="24"/>
          <w:lang w:val="en-US"/>
        </w:rPr>
        <w:t xml:space="preserve">similarly </w:t>
      </w:r>
      <w:r w:rsidR="004D6D57" w:rsidRPr="004C750C">
        <w:rPr>
          <w:rFonts w:ascii="Book Antiqua" w:hAnsi="Book Antiqua" w:cs="Arial"/>
          <w:sz w:val="24"/>
          <w:szCs w:val="24"/>
          <w:lang w:val="en-US"/>
        </w:rPr>
        <w:t>affected</w:t>
      </w:r>
      <w:r w:rsidR="004D6D57" w:rsidRPr="004C750C">
        <w:rPr>
          <w:rFonts w:ascii="Book Antiqua" w:hAnsi="Book Antiqua" w:cs="Arial"/>
          <w:sz w:val="24"/>
          <w:szCs w:val="24"/>
          <w:vertAlign w:val="superscript"/>
          <w:lang w:val="en-US"/>
        </w:rPr>
        <w:t>[15-17]</w:t>
      </w:r>
      <w:r w:rsidR="004D6D57" w:rsidRPr="004C750C">
        <w:rPr>
          <w:rFonts w:ascii="Book Antiqua" w:hAnsi="Book Antiqua" w:cs="Arial"/>
          <w:sz w:val="24"/>
          <w:szCs w:val="24"/>
          <w:lang w:val="en-US"/>
        </w:rPr>
        <w:t>. All of these chang</w:t>
      </w:r>
      <w:r w:rsidR="00240C97" w:rsidRPr="004C750C">
        <w:rPr>
          <w:rFonts w:ascii="Book Antiqua" w:hAnsi="Book Antiqua" w:cs="Arial"/>
          <w:sz w:val="24"/>
          <w:szCs w:val="24"/>
          <w:lang w:val="en-US"/>
        </w:rPr>
        <w:t xml:space="preserve">es in </w:t>
      </w:r>
      <w:r w:rsidR="0021210B" w:rsidRPr="004C750C">
        <w:rPr>
          <w:rFonts w:ascii="Book Antiqua" w:hAnsi="Book Antiqua" w:cs="Arial"/>
          <w:sz w:val="24"/>
          <w:szCs w:val="24"/>
          <w:lang w:val="en-US"/>
        </w:rPr>
        <w:t xml:space="preserve">the </w:t>
      </w:r>
      <w:r w:rsidR="00240C97" w:rsidRPr="004C750C">
        <w:rPr>
          <w:rFonts w:ascii="Book Antiqua" w:hAnsi="Book Antiqua" w:cs="Arial"/>
          <w:sz w:val="24"/>
          <w:szCs w:val="24"/>
          <w:lang w:val="en-US"/>
        </w:rPr>
        <w:t xml:space="preserve">aspects of </w:t>
      </w:r>
      <w:r w:rsidR="004D6D57" w:rsidRPr="004C750C">
        <w:rPr>
          <w:rFonts w:ascii="Book Antiqua" w:hAnsi="Book Antiqua" w:cs="Arial"/>
          <w:sz w:val="24"/>
          <w:szCs w:val="24"/>
          <w:lang w:val="en-US"/>
        </w:rPr>
        <w:t xml:space="preserve">lipid metabolism </w:t>
      </w:r>
      <w:r w:rsidR="00240C97" w:rsidRPr="004C750C">
        <w:rPr>
          <w:rFonts w:ascii="Book Antiqua" w:hAnsi="Book Antiqua" w:cs="Arial"/>
          <w:sz w:val="24"/>
          <w:szCs w:val="24"/>
          <w:lang w:val="en-US"/>
        </w:rPr>
        <w:t>during</w:t>
      </w:r>
      <w:r w:rsidR="004D6D57" w:rsidRPr="004C750C">
        <w:rPr>
          <w:rFonts w:ascii="Book Antiqua" w:hAnsi="Book Antiqua" w:cs="Arial"/>
          <w:sz w:val="24"/>
          <w:szCs w:val="24"/>
          <w:lang w:val="en-US"/>
        </w:rPr>
        <w:t xml:space="preserve"> HIV-1 infection, </w:t>
      </w:r>
      <w:r w:rsidR="00240C97" w:rsidRPr="004C750C">
        <w:rPr>
          <w:rFonts w:ascii="Book Antiqua" w:hAnsi="Book Antiqua" w:cs="Arial"/>
          <w:sz w:val="24"/>
          <w:szCs w:val="24"/>
          <w:lang w:val="en-US"/>
        </w:rPr>
        <w:t>specifically</w:t>
      </w:r>
      <w:r w:rsidR="004D6D57" w:rsidRPr="004C750C">
        <w:rPr>
          <w:rFonts w:ascii="Book Antiqua" w:hAnsi="Book Antiqua" w:cs="Arial"/>
          <w:sz w:val="24"/>
          <w:szCs w:val="24"/>
          <w:lang w:val="en-US"/>
        </w:rPr>
        <w:t xml:space="preserve"> changes in high-density lipoprotein cholesterol (HDL), low-density lipoprotein cholesterol (LDL), very low-density lipoprotein cholesterol (VLDL), triglycerides</w:t>
      </w:r>
      <w:r w:rsidR="00E2639F" w:rsidRPr="004C750C">
        <w:rPr>
          <w:rFonts w:ascii="Book Antiqua" w:hAnsi="Book Antiqua" w:cs="Arial"/>
          <w:sz w:val="24"/>
          <w:szCs w:val="24"/>
          <w:lang w:val="en-US"/>
        </w:rPr>
        <w:t xml:space="preserve"> (TG)</w:t>
      </w:r>
      <w:r w:rsidR="004D6D57" w:rsidRPr="004C750C">
        <w:rPr>
          <w:rFonts w:ascii="Book Antiqua" w:hAnsi="Book Antiqua" w:cs="Arial"/>
          <w:sz w:val="24"/>
          <w:szCs w:val="24"/>
          <w:lang w:val="en-US"/>
        </w:rPr>
        <w:t xml:space="preserve">, lipid peroxidation, and their relationship with atherosclerosis in HIV-1 patients, are </w:t>
      </w:r>
      <w:r w:rsidR="000D3CAC" w:rsidRPr="004C750C">
        <w:rPr>
          <w:rFonts w:ascii="Book Antiqua" w:hAnsi="Book Antiqua" w:cs="Arial"/>
          <w:sz w:val="24"/>
          <w:szCs w:val="24"/>
          <w:lang w:val="en-US"/>
        </w:rPr>
        <w:t xml:space="preserve">a result of the critical role of </w:t>
      </w:r>
      <w:r w:rsidR="004D6D57" w:rsidRPr="004C750C">
        <w:rPr>
          <w:rFonts w:ascii="Book Antiqua" w:hAnsi="Book Antiqua" w:cs="Arial"/>
          <w:sz w:val="24"/>
          <w:szCs w:val="24"/>
          <w:lang w:val="en-US"/>
        </w:rPr>
        <w:t>cholesterol in the mechanism of HIV-1 replication</w:t>
      </w:r>
      <w:r w:rsidR="004D6D57" w:rsidRPr="004C750C">
        <w:rPr>
          <w:rFonts w:ascii="Book Antiqua" w:hAnsi="Book Antiqua" w:cs="Arial"/>
          <w:sz w:val="24"/>
          <w:szCs w:val="24"/>
          <w:vertAlign w:val="superscript"/>
          <w:lang w:val="en-US"/>
        </w:rPr>
        <w:t>[11,12,18,19]</w:t>
      </w:r>
      <w:r w:rsidR="004D6D57" w:rsidRPr="004C750C">
        <w:rPr>
          <w:rFonts w:ascii="Book Antiqua" w:hAnsi="Book Antiqua" w:cs="Arial"/>
          <w:sz w:val="24"/>
          <w:szCs w:val="24"/>
          <w:lang w:val="en-US"/>
        </w:rPr>
        <w:t>. HIV-1 decreases plasma HDL by impairing the cholesterol-dependent efflux transporter ATP-binding cassette protein A1 (ABCA1) in human macrophages, which is a condition that has a high atherogenic risk</w:t>
      </w:r>
      <w:r w:rsidR="004D6D57" w:rsidRPr="004C750C">
        <w:rPr>
          <w:rFonts w:ascii="Book Antiqua" w:hAnsi="Book Antiqua" w:cs="Arial"/>
          <w:sz w:val="24"/>
          <w:szCs w:val="24"/>
          <w:vertAlign w:val="superscript"/>
          <w:lang w:val="en-US"/>
        </w:rPr>
        <w:t>[20,21]</w:t>
      </w:r>
      <w:r w:rsidR="004D6D57" w:rsidRPr="004C750C">
        <w:rPr>
          <w:rFonts w:ascii="Book Antiqua" w:hAnsi="Book Antiqua" w:cs="Arial"/>
          <w:sz w:val="24"/>
          <w:szCs w:val="24"/>
          <w:lang w:val="en-US"/>
        </w:rPr>
        <w:t xml:space="preserve">. </w:t>
      </w:r>
      <w:r w:rsidR="004D6D57" w:rsidRPr="004C750C">
        <w:rPr>
          <w:rStyle w:val="atn"/>
          <w:rFonts w:ascii="Book Antiqua" w:hAnsi="Book Antiqua" w:cs="Arial"/>
          <w:sz w:val="24"/>
          <w:szCs w:val="24"/>
          <w:lang w:val="en-US"/>
        </w:rPr>
        <w:t>T</w:t>
      </w:r>
      <w:r w:rsidR="004D6D57" w:rsidRPr="004C750C">
        <w:rPr>
          <w:rStyle w:val="hps"/>
          <w:rFonts w:ascii="Book Antiqua" w:hAnsi="Book Antiqua" w:cs="Arial"/>
          <w:sz w:val="24"/>
          <w:szCs w:val="24"/>
          <w:lang w:val="en-US"/>
        </w:rPr>
        <w:t>he</w:t>
      </w:r>
      <w:r w:rsidR="004D6D57" w:rsidRPr="004C750C">
        <w:rPr>
          <w:rFonts w:ascii="Book Antiqua" w:hAnsi="Book Antiqua" w:cs="Arial"/>
          <w:sz w:val="24"/>
          <w:szCs w:val="24"/>
          <w:lang w:val="en-US"/>
        </w:rPr>
        <w:t xml:space="preserve"> use of </w:t>
      </w:r>
      <w:r w:rsidR="004D6D57" w:rsidRPr="004C750C">
        <w:rPr>
          <w:rStyle w:val="hps"/>
          <w:rFonts w:ascii="Book Antiqua" w:hAnsi="Book Antiqua" w:cs="Arial"/>
          <w:sz w:val="24"/>
          <w:szCs w:val="24"/>
          <w:lang w:val="en-US"/>
        </w:rPr>
        <w:t>PI-based</w:t>
      </w:r>
      <w:r w:rsidR="004D6D57" w:rsidRPr="004C750C">
        <w:rPr>
          <w:rFonts w:ascii="Book Antiqua" w:hAnsi="Book Antiqua" w:cs="Arial"/>
          <w:sz w:val="24"/>
          <w:szCs w:val="24"/>
          <w:lang w:val="en-US"/>
        </w:rPr>
        <w:t xml:space="preserve"> HAART</w:t>
      </w:r>
      <w:r w:rsidR="004D6D57" w:rsidRPr="004C750C">
        <w:rPr>
          <w:rStyle w:val="hps"/>
          <w:rFonts w:ascii="Book Antiqua" w:hAnsi="Book Antiqua" w:cs="Arial"/>
          <w:sz w:val="24"/>
          <w:szCs w:val="24"/>
          <w:lang w:val="en-US"/>
        </w:rPr>
        <w:t xml:space="preserve"> currently</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constitutes</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a more potent option against</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HIV</w:t>
      </w:r>
      <w:r w:rsidR="004D6D57" w:rsidRPr="004C750C">
        <w:rPr>
          <w:rFonts w:ascii="Book Antiqua" w:hAnsi="Book Antiqua" w:cs="Arial"/>
          <w:sz w:val="24"/>
          <w:szCs w:val="24"/>
          <w:lang w:val="en-US"/>
        </w:rPr>
        <w:t xml:space="preserve">-1 infection, preventing the </w:t>
      </w:r>
      <w:r w:rsidR="004D6D57" w:rsidRPr="004C750C">
        <w:rPr>
          <w:rStyle w:val="hps"/>
          <w:rFonts w:ascii="Book Antiqua" w:hAnsi="Book Antiqua" w:cs="Arial"/>
          <w:sz w:val="24"/>
          <w:szCs w:val="24"/>
          <w:lang w:val="en-US"/>
        </w:rPr>
        <w:t>maturation of viral particles</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and</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effectively</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controlling</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the infection</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of new cells</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by HIV</w:t>
      </w:r>
      <w:r w:rsidR="004D6D57" w:rsidRPr="004C750C">
        <w:rPr>
          <w:rFonts w:ascii="Book Antiqua" w:hAnsi="Book Antiqua" w:cs="Arial"/>
          <w:sz w:val="24"/>
          <w:szCs w:val="24"/>
          <w:lang w:val="en-US"/>
        </w:rPr>
        <w:t>-1. However, observed changes in lipid metabolism in HIV-1 patients have been associated with this class of antiretroviral drugs</w:t>
      </w:r>
      <w:r w:rsidR="004D6D57" w:rsidRPr="004C750C">
        <w:rPr>
          <w:rFonts w:ascii="Book Antiqua" w:hAnsi="Book Antiqua" w:cs="Arial"/>
          <w:sz w:val="24"/>
          <w:szCs w:val="24"/>
          <w:vertAlign w:val="superscript"/>
          <w:lang w:val="en-US"/>
        </w:rPr>
        <w:t>[13,14,22,23]</w:t>
      </w:r>
      <w:r w:rsidR="004D6D57" w:rsidRPr="004C750C">
        <w:rPr>
          <w:rFonts w:ascii="Book Antiqua" w:hAnsi="Book Antiqua" w:cs="Arial"/>
          <w:sz w:val="24"/>
          <w:szCs w:val="24"/>
          <w:lang w:val="en-US"/>
        </w:rPr>
        <w:t>. There is significant support in the literature showing that the PIs are associated with increased hepatic triglycerides-synthesis, VLDL, and to a lesser extent, total cholesterol</w:t>
      </w:r>
      <w:r w:rsidR="00E2639F" w:rsidRPr="004C750C">
        <w:rPr>
          <w:rFonts w:ascii="Book Antiqua" w:hAnsi="Book Antiqua" w:cs="Arial"/>
          <w:sz w:val="24"/>
          <w:szCs w:val="24"/>
          <w:lang w:val="en-US"/>
        </w:rPr>
        <w:t xml:space="preserve"> (TC)</w:t>
      </w:r>
      <w:r w:rsidR="004D6D57" w:rsidRPr="004C750C">
        <w:rPr>
          <w:rFonts w:ascii="Book Antiqua" w:hAnsi="Book Antiqua" w:cs="Arial"/>
          <w:sz w:val="24"/>
          <w:szCs w:val="24"/>
          <w:vertAlign w:val="superscript"/>
          <w:lang w:val="en-US"/>
        </w:rPr>
        <w:t>[11-14]</w:t>
      </w:r>
      <w:r w:rsidR="004D6D57" w:rsidRPr="004C750C">
        <w:rPr>
          <w:rFonts w:ascii="Book Antiqua" w:hAnsi="Book Antiqua" w:cs="Arial"/>
          <w:sz w:val="24"/>
          <w:szCs w:val="24"/>
          <w:lang w:val="en-US"/>
        </w:rPr>
        <w:t>. Moreover, it was observed that these drugs impair the hydrolysis of triglyceride-rich lipoproteins by lipase, which reduces the storage of free fatty acids and interferes with the normal postprandial metabolism of free fatty acids</w:t>
      </w:r>
      <w:r w:rsidR="004D6D57" w:rsidRPr="004C750C">
        <w:rPr>
          <w:rFonts w:ascii="Book Antiqua" w:hAnsi="Book Antiqua" w:cs="Arial"/>
          <w:sz w:val="24"/>
          <w:szCs w:val="24"/>
          <w:vertAlign w:val="superscript"/>
          <w:lang w:val="en-US"/>
        </w:rPr>
        <w:t>[23,24]</w:t>
      </w:r>
      <w:r w:rsidR="004D6D57" w:rsidRPr="004C750C">
        <w:rPr>
          <w:rFonts w:ascii="Book Antiqua" w:hAnsi="Book Antiqua" w:cs="Arial"/>
          <w:sz w:val="24"/>
          <w:szCs w:val="24"/>
          <w:lang w:val="en-US"/>
        </w:rPr>
        <w:t xml:space="preserve">. The PIs are analogous substrates of the aspartyl protease enzyme of HIV-1 that are involved in the cleavage process of viral proteins and form smaller functional viral particles with infective capacity. After the cleavage process, the newly formed infectious </w:t>
      </w:r>
      <w:r w:rsidR="003C667B" w:rsidRPr="004C750C">
        <w:rPr>
          <w:rFonts w:ascii="Book Antiqua" w:hAnsi="Book Antiqua" w:cs="Arial"/>
          <w:sz w:val="24"/>
          <w:szCs w:val="24"/>
          <w:lang w:val="en-US"/>
        </w:rPr>
        <w:t xml:space="preserve">viral </w:t>
      </w:r>
      <w:r w:rsidR="004D6D57" w:rsidRPr="004C750C">
        <w:rPr>
          <w:rFonts w:ascii="Book Antiqua" w:hAnsi="Book Antiqua" w:cs="Arial"/>
          <w:sz w:val="24"/>
          <w:szCs w:val="24"/>
          <w:lang w:val="en-US"/>
        </w:rPr>
        <w:t>particles are released from infected cells</w:t>
      </w:r>
      <w:r w:rsidR="004D6D57" w:rsidRPr="004C750C" w:rsidDel="00E020F6">
        <w:rPr>
          <w:rFonts w:ascii="Book Antiqua" w:hAnsi="Book Antiqua" w:cs="Arial"/>
          <w:sz w:val="24"/>
          <w:szCs w:val="24"/>
          <w:lang w:val="en-US"/>
        </w:rPr>
        <w:t xml:space="preserve"> </w:t>
      </w:r>
      <w:r w:rsidR="004D6D57" w:rsidRPr="004C750C">
        <w:rPr>
          <w:rFonts w:ascii="Book Antiqua" w:hAnsi="Book Antiqua" w:cs="Arial"/>
          <w:sz w:val="24"/>
          <w:szCs w:val="24"/>
          <w:lang w:val="en-US"/>
        </w:rPr>
        <w:t xml:space="preserve">in </w:t>
      </w:r>
      <w:r w:rsidR="003C667B" w:rsidRPr="004C750C">
        <w:rPr>
          <w:rFonts w:ascii="Book Antiqua" w:hAnsi="Book Antiqua" w:cs="Arial"/>
          <w:sz w:val="24"/>
          <w:szCs w:val="24"/>
          <w:lang w:val="en-US"/>
        </w:rPr>
        <w:t xml:space="preserve">a </w:t>
      </w:r>
      <w:r w:rsidR="004D6D57" w:rsidRPr="004C750C">
        <w:rPr>
          <w:rFonts w:ascii="Book Antiqua" w:hAnsi="Book Antiqua" w:cs="Arial"/>
          <w:sz w:val="24"/>
          <w:szCs w:val="24"/>
          <w:lang w:val="en-US"/>
        </w:rPr>
        <w:t>mature form</w:t>
      </w:r>
      <w:r w:rsidR="004D6D57" w:rsidRPr="004C750C">
        <w:rPr>
          <w:rFonts w:ascii="Book Antiqua" w:hAnsi="Book Antiqua" w:cs="Arial"/>
          <w:sz w:val="24"/>
          <w:szCs w:val="24"/>
          <w:vertAlign w:val="superscript"/>
          <w:lang w:val="en-US"/>
        </w:rPr>
        <w:t>[7,25,26]</w:t>
      </w:r>
      <w:r w:rsidR="004D6D57" w:rsidRPr="004C750C">
        <w:rPr>
          <w:rFonts w:ascii="Book Antiqua" w:hAnsi="Book Antiqua" w:cs="Arial"/>
          <w:sz w:val="24"/>
          <w:szCs w:val="24"/>
          <w:lang w:val="en-US"/>
        </w:rPr>
        <w:t xml:space="preserve">. Once the PIs bind to the active site of the protease enzyme, and this process of cleavage is blocked, there is interference in the enzyme activity and inhibition in the process of viral maturation and </w:t>
      </w:r>
      <w:r w:rsidR="00375F6D" w:rsidRPr="004C750C">
        <w:rPr>
          <w:rFonts w:ascii="Book Antiqua" w:hAnsi="Book Antiqua" w:cs="Arial"/>
          <w:sz w:val="24"/>
          <w:szCs w:val="24"/>
          <w:lang w:val="en-US"/>
        </w:rPr>
        <w:t xml:space="preserve">the </w:t>
      </w:r>
      <w:r w:rsidR="004D6D57" w:rsidRPr="004C750C">
        <w:rPr>
          <w:rFonts w:ascii="Book Antiqua" w:hAnsi="Book Antiqua" w:cs="Arial"/>
          <w:sz w:val="24"/>
          <w:szCs w:val="24"/>
          <w:lang w:val="en-US"/>
        </w:rPr>
        <w:t xml:space="preserve">formation of </w:t>
      </w:r>
      <w:r w:rsidR="00337BB0" w:rsidRPr="004C750C">
        <w:rPr>
          <w:rFonts w:ascii="Book Antiqua" w:hAnsi="Book Antiqua" w:cs="Arial"/>
          <w:sz w:val="24"/>
          <w:szCs w:val="24"/>
          <w:lang w:val="en-US"/>
        </w:rPr>
        <w:t>infectious viral particles</w:t>
      </w:r>
      <w:r w:rsidR="00337BB0" w:rsidRPr="004C750C">
        <w:rPr>
          <w:rFonts w:ascii="Book Antiqua" w:hAnsi="Book Antiqua" w:cs="Arial"/>
          <w:sz w:val="24"/>
          <w:szCs w:val="24"/>
          <w:vertAlign w:val="superscript"/>
          <w:lang w:val="en-US"/>
        </w:rPr>
        <w:t>[25,</w:t>
      </w:r>
      <w:r w:rsidR="004D6D57" w:rsidRPr="004C750C">
        <w:rPr>
          <w:rFonts w:ascii="Book Antiqua" w:hAnsi="Book Antiqua" w:cs="Arial"/>
          <w:sz w:val="24"/>
          <w:szCs w:val="24"/>
          <w:vertAlign w:val="superscript"/>
          <w:lang w:val="en-US"/>
        </w:rPr>
        <w:t>26]</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The different mechanisms</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by which PIs</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promote</w:t>
      </w:r>
      <w:r w:rsidR="004D6D57" w:rsidRPr="004C750C">
        <w:rPr>
          <w:rFonts w:ascii="Book Antiqua" w:hAnsi="Book Antiqua" w:cs="Arial"/>
          <w:sz w:val="24"/>
          <w:szCs w:val="24"/>
          <w:lang w:val="en-US"/>
        </w:rPr>
        <w:t xml:space="preserve"> these </w:t>
      </w:r>
      <w:r w:rsidR="004D6D57" w:rsidRPr="004C750C">
        <w:rPr>
          <w:rStyle w:val="hps"/>
          <w:rFonts w:ascii="Book Antiqua" w:hAnsi="Book Antiqua" w:cs="Arial"/>
          <w:sz w:val="24"/>
          <w:szCs w:val="24"/>
          <w:lang w:val="en-US"/>
        </w:rPr>
        <w:t>changes</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remain unknown</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However</w:t>
      </w:r>
      <w:r w:rsidR="004D6D57" w:rsidRPr="004C750C">
        <w:rPr>
          <w:rFonts w:ascii="Book Antiqua" w:hAnsi="Book Antiqua" w:cs="Arial"/>
          <w:sz w:val="24"/>
          <w:szCs w:val="24"/>
          <w:lang w:val="en-US"/>
        </w:rPr>
        <w:t xml:space="preserve">, the main </w:t>
      </w:r>
      <w:r w:rsidR="004D6D57" w:rsidRPr="004C750C">
        <w:rPr>
          <w:rStyle w:val="hps"/>
          <w:rFonts w:ascii="Book Antiqua" w:hAnsi="Book Antiqua" w:cs="Arial"/>
          <w:sz w:val="24"/>
          <w:szCs w:val="24"/>
          <w:lang w:val="en-US"/>
        </w:rPr>
        <w:t>effect of PIs seems to</w:t>
      </w:r>
      <w:r w:rsidR="004D6D57" w:rsidRPr="004C750C">
        <w:rPr>
          <w:rFonts w:ascii="Book Antiqua" w:hAnsi="Book Antiqua" w:cs="Arial"/>
          <w:sz w:val="24"/>
          <w:szCs w:val="24"/>
          <w:lang w:val="en-US"/>
        </w:rPr>
        <w:t xml:space="preserve"> be </w:t>
      </w:r>
      <w:r w:rsidR="004D6D57" w:rsidRPr="004C750C">
        <w:rPr>
          <w:rStyle w:val="hps"/>
          <w:rFonts w:ascii="Book Antiqua" w:hAnsi="Book Antiqua" w:cs="Arial"/>
          <w:sz w:val="24"/>
          <w:szCs w:val="24"/>
          <w:lang w:val="en-US"/>
        </w:rPr>
        <w:t>suppressing the breakdown of</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the</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nuclear form</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of sterol</w:t>
      </w:r>
      <w:r w:rsidR="004D6D57" w:rsidRPr="004C750C">
        <w:rPr>
          <w:rFonts w:ascii="Book Antiqua" w:hAnsi="Book Antiqua" w:cs="Arial"/>
          <w:sz w:val="24"/>
          <w:szCs w:val="24"/>
          <w:lang w:val="en-US"/>
        </w:rPr>
        <w:t>-</w:t>
      </w:r>
      <w:r w:rsidR="004D6D57" w:rsidRPr="004C750C">
        <w:rPr>
          <w:rStyle w:val="hps"/>
          <w:rFonts w:ascii="Book Antiqua" w:hAnsi="Book Antiqua" w:cs="Arial"/>
          <w:sz w:val="24"/>
          <w:szCs w:val="24"/>
          <w:lang w:val="en-US"/>
        </w:rPr>
        <w:t>regulatory element</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binding protein-1</w:t>
      </w:r>
      <w:r w:rsidR="004D6D57" w:rsidRPr="004C750C">
        <w:rPr>
          <w:rFonts w:ascii="Book Antiqua" w:hAnsi="Book Antiqua" w:cs="Arial"/>
          <w:sz w:val="24"/>
          <w:szCs w:val="24"/>
          <w:lang w:val="en-US"/>
        </w:rPr>
        <w:t xml:space="preserve"> </w:t>
      </w:r>
      <w:r w:rsidR="004D6D57" w:rsidRPr="004C750C">
        <w:rPr>
          <w:rStyle w:val="hpsatn"/>
          <w:rFonts w:ascii="Book Antiqua" w:hAnsi="Book Antiqua" w:cs="Arial"/>
          <w:sz w:val="24"/>
          <w:szCs w:val="24"/>
          <w:lang w:val="en-US"/>
        </w:rPr>
        <w:t>(</w:t>
      </w:r>
      <w:r w:rsidR="004D6D57" w:rsidRPr="004C750C">
        <w:rPr>
          <w:rFonts w:ascii="Book Antiqua" w:hAnsi="Book Antiqua" w:cs="Arial"/>
          <w:sz w:val="24"/>
          <w:szCs w:val="24"/>
          <w:lang w:val="en-US"/>
        </w:rPr>
        <w:t xml:space="preserve">nSREBP1) </w:t>
      </w:r>
      <w:r w:rsidR="004D6D57" w:rsidRPr="004C750C">
        <w:rPr>
          <w:rStyle w:val="hps"/>
          <w:rFonts w:ascii="Book Antiqua" w:hAnsi="Book Antiqua" w:cs="Arial"/>
          <w:sz w:val="24"/>
          <w:szCs w:val="24"/>
          <w:lang w:val="en-US"/>
        </w:rPr>
        <w:t>in</w:t>
      </w:r>
      <w:r w:rsidR="004D6D57" w:rsidRPr="004C750C">
        <w:rPr>
          <w:rFonts w:ascii="Book Antiqua" w:hAnsi="Book Antiqua" w:cs="Arial"/>
          <w:sz w:val="24"/>
          <w:szCs w:val="24"/>
          <w:lang w:val="en-US"/>
        </w:rPr>
        <w:t xml:space="preserve"> the </w:t>
      </w:r>
      <w:r w:rsidR="004D6D57" w:rsidRPr="004C750C">
        <w:rPr>
          <w:rStyle w:val="hps"/>
          <w:rFonts w:ascii="Book Antiqua" w:hAnsi="Book Antiqua" w:cs="Arial"/>
          <w:sz w:val="24"/>
          <w:szCs w:val="24"/>
          <w:lang w:val="en-US"/>
        </w:rPr>
        <w:t>liver and</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adipose tissue</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This regulator</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is a key element</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in the</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proteolytic pathway</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responsible for regulating cellular and</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plasma</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levels</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of fat</w:t>
      </w:r>
      <w:r w:rsidR="004D6D57" w:rsidRPr="004C750C">
        <w:rPr>
          <w:rFonts w:ascii="Book Antiqua" w:hAnsi="Book Antiqua" w:cs="Arial"/>
          <w:sz w:val="24"/>
          <w:szCs w:val="24"/>
          <w:lang w:val="en-US"/>
        </w:rPr>
        <w:t xml:space="preserve"> </w:t>
      </w:r>
      <w:r w:rsidR="004D6D57" w:rsidRPr="004C750C">
        <w:rPr>
          <w:rStyle w:val="hps"/>
          <w:rFonts w:ascii="Book Antiqua" w:hAnsi="Book Antiqua" w:cs="Arial"/>
          <w:sz w:val="24"/>
          <w:szCs w:val="24"/>
          <w:lang w:val="en-US"/>
        </w:rPr>
        <w:t>and cholesterol</w:t>
      </w:r>
      <w:r w:rsidR="004D6D57" w:rsidRPr="004C750C">
        <w:rPr>
          <w:rStyle w:val="hps"/>
          <w:rFonts w:ascii="Book Antiqua" w:hAnsi="Book Antiqua" w:cs="Arial"/>
          <w:sz w:val="24"/>
          <w:szCs w:val="24"/>
          <w:vertAlign w:val="superscript"/>
          <w:lang w:val="en-US"/>
        </w:rPr>
        <w:t>[27]</w:t>
      </w:r>
      <w:r w:rsidR="004D6D57" w:rsidRPr="004C750C">
        <w:rPr>
          <w:rFonts w:ascii="Book Antiqua" w:hAnsi="Book Antiqua" w:cs="Arial"/>
          <w:sz w:val="24"/>
          <w:szCs w:val="24"/>
          <w:lang w:val="en-US"/>
        </w:rPr>
        <w:t>. Finally, other classes of antiretroviral drugs are available, including those with excellent activity</w:t>
      </w:r>
      <w:r w:rsidR="00E66F7D" w:rsidRPr="004C750C">
        <w:rPr>
          <w:rFonts w:ascii="Book Antiqua" w:hAnsi="Book Antiqua" w:cs="Arial"/>
          <w:sz w:val="24"/>
          <w:szCs w:val="24"/>
          <w:lang w:val="en-US"/>
        </w:rPr>
        <w:t xml:space="preserve"> against</w:t>
      </w:r>
      <w:r w:rsidR="004D6D57" w:rsidRPr="004C750C">
        <w:rPr>
          <w:rFonts w:ascii="Book Antiqua" w:hAnsi="Book Antiqua" w:cs="Arial"/>
          <w:sz w:val="24"/>
          <w:szCs w:val="24"/>
          <w:lang w:val="en-US"/>
        </w:rPr>
        <w:t xml:space="preserve"> viral replication without </w:t>
      </w:r>
      <w:r w:rsidR="004B7A11" w:rsidRPr="004C750C">
        <w:rPr>
          <w:rFonts w:ascii="Book Antiqua" w:hAnsi="Book Antiqua" w:cs="Arial"/>
          <w:sz w:val="24"/>
          <w:szCs w:val="24"/>
          <w:lang w:val="en-US"/>
        </w:rPr>
        <w:t>having an</w:t>
      </w:r>
      <w:r w:rsidR="001F62E8" w:rsidRPr="004C750C">
        <w:rPr>
          <w:rFonts w:ascii="Book Antiqua" w:hAnsi="Book Antiqua" w:cs="Arial"/>
          <w:sz w:val="24"/>
          <w:szCs w:val="24"/>
          <w:lang w:val="en-US"/>
        </w:rPr>
        <w:t>y apparent</w:t>
      </w:r>
      <w:r w:rsidR="004B7A11" w:rsidRPr="004C750C">
        <w:rPr>
          <w:rFonts w:ascii="Book Antiqua" w:hAnsi="Book Antiqua" w:cs="Arial"/>
          <w:sz w:val="24"/>
          <w:szCs w:val="24"/>
          <w:lang w:val="en-US"/>
        </w:rPr>
        <w:t xml:space="preserve"> effect on</w:t>
      </w:r>
      <w:r w:rsidR="004D6D57" w:rsidRPr="004C750C">
        <w:rPr>
          <w:rFonts w:ascii="Book Antiqua" w:hAnsi="Book Antiqua" w:cs="Arial"/>
          <w:sz w:val="24"/>
          <w:szCs w:val="24"/>
          <w:lang w:val="en-US"/>
        </w:rPr>
        <w:t xml:space="preserve"> lipid metabolism</w:t>
      </w:r>
      <w:r w:rsidR="004D6D57" w:rsidRPr="004C750C">
        <w:rPr>
          <w:rFonts w:ascii="Book Antiqua" w:hAnsi="Book Antiqua" w:cs="Arial"/>
          <w:sz w:val="24"/>
          <w:szCs w:val="24"/>
          <w:vertAlign w:val="superscript"/>
          <w:lang w:val="en-US"/>
        </w:rPr>
        <w:t>[12,23,28]</w:t>
      </w:r>
      <w:r w:rsidR="004D6D57" w:rsidRPr="004C750C">
        <w:rPr>
          <w:rFonts w:ascii="Book Antiqua" w:hAnsi="Book Antiqua" w:cs="Arial"/>
          <w:sz w:val="24"/>
          <w:szCs w:val="24"/>
          <w:lang w:val="en-US"/>
        </w:rPr>
        <w:t xml:space="preserve">. However, it is clear that the use and recommendation of PIs occurs in situations where other drugs and/or regimens have not achieved the desired effect, either by non-adherence to treatment, viral resistance or lack of </w:t>
      </w:r>
      <w:r w:rsidR="00CC4F19" w:rsidRPr="004C750C">
        <w:rPr>
          <w:rFonts w:ascii="Book Antiqua" w:hAnsi="Book Antiqua" w:cs="Arial"/>
          <w:sz w:val="24"/>
          <w:szCs w:val="24"/>
          <w:lang w:val="en-US"/>
        </w:rPr>
        <w:t xml:space="preserve">an </w:t>
      </w:r>
      <w:r w:rsidR="004D6D57" w:rsidRPr="004C750C">
        <w:rPr>
          <w:rFonts w:ascii="Book Antiqua" w:hAnsi="Book Antiqua" w:cs="Arial"/>
          <w:sz w:val="24"/>
          <w:szCs w:val="24"/>
          <w:lang w:val="en-US"/>
        </w:rPr>
        <w:t>immune response</w:t>
      </w:r>
      <w:r w:rsidR="004D6D57" w:rsidRPr="004C750C">
        <w:rPr>
          <w:rFonts w:ascii="Book Antiqua" w:hAnsi="Book Antiqua" w:cs="Arial"/>
          <w:sz w:val="24"/>
          <w:szCs w:val="24"/>
          <w:vertAlign w:val="superscript"/>
          <w:lang w:val="en-US"/>
        </w:rPr>
        <w:t>[29,30]</w:t>
      </w:r>
      <w:r w:rsidR="004D6D57" w:rsidRPr="004C750C">
        <w:rPr>
          <w:rFonts w:ascii="Book Antiqua" w:hAnsi="Book Antiqua" w:cs="Arial"/>
          <w:sz w:val="24"/>
          <w:szCs w:val="24"/>
          <w:lang w:val="en-US"/>
        </w:rPr>
        <w:t>. Moreover, once the therapy with PIs is initiated, a change to a more conservative therapy without their use is not recommended nor used in clinical practice</w:t>
      </w:r>
      <w:r w:rsidR="004D6D57" w:rsidRPr="004C750C">
        <w:rPr>
          <w:rFonts w:ascii="Book Antiqua" w:hAnsi="Book Antiqua" w:cs="Arial"/>
          <w:sz w:val="24"/>
          <w:szCs w:val="24"/>
          <w:vertAlign w:val="superscript"/>
          <w:lang w:val="en-US"/>
        </w:rPr>
        <w:t>[31,32]</w:t>
      </w:r>
      <w:r w:rsidR="004D6D57" w:rsidRPr="004C750C">
        <w:rPr>
          <w:rFonts w:ascii="Book Antiqua" w:hAnsi="Book Antiqua" w:cs="Arial"/>
          <w:sz w:val="24"/>
          <w:szCs w:val="24"/>
          <w:lang w:val="en-US"/>
        </w:rPr>
        <w:t xml:space="preserve">. Thus, a continuous search </w:t>
      </w:r>
      <w:r w:rsidR="00CC4F19" w:rsidRPr="004C750C">
        <w:rPr>
          <w:rFonts w:ascii="Book Antiqua" w:hAnsi="Book Antiqua" w:cs="Arial"/>
          <w:sz w:val="24"/>
          <w:szCs w:val="24"/>
          <w:lang w:val="en-US"/>
        </w:rPr>
        <w:t xml:space="preserve">that considers </w:t>
      </w:r>
      <w:r w:rsidR="004D6D57" w:rsidRPr="004C750C">
        <w:rPr>
          <w:rFonts w:ascii="Book Antiqua" w:hAnsi="Book Antiqua" w:cs="Arial"/>
          <w:sz w:val="24"/>
          <w:szCs w:val="24"/>
          <w:lang w:val="en-US"/>
        </w:rPr>
        <w:t xml:space="preserve">the individual characteristics </w:t>
      </w:r>
      <w:r w:rsidR="00CC4F19" w:rsidRPr="004C750C">
        <w:rPr>
          <w:rFonts w:ascii="Book Antiqua" w:hAnsi="Book Antiqua" w:cs="Arial"/>
          <w:sz w:val="24"/>
          <w:szCs w:val="24"/>
          <w:lang w:val="en-US"/>
        </w:rPr>
        <w:t xml:space="preserve">of </w:t>
      </w:r>
      <w:r w:rsidR="004D6D57" w:rsidRPr="004C750C">
        <w:rPr>
          <w:rFonts w:ascii="Book Antiqua" w:hAnsi="Book Antiqua" w:cs="Arial"/>
          <w:sz w:val="24"/>
          <w:szCs w:val="24"/>
          <w:lang w:val="en-US"/>
        </w:rPr>
        <w:t xml:space="preserve">each PI available </w:t>
      </w:r>
      <w:r w:rsidR="00CC4F19" w:rsidRPr="004C750C">
        <w:rPr>
          <w:rFonts w:ascii="Book Antiqua" w:hAnsi="Book Antiqua" w:cs="Arial"/>
          <w:sz w:val="24"/>
          <w:szCs w:val="24"/>
          <w:lang w:val="en-US"/>
        </w:rPr>
        <w:t xml:space="preserve">as a </w:t>
      </w:r>
      <w:r w:rsidR="004D6D57" w:rsidRPr="004C750C">
        <w:rPr>
          <w:rFonts w:ascii="Book Antiqua" w:hAnsi="Book Antiqua" w:cs="Arial"/>
          <w:sz w:val="24"/>
          <w:szCs w:val="24"/>
          <w:lang w:val="en-US"/>
        </w:rPr>
        <w:t xml:space="preserve">current therapy is needed to achieve alternative HAART regimens that </w:t>
      </w:r>
      <w:r w:rsidR="00CC4F19" w:rsidRPr="004C750C">
        <w:rPr>
          <w:rFonts w:ascii="Book Antiqua" w:hAnsi="Book Antiqua" w:cs="Arial"/>
          <w:sz w:val="24"/>
          <w:szCs w:val="24"/>
          <w:lang w:val="en-US"/>
        </w:rPr>
        <w:t xml:space="preserve">can </w:t>
      </w:r>
      <w:r w:rsidR="004D6D57" w:rsidRPr="004C750C">
        <w:rPr>
          <w:rFonts w:ascii="Book Antiqua" w:hAnsi="Book Antiqua" w:cs="Arial"/>
          <w:sz w:val="24"/>
          <w:szCs w:val="24"/>
          <w:lang w:val="en-US"/>
        </w:rPr>
        <w:t>maintain a suppressi</w:t>
      </w:r>
      <w:r w:rsidR="00CC4F19" w:rsidRPr="004C750C">
        <w:rPr>
          <w:rFonts w:ascii="Book Antiqua" w:hAnsi="Book Antiqua" w:cs="Arial"/>
          <w:sz w:val="24"/>
          <w:szCs w:val="24"/>
          <w:lang w:val="en-US"/>
        </w:rPr>
        <w:t xml:space="preserve">on </w:t>
      </w:r>
      <w:r w:rsidR="004D6D57" w:rsidRPr="004C750C">
        <w:rPr>
          <w:rFonts w:ascii="Book Antiqua" w:hAnsi="Book Antiqua" w:cs="Arial"/>
          <w:sz w:val="24"/>
          <w:szCs w:val="24"/>
          <w:lang w:val="en-US"/>
        </w:rPr>
        <w:t xml:space="preserve">of viremia with minor effects on </w:t>
      </w:r>
      <w:r w:rsidR="00CC4F19" w:rsidRPr="004C750C">
        <w:rPr>
          <w:rFonts w:ascii="Book Antiqua" w:hAnsi="Book Antiqua" w:cs="Arial"/>
          <w:sz w:val="24"/>
          <w:szCs w:val="24"/>
          <w:lang w:val="en-US"/>
        </w:rPr>
        <w:t xml:space="preserve">the </w:t>
      </w:r>
      <w:r w:rsidR="004D6D57" w:rsidRPr="004C750C">
        <w:rPr>
          <w:rFonts w:ascii="Book Antiqua" w:hAnsi="Book Antiqua" w:cs="Arial"/>
          <w:sz w:val="24"/>
          <w:szCs w:val="24"/>
          <w:lang w:val="en-US"/>
        </w:rPr>
        <w:t>lipid metabolism of HIV-1 patients</w:t>
      </w:r>
      <w:r w:rsidR="004D6D57" w:rsidRPr="004C750C">
        <w:rPr>
          <w:rFonts w:ascii="Book Antiqua" w:hAnsi="Book Antiqua" w:cs="Arial"/>
          <w:sz w:val="24"/>
          <w:szCs w:val="24"/>
          <w:vertAlign w:val="superscript"/>
          <w:lang w:val="en-US"/>
        </w:rPr>
        <w:t>[32,33]</w:t>
      </w:r>
      <w:r w:rsidR="004D6D57" w:rsidRPr="004C750C">
        <w:rPr>
          <w:rFonts w:ascii="Book Antiqua" w:hAnsi="Book Antiqua" w:cs="Arial"/>
          <w:sz w:val="24"/>
          <w:szCs w:val="24"/>
          <w:lang w:val="en-US"/>
        </w:rPr>
        <w:t>.</w:t>
      </w:r>
    </w:p>
    <w:p w:rsidR="00E769B0" w:rsidRPr="004C750C" w:rsidRDefault="00E769B0" w:rsidP="004C750C">
      <w:pPr>
        <w:spacing w:after="0" w:line="360" w:lineRule="auto"/>
        <w:jc w:val="both"/>
        <w:rPr>
          <w:rFonts w:ascii="Book Antiqua" w:hAnsi="Book Antiqua" w:cs="Arial"/>
          <w:sz w:val="24"/>
          <w:szCs w:val="24"/>
          <w:lang w:val="en-US" w:eastAsia="zh-CN"/>
        </w:rPr>
      </w:pPr>
    </w:p>
    <w:p w:rsidR="004D6D57" w:rsidRPr="004C750C" w:rsidRDefault="00E769B0"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HIV-ASSOCIATED LIPID DISORDERS</w:t>
      </w:r>
    </w:p>
    <w:p w:rsidR="004D6D57" w:rsidRPr="004C750C" w:rsidRDefault="004D6D57"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 xml:space="preserve">Lipid disorders during the course of HIV-1 infection and acquired immunodeficiency syndrome (AIDS) </w:t>
      </w:r>
      <w:r w:rsidR="006E32CB" w:rsidRPr="004C750C">
        <w:rPr>
          <w:rFonts w:ascii="Book Antiqua" w:hAnsi="Book Antiqua" w:cs="Arial"/>
          <w:sz w:val="24"/>
          <w:szCs w:val="24"/>
          <w:lang w:val="en-US"/>
        </w:rPr>
        <w:t>were</w:t>
      </w:r>
      <w:r w:rsidRPr="004C750C">
        <w:rPr>
          <w:rFonts w:ascii="Book Antiqua" w:hAnsi="Book Antiqua" w:cs="Arial"/>
          <w:sz w:val="24"/>
          <w:szCs w:val="24"/>
          <w:lang w:val="en-US"/>
        </w:rPr>
        <w:t xml:space="preserve"> observed long before the advent of antiretroviral regimens</w:t>
      </w:r>
      <w:r w:rsidRPr="004C750C">
        <w:rPr>
          <w:rFonts w:ascii="Book Antiqua" w:hAnsi="Book Antiqua" w:cs="Arial"/>
          <w:sz w:val="24"/>
          <w:szCs w:val="24"/>
          <w:vertAlign w:val="superscript"/>
          <w:lang w:val="en-US"/>
        </w:rPr>
        <w:t>[34,35]</w:t>
      </w:r>
      <w:r w:rsidRPr="004C750C">
        <w:rPr>
          <w:rFonts w:ascii="Book Antiqua" w:hAnsi="Book Antiqua" w:cs="Arial"/>
          <w:sz w:val="24"/>
          <w:szCs w:val="24"/>
          <w:lang w:val="en-US"/>
        </w:rPr>
        <w:t xml:space="preserve">. In the early phase of acute HIV-1 infection, </w:t>
      </w:r>
      <w:r w:rsidR="006E32CB" w:rsidRPr="004C750C">
        <w:rPr>
          <w:rFonts w:ascii="Book Antiqua" w:hAnsi="Book Antiqua" w:cs="Arial"/>
          <w:sz w:val="24"/>
          <w:szCs w:val="24"/>
          <w:lang w:val="en-US"/>
        </w:rPr>
        <w:t>patients display</w:t>
      </w:r>
      <w:r w:rsidRPr="004C750C">
        <w:rPr>
          <w:rFonts w:ascii="Book Antiqua" w:hAnsi="Book Antiqua" w:cs="Arial"/>
          <w:sz w:val="24"/>
          <w:szCs w:val="24"/>
          <w:lang w:val="en-US"/>
        </w:rPr>
        <w:t xml:space="preserve"> several </w:t>
      </w:r>
      <w:r w:rsidR="006E32CB" w:rsidRPr="004C750C">
        <w:rPr>
          <w:rFonts w:ascii="Book Antiqua" w:hAnsi="Book Antiqua" w:cs="Arial"/>
          <w:sz w:val="24"/>
          <w:szCs w:val="24"/>
          <w:lang w:val="en-US"/>
        </w:rPr>
        <w:t xml:space="preserve">varied </w:t>
      </w:r>
      <w:r w:rsidRPr="004C750C">
        <w:rPr>
          <w:rFonts w:ascii="Book Antiqua" w:hAnsi="Book Antiqua" w:cs="Arial"/>
          <w:sz w:val="24"/>
          <w:szCs w:val="24"/>
          <w:lang w:val="en-US"/>
        </w:rPr>
        <w:t>clinical signs of immunosuppression</w:t>
      </w:r>
      <w:r w:rsidR="006E32CB" w:rsidRPr="004C750C">
        <w:rPr>
          <w:rFonts w:ascii="Book Antiqua" w:hAnsi="Book Antiqua" w:cs="Arial"/>
          <w:sz w:val="24"/>
          <w:szCs w:val="24"/>
          <w:lang w:val="en-US"/>
        </w:rPr>
        <w:t xml:space="preserve"> such as</w:t>
      </w:r>
      <w:r w:rsidRPr="004C750C">
        <w:rPr>
          <w:rFonts w:ascii="Book Antiqua" w:hAnsi="Book Antiqua" w:cs="Arial"/>
          <w:sz w:val="24"/>
          <w:szCs w:val="24"/>
          <w:lang w:val="en-US"/>
        </w:rPr>
        <w:t xml:space="preserve"> fever, intestinal infections, weight loss and depletion of protein reserves</w:t>
      </w:r>
      <w:r w:rsidRPr="004C750C">
        <w:rPr>
          <w:rFonts w:ascii="Book Antiqua" w:hAnsi="Book Antiqua" w:cs="Arial"/>
          <w:sz w:val="24"/>
          <w:szCs w:val="24"/>
          <w:vertAlign w:val="superscript"/>
          <w:lang w:val="en-US"/>
        </w:rPr>
        <w:t>[35,36]</w:t>
      </w:r>
      <w:r w:rsidRPr="004C750C">
        <w:rPr>
          <w:rFonts w:ascii="Book Antiqua" w:hAnsi="Book Antiqua" w:cs="Arial"/>
          <w:sz w:val="24"/>
          <w:szCs w:val="24"/>
          <w:lang w:val="en-US"/>
        </w:rPr>
        <w:t>. The possibility of HIV-1 infection</w:t>
      </w:r>
      <w:r w:rsidR="006E32CB" w:rsidRPr="004C750C">
        <w:rPr>
          <w:rFonts w:ascii="Book Antiqua" w:hAnsi="Book Antiqua" w:cs="Arial"/>
          <w:sz w:val="24"/>
          <w:szCs w:val="24"/>
          <w:lang w:val="en-US"/>
        </w:rPr>
        <w:t>,</w:t>
      </w:r>
      <w:r w:rsidRPr="004C750C">
        <w:rPr>
          <w:rFonts w:ascii="Book Antiqua" w:hAnsi="Book Antiqua" w:cs="Arial"/>
          <w:sz w:val="24"/>
          <w:szCs w:val="24"/>
          <w:lang w:val="en-US"/>
        </w:rPr>
        <w:t xml:space="preserve"> by itself</w:t>
      </w:r>
      <w:r w:rsidR="006E32CB" w:rsidRPr="004C750C">
        <w:rPr>
          <w:rFonts w:ascii="Book Antiqua" w:hAnsi="Book Antiqua" w:cs="Arial"/>
          <w:sz w:val="24"/>
          <w:szCs w:val="24"/>
          <w:lang w:val="en-US"/>
        </w:rPr>
        <w:t>,</w:t>
      </w:r>
      <w:r w:rsidRPr="004C750C">
        <w:rPr>
          <w:rFonts w:ascii="Book Antiqua" w:hAnsi="Book Antiqua" w:cs="Arial"/>
          <w:sz w:val="24"/>
          <w:szCs w:val="24"/>
          <w:lang w:val="en-US"/>
        </w:rPr>
        <w:t xml:space="preserve"> causing changes in lipid metabolism was already postulated</w:t>
      </w:r>
      <w:r w:rsidR="006E32CB" w:rsidRPr="004C750C">
        <w:rPr>
          <w:rFonts w:ascii="Book Antiqua" w:hAnsi="Book Antiqua" w:cs="Arial"/>
          <w:sz w:val="24"/>
          <w:szCs w:val="24"/>
          <w:lang w:val="en-US"/>
        </w:rPr>
        <w:t>,</w:t>
      </w:r>
      <w:r w:rsidRPr="004C750C">
        <w:rPr>
          <w:rFonts w:ascii="Book Antiqua" w:hAnsi="Book Antiqua" w:cs="Arial"/>
          <w:sz w:val="24"/>
          <w:szCs w:val="24"/>
          <w:lang w:val="en-US"/>
        </w:rPr>
        <w:t xml:space="preserve"> because it is evident that plasma viremia may promote a decrease in </w:t>
      </w:r>
      <w:r w:rsidR="006E32CB" w:rsidRPr="004C750C">
        <w:rPr>
          <w:rFonts w:ascii="Book Antiqua" w:hAnsi="Book Antiqua" w:cs="Arial"/>
          <w:sz w:val="24"/>
          <w:szCs w:val="24"/>
          <w:lang w:val="en-US"/>
        </w:rPr>
        <w:t xml:space="preserve">the </w:t>
      </w:r>
      <w:r w:rsidRPr="004C750C">
        <w:rPr>
          <w:rFonts w:ascii="Book Antiqua" w:hAnsi="Book Antiqua" w:cs="Arial"/>
          <w:sz w:val="24"/>
          <w:szCs w:val="24"/>
          <w:lang w:val="en-US"/>
        </w:rPr>
        <w:t>plasma con</w:t>
      </w:r>
      <w:r w:rsidR="00D03AFA" w:rsidRPr="004C750C">
        <w:rPr>
          <w:rFonts w:ascii="Book Antiqua" w:hAnsi="Book Antiqua" w:cs="Arial"/>
          <w:sz w:val="24"/>
          <w:szCs w:val="24"/>
          <w:lang w:val="en-US"/>
        </w:rPr>
        <w:t>centrations of TC</w:t>
      </w:r>
      <w:r w:rsidRPr="004C750C">
        <w:rPr>
          <w:rFonts w:ascii="Book Antiqua" w:hAnsi="Book Antiqua" w:cs="Arial"/>
          <w:sz w:val="24"/>
          <w:szCs w:val="24"/>
          <w:lang w:val="en-US"/>
        </w:rPr>
        <w:t>, HDL and LDL and, in later stages of infection, an elevation in the concentra</w:t>
      </w:r>
      <w:r w:rsidR="00D03AFA" w:rsidRPr="004C750C">
        <w:rPr>
          <w:rFonts w:ascii="Book Antiqua" w:hAnsi="Book Antiqua" w:cs="Arial"/>
          <w:sz w:val="24"/>
          <w:szCs w:val="24"/>
          <w:lang w:val="en-US"/>
        </w:rPr>
        <w:t>tion of TG</w:t>
      </w:r>
      <w:r w:rsidRPr="004C750C">
        <w:rPr>
          <w:rFonts w:ascii="Book Antiqua" w:hAnsi="Book Antiqua" w:cs="Arial"/>
          <w:sz w:val="24"/>
          <w:szCs w:val="24"/>
          <w:vertAlign w:val="superscript"/>
          <w:lang w:val="en-US"/>
        </w:rPr>
        <w:t>[35,36]</w:t>
      </w:r>
      <w:r w:rsidRPr="004C750C">
        <w:rPr>
          <w:rFonts w:ascii="Book Antiqua" w:hAnsi="Book Antiqua" w:cs="Arial"/>
          <w:sz w:val="24"/>
          <w:szCs w:val="24"/>
          <w:lang w:val="en-US"/>
        </w:rPr>
        <w:t>. Specifically, the reduction of HDL likely occurs as a result of an activation of the immune system in early HIV-1 infection, which promotes an increase in lipid peroxidation, inflammatory cytokine production, and alterations in the reverse cholesterol transport. This process promotes an imbalance in the antioxidant system, a decrease in the production of anti-inflammatory cytokines and an elevation of pro-inflammatory cytokines, which increases the chance of developing atherosclerotic diseases</w:t>
      </w:r>
      <w:r w:rsidRPr="004C750C">
        <w:rPr>
          <w:rFonts w:ascii="Book Antiqua" w:hAnsi="Book Antiqua" w:cs="Arial"/>
          <w:sz w:val="24"/>
          <w:szCs w:val="24"/>
          <w:vertAlign w:val="superscript"/>
          <w:lang w:val="en-US"/>
        </w:rPr>
        <w:t>[31-39]</w:t>
      </w:r>
      <w:r w:rsidRPr="004C750C">
        <w:rPr>
          <w:rFonts w:ascii="Book Antiqua" w:hAnsi="Book Antiqua" w:cs="Arial"/>
          <w:sz w:val="24"/>
          <w:szCs w:val="24"/>
          <w:lang w:val="en-US"/>
        </w:rPr>
        <w:t xml:space="preserve">. </w:t>
      </w:r>
      <w:r w:rsidR="004900B8" w:rsidRPr="004C750C">
        <w:rPr>
          <w:rFonts w:ascii="Book Antiqua" w:hAnsi="Book Antiqua" w:cs="Arial"/>
          <w:sz w:val="24"/>
          <w:szCs w:val="24"/>
          <w:lang w:val="en-US"/>
        </w:rPr>
        <w:t xml:space="preserve">As a result of </w:t>
      </w:r>
      <w:r w:rsidRPr="004C750C">
        <w:rPr>
          <w:rFonts w:ascii="Book Antiqua" w:hAnsi="Book Antiqua" w:cs="Arial"/>
          <w:sz w:val="24"/>
          <w:szCs w:val="24"/>
          <w:lang w:val="en-US"/>
        </w:rPr>
        <w:t xml:space="preserve">the inflammatory process initiated by viral infection, </w:t>
      </w:r>
      <w:r w:rsidR="004900B8" w:rsidRPr="004C750C">
        <w:rPr>
          <w:rFonts w:ascii="Book Antiqua" w:hAnsi="Book Antiqua" w:cs="Arial"/>
          <w:sz w:val="24"/>
          <w:szCs w:val="24"/>
          <w:lang w:val="en-US"/>
        </w:rPr>
        <w:t xml:space="preserve">the </w:t>
      </w:r>
      <w:r w:rsidR="00BA7173" w:rsidRPr="004C750C">
        <w:rPr>
          <w:rFonts w:ascii="Book Antiqua" w:hAnsi="Book Antiqua" w:cs="Arial"/>
          <w:sz w:val="24"/>
          <w:szCs w:val="24"/>
          <w:lang w:val="en-US"/>
        </w:rPr>
        <w:t>stimulation</w:t>
      </w:r>
      <w:r w:rsidRPr="004C750C">
        <w:rPr>
          <w:rFonts w:ascii="Book Antiqua" w:hAnsi="Book Antiqua" w:cs="Arial"/>
          <w:sz w:val="24"/>
          <w:szCs w:val="24"/>
          <w:lang w:val="en-US"/>
        </w:rPr>
        <w:t xml:space="preserve"> of endothelial lipase and phospholipase A2 occurs, which in turn can reduce HDL concentration</w:t>
      </w:r>
      <w:r w:rsidRPr="004C750C">
        <w:rPr>
          <w:rFonts w:ascii="Book Antiqua" w:hAnsi="Book Antiqua" w:cs="Arial"/>
          <w:sz w:val="24"/>
          <w:szCs w:val="24"/>
          <w:vertAlign w:val="superscript"/>
          <w:lang w:val="en-US"/>
        </w:rPr>
        <w:t>[38-40]</w:t>
      </w:r>
      <w:r w:rsidRPr="004C750C">
        <w:rPr>
          <w:rFonts w:ascii="Book Antiqua" w:hAnsi="Book Antiqua" w:cs="Arial"/>
          <w:sz w:val="24"/>
          <w:szCs w:val="24"/>
          <w:lang w:val="en-US"/>
        </w:rPr>
        <w:t>. The inflammatory process may also be characterized by an elevation of interferon-γ levels (IFNγ) originating from lymphocytes and macrophages. IFNγ levels are elevated at early stages of infection and are also correlated with the presence of hypertriglyceridemia</w:t>
      </w:r>
      <w:r w:rsidRPr="004C750C">
        <w:rPr>
          <w:rFonts w:ascii="Book Antiqua" w:hAnsi="Book Antiqua" w:cs="Arial"/>
          <w:sz w:val="24"/>
          <w:szCs w:val="24"/>
          <w:vertAlign w:val="superscript"/>
          <w:lang w:val="en-US"/>
        </w:rPr>
        <w:t>[41,42]</w:t>
      </w:r>
      <w:r w:rsidRPr="004C750C">
        <w:rPr>
          <w:rFonts w:ascii="Book Antiqua" w:hAnsi="Book Antiqua" w:cs="Arial"/>
          <w:sz w:val="24"/>
          <w:szCs w:val="24"/>
          <w:lang w:val="en-US"/>
        </w:rPr>
        <w:t>. Tumor necrosis factor-α (TNFα) is another potent pro-inflammatory mediator whose concentrations increase in HIV-1 infected ART-naïve patients. TNFα promotes lipid peroxidation and disturbances in the metabolism of free fatty acids and also acts on the suppression of lipolysis mediated by hormones</w:t>
      </w:r>
      <w:r w:rsidRPr="004C750C">
        <w:rPr>
          <w:rFonts w:ascii="Book Antiqua" w:hAnsi="Book Antiqua" w:cs="Arial"/>
          <w:sz w:val="24"/>
          <w:szCs w:val="24"/>
          <w:vertAlign w:val="superscript"/>
          <w:lang w:val="en-US"/>
        </w:rPr>
        <w:t>[43]</w:t>
      </w:r>
      <w:r w:rsidR="00DE7C10" w:rsidRPr="004C750C">
        <w:rPr>
          <w:rFonts w:ascii="Book Antiqua" w:hAnsi="Book Antiqua" w:cs="Arial"/>
          <w:sz w:val="24"/>
          <w:szCs w:val="24"/>
          <w:lang w:val="en-US"/>
        </w:rPr>
        <w:t xml:space="preserve"> (</w:t>
      </w:r>
      <w:r w:rsidR="00C26FB7" w:rsidRPr="004C750C">
        <w:rPr>
          <w:rFonts w:ascii="Book Antiqua" w:hAnsi="Book Antiqua" w:cs="Arial"/>
          <w:sz w:val="24"/>
          <w:szCs w:val="24"/>
          <w:lang w:val="en-US"/>
        </w:rPr>
        <w:t>F</w:t>
      </w:r>
      <w:r w:rsidR="00DE7C10" w:rsidRPr="004C750C">
        <w:rPr>
          <w:rFonts w:ascii="Book Antiqua" w:hAnsi="Book Antiqua" w:cs="Arial"/>
          <w:sz w:val="24"/>
          <w:szCs w:val="24"/>
          <w:lang w:val="en-US"/>
        </w:rPr>
        <w:t>igure 1)</w:t>
      </w:r>
      <w:r w:rsidRPr="004C750C">
        <w:rPr>
          <w:rFonts w:ascii="Book Antiqua" w:hAnsi="Book Antiqua" w:cs="Arial"/>
          <w:sz w:val="24"/>
          <w:szCs w:val="24"/>
          <w:lang w:val="en-US"/>
        </w:rPr>
        <w:t xml:space="preserve">. </w:t>
      </w:r>
    </w:p>
    <w:p w:rsidR="00E769B0" w:rsidRPr="004C750C" w:rsidRDefault="00E769B0" w:rsidP="004C750C">
      <w:pPr>
        <w:spacing w:after="0" w:line="360" w:lineRule="auto"/>
        <w:jc w:val="both"/>
        <w:rPr>
          <w:rFonts w:ascii="Book Antiqua" w:hAnsi="Book Antiqua" w:cs="Arial"/>
          <w:sz w:val="24"/>
          <w:szCs w:val="24"/>
          <w:lang w:val="en-US" w:eastAsia="zh-CN"/>
        </w:rPr>
      </w:pPr>
    </w:p>
    <w:p w:rsidR="004D6D57" w:rsidRPr="004C750C" w:rsidRDefault="00E769B0"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HAART-ASSOCIATED LIPID DISORDERS</w:t>
      </w:r>
    </w:p>
    <w:p w:rsidR="004D6D57" w:rsidRPr="004C750C" w:rsidRDefault="004D6D57"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xml:space="preserve">HAART-associated dyslipidemia is complex and involves immunological, hormonal, </w:t>
      </w:r>
      <w:r w:rsidR="005F6314" w:rsidRPr="004C750C">
        <w:rPr>
          <w:rFonts w:ascii="Book Antiqua" w:hAnsi="Book Antiqua" w:cs="Arial"/>
          <w:sz w:val="24"/>
          <w:szCs w:val="24"/>
          <w:lang w:val="en-US"/>
        </w:rPr>
        <w:t xml:space="preserve">and </w:t>
      </w:r>
      <w:r w:rsidRPr="004C750C">
        <w:rPr>
          <w:rFonts w:ascii="Book Antiqua" w:hAnsi="Book Antiqua" w:cs="Arial"/>
          <w:sz w:val="24"/>
          <w:szCs w:val="24"/>
          <w:lang w:val="en-US"/>
        </w:rPr>
        <w:t>genetic predisposition</w:t>
      </w:r>
      <w:r w:rsidR="002D2B3C" w:rsidRPr="004C750C">
        <w:rPr>
          <w:rFonts w:ascii="Book Antiqua" w:hAnsi="Book Antiqua" w:cs="Arial"/>
          <w:sz w:val="24"/>
          <w:szCs w:val="24"/>
          <w:lang w:val="en-US"/>
        </w:rPr>
        <w:t xml:space="preserve"> aspects</w:t>
      </w:r>
      <w:r w:rsidR="005F6314" w:rsidRPr="004C750C">
        <w:rPr>
          <w:rFonts w:ascii="Book Antiqua" w:hAnsi="Book Antiqua" w:cs="Arial"/>
          <w:sz w:val="24"/>
          <w:szCs w:val="24"/>
          <w:lang w:val="en-US"/>
        </w:rPr>
        <w:t xml:space="preserve">, as well as </w:t>
      </w:r>
      <w:r w:rsidRPr="004C750C">
        <w:rPr>
          <w:rFonts w:ascii="Book Antiqua" w:hAnsi="Book Antiqua" w:cs="Arial"/>
          <w:sz w:val="24"/>
          <w:szCs w:val="24"/>
          <w:lang w:val="en-US"/>
        </w:rPr>
        <w:t xml:space="preserve">effects induced by </w:t>
      </w:r>
      <w:r w:rsidR="005F6314" w:rsidRPr="004C750C">
        <w:rPr>
          <w:rFonts w:ascii="Book Antiqua" w:hAnsi="Book Antiqua" w:cs="Arial"/>
          <w:sz w:val="24"/>
          <w:szCs w:val="24"/>
          <w:lang w:val="en-US"/>
        </w:rPr>
        <w:t xml:space="preserve">various </w:t>
      </w:r>
      <w:r w:rsidRPr="004C750C">
        <w:rPr>
          <w:rFonts w:ascii="Book Antiqua" w:hAnsi="Book Antiqua" w:cs="Arial"/>
          <w:sz w:val="24"/>
          <w:szCs w:val="24"/>
          <w:lang w:val="en-US"/>
        </w:rPr>
        <w:t>antiretroviral drugs</w:t>
      </w:r>
      <w:r w:rsidRPr="004C750C">
        <w:rPr>
          <w:rFonts w:ascii="Book Antiqua" w:hAnsi="Book Antiqua" w:cs="Arial"/>
          <w:sz w:val="24"/>
          <w:szCs w:val="24"/>
          <w:vertAlign w:val="superscript"/>
          <w:lang w:val="en-US"/>
        </w:rPr>
        <w:t>[13,44]</w:t>
      </w:r>
      <w:r w:rsidRPr="004C750C">
        <w:rPr>
          <w:rFonts w:ascii="Book Antiqua" w:hAnsi="Book Antiqua" w:cs="Arial"/>
          <w:sz w:val="24"/>
          <w:szCs w:val="24"/>
          <w:lang w:val="en-US"/>
        </w:rPr>
        <w:t>. The observed dyslipidemia is characterized by hypertriglyceridemia, hypercholesterolemia, and decreased serum levels of HDL, either accompanied or not by increased levels of LDL (</w:t>
      </w:r>
      <w:r w:rsidR="00E769B0" w:rsidRPr="004C750C">
        <w:rPr>
          <w:rFonts w:ascii="Book Antiqua" w:hAnsi="Book Antiqua" w:cs="Arial"/>
          <w:sz w:val="24"/>
          <w:szCs w:val="24"/>
          <w:lang w:val="en-US"/>
        </w:rPr>
        <w:t>T</w:t>
      </w:r>
      <w:r w:rsidRPr="004C750C">
        <w:rPr>
          <w:rFonts w:ascii="Book Antiqua" w:hAnsi="Book Antiqua" w:cs="Arial"/>
          <w:sz w:val="24"/>
          <w:szCs w:val="24"/>
          <w:lang w:val="en-US"/>
        </w:rPr>
        <w:t>able 2)</w:t>
      </w:r>
      <w:r w:rsidRPr="004C750C">
        <w:rPr>
          <w:rFonts w:ascii="Book Antiqua" w:hAnsi="Book Antiqua" w:cs="Arial"/>
          <w:sz w:val="24"/>
          <w:szCs w:val="24"/>
          <w:vertAlign w:val="superscript"/>
          <w:lang w:val="en-US"/>
        </w:rPr>
        <w:t>[44,45]</w:t>
      </w:r>
      <w:r w:rsidRPr="004C750C">
        <w:rPr>
          <w:rFonts w:ascii="Book Antiqua" w:hAnsi="Book Antiqua" w:cs="Arial"/>
          <w:sz w:val="24"/>
          <w:szCs w:val="24"/>
          <w:lang w:val="en-US"/>
        </w:rPr>
        <w:t>. Other metabolic and/or clinical common disorders include insulin resistance with hyperinsulinemia, increased C-peptide levels, diabetes mell</w:t>
      </w:r>
      <w:r w:rsidR="009F70FA" w:rsidRPr="004C750C">
        <w:rPr>
          <w:rFonts w:ascii="Book Antiqua" w:hAnsi="Book Antiqua" w:cs="Arial"/>
          <w:sz w:val="24"/>
          <w:szCs w:val="24"/>
          <w:lang w:val="en-US"/>
        </w:rPr>
        <w:t>itus and lipodystrophy syndrome</w:t>
      </w:r>
      <w:r w:rsidRPr="004C750C">
        <w:rPr>
          <w:rFonts w:ascii="Book Antiqua" w:hAnsi="Book Antiqua" w:cs="Arial"/>
          <w:sz w:val="24"/>
          <w:szCs w:val="24"/>
          <w:vertAlign w:val="superscript"/>
          <w:lang w:val="en-US"/>
        </w:rPr>
        <w:t>[44-48]</w:t>
      </w:r>
      <w:r w:rsidRPr="004C750C">
        <w:rPr>
          <w:rFonts w:ascii="Book Antiqua" w:hAnsi="Book Antiqua" w:cs="Arial"/>
          <w:sz w:val="24"/>
          <w:szCs w:val="24"/>
          <w:lang w:val="en-US"/>
        </w:rPr>
        <w:t xml:space="preserve">. HAART also affects the hydrolysis of triglyceride-rich lipoproteins and tissue lipase, disrupts normal post-prandial free fatty acid and lipoprotein catabolism and interferes with peripheral fatty acid trapping; all of these </w:t>
      </w:r>
      <w:r w:rsidR="00A257C3" w:rsidRPr="004C750C">
        <w:rPr>
          <w:rFonts w:ascii="Book Antiqua" w:hAnsi="Book Antiqua" w:cs="Arial"/>
          <w:sz w:val="24"/>
          <w:szCs w:val="24"/>
          <w:lang w:val="en-US"/>
        </w:rPr>
        <w:t>e</w:t>
      </w:r>
      <w:r w:rsidRPr="004C750C">
        <w:rPr>
          <w:rFonts w:ascii="Book Antiqua" w:hAnsi="Book Antiqua" w:cs="Arial"/>
          <w:sz w:val="24"/>
          <w:szCs w:val="24"/>
          <w:lang w:val="en-US"/>
        </w:rPr>
        <w:t>ffects could be due to the interaction of these fatty acids with the master transcriptional regulator sterol regulatory element binding protein 1 (SREBP1)</w:t>
      </w:r>
      <w:r w:rsidRPr="004C750C">
        <w:rPr>
          <w:rFonts w:ascii="Book Antiqua" w:hAnsi="Book Antiqua" w:cs="Arial"/>
          <w:sz w:val="24"/>
          <w:szCs w:val="24"/>
          <w:vertAlign w:val="superscript"/>
          <w:lang w:val="en-US"/>
        </w:rPr>
        <w:t>[47-51]</w:t>
      </w:r>
      <w:r w:rsidRPr="004C750C">
        <w:rPr>
          <w:rFonts w:ascii="Book Antiqua" w:hAnsi="Book Antiqua" w:cs="Arial"/>
          <w:sz w:val="24"/>
          <w:szCs w:val="24"/>
          <w:lang w:val="en-US"/>
        </w:rPr>
        <w:t>. Nevertheless, the presence of dyslipidemia in individuals who use HAART therapy is not necessarily accompanied by lipodystrophy and/or an evident insulin resistance, which suggests that the mechanisms involved in these disorders are independent</w:t>
      </w:r>
      <w:r w:rsidRPr="004C750C">
        <w:rPr>
          <w:rFonts w:ascii="Book Antiqua" w:hAnsi="Book Antiqua" w:cs="Arial"/>
          <w:sz w:val="24"/>
          <w:szCs w:val="24"/>
          <w:vertAlign w:val="superscript"/>
          <w:lang w:val="en-US"/>
        </w:rPr>
        <w:t>[44,46,51,52]</w:t>
      </w:r>
      <w:r w:rsidRPr="004C750C">
        <w:rPr>
          <w:rFonts w:ascii="Book Antiqua" w:hAnsi="Book Antiqua" w:cs="Arial"/>
          <w:sz w:val="24"/>
          <w:szCs w:val="24"/>
          <w:lang w:val="en-US"/>
        </w:rPr>
        <w:t>. The NNRTI-based HAART, zidovudine, stavudine or lamivudine, ha</w:t>
      </w:r>
      <w:r w:rsidR="00A257C3" w:rsidRPr="004C750C">
        <w:rPr>
          <w:rFonts w:ascii="Book Antiqua" w:hAnsi="Book Antiqua" w:cs="Arial"/>
          <w:sz w:val="24"/>
          <w:szCs w:val="24"/>
          <w:lang w:val="en-US"/>
        </w:rPr>
        <w:t>ve</w:t>
      </w:r>
      <w:r w:rsidRPr="004C750C">
        <w:rPr>
          <w:rFonts w:ascii="Book Antiqua" w:hAnsi="Book Antiqua" w:cs="Arial"/>
          <w:sz w:val="24"/>
          <w:szCs w:val="24"/>
          <w:lang w:val="en-US"/>
        </w:rPr>
        <w:t xml:space="preserve"> become associated with the occurrence of dyslipidemia; however, lipid metabolism disorders are </w:t>
      </w:r>
      <w:r w:rsidR="00971CBB" w:rsidRPr="004C750C">
        <w:rPr>
          <w:rFonts w:ascii="Book Antiqua" w:hAnsi="Book Antiqua" w:cs="Arial"/>
          <w:sz w:val="24"/>
          <w:szCs w:val="24"/>
          <w:lang w:val="en-US"/>
        </w:rPr>
        <w:t xml:space="preserve">most </w:t>
      </w:r>
      <w:r w:rsidRPr="004C750C">
        <w:rPr>
          <w:rFonts w:ascii="Book Antiqua" w:hAnsi="Book Antiqua" w:cs="Arial"/>
          <w:sz w:val="24"/>
          <w:szCs w:val="24"/>
          <w:lang w:val="en-US"/>
        </w:rPr>
        <w:t>evident in individuals who make use of PI-based therapy</w:t>
      </w:r>
      <w:r w:rsidRPr="004C750C">
        <w:rPr>
          <w:rFonts w:ascii="Book Antiqua" w:hAnsi="Book Antiqua" w:cs="Arial"/>
          <w:sz w:val="24"/>
          <w:szCs w:val="24"/>
          <w:vertAlign w:val="superscript"/>
          <w:lang w:val="en-US"/>
        </w:rPr>
        <w:t>[44,45,52,53]</w:t>
      </w:r>
      <w:r w:rsidRPr="004C750C">
        <w:rPr>
          <w:rFonts w:ascii="Book Antiqua" w:hAnsi="Book Antiqua" w:cs="Arial"/>
          <w:sz w:val="24"/>
          <w:szCs w:val="24"/>
          <w:lang w:val="en-US"/>
        </w:rPr>
        <w:t>. The mechanisms involved in PI-associated dyslipidemia are not fully understood</w:t>
      </w:r>
      <w:r w:rsidR="00971CBB" w:rsidRPr="004C750C">
        <w:rPr>
          <w:rFonts w:ascii="Book Antiqua" w:hAnsi="Book Antiqua" w:cs="Arial"/>
          <w:sz w:val="24"/>
          <w:szCs w:val="24"/>
          <w:lang w:val="en-US"/>
        </w:rPr>
        <w:t>;</w:t>
      </w:r>
      <w:r w:rsidRPr="004C750C">
        <w:rPr>
          <w:rFonts w:ascii="Book Antiqua" w:hAnsi="Book Antiqua" w:cs="Arial"/>
          <w:sz w:val="24"/>
          <w:szCs w:val="24"/>
          <w:lang w:val="en-US"/>
        </w:rPr>
        <w:t xml:space="preserve"> </w:t>
      </w:r>
      <w:r w:rsidR="00971CBB" w:rsidRPr="004C750C">
        <w:rPr>
          <w:rFonts w:ascii="Book Antiqua" w:hAnsi="Book Antiqua" w:cs="Arial"/>
          <w:sz w:val="24"/>
          <w:szCs w:val="24"/>
          <w:lang w:val="en-US"/>
        </w:rPr>
        <w:t>h</w:t>
      </w:r>
      <w:r w:rsidRPr="004C750C">
        <w:rPr>
          <w:rFonts w:ascii="Book Antiqua" w:hAnsi="Book Antiqua" w:cs="Arial"/>
          <w:sz w:val="24"/>
          <w:szCs w:val="24"/>
          <w:lang w:val="en-US"/>
        </w:rPr>
        <w:t>owever, the prevailing hypothesis is based on the structural similarity between the catalytic region of the HIV-1 protease and two homologous human proteins involved in the metabolism of lipids, called cytoplasmic retinoic acid-binding protein type 1 (CRABP-1) and low-density lipoprotein-receptor-related protein type 1 (LRP1)</w:t>
      </w:r>
      <w:r w:rsidR="00DE7C10" w:rsidRPr="004C750C">
        <w:rPr>
          <w:rFonts w:ascii="Book Antiqua" w:hAnsi="Book Antiqua" w:cs="Arial"/>
          <w:sz w:val="24"/>
          <w:szCs w:val="24"/>
          <w:lang w:val="en-US"/>
        </w:rPr>
        <w:t xml:space="preserve"> (</w:t>
      </w:r>
      <w:r w:rsidR="00A17D4F" w:rsidRPr="004C750C">
        <w:rPr>
          <w:rFonts w:ascii="Book Antiqua" w:hAnsi="Book Antiqua" w:cs="Arial"/>
          <w:sz w:val="24"/>
          <w:szCs w:val="24"/>
          <w:lang w:val="en-US"/>
        </w:rPr>
        <w:t>F</w:t>
      </w:r>
      <w:r w:rsidR="00DE7C10" w:rsidRPr="004C750C">
        <w:rPr>
          <w:rFonts w:ascii="Book Antiqua" w:hAnsi="Book Antiqua" w:cs="Arial"/>
          <w:sz w:val="24"/>
          <w:szCs w:val="24"/>
          <w:lang w:val="en-US"/>
        </w:rPr>
        <w:t>igure 2)</w:t>
      </w:r>
      <w:r w:rsidRPr="004C750C">
        <w:rPr>
          <w:rFonts w:ascii="Book Antiqua" w:hAnsi="Book Antiqua" w:cs="Arial"/>
          <w:sz w:val="24"/>
          <w:szCs w:val="24"/>
          <w:lang w:val="en-US"/>
        </w:rPr>
        <w:t>.</w:t>
      </w:r>
    </w:p>
    <w:p w:rsidR="00D81464" w:rsidRPr="004C750C" w:rsidRDefault="00D81464" w:rsidP="004C750C">
      <w:pPr>
        <w:spacing w:after="0" w:line="360" w:lineRule="auto"/>
        <w:jc w:val="both"/>
        <w:rPr>
          <w:rFonts w:ascii="Book Antiqua" w:hAnsi="Book Antiqua" w:cs="Arial"/>
          <w:i/>
          <w:sz w:val="24"/>
          <w:szCs w:val="24"/>
          <w:lang w:val="en-US" w:eastAsia="zh-CN"/>
        </w:rPr>
      </w:pPr>
    </w:p>
    <w:p w:rsidR="004D6D57" w:rsidRPr="004C750C" w:rsidRDefault="004D6D57" w:rsidP="004C750C">
      <w:pPr>
        <w:spacing w:after="0" w:line="360" w:lineRule="auto"/>
        <w:jc w:val="both"/>
        <w:rPr>
          <w:rFonts w:ascii="Book Antiqua" w:hAnsi="Book Antiqua" w:cs="Arial"/>
          <w:b/>
          <w:i/>
          <w:sz w:val="24"/>
          <w:szCs w:val="24"/>
          <w:lang w:val="en-US"/>
        </w:rPr>
      </w:pPr>
      <w:r w:rsidRPr="004C750C">
        <w:rPr>
          <w:rFonts w:ascii="Book Antiqua" w:hAnsi="Book Antiqua" w:cs="Arial"/>
          <w:b/>
          <w:i/>
          <w:sz w:val="24"/>
          <w:szCs w:val="24"/>
          <w:lang w:val="en-US"/>
        </w:rPr>
        <w:t>CRABP-1</w:t>
      </w:r>
    </w:p>
    <w:p w:rsidR="004D6D57" w:rsidRPr="004C750C" w:rsidRDefault="004D6D57"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CRABP-1 exhibits 58% homology in its amino acid sequence of the C-terminal region of the catalytic region of the HIV-1 protease. CRABP-1 usually binds intracellular retinoic acid and presents it to cytochrome P450 (CYP450)</w:t>
      </w:r>
      <w:r w:rsidR="007C5336" w:rsidRPr="004C750C">
        <w:rPr>
          <w:rFonts w:ascii="Book Antiqua" w:hAnsi="Book Antiqua" w:cs="Arial"/>
          <w:sz w:val="24"/>
          <w:szCs w:val="24"/>
          <w:lang w:val="en-US"/>
        </w:rPr>
        <w:t xml:space="preserve"> or</w:t>
      </w:r>
      <w:r w:rsidRPr="004C750C">
        <w:rPr>
          <w:rFonts w:ascii="Book Antiqua" w:hAnsi="Book Antiqua" w:cs="Arial"/>
          <w:sz w:val="24"/>
          <w:szCs w:val="24"/>
          <w:lang w:val="en-US"/>
        </w:rPr>
        <w:t xml:space="preserve"> 3A (CYP3A) enzymes, which convert retinoic acid to cis-9-retinoic acid</w:t>
      </w:r>
      <w:r w:rsidR="007C5336" w:rsidRPr="004C750C">
        <w:rPr>
          <w:rFonts w:ascii="Book Antiqua" w:hAnsi="Book Antiqua" w:cs="Arial"/>
          <w:sz w:val="24"/>
          <w:szCs w:val="24"/>
          <w:lang w:val="en-US"/>
        </w:rPr>
        <w:t xml:space="preserve"> and</w:t>
      </w:r>
      <w:r w:rsidRPr="004C750C">
        <w:rPr>
          <w:rFonts w:ascii="Book Antiqua" w:hAnsi="Book Antiqua" w:cs="Arial"/>
          <w:sz w:val="24"/>
          <w:szCs w:val="24"/>
          <w:lang w:val="en-US"/>
        </w:rPr>
        <w:t xml:space="preserve"> bind to</w:t>
      </w:r>
      <w:r w:rsidR="007C5336" w:rsidRPr="004C750C">
        <w:rPr>
          <w:rFonts w:ascii="Book Antiqua" w:hAnsi="Book Antiqua" w:cs="Arial"/>
          <w:sz w:val="24"/>
          <w:szCs w:val="24"/>
          <w:lang w:val="en-US"/>
        </w:rPr>
        <w:t xml:space="preserve"> the</w:t>
      </w:r>
      <w:r w:rsidRPr="004C750C">
        <w:rPr>
          <w:rFonts w:ascii="Book Antiqua" w:hAnsi="Book Antiqua" w:cs="Arial"/>
          <w:sz w:val="24"/>
          <w:szCs w:val="24"/>
          <w:lang w:val="en-US"/>
        </w:rPr>
        <w:t xml:space="preserve"> retinoid X receptor-peroxisome proliferator-activated receptor γ (RXR-PPARγ) heterodimer, stimulating adipocyte differentiation and inhibiting apoptosis</w:t>
      </w:r>
      <w:r w:rsidRPr="004C750C">
        <w:rPr>
          <w:rFonts w:ascii="Book Antiqua" w:hAnsi="Book Antiqua" w:cs="Arial"/>
          <w:sz w:val="24"/>
          <w:szCs w:val="24"/>
          <w:vertAlign w:val="superscript"/>
          <w:lang w:val="en-US"/>
        </w:rPr>
        <w:t>[20,45,54]</w:t>
      </w:r>
      <w:r w:rsidRPr="004C750C">
        <w:rPr>
          <w:rFonts w:ascii="Book Antiqua" w:hAnsi="Book Antiqua" w:cs="Arial"/>
          <w:sz w:val="24"/>
          <w:szCs w:val="24"/>
          <w:lang w:val="en-US"/>
        </w:rPr>
        <w:t xml:space="preserve">. The PIs </w:t>
      </w:r>
      <w:r w:rsidR="003B6688" w:rsidRPr="004C750C">
        <w:rPr>
          <w:rFonts w:ascii="Book Antiqua" w:hAnsi="Book Antiqua" w:cs="Arial"/>
          <w:sz w:val="24"/>
          <w:szCs w:val="24"/>
          <w:lang w:val="en-US"/>
        </w:rPr>
        <w:t xml:space="preserve">likely </w:t>
      </w:r>
      <w:r w:rsidRPr="004C750C">
        <w:rPr>
          <w:rFonts w:ascii="Book Antiqua" w:hAnsi="Book Antiqua" w:cs="Arial"/>
          <w:sz w:val="24"/>
          <w:szCs w:val="24"/>
          <w:lang w:val="en-US"/>
        </w:rPr>
        <w:t xml:space="preserve">bind to CRABP-1, which is homologous to the viral protease and erroneously inhibits the formation of cis-9-retinoic acid, leading to reduced RXR-PPARy activity, increased apoptosis and diminished proliferation of peripheral adipocytes. Such events cause peripheral lipoatrophy syndrome and hyperlipidemia </w:t>
      </w:r>
      <w:r w:rsidR="00403A99" w:rsidRPr="004C750C">
        <w:rPr>
          <w:rFonts w:ascii="Book Antiqua" w:hAnsi="Book Antiqua" w:cs="Arial"/>
          <w:sz w:val="24"/>
          <w:szCs w:val="24"/>
          <w:lang w:val="en-US"/>
        </w:rPr>
        <w:t>due to</w:t>
      </w:r>
      <w:r w:rsidRPr="004C750C">
        <w:rPr>
          <w:rFonts w:ascii="Book Antiqua" w:hAnsi="Book Antiqua" w:cs="Arial"/>
          <w:sz w:val="24"/>
          <w:szCs w:val="24"/>
          <w:lang w:val="en-US"/>
        </w:rPr>
        <w:t xml:space="preserve"> adipocyte loss, decreased lipid storage and lipid release into the bloodstream. The inhibition of CYP3A by ritonavir is another possible mechanism involved in lipid abnormalities in HIV-1-infected patients and associated PI-based therapy and would promote a reduction in the formation of cis-9-retinoic acid and reduced enzymatic activity of RXR-PPARy. The decrease in RXR-PPARγ activity results in apoptosis </w:t>
      </w:r>
      <w:r w:rsidR="00A10B74" w:rsidRPr="004C750C">
        <w:rPr>
          <w:rFonts w:ascii="Book Antiqua" w:hAnsi="Book Antiqua" w:cs="Arial"/>
          <w:sz w:val="24"/>
          <w:szCs w:val="24"/>
          <w:lang w:val="en-US"/>
        </w:rPr>
        <w:t xml:space="preserve">within </w:t>
      </w:r>
      <w:r w:rsidRPr="004C750C">
        <w:rPr>
          <w:rFonts w:ascii="Book Antiqua" w:hAnsi="Book Antiqua" w:cs="Arial"/>
          <w:sz w:val="24"/>
          <w:szCs w:val="24"/>
          <w:lang w:val="en-US"/>
        </w:rPr>
        <w:t>peripheral adipose stores, decreased adiponectin, and insulin resistance. However, central and visceral adipose stores are spared and expand with weight gain, contributing to insulin resistance</w:t>
      </w:r>
      <w:r w:rsidRPr="004C750C">
        <w:rPr>
          <w:rFonts w:ascii="Book Antiqua" w:hAnsi="Book Antiqua" w:cs="Arial"/>
          <w:sz w:val="24"/>
          <w:szCs w:val="24"/>
          <w:vertAlign w:val="superscript"/>
          <w:lang w:val="en-US"/>
        </w:rPr>
        <w:t>[20,45,54]</w:t>
      </w:r>
      <w:r w:rsidRPr="004C750C">
        <w:rPr>
          <w:rFonts w:ascii="Book Antiqua" w:hAnsi="Book Antiqua" w:cs="Arial"/>
          <w:sz w:val="24"/>
          <w:szCs w:val="24"/>
          <w:lang w:val="en-US"/>
        </w:rPr>
        <w:t xml:space="preserve">. </w:t>
      </w:r>
    </w:p>
    <w:p w:rsidR="00E769B0" w:rsidRPr="004C750C" w:rsidRDefault="00E769B0" w:rsidP="004C750C">
      <w:pPr>
        <w:spacing w:after="0" w:line="360" w:lineRule="auto"/>
        <w:jc w:val="both"/>
        <w:rPr>
          <w:rFonts w:ascii="Book Antiqua" w:hAnsi="Book Antiqua" w:cs="Arial"/>
          <w:sz w:val="24"/>
          <w:szCs w:val="24"/>
          <w:lang w:val="en-US" w:eastAsia="zh-CN"/>
        </w:rPr>
      </w:pPr>
    </w:p>
    <w:p w:rsidR="004D6D57" w:rsidRPr="004C750C" w:rsidRDefault="004D6D57" w:rsidP="004C750C">
      <w:pPr>
        <w:tabs>
          <w:tab w:val="left" w:pos="6125"/>
        </w:tabs>
        <w:spacing w:after="0" w:line="360" w:lineRule="auto"/>
        <w:jc w:val="both"/>
        <w:rPr>
          <w:rFonts w:ascii="Book Antiqua" w:hAnsi="Book Antiqua" w:cs="Arial"/>
          <w:b/>
          <w:i/>
          <w:sz w:val="24"/>
          <w:szCs w:val="24"/>
          <w:lang w:val="en-US"/>
        </w:rPr>
      </w:pPr>
      <w:r w:rsidRPr="004C750C">
        <w:rPr>
          <w:rFonts w:ascii="Book Antiqua" w:hAnsi="Book Antiqua" w:cs="Arial"/>
          <w:b/>
          <w:i/>
          <w:sz w:val="24"/>
          <w:szCs w:val="24"/>
          <w:lang w:val="en-US"/>
        </w:rPr>
        <w:t>LRP</w:t>
      </w:r>
      <w:r w:rsidRPr="004C750C">
        <w:rPr>
          <w:rFonts w:ascii="Book Antiqua" w:hAnsi="Book Antiqua" w:cs="Arial"/>
          <w:b/>
          <w:i/>
          <w:sz w:val="24"/>
          <w:szCs w:val="24"/>
          <w:lang w:val="en-US"/>
        </w:rPr>
        <w:tab/>
      </w:r>
    </w:p>
    <w:p w:rsidR="004D6D57" w:rsidRPr="004C750C" w:rsidRDefault="004D6D57"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LRP share</w:t>
      </w:r>
      <w:r w:rsidR="003861C8" w:rsidRPr="004C750C">
        <w:rPr>
          <w:rFonts w:ascii="Book Antiqua" w:hAnsi="Book Antiqua" w:cs="Arial"/>
          <w:sz w:val="24"/>
          <w:szCs w:val="24"/>
          <w:lang w:val="en-US"/>
        </w:rPr>
        <w:t>s</w:t>
      </w:r>
      <w:r w:rsidRPr="004C750C">
        <w:rPr>
          <w:rFonts w:ascii="Book Antiqua" w:hAnsi="Book Antiqua" w:cs="Arial"/>
          <w:sz w:val="24"/>
          <w:szCs w:val="24"/>
          <w:lang w:val="en-US"/>
        </w:rPr>
        <w:t xml:space="preserve"> 63% homology with the catalytic region of HIV-1 protease. LRP binds to LPL on the capillary endothelium, and the formation of this LRP-LPL complex promotes cleavage o</w:t>
      </w:r>
      <w:r w:rsidR="00D03AFA" w:rsidRPr="004C750C">
        <w:rPr>
          <w:rFonts w:ascii="Book Antiqua" w:hAnsi="Book Antiqua" w:cs="Arial"/>
          <w:sz w:val="24"/>
          <w:szCs w:val="24"/>
          <w:lang w:val="en-US"/>
        </w:rPr>
        <w:t>f fatty acids from TG</w:t>
      </w:r>
      <w:r w:rsidRPr="004C750C">
        <w:rPr>
          <w:rFonts w:ascii="Book Antiqua" w:hAnsi="Book Antiqua" w:cs="Arial"/>
          <w:sz w:val="24"/>
          <w:szCs w:val="24"/>
          <w:lang w:val="en-US"/>
        </w:rPr>
        <w:t xml:space="preserve">, thereby promoting free fatty acid accumulation in peripheral adipocytes. A possible hypothesis is that the binding of PIs to LRP may inhibit the complex normal function of LRP-LPL and interfere with fatty acid storage, leading to hyperlipidemia. This hyperlipidemia is characterized by elevations in cholesterol levels, principally in the LDL and VLDL cholesterol fractions, because fatty acids released into the bloodstream subsequently reach the liver and promote a secondary hepatic synthesis of </w:t>
      </w:r>
      <w:r w:rsidR="00D03AFA" w:rsidRPr="004C750C">
        <w:rPr>
          <w:rFonts w:ascii="Book Antiqua" w:hAnsi="Book Antiqua" w:cs="Arial"/>
          <w:sz w:val="24"/>
          <w:szCs w:val="24"/>
          <w:lang w:val="en-US"/>
        </w:rPr>
        <w:t>TG</w:t>
      </w:r>
      <w:r w:rsidRPr="004C750C">
        <w:rPr>
          <w:rFonts w:ascii="Book Antiqua" w:hAnsi="Book Antiqua" w:cs="Arial"/>
          <w:sz w:val="24"/>
          <w:szCs w:val="24"/>
          <w:lang w:val="en-US"/>
        </w:rPr>
        <w:t xml:space="preserve"> and VLDL</w:t>
      </w:r>
      <w:r w:rsidRPr="004C750C">
        <w:rPr>
          <w:rFonts w:ascii="Book Antiqua" w:hAnsi="Book Antiqua" w:cs="Arial"/>
          <w:sz w:val="24"/>
          <w:szCs w:val="24"/>
          <w:vertAlign w:val="superscript"/>
          <w:lang w:val="en-US"/>
        </w:rPr>
        <w:t>[4,55]</w:t>
      </w:r>
      <w:r w:rsidRPr="004C750C">
        <w:rPr>
          <w:rFonts w:ascii="Book Antiqua" w:hAnsi="Book Antiqua" w:cs="Arial"/>
          <w:sz w:val="24"/>
          <w:szCs w:val="24"/>
          <w:lang w:val="en-US"/>
        </w:rPr>
        <w:t xml:space="preserve">. </w:t>
      </w:r>
    </w:p>
    <w:p w:rsidR="00E769B0" w:rsidRPr="004C750C" w:rsidRDefault="00E769B0" w:rsidP="004C750C">
      <w:pPr>
        <w:spacing w:after="0" w:line="360" w:lineRule="auto"/>
        <w:jc w:val="both"/>
        <w:rPr>
          <w:rFonts w:ascii="Book Antiqua" w:hAnsi="Book Antiqua" w:cs="Arial"/>
          <w:sz w:val="24"/>
          <w:szCs w:val="24"/>
          <w:lang w:val="en-US" w:eastAsia="zh-CN"/>
        </w:rPr>
      </w:pPr>
    </w:p>
    <w:p w:rsidR="004D6D57" w:rsidRPr="004C750C" w:rsidRDefault="004D6D57" w:rsidP="004C750C">
      <w:pPr>
        <w:spacing w:after="0" w:line="360" w:lineRule="auto"/>
        <w:jc w:val="both"/>
        <w:rPr>
          <w:rFonts w:ascii="Book Antiqua" w:hAnsi="Book Antiqua" w:cs="Arial"/>
          <w:b/>
          <w:i/>
          <w:sz w:val="24"/>
          <w:szCs w:val="24"/>
          <w:lang w:val="en-US"/>
        </w:rPr>
      </w:pPr>
      <w:r w:rsidRPr="004C750C">
        <w:rPr>
          <w:rFonts w:ascii="Book Antiqua" w:hAnsi="Book Antiqua" w:cs="Arial"/>
          <w:b/>
          <w:i/>
          <w:sz w:val="24"/>
          <w:szCs w:val="24"/>
          <w:lang w:val="en-US"/>
        </w:rPr>
        <w:t>Mitochondrial alterations</w:t>
      </w:r>
    </w:p>
    <w:p w:rsidR="004D6D57" w:rsidRPr="004C750C" w:rsidRDefault="004D6D57"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Another proposed mechanism for HAART-associated dyslipidemia is the mitochondrial alterations induced by HAART, especially with PI-based therapy. The hypothesis is that the HAART regimen will cause mitochondrial disturbances by inhibiting the mitochondrial DNA (mtDNA)-polymerase γ, leading to mitochondrial DNA depletion, respiratory chain dysfunction and reduced energy production by cells</w:t>
      </w:r>
      <w:r w:rsidRPr="004C750C">
        <w:rPr>
          <w:rFonts w:ascii="Book Antiqua" w:hAnsi="Book Antiqua" w:cs="Arial"/>
          <w:sz w:val="24"/>
          <w:szCs w:val="24"/>
          <w:vertAlign w:val="superscript"/>
          <w:lang w:val="en-US"/>
        </w:rPr>
        <w:t>[56,57]</w:t>
      </w:r>
      <w:r w:rsidRPr="004C750C">
        <w:rPr>
          <w:rFonts w:ascii="Book Antiqua" w:hAnsi="Book Antiqua" w:cs="Arial"/>
          <w:sz w:val="24"/>
          <w:szCs w:val="24"/>
          <w:lang w:val="en-US"/>
        </w:rPr>
        <w:t>. This disturbance in the mitochondrial respiratory chain may promote metabolic disorders in adipocytes, promote lipodystrophy syndrome and increase plasma lipid levels. Moreover, interference between PIs and cellular protease</w:t>
      </w:r>
      <w:r w:rsidR="00742312" w:rsidRPr="004C750C">
        <w:rPr>
          <w:rFonts w:ascii="Book Antiqua" w:hAnsi="Book Antiqua" w:cs="Arial"/>
          <w:sz w:val="24"/>
          <w:szCs w:val="24"/>
          <w:lang w:val="en-US"/>
        </w:rPr>
        <w:t>s</w:t>
      </w:r>
      <w:r w:rsidRPr="004C750C">
        <w:rPr>
          <w:rFonts w:ascii="Book Antiqua" w:hAnsi="Book Antiqua" w:cs="Arial"/>
          <w:sz w:val="24"/>
          <w:szCs w:val="24"/>
          <w:lang w:val="en-US"/>
        </w:rPr>
        <w:t xml:space="preserve"> could also trigger the development of metabolic alterations</w:t>
      </w:r>
      <w:r w:rsidR="00024A75" w:rsidRPr="004C750C">
        <w:rPr>
          <w:rFonts w:ascii="Book Antiqua" w:hAnsi="Book Antiqua" w:cs="Arial"/>
          <w:sz w:val="24"/>
          <w:szCs w:val="24"/>
          <w:lang w:val="en-US"/>
        </w:rPr>
        <w:t xml:space="preserve"> because</w:t>
      </w:r>
      <w:r w:rsidRPr="004C750C">
        <w:rPr>
          <w:rFonts w:ascii="Book Antiqua" w:hAnsi="Book Antiqua" w:cs="Arial"/>
          <w:sz w:val="24"/>
          <w:szCs w:val="24"/>
          <w:lang w:val="en-US"/>
        </w:rPr>
        <w:t xml:space="preserve"> some proteases are essential for mitochondrial biogenesis and metabolic function. Furthermore, functional changes of mitochondria in skeletal tissue promote insulin resistance and consequent dyslipidemia</w:t>
      </w:r>
      <w:r w:rsidRPr="004C750C">
        <w:rPr>
          <w:rFonts w:ascii="Book Antiqua" w:hAnsi="Book Antiqua" w:cs="Arial"/>
          <w:sz w:val="24"/>
          <w:szCs w:val="24"/>
          <w:vertAlign w:val="superscript"/>
          <w:lang w:val="en-US"/>
        </w:rPr>
        <w:t>[56-58]</w:t>
      </w:r>
      <w:r w:rsidRPr="004C750C">
        <w:rPr>
          <w:rFonts w:ascii="Book Antiqua" w:hAnsi="Book Antiqua" w:cs="Arial"/>
          <w:sz w:val="24"/>
          <w:szCs w:val="24"/>
          <w:lang w:val="en-US"/>
        </w:rPr>
        <w:t>.</w:t>
      </w:r>
    </w:p>
    <w:p w:rsidR="00E769B0" w:rsidRPr="004C750C" w:rsidRDefault="00E769B0" w:rsidP="004C750C">
      <w:pPr>
        <w:spacing w:after="0" w:line="360" w:lineRule="auto"/>
        <w:jc w:val="both"/>
        <w:rPr>
          <w:rFonts w:ascii="Book Antiqua" w:hAnsi="Book Antiqua" w:cs="Arial"/>
          <w:sz w:val="24"/>
          <w:szCs w:val="24"/>
          <w:lang w:val="en-US" w:eastAsia="zh-CN"/>
        </w:rPr>
      </w:pPr>
    </w:p>
    <w:p w:rsidR="004D6D57" w:rsidRPr="004C750C" w:rsidRDefault="004D6D57" w:rsidP="004C750C">
      <w:pPr>
        <w:spacing w:after="0" w:line="360" w:lineRule="auto"/>
        <w:jc w:val="both"/>
        <w:rPr>
          <w:rFonts w:ascii="Book Antiqua" w:hAnsi="Book Antiqua" w:cs="Arial"/>
          <w:b/>
          <w:i/>
          <w:sz w:val="24"/>
          <w:szCs w:val="24"/>
          <w:lang w:val="en-US"/>
        </w:rPr>
      </w:pPr>
      <w:r w:rsidRPr="004C750C">
        <w:rPr>
          <w:rFonts w:ascii="Book Antiqua" w:hAnsi="Book Antiqua" w:cs="Arial"/>
          <w:b/>
          <w:i/>
          <w:sz w:val="24"/>
          <w:szCs w:val="24"/>
          <w:lang w:val="en-US"/>
        </w:rPr>
        <w:t>Genetic factors</w:t>
      </w:r>
    </w:p>
    <w:p w:rsidR="004D6D57" w:rsidRPr="004C750C" w:rsidRDefault="004D6D57"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 xml:space="preserve">HAART-associated lipodystrophy and dyslipidemia may be related to genetic predisposition, and studies with HIV-1 patients with hypertriglyceridemia and low HDL subjects were associated with different polymorphisms in the </w:t>
      </w:r>
      <w:r w:rsidRPr="004C750C">
        <w:rPr>
          <w:rFonts w:ascii="Book Antiqua" w:hAnsi="Book Antiqua" w:cs="Arial"/>
          <w:i/>
          <w:sz w:val="24"/>
          <w:szCs w:val="24"/>
          <w:lang w:val="en-US"/>
        </w:rPr>
        <w:t>APOCIII</w:t>
      </w:r>
      <w:r w:rsidRPr="004C750C">
        <w:rPr>
          <w:rFonts w:ascii="Book Antiqua" w:hAnsi="Book Antiqua" w:cs="Arial"/>
          <w:sz w:val="24"/>
          <w:szCs w:val="24"/>
          <w:lang w:val="en-US"/>
        </w:rPr>
        <w:t xml:space="preserve"> gen</w:t>
      </w:r>
      <w:r w:rsidR="007550DB" w:rsidRPr="004C750C">
        <w:rPr>
          <w:rFonts w:ascii="Book Antiqua" w:hAnsi="Book Antiqua" w:cs="Arial"/>
          <w:sz w:val="24"/>
          <w:szCs w:val="24"/>
          <w:lang w:val="en-US"/>
        </w:rPr>
        <w:t>e. P</w:t>
      </w:r>
      <w:r w:rsidRPr="004C750C">
        <w:rPr>
          <w:rFonts w:ascii="Book Antiqua" w:hAnsi="Book Antiqua" w:cs="Arial"/>
          <w:sz w:val="24"/>
          <w:szCs w:val="24"/>
          <w:lang w:val="en-US"/>
        </w:rPr>
        <w:t>romoter polymorphisms -455T</w:t>
      </w:r>
      <w:r w:rsidR="00E769B0"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&gt;</w:t>
      </w:r>
      <w:r w:rsidR="00E769B0"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C and -482C</w:t>
      </w:r>
      <w:r w:rsidR="00E769B0"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&gt;</w:t>
      </w:r>
      <w:r w:rsidR="00E769B0"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 xml:space="preserve">T in the </w:t>
      </w:r>
      <w:r w:rsidRPr="004C750C">
        <w:rPr>
          <w:rFonts w:ascii="Book Antiqua" w:hAnsi="Book Antiqua" w:cs="Arial"/>
          <w:i/>
          <w:sz w:val="24"/>
          <w:szCs w:val="24"/>
          <w:lang w:val="en-US"/>
        </w:rPr>
        <w:t>APOCIII</w:t>
      </w:r>
      <w:r w:rsidRPr="004C750C">
        <w:rPr>
          <w:rFonts w:ascii="Book Antiqua" w:hAnsi="Book Antiqua" w:cs="Arial"/>
          <w:sz w:val="24"/>
          <w:szCs w:val="24"/>
          <w:lang w:val="en-US"/>
        </w:rPr>
        <w:t xml:space="preserve"> gene are both associated with increased levels of </w:t>
      </w:r>
      <w:r w:rsidR="00D03AFA" w:rsidRPr="004C750C">
        <w:rPr>
          <w:rFonts w:ascii="Book Antiqua" w:hAnsi="Book Antiqua" w:cs="Arial"/>
          <w:sz w:val="24"/>
          <w:szCs w:val="24"/>
          <w:lang w:val="en-US"/>
        </w:rPr>
        <w:t>TG</w:t>
      </w:r>
      <w:r w:rsidRPr="004C750C">
        <w:rPr>
          <w:rFonts w:ascii="Book Antiqua" w:hAnsi="Book Antiqua" w:cs="Arial"/>
          <w:sz w:val="24"/>
          <w:szCs w:val="24"/>
          <w:lang w:val="en-US"/>
        </w:rPr>
        <w:t xml:space="preserve"> containing lipoproteins (VLDL) and low HDL values. Carriers of the -455T</w:t>
      </w:r>
      <w:r w:rsidR="00E769B0"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&gt;</w:t>
      </w:r>
      <w:r w:rsidR="00E769B0"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C genetic variant had 30% lower levels of HDL cholesterol compared to those without this polymorphism</w:t>
      </w:r>
      <w:r w:rsidR="0081589D" w:rsidRPr="004C750C">
        <w:rPr>
          <w:rFonts w:ascii="Book Antiqua" w:hAnsi="Book Antiqua" w:cs="Arial"/>
          <w:sz w:val="24"/>
          <w:szCs w:val="24"/>
          <w:lang w:val="en-US"/>
        </w:rPr>
        <w:t>,</w:t>
      </w:r>
      <w:r w:rsidRPr="004C750C">
        <w:rPr>
          <w:rFonts w:ascii="Book Antiqua" w:hAnsi="Book Antiqua" w:cs="Arial"/>
          <w:sz w:val="24"/>
          <w:szCs w:val="24"/>
          <w:lang w:val="en-US"/>
        </w:rPr>
        <w:t xml:space="preserve"> and plasma lipid concentrations increase according to the number of these variant alleles. Another variant nucleoside, the -1131T</w:t>
      </w:r>
      <w:r w:rsidR="00E769B0"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&gt;</w:t>
      </w:r>
      <w:r w:rsidR="00E769B0"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 xml:space="preserve">C promoter polymorphism in the </w:t>
      </w:r>
      <w:r w:rsidRPr="004C750C">
        <w:rPr>
          <w:rFonts w:ascii="Book Antiqua" w:hAnsi="Book Antiqua" w:cs="Arial"/>
          <w:i/>
          <w:sz w:val="24"/>
          <w:szCs w:val="24"/>
          <w:lang w:val="en-US"/>
        </w:rPr>
        <w:t>APOA5</w:t>
      </w:r>
      <w:r w:rsidRPr="004C750C">
        <w:rPr>
          <w:rFonts w:ascii="Book Antiqua" w:hAnsi="Book Antiqua" w:cs="Arial"/>
          <w:sz w:val="24"/>
          <w:szCs w:val="24"/>
          <w:lang w:val="en-US"/>
        </w:rPr>
        <w:t xml:space="preserve"> gene, was associated with hypertriglyceridemia in P</w:t>
      </w:r>
      <w:r w:rsidR="00CA4687" w:rsidRPr="004C750C">
        <w:rPr>
          <w:rFonts w:ascii="Book Antiqua" w:hAnsi="Book Antiqua" w:cs="Arial"/>
          <w:sz w:val="24"/>
          <w:szCs w:val="24"/>
          <w:lang w:val="en-US"/>
        </w:rPr>
        <w:t>I</w:t>
      </w:r>
      <w:r w:rsidRPr="004C750C">
        <w:rPr>
          <w:rFonts w:ascii="Book Antiqua" w:hAnsi="Book Antiqua" w:cs="Arial"/>
          <w:sz w:val="24"/>
          <w:szCs w:val="24"/>
          <w:lang w:val="en-US"/>
        </w:rPr>
        <w:t>-based patients</w:t>
      </w:r>
      <w:r w:rsidRPr="004C750C">
        <w:rPr>
          <w:rFonts w:ascii="Book Antiqua" w:hAnsi="Book Antiqua" w:cs="Arial"/>
          <w:sz w:val="24"/>
          <w:szCs w:val="24"/>
          <w:vertAlign w:val="superscript"/>
          <w:lang w:val="en-US"/>
        </w:rPr>
        <w:t>[59-62]</w:t>
      </w:r>
      <w:r w:rsidRPr="004C750C">
        <w:rPr>
          <w:rFonts w:ascii="Book Antiqua" w:hAnsi="Book Antiqua" w:cs="Arial"/>
          <w:sz w:val="24"/>
          <w:szCs w:val="24"/>
          <w:lang w:val="en-US"/>
        </w:rPr>
        <w:t>.</w:t>
      </w:r>
    </w:p>
    <w:p w:rsidR="00E769B0" w:rsidRPr="004C750C" w:rsidRDefault="00E769B0" w:rsidP="004C750C">
      <w:pPr>
        <w:spacing w:after="0" w:line="360" w:lineRule="auto"/>
        <w:jc w:val="both"/>
        <w:rPr>
          <w:rFonts w:ascii="Book Antiqua" w:hAnsi="Book Antiqua" w:cs="Arial"/>
          <w:sz w:val="24"/>
          <w:szCs w:val="24"/>
          <w:lang w:val="en-US" w:eastAsia="zh-CN"/>
        </w:rPr>
      </w:pPr>
    </w:p>
    <w:p w:rsidR="00B2210C" w:rsidRPr="004C750C" w:rsidRDefault="00B2210C" w:rsidP="004C750C">
      <w:pPr>
        <w:spacing w:after="0" w:line="360" w:lineRule="auto"/>
        <w:jc w:val="both"/>
        <w:rPr>
          <w:rFonts w:ascii="Book Antiqua" w:hAnsi="Book Antiqua" w:cs="Arial"/>
          <w:b/>
          <w:i/>
          <w:sz w:val="24"/>
          <w:szCs w:val="24"/>
          <w:lang w:val="en-US"/>
        </w:rPr>
      </w:pPr>
      <w:r w:rsidRPr="004C750C">
        <w:rPr>
          <w:rFonts w:ascii="Book Antiqua" w:hAnsi="Book Antiqua" w:cs="Arial"/>
          <w:b/>
          <w:i/>
          <w:sz w:val="24"/>
          <w:szCs w:val="24"/>
          <w:lang w:val="en-US"/>
        </w:rPr>
        <w:t>Paraoxonases</w:t>
      </w:r>
    </w:p>
    <w:p w:rsidR="00B2210C" w:rsidRPr="004C750C" w:rsidRDefault="00B2210C"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Changes in antioxidant enzymes, such as the family of paraoxonases (PONs), may partially explain some of the mechanisms involved in HAART-associated dyslipidemia and consequently characterize a higher risk for cardiovascular diseases and atherosclerosis</w:t>
      </w:r>
      <w:r w:rsidRPr="004C750C">
        <w:rPr>
          <w:rFonts w:ascii="Book Antiqua" w:hAnsi="Book Antiqua" w:cs="Arial"/>
          <w:sz w:val="24"/>
          <w:szCs w:val="24"/>
          <w:vertAlign w:val="superscript"/>
          <w:lang w:val="en-US"/>
        </w:rPr>
        <w:t>[63]</w:t>
      </w:r>
      <w:r w:rsidRPr="004C750C">
        <w:rPr>
          <w:rFonts w:ascii="Book Antiqua" w:hAnsi="Book Antiqua" w:cs="Arial"/>
          <w:sz w:val="24"/>
          <w:szCs w:val="24"/>
          <w:lang w:val="en-US"/>
        </w:rPr>
        <w:t>. The hypothesis that the PIs can promote reductions in the activity of PONs and an increased risk for atherosclerotic disease in HIV-1 patients has been shown through previous evidence. PON1 is an antioxidant enzyme present in serum that is strongly associated with apolipoprotein-A1 (apoAl) from HDL and protects LDL against oxidative modifications</w:t>
      </w:r>
      <w:r w:rsidRPr="004C750C">
        <w:rPr>
          <w:rFonts w:ascii="Book Antiqua" w:hAnsi="Book Antiqua" w:cs="Arial"/>
          <w:sz w:val="24"/>
          <w:szCs w:val="24"/>
          <w:vertAlign w:val="superscript"/>
          <w:lang w:val="en-US"/>
        </w:rPr>
        <w:t>[63,64]</w:t>
      </w:r>
      <w:r w:rsidRPr="004C750C">
        <w:rPr>
          <w:rFonts w:ascii="Book Antiqua" w:hAnsi="Book Antiqua" w:cs="Arial"/>
          <w:sz w:val="24"/>
          <w:szCs w:val="24"/>
          <w:lang w:val="en-US"/>
        </w:rPr>
        <w:t>. The action of serum PON1 most likely occurs through the involvement of the enzyme in reverse cholesterol transport, a well-established anti-atherogenic propriety of HDL</w:t>
      </w:r>
      <w:r w:rsidRPr="004C750C">
        <w:rPr>
          <w:rFonts w:ascii="Book Antiqua" w:hAnsi="Book Antiqua" w:cs="Arial"/>
          <w:sz w:val="24"/>
          <w:szCs w:val="24"/>
          <w:vertAlign w:val="superscript"/>
          <w:lang w:val="en-US"/>
        </w:rPr>
        <w:t>[65]</w:t>
      </w:r>
      <w:r w:rsidRPr="004C750C">
        <w:rPr>
          <w:rFonts w:ascii="Book Antiqua" w:hAnsi="Book Antiqua" w:cs="Arial"/>
          <w:sz w:val="24"/>
          <w:szCs w:val="24"/>
          <w:lang w:val="en-US"/>
        </w:rPr>
        <w:t>. PON1 has the ability to inhibit LDL oxidation (oxLDL) and significantly reduce the lipid peroxidase enzyme, which decreases the accumulation of cholesterol in peripheral tissues</w:t>
      </w:r>
      <w:r w:rsidRPr="004C750C">
        <w:rPr>
          <w:rFonts w:ascii="Book Antiqua" w:hAnsi="Book Antiqua" w:cs="Arial"/>
          <w:sz w:val="24"/>
          <w:szCs w:val="24"/>
          <w:vertAlign w:val="superscript"/>
          <w:lang w:val="en-US"/>
        </w:rPr>
        <w:t>[66]</w:t>
      </w:r>
      <w:r w:rsidRPr="004C750C">
        <w:rPr>
          <w:rFonts w:ascii="Book Antiqua" w:hAnsi="Book Antiqua" w:cs="Arial"/>
          <w:sz w:val="24"/>
          <w:szCs w:val="24"/>
          <w:lang w:val="en-US"/>
        </w:rPr>
        <w:t>. The oxidative modification of LDL in the arterial wall plays a central role in the pathogenesis of atherosclerosis, which is characterized by the deposition of lipids and the formation of atherosclerotic plaques that cause narrowing of the blood vessels</w:t>
      </w:r>
      <w:r w:rsidRPr="004C750C">
        <w:rPr>
          <w:rFonts w:ascii="Book Antiqua" w:hAnsi="Book Antiqua" w:cs="Arial"/>
          <w:sz w:val="24"/>
          <w:szCs w:val="24"/>
          <w:vertAlign w:val="superscript"/>
          <w:lang w:val="en-US"/>
        </w:rPr>
        <w:t>[67]</w:t>
      </w:r>
      <w:r w:rsidRPr="004C750C">
        <w:rPr>
          <w:rFonts w:ascii="Book Antiqua" w:hAnsi="Book Antiqua" w:cs="Arial"/>
          <w:sz w:val="24"/>
          <w:szCs w:val="24"/>
          <w:lang w:val="en-US"/>
        </w:rPr>
        <w:t>. The inhibition of LDL oxidation by HDL is attributed to the high antioxidant content of this lipoprotein due to the antioxidant properties of apoA1 and by the presence of other different antioxidant enzymes, such as glutathione peroxidase and PON itself, which prevent the formation of or degrade bioactive products of LDL oxidation</w:t>
      </w:r>
      <w:r w:rsidRPr="004C750C">
        <w:rPr>
          <w:rFonts w:ascii="Book Antiqua" w:hAnsi="Book Antiqua" w:cs="Arial"/>
          <w:sz w:val="24"/>
          <w:szCs w:val="24"/>
          <w:vertAlign w:val="superscript"/>
          <w:lang w:val="en-US"/>
        </w:rPr>
        <w:t>[68]</w:t>
      </w:r>
      <w:r w:rsidRPr="004C750C">
        <w:rPr>
          <w:rFonts w:ascii="Book Antiqua" w:hAnsi="Book Antiqua" w:cs="Arial"/>
          <w:sz w:val="24"/>
          <w:szCs w:val="24"/>
          <w:lang w:val="en-US"/>
        </w:rPr>
        <w:t>. Some studies have shown that the activity of PON1 may be affected and/or inactivated by oxidative stress, which could explain its reduced activity during HIV-1 infection</w:t>
      </w:r>
      <w:r w:rsidRPr="004C750C">
        <w:rPr>
          <w:rFonts w:ascii="Book Antiqua" w:hAnsi="Book Antiqua" w:cs="Arial"/>
          <w:sz w:val="24"/>
          <w:szCs w:val="24"/>
          <w:vertAlign w:val="superscript"/>
          <w:lang w:val="en-US"/>
        </w:rPr>
        <w:t>[63-65]</w:t>
      </w:r>
      <w:r w:rsidRPr="004C750C">
        <w:rPr>
          <w:rFonts w:ascii="Book Antiqua" w:hAnsi="Book Antiqua" w:cs="Arial"/>
          <w:sz w:val="24"/>
          <w:szCs w:val="24"/>
          <w:lang w:val="en-US"/>
        </w:rPr>
        <w:t>. In HIV-1 patients and those who undergo HAART, there is a significant increase in oxidative stress. In turn, in asymptomatic individuals infected with HIV-1 and/or with AIDS, there is an increase in oxidative stress characterized by increased plasma metabolites of lipid peroxidation and/or a quantitative decrease in antioxidants compared to seronegative controls that are considered to be in a healthy condition. Therefore, possible reductions in the activity of PON1 and HDL concentrations may characterize an increased cardiovascular risk in individuals infected with HIV-1</w:t>
      </w:r>
      <w:r w:rsidRPr="004C750C">
        <w:rPr>
          <w:rFonts w:ascii="Book Antiqua" w:hAnsi="Book Antiqua" w:cs="Arial"/>
          <w:sz w:val="24"/>
          <w:szCs w:val="24"/>
          <w:vertAlign w:val="superscript"/>
          <w:lang w:val="en-US"/>
        </w:rPr>
        <w:t>[64,65,69]</w:t>
      </w:r>
      <w:r w:rsidRPr="004C750C">
        <w:rPr>
          <w:rFonts w:ascii="Book Antiqua" w:hAnsi="Book Antiqua" w:cs="Arial"/>
          <w:sz w:val="24"/>
          <w:szCs w:val="24"/>
          <w:lang w:val="en-US"/>
        </w:rPr>
        <w:t xml:space="preserve">. The PON1 activity that was reduced in ART-naïve patients, and restored in patients treated with HAART, suggested that the activity of PON1 is associated with the immune status in HIV-1 patients. However, in individuals treated with lopinavir/ritonavir, even with low plasma viremia, PON1 activity was reduced and a higher atherogenic risk was shown by the high </w:t>
      </w:r>
      <w:r w:rsidR="00C74177" w:rsidRPr="004C750C">
        <w:rPr>
          <w:rFonts w:ascii="Book Antiqua" w:hAnsi="Book Antiqua" w:cs="Arial"/>
          <w:sz w:val="24"/>
          <w:szCs w:val="24"/>
          <w:lang w:val="en-US"/>
        </w:rPr>
        <w:t>TC</w:t>
      </w:r>
      <w:r w:rsidRPr="004C750C">
        <w:rPr>
          <w:rFonts w:ascii="Book Antiqua" w:hAnsi="Book Antiqua" w:cs="Arial"/>
          <w:sz w:val="24"/>
          <w:szCs w:val="24"/>
          <w:lang w:val="en-US"/>
        </w:rPr>
        <w:t>:HDL ratio, suggesting that a PI-based regimen affects the mechanisms involved in the oxidation of LDL, thereby promoting greater atherogenic risk</w:t>
      </w:r>
      <w:r w:rsidRPr="004C750C">
        <w:rPr>
          <w:rFonts w:ascii="Book Antiqua" w:hAnsi="Book Antiqua" w:cs="Arial"/>
          <w:sz w:val="24"/>
          <w:szCs w:val="24"/>
          <w:vertAlign w:val="superscript"/>
          <w:lang w:val="en-US"/>
        </w:rPr>
        <w:t>[63-68]</w:t>
      </w:r>
      <w:r w:rsidRPr="004C750C">
        <w:rPr>
          <w:rFonts w:ascii="Book Antiqua" w:hAnsi="Book Antiqua" w:cs="Arial"/>
          <w:sz w:val="24"/>
          <w:szCs w:val="24"/>
          <w:lang w:val="en-US"/>
        </w:rPr>
        <w:t>.</w:t>
      </w:r>
    </w:p>
    <w:p w:rsidR="004B2ECC" w:rsidRPr="004C750C" w:rsidRDefault="004B2ECC" w:rsidP="004C750C">
      <w:pPr>
        <w:spacing w:after="0" w:line="360" w:lineRule="auto"/>
        <w:jc w:val="both"/>
        <w:rPr>
          <w:rStyle w:val="hps"/>
          <w:rFonts w:ascii="Book Antiqua" w:hAnsi="Book Antiqua" w:cs="Arial"/>
          <w:i/>
          <w:sz w:val="24"/>
          <w:szCs w:val="24"/>
          <w:lang w:val="en-US"/>
        </w:rPr>
      </w:pPr>
    </w:p>
    <w:p w:rsidR="00B2210C" w:rsidRPr="004C750C" w:rsidRDefault="00B2210C" w:rsidP="004C750C">
      <w:pPr>
        <w:spacing w:after="0" w:line="360" w:lineRule="auto"/>
        <w:jc w:val="both"/>
        <w:rPr>
          <w:rStyle w:val="hps"/>
          <w:rFonts w:ascii="Book Antiqua" w:hAnsi="Book Antiqua" w:cs="Arial"/>
          <w:b/>
          <w:i/>
          <w:sz w:val="24"/>
          <w:szCs w:val="24"/>
          <w:lang w:val="en-US"/>
        </w:rPr>
      </w:pPr>
      <w:r w:rsidRPr="004C750C">
        <w:rPr>
          <w:rStyle w:val="hps"/>
          <w:rFonts w:ascii="Book Antiqua" w:hAnsi="Book Antiqua" w:cs="Arial"/>
          <w:b/>
          <w:i/>
          <w:sz w:val="24"/>
          <w:szCs w:val="24"/>
          <w:lang w:val="en-US"/>
        </w:rPr>
        <w:t>LDL oxidation</w:t>
      </w:r>
    </w:p>
    <w:p w:rsidR="009D05FF" w:rsidRPr="004C750C" w:rsidRDefault="003066B9" w:rsidP="004C750C">
      <w:pPr>
        <w:spacing w:after="0" w:line="360" w:lineRule="auto"/>
        <w:jc w:val="both"/>
        <w:rPr>
          <w:rStyle w:val="hps"/>
          <w:rFonts w:ascii="Book Antiqua" w:hAnsi="Book Antiqua" w:cs="Arial"/>
          <w:sz w:val="24"/>
          <w:szCs w:val="24"/>
          <w:lang w:val="en-US"/>
        </w:rPr>
      </w:pPr>
      <w:r w:rsidRPr="004C750C">
        <w:rPr>
          <w:rFonts w:ascii="Book Antiqua" w:eastAsia="Times New Roman" w:hAnsi="Book Antiqua" w:cs="Arial"/>
          <w:sz w:val="24"/>
          <w:szCs w:val="24"/>
          <w:lang w:val="en-US" w:eastAsia="pt-BR"/>
        </w:rPr>
        <w:t>Oxidation is a com</w:t>
      </w:r>
      <w:r w:rsidR="00E769B0" w:rsidRPr="004C750C">
        <w:rPr>
          <w:rFonts w:ascii="Book Antiqua" w:eastAsia="Times New Roman" w:hAnsi="Book Antiqua" w:cs="Arial"/>
          <w:sz w:val="24"/>
          <w:szCs w:val="24"/>
          <w:lang w:val="en-US" w:eastAsia="pt-BR"/>
        </w:rPr>
        <w:t>mon feature in lipid metabolism</w:t>
      </w:r>
      <w:r w:rsidR="00D9640F" w:rsidRPr="004C750C">
        <w:rPr>
          <w:rFonts w:ascii="Book Antiqua" w:eastAsia="Times New Roman" w:hAnsi="Book Antiqua" w:cs="Arial"/>
          <w:sz w:val="24"/>
          <w:szCs w:val="24"/>
          <w:vertAlign w:val="superscript"/>
          <w:lang w:val="en-US" w:eastAsia="pt-BR"/>
        </w:rPr>
        <w:t>[70-72</w:t>
      </w:r>
      <w:r w:rsidRPr="004C750C">
        <w:rPr>
          <w:rFonts w:ascii="Book Antiqua" w:eastAsia="Times New Roman" w:hAnsi="Book Antiqua" w:cs="Arial"/>
          <w:sz w:val="24"/>
          <w:szCs w:val="24"/>
          <w:vertAlign w:val="superscript"/>
          <w:lang w:val="en-US" w:eastAsia="pt-BR"/>
        </w:rPr>
        <w:t>]</w:t>
      </w:r>
      <w:r w:rsidRPr="004C750C">
        <w:rPr>
          <w:rFonts w:ascii="Book Antiqua" w:eastAsia="Times New Roman" w:hAnsi="Book Antiqua" w:cs="Arial"/>
          <w:sz w:val="24"/>
          <w:szCs w:val="24"/>
          <w:lang w:val="en-US" w:eastAsia="pt-BR"/>
        </w:rPr>
        <w:t xml:space="preserve">. </w:t>
      </w:r>
      <w:r w:rsidR="00B2210C" w:rsidRPr="004C750C">
        <w:rPr>
          <w:rStyle w:val="hps"/>
          <w:rFonts w:ascii="Book Antiqua" w:hAnsi="Book Antiqua" w:cs="Arial"/>
          <w:sz w:val="24"/>
          <w:szCs w:val="24"/>
          <w:lang w:val="en-US"/>
        </w:rPr>
        <w:t>Oxidative modifications</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to</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LDL</w:t>
      </w:r>
      <w:r w:rsidR="00B2210C" w:rsidRPr="004C750C">
        <w:rPr>
          <w:rFonts w:ascii="Book Antiqua" w:hAnsi="Book Antiqua" w:cs="Arial"/>
          <w:sz w:val="24"/>
          <w:szCs w:val="24"/>
          <w:lang w:val="en-US"/>
        </w:rPr>
        <w:t xml:space="preserve">, which are </w:t>
      </w:r>
      <w:r w:rsidR="00B2210C" w:rsidRPr="004C750C">
        <w:rPr>
          <w:rStyle w:val="hps"/>
          <w:rFonts w:ascii="Book Antiqua" w:hAnsi="Book Antiqua" w:cs="Arial"/>
          <w:sz w:val="24"/>
          <w:szCs w:val="24"/>
          <w:lang w:val="en-US"/>
        </w:rPr>
        <w:t>considered</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the initial event</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in the pathogenesis of</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atherosclerosis,</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are attributed to</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oxidative stress</w:t>
      </w:r>
      <w:r w:rsidR="00B2210C" w:rsidRPr="004C750C">
        <w:rPr>
          <w:rFonts w:ascii="Book Antiqua" w:hAnsi="Book Antiqua" w:cs="Arial"/>
          <w:sz w:val="24"/>
          <w:szCs w:val="24"/>
          <w:lang w:val="en-US"/>
        </w:rPr>
        <w:t xml:space="preserve"> mechanisms initiated </w:t>
      </w:r>
      <w:r w:rsidR="00B2210C" w:rsidRPr="004C750C">
        <w:rPr>
          <w:rStyle w:val="hps"/>
          <w:rFonts w:ascii="Book Antiqua" w:hAnsi="Book Antiqua" w:cs="Arial"/>
          <w:sz w:val="24"/>
          <w:szCs w:val="24"/>
          <w:lang w:val="en-US"/>
        </w:rPr>
        <w:t>by agents such as</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superoxide</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nitric oxide</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 xml:space="preserve">and hydrogen peroxide that transform LDL </w:t>
      </w:r>
      <w:r w:rsidR="00B2210C" w:rsidRPr="004C750C">
        <w:rPr>
          <w:rFonts w:ascii="Book Antiqua" w:hAnsi="Book Antiqua" w:cs="Arial"/>
          <w:sz w:val="24"/>
          <w:szCs w:val="24"/>
          <w:lang w:val="en-US"/>
        </w:rPr>
        <w:t>into oxLDL</w:t>
      </w:r>
      <w:r w:rsidR="00D9640F" w:rsidRPr="004C750C">
        <w:rPr>
          <w:rFonts w:ascii="Book Antiqua" w:hAnsi="Book Antiqua" w:cs="Arial"/>
          <w:sz w:val="24"/>
          <w:szCs w:val="24"/>
          <w:vertAlign w:val="superscript"/>
          <w:lang w:val="en-US"/>
        </w:rPr>
        <w:t>[73,74</w:t>
      </w:r>
      <w:r w:rsidR="00B2210C" w:rsidRPr="004C750C">
        <w:rPr>
          <w:rFonts w:ascii="Book Antiqua" w:hAnsi="Book Antiqua" w:cs="Arial"/>
          <w:sz w:val="24"/>
          <w:szCs w:val="24"/>
          <w:vertAlign w:val="superscript"/>
          <w:lang w:val="en-US"/>
        </w:rPr>
        <w:t>]</w:t>
      </w:r>
      <w:r w:rsidR="00B2210C" w:rsidRPr="004C750C">
        <w:rPr>
          <w:rStyle w:val="atn"/>
          <w:rFonts w:ascii="Book Antiqua" w:hAnsi="Book Antiqua" w:cs="Arial"/>
          <w:sz w:val="24"/>
          <w:szCs w:val="24"/>
          <w:lang w:val="en-US"/>
        </w:rPr>
        <w:t>.</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The deposition of</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oxLDL</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in the</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arterial</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intimal layer</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promotes</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 cytotoxic effect</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on the vascular endothelium</w:t>
      </w:r>
      <w:r w:rsidR="00B2210C" w:rsidRPr="004C750C">
        <w:rPr>
          <w:rFonts w:ascii="Book Antiqua" w:hAnsi="Book Antiqua" w:cs="Arial"/>
          <w:sz w:val="24"/>
          <w:szCs w:val="24"/>
          <w:lang w:val="en-US"/>
        </w:rPr>
        <w:t xml:space="preserve">, followed by </w:t>
      </w:r>
      <w:r w:rsidR="00B2210C" w:rsidRPr="004C750C">
        <w:rPr>
          <w:rStyle w:val="hps"/>
          <w:rFonts w:ascii="Book Antiqua" w:hAnsi="Book Antiqua" w:cs="Arial"/>
          <w:sz w:val="24"/>
          <w:szCs w:val="24"/>
          <w:lang w:val="en-US"/>
        </w:rPr>
        <w:t>inflammation and</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modification of</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monocytes into</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macrophages</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that</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phagocytose</w:t>
      </w:r>
      <w:r w:rsidR="00B2210C" w:rsidRPr="004C750C">
        <w:rPr>
          <w:rFonts w:ascii="Book Antiqua" w:hAnsi="Book Antiqua" w:cs="Arial"/>
          <w:sz w:val="24"/>
          <w:szCs w:val="24"/>
          <w:lang w:val="en-US"/>
        </w:rPr>
        <w:t xml:space="preserve"> oxLDL </w:t>
      </w:r>
      <w:r w:rsidR="00B2210C" w:rsidRPr="004C750C">
        <w:rPr>
          <w:rStyle w:val="hps"/>
          <w:rFonts w:ascii="Book Antiqua" w:hAnsi="Book Antiqua" w:cs="Arial"/>
          <w:sz w:val="24"/>
          <w:szCs w:val="24"/>
          <w:lang w:val="en-US"/>
        </w:rPr>
        <w:t>particles</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to form</w:t>
      </w:r>
      <w:r w:rsidR="00B2210C" w:rsidRPr="004C750C">
        <w:rPr>
          <w:rFonts w:ascii="Book Antiqua" w:hAnsi="Book Antiqua" w:cs="Arial"/>
          <w:sz w:val="24"/>
          <w:szCs w:val="24"/>
          <w:lang w:val="en-US"/>
        </w:rPr>
        <w:t xml:space="preserve"> the foam cells that accumulate </w:t>
      </w:r>
      <w:r w:rsidR="00B2210C" w:rsidRPr="004C750C">
        <w:rPr>
          <w:rStyle w:val="hps"/>
          <w:rFonts w:ascii="Book Antiqua" w:hAnsi="Book Antiqua" w:cs="Arial"/>
          <w:sz w:val="24"/>
          <w:szCs w:val="24"/>
          <w:lang w:val="en-US"/>
        </w:rPr>
        <w:t>in the intima and lead to the development of atheromatous plaques</w:t>
      </w:r>
      <w:r w:rsidR="00D9640F" w:rsidRPr="004C750C">
        <w:rPr>
          <w:rStyle w:val="hps"/>
          <w:rFonts w:ascii="Book Antiqua" w:hAnsi="Book Antiqua" w:cs="Arial"/>
          <w:sz w:val="24"/>
          <w:szCs w:val="24"/>
          <w:vertAlign w:val="superscript"/>
          <w:lang w:val="en-US"/>
        </w:rPr>
        <w:t>[75</w:t>
      </w:r>
      <w:r w:rsidR="00B2210C" w:rsidRPr="004C750C">
        <w:rPr>
          <w:rStyle w:val="hps"/>
          <w:rFonts w:ascii="Book Antiqua" w:hAnsi="Book Antiqua" w:cs="Arial"/>
          <w:sz w:val="24"/>
          <w:szCs w:val="24"/>
          <w:vertAlign w:val="superscript"/>
          <w:lang w:val="en-US"/>
        </w:rPr>
        <w:t>]</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The</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oxLDL</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particles are immunogenic,</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and serum levels</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of anti</w:t>
      </w:r>
      <w:r w:rsidR="00B2210C" w:rsidRPr="004C750C">
        <w:rPr>
          <w:rStyle w:val="atn"/>
          <w:rFonts w:ascii="Book Antiqua" w:hAnsi="Book Antiqua" w:cs="Arial"/>
          <w:sz w:val="24"/>
          <w:szCs w:val="24"/>
          <w:lang w:val="en-US"/>
        </w:rPr>
        <w:t>-</w:t>
      </w:r>
      <w:r w:rsidR="00B2210C" w:rsidRPr="004C750C">
        <w:rPr>
          <w:rFonts w:ascii="Book Antiqua" w:hAnsi="Book Antiqua" w:cs="Arial"/>
          <w:sz w:val="24"/>
          <w:szCs w:val="24"/>
          <w:lang w:val="en-US"/>
        </w:rPr>
        <w:t xml:space="preserve">oxLDL antibodies (Abs) </w:t>
      </w:r>
      <w:r w:rsidR="00B2210C" w:rsidRPr="004C750C">
        <w:rPr>
          <w:rStyle w:val="hps"/>
          <w:rFonts w:ascii="Book Antiqua" w:hAnsi="Book Antiqua" w:cs="Arial"/>
          <w:sz w:val="24"/>
          <w:szCs w:val="24"/>
          <w:lang w:val="en-US"/>
        </w:rPr>
        <w:t>can be used</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as indicators of</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oxidative stress</w:t>
      </w:r>
      <w:r w:rsidR="00D9640F" w:rsidRPr="004C750C">
        <w:rPr>
          <w:rStyle w:val="hps"/>
          <w:rFonts w:ascii="Book Antiqua" w:hAnsi="Book Antiqua" w:cs="Arial"/>
          <w:sz w:val="24"/>
          <w:szCs w:val="24"/>
          <w:vertAlign w:val="superscript"/>
          <w:lang w:val="en-US"/>
        </w:rPr>
        <w:t>[73-75</w:t>
      </w:r>
      <w:r w:rsidR="00B2210C" w:rsidRPr="004C750C">
        <w:rPr>
          <w:rStyle w:val="hps"/>
          <w:rFonts w:ascii="Book Antiqua" w:hAnsi="Book Antiqua" w:cs="Arial"/>
          <w:sz w:val="24"/>
          <w:szCs w:val="24"/>
          <w:vertAlign w:val="superscript"/>
          <w:lang w:val="en-US"/>
        </w:rPr>
        <w:t>]</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The</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IgG</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anti</w:t>
      </w:r>
      <w:r w:rsidR="00B2210C" w:rsidRPr="004C750C">
        <w:rPr>
          <w:rStyle w:val="atn"/>
          <w:rFonts w:ascii="Book Antiqua" w:hAnsi="Book Antiqua" w:cs="Arial"/>
          <w:sz w:val="24"/>
          <w:szCs w:val="24"/>
          <w:lang w:val="en-US"/>
        </w:rPr>
        <w:t>-</w:t>
      </w:r>
      <w:r w:rsidR="00B2210C" w:rsidRPr="004C750C">
        <w:rPr>
          <w:rFonts w:ascii="Book Antiqua" w:hAnsi="Book Antiqua" w:cs="Arial"/>
          <w:sz w:val="24"/>
          <w:szCs w:val="24"/>
          <w:lang w:val="en-US"/>
        </w:rPr>
        <w:t xml:space="preserve">oxLDL </w:t>
      </w:r>
      <w:r w:rsidR="00B2210C" w:rsidRPr="004C750C">
        <w:rPr>
          <w:rStyle w:val="hps"/>
          <w:rFonts w:ascii="Book Antiqua" w:hAnsi="Book Antiqua" w:cs="Arial"/>
          <w:sz w:val="24"/>
          <w:szCs w:val="24"/>
          <w:lang w:val="en-US"/>
        </w:rPr>
        <w:t>Abs are pro</w:t>
      </w:r>
      <w:r w:rsidR="00B2210C" w:rsidRPr="004C750C">
        <w:rPr>
          <w:rStyle w:val="atn"/>
          <w:rFonts w:ascii="Book Antiqua" w:hAnsi="Book Antiqua" w:cs="Arial"/>
          <w:sz w:val="24"/>
          <w:szCs w:val="24"/>
          <w:lang w:val="en-US"/>
        </w:rPr>
        <w:t>-</w:t>
      </w:r>
      <w:r w:rsidR="00B2210C" w:rsidRPr="004C750C">
        <w:rPr>
          <w:rFonts w:ascii="Book Antiqua" w:hAnsi="Book Antiqua" w:cs="Arial"/>
          <w:sz w:val="24"/>
          <w:szCs w:val="24"/>
          <w:lang w:val="en-US"/>
        </w:rPr>
        <w:t xml:space="preserve">atherogenic and can </w:t>
      </w:r>
      <w:r w:rsidR="00B2210C" w:rsidRPr="004C750C">
        <w:rPr>
          <w:rStyle w:val="hps"/>
          <w:rFonts w:ascii="Book Antiqua" w:hAnsi="Book Antiqua" w:cs="Arial"/>
          <w:sz w:val="24"/>
          <w:szCs w:val="24"/>
          <w:lang w:val="en-US"/>
        </w:rPr>
        <w:t>predict the</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progression of</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coronary</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and carotid</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atherosclerosis</w:t>
      </w:r>
      <w:r w:rsidR="00B2210C" w:rsidRPr="004C750C">
        <w:rPr>
          <w:rFonts w:ascii="Book Antiqua" w:hAnsi="Book Antiqua" w:cs="Arial"/>
          <w:sz w:val="24"/>
          <w:szCs w:val="24"/>
          <w:lang w:val="en-US"/>
        </w:rPr>
        <w:t xml:space="preserve">, whereas </w:t>
      </w:r>
      <w:r w:rsidR="00B2210C" w:rsidRPr="004C750C">
        <w:rPr>
          <w:rStyle w:val="hps"/>
          <w:rFonts w:ascii="Book Antiqua" w:hAnsi="Book Antiqua" w:cs="Arial"/>
          <w:sz w:val="24"/>
          <w:szCs w:val="24"/>
          <w:lang w:val="en-US"/>
        </w:rPr>
        <w:t>IgM</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anti</w:t>
      </w:r>
      <w:r w:rsidR="00B2210C" w:rsidRPr="004C750C">
        <w:rPr>
          <w:rStyle w:val="atn"/>
          <w:rFonts w:ascii="Book Antiqua" w:hAnsi="Book Antiqua" w:cs="Arial"/>
          <w:sz w:val="24"/>
          <w:szCs w:val="24"/>
          <w:lang w:val="en-US"/>
        </w:rPr>
        <w:t>-</w:t>
      </w:r>
      <w:r w:rsidR="00B2210C" w:rsidRPr="004C750C">
        <w:rPr>
          <w:rFonts w:ascii="Book Antiqua" w:hAnsi="Book Antiqua" w:cs="Arial"/>
          <w:sz w:val="24"/>
          <w:szCs w:val="24"/>
          <w:lang w:val="en-US"/>
        </w:rPr>
        <w:t xml:space="preserve">oxLDL </w:t>
      </w:r>
      <w:r w:rsidR="00B2210C" w:rsidRPr="004C750C">
        <w:rPr>
          <w:rStyle w:val="hps"/>
          <w:rFonts w:ascii="Book Antiqua" w:hAnsi="Book Antiqua" w:cs="Arial"/>
          <w:sz w:val="24"/>
          <w:szCs w:val="24"/>
          <w:lang w:val="en-US"/>
        </w:rPr>
        <w:t>Abs</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appear to be</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associated with</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possible protective role</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against the development of</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atheromatous plaques</w:t>
      </w:r>
      <w:r w:rsidR="00D9640F" w:rsidRPr="004C750C">
        <w:rPr>
          <w:rStyle w:val="hps"/>
          <w:rFonts w:ascii="Book Antiqua" w:hAnsi="Book Antiqua" w:cs="Arial"/>
          <w:sz w:val="24"/>
          <w:szCs w:val="24"/>
          <w:vertAlign w:val="superscript"/>
          <w:lang w:val="en-US"/>
        </w:rPr>
        <w:t>[76</w:t>
      </w:r>
      <w:r w:rsidR="00B2210C" w:rsidRPr="004C750C">
        <w:rPr>
          <w:rStyle w:val="hps"/>
          <w:rFonts w:ascii="Book Antiqua" w:hAnsi="Book Antiqua" w:cs="Arial"/>
          <w:sz w:val="24"/>
          <w:szCs w:val="24"/>
          <w:vertAlign w:val="superscript"/>
          <w:lang w:val="en-US"/>
        </w:rPr>
        <w:t>]</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During</w:t>
      </w:r>
      <w:r w:rsidR="00B2210C" w:rsidRPr="004C750C">
        <w:rPr>
          <w:rFonts w:ascii="Book Antiqua" w:hAnsi="Book Antiqua" w:cs="Arial"/>
          <w:sz w:val="24"/>
          <w:szCs w:val="24"/>
          <w:lang w:val="en-US"/>
        </w:rPr>
        <w:t xml:space="preserve"> the </w:t>
      </w:r>
      <w:r w:rsidR="00B2210C" w:rsidRPr="004C750C">
        <w:rPr>
          <w:rStyle w:val="hps"/>
          <w:rFonts w:ascii="Book Antiqua" w:hAnsi="Book Antiqua" w:cs="Arial"/>
          <w:sz w:val="24"/>
          <w:szCs w:val="24"/>
          <w:lang w:val="en-US"/>
        </w:rPr>
        <w:t>process of infection by HIV-1,</w:t>
      </w:r>
      <w:r w:rsidR="00B2210C" w:rsidRPr="004C750C">
        <w:rPr>
          <w:rFonts w:ascii="Book Antiqua" w:hAnsi="Book Antiqua" w:cs="Arial"/>
          <w:sz w:val="24"/>
          <w:szCs w:val="24"/>
          <w:lang w:val="en-US"/>
        </w:rPr>
        <w:t xml:space="preserve"> </w:t>
      </w:r>
      <w:r w:rsidR="00B2210C" w:rsidRPr="004C750C">
        <w:rPr>
          <w:rStyle w:val="hpsalt-edited"/>
          <w:rFonts w:ascii="Book Antiqua" w:hAnsi="Book Antiqua" w:cs="Arial"/>
          <w:sz w:val="24"/>
          <w:szCs w:val="24"/>
          <w:lang w:val="en-US"/>
        </w:rPr>
        <w:t xml:space="preserve">the increase in </w:t>
      </w:r>
      <w:r w:rsidR="00B2210C" w:rsidRPr="004C750C">
        <w:rPr>
          <w:rStyle w:val="hps"/>
          <w:rFonts w:ascii="Book Antiqua" w:hAnsi="Book Antiqua" w:cs="Arial"/>
          <w:sz w:val="24"/>
          <w:szCs w:val="24"/>
          <w:lang w:val="en-US"/>
        </w:rPr>
        <w:t>atherogenic risk results from changes</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in lipid metabolism associated with</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the</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severity, duration,</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and stages of</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infection</w:t>
      </w:r>
      <w:r w:rsidR="00B2210C" w:rsidRPr="004C750C">
        <w:rPr>
          <w:rFonts w:ascii="Book Antiqua" w:hAnsi="Book Antiqua" w:cs="Arial"/>
          <w:sz w:val="24"/>
          <w:szCs w:val="24"/>
          <w:lang w:val="en-US"/>
        </w:rPr>
        <w:t>.</w:t>
      </w:r>
      <w:r w:rsidR="00B2210C" w:rsidRPr="004C750C">
        <w:rPr>
          <w:rStyle w:val="hps"/>
          <w:rFonts w:ascii="Book Antiqua" w:hAnsi="Book Antiqua" w:cs="Arial"/>
          <w:sz w:val="24"/>
          <w:szCs w:val="24"/>
          <w:lang w:val="en-US"/>
        </w:rPr>
        <w:t xml:space="preserve"> </w:t>
      </w:r>
      <w:r w:rsidR="00B2210C" w:rsidRPr="004C750C">
        <w:rPr>
          <w:rStyle w:val="hpsalt-edited"/>
          <w:rFonts w:ascii="Book Antiqua" w:hAnsi="Book Antiqua" w:cs="Arial"/>
          <w:sz w:val="24"/>
          <w:szCs w:val="24"/>
          <w:lang w:val="en-US"/>
        </w:rPr>
        <w:t>Different degrees of</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lipodystrophy</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occur</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in patients along with a decrease in</w:t>
      </w:r>
      <w:r w:rsidR="00B2210C" w:rsidRPr="004C750C">
        <w:rPr>
          <w:rFonts w:ascii="Book Antiqua" w:hAnsi="Book Antiqua" w:cs="Arial"/>
          <w:sz w:val="24"/>
          <w:szCs w:val="24"/>
          <w:lang w:val="en-US"/>
        </w:rPr>
        <w:t xml:space="preserve"> </w:t>
      </w:r>
      <w:r w:rsidR="00B2210C" w:rsidRPr="004C750C">
        <w:rPr>
          <w:rStyle w:val="hpsatn"/>
          <w:rFonts w:ascii="Book Antiqua" w:hAnsi="Book Antiqua" w:cs="Arial"/>
          <w:sz w:val="24"/>
          <w:szCs w:val="24"/>
          <w:lang w:val="en-US"/>
        </w:rPr>
        <w:t xml:space="preserve">LDL </w:t>
      </w:r>
      <w:r w:rsidR="00B2210C" w:rsidRPr="004C750C">
        <w:rPr>
          <w:rFonts w:ascii="Book Antiqua" w:hAnsi="Book Antiqua" w:cs="Arial"/>
          <w:sz w:val="24"/>
          <w:szCs w:val="24"/>
          <w:lang w:val="en-US"/>
        </w:rPr>
        <w:t xml:space="preserve">receptor expression, which could </w:t>
      </w:r>
      <w:r w:rsidR="00B2210C" w:rsidRPr="004C750C">
        <w:rPr>
          <w:rStyle w:val="hps"/>
          <w:rFonts w:ascii="Book Antiqua" w:hAnsi="Book Antiqua" w:cs="Arial"/>
          <w:sz w:val="24"/>
          <w:szCs w:val="24"/>
          <w:lang w:val="en-US"/>
        </w:rPr>
        <w:t>lead to increased</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oxidation of</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LDL particles</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and the consequent</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development of atherosclerosis</w:t>
      </w:r>
      <w:r w:rsidR="00D9640F" w:rsidRPr="004C750C">
        <w:rPr>
          <w:rStyle w:val="hps"/>
          <w:rFonts w:ascii="Book Antiqua" w:hAnsi="Book Antiqua" w:cs="Arial"/>
          <w:sz w:val="24"/>
          <w:szCs w:val="24"/>
          <w:vertAlign w:val="superscript"/>
          <w:lang w:val="en-US"/>
        </w:rPr>
        <w:t>[77</w:t>
      </w:r>
      <w:r w:rsidR="00B2210C" w:rsidRPr="004C750C">
        <w:rPr>
          <w:rStyle w:val="hps"/>
          <w:rFonts w:ascii="Book Antiqua" w:hAnsi="Book Antiqua" w:cs="Arial"/>
          <w:sz w:val="24"/>
          <w:szCs w:val="24"/>
          <w:vertAlign w:val="superscript"/>
          <w:lang w:val="en-US"/>
        </w:rPr>
        <w:t>]</w:t>
      </w:r>
      <w:r w:rsidR="00B2210C" w:rsidRPr="004C750C">
        <w:rPr>
          <w:rFonts w:ascii="Book Antiqua" w:hAnsi="Book Antiqua" w:cs="Arial"/>
          <w:sz w:val="24"/>
          <w:szCs w:val="24"/>
          <w:lang w:val="en-US"/>
        </w:rPr>
        <w:t xml:space="preserve">. </w:t>
      </w:r>
      <w:r w:rsidR="00B2210C" w:rsidRPr="004C750C">
        <w:rPr>
          <w:rFonts w:ascii="Book Antiqua" w:eastAsia="Times New Roman" w:hAnsi="Book Antiqua" w:cs="Arial"/>
          <w:sz w:val="24"/>
          <w:szCs w:val="24"/>
          <w:lang w:val="en-US" w:eastAsia="fr-FR"/>
        </w:rPr>
        <w:t>HIV-1 patients</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treated with</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lopinavir/ritonavir</w:t>
      </w:r>
      <w:r w:rsidR="00B2210C" w:rsidRPr="004C750C">
        <w:rPr>
          <w:rFonts w:ascii="Book Antiqua" w:hAnsi="Book Antiqua" w:cs="Arial"/>
          <w:sz w:val="24"/>
          <w:szCs w:val="24"/>
          <w:lang w:val="en-US"/>
        </w:rPr>
        <w:t xml:space="preserve"> have </w:t>
      </w:r>
      <w:r w:rsidR="00B2210C" w:rsidRPr="004C750C">
        <w:rPr>
          <w:rStyle w:val="hpsalt-edited"/>
          <w:rFonts w:ascii="Book Antiqua" w:hAnsi="Book Antiqua" w:cs="Arial"/>
          <w:sz w:val="24"/>
          <w:szCs w:val="24"/>
          <w:lang w:val="en-US"/>
        </w:rPr>
        <w:t>shown</w:t>
      </w:r>
      <w:r w:rsidR="00B2210C" w:rsidRPr="004C750C">
        <w:rPr>
          <w:rFonts w:ascii="Book Antiqua" w:hAnsi="Book Antiqua" w:cs="Arial"/>
          <w:sz w:val="24"/>
          <w:szCs w:val="24"/>
          <w:lang w:val="en-US"/>
        </w:rPr>
        <w:t xml:space="preserve"> </w:t>
      </w:r>
      <w:r w:rsidR="00B2210C" w:rsidRPr="004C750C">
        <w:rPr>
          <w:rStyle w:val="hps"/>
          <w:rFonts w:ascii="Book Antiqua" w:hAnsi="Book Antiqua" w:cs="Arial"/>
          <w:sz w:val="24"/>
          <w:szCs w:val="24"/>
          <w:lang w:val="en-US"/>
        </w:rPr>
        <w:t>higher levels of</w:t>
      </w:r>
      <w:r w:rsidR="00B2210C" w:rsidRPr="004C750C">
        <w:rPr>
          <w:rFonts w:ascii="Book Antiqua" w:hAnsi="Book Antiqua" w:cs="Arial"/>
          <w:sz w:val="24"/>
          <w:szCs w:val="24"/>
          <w:lang w:val="en-US"/>
        </w:rPr>
        <w:t xml:space="preserve"> IgG </w:t>
      </w:r>
      <w:r w:rsidR="00B2210C" w:rsidRPr="004C750C">
        <w:rPr>
          <w:rStyle w:val="hps"/>
          <w:rFonts w:ascii="Book Antiqua" w:hAnsi="Book Antiqua" w:cs="Arial"/>
          <w:sz w:val="24"/>
          <w:szCs w:val="24"/>
          <w:lang w:val="en-US"/>
        </w:rPr>
        <w:t>anti</w:t>
      </w:r>
      <w:r w:rsidR="00B2210C" w:rsidRPr="004C750C">
        <w:rPr>
          <w:rStyle w:val="atn"/>
          <w:rFonts w:ascii="Book Antiqua" w:hAnsi="Book Antiqua" w:cs="Arial"/>
          <w:sz w:val="24"/>
          <w:szCs w:val="24"/>
          <w:lang w:val="en-US"/>
        </w:rPr>
        <w:t>-</w:t>
      </w:r>
      <w:r w:rsidR="00B2210C" w:rsidRPr="004C750C">
        <w:rPr>
          <w:rFonts w:ascii="Book Antiqua" w:hAnsi="Book Antiqua" w:cs="Arial"/>
          <w:sz w:val="24"/>
          <w:szCs w:val="24"/>
          <w:lang w:val="en-US"/>
        </w:rPr>
        <w:t>oxLDL Abs</w:t>
      </w:r>
      <w:r w:rsidR="00B2210C" w:rsidRPr="004C750C">
        <w:rPr>
          <w:rStyle w:val="hps"/>
          <w:rFonts w:ascii="Book Antiqua" w:hAnsi="Book Antiqua" w:cs="Arial"/>
          <w:sz w:val="24"/>
          <w:szCs w:val="24"/>
          <w:lang w:val="en-US"/>
        </w:rPr>
        <w:t xml:space="preserve"> compared to</w:t>
      </w:r>
      <w:r w:rsidR="00B2210C" w:rsidRPr="004C750C">
        <w:rPr>
          <w:rFonts w:ascii="Book Antiqua" w:hAnsi="Book Antiqua" w:cs="Arial"/>
          <w:sz w:val="24"/>
          <w:szCs w:val="24"/>
          <w:lang w:val="en-US"/>
        </w:rPr>
        <w:t xml:space="preserve"> patients treated with efavirenz </w:t>
      </w:r>
      <w:r w:rsidR="00B2210C" w:rsidRPr="004C750C">
        <w:rPr>
          <w:rStyle w:val="hps"/>
          <w:rFonts w:ascii="Book Antiqua" w:hAnsi="Book Antiqua" w:cs="Arial"/>
          <w:sz w:val="24"/>
          <w:szCs w:val="24"/>
          <w:lang w:val="en-US"/>
        </w:rPr>
        <w:t xml:space="preserve">or nevirapine regimens, </w:t>
      </w:r>
      <w:r w:rsidR="00B2210C" w:rsidRPr="004C750C">
        <w:rPr>
          <w:rFonts w:ascii="Book Antiqua" w:hAnsi="Book Antiqua" w:cs="Arial"/>
          <w:sz w:val="24"/>
          <w:szCs w:val="24"/>
          <w:lang w:val="en-US"/>
        </w:rPr>
        <w:t xml:space="preserve">and these levels </w:t>
      </w:r>
      <w:r w:rsidR="00B2210C" w:rsidRPr="004C750C">
        <w:rPr>
          <w:rStyle w:val="hps"/>
          <w:rFonts w:ascii="Book Antiqua" w:hAnsi="Book Antiqua" w:cs="Arial"/>
          <w:sz w:val="24"/>
          <w:szCs w:val="24"/>
          <w:lang w:val="en-US"/>
        </w:rPr>
        <w:t>were associated with</w:t>
      </w:r>
      <w:r w:rsidR="00B2210C" w:rsidRPr="004C750C">
        <w:rPr>
          <w:rFonts w:ascii="Book Antiqua" w:hAnsi="Book Antiqua" w:cs="Arial"/>
          <w:sz w:val="24"/>
          <w:szCs w:val="24"/>
          <w:lang w:val="en-US"/>
        </w:rPr>
        <w:t xml:space="preserve"> an increase in the </w:t>
      </w:r>
      <w:r w:rsidR="00B2210C" w:rsidRPr="004C750C">
        <w:rPr>
          <w:rStyle w:val="hps"/>
          <w:rFonts w:ascii="Book Antiqua" w:hAnsi="Book Antiqua" w:cs="Arial"/>
          <w:sz w:val="24"/>
          <w:szCs w:val="24"/>
          <w:lang w:val="en-US"/>
        </w:rPr>
        <w:t>atherogenic indices</w:t>
      </w:r>
      <w:r w:rsidR="00B2210C" w:rsidRPr="004C750C">
        <w:rPr>
          <w:rStyle w:val="hps"/>
          <w:rFonts w:ascii="Book Antiqua" w:hAnsi="Book Antiqua" w:cs="Arial"/>
          <w:sz w:val="24"/>
          <w:szCs w:val="24"/>
          <w:vertAlign w:val="superscript"/>
          <w:lang w:val="en-US"/>
        </w:rPr>
        <w:t>[7</w:t>
      </w:r>
      <w:r w:rsidR="00D9640F" w:rsidRPr="004C750C">
        <w:rPr>
          <w:rStyle w:val="hps"/>
          <w:rFonts w:ascii="Book Antiqua" w:hAnsi="Book Antiqua" w:cs="Arial"/>
          <w:sz w:val="24"/>
          <w:szCs w:val="24"/>
          <w:vertAlign w:val="superscript"/>
          <w:lang w:val="en-US"/>
        </w:rPr>
        <w:t>5-77</w:t>
      </w:r>
      <w:r w:rsidR="00B2210C" w:rsidRPr="004C750C">
        <w:rPr>
          <w:rStyle w:val="hps"/>
          <w:rFonts w:ascii="Book Antiqua" w:hAnsi="Book Antiqua" w:cs="Arial"/>
          <w:sz w:val="24"/>
          <w:szCs w:val="24"/>
          <w:vertAlign w:val="superscript"/>
          <w:lang w:val="en-US"/>
        </w:rPr>
        <w:t>]</w:t>
      </w:r>
      <w:r w:rsidR="00B2210C" w:rsidRPr="004C750C">
        <w:rPr>
          <w:rStyle w:val="hps"/>
          <w:rFonts w:ascii="Book Antiqua" w:hAnsi="Book Antiqua" w:cs="Arial"/>
          <w:sz w:val="24"/>
          <w:szCs w:val="24"/>
          <w:lang w:val="en-US"/>
        </w:rPr>
        <w:t>.</w:t>
      </w:r>
    </w:p>
    <w:p w:rsidR="008120C5" w:rsidRPr="004C750C" w:rsidRDefault="008120C5" w:rsidP="004C750C">
      <w:pPr>
        <w:spacing w:after="0" w:line="360" w:lineRule="auto"/>
        <w:jc w:val="both"/>
        <w:rPr>
          <w:rFonts w:ascii="Book Antiqua" w:hAnsi="Book Antiqua" w:cs="Arial"/>
          <w:b/>
          <w:sz w:val="24"/>
          <w:szCs w:val="24"/>
          <w:lang w:val="en-US"/>
        </w:rPr>
      </w:pPr>
    </w:p>
    <w:p w:rsidR="009D05FF" w:rsidRPr="004C750C" w:rsidRDefault="00E769B0"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HAART-ASSOCIATED LIPODYSTROPHY</w:t>
      </w:r>
    </w:p>
    <w:p w:rsidR="00B32631" w:rsidRPr="004C750C" w:rsidRDefault="009D05FF" w:rsidP="004C750C">
      <w:pPr>
        <w:spacing w:after="0" w:line="360" w:lineRule="auto"/>
        <w:jc w:val="both"/>
        <w:rPr>
          <w:rFonts w:ascii="Book Antiqua" w:hAnsi="Book Antiqua" w:cs="Arial"/>
          <w:sz w:val="24"/>
          <w:szCs w:val="24"/>
          <w:lang w:val="en-US"/>
        </w:rPr>
      </w:pPr>
      <w:r w:rsidRPr="004C750C">
        <w:rPr>
          <w:rStyle w:val="highlight"/>
          <w:rFonts w:ascii="Book Antiqua" w:hAnsi="Book Antiqua" w:cs="Arial"/>
          <w:sz w:val="24"/>
          <w:szCs w:val="24"/>
          <w:lang w:val="en-US"/>
        </w:rPr>
        <w:t>Lipodystrophy is</w:t>
      </w:r>
      <w:r w:rsidRPr="004C750C">
        <w:rPr>
          <w:rFonts w:ascii="Book Antiqua" w:hAnsi="Book Antiqua" w:cs="Arial"/>
          <w:sz w:val="24"/>
          <w:szCs w:val="24"/>
          <w:lang w:val="en-US"/>
        </w:rPr>
        <w:t xml:space="preserve"> a syndrome that includes peripheral fat wasting and central obesity and is a well-documented side effect of HAART (</w:t>
      </w:r>
      <w:r w:rsidR="003941CE" w:rsidRPr="004C750C">
        <w:rPr>
          <w:rFonts w:ascii="Book Antiqua" w:hAnsi="Book Antiqua" w:cs="Arial"/>
          <w:sz w:val="24"/>
          <w:szCs w:val="24"/>
          <w:lang w:val="en-US"/>
        </w:rPr>
        <w:t>T</w:t>
      </w:r>
      <w:r w:rsidR="002D665D" w:rsidRPr="004C750C">
        <w:rPr>
          <w:rFonts w:ascii="Book Antiqua" w:hAnsi="Book Antiqua" w:cs="Arial"/>
          <w:sz w:val="24"/>
          <w:szCs w:val="24"/>
          <w:lang w:val="en-US"/>
        </w:rPr>
        <w:t>able</w:t>
      </w:r>
      <w:r w:rsidRPr="004C750C">
        <w:rPr>
          <w:rFonts w:ascii="Book Antiqua" w:hAnsi="Book Antiqua" w:cs="Arial"/>
          <w:sz w:val="24"/>
          <w:szCs w:val="24"/>
          <w:lang w:val="en-US"/>
        </w:rPr>
        <w:t xml:space="preserve"> 3)</w:t>
      </w:r>
      <w:r w:rsidR="00D9640F" w:rsidRPr="004C750C">
        <w:rPr>
          <w:rFonts w:ascii="Book Antiqua" w:hAnsi="Book Antiqua" w:cs="Arial"/>
          <w:sz w:val="24"/>
          <w:szCs w:val="24"/>
          <w:vertAlign w:val="superscript"/>
          <w:lang w:val="en-US"/>
        </w:rPr>
        <w:t>[16,48,78</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In addition to the decrease in the expression of LDL receptors, and a consequent increase in serum concentrations of LDL, the most obvious mechanism</w:t>
      </w:r>
      <w:r w:rsidR="00C14029" w:rsidRPr="004C750C">
        <w:rPr>
          <w:rFonts w:ascii="Book Antiqua" w:hAnsi="Book Antiqua" w:cs="Arial"/>
          <w:sz w:val="24"/>
          <w:szCs w:val="24"/>
          <w:lang w:val="en-US"/>
        </w:rPr>
        <w:t>s</w:t>
      </w:r>
      <w:r w:rsidRPr="004C750C">
        <w:rPr>
          <w:rFonts w:ascii="Book Antiqua" w:hAnsi="Book Antiqua" w:cs="Arial"/>
          <w:sz w:val="24"/>
          <w:szCs w:val="24"/>
          <w:lang w:val="en-US"/>
        </w:rPr>
        <w:t xml:space="preserve"> in</w:t>
      </w:r>
      <w:r w:rsidR="00C14029" w:rsidRPr="004C750C">
        <w:rPr>
          <w:rFonts w:ascii="Book Antiqua" w:hAnsi="Book Antiqua" w:cs="Arial"/>
          <w:sz w:val="24"/>
          <w:szCs w:val="24"/>
          <w:lang w:val="en-US"/>
        </w:rPr>
        <w:t>volved in</w:t>
      </w:r>
      <w:r w:rsidRPr="004C750C">
        <w:rPr>
          <w:rFonts w:ascii="Book Antiqua" w:hAnsi="Book Antiqua" w:cs="Arial"/>
          <w:sz w:val="24"/>
          <w:szCs w:val="24"/>
          <w:lang w:val="en-US"/>
        </w:rPr>
        <w:t xml:space="preserve"> HAART-associated lipodystrophy and dyslipidemia are the mitochondrial changes induced by HAART</w:t>
      </w:r>
      <w:r w:rsidRPr="004C750C">
        <w:rPr>
          <w:rFonts w:ascii="Book Antiqua" w:hAnsi="Book Antiqua" w:cs="Arial"/>
          <w:sz w:val="24"/>
          <w:szCs w:val="24"/>
          <w:vertAlign w:val="superscript"/>
          <w:lang w:val="en-US"/>
        </w:rPr>
        <w:t>[13,56-58]</w:t>
      </w:r>
      <w:r w:rsidRPr="004C750C">
        <w:rPr>
          <w:rFonts w:ascii="Book Antiqua" w:hAnsi="Book Antiqua" w:cs="Arial"/>
          <w:sz w:val="24"/>
          <w:szCs w:val="24"/>
          <w:lang w:val="en-US"/>
        </w:rPr>
        <w:t>. The inhibition of mtDNA-polymerase γ, which leads to mitochondrial DNA depletion in respiratory chain dysfunction and a reduced energy production in cells, may promote metabolic disorders in adipocytes and promote increased lipodystrophy syndrome and plasma lipid levels</w:t>
      </w:r>
      <w:r w:rsidR="00D9640F" w:rsidRPr="004C750C">
        <w:rPr>
          <w:rFonts w:ascii="Book Antiqua" w:hAnsi="Book Antiqua" w:cs="Arial"/>
          <w:sz w:val="24"/>
          <w:szCs w:val="24"/>
          <w:vertAlign w:val="superscript"/>
          <w:lang w:val="en-US"/>
        </w:rPr>
        <w:t>[56-58,79,80</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Both therapies, PIs- and NRTIs-based, are associated with the inhibition of mtDNA-polymerase γ</w:t>
      </w:r>
      <w:r w:rsidR="00D9640F" w:rsidRPr="004C750C">
        <w:rPr>
          <w:rFonts w:ascii="Book Antiqua" w:hAnsi="Book Antiqua" w:cs="Arial"/>
          <w:sz w:val="24"/>
          <w:szCs w:val="24"/>
          <w:vertAlign w:val="superscript"/>
          <w:lang w:val="en-US"/>
        </w:rPr>
        <w:t>[79-81</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The abnormalities observed in l</w:t>
      </w:r>
      <w:r w:rsidRPr="004C750C">
        <w:rPr>
          <w:rStyle w:val="highlight"/>
          <w:rFonts w:ascii="Book Antiqua" w:hAnsi="Book Antiqua" w:cs="Arial"/>
          <w:sz w:val="24"/>
          <w:szCs w:val="24"/>
          <w:lang w:val="en-US"/>
        </w:rPr>
        <w:t>ipodystrophy</w:t>
      </w:r>
      <w:r w:rsidRPr="004C750C">
        <w:rPr>
          <w:rFonts w:ascii="Book Antiqua" w:hAnsi="Book Antiqua" w:cs="Arial"/>
          <w:sz w:val="24"/>
          <w:szCs w:val="24"/>
          <w:lang w:val="en-US"/>
        </w:rPr>
        <w:t xml:space="preserve"> syndrome include lipoatrophy, lipohypertrophy, and metabolic disturbances. Lipoatrophy is associated with the loss of subcutaneous fat, usually in the lower limbs, face and buttocks. The observation of lipoatrophy in HIV patients has been demonstrated in therapy with both PIs- and NRTIs-based therapies. Several studies initially suggested that lipoatrophy in HIV-1 patients is primarily associated with the use of PI-based therapies; however, more recent reports show that the incidence of lipoatrophy was significantly higher in the efavirenz plus two NRTIs group than in the lopinavir or efavirenz plus two NRTIs plus lopinavir groups</w:t>
      </w:r>
      <w:r w:rsidR="00D9640F" w:rsidRPr="004C750C">
        <w:rPr>
          <w:rFonts w:ascii="Book Antiqua" w:hAnsi="Book Antiqua" w:cs="Arial"/>
          <w:sz w:val="24"/>
          <w:szCs w:val="24"/>
          <w:vertAlign w:val="superscript"/>
          <w:lang w:val="en-US"/>
        </w:rPr>
        <w:t>[82-84</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The association of lipoatrophy with efavirenz use was mainly in combination with either stavudine or zidovudine but not with tenofovir/lamivudine. </w:t>
      </w:r>
    </w:p>
    <w:p w:rsidR="00AD7EA8" w:rsidRPr="004C750C" w:rsidRDefault="00FF1802" w:rsidP="004C750C">
      <w:pPr>
        <w:spacing w:after="0" w:line="360" w:lineRule="auto"/>
        <w:ind w:firstLineChars="100" w:firstLine="240"/>
        <w:jc w:val="both"/>
        <w:rPr>
          <w:rFonts w:ascii="Book Antiqua" w:hAnsi="Book Antiqua" w:cs="Arial"/>
          <w:sz w:val="24"/>
          <w:szCs w:val="24"/>
          <w:lang w:val="en-US" w:eastAsia="zh-CN"/>
        </w:rPr>
      </w:pPr>
      <w:r w:rsidRPr="004C750C">
        <w:rPr>
          <w:rFonts w:ascii="Book Antiqua" w:hAnsi="Book Antiqua" w:cs="Arial"/>
          <w:sz w:val="24"/>
          <w:szCs w:val="24"/>
          <w:lang w:val="en-US"/>
        </w:rPr>
        <w:t>Lipohypertrophy is the result of a metabolic disorder in which there is excess fat accumulation in the adipose tissue, resulting in a central obesity process. The most affected regions are the intra-abdominal, trunk and/or breast, anterior neck, and dorsocervical region (</w:t>
      </w:r>
      <w:r w:rsidRPr="004C750C">
        <w:rPr>
          <w:rFonts w:ascii="Book Antiqua" w:hAnsi="Book Antiqua" w:cs="Arial"/>
          <w:i/>
          <w:sz w:val="24"/>
          <w:szCs w:val="24"/>
          <w:lang w:val="en-US"/>
        </w:rPr>
        <w:t>i.e.</w:t>
      </w:r>
      <w:r w:rsidRPr="004C750C">
        <w:rPr>
          <w:rFonts w:ascii="Book Antiqua" w:hAnsi="Book Antiqua" w:cs="Arial"/>
          <w:sz w:val="24"/>
          <w:szCs w:val="24"/>
          <w:lang w:val="en-US"/>
        </w:rPr>
        <w:t>, buffalo hump)</w:t>
      </w:r>
      <w:r w:rsidR="00D9640F" w:rsidRPr="004C750C">
        <w:rPr>
          <w:rFonts w:ascii="Book Antiqua" w:hAnsi="Book Antiqua" w:cs="Arial"/>
          <w:sz w:val="24"/>
          <w:szCs w:val="24"/>
          <w:vertAlign w:val="superscript"/>
          <w:lang w:val="en-US"/>
        </w:rPr>
        <w:t>[</w:t>
      </w:r>
      <w:r w:rsidR="002C22F8" w:rsidRPr="004C750C">
        <w:rPr>
          <w:rFonts w:ascii="Book Antiqua" w:hAnsi="Book Antiqua" w:cs="Arial"/>
          <w:sz w:val="24"/>
          <w:szCs w:val="24"/>
          <w:vertAlign w:val="superscript"/>
          <w:lang w:val="en-US"/>
        </w:rPr>
        <w:t>14,</w:t>
      </w:r>
      <w:r w:rsidR="00D9640F" w:rsidRPr="004C750C">
        <w:rPr>
          <w:rFonts w:ascii="Book Antiqua" w:hAnsi="Book Antiqua" w:cs="Arial"/>
          <w:sz w:val="24"/>
          <w:szCs w:val="24"/>
          <w:vertAlign w:val="superscript"/>
          <w:lang w:val="en-US"/>
        </w:rPr>
        <w:t>85</w:t>
      </w:r>
      <w:r w:rsidR="00CD542C" w:rsidRPr="004C750C">
        <w:rPr>
          <w:rFonts w:ascii="Book Antiqua" w:hAnsi="Book Antiqua" w:cs="Arial"/>
          <w:sz w:val="24"/>
          <w:szCs w:val="24"/>
          <w:vertAlign w:val="superscript"/>
          <w:lang w:val="en-US"/>
        </w:rPr>
        <w:t>]</w:t>
      </w:r>
      <w:r w:rsidR="004B125A" w:rsidRPr="004C750C">
        <w:rPr>
          <w:rFonts w:ascii="Book Antiqua" w:hAnsi="Book Antiqua" w:cs="Arial"/>
          <w:sz w:val="24"/>
          <w:szCs w:val="24"/>
          <w:lang w:val="en-US"/>
        </w:rPr>
        <w:t>.</w:t>
      </w:r>
      <w:r w:rsidR="004B2ECC" w:rsidRPr="004C750C">
        <w:rPr>
          <w:rFonts w:ascii="Book Antiqua" w:hAnsi="Book Antiqua" w:cs="Arial"/>
          <w:sz w:val="24"/>
          <w:szCs w:val="24"/>
          <w:lang w:val="en-US"/>
        </w:rPr>
        <w:t xml:space="preserve"> </w:t>
      </w:r>
      <w:r w:rsidR="00A85BE7" w:rsidRPr="004C750C">
        <w:rPr>
          <w:rFonts w:ascii="Book Antiqua" w:hAnsi="Book Antiqua" w:cs="Arial"/>
          <w:sz w:val="24"/>
          <w:szCs w:val="24"/>
          <w:lang w:val="en-US"/>
        </w:rPr>
        <w:t>There may be co-existing fat deposition in the liver, muscle, myocardium, and epicardium</w:t>
      </w:r>
      <w:r w:rsidR="002755A6" w:rsidRPr="004C750C">
        <w:rPr>
          <w:rFonts w:ascii="Book Antiqua" w:hAnsi="Book Antiqua" w:cs="Arial"/>
          <w:sz w:val="24"/>
          <w:szCs w:val="24"/>
          <w:vertAlign w:val="superscript"/>
          <w:lang w:val="en-US"/>
        </w:rPr>
        <w:t>[8</w:t>
      </w:r>
      <w:r w:rsidR="002C4F9D" w:rsidRPr="004C750C">
        <w:rPr>
          <w:rFonts w:ascii="Book Antiqua" w:hAnsi="Book Antiqua" w:cs="Arial"/>
          <w:sz w:val="24"/>
          <w:szCs w:val="24"/>
          <w:vertAlign w:val="superscript"/>
          <w:lang w:val="en-US"/>
        </w:rPr>
        <w:t>6</w:t>
      </w:r>
      <w:r w:rsidR="002755A6" w:rsidRPr="004C750C">
        <w:rPr>
          <w:rFonts w:ascii="Book Antiqua" w:hAnsi="Book Antiqua" w:cs="Arial"/>
          <w:sz w:val="24"/>
          <w:szCs w:val="24"/>
          <w:vertAlign w:val="superscript"/>
          <w:lang w:val="en-US"/>
        </w:rPr>
        <w:t>,</w:t>
      </w:r>
      <w:r w:rsidR="002C4F9D" w:rsidRPr="004C750C">
        <w:rPr>
          <w:rFonts w:ascii="Book Antiqua" w:hAnsi="Book Antiqua" w:cs="Arial"/>
          <w:sz w:val="24"/>
          <w:szCs w:val="24"/>
          <w:vertAlign w:val="superscript"/>
          <w:lang w:val="en-US"/>
        </w:rPr>
        <w:t>87</w:t>
      </w:r>
      <w:r w:rsidR="002755A6" w:rsidRPr="004C750C">
        <w:rPr>
          <w:rFonts w:ascii="Book Antiqua" w:hAnsi="Book Antiqua" w:cs="Arial"/>
          <w:sz w:val="24"/>
          <w:szCs w:val="24"/>
          <w:vertAlign w:val="superscript"/>
          <w:lang w:val="en-US"/>
        </w:rPr>
        <w:t>]</w:t>
      </w:r>
      <w:r w:rsidR="00A85BE7" w:rsidRPr="004C750C">
        <w:rPr>
          <w:rFonts w:ascii="Book Antiqua" w:hAnsi="Book Antiqua" w:cs="Arial"/>
          <w:sz w:val="24"/>
          <w:szCs w:val="24"/>
          <w:lang w:val="en-US"/>
        </w:rPr>
        <w:t>.</w:t>
      </w:r>
      <w:r w:rsidR="004B2ECC" w:rsidRPr="004C750C">
        <w:rPr>
          <w:rFonts w:ascii="Book Antiqua" w:hAnsi="Book Antiqua" w:cs="Arial"/>
          <w:sz w:val="24"/>
          <w:szCs w:val="24"/>
          <w:lang w:val="en-US"/>
        </w:rPr>
        <w:t xml:space="preserve"> </w:t>
      </w:r>
      <w:r w:rsidRPr="004C750C">
        <w:rPr>
          <w:rFonts w:ascii="Book Antiqua" w:hAnsi="Book Antiqua" w:cs="Arial"/>
          <w:sz w:val="24"/>
          <w:szCs w:val="24"/>
          <w:lang w:val="en-US"/>
        </w:rPr>
        <w:t>The most accepted hypothesis regarding the development of lipohypertrophy suggests that a defect in peripheral adipocytes promotes increased availability of fatty acids in the general circulation. The available fatty acids are then selectively deposited in visceral adipose tissue owing to the higher rate of lipid turnover and uptake in visceral adipocytes</w:t>
      </w:r>
      <w:r w:rsidR="002C4F9D" w:rsidRPr="004C750C">
        <w:rPr>
          <w:rFonts w:ascii="Book Antiqua" w:hAnsi="Book Antiqua" w:cs="Arial"/>
          <w:sz w:val="24"/>
          <w:szCs w:val="24"/>
          <w:vertAlign w:val="superscript"/>
          <w:lang w:val="en-US"/>
        </w:rPr>
        <w:t>[88</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This disruption in the metabolism of fatty acids characterized by increased uptake in the visceral adipose tissue could be related to the effects of HIV itself </w:t>
      </w:r>
      <w:r w:rsidRPr="004C750C">
        <w:rPr>
          <w:rFonts w:ascii="Book Antiqua" w:hAnsi="Book Antiqua" w:cs="Arial"/>
          <w:i/>
          <w:sz w:val="24"/>
          <w:szCs w:val="24"/>
          <w:lang w:val="en-US"/>
        </w:rPr>
        <w:t>via</w:t>
      </w:r>
      <w:r w:rsidRPr="004C750C">
        <w:rPr>
          <w:rFonts w:ascii="Book Antiqua" w:hAnsi="Book Antiqua" w:cs="Arial"/>
          <w:sz w:val="24"/>
          <w:szCs w:val="24"/>
          <w:lang w:val="en-US"/>
        </w:rPr>
        <w:t xml:space="preserve"> the HIV-1 accessory protein Vpr or to the effects of HAART</w:t>
      </w:r>
      <w:r w:rsidR="002C4F9D" w:rsidRPr="004C750C">
        <w:rPr>
          <w:rFonts w:ascii="Book Antiqua" w:hAnsi="Book Antiqua" w:cs="Arial"/>
          <w:sz w:val="24"/>
          <w:szCs w:val="24"/>
          <w:vertAlign w:val="superscript"/>
          <w:lang w:val="en-US"/>
        </w:rPr>
        <w:t>[89</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r w:rsidR="00AD7EA8" w:rsidRPr="004C750C">
        <w:rPr>
          <w:rFonts w:ascii="Book Antiqua" w:hAnsi="Book Antiqua" w:cs="Arial"/>
          <w:sz w:val="24"/>
          <w:szCs w:val="24"/>
          <w:lang w:val="en-US"/>
        </w:rPr>
        <w:t xml:space="preserve"> </w:t>
      </w:r>
      <w:r w:rsidR="004D0AE6" w:rsidRPr="004C750C">
        <w:rPr>
          <w:rFonts w:ascii="Book Antiqua" w:hAnsi="Book Antiqua" w:cs="Arial"/>
          <w:sz w:val="24"/>
          <w:szCs w:val="24"/>
          <w:lang w:val="en-US"/>
        </w:rPr>
        <w:t>In patients infected with HIV and treated with HAART, especially with PIs, there seems to be an association between HIV treatment and the development of lipohypertrophy</w:t>
      </w:r>
      <w:r w:rsidR="00D9640F" w:rsidRPr="004C750C">
        <w:rPr>
          <w:rFonts w:ascii="Book Antiqua" w:hAnsi="Book Antiqua" w:cs="Arial"/>
          <w:sz w:val="24"/>
          <w:szCs w:val="24"/>
          <w:vertAlign w:val="superscript"/>
          <w:lang w:val="en-US"/>
        </w:rPr>
        <w:t>[</w:t>
      </w:r>
      <w:r w:rsidR="002C22F8" w:rsidRPr="004C750C">
        <w:rPr>
          <w:rFonts w:ascii="Book Antiqua" w:hAnsi="Book Antiqua" w:cs="Arial"/>
          <w:sz w:val="24"/>
          <w:szCs w:val="24"/>
          <w:vertAlign w:val="superscript"/>
          <w:lang w:val="en-US"/>
        </w:rPr>
        <w:t>84,</w:t>
      </w:r>
      <w:r w:rsidR="002C4F9D" w:rsidRPr="004C750C">
        <w:rPr>
          <w:rFonts w:ascii="Book Antiqua" w:hAnsi="Book Antiqua" w:cs="Arial"/>
          <w:sz w:val="24"/>
          <w:szCs w:val="24"/>
          <w:vertAlign w:val="superscript"/>
          <w:lang w:val="en-US"/>
        </w:rPr>
        <w:t>90,91</w:t>
      </w:r>
      <w:r w:rsidR="004D0AE6" w:rsidRPr="004C750C">
        <w:rPr>
          <w:rFonts w:ascii="Book Antiqua" w:hAnsi="Book Antiqua" w:cs="Arial"/>
          <w:sz w:val="24"/>
          <w:szCs w:val="24"/>
          <w:vertAlign w:val="superscript"/>
          <w:lang w:val="en-US"/>
        </w:rPr>
        <w:t>]</w:t>
      </w:r>
      <w:r w:rsidR="004D0AE6" w:rsidRPr="004C750C">
        <w:rPr>
          <w:rFonts w:ascii="Book Antiqua" w:hAnsi="Book Antiqua" w:cs="Arial"/>
          <w:sz w:val="24"/>
          <w:szCs w:val="24"/>
          <w:lang w:val="en-US"/>
        </w:rPr>
        <w:t>. However, various longitudinal studies have failed to demonstrate that HAART is the main cause of lipohypertrophy in HIV-1 patients</w:t>
      </w:r>
      <w:r w:rsidR="002C4F9D" w:rsidRPr="004C750C">
        <w:rPr>
          <w:rFonts w:ascii="Book Antiqua" w:hAnsi="Book Antiqua" w:cs="Arial"/>
          <w:sz w:val="24"/>
          <w:szCs w:val="24"/>
          <w:vertAlign w:val="superscript"/>
          <w:lang w:val="en-US"/>
        </w:rPr>
        <w:t>[92-95</w:t>
      </w:r>
      <w:r w:rsidR="004D0AE6" w:rsidRPr="004C750C">
        <w:rPr>
          <w:rFonts w:ascii="Book Antiqua" w:hAnsi="Book Antiqua" w:cs="Arial"/>
          <w:sz w:val="24"/>
          <w:szCs w:val="24"/>
          <w:vertAlign w:val="superscript"/>
          <w:lang w:val="en-US"/>
        </w:rPr>
        <w:t>]</w:t>
      </w:r>
      <w:r w:rsidR="004D0AE6" w:rsidRPr="004C750C">
        <w:rPr>
          <w:rFonts w:ascii="Book Antiqua" w:hAnsi="Book Antiqua" w:cs="Arial"/>
          <w:sz w:val="24"/>
          <w:szCs w:val="24"/>
          <w:lang w:val="en-US"/>
        </w:rPr>
        <w:t>.</w:t>
      </w:r>
      <w:r w:rsidR="00EB2F37" w:rsidRPr="004C750C">
        <w:rPr>
          <w:rFonts w:ascii="Book Antiqua" w:hAnsi="Book Antiqua" w:cs="Arial"/>
          <w:sz w:val="24"/>
          <w:szCs w:val="24"/>
          <w:lang w:val="en-US"/>
        </w:rPr>
        <w:t xml:space="preserve"> </w:t>
      </w:r>
      <w:r w:rsidR="00B624D9" w:rsidRPr="004C750C">
        <w:rPr>
          <w:rFonts w:ascii="Book Antiqua" w:hAnsi="Book Antiqua" w:cs="Arial"/>
          <w:sz w:val="24"/>
          <w:szCs w:val="24"/>
          <w:lang w:val="en-US"/>
        </w:rPr>
        <w:t>The contribution of PIs to lipohypertrophy is based on several hypothetical mechanisms. PIs impair adipocyte differentiation through interactions with adipocyte proteasomal gene expression systems, down-regulation of cellular retinoic acid binding protein (CRABP), sterol regulatory binding protein levels with resultant dysregulation of gene expression stimulated by cortisol, activation of the adipocyte renin-angiotensin system and adipokine effects (including adiponectin and leptin), and decrease in peroxisomal proliferator</w:t>
      </w:r>
      <w:r w:rsidR="004C750C">
        <w:rPr>
          <w:rFonts w:ascii="Book Antiqua" w:hAnsi="Book Antiqua" w:cs="Arial" w:hint="eastAsia"/>
          <w:sz w:val="24"/>
          <w:szCs w:val="24"/>
          <w:lang w:val="en-US" w:eastAsia="zh-CN"/>
        </w:rPr>
        <w:t>-</w:t>
      </w:r>
      <w:r w:rsidR="00B624D9" w:rsidRPr="004C750C">
        <w:rPr>
          <w:rFonts w:ascii="Book Antiqua" w:hAnsi="Book Antiqua" w:cs="Arial"/>
          <w:sz w:val="24"/>
          <w:szCs w:val="24"/>
          <w:lang w:val="en-US"/>
        </w:rPr>
        <w:t>activator receptors (PPAR)α and γ</w:t>
      </w:r>
      <w:r w:rsidR="002C4F9D" w:rsidRPr="004C750C">
        <w:rPr>
          <w:rFonts w:ascii="Book Antiqua" w:hAnsi="Book Antiqua" w:cs="Arial"/>
          <w:sz w:val="24"/>
          <w:szCs w:val="24"/>
          <w:vertAlign w:val="superscript"/>
          <w:lang w:val="en-US"/>
        </w:rPr>
        <w:t>[96-98</w:t>
      </w:r>
      <w:r w:rsidR="00B624D9" w:rsidRPr="004C750C">
        <w:rPr>
          <w:rFonts w:ascii="Book Antiqua" w:hAnsi="Book Antiqua" w:cs="Arial"/>
          <w:sz w:val="24"/>
          <w:szCs w:val="24"/>
          <w:vertAlign w:val="superscript"/>
          <w:lang w:val="en-US"/>
        </w:rPr>
        <w:t>]</w:t>
      </w:r>
      <w:r w:rsidR="00B624D9" w:rsidRPr="004C750C">
        <w:rPr>
          <w:rFonts w:ascii="Book Antiqua" w:hAnsi="Book Antiqua" w:cs="Arial"/>
          <w:sz w:val="24"/>
          <w:szCs w:val="24"/>
          <w:lang w:val="en-US"/>
        </w:rPr>
        <w:t>. This metabolic disorder results in the hypertrophy of adipose tissue, particularly in visceral tissues, resulting in increased TG levels, lowered HDL cholesterol levels, hypertension, increased propensity for type 2 diabetes, and increased insulin resistance</w:t>
      </w:r>
      <w:r w:rsidR="002C4F9D" w:rsidRPr="004C750C">
        <w:rPr>
          <w:rFonts w:ascii="Book Antiqua" w:hAnsi="Book Antiqua" w:cs="Arial"/>
          <w:sz w:val="24"/>
          <w:szCs w:val="24"/>
          <w:vertAlign w:val="superscript"/>
          <w:lang w:val="en-US"/>
        </w:rPr>
        <w:t>[98-100</w:t>
      </w:r>
      <w:r w:rsidR="00B624D9" w:rsidRPr="004C750C">
        <w:rPr>
          <w:rFonts w:ascii="Book Antiqua" w:hAnsi="Book Antiqua" w:cs="Arial"/>
          <w:sz w:val="24"/>
          <w:szCs w:val="24"/>
          <w:vertAlign w:val="superscript"/>
          <w:lang w:val="en-US"/>
        </w:rPr>
        <w:t>]</w:t>
      </w:r>
      <w:r w:rsidR="00B624D9" w:rsidRPr="004C750C">
        <w:rPr>
          <w:rFonts w:ascii="Book Antiqua" w:hAnsi="Book Antiqua" w:cs="Arial"/>
          <w:sz w:val="24"/>
          <w:szCs w:val="24"/>
          <w:lang w:val="en-US"/>
        </w:rPr>
        <w:t>.</w:t>
      </w:r>
      <w:r w:rsidR="004254AF" w:rsidRPr="004C750C">
        <w:rPr>
          <w:rFonts w:ascii="Book Antiqua" w:hAnsi="Book Antiqua" w:cs="Arial"/>
          <w:sz w:val="24"/>
          <w:szCs w:val="24"/>
          <w:lang w:val="en-US"/>
        </w:rPr>
        <w:t xml:space="preserve"> </w:t>
      </w:r>
      <w:r w:rsidR="00946E8A" w:rsidRPr="004C750C">
        <w:rPr>
          <w:rFonts w:ascii="Book Antiqua" w:hAnsi="Book Antiqua" w:cs="Arial"/>
          <w:sz w:val="24"/>
          <w:szCs w:val="24"/>
          <w:lang w:val="en-US"/>
        </w:rPr>
        <w:t>This metabolic disorder results in hypertrophy of adipose tissue, particularly in visceral tissues, with the consequent increase of TG and reduced HDL cholesterol, and hypertension, increased propensity for type 2 diabetes, and an increased insulin resistance in adipocytes</w:t>
      </w:r>
      <w:r w:rsidR="002C4F9D" w:rsidRPr="004C750C">
        <w:rPr>
          <w:rFonts w:ascii="Book Antiqua" w:hAnsi="Book Antiqua" w:cs="Arial"/>
          <w:sz w:val="24"/>
          <w:szCs w:val="24"/>
          <w:vertAlign w:val="superscript"/>
          <w:lang w:val="en-US"/>
        </w:rPr>
        <w:t>[98</w:t>
      </w:r>
      <w:r w:rsidR="00A32919" w:rsidRPr="004C750C">
        <w:rPr>
          <w:rFonts w:ascii="Book Antiqua" w:hAnsi="Book Antiqua" w:cs="Arial"/>
          <w:sz w:val="24"/>
          <w:szCs w:val="24"/>
          <w:vertAlign w:val="superscript"/>
          <w:lang w:val="en-US"/>
        </w:rPr>
        <w:t>-</w:t>
      </w:r>
      <w:r w:rsidR="002C4F9D" w:rsidRPr="004C750C">
        <w:rPr>
          <w:rFonts w:ascii="Book Antiqua" w:hAnsi="Book Antiqua" w:cs="Arial"/>
          <w:sz w:val="24"/>
          <w:szCs w:val="24"/>
          <w:vertAlign w:val="superscript"/>
          <w:lang w:val="en-US"/>
        </w:rPr>
        <w:t>100</w:t>
      </w:r>
      <w:r w:rsidR="00EE6EAB" w:rsidRPr="004C750C">
        <w:rPr>
          <w:rFonts w:ascii="Book Antiqua" w:hAnsi="Book Antiqua" w:cs="Arial"/>
          <w:sz w:val="24"/>
          <w:szCs w:val="24"/>
          <w:vertAlign w:val="superscript"/>
          <w:lang w:val="en-US"/>
        </w:rPr>
        <w:t>]</w:t>
      </w:r>
      <w:r w:rsidR="008800CD" w:rsidRPr="004C750C">
        <w:rPr>
          <w:rFonts w:ascii="Book Antiqua" w:hAnsi="Book Antiqua" w:cs="Arial"/>
          <w:sz w:val="24"/>
          <w:szCs w:val="24"/>
          <w:lang w:val="en-US"/>
        </w:rPr>
        <w:t>.</w:t>
      </w:r>
      <w:r w:rsidR="00C00DCE" w:rsidRPr="004C750C">
        <w:rPr>
          <w:rFonts w:ascii="Book Antiqua" w:hAnsi="Book Antiqua" w:cs="Arial"/>
          <w:sz w:val="24"/>
          <w:szCs w:val="24"/>
          <w:lang w:val="en-US"/>
        </w:rPr>
        <w:t xml:space="preserve"> </w:t>
      </w:r>
      <w:r w:rsidR="00EB2F37" w:rsidRPr="004C750C">
        <w:rPr>
          <w:rFonts w:ascii="Book Antiqua" w:hAnsi="Book Antiqua" w:cs="Arial"/>
          <w:sz w:val="24"/>
          <w:szCs w:val="24"/>
          <w:lang w:val="en-US"/>
        </w:rPr>
        <w:t>Insulin resistance is a common metabolic disorder that can accompany lipodystrophy (</w:t>
      </w:r>
      <w:r w:rsidR="00EB2F37" w:rsidRPr="004C750C">
        <w:rPr>
          <w:rFonts w:ascii="Book Antiqua" w:hAnsi="Book Antiqua" w:cs="Arial"/>
          <w:i/>
          <w:sz w:val="24"/>
          <w:szCs w:val="24"/>
          <w:lang w:val="en-US"/>
        </w:rPr>
        <w:t>i.e.</w:t>
      </w:r>
      <w:r w:rsidR="00EB2F37" w:rsidRPr="004C750C">
        <w:rPr>
          <w:rFonts w:ascii="Book Antiqua" w:hAnsi="Book Antiqua" w:cs="Arial"/>
          <w:sz w:val="24"/>
          <w:szCs w:val="24"/>
          <w:lang w:val="en-US"/>
        </w:rPr>
        <w:t>, lipohypertrophy) and is associated with an increased cardiovascular risk, especially among HIV-infected individuals with lipodystrophy</w:t>
      </w:r>
      <w:r w:rsidR="002C4F9D" w:rsidRPr="004C750C">
        <w:rPr>
          <w:rFonts w:ascii="Book Antiqua" w:hAnsi="Book Antiqua" w:cs="Arial"/>
          <w:sz w:val="24"/>
          <w:szCs w:val="24"/>
          <w:vertAlign w:val="superscript"/>
          <w:lang w:val="en-US"/>
        </w:rPr>
        <w:t>[101</w:t>
      </w:r>
      <w:r w:rsidR="00AD7EA8" w:rsidRPr="004C750C">
        <w:rPr>
          <w:rFonts w:ascii="Book Antiqua" w:hAnsi="Book Antiqua" w:cs="Arial"/>
          <w:sz w:val="24"/>
          <w:szCs w:val="24"/>
          <w:vertAlign w:val="superscript"/>
          <w:lang w:val="en-US"/>
        </w:rPr>
        <w:t>]</w:t>
      </w:r>
      <w:r w:rsidR="00EB2F37" w:rsidRPr="004C750C">
        <w:rPr>
          <w:rFonts w:ascii="Book Antiqua" w:hAnsi="Book Antiqua" w:cs="Arial"/>
          <w:sz w:val="24"/>
          <w:szCs w:val="24"/>
          <w:lang w:val="en-US"/>
        </w:rPr>
        <w:t>. As described in the literature, HIV-infected individuals exhibit a higher prevalence of dyslipidemia, including both abnormal distribution of fatty acids and altered glucose homeostasis, compared to HIV seronegative individuals after adjustment for age and body mass index</w:t>
      </w:r>
      <w:r w:rsidR="002C4F9D" w:rsidRPr="004C750C">
        <w:rPr>
          <w:rFonts w:ascii="Book Antiqua" w:hAnsi="Book Antiqua" w:cs="Arial"/>
          <w:sz w:val="24"/>
          <w:szCs w:val="24"/>
          <w:vertAlign w:val="superscript"/>
          <w:lang w:val="en-US"/>
        </w:rPr>
        <w:t>[102</w:t>
      </w:r>
      <w:r w:rsidR="00AD7EA8" w:rsidRPr="004C750C">
        <w:rPr>
          <w:rFonts w:ascii="Book Antiqua" w:hAnsi="Book Antiqua" w:cs="Arial"/>
          <w:sz w:val="24"/>
          <w:szCs w:val="24"/>
          <w:vertAlign w:val="superscript"/>
          <w:lang w:val="en-US"/>
        </w:rPr>
        <w:t>]</w:t>
      </w:r>
      <w:r w:rsidR="00EB2F37" w:rsidRPr="004C750C">
        <w:rPr>
          <w:rFonts w:ascii="Book Antiqua" w:hAnsi="Book Antiqua" w:cs="Arial"/>
          <w:sz w:val="24"/>
          <w:szCs w:val="24"/>
          <w:lang w:val="en-US"/>
        </w:rPr>
        <w:t>. The disturbance in glucose metabolism appears to be closely linked to abnormal fat distribution, particularly visceral adiposity and lower extremity lipoatrophy. Lipodystrophy promotes accumulation of intramuscular lipids, which is associated with a reduction of insulin action in this tissue</w:t>
      </w:r>
      <w:r w:rsidR="002C4F9D" w:rsidRPr="004C750C">
        <w:rPr>
          <w:rFonts w:ascii="Book Antiqua" w:hAnsi="Book Antiqua" w:cs="Arial"/>
          <w:sz w:val="24"/>
          <w:szCs w:val="24"/>
          <w:vertAlign w:val="superscript"/>
          <w:lang w:val="en-US"/>
        </w:rPr>
        <w:t>[103</w:t>
      </w:r>
      <w:r w:rsidR="00AD7EA8" w:rsidRPr="004C750C">
        <w:rPr>
          <w:rFonts w:ascii="Book Antiqua" w:hAnsi="Book Antiqua" w:cs="Arial"/>
          <w:sz w:val="24"/>
          <w:szCs w:val="24"/>
          <w:vertAlign w:val="superscript"/>
          <w:lang w:val="en-US"/>
        </w:rPr>
        <w:t>]</w:t>
      </w:r>
      <w:r w:rsidR="00AD7EA8" w:rsidRPr="004C750C">
        <w:rPr>
          <w:rFonts w:ascii="Book Antiqua" w:hAnsi="Book Antiqua" w:cs="Arial"/>
          <w:sz w:val="24"/>
          <w:szCs w:val="24"/>
          <w:lang w:val="en-US"/>
        </w:rPr>
        <w:t>. Importantly, in addition to the lipohypertrophy observed in HIV-infected individuals taking HAART, there appears to be an increase in fat distribution and deposition in places such as the liver and muscles regardless of the use of HAART</w:t>
      </w:r>
      <w:r w:rsidR="002C4F9D" w:rsidRPr="004C750C">
        <w:rPr>
          <w:rFonts w:ascii="Book Antiqua" w:hAnsi="Book Antiqua" w:cs="Arial"/>
          <w:sz w:val="24"/>
          <w:szCs w:val="24"/>
          <w:vertAlign w:val="superscript"/>
          <w:lang w:val="en-US"/>
        </w:rPr>
        <w:t>[86,104</w:t>
      </w:r>
      <w:r w:rsidR="00AD7EA8" w:rsidRPr="004C750C">
        <w:rPr>
          <w:rFonts w:ascii="Book Antiqua" w:hAnsi="Book Antiqua" w:cs="Arial"/>
          <w:sz w:val="24"/>
          <w:szCs w:val="24"/>
          <w:vertAlign w:val="superscript"/>
          <w:lang w:val="en-US"/>
        </w:rPr>
        <w:t>]</w:t>
      </w:r>
      <w:r w:rsidR="00AD7EA8" w:rsidRPr="004C750C">
        <w:rPr>
          <w:rFonts w:ascii="Book Antiqua" w:hAnsi="Book Antiqua" w:cs="Arial"/>
          <w:sz w:val="24"/>
          <w:szCs w:val="24"/>
          <w:lang w:val="en-US"/>
        </w:rPr>
        <w:t>. The mechanisms involved in HIV-associated lipodystrophy are diverse, but it is suggested that HAART plays an important role</w:t>
      </w:r>
      <w:r w:rsidR="002C4F9D" w:rsidRPr="004C750C">
        <w:rPr>
          <w:rFonts w:ascii="Book Antiqua" w:hAnsi="Book Antiqua" w:cs="Arial"/>
          <w:sz w:val="24"/>
          <w:szCs w:val="24"/>
          <w:vertAlign w:val="superscript"/>
          <w:lang w:val="en-US"/>
        </w:rPr>
        <w:t>[105</w:t>
      </w:r>
      <w:r w:rsidR="00AD7EA8" w:rsidRPr="004C750C">
        <w:rPr>
          <w:rFonts w:ascii="Book Antiqua" w:hAnsi="Book Antiqua" w:cs="Arial"/>
          <w:sz w:val="24"/>
          <w:szCs w:val="24"/>
          <w:vertAlign w:val="superscript"/>
          <w:lang w:val="en-US"/>
        </w:rPr>
        <w:t>]</w:t>
      </w:r>
      <w:r w:rsidR="00AD7EA8" w:rsidRPr="004C750C">
        <w:rPr>
          <w:rFonts w:ascii="Book Antiqua" w:hAnsi="Book Antiqua" w:cs="Arial"/>
          <w:sz w:val="24"/>
          <w:szCs w:val="24"/>
          <w:lang w:val="en-US"/>
        </w:rPr>
        <w:t>, as well as the endothelial dysfunction associated with the HIV infection itself</w:t>
      </w:r>
      <w:r w:rsidR="002C4F9D" w:rsidRPr="004C750C">
        <w:rPr>
          <w:rFonts w:ascii="Book Antiqua" w:hAnsi="Book Antiqua" w:cs="Arial"/>
          <w:sz w:val="24"/>
          <w:szCs w:val="24"/>
          <w:vertAlign w:val="superscript"/>
          <w:lang w:val="en-US"/>
        </w:rPr>
        <w:t>[106</w:t>
      </w:r>
      <w:r w:rsidR="00AD7EA8" w:rsidRPr="004C750C">
        <w:rPr>
          <w:rFonts w:ascii="Book Antiqua" w:hAnsi="Book Antiqua" w:cs="Arial"/>
          <w:sz w:val="24"/>
          <w:szCs w:val="24"/>
          <w:vertAlign w:val="superscript"/>
          <w:lang w:val="en-US"/>
        </w:rPr>
        <w:t>]</w:t>
      </w:r>
      <w:r w:rsidR="00AD7EA8" w:rsidRPr="004C750C">
        <w:rPr>
          <w:rFonts w:ascii="Book Antiqua" w:hAnsi="Book Antiqua" w:cs="Arial"/>
          <w:sz w:val="24"/>
          <w:szCs w:val="24"/>
          <w:lang w:val="en-US"/>
        </w:rPr>
        <w:t>, vascular endothelial injury</w:t>
      </w:r>
      <w:r w:rsidR="002C4F9D" w:rsidRPr="004C750C">
        <w:rPr>
          <w:rFonts w:ascii="Book Antiqua" w:hAnsi="Book Antiqua" w:cs="Arial"/>
          <w:sz w:val="24"/>
          <w:szCs w:val="24"/>
          <w:vertAlign w:val="superscript"/>
          <w:lang w:val="en-US"/>
        </w:rPr>
        <w:t>[107</w:t>
      </w:r>
      <w:r w:rsidR="008B748B" w:rsidRPr="004C750C">
        <w:rPr>
          <w:rFonts w:ascii="Book Antiqua" w:hAnsi="Book Antiqua" w:cs="Arial"/>
          <w:sz w:val="24"/>
          <w:szCs w:val="24"/>
          <w:vertAlign w:val="superscript"/>
          <w:lang w:val="en-US" w:eastAsia="zh-CN"/>
        </w:rPr>
        <w:t>]</w:t>
      </w:r>
      <w:r w:rsidR="00AD7EA8" w:rsidRPr="004C750C">
        <w:rPr>
          <w:rFonts w:ascii="Book Antiqua" w:hAnsi="Book Antiqua" w:cs="Arial"/>
          <w:sz w:val="24"/>
          <w:szCs w:val="24"/>
          <w:lang w:val="en-US"/>
        </w:rPr>
        <w:t>, and inflammation with elevated serum levels of C-reactive protein</w:t>
      </w:r>
      <w:r w:rsidR="002C4F9D" w:rsidRPr="004C750C">
        <w:rPr>
          <w:rFonts w:ascii="Book Antiqua" w:hAnsi="Book Antiqua" w:cs="Arial"/>
          <w:sz w:val="24"/>
          <w:szCs w:val="24"/>
          <w:vertAlign w:val="superscript"/>
          <w:lang w:val="en-US"/>
        </w:rPr>
        <w:t>[108</w:t>
      </w:r>
      <w:r w:rsidR="00AD7EA8" w:rsidRPr="004C750C">
        <w:rPr>
          <w:rFonts w:ascii="Book Antiqua" w:hAnsi="Book Antiqua" w:cs="Arial"/>
          <w:sz w:val="24"/>
          <w:szCs w:val="24"/>
          <w:vertAlign w:val="superscript"/>
          <w:lang w:val="en-US"/>
        </w:rPr>
        <w:t>]</w:t>
      </w:r>
      <w:r w:rsidR="00AD7EA8" w:rsidRPr="004C750C">
        <w:rPr>
          <w:rFonts w:ascii="Book Antiqua" w:hAnsi="Book Antiqua" w:cs="Arial"/>
          <w:sz w:val="24"/>
          <w:szCs w:val="24"/>
          <w:lang w:val="en-US"/>
        </w:rPr>
        <w:t>, TNF-α, IL-6, and adiponectin</w:t>
      </w:r>
      <w:r w:rsidR="00D9640F" w:rsidRPr="004C750C">
        <w:rPr>
          <w:rFonts w:ascii="Book Antiqua" w:hAnsi="Book Antiqua" w:cs="Arial"/>
          <w:sz w:val="24"/>
          <w:szCs w:val="24"/>
          <w:vertAlign w:val="superscript"/>
          <w:lang w:val="en-US"/>
        </w:rPr>
        <w:t>[</w:t>
      </w:r>
      <w:r w:rsidR="002C4F9D" w:rsidRPr="004C750C">
        <w:rPr>
          <w:rFonts w:ascii="Book Antiqua" w:hAnsi="Book Antiqua" w:cs="Arial"/>
          <w:sz w:val="24"/>
          <w:szCs w:val="24"/>
          <w:vertAlign w:val="superscript"/>
          <w:lang w:val="en-US"/>
        </w:rPr>
        <w:t>102,109</w:t>
      </w:r>
      <w:r w:rsidR="00D9640F" w:rsidRPr="004C750C">
        <w:rPr>
          <w:rFonts w:ascii="Book Antiqua" w:hAnsi="Book Antiqua" w:cs="Arial"/>
          <w:sz w:val="24"/>
          <w:szCs w:val="24"/>
          <w:vertAlign w:val="superscript"/>
          <w:lang w:val="en-US"/>
        </w:rPr>
        <w:t>-11</w:t>
      </w:r>
      <w:r w:rsidR="002C4F9D" w:rsidRPr="004C750C">
        <w:rPr>
          <w:rFonts w:ascii="Book Antiqua" w:hAnsi="Book Antiqua" w:cs="Arial"/>
          <w:sz w:val="24"/>
          <w:szCs w:val="24"/>
          <w:vertAlign w:val="superscript"/>
          <w:lang w:val="en-US"/>
        </w:rPr>
        <w:t>1</w:t>
      </w:r>
      <w:r w:rsidR="00AD7EA8" w:rsidRPr="004C750C">
        <w:rPr>
          <w:rFonts w:ascii="Book Antiqua" w:hAnsi="Book Antiqua" w:cs="Arial"/>
          <w:sz w:val="24"/>
          <w:szCs w:val="24"/>
          <w:vertAlign w:val="superscript"/>
          <w:lang w:val="en-US"/>
        </w:rPr>
        <w:t>]</w:t>
      </w:r>
      <w:r w:rsidR="00AD7EA8" w:rsidRPr="004C750C">
        <w:rPr>
          <w:rFonts w:ascii="Book Antiqua" w:hAnsi="Book Antiqua" w:cs="Arial"/>
          <w:sz w:val="24"/>
          <w:szCs w:val="24"/>
          <w:lang w:val="en-US"/>
        </w:rPr>
        <w:t xml:space="preserve">. </w:t>
      </w:r>
    </w:p>
    <w:p w:rsidR="00E769B0" w:rsidRPr="004C750C" w:rsidRDefault="00E769B0" w:rsidP="004C750C">
      <w:pPr>
        <w:spacing w:after="0" w:line="360" w:lineRule="auto"/>
        <w:jc w:val="both"/>
        <w:rPr>
          <w:rFonts w:ascii="Book Antiqua" w:hAnsi="Book Antiqua" w:cs="Arial"/>
          <w:sz w:val="24"/>
          <w:szCs w:val="24"/>
          <w:lang w:val="en-US" w:eastAsia="zh-CN"/>
        </w:rPr>
      </w:pPr>
    </w:p>
    <w:p w:rsidR="00B2210C" w:rsidRPr="004C750C" w:rsidRDefault="00E769B0"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SWITCHING ANTIVIRAL THERAPIES</w:t>
      </w:r>
    </w:p>
    <w:p w:rsidR="00B2210C" w:rsidRPr="004C750C" w:rsidRDefault="00B2210C" w:rsidP="004C750C">
      <w:pPr>
        <w:spacing w:after="0" w:line="360" w:lineRule="auto"/>
        <w:jc w:val="both"/>
        <w:rPr>
          <w:rFonts w:ascii="Book Antiqua" w:hAnsi="Book Antiqua" w:cs="Arial"/>
          <w:sz w:val="24"/>
          <w:szCs w:val="24"/>
          <w:lang w:val="en-US" w:eastAsia="zh-CN"/>
        </w:rPr>
      </w:pPr>
      <w:r w:rsidRPr="004C750C">
        <w:rPr>
          <w:rFonts w:ascii="Book Antiqua" w:eastAsia="Times New Roman" w:hAnsi="Book Antiqua" w:cs="Arial"/>
          <w:sz w:val="24"/>
          <w:szCs w:val="24"/>
          <w:lang w:val="en-US" w:eastAsia="pt-BR"/>
        </w:rPr>
        <w:t>The search for different therapeutic strategies to reverse HAART-associated dyslipidemia has led to the use of less metabolically active antiretroviral drugs without compromising antiretroviral efficacy. Ritonavir is the most representative drug in HAART-associated dyslipidemia, and in combination with lopinavir confers higher risks for cardiovascular disease in HIV-1 patients. Amprenavir and nelfinavir promote lower impacts compared to the therapy with lopinavir/ritonavir</w:t>
      </w:r>
      <w:r w:rsidR="00CA568B" w:rsidRPr="004C750C">
        <w:rPr>
          <w:rFonts w:ascii="Book Antiqua" w:eastAsia="Times New Roman" w:hAnsi="Book Antiqua" w:cs="Arial"/>
          <w:sz w:val="24"/>
          <w:szCs w:val="24"/>
          <w:vertAlign w:val="superscript"/>
          <w:lang w:val="en-US" w:eastAsia="pt-BR"/>
        </w:rPr>
        <w:t>[29,</w:t>
      </w:r>
      <w:r w:rsidR="002C22F8" w:rsidRPr="004C750C">
        <w:rPr>
          <w:rFonts w:ascii="Book Antiqua" w:eastAsia="Times New Roman" w:hAnsi="Book Antiqua" w:cs="Arial"/>
          <w:sz w:val="24"/>
          <w:szCs w:val="24"/>
          <w:vertAlign w:val="superscript"/>
          <w:lang w:val="en-US" w:eastAsia="pt-BR"/>
        </w:rPr>
        <w:t>45,</w:t>
      </w:r>
      <w:r w:rsidR="00CA568B" w:rsidRPr="004C750C">
        <w:rPr>
          <w:rFonts w:ascii="Book Antiqua" w:eastAsia="Times New Roman" w:hAnsi="Book Antiqua" w:cs="Arial"/>
          <w:sz w:val="24"/>
          <w:szCs w:val="24"/>
          <w:vertAlign w:val="superscript"/>
          <w:lang w:val="en-US" w:eastAsia="pt-BR"/>
        </w:rPr>
        <w:t>64,77</w:t>
      </w:r>
      <w:r w:rsidRPr="004C750C">
        <w:rPr>
          <w:rFonts w:ascii="Book Antiqua" w:eastAsia="Times New Roman" w:hAnsi="Book Antiqua" w:cs="Arial"/>
          <w:sz w:val="24"/>
          <w:szCs w:val="24"/>
          <w:vertAlign w:val="superscript"/>
          <w:lang w:val="en-US" w:eastAsia="pt-BR"/>
        </w:rPr>
        <w:t>,</w:t>
      </w:r>
      <w:r w:rsidR="002C4F9D" w:rsidRPr="004C750C">
        <w:rPr>
          <w:rFonts w:ascii="Book Antiqua" w:eastAsia="Times New Roman" w:hAnsi="Book Antiqua" w:cs="Arial"/>
          <w:sz w:val="24"/>
          <w:szCs w:val="24"/>
          <w:vertAlign w:val="superscript"/>
          <w:lang w:val="en-US" w:eastAsia="pt-BR"/>
        </w:rPr>
        <w:t>112</w:t>
      </w:r>
      <w:r w:rsidRPr="004C750C">
        <w:rPr>
          <w:rFonts w:ascii="Book Antiqua" w:eastAsia="Times New Roman" w:hAnsi="Book Antiqua" w:cs="Arial"/>
          <w:sz w:val="24"/>
          <w:szCs w:val="24"/>
          <w:vertAlign w:val="superscript"/>
          <w:lang w:val="en-US" w:eastAsia="pt-BR"/>
        </w:rPr>
        <w:t>]</w:t>
      </w:r>
      <w:r w:rsidRPr="004C750C">
        <w:rPr>
          <w:rFonts w:ascii="Book Antiqua" w:eastAsia="Times New Roman" w:hAnsi="Book Antiqua" w:cs="Arial"/>
          <w:sz w:val="24"/>
          <w:szCs w:val="24"/>
          <w:lang w:val="en-US" w:eastAsia="pt-BR"/>
        </w:rPr>
        <w:t>. In turn, the use of indinavir and saquinavir shows even less of an effect on lipid metabolism in HIV-1 patients receiving HAART. Currently, atazanavir has the least impact on lipid metabolism</w:t>
      </w:r>
      <w:r w:rsidR="002C4F9D" w:rsidRPr="004C750C">
        <w:rPr>
          <w:rFonts w:ascii="Book Antiqua" w:eastAsia="Times New Roman" w:hAnsi="Book Antiqua" w:cs="Arial"/>
          <w:sz w:val="24"/>
          <w:szCs w:val="24"/>
          <w:vertAlign w:val="superscript"/>
          <w:lang w:val="en-US" w:eastAsia="pt-BR"/>
        </w:rPr>
        <w:t>[113,114</w:t>
      </w:r>
      <w:r w:rsidRPr="004C750C">
        <w:rPr>
          <w:rFonts w:ascii="Book Antiqua" w:eastAsia="Times New Roman" w:hAnsi="Book Antiqua" w:cs="Arial"/>
          <w:sz w:val="24"/>
          <w:szCs w:val="24"/>
          <w:vertAlign w:val="superscript"/>
          <w:lang w:val="en-US" w:eastAsia="pt-BR"/>
        </w:rPr>
        <w:t>]</w:t>
      </w:r>
      <w:r w:rsidRPr="004C750C">
        <w:rPr>
          <w:rFonts w:ascii="Book Antiqua" w:eastAsia="Times New Roman" w:hAnsi="Book Antiqua" w:cs="Arial"/>
          <w:sz w:val="24"/>
          <w:szCs w:val="24"/>
          <w:lang w:val="en-US" w:eastAsia="pt-BR"/>
        </w:rPr>
        <w:t xml:space="preserve">. In contrast, nelfinavir promotes the elevation of </w:t>
      </w:r>
      <w:r w:rsidR="008120C5" w:rsidRPr="004C750C">
        <w:rPr>
          <w:rFonts w:ascii="Book Antiqua" w:eastAsia="Times New Roman" w:hAnsi="Book Antiqua" w:cs="Arial"/>
          <w:sz w:val="24"/>
          <w:szCs w:val="24"/>
          <w:lang w:val="en-US" w:eastAsia="pt-BR"/>
        </w:rPr>
        <w:t>TC</w:t>
      </w:r>
      <w:r w:rsidRPr="004C750C">
        <w:rPr>
          <w:rFonts w:ascii="Book Antiqua" w:eastAsia="Times New Roman" w:hAnsi="Book Antiqua" w:cs="Arial"/>
          <w:sz w:val="24"/>
          <w:szCs w:val="24"/>
          <w:lang w:val="en-US" w:eastAsia="pt-BR"/>
        </w:rPr>
        <w:t xml:space="preserve">, </w:t>
      </w:r>
      <w:r w:rsidR="008120C5" w:rsidRPr="004C750C">
        <w:rPr>
          <w:rFonts w:ascii="Book Antiqua" w:eastAsia="Times New Roman" w:hAnsi="Book Antiqua" w:cs="Arial"/>
          <w:sz w:val="24"/>
          <w:szCs w:val="24"/>
          <w:lang w:val="en-US" w:eastAsia="pt-BR"/>
        </w:rPr>
        <w:t>TG</w:t>
      </w:r>
      <w:r w:rsidRPr="004C750C">
        <w:rPr>
          <w:rFonts w:ascii="Book Antiqua" w:eastAsia="Times New Roman" w:hAnsi="Book Antiqua" w:cs="Arial"/>
          <w:sz w:val="24"/>
          <w:szCs w:val="24"/>
          <w:lang w:val="en-US" w:eastAsia="pt-BR"/>
        </w:rPr>
        <w:t xml:space="preserve"> and LDL levels, and its replacement by atazanavir permits the reduction of the concentrations of these parameters without affecting antiretroviral activity</w:t>
      </w:r>
      <w:r w:rsidR="002C4F9D" w:rsidRPr="004C750C">
        <w:rPr>
          <w:rFonts w:ascii="Book Antiqua" w:eastAsia="Times New Roman" w:hAnsi="Book Antiqua" w:cs="Arial"/>
          <w:sz w:val="24"/>
          <w:szCs w:val="24"/>
          <w:vertAlign w:val="superscript"/>
          <w:lang w:val="en-US" w:eastAsia="pt-BR"/>
        </w:rPr>
        <w:t>[115</w:t>
      </w:r>
      <w:r w:rsidRPr="004C750C">
        <w:rPr>
          <w:rFonts w:ascii="Book Antiqua" w:eastAsia="Times New Roman" w:hAnsi="Book Antiqua" w:cs="Arial"/>
          <w:sz w:val="24"/>
          <w:szCs w:val="24"/>
          <w:vertAlign w:val="superscript"/>
          <w:lang w:val="en-US" w:eastAsia="pt-BR"/>
        </w:rPr>
        <w:t>]</w:t>
      </w:r>
      <w:r w:rsidRPr="004C750C">
        <w:rPr>
          <w:rFonts w:ascii="Book Antiqua" w:eastAsia="Times New Roman" w:hAnsi="Book Antiqua" w:cs="Arial"/>
          <w:sz w:val="24"/>
          <w:szCs w:val="24"/>
          <w:lang w:val="en-US" w:eastAsia="pt-BR"/>
        </w:rPr>
        <w:t xml:space="preserve">. A more recent alternative is tipranavir, a non-peptide PI prescribed for patients with multidrug resistance. However, it has shown deleterious effects that promote atherogenic risk by increasing the levels of </w:t>
      </w:r>
      <w:r w:rsidR="008120C5" w:rsidRPr="004C750C">
        <w:rPr>
          <w:rFonts w:ascii="Book Antiqua" w:eastAsia="Times New Roman" w:hAnsi="Book Antiqua" w:cs="Arial"/>
          <w:sz w:val="24"/>
          <w:szCs w:val="24"/>
          <w:lang w:val="en-US" w:eastAsia="pt-BR"/>
        </w:rPr>
        <w:t>TC</w:t>
      </w:r>
      <w:r w:rsidRPr="004C750C">
        <w:rPr>
          <w:rFonts w:ascii="Book Antiqua" w:eastAsia="Times New Roman" w:hAnsi="Book Antiqua" w:cs="Arial"/>
          <w:sz w:val="24"/>
          <w:szCs w:val="24"/>
          <w:lang w:val="en-US" w:eastAsia="pt-BR"/>
        </w:rPr>
        <w:t xml:space="preserve"> and </w:t>
      </w:r>
      <w:r w:rsidR="008120C5" w:rsidRPr="004C750C">
        <w:rPr>
          <w:rFonts w:ascii="Book Antiqua" w:eastAsia="Times New Roman" w:hAnsi="Book Antiqua" w:cs="Arial"/>
          <w:sz w:val="24"/>
          <w:szCs w:val="24"/>
          <w:lang w:val="en-US" w:eastAsia="pt-BR"/>
        </w:rPr>
        <w:t>TG</w:t>
      </w:r>
      <w:r w:rsidR="002C4F9D" w:rsidRPr="004C750C">
        <w:rPr>
          <w:rFonts w:ascii="Book Antiqua" w:eastAsia="Times New Roman" w:hAnsi="Book Antiqua" w:cs="Arial"/>
          <w:sz w:val="24"/>
          <w:szCs w:val="24"/>
          <w:vertAlign w:val="superscript"/>
          <w:lang w:val="en-US" w:eastAsia="pt-BR"/>
        </w:rPr>
        <w:t>[116</w:t>
      </w:r>
      <w:r w:rsidRPr="004C750C">
        <w:rPr>
          <w:rFonts w:ascii="Book Antiqua" w:eastAsia="Times New Roman" w:hAnsi="Book Antiqua" w:cs="Arial"/>
          <w:sz w:val="24"/>
          <w:szCs w:val="24"/>
          <w:vertAlign w:val="superscript"/>
          <w:lang w:val="en-US" w:eastAsia="pt-BR"/>
        </w:rPr>
        <w:t>]</w:t>
      </w:r>
      <w:r w:rsidRPr="004C750C">
        <w:rPr>
          <w:rFonts w:ascii="Book Antiqua" w:eastAsia="Times New Roman" w:hAnsi="Book Antiqua" w:cs="Arial"/>
          <w:sz w:val="24"/>
          <w:szCs w:val="24"/>
          <w:lang w:val="en-US" w:eastAsia="pt-BR"/>
        </w:rPr>
        <w:t xml:space="preserve">. Another strategy to control dyslipidemia has been the discontinuation of the PI-based regimens and a switch to a NRTI- or NNRTI-based protocol. For </w:t>
      </w:r>
      <w:r w:rsidRPr="004C750C">
        <w:rPr>
          <w:rFonts w:ascii="Book Antiqua" w:hAnsi="Book Antiqua" w:cs="Arial"/>
          <w:sz w:val="24"/>
          <w:szCs w:val="24"/>
          <w:lang w:val="en-US"/>
        </w:rPr>
        <w:t xml:space="preserve">ART-naïve </w:t>
      </w:r>
      <w:r w:rsidRPr="004C750C">
        <w:rPr>
          <w:rFonts w:ascii="Book Antiqua" w:eastAsia="Times New Roman" w:hAnsi="Book Antiqua" w:cs="Arial"/>
          <w:sz w:val="24"/>
          <w:szCs w:val="24"/>
          <w:lang w:val="en-US" w:eastAsia="pt-BR"/>
        </w:rPr>
        <w:t xml:space="preserve">patients, HAART regimens that include at least one NNRTI, or abacavir and two NRTIs, might be as efficient as </w:t>
      </w:r>
      <w:r w:rsidRPr="004C750C">
        <w:rPr>
          <w:rFonts w:ascii="Book Antiqua" w:hAnsi="Book Antiqua" w:cs="Arial"/>
          <w:sz w:val="24"/>
          <w:szCs w:val="24"/>
          <w:lang w:val="en-US"/>
        </w:rPr>
        <w:t>PI-based therapy</w:t>
      </w:r>
      <w:r w:rsidRPr="004C750C">
        <w:rPr>
          <w:rFonts w:ascii="Book Antiqua" w:eastAsia="Times New Roman" w:hAnsi="Book Antiqua" w:cs="Arial"/>
          <w:sz w:val="24"/>
          <w:szCs w:val="24"/>
          <w:lang w:val="en-US" w:eastAsia="pt-BR"/>
        </w:rPr>
        <w:t>, although they are not the standard choice. This exchange of HAART in patients with viral suppression did not reduce antiretroviral efficacy during long-term use</w:t>
      </w:r>
      <w:r w:rsidR="002C4F9D" w:rsidRPr="004C750C">
        <w:rPr>
          <w:rFonts w:ascii="Book Antiqua" w:eastAsia="Times New Roman" w:hAnsi="Book Antiqua" w:cs="Arial"/>
          <w:sz w:val="24"/>
          <w:szCs w:val="24"/>
          <w:vertAlign w:val="superscript"/>
          <w:lang w:val="en-US" w:eastAsia="pt-BR"/>
        </w:rPr>
        <w:t>[116,117</w:t>
      </w:r>
      <w:r w:rsidRPr="004C750C">
        <w:rPr>
          <w:rFonts w:ascii="Book Antiqua" w:eastAsia="Times New Roman" w:hAnsi="Book Antiqua" w:cs="Arial"/>
          <w:sz w:val="24"/>
          <w:szCs w:val="24"/>
          <w:vertAlign w:val="superscript"/>
          <w:lang w:val="en-US" w:eastAsia="pt-BR"/>
        </w:rPr>
        <w:t>]</w:t>
      </w:r>
      <w:r w:rsidRPr="004C750C">
        <w:rPr>
          <w:rFonts w:ascii="Book Antiqua" w:eastAsia="Times New Roman" w:hAnsi="Book Antiqua" w:cs="Arial"/>
          <w:sz w:val="24"/>
          <w:szCs w:val="24"/>
          <w:lang w:val="en-US" w:eastAsia="pt-BR"/>
        </w:rPr>
        <w:t>. A strategy that must be better evaluated is the long-term use of the NRTI/NNRTI class of drugs before the use of </w:t>
      </w:r>
      <w:r w:rsidRPr="004C750C">
        <w:rPr>
          <w:rFonts w:ascii="Book Antiqua" w:hAnsi="Book Antiqua" w:cs="Arial"/>
          <w:sz w:val="24"/>
          <w:szCs w:val="24"/>
          <w:lang w:val="en-US"/>
        </w:rPr>
        <w:t>PI-based therapy</w:t>
      </w:r>
      <w:r w:rsidRPr="004C750C">
        <w:rPr>
          <w:rFonts w:ascii="Book Antiqua" w:eastAsia="Times New Roman" w:hAnsi="Book Antiqua" w:cs="Arial"/>
          <w:sz w:val="24"/>
          <w:szCs w:val="24"/>
          <w:lang w:val="en-US" w:eastAsia="pt-BR"/>
        </w:rPr>
        <w:t xml:space="preserve">. The use of NRTI-associated nevirapine reduces </w:t>
      </w:r>
      <w:r w:rsidR="001176C8" w:rsidRPr="004C750C">
        <w:rPr>
          <w:rFonts w:ascii="Book Antiqua" w:eastAsia="Times New Roman" w:hAnsi="Book Antiqua" w:cs="Arial"/>
          <w:sz w:val="24"/>
          <w:szCs w:val="24"/>
          <w:lang w:val="en-US" w:eastAsia="pt-BR"/>
        </w:rPr>
        <w:t xml:space="preserve">levels of </w:t>
      </w:r>
      <w:r w:rsidR="008120C5" w:rsidRPr="004C750C">
        <w:rPr>
          <w:rFonts w:ascii="Book Antiqua" w:eastAsia="Times New Roman" w:hAnsi="Book Antiqua" w:cs="Arial"/>
          <w:sz w:val="24"/>
          <w:szCs w:val="24"/>
          <w:lang w:val="en-US" w:eastAsia="pt-BR"/>
        </w:rPr>
        <w:t>TC</w:t>
      </w:r>
      <w:r w:rsidR="001176C8" w:rsidRPr="004C750C">
        <w:rPr>
          <w:rFonts w:ascii="Book Antiqua" w:eastAsia="Times New Roman" w:hAnsi="Book Antiqua" w:cs="Arial"/>
          <w:sz w:val="24"/>
          <w:szCs w:val="24"/>
          <w:lang w:val="en-US" w:eastAsia="pt-BR"/>
        </w:rPr>
        <w:t xml:space="preserve"> and </w:t>
      </w:r>
      <w:r w:rsidR="008120C5" w:rsidRPr="004C750C">
        <w:rPr>
          <w:rFonts w:ascii="Book Antiqua" w:eastAsia="Times New Roman" w:hAnsi="Book Antiqua" w:cs="Arial"/>
          <w:sz w:val="24"/>
          <w:szCs w:val="24"/>
          <w:lang w:val="en-US" w:eastAsia="pt-BR"/>
        </w:rPr>
        <w:t>TG</w:t>
      </w:r>
      <w:r w:rsidRPr="004C750C">
        <w:rPr>
          <w:rFonts w:ascii="Book Antiqua" w:eastAsia="Times New Roman" w:hAnsi="Book Antiqua" w:cs="Arial"/>
          <w:sz w:val="24"/>
          <w:szCs w:val="24"/>
          <w:lang w:val="en-US" w:eastAsia="pt-BR"/>
        </w:rPr>
        <w:t xml:space="preserve"> promotes an increase in HDL and a decrease in atherogenic risk. The use of NNRTIs may also alter the lipid profile due mostly to the use of efavirenz. Using this medication, </w:t>
      </w:r>
      <w:r w:rsidR="008120C5" w:rsidRPr="004C750C">
        <w:rPr>
          <w:rFonts w:ascii="Book Antiqua" w:eastAsia="Times New Roman" w:hAnsi="Book Antiqua" w:cs="Arial"/>
          <w:sz w:val="24"/>
          <w:szCs w:val="24"/>
          <w:lang w:val="en-US" w:eastAsia="pt-BR"/>
        </w:rPr>
        <w:t>TG</w:t>
      </w:r>
      <w:r w:rsidRPr="004C750C">
        <w:rPr>
          <w:rFonts w:ascii="Book Antiqua" w:eastAsia="Times New Roman" w:hAnsi="Book Antiqua" w:cs="Arial"/>
          <w:sz w:val="24"/>
          <w:szCs w:val="24"/>
          <w:lang w:val="en-US" w:eastAsia="pt-BR"/>
        </w:rPr>
        <w:t xml:space="preserve"> levels were higher in comparison to the use of nevirapine. However, in studies with a large number of HIV-1 patients, accompanied at intervals of ninety days and with undetectable HIV-1-RNA, the levels of </w:t>
      </w:r>
      <w:r w:rsidR="008120C5" w:rsidRPr="004C750C">
        <w:rPr>
          <w:rFonts w:ascii="Book Antiqua" w:eastAsia="Times New Roman" w:hAnsi="Book Antiqua" w:cs="Arial"/>
          <w:sz w:val="24"/>
          <w:szCs w:val="24"/>
          <w:lang w:val="en-US" w:eastAsia="pt-BR"/>
        </w:rPr>
        <w:t>TC</w:t>
      </w:r>
      <w:r w:rsidRPr="004C750C">
        <w:rPr>
          <w:rFonts w:ascii="Book Antiqua" w:eastAsia="Times New Roman" w:hAnsi="Book Antiqua" w:cs="Arial"/>
          <w:sz w:val="24"/>
          <w:szCs w:val="24"/>
          <w:lang w:val="en-US" w:eastAsia="pt-BR"/>
        </w:rPr>
        <w:t xml:space="preserve">, LDL and </w:t>
      </w:r>
      <w:r w:rsidR="008120C5" w:rsidRPr="004C750C">
        <w:rPr>
          <w:rFonts w:ascii="Book Antiqua" w:eastAsia="Times New Roman" w:hAnsi="Book Antiqua" w:cs="Arial"/>
          <w:sz w:val="24"/>
          <w:szCs w:val="24"/>
          <w:lang w:val="en-US" w:eastAsia="pt-BR"/>
        </w:rPr>
        <w:t>TG</w:t>
      </w:r>
      <w:r w:rsidRPr="004C750C">
        <w:rPr>
          <w:rFonts w:ascii="Book Antiqua" w:eastAsia="Times New Roman" w:hAnsi="Book Antiqua" w:cs="Arial"/>
          <w:sz w:val="24"/>
          <w:szCs w:val="24"/>
          <w:lang w:val="en-US" w:eastAsia="pt-BR"/>
        </w:rPr>
        <w:t xml:space="preserve"> were kept within the desirable limit in the groups treated with nevirapine and efavirenz, including HDL lev</w:t>
      </w:r>
      <w:r w:rsidR="008B748B" w:rsidRPr="004C750C">
        <w:rPr>
          <w:rFonts w:ascii="Book Antiqua" w:eastAsia="Times New Roman" w:hAnsi="Book Antiqua" w:cs="Arial"/>
          <w:sz w:val="24"/>
          <w:szCs w:val="24"/>
          <w:lang w:val="en-US" w:eastAsia="pt-BR"/>
        </w:rPr>
        <w:t>els within the reference values</w:t>
      </w:r>
      <w:r w:rsidR="002C4F9D" w:rsidRPr="004C750C">
        <w:rPr>
          <w:rFonts w:ascii="Book Antiqua" w:eastAsia="Times New Roman" w:hAnsi="Book Antiqua" w:cs="Arial"/>
          <w:sz w:val="24"/>
          <w:szCs w:val="24"/>
          <w:vertAlign w:val="superscript"/>
          <w:lang w:val="en-US" w:eastAsia="pt-BR"/>
        </w:rPr>
        <w:t>[116-118</w:t>
      </w:r>
      <w:r w:rsidRPr="004C750C">
        <w:rPr>
          <w:rFonts w:ascii="Book Antiqua" w:eastAsia="Times New Roman" w:hAnsi="Book Antiqua" w:cs="Arial"/>
          <w:sz w:val="24"/>
          <w:szCs w:val="24"/>
          <w:vertAlign w:val="superscript"/>
          <w:lang w:val="en-US" w:eastAsia="pt-BR"/>
        </w:rPr>
        <w:t>]</w:t>
      </w:r>
      <w:r w:rsidRPr="004C750C">
        <w:rPr>
          <w:rFonts w:ascii="Times New Roman" w:eastAsia="Times New Roman" w:hAnsi="Times New Roman" w:cs="Times New Roman"/>
          <w:sz w:val="24"/>
          <w:szCs w:val="24"/>
          <w:vertAlign w:val="superscript"/>
          <w:lang w:val="en-US" w:eastAsia="pt-BR"/>
        </w:rPr>
        <w:t>​​</w:t>
      </w:r>
      <w:r w:rsidRPr="004C750C">
        <w:rPr>
          <w:rFonts w:ascii="Book Antiqua" w:eastAsia="Times New Roman" w:hAnsi="Book Antiqua" w:cs="Arial"/>
          <w:sz w:val="24"/>
          <w:szCs w:val="24"/>
          <w:lang w:val="en-US" w:eastAsia="pt-BR"/>
        </w:rPr>
        <w:t>. Only the HIV-1 patients treated with a PI-based regimen showed lipid abnormalities and increased risks for cardiovascular disease</w:t>
      </w:r>
      <w:r w:rsidRPr="004C750C">
        <w:rPr>
          <w:rFonts w:ascii="Book Antiqua" w:eastAsia="Times New Roman" w:hAnsi="Book Antiqua" w:cs="Arial"/>
          <w:sz w:val="24"/>
          <w:szCs w:val="24"/>
          <w:vertAlign w:val="superscript"/>
          <w:lang w:val="en-US" w:eastAsia="pt-BR"/>
        </w:rPr>
        <w:t>[13,</w:t>
      </w:r>
      <w:r w:rsidR="00C510E4" w:rsidRPr="004C750C">
        <w:rPr>
          <w:rFonts w:ascii="Book Antiqua" w:eastAsia="Times New Roman" w:hAnsi="Book Antiqua" w:cs="Arial"/>
          <w:sz w:val="24"/>
          <w:szCs w:val="24"/>
          <w:vertAlign w:val="superscript"/>
          <w:lang w:val="en-US" w:eastAsia="pt-BR"/>
        </w:rPr>
        <w:t>22,</w:t>
      </w:r>
      <w:r w:rsidR="002C4F9D" w:rsidRPr="004C750C">
        <w:rPr>
          <w:rFonts w:ascii="Book Antiqua" w:eastAsia="Times New Roman" w:hAnsi="Book Antiqua" w:cs="Arial"/>
          <w:sz w:val="24"/>
          <w:szCs w:val="24"/>
          <w:vertAlign w:val="superscript"/>
          <w:lang w:val="en-US" w:eastAsia="pt-BR"/>
        </w:rPr>
        <w:t>117</w:t>
      </w:r>
      <w:r w:rsidRPr="004C750C">
        <w:rPr>
          <w:rFonts w:ascii="Book Antiqua" w:eastAsia="Times New Roman" w:hAnsi="Book Antiqua" w:cs="Arial"/>
          <w:sz w:val="24"/>
          <w:szCs w:val="24"/>
          <w:vertAlign w:val="superscript"/>
          <w:lang w:val="en-US" w:eastAsia="pt-BR"/>
        </w:rPr>
        <w:t>]</w:t>
      </w:r>
      <w:r w:rsidRPr="004C750C">
        <w:rPr>
          <w:rFonts w:ascii="Book Antiqua" w:eastAsia="Times New Roman" w:hAnsi="Book Antiqua" w:cs="Arial"/>
          <w:sz w:val="24"/>
          <w:szCs w:val="24"/>
          <w:lang w:val="en-US" w:eastAsia="pt-BR"/>
        </w:rPr>
        <w:t xml:space="preserve">. In addition, possible alterations in lipid metabolism resulting from the use of NNRTI-based therapy are easier and faster to reverse with the use of statins, fibrates, diet and lifestyle. Although the individual effects of NRTIs remain unclear, stavudine was associated with </w:t>
      </w:r>
      <w:r w:rsidR="008120C5" w:rsidRPr="004C750C">
        <w:rPr>
          <w:rFonts w:ascii="Book Antiqua" w:eastAsia="Times New Roman" w:hAnsi="Book Antiqua" w:cs="Arial"/>
          <w:sz w:val="24"/>
          <w:szCs w:val="24"/>
          <w:lang w:val="en-US" w:eastAsia="pt-BR"/>
        </w:rPr>
        <w:t>TC</w:t>
      </w:r>
      <w:r w:rsidRPr="004C750C">
        <w:rPr>
          <w:rFonts w:ascii="Book Antiqua" w:eastAsia="Times New Roman" w:hAnsi="Book Antiqua" w:cs="Arial"/>
          <w:sz w:val="24"/>
          <w:szCs w:val="24"/>
          <w:lang w:val="en-US" w:eastAsia="pt-BR"/>
        </w:rPr>
        <w:t xml:space="preserve"> and </w:t>
      </w:r>
      <w:r w:rsidR="008120C5" w:rsidRPr="004C750C">
        <w:rPr>
          <w:rFonts w:ascii="Book Antiqua" w:eastAsia="Times New Roman" w:hAnsi="Book Antiqua" w:cs="Arial"/>
          <w:sz w:val="24"/>
          <w:szCs w:val="24"/>
          <w:lang w:val="en-US" w:eastAsia="pt-BR"/>
        </w:rPr>
        <w:t>TG</w:t>
      </w:r>
      <w:r w:rsidRPr="004C750C">
        <w:rPr>
          <w:rFonts w:ascii="Book Antiqua" w:eastAsia="Times New Roman" w:hAnsi="Book Antiqua" w:cs="Arial"/>
          <w:sz w:val="24"/>
          <w:szCs w:val="24"/>
          <w:lang w:val="en-US" w:eastAsia="pt-BR"/>
        </w:rPr>
        <w:t xml:space="preserve"> elevations greater than zidovudine and tenofovir. The addition of fusion inhibitors to the existing therapies, such as enfuvirtide/T-20, had little effect on plasma lipids. The possibility of different HAART strategies eliminating or reducing the dyslipidemia in HIV-1 patients must be evaluated, and the risk of development of variants of the virus with multi-drug resistance must be taken into account</w:t>
      </w:r>
      <w:r w:rsidR="00370F63" w:rsidRPr="004C750C">
        <w:rPr>
          <w:rFonts w:ascii="Book Antiqua" w:eastAsia="Times New Roman" w:hAnsi="Book Antiqua" w:cs="Arial"/>
          <w:sz w:val="24"/>
          <w:szCs w:val="24"/>
          <w:vertAlign w:val="superscript"/>
          <w:lang w:val="en-US" w:eastAsia="pt-BR"/>
        </w:rPr>
        <w:t>[119</w:t>
      </w:r>
      <w:r w:rsidRPr="004C750C">
        <w:rPr>
          <w:rFonts w:ascii="Book Antiqua" w:eastAsia="Times New Roman" w:hAnsi="Book Antiqua" w:cs="Arial"/>
          <w:sz w:val="24"/>
          <w:szCs w:val="24"/>
          <w:vertAlign w:val="superscript"/>
          <w:lang w:val="en-US" w:eastAsia="pt-BR"/>
        </w:rPr>
        <w:t>]</w:t>
      </w:r>
      <w:r w:rsidRPr="004C750C">
        <w:rPr>
          <w:rFonts w:ascii="Book Antiqua" w:eastAsia="Times New Roman" w:hAnsi="Book Antiqua" w:cs="Arial"/>
          <w:sz w:val="24"/>
          <w:szCs w:val="24"/>
          <w:lang w:val="en-US" w:eastAsia="pt-BR"/>
        </w:rPr>
        <w:t>. In HIV-1 patients with favorable historical responses to HAART and accompanied by a physician experienced in HIV-infection, the transition from a PI-based to a therapy with nevirapine, abacavir, or even atazanavir may be preferable to the use of a hypolipidemic. In practice, many patients will show pre-existing resistance to the drugs, limiting options for the exchange of the treatment</w:t>
      </w:r>
      <w:r w:rsidR="00370F63" w:rsidRPr="004C750C">
        <w:rPr>
          <w:rFonts w:ascii="Book Antiqua" w:eastAsia="Times New Roman" w:hAnsi="Book Antiqua" w:cs="Arial"/>
          <w:sz w:val="24"/>
          <w:szCs w:val="24"/>
          <w:vertAlign w:val="superscript"/>
          <w:lang w:val="en-US" w:eastAsia="pt-BR"/>
        </w:rPr>
        <w:t>[77,113-115</w:t>
      </w:r>
      <w:r w:rsidRPr="004C750C">
        <w:rPr>
          <w:rFonts w:ascii="Book Antiqua" w:eastAsia="Times New Roman" w:hAnsi="Book Antiqua" w:cs="Arial"/>
          <w:sz w:val="24"/>
          <w:szCs w:val="24"/>
          <w:vertAlign w:val="superscript"/>
          <w:lang w:val="en-US" w:eastAsia="pt-BR"/>
        </w:rPr>
        <w:t>]</w:t>
      </w:r>
      <w:r w:rsidRPr="004C750C">
        <w:rPr>
          <w:rFonts w:ascii="Book Antiqua" w:eastAsia="Times New Roman" w:hAnsi="Book Antiqua" w:cs="Arial"/>
          <w:sz w:val="24"/>
          <w:szCs w:val="24"/>
          <w:lang w:val="en-US" w:eastAsia="pt-BR"/>
        </w:rPr>
        <w:t>. Experts must assess the risks of toxicity of the new treatment and the possibility of virologic relapse when switching HAART regimens.</w:t>
      </w:r>
    </w:p>
    <w:p w:rsidR="00E769B0" w:rsidRPr="004C750C" w:rsidRDefault="00E769B0" w:rsidP="004C750C">
      <w:pPr>
        <w:spacing w:after="0" w:line="360" w:lineRule="auto"/>
        <w:jc w:val="both"/>
        <w:rPr>
          <w:rFonts w:ascii="Book Antiqua" w:hAnsi="Book Antiqua" w:cs="Arial"/>
          <w:sz w:val="24"/>
          <w:szCs w:val="24"/>
          <w:lang w:val="en-US" w:eastAsia="zh-CN"/>
        </w:rPr>
      </w:pPr>
    </w:p>
    <w:p w:rsidR="00B2210C" w:rsidRPr="004C750C" w:rsidRDefault="00E769B0"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OTHER THERAPIES FOR HAART-ASSOCIATED DYSLIPIDEMIA</w:t>
      </w:r>
    </w:p>
    <w:p w:rsidR="00B2210C" w:rsidRPr="004C750C" w:rsidRDefault="00B2210C"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 xml:space="preserve">The use of hypolipidemic drug therapy becomes necessary when HAART-associated dyslipidemia occurs or persists for a long period and when alterations in diet, exercise and other HAART strategies are ineffective. Difficulties in the treatment of dyslipidemia in HIV-1 patients involve potential interaction between drugs, toxicity, intolerance, and low patient adherence to multiple drug regimens. Several alternatives are available, which, when adequately monitored, may be beneficial in reducing HAART-associated dyslipidemia. </w:t>
      </w:r>
    </w:p>
    <w:p w:rsidR="00E769B0" w:rsidRPr="004C750C" w:rsidRDefault="00E769B0" w:rsidP="004C750C">
      <w:pPr>
        <w:spacing w:after="0" w:line="360" w:lineRule="auto"/>
        <w:jc w:val="both"/>
        <w:rPr>
          <w:rFonts w:ascii="Book Antiqua" w:hAnsi="Book Antiqua" w:cs="Arial"/>
          <w:sz w:val="24"/>
          <w:szCs w:val="24"/>
          <w:lang w:val="en-US" w:eastAsia="zh-CN"/>
        </w:rPr>
      </w:pPr>
    </w:p>
    <w:p w:rsidR="00B2210C" w:rsidRPr="004C750C" w:rsidRDefault="00B2210C" w:rsidP="004C750C">
      <w:pPr>
        <w:spacing w:after="0" w:line="360" w:lineRule="auto"/>
        <w:jc w:val="both"/>
        <w:rPr>
          <w:rFonts w:ascii="Book Antiqua" w:hAnsi="Book Antiqua" w:cs="Arial"/>
          <w:b/>
          <w:i/>
          <w:sz w:val="24"/>
          <w:szCs w:val="24"/>
          <w:lang w:val="en-US"/>
        </w:rPr>
      </w:pPr>
      <w:r w:rsidRPr="004C750C">
        <w:rPr>
          <w:rFonts w:ascii="Book Antiqua" w:hAnsi="Book Antiqua" w:cs="Arial"/>
          <w:b/>
          <w:i/>
          <w:sz w:val="24"/>
          <w:szCs w:val="24"/>
          <w:lang w:val="en-US"/>
        </w:rPr>
        <w:t>Statins</w:t>
      </w:r>
    </w:p>
    <w:p w:rsidR="00B2210C" w:rsidRPr="004C750C" w:rsidRDefault="00B2210C"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Statins are a group of drugs that inhibit the enzyme HMG-CoA reductase (3-hydroxy-3-methylglutaryl coenzyme A reductase) and are considered the primary drugs for the treatment of primary hypercholesterolemia</w:t>
      </w:r>
      <w:r w:rsidR="00370F63" w:rsidRPr="004C750C">
        <w:rPr>
          <w:rFonts w:ascii="Book Antiqua" w:hAnsi="Book Antiqua" w:cs="Arial"/>
          <w:sz w:val="24"/>
          <w:szCs w:val="24"/>
          <w:vertAlign w:val="superscript"/>
          <w:lang w:val="en-US"/>
        </w:rPr>
        <w:t>[120</w:t>
      </w:r>
      <w:r w:rsidRPr="004C750C">
        <w:rPr>
          <w:rFonts w:ascii="Book Antiqua" w:hAnsi="Book Antiqua" w:cs="Arial"/>
          <w:sz w:val="24"/>
          <w:szCs w:val="24"/>
          <w:vertAlign w:val="superscript"/>
          <w:lang w:val="en-US"/>
        </w:rPr>
        <w:t>]</w:t>
      </w:r>
      <w:r w:rsidR="00356F46" w:rsidRPr="004C750C">
        <w:rPr>
          <w:rFonts w:ascii="Book Antiqua" w:hAnsi="Book Antiqua" w:cs="Arial"/>
          <w:sz w:val="24"/>
          <w:szCs w:val="24"/>
          <w:lang w:val="en-US"/>
        </w:rPr>
        <w:t xml:space="preserve"> i</w:t>
      </w:r>
      <w:r w:rsidR="003066B9" w:rsidRPr="004C750C">
        <w:rPr>
          <w:rFonts w:ascii="Book Antiqua" w:hAnsi="Book Antiqua" w:cs="Arial"/>
          <w:sz w:val="24"/>
          <w:szCs w:val="24"/>
          <w:lang w:val="en-US"/>
        </w:rPr>
        <w:t>n addition to others effects</w:t>
      </w:r>
      <w:r w:rsidR="003066B9" w:rsidRPr="004C750C">
        <w:rPr>
          <w:rFonts w:ascii="Book Antiqua" w:hAnsi="Book Antiqua" w:cs="Arial"/>
          <w:sz w:val="24"/>
          <w:szCs w:val="24"/>
          <w:vertAlign w:val="superscript"/>
          <w:lang w:val="en-US"/>
        </w:rPr>
        <w:t>[</w:t>
      </w:r>
      <w:r w:rsidR="00370F63" w:rsidRPr="004C750C">
        <w:rPr>
          <w:rFonts w:ascii="Book Antiqua" w:hAnsi="Book Antiqua" w:cs="Arial"/>
          <w:sz w:val="24"/>
          <w:szCs w:val="24"/>
          <w:vertAlign w:val="superscript"/>
          <w:lang w:val="en-US"/>
        </w:rPr>
        <w:t>121</w:t>
      </w:r>
      <w:r w:rsidR="003066B9" w:rsidRPr="004C750C">
        <w:rPr>
          <w:rFonts w:ascii="Book Antiqua" w:hAnsi="Book Antiqua" w:cs="Arial"/>
          <w:sz w:val="24"/>
          <w:szCs w:val="24"/>
          <w:vertAlign w:val="superscript"/>
          <w:lang w:val="en-US"/>
        </w:rPr>
        <w:t>,</w:t>
      </w:r>
      <w:r w:rsidR="00370F63" w:rsidRPr="004C750C">
        <w:rPr>
          <w:rFonts w:ascii="Book Antiqua" w:hAnsi="Book Antiqua" w:cs="Arial"/>
          <w:sz w:val="24"/>
          <w:szCs w:val="24"/>
          <w:vertAlign w:val="superscript"/>
          <w:lang w:val="en-US"/>
        </w:rPr>
        <w:t>122</w:t>
      </w:r>
      <w:r w:rsidR="003066B9" w:rsidRPr="004C750C">
        <w:rPr>
          <w:rFonts w:ascii="Book Antiqua" w:hAnsi="Book Antiqua" w:cs="Arial"/>
          <w:sz w:val="24"/>
          <w:szCs w:val="24"/>
          <w:vertAlign w:val="superscript"/>
          <w:lang w:val="en-US"/>
        </w:rPr>
        <w:t>]</w:t>
      </w:r>
      <w:r w:rsidR="00356F46" w:rsidRPr="004C750C">
        <w:rPr>
          <w:rFonts w:ascii="Book Antiqua" w:hAnsi="Book Antiqua" w:cs="Arial"/>
          <w:sz w:val="24"/>
          <w:szCs w:val="24"/>
          <w:lang w:val="en-US"/>
        </w:rPr>
        <w:t>.</w:t>
      </w:r>
      <w:r w:rsidRPr="004C750C">
        <w:rPr>
          <w:rFonts w:ascii="Book Antiqua" w:hAnsi="Book Antiqua" w:cs="Arial"/>
          <w:sz w:val="24"/>
          <w:szCs w:val="24"/>
          <w:lang w:val="en-US"/>
        </w:rPr>
        <w:t xml:space="preserve"> In clinical practice, the use of statins has achieved excellent results in reducing </w:t>
      </w:r>
      <w:r w:rsidR="00E478A5" w:rsidRPr="004C750C">
        <w:rPr>
          <w:rFonts w:ascii="Book Antiqua" w:hAnsi="Book Antiqua" w:cs="Arial"/>
          <w:sz w:val="24"/>
          <w:szCs w:val="24"/>
          <w:lang w:val="en-US"/>
        </w:rPr>
        <w:t>TC</w:t>
      </w:r>
      <w:r w:rsidRPr="004C750C">
        <w:rPr>
          <w:rFonts w:ascii="Book Antiqua" w:hAnsi="Book Antiqua" w:cs="Arial"/>
          <w:sz w:val="24"/>
          <w:szCs w:val="24"/>
          <w:lang w:val="en-US"/>
        </w:rPr>
        <w:t xml:space="preserve"> and LDL, leading to a decreased risk of coronary artery events and in the primary and secondary prevention of heart diseases</w:t>
      </w:r>
      <w:r w:rsidR="00370F63" w:rsidRPr="004C750C">
        <w:rPr>
          <w:rFonts w:ascii="Book Antiqua" w:hAnsi="Book Antiqua" w:cs="Arial"/>
          <w:sz w:val="24"/>
          <w:szCs w:val="24"/>
          <w:vertAlign w:val="superscript"/>
          <w:lang w:val="en-US"/>
        </w:rPr>
        <w:t>[123</w:t>
      </w:r>
      <w:r w:rsidR="008B748B" w:rsidRPr="004C750C">
        <w:rPr>
          <w:rFonts w:ascii="Book Antiqua" w:hAnsi="Book Antiqua" w:cs="Arial"/>
          <w:sz w:val="24"/>
          <w:szCs w:val="24"/>
          <w:vertAlign w:val="superscript"/>
          <w:lang w:val="en-US" w:eastAsia="zh-CN"/>
        </w:rPr>
        <w:t>,</w:t>
      </w:r>
      <w:r w:rsidR="00370F63" w:rsidRPr="004C750C">
        <w:rPr>
          <w:rFonts w:ascii="Book Antiqua" w:hAnsi="Book Antiqua" w:cs="Arial"/>
          <w:sz w:val="24"/>
          <w:szCs w:val="24"/>
          <w:vertAlign w:val="superscript"/>
          <w:lang w:val="en-US"/>
        </w:rPr>
        <w:t>124</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Statins inhibit the key rate-controlling enzyme in the de novo synthesis of cholesterol, which is responsible for production of &gt;</w:t>
      </w:r>
      <w:r w:rsidR="00E769B0"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50% of total body cholesterol. Inhibition of HMG-CoA reductase also promotes an increase in the synthesis of hepatic LDL receptors and reduced VLDL production</w:t>
      </w:r>
      <w:r w:rsidR="00370F63" w:rsidRPr="004C750C">
        <w:rPr>
          <w:rFonts w:ascii="Book Antiqua" w:hAnsi="Book Antiqua" w:cs="Arial"/>
          <w:sz w:val="24"/>
          <w:szCs w:val="24"/>
          <w:vertAlign w:val="superscript"/>
          <w:lang w:val="en-US"/>
        </w:rPr>
        <w:t>[123-125</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The most important drugs of this class are simvastatin, fluvastatin, atorvastatin, lovastatin, pravastatin and rosuvastatin. All of these drugs reduce LDL concentrations, although the use of simvastatin and atorvastatin has shown superior effects in HIV-1 seronegative patients</w:t>
      </w:r>
      <w:r w:rsidR="00370F63" w:rsidRPr="004C750C">
        <w:rPr>
          <w:rFonts w:ascii="Book Antiqua" w:hAnsi="Book Antiqua" w:cs="Arial"/>
          <w:sz w:val="24"/>
          <w:szCs w:val="24"/>
          <w:vertAlign w:val="superscript"/>
          <w:lang w:val="en-US"/>
        </w:rPr>
        <w:t>[123-125</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In HIV-1-infected patients affected with dyslipidemia, the use of simvastatin, pravastatin, fluvastatin and rosuvastatin promotes reduction of dyslipidemia, but not is complete remission once other factors and elements are associated with the dyslipidemia in these patients</w:t>
      </w:r>
      <w:r w:rsidR="00370F63" w:rsidRPr="004C750C">
        <w:rPr>
          <w:rFonts w:ascii="Book Antiqua" w:hAnsi="Book Antiqua" w:cs="Arial"/>
          <w:sz w:val="24"/>
          <w:szCs w:val="24"/>
          <w:vertAlign w:val="superscript"/>
          <w:lang w:val="en-US"/>
        </w:rPr>
        <w:t>[123-126</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The different drugs that compose HAART have metabolizing effects similar to statin (</w:t>
      </w:r>
      <w:r w:rsidR="001176C8" w:rsidRPr="004C750C">
        <w:rPr>
          <w:rFonts w:ascii="Book Antiqua" w:hAnsi="Book Antiqua" w:cs="Arial"/>
          <w:sz w:val="24"/>
          <w:szCs w:val="24"/>
          <w:lang w:val="en-US"/>
        </w:rPr>
        <w:t>T</w:t>
      </w:r>
      <w:r w:rsidRPr="004C750C">
        <w:rPr>
          <w:rFonts w:ascii="Book Antiqua" w:hAnsi="Book Antiqua" w:cs="Arial"/>
          <w:sz w:val="24"/>
          <w:szCs w:val="24"/>
          <w:lang w:val="en-US"/>
        </w:rPr>
        <w:t>able 4). Most of these compounds are metabolized by CYP3A4 and may cause clinically relevant interactions with other agents that are changed by this enzymatic complex, such as cyclosporine, erythromycin, itaconazole, ketoconazole, oral anticoagulants, PIs and NNRTIs</w:t>
      </w:r>
      <w:r w:rsidR="00370F63" w:rsidRPr="004C750C">
        <w:rPr>
          <w:rFonts w:ascii="Book Antiqua" w:hAnsi="Book Antiqua" w:cs="Arial"/>
          <w:sz w:val="24"/>
          <w:szCs w:val="24"/>
          <w:vertAlign w:val="superscript"/>
          <w:lang w:val="en-US"/>
        </w:rPr>
        <w:t>[126-128</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An additional complicating feature is that individual statins are metabolized at differing degrees, in some cases producing active metabolites. They are also substrates for P-glycoprotein, a drug transporter present in the small intestine, w</w:t>
      </w:r>
      <w:r w:rsidR="00D02333" w:rsidRPr="004C750C">
        <w:rPr>
          <w:rFonts w:ascii="Book Antiqua" w:hAnsi="Book Antiqua" w:cs="Arial"/>
          <w:sz w:val="24"/>
          <w:szCs w:val="24"/>
          <w:lang w:val="en-US"/>
        </w:rPr>
        <w:t>h</w:t>
      </w:r>
      <w:r w:rsidRPr="004C750C">
        <w:rPr>
          <w:rFonts w:ascii="Book Antiqua" w:hAnsi="Book Antiqua" w:cs="Arial"/>
          <w:sz w:val="24"/>
          <w:szCs w:val="24"/>
          <w:lang w:val="en-US"/>
        </w:rPr>
        <w:t>ich may influence their oral bioavailability</w:t>
      </w:r>
      <w:r w:rsidR="00370F63" w:rsidRPr="004C750C">
        <w:rPr>
          <w:rFonts w:ascii="Book Antiqua" w:hAnsi="Book Antiqua" w:cs="Arial"/>
          <w:sz w:val="24"/>
          <w:szCs w:val="24"/>
          <w:vertAlign w:val="superscript"/>
          <w:lang w:val="en-US"/>
        </w:rPr>
        <w:t>[127-129</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The presence of elevated statin levels in plasma increases the risk of liver toxicity, promoting elevations of serum transaminases and possible toxic hepatitis as well as skeletal muscle toxicity and myalgia with elevations of serum creatine kinase elevations, especially in the case simvastatin and atorvastatin</w:t>
      </w:r>
      <w:r w:rsidR="00370F63" w:rsidRPr="004C750C">
        <w:rPr>
          <w:rFonts w:ascii="Book Antiqua" w:hAnsi="Book Antiqua" w:cs="Arial"/>
          <w:sz w:val="24"/>
          <w:szCs w:val="24"/>
          <w:vertAlign w:val="superscript"/>
          <w:lang w:val="en-US"/>
        </w:rPr>
        <w:t>[127-131</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r w:rsidRPr="004C750C" w:rsidDel="00972897">
        <w:rPr>
          <w:rFonts w:ascii="Book Antiqua" w:hAnsi="Book Antiqua" w:cs="Arial"/>
          <w:sz w:val="24"/>
          <w:szCs w:val="24"/>
          <w:lang w:val="en-US"/>
        </w:rPr>
        <w:t xml:space="preserve"> </w:t>
      </w:r>
      <w:r w:rsidRPr="004C750C">
        <w:rPr>
          <w:rFonts w:ascii="Book Antiqua" w:hAnsi="Book Antiqua" w:cs="Arial"/>
          <w:sz w:val="24"/>
          <w:szCs w:val="24"/>
          <w:lang w:val="en-US"/>
        </w:rPr>
        <w:t xml:space="preserve">Fluvastatin is metabolized by CYP2C9 enzyme; pravastatin and rosuvastatin are not significantly metabolized by the CYP450 system and have a very low risk of drug interactions. Reductions in the levels of </w:t>
      </w:r>
      <w:r w:rsidR="00E478A5" w:rsidRPr="004C750C">
        <w:rPr>
          <w:rFonts w:ascii="Book Antiqua" w:hAnsi="Book Antiqua" w:cs="Arial"/>
          <w:sz w:val="24"/>
          <w:szCs w:val="24"/>
          <w:lang w:val="en-US"/>
        </w:rPr>
        <w:t>TC</w:t>
      </w:r>
      <w:r w:rsidRPr="004C750C">
        <w:rPr>
          <w:rFonts w:ascii="Book Antiqua" w:hAnsi="Book Antiqua" w:cs="Arial"/>
          <w:sz w:val="24"/>
          <w:szCs w:val="24"/>
          <w:lang w:val="en-US"/>
        </w:rPr>
        <w:t xml:space="preserve"> and </w:t>
      </w:r>
      <w:r w:rsidR="00E478A5" w:rsidRPr="004C750C">
        <w:rPr>
          <w:rFonts w:ascii="Book Antiqua" w:hAnsi="Book Antiqua" w:cs="Arial"/>
          <w:sz w:val="24"/>
          <w:szCs w:val="24"/>
          <w:lang w:val="en-US"/>
        </w:rPr>
        <w:t>TG</w:t>
      </w:r>
      <w:r w:rsidRPr="004C750C">
        <w:rPr>
          <w:rFonts w:ascii="Book Antiqua" w:hAnsi="Book Antiqua" w:cs="Arial"/>
          <w:sz w:val="24"/>
          <w:szCs w:val="24"/>
          <w:lang w:val="en-US"/>
        </w:rPr>
        <w:t xml:space="preserve"> were observed in patients with dyslipidemia associated with HIV-1 and treated with a PI and the use of rosuvastatin. Simvastatin, lovastatin and atorvastatin should be avoided because they present a high risk of pharmacological interactions with PIs. Moreover, in a recent study, pravastatin had the lowest binding to plasma proteins of the statin agents and dietary advice associated with this statin compound significantly reduced total cholesterol levels in HIV patients treated with HAART, without significant adverse events</w:t>
      </w:r>
      <w:r w:rsidR="00370F63" w:rsidRPr="004C750C">
        <w:rPr>
          <w:rFonts w:ascii="Book Antiqua" w:hAnsi="Book Antiqua" w:cs="Arial"/>
          <w:sz w:val="24"/>
          <w:szCs w:val="24"/>
          <w:vertAlign w:val="superscript"/>
          <w:lang w:val="en-US"/>
        </w:rPr>
        <w:t>[126-130</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It is reasonable to recommend the use of pravastatin and/or rosuvastatin as a first-line treatment for hypercholesterolemia in PI-treated patients and the use of fluvastatin, characterized by a slightly lower efficacy, as a second-line regimen. Additional benefits are obtained in patients treated with indinavir or pravastatin and fluvastatin, which significantly reduces the levels of </w:t>
      </w:r>
      <w:r w:rsidR="00E478A5" w:rsidRPr="004C750C">
        <w:rPr>
          <w:rFonts w:ascii="Book Antiqua" w:hAnsi="Book Antiqua" w:cs="Arial"/>
          <w:sz w:val="24"/>
          <w:szCs w:val="24"/>
          <w:lang w:val="en-US"/>
        </w:rPr>
        <w:t>TC</w:t>
      </w:r>
      <w:r w:rsidRPr="004C750C">
        <w:rPr>
          <w:rFonts w:ascii="Book Antiqua" w:hAnsi="Book Antiqua" w:cs="Arial"/>
          <w:sz w:val="24"/>
          <w:szCs w:val="24"/>
          <w:lang w:val="en-US"/>
        </w:rPr>
        <w:t xml:space="preserve"> and LDL, while maintaining good tolerability. Different associations between statins and antiretrovirals present considerable tolerability but always require monitoring of serum transaminases and creatine kinase. Different clinical studies and the routine use of fluvastatin, pravastatin, or rosuvastatin have shown that they are most suitable and safe</w:t>
      </w:r>
      <w:r w:rsidRPr="004C750C" w:rsidDel="00207034">
        <w:rPr>
          <w:rFonts w:ascii="Book Antiqua" w:hAnsi="Book Antiqua" w:cs="Arial"/>
          <w:sz w:val="24"/>
          <w:szCs w:val="24"/>
          <w:lang w:val="en-US"/>
        </w:rPr>
        <w:t xml:space="preserve"> </w:t>
      </w:r>
      <w:r w:rsidRPr="004C750C">
        <w:rPr>
          <w:rFonts w:ascii="Book Antiqua" w:hAnsi="Book Antiqua" w:cs="Arial"/>
          <w:sz w:val="24"/>
          <w:szCs w:val="24"/>
          <w:lang w:val="en-US"/>
        </w:rPr>
        <w:t>to reduce LDL cholesterol levels in HIV patients</w:t>
      </w:r>
      <w:r w:rsidR="00370F63" w:rsidRPr="004C750C">
        <w:rPr>
          <w:rFonts w:ascii="Book Antiqua" w:hAnsi="Book Antiqua" w:cs="Arial"/>
          <w:sz w:val="24"/>
          <w:szCs w:val="24"/>
          <w:vertAlign w:val="superscript"/>
          <w:lang w:val="en-US"/>
        </w:rPr>
        <w:t>[126-132</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p>
    <w:p w:rsidR="00E769B0" w:rsidRPr="004C750C" w:rsidRDefault="00E769B0" w:rsidP="004C750C">
      <w:pPr>
        <w:spacing w:after="0" w:line="360" w:lineRule="auto"/>
        <w:jc w:val="both"/>
        <w:rPr>
          <w:rFonts w:ascii="Book Antiqua" w:hAnsi="Book Antiqua" w:cs="Arial"/>
          <w:sz w:val="24"/>
          <w:szCs w:val="24"/>
          <w:lang w:val="en-US" w:eastAsia="zh-CN"/>
        </w:rPr>
      </w:pPr>
    </w:p>
    <w:p w:rsidR="00B2210C" w:rsidRPr="004C750C" w:rsidRDefault="00B2210C" w:rsidP="004C750C">
      <w:pPr>
        <w:spacing w:after="0" w:line="360" w:lineRule="auto"/>
        <w:jc w:val="both"/>
        <w:rPr>
          <w:rFonts w:ascii="Book Antiqua" w:hAnsi="Book Antiqua" w:cs="Arial"/>
          <w:b/>
          <w:i/>
          <w:sz w:val="24"/>
          <w:szCs w:val="24"/>
          <w:lang w:val="en-US"/>
        </w:rPr>
      </w:pPr>
      <w:r w:rsidRPr="004C750C">
        <w:rPr>
          <w:rFonts w:ascii="Book Antiqua" w:hAnsi="Book Antiqua" w:cs="Arial"/>
          <w:b/>
          <w:i/>
          <w:sz w:val="24"/>
          <w:szCs w:val="24"/>
          <w:lang w:val="en-US"/>
        </w:rPr>
        <w:t>Fibrates</w:t>
      </w:r>
    </w:p>
    <w:p w:rsidR="00B2210C" w:rsidRPr="004C750C" w:rsidRDefault="00B2210C"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 xml:space="preserve">Fibrates represent the cornerstone of drug therapy for hypertriglyceridemia and mixed hyperlipidemia. These compounds are characterized by an extended activity on the hepatic synthesis of both </w:t>
      </w:r>
      <w:r w:rsidR="00E478A5" w:rsidRPr="004C750C">
        <w:rPr>
          <w:rFonts w:ascii="Book Antiqua" w:hAnsi="Book Antiqua" w:cs="Arial"/>
          <w:sz w:val="24"/>
          <w:szCs w:val="24"/>
          <w:lang w:val="en-US"/>
        </w:rPr>
        <w:t>TC</w:t>
      </w:r>
      <w:r w:rsidRPr="004C750C">
        <w:rPr>
          <w:rFonts w:ascii="Book Antiqua" w:hAnsi="Book Antiqua" w:cs="Arial"/>
          <w:sz w:val="24"/>
          <w:szCs w:val="24"/>
          <w:lang w:val="en-US"/>
        </w:rPr>
        <w:t xml:space="preserve"> and </w:t>
      </w:r>
      <w:r w:rsidR="00E478A5" w:rsidRPr="004C750C">
        <w:rPr>
          <w:rFonts w:ascii="Book Antiqua" w:hAnsi="Book Antiqua" w:cs="Arial"/>
          <w:sz w:val="24"/>
          <w:szCs w:val="24"/>
          <w:lang w:val="en-US"/>
        </w:rPr>
        <w:t>TG</w:t>
      </w:r>
      <w:r w:rsidRPr="004C750C">
        <w:rPr>
          <w:rFonts w:ascii="Book Antiqua" w:hAnsi="Book Antiqua" w:cs="Arial"/>
          <w:sz w:val="24"/>
          <w:szCs w:val="24"/>
          <w:lang w:val="en-US"/>
        </w:rPr>
        <w:t>, lipoprotein lipase (LPL) and acetyl-CoA-carboxylase, and the favorable effects on peripheral lipolysis inhibition and glycemic control</w:t>
      </w:r>
      <w:r w:rsidR="00370F63" w:rsidRPr="004C750C">
        <w:rPr>
          <w:rFonts w:ascii="Book Antiqua" w:hAnsi="Book Antiqua" w:cs="Arial"/>
          <w:sz w:val="24"/>
          <w:szCs w:val="24"/>
          <w:vertAlign w:val="superscript"/>
          <w:lang w:val="en-US"/>
        </w:rPr>
        <w:t>[133</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Fibrates are also metabolized by CYP450 system, but they appear to affect only CYP4A enzymes and do not show clinically relevant interactions with PIs. However, concomitant use of both fibrates and statins can increase the risk of skeletal muscle toxicity and should be avoided</w:t>
      </w:r>
      <w:r w:rsidR="00370F63" w:rsidRPr="004C750C">
        <w:rPr>
          <w:rFonts w:ascii="Book Antiqua" w:hAnsi="Book Antiqua" w:cs="Arial"/>
          <w:sz w:val="24"/>
          <w:szCs w:val="24"/>
          <w:vertAlign w:val="superscript"/>
          <w:lang w:val="en-US"/>
        </w:rPr>
        <w:t>[134-136</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In HIV-1 seronegative individuals, the use of a fibrate and a statin in a monotherapy regimen exhibits moderate lipid-lowering effects and good tolerability</w:t>
      </w:r>
      <w:r w:rsidR="00370F63" w:rsidRPr="004C750C">
        <w:rPr>
          <w:rFonts w:ascii="Book Antiqua" w:hAnsi="Book Antiqua" w:cs="Arial"/>
          <w:sz w:val="24"/>
          <w:szCs w:val="24"/>
          <w:vertAlign w:val="superscript"/>
          <w:lang w:val="en-US"/>
        </w:rPr>
        <w:t>[136</w:t>
      </w:r>
      <w:r w:rsidR="0088681B" w:rsidRPr="004C750C">
        <w:rPr>
          <w:rFonts w:ascii="Book Antiqua" w:hAnsi="Book Antiqua" w:cs="Arial"/>
          <w:sz w:val="24"/>
          <w:szCs w:val="24"/>
          <w:vertAlign w:val="superscript"/>
          <w:lang w:val="en-US"/>
        </w:rPr>
        <w:t>-1</w:t>
      </w:r>
      <w:r w:rsidR="00370F63" w:rsidRPr="004C750C">
        <w:rPr>
          <w:rFonts w:ascii="Book Antiqua" w:hAnsi="Book Antiqua" w:cs="Arial"/>
          <w:sz w:val="24"/>
          <w:szCs w:val="24"/>
          <w:vertAlign w:val="superscript"/>
          <w:lang w:val="en-US" w:eastAsia="zh-CN"/>
        </w:rPr>
        <w:t>38</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In HIV-1 patients, fibrates do not have the same efficacy of statins in preventing cardiovascular disease. Studies with HIV-1 patients treated with PI-based therapy and fibrates, including gemfibrozil, bezafibrate or fenofibrate, showed a significant reduction in the concentration of </w:t>
      </w:r>
      <w:r w:rsidR="00E478A5" w:rsidRPr="004C750C">
        <w:rPr>
          <w:rFonts w:ascii="Book Antiqua" w:hAnsi="Book Antiqua" w:cs="Arial"/>
          <w:sz w:val="24"/>
          <w:szCs w:val="24"/>
          <w:lang w:val="en-US"/>
        </w:rPr>
        <w:t>TC</w:t>
      </w:r>
      <w:r w:rsidRPr="004C750C">
        <w:rPr>
          <w:rFonts w:ascii="Book Antiqua" w:hAnsi="Book Antiqua" w:cs="Arial"/>
          <w:sz w:val="24"/>
          <w:szCs w:val="24"/>
          <w:lang w:val="en-US"/>
        </w:rPr>
        <w:t xml:space="preserve">, </w:t>
      </w:r>
      <w:r w:rsidR="00E478A5" w:rsidRPr="004C750C">
        <w:rPr>
          <w:rFonts w:ascii="Book Antiqua" w:hAnsi="Book Antiqua" w:cs="Arial"/>
          <w:sz w:val="24"/>
          <w:szCs w:val="24"/>
          <w:lang w:val="en-US"/>
        </w:rPr>
        <w:t>TG</w:t>
      </w:r>
      <w:r w:rsidRPr="004C750C">
        <w:rPr>
          <w:rFonts w:ascii="Book Antiqua" w:hAnsi="Book Antiqua" w:cs="Arial"/>
          <w:sz w:val="24"/>
          <w:szCs w:val="24"/>
          <w:lang w:val="en-US"/>
        </w:rPr>
        <w:t xml:space="preserve"> and hypertriglyceridemia</w:t>
      </w:r>
      <w:r w:rsidR="00370F63" w:rsidRPr="004C750C">
        <w:rPr>
          <w:rFonts w:ascii="Book Antiqua" w:hAnsi="Book Antiqua" w:cs="Arial"/>
          <w:sz w:val="24"/>
          <w:szCs w:val="24"/>
          <w:vertAlign w:val="superscript"/>
          <w:lang w:val="en-US"/>
        </w:rPr>
        <w:t>[135,137,138</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Fibrates appear as a suitable alternative for the treatment of dyslipidemia associated with HIV, especially in the presence of hypertriglyceridemia. Periodic monitoring of serum creatinine, creatine kinase, and transaminases should be performed for the use of fibrates</w:t>
      </w:r>
      <w:r w:rsidR="00370F63" w:rsidRPr="004C750C">
        <w:rPr>
          <w:rFonts w:ascii="Book Antiqua" w:hAnsi="Book Antiqua" w:cs="Arial"/>
          <w:sz w:val="24"/>
          <w:szCs w:val="24"/>
          <w:vertAlign w:val="superscript"/>
          <w:lang w:val="en-US"/>
        </w:rPr>
        <w:t>[137-139</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The association between fibrates and statins has been used with relative safety and demonstrated in different studies with large numbers of HIV-1 seronegative volunteers, except for the use of the combination of statins and gemfibrozil, which is not recommended</w:t>
      </w:r>
      <w:r w:rsidR="00370F63" w:rsidRPr="004C750C">
        <w:rPr>
          <w:rFonts w:ascii="Book Antiqua" w:hAnsi="Book Antiqua" w:cs="Arial"/>
          <w:sz w:val="24"/>
          <w:szCs w:val="24"/>
          <w:vertAlign w:val="superscript"/>
          <w:lang w:val="en-US"/>
        </w:rPr>
        <w:t>[138-140</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The use of statins, fibrates, or associates has shown positive results in HIV-associated dyslipidemia, and the pravastatin/fenofibrate combination has promoted an improvement in lipid parameters and is safe and efficacious</w:t>
      </w:r>
      <w:r w:rsidR="00370F63" w:rsidRPr="004C750C">
        <w:rPr>
          <w:rFonts w:ascii="Book Antiqua" w:hAnsi="Book Antiqua" w:cs="Arial"/>
          <w:sz w:val="24"/>
          <w:szCs w:val="24"/>
          <w:vertAlign w:val="superscript"/>
          <w:lang w:val="en-US"/>
        </w:rPr>
        <w:t>[141,142</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However, as already described, there is a need for clinical and laboratory monitoring, with careful evaluations of possible clinical symptoms, such as myalgia, and laboratory symptoms such as serum transaminases, creatine kinase and creatinine.</w:t>
      </w:r>
    </w:p>
    <w:p w:rsidR="00E769B0" w:rsidRPr="004C750C" w:rsidRDefault="00E769B0" w:rsidP="004C750C">
      <w:pPr>
        <w:spacing w:after="0" w:line="360" w:lineRule="auto"/>
        <w:jc w:val="both"/>
        <w:rPr>
          <w:rFonts w:ascii="Book Antiqua" w:hAnsi="Book Antiqua" w:cs="Arial"/>
          <w:sz w:val="24"/>
          <w:szCs w:val="24"/>
          <w:lang w:val="en-US" w:eastAsia="zh-CN"/>
        </w:rPr>
      </w:pPr>
    </w:p>
    <w:p w:rsidR="00B2210C" w:rsidRPr="004C750C" w:rsidRDefault="00B2210C" w:rsidP="004C750C">
      <w:pPr>
        <w:spacing w:after="0" w:line="360" w:lineRule="auto"/>
        <w:jc w:val="both"/>
        <w:rPr>
          <w:rFonts w:ascii="Book Antiqua" w:hAnsi="Book Antiqua" w:cs="Arial"/>
          <w:b/>
          <w:i/>
          <w:sz w:val="24"/>
          <w:szCs w:val="24"/>
          <w:lang w:val="en-US"/>
        </w:rPr>
      </w:pPr>
      <w:r w:rsidRPr="004C750C">
        <w:rPr>
          <w:rFonts w:ascii="Book Antiqua" w:eastAsia="ScalaLancetPro" w:hAnsi="Book Antiqua" w:cs="Arial"/>
          <w:b/>
          <w:i/>
          <w:sz w:val="24"/>
          <w:szCs w:val="24"/>
          <w:lang w:val="en-US"/>
        </w:rPr>
        <w:t>Inhibitors o</w:t>
      </w:r>
      <w:r w:rsidR="00E769B0" w:rsidRPr="004C750C">
        <w:rPr>
          <w:rFonts w:ascii="Book Antiqua" w:hAnsi="Book Antiqua" w:cs="Arial"/>
          <w:b/>
          <w:i/>
          <w:sz w:val="24"/>
          <w:szCs w:val="24"/>
          <w:lang w:val="en-US" w:eastAsia="zh-CN"/>
        </w:rPr>
        <w:t>f</w:t>
      </w:r>
      <w:r w:rsidRPr="004C750C">
        <w:rPr>
          <w:rFonts w:ascii="Book Antiqua" w:eastAsia="ScalaLancetPro" w:hAnsi="Book Antiqua" w:cs="Arial"/>
          <w:b/>
          <w:i/>
          <w:sz w:val="24"/>
          <w:szCs w:val="24"/>
          <w:lang w:val="en-US"/>
        </w:rPr>
        <w:t xml:space="preserve"> intestinal cholesterol absorption</w:t>
      </w:r>
    </w:p>
    <w:p w:rsidR="00B2210C" w:rsidRPr="004C750C" w:rsidRDefault="00B2210C"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 xml:space="preserve">Ezetimibe is effective at lowering lipid levels because it has the ability to inhibit the intestinal </w:t>
      </w:r>
      <w:r w:rsidR="00791596" w:rsidRPr="004C750C">
        <w:rPr>
          <w:rFonts w:ascii="Book Antiqua" w:hAnsi="Book Antiqua" w:cs="Arial"/>
          <w:sz w:val="24"/>
          <w:szCs w:val="24"/>
          <w:lang w:val="en-US"/>
        </w:rPr>
        <w:t xml:space="preserve">cholesterol </w:t>
      </w:r>
      <w:r w:rsidRPr="004C750C">
        <w:rPr>
          <w:rFonts w:ascii="Book Antiqua" w:hAnsi="Book Antiqua" w:cs="Arial"/>
          <w:sz w:val="24"/>
          <w:szCs w:val="24"/>
          <w:lang w:val="en-US"/>
        </w:rPr>
        <w:t>absorption, and it shows good tolerability because it does not interact with the metabolism of CYPA4 enzymes</w:t>
      </w:r>
      <w:r w:rsidR="00370F63" w:rsidRPr="004C750C">
        <w:rPr>
          <w:rFonts w:ascii="Book Antiqua" w:hAnsi="Book Antiqua" w:cs="Arial"/>
          <w:sz w:val="24"/>
          <w:szCs w:val="24"/>
          <w:vertAlign w:val="superscript"/>
          <w:lang w:val="en-US"/>
        </w:rPr>
        <w:t>[143,144</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In non-HIV-1-infected patients who have dyslipidemia, the monotherapy with ezetimibe or when combined with statins or fenofibrate has shown considerable efficacy and safety</w:t>
      </w:r>
      <w:r w:rsidR="00370F63" w:rsidRPr="004C750C">
        <w:rPr>
          <w:rFonts w:ascii="Book Antiqua" w:hAnsi="Book Antiqua" w:cs="Arial"/>
          <w:sz w:val="24"/>
          <w:szCs w:val="24"/>
          <w:vertAlign w:val="superscript"/>
          <w:lang w:val="en-US"/>
        </w:rPr>
        <w:t>[145,146</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In HIV-1 patients with high serum levels of LDL, the use of ezetimibe has also been considered an effective alternative</w:t>
      </w:r>
      <w:r w:rsidR="00370F63" w:rsidRPr="004C750C">
        <w:rPr>
          <w:rFonts w:ascii="Book Antiqua" w:hAnsi="Book Antiqua" w:cs="Arial"/>
          <w:sz w:val="24"/>
          <w:szCs w:val="24"/>
          <w:vertAlign w:val="superscript"/>
          <w:lang w:val="en-US"/>
        </w:rPr>
        <w:t>[144</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Monotherapy using 10 mg/day of ezetimibe has promoted reductions of more than 20% of serum LDL and, in addition, reduces the concentrations of </w:t>
      </w:r>
      <w:r w:rsidR="00791596" w:rsidRPr="004C750C">
        <w:rPr>
          <w:rFonts w:ascii="Book Antiqua" w:hAnsi="Book Antiqua" w:cs="Arial"/>
          <w:sz w:val="24"/>
          <w:szCs w:val="24"/>
          <w:lang w:val="en-US"/>
        </w:rPr>
        <w:t>TC</w:t>
      </w:r>
      <w:r w:rsidRPr="004C750C">
        <w:rPr>
          <w:rFonts w:ascii="Book Antiqua" w:hAnsi="Book Antiqua" w:cs="Arial"/>
          <w:sz w:val="24"/>
          <w:szCs w:val="24"/>
          <w:lang w:val="en-US"/>
        </w:rPr>
        <w:t xml:space="preserve"> and </w:t>
      </w:r>
      <w:r w:rsidR="00791596" w:rsidRPr="004C750C">
        <w:rPr>
          <w:rFonts w:ascii="Book Antiqua" w:hAnsi="Book Antiqua" w:cs="Arial"/>
          <w:sz w:val="24"/>
          <w:szCs w:val="24"/>
          <w:lang w:val="en-US"/>
        </w:rPr>
        <w:t>TG</w:t>
      </w:r>
      <w:r w:rsidRPr="004C750C">
        <w:rPr>
          <w:rFonts w:ascii="Book Antiqua" w:hAnsi="Book Antiqua" w:cs="Arial"/>
          <w:sz w:val="24"/>
          <w:szCs w:val="24"/>
          <w:lang w:val="en-US"/>
        </w:rPr>
        <w:t xml:space="preserve"> and increases HDL concentrations</w:t>
      </w:r>
      <w:r w:rsidR="00B76CCD" w:rsidRPr="004C750C">
        <w:rPr>
          <w:rFonts w:ascii="Book Antiqua" w:hAnsi="Book Antiqua" w:cs="Arial"/>
          <w:sz w:val="24"/>
          <w:szCs w:val="24"/>
          <w:vertAlign w:val="superscript"/>
          <w:lang w:val="en-US"/>
        </w:rPr>
        <w:t>[</w:t>
      </w:r>
      <w:r w:rsidR="00370F63" w:rsidRPr="004C750C">
        <w:rPr>
          <w:rFonts w:ascii="Book Antiqua" w:hAnsi="Book Antiqua" w:cs="Arial"/>
          <w:sz w:val="24"/>
          <w:szCs w:val="24"/>
          <w:vertAlign w:val="superscript"/>
          <w:lang w:val="en-US"/>
        </w:rPr>
        <w:t>143-146</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Studies have shown that in individuals with HIV that is beyond effective treatments, ezetimibe has no interaction with HAART, and those receiving a PI-based association of fenofibrate/ezetimibe showed greater efficacy compared with pravastatin in monotherapy resolution of dyslipidemia</w:t>
      </w:r>
      <w:r w:rsidR="00370F63" w:rsidRPr="004C750C">
        <w:rPr>
          <w:rFonts w:ascii="Book Antiqua" w:hAnsi="Book Antiqua" w:cs="Arial"/>
          <w:sz w:val="24"/>
          <w:szCs w:val="24"/>
          <w:vertAlign w:val="superscript"/>
          <w:lang w:val="en-US"/>
        </w:rPr>
        <w:t>[147-149</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p>
    <w:p w:rsidR="00E769B0" w:rsidRPr="004C750C" w:rsidRDefault="00E769B0" w:rsidP="004C750C">
      <w:pPr>
        <w:spacing w:after="0" w:line="360" w:lineRule="auto"/>
        <w:jc w:val="both"/>
        <w:rPr>
          <w:rFonts w:ascii="Book Antiqua" w:hAnsi="Book Antiqua" w:cs="Arial"/>
          <w:sz w:val="24"/>
          <w:szCs w:val="24"/>
          <w:lang w:val="en-US" w:eastAsia="zh-CN"/>
        </w:rPr>
      </w:pPr>
    </w:p>
    <w:p w:rsidR="00B2210C" w:rsidRPr="004C750C" w:rsidRDefault="00B2210C" w:rsidP="004C750C">
      <w:pPr>
        <w:spacing w:after="0" w:line="360" w:lineRule="auto"/>
        <w:jc w:val="both"/>
        <w:rPr>
          <w:rFonts w:ascii="Book Antiqua" w:hAnsi="Book Antiqua" w:cs="Arial"/>
          <w:b/>
          <w:i/>
          <w:sz w:val="24"/>
          <w:szCs w:val="24"/>
          <w:lang w:val="en-US" w:eastAsia="zh-CN"/>
        </w:rPr>
      </w:pPr>
      <w:r w:rsidRPr="004C750C">
        <w:rPr>
          <w:rFonts w:ascii="Book Antiqua" w:hAnsi="Book Antiqua" w:cs="Arial"/>
          <w:b/>
          <w:i/>
          <w:sz w:val="24"/>
          <w:szCs w:val="24"/>
          <w:lang w:val="en-US"/>
        </w:rPr>
        <w:t xml:space="preserve">Fish </w:t>
      </w:r>
      <w:r w:rsidR="00E769B0" w:rsidRPr="004C750C">
        <w:rPr>
          <w:rFonts w:ascii="Book Antiqua" w:hAnsi="Book Antiqua" w:cs="Arial"/>
          <w:b/>
          <w:i/>
          <w:sz w:val="24"/>
          <w:szCs w:val="24"/>
          <w:lang w:val="en-US"/>
        </w:rPr>
        <w:t>o</w:t>
      </w:r>
      <w:r w:rsidRPr="004C750C">
        <w:rPr>
          <w:rFonts w:ascii="Book Antiqua" w:hAnsi="Book Antiqua" w:cs="Arial"/>
          <w:b/>
          <w:i/>
          <w:sz w:val="24"/>
          <w:szCs w:val="24"/>
          <w:lang w:val="en-US"/>
        </w:rPr>
        <w:t>il</w:t>
      </w:r>
    </w:p>
    <w:p w:rsidR="00B2210C" w:rsidRPr="004C750C" w:rsidRDefault="00B2210C" w:rsidP="004C750C">
      <w:pPr>
        <w:autoSpaceDE w:val="0"/>
        <w:autoSpaceDN w:val="0"/>
        <w:adjustRightInd w:val="0"/>
        <w:spacing w:after="0" w:line="360" w:lineRule="auto"/>
        <w:jc w:val="both"/>
        <w:rPr>
          <w:rFonts w:ascii="Book Antiqua" w:hAnsi="Book Antiqua" w:cs="Arial"/>
          <w:b/>
          <w:i/>
          <w:sz w:val="24"/>
          <w:szCs w:val="24"/>
          <w:lang w:val="en-US"/>
        </w:rPr>
      </w:pPr>
      <w:r w:rsidRPr="004C750C">
        <w:rPr>
          <w:rStyle w:val="hps"/>
          <w:rFonts w:ascii="Book Antiqua" w:hAnsi="Book Antiqua" w:cs="Arial"/>
          <w:sz w:val="24"/>
          <w:szCs w:val="24"/>
          <w:lang w:val="en-US"/>
        </w:rPr>
        <w:t xml:space="preserve">The ability of fish oil, commonly known as omega-3 fatty acids </w:t>
      </w:r>
      <w:r w:rsidR="00E769B0" w:rsidRPr="004C750C">
        <w:rPr>
          <w:rStyle w:val="hps"/>
          <w:rFonts w:ascii="Book Antiqua" w:hAnsi="Book Antiqua" w:cs="Arial"/>
          <w:sz w:val="24"/>
          <w:szCs w:val="24"/>
          <w:lang w:val="en-US" w:eastAsia="zh-CN"/>
        </w:rPr>
        <w:t>[</w:t>
      </w:r>
      <w:r w:rsidRPr="004C750C">
        <w:rPr>
          <w:rStyle w:val="hps"/>
          <w:rFonts w:ascii="Book Antiqua" w:hAnsi="Book Antiqua" w:cs="Arial"/>
          <w:sz w:val="24"/>
          <w:szCs w:val="24"/>
          <w:lang w:val="en-US"/>
        </w:rPr>
        <w:t>namely, eicosapentaenoic acid (EPA) and docosahexaenoic acid (DHA)</w:t>
      </w:r>
      <w:r w:rsidR="00E769B0" w:rsidRPr="004C750C">
        <w:rPr>
          <w:rStyle w:val="hps"/>
          <w:rFonts w:ascii="Book Antiqua" w:hAnsi="Book Antiqua" w:cs="Arial"/>
          <w:sz w:val="24"/>
          <w:szCs w:val="24"/>
          <w:lang w:val="en-US" w:eastAsia="zh-CN"/>
        </w:rPr>
        <w:t>]</w:t>
      </w:r>
      <w:r w:rsidRPr="004C750C">
        <w:rPr>
          <w:rStyle w:val="hps"/>
          <w:rFonts w:ascii="Book Antiqua" w:hAnsi="Book Antiqua" w:cs="Arial"/>
          <w:sz w:val="24"/>
          <w:szCs w:val="24"/>
          <w:lang w:val="en-US"/>
        </w:rPr>
        <w:t xml:space="preserve">, to reduce elevated </w:t>
      </w:r>
      <w:r w:rsidR="00791596" w:rsidRPr="004C750C">
        <w:rPr>
          <w:rStyle w:val="hps"/>
          <w:rFonts w:ascii="Book Antiqua" w:hAnsi="Book Antiqua" w:cs="Arial"/>
          <w:sz w:val="24"/>
          <w:szCs w:val="24"/>
          <w:lang w:val="en-US"/>
        </w:rPr>
        <w:t>TG</w:t>
      </w:r>
      <w:r w:rsidRPr="004C750C">
        <w:rPr>
          <w:rStyle w:val="hps"/>
          <w:rFonts w:ascii="Book Antiqua" w:hAnsi="Book Antiqua" w:cs="Arial"/>
          <w:sz w:val="24"/>
          <w:szCs w:val="24"/>
          <w:lang w:val="en-US"/>
        </w:rPr>
        <w:t xml:space="preserve"> concentrations has been observed in different studies</w:t>
      </w:r>
      <w:r w:rsidR="00370F63" w:rsidRPr="004C750C">
        <w:rPr>
          <w:rStyle w:val="hps"/>
          <w:rFonts w:ascii="Book Antiqua" w:hAnsi="Book Antiqua" w:cs="Arial"/>
          <w:sz w:val="24"/>
          <w:szCs w:val="24"/>
          <w:vertAlign w:val="superscript"/>
          <w:lang w:val="en-US"/>
        </w:rPr>
        <w:t>[150,151</w:t>
      </w:r>
      <w:r w:rsidRPr="004C750C">
        <w:rPr>
          <w:rStyle w:val="hps"/>
          <w:rFonts w:ascii="Book Antiqua" w:hAnsi="Book Antiqua" w:cs="Arial"/>
          <w:sz w:val="24"/>
          <w:szCs w:val="24"/>
          <w:vertAlign w:val="superscript"/>
          <w:lang w:val="en-US"/>
        </w:rPr>
        <w:t>]</w:t>
      </w:r>
      <w:r w:rsidRPr="004C750C">
        <w:rPr>
          <w:rStyle w:val="hps"/>
          <w:rFonts w:ascii="Book Antiqua" w:hAnsi="Book Antiqua" w:cs="Arial"/>
          <w:sz w:val="24"/>
          <w:szCs w:val="24"/>
          <w:lang w:val="en-US"/>
        </w:rPr>
        <w:t xml:space="preserve">. HIV-1 patients using both HAART and fish oil showed an effective reduction in the concentration of </w:t>
      </w:r>
      <w:r w:rsidR="00791596" w:rsidRPr="004C750C">
        <w:rPr>
          <w:rStyle w:val="hps"/>
          <w:rFonts w:ascii="Book Antiqua" w:hAnsi="Book Antiqua" w:cs="Arial"/>
          <w:sz w:val="24"/>
          <w:szCs w:val="24"/>
          <w:lang w:val="en-US"/>
        </w:rPr>
        <w:t>TG</w:t>
      </w:r>
      <w:r w:rsidR="00370F63" w:rsidRPr="004C750C">
        <w:rPr>
          <w:rStyle w:val="hps"/>
          <w:rFonts w:ascii="Book Antiqua" w:hAnsi="Book Antiqua" w:cs="Arial"/>
          <w:sz w:val="24"/>
          <w:szCs w:val="24"/>
          <w:vertAlign w:val="superscript"/>
          <w:lang w:val="en-US"/>
        </w:rPr>
        <w:t>[152</w:t>
      </w:r>
      <w:r w:rsidRPr="004C750C">
        <w:rPr>
          <w:rStyle w:val="hps"/>
          <w:rFonts w:ascii="Book Antiqua" w:hAnsi="Book Antiqua" w:cs="Arial"/>
          <w:sz w:val="24"/>
          <w:szCs w:val="24"/>
          <w:vertAlign w:val="superscript"/>
          <w:lang w:val="en-US"/>
        </w:rPr>
        <w:t>]</w:t>
      </w:r>
      <w:r w:rsidRPr="004C750C">
        <w:rPr>
          <w:rStyle w:val="hps"/>
          <w:rFonts w:ascii="Book Antiqua" w:hAnsi="Book Antiqua" w:cs="Arial"/>
          <w:sz w:val="24"/>
          <w:szCs w:val="24"/>
          <w:lang w:val="en-US"/>
        </w:rPr>
        <w:t xml:space="preserve">. This ability to reduce </w:t>
      </w:r>
      <w:r w:rsidR="00791596" w:rsidRPr="004C750C">
        <w:rPr>
          <w:rStyle w:val="hps"/>
          <w:rFonts w:ascii="Book Antiqua" w:hAnsi="Book Antiqua" w:cs="Arial"/>
          <w:sz w:val="24"/>
          <w:szCs w:val="24"/>
          <w:lang w:val="en-US"/>
        </w:rPr>
        <w:t>TG</w:t>
      </w:r>
      <w:r w:rsidRPr="004C750C">
        <w:rPr>
          <w:rStyle w:val="hps"/>
          <w:rFonts w:ascii="Book Antiqua" w:hAnsi="Book Antiqua" w:cs="Arial"/>
          <w:sz w:val="24"/>
          <w:szCs w:val="24"/>
          <w:lang w:val="en-US"/>
        </w:rPr>
        <w:t xml:space="preserve"> levels promotes a direct benefit in risk reduction of atherogenic cardiovascular disease through a combination of anti-inflammat</w:t>
      </w:r>
      <w:r w:rsidR="00B76CCD" w:rsidRPr="004C750C">
        <w:rPr>
          <w:rStyle w:val="hps"/>
          <w:rFonts w:ascii="Book Antiqua" w:hAnsi="Book Antiqua" w:cs="Arial"/>
          <w:sz w:val="24"/>
          <w:szCs w:val="24"/>
          <w:lang w:val="en-US"/>
        </w:rPr>
        <w:t>ory and anti-platelet actions</w:t>
      </w:r>
      <w:r w:rsidR="00B76CCD" w:rsidRPr="004C750C">
        <w:rPr>
          <w:rStyle w:val="hps"/>
          <w:rFonts w:ascii="Book Antiqua" w:hAnsi="Book Antiqua" w:cs="Arial"/>
          <w:sz w:val="24"/>
          <w:szCs w:val="24"/>
          <w:vertAlign w:val="superscript"/>
          <w:lang w:val="en-US"/>
        </w:rPr>
        <w:t>[</w:t>
      </w:r>
      <w:r w:rsidR="00370F63" w:rsidRPr="004C750C">
        <w:rPr>
          <w:rStyle w:val="hps"/>
          <w:rFonts w:ascii="Book Antiqua" w:hAnsi="Book Antiqua" w:cs="Arial"/>
          <w:sz w:val="24"/>
          <w:szCs w:val="24"/>
          <w:vertAlign w:val="superscript"/>
          <w:lang w:val="en-US"/>
        </w:rPr>
        <w:t>152</w:t>
      </w:r>
      <w:r w:rsidR="002D6B21" w:rsidRPr="004C750C">
        <w:rPr>
          <w:rStyle w:val="hps"/>
          <w:rFonts w:ascii="Book Antiqua" w:hAnsi="Book Antiqua" w:cs="Arial"/>
          <w:sz w:val="24"/>
          <w:szCs w:val="24"/>
          <w:vertAlign w:val="superscript"/>
          <w:lang w:val="en-US"/>
        </w:rPr>
        <w:t>-</w:t>
      </w:r>
      <w:r w:rsidR="00370F63" w:rsidRPr="004C750C">
        <w:rPr>
          <w:rStyle w:val="hps"/>
          <w:rFonts w:ascii="Book Antiqua" w:hAnsi="Book Antiqua" w:cs="Arial"/>
          <w:sz w:val="24"/>
          <w:szCs w:val="24"/>
          <w:vertAlign w:val="superscript"/>
          <w:lang w:val="en-US"/>
        </w:rPr>
        <w:t>154</w:t>
      </w:r>
      <w:r w:rsidRPr="004C750C">
        <w:rPr>
          <w:rStyle w:val="hps"/>
          <w:rFonts w:ascii="Book Antiqua" w:hAnsi="Book Antiqua" w:cs="Arial"/>
          <w:sz w:val="24"/>
          <w:szCs w:val="24"/>
          <w:vertAlign w:val="superscript"/>
          <w:lang w:val="en-US"/>
        </w:rPr>
        <w:t>]</w:t>
      </w:r>
      <w:r w:rsidRPr="004C750C">
        <w:rPr>
          <w:rStyle w:val="hps"/>
          <w:rFonts w:ascii="Book Antiqua" w:hAnsi="Book Antiqua" w:cs="Arial"/>
          <w:sz w:val="24"/>
          <w:szCs w:val="24"/>
          <w:lang w:val="en-US"/>
        </w:rPr>
        <w:t xml:space="preserve">. For HIV-1 patients, the use of fish oil associated with fenofibrate showed additive effects in reducing </w:t>
      </w:r>
      <w:r w:rsidR="00791596" w:rsidRPr="004C750C">
        <w:rPr>
          <w:rStyle w:val="hps"/>
          <w:rFonts w:ascii="Book Antiqua" w:hAnsi="Book Antiqua" w:cs="Arial"/>
          <w:sz w:val="24"/>
          <w:szCs w:val="24"/>
          <w:lang w:val="en-US"/>
        </w:rPr>
        <w:t>TG</w:t>
      </w:r>
      <w:r w:rsidRPr="004C750C">
        <w:rPr>
          <w:rStyle w:val="hps"/>
          <w:rFonts w:ascii="Book Antiqua" w:hAnsi="Book Antiqua" w:cs="Arial"/>
          <w:sz w:val="24"/>
          <w:szCs w:val="24"/>
          <w:lang w:val="en-US"/>
        </w:rPr>
        <w:t>. Given these considerable results, the American Heart Associati</w:t>
      </w:r>
      <w:r w:rsidR="000F08A9" w:rsidRPr="004C750C">
        <w:rPr>
          <w:rStyle w:val="hps"/>
          <w:rFonts w:ascii="Book Antiqua" w:hAnsi="Book Antiqua" w:cs="Arial"/>
          <w:sz w:val="24"/>
          <w:szCs w:val="24"/>
          <w:lang w:val="en-US"/>
        </w:rPr>
        <w:t xml:space="preserve">on's (AHA) </w:t>
      </w:r>
      <w:r w:rsidRPr="004C750C">
        <w:rPr>
          <w:rStyle w:val="hps"/>
          <w:rFonts w:ascii="Book Antiqua" w:hAnsi="Book Antiqua" w:cs="Arial"/>
          <w:sz w:val="24"/>
          <w:szCs w:val="24"/>
          <w:lang w:val="en-US"/>
        </w:rPr>
        <w:t xml:space="preserve">dietary guidelines, recommends that healthy adults have a minimum of two portions of fish per week, and those who have elevated </w:t>
      </w:r>
      <w:r w:rsidR="00791596" w:rsidRPr="004C750C">
        <w:rPr>
          <w:rStyle w:val="hps"/>
          <w:rFonts w:ascii="Book Antiqua" w:hAnsi="Book Antiqua" w:cs="Arial"/>
          <w:sz w:val="24"/>
          <w:szCs w:val="24"/>
          <w:lang w:val="en-US"/>
        </w:rPr>
        <w:t>TG</w:t>
      </w:r>
      <w:r w:rsidRPr="004C750C">
        <w:rPr>
          <w:rStyle w:val="hps"/>
          <w:rFonts w:ascii="Book Antiqua" w:hAnsi="Book Antiqua" w:cs="Arial"/>
          <w:sz w:val="24"/>
          <w:szCs w:val="24"/>
          <w:lang w:val="en-US"/>
        </w:rPr>
        <w:t xml:space="preserve"> should consume 2-4 g of EPA and DHA daily as a dietary supplement</w:t>
      </w:r>
      <w:r w:rsidR="00370F63" w:rsidRPr="004C750C">
        <w:rPr>
          <w:rStyle w:val="hps"/>
          <w:rFonts w:ascii="Book Antiqua" w:hAnsi="Book Antiqua" w:cs="Arial"/>
          <w:sz w:val="24"/>
          <w:szCs w:val="24"/>
          <w:vertAlign w:val="superscript"/>
          <w:lang w:val="en-US"/>
        </w:rPr>
        <w:t>[152-155</w:t>
      </w:r>
      <w:r w:rsidRPr="004C750C">
        <w:rPr>
          <w:rStyle w:val="hps"/>
          <w:rFonts w:ascii="Book Antiqua" w:hAnsi="Book Antiqua" w:cs="Arial"/>
          <w:sz w:val="24"/>
          <w:szCs w:val="24"/>
          <w:vertAlign w:val="superscript"/>
          <w:lang w:val="en-US"/>
        </w:rPr>
        <w:t>]</w:t>
      </w:r>
      <w:r w:rsidRPr="004C750C">
        <w:rPr>
          <w:rStyle w:val="hps"/>
          <w:rFonts w:ascii="Book Antiqua" w:hAnsi="Book Antiqua" w:cs="Arial"/>
          <w:sz w:val="24"/>
          <w:szCs w:val="24"/>
          <w:lang w:val="en-US"/>
        </w:rPr>
        <w:t>.</w:t>
      </w:r>
    </w:p>
    <w:p w:rsidR="00B2210C" w:rsidRPr="004C750C" w:rsidRDefault="00B2210C" w:rsidP="004C750C">
      <w:pPr>
        <w:spacing w:after="0" w:line="360" w:lineRule="auto"/>
        <w:jc w:val="both"/>
        <w:rPr>
          <w:rFonts w:ascii="Book Antiqua" w:hAnsi="Book Antiqua" w:cs="Arial"/>
          <w:b/>
          <w:sz w:val="24"/>
          <w:szCs w:val="24"/>
          <w:lang w:val="en-US"/>
        </w:rPr>
      </w:pPr>
    </w:p>
    <w:p w:rsidR="00B2210C" w:rsidRPr="004C750C" w:rsidRDefault="00B2210C" w:rsidP="004C750C">
      <w:pPr>
        <w:spacing w:after="0" w:line="360" w:lineRule="auto"/>
        <w:jc w:val="both"/>
        <w:rPr>
          <w:rFonts w:ascii="Book Antiqua" w:hAnsi="Book Antiqua" w:cs="Arial"/>
          <w:b/>
          <w:i/>
          <w:sz w:val="24"/>
          <w:szCs w:val="24"/>
          <w:lang w:val="en-US"/>
        </w:rPr>
      </w:pPr>
      <w:r w:rsidRPr="004C750C">
        <w:rPr>
          <w:rFonts w:ascii="Book Antiqua" w:hAnsi="Book Antiqua" w:cs="Arial"/>
          <w:b/>
          <w:i/>
          <w:sz w:val="24"/>
          <w:szCs w:val="24"/>
          <w:lang w:val="en-US"/>
        </w:rPr>
        <w:t>Niacin</w:t>
      </w:r>
    </w:p>
    <w:p w:rsidR="00B2210C" w:rsidRPr="004C750C" w:rsidRDefault="00B2210C"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Niacin (water-soluble vitamin B3), or nicotinic acid, is a powerful reducing agent of serum lipids when administered at pharmacological doses. Its ability to reduce the levels of lipoproteins and apolipoprotein-B-containing lipoproteins and to raise HDL levels has been shown, characterizing it as an atheroprotective drug</w:t>
      </w:r>
      <w:r w:rsidR="00370F63" w:rsidRPr="004C750C">
        <w:rPr>
          <w:rFonts w:ascii="Book Antiqua" w:hAnsi="Book Antiqua" w:cs="Arial"/>
          <w:sz w:val="24"/>
          <w:szCs w:val="24"/>
          <w:vertAlign w:val="superscript"/>
          <w:lang w:val="en-US"/>
        </w:rPr>
        <w:t>[156,157</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Niacin has beneficial effects on other cardiovascular risk factors, including lipoprotein (a), C-reactive protein, platelet-activating factor acetylhydrolase, plasminogen activator i</w:t>
      </w:r>
      <w:r w:rsidR="00C510E4" w:rsidRPr="004C750C">
        <w:rPr>
          <w:rFonts w:ascii="Book Antiqua" w:hAnsi="Book Antiqua" w:cs="Arial"/>
          <w:sz w:val="24"/>
          <w:szCs w:val="24"/>
          <w:lang w:val="en-US"/>
        </w:rPr>
        <w:t>nhibitor 1 and fibrinogen</w:t>
      </w:r>
      <w:r w:rsidR="00B34B7A" w:rsidRPr="004C750C">
        <w:rPr>
          <w:rFonts w:ascii="Book Antiqua" w:hAnsi="Book Antiqua" w:cs="Arial"/>
          <w:sz w:val="24"/>
          <w:szCs w:val="24"/>
          <w:vertAlign w:val="superscript"/>
          <w:lang w:val="en-US"/>
        </w:rPr>
        <w:t>[158</w:t>
      </w:r>
      <w:r w:rsidR="00C510E4" w:rsidRPr="004C750C">
        <w:rPr>
          <w:rFonts w:ascii="Book Antiqua" w:hAnsi="Book Antiqua" w:cs="Arial"/>
          <w:sz w:val="24"/>
          <w:szCs w:val="24"/>
          <w:vertAlign w:val="superscript"/>
          <w:lang w:val="en-US"/>
        </w:rPr>
        <w:t>,</w:t>
      </w:r>
      <w:r w:rsidR="00B34B7A" w:rsidRPr="004C750C">
        <w:rPr>
          <w:rFonts w:ascii="Book Antiqua" w:hAnsi="Book Antiqua" w:cs="Arial"/>
          <w:sz w:val="24"/>
          <w:szCs w:val="24"/>
          <w:vertAlign w:val="superscript"/>
          <w:lang w:val="en-US"/>
        </w:rPr>
        <w:t>159</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The molecular mechanisms involving the action of niacin are not fully understood, but its effect on hypertriglyceridemia in uninfected individuals is recognized</w:t>
      </w:r>
      <w:r w:rsidR="00B34B7A" w:rsidRPr="004C750C">
        <w:rPr>
          <w:rFonts w:ascii="Book Antiqua" w:hAnsi="Book Antiqua" w:cs="Arial"/>
          <w:sz w:val="24"/>
          <w:szCs w:val="24"/>
          <w:vertAlign w:val="superscript"/>
          <w:lang w:val="en-US"/>
        </w:rPr>
        <w:t>[157-159</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In HIV-1 patients, the use of niacin in an extended release formulation significantly reduced the levels of </w:t>
      </w:r>
      <w:r w:rsidR="00791596" w:rsidRPr="004C750C">
        <w:rPr>
          <w:rFonts w:ascii="Book Antiqua" w:hAnsi="Book Antiqua" w:cs="Arial"/>
          <w:sz w:val="24"/>
          <w:szCs w:val="24"/>
          <w:lang w:val="en-US"/>
        </w:rPr>
        <w:t>TC</w:t>
      </w:r>
      <w:r w:rsidRPr="004C750C">
        <w:rPr>
          <w:rFonts w:ascii="Book Antiqua" w:hAnsi="Book Antiqua" w:cs="Arial"/>
          <w:sz w:val="24"/>
          <w:szCs w:val="24"/>
          <w:lang w:val="en-US"/>
        </w:rPr>
        <w:t xml:space="preserve">, </w:t>
      </w:r>
      <w:r w:rsidR="00791596" w:rsidRPr="004C750C">
        <w:rPr>
          <w:rFonts w:ascii="Book Antiqua" w:hAnsi="Book Antiqua" w:cs="Arial"/>
          <w:sz w:val="24"/>
          <w:szCs w:val="24"/>
          <w:lang w:val="en-US"/>
        </w:rPr>
        <w:t>TG</w:t>
      </w:r>
      <w:r w:rsidRPr="004C750C">
        <w:rPr>
          <w:rFonts w:ascii="Book Antiqua" w:hAnsi="Book Antiqua" w:cs="Arial"/>
          <w:sz w:val="24"/>
          <w:szCs w:val="24"/>
          <w:lang w:val="en-US"/>
        </w:rPr>
        <w:t xml:space="preserve"> and HDL. However, the use of niacin in HIV-1 patients with dyslipidemia need to be carefully monitored because the presence of adverse events have been commonly shown, including headache, flushing, pruritus, rash, hyperuricemia, and exacerbat</w:t>
      </w:r>
      <w:r w:rsidR="00C510E4" w:rsidRPr="004C750C">
        <w:rPr>
          <w:rFonts w:ascii="Book Antiqua" w:hAnsi="Book Antiqua" w:cs="Arial"/>
          <w:sz w:val="24"/>
          <w:szCs w:val="24"/>
          <w:lang w:val="en-US"/>
        </w:rPr>
        <w:t>ion of insulin resistance</w:t>
      </w:r>
      <w:r w:rsidR="00B34B7A" w:rsidRPr="004C750C">
        <w:rPr>
          <w:rFonts w:ascii="Book Antiqua" w:hAnsi="Book Antiqua" w:cs="Arial"/>
          <w:sz w:val="24"/>
          <w:szCs w:val="24"/>
          <w:vertAlign w:val="superscript"/>
          <w:lang w:val="en-US"/>
        </w:rPr>
        <w:t>[160</w:t>
      </w:r>
      <w:r w:rsidR="00C510E4" w:rsidRPr="004C750C">
        <w:rPr>
          <w:rFonts w:ascii="Book Antiqua" w:hAnsi="Book Antiqua" w:cs="Arial"/>
          <w:sz w:val="24"/>
          <w:szCs w:val="24"/>
          <w:vertAlign w:val="superscript"/>
          <w:lang w:val="en-US"/>
        </w:rPr>
        <w:t>,</w:t>
      </w:r>
      <w:r w:rsidR="00B34B7A" w:rsidRPr="004C750C">
        <w:rPr>
          <w:rFonts w:ascii="Book Antiqua" w:hAnsi="Book Antiqua" w:cs="Arial"/>
          <w:sz w:val="24"/>
          <w:szCs w:val="24"/>
          <w:vertAlign w:val="superscript"/>
          <w:lang w:val="en-US"/>
        </w:rPr>
        <w:t>161</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p>
    <w:p w:rsidR="00E769B0" w:rsidRPr="004C750C" w:rsidRDefault="00E769B0" w:rsidP="004C750C">
      <w:pPr>
        <w:spacing w:after="0" w:line="360" w:lineRule="auto"/>
        <w:jc w:val="both"/>
        <w:rPr>
          <w:rFonts w:ascii="Book Antiqua" w:hAnsi="Book Antiqua" w:cs="Arial"/>
          <w:b/>
          <w:i/>
          <w:sz w:val="24"/>
          <w:szCs w:val="24"/>
          <w:lang w:val="en-US" w:eastAsia="zh-CN"/>
        </w:rPr>
      </w:pPr>
    </w:p>
    <w:p w:rsidR="00B2210C" w:rsidRPr="004C750C" w:rsidRDefault="00E769B0"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OTHER AGENTS</w:t>
      </w:r>
    </w:p>
    <w:p w:rsidR="00B2210C" w:rsidRPr="004C750C" w:rsidRDefault="00B2210C"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Other agents may contribute to HIV-associated dyslipidemia. The use of recombinant methionyl human leptin was associated with reduced insulin resistance and increased HDL levels</w:t>
      </w:r>
      <w:r w:rsidR="00B34B7A" w:rsidRPr="004C750C">
        <w:rPr>
          <w:rFonts w:ascii="Book Antiqua" w:hAnsi="Book Antiqua" w:cs="Arial"/>
          <w:sz w:val="24"/>
          <w:szCs w:val="24"/>
          <w:vertAlign w:val="superscript"/>
          <w:lang w:val="en-US"/>
        </w:rPr>
        <w:t>[162</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Tetradecylthio acetic acid, an agent whose mechanism is still unknown, promotes a reduction in levels of plasma lipoproteins</w:t>
      </w:r>
      <w:r w:rsidR="00B34B7A" w:rsidRPr="004C750C">
        <w:rPr>
          <w:rFonts w:ascii="Book Antiqua" w:hAnsi="Book Antiqua" w:cs="Arial"/>
          <w:sz w:val="24"/>
          <w:szCs w:val="24"/>
          <w:vertAlign w:val="superscript"/>
          <w:lang w:val="en-US"/>
        </w:rPr>
        <w:t>[163</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Additionally, Acipimox, a drug with sustained action and a structure similar to niacin, has been associated with decreased insulin resistance and significantly reduced levels of </w:t>
      </w:r>
      <w:r w:rsidR="00BF105E" w:rsidRPr="004C750C">
        <w:rPr>
          <w:rFonts w:ascii="Book Antiqua" w:hAnsi="Book Antiqua" w:cs="Arial"/>
          <w:sz w:val="24"/>
          <w:szCs w:val="24"/>
          <w:lang w:val="en-US"/>
        </w:rPr>
        <w:t>TG</w:t>
      </w:r>
      <w:r w:rsidRPr="004C750C">
        <w:rPr>
          <w:rFonts w:ascii="Book Antiqua" w:hAnsi="Book Antiqua" w:cs="Arial"/>
          <w:sz w:val="24"/>
          <w:szCs w:val="24"/>
          <w:lang w:val="en-US"/>
        </w:rPr>
        <w:t xml:space="preserve"> in HIV-1 adults</w:t>
      </w:r>
      <w:r w:rsidR="00B34B7A" w:rsidRPr="004C750C">
        <w:rPr>
          <w:rFonts w:ascii="Book Antiqua" w:hAnsi="Book Antiqua" w:cs="Arial"/>
          <w:sz w:val="24"/>
          <w:szCs w:val="24"/>
          <w:vertAlign w:val="superscript"/>
          <w:lang w:val="en-US"/>
        </w:rPr>
        <w:t>[164</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In a double-blind study, the use of cholestin was able to reduce the levels of </w:t>
      </w:r>
      <w:r w:rsidR="00BF105E" w:rsidRPr="004C750C">
        <w:rPr>
          <w:rFonts w:ascii="Book Antiqua" w:hAnsi="Book Antiqua" w:cs="Arial"/>
          <w:sz w:val="24"/>
          <w:szCs w:val="24"/>
          <w:lang w:val="en-US"/>
        </w:rPr>
        <w:t>TC</w:t>
      </w:r>
      <w:r w:rsidRPr="004C750C">
        <w:rPr>
          <w:rFonts w:ascii="Book Antiqua" w:hAnsi="Book Antiqua" w:cs="Arial"/>
          <w:sz w:val="24"/>
          <w:szCs w:val="24"/>
          <w:lang w:val="en-US"/>
        </w:rPr>
        <w:t xml:space="preserve"> and LDL cholesterol without modifying HDL and </w:t>
      </w:r>
      <w:r w:rsidR="00BF105E" w:rsidRPr="004C750C">
        <w:rPr>
          <w:rFonts w:ascii="Book Antiqua" w:hAnsi="Book Antiqua" w:cs="Arial"/>
          <w:sz w:val="24"/>
          <w:szCs w:val="24"/>
          <w:lang w:val="en-US"/>
        </w:rPr>
        <w:t>TG</w:t>
      </w:r>
      <w:r w:rsidRPr="004C750C">
        <w:rPr>
          <w:rFonts w:ascii="Book Antiqua" w:hAnsi="Book Antiqua" w:cs="Arial"/>
          <w:sz w:val="24"/>
          <w:szCs w:val="24"/>
          <w:lang w:val="en-US"/>
        </w:rPr>
        <w:t>, and without showing adverse effects</w:t>
      </w:r>
      <w:r w:rsidR="00B34B7A" w:rsidRPr="004C750C">
        <w:rPr>
          <w:rFonts w:ascii="Book Antiqua" w:hAnsi="Book Antiqua" w:cs="Arial"/>
          <w:sz w:val="24"/>
          <w:szCs w:val="24"/>
          <w:vertAlign w:val="superscript"/>
          <w:lang w:val="en-US"/>
        </w:rPr>
        <w:t>[165</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The use of L-carnitine (3 g/day) resulted in a significant reduction in serum triglycerides in patients with HIV-associated dyslipidemia</w:t>
      </w:r>
      <w:r w:rsidR="00B34B7A" w:rsidRPr="004C750C">
        <w:rPr>
          <w:rFonts w:ascii="Book Antiqua" w:hAnsi="Book Antiqua" w:cs="Arial"/>
          <w:sz w:val="24"/>
          <w:szCs w:val="24"/>
          <w:vertAlign w:val="superscript"/>
          <w:lang w:val="en-US"/>
        </w:rPr>
        <w:t>[166</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These and other drugs studied aimed to revert the HIV-associated dyslipidemia but require more control to be considered appropriate for the treatment of dyslipidemia. </w:t>
      </w:r>
    </w:p>
    <w:p w:rsidR="00E769B0" w:rsidRPr="004C750C" w:rsidRDefault="00E769B0" w:rsidP="004C750C">
      <w:pPr>
        <w:spacing w:after="0" w:line="360" w:lineRule="auto"/>
        <w:jc w:val="both"/>
        <w:rPr>
          <w:rFonts w:ascii="Book Antiqua" w:hAnsi="Book Antiqua" w:cs="Arial"/>
          <w:sz w:val="24"/>
          <w:szCs w:val="24"/>
          <w:lang w:val="en-US" w:eastAsia="zh-CN"/>
        </w:rPr>
      </w:pPr>
    </w:p>
    <w:p w:rsidR="004D6D57" w:rsidRPr="004C750C" w:rsidRDefault="00E769B0"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NEW DRUGS TO TREATMENT HIV INFECTION</w:t>
      </w:r>
    </w:p>
    <w:p w:rsidR="004D6D57" w:rsidRPr="004C750C" w:rsidRDefault="004D6D57"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 xml:space="preserve">Since the introduction of zidovudine (1987) for the treatment of HIV-1 infection, followed by the emergence of fusion inhibitors, such as enfuvirtide/T-20 (2003), and more recently the approval by the Food and Drug Administration (FDA) of raltegravir (2007) and dolutegravir (2013), both InSTIs drugs, HIV-1 </w:t>
      </w:r>
      <w:r w:rsidR="00911C60" w:rsidRPr="004C750C">
        <w:rPr>
          <w:rFonts w:ascii="Book Antiqua" w:hAnsi="Book Antiqua" w:cs="Arial"/>
          <w:sz w:val="24"/>
          <w:szCs w:val="24"/>
          <w:lang w:val="en-US"/>
        </w:rPr>
        <w:t>treatments have</w:t>
      </w:r>
      <w:r w:rsidRPr="004C750C">
        <w:rPr>
          <w:rFonts w:ascii="Book Antiqua" w:hAnsi="Book Antiqua" w:cs="Arial"/>
          <w:sz w:val="24"/>
          <w:szCs w:val="24"/>
          <w:lang w:val="en-US"/>
        </w:rPr>
        <w:t xml:space="preserve"> been adapting to new challenges. Once the inability of different HAART regimens </w:t>
      </w:r>
      <w:r w:rsidR="00F31F76" w:rsidRPr="004C750C">
        <w:rPr>
          <w:rFonts w:ascii="Book Antiqua" w:hAnsi="Book Antiqua" w:cs="Arial"/>
          <w:sz w:val="24"/>
          <w:szCs w:val="24"/>
          <w:lang w:val="en-US"/>
        </w:rPr>
        <w:t xml:space="preserve">to cure infection </w:t>
      </w:r>
      <w:r w:rsidRPr="004C750C">
        <w:rPr>
          <w:rFonts w:ascii="Book Antiqua" w:hAnsi="Book Antiqua" w:cs="Arial"/>
          <w:sz w:val="24"/>
          <w:szCs w:val="24"/>
          <w:lang w:val="en-US"/>
        </w:rPr>
        <w:t xml:space="preserve">was recognized, new drugs, strategies and therapeutic regimens were developed </w:t>
      </w:r>
      <w:r w:rsidR="00F31F76" w:rsidRPr="004C750C">
        <w:rPr>
          <w:rFonts w:ascii="Book Antiqua" w:hAnsi="Book Antiqua" w:cs="Arial"/>
          <w:sz w:val="24"/>
          <w:szCs w:val="24"/>
          <w:lang w:val="en-US"/>
        </w:rPr>
        <w:t xml:space="preserve">with the goal of </w:t>
      </w:r>
      <w:r w:rsidRPr="004C750C">
        <w:rPr>
          <w:rFonts w:ascii="Book Antiqua" w:hAnsi="Book Antiqua" w:cs="Arial"/>
          <w:sz w:val="24"/>
          <w:szCs w:val="24"/>
          <w:lang w:val="en-US"/>
        </w:rPr>
        <w:t>greater efficiency associated with safety and fewer adverse effects. The common adverse effects observed by the use of the first class of drugs such as zidovudine, and the dyslipidemia caused by the use of PIs, are obstacles that are being minimized in newer</w:t>
      </w:r>
      <w:r w:rsidR="00F31F76" w:rsidRPr="004C750C">
        <w:rPr>
          <w:rFonts w:ascii="Book Antiqua" w:hAnsi="Book Antiqua" w:cs="Arial"/>
          <w:sz w:val="24"/>
          <w:szCs w:val="24"/>
          <w:lang w:val="en-US"/>
        </w:rPr>
        <w:t xml:space="preserve"> experimental</w:t>
      </w:r>
      <w:r w:rsidRPr="004C750C">
        <w:rPr>
          <w:rFonts w:ascii="Book Antiqua" w:hAnsi="Book Antiqua" w:cs="Arial"/>
          <w:sz w:val="24"/>
          <w:szCs w:val="24"/>
          <w:lang w:val="en-US"/>
        </w:rPr>
        <w:t xml:space="preserve"> drugs. Currently, more than 30 drugs are approved and available in various forms (the different classes of antiretroviral drugs), and many others are in experimental stages.</w:t>
      </w:r>
    </w:p>
    <w:p w:rsidR="00E769B0" w:rsidRPr="004C750C" w:rsidRDefault="00E769B0" w:rsidP="004C750C">
      <w:pPr>
        <w:spacing w:after="0" w:line="360" w:lineRule="auto"/>
        <w:jc w:val="both"/>
        <w:rPr>
          <w:rFonts w:ascii="Book Antiqua" w:hAnsi="Book Antiqua" w:cs="Arial"/>
          <w:sz w:val="24"/>
          <w:szCs w:val="24"/>
          <w:lang w:val="en-US" w:eastAsia="zh-CN"/>
        </w:rPr>
      </w:pPr>
    </w:p>
    <w:p w:rsidR="004D6D57" w:rsidRPr="004C750C" w:rsidRDefault="004D6D57" w:rsidP="004C750C">
      <w:pPr>
        <w:spacing w:after="0" w:line="360" w:lineRule="auto"/>
        <w:jc w:val="both"/>
        <w:rPr>
          <w:rFonts w:ascii="Book Antiqua" w:hAnsi="Book Antiqua" w:cs="Arial"/>
          <w:b/>
          <w:i/>
          <w:sz w:val="24"/>
          <w:szCs w:val="24"/>
          <w:lang w:val="en-US"/>
        </w:rPr>
      </w:pPr>
      <w:r w:rsidRPr="004C750C">
        <w:rPr>
          <w:rFonts w:ascii="Book Antiqua" w:hAnsi="Book Antiqua" w:cs="Arial"/>
          <w:b/>
          <w:i/>
          <w:sz w:val="24"/>
          <w:szCs w:val="24"/>
          <w:lang w:val="en-US"/>
        </w:rPr>
        <w:t>NRTIs</w:t>
      </w:r>
    </w:p>
    <w:p w:rsidR="004D6D57" w:rsidRPr="004C750C" w:rsidRDefault="004D6D57"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Festinavir (BMS986001) is a thymidine analogue drug, derived from stavudine</w:t>
      </w:r>
      <w:r w:rsidR="00E41646" w:rsidRPr="004C750C">
        <w:rPr>
          <w:rFonts w:ascii="Book Antiqua" w:hAnsi="Book Antiqua" w:cs="Arial"/>
          <w:sz w:val="24"/>
          <w:szCs w:val="24"/>
          <w:lang w:val="en-US"/>
        </w:rPr>
        <w:t>,</w:t>
      </w:r>
      <w:r w:rsidRPr="004C750C">
        <w:rPr>
          <w:rFonts w:ascii="Book Antiqua" w:hAnsi="Book Antiqua" w:cs="Arial"/>
          <w:sz w:val="24"/>
          <w:szCs w:val="24"/>
          <w:lang w:val="en-US"/>
        </w:rPr>
        <w:t xml:space="preserve"> but with less potential toxicity</w:t>
      </w:r>
      <w:r w:rsidR="00B34B7A" w:rsidRPr="004C750C">
        <w:rPr>
          <w:rFonts w:ascii="Book Antiqua" w:hAnsi="Book Antiqua" w:cs="Arial"/>
          <w:sz w:val="24"/>
          <w:szCs w:val="24"/>
          <w:vertAlign w:val="superscript"/>
          <w:lang w:val="en-US"/>
        </w:rPr>
        <w:t>[167</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It has been used in cases where there is</w:t>
      </w:r>
      <w:r w:rsidR="00E41646" w:rsidRPr="004C750C">
        <w:rPr>
          <w:rFonts w:ascii="Book Antiqua" w:hAnsi="Book Antiqua" w:cs="Arial"/>
          <w:sz w:val="24"/>
          <w:szCs w:val="24"/>
          <w:lang w:val="en-US"/>
        </w:rPr>
        <w:t xml:space="preserve"> HIV-1</w:t>
      </w:r>
      <w:r w:rsidRPr="004C750C">
        <w:rPr>
          <w:rFonts w:ascii="Book Antiqua" w:hAnsi="Book Antiqua" w:cs="Arial"/>
          <w:sz w:val="24"/>
          <w:szCs w:val="24"/>
          <w:lang w:val="en-US"/>
        </w:rPr>
        <w:t xml:space="preserve"> resistance to abacavir and tenofovir and is an oral drug recommended for HIV-1 patients with multi-drug resistance. The compound has a 50% effective concentration (EC</w:t>
      </w:r>
      <w:r w:rsidRPr="004C750C">
        <w:rPr>
          <w:rFonts w:ascii="Book Antiqua" w:hAnsi="Book Antiqua" w:cs="Arial"/>
          <w:sz w:val="24"/>
          <w:szCs w:val="24"/>
          <w:vertAlign w:val="subscript"/>
          <w:lang w:val="en-US"/>
        </w:rPr>
        <w:t>50</w:t>
      </w:r>
      <w:r w:rsidRPr="004C750C">
        <w:rPr>
          <w:rFonts w:ascii="Book Antiqua" w:hAnsi="Book Antiqua" w:cs="Arial"/>
          <w:sz w:val="24"/>
          <w:szCs w:val="24"/>
          <w:lang w:val="en-US"/>
        </w:rPr>
        <w:t xml:space="preserve">) </w:t>
      </w:r>
      <w:r w:rsidR="00E41646" w:rsidRPr="004C750C">
        <w:rPr>
          <w:rFonts w:ascii="Book Antiqua" w:hAnsi="Book Antiqua" w:cs="Arial"/>
          <w:sz w:val="24"/>
          <w:szCs w:val="24"/>
          <w:lang w:val="en-US"/>
        </w:rPr>
        <w:t>for</w:t>
      </w:r>
      <w:r w:rsidRPr="004C750C">
        <w:rPr>
          <w:rFonts w:ascii="Book Antiqua" w:hAnsi="Book Antiqua" w:cs="Arial"/>
          <w:sz w:val="24"/>
          <w:szCs w:val="24"/>
          <w:lang w:val="en-US"/>
        </w:rPr>
        <w:t xml:space="preserve"> the inhibition of mtDNA</w:t>
      </w:r>
      <w:r w:rsidR="00E03268" w:rsidRPr="004C750C">
        <w:rPr>
          <w:rFonts w:ascii="Book Antiqua" w:hAnsi="Book Antiqua" w:cs="Arial"/>
          <w:sz w:val="24"/>
          <w:szCs w:val="24"/>
          <w:lang w:val="en-US"/>
        </w:rPr>
        <w:t>-</w:t>
      </w:r>
      <w:r w:rsidRPr="004C750C">
        <w:rPr>
          <w:rFonts w:ascii="Book Antiqua" w:hAnsi="Book Antiqua" w:cs="Arial"/>
          <w:sz w:val="24"/>
          <w:szCs w:val="24"/>
          <w:lang w:val="en-US"/>
        </w:rPr>
        <w:t xml:space="preserve">polymerase γ and is 100 times </w:t>
      </w:r>
      <w:r w:rsidR="00E03268" w:rsidRPr="004C750C">
        <w:rPr>
          <w:rFonts w:ascii="Book Antiqua" w:hAnsi="Book Antiqua" w:cs="Arial"/>
          <w:sz w:val="24"/>
          <w:szCs w:val="24"/>
          <w:lang w:val="en-US"/>
        </w:rPr>
        <w:t>less toxic to the mtDNA-</w:t>
      </w:r>
      <w:r w:rsidRPr="004C750C">
        <w:rPr>
          <w:rFonts w:ascii="Book Antiqua" w:hAnsi="Book Antiqua" w:cs="Arial"/>
          <w:sz w:val="24"/>
          <w:szCs w:val="24"/>
          <w:lang w:val="en-US"/>
        </w:rPr>
        <w:t>polymerase γ in renal proximal tubular cells, muscle cells, and adipocytes and on the cellular levels of adenosine triphosphate and/or lactate production (ATP) than stavudine. The mitochondrial toxic effects of stavudine are the main cause of the adverse effects associated with lipodystrophy and peripheral neuropathy, which has led to the decline in its use and indicated that festinavir has a minor impact on lipid metabolism</w:t>
      </w:r>
      <w:r w:rsidR="00B34B7A" w:rsidRPr="004C750C">
        <w:rPr>
          <w:rFonts w:ascii="Book Antiqua" w:hAnsi="Book Antiqua" w:cs="Arial"/>
          <w:sz w:val="24"/>
          <w:szCs w:val="24"/>
          <w:vertAlign w:val="superscript"/>
          <w:lang w:val="en-US"/>
        </w:rPr>
        <w:t>[167-169</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r w:rsidR="00852431" w:rsidRPr="004C750C">
        <w:rPr>
          <w:rFonts w:ascii="Book Antiqua" w:hAnsi="Book Antiqua" w:cs="Arial"/>
          <w:sz w:val="24"/>
          <w:szCs w:val="24"/>
          <w:lang w:val="en-US"/>
        </w:rPr>
        <w:t xml:space="preserve"> </w:t>
      </w:r>
      <w:r w:rsidRPr="004C750C">
        <w:rPr>
          <w:rFonts w:ascii="Book Antiqua" w:hAnsi="Book Antiqua" w:cs="Arial"/>
          <w:sz w:val="24"/>
          <w:szCs w:val="24"/>
          <w:lang w:val="en-US"/>
        </w:rPr>
        <w:t xml:space="preserve">Apricitabine (AVX754, formerly SPD754) is a drug for oral administration and is </w:t>
      </w:r>
      <w:r w:rsidR="00D36D0E" w:rsidRPr="004C750C">
        <w:rPr>
          <w:rFonts w:ascii="Book Antiqua" w:hAnsi="Book Antiqua" w:cs="Arial"/>
          <w:sz w:val="24"/>
          <w:szCs w:val="24"/>
          <w:lang w:val="en-US"/>
        </w:rPr>
        <w:t xml:space="preserve">currently </w:t>
      </w:r>
      <w:r w:rsidRPr="004C750C">
        <w:rPr>
          <w:rFonts w:ascii="Book Antiqua" w:hAnsi="Book Antiqua" w:cs="Arial"/>
          <w:sz w:val="24"/>
          <w:szCs w:val="24"/>
          <w:lang w:val="en-US"/>
        </w:rPr>
        <w:t>in the experimental phase (Phase IIB clinical trial). It is structurally related to lamivudine and emtricitabine and, as such, is an analog of cytidine</w:t>
      </w:r>
      <w:r w:rsidR="00B34B7A" w:rsidRPr="004C750C">
        <w:rPr>
          <w:rFonts w:ascii="Book Antiqua" w:hAnsi="Book Antiqua" w:cs="Arial"/>
          <w:sz w:val="24"/>
          <w:szCs w:val="24"/>
          <w:vertAlign w:val="superscript"/>
          <w:lang w:val="en-US"/>
        </w:rPr>
        <w:t>[170</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This drug is well tolerated, and its most common side effects include headache, nausea, muscle aches and diarrhea. The use of apricitabine in HIV-1</w:t>
      </w:r>
      <w:r w:rsidR="006C393C" w:rsidRPr="004C750C">
        <w:rPr>
          <w:rFonts w:ascii="Book Antiqua" w:hAnsi="Book Antiqua" w:cs="Arial"/>
          <w:sz w:val="24"/>
          <w:szCs w:val="24"/>
          <w:lang w:val="en-US"/>
        </w:rPr>
        <w:t xml:space="preserve"> infected</w:t>
      </w:r>
      <w:r w:rsidRPr="004C750C">
        <w:rPr>
          <w:rFonts w:ascii="Book Antiqua" w:hAnsi="Book Antiqua" w:cs="Arial"/>
          <w:sz w:val="24"/>
          <w:szCs w:val="24"/>
          <w:lang w:val="en-US"/>
        </w:rPr>
        <w:t xml:space="preserve"> patients had no effect on bone marrow, liver or kidney toxicity, and lipase. However, its use cause</w:t>
      </w:r>
      <w:r w:rsidR="006C393C" w:rsidRPr="004C750C">
        <w:rPr>
          <w:rFonts w:ascii="Book Antiqua" w:hAnsi="Book Antiqua" w:cs="Arial"/>
          <w:sz w:val="24"/>
          <w:szCs w:val="24"/>
          <w:lang w:val="en-US"/>
        </w:rPr>
        <w:t>d</w:t>
      </w:r>
      <w:r w:rsidRPr="004C750C">
        <w:rPr>
          <w:rFonts w:ascii="Book Antiqua" w:hAnsi="Book Antiqua" w:cs="Arial"/>
          <w:sz w:val="24"/>
          <w:szCs w:val="24"/>
          <w:lang w:val="en-US"/>
        </w:rPr>
        <w:t xml:space="preserve"> changes in lipid metabolism, most noticeabl</w:t>
      </w:r>
      <w:r w:rsidR="006C393C" w:rsidRPr="004C750C">
        <w:rPr>
          <w:rFonts w:ascii="Book Antiqua" w:hAnsi="Book Antiqua" w:cs="Arial"/>
          <w:sz w:val="24"/>
          <w:szCs w:val="24"/>
          <w:lang w:val="en-US"/>
        </w:rPr>
        <w:t>y</w:t>
      </w:r>
      <w:r w:rsidRPr="004C750C">
        <w:rPr>
          <w:rFonts w:ascii="Book Antiqua" w:hAnsi="Book Antiqua" w:cs="Arial"/>
          <w:sz w:val="24"/>
          <w:szCs w:val="24"/>
          <w:lang w:val="en-US"/>
        </w:rPr>
        <w:t xml:space="preserve"> elevated serum </w:t>
      </w:r>
      <w:r w:rsidR="00BF105E" w:rsidRPr="004C750C">
        <w:rPr>
          <w:rFonts w:ascii="Book Antiqua" w:hAnsi="Book Antiqua" w:cs="Arial"/>
          <w:sz w:val="24"/>
          <w:szCs w:val="24"/>
          <w:lang w:val="en-US"/>
        </w:rPr>
        <w:t>TG</w:t>
      </w:r>
      <w:r w:rsidRPr="004C750C">
        <w:rPr>
          <w:rFonts w:ascii="Book Antiqua" w:hAnsi="Book Antiqua" w:cs="Arial"/>
          <w:sz w:val="24"/>
          <w:szCs w:val="24"/>
          <w:lang w:val="en-US"/>
        </w:rPr>
        <w:t>, indicating that its use should be evaluated in patients who initiated therapy with apricitabine or who already have a dyslipidemic profile</w:t>
      </w:r>
      <w:r w:rsidR="00B34B7A" w:rsidRPr="004C750C">
        <w:rPr>
          <w:rFonts w:ascii="Book Antiqua" w:hAnsi="Book Antiqua" w:cs="Arial"/>
          <w:sz w:val="24"/>
          <w:szCs w:val="24"/>
          <w:vertAlign w:val="superscript"/>
          <w:lang w:val="en-US"/>
        </w:rPr>
        <w:t>[170-172</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r w:rsidR="003E2C59" w:rsidRPr="004C750C">
        <w:rPr>
          <w:rFonts w:ascii="Book Antiqua" w:hAnsi="Book Antiqua" w:cs="Arial"/>
          <w:sz w:val="24"/>
          <w:szCs w:val="24"/>
          <w:lang w:val="en-US"/>
        </w:rPr>
        <w:t xml:space="preserve"> </w:t>
      </w:r>
      <w:r w:rsidRPr="004C750C">
        <w:rPr>
          <w:rFonts w:ascii="Book Antiqua" w:hAnsi="Book Antiqua" w:cs="Arial"/>
          <w:sz w:val="24"/>
          <w:szCs w:val="24"/>
          <w:lang w:val="en-US"/>
        </w:rPr>
        <w:t>GS-7340 is a prodrug of tenofovir called tenofovir disoproxil fumarate. Unlike tenofovir, GS-7340 is stable in plasma and</w:t>
      </w:r>
      <w:r w:rsidR="005E0BE4" w:rsidRPr="004C750C">
        <w:rPr>
          <w:rFonts w:ascii="Book Antiqua" w:hAnsi="Book Antiqua" w:cs="Arial"/>
          <w:sz w:val="24"/>
          <w:szCs w:val="24"/>
          <w:lang w:val="en-US"/>
        </w:rPr>
        <w:t xml:space="preserve"> is</w:t>
      </w:r>
      <w:r w:rsidRPr="004C750C">
        <w:rPr>
          <w:rFonts w:ascii="Book Antiqua" w:hAnsi="Book Antiqua" w:cs="Arial"/>
          <w:sz w:val="24"/>
          <w:szCs w:val="24"/>
          <w:lang w:val="en-US"/>
        </w:rPr>
        <w:t xml:space="preserve"> then converted to tenofovir inside </w:t>
      </w:r>
      <w:r w:rsidR="005E0BE4" w:rsidRPr="004C750C">
        <w:rPr>
          <w:rFonts w:ascii="Book Antiqua" w:hAnsi="Book Antiqua" w:cs="Arial"/>
          <w:sz w:val="24"/>
          <w:szCs w:val="24"/>
          <w:lang w:val="en-US"/>
        </w:rPr>
        <w:t xml:space="preserve">of </w:t>
      </w:r>
      <w:r w:rsidRPr="004C750C">
        <w:rPr>
          <w:rFonts w:ascii="Book Antiqua" w:hAnsi="Book Antiqua" w:cs="Arial"/>
          <w:sz w:val="24"/>
          <w:szCs w:val="24"/>
          <w:lang w:val="en-US"/>
        </w:rPr>
        <w:t>cells by the cellular enzyme cathepsin, which is highly expressed in lymphoid tissue</w:t>
      </w:r>
      <w:r w:rsidR="00B34B7A" w:rsidRPr="004C750C">
        <w:rPr>
          <w:rFonts w:ascii="Book Antiqua" w:hAnsi="Book Antiqua" w:cs="Arial"/>
          <w:sz w:val="24"/>
          <w:szCs w:val="24"/>
          <w:vertAlign w:val="superscript"/>
          <w:lang w:val="en-US"/>
        </w:rPr>
        <w:t>[173</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Within the cell, the drug is transformed into the active metabolite tenofovir diphosphate, an inhibitor of HIV-1 reverse transcriptase. Phase III studies are underway to better define the safety profile and efficacy, and initially, the drug does not show effects on lipid metabolism. However, formulations </w:t>
      </w:r>
      <w:r w:rsidR="00327DD9" w:rsidRPr="004C750C">
        <w:rPr>
          <w:rFonts w:ascii="Book Antiqua" w:hAnsi="Book Antiqua" w:cs="Arial"/>
          <w:sz w:val="24"/>
          <w:szCs w:val="24"/>
          <w:lang w:val="en-US"/>
        </w:rPr>
        <w:t>containing</w:t>
      </w:r>
      <w:r w:rsidRPr="004C750C">
        <w:rPr>
          <w:rFonts w:ascii="Book Antiqua" w:hAnsi="Book Antiqua" w:cs="Arial"/>
          <w:sz w:val="24"/>
          <w:szCs w:val="24"/>
          <w:lang w:val="en-US"/>
        </w:rPr>
        <w:t xml:space="preserve"> 300 mg</w:t>
      </w:r>
      <w:r w:rsidR="00327DD9" w:rsidRPr="004C750C">
        <w:rPr>
          <w:rFonts w:ascii="Book Antiqua" w:hAnsi="Book Antiqua" w:cs="Arial"/>
          <w:sz w:val="24"/>
          <w:szCs w:val="24"/>
          <w:lang w:val="en-US"/>
        </w:rPr>
        <w:t xml:space="preserve"> of the drug</w:t>
      </w:r>
      <w:r w:rsidRPr="004C750C">
        <w:rPr>
          <w:rFonts w:ascii="Book Antiqua" w:hAnsi="Book Antiqua" w:cs="Arial"/>
          <w:sz w:val="24"/>
          <w:szCs w:val="24"/>
          <w:lang w:val="en-US"/>
        </w:rPr>
        <w:t xml:space="preserve"> promoted adverse effects on the kidneys and bone marrow toxicity</w:t>
      </w:r>
      <w:r w:rsidR="00B34B7A" w:rsidRPr="004C750C">
        <w:rPr>
          <w:rFonts w:ascii="Book Antiqua" w:hAnsi="Book Antiqua" w:cs="Arial"/>
          <w:sz w:val="24"/>
          <w:szCs w:val="24"/>
          <w:vertAlign w:val="superscript"/>
          <w:lang w:val="en-US"/>
        </w:rPr>
        <w:t>[173-175</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r w:rsidR="003E2C59" w:rsidRPr="004C750C">
        <w:rPr>
          <w:rFonts w:ascii="Book Antiqua" w:hAnsi="Book Antiqua" w:cs="Arial"/>
          <w:sz w:val="24"/>
          <w:szCs w:val="24"/>
          <w:lang w:val="en-US"/>
        </w:rPr>
        <w:t xml:space="preserve"> </w:t>
      </w:r>
      <w:r w:rsidRPr="004C750C">
        <w:rPr>
          <w:rFonts w:ascii="Book Antiqua" w:hAnsi="Book Antiqua" w:cs="Arial"/>
          <w:sz w:val="24"/>
          <w:szCs w:val="24"/>
          <w:lang w:val="en-US"/>
        </w:rPr>
        <w:t>Other drugs of the NRTI class are in the experimental phase, such as racivir (an enantiomer of emtricitabine), elvucitabine (Phase II clinical trial), and amdoxovir (AMDX or DAPD). For these drugs, current data about the adverse effects are insufficient to characterize the</w:t>
      </w:r>
      <w:r w:rsidR="00327DD9" w:rsidRPr="004C750C">
        <w:rPr>
          <w:rFonts w:ascii="Book Antiqua" w:hAnsi="Book Antiqua" w:cs="Arial"/>
          <w:sz w:val="24"/>
          <w:szCs w:val="24"/>
          <w:lang w:val="en-US"/>
        </w:rPr>
        <w:t>ir</w:t>
      </w:r>
      <w:r w:rsidRPr="004C750C">
        <w:rPr>
          <w:rFonts w:ascii="Book Antiqua" w:hAnsi="Book Antiqua" w:cs="Arial"/>
          <w:sz w:val="24"/>
          <w:szCs w:val="24"/>
          <w:lang w:val="en-US"/>
        </w:rPr>
        <w:t xml:space="preserve"> impact on lipid metabolism</w:t>
      </w:r>
      <w:r w:rsidR="00B34B7A" w:rsidRPr="004C750C">
        <w:rPr>
          <w:rFonts w:ascii="Book Antiqua" w:hAnsi="Book Antiqua" w:cs="Arial"/>
          <w:sz w:val="24"/>
          <w:szCs w:val="24"/>
          <w:vertAlign w:val="superscript"/>
          <w:lang w:val="en-US"/>
        </w:rPr>
        <w:t>[174-178</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p>
    <w:p w:rsidR="00E769B0" w:rsidRPr="004C750C" w:rsidRDefault="00E769B0" w:rsidP="004C750C">
      <w:pPr>
        <w:spacing w:after="0" w:line="360" w:lineRule="auto"/>
        <w:jc w:val="both"/>
        <w:rPr>
          <w:rFonts w:ascii="Book Antiqua" w:hAnsi="Book Antiqua" w:cs="Arial"/>
          <w:b/>
          <w:i/>
          <w:sz w:val="24"/>
          <w:szCs w:val="24"/>
          <w:lang w:val="en-US" w:eastAsia="zh-CN"/>
        </w:rPr>
      </w:pPr>
    </w:p>
    <w:p w:rsidR="004D6D57" w:rsidRPr="004C750C" w:rsidRDefault="004D6D57" w:rsidP="004C750C">
      <w:pPr>
        <w:spacing w:after="0" w:line="360" w:lineRule="auto"/>
        <w:jc w:val="both"/>
        <w:rPr>
          <w:rFonts w:ascii="Book Antiqua" w:hAnsi="Book Antiqua" w:cs="Arial"/>
          <w:b/>
          <w:i/>
          <w:sz w:val="24"/>
          <w:szCs w:val="24"/>
          <w:lang w:val="en-US"/>
        </w:rPr>
      </w:pPr>
      <w:r w:rsidRPr="004C750C">
        <w:rPr>
          <w:rFonts w:ascii="Book Antiqua" w:hAnsi="Book Antiqua" w:cs="Arial"/>
          <w:b/>
          <w:i/>
          <w:sz w:val="24"/>
          <w:szCs w:val="24"/>
          <w:lang w:val="en-US"/>
        </w:rPr>
        <w:t>NNRTIs</w:t>
      </w:r>
    </w:p>
    <w:p w:rsidR="004D6D57" w:rsidRPr="004C750C" w:rsidRDefault="004D6D57" w:rsidP="004C750C">
      <w:pPr>
        <w:spacing w:after="0" w:line="360" w:lineRule="auto"/>
        <w:jc w:val="both"/>
        <w:rPr>
          <w:rFonts w:ascii="Book Antiqua" w:hAnsi="Book Antiqua" w:cs="Arial"/>
          <w:sz w:val="24"/>
          <w:szCs w:val="24"/>
          <w:lang w:val="en-US" w:eastAsia="zh-CN"/>
        </w:rPr>
      </w:pPr>
      <w:r w:rsidRPr="004C750C">
        <w:rPr>
          <w:rFonts w:ascii="Book Antiqua" w:hAnsi="Book Antiqua" w:cs="Arial"/>
          <w:bCs/>
          <w:iCs/>
          <w:sz w:val="24"/>
          <w:szCs w:val="24"/>
          <w:lang w:val="en-US"/>
        </w:rPr>
        <w:t>E</w:t>
      </w:r>
      <w:r w:rsidRPr="004C750C">
        <w:rPr>
          <w:rFonts w:ascii="Book Antiqua" w:hAnsi="Book Antiqua" w:cs="Arial"/>
          <w:sz w:val="24"/>
          <w:szCs w:val="24"/>
          <w:lang w:val="en-US"/>
        </w:rPr>
        <w:t>travirine (ETR, Intelence</w:t>
      </w:r>
      <w:r w:rsidRPr="004C750C">
        <w:rPr>
          <w:rFonts w:ascii="Book Antiqua" w:hAnsi="Book Antiqua" w:cs="Arial"/>
          <w:bCs/>
          <w:iCs/>
          <w:sz w:val="24"/>
          <w:szCs w:val="24"/>
          <w:vertAlign w:val="superscript"/>
          <w:lang w:val="en-US"/>
        </w:rPr>
        <w:t>®</w:t>
      </w:r>
      <w:r w:rsidRPr="004C750C">
        <w:rPr>
          <w:rFonts w:ascii="Book Antiqua" w:hAnsi="Book Antiqua" w:cs="Arial"/>
          <w:sz w:val="24"/>
          <w:szCs w:val="24"/>
          <w:lang w:val="en-US"/>
        </w:rPr>
        <w:t>) is a drug from the second generation of NNRTIs and shows efficacy, safety and good tolerability in HIV-1</w:t>
      </w:r>
      <w:r w:rsidRPr="004C750C">
        <w:rPr>
          <w:rFonts w:ascii="Book Antiqua" w:hAnsi="Book Antiqua" w:cs="Arial"/>
          <w:bCs/>
          <w:iCs/>
          <w:sz w:val="24"/>
          <w:szCs w:val="24"/>
          <w:lang w:val="en-US"/>
        </w:rPr>
        <w:t xml:space="preserve"> </w:t>
      </w:r>
      <w:r w:rsidRPr="004C750C">
        <w:rPr>
          <w:rFonts w:ascii="Book Antiqua" w:hAnsi="Book Antiqua" w:cs="Arial"/>
          <w:sz w:val="24"/>
          <w:szCs w:val="24"/>
          <w:lang w:val="en-US"/>
        </w:rPr>
        <w:t>patients</w:t>
      </w:r>
      <w:r w:rsidR="00B34B7A" w:rsidRPr="004C750C">
        <w:rPr>
          <w:rFonts w:ascii="Book Antiqua" w:hAnsi="Book Antiqua" w:cs="Arial"/>
          <w:sz w:val="24"/>
          <w:szCs w:val="24"/>
          <w:vertAlign w:val="superscript"/>
          <w:lang w:val="en-US"/>
        </w:rPr>
        <w:t>[179</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r w:rsidRPr="004C750C">
        <w:rPr>
          <w:rFonts w:ascii="Book Antiqua" w:hAnsi="Book Antiqua" w:cs="Arial"/>
          <w:bCs/>
          <w:iCs/>
          <w:sz w:val="24"/>
          <w:szCs w:val="24"/>
          <w:lang w:val="en-US"/>
        </w:rPr>
        <w:t xml:space="preserve">One of the </w:t>
      </w:r>
      <w:r w:rsidR="006F15A2" w:rsidRPr="004C750C">
        <w:rPr>
          <w:rFonts w:ascii="Book Antiqua" w:hAnsi="Book Antiqua" w:cs="Arial"/>
          <w:bCs/>
          <w:iCs/>
          <w:sz w:val="24"/>
          <w:szCs w:val="24"/>
          <w:lang w:val="en-US"/>
        </w:rPr>
        <w:t xml:space="preserve">primary </w:t>
      </w:r>
      <w:r w:rsidRPr="004C750C">
        <w:rPr>
          <w:rFonts w:ascii="Book Antiqua" w:hAnsi="Book Antiqua" w:cs="Arial"/>
          <w:bCs/>
          <w:iCs/>
          <w:sz w:val="24"/>
          <w:szCs w:val="24"/>
          <w:lang w:val="en-US"/>
        </w:rPr>
        <w:t>advantages of e</w:t>
      </w:r>
      <w:r w:rsidRPr="004C750C">
        <w:rPr>
          <w:rFonts w:ascii="Book Antiqua" w:hAnsi="Book Antiqua" w:cs="Arial"/>
          <w:sz w:val="24"/>
          <w:szCs w:val="24"/>
          <w:lang w:val="en-US"/>
        </w:rPr>
        <w:t xml:space="preserve">travirine is as a replacement for other NNRTIs to which the HIV-1 virus is resistant, mainly due to the presence of the K103N and </w:t>
      </w:r>
      <w:r w:rsidRPr="004C750C">
        <w:rPr>
          <w:rFonts w:ascii="Book Antiqua" w:hAnsi="Book Antiqua" w:cs="Arial"/>
          <w:bCs/>
          <w:iCs/>
          <w:sz w:val="24"/>
          <w:szCs w:val="24"/>
          <w:lang w:val="en-US"/>
        </w:rPr>
        <w:t>Y181C</w:t>
      </w:r>
      <w:r w:rsidRPr="004C750C">
        <w:rPr>
          <w:rFonts w:ascii="Book Antiqua" w:hAnsi="Book Antiqua" w:cs="Arial"/>
          <w:sz w:val="24"/>
          <w:szCs w:val="24"/>
          <w:lang w:val="en-US"/>
        </w:rPr>
        <w:t xml:space="preserve"> mutation</w:t>
      </w:r>
      <w:r w:rsidR="006F15A2" w:rsidRPr="004C750C">
        <w:rPr>
          <w:rFonts w:ascii="Book Antiqua" w:hAnsi="Book Antiqua" w:cs="Arial"/>
          <w:sz w:val="24"/>
          <w:szCs w:val="24"/>
          <w:lang w:val="en-US"/>
        </w:rPr>
        <w:t>s</w:t>
      </w:r>
      <w:r w:rsidRPr="004C750C">
        <w:rPr>
          <w:rFonts w:ascii="Book Antiqua" w:hAnsi="Book Antiqua" w:cs="Arial"/>
          <w:sz w:val="24"/>
          <w:szCs w:val="24"/>
          <w:lang w:val="en-US"/>
        </w:rPr>
        <w:t xml:space="preserve"> in the case of </w:t>
      </w:r>
      <w:r w:rsidRPr="004C750C">
        <w:rPr>
          <w:rFonts w:ascii="Book Antiqua" w:hAnsi="Book Antiqua" w:cs="Arial"/>
          <w:bCs/>
          <w:iCs/>
          <w:sz w:val="24"/>
          <w:szCs w:val="24"/>
          <w:lang w:val="en-US"/>
        </w:rPr>
        <w:t>e</w:t>
      </w:r>
      <w:r w:rsidRPr="004C750C">
        <w:rPr>
          <w:rFonts w:ascii="Book Antiqua" w:hAnsi="Book Antiqua" w:cs="Arial"/>
          <w:sz w:val="24"/>
          <w:szCs w:val="24"/>
          <w:lang w:val="en-US"/>
        </w:rPr>
        <w:t>fav</w:t>
      </w:r>
      <w:r w:rsidRPr="004C750C">
        <w:rPr>
          <w:rFonts w:ascii="Book Antiqua" w:hAnsi="Book Antiqua" w:cs="Arial"/>
          <w:bCs/>
          <w:iCs/>
          <w:sz w:val="24"/>
          <w:szCs w:val="24"/>
          <w:lang w:val="en-US"/>
        </w:rPr>
        <w:t>irenz and n</w:t>
      </w:r>
      <w:r w:rsidRPr="004C750C">
        <w:rPr>
          <w:rFonts w:ascii="Book Antiqua" w:hAnsi="Book Antiqua" w:cs="Arial"/>
          <w:sz w:val="24"/>
          <w:szCs w:val="24"/>
          <w:lang w:val="en-US"/>
        </w:rPr>
        <w:t xml:space="preserve">evirapine, respectively. The FDA approved the drug in 2008 for use in patients with </w:t>
      </w:r>
      <w:r w:rsidRPr="004C750C">
        <w:rPr>
          <w:rFonts w:ascii="Book Antiqua" w:hAnsi="Book Antiqua" w:cs="Arial"/>
          <w:bCs/>
          <w:iCs/>
          <w:sz w:val="24"/>
          <w:szCs w:val="24"/>
          <w:lang w:val="en-US"/>
        </w:rPr>
        <w:t>multiple drug resistance</w:t>
      </w:r>
      <w:r w:rsidRPr="004C750C">
        <w:rPr>
          <w:rFonts w:ascii="Book Antiqua" w:hAnsi="Book Antiqua" w:cs="Arial"/>
          <w:sz w:val="24"/>
          <w:szCs w:val="24"/>
          <w:lang w:val="en-US"/>
        </w:rPr>
        <w:t>. However, the drug is a substrate and an inhibitor of different CYP3A4 enzymes, which in turn are contraindicated in the use with antimicrobial and anticonvulsant drugs metabolized by the CYP</w:t>
      </w:r>
      <w:r w:rsidRPr="004C750C">
        <w:rPr>
          <w:rFonts w:ascii="Book Antiqua" w:hAnsi="Book Antiqua" w:cs="Arial"/>
          <w:bCs/>
          <w:iCs/>
          <w:sz w:val="24"/>
          <w:szCs w:val="24"/>
          <w:lang w:val="en-US"/>
        </w:rPr>
        <w:t>450</w:t>
      </w:r>
      <w:r w:rsidRPr="004C750C">
        <w:rPr>
          <w:rFonts w:ascii="Book Antiqua" w:hAnsi="Book Antiqua" w:cs="Arial"/>
          <w:sz w:val="24"/>
          <w:szCs w:val="24"/>
          <w:lang w:val="en-US"/>
        </w:rPr>
        <w:t xml:space="preserve"> system. In patients receiving HAART who have alterations in lipid metabolism, the switch to a therapy containing </w:t>
      </w:r>
      <w:r w:rsidRPr="004C750C">
        <w:rPr>
          <w:rFonts w:ascii="Book Antiqua" w:hAnsi="Book Antiqua" w:cs="Arial"/>
          <w:bCs/>
          <w:iCs/>
          <w:sz w:val="24"/>
          <w:szCs w:val="24"/>
          <w:lang w:val="en-US"/>
        </w:rPr>
        <w:t>e</w:t>
      </w:r>
      <w:r w:rsidRPr="004C750C">
        <w:rPr>
          <w:rFonts w:ascii="Book Antiqua" w:hAnsi="Book Antiqua" w:cs="Arial"/>
          <w:sz w:val="24"/>
          <w:szCs w:val="24"/>
          <w:lang w:val="en-US"/>
        </w:rPr>
        <w:t xml:space="preserve">travirine has shown satisfactory results and </w:t>
      </w:r>
      <w:r w:rsidR="00867C90" w:rsidRPr="004C750C">
        <w:rPr>
          <w:rFonts w:ascii="Book Antiqua" w:hAnsi="Book Antiqua" w:cs="Arial"/>
          <w:sz w:val="24"/>
          <w:szCs w:val="24"/>
          <w:lang w:val="en-US"/>
        </w:rPr>
        <w:t xml:space="preserve">a </w:t>
      </w:r>
      <w:r w:rsidRPr="004C750C">
        <w:rPr>
          <w:rFonts w:ascii="Book Antiqua" w:hAnsi="Book Antiqua" w:cs="Arial"/>
          <w:sz w:val="24"/>
          <w:szCs w:val="24"/>
          <w:lang w:val="en-US"/>
        </w:rPr>
        <w:t>reversal of dyslipidemia</w:t>
      </w:r>
      <w:r w:rsidR="00B34B7A" w:rsidRPr="004C750C">
        <w:rPr>
          <w:rFonts w:ascii="Book Antiqua" w:hAnsi="Book Antiqua" w:cs="Arial"/>
          <w:sz w:val="24"/>
          <w:szCs w:val="24"/>
          <w:vertAlign w:val="superscript"/>
          <w:lang w:val="en-US"/>
        </w:rPr>
        <w:t>[179-182</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r w:rsidR="00C13336" w:rsidRPr="004C750C">
        <w:rPr>
          <w:rFonts w:ascii="Book Antiqua" w:hAnsi="Book Antiqua" w:cs="Arial"/>
          <w:sz w:val="24"/>
          <w:szCs w:val="24"/>
          <w:lang w:val="en-US"/>
        </w:rPr>
        <w:t xml:space="preserve"> </w:t>
      </w:r>
      <w:r w:rsidRPr="004C750C">
        <w:rPr>
          <w:rFonts w:ascii="Book Antiqua" w:hAnsi="Book Antiqua" w:cs="Arial"/>
          <w:sz w:val="24"/>
          <w:szCs w:val="24"/>
          <w:lang w:val="en-US"/>
        </w:rPr>
        <w:t>Rilpivirine (Edurant</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is a second-generation NNRTI class drug. It is more potent than diarylpyrimidine (DAPY), and adverse effects are considerably reduced compared to older NNRTIs such as efavirenz. After clinical trials, rilpivirine was approved by the FDA in 2011, and its use is </w:t>
      </w:r>
      <w:r w:rsidR="003B5FB5" w:rsidRPr="004C750C">
        <w:rPr>
          <w:rFonts w:ascii="Book Antiqua" w:hAnsi="Book Antiqua" w:cs="Arial"/>
          <w:sz w:val="24"/>
          <w:szCs w:val="24"/>
          <w:lang w:val="en-US"/>
        </w:rPr>
        <w:t xml:space="preserve">often </w:t>
      </w:r>
      <w:r w:rsidRPr="004C750C">
        <w:rPr>
          <w:rFonts w:ascii="Book Antiqua" w:hAnsi="Book Antiqua" w:cs="Arial"/>
          <w:sz w:val="24"/>
          <w:szCs w:val="24"/>
          <w:lang w:val="en-US"/>
        </w:rPr>
        <w:t xml:space="preserve">combined with emtricitabine and tenofovir. Rilpivirine produces few changes in </w:t>
      </w:r>
      <w:r w:rsidR="007635D8" w:rsidRPr="004C750C">
        <w:rPr>
          <w:rFonts w:ascii="Book Antiqua" w:hAnsi="Book Antiqua" w:cs="Arial"/>
          <w:sz w:val="24"/>
          <w:szCs w:val="24"/>
          <w:lang w:val="en-US"/>
        </w:rPr>
        <w:t>TC</w:t>
      </w:r>
      <w:r w:rsidRPr="004C750C">
        <w:rPr>
          <w:rFonts w:ascii="Book Antiqua" w:hAnsi="Book Antiqua" w:cs="Arial"/>
          <w:sz w:val="24"/>
          <w:szCs w:val="24"/>
          <w:lang w:val="en-US"/>
        </w:rPr>
        <w:t xml:space="preserve">, LDL, HDL and </w:t>
      </w:r>
      <w:r w:rsidR="007635D8" w:rsidRPr="004C750C">
        <w:rPr>
          <w:rFonts w:ascii="Book Antiqua" w:hAnsi="Book Antiqua" w:cs="Arial"/>
          <w:sz w:val="24"/>
          <w:szCs w:val="24"/>
          <w:lang w:val="en-US"/>
        </w:rPr>
        <w:t>TG</w:t>
      </w:r>
      <w:r w:rsidRPr="004C750C">
        <w:rPr>
          <w:rFonts w:ascii="Book Antiqua" w:hAnsi="Book Antiqua" w:cs="Arial"/>
          <w:sz w:val="24"/>
          <w:szCs w:val="24"/>
          <w:lang w:val="en-US"/>
        </w:rPr>
        <w:t xml:space="preserve"> in HIV-1 patients. In comparison to treatment with efavirenz, this drug promotes an increase in lipids and in the </w:t>
      </w:r>
      <w:r w:rsidR="007635D8" w:rsidRPr="004C750C">
        <w:rPr>
          <w:rFonts w:ascii="Book Antiqua" w:hAnsi="Book Antiqua" w:cs="Arial"/>
          <w:sz w:val="24"/>
          <w:szCs w:val="24"/>
          <w:lang w:val="en-US"/>
        </w:rPr>
        <w:t>TC</w:t>
      </w:r>
      <w:r w:rsidRPr="004C750C">
        <w:rPr>
          <w:rFonts w:ascii="Book Antiqua" w:hAnsi="Book Antiqua" w:cs="Arial"/>
          <w:sz w:val="24"/>
          <w:szCs w:val="24"/>
          <w:lang w:val="en-US"/>
        </w:rPr>
        <w:t>:HDL ratio, which is characterized by an increased risk of cardiovascular d</w:t>
      </w:r>
      <w:r w:rsidR="00C510E4" w:rsidRPr="004C750C">
        <w:rPr>
          <w:rFonts w:ascii="Book Antiqua" w:hAnsi="Book Antiqua" w:cs="Arial"/>
          <w:sz w:val="24"/>
          <w:szCs w:val="24"/>
          <w:lang w:val="en-US"/>
        </w:rPr>
        <w:t>iseases in these patients</w:t>
      </w:r>
      <w:r w:rsidR="00B34B7A" w:rsidRPr="004C750C">
        <w:rPr>
          <w:rFonts w:ascii="Book Antiqua" w:hAnsi="Book Antiqua" w:cs="Arial"/>
          <w:sz w:val="24"/>
          <w:szCs w:val="24"/>
          <w:vertAlign w:val="superscript"/>
          <w:lang w:val="en-US"/>
        </w:rPr>
        <w:t>[183</w:t>
      </w:r>
      <w:r w:rsidR="00C510E4" w:rsidRPr="004C750C">
        <w:rPr>
          <w:rFonts w:ascii="Book Antiqua" w:hAnsi="Book Antiqua" w:cs="Arial"/>
          <w:sz w:val="24"/>
          <w:szCs w:val="24"/>
          <w:vertAlign w:val="superscript"/>
          <w:lang w:val="en-US"/>
        </w:rPr>
        <w:t>,</w:t>
      </w:r>
      <w:r w:rsidR="00B34B7A" w:rsidRPr="004C750C">
        <w:rPr>
          <w:rFonts w:ascii="Book Antiqua" w:hAnsi="Book Antiqua" w:cs="Arial"/>
          <w:sz w:val="24"/>
          <w:szCs w:val="24"/>
          <w:vertAlign w:val="superscript"/>
          <w:lang w:val="en-US"/>
        </w:rPr>
        <w:t>184</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r w:rsidR="00C13336" w:rsidRPr="004C750C">
        <w:rPr>
          <w:rFonts w:ascii="Book Antiqua" w:hAnsi="Book Antiqua" w:cs="Arial"/>
          <w:sz w:val="24"/>
          <w:szCs w:val="24"/>
          <w:lang w:val="en-US"/>
        </w:rPr>
        <w:t xml:space="preserve"> </w:t>
      </w:r>
      <w:r w:rsidRPr="004C750C">
        <w:rPr>
          <w:rFonts w:ascii="Book Antiqua" w:hAnsi="Book Antiqua" w:cs="Arial"/>
          <w:sz w:val="24"/>
          <w:szCs w:val="24"/>
          <w:lang w:val="en-US"/>
        </w:rPr>
        <w:t>MK-1439 is a new and effective drug against a variety of HIV-1 mutants that are resistant to NNRTIs</w:t>
      </w:r>
      <w:r w:rsidR="00B34B7A" w:rsidRPr="004C750C">
        <w:rPr>
          <w:rFonts w:ascii="Book Antiqua" w:hAnsi="Book Antiqua" w:cs="Arial"/>
          <w:sz w:val="24"/>
          <w:szCs w:val="24"/>
          <w:vertAlign w:val="superscript"/>
          <w:lang w:val="en-US"/>
        </w:rPr>
        <w:t>[185</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Preclinical studies (Phase l clinical trial) that are currently in progress show that this drug has a good pharmacokinetic profile with the possibility of a </w:t>
      </w:r>
      <w:r w:rsidR="00DF515E" w:rsidRPr="004C750C">
        <w:rPr>
          <w:rFonts w:ascii="Book Antiqua" w:hAnsi="Book Antiqua" w:cs="Arial"/>
          <w:sz w:val="24"/>
          <w:szCs w:val="24"/>
          <w:lang w:val="en-US"/>
        </w:rPr>
        <w:t xml:space="preserve">low concentration </w:t>
      </w:r>
      <w:r w:rsidRPr="004C750C">
        <w:rPr>
          <w:rFonts w:ascii="Book Antiqua" w:hAnsi="Book Antiqua" w:cs="Arial"/>
          <w:sz w:val="24"/>
          <w:szCs w:val="24"/>
          <w:lang w:val="en-US"/>
        </w:rPr>
        <w:t xml:space="preserve">daily dose </w:t>
      </w:r>
      <w:r w:rsidR="00DF515E" w:rsidRPr="004C750C">
        <w:rPr>
          <w:rFonts w:ascii="Book Antiqua" w:hAnsi="Book Antiqua" w:cs="Arial"/>
          <w:sz w:val="24"/>
          <w:szCs w:val="24"/>
          <w:lang w:val="en-US"/>
        </w:rPr>
        <w:t>needed</w:t>
      </w:r>
      <w:r w:rsidRPr="004C750C">
        <w:rPr>
          <w:rFonts w:ascii="Book Antiqua" w:hAnsi="Book Antiqua" w:cs="Arial"/>
          <w:sz w:val="24"/>
          <w:szCs w:val="24"/>
          <w:lang w:val="en-US"/>
        </w:rPr>
        <w:t xml:space="preserve"> to obtain an optimal effect. Additionally, it has good absorption, low potential for toxicity and the ability to be used with other antiretroviral agents. MK-1439 showed good results in cases where the K103N mutation of HIV-1 le</w:t>
      </w:r>
      <w:r w:rsidR="00DF515E" w:rsidRPr="004C750C">
        <w:rPr>
          <w:rFonts w:ascii="Book Antiqua" w:hAnsi="Book Antiqua" w:cs="Arial"/>
          <w:sz w:val="24"/>
          <w:szCs w:val="24"/>
          <w:lang w:val="en-US"/>
        </w:rPr>
        <w:t>d</w:t>
      </w:r>
      <w:r w:rsidRPr="004C750C">
        <w:rPr>
          <w:rFonts w:ascii="Book Antiqua" w:hAnsi="Book Antiqua" w:cs="Arial"/>
          <w:sz w:val="24"/>
          <w:szCs w:val="24"/>
          <w:lang w:val="en-US"/>
        </w:rPr>
        <w:t xml:space="preserve"> to resistance </w:t>
      </w:r>
      <w:r w:rsidR="00DF515E" w:rsidRPr="004C750C">
        <w:rPr>
          <w:rFonts w:ascii="Book Antiqua" w:hAnsi="Book Antiqua" w:cs="Arial"/>
          <w:sz w:val="24"/>
          <w:szCs w:val="24"/>
          <w:lang w:val="en-US"/>
        </w:rPr>
        <w:t>against</w:t>
      </w:r>
      <w:r w:rsidRPr="004C750C">
        <w:rPr>
          <w:rFonts w:ascii="Book Antiqua" w:hAnsi="Book Antiqua" w:cs="Arial"/>
          <w:sz w:val="24"/>
          <w:szCs w:val="24"/>
          <w:lang w:val="en-US"/>
        </w:rPr>
        <w:t xml:space="preserve"> nevirapine and efavirenz, as well as in </w:t>
      </w:r>
      <w:r w:rsidR="00CB0D8E" w:rsidRPr="004C750C">
        <w:rPr>
          <w:rFonts w:ascii="Book Antiqua" w:hAnsi="Book Antiqua" w:cs="Arial"/>
          <w:sz w:val="24"/>
          <w:szCs w:val="24"/>
          <w:lang w:val="en-US"/>
        </w:rPr>
        <w:t>the presence of</w:t>
      </w:r>
      <w:r w:rsidRPr="004C750C">
        <w:rPr>
          <w:rFonts w:ascii="Book Antiqua" w:hAnsi="Book Antiqua" w:cs="Arial"/>
          <w:sz w:val="24"/>
          <w:szCs w:val="24"/>
          <w:lang w:val="en-US"/>
        </w:rPr>
        <w:t xml:space="preserve"> the Y1818C mutation, which leads to a lower susceptibility in treatment with nevirapine, rilpivirine and etravirine</w:t>
      </w:r>
      <w:r w:rsidRPr="004C750C">
        <w:rPr>
          <w:rFonts w:ascii="Book Antiqua" w:hAnsi="Book Antiqua" w:cs="Arial"/>
          <w:i/>
          <w:sz w:val="24"/>
          <w:szCs w:val="24"/>
          <w:lang w:val="en-US"/>
        </w:rPr>
        <w:t>. In vitro</w:t>
      </w:r>
      <w:r w:rsidRPr="004C750C">
        <w:rPr>
          <w:rFonts w:ascii="Book Antiqua" w:hAnsi="Book Antiqua" w:cs="Arial"/>
          <w:sz w:val="24"/>
          <w:szCs w:val="24"/>
          <w:lang w:val="en-US"/>
        </w:rPr>
        <w:t xml:space="preserve"> data suggest that MK-1439 has beneficial properties </w:t>
      </w:r>
      <w:r w:rsidR="0012040D" w:rsidRPr="004C750C">
        <w:rPr>
          <w:rFonts w:ascii="Book Antiqua" w:hAnsi="Book Antiqua" w:cs="Arial"/>
          <w:sz w:val="24"/>
          <w:szCs w:val="24"/>
          <w:lang w:val="en-US"/>
        </w:rPr>
        <w:t xml:space="preserve">that warrant </w:t>
      </w:r>
      <w:r w:rsidRPr="004C750C">
        <w:rPr>
          <w:rFonts w:ascii="Book Antiqua" w:hAnsi="Book Antiqua" w:cs="Arial"/>
          <w:sz w:val="24"/>
          <w:szCs w:val="24"/>
          <w:lang w:val="en-US"/>
        </w:rPr>
        <w:t>additional development as a new antiviral drug; however, no data are available about its potential impact on lipid metabolism</w:t>
      </w:r>
      <w:r w:rsidR="00B34B7A" w:rsidRPr="004C750C">
        <w:rPr>
          <w:rFonts w:ascii="Book Antiqua" w:hAnsi="Book Antiqua" w:cs="Arial"/>
          <w:sz w:val="24"/>
          <w:szCs w:val="24"/>
          <w:vertAlign w:val="superscript"/>
          <w:lang w:val="en-US"/>
        </w:rPr>
        <w:t>[185</w:t>
      </w:r>
      <w:r w:rsidR="00B34B7A" w:rsidRPr="004C750C">
        <w:rPr>
          <w:rFonts w:ascii="Book Antiqua" w:hAnsi="Book Antiqua" w:cs="Arial"/>
          <w:sz w:val="24"/>
          <w:szCs w:val="24"/>
          <w:vertAlign w:val="superscript"/>
          <w:lang w:val="en-US" w:eastAsia="zh-CN"/>
        </w:rPr>
        <w:t>-</w:t>
      </w:r>
      <w:r w:rsidR="00B34B7A" w:rsidRPr="004C750C">
        <w:rPr>
          <w:rFonts w:ascii="Book Antiqua" w:hAnsi="Book Antiqua" w:cs="Arial"/>
          <w:sz w:val="24"/>
          <w:szCs w:val="24"/>
          <w:vertAlign w:val="superscript"/>
          <w:lang w:val="en-US"/>
        </w:rPr>
        <w:t>187</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r w:rsidR="003E2C59" w:rsidRPr="004C750C">
        <w:rPr>
          <w:rFonts w:ascii="Book Antiqua" w:hAnsi="Book Antiqua" w:cs="Arial"/>
          <w:sz w:val="24"/>
          <w:szCs w:val="24"/>
          <w:lang w:val="en-US"/>
        </w:rPr>
        <w:t xml:space="preserve"> </w:t>
      </w:r>
      <w:r w:rsidRPr="004C750C">
        <w:rPr>
          <w:rFonts w:ascii="Book Antiqua" w:hAnsi="Book Antiqua" w:cs="Arial"/>
          <w:sz w:val="24"/>
          <w:szCs w:val="24"/>
          <w:lang w:val="en-US"/>
        </w:rPr>
        <w:t xml:space="preserve">New drugs of the third generation of NNRTIs are in various experimental stages such as BILR 355 BS (Phase IIa), (+)-Calanolide A (Phase I), GSK 2248761 (Phase IIb), MK-4965 (Phase I), MK-6186 (Phase I), RDEA806 (Phase IIa), and UK-453061 (Phase IIb). These new drugs have not been approved by the FDA and still require different clinical trials </w:t>
      </w:r>
      <w:r w:rsidR="0012040D" w:rsidRPr="004C750C">
        <w:rPr>
          <w:rFonts w:ascii="Book Antiqua" w:hAnsi="Book Antiqua" w:cs="Arial"/>
          <w:sz w:val="24"/>
          <w:szCs w:val="24"/>
          <w:lang w:val="en-US"/>
        </w:rPr>
        <w:t>prior to</w:t>
      </w:r>
      <w:r w:rsidRPr="004C750C">
        <w:rPr>
          <w:rFonts w:ascii="Book Antiqua" w:hAnsi="Book Antiqua" w:cs="Arial"/>
          <w:sz w:val="24"/>
          <w:szCs w:val="24"/>
          <w:lang w:val="en-US"/>
        </w:rPr>
        <w:t xml:space="preserve"> </w:t>
      </w:r>
      <w:r w:rsidR="0012040D" w:rsidRPr="004C750C">
        <w:rPr>
          <w:rFonts w:ascii="Book Antiqua" w:hAnsi="Book Antiqua" w:cs="Arial"/>
          <w:sz w:val="24"/>
          <w:szCs w:val="24"/>
          <w:lang w:val="en-US"/>
        </w:rPr>
        <w:t xml:space="preserve">their release </w:t>
      </w:r>
      <w:r w:rsidRPr="004C750C">
        <w:rPr>
          <w:rFonts w:ascii="Book Antiqua" w:hAnsi="Book Antiqua" w:cs="Arial"/>
          <w:sz w:val="24"/>
          <w:szCs w:val="24"/>
          <w:lang w:val="en-US"/>
        </w:rPr>
        <w:t>as drugs available for the treatment of HIV-1 infection</w:t>
      </w:r>
      <w:r w:rsidR="0012040D" w:rsidRPr="004C750C">
        <w:rPr>
          <w:rFonts w:ascii="Book Antiqua" w:hAnsi="Book Antiqua" w:cs="Arial"/>
          <w:sz w:val="24"/>
          <w:szCs w:val="24"/>
          <w:lang w:val="en-US"/>
        </w:rPr>
        <w:t>, and they currently</w:t>
      </w:r>
      <w:r w:rsidRPr="004C750C">
        <w:rPr>
          <w:rFonts w:ascii="Book Antiqua" w:hAnsi="Book Antiqua" w:cs="Arial"/>
          <w:sz w:val="24"/>
          <w:szCs w:val="24"/>
          <w:lang w:val="en-US"/>
        </w:rPr>
        <w:t xml:space="preserve"> have no scientific information regarding their possible effects on lipid metabolism.</w:t>
      </w:r>
    </w:p>
    <w:p w:rsidR="00E769B0" w:rsidRPr="004C750C" w:rsidRDefault="00E769B0" w:rsidP="004C750C">
      <w:pPr>
        <w:spacing w:after="0" w:line="360" w:lineRule="auto"/>
        <w:jc w:val="both"/>
        <w:rPr>
          <w:rFonts w:ascii="Book Antiqua" w:hAnsi="Book Antiqua" w:cs="Arial"/>
          <w:sz w:val="24"/>
          <w:szCs w:val="24"/>
          <w:lang w:val="en-US" w:eastAsia="zh-CN"/>
        </w:rPr>
      </w:pPr>
    </w:p>
    <w:p w:rsidR="004D6D57" w:rsidRPr="004C750C" w:rsidRDefault="004D6D57" w:rsidP="004C750C">
      <w:pPr>
        <w:spacing w:after="0" w:line="360" w:lineRule="auto"/>
        <w:jc w:val="both"/>
        <w:rPr>
          <w:rFonts w:ascii="Book Antiqua" w:hAnsi="Book Antiqua" w:cs="Arial"/>
          <w:b/>
          <w:i/>
          <w:sz w:val="24"/>
          <w:szCs w:val="24"/>
          <w:lang w:val="en-US"/>
        </w:rPr>
      </w:pPr>
      <w:r w:rsidRPr="004C750C">
        <w:rPr>
          <w:rFonts w:ascii="Book Antiqua" w:hAnsi="Book Antiqua" w:cs="Arial"/>
          <w:b/>
          <w:i/>
          <w:sz w:val="24"/>
          <w:szCs w:val="24"/>
          <w:lang w:val="en-US"/>
        </w:rPr>
        <w:t>Fusion/entry inhibitors</w:t>
      </w:r>
    </w:p>
    <w:p w:rsidR="004D6D57" w:rsidRPr="004C750C" w:rsidRDefault="004D6D57"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The HIV-1 envelope glycoprotein (Env) complex, which is composed of three receptor-binding gp120 subunits and three fusion protein gp41 subunits, mediates virus entry by fusing viral and cellular membranes and offers an attractive target for developing antiviral agents</w:t>
      </w:r>
      <w:r w:rsidR="00B34B7A" w:rsidRPr="004C750C">
        <w:rPr>
          <w:rFonts w:ascii="Book Antiqua" w:hAnsi="Book Antiqua" w:cs="Arial"/>
          <w:sz w:val="24"/>
          <w:szCs w:val="24"/>
          <w:vertAlign w:val="superscript"/>
          <w:lang w:val="en-US"/>
        </w:rPr>
        <w:t>[188</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In succession </w:t>
      </w:r>
      <w:r w:rsidR="00795AA9" w:rsidRPr="004C750C">
        <w:rPr>
          <w:rFonts w:ascii="Book Antiqua" w:hAnsi="Book Antiqua" w:cs="Arial"/>
          <w:sz w:val="24"/>
          <w:szCs w:val="24"/>
          <w:lang w:val="en-US"/>
        </w:rPr>
        <w:t>with</w:t>
      </w:r>
      <w:r w:rsidRPr="004C750C">
        <w:rPr>
          <w:rFonts w:ascii="Book Antiqua" w:hAnsi="Book Antiqua" w:cs="Arial"/>
          <w:sz w:val="24"/>
          <w:szCs w:val="24"/>
          <w:lang w:val="en-US"/>
        </w:rPr>
        <w:t xml:space="preserve"> enfuvirtide/T20, a number of design strategies have been applied to develop new peptide-based fusion inhibitors with improved stability, bi</w:t>
      </w:r>
      <w:r w:rsidR="00C510E4" w:rsidRPr="004C750C">
        <w:rPr>
          <w:rFonts w:ascii="Book Antiqua" w:hAnsi="Book Antiqua" w:cs="Arial"/>
          <w:sz w:val="24"/>
          <w:szCs w:val="24"/>
          <w:lang w:val="en-US"/>
        </w:rPr>
        <w:t>oavailability and potency</w:t>
      </w:r>
      <w:r w:rsidR="00B34B7A" w:rsidRPr="004C750C">
        <w:rPr>
          <w:rFonts w:ascii="Book Antiqua" w:hAnsi="Book Antiqua" w:cs="Arial"/>
          <w:sz w:val="24"/>
          <w:szCs w:val="24"/>
          <w:vertAlign w:val="superscript"/>
          <w:lang w:val="en-US"/>
        </w:rPr>
        <w:t>[188</w:t>
      </w:r>
      <w:r w:rsidR="00C510E4" w:rsidRPr="004C750C">
        <w:rPr>
          <w:rFonts w:ascii="Book Antiqua" w:hAnsi="Book Antiqua" w:cs="Arial"/>
          <w:sz w:val="24"/>
          <w:szCs w:val="24"/>
          <w:vertAlign w:val="superscript"/>
          <w:lang w:val="en-US"/>
        </w:rPr>
        <w:t>,</w:t>
      </w:r>
      <w:r w:rsidR="00B34B7A" w:rsidRPr="004C750C">
        <w:rPr>
          <w:rFonts w:ascii="Book Antiqua" w:hAnsi="Book Antiqua" w:cs="Arial"/>
          <w:sz w:val="24"/>
          <w:szCs w:val="24"/>
          <w:vertAlign w:val="superscript"/>
          <w:lang w:val="en-US"/>
        </w:rPr>
        <w:t>189</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There are several drug classes that are in two experimental phases. Albuvirtide (FB006M), T649, T2634, T2544, T1249, SC34EK, and SC29EK are in the class of fusion inhibitors. BMS 663068, BMS 626529, vicriviroc (SCH 417690), and cenicriviroc (TAK-652, TBR-652) are in the class of entry inhibitors. These and other drugs are in experimental stages or have been suspended, and there are no initial and/or conclusive data about their potential toxic effects and the impact on lipid metabolism.</w:t>
      </w:r>
    </w:p>
    <w:p w:rsidR="00E769B0" w:rsidRPr="004C750C" w:rsidRDefault="00E769B0" w:rsidP="004C750C">
      <w:pPr>
        <w:spacing w:after="0" w:line="360" w:lineRule="auto"/>
        <w:jc w:val="both"/>
        <w:rPr>
          <w:rFonts w:ascii="Book Antiqua" w:hAnsi="Book Antiqua" w:cs="Arial"/>
          <w:i/>
          <w:sz w:val="24"/>
          <w:szCs w:val="24"/>
          <w:lang w:val="en-US" w:eastAsia="zh-CN"/>
        </w:rPr>
      </w:pPr>
    </w:p>
    <w:p w:rsidR="004D6D57" w:rsidRPr="004C750C" w:rsidRDefault="004D6D57" w:rsidP="004C750C">
      <w:pPr>
        <w:spacing w:after="0" w:line="360" w:lineRule="auto"/>
        <w:jc w:val="both"/>
        <w:rPr>
          <w:rFonts w:ascii="Book Antiqua" w:hAnsi="Book Antiqua" w:cs="Arial"/>
          <w:b/>
          <w:i/>
          <w:sz w:val="24"/>
          <w:szCs w:val="24"/>
          <w:lang w:val="en-US"/>
        </w:rPr>
      </w:pPr>
      <w:r w:rsidRPr="004C750C">
        <w:rPr>
          <w:rFonts w:ascii="Book Antiqua" w:hAnsi="Book Antiqua" w:cs="Arial"/>
          <w:b/>
          <w:i/>
          <w:sz w:val="24"/>
          <w:szCs w:val="24"/>
          <w:lang w:val="en-US"/>
        </w:rPr>
        <w:t>InSTIs</w:t>
      </w:r>
    </w:p>
    <w:p w:rsidR="004D6D57" w:rsidRPr="004C750C" w:rsidRDefault="004D6D57"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Cobicistat (GS-9350) is a new InSTIs drug recently approved by the FDA (2012). This drug,</w:t>
      </w:r>
      <w:r w:rsidR="00D44EC2" w:rsidRPr="004C750C">
        <w:rPr>
          <w:rFonts w:ascii="Book Antiqua" w:hAnsi="Book Antiqua" w:cs="Arial"/>
          <w:sz w:val="24"/>
          <w:szCs w:val="24"/>
          <w:lang w:val="en-US"/>
        </w:rPr>
        <w:t xml:space="preserve"> similar to</w:t>
      </w:r>
      <w:r w:rsidR="00024A75" w:rsidRPr="004C750C">
        <w:rPr>
          <w:rFonts w:ascii="Book Antiqua" w:hAnsi="Book Antiqua" w:cs="Arial"/>
          <w:sz w:val="24"/>
          <w:szCs w:val="24"/>
          <w:lang w:val="en-US"/>
        </w:rPr>
        <w:t xml:space="preserve"> </w:t>
      </w:r>
      <w:r w:rsidRPr="004C750C">
        <w:rPr>
          <w:rFonts w:ascii="Book Antiqua" w:hAnsi="Book Antiqua" w:cs="Arial"/>
          <w:sz w:val="24"/>
          <w:szCs w:val="24"/>
          <w:lang w:val="en-US"/>
        </w:rPr>
        <w:t>ritonavir, has the ability to inhibit hepatic enzymes that metabolize other drugs used to treat HIV-1 infection, such as raltegravir</w:t>
      </w:r>
      <w:r w:rsidR="00B34B7A" w:rsidRPr="004C750C">
        <w:rPr>
          <w:rFonts w:ascii="Book Antiqua" w:hAnsi="Book Antiqua" w:cs="Arial"/>
          <w:sz w:val="24"/>
          <w:szCs w:val="24"/>
          <w:vertAlign w:val="superscript"/>
          <w:lang w:val="en-US"/>
        </w:rPr>
        <w:t>[190</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Cobicistat has become increasingly important, and its use has been associated with elvitegravir, permitting it to have higher blood concentrations with </w:t>
      </w:r>
      <w:r w:rsidR="00C419EA" w:rsidRPr="004C750C">
        <w:rPr>
          <w:rFonts w:ascii="Book Antiqua" w:hAnsi="Book Antiqua" w:cs="Arial"/>
          <w:sz w:val="24"/>
          <w:szCs w:val="24"/>
          <w:lang w:val="en-US"/>
        </w:rPr>
        <w:t xml:space="preserve">the </w:t>
      </w:r>
      <w:r w:rsidRPr="004C750C">
        <w:rPr>
          <w:rFonts w:ascii="Book Antiqua" w:hAnsi="Book Antiqua" w:cs="Arial"/>
          <w:sz w:val="24"/>
          <w:szCs w:val="24"/>
          <w:lang w:val="en-US"/>
        </w:rPr>
        <w:t xml:space="preserve">use of smaller doses, which theoretically allows for greater suppression of viral replication </w:t>
      </w:r>
      <w:r w:rsidR="00C419EA" w:rsidRPr="004C750C">
        <w:rPr>
          <w:rFonts w:ascii="Book Antiqua" w:hAnsi="Book Antiqua" w:cs="Arial"/>
          <w:sz w:val="24"/>
          <w:szCs w:val="24"/>
          <w:lang w:val="en-US"/>
        </w:rPr>
        <w:t xml:space="preserve">when used with </w:t>
      </w:r>
      <w:r w:rsidRPr="004C750C">
        <w:rPr>
          <w:rFonts w:ascii="Book Antiqua" w:hAnsi="Book Antiqua" w:cs="Arial"/>
          <w:sz w:val="24"/>
          <w:szCs w:val="24"/>
          <w:lang w:val="en-US"/>
        </w:rPr>
        <w:t>elvitegravir,</w:t>
      </w:r>
      <w:r w:rsidR="00C419EA" w:rsidRPr="004C750C">
        <w:rPr>
          <w:rFonts w:ascii="Book Antiqua" w:hAnsi="Book Antiqua" w:cs="Arial"/>
          <w:sz w:val="24"/>
          <w:szCs w:val="24"/>
          <w:lang w:val="en-US"/>
        </w:rPr>
        <w:t xml:space="preserve"> and</w:t>
      </w:r>
      <w:r w:rsidRPr="004C750C">
        <w:rPr>
          <w:rFonts w:ascii="Book Antiqua" w:hAnsi="Book Antiqua" w:cs="Arial"/>
          <w:sz w:val="24"/>
          <w:szCs w:val="24"/>
          <w:lang w:val="en-US"/>
        </w:rPr>
        <w:t xml:space="preserve"> with fewer adverse effects. Cobicistat has been employed in combination with elvitegravir/emtricitab</w:t>
      </w:r>
      <w:r w:rsidR="00C510E4" w:rsidRPr="004C750C">
        <w:rPr>
          <w:rFonts w:ascii="Book Antiqua" w:hAnsi="Book Antiqua" w:cs="Arial"/>
          <w:sz w:val="24"/>
          <w:szCs w:val="24"/>
          <w:lang w:val="en-US"/>
        </w:rPr>
        <w:t>ine/tenofovir (Stribild</w:t>
      </w:r>
      <w:r w:rsidR="00C510E4" w:rsidRPr="004C750C">
        <w:rPr>
          <w:rFonts w:ascii="Book Antiqua" w:hAnsi="Book Antiqua" w:cs="Arial"/>
          <w:sz w:val="24"/>
          <w:szCs w:val="24"/>
          <w:vertAlign w:val="superscript"/>
          <w:lang w:val="en-US"/>
        </w:rPr>
        <w:t>®</w:t>
      </w:r>
      <w:r w:rsidR="00C510E4" w:rsidRPr="004C750C">
        <w:rPr>
          <w:rFonts w:ascii="Book Antiqua" w:hAnsi="Book Antiqua" w:cs="Arial"/>
          <w:sz w:val="24"/>
          <w:szCs w:val="24"/>
          <w:lang w:val="en-US"/>
        </w:rPr>
        <w:t>)</w:t>
      </w:r>
      <w:r w:rsidR="00B34B7A" w:rsidRPr="004C750C">
        <w:rPr>
          <w:rFonts w:ascii="Book Antiqua" w:hAnsi="Book Antiqua" w:cs="Arial"/>
          <w:sz w:val="24"/>
          <w:szCs w:val="24"/>
          <w:vertAlign w:val="superscript"/>
          <w:lang w:val="en-US"/>
        </w:rPr>
        <w:t>[190</w:t>
      </w:r>
      <w:r w:rsidR="00C510E4" w:rsidRPr="004C750C">
        <w:rPr>
          <w:rFonts w:ascii="Book Antiqua" w:hAnsi="Book Antiqua" w:cs="Arial"/>
          <w:sz w:val="24"/>
          <w:szCs w:val="24"/>
          <w:vertAlign w:val="superscript"/>
          <w:lang w:val="en-US"/>
        </w:rPr>
        <w:t>,</w:t>
      </w:r>
      <w:r w:rsidR="00B34B7A" w:rsidRPr="004C750C">
        <w:rPr>
          <w:rFonts w:ascii="Book Antiqua" w:hAnsi="Book Antiqua" w:cs="Arial"/>
          <w:sz w:val="24"/>
          <w:szCs w:val="24"/>
          <w:vertAlign w:val="superscript"/>
          <w:lang w:val="en-US"/>
        </w:rPr>
        <w:t>191</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Cobicistat is a potent inhibitor of </w:t>
      </w:r>
      <w:hyperlink r:id="rId11" w:tooltip="Cytochrome P450" w:history="1">
        <w:r w:rsidRPr="004C750C">
          <w:rPr>
            <w:rStyle w:val="Hyperlink"/>
            <w:rFonts w:ascii="Book Antiqua" w:hAnsi="Book Antiqua" w:cs="Arial"/>
            <w:color w:val="auto"/>
            <w:sz w:val="24"/>
            <w:szCs w:val="24"/>
            <w:u w:val="none"/>
            <w:lang w:val="en-US"/>
          </w:rPr>
          <w:t>CYP</w:t>
        </w:r>
      </w:hyperlink>
      <w:r w:rsidRPr="004C750C">
        <w:rPr>
          <w:rFonts w:ascii="Book Antiqua" w:hAnsi="Book Antiqua" w:cs="Arial"/>
          <w:sz w:val="24"/>
          <w:szCs w:val="24"/>
          <w:lang w:val="en-US"/>
        </w:rPr>
        <w:t xml:space="preserve">3A enzymes </w:t>
      </w:r>
      <w:r w:rsidR="00C419EA" w:rsidRPr="004C750C">
        <w:rPr>
          <w:rFonts w:ascii="Book Antiqua" w:hAnsi="Book Antiqua" w:cs="Arial"/>
          <w:sz w:val="24"/>
          <w:szCs w:val="24"/>
          <w:lang w:val="en-US"/>
        </w:rPr>
        <w:t xml:space="preserve">that </w:t>
      </w:r>
      <w:r w:rsidRPr="004C750C">
        <w:rPr>
          <w:rFonts w:ascii="Book Antiqua" w:hAnsi="Book Antiqua" w:cs="Arial"/>
          <w:sz w:val="24"/>
          <w:szCs w:val="24"/>
          <w:lang w:val="en-US"/>
        </w:rPr>
        <w:t>concurrently affect administered medications metabolized by this pathwa</w:t>
      </w:r>
      <w:r w:rsidR="007550DB" w:rsidRPr="004C750C">
        <w:rPr>
          <w:rFonts w:ascii="Book Antiqua" w:hAnsi="Book Antiqua" w:cs="Arial"/>
          <w:sz w:val="24"/>
          <w:szCs w:val="24"/>
          <w:lang w:val="en-US"/>
        </w:rPr>
        <w:t>y. I</w:t>
      </w:r>
      <w:r w:rsidRPr="004C750C">
        <w:rPr>
          <w:rFonts w:ascii="Book Antiqua" w:hAnsi="Book Antiqua" w:cs="Arial"/>
          <w:sz w:val="24"/>
          <w:szCs w:val="24"/>
          <w:lang w:val="en-US"/>
        </w:rPr>
        <w:t xml:space="preserve">t also inhibits intestinal transport proteins, increasing the overall absorption of several drugs including atazanavir, </w:t>
      </w:r>
      <w:hyperlink r:id="rId12" w:tooltip="Darunavir" w:history="1">
        <w:r w:rsidRPr="004C750C">
          <w:rPr>
            <w:rStyle w:val="Hyperlink"/>
            <w:rFonts w:ascii="Book Antiqua" w:hAnsi="Book Antiqua" w:cs="Arial"/>
            <w:color w:val="auto"/>
            <w:sz w:val="24"/>
            <w:szCs w:val="24"/>
            <w:u w:val="none"/>
            <w:lang w:val="en-US"/>
          </w:rPr>
          <w:t>darunavir</w:t>
        </w:r>
      </w:hyperlink>
      <w:r w:rsidRPr="004C750C">
        <w:rPr>
          <w:rStyle w:val="Hyperlink"/>
          <w:rFonts w:ascii="Book Antiqua" w:hAnsi="Book Antiqua" w:cs="Arial"/>
          <w:color w:val="auto"/>
          <w:sz w:val="24"/>
          <w:szCs w:val="24"/>
          <w:u w:val="none"/>
          <w:lang w:val="en-US"/>
        </w:rPr>
        <w:t>,</w:t>
      </w:r>
      <w:r w:rsidRPr="004C750C">
        <w:rPr>
          <w:rStyle w:val="apple-converted-space"/>
          <w:rFonts w:ascii="Book Antiqua" w:hAnsi="Book Antiqua" w:cs="Arial"/>
          <w:sz w:val="24"/>
          <w:szCs w:val="24"/>
          <w:lang w:val="en-US"/>
        </w:rPr>
        <w:t> </w:t>
      </w:r>
      <w:r w:rsidRPr="004C750C">
        <w:rPr>
          <w:rFonts w:ascii="Book Antiqua" w:hAnsi="Book Antiqua" w:cs="Arial"/>
          <w:sz w:val="24"/>
          <w:szCs w:val="24"/>
          <w:lang w:val="en-US"/>
        </w:rPr>
        <w:t xml:space="preserve">and </w:t>
      </w:r>
      <w:hyperlink r:id="rId13" w:tooltip="Tenofovir alafenamide fumarate" w:history="1">
        <w:r w:rsidRPr="004C750C">
          <w:rPr>
            <w:rStyle w:val="Hyperlink"/>
            <w:rFonts w:ascii="Book Antiqua" w:hAnsi="Book Antiqua" w:cs="Arial"/>
            <w:color w:val="auto"/>
            <w:sz w:val="24"/>
            <w:szCs w:val="24"/>
            <w:u w:val="none"/>
            <w:lang w:val="en-US"/>
          </w:rPr>
          <w:t>tenofovir alafenamide fumarate</w:t>
        </w:r>
      </w:hyperlink>
      <w:r w:rsidRPr="004C750C">
        <w:rPr>
          <w:rFonts w:ascii="Book Antiqua" w:hAnsi="Book Antiqua" w:cs="Arial"/>
          <w:sz w:val="24"/>
          <w:szCs w:val="24"/>
          <w:lang w:val="en-US"/>
        </w:rPr>
        <w:t xml:space="preserve">. Phase III trials of the cobicistat-containing combination antiretroviral therapy regimens in ART-naïve patients have shown a small elevation of serum fasting lipid, with a relative increase in the levels of </w:t>
      </w:r>
      <w:r w:rsidR="007635D8" w:rsidRPr="004C750C">
        <w:rPr>
          <w:rFonts w:ascii="Book Antiqua" w:hAnsi="Book Antiqua" w:cs="Arial"/>
          <w:sz w:val="24"/>
          <w:szCs w:val="24"/>
          <w:lang w:val="en-US"/>
        </w:rPr>
        <w:t>TC</w:t>
      </w:r>
      <w:r w:rsidRPr="004C750C">
        <w:rPr>
          <w:rFonts w:ascii="Book Antiqua" w:hAnsi="Book Antiqua" w:cs="Arial"/>
          <w:sz w:val="24"/>
          <w:szCs w:val="24"/>
          <w:lang w:val="en-US"/>
        </w:rPr>
        <w:t xml:space="preserve"> and </w:t>
      </w:r>
      <w:r w:rsidR="007635D8" w:rsidRPr="004C750C">
        <w:rPr>
          <w:rFonts w:ascii="Book Antiqua" w:hAnsi="Book Antiqua" w:cs="Arial"/>
          <w:sz w:val="24"/>
          <w:szCs w:val="24"/>
          <w:lang w:val="en-US"/>
        </w:rPr>
        <w:t>TG</w:t>
      </w:r>
      <w:r w:rsidRPr="004C750C">
        <w:rPr>
          <w:rFonts w:ascii="Book Antiqua" w:hAnsi="Book Antiqua" w:cs="Arial"/>
          <w:sz w:val="24"/>
          <w:szCs w:val="24"/>
          <w:lang w:val="en-US"/>
        </w:rPr>
        <w:t>, in addition to bilirubin elevations, jaundice, nausea and diarrhea</w:t>
      </w:r>
      <w:r w:rsidR="00B34B7A" w:rsidRPr="004C750C">
        <w:rPr>
          <w:rFonts w:ascii="Book Antiqua" w:hAnsi="Book Antiqua" w:cs="Arial"/>
          <w:sz w:val="24"/>
          <w:szCs w:val="24"/>
          <w:vertAlign w:val="superscript"/>
          <w:lang w:val="en-US"/>
        </w:rPr>
        <w:t>[190-192</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Other drugs of the InSTI class are experimental, such as MK2048. </w:t>
      </w:r>
      <w:r w:rsidRPr="004C750C">
        <w:rPr>
          <w:rStyle w:val="highlight"/>
          <w:rFonts w:ascii="Book Antiqua" w:hAnsi="Book Antiqua" w:cs="Arial"/>
          <w:sz w:val="24"/>
          <w:szCs w:val="24"/>
          <w:lang w:val="en-US"/>
        </w:rPr>
        <w:t>MK-2048</w:t>
      </w:r>
      <w:r w:rsidRPr="004C750C">
        <w:rPr>
          <w:rStyle w:val="apple-converted-space"/>
          <w:rFonts w:ascii="Book Antiqua" w:hAnsi="Book Antiqua" w:cs="Arial"/>
          <w:sz w:val="24"/>
          <w:szCs w:val="24"/>
          <w:lang w:val="en-US"/>
        </w:rPr>
        <w:t> </w:t>
      </w:r>
      <w:r w:rsidRPr="004C750C">
        <w:rPr>
          <w:rFonts w:ascii="Book Antiqua" w:hAnsi="Book Antiqua" w:cs="Arial"/>
          <w:sz w:val="24"/>
          <w:szCs w:val="24"/>
          <w:lang w:val="en-US"/>
        </w:rPr>
        <w:t>represents a prototype second-generation InSTIs developed with the goal of retaining activity against viruses containing mutations associated with resistance to first-generation InSTIs (raltegravir and elvitegravir)</w:t>
      </w:r>
      <w:r w:rsidR="0088681B" w:rsidRPr="004C750C">
        <w:rPr>
          <w:rFonts w:ascii="Book Antiqua" w:hAnsi="Book Antiqua" w:cs="Arial"/>
          <w:sz w:val="24"/>
          <w:szCs w:val="24"/>
          <w:vertAlign w:val="superscript"/>
          <w:lang w:val="en-US"/>
        </w:rPr>
        <w:t>[19</w:t>
      </w:r>
      <w:r w:rsidR="00B34B7A" w:rsidRPr="004C750C">
        <w:rPr>
          <w:rFonts w:ascii="Book Antiqua" w:hAnsi="Book Antiqua" w:cs="Arial"/>
          <w:sz w:val="24"/>
          <w:szCs w:val="24"/>
          <w:vertAlign w:val="superscript"/>
          <w:lang w:val="en-US"/>
        </w:rPr>
        <w:t>3</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It is a drug that acts by inhibiting </w:t>
      </w:r>
      <w:r w:rsidR="00C419EA" w:rsidRPr="004C750C">
        <w:rPr>
          <w:rFonts w:ascii="Book Antiqua" w:hAnsi="Book Antiqua" w:cs="Arial"/>
          <w:sz w:val="24"/>
          <w:szCs w:val="24"/>
          <w:lang w:val="en-US"/>
        </w:rPr>
        <w:t xml:space="preserve">the </w:t>
      </w:r>
      <w:r w:rsidRPr="004C750C">
        <w:rPr>
          <w:rFonts w:ascii="Book Antiqua" w:hAnsi="Book Antiqua" w:cs="Arial"/>
          <w:sz w:val="24"/>
          <w:szCs w:val="24"/>
          <w:lang w:val="en-US"/>
        </w:rPr>
        <w:t>integrase enzyme four times longer and shows superior efficacy to raltegravir. Additionally, it is being investigated for use as part of</w:t>
      </w:r>
      <w:r w:rsidR="00406B49" w:rsidRPr="004C750C">
        <w:rPr>
          <w:rFonts w:ascii="Book Antiqua" w:hAnsi="Book Antiqua" w:cs="Arial"/>
          <w:sz w:val="24"/>
          <w:szCs w:val="24"/>
          <w:lang w:val="en-US"/>
        </w:rPr>
        <w:t xml:space="preserve"> a</w:t>
      </w:r>
      <w:r w:rsidRPr="004C750C">
        <w:rPr>
          <w:rStyle w:val="apple-converted-space"/>
          <w:rFonts w:ascii="Book Antiqua" w:hAnsi="Book Antiqua" w:cs="Arial"/>
          <w:sz w:val="24"/>
          <w:szCs w:val="24"/>
          <w:lang w:val="en-US"/>
        </w:rPr>
        <w:t> </w:t>
      </w:r>
      <w:hyperlink r:id="rId14" w:tooltip="Pre-exposure prophylaxis" w:history="1">
        <w:r w:rsidRPr="004C750C">
          <w:rPr>
            <w:rStyle w:val="Hyperlink"/>
            <w:rFonts w:ascii="Book Antiqua" w:hAnsi="Book Antiqua" w:cs="Arial"/>
            <w:color w:val="auto"/>
            <w:sz w:val="24"/>
            <w:szCs w:val="24"/>
            <w:u w:val="none"/>
            <w:lang w:val="en-US"/>
          </w:rPr>
          <w:t>pre-exposure prophylaxis</w:t>
        </w:r>
      </w:hyperlink>
      <w:r w:rsidRPr="004C750C">
        <w:rPr>
          <w:rStyle w:val="apple-converted-space"/>
          <w:rFonts w:ascii="Book Antiqua" w:hAnsi="Book Antiqua" w:cs="Arial"/>
          <w:sz w:val="24"/>
          <w:szCs w:val="24"/>
          <w:lang w:val="en-US"/>
        </w:rPr>
        <w:t> </w:t>
      </w:r>
      <w:r w:rsidRPr="004C750C">
        <w:rPr>
          <w:rFonts w:ascii="Book Antiqua" w:hAnsi="Book Antiqua" w:cs="Arial"/>
          <w:sz w:val="24"/>
          <w:szCs w:val="24"/>
          <w:lang w:val="en-US"/>
        </w:rPr>
        <w:t>(PrEP)</w:t>
      </w:r>
      <w:r w:rsidR="00B34B7A" w:rsidRPr="004C750C">
        <w:rPr>
          <w:rFonts w:ascii="Book Antiqua" w:hAnsi="Book Antiqua" w:cs="Arial"/>
          <w:sz w:val="24"/>
          <w:szCs w:val="24"/>
          <w:vertAlign w:val="superscript"/>
          <w:lang w:val="en-US"/>
        </w:rPr>
        <w:t>[193,194</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r w:rsidRPr="004C750C">
        <w:rPr>
          <w:rStyle w:val="apple-converted-space"/>
          <w:rFonts w:ascii="Book Antiqua" w:hAnsi="Book Antiqua" w:cs="Arial"/>
          <w:sz w:val="24"/>
          <w:szCs w:val="24"/>
          <w:lang w:val="en-US"/>
        </w:rPr>
        <w:t xml:space="preserve"> </w:t>
      </w:r>
      <w:r w:rsidRPr="004C750C">
        <w:rPr>
          <w:rFonts w:ascii="Book Antiqua" w:hAnsi="Book Antiqua" w:cs="Arial"/>
          <w:bCs/>
          <w:sz w:val="24"/>
          <w:szCs w:val="24"/>
          <w:lang w:val="en-US"/>
        </w:rPr>
        <w:t xml:space="preserve">BI 224436 </w:t>
      </w:r>
      <w:r w:rsidRPr="004C750C">
        <w:rPr>
          <w:rFonts w:ascii="Book Antiqua" w:hAnsi="Book Antiqua" w:cs="Arial"/>
          <w:sz w:val="24"/>
          <w:szCs w:val="24"/>
          <w:lang w:val="en-US"/>
        </w:rPr>
        <w:t xml:space="preserve">is the first non-catalytic site </w:t>
      </w:r>
      <w:hyperlink r:id="rId15" w:tooltip="Integrase inhibitor" w:history="1">
        <w:r w:rsidRPr="004C750C">
          <w:rPr>
            <w:rStyle w:val="Hyperlink"/>
            <w:rFonts w:ascii="Book Antiqua" w:hAnsi="Book Antiqua" w:cs="Arial"/>
            <w:color w:val="auto"/>
            <w:sz w:val="24"/>
            <w:szCs w:val="24"/>
            <w:u w:val="none"/>
            <w:lang w:val="en-US"/>
          </w:rPr>
          <w:t>integrase</w:t>
        </w:r>
        <w:r w:rsidR="0031520E" w:rsidRPr="004C750C">
          <w:rPr>
            <w:rStyle w:val="Hyperlink"/>
            <w:rFonts w:ascii="Book Antiqua" w:hAnsi="Book Antiqua" w:cs="Arial"/>
            <w:color w:val="auto"/>
            <w:sz w:val="24"/>
            <w:szCs w:val="24"/>
            <w:u w:val="none"/>
            <w:lang w:val="en-US"/>
          </w:rPr>
          <w:t xml:space="preserve"> </w:t>
        </w:r>
        <w:r w:rsidRPr="004C750C">
          <w:rPr>
            <w:rStyle w:val="Hyperlink"/>
            <w:rFonts w:ascii="Book Antiqua" w:hAnsi="Book Antiqua" w:cs="Arial"/>
            <w:color w:val="auto"/>
            <w:sz w:val="24"/>
            <w:szCs w:val="24"/>
            <w:u w:val="none"/>
            <w:lang w:val="en-US"/>
          </w:rPr>
          <w:t>inhibitor</w:t>
        </w:r>
      </w:hyperlink>
      <w:r w:rsidRPr="004C750C">
        <w:rPr>
          <w:rStyle w:val="apple-converted-space"/>
          <w:rFonts w:ascii="Book Antiqua" w:hAnsi="Book Antiqua" w:cs="Arial"/>
          <w:sz w:val="24"/>
          <w:szCs w:val="24"/>
          <w:lang w:val="en-US"/>
        </w:rPr>
        <w:t> </w:t>
      </w:r>
      <w:r w:rsidRPr="004C750C">
        <w:rPr>
          <w:rFonts w:ascii="Book Antiqua" w:hAnsi="Book Antiqua" w:cs="Arial"/>
          <w:sz w:val="24"/>
          <w:szCs w:val="24"/>
          <w:lang w:val="en-US"/>
        </w:rPr>
        <w:t xml:space="preserve">(NCINI). It inhibits HIV replication </w:t>
      </w:r>
      <w:r w:rsidRPr="004C750C">
        <w:rPr>
          <w:rFonts w:ascii="Book Antiqua" w:hAnsi="Book Antiqua" w:cs="Arial"/>
          <w:i/>
          <w:sz w:val="24"/>
          <w:szCs w:val="24"/>
          <w:lang w:val="en-US"/>
        </w:rPr>
        <w:t>via</w:t>
      </w:r>
      <w:r w:rsidR="004C750C">
        <w:rPr>
          <w:rFonts w:ascii="Book Antiqua" w:hAnsi="Book Antiqua" w:cs="Arial"/>
          <w:sz w:val="24"/>
          <w:szCs w:val="24"/>
          <w:lang w:val="en-US"/>
        </w:rPr>
        <w:t xml:space="preserve"> binding to</w:t>
      </w:r>
      <w:r w:rsidR="004C750C">
        <w:rPr>
          <w:rFonts w:ascii="Book Antiqua" w:hAnsi="Book Antiqua" w:cs="Arial" w:hint="eastAsia"/>
          <w:sz w:val="24"/>
          <w:szCs w:val="24"/>
          <w:lang w:val="en-US" w:eastAsia="zh-CN"/>
        </w:rPr>
        <w:t xml:space="preserve"> </w:t>
      </w:r>
      <w:r w:rsidRPr="004C750C">
        <w:rPr>
          <w:rFonts w:ascii="Book Antiqua" w:hAnsi="Book Antiqua" w:cs="Arial"/>
          <w:sz w:val="24"/>
          <w:szCs w:val="24"/>
          <w:lang w:val="en-US"/>
        </w:rPr>
        <w:t>a</w:t>
      </w:r>
      <w:r w:rsidRPr="004C750C">
        <w:rPr>
          <w:rStyle w:val="apple-converted-space"/>
          <w:rFonts w:ascii="Book Antiqua" w:hAnsi="Book Antiqua" w:cs="Arial"/>
          <w:sz w:val="24"/>
          <w:szCs w:val="24"/>
          <w:lang w:val="en-US"/>
        </w:rPr>
        <w:t> </w:t>
      </w:r>
      <w:hyperlink r:id="rId16" w:tooltip="Conserved sequence" w:history="1">
        <w:r w:rsidRPr="004C750C">
          <w:rPr>
            <w:rStyle w:val="Hyperlink"/>
            <w:rFonts w:ascii="Book Antiqua" w:hAnsi="Book Antiqua" w:cs="Arial"/>
            <w:color w:val="auto"/>
            <w:sz w:val="24"/>
            <w:szCs w:val="24"/>
            <w:u w:val="none"/>
            <w:lang w:val="en-US"/>
          </w:rPr>
          <w:t>conserved</w:t>
        </w:r>
      </w:hyperlink>
      <w:r w:rsidRPr="004C750C">
        <w:rPr>
          <w:rStyle w:val="apple-converted-space"/>
          <w:rFonts w:ascii="Book Antiqua" w:hAnsi="Book Antiqua" w:cs="Arial"/>
          <w:sz w:val="24"/>
          <w:szCs w:val="24"/>
          <w:lang w:val="en-US"/>
        </w:rPr>
        <w:t> </w:t>
      </w:r>
      <w:hyperlink r:id="rId17" w:tooltip="Allosteric regulation" w:history="1">
        <w:r w:rsidRPr="004C750C">
          <w:rPr>
            <w:rStyle w:val="Hyperlink"/>
            <w:rFonts w:ascii="Book Antiqua" w:hAnsi="Book Antiqua" w:cs="Arial"/>
            <w:color w:val="auto"/>
            <w:sz w:val="24"/>
            <w:szCs w:val="24"/>
            <w:u w:val="none"/>
            <w:lang w:val="en-US"/>
          </w:rPr>
          <w:t>allosteric</w:t>
        </w:r>
      </w:hyperlink>
      <w:r w:rsidRPr="004C750C">
        <w:rPr>
          <w:rStyle w:val="apple-converted-space"/>
          <w:rFonts w:ascii="Book Antiqua" w:hAnsi="Book Antiqua" w:cs="Arial"/>
          <w:sz w:val="24"/>
          <w:szCs w:val="24"/>
          <w:lang w:val="en-US"/>
        </w:rPr>
        <w:t> </w:t>
      </w:r>
      <w:r w:rsidRPr="004C750C">
        <w:rPr>
          <w:rFonts w:ascii="Book Antiqua" w:hAnsi="Book Antiqua" w:cs="Arial"/>
          <w:sz w:val="24"/>
          <w:szCs w:val="24"/>
          <w:lang w:val="en-US"/>
        </w:rPr>
        <w:t>pocket of the HIV</w:t>
      </w:r>
      <w:r w:rsidRPr="004C750C">
        <w:rPr>
          <w:rStyle w:val="apple-converted-space"/>
          <w:rFonts w:ascii="Book Antiqua" w:hAnsi="Book Antiqua" w:cs="Arial"/>
          <w:sz w:val="24"/>
          <w:szCs w:val="24"/>
          <w:lang w:val="en-US"/>
        </w:rPr>
        <w:t> </w:t>
      </w:r>
      <w:hyperlink r:id="rId18" w:tooltip="Integrase" w:history="1">
        <w:r w:rsidRPr="004C750C">
          <w:rPr>
            <w:rStyle w:val="Hyperlink"/>
            <w:rFonts w:ascii="Book Antiqua" w:hAnsi="Book Antiqua" w:cs="Arial"/>
            <w:color w:val="auto"/>
            <w:sz w:val="24"/>
            <w:szCs w:val="24"/>
            <w:u w:val="none"/>
            <w:lang w:val="en-US"/>
          </w:rPr>
          <w:t>integrase</w:t>
        </w:r>
      </w:hyperlink>
      <w:r w:rsidRPr="004C750C">
        <w:rPr>
          <w:rStyle w:val="apple-converted-space"/>
          <w:rFonts w:ascii="Book Antiqua" w:hAnsi="Book Antiqua" w:cs="Arial"/>
          <w:sz w:val="24"/>
          <w:szCs w:val="24"/>
          <w:lang w:val="en-US"/>
        </w:rPr>
        <w:t> </w:t>
      </w:r>
      <w:hyperlink r:id="rId19" w:tooltip="Enzyme" w:history="1">
        <w:r w:rsidRPr="004C750C">
          <w:rPr>
            <w:rStyle w:val="Hyperlink"/>
            <w:rFonts w:ascii="Book Antiqua" w:hAnsi="Book Antiqua" w:cs="Arial"/>
            <w:color w:val="auto"/>
            <w:sz w:val="24"/>
            <w:szCs w:val="24"/>
            <w:u w:val="none"/>
            <w:lang w:val="en-US"/>
          </w:rPr>
          <w:t>enzyme</w:t>
        </w:r>
      </w:hyperlink>
      <w:r w:rsidRPr="004C750C">
        <w:rPr>
          <w:rFonts w:ascii="Book Antiqua" w:hAnsi="Book Antiqua" w:cs="Arial"/>
          <w:sz w:val="24"/>
          <w:szCs w:val="24"/>
          <w:lang w:val="en-US"/>
        </w:rPr>
        <w:t>. This makes the drug distinct in its mechanism of action compared to</w:t>
      </w:r>
      <w:r w:rsidRPr="004C750C">
        <w:rPr>
          <w:rStyle w:val="apple-converted-space"/>
          <w:rFonts w:ascii="Book Antiqua" w:hAnsi="Book Antiqua" w:cs="Arial"/>
          <w:sz w:val="24"/>
          <w:szCs w:val="24"/>
          <w:lang w:val="en-US"/>
        </w:rPr>
        <w:t> </w:t>
      </w:r>
      <w:hyperlink r:id="rId20" w:tooltip="Raltegravir" w:history="1">
        <w:r w:rsidRPr="004C750C">
          <w:rPr>
            <w:rStyle w:val="Hyperlink"/>
            <w:rFonts w:ascii="Book Antiqua" w:hAnsi="Book Antiqua" w:cs="Arial"/>
            <w:color w:val="auto"/>
            <w:sz w:val="24"/>
            <w:szCs w:val="24"/>
            <w:u w:val="none"/>
            <w:lang w:val="en-US"/>
          </w:rPr>
          <w:t>raltegravir</w:t>
        </w:r>
      </w:hyperlink>
      <w:r w:rsidRPr="004C750C">
        <w:rPr>
          <w:rStyle w:val="apple-converted-space"/>
          <w:rFonts w:ascii="Book Antiqua" w:hAnsi="Book Antiqua" w:cs="Arial"/>
          <w:sz w:val="24"/>
          <w:szCs w:val="24"/>
          <w:lang w:val="en-US"/>
        </w:rPr>
        <w:t> </w:t>
      </w:r>
      <w:r w:rsidRPr="004C750C">
        <w:rPr>
          <w:rFonts w:ascii="Book Antiqua" w:hAnsi="Book Antiqua" w:cs="Arial"/>
          <w:sz w:val="24"/>
          <w:szCs w:val="24"/>
          <w:lang w:val="en-US"/>
        </w:rPr>
        <w:t>and</w:t>
      </w:r>
      <w:r w:rsidRPr="004C750C">
        <w:rPr>
          <w:rStyle w:val="apple-converted-space"/>
          <w:rFonts w:ascii="Book Antiqua" w:hAnsi="Book Antiqua" w:cs="Arial"/>
          <w:sz w:val="24"/>
          <w:szCs w:val="24"/>
          <w:lang w:val="en-US"/>
        </w:rPr>
        <w:t> </w:t>
      </w:r>
      <w:hyperlink r:id="rId21" w:tooltip="Elvitegravir" w:history="1">
        <w:r w:rsidRPr="004C750C">
          <w:rPr>
            <w:rStyle w:val="Hyperlink"/>
            <w:rFonts w:ascii="Book Antiqua" w:hAnsi="Book Antiqua" w:cs="Arial"/>
            <w:color w:val="auto"/>
            <w:sz w:val="24"/>
            <w:szCs w:val="24"/>
            <w:u w:val="none"/>
            <w:lang w:val="en-US"/>
          </w:rPr>
          <w:t>elvitegravir</w:t>
        </w:r>
      </w:hyperlink>
      <w:r w:rsidRPr="004C750C">
        <w:rPr>
          <w:rFonts w:ascii="Book Antiqua" w:hAnsi="Book Antiqua" w:cs="Arial"/>
          <w:sz w:val="24"/>
          <w:szCs w:val="24"/>
          <w:lang w:val="en-US"/>
        </w:rPr>
        <w:t>, which bind at the</w:t>
      </w:r>
      <w:r w:rsidRPr="004C750C">
        <w:rPr>
          <w:rStyle w:val="apple-converted-space"/>
          <w:rFonts w:ascii="Book Antiqua" w:hAnsi="Book Antiqua" w:cs="Arial"/>
          <w:sz w:val="24"/>
          <w:szCs w:val="24"/>
          <w:lang w:val="en-US"/>
        </w:rPr>
        <w:t> </w:t>
      </w:r>
      <w:hyperlink r:id="rId22" w:tooltip="Active site" w:history="1">
        <w:r w:rsidRPr="004C750C">
          <w:rPr>
            <w:rStyle w:val="Hyperlink"/>
            <w:rFonts w:ascii="Book Antiqua" w:hAnsi="Book Antiqua" w:cs="Arial"/>
            <w:color w:val="auto"/>
            <w:sz w:val="24"/>
            <w:szCs w:val="24"/>
            <w:u w:val="none"/>
            <w:lang w:val="en-US"/>
          </w:rPr>
          <w:t>catalytic site</w:t>
        </w:r>
      </w:hyperlink>
      <w:r w:rsidR="00B34B7A" w:rsidRPr="004C750C">
        <w:rPr>
          <w:rStyle w:val="Hyperlink"/>
          <w:rFonts w:ascii="Book Antiqua" w:hAnsi="Book Antiqua" w:cs="Arial"/>
          <w:color w:val="auto"/>
          <w:sz w:val="24"/>
          <w:szCs w:val="24"/>
          <w:u w:val="none"/>
          <w:vertAlign w:val="superscript"/>
          <w:lang w:val="en-US"/>
        </w:rPr>
        <w:t>[195</w:t>
      </w:r>
      <w:r w:rsidR="00C510E4" w:rsidRPr="004C750C">
        <w:rPr>
          <w:rStyle w:val="Hyperlink"/>
          <w:rFonts w:ascii="Book Antiqua" w:hAnsi="Book Antiqua" w:cs="Arial"/>
          <w:color w:val="auto"/>
          <w:sz w:val="24"/>
          <w:szCs w:val="24"/>
          <w:u w:val="none"/>
          <w:vertAlign w:val="superscript"/>
          <w:lang w:val="en-US"/>
        </w:rPr>
        <w:t>,</w:t>
      </w:r>
      <w:r w:rsidR="00B34B7A" w:rsidRPr="004C750C">
        <w:rPr>
          <w:rStyle w:val="Hyperlink"/>
          <w:rFonts w:ascii="Book Antiqua" w:hAnsi="Book Antiqua" w:cs="Arial"/>
          <w:color w:val="auto"/>
          <w:sz w:val="24"/>
          <w:szCs w:val="24"/>
          <w:u w:val="none"/>
          <w:vertAlign w:val="superscript"/>
          <w:lang w:val="en-US"/>
        </w:rPr>
        <w:t>196</w:t>
      </w:r>
      <w:r w:rsidRPr="004C750C">
        <w:rPr>
          <w:rStyle w:val="Hyperlink"/>
          <w:rFonts w:ascii="Book Antiqua" w:hAnsi="Book Antiqua" w:cs="Arial"/>
          <w:color w:val="auto"/>
          <w:sz w:val="24"/>
          <w:szCs w:val="24"/>
          <w:u w:val="none"/>
          <w:vertAlign w:val="superscript"/>
          <w:lang w:val="en-US"/>
        </w:rPr>
        <w:t>]</w:t>
      </w:r>
      <w:r w:rsidRPr="004C750C">
        <w:rPr>
          <w:rFonts w:ascii="Book Antiqua" w:hAnsi="Book Antiqua" w:cs="Arial"/>
          <w:sz w:val="24"/>
          <w:szCs w:val="24"/>
          <w:lang w:val="en-US"/>
        </w:rPr>
        <w:t>. Another experimental drug is GSK744 (S/GSK1265744, Cabotegravir</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which has a structure similar to that of carbamoyl pyridone and dolutegravir. In investigational studies, the</w:t>
      </w:r>
      <w:r w:rsidR="0031520E" w:rsidRPr="004C750C">
        <w:rPr>
          <w:rFonts w:ascii="Book Antiqua" w:hAnsi="Book Antiqua" w:cs="Arial"/>
          <w:sz w:val="24"/>
          <w:szCs w:val="24"/>
          <w:lang w:val="en-US"/>
        </w:rPr>
        <w:t xml:space="preserve"> therapeutic</w:t>
      </w:r>
      <w:r w:rsidRPr="004C750C">
        <w:rPr>
          <w:rFonts w:ascii="Book Antiqua" w:hAnsi="Book Antiqua" w:cs="Arial"/>
          <w:sz w:val="24"/>
          <w:szCs w:val="24"/>
          <w:lang w:val="en-US"/>
        </w:rPr>
        <w:t xml:space="preserve"> agent has been packaged into nanoparticles</w:t>
      </w:r>
      <w:r w:rsidRPr="004C750C">
        <w:rPr>
          <w:rStyle w:val="apple-converted-space"/>
          <w:rFonts w:ascii="Book Antiqua" w:hAnsi="Book Antiqua" w:cs="Arial"/>
          <w:sz w:val="24"/>
          <w:szCs w:val="24"/>
          <w:lang w:val="en-US"/>
        </w:rPr>
        <w:t> </w:t>
      </w:r>
      <w:r w:rsidRPr="004C750C">
        <w:rPr>
          <w:rFonts w:ascii="Book Antiqua" w:hAnsi="Book Antiqua" w:cs="Arial"/>
          <w:sz w:val="24"/>
          <w:szCs w:val="24"/>
          <w:lang w:val="en-US"/>
        </w:rPr>
        <w:t>(GSK744LAP), which confer an exceptionally long</w:t>
      </w:r>
      <w:r w:rsidRPr="004C750C">
        <w:rPr>
          <w:rStyle w:val="apple-converted-space"/>
          <w:rFonts w:ascii="Book Antiqua" w:hAnsi="Book Antiqua" w:cs="Arial"/>
          <w:sz w:val="24"/>
          <w:szCs w:val="24"/>
          <w:lang w:val="en-US"/>
        </w:rPr>
        <w:t> </w:t>
      </w:r>
      <w:hyperlink r:id="rId23" w:tooltip="Half-life" w:history="1">
        <w:r w:rsidRPr="004C750C">
          <w:rPr>
            <w:rStyle w:val="Hyperlink"/>
            <w:rFonts w:ascii="Book Antiqua" w:hAnsi="Book Antiqua" w:cs="Arial"/>
            <w:color w:val="auto"/>
            <w:sz w:val="24"/>
            <w:szCs w:val="24"/>
            <w:u w:val="none"/>
            <w:lang w:val="en-US"/>
          </w:rPr>
          <w:t>half-life</w:t>
        </w:r>
      </w:hyperlink>
      <w:r w:rsidRPr="004C750C">
        <w:rPr>
          <w:rStyle w:val="apple-converted-space"/>
          <w:rFonts w:ascii="Book Antiqua" w:hAnsi="Book Antiqua" w:cs="Arial"/>
          <w:sz w:val="24"/>
          <w:szCs w:val="24"/>
          <w:lang w:val="en-US"/>
        </w:rPr>
        <w:t> </w:t>
      </w:r>
      <w:r w:rsidRPr="004C750C">
        <w:rPr>
          <w:rFonts w:ascii="Book Antiqua" w:hAnsi="Book Antiqua" w:cs="Arial"/>
          <w:sz w:val="24"/>
          <w:szCs w:val="24"/>
          <w:lang w:val="en-US"/>
        </w:rPr>
        <w:t>of 21–50 days following a single dose. In theory, this would make suppression of HIV possible when dosing as infrequently as once every three months. These drugs do not have sufficient data on their toxicity profile and/or on lipid metabolism; however, they have been previously considered to have low metabolic toxic</w:t>
      </w:r>
      <w:r w:rsidR="00C510E4" w:rsidRPr="004C750C">
        <w:rPr>
          <w:rFonts w:ascii="Book Antiqua" w:hAnsi="Book Antiqua" w:cs="Arial"/>
          <w:sz w:val="24"/>
          <w:szCs w:val="24"/>
          <w:lang w:val="en-US"/>
        </w:rPr>
        <w:t>ity</w:t>
      </w:r>
      <w:r w:rsidR="00B34B7A" w:rsidRPr="004C750C">
        <w:rPr>
          <w:rFonts w:ascii="Book Antiqua" w:hAnsi="Book Antiqua" w:cs="Arial"/>
          <w:sz w:val="24"/>
          <w:szCs w:val="24"/>
          <w:vertAlign w:val="superscript"/>
          <w:lang w:val="en-US"/>
        </w:rPr>
        <w:t>[197</w:t>
      </w:r>
      <w:r w:rsidR="00C510E4" w:rsidRPr="004C750C">
        <w:rPr>
          <w:rFonts w:ascii="Book Antiqua" w:hAnsi="Book Antiqua" w:cs="Arial"/>
          <w:sz w:val="24"/>
          <w:szCs w:val="24"/>
          <w:vertAlign w:val="superscript"/>
          <w:lang w:val="en-US"/>
        </w:rPr>
        <w:t>,</w:t>
      </w:r>
      <w:r w:rsidR="00B34B7A" w:rsidRPr="004C750C">
        <w:rPr>
          <w:rFonts w:ascii="Book Antiqua" w:hAnsi="Book Antiqua" w:cs="Arial"/>
          <w:sz w:val="24"/>
          <w:szCs w:val="24"/>
          <w:vertAlign w:val="superscript"/>
          <w:lang w:val="en-US"/>
        </w:rPr>
        <w:t>198</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p>
    <w:p w:rsidR="00231FCB" w:rsidRPr="004C750C" w:rsidRDefault="00231FCB" w:rsidP="004C750C">
      <w:pPr>
        <w:spacing w:after="0" w:line="360" w:lineRule="auto"/>
        <w:jc w:val="both"/>
        <w:rPr>
          <w:rFonts w:ascii="Book Antiqua" w:hAnsi="Book Antiqua" w:cs="Arial"/>
          <w:b/>
          <w:sz w:val="24"/>
          <w:szCs w:val="24"/>
          <w:lang w:val="en-US" w:eastAsia="zh-CN"/>
        </w:rPr>
      </w:pPr>
    </w:p>
    <w:p w:rsidR="004D6D57" w:rsidRPr="004C750C" w:rsidRDefault="00E769B0"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DIET AND LIFESTYLE</w:t>
      </w:r>
    </w:p>
    <w:p w:rsidR="004D6D57" w:rsidRPr="004C750C" w:rsidRDefault="004D6D57"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xml:space="preserve">Changes in diet and lifestyle, and the adequacy of a hypocaloric diet, are recommendations that seek to reduce the concentrations of </w:t>
      </w:r>
      <w:r w:rsidR="007635D8" w:rsidRPr="004C750C">
        <w:rPr>
          <w:rFonts w:ascii="Book Antiqua" w:hAnsi="Book Antiqua" w:cs="Arial"/>
          <w:sz w:val="24"/>
          <w:szCs w:val="24"/>
          <w:lang w:val="en-US"/>
        </w:rPr>
        <w:t>TC</w:t>
      </w:r>
      <w:r w:rsidRPr="004C750C">
        <w:rPr>
          <w:rFonts w:ascii="Book Antiqua" w:hAnsi="Book Antiqua" w:cs="Arial"/>
          <w:sz w:val="24"/>
          <w:szCs w:val="24"/>
          <w:lang w:val="en-US"/>
        </w:rPr>
        <w:t xml:space="preserve"> and its fractions, especially LDL</w:t>
      </w:r>
      <w:r w:rsidR="00B34B7A" w:rsidRPr="004C750C">
        <w:rPr>
          <w:rFonts w:ascii="Book Antiqua" w:hAnsi="Book Antiqua" w:cs="Arial"/>
          <w:sz w:val="24"/>
          <w:szCs w:val="24"/>
          <w:vertAlign w:val="superscript"/>
          <w:lang w:val="en-US"/>
        </w:rPr>
        <w:t>[199</w:t>
      </w:r>
      <w:r w:rsidR="00510243" w:rsidRPr="004C750C">
        <w:rPr>
          <w:rFonts w:ascii="Book Antiqua" w:hAnsi="Book Antiqua" w:cs="Arial"/>
          <w:sz w:val="24"/>
          <w:szCs w:val="24"/>
          <w:vertAlign w:val="superscript"/>
          <w:lang w:val="en-US"/>
        </w:rPr>
        <w:t>-201</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These changes bring benefits over short periods of time and reduce the risk for cardiovascular and atherosclerotic diseases. These recommendations are addressed to the entire population</w:t>
      </w:r>
      <w:r w:rsidR="001A24E6" w:rsidRPr="004C750C">
        <w:rPr>
          <w:rFonts w:ascii="Book Antiqua" w:hAnsi="Book Antiqua" w:cs="Arial"/>
          <w:sz w:val="24"/>
          <w:szCs w:val="24"/>
          <w:lang w:val="en-US"/>
        </w:rPr>
        <w:t>,</w:t>
      </w:r>
      <w:r w:rsidRPr="004C750C">
        <w:rPr>
          <w:rFonts w:ascii="Book Antiqua" w:hAnsi="Book Antiqua" w:cs="Arial"/>
          <w:sz w:val="24"/>
          <w:szCs w:val="24"/>
          <w:lang w:val="en-US"/>
        </w:rPr>
        <w:t xml:space="preserve"> </w:t>
      </w:r>
      <w:r w:rsidR="004544CD" w:rsidRPr="004C750C">
        <w:rPr>
          <w:rFonts w:ascii="Book Antiqua" w:hAnsi="Book Antiqua" w:cs="Arial"/>
          <w:sz w:val="24"/>
          <w:szCs w:val="24"/>
          <w:lang w:val="en-US"/>
        </w:rPr>
        <w:t>as well as</w:t>
      </w:r>
      <w:r w:rsidRPr="004C750C">
        <w:rPr>
          <w:rFonts w:ascii="Book Antiqua" w:hAnsi="Book Antiqua" w:cs="Arial"/>
          <w:sz w:val="24"/>
          <w:szCs w:val="24"/>
          <w:lang w:val="en-US"/>
        </w:rPr>
        <w:t xml:space="preserve"> HIV-1 </w:t>
      </w:r>
      <w:r w:rsidR="004544CD" w:rsidRPr="004C750C">
        <w:rPr>
          <w:rFonts w:ascii="Book Antiqua" w:hAnsi="Book Antiqua" w:cs="Arial"/>
          <w:sz w:val="24"/>
          <w:szCs w:val="24"/>
          <w:lang w:val="en-US"/>
        </w:rPr>
        <w:t xml:space="preserve">infected </w:t>
      </w:r>
      <w:r w:rsidRPr="004C750C">
        <w:rPr>
          <w:rFonts w:ascii="Book Antiqua" w:hAnsi="Book Antiqua" w:cs="Arial"/>
          <w:sz w:val="24"/>
          <w:szCs w:val="24"/>
          <w:lang w:val="en-US"/>
        </w:rPr>
        <w:t>patients</w:t>
      </w:r>
      <w:r w:rsidR="001A24E6" w:rsidRPr="004C750C">
        <w:rPr>
          <w:rFonts w:ascii="Book Antiqua" w:hAnsi="Book Antiqua" w:cs="Arial"/>
          <w:sz w:val="24"/>
          <w:szCs w:val="24"/>
          <w:lang w:val="en-US"/>
        </w:rPr>
        <w:t>,</w:t>
      </w:r>
      <w:r w:rsidRPr="004C750C">
        <w:rPr>
          <w:rFonts w:ascii="Book Antiqua" w:hAnsi="Book Antiqua" w:cs="Arial"/>
          <w:sz w:val="24"/>
          <w:szCs w:val="24"/>
          <w:lang w:val="en-US"/>
        </w:rPr>
        <w:t xml:space="preserve"> and are measures that should be applied to delay the need for lipid-lowering drugs, even before the treatment of dyslipidemia is needed</w:t>
      </w:r>
      <w:r w:rsidR="00510243" w:rsidRPr="004C750C">
        <w:rPr>
          <w:rFonts w:ascii="Book Antiqua" w:hAnsi="Book Antiqua" w:cs="Arial"/>
          <w:sz w:val="24"/>
          <w:szCs w:val="24"/>
          <w:vertAlign w:val="superscript"/>
          <w:lang w:val="en-US"/>
        </w:rPr>
        <w:t>[199-202</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Changes in diet can directly alter the levels of circulating LDL including saturated fats, cholesterol, and trans-unsaturated fats. The biggest impact comes from saturated fats, which are generally those that have a solid state at room temperature or under refrigeration. The major sources of saturated fats are meat and meat products (poultry, pork, beef, lard, and sausages), dairy (milk and cheeses), and vegetable oils (derived from palm or coconut). For an adequate daily diet, the recommended consumption is equal or &lt;</w:t>
      </w:r>
      <w:r w:rsidR="00E769B0"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7% of saturated fats, for the total daily caloric intake. Dietary cholesterol is exclusively found in animal products such as meats (particularly organ meats and tissues such as brain, kidney, and liver), egg y</w:t>
      </w:r>
      <w:r w:rsidR="00C510E4" w:rsidRPr="004C750C">
        <w:rPr>
          <w:rFonts w:ascii="Book Antiqua" w:hAnsi="Book Antiqua" w:cs="Arial"/>
          <w:sz w:val="24"/>
          <w:szCs w:val="24"/>
          <w:lang w:val="en-US"/>
        </w:rPr>
        <w:t>olks, and dairy products</w:t>
      </w:r>
      <w:r w:rsidR="00510243" w:rsidRPr="004C750C">
        <w:rPr>
          <w:rFonts w:ascii="Book Antiqua" w:hAnsi="Book Antiqua" w:cs="Arial"/>
          <w:sz w:val="24"/>
          <w:szCs w:val="24"/>
          <w:vertAlign w:val="superscript"/>
          <w:lang w:val="en-US"/>
        </w:rPr>
        <w:t>[203</w:t>
      </w:r>
      <w:r w:rsidR="00C510E4" w:rsidRPr="004C750C">
        <w:rPr>
          <w:rFonts w:ascii="Book Antiqua" w:hAnsi="Book Antiqua" w:cs="Arial"/>
          <w:sz w:val="24"/>
          <w:szCs w:val="24"/>
          <w:vertAlign w:val="superscript"/>
          <w:lang w:val="en-US"/>
        </w:rPr>
        <w:t>,</w:t>
      </w:r>
      <w:r w:rsidR="00510243" w:rsidRPr="004C750C">
        <w:rPr>
          <w:rFonts w:ascii="Book Antiqua" w:hAnsi="Book Antiqua" w:cs="Arial"/>
          <w:sz w:val="24"/>
          <w:szCs w:val="24"/>
          <w:vertAlign w:val="superscript"/>
          <w:lang w:val="en-US"/>
        </w:rPr>
        <w:t>204</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It is recommended to keep dietary cholesterol consumption to &lt;</w:t>
      </w:r>
      <w:r w:rsidR="00E769B0" w:rsidRPr="004C750C">
        <w:rPr>
          <w:rFonts w:ascii="Book Antiqua" w:hAnsi="Book Antiqua" w:cs="Arial"/>
          <w:sz w:val="24"/>
          <w:szCs w:val="24"/>
          <w:lang w:val="en-US" w:eastAsia="zh-CN"/>
        </w:rPr>
        <w:t xml:space="preserve"> </w:t>
      </w:r>
      <w:r w:rsidR="00E769B0" w:rsidRPr="004C750C">
        <w:rPr>
          <w:rFonts w:ascii="Book Antiqua" w:hAnsi="Book Antiqua" w:cs="Arial"/>
          <w:sz w:val="24"/>
          <w:szCs w:val="24"/>
          <w:lang w:val="en-US"/>
        </w:rPr>
        <w:t>200 mg/d</w:t>
      </w:r>
      <w:r w:rsidRPr="004C750C">
        <w:rPr>
          <w:rFonts w:ascii="Book Antiqua" w:hAnsi="Book Antiqua" w:cs="Arial"/>
          <w:sz w:val="24"/>
          <w:szCs w:val="24"/>
          <w:lang w:val="en-US"/>
        </w:rPr>
        <w:t>. Trans fats and unsaturated fats are found in breads and cookies, doughnuts, stick margarine, and fried foods. This type of fat is added to foods to enhance the substance or texture of the product, to replace some of the animal fats, and even to increase the shelf life of certain products. The recommendation is to keep the consumption of trans fats as low as possible. The amount of trans fat is not included in the &lt;</w:t>
      </w:r>
      <w:r w:rsidR="00E769B0"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7% of calories/day allowed from saturated fats</w:t>
      </w:r>
      <w:r w:rsidR="00FF1354" w:rsidRPr="004C750C">
        <w:rPr>
          <w:rFonts w:ascii="Book Antiqua" w:hAnsi="Book Antiqua" w:cs="Arial"/>
          <w:sz w:val="24"/>
          <w:szCs w:val="24"/>
          <w:vertAlign w:val="superscript"/>
          <w:lang w:val="en-US"/>
        </w:rPr>
        <w:t>[2</w:t>
      </w:r>
      <w:r w:rsidR="00510243" w:rsidRPr="004C750C">
        <w:rPr>
          <w:rFonts w:ascii="Book Antiqua" w:hAnsi="Book Antiqua" w:cs="Arial"/>
          <w:sz w:val="24"/>
          <w:szCs w:val="24"/>
          <w:vertAlign w:val="superscript"/>
          <w:lang w:val="en-US"/>
        </w:rPr>
        <w:t>03-205</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The consumption of unsaturated fats </w:t>
      </w:r>
      <w:r w:rsidR="002B2513" w:rsidRPr="004C750C">
        <w:rPr>
          <w:rFonts w:ascii="Book Antiqua" w:hAnsi="Book Antiqua" w:cs="Arial"/>
          <w:sz w:val="24"/>
          <w:szCs w:val="24"/>
          <w:lang w:val="en-US"/>
        </w:rPr>
        <w:t xml:space="preserve">is </w:t>
      </w:r>
      <w:r w:rsidRPr="004C750C">
        <w:rPr>
          <w:rFonts w:ascii="Book Antiqua" w:hAnsi="Book Antiqua" w:cs="Arial"/>
          <w:sz w:val="24"/>
          <w:szCs w:val="24"/>
          <w:lang w:val="en-US"/>
        </w:rPr>
        <w:t>preferred; sources include fish such as salmon, mackerel, tuna, and vegetables such as avocado, olives and olive oil and vegetable oils</w:t>
      </w:r>
      <w:r w:rsidR="00510243" w:rsidRPr="004C750C">
        <w:rPr>
          <w:rFonts w:ascii="Book Antiqua" w:hAnsi="Book Antiqua" w:cs="Arial"/>
          <w:sz w:val="24"/>
          <w:szCs w:val="24"/>
          <w:vertAlign w:val="superscript"/>
          <w:lang w:val="en-US"/>
        </w:rPr>
        <w:t>[206</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Other foods that are </w:t>
      </w:r>
      <w:r w:rsidR="00064CB8" w:rsidRPr="004C750C">
        <w:rPr>
          <w:rFonts w:ascii="Book Antiqua" w:hAnsi="Book Antiqua" w:cs="Arial"/>
          <w:sz w:val="24"/>
          <w:szCs w:val="24"/>
          <w:lang w:val="en-US"/>
        </w:rPr>
        <w:t xml:space="preserve">recommended </w:t>
      </w:r>
      <w:r w:rsidRPr="004C750C">
        <w:rPr>
          <w:rFonts w:ascii="Book Antiqua" w:hAnsi="Book Antiqua" w:cs="Arial"/>
          <w:sz w:val="24"/>
          <w:szCs w:val="24"/>
          <w:lang w:val="en-US"/>
        </w:rPr>
        <w:t>for the</w:t>
      </w:r>
      <w:r w:rsidR="00064CB8" w:rsidRPr="004C750C">
        <w:rPr>
          <w:rFonts w:ascii="Book Antiqua" w:hAnsi="Book Antiqua" w:cs="Arial"/>
          <w:sz w:val="24"/>
          <w:szCs w:val="24"/>
          <w:lang w:val="en-US"/>
        </w:rPr>
        <w:t>ir</w:t>
      </w:r>
      <w:r w:rsidRPr="004C750C">
        <w:rPr>
          <w:rFonts w:ascii="Book Antiqua" w:hAnsi="Book Antiqua" w:cs="Arial"/>
          <w:sz w:val="24"/>
          <w:szCs w:val="24"/>
          <w:lang w:val="en-US"/>
        </w:rPr>
        <w:t xml:space="preserve"> maintenance and/or lipid-lowering effects are the omega-3 fats, which are polyunsaturated fats that can lower </w:t>
      </w:r>
      <w:r w:rsidR="007635D8" w:rsidRPr="004C750C">
        <w:rPr>
          <w:rFonts w:ascii="Book Antiqua" w:hAnsi="Book Antiqua" w:cs="Arial"/>
          <w:sz w:val="24"/>
          <w:szCs w:val="24"/>
          <w:lang w:val="en-US"/>
        </w:rPr>
        <w:t>TG</w:t>
      </w:r>
      <w:r w:rsidRPr="004C750C">
        <w:rPr>
          <w:rFonts w:ascii="Book Antiqua" w:hAnsi="Book Antiqua" w:cs="Arial"/>
          <w:sz w:val="24"/>
          <w:szCs w:val="24"/>
          <w:lang w:val="en-US"/>
        </w:rPr>
        <w:t xml:space="preserve"> levels. Omega-3 fats are frequently referred to as fish oils because the most common sources are fatty fishes such as salmon, tuna, mackerel, and halibut. However, they are also found in krill and flax seed oil. The current recommendation is that 25</w:t>
      </w:r>
      <w:r w:rsidR="00E769B0" w:rsidRPr="004C750C">
        <w:rPr>
          <w:rFonts w:ascii="Book Antiqua" w:hAnsi="Book Antiqua" w:cs="Arial"/>
          <w:sz w:val="24"/>
          <w:szCs w:val="24"/>
          <w:lang w:val="en-US" w:eastAsia="zh-CN"/>
        </w:rPr>
        <w:t>%-</w:t>
      </w:r>
      <w:r w:rsidRPr="004C750C">
        <w:rPr>
          <w:rFonts w:ascii="Book Antiqua" w:hAnsi="Book Antiqua" w:cs="Arial"/>
          <w:sz w:val="24"/>
          <w:szCs w:val="24"/>
          <w:lang w:val="en-US"/>
        </w:rPr>
        <w:t>35% of daily calories can come from fat sources, including saturated fats, which should be &lt;</w:t>
      </w:r>
      <w:r w:rsidR="00E769B0"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7%</w:t>
      </w:r>
      <w:r w:rsidR="00510243" w:rsidRPr="004C750C">
        <w:rPr>
          <w:rFonts w:ascii="Book Antiqua" w:hAnsi="Book Antiqua" w:cs="Arial"/>
          <w:sz w:val="24"/>
          <w:szCs w:val="24"/>
          <w:vertAlign w:val="superscript"/>
          <w:lang w:val="en-US"/>
        </w:rPr>
        <w:t>[206</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In addition, physical activity improves cardiorespiratory function, promotes the reduction of LDL and </w:t>
      </w:r>
      <w:r w:rsidR="007635D8" w:rsidRPr="004C750C">
        <w:rPr>
          <w:rFonts w:ascii="Book Antiqua" w:hAnsi="Book Antiqua" w:cs="Arial"/>
          <w:sz w:val="24"/>
          <w:szCs w:val="24"/>
          <w:lang w:val="en-US"/>
        </w:rPr>
        <w:t>TG</w:t>
      </w:r>
      <w:r w:rsidRPr="004C750C">
        <w:rPr>
          <w:rFonts w:ascii="Book Antiqua" w:hAnsi="Book Antiqua" w:cs="Arial"/>
          <w:sz w:val="24"/>
          <w:szCs w:val="24"/>
          <w:lang w:val="en-US"/>
        </w:rPr>
        <w:t>, and decreases insulin resistance (in both uninfected and HIV-1 patients)</w:t>
      </w:r>
      <w:r w:rsidR="00510243" w:rsidRPr="004C750C">
        <w:rPr>
          <w:rFonts w:ascii="Book Antiqua" w:hAnsi="Book Antiqua" w:cs="Arial"/>
          <w:sz w:val="24"/>
          <w:szCs w:val="24"/>
          <w:vertAlign w:val="superscript"/>
          <w:lang w:val="en-US"/>
        </w:rPr>
        <w:t>[207</w:t>
      </w:r>
      <w:r w:rsidR="00C510E4" w:rsidRPr="004C750C">
        <w:rPr>
          <w:rFonts w:ascii="Book Antiqua" w:hAnsi="Book Antiqua" w:cs="Arial"/>
          <w:sz w:val="24"/>
          <w:szCs w:val="24"/>
          <w:vertAlign w:val="superscript"/>
          <w:lang w:val="en-US"/>
        </w:rPr>
        <w:t>,</w:t>
      </w:r>
      <w:r w:rsidR="00510243" w:rsidRPr="004C750C">
        <w:rPr>
          <w:rFonts w:ascii="Book Antiqua" w:hAnsi="Book Antiqua" w:cs="Arial"/>
          <w:sz w:val="24"/>
          <w:szCs w:val="24"/>
          <w:vertAlign w:val="superscript"/>
          <w:lang w:val="en-US"/>
        </w:rPr>
        <w:t>208</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Physical exercise </w:t>
      </w:r>
      <w:r w:rsidR="00064CB8" w:rsidRPr="004C750C">
        <w:rPr>
          <w:rFonts w:ascii="Book Antiqua" w:hAnsi="Book Antiqua" w:cs="Arial"/>
          <w:sz w:val="24"/>
          <w:szCs w:val="24"/>
          <w:lang w:val="en-US"/>
        </w:rPr>
        <w:t xml:space="preserve">is effective </w:t>
      </w:r>
      <w:r w:rsidRPr="004C750C">
        <w:rPr>
          <w:rFonts w:ascii="Book Antiqua" w:hAnsi="Book Antiqua" w:cs="Arial"/>
          <w:sz w:val="24"/>
          <w:szCs w:val="24"/>
          <w:lang w:val="en-US"/>
        </w:rPr>
        <w:t xml:space="preserve">in reducing </w:t>
      </w:r>
      <w:r w:rsidR="007635D8" w:rsidRPr="004C750C">
        <w:rPr>
          <w:rFonts w:ascii="Book Antiqua" w:hAnsi="Book Antiqua" w:cs="Arial"/>
          <w:sz w:val="24"/>
          <w:szCs w:val="24"/>
          <w:lang w:val="en-US"/>
        </w:rPr>
        <w:t>TC</w:t>
      </w:r>
      <w:r w:rsidRPr="004C750C">
        <w:rPr>
          <w:rFonts w:ascii="Book Antiqua" w:hAnsi="Book Antiqua" w:cs="Arial"/>
          <w:sz w:val="24"/>
          <w:szCs w:val="24"/>
          <w:lang w:val="en-US"/>
        </w:rPr>
        <w:t xml:space="preserve"> and </w:t>
      </w:r>
      <w:r w:rsidR="007635D8" w:rsidRPr="004C750C">
        <w:rPr>
          <w:rFonts w:ascii="Book Antiqua" w:hAnsi="Book Antiqua" w:cs="Arial"/>
          <w:sz w:val="24"/>
          <w:szCs w:val="24"/>
          <w:lang w:val="en-US"/>
        </w:rPr>
        <w:t>TG</w:t>
      </w:r>
      <w:r w:rsidRPr="004C750C">
        <w:rPr>
          <w:rFonts w:ascii="Book Antiqua" w:hAnsi="Book Antiqua" w:cs="Arial"/>
          <w:sz w:val="24"/>
          <w:szCs w:val="24"/>
          <w:lang w:val="en-US"/>
        </w:rPr>
        <w:t xml:space="preserve">, </w:t>
      </w:r>
      <w:r w:rsidR="00064CB8" w:rsidRPr="004C750C">
        <w:rPr>
          <w:rFonts w:ascii="Book Antiqua" w:hAnsi="Book Antiqua" w:cs="Arial"/>
          <w:sz w:val="24"/>
          <w:szCs w:val="24"/>
          <w:lang w:val="en-US"/>
        </w:rPr>
        <w:t>reducing</w:t>
      </w:r>
      <w:r w:rsidRPr="004C750C">
        <w:rPr>
          <w:rFonts w:ascii="Book Antiqua" w:hAnsi="Book Antiqua" w:cs="Arial"/>
          <w:sz w:val="24"/>
          <w:szCs w:val="24"/>
          <w:lang w:val="en-US"/>
        </w:rPr>
        <w:t xml:space="preserve"> total fat mass and increas</w:t>
      </w:r>
      <w:r w:rsidR="00064CB8" w:rsidRPr="004C750C">
        <w:rPr>
          <w:rFonts w:ascii="Book Antiqua" w:hAnsi="Book Antiqua" w:cs="Arial"/>
          <w:sz w:val="24"/>
          <w:szCs w:val="24"/>
          <w:lang w:val="en-US"/>
        </w:rPr>
        <w:t>ing</w:t>
      </w:r>
      <w:r w:rsidRPr="004C750C">
        <w:rPr>
          <w:rFonts w:ascii="Book Antiqua" w:hAnsi="Book Antiqua" w:cs="Arial"/>
          <w:sz w:val="24"/>
          <w:szCs w:val="24"/>
          <w:lang w:val="en-US"/>
        </w:rPr>
        <w:t xml:space="preserve"> muscle mass in</w:t>
      </w:r>
      <w:r w:rsidR="00064CB8" w:rsidRPr="004C750C">
        <w:rPr>
          <w:rFonts w:ascii="Book Antiqua" w:hAnsi="Book Antiqua" w:cs="Arial"/>
          <w:sz w:val="24"/>
          <w:szCs w:val="24"/>
          <w:lang w:val="en-US"/>
        </w:rPr>
        <w:t xml:space="preserve"> HIV-1</w:t>
      </w:r>
      <w:r w:rsidRPr="004C750C">
        <w:rPr>
          <w:rFonts w:ascii="Book Antiqua" w:hAnsi="Book Antiqua" w:cs="Arial"/>
          <w:sz w:val="24"/>
          <w:szCs w:val="24"/>
          <w:lang w:val="en-US"/>
        </w:rPr>
        <w:t xml:space="preserve"> infected patients</w:t>
      </w:r>
      <w:r w:rsidR="00C510E4" w:rsidRPr="004C750C">
        <w:rPr>
          <w:rFonts w:ascii="Book Antiqua" w:hAnsi="Book Antiqua" w:cs="Arial"/>
          <w:sz w:val="24"/>
          <w:szCs w:val="24"/>
          <w:lang w:val="en-US"/>
        </w:rPr>
        <w:t xml:space="preserve"> with hypertriglyceridemia</w:t>
      </w:r>
      <w:r w:rsidR="00FF1354" w:rsidRPr="004C750C">
        <w:rPr>
          <w:rFonts w:ascii="Book Antiqua" w:hAnsi="Book Antiqua" w:cs="Arial"/>
          <w:sz w:val="24"/>
          <w:szCs w:val="24"/>
          <w:vertAlign w:val="superscript"/>
          <w:lang w:val="en-US"/>
        </w:rPr>
        <w:t>[</w:t>
      </w:r>
      <w:r w:rsidR="00751B7F" w:rsidRPr="004C750C">
        <w:rPr>
          <w:rFonts w:ascii="Book Antiqua" w:hAnsi="Book Antiqua" w:cs="Arial"/>
          <w:sz w:val="24"/>
          <w:szCs w:val="24"/>
          <w:vertAlign w:val="superscript"/>
          <w:lang w:val="en-US"/>
        </w:rPr>
        <w:t>45</w:t>
      </w:r>
      <w:r w:rsidR="00510243" w:rsidRPr="004C750C">
        <w:rPr>
          <w:rFonts w:ascii="Book Antiqua" w:hAnsi="Book Antiqua" w:cs="Arial"/>
          <w:sz w:val="24"/>
          <w:szCs w:val="24"/>
          <w:vertAlign w:val="superscript"/>
          <w:lang w:val="en-US"/>
        </w:rPr>
        <w:t>,119</w:t>
      </w:r>
      <w:r w:rsidR="00C510E4" w:rsidRPr="004C750C">
        <w:rPr>
          <w:rFonts w:ascii="Book Antiqua" w:hAnsi="Book Antiqua" w:cs="Arial"/>
          <w:sz w:val="24"/>
          <w:szCs w:val="24"/>
          <w:vertAlign w:val="superscript"/>
          <w:lang w:val="en-US"/>
        </w:rPr>
        <w:t>,</w:t>
      </w:r>
      <w:r w:rsidR="00510243" w:rsidRPr="004C750C">
        <w:rPr>
          <w:rFonts w:ascii="Book Antiqua" w:hAnsi="Book Antiqua" w:cs="Arial"/>
          <w:sz w:val="24"/>
          <w:szCs w:val="24"/>
          <w:vertAlign w:val="superscript"/>
          <w:lang w:val="en-US"/>
        </w:rPr>
        <w:t>208</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Additionally, physical exercise is associated with greater cardiovascular fitness, improved muscle strength and endurance, and the reduction of depression and anxiety. In addition, </w:t>
      </w:r>
      <w:r w:rsidR="008B4DBE" w:rsidRPr="004C750C">
        <w:rPr>
          <w:rFonts w:ascii="Book Antiqua" w:hAnsi="Book Antiqua" w:cs="Arial"/>
          <w:sz w:val="24"/>
          <w:szCs w:val="24"/>
          <w:lang w:val="en-US"/>
        </w:rPr>
        <w:t xml:space="preserve">exercise lessens </w:t>
      </w:r>
      <w:r w:rsidRPr="004C750C">
        <w:rPr>
          <w:rFonts w:ascii="Book Antiqua" w:hAnsi="Book Antiqua" w:cs="Arial"/>
          <w:sz w:val="24"/>
          <w:szCs w:val="24"/>
          <w:lang w:val="en-US"/>
        </w:rPr>
        <w:t>problems resulting from lipodystrophy (dyslipidemia, insulin resistance, and osteoporosis) and cardiovascular disease</w:t>
      </w:r>
      <w:r w:rsidR="00510243" w:rsidRPr="004C750C">
        <w:rPr>
          <w:rFonts w:ascii="Book Antiqua" w:hAnsi="Book Antiqua" w:cs="Arial"/>
          <w:sz w:val="24"/>
          <w:szCs w:val="24"/>
          <w:vertAlign w:val="superscript"/>
          <w:lang w:val="en-US"/>
        </w:rPr>
        <w:t>[208-210</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However, there are several factors that can directly influence the reduction of metabolic disorders observed in seropositive patients. The common observation of gastrointestinal diseases in patients in advanced stages of infection may </w:t>
      </w:r>
      <w:r w:rsidR="002468FF" w:rsidRPr="004C750C">
        <w:rPr>
          <w:rFonts w:ascii="Book Antiqua" w:hAnsi="Book Antiqua" w:cs="Arial"/>
          <w:sz w:val="24"/>
          <w:szCs w:val="24"/>
          <w:lang w:val="en-US"/>
        </w:rPr>
        <w:t xml:space="preserve">offset </w:t>
      </w:r>
      <w:r w:rsidRPr="004C750C">
        <w:rPr>
          <w:rFonts w:ascii="Book Antiqua" w:hAnsi="Book Antiqua" w:cs="Arial"/>
          <w:sz w:val="24"/>
          <w:szCs w:val="24"/>
          <w:lang w:val="en-US"/>
        </w:rPr>
        <w:t>the positive effects of a</w:t>
      </w:r>
      <w:r w:rsidR="00C510E4" w:rsidRPr="004C750C">
        <w:rPr>
          <w:rFonts w:ascii="Book Antiqua" w:hAnsi="Book Antiqua" w:cs="Arial"/>
          <w:sz w:val="24"/>
          <w:szCs w:val="24"/>
          <w:lang w:val="en-US"/>
        </w:rPr>
        <w:t xml:space="preserve"> balanced dietary regimen</w:t>
      </w:r>
      <w:r w:rsidR="00510243" w:rsidRPr="004C750C">
        <w:rPr>
          <w:rFonts w:ascii="Book Antiqua" w:hAnsi="Book Antiqua" w:cs="Arial"/>
          <w:sz w:val="24"/>
          <w:szCs w:val="24"/>
          <w:vertAlign w:val="superscript"/>
          <w:lang w:val="en-US"/>
        </w:rPr>
        <w:t>[209</w:t>
      </w:r>
      <w:r w:rsidR="00C510E4" w:rsidRPr="004C750C">
        <w:rPr>
          <w:rFonts w:ascii="Book Antiqua" w:hAnsi="Book Antiqua" w:cs="Arial"/>
          <w:sz w:val="24"/>
          <w:szCs w:val="24"/>
          <w:vertAlign w:val="superscript"/>
          <w:lang w:val="en-US"/>
        </w:rPr>
        <w:t>,</w:t>
      </w:r>
      <w:r w:rsidR="00510243" w:rsidRPr="004C750C">
        <w:rPr>
          <w:rFonts w:ascii="Book Antiqua" w:hAnsi="Book Antiqua" w:cs="Arial"/>
          <w:sz w:val="24"/>
          <w:szCs w:val="24"/>
          <w:vertAlign w:val="superscript"/>
          <w:lang w:val="en-US"/>
        </w:rPr>
        <w:t>210</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w:t>
      </w:r>
    </w:p>
    <w:p w:rsidR="00231FCB" w:rsidRPr="004C750C" w:rsidRDefault="00231FCB" w:rsidP="004C750C">
      <w:pPr>
        <w:spacing w:after="0" w:line="360" w:lineRule="auto"/>
        <w:jc w:val="both"/>
        <w:rPr>
          <w:rFonts w:ascii="Book Antiqua" w:hAnsi="Book Antiqua" w:cs="Arial"/>
          <w:b/>
          <w:sz w:val="24"/>
          <w:szCs w:val="24"/>
          <w:lang w:val="en-US"/>
        </w:rPr>
      </w:pPr>
    </w:p>
    <w:p w:rsidR="002A2536" w:rsidRPr="004C750C" w:rsidRDefault="00E769B0"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PERSPECTIVES</w:t>
      </w:r>
    </w:p>
    <w:p w:rsidR="00FB55C1" w:rsidRPr="004C750C" w:rsidRDefault="008163D8" w:rsidP="004C750C">
      <w:pPr>
        <w:autoSpaceDE w:val="0"/>
        <w:autoSpaceDN w:val="0"/>
        <w:adjustRightInd w:val="0"/>
        <w:spacing w:after="0" w:line="360" w:lineRule="auto"/>
        <w:jc w:val="both"/>
        <w:rPr>
          <w:rFonts w:ascii="Book Antiqua" w:hAnsi="Book Antiqua" w:cs="Arial"/>
          <w:sz w:val="24"/>
          <w:szCs w:val="24"/>
          <w:lang w:val="en-US"/>
        </w:rPr>
      </w:pPr>
      <w:r w:rsidRPr="004C750C">
        <w:rPr>
          <w:rFonts w:ascii="Book Antiqua" w:hAnsi="Book Antiqua" w:cs="Arial"/>
          <w:bCs/>
          <w:sz w:val="24"/>
          <w:szCs w:val="24"/>
          <w:lang w:val="en-US" w:eastAsia="pt-BR"/>
        </w:rPr>
        <w:t>The advances in antiretroviral therapy are clear, and practical results are observed in clinical practice where HIV-1</w:t>
      </w:r>
      <w:r w:rsidR="00406862" w:rsidRPr="004C750C">
        <w:rPr>
          <w:rFonts w:ascii="Book Antiqua" w:hAnsi="Book Antiqua" w:cs="Arial"/>
          <w:bCs/>
          <w:sz w:val="24"/>
          <w:szCs w:val="24"/>
          <w:lang w:val="en-US" w:eastAsia="pt-BR"/>
        </w:rPr>
        <w:t xml:space="preserve"> infected patients</w:t>
      </w:r>
      <w:r w:rsidRPr="004C750C">
        <w:rPr>
          <w:rFonts w:ascii="Book Antiqua" w:hAnsi="Book Antiqua" w:cs="Arial"/>
          <w:bCs/>
          <w:sz w:val="24"/>
          <w:szCs w:val="24"/>
          <w:lang w:val="en-US" w:eastAsia="pt-BR"/>
        </w:rPr>
        <w:t xml:space="preserve"> enjoy a better quality of life and a higher rate of survival, something unthinkable </w:t>
      </w:r>
      <w:r w:rsidR="00206001" w:rsidRPr="004C750C">
        <w:rPr>
          <w:rFonts w:ascii="Book Antiqua" w:hAnsi="Book Antiqua" w:cs="Arial"/>
          <w:bCs/>
          <w:sz w:val="24"/>
          <w:szCs w:val="24"/>
          <w:lang w:val="en-US" w:eastAsia="pt-BR"/>
        </w:rPr>
        <w:t xml:space="preserve">upon </w:t>
      </w:r>
      <w:r w:rsidRPr="004C750C">
        <w:rPr>
          <w:rFonts w:ascii="Book Antiqua" w:hAnsi="Book Antiqua" w:cs="Arial"/>
          <w:bCs/>
          <w:sz w:val="24"/>
          <w:szCs w:val="24"/>
          <w:lang w:val="en-US" w:eastAsia="pt-BR"/>
        </w:rPr>
        <w:t>the discovery of HIV/AIDS in the early</w:t>
      </w:r>
      <w:r w:rsidR="00206001" w:rsidRPr="004C750C">
        <w:rPr>
          <w:rFonts w:ascii="Book Antiqua" w:hAnsi="Book Antiqua" w:cs="Arial"/>
          <w:bCs/>
          <w:sz w:val="24"/>
          <w:szCs w:val="24"/>
          <w:lang w:val="en-US" w:eastAsia="pt-BR"/>
        </w:rPr>
        <w:t xml:space="preserve"> 1980s</w:t>
      </w:r>
      <w:r w:rsidRPr="004C750C">
        <w:rPr>
          <w:rFonts w:ascii="Book Antiqua" w:hAnsi="Book Antiqua" w:cs="Arial"/>
          <w:bCs/>
          <w:sz w:val="24"/>
          <w:szCs w:val="24"/>
          <w:lang w:val="en-US" w:eastAsia="pt-BR"/>
        </w:rPr>
        <w:t>.</w:t>
      </w:r>
      <w:r w:rsidR="00406862" w:rsidRPr="004C750C">
        <w:rPr>
          <w:rFonts w:ascii="Book Antiqua" w:hAnsi="Book Antiqua" w:cs="Arial"/>
          <w:bCs/>
          <w:sz w:val="24"/>
          <w:szCs w:val="24"/>
          <w:lang w:val="en-US" w:eastAsia="pt-BR"/>
        </w:rPr>
        <w:t xml:space="preserve"> New challenges for cur</w:t>
      </w:r>
      <w:r w:rsidR="003E0FC4" w:rsidRPr="004C750C">
        <w:rPr>
          <w:rFonts w:ascii="Book Antiqua" w:hAnsi="Book Antiqua" w:cs="Arial"/>
          <w:bCs/>
          <w:sz w:val="24"/>
          <w:szCs w:val="24"/>
          <w:lang w:val="en-US" w:eastAsia="pt-BR"/>
        </w:rPr>
        <w:t>ing</w:t>
      </w:r>
      <w:r w:rsidR="00406862" w:rsidRPr="004C750C">
        <w:rPr>
          <w:rFonts w:ascii="Book Antiqua" w:hAnsi="Book Antiqua" w:cs="Arial"/>
          <w:bCs/>
          <w:sz w:val="24"/>
          <w:szCs w:val="24"/>
          <w:lang w:val="en-US" w:eastAsia="pt-BR"/>
        </w:rPr>
        <w:t xml:space="preserve"> HIV-1 infection continue</w:t>
      </w:r>
      <w:r w:rsidR="003E0FC4" w:rsidRPr="004C750C">
        <w:rPr>
          <w:rFonts w:ascii="Book Antiqua" w:hAnsi="Book Antiqua" w:cs="Arial"/>
          <w:bCs/>
          <w:sz w:val="24"/>
          <w:szCs w:val="24"/>
          <w:lang w:val="en-US" w:eastAsia="pt-BR"/>
        </w:rPr>
        <w:t>,</w:t>
      </w:r>
      <w:r w:rsidR="00406862" w:rsidRPr="004C750C">
        <w:rPr>
          <w:rFonts w:ascii="Book Antiqua" w:hAnsi="Book Antiqua" w:cs="Arial"/>
          <w:bCs/>
          <w:sz w:val="24"/>
          <w:szCs w:val="24"/>
          <w:lang w:val="en-US" w:eastAsia="pt-BR"/>
        </w:rPr>
        <w:t xml:space="preserve"> and different approaches are </w:t>
      </w:r>
      <w:r w:rsidR="003E0FC4" w:rsidRPr="004C750C">
        <w:rPr>
          <w:rFonts w:ascii="Book Antiqua" w:hAnsi="Book Antiqua" w:cs="Arial"/>
          <w:bCs/>
          <w:sz w:val="24"/>
          <w:szCs w:val="24"/>
          <w:lang w:val="en-US" w:eastAsia="pt-BR"/>
        </w:rPr>
        <w:t xml:space="preserve">the focus </w:t>
      </w:r>
      <w:r w:rsidR="00406862" w:rsidRPr="004C750C">
        <w:rPr>
          <w:rFonts w:ascii="Book Antiqua" w:hAnsi="Book Antiqua" w:cs="Arial"/>
          <w:bCs/>
          <w:sz w:val="24"/>
          <w:szCs w:val="24"/>
          <w:lang w:val="en-US" w:eastAsia="pt-BR"/>
        </w:rPr>
        <w:t xml:space="preserve">of several studies. The development of vaccines, the use of cell therapy, and the continuous development of new drugs </w:t>
      </w:r>
      <w:r w:rsidR="00F97351" w:rsidRPr="004C750C">
        <w:rPr>
          <w:rFonts w:ascii="Book Antiqua" w:hAnsi="Book Antiqua" w:cs="Arial"/>
          <w:bCs/>
          <w:sz w:val="24"/>
          <w:szCs w:val="24"/>
          <w:lang w:val="en-US" w:eastAsia="pt-BR"/>
        </w:rPr>
        <w:t xml:space="preserve">that are </w:t>
      </w:r>
      <w:r w:rsidR="00406862" w:rsidRPr="004C750C">
        <w:rPr>
          <w:rFonts w:ascii="Book Antiqua" w:hAnsi="Book Antiqua" w:cs="Arial"/>
          <w:bCs/>
          <w:sz w:val="24"/>
          <w:szCs w:val="24"/>
          <w:lang w:val="en-US" w:eastAsia="pt-BR"/>
        </w:rPr>
        <w:t xml:space="preserve">more effective and </w:t>
      </w:r>
      <w:r w:rsidR="00F97351" w:rsidRPr="004C750C">
        <w:rPr>
          <w:rFonts w:ascii="Book Antiqua" w:hAnsi="Book Antiqua" w:cs="Arial"/>
          <w:bCs/>
          <w:sz w:val="24"/>
          <w:szCs w:val="24"/>
          <w:lang w:val="en-US" w:eastAsia="pt-BR"/>
        </w:rPr>
        <w:t xml:space="preserve">have </w:t>
      </w:r>
      <w:r w:rsidR="00406862" w:rsidRPr="004C750C">
        <w:rPr>
          <w:rFonts w:ascii="Book Antiqua" w:hAnsi="Book Antiqua" w:cs="Arial"/>
          <w:bCs/>
          <w:sz w:val="24"/>
          <w:szCs w:val="24"/>
          <w:lang w:val="en-US" w:eastAsia="pt-BR"/>
        </w:rPr>
        <w:t xml:space="preserve">fewer side effects are obstacles that persist. Recently, </w:t>
      </w:r>
      <w:r w:rsidR="00545023" w:rsidRPr="004C750C">
        <w:rPr>
          <w:rFonts w:ascii="Book Antiqua" w:hAnsi="Book Antiqua" w:cs="Arial"/>
          <w:bCs/>
          <w:sz w:val="24"/>
          <w:szCs w:val="24"/>
          <w:lang w:val="en-US" w:eastAsia="pt-BR"/>
        </w:rPr>
        <w:t>approaches</w:t>
      </w:r>
      <w:r w:rsidR="00406862" w:rsidRPr="004C750C">
        <w:rPr>
          <w:rFonts w:ascii="Book Antiqua" w:hAnsi="Book Antiqua" w:cs="Arial"/>
          <w:bCs/>
          <w:sz w:val="24"/>
          <w:szCs w:val="24"/>
          <w:lang w:val="en-US" w:eastAsia="pt-BR"/>
        </w:rPr>
        <w:t xml:space="preserve"> </w:t>
      </w:r>
      <w:r w:rsidR="00545023" w:rsidRPr="004C750C">
        <w:rPr>
          <w:rFonts w:ascii="Book Antiqua" w:hAnsi="Book Antiqua" w:cs="Arial"/>
          <w:bCs/>
          <w:sz w:val="24"/>
          <w:szCs w:val="24"/>
          <w:lang w:val="en-US" w:eastAsia="pt-BR"/>
        </w:rPr>
        <w:t>that target</w:t>
      </w:r>
      <w:r w:rsidR="000575D1" w:rsidRPr="004C750C">
        <w:rPr>
          <w:rFonts w:ascii="Book Antiqua" w:hAnsi="Book Antiqua" w:cs="Arial"/>
          <w:bCs/>
          <w:sz w:val="24"/>
          <w:szCs w:val="24"/>
          <w:lang w:val="en-US" w:eastAsia="pt-BR"/>
        </w:rPr>
        <w:t xml:space="preserve"> the</w:t>
      </w:r>
      <w:r w:rsidR="00406862" w:rsidRPr="004C750C">
        <w:rPr>
          <w:rFonts w:ascii="Book Antiqua" w:hAnsi="Book Antiqua" w:cs="Arial"/>
          <w:bCs/>
          <w:sz w:val="24"/>
          <w:szCs w:val="24"/>
          <w:lang w:val="en-US" w:eastAsia="pt-BR"/>
        </w:rPr>
        <w:t xml:space="preserve"> intracellular trafficking of viral proteins and post-translational modifications of viral proteins have been considered as promising </w:t>
      </w:r>
      <w:r w:rsidR="00545023" w:rsidRPr="004C750C">
        <w:rPr>
          <w:rFonts w:ascii="Book Antiqua" w:hAnsi="Book Antiqua" w:cs="Arial"/>
          <w:bCs/>
          <w:sz w:val="24"/>
          <w:szCs w:val="24"/>
          <w:lang w:val="en-US" w:eastAsia="pt-BR"/>
        </w:rPr>
        <w:t>new treatments</w:t>
      </w:r>
      <w:r w:rsidR="00406862" w:rsidRPr="004C750C">
        <w:rPr>
          <w:rFonts w:ascii="Book Antiqua" w:hAnsi="Book Antiqua" w:cs="Arial"/>
          <w:bCs/>
          <w:sz w:val="24"/>
          <w:szCs w:val="24"/>
          <w:lang w:val="en-US" w:eastAsia="pt-BR"/>
        </w:rPr>
        <w:t xml:space="preserve">. </w:t>
      </w:r>
      <w:r w:rsidR="00406862" w:rsidRPr="004C750C">
        <w:rPr>
          <w:rFonts w:ascii="Book Antiqua" w:hAnsi="Book Antiqua" w:cs="Arial"/>
          <w:sz w:val="24"/>
          <w:szCs w:val="24"/>
          <w:lang w:val="en-US"/>
        </w:rPr>
        <w:t>Knowledge of the intracellular trafficking of viral proteins and the role of the polyprotein Gag of HIV-1 suggests that this process, once locked, would change the viral replication cycle by preventing formation of mature forms of the virus. Therefore, inhibitors could block viral maturation by interrupting the</w:t>
      </w:r>
      <w:r w:rsidR="00FB55C1" w:rsidRPr="004C750C">
        <w:rPr>
          <w:rFonts w:ascii="Book Antiqua" w:hAnsi="Book Antiqua" w:cs="Arial"/>
          <w:sz w:val="24"/>
          <w:szCs w:val="24"/>
          <w:lang w:val="en-US"/>
        </w:rPr>
        <w:t xml:space="preserve"> final stage of processing the G</w:t>
      </w:r>
      <w:r w:rsidR="00406862" w:rsidRPr="004C750C">
        <w:rPr>
          <w:rFonts w:ascii="Book Antiqua" w:hAnsi="Book Antiqua" w:cs="Arial"/>
          <w:sz w:val="24"/>
          <w:szCs w:val="24"/>
          <w:lang w:val="en-US"/>
        </w:rPr>
        <w:t>ag protein or by inhibiting intermolecular bond to the capsid protein</w:t>
      </w:r>
      <w:r w:rsidR="007635D8" w:rsidRPr="004C750C">
        <w:rPr>
          <w:rFonts w:ascii="Book Antiqua" w:hAnsi="Book Antiqua" w:cs="Arial"/>
          <w:sz w:val="24"/>
          <w:szCs w:val="24"/>
          <w:lang w:val="en-US"/>
        </w:rPr>
        <w:t xml:space="preserve"> </w:t>
      </w:r>
      <w:r w:rsidR="00406862" w:rsidRPr="004C750C">
        <w:rPr>
          <w:rFonts w:ascii="Book Antiqua" w:hAnsi="Book Antiqua" w:cs="Arial"/>
          <w:sz w:val="24"/>
          <w:szCs w:val="24"/>
          <w:lang w:val="en-US"/>
        </w:rPr>
        <w:t>immature.</w:t>
      </w:r>
    </w:p>
    <w:p w:rsidR="003A786F" w:rsidRPr="004C750C" w:rsidRDefault="00FB55C1" w:rsidP="004C750C">
      <w:pPr>
        <w:autoSpaceDE w:val="0"/>
        <w:autoSpaceDN w:val="0"/>
        <w:adjustRightInd w:val="0"/>
        <w:spacing w:after="0" w:line="360" w:lineRule="auto"/>
        <w:ind w:firstLineChars="100" w:firstLine="240"/>
        <w:jc w:val="both"/>
        <w:rPr>
          <w:rFonts w:ascii="Book Antiqua" w:hAnsi="Book Antiqua" w:cs="Arial"/>
          <w:sz w:val="24"/>
          <w:szCs w:val="24"/>
          <w:lang w:val="en-US"/>
        </w:rPr>
      </w:pPr>
      <w:r w:rsidRPr="004C750C">
        <w:rPr>
          <w:rFonts w:ascii="Book Antiqua" w:hAnsi="Book Antiqua" w:cs="Arial"/>
          <w:sz w:val="24"/>
          <w:szCs w:val="24"/>
          <w:lang w:val="en-US"/>
        </w:rPr>
        <w:t xml:space="preserve">This immature form, when connected to a new host cell, would suffer </w:t>
      </w:r>
      <w:r w:rsidR="007651F1" w:rsidRPr="004C750C">
        <w:rPr>
          <w:rFonts w:ascii="Book Antiqua" w:hAnsi="Book Antiqua" w:cs="Arial"/>
          <w:sz w:val="24"/>
          <w:szCs w:val="24"/>
          <w:lang w:val="en-US"/>
        </w:rPr>
        <w:t xml:space="preserve">a </w:t>
      </w:r>
      <w:r w:rsidRPr="004C750C">
        <w:rPr>
          <w:rFonts w:ascii="Book Antiqua" w:hAnsi="Book Antiqua" w:cs="Arial"/>
          <w:sz w:val="24"/>
          <w:szCs w:val="24"/>
          <w:lang w:val="en-US"/>
        </w:rPr>
        <w:t xml:space="preserve">disruption of </w:t>
      </w:r>
      <w:r w:rsidR="00490ED5" w:rsidRPr="004C750C">
        <w:rPr>
          <w:rFonts w:ascii="Book Antiqua" w:hAnsi="Book Antiqua" w:cs="Arial"/>
          <w:sz w:val="24"/>
          <w:szCs w:val="24"/>
          <w:lang w:val="en-US"/>
        </w:rPr>
        <w:t xml:space="preserve">the </w:t>
      </w:r>
      <w:r w:rsidRPr="004C750C">
        <w:rPr>
          <w:rFonts w:ascii="Book Antiqua" w:hAnsi="Book Antiqua" w:cs="Arial"/>
          <w:sz w:val="24"/>
          <w:szCs w:val="24"/>
          <w:lang w:val="en-US"/>
        </w:rPr>
        <w:t>protein structure by the action of potent intracellular factors that restrict the subsequent p</w:t>
      </w:r>
      <w:r w:rsidR="00C510E4" w:rsidRPr="004C750C">
        <w:rPr>
          <w:rFonts w:ascii="Book Antiqua" w:hAnsi="Book Antiqua" w:cs="Arial"/>
          <w:sz w:val="24"/>
          <w:szCs w:val="24"/>
          <w:lang w:val="en-US"/>
        </w:rPr>
        <w:t>hase of viral replication</w:t>
      </w:r>
      <w:r w:rsidR="00510243" w:rsidRPr="004C750C">
        <w:rPr>
          <w:rFonts w:ascii="Book Antiqua" w:hAnsi="Book Antiqua" w:cs="Arial"/>
          <w:sz w:val="24"/>
          <w:szCs w:val="24"/>
          <w:vertAlign w:val="superscript"/>
          <w:lang w:val="en-US"/>
        </w:rPr>
        <w:t>[211-213</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r w:rsidR="00024A75" w:rsidRPr="004C750C">
        <w:rPr>
          <w:rFonts w:ascii="Book Antiqua" w:hAnsi="Book Antiqua" w:cs="Arial"/>
          <w:sz w:val="24"/>
          <w:szCs w:val="24"/>
          <w:lang w:val="en-US"/>
        </w:rPr>
        <w:t>Additionally,</w:t>
      </w:r>
      <w:r w:rsidRPr="004C750C">
        <w:rPr>
          <w:rFonts w:ascii="Book Antiqua" w:hAnsi="Book Antiqua" w:cs="Arial"/>
          <w:sz w:val="24"/>
          <w:szCs w:val="24"/>
          <w:lang w:val="en-US"/>
        </w:rPr>
        <w:t xml:space="preserve"> viral </w:t>
      </w:r>
      <w:r w:rsidR="00E769B0" w:rsidRPr="004C750C">
        <w:rPr>
          <w:rFonts w:ascii="Book Antiqua" w:hAnsi="Book Antiqua" w:cs="Arial"/>
          <w:sz w:val="24"/>
          <w:szCs w:val="24"/>
          <w:lang w:val="en-US"/>
        </w:rPr>
        <w:t>PIs</w:t>
      </w:r>
      <w:r w:rsidRPr="004C750C">
        <w:rPr>
          <w:rFonts w:ascii="Book Antiqua" w:hAnsi="Book Antiqua" w:cs="Arial"/>
          <w:sz w:val="24"/>
          <w:szCs w:val="24"/>
          <w:lang w:val="en-US"/>
        </w:rPr>
        <w:t xml:space="preserve"> for HIV-1 </w:t>
      </w:r>
      <w:r w:rsidR="00D60200" w:rsidRPr="004C750C">
        <w:rPr>
          <w:rFonts w:ascii="Book Antiqua" w:hAnsi="Book Antiqua" w:cs="Arial"/>
          <w:sz w:val="24"/>
          <w:szCs w:val="24"/>
          <w:lang w:val="en-US"/>
        </w:rPr>
        <w:t xml:space="preserve">that </w:t>
      </w:r>
      <w:r w:rsidRPr="004C750C">
        <w:rPr>
          <w:rFonts w:ascii="Book Antiqua" w:hAnsi="Book Antiqua" w:cs="Arial"/>
          <w:sz w:val="24"/>
          <w:szCs w:val="24"/>
          <w:lang w:val="en-US"/>
        </w:rPr>
        <w:t>block viral maturation have become a therapeutic target.</w:t>
      </w:r>
      <w:r w:rsidR="00D54307" w:rsidRPr="004C750C">
        <w:rPr>
          <w:rFonts w:ascii="Book Antiqua" w:hAnsi="Book Antiqua" w:cs="Arial"/>
          <w:sz w:val="24"/>
          <w:szCs w:val="24"/>
          <w:lang w:val="en-US"/>
        </w:rPr>
        <w:t xml:space="preserve"> In addition to the maturation inhibitors that inhibit the formation of viral capsids, another issue of interest is </w:t>
      </w:r>
      <w:r w:rsidR="00D60200" w:rsidRPr="004C750C">
        <w:rPr>
          <w:rFonts w:ascii="Book Antiqua" w:hAnsi="Book Antiqua" w:cs="Arial"/>
          <w:sz w:val="24"/>
          <w:szCs w:val="24"/>
          <w:lang w:val="en-US"/>
        </w:rPr>
        <w:t xml:space="preserve">that </w:t>
      </w:r>
      <w:r w:rsidR="00D54307" w:rsidRPr="004C750C">
        <w:rPr>
          <w:rFonts w:ascii="Book Antiqua" w:hAnsi="Book Antiqua" w:cs="Arial"/>
          <w:sz w:val="24"/>
          <w:szCs w:val="24"/>
          <w:lang w:val="en-US"/>
        </w:rPr>
        <w:t>the cells themselves have intrinsic antiviral factors that may inhibit or restrict viral replication. One of the major families of cell restriction factors is tripartite motif 5 (TRIM5) composed of proteins that block retroviral infection, represented by two distinct forms of TRIM: TRIM5</w:t>
      </w:r>
      <w:r w:rsidR="005011E1" w:rsidRPr="004C750C">
        <w:rPr>
          <w:rFonts w:ascii="Book Antiqua" w:hAnsi="Book Antiqua" w:cs="Arial"/>
          <w:sz w:val="24"/>
          <w:szCs w:val="24"/>
          <w:lang w:val="en-US"/>
        </w:rPr>
        <w:t>, which is</w:t>
      </w:r>
      <w:r w:rsidR="00D54307" w:rsidRPr="004C750C">
        <w:rPr>
          <w:rFonts w:ascii="Book Antiqua" w:hAnsi="Book Antiqua" w:cs="Arial"/>
          <w:sz w:val="24"/>
          <w:szCs w:val="24"/>
          <w:lang w:val="en-US"/>
        </w:rPr>
        <w:t xml:space="preserve"> expressed in most primates</w:t>
      </w:r>
      <w:r w:rsidR="00510243" w:rsidRPr="004C750C">
        <w:rPr>
          <w:rFonts w:ascii="Book Antiqua" w:hAnsi="Book Antiqua" w:cs="Arial"/>
          <w:sz w:val="24"/>
          <w:szCs w:val="24"/>
          <w:vertAlign w:val="superscript"/>
          <w:lang w:val="en-US"/>
        </w:rPr>
        <w:t>[214</w:t>
      </w:r>
      <w:r w:rsidR="00C510E4" w:rsidRPr="004C750C">
        <w:rPr>
          <w:rFonts w:ascii="Book Antiqua" w:hAnsi="Book Antiqua" w:cs="Arial"/>
          <w:sz w:val="24"/>
          <w:szCs w:val="24"/>
          <w:vertAlign w:val="superscript"/>
          <w:lang w:val="en-US"/>
        </w:rPr>
        <w:t>,</w:t>
      </w:r>
      <w:r w:rsidR="00510243" w:rsidRPr="004C750C">
        <w:rPr>
          <w:rFonts w:ascii="Book Antiqua" w:hAnsi="Book Antiqua" w:cs="Arial"/>
          <w:sz w:val="24"/>
          <w:szCs w:val="24"/>
          <w:vertAlign w:val="superscript"/>
          <w:lang w:val="en-US"/>
        </w:rPr>
        <w:t>215</w:t>
      </w:r>
      <w:r w:rsidR="00D54307" w:rsidRPr="004C750C">
        <w:rPr>
          <w:rFonts w:ascii="Book Antiqua" w:hAnsi="Book Antiqua" w:cs="Arial"/>
          <w:sz w:val="24"/>
          <w:szCs w:val="24"/>
          <w:vertAlign w:val="superscript"/>
          <w:lang w:val="en-US"/>
        </w:rPr>
        <w:t>]</w:t>
      </w:r>
      <w:r w:rsidR="005011E1" w:rsidRPr="004C750C">
        <w:rPr>
          <w:rFonts w:ascii="Book Antiqua" w:hAnsi="Book Antiqua" w:cs="Arial"/>
          <w:sz w:val="24"/>
          <w:szCs w:val="24"/>
          <w:lang w:val="en-US"/>
        </w:rPr>
        <w:t>,</w:t>
      </w:r>
      <w:r w:rsidR="00D54307" w:rsidRPr="004C750C">
        <w:rPr>
          <w:rFonts w:ascii="Book Antiqua" w:hAnsi="Book Antiqua" w:cs="Arial"/>
          <w:sz w:val="24"/>
          <w:szCs w:val="24"/>
          <w:lang w:val="en-US"/>
        </w:rPr>
        <w:t xml:space="preserve"> and TRIM-Cyp</w:t>
      </w:r>
      <w:r w:rsidR="005011E1" w:rsidRPr="004C750C">
        <w:rPr>
          <w:rFonts w:ascii="Book Antiqua" w:hAnsi="Book Antiqua" w:cs="Arial"/>
          <w:sz w:val="24"/>
          <w:szCs w:val="24"/>
          <w:lang w:val="en-US"/>
        </w:rPr>
        <w:t>, which is</w:t>
      </w:r>
      <w:r w:rsidR="00D54307" w:rsidRPr="004C750C">
        <w:rPr>
          <w:rFonts w:ascii="Book Antiqua" w:hAnsi="Book Antiqua" w:cs="Arial"/>
          <w:sz w:val="24"/>
          <w:szCs w:val="24"/>
          <w:lang w:val="en-US"/>
        </w:rPr>
        <w:t xml:space="preserve"> expressed in monkeys</w:t>
      </w:r>
      <w:r w:rsidR="00510243" w:rsidRPr="004C750C">
        <w:rPr>
          <w:rFonts w:ascii="Book Antiqua" w:hAnsi="Book Antiqua" w:cs="Arial"/>
          <w:sz w:val="24"/>
          <w:szCs w:val="24"/>
          <w:vertAlign w:val="superscript"/>
          <w:lang w:val="en-US"/>
        </w:rPr>
        <w:t>[216</w:t>
      </w:r>
      <w:r w:rsidR="00D54307" w:rsidRPr="004C750C">
        <w:rPr>
          <w:rFonts w:ascii="Book Antiqua" w:hAnsi="Book Antiqua" w:cs="Arial"/>
          <w:sz w:val="24"/>
          <w:szCs w:val="24"/>
          <w:vertAlign w:val="superscript"/>
          <w:lang w:val="en-US"/>
        </w:rPr>
        <w:t>]</w:t>
      </w:r>
      <w:r w:rsidR="00D54307" w:rsidRPr="004C750C">
        <w:rPr>
          <w:rFonts w:ascii="Book Antiqua" w:hAnsi="Book Antiqua" w:cs="Arial"/>
          <w:sz w:val="24"/>
          <w:szCs w:val="24"/>
          <w:lang w:val="en-US"/>
        </w:rPr>
        <w:t>. Both recognize the viral capsid but by different routes. The TRIM5 proteins are trimeric structures bind to one or two sites on the surface of the viral capsid and prevent the accumulation of reverse transcriptase.</w:t>
      </w:r>
      <w:r w:rsidR="00832407" w:rsidRPr="004C750C">
        <w:rPr>
          <w:rFonts w:ascii="Book Antiqua" w:hAnsi="Book Antiqua" w:cs="Arial"/>
          <w:sz w:val="24"/>
          <w:szCs w:val="24"/>
          <w:lang w:val="en-US"/>
        </w:rPr>
        <w:t xml:space="preserve"> </w:t>
      </w:r>
      <w:r w:rsidR="00D54307" w:rsidRPr="004C750C">
        <w:rPr>
          <w:rFonts w:ascii="Book Antiqua" w:hAnsi="Book Antiqua" w:cs="Arial"/>
          <w:sz w:val="24"/>
          <w:szCs w:val="24"/>
          <w:lang w:val="en-US"/>
        </w:rPr>
        <w:t>However, in late stages of viral replication, blocking is observed under some conditions of viral restriction</w:t>
      </w:r>
      <w:r w:rsidR="00510243" w:rsidRPr="004C750C">
        <w:rPr>
          <w:rFonts w:ascii="Book Antiqua" w:hAnsi="Book Antiqua" w:cs="Arial"/>
          <w:sz w:val="24"/>
          <w:szCs w:val="24"/>
          <w:vertAlign w:val="superscript"/>
          <w:lang w:val="en-US"/>
        </w:rPr>
        <w:t>[217</w:t>
      </w:r>
      <w:r w:rsidR="00D54307" w:rsidRPr="004C750C">
        <w:rPr>
          <w:rFonts w:ascii="Book Antiqua" w:hAnsi="Book Antiqua" w:cs="Arial"/>
          <w:sz w:val="24"/>
          <w:szCs w:val="24"/>
          <w:vertAlign w:val="superscript"/>
          <w:lang w:val="en-US"/>
        </w:rPr>
        <w:t>]</w:t>
      </w:r>
      <w:r w:rsidR="00D54307" w:rsidRPr="004C750C">
        <w:rPr>
          <w:rFonts w:ascii="Book Antiqua" w:hAnsi="Book Antiqua" w:cs="Arial"/>
          <w:sz w:val="24"/>
          <w:szCs w:val="24"/>
          <w:lang w:val="en-US"/>
        </w:rPr>
        <w:t>. The TRIM5</w:t>
      </w:r>
      <w:r w:rsidR="00D54307" w:rsidRPr="004C750C">
        <w:rPr>
          <w:rFonts w:ascii="Book Antiqua" w:hAnsi="Book Antiqua" w:cs="Arial"/>
          <w:sz w:val="24"/>
          <w:szCs w:val="24"/>
          <w:lang w:val="en-US"/>
        </w:rPr>
        <w:sym w:font="Symbol" w:char="F061"/>
      </w:r>
      <w:r w:rsidR="00D54307" w:rsidRPr="004C750C">
        <w:rPr>
          <w:rFonts w:ascii="Book Antiqua" w:hAnsi="Book Antiqua" w:cs="Arial"/>
          <w:sz w:val="24"/>
          <w:szCs w:val="24"/>
          <w:lang w:val="en-US"/>
        </w:rPr>
        <w:t xml:space="preserve"> is associated with an accelerated degree of dissociation of the viral capsid, suggesting that this protein and its cofactors destabilize the structure of the capsid</w:t>
      </w:r>
      <w:r w:rsidR="00FE2DDF" w:rsidRPr="004C750C">
        <w:rPr>
          <w:rFonts w:ascii="Book Antiqua" w:hAnsi="Book Antiqua" w:cs="Arial"/>
          <w:sz w:val="24"/>
          <w:szCs w:val="24"/>
          <w:lang w:val="en-US"/>
        </w:rPr>
        <w:t>[</w:t>
      </w:r>
      <w:r w:rsidR="00510243" w:rsidRPr="004C750C">
        <w:rPr>
          <w:rFonts w:ascii="Book Antiqua" w:hAnsi="Book Antiqua" w:cs="Arial"/>
          <w:sz w:val="24"/>
          <w:szCs w:val="24"/>
          <w:vertAlign w:val="superscript"/>
          <w:lang w:val="en-US"/>
        </w:rPr>
        <w:t>218</w:t>
      </w:r>
      <w:r w:rsidR="00C510E4" w:rsidRPr="004C750C">
        <w:rPr>
          <w:rFonts w:ascii="Book Antiqua" w:hAnsi="Book Antiqua" w:cs="Arial"/>
          <w:sz w:val="24"/>
          <w:szCs w:val="24"/>
          <w:vertAlign w:val="superscript"/>
          <w:lang w:val="en-US"/>
        </w:rPr>
        <w:t>,</w:t>
      </w:r>
      <w:r w:rsidR="00510243" w:rsidRPr="004C750C">
        <w:rPr>
          <w:rFonts w:ascii="Book Antiqua" w:hAnsi="Book Antiqua" w:cs="Arial"/>
          <w:sz w:val="24"/>
          <w:szCs w:val="24"/>
          <w:vertAlign w:val="superscript"/>
          <w:lang w:val="en-US"/>
        </w:rPr>
        <w:t>219</w:t>
      </w:r>
      <w:r w:rsidR="00FE2DDF" w:rsidRPr="004C750C">
        <w:rPr>
          <w:rFonts w:ascii="Book Antiqua" w:hAnsi="Book Antiqua" w:cs="Arial"/>
          <w:sz w:val="24"/>
          <w:szCs w:val="24"/>
          <w:vertAlign w:val="superscript"/>
          <w:lang w:val="en-US"/>
        </w:rPr>
        <w:t>]</w:t>
      </w:r>
      <w:r w:rsidR="00832407" w:rsidRPr="004C750C">
        <w:rPr>
          <w:rFonts w:ascii="Book Antiqua" w:hAnsi="Book Antiqua" w:cs="Arial"/>
          <w:sz w:val="24"/>
          <w:szCs w:val="24"/>
          <w:lang w:val="en-US"/>
        </w:rPr>
        <w:t>.</w:t>
      </w:r>
      <w:r w:rsidR="007E3416" w:rsidRPr="004C750C">
        <w:rPr>
          <w:rFonts w:ascii="Book Antiqua" w:hAnsi="Book Antiqua" w:cs="Arial"/>
          <w:sz w:val="24"/>
          <w:szCs w:val="24"/>
          <w:lang w:val="en-US"/>
        </w:rPr>
        <w:t xml:space="preserve"> </w:t>
      </w:r>
    </w:p>
    <w:p w:rsidR="00832407" w:rsidRPr="004C750C" w:rsidRDefault="00CA65A7" w:rsidP="004C750C">
      <w:pPr>
        <w:autoSpaceDE w:val="0"/>
        <w:autoSpaceDN w:val="0"/>
        <w:adjustRightInd w:val="0"/>
        <w:spacing w:after="0" w:line="360" w:lineRule="auto"/>
        <w:ind w:firstLineChars="100" w:firstLine="240"/>
        <w:jc w:val="both"/>
        <w:rPr>
          <w:rFonts w:ascii="Book Antiqua" w:hAnsi="Book Antiqua" w:cs="Arial"/>
          <w:bCs/>
          <w:sz w:val="24"/>
          <w:szCs w:val="24"/>
          <w:lang w:val="en-US" w:eastAsia="pt-BR"/>
        </w:rPr>
      </w:pPr>
      <w:r w:rsidRPr="004C750C">
        <w:rPr>
          <w:rFonts w:ascii="Book Antiqua" w:hAnsi="Book Antiqua" w:cs="Arial"/>
          <w:sz w:val="24"/>
          <w:szCs w:val="24"/>
          <w:lang w:val="en-US"/>
        </w:rPr>
        <w:t>Other</w:t>
      </w:r>
      <w:r w:rsidR="000E50C6" w:rsidRPr="004C750C">
        <w:rPr>
          <w:rFonts w:ascii="Book Antiqua" w:hAnsi="Book Antiqua" w:cs="Arial"/>
          <w:sz w:val="24"/>
          <w:szCs w:val="24"/>
          <w:lang w:val="en-US"/>
        </w:rPr>
        <w:t xml:space="preserve"> </w:t>
      </w:r>
      <w:r w:rsidRPr="004C750C">
        <w:rPr>
          <w:rFonts w:ascii="Book Antiqua" w:hAnsi="Book Antiqua" w:cs="Arial"/>
          <w:sz w:val="24"/>
          <w:szCs w:val="24"/>
          <w:lang w:val="en-US"/>
        </w:rPr>
        <w:t xml:space="preserve">therapeutic </w:t>
      </w:r>
      <w:r w:rsidR="000E50C6" w:rsidRPr="004C750C">
        <w:rPr>
          <w:rFonts w:ascii="Book Antiqua" w:hAnsi="Book Antiqua" w:cs="Arial"/>
          <w:sz w:val="24"/>
          <w:szCs w:val="24"/>
          <w:lang w:val="en-US"/>
        </w:rPr>
        <w:t>factor</w:t>
      </w:r>
      <w:r w:rsidRPr="004C750C">
        <w:rPr>
          <w:rFonts w:ascii="Book Antiqua" w:hAnsi="Book Antiqua" w:cs="Arial"/>
          <w:sz w:val="24"/>
          <w:szCs w:val="24"/>
          <w:lang w:val="en-US"/>
        </w:rPr>
        <w:t>s</w:t>
      </w:r>
      <w:r w:rsidR="000E50C6" w:rsidRPr="004C750C">
        <w:rPr>
          <w:rFonts w:ascii="Book Antiqua" w:hAnsi="Book Antiqua" w:cs="Arial"/>
          <w:sz w:val="24"/>
          <w:szCs w:val="24"/>
          <w:lang w:val="en-US"/>
        </w:rPr>
        <w:t xml:space="preserve"> </w:t>
      </w:r>
      <w:r w:rsidRPr="004C750C">
        <w:rPr>
          <w:rFonts w:ascii="Book Antiqua" w:hAnsi="Book Antiqua" w:cs="Arial"/>
          <w:sz w:val="24"/>
          <w:szCs w:val="24"/>
          <w:lang w:val="en-US"/>
        </w:rPr>
        <w:t>that restrict the</w:t>
      </w:r>
      <w:r w:rsidR="000E50C6" w:rsidRPr="004C750C">
        <w:rPr>
          <w:rFonts w:ascii="Book Antiqua" w:hAnsi="Book Antiqua" w:cs="Arial"/>
          <w:sz w:val="24"/>
          <w:szCs w:val="24"/>
          <w:lang w:val="en-US"/>
        </w:rPr>
        <w:t xml:space="preserve"> cellular antiviral protein APOBEC (apolipoprotein B mRNA-editing catalytic polypeptide)</w:t>
      </w:r>
      <w:r w:rsidRPr="004C750C">
        <w:rPr>
          <w:rFonts w:ascii="Book Antiqua" w:hAnsi="Book Antiqua" w:cs="Arial"/>
          <w:sz w:val="24"/>
          <w:szCs w:val="24"/>
          <w:lang w:val="en-US"/>
        </w:rPr>
        <w:t xml:space="preserve"> are</w:t>
      </w:r>
      <w:r w:rsidR="000E50C6" w:rsidRPr="004C750C">
        <w:rPr>
          <w:rFonts w:ascii="Book Antiqua" w:hAnsi="Book Antiqua" w:cs="Arial"/>
          <w:sz w:val="24"/>
          <w:szCs w:val="24"/>
          <w:lang w:val="en-US"/>
        </w:rPr>
        <w:t xml:space="preserve"> the group of cytidine deaminases, which include APOBEC1 (A1), AID, APOBEC2 (A2), a subgroup of APOBEC3 (A3) proteins in humans and recently a protein</w:t>
      </w:r>
      <w:r w:rsidRPr="004C750C">
        <w:rPr>
          <w:rFonts w:ascii="Book Antiqua" w:hAnsi="Book Antiqua" w:cs="Arial"/>
          <w:sz w:val="24"/>
          <w:szCs w:val="24"/>
          <w:lang w:val="en-US"/>
        </w:rPr>
        <w:t>, APOBEC4 (A4),</w:t>
      </w:r>
      <w:r w:rsidR="000E50C6" w:rsidRPr="004C750C">
        <w:rPr>
          <w:rFonts w:ascii="Book Antiqua" w:hAnsi="Book Antiqua" w:cs="Arial"/>
          <w:sz w:val="24"/>
          <w:szCs w:val="24"/>
          <w:lang w:val="en-US"/>
        </w:rPr>
        <w:t xml:space="preserve"> expressed in some humans. These proteins have been presented as intracellular antiviral factors capable of b</w:t>
      </w:r>
      <w:r w:rsidR="00C510E4" w:rsidRPr="004C750C">
        <w:rPr>
          <w:rFonts w:ascii="Book Antiqua" w:hAnsi="Book Antiqua" w:cs="Arial"/>
          <w:sz w:val="24"/>
          <w:szCs w:val="24"/>
          <w:lang w:val="en-US"/>
        </w:rPr>
        <w:t>locking viral replication</w:t>
      </w:r>
      <w:r w:rsidR="00510243" w:rsidRPr="004C750C">
        <w:rPr>
          <w:rFonts w:ascii="Book Antiqua" w:hAnsi="Book Antiqua" w:cs="Arial"/>
          <w:sz w:val="24"/>
          <w:szCs w:val="24"/>
          <w:vertAlign w:val="superscript"/>
          <w:lang w:val="en-US"/>
        </w:rPr>
        <w:t>[220</w:t>
      </w:r>
      <w:r w:rsidR="00C510E4" w:rsidRPr="004C750C">
        <w:rPr>
          <w:rFonts w:ascii="Book Antiqua" w:hAnsi="Book Antiqua" w:cs="Arial"/>
          <w:sz w:val="24"/>
          <w:szCs w:val="24"/>
          <w:vertAlign w:val="superscript"/>
          <w:lang w:val="en-US"/>
        </w:rPr>
        <w:t>,</w:t>
      </w:r>
      <w:r w:rsidR="00510243" w:rsidRPr="004C750C">
        <w:rPr>
          <w:rFonts w:ascii="Book Antiqua" w:hAnsi="Book Antiqua" w:cs="Arial"/>
          <w:sz w:val="24"/>
          <w:szCs w:val="24"/>
          <w:vertAlign w:val="superscript"/>
          <w:lang w:val="en-US"/>
        </w:rPr>
        <w:t>221</w:t>
      </w:r>
      <w:r w:rsidR="000E50C6" w:rsidRPr="004C750C">
        <w:rPr>
          <w:rFonts w:ascii="Book Antiqua" w:hAnsi="Book Antiqua" w:cs="Arial"/>
          <w:sz w:val="24"/>
          <w:szCs w:val="24"/>
          <w:vertAlign w:val="superscript"/>
          <w:lang w:val="en-US"/>
        </w:rPr>
        <w:t>]</w:t>
      </w:r>
      <w:r w:rsidR="000E50C6" w:rsidRPr="004C750C">
        <w:rPr>
          <w:rFonts w:ascii="Book Antiqua" w:hAnsi="Book Antiqua" w:cs="Arial"/>
          <w:sz w:val="24"/>
          <w:szCs w:val="24"/>
          <w:lang w:val="en-US"/>
        </w:rPr>
        <w:t xml:space="preserve">. The function of the </w:t>
      </w:r>
      <w:r w:rsidR="000E50C6" w:rsidRPr="004C750C">
        <w:rPr>
          <w:rFonts w:ascii="Book Antiqua" w:hAnsi="Book Antiqua" w:cs="Arial"/>
          <w:i/>
          <w:sz w:val="24"/>
          <w:szCs w:val="24"/>
          <w:lang w:val="en-US"/>
        </w:rPr>
        <w:t>A3</w:t>
      </w:r>
      <w:r w:rsidR="000E50C6" w:rsidRPr="004C750C">
        <w:rPr>
          <w:rFonts w:ascii="Book Antiqua" w:hAnsi="Book Antiqua" w:cs="Arial"/>
          <w:sz w:val="24"/>
          <w:szCs w:val="24"/>
          <w:lang w:val="en-US"/>
        </w:rPr>
        <w:t xml:space="preserve"> gene remains unknown, but </w:t>
      </w:r>
      <w:r w:rsidRPr="004C750C">
        <w:rPr>
          <w:rFonts w:ascii="Book Antiqua" w:hAnsi="Book Antiqua" w:cs="Arial"/>
          <w:sz w:val="24"/>
          <w:szCs w:val="24"/>
          <w:lang w:val="en-US"/>
        </w:rPr>
        <w:t xml:space="preserve">it </w:t>
      </w:r>
      <w:r w:rsidR="000E50C6" w:rsidRPr="004C750C">
        <w:rPr>
          <w:rFonts w:ascii="Book Antiqua" w:hAnsi="Book Antiqua" w:cs="Arial"/>
          <w:sz w:val="24"/>
          <w:szCs w:val="24"/>
          <w:lang w:val="en-US"/>
        </w:rPr>
        <w:t>has been reported that human A3G has the ability to block viral replication</w:t>
      </w:r>
      <w:r w:rsidR="00510243" w:rsidRPr="004C750C">
        <w:rPr>
          <w:rFonts w:ascii="Book Antiqua" w:hAnsi="Book Antiqua" w:cs="Arial"/>
          <w:sz w:val="24"/>
          <w:szCs w:val="24"/>
          <w:vertAlign w:val="superscript"/>
          <w:lang w:val="en-US"/>
        </w:rPr>
        <w:t>[222</w:t>
      </w:r>
      <w:r w:rsidR="000E50C6" w:rsidRPr="004C750C">
        <w:rPr>
          <w:rFonts w:ascii="Book Antiqua" w:hAnsi="Book Antiqua" w:cs="Arial"/>
          <w:sz w:val="24"/>
          <w:szCs w:val="24"/>
          <w:vertAlign w:val="superscript"/>
          <w:lang w:val="en-US"/>
        </w:rPr>
        <w:t>]</w:t>
      </w:r>
      <w:r w:rsidR="000E50C6" w:rsidRPr="004C750C">
        <w:rPr>
          <w:rFonts w:ascii="Book Antiqua" w:hAnsi="Book Antiqua" w:cs="Arial"/>
          <w:sz w:val="24"/>
          <w:szCs w:val="24"/>
          <w:lang w:val="en-US"/>
        </w:rPr>
        <w:t>.</w:t>
      </w:r>
      <w:r w:rsidR="00BF5D73" w:rsidRPr="004C750C">
        <w:rPr>
          <w:rFonts w:ascii="Book Antiqua" w:hAnsi="Book Antiqua" w:cs="Arial"/>
          <w:sz w:val="24"/>
          <w:szCs w:val="24"/>
          <w:lang w:val="en-US"/>
        </w:rPr>
        <w:t xml:space="preserve"> </w:t>
      </w:r>
      <w:r w:rsidR="000E50C6" w:rsidRPr="004C750C">
        <w:rPr>
          <w:rStyle w:val="ref2"/>
          <w:rFonts w:ascii="Book Antiqua" w:hAnsi="Book Antiqua" w:cs="Arial"/>
          <w:bCs/>
          <w:sz w:val="24"/>
          <w:szCs w:val="24"/>
          <w:lang w:val="en-US"/>
          <w:specVanish w:val="0"/>
        </w:rPr>
        <w:t>Similarly, A3G, A3B and A3F are also able to inhibit viral replication of HIV-1 and of other viruses, such as simian immunodeficiency virus (SIV) and Hepatitis B virus</w:t>
      </w:r>
      <w:r w:rsidR="00510243" w:rsidRPr="004C750C">
        <w:rPr>
          <w:rStyle w:val="ref2"/>
          <w:rFonts w:ascii="Book Antiqua" w:hAnsi="Book Antiqua" w:cs="Arial"/>
          <w:bCs/>
          <w:sz w:val="24"/>
          <w:szCs w:val="24"/>
          <w:vertAlign w:val="superscript"/>
          <w:lang w:val="en-US"/>
          <w:specVanish w:val="0"/>
        </w:rPr>
        <w:t>[221-223</w:t>
      </w:r>
      <w:r w:rsidR="002D027E" w:rsidRPr="004C750C">
        <w:rPr>
          <w:rStyle w:val="ref2"/>
          <w:rFonts w:ascii="Book Antiqua" w:hAnsi="Book Antiqua" w:cs="Arial"/>
          <w:bCs/>
          <w:sz w:val="24"/>
          <w:szCs w:val="24"/>
          <w:vertAlign w:val="superscript"/>
          <w:lang w:val="en-US"/>
          <w:specVanish w:val="0"/>
        </w:rPr>
        <w:t>]</w:t>
      </w:r>
      <w:r w:rsidR="000E50C6" w:rsidRPr="004C750C">
        <w:rPr>
          <w:rStyle w:val="ref2"/>
          <w:rFonts w:ascii="Book Antiqua" w:hAnsi="Book Antiqua" w:cs="Arial"/>
          <w:bCs/>
          <w:sz w:val="24"/>
          <w:szCs w:val="24"/>
          <w:lang w:val="en-US"/>
          <w:specVanish w:val="0"/>
        </w:rPr>
        <w:t>.</w:t>
      </w:r>
      <w:r w:rsidR="00C65016" w:rsidRPr="004C750C">
        <w:rPr>
          <w:rStyle w:val="ref2"/>
          <w:rFonts w:ascii="Book Antiqua" w:hAnsi="Book Antiqua" w:cs="Arial"/>
          <w:bCs/>
          <w:sz w:val="24"/>
          <w:szCs w:val="24"/>
          <w:lang w:val="en-US"/>
          <w:specVanish w:val="0"/>
        </w:rPr>
        <w:t xml:space="preserve"> </w:t>
      </w:r>
      <w:r w:rsidR="00C65016" w:rsidRPr="004C750C">
        <w:rPr>
          <w:rStyle w:val="ref2"/>
          <w:rFonts w:ascii="Book Antiqua" w:hAnsi="Book Antiqua" w:cs="Arial"/>
          <w:sz w:val="24"/>
          <w:szCs w:val="24"/>
          <w:lang w:val="en-US"/>
          <w:specVanish w:val="0"/>
        </w:rPr>
        <w:t xml:space="preserve">Additionally, </w:t>
      </w:r>
      <w:r w:rsidRPr="004C750C">
        <w:rPr>
          <w:rStyle w:val="ref2"/>
          <w:rFonts w:ascii="Book Antiqua" w:hAnsi="Book Antiqua" w:cs="Arial"/>
          <w:sz w:val="24"/>
          <w:szCs w:val="24"/>
          <w:lang w:val="en-US"/>
          <w:specVanish w:val="0"/>
        </w:rPr>
        <w:t xml:space="preserve">the </w:t>
      </w:r>
      <w:r w:rsidR="00C65016" w:rsidRPr="004C750C">
        <w:rPr>
          <w:rStyle w:val="ref2"/>
          <w:rFonts w:ascii="Book Antiqua" w:hAnsi="Book Antiqua" w:cs="Arial"/>
          <w:sz w:val="24"/>
          <w:szCs w:val="24"/>
          <w:lang w:val="en-US"/>
          <w:specVanish w:val="0"/>
        </w:rPr>
        <w:t>tet</w:t>
      </w:r>
      <w:r w:rsidR="006865B8" w:rsidRPr="004C750C">
        <w:rPr>
          <w:rStyle w:val="ref2"/>
          <w:rFonts w:ascii="Book Antiqua" w:hAnsi="Book Antiqua" w:cs="Arial"/>
          <w:sz w:val="24"/>
          <w:szCs w:val="24"/>
          <w:lang w:val="en-US"/>
          <w:specVanish w:val="0"/>
        </w:rPr>
        <w:t>h</w:t>
      </w:r>
      <w:r w:rsidR="00C65016" w:rsidRPr="004C750C">
        <w:rPr>
          <w:rStyle w:val="ref2"/>
          <w:rFonts w:ascii="Book Antiqua" w:hAnsi="Book Antiqua" w:cs="Arial"/>
          <w:sz w:val="24"/>
          <w:szCs w:val="24"/>
          <w:lang w:val="en-US"/>
          <w:specVanish w:val="0"/>
        </w:rPr>
        <w:t>erin protein</w:t>
      </w:r>
      <w:r w:rsidRPr="004C750C">
        <w:rPr>
          <w:rStyle w:val="ref2"/>
          <w:rFonts w:ascii="Book Antiqua" w:hAnsi="Book Antiqua" w:cs="Arial"/>
          <w:sz w:val="24"/>
          <w:szCs w:val="24"/>
          <w:lang w:val="en-US"/>
          <w:specVanish w:val="0"/>
        </w:rPr>
        <w:t>,</w:t>
      </w:r>
      <w:r w:rsidR="00C65016" w:rsidRPr="004C750C">
        <w:rPr>
          <w:rStyle w:val="ref2"/>
          <w:rFonts w:ascii="Book Antiqua" w:hAnsi="Book Antiqua" w:cs="Arial"/>
          <w:sz w:val="24"/>
          <w:szCs w:val="24"/>
          <w:lang w:val="en-US"/>
          <w:specVanish w:val="0"/>
        </w:rPr>
        <w:t xml:space="preserve"> originally described as BST-2 (CD137/HM1.24)</w:t>
      </w:r>
      <w:r w:rsidRPr="004C750C">
        <w:rPr>
          <w:rStyle w:val="ref2"/>
          <w:rFonts w:ascii="Book Antiqua" w:hAnsi="Book Antiqua" w:cs="Arial"/>
          <w:sz w:val="24"/>
          <w:szCs w:val="24"/>
          <w:lang w:val="en-US"/>
          <w:specVanish w:val="0"/>
        </w:rPr>
        <w:t>,</w:t>
      </w:r>
      <w:r w:rsidR="00C65016" w:rsidRPr="004C750C">
        <w:rPr>
          <w:rStyle w:val="ref2"/>
          <w:rFonts w:ascii="Book Antiqua" w:hAnsi="Book Antiqua" w:cs="Arial"/>
          <w:sz w:val="24"/>
          <w:szCs w:val="24"/>
          <w:lang w:val="en-US"/>
          <w:specVanish w:val="0"/>
        </w:rPr>
        <w:t xml:space="preserve"> was identified as a new surface marker of malignant B cells and characterized as </w:t>
      </w:r>
      <w:r w:rsidRPr="004C750C">
        <w:rPr>
          <w:rStyle w:val="ref2"/>
          <w:rFonts w:ascii="Book Antiqua" w:hAnsi="Book Antiqua" w:cs="Arial"/>
          <w:sz w:val="24"/>
          <w:szCs w:val="24"/>
          <w:lang w:val="en-US"/>
          <w:specVanish w:val="0"/>
        </w:rPr>
        <w:t xml:space="preserve">an </w:t>
      </w:r>
      <w:r w:rsidR="00C65016" w:rsidRPr="004C750C">
        <w:rPr>
          <w:rStyle w:val="ref2"/>
          <w:rFonts w:ascii="Book Antiqua" w:hAnsi="Book Antiqua" w:cs="Arial"/>
          <w:sz w:val="24"/>
          <w:szCs w:val="24"/>
          <w:lang w:val="en-US"/>
          <w:specVanish w:val="0"/>
        </w:rPr>
        <w:t xml:space="preserve">antiviral intrinsic factor with the ability </w:t>
      </w:r>
      <w:r w:rsidRPr="004C750C">
        <w:rPr>
          <w:rStyle w:val="ref2"/>
          <w:rFonts w:ascii="Book Antiqua" w:hAnsi="Book Antiqua" w:cs="Arial"/>
          <w:sz w:val="24"/>
          <w:szCs w:val="24"/>
          <w:lang w:val="en-US"/>
          <w:specVanish w:val="0"/>
        </w:rPr>
        <w:t xml:space="preserve">to </w:t>
      </w:r>
      <w:r w:rsidR="00C65016" w:rsidRPr="004C750C">
        <w:rPr>
          <w:rStyle w:val="ref2"/>
          <w:rFonts w:ascii="Book Antiqua" w:hAnsi="Book Antiqua" w:cs="Arial"/>
          <w:sz w:val="24"/>
          <w:szCs w:val="24"/>
          <w:lang w:val="en-US"/>
          <w:specVanish w:val="0"/>
        </w:rPr>
        <w:t>restrict the exit of viral capsids f</w:t>
      </w:r>
      <w:r w:rsidRPr="004C750C">
        <w:rPr>
          <w:rStyle w:val="ref2"/>
          <w:rFonts w:ascii="Book Antiqua" w:hAnsi="Book Antiqua" w:cs="Arial"/>
          <w:sz w:val="24"/>
          <w:szCs w:val="24"/>
          <w:lang w:val="en-US"/>
          <w:specVanish w:val="0"/>
        </w:rPr>
        <w:t>rom the</w:t>
      </w:r>
      <w:r w:rsidR="00C510E4" w:rsidRPr="004C750C">
        <w:rPr>
          <w:rStyle w:val="ref2"/>
          <w:rFonts w:ascii="Book Antiqua" w:hAnsi="Book Antiqua" w:cs="Arial"/>
          <w:sz w:val="24"/>
          <w:szCs w:val="24"/>
          <w:lang w:val="en-US"/>
          <w:specVanish w:val="0"/>
        </w:rPr>
        <w:t xml:space="preserve"> membrane surface</w:t>
      </w:r>
      <w:r w:rsidR="00510243" w:rsidRPr="004C750C">
        <w:rPr>
          <w:rStyle w:val="ref2"/>
          <w:rFonts w:ascii="Book Antiqua" w:hAnsi="Book Antiqua" w:cs="Arial"/>
          <w:sz w:val="24"/>
          <w:szCs w:val="24"/>
          <w:vertAlign w:val="superscript"/>
          <w:lang w:val="en-US"/>
          <w:specVanish w:val="0"/>
        </w:rPr>
        <w:t>[224</w:t>
      </w:r>
      <w:r w:rsidR="00C510E4" w:rsidRPr="004C750C">
        <w:rPr>
          <w:rStyle w:val="ref2"/>
          <w:rFonts w:ascii="Book Antiqua" w:hAnsi="Book Antiqua" w:cs="Arial"/>
          <w:sz w:val="24"/>
          <w:szCs w:val="24"/>
          <w:vertAlign w:val="superscript"/>
          <w:lang w:val="en-US"/>
          <w:specVanish w:val="0"/>
        </w:rPr>
        <w:t>,</w:t>
      </w:r>
      <w:r w:rsidR="00510243" w:rsidRPr="004C750C">
        <w:rPr>
          <w:rStyle w:val="ref2"/>
          <w:rFonts w:ascii="Book Antiqua" w:hAnsi="Book Antiqua" w:cs="Arial"/>
          <w:sz w:val="24"/>
          <w:szCs w:val="24"/>
          <w:vertAlign w:val="superscript"/>
          <w:lang w:val="en-US"/>
          <w:specVanish w:val="0"/>
        </w:rPr>
        <w:t>225</w:t>
      </w:r>
      <w:r w:rsidR="00C65016" w:rsidRPr="004C750C">
        <w:rPr>
          <w:rStyle w:val="ref2"/>
          <w:rFonts w:ascii="Book Antiqua" w:hAnsi="Book Antiqua" w:cs="Arial"/>
          <w:sz w:val="24"/>
          <w:szCs w:val="24"/>
          <w:vertAlign w:val="superscript"/>
          <w:lang w:val="en-US"/>
          <w:specVanish w:val="0"/>
        </w:rPr>
        <w:t>]</w:t>
      </w:r>
      <w:r w:rsidR="00C65016" w:rsidRPr="004C750C">
        <w:rPr>
          <w:rStyle w:val="ref2"/>
          <w:rFonts w:ascii="Book Antiqua" w:hAnsi="Book Antiqua" w:cs="Arial"/>
          <w:sz w:val="24"/>
          <w:szCs w:val="24"/>
          <w:lang w:val="en-US"/>
          <w:specVanish w:val="0"/>
        </w:rPr>
        <w:t>.</w:t>
      </w:r>
      <w:r w:rsidR="00706F37" w:rsidRPr="004C750C">
        <w:rPr>
          <w:rStyle w:val="ref2"/>
          <w:rFonts w:ascii="Book Antiqua" w:hAnsi="Book Antiqua" w:cs="Arial"/>
          <w:sz w:val="24"/>
          <w:szCs w:val="24"/>
          <w:lang w:val="en-US"/>
          <w:specVanish w:val="0"/>
        </w:rPr>
        <w:t xml:space="preserve"> The same protein was also recognized as a target</w:t>
      </w:r>
      <w:r w:rsidR="002F04B5" w:rsidRPr="004C750C">
        <w:rPr>
          <w:rStyle w:val="ref2"/>
          <w:rFonts w:ascii="Book Antiqua" w:hAnsi="Book Antiqua" w:cs="Arial"/>
          <w:sz w:val="24"/>
          <w:szCs w:val="24"/>
          <w:lang w:val="en-US"/>
          <w:specVanish w:val="0"/>
        </w:rPr>
        <w:t xml:space="preserve"> of the</w:t>
      </w:r>
      <w:r w:rsidR="00706F37" w:rsidRPr="004C750C">
        <w:rPr>
          <w:rStyle w:val="ref2"/>
          <w:rFonts w:ascii="Book Antiqua" w:hAnsi="Book Antiqua" w:cs="Arial"/>
          <w:sz w:val="24"/>
          <w:szCs w:val="24"/>
          <w:lang w:val="en-US"/>
          <w:specVanish w:val="0"/>
        </w:rPr>
        <w:t xml:space="preserve"> Vpu protein of HIV-1, a potential antagonist</w:t>
      </w:r>
      <w:r w:rsidR="002F04B5" w:rsidRPr="004C750C">
        <w:rPr>
          <w:rStyle w:val="ref2"/>
          <w:rFonts w:ascii="Book Antiqua" w:hAnsi="Book Antiqua" w:cs="Arial"/>
          <w:sz w:val="24"/>
          <w:szCs w:val="24"/>
          <w:lang w:val="en-US"/>
          <w:specVanish w:val="0"/>
        </w:rPr>
        <w:t xml:space="preserve"> against</w:t>
      </w:r>
      <w:r w:rsidR="00706F37" w:rsidRPr="004C750C">
        <w:rPr>
          <w:rStyle w:val="ref2"/>
          <w:rFonts w:ascii="Book Antiqua" w:hAnsi="Book Antiqua" w:cs="Arial"/>
          <w:sz w:val="24"/>
          <w:szCs w:val="24"/>
          <w:lang w:val="en-US"/>
          <w:specVanish w:val="0"/>
        </w:rPr>
        <w:t xml:space="preserve"> </w:t>
      </w:r>
      <w:r w:rsidR="006865B8" w:rsidRPr="004C750C">
        <w:rPr>
          <w:rStyle w:val="ref2"/>
          <w:rFonts w:ascii="Book Antiqua" w:hAnsi="Book Antiqua" w:cs="Arial"/>
          <w:sz w:val="24"/>
          <w:szCs w:val="24"/>
          <w:lang w:val="en-US"/>
          <w:specVanish w:val="0"/>
        </w:rPr>
        <w:t>tetherin</w:t>
      </w:r>
      <w:r w:rsidR="00510243" w:rsidRPr="004C750C">
        <w:rPr>
          <w:rStyle w:val="ref2"/>
          <w:rFonts w:ascii="Book Antiqua" w:hAnsi="Book Antiqua" w:cs="Arial"/>
          <w:sz w:val="24"/>
          <w:szCs w:val="24"/>
          <w:vertAlign w:val="superscript"/>
          <w:lang w:val="en-US"/>
          <w:specVanish w:val="0"/>
        </w:rPr>
        <w:t>[226</w:t>
      </w:r>
      <w:r w:rsidR="00C510E4" w:rsidRPr="004C750C">
        <w:rPr>
          <w:rStyle w:val="ref2"/>
          <w:rFonts w:ascii="Book Antiqua" w:hAnsi="Book Antiqua" w:cs="Arial"/>
          <w:sz w:val="24"/>
          <w:szCs w:val="24"/>
          <w:vertAlign w:val="superscript"/>
          <w:lang w:val="en-US"/>
          <w:specVanish w:val="0"/>
        </w:rPr>
        <w:t>,</w:t>
      </w:r>
      <w:r w:rsidR="00510243" w:rsidRPr="004C750C">
        <w:rPr>
          <w:rStyle w:val="ref2"/>
          <w:rFonts w:ascii="Book Antiqua" w:hAnsi="Book Antiqua" w:cs="Arial"/>
          <w:sz w:val="24"/>
          <w:szCs w:val="24"/>
          <w:vertAlign w:val="superscript"/>
          <w:lang w:val="en-US"/>
          <w:specVanish w:val="0"/>
        </w:rPr>
        <w:t>227</w:t>
      </w:r>
      <w:r w:rsidR="00706F37" w:rsidRPr="004C750C">
        <w:rPr>
          <w:rStyle w:val="ref2"/>
          <w:rFonts w:ascii="Book Antiqua" w:hAnsi="Book Antiqua" w:cs="Arial"/>
          <w:sz w:val="24"/>
          <w:szCs w:val="24"/>
          <w:vertAlign w:val="superscript"/>
          <w:lang w:val="en-US"/>
          <w:specVanish w:val="0"/>
        </w:rPr>
        <w:t>]</w:t>
      </w:r>
      <w:r w:rsidR="00706F37" w:rsidRPr="004C750C">
        <w:rPr>
          <w:rStyle w:val="ref2"/>
          <w:rFonts w:ascii="Book Antiqua" w:hAnsi="Book Antiqua" w:cs="Arial"/>
          <w:sz w:val="24"/>
          <w:szCs w:val="24"/>
          <w:lang w:val="en-US"/>
          <w:specVanish w:val="0"/>
        </w:rPr>
        <w:t>.</w:t>
      </w:r>
      <w:r w:rsidR="004F483B" w:rsidRPr="004C750C">
        <w:rPr>
          <w:rStyle w:val="ref2"/>
          <w:rFonts w:ascii="Book Antiqua" w:hAnsi="Book Antiqua" w:cs="Arial"/>
          <w:sz w:val="24"/>
          <w:szCs w:val="24"/>
          <w:lang w:val="en-US"/>
          <w:specVanish w:val="0"/>
        </w:rPr>
        <w:t xml:space="preserve"> </w:t>
      </w:r>
      <w:r w:rsidR="004F483B" w:rsidRPr="004C750C">
        <w:rPr>
          <w:rFonts w:ascii="Book Antiqua" w:hAnsi="Book Antiqua" w:cs="Arial"/>
          <w:sz w:val="24"/>
          <w:szCs w:val="24"/>
          <w:lang w:val="en-US"/>
        </w:rPr>
        <w:t xml:space="preserve">Further studies on TRIM5, tetherin and APOBEC proteins, </w:t>
      </w:r>
      <w:r w:rsidR="00A91DB9" w:rsidRPr="004C750C">
        <w:rPr>
          <w:rFonts w:ascii="Book Antiqua" w:hAnsi="Book Antiqua" w:cs="Arial"/>
          <w:sz w:val="24"/>
          <w:szCs w:val="24"/>
          <w:lang w:val="en-US"/>
        </w:rPr>
        <w:t xml:space="preserve">as well as </w:t>
      </w:r>
      <w:r w:rsidR="004F483B" w:rsidRPr="004C750C">
        <w:rPr>
          <w:rFonts w:ascii="Book Antiqua" w:hAnsi="Book Antiqua" w:cs="Arial"/>
          <w:sz w:val="24"/>
          <w:szCs w:val="24"/>
          <w:lang w:val="en-US"/>
        </w:rPr>
        <w:t xml:space="preserve">potential inhibitors of the viral capsid maturation acting on the Gag polyprotein </w:t>
      </w:r>
      <w:r w:rsidR="00A91DB9" w:rsidRPr="004C750C">
        <w:rPr>
          <w:rFonts w:ascii="Book Antiqua" w:hAnsi="Book Antiqua" w:cs="Arial"/>
          <w:sz w:val="24"/>
          <w:szCs w:val="24"/>
          <w:lang w:val="en-US"/>
        </w:rPr>
        <w:t>are</w:t>
      </w:r>
      <w:r w:rsidR="004F483B" w:rsidRPr="004C750C">
        <w:rPr>
          <w:rFonts w:ascii="Book Antiqua" w:hAnsi="Book Antiqua" w:cs="Arial"/>
          <w:sz w:val="24"/>
          <w:szCs w:val="24"/>
          <w:lang w:val="en-US"/>
        </w:rPr>
        <w:t xml:space="preserve"> necessary</w:t>
      </w:r>
      <w:r w:rsidR="00A91DB9" w:rsidRPr="004C750C">
        <w:rPr>
          <w:rFonts w:ascii="Book Antiqua" w:hAnsi="Book Antiqua" w:cs="Arial"/>
          <w:sz w:val="24"/>
          <w:szCs w:val="24"/>
          <w:lang w:val="en-US"/>
        </w:rPr>
        <w:t>;</w:t>
      </w:r>
      <w:r w:rsidR="004F483B" w:rsidRPr="004C750C">
        <w:rPr>
          <w:rFonts w:ascii="Book Antiqua" w:hAnsi="Book Antiqua" w:cs="Arial"/>
          <w:sz w:val="24"/>
          <w:szCs w:val="24"/>
          <w:lang w:val="en-US"/>
        </w:rPr>
        <w:t xml:space="preserve"> however, the information obtained so far allow us to suggest that understanding the intracellular trafficking of viral proteins and mechanisms for post-translational modification of viral proteins could turn out to elucidate the complex replication cycle of HIV-1 from HIV-1 fusion in the host cell until the final stage of release of mature</w:t>
      </w:r>
      <w:r w:rsidR="00A91DB9" w:rsidRPr="004C750C">
        <w:rPr>
          <w:rFonts w:ascii="Book Antiqua" w:hAnsi="Book Antiqua" w:cs="Arial"/>
          <w:sz w:val="24"/>
          <w:szCs w:val="24"/>
          <w:lang w:val="en-US"/>
        </w:rPr>
        <w:t>, infectious</w:t>
      </w:r>
      <w:r w:rsidR="004F483B" w:rsidRPr="004C750C">
        <w:rPr>
          <w:rFonts w:ascii="Book Antiqua" w:hAnsi="Book Antiqua" w:cs="Arial"/>
          <w:sz w:val="24"/>
          <w:szCs w:val="24"/>
          <w:lang w:val="en-US"/>
        </w:rPr>
        <w:t xml:space="preserve"> viral particles.</w:t>
      </w:r>
    </w:p>
    <w:p w:rsidR="00C46798" w:rsidRPr="004C750C" w:rsidRDefault="008B59D8" w:rsidP="004C750C">
      <w:pPr>
        <w:autoSpaceDE w:val="0"/>
        <w:autoSpaceDN w:val="0"/>
        <w:adjustRightInd w:val="0"/>
        <w:spacing w:after="0" w:line="360" w:lineRule="auto"/>
        <w:jc w:val="both"/>
        <w:rPr>
          <w:rFonts w:ascii="Book Antiqua" w:hAnsi="Book Antiqua" w:cs="Arial"/>
          <w:bCs/>
          <w:sz w:val="24"/>
          <w:szCs w:val="24"/>
          <w:lang w:val="en-US" w:eastAsia="zh-CN"/>
        </w:rPr>
      </w:pPr>
      <w:r w:rsidRPr="004C750C">
        <w:rPr>
          <w:rFonts w:ascii="Book Antiqua" w:hAnsi="Book Antiqua" w:cs="Arial"/>
          <w:bCs/>
          <w:sz w:val="24"/>
          <w:szCs w:val="24"/>
          <w:lang w:val="en-US" w:eastAsia="pt-BR"/>
        </w:rPr>
        <w:t xml:space="preserve"> </w:t>
      </w:r>
    </w:p>
    <w:p w:rsidR="00537E68" w:rsidRPr="004C750C" w:rsidRDefault="00E769B0" w:rsidP="004C750C">
      <w:pPr>
        <w:autoSpaceDE w:val="0"/>
        <w:autoSpaceDN w:val="0"/>
        <w:adjustRightInd w:val="0"/>
        <w:spacing w:after="0" w:line="360" w:lineRule="auto"/>
        <w:jc w:val="both"/>
        <w:rPr>
          <w:rFonts w:ascii="Book Antiqua" w:hAnsi="Book Antiqua" w:cs="Arial"/>
          <w:b/>
          <w:bCs/>
          <w:sz w:val="24"/>
          <w:szCs w:val="24"/>
          <w:lang w:val="en-US" w:eastAsia="pt-BR"/>
        </w:rPr>
      </w:pPr>
      <w:r w:rsidRPr="004C750C">
        <w:rPr>
          <w:rFonts w:ascii="Book Antiqua" w:hAnsi="Book Antiqua" w:cs="Arial"/>
          <w:b/>
          <w:bCs/>
          <w:sz w:val="24"/>
          <w:szCs w:val="24"/>
          <w:lang w:val="en-US" w:eastAsia="pt-BR"/>
        </w:rPr>
        <w:t>ACKNOWLEDGMENTS</w:t>
      </w:r>
    </w:p>
    <w:p w:rsidR="005E2291" w:rsidRPr="004C750C" w:rsidRDefault="00537E68"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eastAsia="pt-BR"/>
        </w:rPr>
        <w:t xml:space="preserve">We wish to thank Ana Stern, from the </w:t>
      </w:r>
      <w:r w:rsidRPr="004C750C">
        <w:rPr>
          <w:rFonts w:ascii="Book Antiqua" w:hAnsi="Book Antiqua" w:cs="Arial"/>
          <w:sz w:val="24"/>
          <w:szCs w:val="24"/>
          <w:lang w:val="en-US"/>
        </w:rPr>
        <w:t>Laboratory of Genetics and Molecular Hematology</w:t>
      </w:r>
      <w:r w:rsidR="007550DB" w:rsidRPr="004C750C">
        <w:rPr>
          <w:rStyle w:val="apple-converted-space"/>
          <w:rFonts w:ascii="Book Antiqua" w:hAnsi="Book Antiqua" w:cs="Arial"/>
          <w:sz w:val="24"/>
          <w:szCs w:val="24"/>
          <w:lang w:val="en-US"/>
        </w:rPr>
        <w:t>,</w:t>
      </w:r>
      <w:r w:rsidRPr="004C750C">
        <w:rPr>
          <w:rStyle w:val="apple-converted-space"/>
          <w:rFonts w:ascii="Book Antiqua" w:hAnsi="Book Antiqua" w:cs="Arial"/>
          <w:sz w:val="24"/>
          <w:szCs w:val="24"/>
          <w:lang w:val="en-US"/>
        </w:rPr>
        <w:t xml:space="preserve"> </w:t>
      </w:r>
      <w:r w:rsidRPr="004C750C">
        <w:rPr>
          <w:rFonts w:ascii="Book Antiqua" w:hAnsi="Book Antiqua" w:cs="Arial"/>
          <w:sz w:val="24"/>
          <w:szCs w:val="24"/>
          <w:lang w:val="en-US"/>
        </w:rPr>
        <w:t>Laboratory of Genetics and Molecular Hematology (LIM31), University of São Paulo Medical School (FMUSP)</w:t>
      </w:r>
      <w:r w:rsidRPr="004C750C">
        <w:rPr>
          <w:rFonts w:ascii="Book Antiqua" w:hAnsi="Book Antiqua" w:cs="Arial"/>
          <w:sz w:val="24"/>
          <w:szCs w:val="24"/>
          <w:lang w:val="en-US" w:eastAsia="pt-BR"/>
        </w:rPr>
        <w:t xml:space="preserve">, for </w:t>
      </w:r>
      <w:r w:rsidR="003066B9" w:rsidRPr="004C750C">
        <w:rPr>
          <w:rFonts w:ascii="Book Antiqua" w:hAnsi="Book Antiqua" w:cs="Arial"/>
          <w:sz w:val="24"/>
          <w:szCs w:val="24"/>
          <w:lang w:val="en-US" w:eastAsia="pt-BR"/>
        </w:rPr>
        <w:t xml:space="preserve">her </w:t>
      </w:r>
      <w:r w:rsidRPr="004C750C">
        <w:rPr>
          <w:rFonts w:ascii="Book Antiqua" w:hAnsi="Book Antiqua" w:cs="Arial"/>
          <w:sz w:val="24"/>
          <w:szCs w:val="24"/>
          <w:lang w:val="en-US" w:eastAsia="pt-BR"/>
        </w:rPr>
        <w:t>contributions to our drawings graphics.</w:t>
      </w:r>
      <w:r w:rsidR="00C46798" w:rsidRPr="004C750C">
        <w:rPr>
          <w:rFonts w:ascii="Book Antiqua" w:hAnsi="Book Antiqua" w:cs="Arial"/>
          <w:sz w:val="24"/>
          <w:szCs w:val="24"/>
          <w:lang w:val="en-US" w:eastAsia="pt-BR"/>
        </w:rPr>
        <w:t xml:space="preserve"> Even, for all studies financially supported in the our laboratory with resources from The National Council of Technological and Scientific Development (CNPq), the State of São Paulo Research Foundation (FAPESP) and the National Institute of Science and Technology of Complex Fluids (INCT-FCx).</w:t>
      </w:r>
    </w:p>
    <w:p w:rsidR="00E769B0" w:rsidRPr="004C750C" w:rsidRDefault="00E769B0" w:rsidP="004C750C">
      <w:pPr>
        <w:spacing w:after="0" w:line="360" w:lineRule="auto"/>
        <w:jc w:val="both"/>
        <w:rPr>
          <w:rFonts w:ascii="Book Antiqua" w:hAnsi="Book Antiqua" w:cs="Arial"/>
          <w:sz w:val="24"/>
          <w:szCs w:val="24"/>
          <w:lang w:val="en-US" w:eastAsia="zh-CN"/>
        </w:rPr>
      </w:pPr>
    </w:p>
    <w:p w:rsidR="00351BD4" w:rsidRPr="002A60A4" w:rsidRDefault="00E769B0" w:rsidP="002A60A4">
      <w:pPr>
        <w:spacing w:after="0" w:line="360" w:lineRule="auto"/>
        <w:jc w:val="both"/>
        <w:rPr>
          <w:rFonts w:ascii="Book Antiqua" w:hAnsi="Book Antiqua" w:cs="Arial"/>
          <w:b/>
          <w:sz w:val="24"/>
          <w:szCs w:val="24"/>
          <w:lang w:val="en-US" w:eastAsia="zh-CN"/>
        </w:rPr>
      </w:pPr>
      <w:r w:rsidRPr="002A60A4">
        <w:rPr>
          <w:rFonts w:ascii="Book Antiqua" w:hAnsi="Book Antiqua" w:cs="Arial"/>
          <w:b/>
          <w:sz w:val="24"/>
          <w:szCs w:val="24"/>
          <w:lang w:val="en-US"/>
        </w:rPr>
        <w:t>REFERENCES</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1 </w:t>
      </w:r>
      <w:r w:rsidRPr="002A60A4">
        <w:rPr>
          <w:rFonts w:ascii="Book Antiqua" w:eastAsia="宋体" w:hAnsi="Book Antiqua" w:cs="宋体"/>
          <w:b/>
          <w:bCs/>
          <w:color w:val="000000"/>
          <w:sz w:val="24"/>
          <w:szCs w:val="24"/>
          <w:lang w:val="en-US" w:eastAsia="zh-CN"/>
        </w:rPr>
        <w:t>Deeks SG</w:t>
      </w:r>
      <w:r w:rsidRPr="002A60A4">
        <w:rPr>
          <w:rFonts w:ascii="Book Antiqua" w:eastAsia="宋体" w:hAnsi="Book Antiqua" w:cs="宋体"/>
          <w:color w:val="000000"/>
          <w:sz w:val="24"/>
          <w:szCs w:val="24"/>
          <w:lang w:val="en-US" w:eastAsia="zh-CN"/>
        </w:rPr>
        <w:t>, Lewin SR, Havlir DV. The end of AIDS: HIV infection as a chronic disease. </w:t>
      </w:r>
      <w:r w:rsidRPr="002A60A4">
        <w:rPr>
          <w:rFonts w:ascii="Book Antiqua" w:eastAsia="宋体" w:hAnsi="Book Antiqua" w:cs="宋体"/>
          <w:i/>
          <w:iCs/>
          <w:color w:val="000000"/>
          <w:sz w:val="24"/>
          <w:szCs w:val="24"/>
          <w:lang w:val="en-US" w:eastAsia="zh-CN"/>
        </w:rPr>
        <w:t>Lancet</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382</w:t>
      </w:r>
      <w:r w:rsidRPr="002A60A4">
        <w:rPr>
          <w:rFonts w:ascii="Book Antiqua" w:eastAsia="宋体" w:hAnsi="Book Antiqua" w:cs="宋体"/>
          <w:color w:val="000000"/>
          <w:sz w:val="24"/>
          <w:szCs w:val="24"/>
          <w:lang w:val="en-US" w:eastAsia="zh-CN"/>
        </w:rPr>
        <w:t>: 1525-1533 [PMID: 24152939 DOI: 10.1016/S0140-6736(13)61809-7]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2 </w:t>
      </w:r>
      <w:r w:rsidRPr="002A60A4">
        <w:rPr>
          <w:rFonts w:ascii="Book Antiqua" w:eastAsia="宋体" w:hAnsi="Book Antiqua" w:cs="宋体"/>
          <w:b/>
          <w:bCs/>
          <w:color w:val="000000"/>
          <w:sz w:val="24"/>
          <w:szCs w:val="24"/>
          <w:lang w:val="en-US" w:eastAsia="zh-CN"/>
        </w:rPr>
        <w:t>Passaes CP</w:t>
      </w:r>
      <w:r w:rsidRPr="002A60A4">
        <w:rPr>
          <w:rFonts w:ascii="Book Antiqua" w:eastAsia="宋体" w:hAnsi="Book Antiqua" w:cs="宋体"/>
          <w:color w:val="000000"/>
          <w:sz w:val="24"/>
          <w:szCs w:val="24"/>
          <w:lang w:val="en-US" w:eastAsia="zh-CN"/>
        </w:rPr>
        <w:t>, Sáez-Cirión A. HIV cure research: advances and prospects. </w:t>
      </w:r>
      <w:r w:rsidRPr="002A60A4">
        <w:rPr>
          <w:rFonts w:ascii="Book Antiqua" w:eastAsia="宋体" w:hAnsi="Book Antiqua" w:cs="宋体"/>
          <w:i/>
          <w:iCs/>
          <w:color w:val="000000"/>
          <w:sz w:val="24"/>
          <w:szCs w:val="24"/>
          <w:lang w:val="en-US" w:eastAsia="zh-CN"/>
        </w:rPr>
        <w:t>Virology</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454-455</w:t>
      </w:r>
      <w:r w:rsidRPr="002A60A4">
        <w:rPr>
          <w:rFonts w:ascii="Book Antiqua" w:eastAsia="宋体" w:hAnsi="Book Antiqua" w:cs="宋体"/>
          <w:color w:val="000000"/>
          <w:sz w:val="24"/>
          <w:szCs w:val="24"/>
          <w:lang w:val="en-US" w:eastAsia="zh-CN"/>
        </w:rPr>
        <w:t>: 340-352 [PMID: 24636252 DOI: 10.1016/j.virol.2014.02.021]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3 </w:t>
      </w:r>
      <w:r w:rsidRPr="002A60A4">
        <w:rPr>
          <w:rFonts w:ascii="Book Antiqua" w:eastAsia="宋体" w:hAnsi="Book Antiqua" w:cs="宋体"/>
          <w:b/>
          <w:bCs/>
          <w:color w:val="000000"/>
          <w:sz w:val="24"/>
          <w:szCs w:val="24"/>
          <w:lang w:val="en-US" w:eastAsia="zh-CN"/>
        </w:rPr>
        <w:t>Calvo KR</w:t>
      </w:r>
      <w:r w:rsidRPr="002A60A4">
        <w:rPr>
          <w:rFonts w:ascii="Book Antiqua" w:eastAsia="宋体" w:hAnsi="Book Antiqua" w:cs="宋体"/>
          <w:color w:val="000000"/>
          <w:sz w:val="24"/>
          <w:szCs w:val="24"/>
          <w:lang w:val="en-US" w:eastAsia="zh-CN"/>
        </w:rPr>
        <w:t>, Daar ES. Antiretroviral therapy: treatment-experienced individuals. </w:t>
      </w:r>
      <w:r w:rsidRPr="002A60A4">
        <w:rPr>
          <w:rFonts w:ascii="Book Antiqua" w:eastAsia="宋体" w:hAnsi="Book Antiqua" w:cs="宋体"/>
          <w:i/>
          <w:iCs/>
          <w:color w:val="000000"/>
          <w:sz w:val="24"/>
          <w:szCs w:val="24"/>
          <w:lang w:val="en-US" w:eastAsia="zh-CN"/>
        </w:rPr>
        <w:t>Infect Dis Clin North Am</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28</w:t>
      </w:r>
      <w:r w:rsidRPr="002A60A4">
        <w:rPr>
          <w:rFonts w:ascii="Book Antiqua" w:eastAsia="宋体" w:hAnsi="Book Antiqua" w:cs="宋体"/>
          <w:color w:val="000000"/>
          <w:sz w:val="24"/>
          <w:szCs w:val="24"/>
          <w:lang w:val="en-US" w:eastAsia="zh-CN"/>
        </w:rPr>
        <w:t>: 439-456 [PMID: 25151565 DOI: 10.1016/j.idc.2014.06.005]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4 </w:t>
      </w:r>
      <w:r w:rsidRPr="002A60A4">
        <w:rPr>
          <w:rFonts w:ascii="Book Antiqua" w:eastAsia="宋体" w:hAnsi="Book Antiqua" w:cs="宋体"/>
          <w:b/>
          <w:bCs/>
          <w:color w:val="000000"/>
          <w:sz w:val="24"/>
          <w:szCs w:val="24"/>
          <w:lang w:val="en-US" w:eastAsia="zh-CN"/>
        </w:rPr>
        <w:t>Sobieszczyk ME</w:t>
      </w:r>
      <w:r w:rsidRPr="002A60A4">
        <w:rPr>
          <w:rFonts w:ascii="Book Antiqua" w:eastAsia="宋体" w:hAnsi="Book Antiqua" w:cs="宋体"/>
          <w:color w:val="000000"/>
          <w:sz w:val="24"/>
          <w:szCs w:val="24"/>
          <w:lang w:val="en-US" w:eastAsia="zh-CN"/>
        </w:rPr>
        <w:t>, Talley AK, Wilkin T, Hammer SM. Advances in antiretroviral therapy. </w:t>
      </w:r>
      <w:r w:rsidRPr="002A60A4">
        <w:rPr>
          <w:rFonts w:ascii="Book Antiqua" w:eastAsia="宋体" w:hAnsi="Book Antiqua" w:cs="宋体"/>
          <w:i/>
          <w:iCs/>
          <w:color w:val="000000"/>
          <w:sz w:val="24"/>
          <w:szCs w:val="24"/>
          <w:lang w:val="en-US" w:eastAsia="zh-CN"/>
        </w:rPr>
        <w:t>Top HIV Med</w:t>
      </w:r>
      <w:r w:rsidRPr="002A60A4">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2005</w:t>
      </w:r>
      <w:r w:rsidRPr="002A60A4">
        <w:rPr>
          <w:rFonts w:ascii="Book Antiqua" w:eastAsia="宋体" w:hAnsi="Book Antiqua" w:cs="宋体"/>
          <w:color w:val="000000"/>
          <w:sz w:val="24"/>
          <w:szCs w:val="24"/>
          <w:lang w:val="en-US" w:eastAsia="zh-CN"/>
        </w:rPr>
        <w:t>; </w:t>
      </w:r>
      <w:r w:rsidRPr="002A60A4">
        <w:rPr>
          <w:rFonts w:ascii="Book Antiqua" w:eastAsia="宋体" w:hAnsi="Book Antiqua" w:cs="宋体"/>
          <w:b/>
          <w:bCs/>
          <w:color w:val="000000"/>
          <w:sz w:val="24"/>
          <w:szCs w:val="24"/>
          <w:lang w:val="en-US" w:eastAsia="zh-CN"/>
        </w:rPr>
        <w:t>13</w:t>
      </w:r>
      <w:r w:rsidRPr="002A60A4">
        <w:rPr>
          <w:rFonts w:ascii="Book Antiqua" w:eastAsia="宋体" w:hAnsi="Book Antiqua" w:cs="宋体"/>
          <w:color w:val="000000"/>
          <w:sz w:val="24"/>
          <w:szCs w:val="24"/>
          <w:lang w:val="en-US" w:eastAsia="zh-CN"/>
        </w:rPr>
        <w:t>: 24-44 [PMID: 15849370]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5 </w:t>
      </w:r>
      <w:r w:rsidRPr="002A60A4">
        <w:rPr>
          <w:rFonts w:ascii="Book Antiqua" w:eastAsia="宋体" w:hAnsi="Book Antiqua" w:cs="宋体"/>
          <w:b/>
          <w:bCs/>
          <w:color w:val="000000"/>
          <w:sz w:val="24"/>
          <w:szCs w:val="24"/>
          <w:lang w:val="en-US" w:eastAsia="zh-CN"/>
        </w:rPr>
        <w:t>Rigourd M</w:t>
      </w:r>
      <w:r w:rsidRPr="002A60A4">
        <w:rPr>
          <w:rFonts w:ascii="Book Antiqua" w:eastAsia="宋体" w:hAnsi="Book Antiqua" w:cs="宋体"/>
          <w:color w:val="000000"/>
          <w:sz w:val="24"/>
          <w:szCs w:val="24"/>
          <w:lang w:val="en-US" w:eastAsia="zh-CN"/>
        </w:rPr>
        <w:t>, Lanchy JM, Le Grice SF, Ehresmann B, Ehresmann C, Marquet R. Inhibition of the initiation of HIV-1 reverse transcription by 3'-azido-3'-deoxythymidine. Comparison with elongation. </w:t>
      </w:r>
      <w:r w:rsidRPr="002A60A4">
        <w:rPr>
          <w:rFonts w:ascii="Book Antiqua" w:eastAsia="宋体" w:hAnsi="Book Antiqua" w:cs="宋体"/>
          <w:i/>
          <w:iCs/>
          <w:color w:val="000000"/>
          <w:sz w:val="24"/>
          <w:szCs w:val="24"/>
          <w:lang w:val="en-US" w:eastAsia="zh-CN"/>
        </w:rPr>
        <w:t>J Biol Chem</w:t>
      </w:r>
      <w:r w:rsidRPr="002A60A4">
        <w:rPr>
          <w:rFonts w:ascii="Book Antiqua" w:eastAsia="宋体" w:hAnsi="Book Antiqua" w:cs="宋体"/>
          <w:color w:val="000000"/>
          <w:sz w:val="24"/>
          <w:szCs w:val="24"/>
          <w:lang w:val="en-US" w:eastAsia="zh-CN"/>
        </w:rPr>
        <w:t> 2000; </w:t>
      </w:r>
      <w:r w:rsidRPr="002A60A4">
        <w:rPr>
          <w:rFonts w:ascii="Book Antiqua" w:eastAsia="宋体" w:hAnsi="Book Antiqua" w:cs="宋体"/>
          <w:b/>
          <w:bCs/>
          <w:color w:val="000000"/>
          <w:sz w:val="24"/>
          <w:szCs w:val="24"/>
          <w:lang w:val="en-US" w:eastAsia="zh-CN"/>
        </w:rPr>
        <w:t>275</w:t>
      </w:r>
      <w:r w:rsidRPr="002A60A4">
        <w:rPr>
          <w:rFonts w:ascii="Book Antiqua" w:eastAsia="宋体" w:hAnsi="Book Antiqua" w:cs="宋体"/>
          <w:color w:val="000000"/>
          <w:sz w:val="24"/>
          <w:szCs w:val="24"/>
          <w:lang w:val="en-US" w:eastAsia="zh-CN"/>
        </w:rPr>
        <w:t>: 26944-26951 [PMID: 10864929]</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6 </w:t>
      </w:r>
      <w:r w:rsidRPr="002A60A4">
        <w:rPr>
          <w:rFonts w:ascii="Book Antiqua" w:eastAsia="宋体" w:hAnsi="Book Antiqua" w:cs="宋体"/>
          <w:b/>
          <w:bCs/>
          <w:color w:val="000000"/>
          <w:sz w:val="24"/>
          <w:szCs w:val="24"/>
          <w:lang w:val="en-US" w:eastAsia="zh-CN"/>
        </w:rPr>
        <w:t>Balzarini J</w:t>
      </w:r>
      <w:r w:rsidRPr="002A60A4">
        <w:rPr>
          <w:rFonts w:ascii="Book Antiqua" w:eastAsia="宋体" w:hAnsi="Book Antiqua" w:cs="宋体"/>
          <w:color w:val="000000"/>
          <w:sz w:val="24"/>
          <w:szCs w:val="24"/>
          <w:lang w:val="en-US" w:eastAsia="zh-CN"/>
        </w:rPr>
        <w:t>. Current status of the non-nucleoside reverse transcriptase inhibitors of human immunodeficiency virus type 1. </w:t>
      </w:r>
      <w:r w:rsidRPr="002A60A4">
        <w:rPr>
          <w:rFonts w:ascii="Book Antiqua" w:eastAsia="宋体" w:hAnsi="Book Antiqua" w:cs="宋体"/>
          <w:i/>
          <w:iCs/>
          <w:color w:val="000000"/>
          <w:sz w:val="24"/>
          <w:szCs w:val="24"/>
          <w:lang w:val="en-US" w:eastAsia="zh-CN"/>
        </w:rPr>
        <w:t>Curr Top Med Chem</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4</w:t>
      </w:r>
      <w:r w:rsidRPr="002A60A4">
        <w:rPr>
          <w:rFonts w:ascii="Book Antiqua" w:eastAsia="宋体" w:hAnsi="Book Antiqua" w:cs="宋体"/>
          <w:color w:val="000000"/>
          <w:sz w:val="24"/>
          <w:szCs w:val="24"/>
          <w:lang w:val="en-US" w:eastAsia="zh-CN"/>
        </w:rPr>
        <w:t>: 921-944 [PMID: 15134549 DOI: 10.2174/1568026043388420]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7 </w:t>
      </w:r>
      <w:r w:rsidRPr="002A60A4">
        <w:rPr>
          <w:rFonts w:ascii="Book Antiqua" w:eastAsia="宋体" w:hAnsi="Book Antiqua" w:cs="宋体"/>
          <w:b/>
          <w:bCs/>
          <w:color w:val="000000"/>
          <w:sz w:val="24"/>
          <w:szCs w:val="24"/>
          <w:lang w:val="en-US" w:eastAsia="zh-CN"/>
        </w:rPr>
        <w:t>Randolph JT</w:t>
      </w:r>
      <w:r w:rsidRPr="002A60A4">
        <w:rPr>
          <w:rFonts w:ascii="Book Antiqua" w:eastAsia="宋体" w:hAnsi="Book Antiqua" w:cs="宋体"/>
          <w:color w:val="000000"/>
          <w:sz w:val="24"/>
          <w:szCs w:val="24"/>
          <w:lang w:val="en-US" w:eastAsia="zh-CN"/>
        </w:rPr>
        <w:t>, DeGoey DA. Peptidomimetic inhibitors of HIV protease. </w:t>
      </w:r>
      <w:r w:rsidRPr="002A60A4">
        <w:rPr>
          <w:rFonts w:ascii="Book Antiqua" w:eastAsia="宋体" w:hAnsi="Book Antiqua" w:cs="宋体"/>
          <w:i/>
          <w:iCs/>
          <w:color w:val="000000"/>
          <w:sz w:val="24"/>
          <w:szCs w:val="24"/>
          <w:lang w:val="en-US" w:eastAsia="zh-CN"/>
        </w:rPr>
        <w:t>Curr Top Med Chem</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4</w:t>
      </w:r>
      <w:r w:rsidRPr="002A60A4">
        <w:rPr>
          <w:rFonts w:ascii="Book Antiqua" w:eastAsia="宋体" w:hAnsi="Book Antiqua" w:cs="宋体"/>
          <w:color w:val="000000"/>
          <w:sz w:val="24"/>
          <w:szCs w:val="24"/>
          <w:lang w:val="en-US" w:eastAsia="zh-CN"/>
        </w:rPr>
        <w:t>: 1079-1095 [PMID: 15193140 DOI: 10.2174/1568026043388330]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8 </w:t>
      </w:r>
      <w:r w:rsidRPr="002A60A4">
        <w:rPr>
          <w:rFonts w:ascii="Book Antiqua" w:eastAsia="宋体" w:hAnsi="Book Antiqua" w:cs="宋体"/>
          <w:b/>
          <w:bCs/>
          <w:color w:val="000000"/>
          <w:sz w:val="24"/>
          <w:szCs w:val="24"/>
          <w:lang w:val="en-US" w:eastAsia="zh-CN"/>
        </w:rPr>
        <w:t>Miyamoto F</w:t>
      </w:r>
      <w:r w:rsidRPr="002A60A4">
        <w:rPr>
          <w:rFonts w:ascii="Book Antiqua" w:eastAsia="宋体" w:hAnsi="Book Antiqua" w:cs="宋体"/>
          <w:color w:val="000000"/>
          <w:sz w:val="24"/>
          <w:szCs w:val="24"/>
          <w:lang w:val="en-US" w:eastAsia="zh-CN"/>
        </w:rPr>
        <w:t>, Kodama EN. Development of small molecule HIV-1 fusion inhibitors: linking biology to chemistry. </w:t>
      </w:r>
      <w:r w:rsidRPr="002A60A4">
        <w:rPr>
          <w:rFonts w:ascii="Book Antiqua" w:eastAsia="宋体" w:hAnsi="Book Antiqua" w:cs="宋体"/>
          <w:i/>
          <w:iCs/>
          <w:color w:val="000000"/>
          <w:sz w:val="24"/>
          <w:szCs w:val="24"/>
          <w:lang w:val="en-US" w:eastAsia="zh-CN"/>
        </w:rPr>
        <w:t>Curr Pharm Des</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19</w:t>
      </w:r>
      <w:r w:rsidRPr="002A60A4">
        <w:rPr>
          <w:rFonts w:ascii="Book Antiqua" w:eastAsia="宋体" w:hAnsi="Book Antiqua" w:cs="宋体"/>
          <w:color w:val="000000"/>
          <w:sz w:val="24"/>
          <w:szCs w:val="24"/>
          <w:lang w:val="en-US" w:eastAsia="zh-CN"/>
        </w:rPr>
        <w:t>: 1827-1834 [PMID: 23092276 DOI: 10.2174/1381612811319100007]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9 </w:t>
      </w:r>
      <w:r w:rsidRPr="002A60A4">
        <w:rPr>
          <w:rFonts w:ascii="Book Antiqua" w:eastAsia="宋体" w:hAnsi="Book Antiqua" w:cs="宋体"/>
          <w:b/>
          <w:bCs/>
          <w:color w:val="000000"/>
          <w:sz w:val="24"/>
          <w:szCs w:val="24"/>
          <w:lang w:val="en-US" w:eastAsia="zh-CN"/>
        </w:rPr>
        <w:t>Boesecke C</w:t>
      </w:r>
      <w:r w:rsidRPr="002A60A4">
        <w:rPr>
          <w:rFonts w:ascii="Book Antiqua" w:eastAsia="宋体" w:hAnsi="Book Antiqua" w:cs="宋体"/>
          <w:color w:val="000000"/>
          <w:sz w:val="24"/>
          <w:szCs w:val="24"/>
          <w:lang w:val="en-US" w:eastAsia="zh-CN"/>
        </w:rPr>
        <w:t>, Pett SL. Clinical studies with chemokine receptor-5 (CCR5)-inhibitors. </w:t>
      </w:r>
      <w:r w:rsidRPr="002A60A4">
        <w:rPr>
          <w:rFonts w:ascii="Book Antiqua" w:eastAsia="宋体" w:hAnsi="Book Antiqua" w:cs="宋体"/>
          <w:i/>
          <w:iCs/>
          <w:color w:val="000000"/>
          <w:sz w:val="24"/>
          <w:szCs w:val="24"/>
          <w:lang w:val="en-US" w:eastAsia="zh-CN"/>
        </w:rPr>
        <w:t>Curr Opin HIV AIDS</w:t>
      </w:r>
      <w:r w:rsidRPr="002A60A4">
        <w:rPr>
          <w:rFonts w:ascii="Book Antiqua" w:eastAsia="宋体" w:hAnsi="Book Antiqua" w:cs="宋体"/>
          <w:color w:val="000000"/>
          <w:sz w:val="24"/>
          <w:szCs w:val="24"/>
          <w:lang w:val="en-US" w:eastAsia="zh-CN"/>
        </w:rPr>
        <w:t> 2012; </w:t>
      </w:r>
      <w:r w:rsidRPr="002A60A4">
        <w:rPr>
          <w:rFonts w:ascii="Book Antiqua" w:eastAsia="宋体" w:hAnsi="Book Antiqua" w:cs="宋体"/>
          <w:b/>
          <w:bCs/>
          <w:color w:val="000000"/>
          <w:sz w:val="24"/>
          <w:szCs w:val="24"/>
          <w:lang w:val="en-US" w:eastAsia="zh-CN"/>
        </w:rPr>
        <w:t>7</w:t>
      </w:r>
      <w:r w:rsidRPr="002A60A4">
        <w:rPr>
          <w:rFonts w:ascii="Book Antiqua" w:eastAsia="宋体" w:hAnsi="Book Antiqua" w:cs="宋体"/>
          <w:color w:val="000000"/>
          <w:sz w:val="24"/>
          <w:szCs w:val="24"/>
          <w:lang w:val="en-US" w:eastAsia="zh-CN"/>
        </w:rPr>
        <w:t>: 456-462 [PMID: 22832708 DOI: 10.1097/COH.0b013e328356e933]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10 </w:t>
      </w:r>
      <w:r w:rsidRPr="002A60A4">
        <w:rPr>
          <w:rFonts w:ascii="Book Antiqua" w:eastAsia="宋体" w:hAnsi="Book Antiqua" w:cs="宋体"/>
          <w:b/>
          <w:bCs/>
          <w:color w:val="000000"/>
          <w:sz w:val="24"/>
          <w:szCs w:val="24"/>
          <w:lang w:val="en-US" w:eastAsia="zh-CN"/>
        </w:rPr>
        <w:t>Arribas JR</w:t>
      </w:r>
      <w:r w:rsidRPr="002A60A4">
        <w:rPr>
          <w:rFonts w:ascii="Book Antiqua" w:eastAsia="宋体" w:hAnsi="Book Antiqua" w:cs="宋体"/>
          <w:color w:val="000000"/>
          <w:sz w:val="24"/>
          <w:szCs w:val="24"/>
          <w:lang w:val="en-US" w:eastAsia="zh-CN"/>
        </w:rPr>
        <w:t>, Pialoux G, Gathe J, Di Perri G, Reynes J, Tebas P, Nguyen T, Ebrahimi R, White K, Piontkowsky D. Simplification to coformulated elvitegravir, cobicistat, emtricitabine, and tenofovir versus continuation of ritonavir-boosted protease inhibitor with emtricitabine and tenofovir in adults with virologically suppressed HIV (STRATEGY-PI): 48 week results of a randomised, open-label, phase 3b, non-inferiority trial. </w:t>
      </w:r>
      <w:r w:rsidRPr="002A60A4">
        <w:rPr>
          <w:rFonts w:ascii="Book Antiqua" w:eastAsia="宋体" w:hAnsi="Book Antiqua" w:cs="宋体"/>
          <w:i/>
          <w:iCs/>
          <w:color w:val="000000"/>
          <w:sz w:val="24"/>
          <w:szCs w:val="24"/>
          <w:lang w:val="en-US" w:eastAsia="zh-CN"/>
        </w:rPr>
        <w:t>Lancet Infect Dis</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14</w:t>
      </w:r>
      <w:r w:rsidRPr="002A60A4">
        <w:rPr>
          <w:rFonts w:ascii="Book Antiqua" w:eastAsia="宋体" w:hAnsi="Book Antiqua" w:cs="宋体"/>
          <w:color w:val="000000"/>
          <w:sz w:val="24"/>
          <w:szCs w:val="24"/>
          <w:lang w:val="en-US" w:eastAsia="zh-CN"/>
        </w:rPr>
        <w:t>: 581-589 [PMID: 24908551 DOI: 10.1016/S1473-3099(14)70782-0]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11 </w:t>
      </w:r>
      <w:r w:rsidRPr="002A60A4">
        <w:rPr>
          <w:rFonts w:ascii="Book Antiqua" w:eastAsia="宋体" w:hAnsi="Book Antiqua" w:cs="宋体"/>
          <w:b/>
          <w:bCs/>
          <w:color w:val="000000"/>
          <w:sz w:val="24"/>
          <w:szCs w:val="24"/>
          <w:lang w:val="en-US" w:eastAsia="zh-CN"/>
        </w:rPr>
        <w:t>Carr A</w:t>
      </w:r>
      <w:r w:rsidRPr="002A60A4">
        <w:rPr>
          <w:rFonts w:ascii="Book Antiqua" w:eastAsia="宋体" w:hAnsi="Book Antiqua" w:cs="宋体"/>
          <w:color w:val="000000"/>
          <w:sz w:val="24"/>
          <w:szCs w:val="24"/>
          <w:lang w:val="en-US" w:eastAsia="zh-CN"/>
        </w:rPr>
        <w:t>, Emery S, Law M, Puls R, Lundgren JD, Powderly WG. An objective case definition of lipodystrophy in HIV-infected adults: a case-control study. </w:t>
      </w:r>
      <w:r w:rsidRPr="002A60A4">
        <w:rPr>
          <w:rFonts w:ascii="Book Antiqua" w:eastAsia="宋体" w:hAnsi="Book Antiqua" w:cs="宋体"/>
          <w:i/>
          <w:iCs/>
          <w:color w:val="000000"/>
          <w:sz w:val="24"/>
          <w:szCs w:val="24"/>
          <w:lang w:val="en-US" w:eastAsia="zh-CN"/>
        </w:rPr>
        <w:t>Lancet</w:t>
      </w:r>
      <w:r w:rsidRPr="002A60A4">
        <w:rPr>
          <w:rFonts w:ascii="Book Antiqua" w:eastAsia="宋体" w:hAnsi="Book Antiqua" w:cs="宋体"/>
          <w:color w:val="000000"/>
          <w:sz w:val="24"/>
          <w:szCs w:val="24"/>
          <w:lang w:val="en-US" w:eastAsia="zh-CN"/>
        </w:rPr>
        <w:t> 2003; </w:t>
      </w:r>
      <w:r w:rsidRPr="002A60A4">
        <w:rPr>
          <w:rFonts w:ascii="Book Antiqua" w:eastAsia="宋体" w:hAnsi="Book Antiqua" w:cs="宋体"/>
          <w:b/>
          <w:bCs/>
          <w:color w:val="000000"/>
          <w:sz w:val="24"/>
          <w:szCs w:val="24"/>
          <w:lang w:val="en-US" w:eastAsia="zh-CN"/>
        </w:rPr>
        <w:t>361</w:t>
      </w:r>
      <w:r w:rsidRPr="002A60A4">
        <w:rPr>
          <w:rFonts w:ascii="Book Antiqua" w:eastAsia="宋体" w:hAnsi="Book Antiqua" w:cs="宋体"/>
          <w:color w:val="000000"/>
          <w:sz w:val="24"/>
          <w:szCs w:val="24"/>
          <w:lang w:val="en-US" w:eastAsia="zh-CN"/>
        </w:rPr>
        <w:t>: 726-735 [PMID: 12620736 DOI: 10.1016/S0140-6736(03)12656-6]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12 </w:t>
      </w:r>
      <w:r w:rsidRPr="002A60A4">
        <w:rPr>
          <w:rFonts w:ascii="Book Antiqua" w:eastAsia="宋体" w:hAnsi="Book Antiqua" w:cs="宋体"/>
          <w:b/>
          <w:bCs/>
          <w:color w:val="000000"/>
          <w:sz w:val="24"/>
          <w:szCs w:val="24"/>
          <w:lang w:val="en-US" w:eastAsia="zh-CN"/>
        </w:rPr>
        <w:t>Wohl DA</w:t>
      </w:r>
      <w:r w:rsidRPr="002A60A4">
        <w:rPr>
          <w:rFonts w:ascii="Book Antiqua" w:eastAsia="宋体" w:hAnsi="Book Antiqua" w:cs="宋体"/>
          <w:color w:val="000000"/>
          <w:sz w:val="24"/>
          <w:szCs w:val="24"/>
          <w:lang w:val="en-US" w:eastAsia="zh-CN"/>
        </w:rPr>
        <w:t>, McComsey G, Tebas P, Brown TT, Glesby MJ, Reeds D, Shikuma C, Mulligan K, Dube M, Wininger D, Huang J, Revuelta M, Currier J, Swindells S, Fichtenbaum C, Basar M, Tungsiripat M, Meyer W, Weihe J, Wanke C. Current concepts in the diagnosis and management of metabolic complications of HIV infection and its therapy. </w:t>
      </w:r>
      <w:r w:rsidRPr="002A60A4">
        <w:rPr>
          <w:rFonts w:ascii="Book Antiqua" w:eastAsia="宋体" w:hAnsi="Book Antiqua" w:cs="宋体"/>
          <w:i/>
          <w:iCs/>
          <w:color w:val="000000"/>
          <w:sz w:val="24"/>
          <w:szCs w:val="24"/>
          <w:lang w:val="en-US" w:eastAsia="zh-CN"/>
        </w:rPr>
        <w:t>Clin Infect Dis</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43</w:t>
      </w:r>
      <w:r w:rsidRPr="002A60A4">
        <w:rPr>
          <w:rFonts w:ascii="Book Antiqua" w:eastAsia="宋体" w:hAnsi="Book Antiqua" w:cs="宋体"/>
          <w:color w:val="000000"/>
          <w:sz w:val="24"/>
          <w:szCs w:val="24"/>
          <w:lang w:val="en-US" w:eastAsia="zh-CN"/>
        </w:rPr>
        <w:t>: 645-653 [PMID: 16886161 DOI: 10.1086/507333]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13 </w:t>
      </w:r>
      <w:r w:rsidRPr="002A60A4">
        <w:rPr>
          <w:rFonts w:ascii="Book Antiqua" w:eastAsia="宋体" w:hAnsi="Book Antiqua" w:cs="宋体"/>
          <w:b/>
          <w:bCs/>
          <w:color w:val="000000"/>
          <w:sz w:val="24"/>
          <w:szCs w:val="24"/>
          <w:lang w:val="en-US" w:eastAsia="zh-CN"/>
        </w:rPr>
        <w:t>Carr A</w:t>
      </w:r>
      <w:r w:rsidRPr="002A60A4">
        <w:rPr>
          <w:rFonts w:ascii="Book Antiqua" w:eastAsia="宋体" w:hAnsi="Book Antiqua" w:cs="宋体"/>
          <w:color w:val="000000"/>
          <w:sz w:val="24"/>
          <w:szCs w:val="24"/>
          <w:lang w:val="en-US" w:eastAsia="zh-CN"/>
        </w:rPr>
        <w:t>, Samaras K, Burton S, Law M, Freund J, Chisholm DJ, Cooper DA. A syndrome of peripheral lipodystrophy, hyperlipidaemia and insulin resistance in patients receiving HIV protease inhibitors.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1998; </w:t>
      </w:r>
      <w:r w:rsidRPr="002A60A4">
        <w:rPr>
          <w:rFonts w:ascii="Book Antiqua" w:eastAsia="宋体" w:hAnsi="Book Antiqua" w:cs="宋体"/>
          <w:b/>
          <w:bCs/>
          <w:color w:val="000000"/>
          <w:sz w:val="24"/>
          <w:szCs w:val="24"/>
          <w:lang w:val="en-US" w:eastAsia="zh-CN"/>
        </w:rPr>
        <w:t>12</w:t>
      </w:r>
      <w:r w:rsidRPr="002A60A4">
        <w:rPr>
          <w:rFonts w:ascii="Book Antiqua" w:eastAsia="宋体" w:hAnsi="Book Antiqua" w:cs="宋体"/>
          <w:color w:val="000000"/>
          <w:sz w:val="24"/>
          <w:szCs w:val="24"/>
          <w:lang w:val="en-US" w:eastAsia="zh-CN"/>
        </w:rPr>
        <w:t>: F51-F58 [PMID: 9619798 DOI: 10.1097/00002030-199807000-00003]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14 </w:t>
      </w:r>
      <w:r w:rsidRPr="002A60A4">
        <w:rPr>
          <w:rFonts w:ascii="Book Antiqua" w:eastAsia="宋体" w:hAnsi="Book Antiqua" w:cs="宋体"/>
          <w:b/>
          <w:bCs/>
          <w:color w:val="000000"/>
          <w:sz w:val="24"/>
          <w:szCs w:val="24"/>
          <w:lang w:val="en-US" w:eastAsia="zh-CN"/>
        </w:rPr>
        <w:t>Sprinz E</w:t>
      </w:r>
      <w:r w:rsidRPr="002A60A4">
        <w:rPr>
          <w:rFonts w:ascii="Book Antiqua" w:eastAsia="宋体" w:hAnsi="Book Antiqua" w:cs="宋体"/>
          <w:color w:val="000000"/>
          <w:sz w:val="24"/>
          <w:szCs w:val="24"/>
          <w:lang w:val="en-US" w:eastAsia="zh-CN"/>
        </w:rPr>
        <w:t>, Lazzaretti RK, Kuhmmer R, Ribeiro JP. Dyslipidemia in HIV-infected individuals. </w:t>
      </w:r>
      <w:r w:rsidRPr="002A60A4">
        <w:rPr>
          <w:rFonts w:ascii="Book Antiqua" w:eastAsia="宋体" w:hAnsi="Book Antiqua" w:cs="宋体"/>
          <w:i/>
          <w:iCs/>
          <w:color w:val="000000"/>
          <w:sz w:val="24"/>
          <w:szCs w:val="24"/>
          <w:lang w:val="en-US" w:eastAsia="zh-CN"/>
        </w:rPr>
        <w:t>Braz J Infect Dis</w:t>
      </w:r>
      <w:r w:rsidRPr="002A60A4">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2010</w:t>
      </w:r>
      <w:r w:rsidRPr="002A60A4">
        <w:rPr>
          <w:rFonts w:ascii="Book Antiqua" w:eastAsia="宋体" w:hAnsi="Book Antiqua" w:cs="宋体"/>
          <w:color w:val="000000"/>
          <w:sz w:val="24"/>
          <w:szCs w:val="24"/>
          <w:lang w:val="en-US" w:eastAsia="zh-CN"/>
        </w:rPr>
        <w:t>; </w:t>
      </w:r>
      <w:r w:rsidRPr="002A60A4">
        <w:rPr>
          <w:rFonts w:ascii="Book Antiqua" w:eastAsia="宋体" w:hAnsi="Book Antiqua" w:cs="宋体"/>
          <w:b/>
          <w:bCs/>
          <w:color w:val="000000"/>
          <w:sz w:val="24"/>
          <w:szCs w:val="24"/>
          <w:lang w:val="en-US" w:eastAsia="zh-CN"/>
        </w:rPr>
        <w:t>14</w:t>
      </w:r>
      <w:r w:rsidRPr="002A60A4">
        <w:rPr>
          <w:rFonts w:ascii="Book Antiqua" w:eastAsia="宋体" w:hAnsi="Book Antiqua" w:cs="宋体"/>
          <w:color w:val="000000"/>
          <w:sz w:val="24"/>
          <w:szCs w:val="24"/>
          <w:lang w:val="en-US" w:eastAsia="zh-CN"/>
        </w:rPr>
        <w:t>: 575-588 [PMID: 21340298 DOI: 10.1016/S1413-8670(10)70115-X]</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15 </w:t>
      </w:r>
      <w:r w:rsidRPr="002A60A4">
        <w:rPr>
          <w:rFonts w:ascii="Book Antiqua" w:eastAsia="宋体" w:hAnsi="Book Antiqua" w:cs="宋体"/>
          <w:b/>
          <w:bCs/>
          <w:color w:val="000000"/>
          <w:sz w:val="24"/>
          <w:szCs w:val="24"/>
          <w:lang w:val="en-US" w:eastAsia="zh-CN"/>
        </w:rPr>
        <w:t>Grunfeld C</w:t>
      </w:r>
      <w:r w:rsidRPr="002A60A4">
        <w:rPr>
          <w:rFonts w:ascii="Book Antiqua" w:eastAsia="宋体" w:hAnsi="Book Antiqua" w:cs="宋体"/>
          <w:color w:val="000000"/>
          <w:sz w:val="24"/>
          <w:szCs w:val="24"/>
          <w:lang w:val="en-US" w:eastAsia="zh-CN"/>
        </w:rPr>
        <w:t>. Dyslipidemia and its Treatment in HIV Infection. </w:t>
      </w:r>
      <w:r w:rsidRPr="002A60A4">
        <w:rPr>
          <w:rFonts w:ascii="Book Antiqua" w:eastAsia="宋体" w:hAnsi="Book Antiqua" w:cs="宋体"/>
          <w:i/>
          <w:iCs/>
          <w:color w:val="000000"/>
          <w:sz w:val="24"/>
          <w:szCs w:val="24"/>
          <w:lang w:val="en-US" w:eastAsia="zh-CN"/>
        </w:rPr>
        <w:t>Top HIV Med</w:t>
      </w:r>
      <w:r w:rsidRPr="002A60A4">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2010</w:t>
      </w:r>
      <w:r w:rsidRPr="002A60A4">
        <w:rPr>
          <w:rFonts w:ascii="Book Antiqua" w:eastAsia="宋体" w:hAnsi="Book Antiqua" w:cs="宋体"/>
          <w:color w:val="000000"/>
          <w:sz w:val="24"/>
          <w:szCs w:val="24"/>
          <w:lang w:val="en-US" w:eastAsia="zh-CN"/>
        </w:rPr>
        <w:t>; </w:t>
      </w:r>
      <w:r w:rsidRPr="002A60A4">
        <w:rPr>
          <w:rFonts w:ascii="Book Antiqua" w:eastAsia="宋体" w:hAnsi="Book Antiqua" w:cs="宋体"/>
          <w:b/>
          <w:bCs/>
          <w:color w:val="000000"/>
          <w:sz w:val="24"/>
          <w:szCs w:val="24"/>
          <w:lang w:val="en-US" w:eastAsia="zh-CN"/>
        </w:rPr>
        <w:t>18</w:t>
      </w:r>
      <w:r w:rsidRPr="002A60A4">
        <w:rPr>
          <w:rFonts w:ascii="Book Antiqua" w:eastAsia="宋体" w:hAnsi="Book Antiqua" w:cs="宋体"/>
          <w:color w:val="000000"/>
          <w:sz w:val="24"/>
          <w:szCs w:val="24"/>
          <w:lang w:val="en-US" w:eastAsia="zh-CN"/>
        </w:rPr>
        <w:t>: 112-118 [PMID: 20921577]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16 </w:t>
      </w:r>
      <w:r w:rsidRPr="002A60A4">
        <w:rPr>
          <w:rFonts w:ascii="Book Antiqua" w:eastAsia="宋体" w:hAnsi="Book Antiqua" w:cs="宋体"/>
          <w:b/>
          <w:bCs/>
          <w:color w:val="000000"/>
          <w:sz w:val="24"/>
          <w:szCs w:val="24"/>
          <w:lang w:val="en-US" w:eastAsia="zh-CN"/>
        </w:rPr>
        <w:t>Freitas P</w:t>
      </w:r>
      <w:r w:rsidRPr="002A60A4">
        <w:rPr>
          <w:rFonts w:ascii="Book Antiqua" w:eastAsia="宋体" w:hAnsi="Book Antiqua" w:cs="宋体"/>
          <w:color w:val="000000"/>
          <w:sz w:val="24"/>
          <w:szCs w:val="24"/>
          <w:lang w:val="en-US" w:eastAsia="zh-CN"/>
        </w:rPr>
        <w:t>, Carvalho D. Lipodystrophy: beyond generalization? </w:t>
      </w:r>
      <w:r w:rsidRPr="002A60A4">
        <w:rPr>
          <w:rFonts w:ascii="Book Antiqua" w:eastAsia="宋体" w:hAnsi="Book Antiqua" w:cs="宋体"/>
          <w:i/>
          <w:iCs/>
          <w:color w:val="000000"/>
          <w:sz w:val="24"/>
          <w:szCs w:val="24"/>
          <w:lang w:val="en-US" w:eastAsia="zh-CN"/>
        </w:rPr>
        <w:t>Panminerva Med</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55</w:t>
      </w:r>
      <w:r w:rsidRPr="002A60A4">
        <w:rPr>
          <w:rFonts w:ascii="Book Antiqua" w:eastAsia="宋体" w:hAnsi="Book Antiqua" w:cs="宋体"/>
          <w:color w:val="000000"/>
          <w:sz w:val="24"/>
          <w:szCs w:val="24"/>
          <w:lang w:val="en-US" w:eastAsia="zh-CN"/>
        </w:rPr>
        <w:t>: 253-268 [PMID: 24088799]</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17 </w:t>
      </w:r>
      <w:r w:rsidRPr="002A60A4">
        <w:rPr>
          <w:rFonts w:ascii="Book Antiqua" w:eastAsia="宋体" w:hAnsi="Book Antiqua" w:cs="宋体"/>
          <w:b/>
          <w:bCs/>
          <w:color w:val="000000"/>
          <w:sz w:val="24"/>
          <w:szCs w:val="24"/>
          <w:lang w:val="en-US" w:eastAsia="zh-CN"/>
        </w:rPr>
        <w:t>Behrens GM</w:t>
      </w:r>
      <w:r w:rsidRPr="002A60A4">
        <w:rPr>
          <w:rFonts w:ascii="Book Antiqua" w:eastAsia="宋体" w:hAnsi="Book Antiqua" w:cs="宋体"/>
          <w:color w:val="000000"/>
          <w:sz w:val="24"/>
          <w:szCs w:val="24"/>
          <w:lang w:val="en-US" w:eastAsia="zh-CN"/>
        </w:rPr>
        <w:t>, Stoll M, Schmidt RE. Lipodystrophy syndrome in HIV infection: what is it, what causes it and how can it be managed? </w:t>
      </w:r>
      <w:r w:rsidRPr="002A60A4">
        <w:rPr>
          <w:rFonts w:ascii="Book Antiqua" w:eastAsia="宋体" w:hAnsi="Book Antiqua" w:cs="宋体"/>
          <w:i/>
          <w:iCs/>
          <w:color w:val="000000"/>
          <w:sz w:val="24"/>
          <w:szCs w:val="24"/>
          <w:lang w:val="en-US" w:eastAsia="zh-CN"/>
        </w:rPr>
        <w:t>Drug Saf</w:t>
      </w:r>
      <w:r w:rsidRPr="002A60A4">
        <w:rPr>
          <w:rFonts w:ascii="Book Antiqua" w:eastAsia="宋体" w:hAnsi="Book Antiqua" w:cs="宋体"/>
          <w:color w:val="000000"/>
          <w:sz w:val="24"/>
          <w:szCs w:val="24"/>
          <w:lang w:val="en-US" w:eastAsia="zh-CN"/>
        </w:rPr>
        <w:t> 2000; </w:t>
      </w:r>
      <w:r w:rsidRPr="002A60A4">
        <w:rPr>
          <w:rFonts w:ascii="Book Antiqua" w:eastAsia="宋体" w:hAnsi="Book Antiqua" w:cs="宋体"/>
          <w:b/>
          <w:bCs/>
          <w:color w:val="000000"/>
          <w:sz w:val="24"/>
          <w:szCs w:val="24"/>
          <w:lang w:val="en-US" w:eastAsia="zh-CN"/>
        </w:rPr>
        <w:t>23</w:t>
      </w:r>
      <w:r w:rsidRPr="002A60A4">
        <w:rPr>
          <w:rFonts w:ascii="Book Antiqua" w:eastAsia="宋体" w:hAnsi="Book Antiqua" w:cs="宋体"/>
          <w:color w:val="000000"/>
          <w:sz w:val="24"/>
          <w:szCs w:val="24"/>
          <w:lang w:val="en-US" w:eastAsia="zh-CN"/>
        </w:rPr>
        <w:t>: 57-76 [PMID: 10915032 DOI: 10.2165/00002018-200023010]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18 </w:t>
      </w:r>
      <w:r w:rsidRPr="002A60A4">
        <w:rPr>
          <w:rFonts w:ascii="Book Antiqua" w:eastAsia="宋体" w:hAnsi="Book Antiqua" w:cs="宋体"/>
          <w:b/>
          <w:bCs/>
          <w:color w:val="000000"/>
          <w:sz w:val="24"/>
          <w:szCs w:val="24"/>
          <w:lang w:val="en-US" w:eastAsia="zh-CN"/>
        </w:rPr>
        <w:t>Campbell SM</w:t>
      </w:r>
      <w:r w:rsidRPr="002A60A4">
        <w:rPr>
          <w:rFonts w:ascii="Book Antiqua" w:eastAsia="宋体" w:hAnsi="Book Antiqua" w:cs="宋体"/>
          <w:color w:val="000000"/>
          <w:sz w:val="24"/>
          <w:szCs w:val="24"/>
          <w:lang w:val="en-US" w:eastAsia="zh-CN"/>
        </w:rPr>
        <w:t>, Crowe SM, Mak J. Virion-associated cholesterol is critical for the maintenance of HIV-1 structure and infectivity.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16</w:t>
      </w:r>
      <w:r w:rsidRPr="002A60A4">
        <w:rPr>
          <w:rFonts w:ascii="Book Antiqua" w:eastAsia="宋体" w:hAnsi="Book Antiqua" w:cs="宋体"/>
          <w:color w:val="000000"/>
          <w:sz w:val="24"/>
          <w:szCs w:val="24"/>
          <w:lang w:val="en-US" w:eastAsia="zh-CN"/>
        </w:rPr>
        <w:t>: 2253-2261 [PMID: 12441796 DOI: 10.1097/00002030-200211220-00004]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19 </w:t>
      </w:r>
      <w:r w:rsidRPr="002A60A4">
        <w:rPr>
          <w:rFonts w:ascii="Book Antiqua" w:eastAsia="宋体" w:hAnsi="Book Antiqua" w:cs="宋体"/>
          <w:b/>
          <w:bCs/>
          <w:color w:val="000000"/>
          <w:sz w:val="24"/>
          <w:szCs w:val="24"/>
          <w:lang w:val="en-US" w:eastAsia="zh-CN"/>
        </w:rPr>
        <w:t>Chan R</w:t>
      </w:r>
      <w:r w:rsidRPr="002A60A4">
        <w:rPr>
          <w:rFonts w:ascii="Book Antiqua" w:eastAsia="宋体" w:hAnsi="Book Antiqua" w:cs="宋体"/>
          <w:color w:val="000000"/>
          <w:sz w:val="24"/>
          <w:szCs w:val="24"/>
          <w:lang w:val="en-US" w:eastAsia="zh-CN"/>
        </w:rPr>
        <w:t>, Uchil PD, Jin J, Shui G, Ott DE, Mothes W, Wenk MR. Retroviruses human immunodeficiency virus and murine leukemia virus are enriched in phosphoinositides. </w:t>
      </w:r>
      <w:r w:rsidRPr="002A60A4">
        <w:rPr>
          <w:rFonts w:ascii="Book Antiqua" w:eastAsia="宋体" w:hAnsi="Book Antiqua" w:cs="宋体"/>
          <w:i/>
          <w:iCs/>
          <w:color w:val="000000"/>
          <w:sz w:val="24"/>
          <w:szCs w:val="24"/>
          <w:lang w:val="en-US" w:eastAsia="zh-CN"/>
        </w:rPr>
        <w:t>J Virol</w:t>
      </w:r>
      <w:r w:rsidRPr="002A60A4">
        <w:rPr>
          <w:rFonts w:ascii="Book Antiqua" w:eastAsia="宋体" w:hAnsi="Book Antiqua" w:cs="宋体"/>
          <w:color w:val="000000"/>
          <w:sz w:val="24"/>
          <w:szCs w:val="24"/>
          <w:lang w:val="en-US" w:eastAsia="zh-CN"/>
        </w:rPr>
        <w:t> 2008; </w:t>
      </w:r>
      <w:r w:rsidRPr="002A60A4">
        <w:rPr>
          <w:rFonts w:ascii="Book Antiqua" w:eastAsia="宋体" w:hAnsi="Book Antiqua" w:cs="宋体"/>
          <w:b/>
          <w:bCs/>
          <w:color w:val="000000"/>
          <w:sz w:val="24"/>
          <w:szCs w:val="24"/>
          <w:lang w:val="en-US" w:eastAsia="zh-CN"/>
        </w:rPr>
        <w:t>82</w:t>
      </w:r>
      <w:r w:rsidRPr="002A60A4">
        <w:rPr>
          <w:rFonts w:ascii="Book Antiqua" w:eastAsia="宋体" w:hAnsi="Book Antiqua" w:cs="宋体"/>
          <w:color w:val="000000"/>
          <w:sz w:val="24"/>
          <w:szCs w:val="24"/>
          <w:lang w:val="en-US" w:eastAsia="zh-CN"/>
        </w:rPr>
        <w:t>: 11228-11238 [PMID: 18799574 DOI: 10.1128/JVI.00981-08]</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20 </w:t>
      </w:r>
      <w:r w:rsidRPr="002A60A4">
        <w:rPr>
          <w:rFonts w:ascii="Book Antiqua" w:eastAsia="宋体" w:hAnsi="Book Antiqua" w:cs="宋体"/>
          <w:b/>
          <w:bCs/>
          <w:color w:val="000000"/>
          <w:sz w:val="24"/>
          <w:szCs w:val="24"/>
          <w:lang w:val="en-US" w:eastAsia="zh-CN"/>
        </w:rPr>
        <w:t>Hanley TM</w:t>
      </w:r>
      <w:r w:rsidRPr="002A60A4">
        <w:rPr>
          <w:rFonts w:ascii="Book Antiqua" w:eastAsia="宋体" w:hAnsi="Book Antiqua" w:cs="宋体"/>
          <w:color w:val="000000"/>
          <w:sz w:val="24"/>
          <w:szCs w:val="24"/>
          <w:lang w:val="en-US" w:eastAsia="zh-CN"/>
        </w:rPr>
        <w:t>, Blay Puryear W, Gummuluru S, Viglianti GA. PPARgamma and LXR signaling inhibit dendritic cell-mediated HIV-1 capture and trans-infection. </w:t>
      </w:r>
      <w:r w:rsidRPr="002A60A4">
        <w:rPr>
          <w:rFonts w:ascii="Book Antiqua" w:eastAsia="宋体" w:hAnsi="Book Antiqua" w:cs="宋体"/>
          <w:i/>
          <w:iCs/>
          <w:color w:val="000000"/>
          <w:sz w:val="24"/>
          <w:szCs w:val="24"/>
          <w:lang w:val="en-US" w:eastAsia="zh-CN"/>
        </w:rPr>
        <w:t>PLoS Pathog</w:t>
      </w:r>
      <w:r w:rsidRPr="002A60A4">
        <w:rPr>
          <w:rFonts w:ascii="Book Antiqua" w:eastAsia="宋体" w:hAnsi="Book Antiqua" w:cs="宋体"/>
          <w:color w:val="000000"/>
          <w:sz w:val="24"/>
          <w:szCs w:val="24"/>
          <w:lang w:val="en-US" w:eastAsia="zh-CN"/>
        </w:rPr>
        <w:t> 2010; </w:t>
      </w:r>
      <w:r w:rsidRPr="002A60A4">
        <w:rPr>
          <w:rFonts w:ascii="Book Antiqua" w:eastAsia="宋体" w:hAnsi="Book Antiqua" w:cs="宋体"/>
          <w:b/>
          <w:bCs/>
          <w:color w:val="000000"/>
          <w:sz w:val="24"/>
          <w:szCs w:val="24"/>
          <w:lang w:val="en-US" w:eastAsia="zh-CN"/>
        </w:rPr>
        <w:t>6</w:t>
      </w:r>
      <w:r w:rsidRPr="002A60A4">
        <w:rPr>
          <w:rFonts w:ascii="Book Antiqua" w:eastAsia="宋体" w:hAnsi="Book Antiqua" w:cs="宋体"/>
          <w:color w:val="000000"/>
          <w:sz w:val="24"/>
          <w:szCs w:val="24"/>
          <w:lang w:val="en-US" w:eastAsia="zh-CN"/>
        </w:rPr>
        <w:t>: e1000981 [PMID: 20617179 DOI: 10.1371/journal.ppat.1000981]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21 </w:t>
      </w:r>
      <w:r w:rsidRPr="002A60A4">
        <w:rPr>
          <w:rFonts w:ascii="Book Antiqua" w:eastAsia="宋体" w:hAnsi="Book Antiqua" w:cs="宋体"/>
          <w:b/>
          <w:bCs/>
          <w:color w:val="000000"/>
          <w:sz w:val="24"/>
          <w:szCs w:val="24"/>
          <w:lang w:val="en-US" w:eastAsia="zh-CN"/>
        </w:rPr>
        <w:t>Hanley TM</w:t>
      </w:r>
      <w:r w:rsidRPr="002A60A4">
        <w:rPr>
          <w:rFonts w:ascii="Book Antiqua" w:eastAsia="宋体" w:hAnsi="Book Antiqua" w:cs="宋体"/>
          <w:color w:val="000000"/>
          <w:sz w:val="24"/>
          <w:szCs w:val="24"/>
          <w:lang w:val="en-US" w:eastAsia="zh-CN"/>
        </w:rPr>
        <w:t>, Viglianti GA. Nuclear receptor signaling inhibits HIV-1 replication in macrophages through multiple trans-repression mechanisms. </w:t>
      </w:r>
      <w:r w:rsidRPr="002A60A4">
        <w:rPr>
          <w:rFonts w:ascii="Book Antiqua" w:eastAsia="宋体" w:hAnsi="Book Antiqua" w:cs="宋体"/>
          <w:i/>
          <w:iCs/>
          <w:color w:val="000000"/>
          <w:sz w:val="24"/>
          <w:szCs w:val="24"/>
          <w:lang w:val="en-US" w:eastAsia="zh-CN"/>
        </w:rPr>
        <w:t>J Virol</w:t>
      </w:r>
      <w:r w:rsidRPr="002A60A4">
        <w:rPr>
          <w:rFonts w:ascii="Book Antiqua" w:eastAsia="宋体" w:hAnsi="Book Antiqua" w:cs="宋体"/>
          <w:color w:val="000000"/>
          <w:sz w:val="24"/>
          <w:szCs w:val="24"/>
          <w:lang w:val="en-US" w:eastAsia="zh-CN"/>
        </w:rPr>
        <w:t> 2011; </w:t>
      </w:r>
      <w:r w:rsidRPr="002A60A4">
        <w:rPr>
          <w:rFonts w:ascii="Book Antiqua" w:eastAsia="宋体" w:hAnsi="Book Antiqua" w:cs="宋体"/>
          <w:b/>
          <w:bCs/>
          <w:color w:val="000000"/>
          <w:sz w:val="24"/>
          <w:szCs w:val="24"/>
          <w:lang w:val="en-US" w:eastAsia="zh-CN"/>
        </w:rPr>
        <w:t>85</w:t>
      </w:r>
      <w:r w:rsidRPr="002A60A4">
        <w:rPr>
          <w:rFonts w:ascii="Book Antiqua" w:eastAsia="宋体" w:hAnsi="Book Antiqua" w:cs="宋体"/>
          <w:color w:val="000000"/>
          <w:sz w:val="24"/>
          <w:szCs w:val="24"/>
          <w:lang w:val="en-US" w:eastAsia="zh-CN"/>
        </w:rPr>
        <w:t>: 10834-10850 [PMID: 21849441 DOI: 10.1128/JVI.00789-11]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22 </w:t>
      </w:r>
      <w:r w:rsidRPr="002A60A4">
        <w:rPr>
          <w:rFonts w:ascii="Book Antiqua" w:eastAsia="宋体" w:hAnsi="Book Antiqua" w:cs="宋体"/>
          <w:b/>
          <w:bCs/>
          <w:color w:val="000000"/>
          <w:sz w:val="24"/>
          <w:szCs w:val="24"/>
          <w:lang w:val="en-US" w:eastAsia="zh-CN"/>
        </w:rPr>
        <w:t>Wang X</w:t>
      </w:r>
      <w:r w:rsidRPr="002A60A4">
        <w:rPr>
          <w:rFonts w:ascii="Book Antiqua" w:eastAsia="宋体" w:hAnsi="Book Antiqua" w:cs="宋体"/>
          <w:color w:val="000000"/>
          <w:sz w:val="24"/>
          <w:szCs w:val="24"/>
          <w:lang w:val="en-US" w:eastAsia="zh-CN"/>
        </w:rPr>
        <w:t>, Chai H, Yao Q, Chen C. Molecular mechanisms of HIV protease inhibitor-induced endothelial dysfunction.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2007; </w:t>
      </w:r>
      <w:r w:rsidRPr="002A60A4">
        <w:rPr>
          <w:rFonts w:ascii="Book Antiqua" w:eastAsia="宋体" w:hAnsi="Book Antiqua" w:cs="宋体"/>
          <w:b/>
          <w:bCs/>
          <w:color w:val="000000"/>
          <w:sz w:val="24"/>
          <w:szCs w:val="24"/>
          <w:lang w:val="en-US" w:eastAsia="zh-CN"/>
        </w:rPr>
        <w:t>44</w:t>
      </w:r>
      <w:r w:rsidRPr="002A60A4">
        <w:rPr>
          <w:rFonts w:ascii="Book Antiqua" w:eastAsia="宋体" w:hAnsi="Book Antiqua" w:cs="宋体"/>
          <w:color w:val="000000"/>
          <w:sz w:val="24"/>
          <w:szCs w:val="24"/>
          <w:lang w:val="en-US" w:eastAsia="zh-CN"/>
        </w:rPr>
        <w:t>: 493-499 [PMID: 17245228 DOI: 10.1097/QAI.0b013e3180322542]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23 </w:t>
      </w:r>
      <w:r w:rsidRPr="002A60A4">
        <w:rPr>
          <w:rFonts w:ascii="Book Antiqua" w:eastAsia="宋体" w:hAnsi="Book Antiqua" w:cs="宋体"/>
          <w:b/>
          <w:bCs/>
          <w:color w:val="000000"/>
          <w:sz w:val="24"/>
          <w:szCs w:val="24"/>
          <w:lang w:val="en-US" w:eastAsia="zh-CN"/>
        </w:rPr>
        <w:t>Sankatsing RR</w:t>
      </w:r>
      <w:r w:rsidRPr="002A60A4">
        <w:rPr>
          <w:rFonts w:ascii="Book Antiqua" w:eastAsia="宋体" w:hAnsi="Book Antiqua" w:cs="宋体"/>
          <w:color w:val="000000"/>
          <w:sz w:val="24"/>
          <w:szCs w:val="24"/>
          <w:lang w:val="en-US" w:eastAsia="zh-CN"/>
        </w:rPr>
        <w:t>, Wit FW, Vogel M, de Groot E, Brinkman K, Rockstroh JK, Kastelein JJ, Stroes ES, Reiss P. Increased carotid intima-media thickness in HIV patients treated with protease inhibitors as compared to non-nucleoside reverse transcriptase inhibitors. </w:t>
      </w:r>
      <w:r w:rsidRPr="002A60A4">
        <w:rPr>
          <w:rFonts w:ascii="Book Antiqua" w:eastAsia="宋体" w:hAnsi="Book Antiqua" w:cs="宋体"/>
          <w:i/>
          <w:iCs/>
          <w:color w:val="000000"/>
          <w:sz w:val="24"/>
          <w:szCs w:val="24"/>
          <w:lang w:val="en-US" w:eastAsia="zh-CN"/>
        </w:rPr>
        <w:t>Atherosclerosis</w:t>
      </w:r>
      <w:r w:rsidRPr="002A60A4">
        <w:rPr>
          <w:rFonts w:ascii="Book Antiqua" w:eastAsia="宋体" w:hAnsi="Book Antiqua" w:cs="宋体"/>
          <w:color w:val="000000"/>
          <w:sz w:val="24"/>
          <w:szCs w:val="24"/>
          <w:lang w:val="en-US" w:eastAsia="zh-CN"/>
        </w:rPr>
        <w:t> 2009; </w:t>
      </w:r>
      <w:r w:rsidRPr="002A60A4">
        <w:rPr>
          <w:rFonts w:ascii="Book Antiqua" w:eastAsia="宋体" w:hAnsi="Book Antiqua" w:cs="宋体"/>
          <w:b/>
          <w:bCs/>
          <w:color w:val="000000"/>
          <w:sz w:val="24"/>
          <w:szCs w:val="24"/>
          <w:lang w:val="en-US" w:eastAsia="zh-CN"/>
        </w:rPr>
        <w:t>202</w:t>
      </w:r>
      <w:r w:rsidRPr="002A60A4">
        <w:rPr>
          <w:rFonts w:ascii="Book Antiqua" w:eastAsia="宋体" w:hAnsi="Book Antiqua" w:cs="宋体"/>
          <w:color w:val="000000"/>
          <w:sz w:val="24"/>
          <w:szCs w:val="24"/>
          <w:lang w:val="en-US" w:eastAsia="zh-CN"/>
        </w:rPr>
        <w:t>: 589-595 [PMID: 18599064 DOI: 10.1016/j.atherosclerosis.2008.05.028]</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24 </w:t>
      </w:r>
      <w:r w:rsidRPr="002A60A4">
        <w:rPr>
          <w:rFonts w:ascii="Book Antiqua" w:eastAsia="宋体" w:hAnsi="Book Antiqua" w:cs="宋体"/>
          <w:b/>
          <w:bCs/>
          <w:color w:val="000000"/>
          <w:sz w:val="24"/>
          <w:szCs w:val="24"/>
          <w:lang w:val="en-US" w:eastAsia="zh-CN"/>
        </w:rPr>
        <w:t>Riddler SA</w:t>
      </w:r>
      <w:r w:rsidRPr="002A60A4">
        <w:rPr>
          <w:rFonts w:ascii="Book Antiqua" w:eastAsia="宋体" w:hAnsi="Book Antiqua" w:cs="宋体"/>
          <w:color w:val="000000"/>
          <w:sz w:val="24"/>
          <w:szCs w:val="24"/>
          <w:lang w:val="en-US" w:eastAsia="zh-CN"/>
        </w:rPr>
        <w:t>, Li X, Otvos J, Post W, Palella F, Kingsley L, Visscher B, Jacobson LP, Sharrett AR. Antiretroviral therapy is associated with an atherogenic lipoprotein phenotype among HIV-1-infected men in the Multicenter AIDS Cohort Study.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2008; </w:t>
      </w:r>
      <w:r w:rsidRPr="002A60A4">
        <w:rPr>
          <w:rFonts w:ascii="Book Antiqua" w:eastAsia="宋体" w:hAnsi="Book Antiqua" w:cs="宋体"/>
          <w:b/>
          <w:bCs/>
          <w:color w:val="000000"/>
          <w:sz w:val="24"/>
          <w:szCs w:val="24"/>
          <w:lang w:val="en-US" w:eastAsia="zh-CN"/>
        </w:rPr>
        <w:t>48</w:t>
      </w:r>
      <w:r w:rsidRPr="002A60A4">
        <w:rPr>
          <w:rFonts w:ascii="Book Antiqua" w:eastAsia="宋体" w:hAnsi="Book Antiqua" w:cs="宋体"/>
          <w:color w:val="000000"/>
          <w:sz w:val="24"/>
          <w:szCs w:val="24"/>
          <w:lang w:val="en-US" w:eastAsia="zh-CN"/>
        </w:rPr>
        <w:t>: 281-288 [PMID: 18545156 DOI: 10.1097/QAI.0b013e31817bbbf0]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25 </w:t>
      </w:r>
      <w:r w:rsidRPr="002A60A4">
        <w:rPr>
          <w:rFonts w:ascii="Book Antiqua" w:eastAsia="宋体" w:hAnsi="Book Antiqua" w:cs="宋体"/>
          <w:b/>
          <w:bCs/>
          <w:color w:val="000000"/>
          <w:sz w:val="24"/>
          <w:szCs w:val="24"/>
          <w:lang w:val="en-US" w:eastAsia="zh-CN"/>
        </w:rPr>
        <w:t>Qiu X</w:t>
      </w:r>
      <w:r w:rsidRPr="002A60A4">
        <w:rPr>
          <w:rFonts w:ascii="Book Antiqua" w:eastAsia="宋体" w:hAnsi="Book Antiqua" w:cs="宋体"/>
          <w:color w:val="000000"/>
          <w:sz w:val="24"/>
          <w:szCs w:val="24"/>
          <w:lang w:val="en-US" w:eastAsia="zh-CN"/>
        </w:rPr>
        <w:t>, Liu ZP. Recent developments of peptidomimetic HIV-1 protease inhibitors. </w:t>
      </w:r>
      <w:r w:rsidRPr="002A60A4">
        <w:rPr>
          <w:rFonts w:ascii="Book Antiqua" w:eastAsia="宋体" w:hAnsi="Book Antiqua" w:cs="宋体"/>
          <w:i/>
          <w:iCs/>
          <w:color w:val="000000"/>
          <w:sz w:val="24"/>
          <w:szCs w:val="24"/>
          <w:lang w:val="en-US" w:eastAsia="zh-CN"/>
        </w:rPr>
        <w:t>Curr Med Chem</w:t>
      </w:r>
      <w:r w:rsidRPr="002A60A4">
        <w:rPr>
          <w:rFonts w:ascii="Book Antiqua" w:eastAsia="宋体" w:hAnsi="Book Antiqua" w:cs="宋体"/>
          <w:color w:val="000000"/>
          <w:sz w:val="24"/>
          <w:szCs w:val="24"/>
          <w:lang w:val="en-US" w:eastAsia="zh-CN"/>
        </w:rPr>
        <w:t> 2011; </w:t>
      </w:r>
      <w:r w:rsidRPr="002A60A4">
        <w:rPr>
          <w:rFonts w:ascii="Book Antiqua" w:eastAsia="宋体" w:hAnsi="Book Antiqua" w:cs="宋体"/>
          <w:b/>
          <w:bCs/>
          <w:color w:val="000000"/>
          <w:sz w:val="24"/>
          <w:szCs w:val="24"/>
          <w:lang w:val="en-US" w:eastAsia="zh-CN"/>
        </w:rPr>
        <w:t>18</w:t>
      </w:r>
      <w:r w:rsidRPr="002A60A4">
        <w:rPr>
          <w:rFonts w:ascii="Book Antiqua" w:eastAsia="宋体" w:hAnsi="Book Antiqua" w:cs="宋体"/>
          <w:color w:val="000000"/>
          <w:sz w:val="24"/>
          <w:szCs w:val="24"/>
          <w:lang w:val="en-US" w:eastAsia="zh-CN"/>
        </w:rPr>
        <w:t>: 4513-4537 [PMID: 21864279 DOI: 10.2174/092986711797287566]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26 </w:t>
      </w:r>
      <w:r w:rsidRPr="002A60A4">
        <w:rPr>
          <w:rFonts w:ascii="Book Antiqua" w:eastAsia="宋体" w:hAnsi="Book Antiqua" w:cs="宋体"/>
          <w:b/>
          <w:bCs/>
          <w:color w:val="000000"/>
          <w:sz w:val="24"/>
          <w:szCs w:val="24"/>
          <w:lang w:val="en-US" w:eastAsia="zh-CN"/>
        </w:rPr>
        <w:t>Rawlings ND</w:t>
      </w:r>
      <w:r w:rsidRPr="002A60A4">
        <w:rPr>
          <w:rFonts w:ascii="Book Antiqua" w:eastAsia="宋体" w:hAnsi="Book Antiqua" w:cs="宋体"/>
          <w:color w:val="000000"/>
          <w:sz w:val="24"/>
          <w:szCs w:val="24"/>
          <w:lang w:val="en-US" w:eastAsia="zh-CN"/>
        </w:rPr>
        <w:t>, Tolle DP, Barrett AJ. Evolutionary families of peptidase inhibitors. </w:t>
      </w:r>
      <w:r w:rsidRPr="002A60A4">
        <w:rPr>
          <w:rFonts w:ascii="Book Antiqua" w:eastAsia="宋体" w:hAnsi="Book Antiqua" w:cs="宋体"/>
          <w:i/>
          <w:iCs/>
          <w:color w:val="000000"/>
          <w:sz w:val="24"/>
          <w:szCs w:val="24"/>
          <w:lang w:val="en-US" w:eastAsia="zh-CN"/>
        </w:rPr>
        <w:t>Biochem J</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378</w:t>
      </w:r>
      <w:r w:rsidRPr="002A60A4">
        <w:rPr>
          <w:rFonts w:ascii="Book Antiqua" w:eastAsia="宋体" w:hAnsi="Book Antiqua" w:cs="宋体"/>
          <w:color w:val="000000"/>
          <w:sz w:val="24"/>
          <w:szCs w:val="24"/>
          <w:lang w:val="en-US" w:eastAsia="zh-CN"/>
        </w:rPr>
        <w:t>: 705-716 [PMID: 14705960 DOI: 10.1042/BJ20031825]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27 </w:t>
      </w:r>
      <w:r w:rsidRPr="002A60A4">
        <w:rPr>
          <w:rFonts w:ascii="Book Antiqua" w:eastAsia="宋体" w:hAnsi="Book Antiqua" w:cs="宋体"/>
          <w:b/>
          <w:bCs/>
          <w:color w:val="000000"/>
          <w:sz w:val="24"/>
          <w:szCs w:val="24"/>
          <w:lang w:val="en-US" w:eastAsia="zh-CN"/>
        </w:rPr>
        <w:t>Hui DY</w:t>
      </w:r>
      <w:r w:rsidRPr="002A60A4">
        <w:rPr>
          <w:rFonts w:ascii="Book Antiqua" w:eastAsia="宋体" w:hAnsi="Book Antiqua" w:cs="宋体"/>
          <w:color w:val="000000"/>
          <w:sz w:val="24"/>
          <w:szCs w:val="24"/>
          <w:lang w:val="en-US" w:eastAsia="zh-CN"/>
        </w:rPr>
        <w:t>. Effects of HIV protease inhibitor therapy on lipid metabolism. </w:t>
      </w:r>
      <w:r w:rsidRPr="002A60A4">
        <w:rPr>
          <w:rFonts w:ascii="Book Antiqua" w:eastAsia="宋体" w:hAnsi="Book Antiqua" w:cs="宋体"/>
          <w:i/>
          <w:iCs/>
          <w:color w:val="000000"/>
          <w:sz w:val="24"/>
          <w:szCs w:val="24"/>
          <w:lang w:val="en-US" w:eastAsia="zh-CN"/>
        </w:rPr>
        <w:t>Prog Lipid Res</w:t>
      </w:r>
      <w:r w:rsidRPr="002A60A4">
        <w:rPr>
          <w:rFonts w:ascii="Book Antiqua" w:eastAsia="宋体" w:hAnsi="Book Antiqua" w:cs="宋体"/>
          <w:color w:val="000000"/>
          <w:sz w:val="24"/>
          <w:szCs w:val="24"/>
          <w:lang w:val="en-US" w:eastAsia="zh-CN"/>
        </w:rPr>
        <w:t> 2003; </w:t>
      </w:r>
      <w:r w:rsidRPr="002A60A4">
        <w:rPr>
          <w:rFonts w:ascii="Book Antiqua" w:eastAsia="宋体" w:hAnsi="Book Antiqua" w:cs="宋体"/>
          <w:b/>
          <w:bCs/>
          <w:color w:val="000000"/>
          <w:sz w:val="24"/>
          <w:szCs w:val="24"/>
          <w:lang w:val="en-US" w:eastAsia="zh-CN"/>
        </w:rPr>
        <w:t>42</w:t>
      </w:r>
      <w:r w:rsidRPr="002A60A4">
        <w:rPr>
          <w:rFonts w:ascii="Book Antiqua" w:eastAsia="宋体" w:hAnsi="Book Antiqua" w:cs="宋体"/>
          <w:color w:val="000000"/>
          <w:sz w:val="24"/>
          <w:szCs w:val="24"/>
          <w:lang w:val="en-US" w:eastAsia="zh-CN"/>
        </w:rPr>
        <w:t>: 81-92 [PMID: 12547652 DOI: 10.1016/S0163-7827(02)00046-2]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28 </w:t>
      </w:r>
      <w:r w:rsidRPr="002A60A4">
        <w:rPr>
          <w:rFonts w:ascii="Book Antiqua" w:eastAsia="宋体" w:hAnsi="Book Antiqua" w:cs="宋体"/>
          <w:b/>
          <w:bCs/>
          <w:color w:val="000000"/>
          <w:sz w:val="24"/>
          <w:szCs w:val="24"/>
          <w:lang w:val="en-US" w:eastAsia="zh-CN"/>
        </w:rPr>
        <w:t>Riddler SA</w:t>
      </w:r>
      <w:r w:rsidRPr="002A60A4">
        <w:rPr>
          <w:rFonts w:ascii="Book Antiqua" w:eastAsia="宋体" w:hAnsi="Book Antiqua" w:cs="宋体"/>
          <w:color w:val="000000"/>
          <w:sz w:val="24"/>
          <w:szCs w:val="24"/>
          <w:lang w:val="en-US" w:eastAsia="zh-CN"/>
        </w:rPr>
        <w:t>, Li X, Chu H, Kingsley LA, Dobs A, Evans R, Palella F, Visscher B, Chmiel JS, Sharrett A. Longitudinal changes in serum lipids among HIV-infected men on highly active antiretroviral therapy. </w:t>
      </w:r>
      <w:r w:rsidRPr="002A60A4">
        <w:rPr>
          <w:rFonts w:ascii="Book Antiqua" w:eastAsia="宋体" w:hAnsi="Book Antiqua" w:cs="宋体"/>
          <w:i/>
          <w:iCs/>
          <w:color w:val="000000"/>
          <w:sz w:val="24"/>
          <w:szCs w:val="24"/>
          <w:lang w:val="en-US" w:eastAsia="zh-CN"/>
        </w:rPr>
        <w:t>HIV Med</w:t>
      </w:r>
      <w:r w:rsidRPr="002A60A4">
        <w:rPr>
          <w:rFonts w:ascii="Book Antiqua" w:eastAsia="宋体" w:hAnsi="Book Antiqua" w:cs="宋体"/>
          <w:color w:val="000000"/>
          <w:sz w:val="24"/>
          <w:szCs w:val="24"/>
          <w:lang w:val="en-US" w:eastAsia="zh-CN"/>
        </w:rPr>
        <w:t> 2007; </w:t>
      </w:r>
      <w:r w:rsidRPr="002A60A4">
        <w:rPr>
          <w:rFonts w:ascii="Book Antiqua" w:eastAsia="宋体" w:hAnsi="Book Antiqua" w:cs="宋体"/>
          <w:b/>
          <w:bCs/>
          <w:color w:val="000000"/>
          <w:sz w:val="24"/>
          <w:szCs w:val="24"/>
          <w:lang w:val="en-US" w:eastAsia="zh-CN"/>
        </w:rPr>
        <w:t>8</w:t>
      </w:r>
      <w:r w:rsidRPr="002A60A4">
        <w:rPr>
          <w:rFonts w:ascii="Book Antiqua" w:eastAsia="宋体" w:hAnsi="Book Antiqua" w:cs="宋体"/>
          <w:color w:val="000000"/>
          <w:sz w:val="24"/>
          <w:szCs w:val="24"/>
          <w:lang w:val="en-US" w:eastAsia="zh-CN"/>
        </w:rPr>
        <w:t>: 280-287 [PMID: 17561873 DOI: 10.1111/j.1468-1293.2007.00470.x]</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29 </w:t>
      </w:r>
      <w:r w:rsidRPr="002A60A4">
        <w:rPr>
          <w:rFonts w:ascii="Book Antiqua" w:eastAsia="宋体" w:hAnsi="Book Antiqua" w:cs="宋体"/>
          <w:b/>
          <w:bCs/>
          <w:color w:val="000000"/>
          <w:sz w:val="24"/>
          <w:szCs w:val="24"/>
          <w:lang w:val="en-US" w:eastAsia="zh-CN"/>
        </w:rPr>
        <w:t>Arribas JR</w:t>
      </w:r>
      <w:r w:rsidRPr="002A60A4">
        <w:rPr>
          <w:rFonts w:ascii="Book Antiqua" w:eastAsia="宋体" w:hAnsi="Book Antiqua" w:cs="宋体"/>
          <w:color w:val="000000"/>
          <w:sz w:val="24"/>
          <w:szCs w:val="24"/>
          <w:lang w:val="en-US" w:eastAsia="zh-CN"/>
        </w:rPr>
        <w:t>, Pulido F, Delgado R, Lorenzo A, Miralles P, Arranz A, González-García JJ, Cepeda C, Hervás R, Paño JR, Gaya F, Carcas A, Montes ML, Costa JR, Peña JM. Lopinavir/ritonavir as single-drug therapy for maintenance of HIV-1 viral suppression: 48-week results of a randomized, controlled, open-label, proof-of-concept pilot clinical trial (OK Study).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40</w:t>
      </w:r>
      <w:r w:rsidRPr="002A60A4">
        <w:rPr>
          <w:rFonts w:ascii="Book Antiqua" w:eastAsia="宋体" w:hAnsi="Book Antiqua" w:cs="宋体"/>
          <w:color w:val="000000"/>
          <w:sz w:val="24"/>
          <w:szCs w:val="24"/>
          <w:lang w:val="en-US" w:eastAsia="zh-CN"/>
        </w:rPr>
        <w:t>: 280-287 [PMID: 16249701 DOI: 10.1097/01.qai.0000180077.59159.f4]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30 </w:t>
      </w:r>
      <w:r w:rsidRPr="002A60A4">
        <w:rPr>
          <w:rFonts w:ascii="Book Antiqua" w:eastAsia="宋体" w:hAnsi="Book Antiqua" w:cs="宋体"/>
          <w:b/>
          <w:bCs/>
          <w:color w:val="000000"/>
          <w:sz w:val="24"/>
          <w:szCs w:val="24"/>
          <w:lang w:val="en-US" w:eastAsia="zh-CN"/>
        </w:rPr>
        <w:t>Patick AK</w:t>
      </w:r>
      <w:r w:rsidRPr="002A60A4">
        <w:rPr>
          <w:rFonts w:ascii="Book Antiqua" w:eastAsia="宋体" w:hAnsi="Book Antiqua" w:cs="宋体"/>
          <w:color w:val="000000"/>
          <w:sz w:val="24"/>
          <w:szCs w:val="24"/>
          <w:lang w:val="en-US" w:eastAsia="zh-CN"/>
        </w:rPr>
        <w:t>, Potts KE. Protease inhibitors as antiviral agents. </w:t>
      </w:r>
      <w:r w:rsidRPr="002A60A4">
        <w:rPr>
          <w:rFonts w:ascii="Book Antiqua" w:eastAsia="宋体" w:hAnsi="Book Antiqua" w:cs="宋体"/>
          <w:i/>
          <w:iCs/>
          <w:color w:val="000000"/>
          <w:sz w:val="24"/>
          <w:szCs w:val="24"/>
          <w:lang w:val="en-US" w:eastAsia="zh-CN"/>
        </w:rPr>
        <w:t>Clin Microbiol Rev</w:t>
      </w:r>
      <w:r w:rsidRPr="002A60A4">
        <w:rPr>
          <w:rFonts w:ascii="Book Antiqua" w:eastAsia="宋体" w:hAnsi="Book Antiqua" w:cs="宋体"/>
          <w:color w:val="000000"/>
          <w:sz w:val="24"/>
          <w:szCs w:val="24"/>
          <w:lang w:val="en-US" w:eastAsia="zh-CN"/>
        </w:rPr>
        <w:t> 1998; </w:t>
      </w:r>
      <w:r w:rsidRPr="002A60A4">
        <w:rPr>
          <w:rFonts w:ascii="Book Antiqua" w:eastAsia="宋体" w:hAnsi="Book Antiqua" w:cs="宋体"/>
          <w:b/>
          <w:bCs/>
          <w:color w:val="000000"/>
          <w:sz w:val="24"/>
          <w:szCs w:val="24"/>
          <w:lang w:val="en-US" w:eastAsia="zh-CN"/>
        </w:rPr>
        <w:t>11</w:t>
      </w:r>
      <w:r w:rsidRPr="002A60A4">
        <w:rPr>
          <w:rFonts w:ascii="Book Antiqua" w:eastAsia="宋体" w:hAnsi="Book Antiqua" w:cs="宋体"/>
          <w:color w:val="000000"/>
          <w:sz w:val="24"/>
          <w:szCs w:val="24"/>
          <w:lang w:val="en-US" w:eastAsia="zh-CN"/>
        </w:rPr>
        <w:t>: 614-627 [PMID: 9767059]</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 xml:space="preserve">31 </w:t>
      </w:r>
      <w:hyperlink r:id="rId24" w:history="1">
        <w:r w:rsidRPr="002A60A4">
          <w:rPr>
            <w:rFonts w:ascii="Book Antiqua" w:eastAsia="宋体" w:hAnsi="Book Antiqua" w:cs="宋体"/>
            <w:b/>
            <w:color w:val="000000"/>
            <w:sz w:val="24"/>
            <w:szCs w:val="24"/>
            <w:lang w:eastAsia="zh-CN"/>
          </w:rPr>
          <w:t>Helleberg M</w:t>
        </w:r>
      </w:hyperlink>
      <w:r w:rsidRPr="002A60A4">
        <w:rPr>
          <w:rFonts w:ascii="Book Antiqua" w:eastAsia="宋体" w:hAnsi="Book Antiqua" w:cs="宋体"/>
          <w:b/>
          <w:color w:val="000000"/>
          <w:sz w:val="24"/>
          <w:szCs w:val="24"/>
          <w:lang w:val="en-US" w:eastAsia="zh-CN"/>
        </w:rPr>
        <w:t>,</w:t>
      </w:r>
      <w:r w:rsidRPr="002A60A4">
        <w:rPr>
          <w:rFonts w:ascii="Book Antiqua" w:eastAsia="宋体" w:hAnsi="Book Antiqua" w:cs="宋体"/>
          <w:color w:val="000000"/>
          <w:sz w:val="24"/>
          <w:szCs w:val="24"/>
          <w:lang w:eastAsia="zh-CN"/>
        </w:rPr>
        <w:t> </w:t>
      </w:r>
      <w:hyperlink r:id="rId25" w:history="1">
        <w:r w:rsidRPr="002A60A4">
          <w:rPr>
            <w:rFonts w:ascii="Book Antiqua" w:eastAsia="宋体" w:hAnsi="Book Antiqua" w:cs="宋体"/>
            <w:color w:val="000000"/>
            <w:sz w:val="24"/>
            <w:szCs w:val="24"/>
            <w:lang w:eastAsia="zh-CN"/>
          </w:rPr>
          <w:t>Kronborg G</w:t>
        </w:r>
      </w:hyperlink>
      <w:r w:rsidRPr="002A60A4">
        <w:rPr>
          <w:rFonts w:ascii="Book Antiqua" w:eastAsia="宋体" w:hAnsi="Book Antiqua" w:cs="宋体"/>
          <w:color w:val="000000"/>
          <w:sz w:val="24"/>
          <w:szCs w:val="24"/>
          <w:lang w:val="en-US" w:eastAsia="zh-CN"/>
        </w:rPr>
        <w:t>,</w:t>
      </w:r>
      <w:r w:rsidRPr="002A60A4">
        <w:rPr>
          <w:rFonts w:ascii="Book Antiqua" w:eastAsia="宋体" w:hAnsi="Book Antiqua" w:cs="宋体"/>
          <w:color w:val="000000"/>
          <w:sz w:val="24"/>
          <w:szCs w:val="24"/>
          <w:lang w:eastAsia="zh-CN"/>
        </w:rPr>
        <w:t> </w:t>
      </w:r>
      <w:hyperlink r:id="rId26" w:history="1">
        <w:r w:rsidRPr="002A60A4">
          <w:rPr>
            <w:rFonts w:ascii="Book Antiqua" w:eastAsia="宋体" w:hAnsi="Book Antiqua" w:cs="宋体"/>
            <w:color w:val="000000"/>
            <w:sz w:val="24"/>
            <w:szCs w:val="24"/>
            <w:lang w:eastAsia="zh-CN"/>
          </w:rPr>
          <w:t>Larsen CS</w:t>
        </w:r>
      </w:hyperlink>
      <w:r w:rsidRPr="002A60A4">
        <w:rPr>
          <w:rFonts w:ascii="Book Antiqua" w:eastAsia="宋体" w:hAnsi="Book Antiqua" w:cs="宋体"/>
          <w:color w:val="000000"/>
          <w:sz w:val="24"/>
          <w:szCs w:val="24"/>
          <w:lang w:val="en-US" w:eastAsia="zh-CN"/>
        </w:rPr>
        <w:t>,</w:t>
      </w:r>
      <w:r w:rsidRPr="002A60A4">
        <w:rPr>
          <w:rFonts w:ascii="Book Antiqua" w:eastAsia="宋体" w:hAnsi="Book Antiqua" w:cs="宋体"/>
          <w:color w:val="000000"/>
          <w:sz w:val="24"/>
          <w:szCs w:val="24"/>
          <w:lang w:eastAsia="zh-CN"/>
        </w:rPr>
        <w:t> </w:t>
      </w:r>
      <w:hyperlink r:id="rId27" w:history="1">
        <w:r w:rsidRPr="002A60A4">
          <w:rPr>
            <w:rFonts w:ascii="Book Antiqua" w:eastAsia="宋体" w:hAnsi="Book Antiqua" w:cs="宋体"/>
            <w:color w:val="000000"/>
            <w:sz w:val="24"/>
            <w:szCs w:val="24"/>
            <w:lang w:eastAsia="zh-CN"/>
          </w:rPr>
          <w:t>Pedersen G</w:t>
        </w:r>
      </w:hyperlink>
      <w:r w:rsidRPr="002A60A4">
        <w:rPr>
          <w:rFonts w:ascii="Book Antiqua" w:eastAsia="宋体" w:hAnsi="Book Antiqua" w:cs="宋体"/>
          <w:color w:val="000000"/>
          <w:sz w:val="24"/>
          <w:szCs w:val="24"/>
          <w:lang w:val="en-US" w:eastAsia="zh-CN"/>
        </w:rPr>
        <w:t>,</w:t>
      </w:r>
      <w:r w:rsidRPr="002A60A4">
        <w:rPr>
          <w:rFonts w:ascii="Book Antiqua" w:eastAsia="宋体" w:hAnsi="Book Antiqua" w:cs="宋体"/>
          <w:color w:val="000000"/>
          <w:sz w:val="24"/>
          <w:szCs w:val="24"/>
          <w:lang w:eastAsia="zh-CN"/>
        </w:rPr>
        <w:t> </w:t>
      </w:r>
      <w:hyperlink r:id="rId28" w:history="1">
        <w:r w:rsidRPr="002A60A4">
          <w:rPr>
            <w:rFonts w:ascii="Book Antiqua" w:eastAsia="宋体" w:hAnsi="Book Antiqua" w:cs="宋体"/>
            <w:color w:val="000000"/>
            <w:sz w:val="24"/>
            <w:szCs w:val="24"/>
            <w:lang w:eastAsia="zh-CN"/>
          </w:rPr>
          <w:t>Pedersen C</w:t>
        </w:r>
      </w:hyperlink>
      <w:r w:rsidRPr="002A60A4">
        <w:rPr>
          <w:rFonts w:ascii="Book Antiqua" w:eastAsia="宋体" w:hAnsi="Book Antiqua" w:cs="宋体"/>
          <w:color w:val="000000"/>
          <w:sz w:val="24"/>
          <w:szCs w:val="24"/>
          <w:lang w:val="en-US" w:eastAsia="zh-CN"/>
        </w:rPr>
        <w:t>,</w:t>
      </w:r>
      <w:r w:rsidRPr="002A60A4">
        <w:rPr>
          <w:rFonts w:ascii="Book Antiqua" w:eastAsia="宋体" w:hAnsi="Book Antiqua" w:cs="宋体"/>
          <w:color w:val="000000"/>
          <w:sz w:val="24"/>
          <w:szCs w:val="24"/>
          <w:lang w:eastAsia="zh-CN"/>
        </w:rPr>
        <w:t> </w:t>
      </w:r>
      <w:hyperlink r:id="rId29" w:history="1">
        <w:r w:rsidRPr="002A60A4">
          <w:rPr>
            <w:rFonts w:ascii="Book Antiqua" w:eastAsia="宋体" w:hAnsi="Book Antiqua" w:cs="宋体"/>
            <w:color w:val="000000"/>
            <w:sz w:val="24"/>
            <w:szCs w:val="24"/>
            <w:lang w:eastAsia="zh-CN"/>
          </w:rPr>
          <w:t>Nielsen L</w:t>
        </w:r>
      </w:hyperlink>
      <w:r w:rsidRPr="002A60A4">
        <w:rPr>
          <w:rFonts w:ascii="Book Antiqua" w:eastAsia="宋体" w:hAnsi="Book Antiqua" w:cs="宋体"/>
          <w:color w:val="000000"/>
          <w:sz w:val="24"/>
          <w:szCs w:val="24"/>
          <w:lang w:val="en-US" w:eastAsia="zh-CN"/>
        </w:rPr>
        <w:t>,</w:t>
      </w:r>
      <w:r w:rsidRPr="002A60A4">
        <w:rPr>
          <w:rFonts w:ascii="Book Antiqua" w:eastAsia="宋体" w:hAnsi="Book Antiqua" w:cs="宋体"/>
          <w:color w:val="000000"/>
          <w:sz w:val="24"/>
          <w:szCs w:val="24"/>
          <w:lang w:eastAsia="zh-CN"/>
        </w:rPr>
        <w:t> </w:t>
      </w:r>
      <w:hyperlink r:id="rId30" w:history="1">
        <w:r w:rsidRPr="002A60A4">
          <w:rPr>
            <w:rFonts w:ascii="Book Antiqua" w:eastAsia="宋体" w:hAnsi="Book Antiqua" w:cs="宋体"/>
            <w:color w:val="000000"/>
            <w:sz w:val="24"/>
            <w:szCs w:val="24"/>
            <w:lang w:eastAsia="zh-CN"/>
          </w:rPr>
          <w:t>Laursen A</w:t>
        </w:r>
      </w:hyperlink>
      <w:r w:rsidRPr="002A60A4">
        <w:rPr>
          <w:rFonts w:ascii="Book Antiqua" w:eastAsia="宋体" w:hAnsi="Book Antiqua" w:cs="宋体"/>
          <w:color w:val="000000"/>
          <w:sz w:val="24"/>
          <w:szCs w:val="24"/>
          <w:lang w:val="en-US" w:eastAsia="zh-CN"/>
        </w:rPr>
        <w:t>,</w:t>
      </w:r>
      <w:r w:rsidRPr="002A60A4">
        <w:rPr>
          <w:rFonts w:ascii="Book Antiqua" w:eastAsia="宋体" w:hAnsi="Book Antiqua" w:cs="宋体"/>
          <w:color w:val="000000"/>
          <w:sz w:val="24"/>
          <w:szCs w:val="24"/>
          <w:lang w:eastAsia="zh-CN"/>
        </w:rPr>
        <w:t> </w:t>
      </w:r>
      <w:hyperlink r:id="rId31" w:history="1">
        <w:r w:rsidRPr="002A60A4">
          <w:rPr>
            <w:rFonts w:ascii="Book Antiqua" w:eastAsia="宋体" w:hAnsi="Book Antiqua" w:cs="宋体"/>
            <w:color w:val="000000"/>
            <w:sz w:val="24"/>
            <w:szCs w:val="24"/>
            <w:lang w:eastAsia="zh-CN"/>
          </w:rPr>
          <w:t>Obel N</w:t>
        </w:r>
      </w:hyperlink>
      <w:r w:rsidRPr="002A60A4">
        <w:rPr>
          <w:rFonts w:ascii="Book Antiqua" w:eastAsia="宋体" w:hAnsi="Book Antiqua" w:cs="宋体"/>
          <w:color w:val="000000"/>
          <w:sz w:val="24"/>
          <w:szCs w:val="24"/>
          <w:lang w:val="en-US" w:eastAsia="zh-CN"/>
        </w:rPr>
        <w:t>,</w:t>
      </w:r>
      <w:r w:rsidRPr="002A60A4">
        <w:rPr>
          <w:rFonts w:ascii="Book Antiqua" w:eastAsia="宋体" w:hAnsi="Book Antiqua" w:cs="宋体"/>
          <w:color w:val="000000"/>
          <w:sz w:val="24"/>
          <w:szCs w:val="24"/>
          <w:lang w:eastAsia="zh-CN"/>
        </w:rPr>
        <w:t> </w:t>
      </w:r>
      <w:hyperlink r:id="rId32" w:history="1">
        <w:r w:rsidRPr="002A60A4">
          <w:rPr>
            <w:rFonts w:ascii="Book Antiqua" w:eastAsia="宋体" w:hAnsi="Book Antiqua" w:cs="宋体"/>
            <w:color w:val="000000"/>
            <w:sz w:val="24"/>
            <w:szCs w:val="24"/>
            <w:lang w:eastAsia="zh-CN"/>
          </w:rPr>
          <w:t>Gerstoft J</w:t>
        </w:r>
      </w:hyperlink>
      <w:r w:rsidRPr="002A60A4">
        <w:rPr>
          <w:rFonts w:ascii="Book Antiqua" w:eastAsia="宋体" w:hAnsi="Book Antiqua" w:cs="宋体"/>
          <w:color w:val="000000"/>
          <w:sz w:val="24"/>
          <w:szCs w:val="24"/>
          <w:lang w:val="en-US" w:eastAsia="zh-CN"/>
        </w:rPr>
        <w:t>. Decreasing rate of multiple treatment modifications among individuals who initiated antiretroviral therapy in 1997-2009 in the Danish HIV Cohort Study. </w:t>
      </w:r>
      <w:r w:rsidRPr="002A60A4">
        <w:rPr>
          <w:rFonts w:ascii="Book Antiqua" w:eastAsia="宋体" w:hAnsi="Book Antiqua" w:cs="宋体"/>
          <w:i/>
          <w:iCs/>
          <w:color w:val="000000"/>
          <w:sz w:val="24"/>
          <w:szCs w:val="24"/>
          <w:lang w:val="en-US" w:eastAsia="zh-CN"/>
        </w:rPr>
        <w:t>Antivir Ther</w:t>
      </w:r>
      <w:r w:rsidRPr="002A60A4">
        <w:rPr>
          <w:rFonts w:ascii="Book Antiqua" w:eastAsia="宋体" w:hAnsi="Book Antiqua" w:cs="宋体"/>
          <w:color w:val="000000"/>
          <w:sz w:val="24"/>
          <w:szCs w:val="24"/>
          <w:lang w:val="en-US" w:eastAsia="zh-CN"/>
        </w:rPr>
        <w:t> </w:t>
      </w:r>
      <w:r>
        <w:rPr>
          <w:rFonts w:ascii="Book Antiqua" w:eastAsia="宋体" w:hAnsi="Book Antiqua" w:cs="宋体"/>
          <w:color w:val="000000"/>
          <w:sz w:val="24"/>
          <w:szCs w:val="24"/>
          <w:lang w:val="en-US" w:eastAsia="zh-CN"/>
        </w:rPr>
        <w:t>2012</w:t>
      </w:r>
      <w:r w:rsidRPr="002A60A4">
        <w:rPr>
          <w:rFonts w:ascii="Book Antiqua" w:eastAsia="宋体" w:hAnsi="Book Antiqua" w:cs="宋体"/>
          <w:color w:val="000000"/>
          <w:sz w:val="24"/>
          <w:szCs w:val="24"/>
          <w:lang w:val="en-US" w:eastAsia="zh-CN"/>
        </w:rPr>
        <w:t xml:space="preserve"> [PMID: 23072939 DOI: 10.3851/IMP436]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32 </w:t>
      </w:r>
      <w:r w:rsidRPr="002A60A4">
        <w:rPr>
          <w:rFonts w:ascii="Book Antiqua" w:eastAsia="宋体" w:hAnsi="Book Antiqua" w:cs="宋体"/>
          <w:b/>
          <w:bCs/>
          <w:color w:val="000000"/>
          <w:sz w:val="24"/>
          <w:szCs w:val="24"/>
          <w:lang w:val="en-US" w:eastAsia="zh-CN"/>
        </w:rPr>
        <w:t>Carr A</w:t>
      </w:r>
      <w:r w:rsidRPr="002A60A4">
        <w:rPr>
          <w:rFonts w:ascii="Book Antiqua" w:eastAsia="宋体" w:hAnsi="Book Antiqua" w:cs="宋体"/>
          <w:color w:val="000000"/>
          <w:sz w:val="24"/>
          <w:szCs w:val="24"/>
          <w:lang w:val="en-US" w:eastAsia="zh-CN"/>
        </w:rPr>
        <w:t>, Hudson J, Chuah J, Mallal S, Law M, Hoy J, Doong N, French M, Smith D, Cooper DA. HIV protease inhibitor substitution in patients with lipodystrophy: a randomized, controlled, open-label, multicentre study.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2001; </w:t>
      </w:r>
      <w:r w:rsidRPr="002A60A4">
        <w:rPr>
          <w:rFonts w:ascii="Book Antiqua" w:eastAsia="宋体" w:hAnsi="Book Antiqua" w:cs="宋体"/>
          <w:b/>
          <w:bCs/>
          <w:color w:val="000000"/>
          <w:sz w:val="24"/>
          <w:szCs w:val="24"/>
          <w:lang w:val="en-US" w:eastAsia="zh-CN"/>
        </w:rPr>
        <w:t>15</w:t>
      </w:r>
      <w:r w:rsidRPr="002A60A4">
        <w:rPr>
          <w:rFonts w:ascii="Book Antiqua" w:eastAsia="宋体" w:hAnsi="Book Antiqua" w:cs="宋体"/>
          <w:color w:val="000000"/>
          <w:sz w:val="24"/>
          <w:szCs w:val="24"/>
          <w:lang w:val="en-US" w:eastAsia="zh-CN"/>
        </w:rPr>
        <w:t>: 1811-1822 [PMID: 11579243 DOI: 10.1097/00002030-200109280-00010]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33 </w:t>
      </w:r>
      <w:r w:rsidRPr="002A60A4">
        <w:rPr>
          <w:rFonts w:ascii="Book Antiqua" w:eastAsia="宋体" w:hAnsi="Book Antiqua" w:cs="宋体"/>
          <w:b/>
          <w:bCs/>
          <w:color w:val="000000"/>
          <w:sz w:val="24"/>
          <w:szCs w:val="24"/>
          <w:lang w:val="en-US" w:eastAsia="zh-CN"/>
        </w:rPr>
        <w:t>Prosperi MC</w:t>
      </w:r>
      <w:r w:rsidRPr="002A60A4">
        <w:rPr>
          <w:rFonts w:ascii="Book Antiqua" w:eastAsia="宋体" w:hAnsi="Book Antiqua" w:cs="宋体"/>
          <w:color w:val="000000"/>
          <w:sz w:val="24"/>
          <w:szCs w:val="24"/>
          <w:lang w:val="en-US" w:eastAsia="zh-CN"/>
        </w:rPr>
        <w:t>, Fabbiani M, Fanti I, Zaccarelli M, Colafigli M, Mondi A, D'Avino A, Borghetti A, Cauda R, Di Giambenedetto S. Predictors of first-line antiretroviral therapy discontinuation due to drug-related adverse events in HIV-infected patients: a retrospective cohort study. </w:t>
      </w:r>
      <w:r w:rsidRPr="002A60A4">
        <w:rPr>
          <w:rFonts w:ascii="Book Antiqua" w:eastAsia="宋体" w:hAnsi="Book Antiqua" w:cs="宋体"/>
          <w:i/>
          <w:iCs/>
          <w:color w:val="000000"/>
          <w:sz w:val="24"/>
          <w:szCs w:val="24"/>
          <w:lang w:val="en-US" w:eastAsia="zh-CN"/>
        </w:rPr>
        <w:t>BMC Infect Dis</w:t>
      </w:r>
      <w:r w:rsidRPr="002A60A4">
        <w:rPr>
          <w:rFonts w:ascii="Book Antiqua" w:eastAsia="宋体" w:hAnsi="Book Antiqua" w:cs="宋体"/>
          <w:color w:val="000000"/>
          <w:sz w:val="24"/>
          <w:szCs w:val="24"/>
          <w:lang w:val="en-US" w:eastAsia="zh-CN"/>
        </w:rPr>
        <w:t> 2012; </w:t>
      </w:r>
      <w:r w:rsidRPr="002A60A4">
        <w:rPr>
          <w:rFonts w:ascii="Book Antiqua" w:eastAsia="宋体" w:hAnsi="Book Antiqua" w:cs="宋体"/>
          <w:b/>
          <w:bCs/>
          <w:color w:val="000000"/>
          <w:sz w:val="24"/>
          <w:szCs w:val="24"/>
          <w:lang w:val="en-US" w:eastAsia="zh-CN"/>
        </w:rPr>
        <w:t>12</w:t>
      </w:r>
      <w:r w:rsidRPr="002A60A4">
        <w:rPr>
          <w:rFonts w:ascii="Book Antiqua" w:eastAsia="宋体" w:hAnsi="Book Antiqua" w:cs="宋体"/>
          <w:color w:val="000000"/>
          <w:sz w:val="24"/>
          <w:szCs w:val="24"/>
          <w:lang w:val="en-US" w:eastAsia="zh-CN"/>
        </w:rPr>
        <w:t>: 296 [PMID: 23145925 DOI: 10.1186/1471-2334-12-296]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34 </w:t>
      </w:r>
      <w:r w:rsidRPr="002A60A4">
        <w:rPr>
          <w:rFonts w:ascii="Book Antiqua" w:eastAsia="宋体" w:hAnsi="Book Antiqua" w:cs="宋体"/>
          <w:b/>
          <w:bCs/>
          <w:color w:val="000000"/>
          <w:sz w:val="24"/>
          <w:szCs w:val="24"/>
          <w:lang w:val="en-US" w:eastAsia="zh-CN"/>
        </w:rPr>
        <w:t>Grunfeld C</w:t>
      </w:r>
      <w:r w:rsidRPr="002A60A4">
        <w:rPr>
          <w:rFonts w:ascii="Book Antiqua" w:eastAsia="宋体" w:hAnsi="Book Antiqua" w:cs="宋体"/>
          <w:color w:val="000000"/>
          <w:sz w:val="24"/>
          <w:szCs w:val="24"/>
          <w:lang w:val="en-US" w:eastAsia="zh-CN"/>
        </w:rPr>
        <w:t>, Pang M, Doerrler W, Shigenaga JK, Jensen P, Feingold KR. Lipids, lipoproteins, triglyceride clearance, and cytokines in human immunodeficiency virus infection and the acquired immunodeficiency syndrome. </w:t>
      </w:r>
      <w:r w:rsidRPr="002A60A4">
        <w:rPr>
          <w:rFonts w:ascii="Book Antiqua" w:eastAsia="宋体" w:hAnsi="Book Antiqua" w:cs="宋体"/>
          <w:i/>
          <w:iCs/>
          <w:color w:val="000000"/>
          <w:sz w:val="24"/>
          <w:szCs w:val="24"/>
          <w:lang w:val="en-US" w:eastAsia="zh-CN"/>
        </w:rPr>
        <w:t>J Clin Endocrinol Metab</w:t>
      </w:r>
      <w:r w:rsidRPr="002A60A4">
        <w:rPr>
          <w:rFonts w:ascii="Book Antiqua" w:eastAsia="宋体" w:hAnsi="Book Antiqua" w:cs="宋体"/>
          <w:color w:val="000000"/>
          <w:sz w:val="24"/>
          <w:szCs w:val="24"/>
          <w:lang w:val="en-US" w:eastAsia="zh-CN"/>
        </w:rPr>
        <w:t> 1992; </w:t>
      </w:r>
      <w:r w:rsidRPr="002A60A4">
        <w:rPr>
          <w:rFonts w:ascii="Book Antiqua" w:eastAsia="宋体" w:hAnsi="Book Antiqua" w:cs="宋体"/>
          <w:b/>
          <w:bCs/>
          <w:color w:val="000000"/>
          <w:sz w:val="24"/>
          <w:szCs w:val="24"/>
          <w:lang w:val="en-US" w:eastAsia="zh-CN"/>
        </w:rPr>
        <w:t>74</w:t>
      </w:r>
      <w:r w:rsidRPr="002A60A4">
        <w:rPr>
          <w:rFonts w:ascii="Book Antiqua" w:eastAsia="宋体" w:hAnsi="Book Antiqua" w:cs="宋体"/>
          <w:color w:val="000000"/>
          <w:sz w:val="24"/>
          <w:szCs w:val="24"/>
          <w:lang w:val="en-US" w:eastAsia="zh-CN"/>
        </w:rPr>
        <w:t>: 1045-1052 [PMID: 1373735 DOI: 10.1210/jc.74.5.1045]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35 </w:t>
      </w:r>
      <w:r w:rsidRPr="002A60A4">
        <w:rPr>
          <w:rFonts w:ascii="Book Antiqua" w:eastAsia="宋体" w:hAnsi="Book Antiqua" w:cs="宋体"/>
          <w:b/>
          <w:bCs/>
          <w:color w:val="000000"/>
          <w:sz w:val="24"/>
          <w:szCs w:val="24"/>
          <w:lang w:val="en-US" w:eastAsia="zh-CN"/>
        </w:rPr>
        <w:t>Sellmeyer DE</w:t>
      </w:r>
      <w:r w:rsidRPr="002A60A4">
        <w:rPr>
          <w:rFonts w:ascii="Book Antiqua" w:eastAsia="宋体" w:hAnsi="Book Antiqua" w:cs="宋体"/>
          <w:color w:val="000000"/>
          <w:sz w:val="24"/>
          <w:szCs w:val="24"/>
          <w:lang w:val="en-US" w:eastAsia="zh-CN"/>
        </w:rPr>
        <w:t>, Grunfeld C. Endocrine and metabolic disturbances in human immunodeficiency virus infection and the acquired immune deficiency syndrome. </w:t>
      </w:r>
      <w:r w:rsidRPr="002A60A4">
        <w:rPr>
          <w:rFonts w:ascii="Book Antiqua" w:eastAsia="宋体" w:hAnsi="Book Antiqua" w:cs="宋体"/>
          <w:i/>
          <w:iCs/>
          <w:color w:val="000000"/>
          <w:sz w:val="24"/>
          <w:szCs w:val="24"/>
          <w:lang w:val="en-US" w:eastAsia="zh-CN"/>
        </w:rPr>
        <w:t>Endocr Rev</w:t>
      </w:r>
      <w:r w:rsidRPr="002A60A4">
        <w:rPr>
          <w:rFonts w:ascii="Book Antiqua" w:eastAsia="宋体" w:hAnsi="Book Antiqua" w:cs="宋体"/>
          <w:color w:val="000000"/>
          <w:sz w:val="24"/>
          <w:szCs w:val="24"/>
          <w:lang w:val="en-US" w:eastAsia="zh-CN"/>
        </w:rPr>
        <w:t> 1996; </w:t>
      </w:r>
      <w:r w:rsidRPr="002A60A4">
        <w:rPr>
          <w:rFonts w:ascii="Book Antiqua" w:eastAsia="宋体" w:hAnsi="Book Antiqua" w:cs="宋体"/>
          <w:b/>
          <w:bCs/>
          <w:color w:val="000000"/>
          <w:sz w:val="24"/>
          <w:szCs w:val="24"/>
          <w:lang w:val="en-US" w:eastAsia="zh-CN"/>
        </w:rPr>
        <w:t>17</w:t>
      </w:r>
      <w:r w:rsidRPr="002A60A4">
        <w:rPr>
          <w:rFonts w:ascii="Book Antiqua" w:eastAsia="宋体" w:hAnsi="Book Antiqua" w:cs="宋体"/>
          <w:color w:val="000000"/>
          <w:sz w:val="24"/>
          <w:szCs w:val="24"/>
          <w:lang w:val="en-US" w:eastAsia="zh-CN"/>
        </w:rPr>
        <w:t>: 518-532 [PMID: 8897023 DOI: 10.1210/edrv-17-5-518]</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36 </w:t>
      </w:r>
      <w:r w:rsidRPr="002A60A4">
        <w:rPr>
          <w:rFonts w:ascii="Book Antiqua" w:eastAsia="宋体" w:hAnsi="Book Antiqua" w:cs="宋体"/>
          <w:b/>
          <w:bCs/>
          <w:color w:val="000000"/>
          <w:sz w:val="24"/>
          <w:szCs w:val="24"/>
          <w:lang w:val="en-US" w:eastAsia="zh-CN"/>
        </w:rPr>
        <w:t>Pedersen C</w:t>
      </w:r>
      <w:r w:rsidRPr="002A60A4">
        <w:rPr>
          <w:rFonts w:ascii="Book Antiqua" w:eastAsia="宋体" w:hAnsi="Book Antiqua" w:cs="宋体"/>
          <w:color w:val="000000"/>
          <w:sz w:val="24"/>
          <w:szCs w:val="24"/>
          <w:lang w:val="en-US" w:eastAsia="zh-CN"/>
        </w:rPr>
        <w:t>, Lindhardt BO, Jensen BL, Lauritzen E, Gerstoft J, Dickmeiss E, Gaub J, Scheibel E, Karlsmark T. Clinical course of primary HIV infection: consequences for subsequent course of infection. </w:t>
      </w:r>
      <w:r w:rsidRPr="002A60A4">
        <w:rPr>
          <w:rFonts w:ascii="Book Antiqua" w:eastAsia="宋体" w:hAnsi="Book Antiqua" w:cs="宋体"/>
          <w:i/>
          <w:iCs/>
          <w:color w:val="000000"/>
          <w:sz w:val="24"/>
          <w:szCs w:val="24"/>
          <w:lang w:val="en-US" w:eastAsia="zh-CN"/>
        </w:rPr>
        <w:t>BMJ</w:t>
      </w:r>
      <w:r w:rsidRPr="002A60A4">
        <w:rPr>
          <w:rFonts w:ascii="Book Antiqua" w:eastAsia="宋体" w:hAnsi="Book Antiqua" w:cs="宋体"/>
          <w:color w:val="000000"/>
          <w:sz w:val="24"/>
          <w:szCs w:val="24"/>
          <w:lang w:val="en-US" w:eastAsia="zh-CN"/>
        </w:rPr>
        <w:t> 1989; </w:t>
      </w:r>
      <w:r w:rsidRPr="002A60A4">
        <w:rPr>
          <w:rFonts w:ascii="Book Antiqua" w:eastAsia="宋体" w:hAnsi="Book Antiqua" w:cs="宋体"/>
          <w:b/>
          <w:bCs/>
          <w:color w:val="000000"/>
          <w:sz w:val="24"/>
          <w:szCs w:val="24"/>
          <w:lang w:val="en-US" w:eastAsia="zh-CN"/>
        </w:rPr>
        <w:t>299</w:t>
      </w:r>
      <w:r w:rsidRPr="002A60A4">
        <w:rPr>
          <w:rFonts w:ascii="Book Antiqua" w:eastAsia="宋体" w:hAnsi="Book Antiqua" w:cs="宋体"/>
          <w:color w:val="000000"/>
          <w:sz w:val="24"/>
          <w:szCs w:val="24"/>
          <w:lang w:val="en-US" w:eastAsia="zh-CN"/>
        </w:rPr>
        <w:t>: 154-157 [PMID: 2569901 DOI: 10.1136/bmj.299.6692.154]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37 </w:t>
      </w:r>
      <w:r w:rsidRPr="002A60A4">
        <w:rPr>
          <w:rFonts w:ascii="Book Antiqua" w:eastAsia="宋体" w:hAnsi="Book Antiqua" w:cs="宋体"/>
          <w:b/>
          <w:bCs/>
          <w:color w:val="000000"/>
          <w:sz w:val="24"/>
          <w:szCs w:val="24"/>
          <w:lang w:val="en-US" w:eastAsia="zh-CN"/>
        </w:rPr>
        <w:t>Rose H</w:t>
      </w:r>
      <w:r w:rsidRPr="002A60A4">
        <w:rPr>
          <w:rFonts w:ascii="Book Antiqua" w:eastAsia="宋体" w:hAnsi="Book Antiqua" w:cs="宋体"/>
          <w:color w:val="000000"/>
          <w:sz w:val="24"/>
          <w:szCs w:val="24"/>
          <w:lang w:val="en-US" w:eastAsia="zh-CN"/>
        </w:rPr>
        <w:t>, Woolley I, Hoy J, Dart A, Bryant B, Mijch A, Sviridov D. HIV infection and high-density lipoprotein: the effect of the disease vs the effect of treatment. </w:t>
      </w:r>
      <w:r w:rsidRPr="002A60A4">
        <w:rPr>
          <w:rFonts w:ascii="Book Antiqua" w:eastAsia="宋体" w:hAnsi="Book Antiqua" w:cs="宋体"/>
          <w:i/>
          <w:iCs/>
          <w:color w:val="000000"/>
          <w:sz w:val="24"/>
          <w:szCs w:val="24"/>
          <w:lang w:val="en-US" w:eastAsia="zh-CN"/>
        </w:rPr>
        <w:t>Metabolism</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55</w:t>
      </w:r>
      <w:r w:rsidRPr="002A60A4">
        <w:rPr>
          <w:rFonts w:ascii="Book Antiqua" w:eastAsia="宋体" w:hAnsi="Book Antiqua" w:cs="宋体"/>
          <w:color w:val="000000"/>
          <w:sz w:val="24"/>
          <w:szCs w:val="24"/>
          <w:lang w:val="en-US" w:eastAsia="zh-CN"/>
        </w:rPr>
        <w:t>: 90-95 [PMID: 16324925 DOI: 10.1016/j.metabol.2005.07.012]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38 </w:t>
      </w:r>
      <w:r w:rsidRPr="002A60A4">
        <w:rPr>
          <w:rFonts w:ascii="Book Antiqua" w:eastAsia="宋体" w:hAnsi="Book Antiqua" w:cs="宋体"/>
          <w:b/>
          <w:bCs/>
          <w:color w:val="000000"/>
          <w:sz w:val="24"/>
          <w:szCs w:val="24"/>
          <w:lang w:val="en-US" w:eastAsia="zh-CN"/>
        </w:rPr>
        <w:t>Baker J</w:t>
      </w:r>
      <w:r w:rsidRPr="002A60A4">
        <w:rPr>
          <w:rFonts w:ascii="Book Antiqua" w:eastAsia="宋体" w:hAnsi="Book Antiqua" w:cs="宋体"/>
          <w:color w:val="000000"/>
          <w:sz w:val="24"/>
          <w:szCs w:val="24"/>
          <w:lang w:val="en-US" w:eastAsia="zh-CN"/>
        </w:rPr>
        <w:t>, Ayenew W, Quick H, Hullsiek KH, Tracy R, Henry K, Duprez D, Neaton JD. High-density lipoprotein particles and markers of inflammation and thrombotic activity in patients with untreated HIV infection. </w:t>
      </w:r>
      <w:r w:rsidRPr="002A60A4">
        <w:rPr>
          <w:rFonts w:ascii="Book Antiqua" w:eastAsia="宋体" w:hAnsi="Book Antiqua" w:cs="宋体"/>
          <w:i/>
          <w:iCs/>
          <w:color w:val="000000"/>
          <w:sz w:val="24"/>
          <w:szCs w:val="24"/>
          <w:lang w:val="en-US" w:eastAsia="zh-CN"/>
        </w:rPr>
        <w:t>J Infect Dis</w:t>
      </w:r>
      <w:r w:rsidRPr="002A60A4">
        <w:rPr>
          <w:rFonts w:ascii="Book Antiqua" w:eastAsia="宋体" w:hAnsi="Book Antiqua" w:cs="宋体"/>
          <w:color w:val="000000"/>
          <w:sz w:val="24"/>
          <w:szCs w:val="24"/>
          <w:lang w:val="en-US" w:eastAsia="zh-CN"/>
        </w:rPr>
        <w:t> 2010; </w:t>
      </w:r>
      <w:r w:rsidRPr="002A60A4">
        <w:rPr>
          <w:rFonts w:ascii="Book Antiqua" w:eastAsia="宋体" w:hAnsi="Book Antiqua" w:cs="宋体"/>
          <w:b/>
          <w:bCs/>
          <w:color w:val="000000"/>
          <w:sz w:val="24"/>
          <w:szCs w:val="24"/>
          <w:lang w:val="en-US" w:eastAsia="zh-CN"/>
        </w:rPr>
        <w:t>201</w:t>
      </w:r>
      <w:r w:rsidRPr="002A60A4">
        <w:rPr>
          <w:rFonts w:ascii="Book Antiqua" w:eastAsia="宋体" w:hAnsi="Book Antiqua" w:cs="宋体"/>
          <w:color w:val="000000"/>
          <w:sz w:val="24"/>
          <w:szCs w:val="24"/>
          <w:lang w:val="en-US" w:eastAsia="zh-CN"/>
        </w:rPr>
        <w:t>: 285-292 [PMID: 19954384 DOI: 10.1086/649560]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39 </w:t>
      </w:r>
      <w:r w:rsidRPr="002A60A4">
        <w:rPr>
          <w:rFonts w:ascii="Book Antiqua" w:eastAsia="宋体" w:hAnsi="Book Antiqua" w:cs="宋体"/>
          <w:b/>
          <w:bCs/>
          <w:color w:val="000000"/>
          <w:sz w:val="24"/>
          <w:szCs w:val="24"/>
          <w:lang w:val="en-US" w:eastAsia="zh-CN"/>
        </w:rPr>
        <w:t>Zangerle R</w:t>
      </w:r>
      <w:r w:rsidRPr="002A60A4">
        <w:rPr>
          <w:rFonts w:ascii="Book Antiqua" w:eastAsia="宋体" w:hAnsi="Book Antiqua" w:cs="宋体"/>
          <w:color w:val="000000"/>
          <w:sz w:val="24"/>
          <w:szCs w:val="24"/>
          <w:lang w:val="en-US" w:eastAsia="zh-CN"/>
        </w:rPr>
        <w:t>, Sarcletti M, Gallati H, Reibnegger G, Wachter H, Fuchs D. Decreased plasma concentrations of HDL cholesterol in HIV-infected individuals are associated with immune activation.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1994; </w:t>
      </w:r>
      <w:r w:rsidRPr="002A60A4">
        <w:rPr>
          <w:rFonts w:ascii="Book Antiqua" w:eastAsia="宋体" w:hAnsi="Book Antiqua" w:cs="宋体"/>
          <w:b/>
          <w:bCs/>
          <w:color w:val="000000"/>
          <w:sz w:val="24"/>
          <w:szCs w:val="24"/>
          <w:lang w:val="en-US" w:eastAsia="zh-CN"/>
        </w:rPr>
        <w:t>7</w:t>
      </w:r>
      <w:r w:rsidRPr="002A60A4">
        <w:rPr>
          <w:rFonts w:ascii="Book Antiqua" w:eastAsia="宋体" w:hAnsi="Book Antiqua" w:cs="宋体"/>
          <w:color w:val="000000"/>
          <w:sz w:val="24"/>
          <w:szCs w:val="24"/>
          <w:lang w:val="en-US" w:eastAsia="zh-CN"/>
        </w:rPr>
        <w:t>: 1149-1156 [PMID: 7932082]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40 </w:t>
      </w:r>
      <w:r w:rsidRPr="002A60A4">
        <w:rPr>
          <w:rFonts w:ascii="Book Antiqua" w:eastAsia="宋体" w:hAnsi="Book Antiqua" w:cs="宋体"/>
          <w:b/>
          <w:bCs/>
          <w:color w:val="000000"/>
          <w:sz w:val="24"/>
          <w:szCs w:val="24"/>
          <w:lang w:val="en-US" w:eastAsia="zh-CN"/>
        </w:rPr>
        <w:t>Chi D</w:t>
      </w:r>
      <w:r w:rsidRPr="002A60A4">
        <w:rPr>
          <w:rFonts w:ascii="Book Antiqua" w:eastAsia="宋体" w:hAnsi="Book Antiqua" w:cs="宋体"/>
          <w:color w:val="000000"/>
          <w:sz w:val="24"/>
          <w:szCs w:val="24"/>
          <w:lang w:val="en-US" w:eastAsia="zh-CN"/>
        </w:rPr>
        <w:t>, Henry J, Kelley J, Thorpe R, Smith JK, Krishnaswamy G. The effects of HIV infection on endothelial function. </w:t>
      </w:r>
      <w:r w:rsidRPr="002A60A4">
        <w:rPr>
          <w:rFonts w:ascii="Book Antiqua" w:eastAsia="宋体" w:hAnsi="Book Antiqua" w:cs="宋体"/>
          <w:i/>
          <w:iCs/>
          <w:color w:val="000000"/>
          <w:sz w:val="24"/>
          <w:szCs w:val="24"/>
          <w:lang w:val="en-US" w:eastAsia="zh-CN"/>
        </w:rPr>
        <w:t>Endothelium</w:t>
      </w:r>
      <w:r w:rsidRPr="002A60A4">
        <w:rPr>
          <w:rFonts w:ascii="Book Antiqua" w:eastAsia="宋体" w:hAnsi="Book Antiqua" w:cs="宋体"/>
          <w:color w:val="000000"/>
          <w:sz w:val="24"/>
          <w:szCs w:val="24"/>
          <w:lang w:val="en-US" w:eastAsia="zh-CN"/>
        </w:rPr>
        <w:t> 2000; </w:t>
      </w:r>
      <w:r w:rsidRPr="002A60A4">
        <w:rPr>
          <w:rFonts w:ascii="Book Antiqua" w:eastAsia="宋体" w:hAnsi="Book Antiqua" w:cs="宋体"/>
          <w:b/>
          <w:bCs/>
          <w:color w:val="000000"/>
          <w:sz w:val="24"/>
          <w:szCs w:val="24"/>
          <w:lang w:val="en-US" w:eastAsia="zh-CN"/>
        </w:rPr>
        <w:t>7</w:t>
      </w:r>
      <w:r w:rsidRPr="002A60A4">
        <w:rPr>
          <w:rFonts w:ascii="Book Antiqua" w:eastAsia="宋体" w:hAnsi="Book Antiqua" w:cs="宋体"/>
          <w:color w:val="000000"/>
          <w:sz w:val="24"/>
          <w:szCs w:val="24"/>
          <w:lang w:val="en-US" w:eastAsia="zh-CN"/>
        </w:rPr>
        <w:t>: 223-242 [PMID: 11201521]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41 </w:t>
      </w:r>
      <w:r w:rsidRPr="002A60A4">
        <w:rPr>
          <w:rFonts w:ascii="Book Antiqua" w:eastAsia="宋体" w:hAnsi="Book Antiqua" w:cs="宋体"/>
          <w:b/>
          <w:bCs/>
          <w:color w:val="000000"/>
          <w:sz w:val="24"/>
          <w:szCs w:val="24"/>
          <w:lang w:val="en-US" w:eastAsia="zh-CN"/>
        </w:rPr>
        <w:t>Schroecksnadel K</w:t>
      </w:r>
      <w:r w:rsidRPr="002A60A4">
        <w:rPr>
          <w:rFonts w:ascii="Book Antiqua" w:eastAsia="宋体" w:hAnsi="Book Antiqua" w:cs="宋体"/>
          <w:color w:val="000000"/>
          <w:sz w:val="24"/>
          <w:szCs w:val="24"/>
          <w:lang w:val="en-US" w:eastAsia="zh-CN"/>
        </w:rPr>
        <w:t>, Frick B, Winkler C, Fuchs D. Crucial role of interferon-gamma and stimulated macrophages in cardiovascular disease. </w:t>
      </w:r>
      <w:r w:rsidRPr="002A60A4">
        <w:rPr>
          <w:rFonts w:ascii="Book Antiqua" w:eastAsia="宋体" w:hAnsi="Book Antiqua" w:cs="宋体"/>
          <w:i/>
          <w:iCs/>
          <w:color w:val="000000"/>
          <w:sz w:val="24"/>
          <w:szCs w:val="24"/>
          <w:lang w:val="en-US" w:eastAsia="zh-CN"/>
        </w:rPr>
        <w:t>Curr Vasc Pharmacol</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4</w:t>
      </w:r>
      <w:r w:rsidRPr="002A60A4">
        <w:rPr>
          <w:rFonts w:ascii="Book Antiqua" w:eastAsia="宋体" w:hAnsi="Book Antiqua" w:cs="宋体"/>
          <w:color w:val="000000"/>
          <w:sz w:val="24"/>
          <w:szCs w:val="24"/>
          <w:lang w:val="en-US" w:eastAsia="zh-CN"/>
        </w:rPr>
        <w:t>: 205-213 [PMID: 16842138 DOI: 10.2174/157016106777698379]</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42 </w:t>
      </w:r>
      <w:r w:rsidRPr="002A60A4">
        <w:rPr>
          <w:rFonts w:ascii="Book Antiqua" w:eastAsia="宋体" w:hAnsi="Book Antiqua" w:cs="宋体"/>
          <w:b/>
          <w:bCs/>
          <w:color w:val="000000"/>
          <w:sz w:val="24"/>
          <w:szCs w:val="24"/>
          <w:lang w:val="en-US" w:eastAsia="zh-CN"/>
        </w:rPr>
        <w:t>Cobos Jiménez V</w:t>
      </w:r>
      <w:r w:rsidRPr="002A60A4">
        <w:rPr>
          <w:rFonts w:ascii="Book Antiqua" w:eastAsia="宋体" w:hAnsi="Book Antiqua" w:cs="宋体"/>
          <w:color w:val="000000"/>
          <w:sz w:val="24"/>
          <w:szCs w:val="24"/>
          <w:lang w:val="en-US" w:eastAsia="zh-CN"/>
        </w:rPr>
        <w:t>, Booiman T, de Taeye SW, van Dort KA, Rits MA, Hamann J, Kootstra NA. Differential expression of HIV-1 interfering factors in monocyte-derived macrophages stimulated with polarizing cytokines or interferons. </w:t>
      </w:r>
      <w:r w:rsidRPr="002A60A4">
        <w:rPr>
          <w:rFonts w:ascii="Book Antiqua" w:eastAsia="宋体" w:hAnsi="Book Antiqua" w:cs="宋体"/>
          <w:i/>
          <w:iCs/>
          <w:color w:val="000000"/>
          <w:sz w:val="24"/>
          <w:szCs w:val="24"/>
          <w:lang w:val="en-US" w:eastAsia="zh-CN"/>
        </w:rPr>
        <w:t>Sci Rep</w:t>
      </w:r>
      <w:r w:rsidRPr="002A60A4">
        <w:rPr>
          <w:rFonts w:ascii="Book Antiqua" w:eastAsia="宋体" w:hAnsi="Book Antiqua" w:cs="宋体"/>
          <w:color w:val="000000"/>
          <w:sz w:val="24"/>
          <w:szCs w:val="24"/>
          <w:lang w:val="en-US" w:eastAsia="zh-CN"/>
        </w:rPr>
        <w:t> 2012; </w:t>
      </w:r>
      <w:r w:rsidRPr="002A60A4">
        <w:rPr>
          <w:rFonts w:ascii="Book Antiqua" w:eastAsia="宋体" w:hAnsi="Book Antiqua" w:cs="宋体"/>
          <w:b/>
          <w:bCs/>
          <w:color w:val="000000"/>
          <w:sz w:val="24"/>
          <w:szCs w:val="24"/>
          <w:lang w:val="en-US" w:eastAsia="zh-CN"/>
        </w:rPr>
        <w:t>2</w:t>
      </w:r>
      <w:r w:rsidRPr="002A60A4">
        <w:rPr>
          <w:rFonts w:ascii="Book Antiqua" w:eastAsia="宋体" w:hAnsi="Book Antiqua" w:cs="宋体"/>
          <w:color w:val="000000"/>
          <w:sz w:val="24"/>
          <w:szCs w:val="24"/>
          <w:lang w:val="en-US" w:eastAsia="zh-CN"/>
        </w:rPr>
        <w:t>: 763 [PMID: 23094138 DOI: 10.1038/srep00763]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43 </w:t>
      </w:r>
      <w:r w:rsidRPr="002A60A4">
        <w:rPr>
          <w:rFonts w:ascii="Book Antiqua" w:eastAsia="宋体" w:hAnsi="Book Antiqua" w:cs="宋体"/>
          <w:b/>
          <w:bCs/>
          <w:color w:val="000000"/>
          <w:sz w:val="24"/>
          <w:szCs w:val="24"/>
          <w:lang w:val="en-US" w:eastAsia="zh-CN"/>
        </w:rPr>
        <w:t>Vaidya SA</w:t>
      </w:r>
      <w:r w:rsidRPr="002A60A4">
        <w:rPr>
          <w:rFonts w:ascii="Book Antiqua" w:eastAsia="宋体" w:hAnsi="Book Antiqua" w:cs="宋体"/>
          <w:color w:val="000000"/>
          <w:sz w:val="24"/>
          <w:szCs w:val="24"/>
          <w:lang w:val="en-US" w:eastAsia="zh-CN"/>
        </w:rPr>
        <w:t>, Korner C, Sirignano MN, Amero M, Bazner S, Rychert J, Allen TM, Rosenberg ES, Bosch RJ, Altfeld M. Tumor necrosis factor α is associated with viral control and early disease progression in patients with HIV type 1 infection. </w:t>
      </w:r>
      <w:r w:rsidRPr="002A60A4">
        <w:rPr>
          <w:rFonts w:ascii="Book Antiqua" w:eastAsia="宋体" w:hAnsi="Book Antiqua" w:cs="宋体"/>
          <w:i/>
          <w:iCs/>
          <w:color w:val="000000"/>
          <w:sz w:val="24"/>
          <w:szCs w:val="24"/>
          <w:lang w:val="en-US" w:eastAsia="zh-CN"/>
        </w:rPr>
        <w:t>J Infect Dis</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210</w:t>
      </w:r>
      <w:r w:rsidRPr="002A60A4">
        <w:rPr>
          <w:rFonts w:ascii="Book Antiqua" w:eastAsia="宋体" w:hAnsi="Book Antiqua" w:cs="宋体"/>
          <w:color w:val="000000"/>
          <w:sz w:val="24"/>
          <w:szCs w:val="24"/>
          <w:lang w:val="en-US" w:eastAsia="zh-CN"/>
        </w:rPr>
        <w:t>: 1042-1046 [PMID: 24688071 DOI: 10.1093/infdis/jiu206]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44 </w:t>
      </w:r>
      <w:r w:rsidRPr="002A60A4">
        <w:rPr>
          <w:rFonts w:ascii="Book Antiqua" w:eastAsia="宋体" w:hAnsi="Book Antiqua" w:cs="宋体"/>
          <w:b/>
          <w:bCs/>
          <w:color w:val="000000"/>
          <w:sz w:val="24"/>
          <w:szCs w:val="24"/>
          <w:lang w:val="en-US" w:eastAsia="zh-CN"/>
        </w:rPr>
        <w:t>Fisher SD</w:t>
      </w:r>
      <w:r w:rsidRPr="002A60A4">
        <w:rPr>
          <w:rFonts w:ascii="Book Antiqua" w:eastAsia="宋体" w:hAnsi="Book Antiqua" w:cs="宋体"/>
          <w:color w:val="000000"/>
          <w:sz w:val="24"/>
          <w:szCs w:val="24"/>
          <w:lang w:val="en-US" w:eastAsia="zh-CN"/>
        </w:rPr>
        <w:t>, Miller TL, Lipshultz SE. Impact of HIV and highly active antiretroviral therapy on leukocyte adhesion molecules, arterial inflammation, dyslipidemia, and atherosclerosis. </w:t>
      </w:r>
      <w:r w:rsidRPr="002A60A4">
        <w:rPr>
          <w:rFonts w:ascii="Book Antiqua" w:eastAsia="宋体" w:hAnsi="Book Antiqua" w:cs="宋体"/>
          <w:i/>
          <w:iCs/>
          <w:color w:val="000000"/>
          <w:sz w:val="24"/>
          <w:szCs w:val="24"/>
          <w:lang w:val="en-US" w:eastAsia="zh-CN"/>
        </w:rPr>
        <w:t>Atherosclerosis</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185</w:t>
      </w:r>
      <w:r w:rsidRPr="002A60A4">
        <w:rPr>
          <w:rFonts w:ascii="Book Antiqua" w:eastAsia="宋体" w:hAnsi="Book Antiqua" w:cs="宋体"/>
          <w:color w:val="000000"/>
          <w:sz w:val="24"/>
          <w:szCs w:val="24"/>
          <w:lang w:val="en-US" w:eastAsia="zh-CN"/>
        </w:rPr>
        <w:t>: 1-11 [PMID: 16297390 DOI: 10.1016/j.atherosclerosis.2005.09.025]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45 </w:t>
      </w:r>
      <w:r w:rsidRPr="002A60A4">
        <w:rPr>
          <w:rFonts w:ascii="Book Antiqua" w:eastAsia="宋体" w:hAnsi="Book Antiqua" w:cs="宋体"/>
          <w:b/>
          <w:bCs/>
          <w:color w:val="000000"/>
          <w:sz w:val="24"/>
          <w:szCs w:val="24"/>
          <w:lang w:val="en-US" w:eastAsia="zh-CN"/>
        </w:rPr>
        <w:t>Penzak SR</w:t>
      </w:r>
      <w:r w:rsidRPr="002A60A4">
        <w:rPr>
          <w:rFonts w:ascii="Book Antiqua" w:eastAsia="宋体" w:hAnsi="Book Antiqua" w:cs="宋体"/>
          <w:color w:val="000000"/>
          <w:sz w:val="24"/>
          <w:szCs w:val="24"/>
          <w:lang w:val="en-US" w:eastAsia="zh-CN"/>
        </w:rPr>
        <w:t>, Chuck SK. Hyperlipidemia associated with HIV protease inhibitor use: pathophysiology, prevalence, risk factors and treatment. </w:t>
      </w:r>
      <w:r w:rsidRPr="002A60A4">
        <w:rPr>
          <w:rFonts w:ascii="Book Antiqua" w:eastAsia="宋体" w:hAnsi="Book Antiqua" w:cs="宋体"/>
          <w:i/>
          <w:iCs/>
          <w:color w:val="000000"/>
          <w:sz w:val="24"/>
          <w:szCs w:val="24"/>
          <w:lang w:val="en-US" w:eastAsia="zh-CN"/>
        </w:rPr>
        <w:t>Scand J Infect Dis</w:t>
      </w:r>
      <w:r w:rsidRPr="002A60A4">
        <w:rPr>
          <w:rFonts w:ascii="Book Antiqua" w:eastAsia="宋体" w:hAnsi="Book Antiqua" w:cs="宋体"/>
          <w:color w:val="000000"/>
          <w:sz w:val="24"/>
          <w:szCs w:val="24"/>
          <w:lang w:val="en-US" w:eastAsia="zh-CN"/>
        </w:rPr>
        <w:t> 2000; </w:t>
      </w:r>
      <w:r w:rsidRPr="002A60A4">
        <w:rPr>
          <w:rFonts w:ascii="Book Antiqua" w:eastAsia="宋体" w:hAnsi="Book Antiqua" w:cs="宋体"/>
          <w:b/>
          <w:bCs/>
          <w:color w:val="000000"/>
          <w:sz w:val="24"/>
          <w:szCs w:val="24"/>
          <w:lang w:val="en-US" w:eastAsia="zh-CN"/>
        </w:rPr>
        <w:t>32</w:t>
      </w:r>
      <w:r w:rsidRPr="002A60A4">
        <w:rPr>
          <w:rFonts w:ascii="Book Antiqua" w:eastAsia="宋体" w:hAnsi="Book Antiqua" w:cs="宋体"/>
          <w:color w:val="000000"/>
          <w:sz w:val="24"/>
          <w:szCs w:val="24"/>
          <w:lang w:val="en-US" w:eastAsia="zh-CN"/>
        </w:rPr>
        <w:t>: 111-123 [PMID: 10826894 DOI: 10.1080/003655400750045196]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46 </w:t>
      </w:r>
      <w:r w:rsidRPr="002A60A4">
        <w:rPr>
          <w:rFonts w:ascii="Book Antiqua" w:eastAsia="宋体" w:hAnsi="Book Antiqua" w:cs="宋体"/>
          <w:b/>
          <w:bCs/>
          <w:color w:val="000000"/>
          <w:sz w:val="24"/>
          <w:szCs w:val="24"/>
          <w:lang w:val="en-US" w:eastAsia="zh-CN"/>
        </w:rPr>
        <w:t>Behrens G</w:t>
      </w:r>
      <w:r w:rsidRPr="002A60A4">
        <w:rPr>
          <w:rFonts w:ascii="Book Antiqua" w:eastAsia="宋体" w:hAnsi="Book Antiqua" w:cs="宋体"/>
          <w:color w:val="000000"/>
          <w:sz w:val="24"/>
          <w:szCs w:val="24"/>
          <w:lang w:val="en-US" w:eastAsia="zh-CN"/>
        </w:rPr>
        <w:t>, Dejam A, Schmidt H, Balks HJ, Brabant G, Körner T, Stoll M, Schmidt RE. Impaired glucose tolerance, beta cell function and lipid metabolism in HIV patients under treatment with protease inhibitors.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1999; </w:t>
      </w:r>
      <w:r w:rsidRPr="002A60A4">
        <w:rPr>
          <w:rFonts w:ascii="Book Antiqua" w:eastAsia="宋体" w:hAnsi="Book Antiqua" w:cs="宋体"/>
          <w:b/>
          <w:bCs/>
          <w:color w:val="000000"/>
          <w:sz w:val="24"/>
          <w:szCs w:val="24"/>
          <w:lang w:val="en-US" w:eastAsia="zh-CN"/>
        </w:rPr>
        <w:t>13</w:t>
      </w:r>
      <w:r w:rsidRPr="002A60A4">
        <w:rPr>
          <w:rFonts w:ascii="Book Antiqua" w:eastAsia="宋体" w:hAnsi="Book Antiqua" w:cs="宋体"/>
          <w:color w:val="000000"/>
          <w:sz w:val="24"/>
          <w:szCs w:val="24"/>
          <w:lang w:val="en-US" w:eastAsia="zh-CN"/>
        </w:rPr>
        <w:t>: F63-F70 [PMID: 10416516 DOI: 10.1097/00002030-199907090-00001]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47 </w:t>
      </w:r>
      <w:r w:rsidRPr="002A60A4">
        <w:rPr>
          <w:rFonts w:ascii="Book Antiqua" w:eastAsia="宋体" w:hAnsi="Book Antiqua" w:cs="宋体"/>
          <w:b/>
          <w:bCs/>
          <w:color w:val="000000"/>
          <w:sz w:val="24"/>
          <w:szCs w:val="24"/>
          <w:lang w:val="en-US" w:eastAsia="zh-CN"/>
        </w:rPr>
        <w:t>Mulligan K</w:t>
      </w:r>
      <w:r w:rsidRPr="002A60A4">
        <w:rPr>
          <w:rFonts w:ascii="Book Antiqua" w:eastAsia="宋体" w:hAnsi="Book Antiqua" w:cs="宋体"/>
          <w:color w:val="000000"/>
          <w:sz w:val="24"/>
          <w:szCs w:val="24"/>
          <w:lang w:val="en-US" w:eastAsia="zh-CN"/>
        </w:rPr>
        <w:t>, Grunfeld C, Tai VW, Algren H, Pang M, Chernoff DN, Lo JC, Schambelan M. Hyperlipidemia and insulin resistance are induced by protease inhibitors independent of changes in body composition in patients with HIV infection.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2000; </w:t>
      </w:r>
      <w:r w:rsidRPr="002A60A4">
        <w:rPr>
          <w:rFonts w:ascii="Book Antiqua" w:eastAsia="宋体" w:hAnsi="Book Antiqua" w:cs="宋体"/>
          <w:b/>
          <w:bCs/>
          <w:color w:val="000000"/>
          <w:sz w:val="24"/>
          <w:szCs w:val="24"/>
          <w:lang w:val="en-US" w:eastAsia="zh-CN"/>
        </w:rPr>
        <w:t>23</w:t>
      </w:r>
      <w:r w:rsidRPr="002A60A4">
        <w:rPr>
          <w:rFonts w:ascii="Book Antiqua" w:eastAsia="宋体" w:hAnsi="Book Antiqua" w:cs="宋体"/>
          <w:color w:val="000000"/>
          <w:sz w:val="24"/>
          <w:szCs w:val="24"/>
          <w:lang w:val="en-US" w:eastAsia="zh-CN"/>
        </w:rPr>
        <w:t>: 35-43 [PMID: 10708054 DOI: 10.1097/00126334-200001010-00005]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48 </w:t>
      </w:r>
      <w:r w:rsidRPr="002A60A4">
        <w:rPr>
          <w:rFonts w:ascii="Book Antiqua" w:eastAsia="宋体" w:hAnsi="Book Antiqua" w:cs="宋体"/>
          <w:b/>
          <w:bCs/>
          <w:color w:val="000000"/>
          <w:sz w:val="24"/>
          <w:szCs w:val="24"/>
          <w:lang w:val="en-US" w:eastAsia="zh-CN"/>
        </w:rPr>
        <w:t>Savès M</w:t>
      </w:r>
      <w:r w:rsidRPr="002A60A4">
        <w:rPr>
          <w:rFonts w:ascii="Book Antiqua" w:eastAsia="宋体" w:hAnsi="Book Antiqua" w:cs="宋体"/>
          <w:color w:val="000000"/>
          <w:sz w:val="24"/>
          <w:szCs w:val="24"/>
          <w:lang w:val="en-US" w:eastAsia="zh-CN"/>
        </w:rPr>
        <w:t>, Raffi F, Capeau J, Rozenbaum W, Ragnaud JM, Perronne C, Basdevant A, Leport C, Chêne G. Factors related to lipodystrophy and metabolic alterations in patients with human immunodeficiency virus infection receiving highly active antiretroviral therapy. </w:t>
      </w:r>
      <w:r w:rsidRPr="002A60A4">
        <w:rPr>
          <w:rFonts w:ascii="Book Antiqua" w:eastAsia="宋体" w:hAnsi="Book Antiqua" w:cs="宋体"/>
          <w:i/>
          <w:iCs/>
          <w:color w:val="000000"/>
          <w:sz w:val="24"/>
          <w:szCs w:val="24"/>
          <w:lang w:val="en-US" w:eastAsia="zh-CN"/>
        </w:rPr>
        <w:t>Clin Infect Dis</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34</w:t>
      </w:r>
      <w:r w:rsidRPr="002A60A4">
        <w:rPr>
          <w:rFonts w:ascii="Book Antiqua" w:eastAsia="宋体" w:hAnsi="Book Antiqua" w:cs="宋体"/>
          <w:color w:val="000000"/>
          <w:sz w:val="24"/>
          <w:szCs w:val="24"/>
          <w:lang w:val="en-US" w:eastAsia="zh-CN"/>
        </w:rPr>
        <w:t>: 1396-1405 [PMID: 11981737 DOI: 10.1086/339866]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49 </w:t>
      </w:r>
      <w:r w:rsidRPr="002A60A4">
        <w:rPr>
          <w:rFonts w:ascii="Book Antiqua" w:eastAsia="宋体" w:hAnsi="Book Antiqua" w:cs="宋体"/>
          <w:b/>
          <w:bCs/>
          <w:color w:val="000000"/>
          <w:sz w:val="24"/>
          <w:szCs w:val="24"/>
          <w:lang w:val="en-US" w:eastAsia="zh-CN"/>
        </w:rPr>
        <w:t>Sekhar RV</w:t>
      </w:r>
      <w:r w:rsidRPr="002A60A4">
        <w:rPr>
          <w:rFonts w:ascii="Book Antiqua" w:eastAsia="宋体" w:hAnsi="Book Antiqua" w:cs="宋体"/>
          <w:color w:val="000000"/>
          <w:sz w:val="24"/>
          <w:szCs w:val="24"/>
          <w:lang w:val="en-US" w:eastAsia="zh-CN"/>
        </w:rPr>
        <w:t>, Jahoor F, Pownall HJ, Rehman K, Gaubatz J, Iyer D, Balasubramanyam A. Severely dysregulated disposal of postprandial triacylglycerols exacerbates hypertriacylglycerolemia in HIV lipodystrophy syndrome. </w:t>
      </w:r>
      <w:r w:rsidRPr="002A60A4">
        <w:rPr>
          <w:rFonts w:ascii="Book Antiqua" w:eastAsia="宋体" w:hAnsi="Book Antiqua" w:cs="宋体"/>
          <w:i/>
          <w:iCs/>
          <w:color w:val="000000"/>
          <w:sz w:val="24"/>
          <w:szCs w:val="24"/>
          <w:lang w:val="en-US" w:eastAsia="zh-CN"/>
        </w:rPr>
        <w:t>Am J Clin Nutr</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81</w:t>
      </w:r>
      <w:r w:rsidRPr="002A60A4">
        <w:rPr>
          <w:rFonts w:ascii="Book Antiqua" w:eastAsia="宋体" w:hAnsi="Book Antiqua" w:cs="宋体"/>
          <w:color w:val="000000"/>
          <w:sz w:val="24"/>
          <w:szCs w:val="24"/>
          <w:lang w:val="en-US" w:eastAsia="zh-CN"/>
        </w:rPr>
        <w:t>: 1405-1410 [PMID: 15941894]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50 </w:t>
      </w:r>
      <w:r w:rsidRPr="002A60A4">
        <w:rPr>
          <w:rFonts w:ascii="Book Antiqua" w:eastAsia="宋体" w:hAnsi="Book Antiqua" w:cs="宋体"/>
          <w:b/>
          <w:bCs/>
          <w:color w:val="000000"/>
          <w:sz w:val="24"/>
          <w:szCs w:val="24"/>
          <w:lang w:val="en-US" w:eastAsia="zh-CN"/>
        </w:rPr>
        <w:t>van Wijk JP</w:t>
      </w:r>
      <w:r w:rsidRPr="002A60A4">
        <w:rPr>
          <w:rFonts w:ascii="Book Antiqua" w:eastAsia="宋体" w:hAnsi="Book Antiqua" w:cs="宋体"/>
          <w:color w:val="000000"/>
          <w:sz w:val="24"/>
          <w:szCs w:val="24"/>
          <w:lang w:val="en-US" w:eastAsia="zh-CN"/>
        </w:rPr>
        <w:t>, Cabezas MC, de Koning EJ, Rabelink TJ, van der Geest R, Hoepelman IM. In vivo evidence of impaired peripheral fatty acid trapping in patients with human immunodeficiency virus-associated lipodystrophy. </w:t>
      </w:r>
      <w:r w:rsidRPr="002A60A4">
        <w:rPr>
          <w:rFonts w:ascii="Book Antiqua" w:eastAsia="宋体" w:hAnsi="Book Antiqua" w:cs="宋体"/>
          <w:i/>
          <w:iCs/>
          <w:color w:val="000000"/>
          <w:sz w:val="24"/>
          <w:szCs w:val="24"/>
          <w:lang w:val="en-US" w:eastAsia="zh-CN"/>
        </w:rPr>
        <w:t>J Clin Endocrinol Metab</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90</w:t>
      </w:r>
      <w:r w:rsidRPr="002A60A4">
        <w:rPr>
          <w:rFonts w:ascii="Book Antiqua" w:eastAsia="宋体" w:hAnsi="Book Antiqua" w:cs="宋体"/>
          <w:color w:val="000000"/>
          <w:sz w:val="24"/>
          <w:szCs w:val="24"/>
          <w:lang w:val="en-US" w:eastAsia="zh-CN"/>
        </w:rPr>
        <w:t>: 3575-3582 [PMID: 15784707 DOI: 10.1210/jc.2004-2343]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51 </w:t>
      </w:r>
      <w:r w:rsidRPr="002A60A4">
        <w:rPr>
          <w:rFonts w:ascii="Book Antiqua" w:eastAsia="宋体" w:hAnsi="Book Antiqua" w:cs="宋体"/>
          <w:b/>
          <w:bCs/>
          <w:color w:val="000000"/>
          <w:sz w:val="24"/>
          <w:szCs w:val="24"/>
          <w:lang w:val="en-US" w:eastAsia="zh-CN"/>
        </w:rPr>
        <w:t>Miserez AR</w:t>
      </w:r>
      <w:r w:rsidRPr="002A60A4">
        <w:rPr>
          <w:rFonts w:ascii="Book Antiqua" w:eastAsia="宋体" w:hAnsi="Book Antiqua" w:cs="宋体"/>
          <w:color w:val="000000"/>
          <w:sz w:val="24"/>
          <w:szCs w:val="24"/>
          <w:lang w:val="en-US" w:eastAsia="zh-CN"/>
        </w:rPr>
        <w:t>, Muller PY, Spaniol V. Indinavir inhibits sterol-regulatory element-binding protein-1c-dependent lipoprotein lipase and fatty acid synthase gene activations.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16</w:t>
      </w:r>
      <w:r w:rsidRPr="002A60A4">
        <w:rPr>
          <w:rFonts w:ascii="Book Antiqua" w:eastAsia="宋体" w:hAnsi="Book Antiqua" w:cs="宋体"/>
          <w:color w:val="000000"/>
          <w:sz w:val="24"/>
          <w:szCs w:val="24"/>
          <w:lang w:val="en-US" w:eastAsia="zh-CN"/>
        </w:rPr>
        <w:t>: 1587-1594 [PMID: 12172079 DOI: 10.1097/00002030-200208160-00003]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52 </w:t>
      </w:r>
      <w:r w:rsidRPr="002A60A4">
        <w:rPr>
          <w:rFonts w:ascii="Book Antiqua" w:eastAsia="宋体" w:hAnsi="Book Antiqua" w:cs="宋体"/>
          <w:b/>
          <w:bCs/>
          <w:color w:val="000000"/>
          <w:sz w:val="24"/>
          <w:szCs w:val="24"/>
          <w:lang w:val="en-US" w:eastAsia="zh-CN"/>
        </w:rPr>
        <w:t>Abebe M</w:t>
      </w:r>
      <w:r w:rsidRPr="002A60A4">
        <w:rPr>
          <w:rFonts w:ascii="Book Antiqua" w:eastAsia="宋体" w:hAnsi="Book Antiqua" w:cs="宋体"/>
          <w:color w:val="000000"/>
          <w:sz w:val="24"/>
          <w:szCs w:val="24"/>
          <w:lang w:val="en-US" w:eastAsia="zh-CN"/>
        </w:rPr>
        <w:t>, Kinde S, Belay G, Gebreegziabxier A, Challa F, Gebeyehu T, Nigussie P, Tegbaru B. Antiretroviral treatment associated hyperglycemia and dyslipidemia among HIV infected patients at Burayu Health Center, Addis Ababa, Ethiopia: a cross-sectional comparative study. </w:t>
      </w:r>
      <w:r w:rsidRPr="002A60A4">
        <w:rPr>
          <w:rFonts w:ascii="Book Antiqua" w:eastAsia="宋体" w:hAnsi="Book Antiqua" w:cs="宋体"/>
          <w:i/>
          <w:iCs/>
          <w:color w:val="000000"/>
          <w:sz w:val="24"/>
          <w:szCs w:val="24"/>
          <w:lang w:val="en-US" w:eastAsia="zh-CN"/>
        </w:rPr>
        <w:t>BMC Res Notes</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7</w:t>
      </w:r>
      <w:r w:rsidRPr="002A60A4">
        <w:rPr>
          <w:rFonts w:ascii="Book Antiqua" w:eastAsia="宋体" w:hAnsi="Book Antiqua" w:cs="宋体"/>
          <w:color w:val="000000"/>
          <w:sz w:val="24"/>
          <w:szCs w:val="24"/>
          <w:lang w:val="en-US" w:eastAsia="zh-CN"/>
        </w:rPr>
        <w:t>: 380 [PMID: 24950924 DOI: 10.1186/1756-0500-7-380]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53 </w:t>
      </w:r>
      <w:r w:rsidRPr="002A60A4">
        <w:rPr>
          <w:rFonts w:ascii="Book Antiqua" w:eastAsia="宋体" w:hAnsi="Book Antiqua" w:cs="宋体"/>
          <w:b/>
          <w:bCs/>
          <w:color w:val="000000"/>
          <w:sz w:val="24"/>
          <w:szCs w:val="24"/>
          <w:lang w:val="en-US" w:eastAsia="zh-CN"/>
        </w:rPr>
        <w:t>Crane HM</w:t>
      </w:r>
      <w:r w:rsidRPr="002A60A4">
        <w:rPr>
          <w:rFonts w:ascii="Book Antiqua" w:eastAsia="宋体" w:hAnsi="Book Antiqua" w:cs="宋体"/>
          <w:color w:val="000000"/>
          <w:sz w:val="24"/>
          <w:szCs w:val="24"/>
          <w:lang w:val="en-US" w:eastAsia="zh-CN"/>
        </w:rPr>
        <w:t>, Grunfeld C, Willig JH, Mugavero MJ, Van Rompaey S, Moore R, Rodriguez B, Feldman BJ, Lederman MM, Saag MS, Kitahata MM. Impact of NRTIs on lipid levels among a large HIV-infected cohort initiating antiretroviral therapy in clinical care.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2011; </w:t>
      </w:r>
      <w:r w:rsidRPr="002A60A4">
        <w:rPr>
          <w:rFonts w:ascii="Book Antiqua" w:eastAsia="宋体" w:hAnsi="Book Antiqua" w:cs="宋体"/>
          <w:b/>
          <w:bCs/>
          <w:color w:val="000000"/>
          <w:sz w:val="24"/>
          <w:szCs w:val="24"/>
          <w:lang w:val="en-US" w:eastAsia="zh-CN"/>
        </w:rPr>
        <w:t>25</w:t>
      </w:r>
      <w:r w:rsidRPr="002A60A4">
        <w:rPr>
          <w:rFonts w:ascii="Book Antiqua" w:eastAsia="宋体" w:hAnsi="Book Antiqua" w:cs="宋体"/>
          <w:color w:val="000000"/>
          <w:sz w:val="24"/>
          <w:szCs w:val="24"/>
          <w:lang w:val="en-US" w:eastAsia="zh-CN"/>
        </w:rPr>
        <w:t>: 185-195 [PMID: 21150555 DOI: 10.1097/QAD.0b013e328341f925]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54 </w:t>
      </w:r>
      <w:r w:rsidRPr="002A60A4">
        <w:rPr>
          <w:rFonts w:ascii="Book Antiqua" w:eastAsia="宋体" w:hAnsi="Book Antiqua" w:cs="宋体"/>
          <w:b/>
          <w:bCs/>
          <w:color w:val="000000"/>
          <w:sz w:val="24"/>
          <w:szCs w:val="24"/>
          <w:lang w:val="en-US" w:eastAsia="zh-CN"/>
        </w:rPr>
        <w:t>Carr A</w:t>
      </w:r>
      <w:r w:rsidRPr="002A60A4">
        <w:rPr>
          <w:rFonts w:ascii="Book Antiqua" w:eastAsia="宋体" w:hAnsi="Book Antiqua" w:cs="宋体"/>
          <w:color w:val="000000"/>
          <w:sz w:val="24"/>
          <w:szCs w:val="24"/>
          <w:lang w:val="en-US" w:eastAsia="zh-CN"/>
        </w:rPr>
        <w:t>, Samaras K, Thorisdottir A, Kaufmann GR, Chisholm DJ, Cooper DA. Diagnosis, prediction, and natural course of HIV-1 protease-inhibitor-associated lipodystrophy, hyperlipidaemia, and diabetes mellitus: a cohort study. </w:t>
      </w:r>
      <w:r w:rsidRPr="002A60A4">
        <w:rPr>
          <w:rFonts w:ascii="Book Antiqua" w:eastAsia="宋体" w:hAnsi="Book Antiqua" w:cs="宋体"/>
          <w:i/>
          <w:iCs/>
          <w:color w:val="000000"/>
          <w:sz w:val="24"/>
          <w:szCs w:val="24"/>
          <w:lang w:val="en-US" w:eastAsia="zh-CN"/>
        </w:rPr>
        <w:t>Lancet</w:t>
      </w:r>
      <w:r w:rsidRPr="002A60A4">
        <w:rPr>
          <w:rFonts w:ascii="Book Antiqua" w:eastAsia="宋体" w:hAnsi="Book Antiqua" w:cs="宋体"/>
          <w:color w:val="000000"/>
          <w:sz w:val="24"/>
          <w:szCs w:val="24"/>
          <w:lang w:val="en-US" w:eastAsia="zh-CN"/>
        </w:rPr>
        <w:t> 1999; </w:t>
      </w:r>
      <w:r w:rsidRPr="002A60A4">
        <w:rPr>
          <w:rFonts w:ascii="Book Antiqua" w:eastAsia="宋体" w:hAnsi="Book Antiqua" w:cs="宋体"/>
          <w:b/>
          <w:bCs/>
          <w:color w:val="000000"/>
          <w:sz w:val="24"/>
          <w:szCs w:val="24"/>
          <w:lang w:val="en-US" w:eastAsia="zh-CN"/>
        </w:rPr>
        <w:t>353</w:t>
      </w:r>
      <w:r w:rsidRPr="002A60A4">
        <w:rPr>
          <w:rFonts w:ascii="Book Antiqua" w:eastAsia="宋体" w:hAnsi="Book Antiqua" w:cs="宋体"/>
          <w:color w:val="000000"/>
          <w:sz w:val="24"/>
          <w:szCs w:val="24"/>
          <w:lang w:val="en-US" w:eastAsia="zh-CN"/>
        </w:rPr>
        <w:t>: 2093-2099 [PMID: 10382692 DOI: 10.1016/S0140-6736(98)08468-2]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55 </w:t>
      </w:r>
      <w:r w:rsidRPr="002A60A4">
        <w:rPr>
          <w:rFonts w:ascii="Book Antiqua" w:eastAsia="宋体" w:hAnsi="Book Antiqua" w:cs="宋体"/>
          <w:b/>
          <w:bCs/>
          <w:color w:val="000000"/>
          <w:sz w:val="24"/>
          <w:szCs w:val="24"/>
          <w:lang w:val="en-US" w:eastAsia="zh-CN"/>
        </w:rPr>
        <w:t>Hu C</w:t>
      </w:r>
      <w:r w:rsidRPr="002A60A4">
        <w:rPr>
          <w:rFonts w:ascii="Book Antiqua" w:eastAsia="宋体" w:hAnsi="Book Antiqua" w:cs="宋体"/>
          <w:color w:val="000000"/>
          <w:sz w:val="24"/>
          <w:szCs w:val="24"/>
          <w:lang w:val="en-US" w:eastAsia="zh-CN"/>
        </w:rPr>
        <w:t>, Oliver JA, Goldberg MR, Al-Awqati Q. LRP: a new adhesion molecule for endothelial and smooth muscle cells. </w:t>
      </w:r>
      <w:r w:rsidRPr="002A60A4">
        <w:rPr>
          <w:rFonts w:ascii="Book Antiqua" w:eastAsia="宋体" w:hAnsi="Book Antiqua" w:cs="宋体"/>
          <w:i/>
          <w:iCs/>
          <w:color w:val="000000"/>
          <w:sz w:val="24"/>
          <w:szCs w:val="24"/>
          <w:lang w:val="en-US" w:eastAsia="zh-CN"/>
        </w:rPr>
        <w:t>Am J Physiol Renal Physiol</w:t>
      </w:r>
      <w:r w:rsidRPr="002A60A4">
        <w:rPr>
          <w:rFonts w:ascii="Book Antiqua" w:eastAsia="宋体" w:hAnsi="Book Antiqua" w:cs="宋体"/>
          <w:color w:val="000000"/>
          <w:sz w:val="24"/>
          <w:szCs w:val="24"/>
          <w:lang w:val="en-US" w:eastAsia="zh-CN"/>
        </w:rPr>
        <w:t> 2001; </w:t>
      </w:r>
      <w:r w:rsidRPr="002A60A4">
        <w:rPr>
          <w:rFonts w:ascii="Book Antiqua" w:eastAsia="宋体" w:hAnsi="Book Antiqua" w:cs="宋体"/>
          <w:b/>
          <w:bCs/>
          <w:color w:val="000000"/>
          <w:sz w:val="24"/>
          <w:szCs w:val="24"/>
          <w:lang w:val="en-US" w:eastAsia="zh-CN"/>
        </w:rPr>
        <w:t>281</w:t>
      </w:r>
      <w:r w:rsidRPr="002A60A4">
        <w:rPr>
          <w:rFonts w:ascii="Book Antiqua" w:eastAsia="宋体" w:hAnsi="Book Antiqua" w:cs="宋体"/>
          <w:color w:val="000000"/>
          <w:sz w:val="24"/>
          <w:szCs w:val="24"/>
          <w:lang w:val="en-US" w:eastAsia="zh-CN"/>
        </w:rPr>
        <w:t>: F739-F750 [PMID: 11553521]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56 </w:t>
      </w:r>
      <w:r w:rsidRPr="002A60A4">
        <w:rPr>
          <w:rFonts w:ascii="Book Antiqua" w:eastAsia="宋体" w:hAnsi="Book Antiqua" w:cs="宋体"/>
          <w:b/>
          <w:bCs/>
          <w:color w:val="000000"/>
          <w:sz w:val="24"/>
          <w:szCs w:val="24"/>
          <w:lang w:val="en-US" w:eastAsia="zh-CN"/>
        </w:rPr>
        <w:t>Zaera MG</w:t>
      </w:r>
      <w:r w:rsidRPr="002A60A4">
        <w:rPr>
          <w:rFonts w:ascii="Book Antiqua" w:eastAsia="宋体" w:hAnsi="Book Antiqua" w:cs="宋体"/>
          <w:color w:val="000000"/>
          <w:sz w:val="24"/>
          <w:szCs w:val="24"/>
          <w:lang w:val="en-US" w:eastAsia="zh-CN"/>
        </w:rPr>
        <w:t>, Miró O, Pedrol E, Soler A, Picón M, Cardellach F, Casademont J, Nunes V. Mitochondrial involvement in antiretroviral therapy-related lipodystrophy.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2001; </w:t>
      </w:r>
      <w:r w:rsidRPr="002A60A4">
        <w:rPr>
          <w:rFonts w:ascii="Book Antiqua" w:eastAsia="宋体" w:hAnsi="Book Antiqua" w:cs="宋体"/>
          <w:b/>
          <w:bCs/>
          <w:color w:val="000000"/>
          <w:sz w:val="24"/>
          <w:szCs w:val="24"/>
          <w:lang w:val="en-US" w:eastAsia="zh-CN"/>
        </w:rPr>
        <w:t>15</w:t>
      </w:r>
      <w:r w:rsidRPr="002A60A4">
        <w:rPr>
          <w:rFonts w:ascii="Book Antiqua" w:eastAsia="宋体" w:hAnsi="Book Antiqua" w:cs="宋体"/>
          <w:color w:val="000000"/>
          <w:sz w:val="24"/>
          <w:szCs w:val="24"/>
          <w:lang w:val="en-US" w:eastAsia="zh-CN"/>
        </w:rPr>
        <w:t>: 1643-1651 [PMID: 11546938 DOI: 10.1097/00002030-200109070-00006]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57</w:t>
      </w:r>
      <w:r w:rsidRPr="002A60A4">
        <w:rPr>
          <w:rFonts w:ascii="Book Antiqua" w:eastAsia="宋体" w:hAnsi="Book Antiqua" w:cs="宋体"/>
          <w:b/>
          <w:color w:val="000000"/>
          <w:sz w:val="24"/>
          <w:szCs w:val="24"/>
          <w:lang w:val="en-US" w:eastAsia="zh-CN"/>
        </w:rPr>
        <w:t xml:space="preserve"> Chattopadhyay K</w:t>
      </w:r>
      <w:r w:rsidRPr="002A60A4">
        <w:rPr>
          <w:rFonts w:ascii="Book Antiqua" w:eastAsia="宋体" w:hAnsi="Book Antiqua" w:cs="宋体"/>
          <w:color w:val="000000"/>
          <w:sz w:val="24"/>
          <w:szCs w:val="24"/>
          <w:lang w:val="en-US" w:eastAsia="zh-CN"/>
        </w:rPr>
        <w:t xml:space="preserve">, Aldous CA. A brief review on human mtDNA mutations and NRTI-associated mtDNA toxicity and mutations. </w:t>
      </w:r>
      <w:r w:rsidRPr="002A60A4">
        <w:rPr>
          <w:rFonts w:ascii="Book Antiqua" w:eastAsia="宋体" w:hAnsi="Book Antiqua" w:cs="宋体"/>
          <w:i/>
          <w:color w:val="000000"/>
          <w:sz w:val="24"/>
          <w:szCs w:val="24"/>
          <w:lang w:val="en-US" w:eastAsia="zh-CN"/>
        </w:rPr>
        <w:t xml:space="preserve">Mithocondrial DNA </w:t>
      </w:r>
      <w:r w:rsidRPr="002A60A4">
        <w:rPr>
          <w:rFonts w:ascii="Book Antiqua" w:eastAsia="宋体" w:hAnsi="Book Antiqua" w:cs="宋体"/>
          <w:color w:val="000000"/>
          <w:sz w:val="24"/>
          <w:szCs w:val="24"/>
          <w:lang w:val="en-US" w:eastAsia="zh-CN"/>
        </w:rPr>
        <w:t>2014</w:t>
      </w:r>
      <w:r>
        <w:rPr>
          <w:rFonts w:ascii="Book Antiqua" w:eastAsia="宋体" w:hAnsi="Book Antiqua" w:cs="宋体" w:hint="eastAsia"/>
          <w:color w:val="000000"/>
          <w:sz w:val="24"/>
          <w:szCs w:val="24"/>
          <w:lang w:val="en-US" w:eastAsia="zh-CN"/>
        </w:rPr>
        <w:t>:</w:t>
      </w:r>
      <w:r w:rsidRPr="002A60A4">
        <w:rPr>
          <w:rFonts w:ascii="Book Antiqua" w:eastAsia="宋体" w:hAnsi="Book Antiqua" w:cs="宋体"/>
          <w:color w:val="000000"/>
          <w:sz w:val="24"/>
          <w:szCs w:val="24"/>
          <w:lang w:val="en-US" w:eastAsia="zh-CN"/>
        </w:rPr>
        <w:t xml:space="preserve"> 1-3</w:t>
      </w:r>
      <w:r>
        <w:rPr>
          <w:rFonts w:ascii="Book Antiqua" w:eastAsia="宋体" w:hAnsi="Book Antiqua" w:cs="宋体" w:hint="eastAsia"/>
          <w:color w:val="000000"/>
          <w:sz w:val="24"/>
          <w:szCs w:val="24"/>
          <w:lang w:val="en-US" w:eastAsia="zh-CN"/>
        </w:rPr>
        <w:t xml:space="preserve"> [</w:t>
      </w:r>
      <w:r>
        <w:rPr>
          <w:rFonts w:ascii="Book Antiqua" w:eastAsia="宋体" w:hAnsi="Book Antiqua" w:cs="宋体"/>
          <w:color w:val="000000"/>
          <w:sz w:val="24"/>
          <w:szCs w:val="24"/>
          <w:lang w:val="en-US" w:eastAsia="zh-CN"/>
        </w:rPr>
        <w:t>PMID:</w:t>
      </w:r>
      <w:r>
        <w:rPr>
          <w:rFonts w:ascii="Book Antiqua" w:eastAsia="宋体" w:hAnsi="Book Antiqua" w:cs="宋体" w:hint="eastAsia"/>
          <w:color w:val="000000"/>
          <w:sz w:val="24"/>
          <w:szCs w:val="24"/>
          <w:lang w:val="en-US" w:eastAsia="zh-CN"/>
        </w:rPr>
        <w:t xml:space="preserve"> </w:t>
      </w:r>
      <w:r w:rsidRPr="002A60A4">
        <w:rPr>
          <w:rFonts w:ascii="Book Antiqua" w:eastAsia="宋体" w:hAnsi="Book Antiqua" w:cs="宋体"/>
          <w:color w:val="000000"/>
          <w:sz w:val="24"/>
          <w:szCs w:val="24"/>
          <w:lang w:val="en-US" w:eastAsia="zh-CN"/>
        </w:rPr>
        <w:t>25211089</w:t>
      </w:r>
      <w:r w:rsidRPr="002A60A4">
        <w:rPr>
          <w:rFonts w:ascii="Book Antiqua" w:eastAsia="宋体" w:hAnsi="Book Antiqua" w:cs="宋体" w:hint="eastAsia"/>
          <w:color w:val="000000"/>
          <w:sz w:val="24"/>
          <w:szCs w:val="24"/>
          <w:lang w:val="en-US" w:eastAsia="zh-CN"/>
        </w:rPr>
        <w:t>]</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58 </w:t>
      </w:r>
      <w:r w:rsidRPr="002A60A4">
        <w:rPr>
          <w:rFonts w:ascii="Book Antiqua" w:eastAsia="宋体" w:hAnsi="Book Antiqua" w:cs="宋体"/>
          <w:b/>
          <w:bCs/>
          <w:color w:val="000000"/>
          <w:sz w:val="24"/>
          <w:szCs w:val="24"/>
          <w:lang w:val="en-US" w:eastAsia="zh-CN"/>
        </w:rPr>
        <w:t>Apostolova N</w:t>
      </w:r>
      <w:r w:rsidRPr="002A60A4">
        <w:rPr>
          <w:rFonts w:ascii="Book Antiqua" w:eastAsia="宋体" w:hAnsi="Book Antiqua" w:cs="宋体"/>
          <w:color w:val="000000"/>
          <w:sz w:val="24"/>
          <w:szCs w:val="24"/>
          <w:lang w:val="en-US" w:eastAsia="zh-CN"/>
        </w:rPr>
        <w:t>, Blas-García A, Esplugues JV. Mitochondrial interference by anti-HIV drugs: mechanisms beyond Pol-γ inhibition. </w:t>
      </w:r>
      <w:r w:rsidRPr="002A60A4">
        <w:rPr>
          <w:rFonts w:ascii="Book Antiqua" w:eastAsia="宋体" w:hAnsi="Book Antiqua" w:cs="宋体"/>
          <w:i/>
          <w:iCs/>
          <w:color w:val="000000"/>
          <w:sz w:val="24"/>
          <w:szCs w:val="24"/>
          <w:lang w:val="en-US" w:eastAsia="zh-CN"/>
        </w:rPr>
        <w:t>Trends Pharmacol Sci</w:t>
      </w:r>
      <w:r w:rsidRPr="002A60A4">
        <w:rPr>
          <w:rFonts w:ascii="Book Antiqua" w:eastAsia="宋体" w:hAnsi="Book Antiqua" w:cs="宋体"/>
          <w:color w:val="000000"/>
          <w:sz w:val="24"/>
          <w:szCs w:val="24"/>
          <w:lang w:val="en-US" w:eastAsia="zh-CN"/>
        </w:rPr>
        <w:t> 2011; </w:t>
      </w:r>
      <w:r w:rsidRPr="002A60A4">
        <w:rPr>
          <w:rFonts w:ascii="Book Antiqua" w:eastAsia="宋体" w:hAnsi="Book Antiqua" w:cs="宋体"/>
          <w:b/>
          <w:bCs/>
          <w:color w:val="000000"/>
          <w:sz w:val="24"/>
          <w:szCs w:val="24"/>
          <w:lang w:val="en-US" w:eastAsia="zh-CN"/>
        </w:rPr>
        <w:t>32</w:t>
      </w:r>
      <w:r w:rsidRPr="002A60A4">
        <w:rPr>
          <w:rFonts w:ascii="Book Antiqua" w:eastAsia="宋体" w:hAnsi="Book Antiqua" w:cs="宋体"/>
          <w:color w:val="000000"/>
          <w:sz w:val="24"/>
          <w:szCs w:val="24"/>
          <w:lang w:val="en-US" w:eastAsia="zh-CN"/>
        </w:rPr>
        <w:t>: 715-725 [PMID: 21899897 DOI: 10.1016/j.tips.2011.07.007]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59 </w:t>
      </w:r>
      <w:r w:rsidRPr="002A60A4">
        <w:rPr>
          <w:rFonts w:ascii="Book Antiqua" w:eastAsia="宋体" w:hAnsi="Book Antiqua" w:cs="宋体"/>
          <w:b/>
          <w:bCs/>
          <w:color w:val="000000"/>
          <w:sz w:val="24"/>
          <w:szCs w:val="24"/>
          <w:lang w:val="en-US" w:eastAsia="zh-CN"/>
        </w:rPr>
        <w:t>Arnedo M</w:t>
      </w:r>
      <w:r w:rsidRPr="002A60A4">
        <w:rPr>
          <w:rFonts w:ascii="Book Antiqua" w:eastAsia="宋体" w:hAnsi="Book Antiqua" w:cs="宋体"/>
          <w:color w:val="000000"/>
          <w:sz w:val="24"/>
          <w:szCs w:val="24"/>
          <w:lang w:val="en-US" w:eastAsia="zh-CN"/>
        </w:rPr>
        <w:t>, Taffé P, Sahli R, Furrer H, Hirschel B, Elzi L, Weber R, Vernazza P, Bernasconi E, Darioli R, Bergmann S, Beckmann JS, Telenti A, Tarr PE. Contribution of 20 single nucleotide polymorphisms of 13 genes to dyslipidemia associated with antiretroviral therapy. </w:t>
      </w:r>
      <w:r w:rsidRPr="002A60A4">
        <w:rPr>
          <w:rFonts w:ascii="Book Antiqua" w:eastAsia="宋体" w:hAnsi="Book Antiqua" w:cs="宋体"/>
          <w:i/>
          <w:iCs/>
          <w:color w:val="000000"/>
          <w:sz w:val="24"/>
          <w:szCs w:val="24"/>
          <w:lang w:val="en-US" w:eastAsia="zh-CN"/>
        </w:rPr>
        <w:t>Pharmacogenet Genomics</w:t>
      </w:r>
      <w:r w:rsidRPr="002A60A4">
        <w:rPr>
          <w:rFonts w:ascii="Book Antiqua" w:eastAsia="宋体" w:hAnsi="Book Antiqua" w:cs="宋体"/>
          <w:color w:val="000000"/>
          <w:sz w:val="24"/>
          <w:szCs w:val="24"/>
          <w:lang w:val="en-US" w:eastAsia="zh-CN"/>
        </w:rPr>
        <w:t> 2007; </w:t>
      </w:r>
      <w:r w:rsidRPr="002A60A4">
        <w:rPr>
          <w:rFonts w:ascii="Book Antiqua" w:eastAsia="宋体" w:hAnsi="Book Antiqua" w:cs="宋体"/>
          <w:b/>
          <w:bCs/>
          <w:color w:val="000000"/>
          <w:sz w:val="24"/>
          <w:szCs w:val="24"/>
          <w:lang w:val="en-US" w:eastAsia="zh-CN"/>
        </w:rPr>
        <w:t>17</w:t>
      </w:r>
      <w:r w:rsidRPr="002A60A4">
        <w:rPr>
          <w:rFonts w:ascii="Book Antiqua" w:eastAsia="宋体" w:hAnsi="Book Antiqua" w:cs="宋体"/>
          <w:color w:val="000000"/>
          <w:sz w:val="24"/>
          <w:szCs w:val="24"/>
          <w:lang w:val="en-US" w:eastAsia="zh-CN"/>
        </w:rPr>
        <w:t>: 755-764 [PMID: 17700364 DOI: 10.1097/FPC.0b013e32814db8b7]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60 </w:t>
      </w:r>
      <w:r w:rsidRPr="002A60A4">
        <w:rPr>
          <w:rFonts w:ascii="Book Antiqua" w:eastAsia="宋体" w:hAnsi="Book Antiqua" w:cs="宋体"/>
          <w:b/>
          <w:bCs/>
          <w:color w:val="000000"/>
          <w:sz w:val="24"/>
          <w:szCs w:val="24"/>
          <w:lang w:val="en-US" w:eastAsia="zh-CN"/>
        </w:rPr>
        <w:t>Egaña-Gorroño L</w:t>
      </w:r>
      <w:r w:rsidRPr="002A60A4">
        <w:rPr>
          <w:rFonts w:ascii="Book Antiqua" w:eastAsia="宋体" w:hAnsi="Book Antiqua" w:cs="宋体"/>
          <w:color w:val="000000"/>
          <w:sz w:val="24"/>
          <w:szCs w:val="24"/>
          <w:lang w:val="en-US" w:eastAsia="zh-CN"/>
        </w:rPr>
        <w:t>, Martínez E, Cormand B, Escribà T, Gatell J, Arnedo M. Impact of genetic factors on dyslipidemia in HIV-infected patients starting antiretroviral therapy.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27</w:t>
      </w:r>
      <w:r w:rsidRPr="002A60A4">
        <w:rPr>
          <w:rFonts w:ascii="Book Antiqua" w:eastAsia="宋体" w:hAnsi="Book Antiqua" w:cs="宋体"/>
          <w:color w:val="000000"/>
          <w:sz w:val="24"/>
          <w:szCs w:val="24"/>
          <w:lang w:val="en-US" w:eastAsia="zh-CN"/>
        </w:rPr>
        <w:t>: 529-538 [PMID: 23262498 DOI: 10.1097/QAD.0b013e32835d0da1]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61 </w:t>
      </w:r>
      <w:r w:rsidRPr="002A60A4">
        <w:rPr>
          <w:rFonts w:ascii="Book Antiqua" w:eastAsia="宋体" w:hAnsi="Book Antiqua" w:cs="宋体"/>
          <w:b/>
          <w:bCs/>
          <w:color w:val="000000"/>
          <w:sz w:val="24"/>
          <w:szCs w:val="24"/>
          <w:lang w:val="en-US" w:eastAsia="zh-CN"/>
        </w:rPr>
        <w:t>Fauvel J</w:t>
      </w:r>
      <w:r w:rsidRPr="002A60A4">
        <w:rPr>
          <w:rFonts w:ascii="Book Antiqua" w:eastAsia="宋体" w:hAnsi="Book Antiqua" w:cs="宋体"/>
          <w:color w:val="000000"/>
          <w:sz w:val="24"/>
          <w:szCs w:val="24"/>
          <w:lang w:val="en-US" w:eastAsia="zh-CN"/>
        </w:rPr>
        <w:t>, Bonnet E, Ruidavets JB, Ferrières J, Toffoletti A, Massip P, Chap H, Perret B. An interaction between apo C-III variants and protease inhibitors contributes to high triglyceride/low HDL levels in treated HIV patients.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2001; </w:t>
      </w:r>
      <w:r w:rsidRPr="002A60A4">
        <w:rPr>
          <w:rFonts w:ascii="Book Antiqua" w:eastAsia="宋体" w:hAnsi="Book Antiqua" w:cs="宋体"/>
          <w:b/>
          <w:bCs/>
          <w:color w:val="000000"/>
          <w:sz w:val="24"/>
          <w:szCs w:val="24"/>
          <w:lang w:val="en-US" w:eastAsia="zh-CN"/>
        </w:rPr>
        <w:t>15</w:t>
      </w:r>
      <w:r w:rsidRPr="002A60A4">
        <w:rPr>
          <w:rFonts w:ascii="Book Antiqua" w:eastAsia="宋体" w:hAnsi="Book Antiqua" w:cs="宋体"/>
          <w:color w:val="000000"/>
          <w:sz w:val="24"/>
          <w:szCs w:val="24"/>
          <w:lang w:val="en-US" w:eastAsia="zh-CN"/>
        </w:rPr>
        <w:t>: 2397-2406 [PMID: 11740190 DOI: 10.1097/00002030-200112070-00007]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62 </w:t>
      </w:r>
      <w:r w:rsidRPr="002A60A4">
        <w:rPr>
          <w:rFonts w:ascii="Book Antiqua" w:eastAsia="宋体" w:hAnsi="Book Antiqua" w:cs="宋体"/>
          <w:b/>
          <w:bCs/>
          <w:color w:val="000000"/>
          <w:sz w:val="24"/>
          <w:szCs w:val="24"/>
          <w:lang w:val="en-US" w:eastAsia="zh-CN"/>
        </w:rPr>
        <w:t>Foulkes AS</w:t>
      </w:r>
      <w:r w:rsidRPr="002A60A4">
        <w:rPr>
          <w:rFonts w:ascii="Book Antiqua" w:eastAsia="宋体" w:hAnsi="Book Antiqua" w:cs="宋体"/>
          <w:color w:val="000000"/>
          <w:sz w:val="24"/>
          <w:szCs w:val="24"/>
          <w:lang w:val="en-US" w:eastAsia="zh-CN"/>
        </w:rPr>
        <w:t>, Wohl DA, Frank I, Puleo E, Restine S, Wolfe ML, Dube MP, Tebas P, Reilly MP. Associations among race/ethnicity, ApoC-III genotypes, and lipids in HIV-1-infected individuals on antiretroviral therapy. </w:t>
      </w:r>
      <w:r w:rsidRPr="002A60A4">
        <w:rPr>
          <w:rFonts w:ascii="Book Antiqua" w:eastAsia="宋体" w:hAnsi="Book Antiqua" w:cs="宋体"/>
          <w:i/>
          <w:iCs/>
          <w:color w:val="000000"/>
          <w:sz w:val="24"/>
          <w:szCs w:val="24"/>
          <w:lang w:val="en-US" w:eastAsia="zh-CN"/>
        </w:rPr>
        <w:t>PLoS Med</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3</w:t>
      </w:r>
      <w:r w:rsidRPr="002A60A4">
        <w:rPr>
          <w:rFonts w:ascii="Book Antiqua" w:eastAsia="宋体" w:hAnsi="Book Antiqua" w:cs="宋体"/>
          <w:color w:val="000000"/>
          <w:sz w:val="24"/>
          <w:szCs w:val="24"/>
          <w:lang w:val="en-US" w:eastAsia="zh-CN"/>
        </w:rPr>
        <w:t>: e52 [PMID: 16417409 DOI: 10.1371/journal.pmed.0030052]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63 </w:t>
      </w:r>
      <w:r w:rsidRPr="002A60A4">
        <w:rPr>
          <w:rFonts w:ascii="Book Antiqua" w:eastAsia="宋体" w:hAnsi="Book Antiqua" w:cs="宋体"/>
          <w:b/>
          <w:bCs/>
          <w:color w:val="000000"/>
          <w:sz w:val="24"/>
          <w:szCs w:val="24"/>
          <w:lang w:val="en-US" w:eastAsia="zh-CN"/>
        </w:rPr>
        <w:t>Parra S</w:t>
      </w:r>
      <w:r w:rsidRPr="002A60A4">
        <w:rPr>
          <w:rFonts w:ascii="Book Antiqua" w:eastAsia="宋体" w:hAnsi="Book Antiqua" w:cs="宋体"/>
          <w:color w:val="000000"/>
          <w:sz w:val="24"/>
          <w:szCs w:val="24"/>
          <w:lang w:val="en-US" w:eastAsia="zh-CN"/>
        </w:rPr>
        <w:t>, Alonso-Villaverde C, Coll B, Ferré N, Marsillach J, Aragonès G, Mackness M, Mackness B, Masana L, Joven J, Camps J. Serum paraoxonase-1 activity and concentration are influenced by human immunodeficiency virus infection. </w:t>
      </w:r>
      <w:r w:rsidRPr="002A60A4">
        <w:rPr>
          <w:rFonts w:ascii="Book Antiqua" w:eastAsia="宋体" w:hAnsi="Book Antiqua" w:cs="宋体"/>
          <w:i/>
          <w:iCs/>
          <w:color w:val="000000"/>
          <w:sz w:val="24"/>
          <w:szCs w:val="24"/>
          <w:lang w:val="en-US" w:eastAsia="zh-CN"/>
        </w:rPr>
        <w:t>Atherosclerosis</w:t>
      </w:r>
      <w:r w:rsidRPr="002A60A4">
        <w:rPr>
          <w:rFonts w:ascii="Book Antiqua" w:eastAsia="宋体" w:hAnsi="Book Antiqua" w:cs="宋体"/>
          <w:color w:val="000000"/>
          <w:sz w:val="24"/>
          <w:szCs w:val="24"/>
          <w:lang w:val="en-US" w:eastAsia="zh-CN"/>
        </w:rPr>
        <w:t> 2007; </w:t>
      </w:r>
      <w:r w:rsidRPr="002A60A4">
        <w:rPr>
          <w:rFonts w:ascii="Book Antiqua" w:eastAsia="宋体" w:hAnsi="Book Antiqua" w:cs="宋体"/>
          <w:b/>
          <w:bCs/>
          <w:color w:val="000000"/>
          <w:sz w:val="24"/>
          <w:szCs w:val="24"/>
          <w:lang w:val="en-US" w:eastAsia="zh-CN"/>
        </w:rPr>
        <w:t>194</w:t>
      </w:r>
      <w:r w:rsidRPr="002A60A4">
        <w:rPr>
          <w:rFonts w:ascii="Book Antiqua" w:eastAsia="宋体" w:hAnsi="Book Antiqua" w:cs="宋体"/>
          <w:color w:val="000000"/>
          <w:sz w:val="24"/>
          <w:szCs w:val="24"/>
          <w:lang w:val="en-US" w:eastAsia="zh-CN"/>
        </w:rPr>
        <w:t>: 175-181 [PMID: 16942773 DOI: 10.1016/j.atherosclerosis.2006.07.024]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64 </w:t>
      </w:r>
      <w:r w:rsidRPr="002A60A4">
        <w:rPr>
          <w:rFonts w:ascii="Book Antiqua" w:eastAsia="宋体" w:hAnsi="Book Antiqua" w:cs="宋体"/>
          <w:b/>
          <w:bCs/>
          <w:color w:val="000000"/>
          <w:sz w:val="24"/>
          <w:szCs w:val="24"/>
          <w:lang w:val="en-US" w:eastAsia="zh-CN"/>
        </w:rPr>
        <w:t>Maselli LM</w:t>
      </w:r>
      <w:r w:rsidRPr="002A60A4">
        <w:rPr>
          <w:rFonts w:ascii="Book Antiqua" w:eastAsia="宋体" w:hAnsi="Book Antiqua" w:cs="宋体"/>
          <w:color w:val="000000"/>
          <w:sz w:val="24"/>
          <w:szCs w:val="24"/>
          <w:lang w:val="en-US" w:eastAsia="zh-CN"/>
        </w:rPr>
        <w:t>, da Cunha J, Gutierrez EB, Maranhão RC, Spada C, Bydlowski SP. Human paraoxonase-1 activity is related to the number of CD4+ T-cells and is restored by antiretroviral therapy in HIV-1-infected individuals. </w:t>
      </w:r>
      <w:r w:rsidRPr="002A60A4">
        <w:rPr>
          <w:rFonts w:ascii="Book Antiqua" w:eastAsia="宋体" w:hAnsi="Book Antiqua" w:cs="宋体"/>
          <w:i/>
          <w:iCs/>
          <w:color w:val="000000"/>
          <w:sz w:val="24"/>
          <w:szCs w:val="24"/>
          <w:lang w:val="en-US" w:eastAsia="zh-CN"/>
        </w:rPr>
        <w:t>Dis Markers</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2014</w:t>
      </w:r>
      <w:r w:rsidRPr="002A60A4">
        <w:rPr>
          <w:rFonts w:ascii="Book Antiqua" w:eastAsia="宋体" w:hAnsi="Book Antiqua" w:cs="宋体"/>
          <w:color w:val="000000"/>
          <w:sz w:val="24"/>
          <w:szCs w:val="24"/>
          <w:lang w:val="en-US" w:eastAsia="zh-CN"/>
        </w:rPr>
        <w:t>: 480201 [PMID: 24719500 DOI: 10.1155/2014/480201]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65 </w:t>
      </w:r>
      <w:r w:rsidRPr="002A60A4">
        <w:rPr>
          <w:rFonts w:ascii="Book Antiqua" w:eastAsia="宋体" w:hAnsi="Book Antiqua" w:cs="宋体"/>
          <w:b/>
          <w:bCs/>
          <w:color w:val="000000"/>
          <w:sz w:val="24"/>
          <w:szCs w:val="24"/>
          <w:lang w:val="en-US" w:eastAsia="zh-CN"/>
        </w:rPr>
        <w:t>Aviram M</w:t>
      </w:r>
      <w:r w:rsidRPr="002A60A4">
        <w:rPr>
          <w:rFonts w:ascii="Book Antiqua" w:eastAsia="宋体" w:hAnsi="Book Antiqua" w:cs="宋体"/>
          <w:color w:val="000000"/>
          <w:sz w:val="24"/>
          <w:szCs w:val="24"/>
          <w:lang w:val="en-US" w:eastAsia="zh-CN"/>
        </w:rPr>
        <w:t>, Rosenblat M. Paraoxonases and cardiovascular diseases: pharmacological and nutritional influences. </w:t>
      </w:r>
      <w:r w:rsidRPr="002A60A4">
        <w:rPr>
          <w:rFonts w:ascii="Book Antiqua" w:eastAsia="宋体" w:hAnsi="Book Antiqua" w:cs="宋体"/>
          <w:i/>
          <w:iCs/>
          <w:color w:val="000000"/>
          <w:sz w:val="24"/>
          <w:szCs w:val="24"/>
          <w:lang w:val="en-US" w:eastAsia="zh-CN"/>
        </w:rPr>
        <w:t>Curr Opin Lipidol</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16</w:t>
      </w:r>
      <w:r w:rsidRPr="002A60A4">
        <w:rPr>
          <w:rFonts w:ascii="Book Antiqua" w:eastAsia="宋体" w:hAnsi="Book Antiqua" w:cs="宋体"/>
          <w:color w:val="000000"/>
          <w:sz w:val="24"/>
          <w:szCs w:val="24"/>
          <w:lang w:val="en-US" w:eastAsia="zh-CN"/>
        </w:rPr>
        <w:t>: 393-399 [PMID: 15990587 DOI: 10.1097/01.mol.0000174398.84185.0f]</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66 </w:t>
      </w:r>
      <w:r w:rsidRPr="002A60A4">
        <w:rPr>
          <w:rFonts w:ascii="Book Antiqua" w:eastAsia="宋体" w:hAnsi="Book Antiqua" w:cs="宋体"/>
          <w:b/>
          <w:bCs/>
          <w:color w:val="000000"/>
          <w:sz w:val="24"/>
          <w:szCs w:val="24"/>
          <w:lang w:val="en-US" w:eastAsia="zh-CN"/>
        </w:rPr>
        <w:t>Mackness MI</w:t>
      </w:r>
      <w:r w:rsidRPr="002A60A4">
        <w:rPr>
          <w:rFonts w:ascii="Book Antiqua" w:eastAsia="宋体" w:hAnsi="Book Antiqua" w:cs="宋体"/>
          <w:color w:val="000000"/>
          <w:sz w:val="24"/>
          <w:szCs w:val="24"/>
          <w:lang w:val="en-US" w:eastAsia="zh-CN"/>
        </w:rPr>
        <w:t>, Arrol S, Abbott C, Durrington PN. Protection of low-density lipoprotein against oxidative modification by high-density lipoprotein associated paraoxonase. </w:t>
      </w:r>
      <w:r w:rsidRPr="002A60A4">
        <w:rPr>
          <w:rFonts w:ascii="Book Antiqua" w:eastAsia="宋体" w:hAnsi="Book Antiqua" w:cs="宋体"/>
          <w:i/>
          <w:iCs/>
          <w:color w:val="000000"/>
          <w:sz w:val="24"/>
          <w:szCs w:val="24"/>
          <w:lang w:val="en-US" w:eastAsia="zh-CN"/>
        </w:rPr>
        <w:t>Atherosclerosis</w:t>
      </w:r>
      <w:r w:rsidRPr="002A60A4">
        <w:rPr>
          <w:rFonts w:ascii="Book Antiqua" w:eastAsia="宋体" w:hAnsi="Book Antiqua" w:cs="宋体"/>
          <w:color w:val="000000"/>
          <w:sz w:val="24"/>
          <w:szCs w:val="24"/>
          <w:lang w:val="en-US" w:eastAsia="zh-CN"/>
        </w:rPr>
        <w:t> 1993; </w:t>
      </w:r>
      <w:r w:rsidRPr="002A60A4">
        <w:rPr>
          <w:rFonts w:ascii="Book Antiqua" w:eastAsia="宋体" w:hAnsi="Book Antiqua" w:cs="宋体"/>
          <w:b/>
          <w:bCs/>
          <w:color w:val="000000"/>
          <w:sz w:val="24"/>
          <w:szCs w:val="24"/>
          <w:lang w:val="en-US" w:eastAsia="zh-CN"/>
        </w:rPr>
        <w:t>104</w:t>
      </w:r>
      <w:r w:rsidRPr="002A60A4">
        <w:rPr>
          <w:rFonts w:ascii="Book Antiqua" w:eastAsia="宋体" w:hAnsi="Book Antiqua" w:cs="宋体"/>
          <w:color w:val="000000"/>
          <w:sz w:val="24"/>
          <w:szCs w:val="24"/>
          <w:lang w:val="en-US" w:eastAsia="zh-CN"/>
        </w:rPr>
        <w:t>: 129-135 [PMID: 8141836 DOI: 10.1016/0021-9150(93)90183-U]</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67 </w:t>
      </w:r>
      <w:r w:rsidRPr="002A60A4">
        <w:rPr>
          <w:rFonts w:ascii="Book Antiqua" w:eastAsia="宋体" w:hAnsi="Book Antiqua" w:cs="宋体"/>
          <w:b/>
          <w:bCs/>
          <w:color w:val="000000"/>
          <w:sz w:val="24"/>
          <w:szCs w:val="24"/>
          <w:lang w:val="en-US" w:eastAsia="zh-CN"/>
        </w:rPr>
        <w:t>Aviram M</w:t>
      </w:r>
      <w:r w:rsidRPr="002A60A4">
        <w:rPr>
          <w:rFonts w:ascii="Book Antiqua" w:eastAsia="宋体" w:hAnsi="Book Antiqua" w:cs="宋体"/>
          <w:color w:val="000000"/>
          <w:sz w:val="24"/>
          <w:szCs w:val="24"/>
          <w:lang w:val="en-US" w:eastAsia="zh-CN"/>
        </w:rPr>
        <w:t>, Rosenblat M. Paraoxonases 1, 2, and 3, oxidative stress, and macrophage foam cell formation during atherosclerosis development. </w:t>
      </w:r>
      <w:r w:rsidRPr="002A60A4">
        <w:rPr>
          <w:rFonts w:ascii="Book Antiqua" w:eastAsia="宋体" w:hAnsi="Book Antiqua" w:cs="宋体"/>
          <w:i/>
          <w:iCs/>
          <w:color w:val="000000"/>
          <w:sz w:val="24"/>
          <w:szCs w:val="24"/>
          <w:lang w:val="en-US" w:eastAsia="zh-CN"/>
        </w:rPr>
        <w:t>Free Radic Biol Med</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37</w:t>
      </w:r>
      <w:r w:rsidRPr="002A60A4">
        <w:rPr>
          <w:rFonts w:ascii="Book Antiqua" w:eastAsia="宋体" w:hAnsi="Book Antiqua" w:cs="宋体"/>
          <w:color w:val="000000"/>
          <w:sz w:val="24"/>
          <w:szCs w:val="24"/>
          <w:lang w:val="en-US" w:eastAsia="zh-CN"/>
        </w:rPr>
        <w:t>: 1304-1316 [PMID: 15454271 DOI: 10.1016/j.freeradbiomed.2004.06.030]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68 </w:t>
      </w:r>
      <w:r w:rsidRPr="002A60A4">
        <w:rPr>
          <w:rFonts w:ascii="Book Antiqua" w:eastAsia="宋体" w:hAnsi="Book Antiqua" w:cs="宋体"/>
          <w:b/>
          <w:bCs/>
          <w:color w:val="000000"/>
          <w:sz w:val="24"/>
          <w:szCs w:val="24"/>
          <w:lang w:val="en-US" w:eastAsia="zh-CN"/>
        </w:rPr>
        <w:t>Assmann G</w:t>
      </w:r>
      <w:r w:rsidRPr="002A60A4">
        <w:rPr>
          <w:rFonts w:ascii="Book Antiqua" w:eastAsia="宋体" w:hAnsi="Book Antiqua" w:cs="宋体"/>
          <w:color w:val="000000"/>
          <w:sz w:val="24"/>
          <w:szCs w:val="24"/>
          <w:lang w:val="en-US" w:eastAsia="zh-CN"/>
        </w:rPr>
        <w:t>, Nofer JR. Atheroprotective effects of high-density lipoproteins. </w:t>
      </w:r>
      <w:r w:rsidRPr="002A60A4">
        <w:rPr>
          <w:rFonts w:ascii="Book Antiqua" w:eastAsia="宋体" w:hAnsi="Book Antiqua" w:cs="宋体"/>
          <w:i/>
          <w:iCs/>
          <w:color w:val="000000"/>
          <w:sz w:val="24"/>
          <w:szCs w:val="24"/>
          <w:lang w:val="en-US" w:eastAsia="zh-CN"/>
        </w:rPr>
        <w:t>Annu Rev Med</w:t>
      </w:r>
      <w:r w:rsidRPr="002A60A4">
        <w:rPr>
          <w:rFonts w:ascii="Book Antiqua" w:eastAsia="宋体" w:hAnsi="Book Antiqua" w:cs="宋体"/>
          <w:color w:val="000000"/>
          <w:sz w:val="24"/>
          <w:szCs w:val="24"/>
          <w:lang w:val="en-US" w:eastAsia="zh-CN"/>
        </w:rPr>
        <w:t> 2003; </w:t>
      </w:r>
      <w:r w:rsidRPr="002A60A4">
        <w:rPr>
          <w:rFonts w:ascii="Book Antiqua" w:eastAsia="宋体" w:hAnsi="Book Antiqua" w:cs="宋体"/>
          <w:b/>
          <w:bCs/>
          <w:color w:val="000000"/>
          <w:sz w:val="24"/>
          <w:szCs w:val="24"/>
          <w:lang w:val="en-US" w:eastAsia="zh-CN"/>
        </w:rPr>
        <w:t>54</w:t>
      </w:r>
      <w:r w:rsidRPr="002A60A4">
        <w:rPr>
          <w:rFonts w:ascii="Book Antiqua" w:eastAsia="宋体" w:hAnsi="Book Antiqua" w:cs="宋体"/>
          <w:color w:val="000000"/>
          <w:sz w:val="24"/>
          <w:szCs w:val="24"/>
          <w:lang w:val="en-US" w:eastAsia="zh-CN"/>
        </w:rPr>
        <w:t>: 321-341 [PMID: 12414916 DOI: 10.1146/annurev.med.54.101601.152409]</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69 </w:t>
      </w:r>
      <w:r w:rsidRPr="002A60A4">
        <w:rPr>
          <w:rFonts w:ascii="Book Antiqua" w:eastAsia="宋体" w:hAnsi="Book Antiqua" w:cs="宋体"/>
          <w:b/>
          <w:bCs/>
          <w:color w:val="000000"/>
          <w:sz w:val="24"/>
          <w:szCs w:val="24"/>
          <w:lang w:val="en-US" w:eastAsia="zh-CN"/>
        </w:rPr>
        <w:t>Ngondi JL</w:t>
      </w:r>
      <w:r w:rsidRPr="002A60A4">
        <w:rPr>
          <w:rFonts w:ascii="Book Antiqua" w:eastAsia="宋体" w:hAnsi="Book Antiqua" w:cs="宋体"/>
          <w:color w:val="000000"/>
          <w:sz w:val="24"/>
          <w:szCs w:val="24"/>
          <w:lang w:val="en-US" w:eastAsia="zh-CN"/>
        </w:rPr>
        <w:t>, Oben J, Forkah DM, Etame LH, Mbanya D. The effect of different combination therapies on oxidative stress markers in HIV infected patients in Cameroon. </w:t>
      </w:r>
      <w:r w:rsidRPr="002A60A4">
        <w:rPr>
          <w:rFonts w:ascii="Book Antiqua" w:eastAsia="宋体" w:hAnsi="Book Antiqua" w:cs="宋体"/>
          <w:i/>
          <w:iCs/>
          <w:color w:val="000000"/>
          <w:sz w:val="24"/>
          <w:szCs w:val="24"/>
          <w:lang w:val="en-US" w:eastAsia="zh-CN"/>
        </w:rPr>
        <w:t>AIDS Res Ther</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3</w:t>
      </w:r>
      <w:r w:rsidRPr="002A60A4">
        <w:rPr>
          <w:rFonts w:ascii="Book Antiqua" w:eastAsia="宋体" w:hAnsi="Book Antiqua" w:cs="宋体"/>
          <w:color w:val="000000"/>
          <w:sz w:val="24"/>
          <w:szCs w:val="24"/>
          <w:lang w:val="en-US" w:eastAsia="zh-CN"/>
        </w:rPr>
        <w:t>: 19 [PMID: 16859567 DOI: 10.1186/1742-6405-3-19]</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70 </w:t>
      </w:r>
      <w:r w:rsidRPr="002A60A4">
        <w:rPr>
          <w:rFonts w:ascii="Book Antiqua" w:eastAsia="宋体" w:hAnsi="Book Antiqua" w:cs="宋体"/>
          <w:b/>
          <w:bCs/>
          <w:color w:val="000000"/>
          <w:sz w:val="24"/>
          <w:szCs w:val="24"/>
          <w:lang w:val="en-US" w:eastAsia="zh-CN"/>
        </w:rPr>
        <w:t>Bydlowski SP</w:t>
      </w:r>
      <w:r w:rsidRPr="002A60A4">
        <w:rPr>
          <w:rFonts w:ascii="Book Antiqua" w:eastAsia="宋体" w:hAnsi="Book Antiqua" w:cs="宋体"/>
          <w:color w:val="000000"/>
          <w:sz w:val="24"/>
          <w:szCs w:val="24"/>
          <w:lang w:val="en-US" w:eastAsia="zh-CN"/>
        </w:rPr>
        <w:t>, Yunker RL, Rymaszewski Z, Subbiah MT. Coffee extracts inhibit platelet aggregation in vivo and in vitro. </w:t>
      </w:r>
      <w:r w:rsidRPr="002A60A4">
        <w:rPr>
          <w:rFonts w:ascii="Book Antiqua" w:eastAsia="宋体" w:hAnsi="Book Antiqua" w:cs="宋体"/>
          <w:i/>
          <w:iCs/>
          <w:color w:val="000000"/>
          <w:sz w:val="24"/>
          <w:szCs w:val="24"/>
          <w:lang w:val="en-US" w:eastAsia="zh-CN"/>
        </w:rPr>
        <w:t>Int J Vitam Nutr Res</w:t>
      </w:r>
      <w:r w:rsidRPr="002A60A4">
        <w:rPr>
          <w:rFonts w:ascii="Book Antiqua" w:eastAsia="宋体" w:hAnsi="Book Antiqua" w:cs="宋体"/>
          <w:color w:val="000000"/>
          <w:sz w:val="24"/>
          <w:szCs w:val="24"/>
          <w:lang w:val="en-US" w:eastAsia="zh-CN"/>
        </w:rPr>
        <w:t> 1987; </w:t>
      </w:r>
      <w:r w:rsidRPr="002A60A4">
        <w:rPr>
          <w:rFonts w:ascii="Book Antiqua" w:eastAsia="宋体" w:hAnsi="Book Antiqua" w:cs="宋体"/>
          <w:b/>
          <w:bCs/>
          <w:color w:val="000000"/>
          <w:sz w:val="24"/>
          <w:szCs w:val="24"/>
          <w:lang w:val="en-US" w:eastAsia="zh-CN"/>
        </w:rPr>
        <w:t>57</w:t>
      </w:r>
      <w:r w:rsidRPr="002A60A4">
        <w:rPr>
          <w:rFonts w:ascii="Book Antiqua" w:eastAsia="宋体" w:hAnsi="Book Antiqua" w:cs="宋体"/>
          <w:color w:val="000000"/>
          <w:sz w:val="24"/>
          <w:szCs w:val="24"/>
          <w:lang w:val="en-US" w:eastAsia="zh-CN"/>
        </w:rPr>
        <w:t>: 217-223 [PMID: 3115908]</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71 </w:t>
      </w:r>
      <w:r w:rsidRPr="002A60A4">
        <w:rPr>
          <w:rFonts w:ascii="Book Antiqua" w:eastAsia="宋体" w:hAnsi="Book Antiqua" w:cs="宋体"/>
          <w:b/>
          <w:bCs/>
          <w:color w:val="000000"/>
          <w:sz w:val="24"/>
          <w:szCs w:val="24"/>
          <w:lang w:val="en-US" w:eastAsia="zh-CN"/>
        </w:rPr>
        <w:t>Bydlowski SP</w:t>
      </w:r>
      <w:r w:rsidRPr="002A60A4">
        <w:rPr>
          <w:rFonts w:ascii="Book Antiqua" w:eastAsia="宋体" w:hAnsi="Book Antiqua" w:cs="宋体"/>
          <w:color w:val="000000"/>
          <w:sz w:val="24"/>
          <w:szCs w:val="24"/>
          <w:lang w:val="en-US" w:eastAsia="zh-CN"/>
        </w:rPr>
        <w:t>, Yunker RL, Subbiah MT. Ontogeny of 6-keto-PGF1 alpha synthesis in rabbit aorta and the effect of premature weaning. </w:t>
      </w:r>
      <w:r w:rsidRPr="002A60A4">
        <w:rPr>
          <w:rFonts w:ascii="Book Antiqua" w:eastAsia="宋体" w:hAnsi="Book Antiqua" w:cs="宋体"/>
          <w:i/>
          <w:iCs/>
          <w:color w:val="000000"/>
          <w:sz w:val="24"/>
          <w:szCs w:val="24"/>
          <w:lang w:val="en-US" w:eastAsia="zh-CN"/>
        </w:rPr>
        <w:t>Am J Physiol</w:t>
      </w:r>
      <w:r w:rsidRPr="002A60A4">
        <w:rPr>
          <w:rFonts w:ascii="Book Antiqua" w:eastAsia="宋体" w:hAnsi="Book Antiqua" w:cs="宋体"/>
          <w:color w:val="000000"/>
          <w:sz w:val="24"/>
          <w:szCs w:val="24"/>
          <w:lang w:val="en-US" w:eastAsia="zh-CN"/>
        </w:rPr>
        <w:t> 1987; </w:t>
      </w:r>
      <w:r w:rsidRPr="002A60A4">
        <w:rPr>
          <w:rFonts w:ascii="Book Antiqua" w:eastAsia="宋体" w:hAnsi="Book Antiqua" w:cs="宋体"/>
          <w:b/>
          <w:bCs/>
          <w:color w:val="000000"/>
          <w:sz w:val="24"/>
          <w:szCs w:val="24"/>
          <w:lang w:val="en-US" w:eastAsia="zh-CN"/>
        </w:rPr>
        <w:t>252</w:t>
      </w:r>
      <w:r w:rsidRPr="002A60A4">
        <w:rPr>
          <w:rFonts w:ascii="Book Antiqua" w:eastAsia="宋体" w:hAnsi="Book Antiqua" w:cs="宋体"/>
          <w:color w:val="000000"/>
          <w:sz w:val="24"/>
          <w:szCs w:val="24"/>
          <w:lang w:val="en-US" w:eastAsia="zh-CN"/>
        </w:rPr>
        <w:t>: H14-H21 [PMID: 3101515]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72 </w:t>
      </w:r>
      <w:r w:rsidRPr="002A60A4">
        <w:rPr>
          <w:rFonts w:ascii="Book Antiqua" w:eastAsia="宋体" w:hAnsi="Book Antiqua" w:cs="宋体"/>
          <w:b/>
          <w:bCs/>
          <w:color w:val="000000"/>
          <w:sz w:val="24"/>
          <w:szCs w:val="24"/>
          <w:lang w:val="en-US" w:eastAsia="zh-CN"/>
        </w:rPr>
        <w:t>Ruiz JL</w:t>
      </w:r>
      <w:r w:rsidRPr="002A60A4">
        <w:rPr>
          <w:rFonts w:ascii="Book Antiqua" w:eastAsia="宋体" w:hAnsi="Book Antiqua" w:cs="宋体"/>
          <w:color w:val="000000"/>
          <w:sz w:val="24"/>
          <w:szCs w:val="24"/>
          <w:lang w:val="en-US" w:eastAsia="zh-CN"/>
        </w:rPr>
        <w:t>, Fernandes LR, Levy D, Bydlowski SP. Interrelationship between ATP-binding cassette transporters and oxysterols. </w:t>
      </w:r>
      <w:r w:rsidRPr="002A60A4">
        <w:rPr>
          <w:rFonts w:ascii="Book Antiqua" w:eastAsia="宋体" w:hAnsi="Book Antiqua" w:cs="宋体"/>
          <w:i/>
          <w:iCs/>
          <w:color w:val="000000"/>
          <w:sz w:val="24"/>
          <w:szCs w:val="24"/>
          <w:lang w:val="en-US" w:eastAsia="zh-CN"/>
        </w:rPr>
        <w:t>Biochem Pharmacol</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86</w:t>
      </w:r>
      <w:r w:rsidRPr="002A60A4">
        <w:rPr>
          <w:rFonts w:ascii="Book Antiqua" w:eastAsia="宋体" w:hAnsi="Book Antiqua" w:cs="宋体"/>
          <w:color w:val="000000"/>
          <w:sz w:val="24"/>
          <w:szCs w:val="24"/>
          <w:lang w:val="en-US" w:eastAsia="zh-CN"/>
        </w:rPr>
        <w:t>: 80-88 [PMID: 23500544 DOI: 10.1016/j.bcp.2013.02.033]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73 </w:t>
      </w:r>
      <w:r w:rsidRPr="002A60A4">
        <w:rPr>
          <w:rFonts w:ascii="Book Antiqua" w:eastAsia="宋体" w:hAnsi="Book Antiqua" w:cs="宋体"/>
          <w:b/>
          <w:bCs/>
          <w:color w:val="000000"/>
          <w:sz w:val="24"/>
          <w:szCs w:val="24"/>
          <w:lang w:val="en-US" w:eastAsia="zh-CN"/>
        </w:rPr>
        <w:t>Matsuura E</w:t>
      </w:r>
      <w:r w:rsidRPr="002A60A4">
        <w:rPr>
          <w:rFonts w:ascii="Book Antiqua" w:eastAsia="宋体" w:hAnsi="Book Antiqua" w:cs="宋体"/>
          <w:color w:val="000000"/>
          <w:sz w:val="24"/>
          <w:szCs w:val="24"/>
          <w:lang w:val="en-US" w:eastAsia="zh-CN"/>
        </w:rPr>
        <w:t>, Hughes GR, Khamashta MA. Oxidation of LDL and its clinical implication. </w:t>
      </w:r>
      <w:r w:rsidRPr="002A60A4">
        <w:rPr>
          <w:rFonts w:ascii="Book Antiqua" w:eastAsia="宋体" w:hAnsi="Book Antiqua" w:cs="宋体"/>
          <w:i/>
          <w:iCs/>
          <w:color w:val="000000"/>
          <w:sz w:val="24"/>
          <w:szCs w:val="24"/>
          <w:lang w:val="en-US" w:eastAsia="zh-CN"/>
        </w:rPr>
        <w:t>Autoimmun Rev</w:t>
      </w:r>
      <w:r w:rsidRPr="002A60A4">
        <w:rPr>
          <w:rFonts w:ascii="Book Antiqua" w:eastAsia="宋体" w:hAnsi="Book Antiqua" w:cs="宋体"/>
          <w:color w:val="000000"/>
          <w:sz w:val="24"/>
          <w:szCs w:val="24"/>
          <w:lang w:val="en-US" w:eastAsia="zh-CN"/>
        </w:rPr>
        <w:t> 2008; </w:t>
      </w:r>
      <w:r w:rsidRPr="002A60A4">
        <w:rPr>
          <w:rFonts w:ascii="Book Antiqua" w:eastAsia="宋体" w:hAnsi="Book Antiqua" w:cs="宋体"/>
          <w:b/>
          <w:bCs/>
          <w:color w:val="000000"/>
          <w:sz w:val="24"/>
          <w:szCs w:val="24"/>
          <w:lang w:val="en-US" w:eastAsia="zh-CN"/>
        </w:rPr>
        <w:t>7</w:t>
      </w:r>
      <w:r w:rsidRPr="002A60A4">
        <w:rPr>
          <w:rFonts w:ascii="Book Antiqua" w:eastAsia="宋体" w:hAnsi="Book Antiqua" w:cs="宋体"/>
          <w:color w:val="000000"/>
          <w:sz w:val="24"/>
          <w:szCs w:val="24"/>
          <w:lang w:val="en-US" w:eastAsia="zh-CN"/>
        </w:rPr>
        <w:t>: 558-566 [PMID: 18625445 DOI: 10.1016/j.autrev.2008.04.018]</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74 </w:t>
      </w:r>
      <w:r w:rsidRPr="002A60A4">
        <w:rPr>
          <w:rFonts w:ascii="Book Antiqua" w:eastAsia="宋体" w:hAnsi="Book Antiqua" w:cs="宋体"/>
          <w:b/>
          <w:bCs/>
          <w:color w:val="000000"/>
          <w:sz w:val="24"/>
          <w:szCs w:val="24"/>
          <w:lang w:val="en-US" w:eastAsia="zh-CN"/>
        </w:rPr>
        <w:t>Kádár A</w:t>
      </w:r>
      <w:r w:rsidRPr="002A60A4">
        <w:rPr>
          <w:rFonts w:ascii="Book Antiqua" w:eastAsia="宋体" w:hAnsi="Book Antiqua" w:cs="宋体"/>
          <w:color w:val="000000"/>
          <w:sz w:val="24"/>
          <w:szCs w:val="24"/>
          <w:lang w:val="en-US" w:eastAsia="zh-CN"/>
        </w:rPr>
        <w:t>, Glasz T. Development of atherosclerosis and plaque biology. </w:t>
      </w:r>
      <w:r w:rsidRPr="002A60A4">
        <w:rPr>
          <w:rFonts w:ascii="Book Antiqua" w:eastAsia="宋体" w:hAnsi="Book Antiqua" w:cs="宋体"/>
          <w:i/>
          <w:iCs/>
          <w:color w:val="000000"/>
          <w:sz w:val="24"/>
          <w:szCs w:val="24"/>
          <w:lang w:val="en-US" w:eastAsia="zh-CN"/>
        </w:rPr>
        <w:t>Cardiovasc Surg</w:t>
      </w:r>
      <w:r w:rsidRPr="002A60A4">
        <w:rPr>
          <w:rFonts w:ascii="Book Antiqua" w:eastAsia="宋体" w:hAnsi="Book Antiqua" w:cs="宋体"/>
          <w:color w:val="000000"/>
          <w:sz w:val="24"/>
          <w:szCs w:val="24"/>
          <w:lang w:val="en-US" w:eastAsia="zh-CN"/>
        </w:rPr>
        <w:t> 2001; </w:t>
      </w:r>
      <w:r w:rsidRPr="002A60A4">
        <w:rPr>
          <w:rFonts w:ascii="Book Antiqua" w:eastAsia="宋体" w:hAnsi="Book Antiqua" w:cs="宋体"/>
          <w:b/>
          <w:bCs/>
          <w:color w:val="000000"/>
          <w:sz w:val="24"/>
          <w:szCs w:val="24"/>
          <w:lang w:val="en-US" w:eastAsia="zh-CN"/>
        </w:rPr>
        <w:t>9</w:t>
      </w:r>
      <w:r w:rsidRPr="002A60A4">
        <w:rPr>
          <w:rFonts w:ascii="Book Antiqua" w:eastAsia="宋体" w:hAnsi="Book Antiqua" w:cs="宋体"/>
          <w:color w:val="000000"/>
          <w:sz w:val="24"/>
          <w:szCs w:val="24"/>
          <w:lang w:val="en-US" w:eastAsia="zh-CN"/>
        </w:rPr>
        <w:t>: 109-121 [PMID: 11250172 DOI: 10.1016/S0967-2109(00)00097-1]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75 </w:t>
      </w:r>
      <w:r w:rsidRPr="002A60A4">
        <w:rPr>
          <w:rFonts w:ascii="Book Antiqua" w:eastAsia="宋体" w:hAnsi="Book Antiqua" w:cs="宋体"/>
          <w:b/>
          <w:bCs/>
          <w:color w:val="000000"/>
          <w:sz w:val="24"/>
          <w:szCs w:val="24"/>
          <w:lang w:val="en-US" w:eastAsia="zh-CN"/>
        </w:rPr>
        <w:t>Navab M</w:t>
      </w:r>
      <w:r w:rsidRPr="002A60A4">
        <w:rPr>
          <w:rFonts w:ascii="Book Antiqua" w:eastAsia="宋体" w:hAnsi="Book Antiqua" w:cs="宋体"/>
          <w:color w:val="000000"/>
          <w:sz w:val="24"/>
          <w:szCs w:val="24"/>
          <w:lang w:val="en-US" w:eastAsia="zh-CN"/>
        </w:rPr>
        <w:t>, Ananthramaiah GM, Reddy ST, Van Lenten BJ, Ansell BJ, Fonarow GC, Vahabzadeh K, Hama S, Hough G, Kamranpour N, Berliner JA, Lusis AJ, Fogelman AM. The oxidation hypothesis of atherogenesis: the role of oxidized phospholipids and HDL. </w:t>
      </w:r>
      <w:r w:rsidRPr="002A60A4">
        <w:rPr>
          <w:rFonts w:ascii="Book Antiqua" w:eastAsia="宋体" w:hAnsi="Book Antiqua" w:cs="宋体"/>
          <w:i/>
          <w:iCs/>
          <w:color w:val="000000"/>
          <w:sz w:val="24"/>
          <w:szCs w:val="24"/>
          <w:lang w:val="en-US" w:eastAsia="zh-CN"/>
        </w:rPr>
        <w:t>J Lipid Res</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45</w:t>
      </w:r>
      <w:r w:rsidRPr="002A60A4">
        <w:rPr>
          <w:rFonts w:ascii="Book Antiqua" w:eastAsia="宋体" w:hAnsi="Book Antiqua" w:cs="宋体"/>
          <w:color w:val="000000"/>
          <w:sz w:val="24"/>
          <w:szCs w:val="24"/>
          <w:lang w:val="en-US" w:eastAsia="zh-CN"/>
        </w:rPr>
        <w:t>: 993-1007 [PMID: 15060092 DOI: 10.1194/jlr.R400001-JLR200]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76 </w:t>
      </w:r>
      <w:r w:rsidRPr="002A60A4">
        <w:rPr>
          <w:rFonts w:ascii="Book Antiqua" w:eastAsia="宋体" w:hAnsi="Book Antiqua" w:cs="宋体"/>
          <w:b/>
          <w:bCs/>
          <w:color w:val="000000"/>
          <w:sz w:val="24"/>
          <w:szCs w:val="24"/>
          <w:lang w:val="en-US" w:eastAsia="zh-CN"/>
        </w:rPr>
        <w:t>Faviou E</w:t>
      </w:r>
      <w:r w:rsidRPr="002A60A4">
        <w:rPr>
          <w:rFonts w:ascii="Book Antiqua" w:eastAsia="宋体" w:hAnsi="Book Antiqua" w:cs="宋体"/>
          <w:color w:val="000000"/>
          <w:sz w:val="24"/>
          <w:szCs w:val="24"/>
          <w:lang w:val="en-US" w:eastAsia="zh-CN"/>
        </w:rPr>
        <w:t>, Vourli G, Nounopoulos C, Zachari A, Dionyssiou-Asteriou A. Circulating oxidized low density lipoprotein, autoantibodies against them and homocysteine serum levels in diagnosis and estimation of severity of coronary artery disease. </w:t>
      </w:r>
      <w:r w:rsidRPr="002A60A4">
        <w:rPr>
          <w:rFonts w:ascii="Book Antiqua" w:eastAsia="宋体" w:hAnsi="Book Antiqua" w:cs="宋体"/>
          <w:i/>
          <w:iCs/>
          <w:color w:val="000000"/>
          <w:sz w:val="24"/>
          <w:szCs w:val="24"/>
          <w:lang w:val="en-US" w:eastAsia="zh-CN"/>
        </w:rPr>
        <w:t>Free Radic Res</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39</w:t>
      </w:r>
      <w:r w:rsidRPr="002A60A4">
        <w:rPr>
          <w:rFonts w:ascii="Book Antiqua" w:eastAsia="宋体" w:hAnsi="Book Antiqua" w:cs="宋体"/>
          <w:color w:val="000000"/>
          <w:sz w:val="24"/>
          <w:szCs w:val="24"/>
          <w:lang w:val="en-US" w:eastAsia="zh-CN"/>
        </w:rPr>
        <w:t>: 419-429 [PMID: 16028367 DOI: 10.1080/10715760500072156]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77 </w:t>
      </w:r>
      <w:r w:rsidRPr="002A60A4">
        <w:rPr>
          <w:rFonts w:ascii="Book Antiqua" w:eastAsia="宋体" w:hAnsi="Book Antiqua" w:cs="宋体"/>
          <w:b/>
          <w:bCs/>
          <w:color w:val="000000"/>
          <w:sz w:val="24"/>
          <w:szCs w:val="24"/>
          <w:lang w:val="en-US" w:eastAsia="zh-CN"/>
        </w:rPr>
        <w:t>da Cunha J</w:t>
      </w:r>
      <w:r w:rsidRPr="002A60A4">
        <w:rPr>
          <w:rFonts w:ascii="Book Antiqua" w:eastAsia="宋体" w:hAnsi="Book Antiqua" w:cs="宋体"/>
          <w:color w:val="000000"/>
          <w:sz w:val="24"/>
          <w:szCs w:val="24"/>
          <w:lang w:val="en-US" w:eastAsia="zh-CN"/>
        </w:rPr>
        <w:t>, Ferreira Maselli LM, Treitinger A, Monteiro AM, Gidlund M, Maranhão RC, Spada C, Bydlowski SP. Serum levels of IgG antibodies against oxidized LDL and atherogenic indices in HIV-1-infected patients treated with protease inhibitors. </w:t>
      </w:r>
      <w:r w:rsidRPr="002A60A4">
        <w:rPr>
          <w:rFonts w:ascii="Book Antiqua" w:eastAsia="宋体" w:hAnsi="Book Antiqua" w:cs="宋体"/>
          <w:i/>
          <w:iCs/>
          <w:color w:val="000000"/>
          <w:sz w:val="24"/>
          <w:szCs w:val="24"/>
          <w:lang w:val="en-US" w:eastAsia="zh-CN"/>
        </w:rPr>
        <w:t>Clin Chem Lab Med</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51</w:t>
      </w:r>
      <w:r w:rsidRPr="002A60A4">
        <w:rPr>
          <w:rFonts w:ascii="Book Antiqua" w:eastAsia="宋体" w:hAnsi="Book Antiqua" w:cs="宋体"/>
          <w:color w:val="000000"/>
          <w:sz w:val="24"/>
          <w:szCs w:val="24"/>
          <w:lang w:val="en-US" w:eastAsia="zh-CN"/>
        </w:rPr>
        <w:t>: 371-378 [PMID: 23241595 DOI: 10.1515/cclm-2012-0225]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78 </w:t>
      </w:r>
      <w:r w:rsidRPr="002A60A4">
        <w:rPr>
          <w:rFonts w:ascii="Book Antiqua" w:eastAsia="宋体" w:hAnsi="Book Antiqua" w:cs="宋体"/>
          <w:b/>
          <w:bCs/>
          <w:color w:val="000000"/>
          <w:sz w:val="24"/>
          <w:szCs w:val="24"/>
          <w:lang w:val="en-US" w:eastAsia="zh-CN"/>
        </w:rPr>
        <w:t>Monnerat BZ</w:t>
      </w:r>
      <w:r w:rsidRPr="002A60A4">
        <w:rPr>
          <w:rFonts w:ascii="Book Antiqua" w:eastAsia="宋体" w:hAnsi="Book Antiqua" w:cs="宋体"/>
          <w:color w:val="000000"/>
          <w:sz w:val="24"/>
          <w:szCs w:val="24"/>
          <w:lang w:val="en-US" w:eastAsia="zh-CN"/>
        </w:rPr>
        <w:t>, Cerutti Junior C, Caniçali SC, Motta TR. Clinical and biochemical evaluation of HIV-related lipodystrophy in an ambulatory population from the Hospital Universitário Cassiano Antonio de Morais, Vitória, ES, Brazil. </w:t>
      </w:r>
      <w:r w:rsidRPr="002A60A4">
        <w:rPr>
          <w:rFonts w:ascii="Book Antiqua" w:eastAsia="宋体" w:hAnsi="Book Antiqua" w:cs="宋体"/>
          <w:i/>
          <w:iCs/>
          <w:color w:val="000000"/>
          <w:sz w:val="24"/>
          <w:szCs w:val="24"/>
          <w:lang w:val="en-US" w:eastAsia="zh-CN"/>
        </w:rPr>
        <w:t>Braz J Infect Dis</w:t>
      </w:r>
      <w:r w:rsidRPr="002A60A4">
        <w:rPr>
          <w:rFonts w:ascii="Book Antiqua" w:eastAsia="宋体" w:hAnsi="Book Antiqua" w:cs="宋体"/>
          <w:color w:val="000000"/>
          <w:sz w:val="24"/>
          <w:szCs w:val="24"/>
          <w:lang w:val="en-US" w:eastAsia="zh-CN"/>
        </w:rPr>
        <w:t> 2008; </w:t>
      </w:r>
      <w:r w:rsidRPr="002A60A4">
        <w:rPr>
          <w:rFonts w:ascii="Book Antiqua" w:eastAsia="宋体" w:hAnsi="Book Antiqua" w:cs="宋体"/>
          <w:b/>
          <w:bCs/>
          <w:color w:val="000000"/>
          <w:sz w:val="24"/>
          <w:szCs w:val="24"/>
          <w:lang w:val="en-US" w:eastAsia="zh-CN"/>
        </w:rPr>
        <w:t>12</w:t>
      </w:r>
      <w:r w:rsidRPr="002A60A4">
        <w:rPr>
          <w:rFonts w:ascii="Book Antiqua" w:eastAsia="宋体" w:hAnsi="Book Antiqua" w:cs="宋体"/>
          <w:color w:val="000000"/>
          <w:sz w:val="24"/>
          <w:szCs w:val="24"/>
          <w:lang w:val="en-US" w:eastAsia="zh-CN"/>
        </w:rPr>
        <w:t>: 364-368 [PMID: 19030742 DOI: 10.1590/S1413-86702008000400002]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79 </w:t>
      </w:r>
      <w:r w:rsidRPr="002A60A4">
        <w:rPr>
          <w:rFonts w:ascii="Book Antiqua" w:eastAsia="宋体" w:hAnsi="Book Antiqua" w:cs="宋体"/>
          <w:b/>
          <w:bCs/>
          <w:color w:val="000000"/>
          <w:sz w:val="24"/>
          <w:szCs w:val="24"/>
          <w:lang w:val="en-US" w:eastAsia="zh-CN"/>
        </w:rPr>
        <w:t>Cossarizza A</w:t>
      </w:r>
      <w:r w:rsidRPr="002A60A4">
        <w:rPr>
          <w:rFonts w:ascii="Book Antiqua" w:eastAsia="宋体" w:hAnsi="Book Antiqua" w:cs="宋体"/>
          <w:color w:val="000000"/>
          <w:sz w:val="24"/>
          <w:szCs w:val="24"/>
          <w:lang w:val="en-US" w:eastAsia="zh-CN"/>
        </w:rPr>
        <w:t>, Riva A, Pinti M, Ammannato S, Fedeli P, Mussini C, Esposito R, Galli M. Increased mitochondrial DNA content in peripheral blood lymphocytes from HIV-infected patients with lipodystrophy. </w:t>
      </w:r>
      <w:r w:rsidRPr="002A60A4">
        <w:rPr>
          <w:rFonts w:ascii="Book Antiqua" w:eastAsia="宋体" w:hAnsi="Book Antiqua" w:cs="宋体"/>
          <w:i/>
          <w:iCs/>
          <w:color w:val="000000"/>
          <w:sz w:val="24"/>
          <w:szCs w:val="24"/>
          <w:lang w:val="en-US" w:eastAsia="zh-CN"/>
        </w:rPr>
        <w:t>Antivir Ther</w:t>
      </w:r>
      <w:r w:rsidRPr="002A60A4">
        <w:rPr>
          <w:rFonts w:ascii="Book Antiqua" w:eastAsia="宋体" w:hAnsi="Book Antiqua" w:cs="宋体"/>
          <w:color w:val="000000"/>
          <w:sz w:val="24"/>
          <w:szCs w:val="24"/>
          <w:lang w:val="en-US" w:eastAsia="zh-CN"/>
        </w:rPr>
        <w:t> 2003; </w:t>
      </w:r>
      <w:r w:rsidRPr="002A60A4">
        <w:rPr>
          <w:rFonts w:ascii="Book Antiqua" w:eastAsia="宋体" w:hAnsi="Book Antiqua" w:cs="宋体"/>
          <w:b/>
          <w:bCs/>
          <w:color w:val="000000"/>
          <w:sz w:val="24"/>
          <w:szCs w:val="24"/>
          <w:lang w:val="en-US" w:eastAsia="zh-CN"/>
        </w:rPr>
        <w:t>8</w:t>
      </w:r>
      <w:r w:rsidRPr="002A60A4">
        <w:rPr>
          <w:rFonts w:ascii="Book Antiqua" w:eastAsia="宋体" w:hAnsi="Book Antiqua" w:cs="宋体"/>
          <w:color w:val="000000"/>
          <w:sz w:val="24"/>
          <w:szCs w:val="24"/>
          <w:lang w:val="en-US" w:eastAsia="zh-CN"/>
        </w:rPr>
        <w:t>: 315-321 [PMID: 14518701]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80 </w:t>
      </w:r>
      <w:r w:rsidRPr="002A60A4">
        <w:rPr>
          <w:rFonts w:ascii="Book Antiqua" w:eastAsia="宋体" w:hAnsi="Book Antiqua" w:cs="宋体"/>
          <w:b/>
          <w:bCs/>
          <w:color w:val="000000"/>
          <w:sz w:val="24"/>
          <w:szCs w:val="24"/>
          <w:lang w:val="en-US" w:eastAsia="zh-CN"/>
        </w:rPr>
        <w:t>Pinti M</w:t>
      </w:r>
      <w:r w:rsidRPr="002A60A4">
        <w:rPr>
          <w:rFonts w:ascii="Book Antiqua" w:eastAsia="宋体" w:hAnsi="Book Antiqua" w:cs="宋体"/>
          <w:color w:val="000000"/>
          <w:sz w:val="24"/>
          <w:szCs w:val="24"/>
          <w:lang w:val="en-US" w:eastAsia="zh-CN"/>
        </w:rPr>
        <w:t>, Salomoni P, Cossarizza A. Anti-HIV drugs and the mitochondria. </w:t>
      </w:r>
      <w:r w:rsidRPr="002A60A4">
        <w:rPr>
          <w:rFonts w:ascii="Book Antiqua" w:eastAsia="宋体" w:hAnsi="Book Antiqua" w:cs="宋体"/>
          <w:i/>
          <w:iCs/>
          <w:color w:val="000000"/>
          <w:sz w:val="24"/>
          <w:szCs w:val="24"/>
          <w:lang w:val="en-US" w:eastAsia="zh-CN"/>
        </w:rPr>
        <w:t>Biochim Biophys Acta</w:t>
      </w:r>
      <w:r w:rsidRPr="002A60A4">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2006</w:t>
      </w:r>
      <w:r w:rsidRPr="002A60A4">
        <w:rPr>
          <w:rFonts w:ascii="Book Antiqua" w:eastAsia="宋体" w:hAnsi="Book Antiqua" w:cs="宋体"/>
          <w:color w:val="000000"/>
          <w:sz w:val="24"/>
          <w:szCs w:val="24"/>
          <w:lang w:val="en-US" w:eastAsia="zh-CN"/>
        </w:rPr>
        <w:t>; </w:t>
      </w:r>
      <w:r w:rsidRPr="002A60A4">
        <w:rPr>
          <w:rFonts w:ascii="Book Antiqua" w:eastAsia="宋体" w:hAnsi="Book Antiqua" w:cs="宋体"/>
          <w:b/>
          <w:bCs/>
          <w:color w:val="000000"/>
          <w:sz w:val="24"/>
          <w:szCs w:val="24"/>
          <w:lang w:val="en-US" w:eastAsia="zh-CN"/>
        </w:rPr>
        <w:t>1757</w:t>
      </w:r>
      <w:r w:rsidRPr="002A60A4">
        <w:rPr>
          <w:rFonts w:ascii="Book Antiqua" w:eastAsia="宋体" w:hAnsi="Book Antiqua" w:cs="宋体"/>
          <w:color w:val="000000"/>
          <w:sz w:val="24"/>
          <w:szCs w:val="24"/>
          <w:lang w:val="en-US" w:eastAsia="zh-CN"/>
        </w:rPr>
        <w:t>: 700-707 [PMID: 16782042 DOI: 10.1016/j.bbabio.2006.05.001]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81 </w:t>
      </w:r>
      <w:r w:rsidRPr="002A60A4">
        <w:rPr>
          <w:rFonts w:ascii="Book Antiqua" w:eastAsia="宋体" w:hAnsi="Book Antiqua" w:cs="宋体"/>
          <w:b/>
          <w:bCs/>
          <w:color w:val="000000"/>
          <w:sz w:val="24"/>
          <w:szCs w:val="24"/>
          <w:lang w:val="en-US" w:eastAsia="zh-CN"/>
        </w:rPr>
        <w:t>Joly V</w:t>
      </w:r>
      <w:r w:rsidRPr="002A60A4">
        <w:rPr>
          <w:rFonts w:ascii="Book Antiqua" w:eastAsia="宋体" w:hAnsi="Book Antiqua" w:cs="宋体"/>
          <w:color w:val="000000"/>
          <w:sz w:val="24"/>
          <w:szCs w:val="24"/>
          <w:lang w:val="en-US" w:eastAsia="zh-CN"/>
        </w:rPr>
        <w:t>, Flandre P, Meiffredy V, Leturque N, Harel M, Aboulker JP, Yeni P. Increased risk of lipoatrophy under stavudine in HIV-1-infected patients: results of a substudy from a comparative trial.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16</w:t>
      </w:r>
      <w:r w:rsidRPr="002A60A4">
        <w:rPr>
          <w:rFonts w:ascii="Book Antiqua" w:eastAsia="宋体" w:hAnsi="Book Antiqua" w:cs="宋体"/>
          <w:color w:val="000000"/>
          <w:sz w:val="24"/>
          <w:szCs w:val="24"/>
          <w:lang w:val="en-US" w:eastAsia="zh-CN"/>
        </w:rPr>
        <w:t>: 2447-2454 [PMID: 12461419 DOI: 10.1097/00002030-200212060-00010]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82 </w:t>
      </w:r>
      <w:r w:rsidRPr="002A60A4">
        <w:rPr>
          <w:rFonts w:ascii="Book Antiqua" w:eastAsia="宋体" w:hAnsi="Book Antiqua" w:cs="宋体"/>
          <w:b/>
          <w:bCs/>
          <w:color w:val="000000"/>
          <w:sz w:val="24"/>
          <w:szCs w:val="24"/>
          <w:lang w:val="en-US" w:eastAsia="zh-CN"/>
        </w:rPr>
        <w:t>de Waal R</w:t>
      </w:r>
      <w:r w:rsidRPr="002A60A4">
        <w:rPr>
          <w:rFonts w:ascii="Book Antiqua" w:eastAsia="宋体" w:hAnsi="Book Antiqua" w:cs="宋体"/>
          <w:color w:val="000000"/>
          <w:sz w:val="24"/>
          <w:szCs w:val="24"/>
          <w:lang w:val="en-US" w:eastAsia="zh-CN"/>
        </w:rPr>
        <w:t>, Cohen K, Maartens G. Systematic review of antiretroviral-associated lipodystrophy: lipoatrophy, but not central fat gain, is an antiretroviral adverse drug reaction. </w:t>
      </w:r>
      <w:r w:rsidRPr="002A60A4">
        <w:rPr>
          <w:rFonts w:ascii="Book Antiqua" w:eastAsia="宋体" w:hAnsi="Book Antiqua" w:cs="宋体"/>
          <w:i/>
          <w:iCs/>
          <w:color w:val="000000"/>
          <w:sz w:val="24"/>
          <w:szCs w:val="24"/>
          <w:lang w:val="en-US" w:eastAsia="zh-CN"/>
        </w:rPr>
        <w:t>PLoS One</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8</w:t>
      </w:r>
      <w:r w:rsidRPr="002A60A4">
        <w:rPr>
          <w:rFonts w:ascii="Book Antiqua" w:eastAsia="宋体" w:hAnsi="Book Antiqua" w:cs="宋体"/>
          <w:color w:val="000000"/>
          <w:sz w:val="24"/>
          <w:szCs w:val="24"/>
          <w:lang w:val="en-US" w:eastAsia="zh-CN"/>
        </w:rPr>
        <w:t>: e63623 [PMID: 23723990 DOI: 10.1371/journal.pone.0063623]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83 </w:t>
      </w:r>
      <w:r w:rsidRPr="002A60A4">
        <w:rPr>
          <w:rFonts w:ascii="Book Antiqua" w:eastAsia="宋体" w:hAnsi="Book Antiqua" w:cs="宋体"/>
          <w:b/>
          <w:bCs/>
          <w:color w:val="000000"/>
          <w:sz w:val="24"/>
          <w:szCs w:val="24"/>
          <w:lang w:val="en-US" w:eastAsia="zh-CN"/>
        </w:rPr>
        <w:t>Haubrich RH</w:t>
      </w:r>
      <w:r w:rsidRPr="002A60A4">
        <w:rPr>
          <w:rFonts w:ascii="Book Antiqua" w:eastAsia="宋体" w:hAnsi="Book Antiqua" w:cs="宋体"/>
          <w:color w:val="000000"/>
          <w:sz w:val="24"/>
          <w:szCs w:val="24"/>
          <w:lang w:val="en-US" w:eastAsia="zh-CN"/>
        </w:rPr>
        <w:t>, Riddler SA, DiRienzo AG, Komarow L, Powderly WG, Klingman K, Garren KW, Butcher DL, Rooney JF, Haas DW, Mellors JW, Havlir DV. Metabolic outcomes in a randomized trial of nucleoside, nonnucleoside and protease inhibitor-sparing regimens for initial HIV treatment.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2009; </w:t>
      </w:r>
      <w:r w:rsidRPr="002A60A4">
        <w:rPr>
          <w:rFonts w:ascii="Book Antiqua" w:eastAsia="宋体" w:hAnsi="Book Antiqua" w:cs="宋体"/>
          <w:b/>
          <w:bCs/>
          <w:color w:val="000000"/>
          <w:sz w:val="24"/>
          <w:szCs w:val="24"/>
          <w:lang w:val="en-US" w:eastAsia="zh-CN"/>
        </w:rPr>
        <w:t>23</w:t>
      </w:r>
      <w:r w:rsidRPr="002A60A4">
        <w:rPr>
          <w:rFonts w:ascii="Book Antiqua" w:eastAsia="宋体" w:hAnsi="Book Antiqua" w:cs="宋体"/>
          <w:color w:val="000000"/>
          <w:sz w:val="24"/>
          <w:szCs w:val="24"/>
          <w:lang w:val="en-US" w:eastAsia="zh-CN"/>
        </w:rPr>
        <w:t>: 1109-1118 [PMID: 19417580 DOI: 10.1097/QAD.0b013e32832b4377]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84 </w:t>
      </w:r>
      <w:r w:rsidRPr="002A60A4">
        <w:rPr>
          <w:rFonts w:ascii="Book Antiqua" w:eastAsia="宋体" w:hAnsi="Book Antiqua" w:cs="宋体"/>
          <w:b/>
          <w:bCs/>
          <w:color w:val="000000"/>
          <w:sz w:val="24"/>
          <w:szCs w:val="24"/>
          <w:lang w:val="en-US" w:eastAsia="zh-CN"/>
        </w:rPr>
        <w:t>Kotler DP</w:t>
      </w:r>
      <w:r w:rsidRPr="002A60A4">
        <w:rPr>
          <w:rFonts w:ascii="Book Antiqua" w:eastAsia="宋体" w:hAnsi="Book Antiqua" w:cs="宋体"/>
          <w:color w:val="000000"/>
          <w:sz w:val="24"/>
          <w:szCs w:val="24"/>
          <w:lang w:val="en-US" w:eastAsia="zh-CN"/>
        </w:rPr>
        <w:t>. HIV lipodystrophy etiology and pathogenesis. Body composition and metabolic alterations: etiology and pathogenesis. </w:t>
      </w:r>
      <w:r w:rsidRPr="002A60A4">
        <w:rPr>
          <w:rFonts w:ascii="Book Antiqua" w:eastAsia="宋体" w:hAnsi="Book Antiqua" w:cs="宋体"/>
          <w:i/>
          <w:iCs/>
          <w:color w:val="000000"/>
          <w:sz w:val="24"/>
          <w:szCs w:val="24"/>
          <w:lang w:val="en-US" w:eastAsia="zh-CN"/>
        </w:rPr>
        <w:t>AIDS Read</w:t>
      </w:r>
      <w:r w:rsidRPr="002A60A4">
        <w:rPr>
          <w:rFonts w:ascii="Book Antiqua" w:eastAsia="宋体" w:hAnsi="Book Antiqua" w:cs="宋体"/>
          <w:color w:val="000000"/>
          <w:sz w:val="24"/>
          <w:szCs w:val="24"/>
          <w:lang w:val="en-US" w:eastAsia="zh-CN"/>
        </w:rPr>
        <w:t> 2003; </w:t>
      </w:r>
      <w:r w:rsidRPr="002A60A4">
        <w:rPr>
          <w:rFonts w:ascii="Book Antiqua" w:eastAsia="宋体" w:hAnsi="Book Antiqua" w:cs="宋体"/>
          <w:b/>
          <w:bCs/>
          <w:color w:val="000000"/>
          <w:sz w:val="24"/>
          <w:szCs w:val="24"/>
          <w:lang w:val="en-US" w:eastAsia="zh-CN"/>
        </w:rPr>
        <w:t>13</w:t>
      </w:r>
      <w:r w:rsidRPr="002A60A4">
        <w:rPr>
          <w:rFonts w:ascii="Book Antiqua" w:eastAsia="宋体" w:hAnsi="Book Antiqua" w:cs="宋体"/>
          <w:color w:val="000000"/>
          <w:sz w:val="24"/>
          <w:szCs w:val="24"/>
          <w:lang w:val="en-US" w:eastAsia="zh-CN"/>
        </w:rPr>
        <w:t>: S5-S9 [PMID: 12762287]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85 </w:t>
      </w:r>
      <w:r w:rsidRPr="002A60A4">
        <w:rPr>
          <w:rFonts w:ascii="Book Antiqua" w:eastAsia="宋体" w:hAnsi="Book Antiqua" w:cs="宋体"/>
          <w:b/>
          <w:bCs/>
          <w:color w:val="000000"/>
          <w:sz w:val="24"/>
          <w:szCs w:val="24"/>
          <w:lang w:val="en-US" w:eastAsia="zh-CN"/>
        </w:rPr>
        <w:t>Mulligan K</w:t>
      </w:r>
      <w:r w:rsidRPr="002A60A4">
        <w:rPr>
          <w:rFonts w:ascii="Book Antiqua" w:eastAsia="宋体" w:hAnsi="Book Antiqua" w:cs="宋体"/>
          <w:color w:val="000000"/>
          <w:sz w:val="24"/>
          <w:szCs w:val="24"/>
          <w:lang w:val="en-US" w:eastAsia="zh-CN"/>
        </w:rPr>
        <w:t>, Parker RA, Komarow L, Grinspoon SK, Tebas P, Robbins GK, Roubenoff R, Dubé MP. Mixed patterns of changes in central and peripheral fat following initiation of antiretroviral therapy in a randomized trial.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41</w:t>
      </w:r>
      <w:r w:rsidRPr="002A60A4">
        <w:rPr>
          <w:rFonts w:ascii="Book Antiqua" w:eastAsia="宋体" w:hAnsi="Book Antiqua" w:cs="宋体"/>
          <w:color w:val="000000"/>
          <w:sz w:val="24"/>
          <w:szCs w:val="24"/>
          <w:lang w:val="en-US" w:eastAsia="zh-CN"/>
        </w:rPr>
        <w:t>: 590-597 [PMID: 16652032 DOI: 10.1097/01.qai.0000214811.72916.67]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86 </w:t>
      </w:r>
      <w:r w:rsidRPr="002A60A4">
        <w:rPr>
          <w:rFonts w:ascii="Book Antiqua" w:eastAsia="宋体" w:hAnsi="Book Antiqua" w:cs="宋体"/>
          <w:b/>
          <w:bCs/>
          <w:color w:val="000000"/>
          <w:sz w:val="24"/>
          <w:szCs w:val="24"/>
          <w:lang w:val="en-US" w:eastAsia="zh-CN"/>
        </w:rPr>
        <w:t>Torriani M</w:t>
      </w:r>
      <w:r w:rsidRPr="002A60A4">
        <w:rPr>
          <w:rFonts w:ascii="Book Antiqua" w:eastAsia="宋体" w:hAnsi="Book Antiqua" w:cs="宋体"/>
          <w:color w:val="000000"/>
          <w:sz w:val="24"/>
          <w:szCs w:val="24"/>
          <w:lang w:val="en-US" w:eastAsia="zh-CN"/>
        </w:rPr>
        <w:t>, Hadigan C, Jensen ME, Grinspoon S. Psoas muscle attenuation measurement with computed tomography indicates intramuscular fat accumulation in patients with the HIV-lipodystrophy syndrome. </w:t>
      </w:r>
      <w:r w:rsidRPr="002A60A4">
        <w:rPr>
          <w:rFonts w:ascii="Book Antiqua" w:eastAsia="宋体" w:hAnsi="Book Antiqua" w:cs="宋体"/>
          <w:i/>
          <w:iCs/>
          <w:color w:val="000000"/>
          <w:sz w:val="24"/>
          <w:szCs w:val="24"/>
          <w:lang w:val="en-US" w:eastAsia="zh-CN"/>
        </w:rPr>
        <w:t>J Appl Physiol (1985)</w:t>
      </w:r>
      <w:r w:rsidRPr="002A60A4">
        <w:rPr>
          <w:rFonts w:ascii="Book Antiqua" w:eastAsia="宋体" w:hAnsi="Book Antiqua" w:cs="宋体"/>
          <w:color w:val="000000"/>
          <w:sz w:val="24"/>
          <w:szCs w:val="24"/>
          <w:lang w:val="en-US" w:eastAsia="zh-CN"/>
        </w:rPr>
        <w:t> 2003; </w:t>
      </w:r>
      <w:r w:rsidRPr="002A60A4">
        <w:rPr>
          <w:rFonts w:ascii="Book Antiqua" w:eastAsia="宋体" w:hAnsi="Book Antiqua" w:cs="宋体"/>
          <w:b/>
          <w:bCs/>
          <w:color w:val="000000"/>
          <w:sz w:val="24"/>
          <w:szCs w:val="24"/>
          <w:lang w:val="en-US" w:eastAsia="zh-CN"/>
        </w:rPr>
        <w:t>95</w:t>
      </w:r>
      <w:r w:rsidRPr="002A60A4">
        <w:rPr>
          <w:rFonts w:ascii="Book Antiqua" w:eastAsia="宋体" w:hAnsi="Book Antiqua" w:cs="宋体"/>
          <w:color w:val="000000"/>
          <w:sz w:val="24"/>
          <w:szCs w:val="24"/>
          <w:lang w:val="en-US" w:eastAsia="zh-CN"/>
        </w:rPr>
        <w:t>: 1005-1010 [PMID: 12766180]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87 </w:t>
      </w:r>
      <w:r w:rsidRPr="002A60A4">
        <w:rPr>
          <w:rFonts w:ascii="Book Antiqua" w:eastAsia="宋体" w:hAnsi="Book Antiqua" w:cs="宋体"/>
          <w:b/>
          <w:bCs/>
          <w:color w:val="000000"/>
          <w:sz w:val="24"/>
          <w:szCs w:val="24"/>
          <w:lang w:val="en-US" w:eastAsia="zh-CN"/>
        </w:rPr>
        <w:t>Lo J</w:t>
      </w:r>
      <w:r w:rsidRPr="002A60A4">
        <w:rPr>
          <w:rFonts w:ascii="Book Antiqua" w:eastAsia="宋体" w:hAnsi="Book Antiqua" w:cs="宋体"/>
          <w:color w:val="000000"/>
          <w:sz w:val="24"/>
          <w:szCs w:val="24"/>
          <w:lang w:val="en-US" w:eastAsia="zh-CN"/>
        </w:rPr>
        <w:t>, Abbara S, Rocha-Filho JA, Shturman L, Wei J, Grinspoon SK. Increased epicardial adipose tissue volume in HIV-infected men and relationships to body composition and metabolic parameters.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2010; </w:t>
      </w:r>
      <w:r w:rsidRPr="002A60A4">
        <w:rPr>
          <w:rFonts w:ascii="Book Antiqua" w:eastAsia="宋体" w:hAnsi="Book Antiqua" w:cs="宋体"/>
          <w:b/>
          <w:bCs/>
          <w:color w:val="000000"/>
          <w:sz w:val="24"/>
          <w:szCs w:val="24"/>
          <w:lang w:val="en-US" w:eastAsia="zh-CN"/>
        </w:rPr>
        <w:t>24</w:t>
      </w:r>
      <w:r w:rsidRPr="002A60A4">
        <w:rPr>
          <w:rFonts w:ascii="Book Antiqua" w:eastAsia="宋体" w:hAnsi="Book Antiqua" w:cs="宋体"/>
          <w:color w:val="000000"/>
          <w:sz w:val="24"/>
          <w:szCs w:val="24"/>
          <w:lang w:val="en-US" w:eastAsia="zh-CN"/>
        </w:rPr>
        <w:t>: 2127-2130 [PMID: 20588167]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88 </w:t>
      </w:r>
      <w:r w:rsidRPr="002A60A4">
        <w:rPr>
          <w:rFonts w:ascii="Book Antiqua" w:eastAsia="宋体" w:hAnsi="Book Antiqua" w:cs="宋体"/>
          <w:b/>
          <w:bCs/>
          <w:color w:val="000000"/>
          <w:sz w:val="24"/>
          <w:szCs w:val="24"/>
          <w:lang w:val="en-US" w:eastAsia="zh-CN"/>
        </w:rPr>
        <w:t>Van Harmelen V</w:t>
      </w:r>
      <w:r w:rsidRPr="002A60A4">
        <w:rPr>
          <w:rFonts w:ascii="Book Antiqua" w:eastAsia="宋体" w:hAnsi="Book Antiqua" w:cs="宋体"/>
          <w:color w:val="000000"/>
          <w:sz w:val="24"/>
          <w:szCs w:val="24"/>
          <w:lang w:val="en-US" w:eastAsia="zh-CN"/>
        </w:rPr>
        <w:t>, Lönnqvist F, Thörne A, Wennlund A, Large V, Reynisdottir S, Arner P. Noradrenaline-induced lipolysis in isolated mesenteric, omental and subcutaneous adipocytes from obese subjects. </w:t>
      </w:r>
      <w:r w:rsidRPr="002A60A4">
        <w:rPr>
          <w:rFonts w:ascii="Book Antiqua" w:eastAsia="宋体" w:hAnsi="Book Antiqua" w:cs="宋体"/>
          <w:i/>
          <w:iCs/>
          <w:color w:val="000000"/>
          <w:sz w:val="24"/>
          <w:szCs w:val="24"/>
          <w:lang w:val="en-US" w:eastAsia="zh-CN"/>
        </w:rPr>
        <w:t>Int J Obes Relat Metab Disord</w:t>
      </w:r>
      <w:r w:rsidRPr="002A60A4">
        <w:rPr>
          <w:rFonts w:ascii="Book Antiqua" w:eastAsia="宋体" w:hAnsi="Book Antiqua" w:cs="宋体"/>
          <w:color w:val="000000"/>
          <w:sz w:val="24"/>
          <w:szCs w:val="24"/>
          <w:lang w:val="en-US" w:eastAsia="zh-CN"/>
        </w:rPr>
        <w:t> 1997; </w:t>
      </w:r>
      <w:r w:rsidRPr="002A60A4">
        <w:rPr>
          <w:rFonts w:ascii="Book Antiqua" w:eastAsia="宋体" w:hAnsi="Book Antiqua" w:cs="宋体"/>
          <w:b/>
          <w:bCs/>
          <w:color w:val="000000"/>
          <w:sz w:val="24"/>
          <w:szCs w:val="24"/>
          <w:lang w:val="en-US" w:eastAsia="zh-CN"/>
        </w:rPr>
        <w:t>21</w:t>
      </w:r>
      <w:r w:rsidRPr="002A60A4">
        <w:rPr>
          <w:rFonts w:ascii="Book Antiqua" w:eastAsia="宋体" w:hAnsi="Book Antiqua" w:cs="宋体"/>
          <w:color w:val="000000"/>
          <w:sz w:val="24"/>
          <w:szCs w:val="24"/>
          <w:lang w:val="en-US" w:eastAsia="zh-CN"/>
        </w:rPr>
        <w:t>: 972-979 [PMID: 9368819 DOI: 10.1038/sj.ijo.0800504]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89 </w:t>
      </w:r>
      <w:r w:rsidRPr="002A60A4">
        <w:rPr>
          <w:rFonts w:ascii="Book Antiqua" w:eastAsia="宋体" w:hAnsi="Book Antiqua" w:cs="宋体"/>
          <w:b/>
          <w:bCs/>
          <w:color w:val="000000"/>
          <w:sz w:val="24"/>
          <w:szCs w:val="24"/>
          <w:lang w:val="en-US" w:eastAsia="zh-CN"/>
        </w:rPr>
        <w:t>Kino T</w:t>
      </w:r>
      <w:r w:rsidRPr="002A60A4">
        <w:rPr>
          <w:rFonts w:ascii="Book Antiqua" w:eastAsia="宋体" w:hAnsi="Book Antiqua" w:cs="宋体"/>
          <w:color w:val="000000"/>
          <w:sz w:val="24"/>
          <w:szCs w:val="24"/>
          <w:lang w:val="en-US" w:eastAsia="zh-CN"/>
        </w:rPr>
        <w:t>, Gragerov A, Kopp JB, Stauber RH, Pavlakis GN, Chrousos GP. The HIV-1 virion-associated protein vpr is a coactivator of the human glucocorticoid receptor. </w:t>
      </w:r>
      <w:r w:rsidRPr="002A60A4">
        <w:rPr>
          <w:rFonts w:ascii="Book Antiqua" w:eastAsia="宋体" w:hAnsi="Book Antiqua" w:cs="宋体"/>
          <w:i/>
          <w:iCs/>
          <w:color w:val="000000"/>
          <w:sz w:val="24"/>
          <w:szCs w:val="24"/>
          <w:lang w:val="en-US" w:eastAsia="zh-CN"/>
        </w:rPr>
        <w:t>J Exp Med</w:t>
      </w:r>
      <w:r w:rsidRPr="002A60A4">
        <w:rPr>
          <w:rFonts w:ascii="Book Antiqua" w:eastAsia="宋体" w:hAnsi="Book Antiqua" w:cs="宋体"/>
          <w:color w:val="000000"/>
          <w:sz w:val="24"/>
          <w:szCs w:val="24"/>
          <w:lang w:val="en-US" w:eastAsia="zh-CN"/>
        </w:rPr>
        <w:t> 1999; </w:t>
      </w:r>
      <w:r w:rsidRPr="002A60A4">
        <w:rPr>
          <w:rFonts w:ascii="Book Antiqua" w:eastAsia="宋体" w:hAnsi="Book Antiqua" w:cs="宋体"/>
          <w:b/>
          <w:bCs/>
          <w:color w:val="000000"/>
          <w:sz w:val="24"/>
          <w:szCs w:val="24"/>
          <w:lang w:val="en-US" w:eastAsia="zh-CN"/>
        </w:rPr>
        <w:t>189</w:t>
      </w:r>
      <w:r w:rsidRPr="002A60A4">
        <w:rPr>
          <w:rFonts w:ascii="Book Antiqua" w:eastAsia="宋体" w:hAnsi="Book Antiqua" w:cs="宋体"/>
          <w:color w:val="000000"/>
          <w:sz w:val="24"/>
          <w:szCs w:val="24"/>
          <w:lang w:val="en-US" w:eastAsia="zh-CN"/>
        </w:rPr>
        <w:t>: 51-62 [PMID: 9874563]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90 </w:t>
      </w:r>
      <w:r w:rsidRPr="002A60A4">
        <w:rPr>
          <w:rFonts w:ascii="Book Antiqua" w:eastAsia="宋体" w:hAnsi="Book Antiqua" w:cs="宋体"/>
          <w:b/>
          <w:bCs/>
          <w:color w:val="000000"/>
          <w:sz w:val="24"/>
          <w:szCs w:val="24"/>
          <w:lang w:val="en-US" w:eastAsia="zh-CN"/>
        </w:rPr>
        <w:t>Sax PE</w:t>
      </w:r>
      <w:r w:rsidRPr="002A60A4">
        <w:rPr>
          <w:rFonts w:ascii="Book Antiqua" w:eastAsia="宋体" w:hAnsi="Book Antiqua" w:cs="宋体"/>
          <w:color w:val="000000"/>
          <w:sz w:val="24"/>
          <w:szCs w:val="24"/>
          <w:lang w:val="en-US" w:eastAsia="zh-CN"/>
        </w:rPr>
        <w:t>, Kumar P. Tolerability and safety of HIV protease inhibitors in adults.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37</w:t>
      </w:r>
      <w:r w:rsidRPr="002A60A4">
        <w:rPr>
          <w:rFonts w:ascii="Book Antiqua" w:eastAsia="宋体" w:hAnsi="Book Antiqua" w:cs="宋体"/>
          <w:color w:val="000000"/>
          <w:sz w:val="24"/>
          <w:szCs w:val="24"/>
          <w:lang w:val="en-US" w:eastAsia="zh-CN"/>
        </w:rPr>
        <w:t>: 1111-1124 [PMID: 15319670 DOI: 10.1097/01.qai.0000138420.38995.86]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91 </w:t>
      </w:r>
      <w:r w:rsidRPr="002A60A4">
        <w:rPr>
          <w:rFonts w:ascii="Book Antiqua" w:eastAsia="宋体" w:hAnsi="Book Antiqua" w:cs="宋体"/>
          <w:b/>
          <w:bCs/>
          <w:color w:val="000000"/>
          <w:sz w:val="24"/>
          <w:szCs w:val="24"/>
          <w:lang w:val="en-US" w:eastAsia="zh-CN"/>
        </w:rPr>
        <w:t>Brown TT</w:t>
      </w:r>
      <w:r w:rsidRPr="002A60A4">
        <w:rPr>
          <w:rFonts w:ascii="Book Antiqua" w:eastAsia="宋体" w:hAnsi="Book Antiqua" w:cs="宋体"/>
          <w:color w:val="000000"/>
          <w:sz w:val="24"/>
          <w:szCs w:val="24"/>
          <w:lang w:val="en-US" w:eastAsia="zh-CN"/>
        </w:rPr>
        <w:t>, Chu H, Wang Z, Palella FJ, Kingsley L, Witt MD, Dobs AS. Longitudinal increases in waist circumference are associated with HIV-serostatus, independent of antiretroviral therapy.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2007; </w:t>
      </w:r>
      <w:r w:rsidRPr="002A60A4">
        <w:rPr>
          <w:rFonts w:ascii="Book Antiqua" w:eastAsia="宋体" w:hAnsi="Book Antiqua" w:cs="宋体"/>
          <w:b/>
          <w:bCs/>
          <w:color w:val="000000"/>
          <w:sz w:val="24"/>
          <w:szCs w:val="24"/>
          <w:lang w:val="en-US" w:eastAsia="zh-CN"/>
        </w:rPr>
        <w:t>21</w:t>
      </w:r>
      <w:r w:rsidRPr="002A60A4">
        <w:rPr>
          <w:rFonts w:ascii="Book Antiqua" w:eastAsia="宋体" w:hAnsi="Book Antiqua" w:cs="宋体"/>
          <w:color w:val="000000"/>
          <w:sz w:val="24"/>
          <w:szCs w:val="24"/>
          <w:lang w:val="en-US" w:eastAsia="zh-CN"/>
        </w:rPr>
        <w:t>: 1731-1738 [PMID: 17690571 DOI: 10.1097/QAD.0b013e328270356a]</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92 </w:t>
      </w:r>
      <w:r w:rsidRPr="002A60A4">
        <w:rPr>
          <w:rFonts w:ascii="Book Antiqua" w:eastAsia="宋体" w:hAnsi="Book Antiqua" w:cs="宋体"/>
          <w:b/>
          <w:bCs/>
          <w:color w:val="000000"/>
          <w:sz w:val="24"/>
          <w:szCs w:val="24"/>
          <w:lang w:val="en-US" w:eastAsia="zh-CN"/>
        </w:rPr>
        <w:t>Alves MD</w:t>
      </w:r>
      <w:r w:rsidRPr="002A60A4">
        <w:rPr>
          <w:rFonts w:ascii="Book Antiqua" w:eastAsia="宋体" w:hAnsi="Book Antiqua" w:cs="宋体"/>
          <w:color w:val="000000"/>
          <w:sz w:val="24"/>
          <w:szCs w:val="24"/>
          <w:lang w:val="en-US" w:eastAsia="zh-CN"/>
        </w:rPr>
        <w:t>, Brites C, Sprinz E. HIV-associated lipodystrophy: a review from a Brazilian perspective. </w:t>
      </w:r>
      <w:r w:rsidRPr="002A60A4">
        <w:rPr>
          <w:rFonts w:ascii="Book Antiqua" w:eastAsia="宋体" w:hAnsi="Book Antiqua" w:cs="宋体"/>
          <w:i/>
          <w:iCs/>
          <w:color w:val="000000"/>
          <w:sz w:val="24"/>
          <w:szCs w:val="24"/>
          <w:lang w:val="en-US" w:eastAsia="zh-CN"/>
        </w:rPr>
        <w:t>Ther Clin Risk Manag</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10</w:t>
      </w:r>
      <w:r w:rsidRPr="002A60A4">
        <w:rPr>
          <w:rFonts w:ascii="Book Antiqua" w:eastAsia="宋体" w:hAnsi="Book Antiqua" w:cs="宋体"/>
          <w:color w:val="000000"/>
          <w:sz w:val="24"/>
          <w:szCs w:val="24"/>
          <w:lang w:val="en-US" w:eastAsia="zh-CN"/>
        </w:rPr>
        <w:t>: 559-566 [PMID: 25083134 DOI: 10.2147/TCRM.S35075]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93 </w:t>
      </w:r>
      <w:r w:rsidRPr="002A60A4">
        <w:rPr>
          <w:rFonts w:ascii="Book Antiqua" w:eastAsia="宋体" w:hAnsi="Book Antiqua" w:cs="宋体"/>
          <w:b/>
          <w:bCs/>
          <w:color w:val="000000"/>
          <w:sz w:val="24"/>
          <w:szCs w:val="24"/>
          <w:lang w:val="en-US" w:eastAsia="zh-CN"/>
        </w:rPr>
        <w:t>Justman JE</w:t>
      </w:r>
      <w:r w:rsidRPr="002A60A4">
        <w:rPr>
          <w:rFonts w:ascii="Book Antiqua" w:eastAsia="宋体" w:hAnsi="Book Antiqua" w:cs="宋体"/>
          <w:color w:val="000000"/>
          <w:sz w:val="24"/>
          <w:szCs w:val="24"/>
          <w:lang w:val="en-US" w:eastAsia="zh-CN"/>
        </w:rPr>
        <w:t>, Hoover DR, Shi Q, Tan T, Anastos K, Tien PC, Cole SR, Hyman C, Karim R, Weber K, Grinspoon S. Longitudinal anthropometric patterns among HIV-infected and HIV-uninfected women.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2008; </w:t>
      </w:r>
      <w:r w:rsidRPr="002A60A4">
        <w:rPr>
          <w:rFonts w:ascii="Book Antiqua" w:eastAsia="宋体" w:hAnsi="Book Antiqua" w:cs="宋体"/>
          <w:b/>
          <w:bCs/>
          <w:color w:val="000000"/>
          <w:sz w:val="24"/>
          <w:szCs w:val="24"/>
          <w:lang w:val="en-US" w:eastAsia="zh-CN"/>
        </w:rPr>
        <w:t>47</w:t>
      </w:r>
      <w:r w:rsidRPr="002A60A4">
        <w:rPr>
          <w:rFonts w:ascii="Book Antiqua" w:eastAsia="宋体" w:hAnsi="Book Antiqua" w:cs="宋体"/>
          <w:color w:val="000000"/>
          <w:sz w:val="24"/>
          <w:szCs w:val="24"/>
          <w:lang w:val="en-US" w:eastAsia="zh-CN"/>
        </w:rPr>
        <w:t>: 312-319 [PMID: 18197125 DOI: 10.1097/QAI.0b013e318162f597]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94 </w:t>
      </w:r>
      <w:r w:rsidRPr="002A60A4">
        <w:rPr>
          <w:rFonts w:ascii="Book Antiqua" w:eastAsia="宋体" w:hAnsi="Book Antiqua" w:cs="宋体"/>
          <w:b/>
          <w:bCs/>
          <w:color w:val="000000"/>
          <w:sz w:val="24"/>
          <w:szCs w:val="24"/>
          <w:lang w:val="en-US" w:eastAsia="zh-CN"/>
        </w:rPr>
        <w:t>Bacchetti P</w:t>
      </w:r>
      <w:r w:rsidRPr="002A60A4">
        <w:rPr>
          <w:rFonts w:ascii="Book Antiqua" w:eastAsia="宋体" w:hAnsi="Book Antiqua" w:cs="宋体"/>
          <w:color w:val="000000"/>
          <w:sz w:val="24"/>
          <w:szCs w:val="24"/>
          <w:lang w:val="en-US" w:eastAsia="zh-CN"/>
        </w:rPr>
        <w:t>, Gripshover B, Grunfeld C, Heymsfield S, McCreath H, Osmond D, Saag M, Scherzer R, Shlipak M, Tien P. Fat distribution in men with HIV infection.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40</w:t>
      </w:r>
      <w:r w:rsidRPr="002A60A4">
        <w:rPr>
          <w:rFonts w:ascii="Book Antiqua" w:eastAsia="宋体" w:hAnsi="Book Antiqua" w:cs="宋体"/>
          <w:color w:val="000000"/>
          <w:sz w:val="24"/>
          <w:szCs w:val="24"/>
          <w:lang w:val="en-US" w:eastAsia="zh-CN"/>
        </w:rPr>
        <w:t>: 121-131 [PMID: 16186728 DOI: 10.1097/01.qai.0000182230.47819.aa]</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 xml:space="preserve">95 </w:t>
      </w:r>
      <w:r w:rsidRPr="002A60A4">
        <w:rPr>
          <w:rFonts w:ascii="Book Antiqua" w:hAnsi="Book Antiqua"/>
          <w:b/>
          <w:sz w:val="24"/>
          <w:szCs w:val="24"/>
          <w:lang w:val="en-US"/>
        </w:rPr>
        <w:t>Study of Fat Redistribution and Metabolic Change in HIV Infection (FRAM).</w:t>
      </w:r>
      <w:r w:rsidRPr="002A60A4">
        <w:rPr>
          <w:rFonts w:ascii="Book Antiqua" w:eastAsia="宋体" w:hAnsi="Book Antiqua" w:cs="宋体"/>
          <w:color w:val="000000"/>
          <w:sz w:val="24"/>
          <w:szCs w:val="24"/>
          <w:lang w:val="en-US" w:eastAsia="zh-CN"/>
        </w:rPr>
        <w:t xml:space="preserve"> Fat distribution in women with HIV infection.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42</w:t>
      </w:r>
      <w:r w:rsidRPr="002A60A4">
        <w:rPr>
          <w:rFonts w:ascii="Book Antiqua" w:eastAsia="宋体" w:hAnsi="Book Antiqua" w:cs="宋体"/>
          <w:color w:val="000000"/>
          <w:sz w:val="24"/>
          <w:szCs w:val="24"/>
          <w:lang w:val="en-US" w:eastAsia="zh-CN"/>
        </w:rPr>
        <w:t>: 562-571 [PMID: 16837863]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96 </w:t>
      </w:r>
      <w:r w:rsidRPr="002A60A4">
        <w:rPr>
          <w:rFonts w:ascii="Book Antiqua" w:eastAsia="宋体" w:hAnsi="Book Antiqua" w:cs="宋体"/>
          <w:b/>
          <w:bCs/>
          <w:color w:val="000000"/>
          <w:sz w:val="24"/>
          <w:szCs w:val="24"/>
          <w:lang w:val="en-US" w:eastAsia="zh-CN"/>
        </w:rPr>
        <w:t>Ene L</w:t>
      </w:r>
      <w:r w:rsidRPr="002A60A4">
        <w:rPr>
          <w:rFonts w:ascii="Book Antiqua" w:eastAsia="宋体" w:hAnsi="Book Antiqua" w:cs="宋体"/>
          <w:color w:val="000000"/>
          <w:sz w:val="24"/>
          <w:szCs w:val="24"/>
          <w:lang w:val="en-US" w:eastAsia="zh-CN"/>
        </w:rPr>
        <w:t>, Goetghebuer T, Hainaut M, Peltier A, Toppet V, Levy J. Prevalence of lipodystrophy in HIV-infected children: a cross-sectional study. </w:t>
      </w:r>
      <w:r w:rsidRPr="002A60A4">
        <w:rPr>
          <w:rFonts w:ascii="Book Antiqua" w:eastAsia="宋体" w:hAnsi="Book Antiqua" w:cs="宋体"/>
          <w:i/>
          <w:iCs/>
          <w:color w:val="000000"/>
          <w:sz w:val="24"/>
          <w:szCs w:val="24"/>
          <w:lang w:val="en-US" w:eastAsia="zh-CN"/>
        </w:rPr>
        <w:t>Eur J Pediatr</w:t>
      </w:r>
      <w:r w:rsidRPr="002A60A4">
        <w:rPr>
          <w:rFonts w:ascii="Book Antiqua" w:eastAsia="宋体" w:hAnsi="Book Antiqua" w:cs="宋体"/>
          <w:color w:val="000000"/>
          <w:sz w:val="24"/>
          <w:szCs w:val="24"/>
          <w:lang w:val="en-US" w:eastAsia="zh-CN"/>
        </w:rPr>
        <w:t> 2007; </w:t>
      </w:r>
      <w:r w:rsidRPr="002A60A4">
        <w:rPr>
          <w:rFonts w:ascii="Book Antiqua" w:eastAsia="宋体" w:hAnsi="Book Antiqua" w:cs="宋体"/>
          <w:b/>
          <w:bCs/>
          <w:color w:val="000000"/>
          <w:sz w:val="24"/>
          <w:szCs w:val="24"/>
          <w:lang w:val="en-US" w:eastAsia="zh-CN"/>
        </w:rPr>
        <w:t>166</w:t>
      </w:r>
      <w:r w:rsidRPr="002A60A4">
        <w:rPr>
          <w:rFonts w:ascii="Book Antiqua" w:eastAsia="宋体" w:hAnsi="Book Antiqua" w:cs="宋体"/>
          <w:color w:val="000000"/>
          <w:sz w:val="24"/>
          <w:szCs w:val="24"/>
          <w:lang w:val="en-US" w:eastAsia="zh-CN"/>
        </w:rPr>
        <w:t>: 13-21 [PMID: 16896646]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97 </w:t>
      </w:r>
      <w:r w:rsidRPr="002A60A4">
        <w:rPr>
          <w:rFonts w:ascii="Book Antiqua" w:eastAsia="宋体" w:hAnsi="Book Antiqua" w:cs="宋体"/>
          <w:b/>
          <w:bCs/>
          <w:color w:val="000000"/>
          <w:sz w:val="24"/>
          <w:szCs w:val="24"/>
          <w:lang w:val="en-US" w:eastAsia="zh-CN"/>
        </w:rPr>
        <w:t>Beregszaszi M</w:t>
      </w:r>
      <w:r w:rsidRPr="002A60A4">
        <w:rPr>
          <w:rFonts w:ascii="Book Antiqua" w:eastAsia="宋体" w:hAnsi="Book Antiqua" w:cs="宋体"/>
          <w:color w:val="000000"/>
          <w:sz w:val="24"/>
          <w:szCs w:val="24"/>
          <w:lang w:val="en-US" w:eastAsia="zh-CN"/>
        </w:rPr>
        <w:t>, Dollfus C, Levine M, Faye A, Deghmoun S, Bellal N, Houang M, Chevenne D, Hankard R, Bresson JL, Blanche S, Levy-Marchal C. Longitudinal evaluation and risk factors of lipodystrophy and associated metabolic changes in HIV-infected children.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40</w:t>
      </w:r>
      <w:r w:rsidRPr="002A60A4">
        <w:rPr>
          <w:rFonts w:ascii="Book Antiqua" w:eastAsia="宋体" w:hAnsi="Book Antiqua" w:cs="宋体"/>
          <w:color w:val="000000"/>
          <w:sz w:val="24"/>
          <w:szCs w:val="24"/>
          <w:lang w:val="en-US" w:eastAsia="zh-CN"/>
        </w:rPr>
        <w:t>: 161-168 [PMID: 16186733 DOI: 10.1097/01.qai.0000178930.93033.f2]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98 </w:t>
      </w:r>
      <w:r w:rsidRPr="002A60A4">
        <w:rPr>
          <w:rFonts w:ascii="Book Antiqua" w:eastAsia="宋体" w:hAnsi="Book Antiqua" w:cs="宋体"/>
          <w:b/>
          <w:bCs/>
          <w:color w:val="000000"/>
          <w:sz w:val="24"/>
          <w:szCs w:val="24"/>
          <w:lang w:val="en-US" w:eastAsia="zh-CN"/>
        </w:rPr>
        <w:t>Desai N</w:t>
      </w:r>
      <w:r w:rsidRPr="002A60A4">
        <w:rPr>
          <w:rFonts w:ascii="Book Antiqua" w:eastAsia="宋体" w:hAnsi="Book Antiqua" w:cs="宋体"/>
          <w:color w:val="000000"/>
          <w:sz w:val="24"/>
          <w:szCs w:val="24"/>
          <w:lang w:val="en-US" w:eastAsia="zh-CN"/>
        </w:rPr>
        <w:t>, Mullen P, Mathur M. Lipodystrophy in pediatric HIV. </w:t>
      </w:r>
      <w:r w:rsidRPr="002A60A4">
        <w:rPr>
          <w:rFonts w:ascii="Book Antiqua" w:eastAsia="宋体" w:hAnsi="Book Antiqua" w:cs="宋体"/>
          <w:i/>
          <w:iCs/>
          <w:color w:val="000000"/>
          <w:sz w:val="24"/>
          <w:szCs w:val="24"/>
          <w:lang w:val="en-US" w:eastAsia="zh-CN"/>
        </w:rPr>
        <w:t>Indian J Pediatr</w:t>
      </w:r>
      <w:r w:rsidRPr="002A60A4">
        <w:rPr>
          <w:rFonts w:ascii="Book Antiqua" w:eastAsia="宋体" w:hAnsi="Book Antiqua" w:cs="宋体"/>
          <w:color w:val="000000"/>
          <w:sz w:val="24"/>
          <w:szCs w:val="24"/>
          <w:lang w:val="en-US" w:eastAsia="zh-CN"/>
        </w:rPr>
        <w:t> 2008; </w:t>
      </w:r>
      <w:r w:rsidRPr="002A60A4">
        <w:rPr>
          <w:rFonts w:ascii="Book Antiqua" w:eastAsia="宋体" w:hAnsi="Book Antiqua" w:cs="宋体"/>
          <w:b/>
          <w:bCs/>
          <w:color w:val="000000"/>
          <w:sz w:val="24"/>
          <w:szCs w:val="24"/>
          <w:lang w:val="en-US" w:eastAsia="zh-CN"/>
        </w:rPr>
        <w:t>75</w:t>
      </w:r>
      <w:r w:rsidRPr="002A60A4">
        <w:rPr>
          <w:rFonts w:ascii="Book Antiqua" w:eastAsia="宋体" w:hAnsi="Book Antiqua" w:cs="宋体"/>
          <w:color w:val="000000"/>
          <w:sz w:val="24"/>
          <w:szCs w:val="24"/>
          <w:lang w:val="en-US" w:eastAsia="zh-CN"/>
        </w:rPr>
        <w:t>: 351-354 [PMID: 18536889 DOI: 10.1007/s12098-008-0037-2]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99 </w:t>
      </w:r>
      <w:r w:rsidRPr="002A60A4">
        <w:rPr>
          <w:rFonts w:ascii="Book Antiqua" w:eastAsia="宋体" w:hAnsi="Book Antiqua" w:cs="宋体"/>
          <w:b/>
          <w:bCs/>
          <w:color w:val="000000"/>
          <w:sz w:val="24"/>
          <w:szCs w:val="24"/>
          <w:lang w:val="en-US" w:eastAsia="zh-CN"/>
        </w:rPr>
        <w:t>Bastard JP</w:t>
      </w:r>
      <w:r w:rsidRPr="002A60A4">
        <w:rPr>
          <w:rFonts w:ascii="Book Antiqua" w:eastAsia="宋体" w:hAnsi="Book Antiqua" w:cs="宋体"/>
          <w:color w:val="000000"/>
          <w:sz w:val="24"/>
          <w:szCs w:val="24"/>
          <w:lang w:val="en-US" w:eastAsia="zh-CN"/>
        </w:rPr>
        <w:t>, Caron M, Vidal H, Jan V, Auclair M, Vigouroux C, Luboinski J, Laville M, Maachi M, Girard PM, Rozenbaum W, Levan P, Capeau J. Association between altered expression of adipogenic factor SREBP1 in lipoatrophic adipose tissue from HIV-1-infected patients and abnormal adipocyte differentiation and insulin resistance. </w:t>
      </w:r>
      <w:r w:rsidRPr="002A60A4">
        <w:rPr>
          <w:rFonts w:ascii="Book Antiqua" w:eastAsia="宋体" w:hAnsi="Book Antiqua" w:cs="宋体"/>
          <w:i/>
          <w:iCs/>
          <w:color w:val="000000"/>
          <w:sz w:val="24"/>
          <w:szCs w:val="24"/>
          <w:lang w:val="en-US" w:eastAsia="zh-CN"/>
        </w:rPr>
        <w:t>Lancet</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359</w:t>
      </w:r>
      <w:r w:rsidRPr="002A60A4">
        <w:rPr>
          <w:rFonts w:ascii="Book Antiqua" w:eastAsia="宋体" w:hAnsi="Book Antiqua" w:cs="宋体"/>
          <w:color w:val="000000"/>
          <w:sz w:val="24"/>
          <w:szCs w:val="24"/>
          <w:lang w:val="en-US" w:eastAsia="zh-CN"/>
        </w:rPr>
        <w:t>: 1026-1031 [PMID: 11937183 DOI: 10.1016/S0140-6736(02)08094-7]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100 </w:t>
      </w:r>
      <w:r w:rsidRPr="002A60A4">
        <w:rPr>
          <w:rFonts w:ascii="Book Antiqua" w:eastAsia="宋体" w:hAnsi="Book Antiqua" w:cs="宋体"/>
          <w:b/>
          <w:bCs/>
          <w:color w:val="000000"/>
          <w:sz w:val="24"/>
          <w:szCs w:val="24"/>
          <w:lang w:val="en-US" w:eastAsia="zh-CN"/>
        </w:rPr>
        <w:t>Martinez E</w:t>
      </w:r>
      <w:r w:rsidRPr="002A60A4">
        <w:rPr>
          <w:rFonts w:ascii="Book Antiqua" w:eastAsia="宋体" w:hAnsi="Book Antiqua" w:cs="宋体"/>
          <w:color w:val="000000"/>
          <w:sz w:val="24"/>
          <w:szCs w:val="24"/>
          <w:lang w:val="en-US" w:eastAsia="zh-CN"/>
        </w:rPr>
        <w:t>, Gatell J. Metabolic abnormalities and use of HIV-1 protease inhibitors. </w:t>
      </w:r>
      <w:r w:rsidRPr="002A60A4">
        <w:rPr>
          <w:rFonts w:ascii="Book Antiqua" w:eastAsia="宋体" w:hAnsi="Book Antiqua" w:cs="宋体"/>
          <w:i/>
          <w:iCs/>
          <w:color w:val="000000"/>
          <w:sz w:val="24"/>
          <w:szCs w:val="24"/>
          <w:lang w:val="en-US" w:eastAsia="zh-CN"/>
        </w:rPr>
        <w:t>Lancet</w:t>
      </w:r>
      <w:r w:rsidRPr="002A60A4">
        <w:rPr>
          <w:rFonts w:ascii="Book Antiqua" w:eastAsia="宋体" w:hAnsi="Book Antiqua" w:cs="宋体"/>
          <w:color w:val="000000"/>
          <w:sz w:val="24"/>
          <w:szCs w:val="24"/>
          <w:lang w:val="en-US" w:eastAsia="zh-CN"/>
        </w:rPr>
        <w:t> 1998; </w:t>
      </w:r>
      <w:r w:rsidRPr="002A60A4">
        <w:rPr>
          <w:rFonts w:ascii="Book Antiqua" w:eastAsia="宋体" w:hAnsi="Book Antiqua" w:cs="宋体"/>
          <w:b/>
          <w:bCs/>
          <w:color w:val="000000"/>
          <w:sz w:val="24"/>
          <w:szCs w:val="24"/>
          <w:lang w:val="en-US" w:eastAsia="zh-CN"/>
        </w:rPr>
        <w:t>352</w:t>
      </w:r>
      <w:r w:rsidRPr="002A60A4">
        <w:rPr>
          <w:rFonts w:ascii="Book Antiqua" w:eastAsia="宋体" w:hAnsi="Book Antiqua" w:cs="宋体"/>
          <w:color w:val="000000"/>
          <w:sz w:val="24"/>
          <w:szCs w:val="24"/>
          <w:lang w:val="en-US" w:eastAsia="zh-CN"/>
        </w:rPr>
        <w:t>: 821-822 [PMID: 9737319 DOI: 10.1016/S0140-6736(05)60719-2]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101 </w:t>
      </w:r>
      <w:r w:rsidRPr="002A60A4">
        <w:rPr>
          <w:rFonts w:ascii="Book Antiqua" w:eastAsia="宋体" w:hAnsi="Book Antiqua" w:cs="宋体"/>
          <w:b/>
          <w:bCs/>
          <w:color w:val="000000"/>
          <w:sz w:val="24"/>
          <w:szCs w:val="24"/>
          <w:lang w:val="en-US" w:eastAsia="zh-CN"/>
        </w:rPr>
        <w:t>Gutierrez AD</w:t>
      </w:r>
      <w:r w:rsidRPr="002A60A4">
        <w:rPr>
          <w:rFonts w:ascii="Book Antiqua" w:eastAsia="宋体" w:hAnsi="Book Antiqua" w:cs="宋体"/>
          <w:color w:val="000000"/>
          <w:sz w:val="24"/>
          <w:szCs w:val="24"/>
          <w:lang w:val="en-US" w:eastAsia="zh-CN"/>
        </w:rPr>
        <w:t>, Balasubramanyam A. Dysregulation of glucose metabolism in HIV patients: epidemiology, mechanisms, and management. </w:t>
      </w:r>
      <w:r w:rsidRPr="002A60A4">
        <w:rPr>
          <w:rFonts w:ascii="Book Antiqua" w:eastAsia="宋体" w:hAnsi="Book Antiqua" w:cs="宋体"/>
          <w:i/>
          <w:iCs/>
          <w:color w:val="000000"/>
          <w:sz w:val="24"/>
          <w:szCs w:val="24"/>
          <w:lang w:val="en-US" w:eastAsia="zh-CN"/>
        </w:rPr>
        <w:t>Endocrine</w:t>
      </w:r>
      <w:r w:rsidRPr="002A60A4">
        <w:rPr>
          <w:rFonts w:ascii="Book Antiqua" w:eastAsia="宋体" w:hAnsi="Book Antiqua" w:cs="宋体"/>
          <w:color w:val="000000"/>
          <w:sz w:val="24"/>
          <w:szCs w:val="24"/>
          <w:lang w:val="en-US" w:eastAsia="zh-CN"/>
        </w:rPr>
        <w:t> 2012; </w:t>
      </w:r>
      <w:r w:rsidRPr="002A60A4">
        <w:rPr>
          <w:rFonts w:ascii="Book Antiqua" w:eastAsia="宋体" w:hAnsi="Book Antiqua" w:cs="宋体"/>
          <w:b/>
          <w:bCs/>
          <w:color w:val="000000"/>
          <w:sz w:val="24"/>
          <w:szCs w:val="24"/>
          <w:lang w:val="en-US" w:eastAsia="zh-CN"/>
        </w:rPr>
        <w:t>41</w:t>
      </w:r>
      <w:r w:rsidRPr="002A60A4">
        <w:rPr>
          <w:rFonts w:ascii="Book Antiqua" w:eastAsia="宋体" w:hAnsi="Book Antiqua" w:cs="宋体"/>
          <w:color w:val="000000"/>
          <w:sz w:val="24"/>
          <w:szCs w:val="24"/>
          <w:lang w:val="en-US" w:eastAsia="zh-CN"/>
        </w:rPr>
        <w:t>: 1-10 [PMID: 22134974 DOI: 10.1007/s12020-011-9565-z]</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102 </w:t>
      </w:r>
      <w:r w:rsidRPr="002A60A4">
        <w:rPr>
          <w:rFonts w:ascii="Book Antiqua" w:eastAsia="宋体" w:hAnsi="Book Antiqua" w:cs="宋体"/>
          <w:b/>
          <w:bCs/>
          <w:color w:val="000000"/>
          <w:sz w:val="24"/>
          <w:szCs w:val="24"/>
          <w:lang w:val="en-US" w:eastAsia="zh-CN"/>
        </w:rPr>
        <w:t>Hadigan C</w:t>
      </w:r>
      <w:r w:rsidRPr="002A60A4">
        <w:rPr>
          <w:rFonts w:ascii="Book Antiqua" w:eastAsia="宋体" w:hAnsi="Book Antiqua" w:cs="宋体"/>
          <w:color w:val="000000"/>
          <w:sz w:val="24"/>
          <w:szCs w:val="24"/>
          <w:lang w:val="en-US" w:eastAsia="zh-CN"/>
        </w:rPr>
        <w:t>, Meigs JB, Corcoran C, Rietschel P, Piecuch S, Basgoz N, Davis B, Sax P, Stanley T, Wilson PW, D'Agostino RB, Grinspoon S. Metabolic abnormalities and cardiovascular disease risk factors in adults with human immunodeficiency virus infection and lipodystrophy. </w:t>
      </w:r>
      <w:r w:rsidRPr="002A60A4">
        <w:rPr>
          <w:rFonts w:ascii="Book Antiqua" w:eastAsia="宋体" w:hAnsi="Book Antiqua" w:cs="宋体"/>
          <w:i/>
          <w:iCs/>
          <w:color w:val="000000"/>
          <w:sz w:val="24"/>
          <w:szCs w:val="24"/>
          <w:lang w:val="en-US" w:eastAsia="zh-CN"/>
        </w:rPr>
        <w:t>Clin Infect Dis</w:t>
      </w:r>
      <w:r w:rsidRPr="002A60A4">
        <w:rPr>
          <w:rFonts w:ascii="Book Antiqua" w:eastAsia="宋体" w:hAnsi="Book Antiqua" w:cs="宋体"/>
          <w:color w:val="000000"/>
          <w:sz w:val="24"/>
          <w:szCs w:val="24"/>
          <w:lang w:val="en-US" w:eastAsia="zh-CN"/>
        </w:rPr>
        <w:t> 2001; </w:t>
      </w:r>
      <w:r w:rsidRPr="002A60A4">
        <w:rPr>
          <w:rFonts w:ascii="Book Antiqua" w:eastAsia="宋体" w:hAnsi="Book Antiqua" w:cs="宋体"/>
          <w:b/>
          <w:bCs/>
          <w:color w:val="000000"/>
          <w:sz w:val="24"/>
          <w:szCs w:val="24"/>
          <w:lang w:val="en-US" w:eastAsia="zh-CN"/>
        </w:rPr>
        <w:t>32</w:t>
      </w:r>
      <w:r w:rsidRPr="002A60A4">
        <w:rPr>
          <w:rFonts w:ascii="Book Antiqua" w:eastAsia="宋体" w:hAnsi="Book Antiqua" w:cs="宋体"/>
          <w:color w:val="000000"/>
          <w:sz w:val="24"/>
          <w:szCs w:val="24"/>
          <w:lang w:val="en-US" w:eastAsia="zh-CN"/>
        </w:rPr>
        <w:t>: 130-139 [PMID: 11118392 DOI: 10.1086/317541]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103 </w:t>
      </w:r>
      <w:r w:rsidRPr="002A60A4">
        <w:rPr>
          <w:rFonts w:ascii="Book Antiqua" w:eastAsia="宋体" w:hAnsi="Book Antiqua" w:cs="宋体"/>
          <w:b/>
          <w:bCs/>
          <w:color w:val="000000"/>
          <w:sz w:val="24"/>
          <w:szCs w:val="24"/>
          <w:lang w:val="en-US" w:eastAsia="zh-CN"/>
        </w:rPr>
        <w:t>Brown TT</w:t>
      </w:r>
      <w:r w:rsidRPr="002A60A4">
        <w:rPr>
          <w:rFonts w:ascii="Book Antiqua" w:eastAsia="宋体" w:hAnsi="Book Antiqua" w:cs="宋体"/>
          <w:color w:val="000000"/>
          <w:sz w:val="24"/>
          <w:szCs w:val="24"/>
          <w:lang w:val="en-US" w:eastAsia="zh-CN"/>
        </w:rPr>
        <w:t>, Tassiopoulos K, Bosch RJ, Shikuma C, McComsey GA. Association between systemic inflammation and incident diabetes in HIV-infected patients after initiation of antiretroviral therapy. </w:t>
      </w:r>
      <w:r w:rsidRPr="002A60A4">
        <w:rPr>
          <w:rFonts w:ascii="Book Antiqua" w:eastAsia="宋体" w:hAnsi="Book Antiqua" w:cs="宋体"/>
          <w:i/>
          <w:iCs/>
          <w:color w:val="000000"/>
          <w:sz w:val="24"/>
          <w:szCs w:val="24"/>
          <w:lang w:val="en-US" w:eastAsia="zh-CN"/>
        </w:rPr>
        <w:t>Diabetes Care</w:t>
      </w:r>
      <w:r w:rsidRPr="002A60A4">
        <w:rPr>
          <w:rFonts w:ascii="Book Antiqua" w:eastAsia="宋体" w:hAnsi="Book Antiqua" w:cs="宋体"/>
          <w:color w:val="000000"/>
          <w:sz w:val="24"/>
          <w:szCs w:val="24"/>
          <w:lang w:val="en-US" w:eastAsia="zh-CN"/>
        </w:rPr>
        <w:t> 2010; </w:t>
      </w:r>
      <w:r w:rsidRPr="002A60A4">
        <w:rPr>
          <w:rFonts w:ascii="Book Antiqua" w:eastAsia="宋体" w:hAnsi="Book Antiqua" w:cs="宋体"/>
          <w:b/>
          <w:bCs/>
          <w:color w:val="000000"/>
          <w:sz w:val="24"/>
          <w:szCs w:val="24"/>
          <w:lang w:val="en-US" w:eastAsia="zh-CN"/>
        </w:rPr>
        <w:t>33</w:t>
      </w:r>
      <w:r w:rsidRPr="002A60A4">
        <w:rPr>
          <w:rFonts w:ascii="Book Antiqua" w:eastAsia="宋体" w:hAnsi="Book Antiqua" w:cs="宋体"/>
          <w:color w:val="000000"/>
          <w:sz w:val="24"/>
          <w:szCs w:val="24"/>
          <w:lang w:val="en-US" w:eastAsia="zh-CN"/>
        </w:rPr>
        <w:t>: 2244-2249 [PMID: 20664016 DOI: 10.2337/dc10-0633]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104 </w:t>
      </w:r>
      <w:r w:rsidRPr="002A60A4">
        <w:rPr>
          <w:rFonts w:ascii="Book Antiqua" w:eastAsia="宋体" w:hAnsi="Book Antiqua" w:cs="宋体"/>
          <w:b/>
          <w:bCs/>
          <w:color w:val="000000"/>
          <w:sz w:val="24"/>
          <w:szCs w:val="24"/>
          <w:lang w:val="en-US" w:eastAsia="zh-CN"/>
        </w:rPr>
        <w:t>Hadigan C</w:t>
      </w:r>
      <w:r w:rsidRPr="002A60A4">
        <w:rPr>
          <w:rFonts w:ascii="Book Antiqua" w:eastAsia="宋体" w:hAnsi="Book Antiqua" w:cs="宋体"/>
          <w:color w:val="000000"/>
          <w:sz w:val="24"/>
          <w:szCs w:val="24"/>
          <w:lang w:val="en-US" w:eastAsia="zh-CN"/>
        </w:rPr>
        <w:t>, Liebau J, Andersen R, Holalkere NS, Sahani DV. Magnetic resonance spectroscopy of hepatic lipid content and associated risk factors in HIV infection.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2007; </w:t>
      </w:r>
      <w:r w:rsidRPr="002A60A4">
        <w:rPr>
          <w:rFonts w:ascii="Book Antiqua" w:eastAsia="宋体" w:hAnsi="Book Antiqua" w:cs="宋体"/>
          <w:b/>
          <w:bCs/>
          <w:color w:val="000000"/>
          <w:sz w:val="24"/>
          <w:szCs w:val="24"/>
          <w:lang w:val="en-US" w:eastAsia="zh-CN"/>
        </w:rPr>
        <w:t>46</w:t>
      </w:r>
      <w:r w:rsidRPr="002A60A4">
        <w:rPr>
          <w:rFonts w:ascii="Book Antiqua" w:eastAsia="宋体" w:hAnsi="Book Antiqua" w:cs="宋体"/>
          <w:color w:val="000000"/>
          <w:sz w:val="24"/>
          <w:szCs w:val="24"/>
          <w:lang w:val="en-US" w:eastAsia="zh-CN"/>
        </w:rPr>
        <w:t>: 312-317 [PMID: 17721396 DOI: 10.1097/QAI.0b013e3181568cc2]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105 </w:t>
      </w:r>
      <w:r w:rsidRPr="002A60A4">
        <w:rPr>
          <w:rFonts w:ascii="Book Antiqua" w:eastAsia="宋体" w:hAnsi="Book Antiqua" w:cs="宋体"/>
          <w:b/>
          <w:bCs/>
          <w:color w:val="000000"/>
          <w:sz w:val="24"/>
          <w:szCs w:val="24"/>
          <w:lang w:val="en-US" w:eastAsia="zh-CN"/>
        </w:rPr>
        <w:t>Shlay JC</w:t>
      </w:r>
      <w:r w:rsidRPr="002A60A4">
        <w:rPr>
          <w:rFonts w:ascii="Book Antiqua" w:eastAsia="宋体" w:hAnsi="Book Antiqua" w:cs="宋体"/>
          <w:color w:val="000000"/>
          <w:sz w:val="24"/>
          <w:szCs w:val="24"/>
          <w:lang w:val="en-US" w:eastAsia="zh-CN"/>
        </w:rPr>
        <w:t>, Sharma S, Peng G, Gibert CL, Grunfeld C. The effect of individual antiretroviral drugs on body composition in HIV-infected persons initiating highly active antiretroviral therapy.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2009; </w:t>
      </w:r>
      <w:r w:rsidRPr="002A60A4">
        <w:rPr>
          <w:rFonts w:ascii="Book Antiqua" w:eastAsia="宋体" w:hAnsi="Book Antiqua" w:cs="宋体"/>
          <w:b/>
          <w:bCs/>
          <w:color w:val="000000"/>
          <w:sz w:val="24"/>
          <w:szCs w:val="24"/>
          <w:lang w:val="en-US" w:eastAsia="zh-CN"/>
        </w:rPr>
        <w:t>51</w:t>
      </w:r>
      <w:r w:rsidRPr="002A60A4">
        <w:rPr>
          <w:rFonts w:ascii="Book Antiqua" w:eastAsia="宋体" w:hAnsi="Book Antiqua" w:cs="宋体"/>
          <w:color w:val="000000"/>
          <w:sz w:val="24"/>
          <w:szCs w:val="24"/>
          <w:lang w:val="en-US" w:eastAsia="zh-CN"/>
        </w:rPr>
        <w:t>: 298-304 [PMID: 19412117 DOI: 10.1097/QAI.0b013e3181aa1308]</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106 </w:t>
      </w:r>
      <w:r w:rsidRPr="002A60A4">
        <w:rPr>
          <w:rFonts w:ascii="Book Antiqua" w:eastAsia="宋体" w:hAnsi="Book Antiqua" w:cs="宋体"/>
          <w:b/>
          <w:bCs/>
          <w:color w:val="000000"/>
          <w:sz w:val="24"/>
          <w:szCs w:val="24"/>
          <w:lang w:val="en-US" w:eastAsia="zh-CN"/>
        </w:rPr>
        <w:t>Seigneur M</w:t>
      </w:r>
      <w:r w:rsidRPr="002A60A4">
        <w:rPr>
          <w:rFonts w:ascii="Book Antiqua" w:eastAsia="宋体" w:hAnsi="Book Antiqua" w:cs="宋体"/>
          <w:color w:val="000000"/>
          <w:sz w:val="24"/>
          <w:szCs w:val="24"/>
          <w:lang w:val="en-US" w:eastAsia="zh-CN"/>
        </w:rPr>
        <w:t>, Constans J, Blann A, Renard M, Pellegrin JL, Amiral J, Boisseau M, Conri C. Soluble adhesion molecules and endothelial cell damage in HIV infected patients. </w:t>
      </w:r>
      <w:r w:rsidRPr="002A60A4">
        <w:rPr>
          <w:rFonts w:ascii="Book Antiqua" w:eastAsia="宋体" w:hAnsi="Book Antiqua" w:cs="宋体"/>
          <w:i/>
          <w:iCs/>
          <w:color w:val="000000"/>
          <w:sz w:val="24"/>
          <w:szCs w:val="24"/>
          <w:lang w:val="en-US" w:eastAsia="zh-CN"/>
        </w:rPr>
        <w:t>Thromb Haemost</w:t>
      </w:r>
      <w:r w:rsidRPr="002A60A4">
        <w:rPr>
          <w:rFonts w:ascii="Book Antiqua" w:eastAsia="宋体" w:hAnsi="Book Antiqua" w:cs="宋体"/>
          <w:color w:val="000000"/>
          <w:sz w:val="24"/>
          <w:szCs w:val="24"/>
          <w:lang w:val="en-US" w:eastAsia="zh-CN"/>
        </w:rPr>
        <w:t> 1997; </w:t>
      </w:r>
      <w:r w:rsidRPr="002A60A4">
        <w:rPr>
          <w:rFonts w:ascii="Book Antiqua" w:eastAsia="宋体" w:hAnsi="Book Antiqua" w:cs="宋体"/>
          <w:b/>
          <w:bCs/>
          <w:color w:val="000000"/>
          <w:sz w:val="24"/>
          <w:szCs w:val="24"/>
          <w:lang w:val="en-US" w:eastAsia="zh-CN"/>
        </w:rPr>
        <w:t>77</w:t>
      </w:r>
      <w:r w:rsidRPr="002A60A4">
        <w:rPr>
          <w:rFonts w:ascii="Book Antiqua" w:eastAsia="宋体" w:hAnsi="Book Antiqua" w:cs="宋体"/>
          <w:color w:val="000000"/>
          <w:sz w:val="24"/>
          <w:szCs w:val="24"/>
          <w:lang w:val="en-US" w:eastAsia="zh-CN"/>
        </w:rPr>
        <w:t>: 646-649 [PMID: 9134636]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107 </w:t>
      </w:r>
      <w:r w:rsidRPr="002A60A4">
        <w:rPr>
          <w:rFonts w:ascii="Book Antiqua" w:eastAsia="宋体" w:hAnsi="Book Antiqua" w:cs="宋体"/>
          <w:b/>
          <w:bCs/>
          <w:color w:val="000000"/>
          <w:sz w:val="24"/>
          <w:szCs w:val="24"/>
          <w:lang w:val="en-US" w:eastAsia="zh-CN"/>
        </w:rPr>
        <w:t>Grunfeld C</w:t>
      </w:r>
      <w:r w:rsidRPr="002A60A4">
        <w:rPr>
          <w:rFonts w:ascii="Book Antiqua" w:eastAsia="宋体" w:hAnsi="Book Antiqua" w:cs="宋体"/>
          <w:color w:val="000000"/>
          <w:sz w:val="24"/>
          <w:szCs w:val="24"/>
          <w:lang w:val="en-US" w:eastAsia="zh-CN"/>
        </w:rPr>
        <w:t>, Delaney JA, Wanke C, Currier JS, Scherzer R, Biggs ML, Tien PC, Shlipak MG, Sidney S, Polak JF, O'Leary D, Bacchetti P, Kronmal RA. Preclinical atherosclerosis due to HIV infection: carotid intima-medial thickness measurements from the FRAM study.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2009; </w:t>
      </w:r>
      <w:r w:rsidRPr="002A60A4">
        <w:rPr>
          <w:rFonts w:ascii="Book Antiqua" w:eastAsia="宋体" w:hAnsi="Book Antiqua" w:cs="宋体"/>
          <w:b/>
          <w:bCs/>
          <w:color w:val="000000"/>
          <w:sz w:val="24"/>
          <w:szCs w:val="24"/>
          <w:lang w:val="en-US" w:eastAsia="zh-CN"/>
        </w:rPr>
        <w:t>23</w:t>
      </w:r>
      <w:r w:rsidRPr="002A60A4">
        <w:rPr>
          <w:rFonts w:ascii="Book Antiqua" w:eastAsia="宋体" w:hAnsi="Book Antiqua" w:cs="宋体"/>
          <w:color w:val="000000"/>
          <w:sz w:val="24"/>
          <w:szCs w:val="24"/>
          <w:lang w:val="en-US" w:eastAsia="zh-CN"/>
        </w:rPr>
        <w:t>: 1841-1849 [PMID: 19455012 DOI: 10.1097/QAD.0b013e32832d3b85]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108 </w:t>
      </w:r>
      <w:r w:rsidRPr="002A60A4">
        <w:rPr>
          <w:rFonts w:ascii="Book Antiqua" w:eastAsia="宋体" w:hAnsi="Book Antiqua" w:cs="宋体"/>
          <w:b/>
          <w:bCs/>
          <w:color w:val="000000"/>
          <w:sz w:val="24"/>
          <w:szCs w:val="24"/>
          <w:lang w:val="en-US" w:eastAsia="zh-CN"/>
        </w:rPr>
        <w:t>Triant VA</w:t>
      </w:r>
      <w:r w:rsidRPr="002A60A4">
        <w:rPr>
          <w:rFonts w:ascii="Book Antiqua" w:eastAsia="宋体" w:hAnsi="Book Antiqua" w:cs="宋体"/>
          <w:color w:val="000000"/>
          <w:sz w:val="24"/>
          <w:szCs w:val="24"/>
          <w:lang w:val="en-US" w:eastAsia="zh-CN"/>
        </w:rPr>
        <w:t>, Meigs JB, Grinspoon SK. Association of C-reactive protein and HIV infection with acute myocardial infarction.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2009; </w:t>
      </w:r>
      <w:r w:rsidRPr="002A60A4">
        <w:rPr>
          <w:rFonts w:ascii="Book Antiqua" w:eastAsia="宋体" w:hAnsi="Book Antiqua" w:cs="宋体"/>
          <w:b/>
          <w:bCs/>
          <w:color w:val="000000"/>
          <w:sz w:val="24"/>
          <w:szCs w:val="24"/>
          <w:lang w:val="en-US" w:eastAsia="zh-CN"/>
        </w:rPr>
        <w:t>51</w:t>
      </w:r>
      <w:r w:rsidRPr="002A60A4">
        <w:rPr>
          <w:rFonts w:ascii="Book Antiqua" w:eastAsia="宋体" w:hAnsi="Book Antiqua" w:cs="宋体"/>
          <w:color w:val="000000"/>
          <w:sz w:val="24"/>
          <w:szCs w:val="24"/>
          <w:lang w:val="en-US" w:eastAsia="zh-CN"/>
        </w:rPr>
        <w:t>: 268-273 [PMID: 19387353 DOI: 10.1097/QAI.0b013e3181a9992c]</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109 </w:t>
      </w:r>
      <w:r w:rsidRPr="002A60A4">
        <w:rPr>
          <w:rFonts w:ascii="Book Antiqua" w:eastAsia="宋体" w:hAnsi="Book Antiqua" w:cs="宋体"/>
          <w:b/>
          <w:bCs/>
          <w:color w:val="000000"/>
          <w:sz w:val="24"/>
          <w:szCs w:val="24"/>
          <w:lang w:val="en-US" w:eastAsia="zh-CN"/>
        </w:rPr>
        <w:t>Samaras K</w:t>
      </w:r>
      <w:r w:rsidRPr="002A60A4">
        <w:rPr>
          <w:rFonts w:ascii="Book Antiqua" w:eastAsia="宋体" w:hAnsi="Book Antiqua" w:cs="宋体"/>
          <w:color w:val="000000"/>
          <w:sz w:val="24"/>
          <w:szCs w:val="24"/>
          <w:lang w:val="en-US" w:eastAsia="zh-CN"/>
        </w:rPr>
        <w:t>, Gan SK, Peake PW, Carr A, Campbell LV. Proinflammatory markers, insulin sensitivity, and cardiometabolic risk factors in treated HIV infection. </w:t>
      </w:r>
      <w:r w:rsidRPr="002A60A4">
        <w:rPr>
          <w:rFonts w:ascii="Book Antiqua" w:eastAsia="宋体" w:hAnsi="Book Antiqua" w:cs="宋体"/>
          <w:i/>
          <w:iCs/>
          <w:color w:val="000000"/>
          <w:sz w:val="24"/>
          <w:szCs w:val="24"/>
          <w:lang w:val="en-US" w:eastAsia="zh-CN"/>
        </w:rPr>
        <w:t>Obesity (Silver Spring)</w:t>
      </w:r>
      <w:r w:rsidRPr="002A60A4">
        <w:rPr>
          <w:rFonts w:ascii="Book Antiqua" w:eastAsia="宋体" w:hAnsi="Book Antiqua" w:cs="宋体"/>
          <w:color w:val="000000"/>
          <w:sz w:val="24"/>
          <w:szCs w:val="24"/>
          <w:lang w:val="en-US" w:eastAsia="zh-CN"/>
        </w:rPr>
        <w:t> 2009; </w:t>
      </w:r>
      <w:r w:rsidRPr="002A60A4">
        <w:rPr>
          <w:rFonts w:ascii="Book Antiqua" w:eastAsia="宋体" w:hAnsi="Book Antiqua" w:cs="宋体"/>
          <w:b/>
          <w:bCs/>
          <w:color w:val="000000"/>
          <w:sz w:val="24"/>
          <w:szCs w:val="24"/>
          <w:lang w:val="en-US" w:eastAsia="zh-CN"/>
        </w:rPr>
        <w:t>17</w:t>
      </w:r>
      <w:r w:rsidRPr="002A60A4">
        <w:rPr>
          <w:rFonts w:ascii="Book Antiqua" w:eastAsia="宋体" w:hAnsi="Book Antiqua" w:cs="宋体"/>
          <w:color w:val="000000"/>
          <w:sz w:val="24"/>
          <w:szCs w:val="24"/>
          <w:lang w:val="en-US" w:eastAsia="zh-CN"/>
        </w:rPr>
        <w:t>: 53-59 [PMID: 19008869 DOI: 10.1038/oby.2008.500]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110 </w:t>
      </w:r>
      <w:r w:rsidRPr="002A60A4">
        <w:rPr>
          <w:rFonts w:ascii="Book Antiqua" w:eastAsia="宋体" w:hAnsi="Book Antiqua" w:cs="宋体"/>
          <w:b/>
          <w:bCs/>
          <w:color w:val="000000"/>
          <w:sz w:val="24"/>
          <w:szCs w:val="24"/>
          <w:lang w:val="en-US" w:eastAsia="zh-CN"/>
        </w:rPr>
        <w:t>Sankalé JL</w:t>
      </w:r>
      <w:r w:rsidRPr="002A60A4">
        <w:rPr>
          <w:rFonts w:ascii="Book Antiqua" w:eastAsia="宋体" w:hAnsi="Book Antiqua" w:cs="宋体"/>
          <w:color w:val="000000"/>
          <w:sz w:val="24"/>
          <w:szCs w:val="24"/>
          <w:lang w:val="en-US" w:eastAsia="zh-CN"/>
        </w:rPr>
        <w:t>, Tong Q, Hadigan CM, Tan G, Grinspoon SK, Kanki PJ, Hotamisligil GS. Regulation of adiponectin in adipocytes upon exposure to HIV-1. </w:t>
      </w:r>
      <w:r w:rsidRPr="002A60A4">
        <w:rPr>
          <w:rFonts w:ascii="Book Antiqua" w:eastAsia="宋体" w:hAnsi="Book Antiqua" w:cs="宋体"/>
          <w:i/>
          <w:iCs/>
          <w:color w:val="000000"/>
          <w:sz w:val="24"/>
          <w:szCs w:val="24"/>
          <w:lang w:val="en-US" w:eastAsia="zh-CN"/>
        </w:rPr>
        <w:t>HIV Med</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7</w:t>
      </w:r>
      <w:r w:rsidRPr="002A60A4">
        <w:rPr>
          <w:rFonts w:ascii="Book Antiqua" w:eastAsia="宋体" w:hAnsi="Book Antiqua" w:cs="宋体"/>
          <w:color w:val="000000"/>
          <w:sz w:val="24"/>
          <w:szCs w:val="24"/>
          <w:lang w:val="en-US" w:eastAsia="zh-CN"/>
        </w:rPr>
        <w:t>: 268-274 [PMID: 16630040 DOI: 10.1111/j.1468-1293.2006.00372.x]</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111 </w:t>
      </w:r>
      <w:r w:rsidRPr="002A60A4">
        <w:rPr>
          <w:rFonts w:ascii="Book Antiqua" w:eastAsia="宋体" w:hAnsi="Book Antiqua" w:cs="宋体"/>
          <w:b/>
          <w:bCs/>
          <w:color w:val="000000"/>
          <w:sz w:val="24"/>
          <w:szCs w:val="24"/>
          <w:lang w:val="en-US" w:eastAsia="zh-CN"/>
        </w:rPr>
        <w:t>Jones SP</w:t>
      </w:r>
      <w:r w:rsidRPr="002A60A4">
        <w:rPr>
          <w:rFonts w:ascii="Book Antiqua" w:eastAsia="宋体" w:hAnsi="Book Antiqua" w:cs="宋体"/>
          <w:color w:val="000000"/>
          <w:sz w:val="24"/>
          <w:szCs w:val="24"/>
          <w:lang w:val="en-US" w:eastAsia="zh-CN"/>
        </w:rPr>
        <w:t>, Qazi N, Morelese J, Lebrecht D, Sutinen J, Yki-J</w:t>
      </w:r>
      <w:r w:rsidRPr="002A60A4">
        <w:rPr>
          <w:rFonts w:ascii="Book Antiqua" w:eastAsia="MS Mincho" w:hAnsi="Book Antiqua" w:cs="MS Mincho"/>
          <w:color w:val="000000"/>
          <w:sz w:val="24"/>
          <w:szCs w:val="24"/>
          <w:lang w:val="en-US" w:eastAsia="zh-CN"/>
        </w:rPr>
        <w:t>ă</w:t>
      </w:r>
      <w:r w:rsidRPr="002A60A4">
        <w:rPr>
          <w:rFonts w:ascii="Book Antiqua" w:eastAsia="宋体" w:hAnsi="Book Antiqua" w:cs="宋体"/>
          <w:color w:val="000000"/>
          <w:sz w:val="24"/>
          <w:szCs w:val="24"/>
          <w:lang w:val="en-US" w:eastAsia="zh-CN"/>
        </w:rPr>
        <w:t>rvinen H, Back DJ, Pirmohamed M, Gazzard BG, Walker UA, Moyle GJ. Assessment of adipokine expression and mitochondrial toxicity in HIV patients with lipoatrophy on stavudine- and zidovudine-containing regimens.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40</w:t>
      </w:r>
      <w:r w:rsidRPr="002A60A4">
        <w:rPr>
          <w:rFonts w:ascii="Book Antiqua" w:eastAsia="宋体" w:hAnsi="Book Antiqua" w:cs="宋体"/>
          <w:color w:val="000000"/>
          <w:sz w:val="24"/>
          <w:szCs w:val="24"/>
          <w:lang w:val="en-US" w:eastAsia="zh-CN"/>
        </w:rPr>
        <w:t>: 565-572 [PMID: 16284533 DOI: 10.1097/01.qai.0000187443.30838.3e]</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112 </w:t>
      </w:r>
      <w:r w:rsidRPr="002A60A4">
        <w:rPr>
          <w:rFonts w:ascii="Book Antiqua" w:eastAsia="宋体" w:hAnsi="Book Antiqua" w:cs="宋体"/>
          <w:b/>
          <w:bCs/>
          <w:color w:val="000000"/>
          <w:sz w:val="24"/>
          <w:szCs w:val="24"/>
          <w:lang w:val="en-US" w:eastAsia="zh-CN"/>
        </w:rPr>
        <w:t>Friis-Møller N</w:t>
      </w:r>
      <w:r w:rsidRPr="002A60A4">
        <w:rPr>
          <w:rFonts w:ascii="Book Antiqua" w:eastAsia="宋体" w:hAnsi="Book Antiqua" w:cs="宋体"/>
          <w:color w:val="000000"/>
          <w:sz w:val="24"/>
          <w:szCs w:val="24"/>
          <w:lang w:val="en-US" w:eastAsia="zh-CN"/>
        </w:rPr>
        <w:t>, Reiss P, Sabin CA, Weber R, Monforte Ad, El-Sadr W, Thiébaut R, De Wit S, Kirk O, Fontas E, Law MG, Phillips A, Lundgren JD. Class of antiretroviral drugs and the risk of myocardial infarction. </w:t>
      </w:r>
      <w:r w:rsidRPr="002A60A4">
        <w:rPr>
          <w:rFonts w:ascii="Book Antiqua" w:eastAsia="宋体" w:hAnsi="Book Antiqua" w:cs="宋体"/>
          <w:i/>
          <w:iCs/>
          <w:color w:val="000000"/>
          <w:sz w:val="24"/>
          <w:szCs w:val="24"/>
          <w:lang w:val="en-US" w:eastAsia="zh-CN"/>
        </w:rPr>
        <w:t>N Engl J Med</w:t>
      </w:r>
      <w:r w:rsidRPr="002A60A4">
        <w:rPr>
          <w:rFonts w:ascii="Book Antiqua" w:eastAsia="宋体" w:hAnsi="Book Antiqua" w:cs="宋体"/>
          <w:color w:val="000000"/>
          <w:sz w:val="24"/>
          <w:szCs w:val="24"/>
          <w:lang w:val="en-US" w:eastAsia="zh-CN"/>
        </w:rPr>
        <w:t> 2007; </w:t>
      </w:r>
      <w:r w:rsidRPr="002A60A4">
        <w:rPr>
          <w:rFonts w:ascii="Book Antiqua" w:eastAsia="宋体" w:hAnsi="Book Antiqua" w:cs="宋体"/>
          <w:b/>
          <w:bCs/>
          <w:color w:val="000000"/>
          <w:sz w:val="24"/>
          <w:szCs w:val="24"/>
          <w:lang w:val="en-US" w:eastAsia="zh-CN"/>
        </w:rPr>
        <w:t>356</w:t>
      </w:r>
      <w:r w:rsidRPr="002A60A4">
        <w:rPr>
          <w:rFonts w:ascii="Book Antiqua" w:eastAsia="宋体" w:hAnsi="Book Antiqua" w:cs="宋体"/>
          <w:color w:val="000000"/>
          <w:sz w:val="24"/>
          <w:szCs w:val="24"/>
          <w:lang w:val="en-US" w:eastAsia="zh-CN"/>
        </w:rPr>
        <w:t>: 1723-1735 [PMID: 17460226]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113 </w:t>
      </w:r>
      <w:r w:rsidRPr="002A60A4">
        <w:rPr>
          <w:rFonts w:ascii="Book Antiqua" w:eastAsia="宋体" w:hAnsi="Book Antiqua" w:cs="宋体"/>
          <w:b/>
          <w:bCs/>
          <w:color w:val="000000"/>
          <w:sz w:val="24"/>
          <w:szCs w:val="24"/>
          <w:lang w:val="en-US" w:eastAsia="zh-CN"/>
        </w:rPr>
        <w:t>Young J</w:t>
      </w:r>
      <w:r w:rsidRPr="002A60A4">
        <w:rPr>
          <w:rFonts w:ascii="Book Antiqua" w:eastAsia="宋体" w:hAnsi="Book Antiqua" w:cs="宋体"/>
          <w:color w:val="000000"/>
          <w:sz w:val="24"/>
          <w:szCs w:val="24"/>
          <w:lang w:val="en-US" w:eastAsia="zh-CN"/>
        </w:rPr>
        <w:t>, Weber R, Rickenbach M, Furrer H, Bernasconi E, Hirschel B, Tarr PE, Vernazza P, Battegay M, Bucher HC. Lipid profiles for antiretroviral-naive patients starting PI- and NNRTI-based therapy in the Swiss HIV cohort study. </w:t>
      </w:r>
      <w:r w:rsidRPr="002A60A4">
        <w:rPr>
          <w:rFonts w:ascii="Book Antiqua" w:eastAsia="宋体" w:hAnsi="Book Antiqua" w:cs="宋体"/>
          <w:i/>
          <w:iCs/>
          <w:color w:val="000000"/>
          <w:sz w:val="24"/>
          <w:szCs w:val="24"/>
          <w:lang w:val="en-US" w:eastAsia="zh-CN"/>
        </w:rPr>
        <w:t>Antivir Ther</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10</w:t>
      </w:r>
      <w:r w:rsidRPr="002A60A4">
        <w:rPr>
          <w:rFonts w:ascii="Book Antiqua" w:eastAsia="宋体" w:hAnsi="Book Antiqua" w:cs="宋体"/>
          <w:color w:val="000000"/>
          <w:sz w:val="24"/>
          <w:szCs w:val="24"/>
          <w:lang w:val="en-US" w:eastAsia="zh-CN"/>
        </w:rPr>
        <w:t>: 585-591 [PMID: 16152752]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114 </w:t>
      </w:r>
      <w:r w:rsidRPr="002A60A4">
        <w:rPr>
          <w:rFonts w:ascii="Book Antiqua" w:eastAsia="宋体" w:hAnsi="Book Antiqua" w:cs="宋体"/>
          <w:b/>
          <w:bCs/>
          <w:color w:val="000000"/>
          <w:sz w:val="24"/>
          <w:szCs w:val="24"/>
          <w:lang w:val="en-US" w:eastAsia="zh-CN"/>
        </w:rPr>
        <w:t>Cahn PE</w:t>
      </w:r>
      <w:r w:rsidRPr="002A60A4">
        <w:rPr>
          <w:rFonts w:ascii="Book Antiqua" w:eastAsia="宋体" w:hAnsi="Book Antiqua" w:cs="宋体"/>
          <w:color w:val="000000"/>
          <w:sz w:val="24"/>
          <w:szCs w:val="24"/>
          <w:lang w:val="en-US" w:eastAsia="zh-CN"/>
        </w:rPr>
        <w:t>, Gatell JM, Squires K, Percival LD, Piliero PJ, Sanne IA, Shelton S, Lazzarin A, Odeshoo L, Kelleher TD, Thiry A, Giordano MD, Schnittman SM. Atazanavir--a once-daily HIV protease inhibitor that does not cause dyslipidemia in newly treated patients: results from two randomized clinical trials. </w:t>
      </w:r>
      <w:r w:rsidRPr="002A60A4">
        <w:rPr>
          <w:rFonts w:ascii="Book Antiqua" w:eastAsia="宋体" w:hAnsi="Book Antiqua" w:cs="宋体"/>
          <w:i/>
          <w:iCs/>
          <w:color w:val="000000"/>
          <w:sz w:val="24"/>
          <w:szCs w:val="24"/>
          <w:lang w:val="en-US" w:eastAsia="zh-CN"/>
        </w:rPr>
        <w:t>J Int Assoc Physicians AIDS Care (Chic)</w:t>
      </w:r>
      <w:r w:rsidRPr="002A60A4">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2004</w:t>
      </w:r>
      <w:r w:rsidRPr="002A60A4">
        <w:rPr>
          <w:rFonts w:ascii="Book Antiqua" w:eastAsia="宋体" w:hAnsi="Book Antiqua" w:cs="宋体"/>
          <w:color w:val="000000"/>
          <w:sz w:val="24"/>
          <w:szCs w:val="24"/>
          <w:lang w:val="en-US" w:eastAsia="zh-CN"/>
        </w:rPr>
        <w:t>; </w:t>
      </w:r>
      <w:r w:rsidRPr="002A60A4">
        <w:rPr>
          <w:rFonts w:ascii="Book Antiqua" w:eastAsia="宋体" w:hAnsi="Book Antiqua" w:cs="宋体"/>
          <w:b/>
          <w:bCs/>
          <w:color w:val="000000"/>
          <w:sz w:val="24"/>
          <w:szCs w:val="24"/>
          <w:lang w:val="en-US" w:eastAsia="zh-CN"/>
        </w:rPr>
        <w:t>3</w:t>
      </w:r>
      <w:r w:rsidRPr="002A60A4">
        <w:rPr>
          <w:rFonts w:ascii="Book Antiqua" w:eastAsia="宋体" w:hAnsi="Book Antiqua" w:cs="宋体"/>
          <w:color w:val="000000"/>
          <w:sz w:val="24"/>
          <w:szCs w:val="24"/>
          <w:lang w:val="en-US" w:eastAsia="zh-CN"/>
        </w:rPr>
        <w:t>: 92-98 [PMID: 15573713 DOI: 10.1177/154510970400300304]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115 </w:t>
      </w:r>
      <w:r w:rsidRPr="002A60A4">
        <w:rPr>
          <w:rFonts w:ascii="Book Antiqua" w:eastAsia="宋体" w:hAnsi="Book Antiqua" w:cs="宋体"/>
          <w:b/>
          <w:bCs/>
          <w:color w:val="000000"/>
          <w:sz w:val="24"/>
          <w:szCs w:val="24"/>
          <w:lang w:val="en-US" w:eastAsia="zh-CN"/>
        </w:rPr>
        <w:t>Grover SA</w:t>
      </w:r>
      <w:r w:rsidRPr="002A60A4">
        <w:rPr>
          <w:rFonts w:ascii="Book Antiqua" w:eastAsia="宋体" w:hAnsi="Book Antiqua" w:cs="宋体"/>
          <w:color w:val="000000"/>
          <w:sz w:val="24"/>
          <w:szCs w:val="24"/>
          <w:lang w:val="en-US" w:eastAsia="zh-CN"/>
        </w:rPr>
        <w:t>, Coupal L, Gilmore N, Mukherjee J. Impact of dyslipidemia associated with Highly Active Antiretroviral Therapy (HAART) on cardiovascular risk and life expectancy. </w:t>
      </w:r>
      <w:r w:rsidRPr="002A60A4">
        <w:rPr>
          <w:rFonts w:ascii="Book Antiqua" w:eastAsia="宋体" w:hAnsi="Book Antiqua" w:cs="宋体"/>
          <w:i/>
          <w:iCs/>
          <w:color w:val="000000"/>
          <w:sz w:val="24"/>
          <w:szCs w:val="24"/>
          <w:lang w:val="en-US" w:eastAsia="zh-CN"/>
        </w:rPr>
        <w:t>Am J Cardiol</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95</w:t>
      </w:r>
      <w:r w:rsidRPr="002A60A4">
        <w:rPr>
          <w:rFonts w:ascii="Book Antiqua" w:eastAsia="宋体" w:hAnsi="Book Antiqua" w:cs="宋体"/>
          <w:color w:val="000000"/>
          <w:sz w:val="24"/>
          <w:szCs w:val="24"/>
          <w:lang w:val="en-US" w:eastAsia="zh-CN"/>
        </w:rPr>
        <w:t>: 586-591 [PMID: 15721096 DOI: 10.1016/j.amjcard.2004.11.004]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116 </w:t>
      </w:r>
      <w:r w:rsidRPr="002A60A4">
        <w:rPr>
          <w:rFonts w:ascii="Book Antiqua" w:eastAsia="宋体" w:hAnsi="Book Antiqua" w:cs="宋体"/>
          <w:b/>
          <w:bCs/>
          <w:color w:val="000000"/>
          <w:sz w:val="24"/>
          <w:szCs w:val="24"/>
          <w:lang w:val="en-US" w:eastAsia="zh-CN"/>
        </w:rPr>
        <w:t>Hicks CB</w:t>
      </w:r>
      <w:r w:rsidRPr="002A60A4">
        <w:rPr>
          <w:rFonts w:ascii="Book Antiqua" w:eastAsia="宋体" w:hAnsi="Book Antiqua" w:cs="宋体"/>
          <w:color w:val="000000"/>
          <w:sz w:val="24"/>
          <w:szCs w:val="24"/>
          <w:lang w:val="en-US" w:eastAsia="zh-CN"/>
        </w:rPr>
        <w:t>, Cahn P, Cooper DA, Walmsley SL, Katlama C, Clotet B, Lazzarin A, Johnson MA, Neubacher D, Mayers D, Valdez H. Durable efficacy of tipranavir-ritonavir in combination with an optimised background regimen of antiretroviral drugs for treatment-experienced HIV-1-infected patients at 48 weeks in the Randomized Evaluation of Strategic Intervention in multi-drug reSistant patients with Tipranavir (RESIST) studies: an analysis of combined data from two randomised open-label trials. </w:t>
      </w:r>
      <w:r w:rsidRPr="002A60A4">
        <w:rPr>
          <w:rFonts w:ascii="Book Antiqua" w:eastAsia="宋体" w:hAnsi="Book Antiqua" w:cs="宋体"/>
          <w:i/>
          <w:iCs/>
          <w:color w:val="000000"/>
          <w:sz w:val="24"/>
          <w:szCs w:val="24"/>
          <w:lang w:val="en-US" w:eastAsia="zh-CN"/>
        </w:rPr>
        <w:t>Lancet</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368</w:t>
      </w:r>
      <w:r w:rsidRPr="002A60A4">
        <w:rPr>
          <w:rFonts w:ascii="Book Antiqua" w:eastAsia="宋体" w:hAnsi="Book Antiqua" w:cs="宋体"/>
          <w:color w:val="000000"/>
          <w:sz w:val="24"/>
          <w:szCs w:val="24"/>
          <w:lang w:val="en-US" w:eastAsia="zh-CN"/>
        </w:rPr>
        <w:t>: 466-475 [PMID: 16890833 DOI: 10.1016/S0140-6736(06)69154-X]</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117 </w:t>
      </w:r>
      <w:r w:rsidRPr="002A60A4">
        <w:rPr>
          <w:rFonts w:ascii="Book Antiqua" w:eastAsia="宋体" w:hAnsi="Book Antiqua" w:cs="宋体"/>
          <w:b/>
          <w:bCs/>
          <w:color w:val="000000"/>
          <w:sz w:val="24"/>
          <w:szCs w:val="24"/>
          <w:lang w:val="en-US" w:eastAsia="zh-CN"/>
        </w:rPr>
        <w:t>Calza L</w:t>
      </w:r>
      <w:r w:rsidRPr="002A60A4">
        <w:rPr>
          <w:rFonts w:ascii="Book Antiqua" w:eastAsia="宋体" w:hAnsi="Book Antiqua" w:cs="宋体"/>
          <w:color w:val="000000"/>
          <w:sz w:val="24"/>
          <w:szCs w:val="24"/>
          <w:lang w:val="en-US" w:eastAsia="zh-CN"/>
        </w:rPr>
        <w:t>, Manfredi R, Colangeli V, Tampellini L, Sebastiani T, Pocaterra D, Chiodo F. Substitution of nevirapine or efavirenz for protease inhibitor versus lipid-lowering therapy for the management of dyslipidaemia.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19</w:t>
      </w:r>
      <w:r w:rsidRPr="002A60A4">
        <w:rPr>
          <w:rFonts w:ascii="Book Antiqua" w:eastAsia="宋体" w:hAnsi="Book Antiqua" w:cs="宋体"/>
          <w:color w:val="000000"/>
          <w:sz w:val="24"/>
          <w:szCs w:val="24"/>
          <w:lang w:val="en-US" w:eastAsia="zh-CN"/>
        </w:rPr>
        <w:t>: 1051-1058 [PMID: 15958836 DOI: 10.1097/01.aids.0000174451.78497.8f]</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118 </w:t>
      </w:r>
      <w:r w:rsidRPr="002A60A4">
        <w:rPr>
          <w:rFonts w:ascii="Book Antiqua" w:eastAsia="宋体" w:hAnsi="Book Antiqua" w:cs="宋体"/>
          <w:b/>
          <w:bCs/>
          <w:color w:val="000000"/>
          <w:sz w:val="24"/>
          <w:szCs w:val="24"/>
          <w:lang w:val="en-US" w:eastAsia="zh-CN"/>
        </w:rPr>
        <w:t>Clotet B</w:t>
      </w:r>
      <w:r w:rsidRPr="002A60A4">
        <w:rPr>
          <w:rFonts w:ascii="Book Antiqua" w:eastAsia="宋体" w:hAnsi="Book Antiqua" w:cs="宋体"/>
          <w:color w:val="000000"/>
          <w:sz w:val="24"/>
          <w:szCs w:val="24"/>
          <w:lang w:val="en-US" w:eastAsia="zh-CN"/>
        </w:rPr>
        <w:t>, van der Valk M, Negredo E, Reiss P. Impact of nevirapine on lipid metabolism.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2003; </w:t>
      </w:r>
      <w:r w:rsidRPr="002A60A4">
        <w:rPr>
          <w:rFonts w:ascii="Book Antiqua" w:eastAsia="宋体" w:hAnsi="Book Antiqua" w:cs="宋体"/>
          <w:b/>
          <w:bCs/>
          <w:color w:val="000000"/>
          <w:sz w:val="24"/>
          <w:szCs w:val="24"/>
          <w:lang w:val="en-US" w:eastAsia="zh-CN"/>
        </w:rPr>
        <w:t xml:space="preserve">34 </w:t>
      </w:r>
      <w:r w:rsidRPr="002A60A4">
        <w:rPr>
          <w:rFonts w:ascii="Book Antiqua" w:eastAsia="宋体" w:hAnsi="Book Antiqua" w:cs="宋体"/>
          <w:bCs/>
          <w:color w:val="000000"/>
          <w:sz w:val="24"/>
          <w:szCs w:val="24"/>
          <w:lang w:val="en-US" w:eastAsia="zh-CN"/>
        </w:rPr>
        <w:t>Suppl 1</w:t>
      </w:r>
      <w:r w:rsidRPr="002A60A4">
        <w:rPr>
          <w:rFonts w:ascii="Book Antiqua" w:eastAsia="宋体" w:hAnsi="Book Antiqua" w:cs="宋体"/>
          <w:color w:val="000000"/>
          <w:sz w:val="24"/>
          <w:szCs w:val="24"/>
          <w:lang w:val="en-US" w:eastAsia="zh-CN"/>
        </w:rPr>
        <w:t>: S79-S84 [PMID: 14562862 DOI: 10.1097/00126334-200309011-00012]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119 </w:t>
      </w:r>
      <w:r w:rsidRPr="002A60A4">
        <w:rPr>
          <w:rFonts w:ascii="Book Antiqua" w:eastAsia="宋体" w:hAnsi="Book Antiqua" w:cs="宋体"/>
          <w:b/>
          <w:bCs/>
          <w:color w:val="000000"/>
          <w:sz w:val="24"/>
          <w:szCs w:val="24"/>
          <w:lang w:val="en-US" w:eastAsia="zh-CN"/>
        </w:rPr>
        <w:t>Dubé MP</w:t>
      </w:r>
      <w:r w:rsidRPr="002A60A4">
        <w:rPr>
          <w:rFonts w:ascii="Book Antiqua" w:eastAsia="宋体" w:hAnsi="Book Antiqua" w:cs="宋体"/>
          <w:color w:val="000000"/>
          <w:sz w:val="24"/>
          <w:szCs w:val="24"/>
          <w:lang w:val="en-US" w:eastAsia="zh-CN"/>
        </w:rPr>
        <w:t>, Stein JH, Aberg JA, Fichtenbaum CJ, Gerber JG, Tashima KT, Henry WK, Currier JS, Sprecher D, Glesby MJ. Guidelines for the evaluation and management of dyslipidemia in human immunodeficiency virus (HIV)-infected adults receiving antiretroviral therapy: recommendations of the HIV Medical Association of the Infectious Disease Society of America and the Adult AIDS Clinical Trials Group. </w:t>
      </w:r>
      <w:r w:rsidRPr="002A60A4">
        <w:rPr>
          <w:rFonts w:ascii="Book Antiqua" w:eastAsia="宋体" w:hAnsi="Book Antiqua" w:cs="宋体"/>
          <w:i/>
          <w:iCs/>
          <w:color w:val="000000"/>
          <w:sz w:val="24"/>
          <w:szCs w:val="24"/>
          <w:lang w:val="en-US" w:eastAsia="zh-CN"/>
        </w:rPr>
        <w:t>Clin Infect Dis</w:t>
      </w:r>
      <w:r w:rsidRPr="002A60A4">
        <w:rPr>
          <w:rFonts w:ascii="Book Antiqua" w:eastAsia="宋体" w:hAnsi="Book Antiqua" w:cs="宋体"/>
          <w:color w:val="000000"/>
          <w:sz w:val="24"/>
          <w:szCs w:val="24"/>
          <w:lang w:val="en-US" w:eastAsia="zh-CN"/>
        </w:rPr>
        <w:t> 2003; </w:t>
      </w:r>
      <w:r w:rsidRPr="002A60A4">
        <w:rPr>
          <w:rFonts w:ascii="Book Antiqua" w:eastAsia="宋体" w:hAnsi="Book Antiqua" w:cs="宋体"/>
          <w:b/>
          <w:bCs/>
          <w:color w:val="000000"/>
          <w:sz w:val="24"/>
          <w:szCs w:val="24"/>
          <w:lang w:val="en-US" w:eastAsia="zh-CN"/>
        </w:rPr>
        <w:t>37</w:t>
      </w:r>
      <w:r w:rsidRPr="002A60A4">
        <w:rPr>
          <w:rFonts w:ascii="Book Antiqua" w:eastAsia="宋体" w:hAnsi="Book Antiqua" w:cs="宋体"/>
          <w:color w:val="000000"/>
          <w:sz w:val="24"/>
          <w:szCs w:val="24"/>
          <w:lang w:val="en-US" w:eastAsia="zh-CN"/>
        </w:rPr>
        <w:t>: 613-627 [PMID: 12942391 DOI: 10.1086/378131]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120 </w:t>
      </w:r>
      <w:r w:rsidRPr="002A60A4">
        <w:rPr>
          <w:rFonts w:ascii="Book Antiqua" w:eastAsia="宋体" w:hAnsi="Book Antiqua" w:cs="宋体"/>
          <w:b/>
          <w:bCs/>
          <w:color w:val="000000"/>
          <w:sz w:val="24"/>
          <w:szCs w:val="24"/>
          <w:lang w:val="en-US" w:eastAsia="zh-CN"/>
        </w:rPr>
        <w:t>Gould AL</w:t>
      </w:r>
      <w:r w:rsidRPr="002A60A4">
        <w:rPr>
          <w:rFonts w:ascii="Book Antiqua" w:eastAsia="宋体" w:hAnsi="Book Antiqua" w:cs="宋体"/>
          <w:color w:val="000000"/>
          <w:sz w:val="24"/>
          <w:szCs w:val="24"/>
          <w:lang w:val="en-US" w:eastAsia="zh-CN"/>
        </w:rPr>
        <w:t>, Rossouw JE, Santanello NC, Heyse JF, Furberg CD. Cholesterol reduction yields clinical benefit: impact of statin trials. </w:t>
      </w:r>
      <w:r w:rsidRPr="002A60A4">
        <w:rPr>
          <w:rFonts w:ascii="Book Antiqua" w:eastAsia="宋体" w:hAnsi="Book Antiqua" w:cs="宋体"/>
          <w:i/>
          <w:iCs/>
          <w:color w:val="000000"/>
          <w:sz w:val="24"/>
          <w:szCs w:val="24"/>
          <w:lang w:val="en-US" w:eastAsia="zh-CN"/>
        </w:rPr>
        <w:t>Circulation</w:t>
      </w:r>
      <w:r w:rsidRPr="002A60A4">
        <w:rPr>
          <w:rFonts w:ascii="Book Antiqua" w:eastAsia="宋体" w:hAnsi="Book Antiqua" w:cs="宋体"/>
          <w:color w:val="000000"/>
          <w:sz w:val="24"/>
          <w:szCs w:val="24"/>
          <w:lang w:val="en-US" w:eastAsia="zh-CN"/>
        </w:rPr>
        <w:t> 1998; </w:t>
      </w:r>
      <w:r w:rsidRPr="002A60A4">
        <w:rPr>
          <w:rFonts w:ascii="Book Antiqua" w:eastAsia="宋体" w:hAnsi="Book Antiqua" w:cs="宋体"/>
          <w:b/>
          <w:bCs/>
          <w:color w:val="000000"/>
          <w:sz w:val="24"/>
          <w:szCs w:val="24"/>
          <w:lang w:val="en-US" w:eastAsia="zh-CN"/>
        </w:rPr>
        <w:t>97</w:t>
      </w:r>
      <w:r w:rsidRPr="002A60A4">
        <w:rPr>
          <w:rFonts w:ascii="Book Antiqua" w:eastAsia="宋体" w:hAnsi="Book Antiqua" w:cs="宋体"/>
          <w:color w:val="000000"/>
          <w:sz w:val="24"/>
          <w:szCs w:val="24"/>
          <w:lang w:val="en-US" w:eastAsia="zh-CN"/>
        </w:rPr>
        <w:t>: 946-952 [PMID: 9529261 DOI: 10.1161/01.CIR.97.10.946]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121 </w:t>
      </w:r>
      <w:r w:rsidRPr="002A60A4">
        <w:rPr>
          <w:rFonts w:ascii="Book Antiqua" w:eastAsia="宋体" w:hAnsi="Book Antiqua" w:cs="宋体"/>
          <w:b/>
          <w:bCs/>
          <w:color w:val="000000"/>
          <w:sz w:val="24"/>
          <w:szCs w:val="24"/>
          <w:lang w:val="en-US" w:eastAsia="zh-CN"/>
        </w:rPr>
        <w:t>Favero GM</w:t>
      </w:r>
      <w:r w:rsidRPr="002A60A4">
        <w:rPr>
          <w:rFonts w:ascii="Book Antiqua" w:eastAsia="宋体" w:hAnsi="Book Antiqua" w:cs="宋体"/>
          <w:color w:val="000000"/>
          <w:sz w:val="24"/>
          <w:szCs w:val="24"/>
          <w:lang w:val="en-US" w:eastAsia="zh-CN"/>
        </w:rPr>
        <w:t>, F Otuki M, Oliveira KA, Bohatch MS, Borelli P, Barros FE, Maria DA, Fernandes D, Bydlowski SP. Simvastatin impairs murine melanoma growth. </w:t>
      </w:r>
      <w:r w:rsidRPr="002A60A4">
        <w:rPr>
          <w:rFonts w:ascii="Book Antiqua" w:eastAsia="宋体" w:hAnsi="Book Antiqua" w:cs="宋体"/>
          <w:i/>
          <w:iCs/>
          <w:color w:val="000000"/>
          <w:sz w:val="24"/>
          <w:szCs w:val="24"/>
          <w:lang w:val="en-US" w:eastAsia="zh-CN"/>
        </w:rPr>
        <w:t>Lipids Health Dis</w:t>
      </w:r>
      <w:r w:rsidRPr="002A60A4">
        <w:rPr>
          <w:rFonts w:ascii="Book Antiqua" w:eastAsia="宋体" w:hAnsi="Book Antiqua" w:cs="宋体"/>
          <w:color w:val="000000"/>
          <w:sz w:val="24"/>
          <w:szCs w:val="24"/>
          <w:lang w:val="en-US" w:eastAsia="zh-CN"/>
        </w:rPr>
        <w:t> 2010; </w:t>
      </w:r>
      <w:r w:rsidRPr="002A60A4">
        <w:rPr>
          <w:rFonts w:ascii="Book Antiqua" w:eastAsia="宋体" w:hAnsi="Book Antiqua" w:cs="宋体"/>
          <w:b/>
          <w:bCs/>
          <w:color w:val="000000"/>
          <w:sz w:val="24"/>
          <w:szCs w:val="24"/>
          <w:lang w:val="en-US" w:eastAsia="zh-CN"/>
        </w:rPr>
        <w:t>9</w:t>
      </w:r>
      <w:r w:rsidRPr="002A60A4">
        <w:rPr>
          <w:rFonts w:ascii="Book Antiqua" w:eastAsia="宋体" w:hAnsi="Book Antiqua" w:cs="宋体"/>
          <w:color w:val="000000"/>
          <w:sz w:val="24"/>
          <w:szCs w:val="24"/>
          <w:lang w:val="en-US" w:eastAsia="zh-CN"/>
        </w:rPr>
        <w:t>: 142 [PMID: 21162733 DOI: 10.1186/1476-511X-9-142]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122 </w:t>
      </w:r>
      <w:r w:rsidRPr="002A60A4">
        <w:rPr>
          <w:rFonts w:ascii="Book Antiqua" w:eastAsia="宋体" w:hAnsi="Book Antiqua" w:cs="宋体"/>
          <w:b/>
          <w:bCs/>
          <w:color w:val="000000"/>
          <w:sz w:val="24"/>
          <w:szCs w:val="24"/>
          <w:lang w:val="en-US" w:eastAsia="zh-CN"/>
        </w:rPr>
        <w:t>de Lara Janz F</w:t>
      </w:r>
      <w:r w:rsidRPr="002A60A4">
        <w:rPr>
          <w:rFonts w:ascii="Book Antiqua" w:eastAsia="宋体" w:hAnsi="Book Antiqua" w:cs="宋体"/>
          <w:color w:val="000000"/>
          <w:sz w:val="24"/>
          <w:szCs w:val="24"/>
          <w:lang w:val="en-US" w:eastAsia="zh-CN"/>
        </w:rPr>
        <w:t>, Favero GM, Bohatch MS, Aguiar Debes A, Bydlowski SP. Simvastatin induces osteogenic differentiation in human amniotic fluid mesenchymal stem cells (AFMSC). </w:t>
      </w:r>
      <w:r w:rsidRPr="002A60A4">
        <w:rPr>
          <w:rFonts w:ascii="Book Antiqua" w:eastAsia="宋体" w:hAnsi="Book Antiqua" w:cs="宋体"/>
          <w:i/>
          <w:iCs/>
          <w:color w:val="000000"/>
          <w:sz w:val="24"/>
          <w:szCs w:val="24"/>
          <w:lang w:val="en-US" w:eastAsia="zh-CN"/>
        </w:rPr>
        <w:t>Fundam Clin Pharmacol</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28</w:t>
      </w:r>
      <w:r w:rsidRPr="002A60A4">
        <w:rPr>
          <w:rFonts w:ascii="Book Antiqua" w:eastAsia="宋体" w:hAnsi="Book Antiqua" w:cs="宋体"/>
          <w:color w:val="000000"/>
          <w:sz w:val="24"/>
          <w:szCs w:val="24"/>
          <w:lang w:val="en-US" w:eastAsia="zh-CN"/>
        </w:rPr>
        <w:t>: 211-216 [PMID: 23094676 DOI: 10.1111/fcp.12006]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123 </w:t>
      </w:r>
      <w:r w:rsidRPr="002A60A4">
        <w:rPr>
          <w:rFonts w:ascii="Book Antiqua" w:eastAsia="宋体" w:hAnsi="Book Antiqua" w:cs="宋体"/>
          <w:b/>
          <w:bCs/>
          <w:color w:val="000000"/>
          <w:sz w:val="24"/>
          <w:szCs w:val="24"/>
          <w:lang w:val="en-US" w:eastAsia="zh-CN"/>
        </w:rPr>
        <w:t>Baigent C</w:t>
      </w:r>
      <w:r w:rsidRPr="002A60A4">
        <w:rPr>
          <w:rFonts w:ascii="Book Antiqua" w:eastAsia="宋体" w:hAnsi="Book Antiqua" w:cs="宋体"/>
          <w:color w:val="000000"/>
          <w:sz w:val="24"/>
          <w:szCs w:val="24"/>
          <w:lang w:val="en-US" w:eastAsia="zh-CN"/>
        </w:rPr>
        <w:t>, Keech A, Kearney PM, Blackwell L, Buck G, Pollicino C, Kirby A, Sourjina T, Peto R, Collins R, Simes R. Efficacy and safety of cholesterol-lowering treatment: prospective meta-analysis of data from 90,056 participants in 14 randomised trials of statins. </w:t>
      </w:r>
      <w:r w:rsidRPr="002A60A4">
        <w:rPr>
          <w:rFonts w:ascii="Book Antiqua" w:eastAsia="宋体" w:hAnsi="Book Antiqua" w:cs="宋体"/>
          <w:i/>
          <w:iCs/>
          <w:color w:val="000000"/>
          <w:sz w:val="24"/>
          <w:szCs w:val="24"/>
          <w:lang w:val="en-US" w:eastAsia="zh-CN"/>
        </w:rPr>
        <w:t>Lancet</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366</w:t>
      </w:r>
      <w:r w:rsidRPr="002A60A4">
        <w:rPr>
          <w:rFonts w:ascii="Book Antiqua" w:eastAsia="宋体" w:hAnsi="Book Antiqua" w:cs="宋体"/>
          <w:color w:val="000000"/>
          <w:sz w:val="24"/>
          <w:szCs w:val="24"/>
          <w:lang w:val="en-US" w:eastAsia="zh-CN"/>
        </w:rPr>
        <w:t>: 1267-1278 [PMID: 16214597 DOI: 10.1016/S0140-6736(05)67394-1]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124 </w:t>
      </w:r>
      <w:r w:rsidRPr="002A60A4">
        <w:rPr>
          <w:rFonts w:ascii="Book Antiqua" w:eastAsia="宋体" w:hAnsi="Book Antiqua" w:cs="宋体"/>
          <w:b/>
          <w:bCs/>
          <w:color w:val="000000"/>
          <w:sz w:val="24"/>
          <w:szCs w:val="24"/>
          <w:lang w:val="en-US" w:eastAsia="zh-CN"/>
        </w:rPr>
        <w:t>Boccara F</w:t>
      </w:r>
      <w:r w:rsidRPr="002A60A4">
        <w:rPr>
          <w:rFonts w:ascii="Book Antiqua" w:eastAsia="宋体" w:hAnsi="Book Antiqua" w:cs="宋体"/>
          <w:color w:val="000000"/>
          <w:sz w:val="24"/>
          <w:szCs w:val="24"/>
          <w:lang w:val="en-US" w:eastAsia="zh-CN"/>
        </w:rPr>
        <w:t>, Simon T, Lacombe K, Cohen A, Laloux B, Bozec E, Durant S, Girard PM, Laurent S, Boutouyrie P. Influence of pravastatin on carotid artery structure and function in dyslipidemic HIV-infected patients receiving antiretroviral therapy.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20</w:t>
      </w:r>
      <w:r w:rsidRPr="002A60A4">
        <w:rPr>
          <w:rFonts w:ascii="Book Antiqua" w:eastAsia="宋体" w:hAnsi="Book Antiqua" w:cs="宋体"/>
          <w:color w:val="000000"/>
          <w:sz w:val="24"/>
          <w:szCs w:val="24"/>
          <w:lang w:val="en-US" w:eastAsia="zh-CN"/>
        </w:rPr>
        <w:t>: 2395-2398 [PMID: 17117030 DOI: 10.1097/QAD.0b013e32801120e3]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125 </w:t>
      </w:r>
      <w:r w:rsidRPr="002A60A4">
        <w:rPr>
          <w:rFonts w:ascii="Book Antiqua" w:eastAsia="宋体" w:hAnsi="Book Antiqua" w:cs="宋体"/>
          <w:b/>
          <w:bCs/>
          <w:color w:val="000000"/>
          <w:sz w:val="24"/>
          <w:szCs w:val="24"/>
          <w:lang w:val="en-US" w:eastAsia="zh-CN"/>
        </w:rPr>
        <w:t>Stein JH</w:t>
      </w:r>
      <w:r w:rsidRPr="002A60A4">
        <w:rPr>
          <w:rFonts w:ascii="Book Antiqua" w:eastAsia="宋体" w:hAnsi="Book Antiqua" w:cs="宋体"/>
          <w:color w:val="000000"/>
          <w:sz w:val="24"/>
          <w:szCs w:val="24"/>
          <w:lang w:val="en-US" w:eastAsia="zh-CN"/>
        </w:rPr>
        <w:t>, Merwood MA, Bellehumeur JL, Aeschlimann SE, Korcarz CE, Underbakke GL, Mays ME, Sosman JM. Effects of pravastatin on lipoproteins and endothelial function in patients receiving human immunodeficiency virus protease inhibitors. </w:t>
      </w:r>
      <w:r w:rsidRPr="002A60A4">
        <w:rPr>
          <w:rFonts w:ascii="Book Antiqua" w:eastAsia="宋体" w:hAnsi="Book Antiqua" w:cs="宋体"/>
          <w:i/>
          <w:iCs/>
          <w:color w:val="000000"/>
          <w:sz w:val="24"/>
          <w:szCs w:val="24"/>
          <w:lang w:val="en-US" w:eastAsia="zh-CN"/>
        </w:rPr>
        <w:t>Am Heart J</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147</w:t>
      </w:r>
      <w:r w:rsidRPr="002A60A4">
        <w:rPr>
          <w:rFonts w:ascii="Book Antiqua" w:eastAsia="宋体" w:hAnsi="Book Antiqua" w:cs="宋体"/>
          <w:color w:val="000000"/>
          <w:sz w:val="24"/>
          <w:szCs w:val="24"/>
          <w:lang w:val="en-US" w:eastAsia="zh-CN"/>
        </w:rPr>
        <w:t>: E18 [PMID: 15077088 DOI: 10.1016/j.ahj.2003.10.018]</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126 </w:t>
      </w:r>
      <w:r w:rsidRPr="002A60A4">
        <w:rPr>
          <w:rFonts w:ascii="Book Antiqua" w:eastAsia="宋体" w:hAnsi="Book Antiqua" w:cs="宋体"/>
          <w:b/>
          <w:bCs/>
          <w:color w:val="000000"/>
          <w:sz w:val="24"/>
          <w:szCs w:val="24"/>
          <w:lang w:val="en-US" w:eastAsia="zh-CN"/>
        </w:rPr>
        <w:t>Calza L</w:t>
      </w:r>
      <w:r w:rsidRPr="002A60A4">
        <w:rPr>
          <w:rFonts w:ascii="Book Antiqua" w:eastAsia="宋体" w:hAnsi="Book Antiqua" w:cs="宋体"/>
          <w:color w:val="000000"/>
          <w:sz w:val="24"/>
          <w:szCs w:val="24"/>
          <w:lang w:val="en-US" w:eastAsia="zh-CN"/>
        </w:rPr>
        <w:t>, Colangeli V, Manfredi R, Legnani G, Tampellini L, Pocaterra D, Chiodo F. Rosuvastatin for the treatment of hyperlipidaemia in HIV-infected patients receiving protease inhibitors: a pilot study.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19</w:t>
      </w:r>
      <w:r w:rsidRPr="002A60A4">
        <w:rPr>
          <w:rFonts w:ascii="Book Antiqua" w:eastAsia="宋体" w:hAnsi="Book Antiqua" w:cs="宋体"/>
          <w:color w:val="000000"/>
          <w:sz w:val="24"/>
          <w:szCs w:val="24"/>
          <w:lang w:val="en-US" w:eastAsia="zh-CN"/>
        </w:rPr>
        <w:t>: 1103-1105 [PMID: 15958843 DOI: 10.1097/01.aids.0000174458.86121.43]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127 </w:t>
      </w:r>
      <w:r w:rsidRPr="002A60A4">
        <w:rPr>
          <w:rFonts w:ascii="Book Antiqua" w:eastAsia="宋体" w:hAnsi="Book Antiqua" w:cs="宋体"/>
          <w:b/>
          <w:bCs/>
          <w:color w:val="000000"/>
          <w:sz w:val="24"/>
          <w:szCs w:val="24"/>
          <w:lang w:val="en-US" w:eastAsia="zh-CN"/>
        </w:rPr>
        <w:t>Fichtenbaum CJ</w:t>
      </w:r>
      <w:r w:rsidRPr="002A60A4">
        <w:rPr>
          <w:rFonts w:ascii="Book Antiqua" w:eastAsia="宋体" w:hAnsi="Book Antiqua" w:cs="宋体"/>
          <w:color w:val="000000"/>
          <w:sz w:val="24"/>
          <w:szCs w:val="24"/>
          <w:lang w:val="en-US" w:eastAsia="zh-CN"/>
        </w:rPr>
        <w:t>, Gerber JG, Rosenkranz SL, Segal Y, Aberg JA, Blaschke T, Alston B, Fang F, Kosel B, Aweeka F. Pharmacokinetic interactions between protease inhibitors and statins in HIV seronegative volunteers: ACTG Study A5047.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16</w:t>
      </w:r>
      <w:r w:rsidRPr="002A60A4">
        <w:rPr>
          <w:rFonts w:ascii="Book Antiqua" w:eastAsia="宋体" w:hAnsi="Book Antiqua" w:cs="宋体"/>
          <w:color w:val="000000"/>
          <w:sz w:val="24"/>
          <w:szCs w:val="24"/>
          <w:lang w:val="en-US" w:eastAsia="zh-CN"/>
        </w:rPr>
        <w:t>: 569-577 [PMID: 11873000 DOI: 10.1097/00002030-200203080-00008]</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128 </w:t>
      </w:r>
      <w:r w:rsidRPr="002A60A4">
        <w:rPr>
          <w:rFonts w:ascii="Book Antiqua" w:eastAsia="宋体" w:hAnsi="Book Antiqua" w:cs="宋体"/>
          <w:b/>
          <w:bCs/>
          <w:color w:val="000000"/>
          <w:sz w:val="24"/>
          <w:szCs w:val="24"/>
          <w:lang w:val="en-US" w:eastAsia="zh-CN"/>
        </w:rPr>
        <w:t>Fichtenbaum CJ</w:t>
      </w:r>
      <w:r w:rsidRPr="002A60A4">
        <w:rPr>
          <w:rFonts w:ascii="Book Antiqua" w:eastAsia="宋体" w:hAnsi="Book Antiqua" w:cs="宋体"/>
          <w:color w:val="000000"/>
          <w:sz w:val="24"/>
          <w:szCs w:val="24"/>
          <w:lang w:val="en-US" w:eastAsia="zh-CN"/>
        </w:rPr>
        <w:t>, Gerber JG. Interactions between antiretroviral drugs and drugs used for the therapy of the metabolic complications encountered during HIV infection. </w:t>
      </w:r>
      <w:r w:rsidRPr="002A60A4">
        <w:rPr>
          <w:rFonts w:ascii="Book Antiqua" w:eastAsia="宋体" w:hAnsi="Book Antiqua" w:cs="宋体"/>
          <w:i/>
          <w:iCs/>
          <w:color w:val="000000"/>
          <w:sz w:val="24"/>
          <w:szCs w:val="24"/>
          <w:lang w:val="en-US" w:eastAsia="zh-CN"/>
        </w:rPr>
        <w:t>Clin Pharmacokinet</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41</w:t>
      </w:r>
      <w:r w:rsidRPr="002A60A4">
        <w:rPr>
          <w:rFonts w:ascii="Book Antiqua" w:eastAsia="宋体" w:hAnsi="Book Antiqua" w:cs="宋体"/>
          <w:color w:val="000000"/>
          <w:sz w:val="24"/>
          <w:szCs w:val="24"/>
          <w:lang w:val="en-US" w:eastAsia="zh-CN"/>
        </w:rPr>
        <w:t>: 1195-1211 [PMID: 12405866 DOI: 10.2165/00003088-200241140-00004]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129 </w:t>
      </w:r>
      <w:r w:rsidRPr="002A60A4">
        <w:rPr>
          <w:rFonts w:ascii="Book Antiqua" w:eastAsia="宋体" w:hAnsi="Book Antiqua" w:cs="宋体"/>
          <w:b/>
          <w:bCs/>
          <w:color w:val="000000"/>
          <w:sz w:val="24"/>
          <w:szCs w:val="24"/>
          <w:lang w:val="en-US" w:eastAsia="zh-CN"/>
        </w:rPr>
        <w:t>Williams D</w:t>
      </w:r>
      <w:r w:rsidRPr="002A60A4">
        <w:rPr>
          <w:rFonts w:ascii="Book Antiqua" w:eastAsia="宋体" w:hAnsi="Book Antiqua" w:cs="宋体"/>
          <w:color w:val="000000"/>
          <w:sz w:val="24"/>
          <w:szCs w:val="24"/>
          <w:lang w:val="en-US" w:eastAsia="zh-CN"/>
        </w:rPr>
        <w:t>, Feely J. Pharmacokinetic-pharmacodynamic drug interactions with HMG-CoA reductase inhibitors. </w:t>
      </w:r>
      <w:r w:rsidRPr="002A60A4">
        <w:rPr>
          <w:rFonts w:ascii="Book Antiqua" w:eastAsia="宋体" w:hAnsi="Book Antiqua" w:cs="宋体"/>
          <w:i/>
          <w:iCs/>
          <w:color w:val="000000"/>
          <w:sz w:val="24"/>
          <w:szCs w:val="24"/>
          <w:lang w:val="en-US" w:eastAsia="zh-CN"/>
        </w:rPr>
        <w:t>Clin Pharmacokinet</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41</w:t>
      </w:r>
      <w:r w:rsidRPr="002A60A4">
        <w:rPr>
          <w:rFonts w:ascii="Book Antiqua" w:eastAsia="宋体" w:hAnsi="Book Antiqua" w:cs="宋体"/>
          <w:color w:val="000000"/>
          <w:sz w:val="24"/>
          <w:szCs w:val="24"/>
          <w:lang w:val="en-US" w:eastAsia="zh-CN"/>
        </w:rPr>
        <w:t>: 343-370 [PMID: 12036392 DOI: 10.2165/00003088-200241050-00003]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130 </w:t>
      </w:r>
      <w:r w:rsidRPr="002A60A4">
        <w:rPr>
          <w:rFonts w:ascii="Book Antiqua" w:eastAsia="宋体" w:hAnsi="Book Antiqua" w:cs="宋体"/>
          <w:b/>
          <w:bCs/>
          <w:color w:val="000000"/>
          <w:sz w:val="24"/>
          <w:szCs w:val="24"/>
          <w:lang w:val="en-US" w:eastAsia="zh-CN"/>
        </w:rPr>
        <w:t>Hare CB</w:t>
      </w:r>
      <w:r w:rsidRPr="002A60A4">
        <w:rPr>
          <w:rFonts w:ascii="Book Antiqua" w:eastAsia="宋体" w:hAnsi="Book Antiqua" w:cs="宋体"/>
          <w:color w:val="000000"/>
          <w:sz w:val="24"/>
          <w:szCs w:val="24"/>
          <w:lang w:val="en-US" w:eastAsia="zh-CN"/>
        </w:rPr>
        <w:t>, Vu MP, Grunfeld C, Lampiris HW. Simvastatin-nelfinavir interaction implicated in rhabdomyolysis and death. </w:t>
      </w:r>
      <w:r w:rsidRPr="002A60A4">
        <w:rPr>
          <w:rFonts w:ascii="Book Antiqua" w:eastAsia="宋体" w:hAnsi="Book Antiqua" w:cs="宋体"/>
          <w:i/>
          <w:iCs/>
          <w:color w:val="000000"/>
          <w:sz w:val="24"/>
          <w:szCs w:val="24"/>
          <w:lang w:val="en-US" w:eastAsia="zh-CN"/>
        </w:rPr>
        <w:t>Clin Infect Dis</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35</w:t>
      </w:r>
      <w:r w:rsidRPr="002A60A4">
        <w:rPr>
          <w:rFonts w:ascii="Book Antiqua" w:eastAsia="宋体" w:hAnsi="Book Antiqua" w:cs="宋体"/>
          <w:color w:val="000000"/>
          <w:sz w:val="24"/>
          <w:szCs w:val="24"/>
          <w:lang w:val="en-US" w:eastAsia="zh-CN"/>
        </w:rPr>
        <w:t>: e111-e112 [PMID: 12410494 DOI: 10.1086/344179]</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131 </w:t>
      </w:r>
      <w:r w:rsidRPr="002A60A4">
        <w:rPr>
          <w:rFonts w:ascii="Book Antiqua" w:eastAsia="宋体" w:hAnsi="Book Antiqua" w:cs="宋体"/>
          <w:b/>
          <w:bCs/>
          <w:color w:val="000000"/>
          <w:sz w:val="24"/>
          <w:szCs w:val="24"/>
          <w:lang w:val="en-US" w:eastAsia="zh-CN"/>
        </w:rPr>
        <w:t>Moro H</w:t>
      </w:r>
      <w:r w:rsidRPr="002A60A4">
        <w:rPr>
          <w:rFonts w:ascii="Book Antiqua" w:eastAsia="宋体" w:hAnsi="Book Antiqua" w:cs="宋体"/>
          <w:color w:val="000000"/>
          <w:sz w:val="24"/>
          <w:szCs w:val="24"/>
          <w:lang w:val="en-US" w:eastAsia="zh-CN"/>
        </w:rPr>
        <w:t>, Tsukada H, Tanuma A, Shirasaki A, Iino N, Nishibori T, Nishi S, Gejyo F. Rhabdomyolysis after simvastatin therapy in an HIV-infected patient with chronic renal failure. </w:t>
      </w:r>
      <w:r w:rsidRPr="002A60A4">
        <w:rPr>
          <w:rFonts w:ascii="Book Antiqua" w:eastAsia="宋体" w:hAnsi="Book Antiqua" w:cs="宋体"/>
          <w:i/>
          <w:iCs/>
          <w:color w:val="000000"/>
          <w:sz w:val="24"/>
          <w:szCs w:val="24"/>
          <w:lang w:val="en-US" w:eastAsia="zh-CN"/>
        </w:rPr>
        <w:t>AIDS Patient Care STDS</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18</w:t>
      </w:r>
      <w:r w:rsidRPr="002A60A4">
        <w:rPr>
          <w:rFonts w:ascii="Book Antiqua" w:eastAsia="宋体" w:hAnsi="Book Antiqua" w:cs="宋体"/>
          <w:color w:val="000000"/>
          <w:sz w:val="24"/>
          <w:szCs w:val="24"/>
          <w:lang w:val="en-US" w:eastAsia="zh-CN"/>
        </w:rPr>
        <w:t>: 687-690 [PMID: 15659879 DOI: 10.1089/apc.2004.18.687]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132 </w:t>
      </w:r>
      <w:r w:rsidRPr="002A60A4">
        <w:rPr>
          <w:rFonts w:ascii="Book Antiqua" w:eastAsia="宋体" w:hAnsi="Book Antiqua" w:cs="宋体"/>
          <w:b/>
          <w:bCs/>
          <w:color w:val="000000"/>
          <w:sz w:val="24"/>
          <w:szCs w:val="24"/>
          <w:lang w:val="en-US" w:eastAsia="zh-CN"/>
        </w:rPr>
        <w:t>Moyle GJ</w:t>
      </w:r>
      <w:r w:rsidRPr="002A60A4">
        <w:rPr>
          <w:rFonts w:ascii="Book Antiqua" w:eastAsia="宋体" w:hAnsi="Book Antiqua" w:cs="宋体"/>
          <w:color w:val="000000"/>
          <w:sz w:val="24"/>
          <w:szCs w:val="24"/>
          <w:lang w:val="en-US" w:eastAsia="zh-CN"/>
        </w:rPr>
        <w:t>, Lloyd M, Reynolds B, Baldwin C, Mandalia S, Gazzard BG. Dietary advice with or without pravastatin for the management of hypercholesterolaemia associated with protease inhibitor therapy.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2001; </w:t>
      </w:r>
      <w:r w:rsidRPr="002A60A4">
        <w:rPr>
          <w:rFonts w:ascii="Book Antiqua" w:eastAsia="宋体" w:hAnsi="Book Antiqua" w:cs="宋体"/>
          <w:b/>
          <w:bCs/>
          <w:color w:val="000000"/>
          <w:sz w:val="24"/>
          <w:szCs w:val="24"/>
          <w:lang w:val="en-US" w:eastAsia="zh-CN"/>
        </w:rPr>
        <w:t>15</w:t>
      </w:r>
      <w:r w:rsidRPr="002A60A4">
        <w:rPr>
          <w:rFonts w:ascii="Book Antiqua" w:eastAsia="宋体" w:hAnsi="Book Antiqua" w:cs="宋体"/>
          <w:color w:val="000000"/>
          <w:sz w:val="24"/>
          <w:szCs w:val="24"/>
          <w:lang w:val="en-US" w:eastAsia="zh-CN"/>
        </w:rPr>
        <w:t>: 1503-1508 [PMID: 11504982 DOI: 10.1097/00002030-200108170-00007]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133 </w:t>
      </w:r>
      <w:r w:rsidRPr="002A60A4">
        <w:rPr>
          <w:rFonts w:ascii="Book Antiqua" w:eastAsia="宋体" w:hAnsi="Book Antiqua" w:cs="宋体"/>
          <w:b/>
          <w:bCs/>
          <w:color w:val="000000"/>
          <w:sz w:val="24"/>
          <w:szCs w:val="24"/>
          <w:lang w:val="en-US" w:eastAsia="zh-CN"/>
        </w:rPr>
        <w:t>Calza L</w:t>
      </w:r>
      <w:r w:rsidRPr="002A60A4">
        <w:rPr>
          <w:rFonts w:ascii="Book Antiqua" w:eastAsia="宋体" w:hAnsi="Book Antiqua" w:cs="宋体"/>
          <w:color w:val="000000"/>
          <w:sz w:val="24"/>
          <w:szCs w:val="24"/>
          <w:lang w:val="en-US" w:eastAsia="zh-CN"/>
        </w:rPr>
        <w:t>, Manfredi R, Chiodo F. Use of fibrates in the management of hyperlipidemia in HIV-infected patients receiving HAART. </w:t>
      </w:r>
      <w:r w:rsidRPr="002A60A4">
        <w:rPr>
          <w:rFonts w:ascii="Book Antiqua" w:eastAsia="宋体" w:hAnsi="Book Antiqua" w:cs="宋体"/>
          <w:i/>
          <w:iCs/>
          <w:color w:val="000000"/>
          <w:sz w:val="24"/>
          <w:szCs w:val="24"/>
          <w:lang w:val="en-US" w:eastAsia="zh-CN"/>
        </w:rPr>
        <w:t>Infection</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30</w:t>
      </w:r>
      <w:r w:rsidRPr="002A60A4">
        <w:rPr>
          <w:rFonts w:ascii="Book Antiqua" w:eastAsia="宋体" w:hAnsi="Book Antiqua" w:cs="宋体"/>
          <w:color w:val="000000"/>
          <w:sz w:val="24"/>
          <w:szCs w:val="24"/>
          <w:lang w:val="en-US" w:eastAsia="zh-CN"/>
        </w:rPr>
        <w:t>: 26-31 [PMID: 11876511 DOI: 10.1007/s15010-001-2052-3]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134 </w:t>
      </w:r>
      <w:r w:rsidRPr="002A60A4">
        <w:rPr>
          <w:rFonts w:ascii="Book Antiqua" w:eastAsia="宋体" w:hAnsi="Book Antiqua" w:cs="宋体"/>
          <w:b/>
          <w:bCs/>
          <w:color w:val="000000"/>
          <w:sz w:val="24"/>
          <w:szCs w:val="24"/>
          <w:lang w:val="en-US" w:eastAsia="zh-CN"/>
        </w:rPr>
        <w:t>Mastroianni CM</w:t>
      </w:r>
      <w:r w:rsidRPr="002A60A4">
        <w:rPr>
          <w:rFonts w:ascii="Book Antiqua" w:eastAsia="宋体" w:hAnsi="Book Antiqua" w:cs="宋体"/>
          <w:color w:val="000000"/>
          <w:sz w:val="24"/>
          <w:szCs w:val="24"/>
          <w:lang w:val="en-US" w:eastAsia="zh-CN"/>
        </w:rPr>
        <w:t>, d'Ettorre G, Forcina G, Lichtner M, Corpolongo A, Coletta S, Vullo V. Rhabdomyolysis after cerivastatin-gemfibrozil therapy in an HIV-infected patient with protease inhibitor-related hyperlipidemia.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2001; </w:t>
      </w:r>
      <w:r w:rsidRPr="002A60A4">
        <w:rPr>
          <w:rFonts w:ascii="Book Antiqua" w:eastAsia="宋体" w:hAnsi="Book Antiqua" w:cs="宋体"/>
          <w:b/>
          <w:bCs/>
          <w:color w:val="000000"/>
          <w:sz w:val="24"/>
          <w:szCs w:val="24"/>
          <w:lang w:val="en-US" w:eastAsia="zh-CN"/>
        </w:rPr>
        <w:t>15</w:t>
      </w:r>
      <w:r w:rsidRPr="002A60A4">
        <w:rPr>
          <w:rFonts w:ascii="Book Antiqua" w:eastAsia="宋体" w:hAnsi="Book Antiqua" w:cs="宋体"/>
          <w:color w:val="000000"/>
          <w:sz w:val="24"/>
          <w:szCs w:val="24"/>
          <w:lang w:val="en-US" w:eastAsia="zh-CN"/>
        </w:rPr>
        <w:t>: 820-821 [PMID: 11371708 DOI: 10.1097/00002030-200104130-00029]</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135 </w:t>
      </w:r>
      <w:r w:rsidRPr="002A60A4">
        <w:rPr>
          <w:rFonts w:ascii="Book Antiqua" w:eastAsia="宋体" w:hAnsi="Book Antiqua" w:cs="宋体"/>
          <w:b/>
          <w:bCs/>
          <w:color w:val="000000"/>
          <w:sz w:val="24"/>
          <w:szCs w:val="24"/>
          <w:lang w:val="en-US" w:eastAsia="zh-CN"/>
        </w:rPr>
        <w:t>Thomas JC</w:t>
      </w:r>
      <w:r w:rsidRPr="002A60A4">
        <w:rPr>
          <w:rFonts w:ascii="Book Antiqua" w:eastAsia="宋体" w:hAnsi="Book Antiqua" w:cs="宋体"/>
          <w:color w:val="000000"/>
          <w:sz w:val="24"/>
          <w:szCs w:val="24"/>
          <w:lang w:val="en-US" w:eastAsia="zh-CN"/>
        </w:rPr>
        <w:t>, Lopes-Virella MF, Del Bene VE, Cerveny JD, Taylor KB, McWhorter LS, Bultemeier NC. Use of fenofibrate in the management of protease inhibitor-associated lipid abnormalities. </w:t>
      </w:r>
      <w:r w:rsidRPr="002A60A4">
        <w:rPr>
          <w:rFonts w:ascii="Book Antiqua" w:eastAsia="宋体" w:hAnsi="Book Antiqua" w:cs="宋体"/>
          <w:i/>
          <w:iCs/>
          <w:color w:val="000000"/>
          <w:sz w:val="24"/>
          <w:szCs w:val="24"/>
          <w:lang w:val="en-US" w:eastAsia="zh-CN"/>
        </w:rPr>
        <w:t>Pharmacotherapy</w:t>
      </w:r>
      <w:r w:rsidRPr="002A60A4">
        <w:rPr>
          <w:rFonts w:ascii="Book Antiqua" w:eastAsia="宋体" w:hAnsi="Book Antiqua" w:cs="宋体"/>
          <w:color w:val="000000"/>
          <w:sz w:val="24"/>
          <w:szCs w:val="24"/>
          <w:lang w:val="en-US" w:eastAsia="zh-CN"/>
        </w:rPr>
        <w:t> 2000; </w:t>
      </w:r>
      <w:r w:rsidRPr="002A60A4">
        <w:rPr>
          <w:rFonts w:ascii="Book Antiqua" w:eastAsia="宋体" w:hAnsi="Book Antiqua" w:cs="宋体"/>
          <w:b/>
          <w:bCs/>
          <w:color w:val="000000"/>
          <w:sz w:val="24"/>
          <w:szCs w:val="24"/>
          <w:lang w:val="en-US" w:eastAsia="zh-CN"/>
        </w:rPr>
        <w:t>20</w:t>
      </w:r>
      <w:r w:rsidRPr="002A60A4">
        <w:rPr>
          <w:rFonts w:ascii="Book Antiqua" w:eastAsia="宋体" w:hAnsi="Book Antiqua" w:cs="宋体"/>
          <w:color w:val="000000"/>
          <w:sz w:val="24"/>
          <w:szCs w:val="24"/>
          <w:lang w:val="en-US" w:eastAsia="zh-CN"/>
        </w:rPr>
        <w:t>: 727-734 [PMID: 10853629 DOI: 10.1592/phco.20.7.727.35179]</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136 </w:t>
      </w:r>
      <w:r w:rsidRPr="002A60A4">
        <w:rPr>
          <w:rFonts w:ascii="Book Antiqua" w:eastAsia="宋体" w:hAnsi="Book Antiqua" w:cs="宋体"/>
          <w:b/>
          <w:bCs/>
          <w:color w:val="000000"/>
          <w:sz w:val="24"/>
          <w:szCs w:val="24"/>
          <w:lang w:val="en-US" w:eastAsia="zh-CN"/>
        </w:rPr>
        <w:t>Rubins HB</w:t>
      </w:r>
      <w:r w:rsidRPr="002A60A4">
        <w:rPr>
          <w:rFonts w:ascii="Book Antiqua" w:eastAsia="宋体" w:hAnsi="Book Antiqua" w:cs="宋体"/>
          <w:color w:val="000000"/>
          <w:sz w:val="24"/>
          <w:szCs w:val="24"/>
          <w:lang w:val="en-US" w:eastAsia="zh-CN"/>
        </w:rPr>
        <w:t>, Robins SJ, Collins D, Fye CL, Anderson JW, Elam MB, Faas FH, Linares E, Schaefer EJ, Schectman G, Wilt TJ, Wittes J. Gemfibrozil for the secondary prevention of coronary heart disease in men with low levels of high-density lipoprotein cholesterol. Veterans Affairs High-Density Lipoprotein Cholesterol Intervention Trial Study Group. </w:t>
      </w:r>
      <w:r w:rsidRPr="002A60A4">
        <w:rPr>
          <w:rFonts w:ascii="Book Antiqua" w:eastAsia="宋体" w:hAnsi="Book Antiqua" w:cs="宋体"/>
          <w:i/>
          <w:iCs/>
          <w:color w:val="000000"/>
          <w:sz w:val="24"/>
          <w:szCs w:val="24"/>
          <w:lang w:val="en-US" w:eastAsia="zh-CN"/>
        </w:rPr>
        <w:t>N Engl J Med</w:t>
      </w:r>
      <w:r w:rsidRPr="002A60A4">
        <w:rPr>
          <w:rFonts w:ascii="Book Antiqua" w:eastAsia="宋体" w:hAnsi="Book Antiqua" w:cs="宋体"/>
          <w:color w:val="000000"/>
          <w:sz w:val="24"/>
          <w:szCs w:val="24"/>
          <w:lang w:val="en-US" w:eastAsia="zh-CN"/>
        </w:rPr>
        <w:t> 1999; </w:t>
      </w:r>
      <w:r w:rsidRPr="002A60A4">
        <w:rPr>
          <w:rFonts w:ascii="Book Antiqua" w:eastAsia="宋体" w:hAnsi="Book Antiqua" w:cs="宋体"/>
          <w:b/>
          <w:bCs/>
          <w:color w:val="000000"/>
          <w:sz w:val="24"/>
          <w:szCs w:val="24"/>
          <w:lang w:val="en-US" w:eastAsia="zh-CN"/>
        </w:rPr>
        <w:t>341</w:t>
      </w:r>
      <w:r w:rsidRPr="002A60A4">
        <w:rPr>
          <w:rFonts w:ascii="Book Antiqua" w:eastAsia="宋体" w:hAnsi="Book Antiqua" w:cs="宋体"/>
          <w:color w:val="000000"/>
          <w:sz w:val="24"/>
          <w:szCs w:val="24"/>
          <w:lang w:val="en-US" w:eastAsia="zh-CN"/>
        </w:rPr>
        <w:t>: 410-418 [PMID: 10438259 DOI: 10.1056/NEJM199908053410604]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137 </w:t>
      </w:r>
      <w:r w:rsidRPr="002A60A4">
        <w:rPr>
          <w:rFonts w:ascii="Book Antiqua" w:eastAsia="宋体" w:hAnsi="Book Antiqua" w:cs="宋体"/>
          <w:b/>
          <w:bCs/>
          <w:color w:val="000000"/>
          <w:sz w:val="24"/>
          <w:szCs w:val="24"/>
          <w:lang w:val="en-US" w:eastAsia="zh-CN"/>
        </w:rPr>
        <w:t>Calza L</w:t>
      </w:r>
      <w:r w:rsidRPr="002A60A4">
        <w:rPr>
          <w:rFonts w:ascii="Book Antiqua" w:eastAsia="宋体" w:hAnsi="Book Antiqua" w:cs="宋体"/>
          <w:color w:val="000000"/>
          <w:sz w:val="24"/>
          <w:szCs w:val="24"/>
          <w:lang w:val="en-US" w:eastAsia="zh-CN"/>
        </w:rPr>
        <w:t>, Manfredi R, Chiodo F. Statins and fibrates for the treatment of hyperlipidaemia in HIV-infected patients receiving HAART.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2003; </w:t>
      </w:r>
      <w:r w:rsidRPr="002A60A4">
        <w:rPr>
          <w:rFonts w:ascii="Book Antiqua" w:eastAsia="宋体" w:hAnsi="Book Antiqua" w:cs="宋体"/>
          <w:b/>
          <w:bCs/>
          <w:color w:val="000000"/>
          <w:sz w:val="24"/>
          <w:szCs w:val="24"/>
          <w:lang w:val="en-US" w:eastAsia="zh-CN"/>
        </w:rPr>
        <w:t>17</w:t>
      </w:r>
      <w:r w:rsidRPr="002A60A4">
        <w:rPr>
          <w:rFonts w:ascii="Book Antiqua" w:eastAsia="宋体" w:hAnsi="Book Antiqua" w:cs="宋体"/>
          <w:color w:val="000000"/>
          <w:sz w:val="24"/>
          <w:szCs w:val="24"/>
          <w:lang w:val="en-US" w:eastAsia="zh-CN"/>
        </w:rPr>
        <w:t>: 851-859 [PMID: 12660532 DOI: 10.1097/00002030-200304110-00010]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138 </w:t>
      </w:r>
      <w:r w:rsidRPr="002A60A4">
        <w:rPr>
          <w:rFonts w:ascii="Book Antiqua" w:eastAsia="宋体" w:hAnsi="Book Antiqua" w:cs="宋体"/>
          <w:b/>
          <w:bCs/>
          <w:color w:val="000000"/>
          <w:sz w:val="24"/>
          <w:szCs w:val="24"/>
          <w:lang w:val="en-US" w:eastAsia="zh-CN"/>
        </w:rPr>
        <w:t>Visnegarwala F</w:t>
      </w:r>
      <w:r w:rsidRPr="002A60A4">
        <w:rPr>
          <w:rFonts w:ascii="Book Antiqua" w:eastAsia="宋体" w:hAnsi="Book Antiqua" w:cs="宋体"/>
          <w:color w:val="000000"/>
          <w:sz w:val="24"/>
          <w:szCs w:val="24"/>
          <w:lang w:val="en-US" w:eastAsia="zh-CN"/>
        </w:rPr>
        <w:t>, Maldonado M, Sajja P, Minihan JL, Rodriguez-Barradas MC, Ong O, Lahart CJ, Hasan MQ, Balasubramanyam A, White AC. Lipid lowering effects of statins and fibrates in the management of HIV dyslipidemias associated with antiretroviral therapy in HIV clinical practice. </w:t>
      </w:r>
      <w:r w:rsidRPr="002A60A4">
        <w:rPr>
          <w:rFonts w:ascii="Book Antiqua" w:eastAsia="宋体" w:hAnsi="Book Antiqua" w:cs="宋体"/>
          <w:i/>
          <w:iCs/>
          <w:color w:val="000000"/>
          <w:sz w:val="24"/>
          <w:szCs w:val="24"/>
          <w:lang w:val="en-US" w:eastAsia="zh-CN"/>
        </w:rPr>
        <w:t>J Infect</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49</w:t>
      </w:r>
      <w:r w:rsidRPr="002A60A4">
        <w:rPr>
          <w:rFonts w:ascii="Book Antiqua" w:eastAsia="宋体" w:hAnsi="Book Antiqua" w:cs="宋体"/>
          <w:color w:val="000000"/>
          <w:sz w:val="24"/>
          <w:szCs w:val="24"/>
          <w:lang w:val="en-US" w:eastAsia="zh-CN"/>
        </w:rPr>
        <w:t>: 283-290 [PMID: 15474625 DOI: 10.1016/j.jinf.2003.09.006]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139 </w:t>
      </w:r>
      <w:r w:rsidRPr="002A60A4">
        <w:rPr>
          <w:rFonts w:ascii="Book Antiqua" w:eastAsia="宋体" w:hAnsi="Book Antiqua" w:cs="宋体"/>
          <w:b/>
          <w:bCs/>
          <w:color w:val="000000"/>
          <w:sz w:val="24"/>
          <w:szCs w:val="24"/>
          <w:lang w:val="en-US" w:eastAsia="zh-CN"/>
        </w:rPr>
        <w:t>Miller J</w:t>
      </w:r>
      <w:r w:rsidRPr="002A60A4">
        <w:rPr>
          <w:rFonts w:ascii="Book Antiqua" w:eastAsia="宋体" w:hAnsi="Book Antiqua" w:cs="宋体"/>
          <w:color w:val="000000"/>
          <w:sz w:val="24"/>
          <w:szCs w:val="24"/>
          <w:lang w:val="en-US" w:eastAsia="zh-CN"/>
        </w:rPr>
        <w:t>, Brown D, Amin J, Kent-Hughes J, Law M, Kaldor J, Cooper DA, Carr A. A randomized, double-blind study of gemfibrozil for the treatment of protease inhibitor-associated hypertriglyceridaemia.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16</w:t>
      </w:r>
      <w:r w:rsidRPr="002A60A4">
        <w:rPr>
          <w:rFonts w:ascii="Book Antiqua" w:eastAsia="宋体" w:hAnsi="Book Antiqua" w:cs="宋体"/>
          <w:color w:val="000000"/>
          <w:sz w:val="24"/>
          <w:szCs w:val="24"/>
          <w:lang w:val="en-US" w:eastAsia="zh-CN"/>
        </w:rPr>
        <w:t>: 2195-2200 [PMID: 12409741 DOI: 10.1097/00002030-200211080-00012]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140 </w:t>
      </w:r>
      <w:r w:rsidRPr="002A60A4">
        <w:rPr>
          <w:rFonts w:ascii="Book Antiqua" w:eastAsia="宋体" w:hAnsi="Book Antiqua" w:cs="宋体"/>
          <w:b/>
          <w:bCs/>
          <w:color w:val="000000"/>
          <w:sz w:val="24"/>
          <w:szCs w:val="24"/>
          <w:lang w:val="en-US" w:eastAsia="zh-CN"/>
        </w:rPr>
        <w:t>Keech A</w:t>
      </w:r>
      <w:r w:rsidRPr="002A60A4">
        <w:rPr>
          <w:rFonts w:ascii="Book Antiqua" w:eastAsia="宋体" w:hAnsi="Book Antiqua" w:cs="宋体"/>
          <w:color w:val="000000"/>
          <w:sz w:val="24"/>
          <w:szCs w:val="24"/>
          <w:lang w:val="en-US" w:eastAsia="zh-CN"/>
        </w:rPr>
        <w:t>, Simes RJ, Barter P, Best J, Scott R, Taskinen MR, Forder P, Pillai A, Davis T, Glasziou P, Drury P, Kesäniemi YA, Sullivan D, Hunt D, Colman P, d'Emden M, Whiting M, Ehnholm C, Laakso M. Effects of long-term fenofibrate therapy on cardiovascular events in 9795 people with type 2 diabetes mellitus (the FIELD study): randomised controlled trial. </w:t>
      </w:r>
      <w:r w:rsidRPr="002A60A4">
        <w:rPr>
          <w:rFonts w:ascii="Book Antiqua" w:eastAsia="宋体" w:hAnsi="Book Antiqua" w:cs="宋体"/>
          <w:i/>
          <w:iCs/>
          <w:color w:val="000000"/>
          <w:sz w:val="24"/>
          <w:szCs w:val="24"/>
          <w:lang w:val="en-US" w:eastAsia="zh-CN"/>
        </w:rPr>
        <w:t>Lancet</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366</w:t>
      </w:r>
      <w:r w:rsidRPr="002A60A4">
        <w:rPr>
          <w:rFonts w:ascii="Book Antiqua" w:eastAsia="宋体" w:hAnsi="Book Antiqua" w:cs="宋体"/>
          <w:color w:val="000000"/>
          <w:sz w:val="24"/>
          <w:szCs w:val="24"/>
          <w:lang w:val="en-US" w:eastAsia="zh-CN"/>
        </w:rPr>
        <w:t>: 1849-1861 [PMID: 16310551 DOI: 10.1016/S0140-6736(05)67667-2]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141 </w:t>
      </w:r>
      <w:r w:rsidRPr="002A60A4">
        <w:rPr>
          <w:rFonts w:ascii="Book Antiqua" w:eastAsia="宋体" w:hAnsi="Book Antiqua" w:cs="宋体"/>
          <w:b/>
          <w:bCs/>
          <w:color w:val="000000"/>
          <w:sz w:val="24"/>
          <w:szCs w:val="24"/>
          <w:lang w:val="en-US" w:eastAsia="zh-CN"/>
        </w:rPr>
        <w:t>Aberg JA</w:t>
      </w:r>
      <w:r w:rsidRPr="002A60A4">
        <w:rPr>
          <w:rFonts w:ascii="Book Antiqua" w:eastAsia="宋体" w:hAnsi="Book Antiqua" w:cs="宋体"/>
          <w:color w:val="000000"/>
          <w:sz w:val="24"/>
          <w:szCs w:val="24"/>
          <w:lang w:val="en-US" w:eastAsia="zh-CN"/>
        </w:rPr>
        <w:t>, Zackin RA, Brobst SW, Evans SR, Alston BL, Henry WK, Glesby MJ, Torriani FJ, Yang Y, Owens SI, Fichtenbaum CJ. A randomized trial of the efficacy and safety of fenofibrate versus pravastatin in HIV-infected subjects with lipid abnormalities: AIDS Clinical Trials Group Study 5087. </w:t>
      </w:r>
      <w:r w:rsidRPr="002A60A4">
        <w:rPr>
          <w:rFonts w:ascii="Book Antiqua" w:eastAsia="宋体" w:hAnsi="Book Antiqua" w:cs="宋体"/>
          <w:i/>
          <w:iCs/>
          <w:color w:val="000000"/>
          <w:sz w:val="24"/>
          <w:szCs w:val="24"/>
          <w:lang w:val="en-US" w:eastAsia="zh-CN"/>
        </w:rPr>
        <w:t>AIDS Res Hum Retroviruses</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21</w:t>
      </w:r>
      <w:r w:rsidRPr="002A60A4">
        <w:rPr>
          <w:rFonts w:ascii="Book Antiqua" w:eastAsia="宋体" w:hAnsi="Book Antiqua" w:cs="宋体"/>
          <w:color w:val="000000"/>
          <w:sz w:val="24"/>
          <w:szCs w:val="24"/>
          <w:lang w:val="en-US" w:eastAsia="zh-CN"/>
        </w:rPr>
        <w:t>: 757-767 [PMID: 16218799 DOI: 10.1089/aid.2005.21.757]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142 </w:t>
      </w:r>
      <w:r w:rsidRPr="002A60A4">
        <w:rPr>
          <w:rFonts w:ascii="Book Antiqua" w:eastAsia="宋体" w:hAnsi="Book Antiqua" w:cs="宋体"/>
          <w:b/>
          <w:bCs/>
          <w:color w:val="000000"/>
          <w:sz w:val="24"/>
          <w:szCs w:val="24"/>
          <w:lang w:val="en-US" w:eastAsia="zh-CN"/>
        </w:rPr>
        <w:t>Nolan DP</w:t>
      </w:r>
      <w:r w:rsidRPr="002A60A4">
        <w:rPr>
          <w:rFonts w:ascii="Book Antiqua" w:eastAsia="宋体" w:hAnsi="Book Antiqua" w:cs="宋体"/>
          <w:color w:val="000000"/>
          <w:sz w:val="24"/>
          <w:szCs w:val="24"/>
          <w:lang w:val="en-US" w:eastAsia="zh-CN"/>
        </w:rPr>
        <w:t>, O'Connor MB, O'Connor C, Moriarty M, O'Leary A, Bergin C. HIV-associated dyslipidaemia among HIV antibody-positive patients in Ireland: prevalence and management strategies. </w:t>
      </w:r>
      <w:r w:rsidRPr="002A60A4">
        <w:rPr>
          <w:rFonts w:ascii="Book Antiqua" w:eastAsia="宋体" w:hAnsi="Book Antiqua" w:cs="宋体"/>
          <w:i/>
          <w:iCs/>
          <w:color w:val="000000"/>
          <w:sz w:val="24"/>
          <w:szCs w:val="24"/>
          <w:lang w:val="en-US" w:eastAsia="zh-CN"/>
        </w:rPr>
        <w:t>Int J STD AIDS</w:t>
      </w:r>
      <w:r w:rsidRPr="002A60A4">
        <w:rPr>
          <w:rFonts w:ascii="Book Antiqua" w:eastAsia="宋体" w:hAnsi="Book Antiqua" w:cs="宋体"/>
          <w:color w:val="000000"/>
          <w:sz w:val="24"/>
          <w:szCs w:val="24"/>
          <w:lang w:val="en-US" w:eastAsia="zh-CN"/>
        </w:rPr>
        <w:t> 2010; </w:t>
      </w:r>
      <w:r w:rsidRPr="002A60A4">
        <w:rPr>
          <w:rFonts w:ascii="Book Antiqua" w:eastAsia="宋体" w:hAnsi="Book Antiqua" w:cs="宋体"/>
          <w:b/>
          <w:bCs/>
          <w:color w:val="000000"/>
          <w:sz w:val="24"/>
          <w:szCs w:val="24"/>
          <w:lang w:val="en-US" w:eastAsia="zh-CN"/>
        </w:rPr>
        <w:t>21</w:t>
      </w:r>
      <w:r w:rsidRPr="002A60A4">
        <w:rPr>
          <w:rFonts w:ascii="Book Antiqua" w:eastAsia="宋体" w:hAnsi="Book Antiqua" w:cs="宋体"/>
          <w:color w:val="000000"/>
          <w:sz w:val="24"/>
          <w:szCs w:val="24"/>
          <w:lang w:val="en-US" w:eastAsia="zh-CN"/>
        </w:rPr>
        <w:t>: 75-76 [PMID: 19884356 DOI: 10.1258/ijsa.2009.009364]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143 </w:t>
      </w:r>
      <w:r w:rsidRPr="002A60A4">
        <w:rPr>
          <w:rFonts w:ascii="Book Antiqua" w:eastAsia="宋体" w:hAnsi="Book Antiqua" w:cs="宋体"/>
          <w:b/>
          <w:bCs/>
          <w:color w:val="000000"/>
          <w:sz w:val="24"/>
          <w:szCs w:val="24"/>
          <w:lang w:val="en-US" w:eastAsia="zh-CN"/>
        </w:rPr>
        <w:t>Negredo E</w:t>
      </w:r>
      <w:r w:rsidRPr="002A60A4">
        <w:rPr>
          <w:rFonts w:ascii="Book Antiqua" w:eastAsia="宋体" w:hAnsi="Book Antiqua" w:cs="宋体"/>
          <w:color w:val="000000"/>
          <w:sz w:val="24"/>
          <w:szCs w:val="24"/>
          <w:lang w:val="en-US" w:eastAsia="zh-CN"/>
        </w:rPr>
        <w:t>, Moltó J, Puig J, Cinquegrana D, Bonjoch A, Pérez-Alvarez N, López-Blázquez R, Blanco A, Clotet B, Rey-Joly C. Ezetimibe, a promising lipid-lowering agent for the treatment of dyslipidaemia in HIV-infected patients with poor response to statins.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20</w:t>
      </w:r>
      <w:r w:rsidRPr="002A60A4">
        <w:rPr>
          <w:rFonts w:ascii="Book Antiqua" w:eastAsia="宋体" w:hAnsi="Book Antiqua" w:cs="宋体"/>
          <w:color w:val="000000"/>
          <w:sz w:val="24"/>
          <w:szCs w:val="24"/>
          <w:lang w:val="en-US" w:eastAsia="zh-CN"/>
        </w:rPr>
        <w:t>: 2159-2164 [PMID: 17086055 DOI: 10.1097/01.aids.0000247573.95880.db]</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144 </w:t>
      </w:r>
      <w:r w:rsidRPr="002A60A4">
        <w:rPr>
          <w:rFonts w:ascii="Book Antiqua" w:eastAsia="宋体" w:hAnsi="Book Antiqua" w:cs="宋体"/>
          <w:b/>
          <w:bCs/>
          <w:color w:val="000000"/>
          <w:sz w:val="24"/>
          <w:szCs w:val="24"/>
          <w:lang w:val="en-US" w:eastAsia="zh-CN"/>
        </w:rPr>
        <w:t>Coll B</w:t>
      </w:r>
      <w:r w:rsidRPr="002A60A4">
        <w:rPr>
          <w:rFonts w:ascii="Book Antiqua" w:eastAsia="宋体" w:hAnsi="Book Antiqua" w:cs="宋体"/>
          <w:color w:val="000000"/>
          <w:sz w:val="24"/>
          <w:szCs w:val="24"/>
          <w:lang w:val="en-US" w:eastAsia="zh-CN"/>
        </w:rPr>
        <w:t>, Aragonés G, Parra S, Alonso-Villaverde C, Masana L. Ezetimibe effectively decreases LDL-cholesterol in HIV-infected patients.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20</w:t>
      </w:r>
      <w:r w:rsidRPr="002A60A4">
        <w:rPr>
          <w:rFonts w:ascii="Book Antiqua" w:eastAsia="宋体" w:hAnsi="Book Antiqua" w:cs="宋体"/>
          <w:color w:val="000000"/>
          <w:sz w:val="24"/>
          <w:szCs w:val="24"/>
          <w:lang w:val="en-US" w:eastAsia="zh-CN"/>
        </w:rPr>
        <w:t>: 1675-1677 [PMID: 16868453 DOI: 10.1097/01.aids.0000238418.43937.3b]</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145 </w:t>
      </w:r>
      <w:r w:rsidRPr="002A60A4">
        <w:rPr>
          <w:rFonts w:ascii="Book Antiqua" w:eastAsia="宋体" w:hAnsi="Book Antiqua" w:cs="宋体"/>
          <w:b/>
          <w:bCs/>
          <w:color w:val="000000"/>
          <w:sz w:val="24"/>
          <w:szCs w:val="24"/>
          <w:lang w:val="en-US" w:eastAsia="zh-CN"/>
        </w:rPr>
        <w:t>Patel SB</w:t>
      </w:r>
      <w:r w:rsidRPr="002A60A4">
        <w:rPr>
          <w:rFonts w:ascii="Book Antiqua" w:eastAsia="宋体" w:hAnsi="Book Antiqua" w:cs="宋体"/>
          <w:color w:val="000000"/>
          <w:sz w:val="24"/>
          <w:szCs w:val="24"/>
          <w:lang w:val="en-US" w:eastAsia="zh-CN"/>
        </w:rPr>
        <w:t>. Ezetimibe: a novel cholesterol-lowering agent that highlights novel physiologic pathways. </w:t>
      </w:r>
      <w:r w:rsidRPr="002A60A4">
        <w:rPr>
          <w:rFonts w:ascii="Book Antiqua" w:eastAsia="宋体" w:hAnsi="Book Antiqua" w:cs="宋体"/>
          <w:i/>
          <w:iCs/>
          <w:color w:val="000000"/>
          <w:sz w:val="24"/>
          <w:szCs w:val="24"/>
          <w:lang w:val="en-US" w:eastAsia="zh-CN"/>
        </w:rPr>
        <w:t>Curr Cardiol Rep</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6</w:t>
      </w:r>
      <w:r w:rsidRPr="002A60A4">
        <w:rPr>
          <w:rFonts w:ascii="Book Antiqua" w:eastAsia="宋体" w:hAnsi="Book Antiqua" w:cs="宋体"/>
          <w:color w:val="000000"/>
          <w:sz w:val="24"/>
          <w:szCs w:val="24"/>
          <w:lang w:val="en-US" w:eastAsia="zh-CN"/>
        </w:rPr>
        <w:t>: 439-442 [PMID: 15485605 DOI: 10.1007/s11886-004-0052-5]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146 </w:t>
      </w:r>
      <w:r w:rsidRPr="002A60A4">
        <w:rPr>
          <w:rFonts w:ascii="Book Antiqua" w:eastAsia="宋体" w:hAnsi="Book Antiqua" w:cs="宋体"/>
          <w:b/>
          <w:color w:val="000000"/>
          <w:sz w:val="24"/>
          <w:szCs w:val="24"/>
          <w:lang w:val="en-US" w:eastAsia="zh-CN"/>
        </w:rPr>
        <w:t>Stein E</w:t>
      </w:r>
      <w:r w:rsidRPr="002A60A4">
        <w:rPr>
          <w:rFonts w:ascii="Book Antiqua" w:eastAsia="宋体" w:hAnsi="Book Antiqua" w:cs="宋体"/>
          <w:color w:val="000000"/>
          <w:sz w:val="24"/>
          <w:szCs w:val="24"/>
          <w:lang w:val="en-US" w:eastAsia="zh-CN"/>
        </w:rPr>
        <w:t xml:space="preserve">. Results of phase I/II clinical trials with ezetimibe, a novel selective cholesterol absorption inhibitor. </w:t>
      </w:r>
      <w:r w:rsidRPr="002A60A4">
        <w:rPr>
          <w:rFonts w:ascii="Book Antiqua" w:eastAsia="宋体" w:hAnsi="Book Antiqua" w:cs="宋体"/>
          <w:i/>
          <w:color w:val="000000"/>
          <w:sz w:val="24"/>
          <w:szCs w:val="24"/>
          <w:lang w:val="en-US" w:eastAsia="zh-CN"/>
        </w:rPr>
        <w:t xml:space="preserve">Eur Heart J </w:t>
      </w:r>
      <w:r w:rsidRPr="002A60A4">
        <w:rPr>
          <w:rFonts w:ascii="Book Antiqua" w:eastAsia="宋体" w:hAnsi="Book Antiqua" w:cs="宋体"/>
          <w:color w:val="000000"/>
          <w:sz w:val="24"/>
          <w:szCs w:val="24"/>
          <w:lang w:val="en-US" w:eastAsia="zh-CN"/>
        </w:rPr>
        <w:t xml:space="preserve">2001; </w:t>
      </w:r>
      <w:r w:rsidRPr="002A60A4">
        <w:rPr>
          <w:rFonts w:ascii="Book Antiqua" w:eastAsia="宋体" w:hAnsi="Book Antiqua" w:cs="宋体"/>
          <w:b/>
          <w:color w:val="000000"/>
          <w:sz w:val="24"/>
          <w:szCs w:val="24"/>
          <w:lang w:val="en-US" w:eastAsia="zh-CN"/>
        </w:rPr>
        <w:t>3</w:t>
      </w:r>
      <w:r w:rsidRPr="002A60A4">
        <w:rPr>
          <w:rFonts w:ascii="Book Antiqua" w:eastAsia="宋体" w:hAnsi="Book Antiqua" w:cs="宋体"/>
          <w:color w:val="000000"/>
          <w:sz w:val="24"/>
          <w:szCs w:val="24"/>
          <w:lang w:val="en-US" w:eastAsia="zh-CN"/>
        </w:rPr>
        <w:t xml:space="preserve">: E11–E16 </w:t>
      </w:r>
      <w:r>
        <w:rPr>
          <w:rFonts w:ascii="Book Antiqua" w:eastAsia="宋体" w:hAnsi="Book Antiqua" w:cs="宋体" w:hint="eastAsia"/>
          <w:color w:val="000000"/>
          <w:sz w:val="24"/>
          <w:szCs w:val="24"/>
          <w:lang w:val="en-US" w:eastAsia="zh-CN"/>
        </w:rPr>
        <w:t>[</w:t>
      </w:r>
      <w:r w:rsidRPr="002A60A4">
        <w:rPr>
          <w:rFonts w:ascii="Book Antiqua" w:eastAsia="宋体" w:hAnsi="Book Antiqua" w:cs="宋体"/>
          <w:color w:val="000000"/>
          <w:sz w:val="24"/>
          <w:szCs w:val="24"/>
          <w:lang w:val="en-US" w:eastAsia="zh-CN"/>
        </w:rPr>
        <w:t>DOI: 10.1016/S1520-765X(01)90107-5]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147 </w:t>
      </w:r>
      <w:r w:rsidRPr="002A60A4">
        <w:rPr>
          <w:rFonts w:ascii="Book Antiqua" w:eastAsia="宋体" w:hAnsi="Book Antiqua" w:cs="宋体"/>
          <w:b/>
          <w:bCs/>
          <w:color w:val="000000"/>
          <w:sz w:val="24"/>
          <w:szCs w:val="24"/>
          <w:lang w:val="en-US" w:eastAsia="zh-CN"/>
        </w:rPr>
        <w:t>Wohl DA</w:t>
      </w:r>
      <w:r w:rsidRPr="002A60A4">
        <w:rPr>
          <w:rFonts w:ascii="Book Antiqua" w:eastAsia="宋体" w:hAnsi="Book Antiqua" w:cs="宋体"/>
          <w:color w:val="000000"/>
          <w:sz w:val="24"/>
          <w:szCs w:val="24"/>
          <w:lang w:val="en-US" w:eastAsia="zh-CN"/>
        </w:rPr>
        <w:t>, Waters D, Simpson RJ, Richard S, Schnell A, Napravnik S, Keys J, Eron JJ, Hsue P. Ezetimibe alone reduces low-density lipoprotein cholesterol in HIV-infected patients receiving combination antiretroviral therapy. </w:t>
      </w:r>
      <w:r w:rsidRPr="002A60A4">
        <w:rPr>
          <w:rFonts w:ascii="Book Antiqua" w:eastAsia="宋体" w:hAnsi="Book Antiqua" w:cs="宋体"/>
          <w:i/>
          <w:iCs/>
          <w:color w:val="000000"/>
          <w:sz w:val="24"/>
          <w:szCs w:val="24"/>
          <w:lang w:val="en-US" w:eastAsia="zh-CN"/>
        </w:rPr>
        <w:t>Clin Infect Dis</w:t>
      </w:r>
      <w:r w:rsidRPr="002A60A4">
        <w:rPr>
          <w:rFonts w:ascii="Book Antiqua" w:eastAsia="宋体" w:hAnsi="Book Antiqua" w:cs="宋体"/>
          <w:color w:val="000000"/>
          <w:sz w:val="24"/>
          <w:szCs w:val="24"/>
          <w:lang w:val="en-US" w:eastAsia="zh-CN"/>
        </w:rPr>
        <w:t> 2008; </w:t>
      </w:r>
      <w:r w:rsidRPr="002A60A4">
        <w:rPr>
          <w:rFonts w:ascii="Book Antiqua" w:eastAsia="宋体" w:hAnsi="Book Antiqua" w:cs="宋体"/>
          <w:b/>
          <w:bCs/>
          <w:color w:val="000000"/>
          <w:sz w:val="24"/>
          <w:szCs w:val="24"/>
          <w:lang w:val="en-US" w:eastAsia="zh-CN"/>
        </w:rPr>
        <w:t>47</w:t>
      </w:r>
      <w:r w:rsidRPr="002A60A4">
        <w:rPr>
          <w:rFonts w:ascii="Book Antiqua" w:eastAsia="宋体" w:hAnsi="Book Antiqua" w:cs="宋体"/>
          <w:color w:val="000000"/>
          <w:sz w:val="24"/>
          <w:szCs w:val="24"/>
          <w:lang w:val="en-US" w:eastAsia="zh-CN"/>
        </w:rPr>
        <w:t>: 1105-1108 [PMID: 18781882 DOI: 10.1086/592116]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148 </w:t>
      </w:r>
      <w:r w:rsidRPr="002A60A4">
        <w:rPr>
          <w:rFonts w:ascii="Book Antiqua" w:eastAsia="宋体" w:hAnsi="Book Antiqua" w:cs="宋体"/>
          <w:b/>
          <w:bCs/>
          <w:color w:val="000000"/>
          <w:sz w:val="24"/>
          <w:szCs w:val="24"/>
          <w:lang w:val="en-US" w:eastAsia="zh-CN"/>
        </w:rPr>
        <w:t>Chastain LM</w:t>
      </w:r>
      <w:r w:rsidRPr="002A60A4">
        <w:rPr>
          <w:rFonts w:ascii="Book Antiqua" w:eastAsia="宋体" w:hAnsi="Book Antiqua" w:cs="宋体"/>
          <w:color w:val="000000"/>
          <w:sz w:val="24"/>
          <w:szCs w:val="24"/>
          <w:lang w:val="en-US" w:eastAsia="zh-CN"/>
        </w:rPr>
        <w:t>, Bain AM, Edwards KL, Bedimo R, Busti AJ. A retrospective study of the lipid-lowering efficacy and safety of ezetimibe added to hydroxy methylglutaryl coenzyme A reductase therapy in HIV-infected patients with hyperlipidemia. </w:t>
      </w:r>
      <w:r w:rsidRPr="002A60A4">
        <w:rPr>
          <w:rFonts w:ascii="Book Antiqua" w:eastAsia="宋体" w:hAnsi="Book Antiqua" w:cs="宋体"/>
          <w:i/>
          <w:iCs/>
          <w:color w:val="000000"/>
          <w:sz w:val="24"/>
          <w:szCs w:val="24"/>
          <w:lang w:val="en-US" w:eastAsia="zh-CN"/>
        </w:rPr>
        <w:t>J Clin Lipidol</w:t>
      </w:r>
      <w:r w:rsidRPr="002A60A4">
        <w:rPr>
          <w:rFonts w:ascii="Book Antiqua" w:eastAsia="宋体" w:hAnsi="Book Antiqua" w:cs="宋体"/>
          <w:color w:val="000000"/>
          <w:sz w:val="24"/>
          <w:szCs w:val="24"/>
          <w:lang w:val="en-US" w:eastAsia="zh-CN"/>
        </w:rPr>
        <w:t> 2007; </w:t>
      </w:r>
      <w:r w:rsidRPr="002A60A4">
        <w:rPr>
          <w:rFonts w:ascii="Book Antiqua" w:eastAsia="宋体" w:hAnsi="Book Antiqua" w:cs="宋体"/>
          <w:b/>
          <w:bCs/>
          <w:color w:val="000000"/>
          <w:sz w:val="24"/>
          <w:szCs w:val="24"/>
          <w:lang w:val="en-US" w:eastAsia="zh-CN"/>
        </w:rPr>
        <w:t>1</w:t>
      </w:r>
      <w:r w:rsidRPr="002A60A4">
        <w:rPr>
          <w:rFonts w:ascii="Book Antiqua" w:eastAsia="宋体" w:hAnsi="Book Antiqua" w:cs="宋体"/>
          <w:color w:val="000000"/>
          <w:sz w:val="24"/>
          <w:szCs w:val="24"/>
          <w:lang w:val="en-US" w:eastAsia="zh-CN"/>
        </w:rPr>
        <w:t>: 634-639 [PMID: 21291706 DOI: 10.1016/j.jacl.2007.10.003]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149 </w:t>
      </w:r>
      <w:r w:rsidRPr="002A60A4">
        <w:rPr>
          <w:rFonts w:ascii="Book Antiqua" w:eastAsia="宋体" w:hAnsi="Book Antiqua" w:cs="宋体"/>
          <w:b/>
          <w:bCs/>
          <w:color w:val="000000"/>
          <w:sz w:val="24"/>
          <w:szCs w:val="24"/>
          <w:lang w:val="en-US" w:eastAsia="zh-CN"/>
        </w:rPr>
        <w:t>Grandi AM</w:t>
      </w:r>
      <w:r w:rsidRPr="002A60A4">
        <w:rPr>
          <w:rFonts w:ascii="Book Antiqua" w:eastAsia="宋体" w:hAnsi="Book Antiqua" w:cs="宋体"/>
          <w:color w:val="000000"/>
          <w:sz w:val="24"/>
          <w:szCs w:val="24"/>
          <w:lang w:val="en-US" w:eastAsia="zh-CN"/>
        </w:rPr>
        <w:t>, Nicolini E, Rizzi L, Caputo S, Annoni F, Cremona AM, Marchesi C, Guasti L, Maresca AM, Grossi P. Dyslipidemia in HIV-positive patients: a randomized, controlled, prospective study on ezetimibe+fenofibrate versus pravastatin monotherapy. </w:t>
      </w:r>
      <w:r w:rsidRPr="002A60A4">
        <w:rPr>
          <w:rFonts w:ascii="Book Antiqua" w:eastAsia="宋体" w:hAnsi="Book Antiqua" w:cs="宋体"/>
          <w:i/>
          <w:iCs/>
          <w:color w:val="000000"/>
          <w:sz w:val="24"/>
          <w:szCs w:val="24"/>
          <w:lang w:val="en-US" w:eastAsia="zh-CN"/>
        </w:rPr>
        <w:t>J Int AIDS Soc</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17</w:t>
      </w:r>
      <w:r w:rsidRPr="002A60A4">
        <w:rPr>
          <w:rFonts w:ascii="Book Antiqua" w:eastAsia="宋体" w:hAnsi="Book Antiqua" w:cs="宋体"/>
          <w:color w:val="000000"/>
          <w:sz w:val="24"/>
          <w:szCs w:val="24"/>
          <w:lang w:val="en-US" w:eastAsia="zh-CN"/>
        </w:rPr>
        <w:t>: 19004 [PMID: 25148829 DOI: 10.7448/IAS.17.1.19004]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150 </w:t>
      </w:r>
      <w:r w:rsidRPr="002A60A4">
        <w:rPr>
          <w:rFonts w:ascii="Book Antiqua" w:eastAsia="宋体" w:hAnsi="Book Antiqua" w:cs="宋体"/>
          <w:b/>
          <w:bCs/>
          <w:color w:val="000000"/>
          <w:sz w:val="24"/>
          <w:szCs w:val="24"/>
          <w:lang w:val="en-US" w:eastAsia="zh-CN"/>
        </w:rPr>
        <w:t>Phillipson BE</w:t>
      </w:r>
      <w:r w:rsidRPr="002A60A4">
        <w:rPr>
          <w:rFonts w:ascii="Book Antiqua" w:eastAsia="宋体" w:hAnsi="Book Antiqua" w:cs="宋体"/>
          <w:color w:val="000000"/>
          <w:sz w:val="24"/>
          <w:szCs w:val="24"/>
          <w:lang w:val="en-US" w:eastAsia="zh-CN"/>
        </w:rPr>
        <w:t>, Rothrock DW, Connor WE, Harris WS, Illingworth DR. Reduction of plasma lipids, lipoproteins, and apoproteins by dietary fish oils in patients with hypertriglyceridemia. </w:t>
      </w:r>
      <w:r w:rsidRPr="002A60A4">
        <w:rPr>
          <w:rFonts w:ascii="Book Antiqua" w:eastAsia="宋体" w:hAnsi="Book Antiqua" w:cs="宋体"/>
          <w:i/>
          <w:iCs/>
          <w:color w:val="000000"/>
          <w:sz w:val="24"/>
          <w:szCs w:val="24"/>
          <w:lang w:val="en-US" w:eastAsia="zh-CN"/>
        </w:rPr>
        <w:t>N Engl J Med</w:t>
      </w:r>
      <w:r w:rsidRPr="002A60A4">
        <w:rPr>
          <w:rFonts w:ascii="Book Antiqua" w:eastAsia="宋体" w:hAnsi="Book Antiqua" w:cs="宋体"/>
          <w:color w:val="000000"/>
          <w:sz w:val="24"/>
          <w:szCs w:val="24"/>
          <w:lang w:val="en-US" w:eastAsia="zh-CN"/>
        </w:rPr>
        <w:t> 1985; </w:t>
      </w:r>
      <w:r w:rsidRPr="002A60A4">
        <w:rPr>
          <w:rFonts w:ascii="Book Antiqua" w:eastAsia="宋体" w:hAnsi="Book Antiqua" w:cs="宋体"/>
          <w:b/>
          <w:bCs/>
          <w:color w:val="000000"/>
          <w:sz w:val="24"/>
          <w:szCs w:val="24"/>
          <w:lang w:val="en-US" w:eastAsia="zh-CN"/>
        </w:rPr>
        <w:t>312</w:t>
      </w:r>
      <w:r w:rsidRPr="002A60A4">
        <w:rPr>
          <w:rFonts w:ascii="Book Antiqua" w:eastAsia="宋体" w:hAnsi="Book Antiqua" w:cs="宋体"/>
          <w:color w:val="000000"/>
          <w:sz w:val="24"/>
          <w:szCs w:val="24"/>
          <w:lang w:val="en-US" w:eastAsia="zh-CN"/>
        </w:rPr>
        <w:t>: 1210-1216 [PMID: 3990714 DOI: 10.1056/NEJM198505093121902]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151 </w:t>
      </w:r>
      <w:r w:rsidRPr="002A60A4">
        <w:rPr>
          <w:rFonts w:ascii="Book Antiqua" w:eastAsia="宋体" w:hAnsi="Book Antiqua" w:cs="宋体"/>
          <w:b/>
          <w:bCs/>
          <w:color w:val="000000"/>
          <w:sz w:val="24"/>
          <w:szCs w:val="24"/>
          <w:lang w:val="en-US" w:eastAsia="zh-CN"/>
        </w:rPr>
        <w:t>Harris WS</w:t>
      </w:r>
      <w:r w:rsidRPr="002A60A4">
        <w:rPr>
          <w:rFonts w:ascii="Book Antiqua" w:eastAsia="宋体" w:hAnsi="Book Antiqua" w:cs="宋体"/>
          <w:color w:val="000000"/>
          <w:sz w:val="24"/>
          <w:szCs w:val="24"/>
          <w:lang w:val="en-US" w:eastAsia="zh-CN"/>
        </w:rPr>
        <w:t>. n-3 fatty acids and serum lipoproteins: human studies. </w:t>
      </w:r>
      <w:r w:rsidRPr="002A60A4">
        <w:rPr>
          <w:rFonts w:ascii="Book Antiqua" w:eastAsia="宋体" w:hAnsi="Book Antiqua" w:cs="宋体"/>
          <w:i/>
          <w:iCs/>
          <w:color w:val="000000"/>
          <w:sz w:val="24"/>
          <w:szCs w:val="24"/>
          <w:lang w:val="en-US" w:eastAsia="zh-CN"/>
        </w:rPr>
        <w:t>Am J Clin Nutr</w:t>
      </w:r>
      <w:r w:rsidRPr="002A60A4">
        <w:rPr>
          <w:rFonts w:ascii="Book Antiqua" w:eastAsia="宋体" w:hAnsi="Book Antiqua" w:cs="宋体"/>
          <w:color w:val="000000"/>
          <w:sz w:val="24"/>
          <w:szCs w:val="24"/>
          <w:lang w:val="en-US" w:eastAsia="zh-CN"/>
        </w:rPr>
        <w:t> 1997; </w:t>
      </w:r>
      <w:r w:rsidRPr="002A60A4">
        <w:rPr>
          <w:rFonts w:ascii="Book Antiqua" w:eastAsia="宋体" w:hAnsi="Book Antiqua" w:cs="宋体"/>
          <w:b/>
          <w:bCs/>
          <w:color w:val="000000"/>
          <w:sz w:val="24"/>
          <w:szCs w:val="24"/>
          <w:lang w:val="en-US" w:eastAsia="zh-CN"/>
        </w:rPr>
        <w:t>65</w:t>
      </w:r>
      <w:r w:rsidRPr="002A60A4">
        <w:rPr>
          <w:rFonts w:ascii="Book Antiqua" w:eastAsia="宋体" w:hAnsi="Book Antiqua" w:cs="宋体"/>
          <w:color w:val="000000"/>
          <w:sz w:val="24"/>
          <w:szCs w:val="24"/>
          <w:lang w:val="en-US" w:eastAsia="zh-CN"/>
        </w:rPr>
        <w:t>: 1645S-1654S [PMID: 9129504]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152 </w:t>
      </w:r>
      <w:r w:rsidRPr="002A60A4">
        <w:rPr>
          <w:rFonts w:ascii="Book Antiqua" w:eastAsia="宋体" w:hAnsi="Book Antiqua" w:cs="宋体"/>
          <w:b/>
          <w:bCs/>
          <w:color w:val="000000"/>
          <w:sz w:val="24"/>
          <w:szCs w:val="24"/>
          <w:lang w:val="en-US" w:eastAsia="zh-CN"/>
        </w:rPr>
        <w:t>Gerber JG</w:t>
      </w:r>
      <w:r w:rsidRPr="002A60A4">
        <w:rPr>
          <w:rFonts w:ascii="Book Antiqua" w:eastAsia="宋体" w:hAnsi="Book Antiqua" w:cs="宋体"/>
          <w:color w:val="000000"/>
          <w:sz w:val="24"/>
          <w:szCs w:val="24"/>
          <w:lang w:val="en-US" w:eastAsia="zh-CN"/>
        </w:rPr>
        <w:t>, Kitch DW, Fichtenbaum CJ, Zackin RA, Charles S, Hogg E, Acosta EP, Connick E, Wohl D, Kojic EM, Benson CA, Aberg JA. Fish oil and fenofibrate for the treatment of hypertriglyceridemia in HIV-infected subjects on antiretroviral therapy: results of ACTG A5186.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2008; </w:t>
      </w:r>
      <w:r w:rsidRPr="002A60A4">
        <w:rPr>
          <w:rFonts w:ascii="Book Antiqua" w:eastAsia="宋体" w:hAnsi="Book Antiqua" w:cs="宋体"/>
          <w:b/>
          <w:bCs/>
          <w:color w:val="000000"/>
          <w:sz w:val="24"/>
          <w:szCs w:val="24"/>
          <w:lang w:val="en-US" w:eastAsia="zh-CN"/>
        </w:rPr>
        <w:t>47</w:t>
      </w:r>
      <w:r w:rsidRPr="002A60A4">
        <w:rPr>
          <w:rFonts w:ascii="Book Antiqua" w:eastAsia="宋体" w:hAnsi="Book Antiqua" w:cs="宋体"/>
          <w:color w:val="000000"/>
          <w:sz w:val="24"/>
          <w:szCs w:val="24"/>
          <w:lang w:val="en-US" w:eastAsia="zh-CN"/>
        </w:rPr>
        <w:t>: 459-466 [PMID: 17971707 DOI: 10.1097/QAI.0b013e31815bace2]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153 </w:t>
      </w:r>
      <w:r w:rsidRPr="002A60A4">
        <w:rPr>
          <w:rFonts w:ascii="Book Antiqua" w:eastAsia="宋体" w:hAnsi="Book Antiqua" w:cs="宋体"/>
          <w:b/>
          <w:bCs/>
          <w:color w:val="000000"/>
          <w:sz w:val="24"/>
          <w:szCs w:val="24"/>
          <w:lang w:val="en-US" w:eastAsia="zh-CN"/>
        </w:rPr>
        <w:t>De Truchis P</w:t>
      </w:r>
      <w:r w:rsidRPr="002A60A4">
        <w:rPr>
          <w:rFonts w:ascii="Book Antiqua" w:eastAsia="宋体" w:hAnsi="Book Antiqua" w:cs="宋体"/>
          <w:color w:val="000000"/>
          <w:sz w:val="24"/>
          <w:szCs w:val="24"/>
          <w:lang w:val="en-US" w:eastAsia="zh-CN"/>
        </w:rPr>
        <w:t>, Kirstetter M, Perier A, Meunier C, Zucman D, Force G, Doll J, Katlama C, Rozenbaum W, Masson H, Gardette J, Melchior JC. Reduction in triglyceride level with N-3 polyunsaturated fatty acids in HIV-infected patients taking potent antiretroviral therapy: a randomized prospective study.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2007; </w:t>
      </w:r>
      <w:r w:rsidRPr="002A60A4">
        <w:rPr>
          <w:rFonts w:ascii="Book Antiqua" w:eastAsia="宋体" w:hAnsi="Book Antiqua" w:cs="宋体"/>
          <w:b/>
          <w:bCs/>
          <w:color w:val="000000"/>
          <w:sz w:val="24"/>
          <w:szCs w:val="24"/>
          <w:lang w:val="en-US" w:eastAsia="zh-CN"/>
        </w:rPr>
        <w:t>44</w:t>
      </w:r>
      <w:r w:rsidRPr="002A60A4">
        <w:rPr>
          <w:rFonts w:ascii="Book Antiqua" w:eastAsia="宋体" w:hAnsi="Book Antiqua" w:cs="宋体"/>
          <w:color w:val="000000"/>
          <w:sz w:val="24"/>
          <w:szCs w:val="24"/>
          <w:lang w:val="en-US" w:eastAsia="zh-CN"/>
        </w:rPr>
        <w:t>: 278-285 [PMID: 17179770 DOI: 10.1097/QAI.0b013e31802c2f3d]</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154 </w:t>
      </w:r>
      <w:r w:rsidRPr="002A60A4">
        <w:rPr>
          <w:rFonts w:ascii="Book Antiqua" w:eastAsia="宋体" w:hAnsi="Book Antiqua" w:cs="宋体"/>
          <w:b/>
          <w:bCs/>
          <w:color w:val="000000"/>
          <w:sz w:val="24"/>
          <w:szCs w:val="24"/>
          <w:lang w:val="en-US" w:eastAsia="zh-CN"/>
        </w:rPr>
        <w:t>Schmidt EB</w:t>
      </w:r>
      <w:r w:rsidRPr="002A60A4">
        <w:rPr>
          <w:rFonts w:ascii="Book Antiqua" w:eastAsia="宋体" w:hAnsi="Book Antiqua" w:cs="宋体"/>
          <w:color w:val="000000"/>
          <w:sz w:val="24"/>
          <w:szCs w:val="24"/>
          <w:lang w:val="en-US" w:eastAsia="zh-CN"/>
        </w:rPr>
        <w:t>. Marine N-3 polyunsaturated fatty acids and coronary heart disease: come a long way but expect more. </w:t>
      </w:r>
      <w:r w:rsidRPr="002A60A4">
        <w:rPr>
          <w:rFonts w:ascii="Book Antiqua" w:eastAsia="宋体" w:hAnsi="Book Antiqua" w:cs="宋体"/>
          <w:i/>
          <w:iCs/>
          <w:color w:val="000000"/>
          <w:sz w:val="24"/>
          <w:szCs w:val="24"/>
          <w:lang w:val="en-US" w:eastAsia="zh-CN"/>
        </w:rPr>
        <w:t>Cell Mol Biol (Noisy-le-grand)</w:t>
      </w:r>
      <w:r w:rsidRPr="002A60A4">
        <w:rPr>
          <w:rFonts w:ascii="Book Antiqua" w:eastAsia="宋体" w:hAnsi="Book Antiqua" w:cs="宋体"/>
          <w:color w:val="000000"/>
          <w:sz w:val="24"/>
          <w:szCs w:val="24"/>
          <w:lang w:val="en-US" w:eastAsia="zh-CN"/>
        </w:rPr>
        <w:t> 2010; </w:t>
      </w:r>
      <w:r w:rsidRPr="002A60A4">
        <w:rPr>
          <w:rFonts w:ascii="Book Antiqua" w:eastAsia="宋体" w:hAnsi="Book Antiqua" w:cs="宋体"/>
          <w:b/>
          <w:bCs/>
          <w:color w:val="000000"/>
          <w:sz w:val="24"/>
          <w:szCs w:val="24"/>
          <w:lang w:val="en-US" w:eastAsia="zh-CN"/>
        </w:rPr>
        <w:t>56</w:t>
      </w:r>
      <w:r w:rsidRPr="002A60A4">
        <w:rPr>
          <w:rFonts w:ascii="Book Antiqua" w:eastAsia="宋体" w:hAnsi="Book Antiqua" w:cs="宋体"/>
          <w:color w:val="000000"/>
          <w:sz w:val="24"/>
          <w:szCs w:val="24"/>
          <w:lang w:val="en-US" w:eastAsia="zh-CN"/>
        </w:rPr>
        <w:t>: 1-3 [PMID: 20225403]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155 </w:t>
      </w:r>
      <w:r w:rsidRPr="002A60A4">
        <w:rPr>
          <w:rFonts w:ascii="Book Antiqua" w:eastAsia="宋体" w:hAnsi="Book Antiqua" w:cs="宋体"/>
          <w:b/>
          <w:bCs/>
          <w:color w:val="000000"/>
          <w:sz w:val="24"/>
          <w:szCs w:val="24"/>
          <w:lang w:val="en-US" w:eastAsia="zh-CN"/>
        </w:rPr>
        <w:t>Bang HO</w:t>
      </w:r>
      <w:r w:rsidRPr="002A60A4">
        <w:rPr>
          <w:rFonts w:ascii="Book Antiqua" w:eastAsia="宋体" w:hAnsi="Book Antiqua" w:cs="宋体"/>
          <w:color w:val="000000"/>
          <w:sz w:val="24"/>
          <w:szCs w:val="24"/>
          <w:lang w:val="en-US" w:eastAsia="zh-CN"/>
        </w:rPr>
        <w:t>, Dyerberg J. Plasma lipids and lipoproteins in Greenlandic west coast Eskimos. </w:t>
      </w:r>
      <w:r w:rsidRPr="002A60A4">
        <w:rPr>
          <w:rFonts w:ascii="Book Antiqua" w:eastAsia="宋体" w:hAnsi="Book Antiqua" w:cs="宋体"/>
          <w:i/>
          <w:iCs/>
          <w:color w:val="000000"/>
          <w:sz w:val="24"/>
          <w:szCs w:val="24"/>
          <w:lang w:val="en-US" w:eastAsia="zh-CN"/>
        </w:rPr>
        <w:t>Acta Med Scand</w:t>
      </w:r>
      <w:r w:rsidRPr="002A60A4">
        <w:rPr>
          <w:rFonts w:ascii="Book Antiqua" w:eastAsia="宋体" w:hAnsi="Book Antiqua" w:cs="宋体"/>
          <w:color w:val="000000"/>
          <w:sz w:val="24"/>
          <w:szCs w:val="24"/>
          <w:lang w:val="en-US" w:eastAsia="zh-CN"/>
        </w:rPr>
        <w:t> </w:t>
      </w:r>
      <w:r w:rsidR="003F0C57">
        <w:rPr>
          <w:rFonts w:ascii="Book Antiqua" w:eastAsia="宋体" w:hAnsi="Book Antiqua" w:cs="宋体" w:hint="eastAsia"/>
          <w:color w:val="000000"/>
          <w:sz w:val="24"/>
          <w:szCs w:val="24"/>
          <w:lang w:val="en-US" w:eastAsia="zh-CN"/>
        </w:rPr>
        <w:t>1972</w:t>
      </w:r>
      <w:r w:rsidRPr="002A60A4">
        <w:rPr>
          <w:rFonts w:ascii="Book Antiqua" w:eastAsia="宋体" w:hAnsi="Book Antiqua" w:cs="宋体"/>
          <w:color w:val="000000"/>
          <w:sz w:val="24"/>
          <w:szCs w:val="24"/>
          <w:lang w:val="en-US" w:eastAsia="zh-CN"/>
        </w:rPr>
        <w:t>; </w:t>
      </w:r>
      <w:r w:rsidRPr="002A60A4">
        <w:rPr>
          <w:rFonts w:ascii="Book Antiqua" w:eastAsia="宋体" w:hAnsi="Book Antiqua" w:cs="宋体"/>
          <w:b/>
          <w:bCs/>
          <w:color w:val="000000"/>
          <w:sz w:val="24"/>
          <w:szCs w:val="24"/>
          <w:lang w:val="en-US" w:eastAsia="zh-CN"/>
        </w:rPr>
        <w:t>192</w:t>
      </w:r>
      <w:r w:rsidRPr="002A60A4">
        <w:rPr>
          <w:rFonts w:ascii="Book Antiqua" w:eastAsia="宋体" w:hAnsi="Book Antiqua" w:cs="宋体"/>
          <w:color w:val="000000"/>
          <w:sz w:val="24"/>
          <w:szCs w:val="24"/>
          <w:lang w:val="en-US" w:eastAsia="zh-CN"/>
        </w:rPr>
        <w:t>: 85-94 [PMID: 5052396]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156 </w:t>
      </w:r>
      <w:r w:rsidRPr="002A60A4">
        <w:rPr>
          <w:rFonts w:ascii="Book Antiqua" w:eastAsia="宋体" w:hAnsi="Book Antiqua" w:cs="宋体"/>
          <w:b/>
          <w:bCs/>
          <w:color w:val="000000"/>
          <w:sz w:val="24"/>
          <w:szCs w:val="24"/>
          <w:lang w:val="en-US" w:eastAsia="zh-CN"/>
        </w:rPr>
        <w:t>Farmer JA</w:t>
      </w:r>
      <w:r w:rsidRPr="002A60A4">
        <w:rPr>
          <w:rFonts w:ascii="Book Antiqua" w:eastAsia="宋体" w:hAnsi="Book Antiqua" w:cs="宋体"/>
          <w:color w:val="000000"/>
          <w:sz w:val="24"/>
          <w:szCs w:val="24"/>
          <w:lang w:val="en-US" w:eastAsia="zh-CN"/>
        </w:rPr>
        <w:t>. Nicotinic acid: a new look at an old drug. </w:t>
      </w:r>
      <w:r w:rsidRPr="002A60A4">
        <w:rPr>
          <w:rFonts w:ascii="Book Antiqua" w:eastAsia="宋体" w:hAnsi="Book Antiqua" w:cs="宋体"/>
          <w:i/>
          <w:iCs/>
          <w:color w:val="000000"/>
          <w:sz w:val="24"/>
          <w:szCs w:val="24"/>
          <w:lang w:val="en-US" w:eastAsia="zh-CN"/>
        </w:rPr>
        <w:t>Curr Atheroscler Rep</w:t>
      </w:r>
      <w:r w:rsidRPr="002A60A4">
        <w:rPr>
          <w:rFonts w:ascii="Book Antiqua" w:eastAsia="宋体" w:hAnsi="Book Antiqua" w:cs="宋体"/>
          <w:color w:val="000000"/>
          <w:sz w:val="24"/>
          <w:szCs w:val="24"/>
          <w:lang w:val="en-US" w:eastAsia="zh-CN"/>
        </w:rPr>
        <w:t> 2009; </w:t>
      </w:r>
      <w:r w:rsidRPr="002A60A4">
        <w:rPr>
          <w:rFonts w:ascii="Book Antiqua" w:eastAsia="宋体" w:hAnsi="Book Antiqua" w:cs="宋体"/>
          <w:b/>
          <w:bCs/>
          <w:color w:val="000000"/>
          <w:sz w:val="24"/>
          <w:szCs w:val="24"/>
          <w:lang w:val="en-US" w:eastAsia="zh-CN"/>
        </w:rPr>
        <w:t>11</w:t>
      </w:r>
      <w:r w:rsidRPr="002A60A4">
        <w:rPr>
          <w:rFonts w:ascii="Book Antiqua" w:eastAsia="宋体" w:hAnsi="Book Antiqua" w:cs="宋体"/>
          <w:color w:val="000000"/>
          <w:sz w:val="24"/>
          <w:szCs w:val="24"/>
          <w:lang w:val="en-US" w:eastAsia="zh-CN"/>
        </w:rPr>
        <w:t>: 87-92 [PMID: 19228480 DOI: 10.1007/s11883-009-0014-x]</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157 </w:t>
      </w:r>
      <w:r w:rsidRPr="002A60A4">
        <w:rPr>
          <w:rFonts w:ascii="Book Antiqua" w:eastAsia="宋体" w:hAnsi="Book Antiqua" w:cs="宋体"/>
          <w:b/>
          <w:bCs/>
          <w:color w:val="000000"/>
          <w:sz w:val="24"/>
          <w:szCs w:val="24"/>
          <w:lang w:val="en-US" w:eastAsia="zh-CN"/>
        </w:rPr>
        <w:t>Brown BG</w:t>
      </w:r>
      <w:r w:rsidRPr="002A60A4">
        <w:rPr>
          <w:rFonts w:ascii="Book Antiqua" w:eastAsia="宋体" w:hAnsi="Book Antiqua" w:cs="宋体"/>
          <w:color w:val="000000"/>
          <w:sz w:val="24"/>
          <w:szCs w:val="24"/>
          <w:lang w:val="en-US" w:eastAsia="zh-CN"/>
        </w:rPr>
        <w:t>, Zhao XQ, Chait A, Fisher LD, Cheung MC, Morse JS, Dowdy AA, Marino EK, Bolson EL, Alaupovic P, Frohlich J, Albers JJ. Simvastatin and niacin, antioxidant vitamins, or the combination for the prevention of coronary disease. </w:t>
      </w:r>
      <w:r w:rsidRPr="002A60A4">
        <w:rPr>
          <w:rFonts w:ascii="Book Antiqua" w:eastAsia="宋体" w:hAnsi="Book Antiqua" w:cs="宋体"/>
          <w:i/>
          <w:iCs/>
          <w:color w:val="000000"/>
          <w:sz w:val="24"/>
          <w:szCs w:val="24"/>
          <w:lang w:val="en-US" w:eastAsia="zh-CN"/>
        </w:rPr>
        <w:t>N Engl J Med</w:t>
      </w:r>
      <w:r w:rsidRPr="002A60A4">
        <w:rPr>
          <w:rFonts w:ascii="Book Antiqua" w:eastAsia="宋体" w:hAnsi="Book Antiqua" w:cs="宋体"/>
          <w:color w:val="000000"/>
          <w:sz w:val="24"/>
          <w:szCs w:val="24"/>
          <w:lang w:val="en-US" w:eastAsia="zh-CN"/>
        </w:rPr>
        <w:t> 2001; </w:t>
      </w:r>
      <w:r w:rsidRPr="002A60A4">
        <w:rPr>
          <w:rFonts w:ascii="Book Antiqua" w:eastAsia="宋体" w:hAnsi="Book Antiqua" w:cs="宋体"/>
          <w:b/>
          <w:bCs/>
          <w:color w:val="000000"/>
          <w:sz w:val="24"/>
          <w:szCs w:val="24"/>
          <w:lang w:val="en-US" w:eastAsia="zh-CN"/>
        </w:rPr>
        <w:t>345</w:t>
      </w:r>
      <w:r w:rsidRPr="002A60A4">
        <w:rPr>
          <w:rFonts w:ascii="Book Antiqua" w:eastAsia="宋体" w:hAnsi="Book Antiqua" w:cs="宋体"/>
          <w:color w:val="000000"/>
          <w:sz w:val="24"/>
          <w:szCs w:val="24"/>
          <w:lang w:val="en-US" w:eastAsia="zh-CN"/>
        </w:rPr>
        <w:t>: 1583-1592 [PMID: 11757504 DOI: 10.1056/NEJMoa011090]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158 </w:t>
      </w:r>
      <w:r w:rsidRPr="002A60A4">
        <w:rPr>
          <w:rFonts w:ascii="Book Antiqua" w:eastAsia="宋体" w:hAnsi="Book Antiqua" w:cs="宋体"/>
          <w:b/>
          <w:bCs/>
          <w:color w:val="000000"/>
          <w:sz w:val="24"/>
          <w:szCs w:val="24"/>
          <w:lang w:val="en-US" w:eastAsia="zh-CN"/>
        </w:rPr>
        <w:t>Meyers CD</w:t>
      </w:r>
      <w:r w:rsidRPr="002A60A4">
        <w:rPr>
          <w:rFonts w:ascii="Book Antiqua" w:eastAsia="宋体" w:hAnsi="Book Antiqua" w:cs="宋体"/>
          <w:color w:val="000000"/>
          <w:sz w:val="24"/>
          <w:szCs w:val="24"/>
          <w:lang w:val="en-US" w:eastAsia="zh-CN"/>
        </w:rPr>
        <w:t>, Carr MC, Park S, Brunzell JD. Varying cost and free nicotinic acid content in over-the-counter niacin preparations for dyslipidemia. </w:t>
      </w:r>
      <w:r w:rsidRPr="002A60A4">
        <w:rPr>
          <w:rFonts w:ascii="Book Antiqua" w:eastAsia="宋体" w:hAnsi="Book Antiqua" w:cs="宋体"/>
          <w:i/>
          <w:iCs/>
          <w:color w:val="000000"/>
          <w:sz w:val="24"/>
          <w:szCs w:val="24"/>
          <w:lang w:val="en-US" w:eastAsia="zh-CN"/>
        </w:rPr>
        <w:t>Ann Intern Med</w:t>
      </w:r>
      <w:r w:rsidRPr="002A60A4">
        <w:rPr>
          <w:rFonts w:ascii="Book Antiqua" w:eastAsia="宋体" w:hAnsi="Book Antiqua" w:cs="宋体"/>
          <w:color w:val="000000"/>
          <w:sz w:val="24"/>
          <w:szCs w:val="24"/>
          <w:lang w:val="en-US" w:eastAsia="zh-CN"/>
        </w:rPr>
        <w:t> 2003; </w:t>
      </w:r>
      <w:r w:rsidRPr="002A60A4">
        <w:rPr>
          <w:rFonts w:ascii="Book Antiqua" w:eastAsia="宋体" w:hAnsi="Book Antiqua" w:cs="宋体"/>
          <w:b/>
          <w:bCs/>
          <w:color w:val="000000"/>
          <w:sz w:val="24"/>
          <w:szCs w:val="24"/>
          <w:lang w:val="en-US" w:eastAsia="zh-CN"/>
        </w:rPr>
        <w:t>139</w:t>
      </w:r>
      <w:r w:rsidRPr="002A60A4">
        <w:rPr>
          <w:rFonts w:ascii="Book Antiqua" w:eastAsia="宋体" w:hAnsi="Book Antiqua" w:cs="宋体"/>
          <w:color w:val="000000"/>
          <w:sz w:val="24"/>
          <w:szCs w:val="24"/>
          <w:lang w:val="en-US" w:eastAsia="zh-CN"/>
        </w:rPr>
        <w:t>: 996-1002 [PMID: 14678919 DOI: 10.7326/0003-4819-139-12-200312160-00009]</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159 </w:t>
      </w:r>
      <w:r w:rsidRPr="002A60A4">
        <w:rPr>
          <w:rFonts w:ascii="Book Antiqua" w:eastAsia="宋体" w:hAnsi="Book Antiqua" w:cs="宋体"/>
          <w:b/>
          <w:bCs/>
          <w:color w:val="000000"/>
          <w:sz w:val="24"/>
          <w:szCs w:val="24"/>
          <w:lang w:val="en-US" w:eastAsia="zh-CN"/>
        </w:rPr>
        <w:t>Digby JE</w:t>
      </w:r>
      <w:r w:rsidRPr="002A60A4">
        <w:rPr>
          <w:rFonts w:ascii="Book Antiqua" w:eastAsia="宋体" w:hAnsi="Book Antiqua" w:cs="宋体"/>
          <w:color w:val="000000"/>
          <w:sz w:val="24"/>
          <w:szCs w:val="24"/>
          <w:lang w:val="en-US" w:eastAsia="zh-CN"/>
        </w:rPr>
        <w:t>, Lee JM, Choudhury RP. Nicotinic acid and the prevention of coronary artery disease. </w:t>
      </w:r>
      <w:r w:rsidRPr="002A60A4">
        <w:rPr>
          <w:rFonts w:ascii="Book Antiqua" w:eastAsia="宋体" w:hAnsi="Book Antiqua" w:cs="宋体"/>
          <w:i/>
          <w:iCs/>
          <w:color w:val="000000"/>
          <w:sz w:val="24"/>
          <w:szCs w:val="24"/>
          <w:lang w:val="en-US" w:eastAsia="zh-CN"/>
        </w:rPr>
        <w:t>Curr Opin Lipidol</w:t>
      </w:r>
      <w:r w:rsidRPr="002A60A4">
        <w:rPr>
          <w:rFonts w:ascii="Book Antiqua" w:eastAsia="宋体" w:hAnsi="Book Antiqua" w:cs="宋体"/>
          <w:color w:val="000000"/>
          <w:sz w:val="24"/>
          <w:szCs w:val="24"/>
          <w:lang w:val="en-US" w:eastAsia="zh-CN"/>
        </w:rPr>
        <w:t> 2009; </w:t>
      </w:r>
      <w:r w:rsidRPr="002A60A4">
        <w:rPr>
          <w:rFonts w:ascii="Book Antiqua" w:eastAsia="宋体" w:hAnsi="Book Antiqua" w:cs="宋体"/>
          <w:b/>
          <w:bCs/>
          <w:color w:val="000000"/>
          <w:sz w:val="24"/>
          <w:szCs w:val="24"/>
          <w:lang w:val="en-US" w:eastAsia="zh-CN"/>
        </w:rPr>
        <w:t>20</w:t>
      </w:r>
      <w:r w:rsidRPr="002A60A4">
        <w:rPr>
          <w:rFonts w:ascii="Book Antiqua" w:eastAsia="宋体" w:hAnsi="Book Antiqua" w:cs="宋体"/>
          <w:color w:val="000000"/>
          <w:sz w:val="24"/>
          <w:szCs w:val="24"/>
          <w:lang w:val="en-US" w:eastAsia="zh-CN"/>
        </w:rPr>
        <w:t>: 321-326 [PMID: 19494772 DOI: 10.1097/MOL.0b013e32832d3b9d]</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160 </w:t>
      </w:r>
      <w:r w:rsidRPr="002A60A4">
        <w:rPr>
          <w:rFonts w:ascii="Book Antiqua" w:eastAsia="宋体" w:hAnsi="Book Antiqua" w:cs="宋体"/>
          <w:b/>
          <w:bCs/>
          <w:color w:val="000000"/>
          <w:sz w:val="24"/>
          <w:szCs w:val="24"/>
          <w:lang w:val="en-US" w:eastAsia="zh-CN"/>
        </w:rPr>
        <w:t>Gerber MT</w:t>
      </w:r>
      <w:r w:rsidRPr="002A60A4">
        <w:rPr>
          <w:rFonts w:ascii="Book Antiqua" w:eastAsia="宋体" w:hAnsi="Book Antiqua" w:cs="宋体"/>
          <w:color w:val="000000"/>
          <w:sz w:val="24"/>
          <w:szCs w:val="24"/>
          <w:lang w:val="en-US" w:eastAsia="zh-CN"/>
        </w:rPr>
        <w:t>, Mondy KE, Yarasheski KE, Drechsler H, Claxton S, Stoneman J, DeMarco D, Powderly WG, Tebas P. Niacin in HIV-infected individuals with hyperlipidemia receiving potent antiretroviral therapy. </w:t>
      </w:r>
      <w:r w:rsidRPr="002A60A4">
        <w:rPr>
          <w:rFonts w:ascii="Book Antiqua" w:eastAsia="宋体" w:hAnsi="Book Antiqua" w:cs="宋体"/>
          <w:i/>
          <w:iCs/>
          <w:color w:val="000000"/>
          <w:sz w:val="24"/>
          <w:szCs w:val="24"/>
          <w:lang w:val="en-US" w:eastAsia="zh-CN"/>
        </w:rPr>
        <w:t>Clin Infect Dis</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39</w:t>
      </w:r>
      <w:r w:rsidRPr="002A60A4">
        <w:rPr>
          <w:rFonts w:ascii="Book Antiqua" w:eastAsia="宋体" w:hAnsi="Book Antiqua" w:cs="宋体"/>
          <w:color w:val="000000"/>
          <w:sz w:val="24"/>
          <w:szCs w:val="24"/>
          <w:lang w:val="en-US" w:eastAsia="zh-CN"/>
        </w:rPr>
        <w:t>: 419-425 [PMID: 15307011 DOI: 10.1086/422144]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161 </w:t>
      </w:r>
      <w:r w:rsidRPr="002A60A4">
        <w:rPr>
          <w:rFonts w:ascii="Book Antiqua" w:eastAsia="宋体" w:hAnsi="Book Antiqua" w:cs="宋体"/>
          <w:b/>
          <w:bCs/>
          <w:color w:val="000000"/>
          <w:sz w:val="24"/>
          <w:szCs w:val="24"/>
          <w:lang w:val="en-US" w:eastAsia="zh-CN"/>
        </w:rPr>
        <w:t>Rader DJ</w:t>
      </w:r>
      <w:r w:rsidRPr="002A60A4">
        <w:rPr>
          <w:rFonts w:ascii="Book Antiqua" w:eastAsia="宋体" w:hAnsi="Book Antiqua" w:cs="宋体"/>
          <w:color w:val="000000"/>
          <w:sz w:val="24"/>
          <w:szCs w:val="24"/>
          <w:lang w:val="en-US" w:eastAsia="zh-CN"/>
        </w:rPr>
        <w:t>. Effects of nonstatin lipid drug therapy on high-density lipoprotein metabolism. </w:t>
      </w:r>
      <w:r w:rsidRPr="002A60A4">
        <w:rPr>
          <w:rFonts w:ascii="Book Antiqua" w:eastAsia="宋体" w:hAnsi="Book Antiqua" w:cs="宋体"/>
          <w:i/>
          <w:iCs/>
          <w:color w:val="000000"/>
          <w:sz w:val="24"/>
          <w:szCs w:val="24"/>
          <w:lang w:val="en-US" w:eastAsia="zh-CN"/>
        </w:rPr>
        <w:t>Am J Cardiol</w:t>
      </w:r>
      <w:r w:rsidRPr="002A60A4">
        <w:rPr>
          <w:rFonts w:ascii="Book Antiqua" w:eastAsia="宋体" w:hAnsi="Book Antiqua" w:cs="宋体"/>
          <w:color w:val="000000"/>
          <w:sz w:val="24"/>
          <w:szCs w:val="24"/>
          <w:lang w:val="en-US" w:eastAsia="zh-CN"/>
        </w:rPr>
        <w:t> 2003; </w:t>
      </w:r>
      <w:r w:rsidRPr="002A60A4">
        <w:rPr>
          <w:rFonts w:ascii="Book Antiqua" w:eastAsia="宋体" w:hAnsi="Book Antiqua" w:cs="宋体"/>
          <w:b/>
          <w:bCs/>
          <w:color w:val="000000"/>
          <w:sz w:val="24"/>
          <w:szCs w:val="24"/>
          <w:lang w:val="en-US" w:eastAsia="zh-CN"/>
        </w:rPr>
        <w:t>91</w:t>
      </w:r>
      <w:r w:rsidRPr="002A60A4">
        <w:rPr>
          <w:rFonts w:ascii="Book Antiqua" w:eastAsia="宋体" w:hAnsi="Book Antiqua" w:cs="宋体"/>
          <w:color w:val="000000"/>
          <w:sz w:val="24"/>
          <w:szCs w:val="24"/>
          <w:lang w:val="en-US" w:eastAsia="zh-CN"/>
        </w:rPr>
        <w:t>: 18E-23E [PMID: 12679199 DOI: 10.1016/S0002-9149(02)03384-2]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162 </w:t>
      </w:r>
      <w:r w:rsidRPr="002A60A4">
        <w:rPr>
          <w:rFonts w:ascii="Book Antiqua" w:eastAsia="宋体" w:hAnsi="Book Antiqua" w:cs="宋体"/>
          <w:b/>
          <w:bCs/>
          <w:color w:val="000000"/>
          <w:sz w:val="24"/>
          <w:szCs w:val="24"/>
          <w:lang w:val="en-US" w:eastAsia="zh-CN"/>
        </w:rPr>
        <w:t>Lee JH</w:t>
      </w:r>
      <w:r w:rsidRPr="002A60A4">
        <w:rPr>
          <w:rFonts w:ascii="Book Antiqua" w:eastAsia="宋体" w:hAnsi="Book Antiqua" w:cs="宋体"/>
          <w:color w:val="000000"/>
          <w:sz w:val="24"/>
          <w:szCs w:val="24"/>
          <w:lang w:val="en-US" w:eastAsia="zh-CN"/>
        </w:rPr>
        <w:t>, Chan JL, Sourlas E, Raptopoulos V, Mantzoros CS. Recombinant methionyl human leptin therapy in replacement doses improves insulin resistance and metabolic profile in patients with lipoatrophy and metabolic syndrome induced by the highly active antiretroviral therapy. </w:t>
      </w:r>
      <w:r w:rsidRPr="002A60A4">
        <w:rPr>
          <w:rFonts w:ascii="Book Antiqua" w:eastAsia="宋体" w:hAnsi="Book Antiqua" w:cs="宋体"/>
          <w:i/>
          <w:iCs/>
          <w:color w:val="000000"/>
          <w:sz w:val="24"/>
          <w:szCs w:val="24"/>
          <w:lang w:val="en-US" w:eastAsia="zh-CN"/>
        </w:rPr>
        <w:t>J Clin Endocrinol Metab</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91</w:t>
      </w:r>
      <w:r w:rsidRPr="002A60A4">
        <w:rPr>
          <w:rFonts w:ascii="Book Antiqua" w:eastAsia="宋体" w:hAnsi="Book Antiqua" w:cs="宋体"/>
          <w:color w:val="000000"/>
          <w:sz w:val="24"/>
          <w:szCs w:val="24"/>
          <w:lang w:val="en-US" w:eastAsia="zh-CN"/>
        </w:rPr>
        <w:t>: 2605-2611 [PMID: 16636130 DOI: 10.1210/jc.2005-1545]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163 </w:t>
      </w:r>
      <w:r w:rsidRPr="002A60A4">
        <w:rPr>
          <w:rFonts w:ascii="Book Antiqua" w:eastAsia="宋体" w:hAnsi="Book Antiqua" w:cs="宋体"/>
          <w:b/>
          <w:bCs/>
          <w:color w:val="000000"/>
          <w:sz w:val="24"/>
          <w:szCs w:val="24"/>
          <w:lang w:val="en-US" w:eastAsia="zh-CN"/>
        </w:rPr>
        <w:t>Fredriksen J</w:t>
      </w:r>
      <w:r w:rsidRPr="002A60A4">
        <w:rPr>
          <w:rFonts w:ascii="Book Antiqua" w:eastAsia="宋体" w:hAnsi="Book Antiqua" w:cs="宋体"/>
          <w:color w:val="000000"/>
          <w:sz w:val="24"/>
          <w:szCs w:val="24"/>
          <w:lang w:val="en-US" w:eastAsia="zh-CN"/>
        </w:rPr>
        <w:t>, Ueland T, Dyrøy E, Halvorsen B, Melby K, Melbye L, Skalhegg BS, Bohov P, Skorve J, Berge RK, Aukrust P, Frøland SS. Lipid-lowering and anti-inflammatory effects of tetradecylthioacetic acid in HIV-infected patients on highly active antiretroviral therapy. </w:t>
      </w:r>
      <w:r w:rsidRPr="002A60A4">
        <w:rPr>
          <w:rFonts w:ascii="Book Antiqua" w:eastAsia="宋体" w:hAnsi="Book Antiqua" w:cs="宋体"/>
          <w:i/>
          <w:iCs/>
          <w:color w:val="000000"/>
          <w:sz w:val="24"/>
          <w:szCs w:val="24"/>
          <w:lang w:val="en-US" w:eastAsia="zh-CN"/>
        </w:rPr>
        <w:t>Eur J Clin Invest</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34</w:t>
      </w:r>
      <w:r w:rsidRPr="002A60A4">
        <w:rPr>
          <w:rFonts w:ascii="Book Antiqua" w:eastAsia="宋体" w:hAnsi="Book Antiqua" w:cs="宋体"/>
          <w:color w:val="000000"/>
          <w:sz w:val="24"/>
          <w:szCs w:val="24"/>
          <w:lang w:val="en-US" w:eastAsia="zh-CN"/>
        </w:rPr>
        <w:t>: 709-715 [PMID: 15473896 DOI: 10.1111/j.1365-2362.2004.01410.x]</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164 </w:t>
      </w:r>
      <w:r w:rsidRPr="002A60A4">
        <w:rPr>
          <w:rFonts w:ascii="Book Antiqua" w:eastAsia="宋体" w:hAnsi="Book Antiqua" w:cs="宋体"/>
          <w:b/>
          <w:bCs/>
          <w:color w:val="000000"/>
          <w:sz w:val="24"/>
          <w:szCs w:val="24"/>
          <w:lang w:val="en-US" w:eastAsia="zh-CN"/>
        </w:rPr>
        <w:t>Hadigan C</w:t>
      </w:r>
      <w:r w:rsidRPr="002A60A4">
        <w:rPr>
          <w:rFonts w:ascii="Book Antiqua" w:eastAsia="宋体" w:hAnsi="Book Antiqua" w:cs="宋体"/>
          <w:color w:val="000000"/>
          <w:sz w:val="24"/>
          <w:szCs w:val="24"/>
          <w:lang w:val="en-US" w:eastAsia="zh-CN"/>
        </w:rPr>
        <w:t>, Liebau J, Torriani M, Andersen R, Grinspoon S. Improved triglycerides and insulin sensitivity with 3 months of acipimox in human immunodeficiency virus-infected patients with hypertriglyceridemia. </w:t>
      </w:r>
      <w:r w:rsidRPr="002A60A4">
        <w:rPr>
          <w:rFonts w:ascii="Book Antiqua" w:eastAsia="宋体" w:hAnsi="Book Antiqua" w:cs="宋体"/>
          <w:i/>
          <w:iCs/>
          <w:color w:val="000000"/>
          <w:sz w:val="24"/>
          <w:szCs w:val="24"/>
          <w:lang w:val="en-US" w:eastAsia="zh-CN"/>
        </w:rPr>
        <w:t>J Clin Endocrinol Metab</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91</w:t>
      </w:r>
      <w:r w:rsidRPr="002A60A4">
        <w:rPr>
          <w:rFonts w:ascii="Book Antiqua" w:eastAsia="宋体" w:hAnsi="Book Antiqua" w:cs="宋体"/>
          <w:color w:val="000000"/>
          <w:sz w:val="24"/>
          <w:szCs w:val="24"/>
          <w:lang w:val="en-US" w:eastAsia="zh-CN"/>
        </w:rPr>
        <w:t>: 4438-4444 [PMID: 16940448 DOI: 10.1210/jc.2006-1174]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165 </w:t>
      </w:r>
      <w:r w:rsidRPr="002A60A4">
        <w:rPr>
          <w:rFonts w:ascii="Book Antiqua" w:eastAsia="宋体" w:hAnsi="Book Antiqua" w:cs="宋体"/>
          <w:b/>
          <w:bCs/>
          <w:color w:val="000000"/>
          <w:sz w:val="24"/>
          <w:szCs w:val="24"/>
          <w:lang w:val="en-US" w:eastAsia="zh-CN"/>
        </w:rPr>
        <w:t>Keithley JK</w:t>
      </w:r>
      <w:r w:rsidRPr="002A60A4">
        <w:rPr>
          <w:rFonts w:ascii="Book Antiqua" w:eastAsia="宋体" w:hAnsi="Book Antiqua" w:cs="宋体"/>
          <w:color w:val="000000"/>
          <w:sz w:val="24"/>
          <w:szCs w:val="24"/>
          <w:lang w:val="en-US" w:eastAsia="zh-CN"/>
        </w:rPr>
        <w:t>, Swanson B, Sha BE, Zeller JM, Kessler HA, Smith KY. A pilot study of the safety and efficacy of cholestin in treating HIV-related dyslipidemia. </w:t>
      </w:r>
      <w:r w:rsidRPr="002A60A4">
        <w:rPr>
          <w:rFonts w:ascii="Book Antiqua" w:eastAsia="宋体" w:hAnsi="Book Antiqua" w:cs="宋体"/>
          <w:i/>
          <w:iCs/>
          <w:color w:val="000000"/>
          <w:sz w:val="24"/>
          <w:szCs w:val="24"/>
          <w:lang w:val="en-US" w:eastAsia="zh-CN"/>
        </w:rPr>
        <w:t>Nutrition</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18</w:t>
      </w:r>
      <w:r w:rsidRPr="002A60A4">
        <w:rPr>
          <w:rFonts w:ascii="Book Antiqua" w:eastAsia="宋体" w:hAnsi="Book Antiqua" w:cs="宋体"/>
          <w:color w:val="000000"/>
          <w:sz w:val="24"/>
          <w:szCs w:val="24"/>
          <w:lang w:val="en-US" w:eastAsia="zh-CN"/>
        </w:rPr>
        <w:t>: 201-204 [PMID: 11844656 DOI: 10.1016/S0899-9007(01)00688-8]</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166 </w:t>
      </w:r>
      <w:r w:rsidRPr="002A60A4">
        <w:rPr>
          <w:rFonts w:ascii="Book Antiqua" w:eastAsia="宋体" w:hAnsi="Book Antiqua" w:cs="宋体"/>
          <w:b/>
          <w:bCs/>
          <w:color w:val="000000"/>
          <w:sz w:val="24"/>
          <w:szCs w:val="24"/>
          <w:lang w:val="en-US" w:eastAsia="zh-CN"/>
        </w:rPr>
        <w:t>Loignon M</w:t>
      </w:r>
      <w:r w:rsidRPr="002A60A4">
        <w:rPr>
          <w:rFonts w:ascii="Book Antiqua" w:eastAsia="宋体" w:hAnsi="Book Antiqua" w:cs="宋体"/>
          <w:color w:val="000000"/>
          <w:sz w:val="24"/>
          <w:szCs w:val="24"/>
          <w:lang w:val="en-US" w:eastAsia="zh-CN"/>
        </w:rPr>
        <w:t>, Toma E. L-Carnitine for the treatment of highly active antiretroviral therapy-related hypertriglyceridemia in HIV-infected adults.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2001; </w:t>
      </w:r>
      <w:r w:rsidRPr="002A60A4">
        <w:rPr>
          <w:rFonts w:ascii="Book Antiqua" w:eastAsia="宋体" w:hAnsi="Book Antiqua" w:cs="宋体"/>
          <w:b/>
          <w:bCs/>
          <w:color w:val="000000"/>
          <w:sz w:val="24"/>
          <w:szCs w:val="24"/>
          <w:lang w:val="en-US" w:eastAsia="zh-CN"/>
        </w:rPr>
        <w:t>15</w:t>
      </w:r>
      <w:r w:rsidRPr="002A60A4">
        <w:rPr>
          <w:rFonts w:ascii="Book Antiqua" w:eastAsia="宋体" w:hAnsi="Book Antiqua" w:cs="宋体"/>
          <w:color w:val="000000"/>
          <w:sz w:val="24"/>
          <w:szCs w:val="24"/>
          <w:lang w:val="en-US" w:eastAsia="zh-CN"/>
        </w:rPr>
        <w:t>: 1194-1195 [PMID: 11416731]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167 </w:t>
      </w:r>
      <w:r w:rsidRPr="002A60A4">
        <w:rPr>
          <w:rFonts w:ascii="Book Antiqua" w:eastAsia="宋体" w:hAnsi="Book Antiqua" w:cs="宋体"/>
          <w:b/>
          <w:bCs/>
          <w:color w:val="000000"/>
          <w:sz w:val="24"/>
          <w:szCs w:val="24"/>
          <w:lang w:val="en-US" w:eastAsia="zh-CN"/>
        </w:rPr>
        <w:t>Haraguchi K</w:t>
      </w:r>
      <w:r w:rsidRPr="002A60A4">
        <w:rPr>
          <w:rFonts w:ascii="Book Antiqua" w:eastAsia="宋体" w:hAnsi="Book Antiqua" w:cs="宋体"/>
          <w:color w:val="000000"/>
          <w:sz w:val="24"/>
          <w:szCs w:val="24"/>
          <w:lang w:val="en-US" w:eastAsia="zh-CN"/>
        </w:rPr>
        <w:t>, Takeda S, Kubota Y, Kumamoto H, Tanaka H, Hamasaki T, Baba M, Paintsil E, Cheng YC. From the chemistry of epoxy-sugar nucleosides to the discovery of anti-HIV agent 4'-ethynylstavudine-Festinavir. </w:t>
      </w:r>
      <w:r w:rsidRPr="002A60A4">
        <w:rPr>
          <w:rFonts w:ascii="Book Antiqua" w:eastAsia="宋体" w:hAnsi="Book Antiqua" w:cs="宋体"/>
          <w:i/>
          <w:iCs/>
          <w:color w:val="000000"/>
          <w:sz w:val="24"/>
          <w:szCs w:val="24"/>
          <w:lang w:val="en-US" w:eastAsia="zh-CN"/>
        </w:rPr>
        <w:t>Curr Pharm Des</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19</w:t>
      </w:r>
      <w:r w:rsidRPr="002A60A4">
        <w:rPr>
          <w:rFonts w:ascii="Book Antiqua" w:eastAsia="宋体" w:hAnsi="Book Antiqua" w:cs="宋体"/>
          <w:color w:val="000000"/>
          <w:sz w:val="24"/>
          <w:szCs w:val="24"/>
          <w:lang w:val="en-US" w:eastAsia="zh-CN"/>
        </w:rPr>
        <w:t>: 1880-1897 [PMID: 23092278 DOI: 10.2174/1381612811319100011]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168 </w:t>
      </w:r>
      <w:r w:rsidRPr="002A60A4">
        <w:rPr>
          <w:rFonts w:ascii="Book Antiqua" w:eastAsia="宋体" w:hAnsi="Book Antiqua" w:cs="宋体"/>
          <w:b/>
          <w:bCs/>
          <w:color w:val="000000"/>
          <w:sz w:val="24"/>
          <w:szCs w:val="24"/>
          <w:lang w:val="en-US" w:eastAsia="zh-CN"/>
        </w:rPr>
        <w:t>Flexner C</w:t>
      </w:r>
      <w:r w:rsidRPr="002A60A4">
        <w:rPr>
          <w:rFonts w:ascii="Book Antiqua" w:eastAsia="宋体" w:hAnsi="Book Antiqua" w:cs="宋体"/>
          <w:color w:val="000000"/>
          <w:sz w:val="24"/>
          <w:szCs w:val="24"/>
          <w:lang w:val="en-US" w:eastAsia="zh-CN"/>
        </w:rPr>
        <w:t>, Saag M. The antiretroviral drug pipeline: prospects and implications for future treatment research. </w:t>
      </w:r>
      <w:r w:rsidRPr="002A60A4">
        <w:rPr>
          <w:rFonts w:ascii="Book Antiqua" w:eastAsia="宋体" w:hAnsi="Book Antiqua" w:cs="宋体"/>
          <w:i/>
          <w:iCs/>
          <w:color w:val="000000"/>
          <w:sz w:val="24"/>
          <w:szCs w:val="24"/>
          <w:lang w:val="en-US" w:eastAsia="zh-CN"/>
        </w:rPr>
        <w:t>Curr Opin HIV AIDS</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8</w:t>
      </w:r>
      <w:r w:rsidRPr="002A60A4">
        <w:rPr>
          <w:rFonts w:ascii="Book Antiqua" w:eastAsia="宋体" w:hAnsi="Book Antiqua" w:cs="宋体"/>
          <w:color w:val="000000"/>
          <w:sz w:val="24"/>
          <w:szCs w:val="24"/>
          <w:lang w:val="en-US" w:eastAsia="zh-CN"/>
        </w:rPr>
        <w:t>: 572-578 [PMID: 24100879 DOI: 10.1097/COH.0000000000000011]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169 </w:t>
      </w:r>
      <w:r w:rsidRPr="002A60A4">
        <w:rPr>
          <w:rFonts w:ascii="Book Antiqua" w:eastAsia="宋体" w:hAnsi="Book Antiqua" w:cs="宋体"/>
          <w:b/>
          <w:bCs/>
          <w:color w:val="000000"/>
          <w:sz w:val="24"/>
          <w:szCs w:val="24"/>
          <w:lang w:val="en-US" w:eastAsia="zh-CN"/>
        </w:rPr>
        <w:t>Vere Hodge RA</w:t>
      </w:r>
      <w:r w:rsidRPr="002A60A4">
        <w:rPr>
          <w:rFonts w:ascii="Book Antiqua" w:eastAsia="宋体" w:hAnsi="Book Antiqua" w:cs="宋体"/>
          <w:color w:val="000000"/>
          <w:sz w:val="24"/>
          <w:szCs w:val="24"/>
          <w:lang w:val="en-US" w:eastAsia="zh-CN"/>
        </w:rPr>
        <w:t>. Meeting report: 26th International Conference on Antiviral Research. </w:t>
      </w:r>
      <w:r w:rsidRPr="002A60A4">
        <w:rPr>
          <w:rFonts w:ascii="Book Antiqua" w:eastAsia="宋体" w:hAnsi="Book Antiqua" w:cs="宋体"/>
          <w:i/>
          <w:iCs/>
          <w:color w:val="000000"/>
          <w:sz w:val="24"/>
          <w:szCs w:val="24"/>
          <w:lang w:val="en-US" w:eastAsia="zh-CN"/>
        </w:rPr>
        <w:t>Antiviral Res</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100</w:t>
      </w:r>
      <w:r w:rsidRPr="002A60A4">
        <w:rPr>
          <w:rFonts w:ascii="Book Antiqua" w:eastAsia="宋体" w:hAnsi="Book Antiqua" w:cs="宋体"/>
          <w:color w:val="000000"/>
          <w:sz w:val="24"/>
          <w:szCs w:val="24"/>
          <w:lang w:val="en-US" w:eastAsia="zh-CN"/>
        </w:rPr>
        <w:t>: 276-285 [PMID: 23973733 DOI: 10.1016/j.antiviral.2013.08.00]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170 </w:t>
      </w:r>
      <w:r w:rsidRPr="002A60A4">
        <w:rPr>
          <w:rFonts w:ascii="Book Antiqua" w:eastAsia="宋体" w:hAnsi="Book Antiqua" w:cs="宋体"/>
          <w:b/>
          <w:bCs/>
          <w:color w:val="000000"/>
          <w:sz w:val="24"/>
          <w:szCs w:val="24"/>
          <w:lang w:val="en-US" w:eastAsia="zh-CN"/>
        </w:rPr>
        <w:t>Cahn P</w:t>
      </w:r>
      <w:r w:rsidRPr="002A60A4">
        <w:rPr>
          <w:rFonts w:ascii="Book Antiqua" w:eastAsia="宋体" w:hAnsi="Book Antiqua" w:cs="宋体"/>
          <w:color w:val="000000"/>
          <w:sz w:val="24"/>
          <w:szCs w:val="24"/>
          <w:lang w:val="en-US" w:eastAsia="zh-CN"/>
        </w:rPr>
        <w:t>, Altclas J, Martins M, Losso M, Cassetti I, Cooper DA, Cox S. Antiviral activity of apricitabine in treatment-experienced HIV-1-infected patients with M184V who are failing combination therapy. </w:t>
      </w:r>
      <w:r w:rsidRPr="002A60A4">
        <w:rPr>
          <w:rFonts w:ascii="Book Antiqua" w:eastAsia="宋体" w:hAnsi="Book Antiqua" w:cs="宋体"/>
          <w:i/>
          <w:iCs/>
          <w:color w:val="000000"/>
          <w:sz w:val="24"/>
          <w:szCs w:val="24"/>
          <w:lang w:val="en-US" w:eastAsia="zh-CN"/>
        </w:rPr>
        <w:t>HIV Med</w:t>
      </w:r>
      <w:r w:rsidRPr="002A60A4">
        <w:rPr>
          <w:rFonts w:ascii="Book Antiqua" w:eastAsia="宋体" w:hAnsi="Book Antiqua" w:cs="宋体"/>
          <w:color w:val="000000"/>
          <w:sz w:val="24"/>
          <w:szCs w:val="24"/>
          <w:lang w:val="en-US" w:eastAsia="zh-CN"/>
        </w:rPr>
        <w:t> 2011; </w:t>
      </w:r>
      <w:r w:rsidRPr="002A60A4">
        <w:rPr>
          <w:rFonts w:ascii="Book Antiqua" w:eastAsia="宋体" w:hAnsi="Book Antiqua" w:cs="宋体"/>
          <w:b/>
          <w:bCs/>
          <w:color w:val="000000"/>
          <w:sz w:val="24"/>
          <w:szCs w:val="24"/>
          <w:lang w:val="en-US" w:eastAsia="zh-CN"/>
        </w:rPr>
        <w:t>12</w:t>
      </w:r>
      <w:r w:rsidRPr="002A60A4">
        <w:rPr>
          <w:rFonts w:ascii="Book Antiqua" w:eastAsia="宋体" w:hAnsi="Book Antiqua" w:cs="宋体"/>
          <w:color w:val="000000"/>
          <w:sz w:val="24"/>
          <w:szCs w:val="24"/>
          <w:lang w:val="en-US" w:eastAsia="zh-CN"/>
        </w:rPr>
        <w:t>: 334-342 [PMID: 21054750 DOI: 10.1111/j.1468-1293.2010.00887.x]</w:t>
      </w:r>
    </w:p>
    <w:p w:rsidR="003F0C57" w:rsidRDefault="002A60A4" w:rsidP="002A60A4">
      <w:pPr>
        <w:spacing w:after="0" w:line="360" w:lineRule="auto"/>
        <w:jc w:val="both"/>
        <w:rPr>
          <w:rStyle w:val="reference-accessdate"/>
          <w:rFonts w:ascii="Book Antiqua" w:hAnsi="Book Antiqua" w:cs="Arial"/>
          <w:sz w:val="24"/>
          <w:szCs w:val="24"/>
          <w:lang w:val="en-US" w:eastAsia="zh-CN"/>
        </w:rPr>
      </w:pPr>
      <w:r w:rsidRPr="002A60A4">
        <w:rPr>
          <w:rFonts w:ascii="Book Antiqua" w:eastAsia="宋体" w:hAnsi="Book Antiqua" w:cs="宋体"/>
          <w:color w:val="000000"/>
          <w:sz w:val="24"/>
          <w:szCs w:val="24"/>
          <w:lang w:val="en-US" w:eastAsia="zh-CN"/>
        </w:rPr>
        <w:t xml:space="preserve">171 </w:t>
      </w:r>
      <w:r w:rsidRPr="003F0C57">
        <w:rPr>
          <w:rFonts w:ascii="Book Antiqua" w:hAnsi="Book Antiqua" w:cs="Arial"/>
          <w:b/>
          <w:sz w:val="24"/>
          <w:szCs w:val="24"/>
          <w:lang w:val="en-US"/>
        </w:rPr>
        <w:t>Cox S,</w:t>
      </w:r>
      <w:r w:rsidRPr="002A60A4">
        <w:rPr>
          <w:rFonts w:ascii="Book Antiqua" w:hAnsi="Book Antiqua" w:cs="Arial"/>
          <w:sz w:val="24"/>
          <w:szCs w:val="24"/>
          <w:lang w:val="en-US"/>
        </w:rPr>
        <w:t xml:space="preserve"> Moore S, Southby J</w:t>
      </w:r>
      <w:hyperlink r:id="rId33" w:history="1">
        <w:r w:rsidRPr="002A60A4">
          <w:rPr>
            <w:rStyle w:val="Hyperlink"/>
            <w:rFonts w:ascii="Book Antiqua" w:hAnsi="Book Antiqua" w:cs="Arial"/>
            <w:color w:val="auto"/>
            <w:sz w:val="24"/>
            <w:szCs w:val="24"/>
            <w:u w:val="none"/>
            <w:lang w:val="en-US"/>
          </w:rPr>
          <w:t>. Safety profile of apricitabine, a novel NRTI, during 24-week dosing in experienced HIV-1 infected patients</w:t>
        </w:r>
      </w:hyperlink>
      <w:r w:rsidRPr="002A60A4">
        <w:rPr>
          <w:rFonts w:ascii="Book Antiqua" w:hAnsi="Book Antiqua" w:cs="Arial"/>
          <w:sz w:val="24"/>
          <w:szCs w:val="24"/>
          <w:lang w:val="en-US"/>
        </w:rPr>
        <w:t>.</w:t>
      </w:r>
      <w:r w:rsidRPr="002A60A4">
        <w:rPr>
          <w:rStyle w:val="apple-converted-space"/>
          <w:rFonts w:ascii="Book Antiqua" w:hAnsi="Book Antiqua" w:cs="Arial"/>
          <w:sz w:val="24"/>
          <w:szCs w:val="24"/>
          <w:lang w:val="en-US"/>
        </w:rPr>
        <w:t> </w:t>
      </w:r>
      <w:r w:rsidRPr="002A60A4">
        <w:rPr>
          <w:rFonts w:ascii="Book Antiqua" w:hAnsi="Book Antiqua" w:cs="Arial"/>
          <w:iCs/>
          <w:sz w:val="24"/>
          <w:szCs w:val="24"/>
          <w:lang w:val="en-US"/>
        </w:rPr>
        <w:t>XVII International AIDS Conference (AIDS 2008)</w:t>
      </w:r>
      <w:r w:rsidRPr="002A60A4">
        <w:rPr>
          <w:rFonts w:ascii="Book Antiqua" w:hAnsi="Book Antiqua" w:cs="Arial"/>
          <w:sz w:val="24"/>
          <w:szCs w:val="24"/>
          <w:lang w:val="en-US"/>
        </w:rPr>
        <w:t>. Mexico City</w:t>
      </w:r>
      <w:r w:rsidR="003F0C57">
        <w:rPr>
          <w:rFonts w:ascii="Book Antiqua" w:hAnsi="Book Antiqua" w:cs="Arial" w:hint="eastAsia"/>
          <w:sz w:val="24"/>
          <w:szCs w:val="24"/>
          <w:lang w:val="en-US" w:eastAsia="zh-CN"/>
        </w:rPr>
        <w:t>, 2008:</w:t>
      </w:r>
      <w:r w:rsidRPr="002A60A4">
        <w:rPr>
          <w:rFonts w:ascii="Book Antiqua" w:hAnsi="Book Antiqua" w:cs="Arial"/>
          <w:sz w:val="24"/>
          <w:szCs w:val="24"/>
          <w:lang w:val="en-US"/>
        </w:rPr>
        <w:t xml:space="preserve"> Abstract TUAB0106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172 </w:t>
      </w:r>
      <w:r w:rsidRPr="002A60A4">
        <w:rPr>
          <w:rFonts w:ascii="Book Antiqua" w:eastAsia="宋体" w:hAnsi="Book Antiqua" w:cs="宋体"/>
          <w:b/>
          <w:bCs/>
          <w:color w:val="000000"/>
          <w:sz w:val="24"/>
          <w:szCs w:val="24"/>
          <w:lang w:val="en-US" w:eastAsia="zh-CN"/>
        </w:rPr>
        <w:t>Cahn P</w:t>
      </w:r>
      <w:r w:rsidRPr="002A60A4">
        <w:rPr>
          <w:rFonts w:ascii="Book Antiqua" w:eastAsia="宋体" w:hAnsi="Book Antiqua" w:cs="宋体"/>
          <w:color w:val="000000"/>
          <w:sz w:val="24"/>
          <w:szCs w:val="24"/>
          <w:lang w:val="en-US" w:eastAsia="zh-CN"/>
        </w:rPr>
        <w:t>, Cassetti I, Wood R, Phanuphak P, Shiveley L, Bethell RC, Sawyer J. Efficacy and tolerability of 10-day monotherapy with apricitabine in antiretroviral-naive, HIV-infected patients.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20</w:t>
      </w:r>
      <w:r w:rsidRPr="002A60A4">
        <w:rPr>
          <w:rFonts w:ascii="Book Antiqua" w:eastAsia="宋体" w:hAnsi="Book Antiqua" w:cs="宋体"/>
          <w:color w:val="000000"/>
          <w:sz w:val="24"/>
          <w:szCs w:val="24"/>
          <w:lang w:val="en-US" w:eastAsia="zh-CN"/>
        </w:rPr>
        <w:t>: 1261-1268 [PMID: 16816554 DOI: 10.1097/01.aids.0000232233.41877.63]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173 </w:t>
      </w:r>
      <w:r w:rsidRPr="002A60A4">
        <w:rPr>
          <w:rFonts w:ascii="Book Antiqua" w:eastAsia="宋体" w:hAnsi="Book Antiqua" w:cs="宋体"/>
          <w:b/>
          <w:bCs/>
          <w:color w:val="000000"/>
          <w:sz w:val="24"/>
          <w:szCs w:val="24"/>
          <w:lang w:val="en-US" w:eastAsia="zh-CN"/>
        </w:rPr>
        <w:t>Markowitz M</w:t>
      </w:r>
      <w:r w:rsidRPr="002A60A4">
        <w:rPr>
          <w:rFonts w:ascii="Book Antiqua" w:eastAsia="宋体" w:hAnsi="Book Antiqua" w:cs="宋体"/>
          <w:color w:val="000000"/>
          <w:sz w:val="24"/>
          <w:szCs w:val="24"/>
          <w:lang w:val="en-US" w:eastAsia="zh-CN"/>
        </w:rPr>
        <w:t>, Zolopa A, Squires K, Ruane P, Coakley D, Kearney B, Zhong L, Wulfsohn M, Miller MD, Lee WA. Phase I/II study of the pharmacokinetics, safety and antiretroviral activity of tenofovir alafenamide, a new prodrug of the HIV reverse transcriptase inhibitor tenofovir, in HIV-infected adults. </w:t>
      </w:r>
      <w:r w:rsidRPr="002A60A4">
        <w:rPr>
          <w:rFonts w:ascii="Book Antiqua" w:eastAsia="宋体" w:hAnsi="Book Antiqua" w:cs="宋体"/>
          <w:i/>
          <w:iCs/>
          <w:color w:val="000000"/>
          <w:sz w:val="24"/>
          <w:szCs w:val="24"/>
          <w:lang w:val="en-US" w:eastAsia="zh-CN"/>
        </w:rPr>
        <w:t>J Antimicrob Chemother</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69</w:t>
      </w:r>
      <w:r w:rsidRPr="002A60A4">
        <w:rPr>
          <w:rFonts w:ascii="Book Antiqua" w:eastAsia="宋体" w:hAnsi="Book Antiqua" w:cs="宋体"/>
          <w:color w:val="000000"/>
          <w:sz w:val="24"/>
          <w:szCs w:val="24"/>
          <w:lang w:val="en-US" w:eastAsia="zh-CN"/>
        </w:rPr>
        <w:t>: 1362-1369 [PMID: 24508897 DOI: 10.1093/jac/dkt532]</w:t>
      </w:r>
    </w:p>
    <w:p w:rsidR="002A60A4" w:rsidRPr="002A60A4" w:rsidRDefault="003F0C57" w:rsidP="002A60A4">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174 </w:t>
      </w:r>
      <w:r w:rsidR="002A60A4" w:rsidRPr="003F0C57">
        <w:rPr>
          <w:rFonts w:ascii="Book Antiqua" w:eastAsia="宋体" w:hAnsi="Book Antiqua" w:cs="宋体"/>
          <w:b/>
          <w:color w:val="000000"/>
          <w:sz w:val="24"/>
          <w:szCs w:val="24"/>
          <w:lang w:val="en-US" w:eastAsia="zh-CN"/>
        </w:rPr>
        <w:t>Zolopa A</w:t>
      </w:r>
      <w:r w:rsidR="002A60A4" w:rsidRPr="002A60A4">
        <w:rPr>
          <w:rFonts w:ascii="Book Antiqua" w:eastAsia="宋体" w:hAnsi="Book Antiqua" w:cs="宋体"/>
          <w:color w:val="000000"/>
          <w:sz w:val="24"/>
          <w:szCs w:val="24"/>
          <w:lang w:val="en-US" w:eastAsia="zh-CN"/>
        </w:rPr>
        <w:t xml:space="preserve">, Ortiz R, Sax P. Comparative study of tenofovir alafenamide vs tenofovir disoproxil fumarate, each with elvitegravir, cobicistat, and emtricitabine, for HIV treatment. In: Abstracts of the Twentieth Conference on Retroviruses and Opportunistic Infections. </w:t>
      </w:r>
      <w:r w:rsidRPr="002A60A4">
        <w:rPr>
          <w:rFonts w:ascii="Book Antiqua" w:eastAsia="宋体" w:hAnsi="Book Antiqua" w:cs="宋体"/>
          <w:color w:val="000000"/>
          <w:sz w:val="24"/>
          <w:szCs w:val="24"/>
          <w:lang w:val="en-US" w:eastAsia="zh-CN"/>
        </w:rPr>
        <w:t>Foundation for Retrovirology and Human Health, Alexandria, VA, USA.</w:t>
      </w:r>
      <w:r>
        <w:rPr>
          <w:rFonts w:ascii="Book Antiqua" w:eastAsia="宋体" w:hAnsi="Book Antiqua" w:cs="宋体" w:hint="eastAsia"/>
          <w:color w:val="000000"/>
          <w:sz w:val="24"/>
          <w:szCs w:val="24"/>
          <w:lang w:val="en-US" w:eastAsia="zh-CN"/>
        </w:rPr>
        <w:t xml:space="preserve"> </w:t>
      </w:r>
      <w:r w:rsidR="002A60A4" w:rsidRPr="002A60A4">
        <w:rPr>
          <w:rFonts w:ascii="Book Antiqua" w:eastAsia="宋体" w:hAnsi="Book Antiqua" w:cs="宋体"/>
          <w:color w:val="000000"/>
          <w:sz w:val="24"/>
          <w:szCs w:val="24"/>
          <w:lang w:val="en-US" w:eastAsia="zh-CN"/>
        </w:rPr>
        <w:t>Atlanta, GA, 2013</w:t>
      </w:r>
      <w:r>
        <w:rPr>
          <w:rFonts w:ascii="Book Antiqua" w:eastAsia="宋体" w:hAnsi="Book Antiqua" w:cs="宋体" w:hint="eastAsia"/>
          <w:color w:val="000000"/>
          <w:sz w:val="24"/>
          <w:szCs w:val="24"/>
          <w:lang w:val="en-US" w:eastAsia="zh-CN"/>
        </w:rPr>
        <w:t xml:space="preserve">: </w:t>
      </w:r>
      <w:r>
        <w:rPr>
          <w:rFonts w:ascii="Book Antiqua" w:eastAsia="宋体" w:hAnsi="Book Antiqua" w:cs="宋体"/>
          <w:color w:val="000000"/>
          <w:sz w:val="24"/>
          <w:szCs w:val="24"/>
          <w:lang w:val="en-US" w:eastAsia="zh-CN"/>
        </w:rPr>
        <w:t>Abstract 99LB</w:t>
      </w:r>
      <w:r w:rsidR="002A60A4" w:rsidRPr="002A60A4">
        <w:rPr>
          <w:rFonts w:ascii="Book Antiqua" w:eastAsia="宋体" w:hAnsi="Book Antiqua" w:cs="宋体"/>
          <w:color w:val="000000"/>
          <w:sz w:val="24"/>
          <w:szCs w:val="24"/>
          <w:lang w:val="en-US" w:eastAsia="zh-CN"/>
        </w:rPr>
        <w:t xml:space="preserve"> </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175 </w:t>
      </w:r>
      <w:r w:rsidRPr="002A60A4">
        <w:rPr>
          <w:rFonts w:ascii="Book Antiqua" w:eastAsia="宋体" w:hAnsi="Book Antiqua" w:cs="宋体"/>
          <w:b/>
          <w:bCs/>
          <w:color w:val="000000"/>
          <w:sz w:val="24"/>
          <w:szCs w:val="24"/>
          <w:lang w:val="en-US" w:eastAsia="zh-CN"/>
        </w:rPr>
        <w:t>Ruane PJ</w:t>
      </w:r>
      <w:r w:rsidRPr="002A60A4">
        <w:rPr>
          <w:rFonts w:ascii="Book Antiqua" w:eastAsia="宋体" w:hAnsi="Book Antiqua" w:cs="宋体"/>
          <w:color w:val="000000"/>
          <w:sz w:val="24"/>
          <w:szCs w:val="24"/>
          <w:lang w:val="en-US" w:eastAsia="zh-CN"/>
        </w:rPr>
        <w:t>, DeJesus E, Berger D, Markowitz M, Bredeek UF, Callebaut C, Zhong L, Ramanathan S, Rhee MS, Fordyce MW, Yale K. Antiviral activity, safety, and pharmacokinetics/pharmacodynamics of tenofovir alafenamide as 10-day monotherapy in HIV-1-positive adults. </w:t>
      </w:r>
      <w:r w:rsidRPr="002A60A4">
        <w:rPr>
          <w:rFonts w:ascii="Book Antiqua" w:eastAsia="宋体" w:hAnsi="Book Antiqua" w:cs="宋体"/>
          <w:i/>
          <w:iCs/>
          <w:color w:val="000000"/>
          <w:sz w:val="24"/>
          <w:szCs w:val="24"/>
          <w:lang w:val="en-US" w:eastAsia="zh-CN"/>
        </w:rPr>
        <w:t>J Acquir Immune Defic Syndr</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63</w:t>
      </w:r>
      <w:r w:rsidRPr="002A60A4">
        <w:rPr>
          <w:rFonts w:ascii="Book Antiqua" w:eastAsia="宋体" w:hAnsi="Book Antiqua" w:cs="宋体"/>
          <w:color w:val="000000"/>
          <w:sz w:val="24"/>
          <w:szCs w:val="24"/>
          <w:lang w:val="en-US" w:eastAsia="zh-CN"/>
        </w:rPr>
        <w:t>: 449-455 [PMID: 23807155 DOI: 10.1097/QAI.0b013e3182965d45]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176 </w:t>
      </w:r>
      <w:r w:rsidRPr="002A60A4">
        <w:rPr>
          <w:rFonts w:ascii="Book Antiqua" w:eastAsia="宋体" w:hAnsi="Book Antiqua" w:cs="宋体"/>
          <w:b/>
          <w:bCs/>
          <w:color w:val="000000"/>
          <w:sz w:val="24"/>
          <w:szCs w:val="24"/>
          <w:lang w:val="en-US" w:eastAsia="zh-CN"/>
        </w:rPr>
        <w:t>Ghosh RK</w:t>
      </w:r>
      <w:r w:rsidRPr="002A60A4">
        <w:rPr>
          <w:rFonts w:ascii="Book Antiqua" w:eastAsia="宋体" w:hAnsi="Book Antiqua" w:cs="宋体"/>
          <w:color w:val="000000"/>
          <w:sz w:val="24"/>
          <w:szCs w:val="24"/>
          <w:lang w:val="en-US" w:eastAsia="zh-CN"/>
        </w:rPr>
        <w:t>, Ghosh SM, Chawla S. Recent advances in antiretroviral drugs. </w:t>
      </w:r>
      <w:r w:rsidRPr="002A60A4">
        <w:rPr>
          <w:rFonts w:ascii="Book Antiqua" w:eastAsia="宋体" w:hAnsi="Book Antiqua" w:cs="宋体"/>
          <w:i/>
          <w:iCs/>
          <w:color w:val="000000"/>
          <w:sz w:val="24"/>
          <w:szCs w:val="24"/>
          <w:lang w:val="en-US" w:eastAsia="zh-CN"/>
        </w:rPr>
        <w:t>Expert Opin Pharmacother</w:t>
      </w:r>
      <w:r w:rsidRPr="002A60A4">
        <w:rPr>
          <w:rFonts w:ascii="Book Antiqua" w:eastAsia="宋体" w:hAnsi="Book Antiqua" w:cs="宋体"/>
          <w:color w:val="000000"/>
          <w:sz w:val="24"/>
          <w:szCs w:val="24"/>
          <w:lang w:val="en-US" w:eastAsia="zh-CN"/>
        </w:rPr>
        <w:t> 2011; </w:t>
      </w:r>
      <w:r w:rsidRPr="002A60A4">
        <w:rPr>
          <w:rFonts w:ascii="Book Antiqua" w:eastAsia="宋体" w:hAnsi="Book Antiqua" w:cs="宋体"/>
          <w:b/>
          <w:bCs/>
          <w:color w:val="000000"/>
          <w:sz w:val="24"/>
          <w:szCs w:val="24"/>
          <w:lang w:val="en-US" w:eastAsia="zh-CN"/>
        </w:rPr>
        <w:t>12</w:t>
      </w:r>
      <w:r w:rsidRPr="002A60A4">
        <w:rPr>
          <w:rFonts w:ascii="Book Antiqua" w:eastAsia="宋体" w:hAnsi="Book Antiqua" w:cs="宋体"/>
          <w:color w:val="000000"/>
          <w:sz w:val="24"/>
          <w:szCs w:val="24"/>
          <w:lang w:val="en-US" w:eastAsia="zh-CN"/>
        </w:rPr>
        <w:t>: 31-46 [PMID: 20698725 DOI: 10.1517/14656566.2010.509345]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177 </w:t>
      </w:r>
      <w:r w:rsidRPr="002A60A4">
        <w:rPr>
          <w:rFonts w:ascii="Book Antiqua" w:eastAsia="宋体" w:hAnsi="Book Antiqua" w:cs="宋体"/>
          <w:b/>
          <w:bCs/>
          <w:color w:val="000000"/>
          <w:sz w:val="24"/>
          <w:szCs w:val="24"/>
          <w:lang w:val="en-US" w:eastAsia="zh-CN"/>
        </w:rPr>
        <w:t>Desai M</w:t>
      </w:r>
      <w:r w:rsidRPr="002A60A4">
        <w:rPr>
          <w:rFonts w:ascii="Book Antiqua" w:eastAsia="宋体" w:hAnsi="Book Antiqua" w:cs="宋体"/>
          <w:color w:val="000000"/>
          <w:sz w:val="24"/>
          <w:szCs w:val="24"/>
          <w:lang w:val="en-US" w:eastAsia="zh-CN"/>
        </w:rPr>
        <w:t>, Iyer G, Dikshit RK. Antiretroviral drugs: critical issues and recent advances. </w:t>
      </w:r>
      <w:r w:rsidRPr="002A60A4">
        <w:rPr>
          <w:rFonts w:ascii="Book Antiqua" w:eastAsia="宋体" w:hAnsi="Book Antiqua" w:cs="宋体"/>
          <w:i/>
          <w:iCs/>
          <w:color w:val="000000"/>
          <w:sz w:val="24"/>
          <w:szCs w:val="24"/>
          <w:lang w:val="en-US" w:eastAsia="zh-CN"/>
        </w:rPr>
        <w:t>Indian J Pharmacol</w:t>
      </w:r>
      <w:r w:rsidRPr="002A60A4">
        <w:rPr>
          <w:rFonts w:ascii="Book Antiqua" w:eastAsia="宋体" w:hAnsi="Book Antiqua" w:cs="宋体"/>
          <w:color w:val="000000"/>
          <w:sz w:val="24"/>
          <w:szCs w:val="24"/>
          <w:lang w:val="en-US" w:eastAsia="zh-CN"/>
        </w:rPr>
        <w:t> 2012; </w:t>
      </w:r>
      <w:r w:rsidRPr="002A60A4">
        <w:rPr>
          <w:rFonts w:ascii="Book Antiqua" w:eastAsia="宋体" w:hAnsi="Book Antiqua" w:cs="宋体"/>
          <w:b/>
          <w:bCs/>
          <w:color w:val="000000"/>
          <w:sz w:val="24"/>
          <w:szCs w:val="24"/>
          <w:lang w:val="en-US" w:eastAsia="zh-CN"/>
        </w:rPr>
        <w:t>44</w:t>
      </w:r>
      <w:r w:rsidRPr="002A60A4">
        <w:rPr>
          <w:rFonts w:ascii="Book Antiqua" w:eastAsia="宋体" w:hAnsi="Book Antiqua" w:cs="宋体"/>
          <w:color w:val="000000"/>
          <w:sz w:val="24"/>
          <w:szCs w:val="24"/>
          <w:lang w:val="en-US" w:eastAsia="zh-CN"/>
        </w:rPr>
        <w:t>: 288-298 [PMID: 22701234 DOI: 10.4103/0253-7613.96296]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178 </w:t>
      </w:r>
      <w:r w:rsidRPr="002A60A4">
        <w:rPr>
          <w:rFonts w:ascii="Book Antiqua" w:eastAsia="宋体" w:hAnsi="Book Antiqua" w:cs="宋体"/>
          <w:b/>
          <w:bCs/>
          <w:color w:val="000000"/>
          <w:sz w:val="24"/>
          <w:szCs w:val="24"/>
          <w:lang w:val="en-US" w:eastAsia="zh-CN"/>
        </w:rPr>
        <w:t>Colucci P</w:t>
      </w:r>
      <w:r w:rsidRPr="002A60A4">
        <w:rPr>
          <w:rFonts w:ascii="Book Antiqua" w:eastAsia="宋体" w:hAnsi="Book Antiqua" w:cs="宋体"/>
          <w:color w:val="000000"/>
          <w:sz w:val="24"/>
          <w:szCs w:val="24"/>
          <w:lang w:val="en-US" w:eastAsia="zh-CN"/>
        </w:rPr>
        <w:t>, Pottage JC, Robison H, Turgeon J, Ducharme MP. Effect of a single dose of ritonavir on the pharmacokinetic behavior of elvucitabine, a nucleoside reverse transcriptase inhibitor, administered in healthy volunteers. </w:t>
      </w:r>
      <w:r w:rsidRPr="002A60A4">
        <w:rPr>
          <w:rFonts w:ascii="Book Antiqua" w:eastAsia="宋体" w:hAnsi="Book Antiqua" w:cs="宋体"/>
          <w:i/>
          <w:iCs/>
          <w:color w:val="000000"/>
          <w:sz w:val="24"/>
          <w:szCs w:val="24"/>
          <w:lang w:val="en-US" w:eastAsia="zh-CN"/>
        </w:rPr>
        <w:t>Antimicrob Agents Chemother</w:t>
      </w:r>
      <w:r w:rsidRPr="002A60A4">
        <w:rPr>
          <w:rFonts w:ascii="Book Antiqua" w:eastAsia="宋体" w:hAnsi="Book Antiqua" w:cs="宋体"/>
          <w:color w:val="000000"/>
          <w:sz w:val="24"/>
          <w:szCs w:val="24"/>
          <w:lang w:val="en-US" w:eastAsia="zh-CN"/>
        </w:rPr>
        <w:t> 2009; </w:t>
      </w:r>
      <w:r w:rsidRPr="002A60A4">
        <w:rPr>
          <w:rFonts w:ascii="Book Antiqua" w:eastAsia="宋体" w:hAnsi="Book Antiqua" w:cs="宋体"/>
          <w:b/>
          <w:bCs/>
          <w:color w:val="000000"/>
          <w:sz w:val="24"/>
          <w:szCs w:val="24"/>
          <w:lang w:val="en-US" w:eastAsia="zh-CN"/>
        </w:rPr>
        <w:t>53</w:t>
      </w:r>
      <w:r w:rsidRPr="002A60A4">
        <w:rPr>
          <w:rFonts w:ascii="Book Antiqua" w:eastAsia="宋体" w:hAnsi="Book Antiqua" w:cs="宋体"/>
          <w:color w:val="000000"/>
          <w:sz w:val="24"/>
          <w:szCs w:val="24"/>
          <w:lang w:val="en-US" w:eastAsia="zh-CN"/>
        </w:rPr>
        <w:t>: 646-650 [PMID: 19015353 DOI: 10.1128/AAC.00905-08]</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179 </w:t>
      </w:r>
      <w:r w:rsidRPr="002A60A4">
        <w:rPr>
          <w:rFonts w:ascii="Book Antiqua" w:eastAsia="宋体" w:hAnsi="Book Antiqua" w:cs="宋体"/>
          <w:b/>
          <w:bCs/>
          <w:color w:val="000000"/>
          <w:sz w:val="24"/>
          <w:szCs w:val="24"/>
          <w:lang w:val="en-US" w:eastAsia="zh-CN"/>
        </w:rPr>
        <w:t>Vingerhoets J</w:t>
      </w:r>
      <w:r w:rsidRPr="002A60A4">
        <w:rPr>
          <w:rFonts w:ascii="Book Antiqua" w:eastAsia="宋体" w:hAnsi="Book Antiqua" w:cs="宋体"/>
          <w:color w:val="000000"/>
          <w:sz w:val="24"/>
          <w:szCs w:val="24"/>
          <w:lang w:val="en-US" w:eastAsia="zh-CN"/>
        </w:rPr>
        <w:t>, Azijn H, Fransen E, De Baere I, Smeulders L, Jochmans D, Andries K, Pauwels R, de Béthune MP. TMC125 displays a high genetic barrier to the development of resistance: evidence from in vitro selection experiments. </w:t>
      </w:r>
      <w:r w:rsidRPr="002A60A4">
        <w:rPr>
          <w:rFonts w:ascii="Book Antiqua" w:eastAsia="宋体" w:hAnsi="Book Antiqua" w:cs="宋体"/>
          <w:i/>
          <w:iCs/>
          <w:color w:val="000000"/>
          <w:sz w:val="24"/>
          <w:szCs w:val="24"/>
          <w:lang w:val="en-US" w:eastAsia="zh-CN"/>
        </w:rPr>
        <w:t>J Virol</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79</w:t>
      </w:r>
      <w:r w:rsidRPr="002A60A4">
        <w:rPr>
          <w:rFonts w:ascii="Book Antiqua" w:eastAsia="宋体" w:hAnsi="Book Antiqua" w:cs="宋体"/>
          <w:color w:val="000000"/>
          <w:sz w:val="24"/>
          <w:szCs w:val="24"/>
          <w:lang w:val="en-US" w:eastAsia="zh-CN"/>
        </w:rPr>
        <w:t>: 12773-12782 [PMID: 16188980 DOI: 10.1128/JVI.79.20.12773-12782.2005]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180 </w:t>
      </w:r>
      <w:r w:rsidRPr="002A60A4">
        <w:rPr>
          <w:rFonts w:ascii="Book Antiqua" w:eastAsia="宋体" w:hAnsi="Book Antiqua" w:cs="宋体"/>
          <w:b/>
          <w:bCs/>
          <w:color w:val="000000"/>
          <w:sz w:val="24"/>
          <w:szCs w:val="24"/>
          <w:lang w:val="en-US" w:eastAsia="zh-CN"/>
        </w:rPr>
        <w:t>Yanakakis LJ</w:t>
      </w:r>
      <w:r w:rsidRPr="002A60A4">
        <w:rPr>
          <w:rFonts w:ascii="Book Antiqua" w:eastAsia="宋体" w:hAnsi="Book Antiqua" w:cs="宋体"/>
          <w:color w:val="000000"/>
          <w:sz w:val="24"/>
          <w:szCs w:val="24"/>
          <w:lang w:val="en-US" w:eastAsia="zh-CN"/>
        </w:rPr>
        <w:t>, Bumpus NN. Biotransformation of the antiretroviral drug etravirine: metabolite identification, reaction phenotyping, and characterization of autoinduction of cytochrome P450-dependent metabolism. </w:t>
      </w:r>
      <w:r w:rsidRPr="002A60A4">
        <w:rPr>
          <w:rFonts w:ascii="Book Antiqua" w:eastAsia="宋体" w:hAnsi="Book Antiqua" w:cs="宋体"/>
          <w:i/>
          <w:iCs/>
          <w:color w:val="000000"/>
          <w:sz w:val="24"/>
          <w:szCs w:val="24"/>
          <w:lang w:val="en-US" w:eastAsia="zh-CN"/>
        </w:rPr>
        <w:t>Drug Metab Dispos</w:t>
      </w:r>
      <w:r w:rsidRPr="002A60A4">
        <w:rPr>
          <w:rFonts w:ascii="Book Antiqua" w:eastAsia="宋体" w:hAnsi="Book Antiqua" w:cs="宋体"/>
          <w:color w:val="000000"/>
          <w:sz w:val="24"/>
          <w:szCs w:val="24"/>
          <w:lang w:val="en-US" w:eastAsia="zh-CN"/>
        </w:rPr>
        <w:t> 2012; </w:t>
      </w:r>
      <w:r w:rsidRPr="002A60A4">
        <w:rPr>
          <w:rFonts w:ascii="Book Antiqua" w:eastAsia="宋体" w:hAnsi="Book Antiqua" w:cs="宋体"/>
          <w:b/>
          <w:bCs/>
          <w:color w:val="000000"/>
          <w:sz w:val="24"/>
          <w:szCs w:val="24"/>
          <w:lang w:val="en-US" w:eastAsia="zh-CN"/>
        </w:rPr>
        <w:t>40</w:t>
      </w:r>
      <w:r w:rsidRPr="002A60A4">
        <w:rPr>
          <w:rFonts w:ascii="Book Antiqua" w:eastAsia="宋体" w:hAnsi="Book Antiqua" w:cs="宋体"/>
          <w:color w:val="000000"/>
          <w:sz w:val="24"/>
          <w:szCs w:val="24"/>
          <w:lang w:val="en-US" w:eastAsia="zh-CN"/>
        </w:rPr>
        <w:t>: 803-814 [PMID: 22269145 DOI: 10.1124/dmd.111.044404]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181 </w:t>
      </w:r>
      <w:r w:rsidRPr="002A60A4">
        <w:rPr>
          <w:rFonts w:ascii="Book Antiqua" w:eastAsia="宋体" w:hAnsi="Book Antiqua" w:cs="宋体"/>
          <w:b/>
          <w:bCs/>
          <w:color w:val="000000"/>
          <w:sz w:val="24"/>
          <w:szCs w:val="24"/>
          <w:lang w:val="en-US" w:eastAsia="zh-CN"/>
        </w:rPr>
        <w:t>Casado JL</w:t>
      </w:r>
      <w:r w:rsidRPr="002A60A4">
        <w:rPr>
          <w:rFonts w:ascii="Book Antiqua" w:eastAsia="宋体" w:hAnsi="Book Antiqua" w:cs="宋体"/>
          <w:color w:val="000000"/>
          <w:sz w:val="24"/>
          <w:szCs w:val="24"/>
          <w:lang w:val="en-US" w:eastAsia="zh-CN"/>
        </w:rPr>
        <w:t>, de Los Santos I, Del Palacio M, García-Fraile L, Pérez-Elías MJ, Sanz J, Moreno S. Lipid-lowering effect and efficacy after switching to etravirine in HIV-infected patients with intolerance to suppressive HAART. </w:t>
      </w:r>
      <w:r w:rsidRPr="002A60A4">
        <w:rPr>
          <w:rFonts w:ascii="Book Antiqua" w:eastAsia="宋体" w:hAnsi="Book Antiqua" w:cs="宋体"/>
          <w:i/>
          <w:iCs/>
          <w:color w:val="000000"/>
          <w:sz w:val="24"/>
          <w:szCs w:val="24"/>
          <w:lang w:val="en-US" w:eastAsia="zh-CN"/>
        </w:rPr>
        <w:t>HIV Clin Trials</w:t>
      </w:r>
      <w:r w:rsidRPr="002A60A4">
        <w:rPr>
          <w:rFonts w:ascii="Book Antiqua" w:eastAsia="宋体" w:hAnsi="Book Antiqua" w:cs="宋体"/>
          <w:color w:val="000000"/>
          <w:sz w:val="24"/>
          <w:szCs w:val="24"/>
          <w:lang w:val="en-US" w:eastAsia="zh-CN"/>
        </w:rPr>
        <w:t> </w:t>
      </w:r>
      <w:r w:rsidR="003F0C57">
        <w:rPr>
          <w:rFonts w:ascii="Book Antiqua" w:eastAsia="宋体" w:hAnsi="Book Antiqua" w:cs="宋体" w:hint="eastAsia"/>
          <w:color w:val="000000"/>
          <w:sz w:val="24"/>
          <w:szCs w:val="24"/>
          <w:lang w:val="en-US" w:eastAsia="zh-CN"/>
        </w:rPr>
        <w:t>2013</w:t>
      </w:r>
      <w:r w:rsidRPr="002A60A4">
        <w:rPr>
          <w:rFonts w:ascii="Book Antiqua" w:eastAsia="宋体" w:hAnsi="Book Antiqua" w:cs="宋体"/>
          <w:color w:val="000000"/>
          <w:sz w:val="24"/>
          <w:szCs w:val="24"/>
          <w:lang w:val="en-US" w:eastAsia="zh-CN"/>
        </w:rPr>
        <w:t>; </w:t>
      </w:r>
      <w:r w:rsidRPr="002A60A4">
        <w:rPr>
          <w:rFonts w:ascii="Book Antiqua" w:eastAsia="宋体" w:hAnsi="Book Antiqua" w:cs="宋体"/>
          <w:b/>
          <w:bCs/>
          <w:color w:val="000000"/>
          <w:sz w:val="24"/>
          <w:szCs w:val="24"/>
          <w:lang w:val="en-US" w:eastAsia="zh-CN"/>
        </w:rPr>
        <w:t>14</w:t>
      </w:r>
      <w:r w:rsidRPr="002A60A4">
        <w:rPr>
          <w:rFonts w:ascii="Book Antiqua" w:eastAsia="宋体" w:hAnsi="Book Antiqua" w:cs="宋体"/>
          <w:color w:val="000000"/>
          <w:sz w:val="24"/>
          <w:szCs w:val="24"/>
          <w:lang w:val="en-US" w:eastAsia="zh-CN"/>
        </w:rPr>
        <w:t>: 1-9 [PMID: 23372109 DOI: 10.1310/hct1401-1]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182 </w:t>
      </w:r>
      <w:r w:rsidRPr="002A60A4">
        <w:rPr>
          <w:rFonts w:ascii="Book Antiqua" w:eastAsia="宋体" w:hAnsi="Book Antiqua" w:cs="宋体"/>
          <w:b/>
          <w:bCs/>
          <w:color w:val="000000"/>
          <w:sz w:val="24"/>
          <w:szCs w:val="24"/>
          <w:lang w:val="en-US" w:eastAsia="zh-CN"/>
        </w:rPr>
        <w:t>Poveda E</w:t>
      </w:r>
      <w:r w:rsidRPr="002A60A4">
        <w:rPr>
          <w:rFonts w:ascii="Book Antiqua" w:eastAsia="宋体" w:hAnsi="Book Antiqua" w:cs="宋体"/>
          <w:color w:val="000000"/>
          <w:sz w:val="24"/>
          <w:szCs w:val="24"/>
          <w:lang w:val="en-US" w:eastAsia="zh-CN"/>
        </w:rPr>
        <w:t>, Garrido C, de Mendoza C, Corral A, Cobo J, González-Lahoz J, Soriano V. Prevalence of etravirine (TMC-125) resistance mutations in HIV-infected patients with prior experience of non-nucleoside reverse transcriptase inhibitors. </w:t>
      </w:r>
      <w:r w:rsidRPr="002A60A4">
        <w:rPr>
          <w:rFonts w:ascii="Book Antiqua" w:eastAsia="宋体" w:hAnsi="Book Antiqua" w:cs="宋体"/>
          <w:i/>
          <w:iCs/>
          <w:color w:val="000000"/>
          <w:sz w:val="24"/>
          <w:szCs w:val="24"/>
          <w:lang w:val="en-US" w:eastAsia="zh-CN"/>
        </w:rPr>
        <w:t>J Antimicrob Chemother</w:t>
      </w:r>
      <w:r w:rsidRPr="002A60A4">
        <w:rPr>
          <w:rFonts w:ascii="Book Antiqua" w:eastAsia="宋体" w:hAnsi="Book Antiqua" w:cs="宋体"/>
          <w:color w:val="000000"/>
          <w:sz w:val="24"/>
          <w:szCs w:val="24"/>
          <w:lang w:val="en-US" w:eastAsia="zh-CN"/>
        </w:rPr>
        <w:t> 2007; </w:t>
      </w:r>
      <w:r w:rsidRPr="002A60A4">
        <w:rPr>
          <w:rFonts w:ascii="Book Antiqua" w:eastAsia="宋体" w:hAnsi="Book Antiqua" w:cs="宋体"/>
          <w:b/>
          <w:bCs/>
          <w:color w:val="000000"/>
          <w:sz w:val="24"/>
          <w:szCs w:val="24"/>
          <w:lang w:val="en-US" w:eastAsia="zh-CN"/>
        </w:rPr>
        <w:t>60</w:t>
      </w:r>
      <w:r w:rsidRPr="002A60A4">
        <w:rPr>
          <w:rFonts w:ascii="Book Antiqua" w:eastAsia="宋体" w:hAnsi="Book Antiqua" w:cs="宋体"/>
          <w:color w:val="000000"/>
          <w:sz w:val="24"/>
          <w:szCs w:val="24"/>
          <w:lang w:val="en-US" w:eastAsia="zh-CN"/>
        </w:rPr>
        <w:t>: 1409-1410 [PMID: 17913723 DOI: 10.1093/jac/dkm372]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183 </w:t>
      </w:r>
      <w:r w:rsidRPr="002A60A4">
        <w:rPr>
          <w:rFonts w:ascii="Book Antiqua" w:eastAsia="宋体" w:hAnsi="Book Antiqua" w:cs="宋体"/>
          <w:b/>
          <w:bCs/>
          <w:color w:val="000000"/>
          <w:sz w:val="24"/>
          <w:szCs w:val="24"/>
          <w:lang w:val="en-US" w:eastAsia="zh-CN"/>
        </w:rPr>
        <w:t>Goebel F</w:t>
      </w:r>
      <w:r w:rsidRPr="002A60A4">
        <w:rPr>
          <w:rFonts w:ascii="Book Antiqua" w:eastAsia="宋体" w:hAnsi="Book Antiqua" w:cs="宋体"/>
          <w:color w:val="000000"/>
          <w:sz w:val="24"/>
          <w:szCs w:val="24"/>
          <w:lang w:val="en-US" w:eastAsia="zh-CN"/>
        </w:rPr>
        <w:t>, Yakovlev A, Pozniak AL, Vinogradova E, Boogaerts G, Hoetelmans R, de Béthune MP, Peeters M, Woodfall B. Short-term antiviral activity of TMC278--a novel NNRTI--in treatment-naive HIV-1-infected subjects. </w:t>
      </w:r>
      <w:r w:rsidRPr="002A60A4">
        <w:rPr>
          <w:rFonts w:ascii="Book Antiqua" w:eastAsia="宋体" w:hAnsi="Book Antiqua" w:cs="宋体"/>
          <w:i/>
          <w:iCs/>
          <w:color w:val="000000"/>
          <w:sz w:val="24"/>
          <w:szCs w:val="24"/>
          <w:lang w:val="en-US" w:eastAsia="zh-CN"/>
        </w:rPr>
        <w:t>AIDS</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20</w:t>
      </w:r>
      <w:r w:rsidRPr="002A60A4">
        <w:rPr>
          <w:rFonts w:ascii="Book Antiqua" w:eastAsia="宋体" w:hAnsi="Book Antiqua" w:cs="宋体"/>
          <w:color w:val="000000"/>
          <w:sz w:val="24"/>
          <w:szCs w:val="24"/>
          <w:lang w:val="en-US" w:eastAsia="zh-CN"/>
        </w:rPr>
        <w:t>: 1721-1726 [PMID: 16931936 DOI: 10.1097/01.aids.0000242818.65215.bd]</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184 </w:t>
      </w:r>
      <w:r w:rsidRPr="002A60A4">
        <w:rPr>
          <w:rFonts w:ascii="Book Antiqua" w:eastAsia="宋体" w:hAnsi="Book Antiqua" w:cs="宋体"/>
          <w:b/>
          <w:bCs/>
          <w:color w:val="000000"/>
          <w:sz w:val="24"/>
          <w:szCs w:val="24"/>
          <w:lang w:val="en-US" w:eastAsia="zh-CN"/>
        </w:rPr>
        <w:t>Tebas P</w:t>
      </w:r>
      <w:r w:rsidRPr="002A60A4">
        <w:rPr>
          <w:rFonts w:ascii="Book Antiqua" w:eastAsia="宋体" w:hAnsi="Book Antiqua" w:cs="宋体"/>
          <w:color w:val="000000"/>
          <w:sz w:val="24"/>
          <w:szCs w:val="24"/>
          <w:lang w:val="en-US" w:eastAsia="zh-CN"/>
        </w:rPr>
        <w:t>, Sension M, Arribas J, Duiculescu D, Florence E, Hung CC, Wilkin T, Vanveggel S, Stevens M, Deckx H. Lipid levels and changes in body fat distribution in treatment-naive, HIV-1-Infected adults treated with rilpivirine or Efavirenz for 96 weeks in the ECHO and THRIVE trials. </w:t>
      </w:r>
      <w:r w:rsidRPr="002A60A4">
        <w:rPr>
          <w:rFonts w:ascii="Book Antiqua" w:eastAsia="宋体" w:hAnsi="Book Antiqua" w:cs="宋体"/>
          <w:i/>
          <w:iCs/>
          <w:color w:val="000000"/>
          <w:sz w:val="24"/>
          <w:szCs w:val="24"/>
          <w:lang w:val="en-US" w:eastAsia="zh-CN"/>
        </w:rPr>
        <w:t>Clin Infect Dis</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59</w:t>
      </w:r>
      <w:r w:rsidRPr="002A60A4">
        <w:rPr>
          <w:rFonts w:ascii="Book Antiqua" w:eastAsia="宋体" w:hAnsi="Book Antiqua" w:cs="宋体"/>
          <w:color w:val="000000"/>
          <w:sz w:val="24"/>
          <w:szCs w:val="24"/>
          <w:lang w:val="en-US" w:eastAsia="zh-CN"/>
        </w:rPr>
        <w:t>: 425-434 [PMID: 24729492 DOI: 10.1093/cid/ciu234]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185 </w:t>
      </w:r>
      <w:r w:rsidRPr="002A60A4">
        <w:rPr>
          <w:rFonts w:ascii="Book Antiqua" w:eastAsia="宋体" w:hAnsi="Book Antiqua" w:cs="宋体"/>
          <w:b/>
          <w:bCs/>
          <w:color w:val="000000"/>
          <w:sz w:val="24"/>
          <w:szCs w:val="24"/>
          <w:lang w:val="en-US" w:eastAsia="zh-CN"/>
        </w:rPr>
        <w:t>Côté B</w:t>
      </w:r>
      <w:r w:rsidRPr="002A60A4">
        <w:rPr>
          <w:rFonts w:ascii="Book Antiqua" w:eastAsia="宋体" w:hAnsi="Book Antiqua" w:cs="宋体"/>
          <w:color w:val="000000"/>
          <w:sz w:val="24"/>
          <w:szCs w:val="24"/>
          <w:lang w:val="en-US" w:eastAsia="zh-CN"/>
        </w:rPr>
        <w:t>, Burch JD, Asante-Appiah E, Bayly C, Bédard L, Blouin M, Campeau LC, Cauchon E, Chan M, Chefson A, Coulombe N, Cromlish W, Debnath S, Deschênes D, Dupont-Gaudet K, Falgueyret JP, Forget R, Gagné S, Gauvreau D, Girardin M, Guiral S, Langlois E, Li CS, Nguyen N, Papp R, Plamondon S, Roy A, Roy S, Seliniotakis R, St-Onge M, Ouellet S, Tawa P, Truchon JF, Vacca J, Wrona M, Yan Y, Ducharme Y. Discovery of MK-1439, an orally bioavailable non-nucleoside reverse transcriptase inhibitor potent against a wide range of resistant mutant HIV viruses. </w:t>
      </w:r>
      <w:r w:rsidRPr="002A60A4">
        <w:rPr>
          <w:rFonts w:ascii="Book Antiqua" w:eastAsia="宋体" w:hAnsi="Book Antiqua" w:cs="宋体"/>
          <w:i/>
          <w:iCs/>
          <w:color w:val="000000"/>
          <w:sz w:val="24"/>
          <w:szCs w:val="24"/>
          <w:lang w:val="en-US" w:eastAsia="zh-CN"/>
        </w:rPr>
        <w:t>Bioorg Med Chem Lett</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24</w:t>
      </w:r>
      <w:r w:rsidRPr="002A60A4">
        <w:rPr>
          <w:rFonts w:ascii="Book Antiqua" w:eastAsia="宋体" w:hAnsi="Book Antiqua" w:cs="宋体"/>
          <w:color w:val="000000"/>
          <w:sz w:val="24"/>
          <w:szCs w:val="24"/>
          <w:lang w:val="en-US" w:eastAsia="zh-CN"/>
        </w:rPr>
        <w:t>: 917-922 [PMID: 24412110 DOI: 10.1016/j.bmcl.2013.12.070]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186 </w:t>
      </w:r>
      <w:r w:rsidRPr="002A60A4">
        <w:rPr>
          <w:rFonts w:ascii="Book Antiqua" w:eastAsia="宋体" w:hAnsi="Book Antiqua" w:cs="宋体"/>
          <w:b/>
          <w:bCs/>
          <w:color w:val="000000"/>
          <w:sz w:val="24"/>
          <w:szCs w:val="24"/>
          <w:lang w:val="en-US" w:eastAsia="zh-CN"/>
        </w:rPr>
        <w:t>Saag MS</w:t>
      </w:r>
      <w:r w:rsidRPr="002A60A4">
        <w:rPr>
          <w:rFonts w:ascii="Book Antiqua" w:eastAsia="宋体" w:hAnsi="Book Antiqua" w:cs="宋体"/>
          <w:color w:val="000000"/>
          <w:sz w:val="24"/>
          <w:szCs w:val="24"/>
          <w:lang w:val="en-US" w:eastAsia="zh-CN"/>
        </w:rPr>
        <w:t>. New and investigational antiretroviral drugs for HIV infection: mechanisms of action and early research findings. </w:t>
      </w:r>
      <w:r w:rsidRPr="002A60A4">
        <w:rPr>
          <w:rFonts w:ascii="Book Antiqua" w:eastAsia="宋体" w:hAnsi="Book Antiqua" w:cs="宋体"/>
          <w:i/>
          <w:iCs/>
          <w:color w:val="000000"/>
          <w:sz w:val="24"/>
          <w:szCs w:val="24"/>
          <w:lang w:val="en-US" w:eastAsia="zh-CN"/>
        </w:rPr>
        <w:t>Top Antivir Med</w:t>
      </w:r>
      <w:r w:rsidRPr="002A60A4">
        <w:rPr>
          <w:rFonts w:ascii="Book Antiqua" w:eastAsia="宋体" w:hAnsi="Book Antiqua" w:cs="宋体"/>
          <w:color w:val="000000"/>
          <w:sz w:val="24"/>
          <w:szCs w:val="24"/>
          <w:lang w:val="en-US" w:eastAsia="zh-CN"/>
        </w:rPr>
        <w:t> 2012; </w:t>
      </w:r>
      <w:r w:rsidRPr="002A60A4">
        <w:rPr>
          <w:rFonts w:ascii="Book Antiqua" w:eastAsia="宋体" w:hAnsi="Book Antiqua" w:cs="宋体"/>
          <w:b/>
          <w:bCs/>
          <w:color w:val="000000"/>
          <w:sz w:val="24"/>
          <w:szCs w:val="24"/>
          <w:lang w:val="en-US" w:eastAsia="zh-CN"/>
        </w:rPr>
        <w:t>20</w:t>
      </w:r>
      <w:r w:rsidRPr="002A60A4">
        <w:rPr>
          <w:rFonts w:ascii="Book Antiqua" w:eastAsia="宋体" w:hAnsi="Book Antiqua" w:cs="宋体"/>
          <w:color w:val="000000"/>
          <w:sz w:val="24"/>
          <w:szCs w:val="24"/>
          <w:lang w:val="en-US" w:eastAsia="zh-CN"/>
        </w:rPr>
        <w:t>: 162-167 [PMID: 23363694]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187 </w:t>
      </w:r>
      <w:r w:rsidRPr="002A60A4">
        <w:rPr>
          <w:rFonts w:ascii="Book Antiqua" w:eastAsia="宋体" w:hAnsi="Book Antiqua" w:cs="宋体"/>
          <w:b/>
          <w:bCs/>
          <w:color w:val="000000"/>
          <w:sz w:val="24"/>
          <w:szCs w:val="24"/>
          <w:lang w:val="en-US" w:eastAsia="zh-CN"/>
        </w:rPr>
        <w:t>Lai MT</w:t>
      </w:r>
      <w:r w:rsidRPr="002A60A4">
        <w:rPr>
          <w:rFonts w:ascii="Book Antiqua" w:eastAsia="宋体" w:hAnsi="Book Antiqua" w:cs="宋体"/>
          <w:color w:val="000000"/>
          <w:sz w:val="24"/>
          <w:szCs w:val="24"/>
          <w:lang w:val="en-US" w:eastAsia="zh-CN"/>
        </w:rPr>
        <w:t>, Feng M, Falgueyret JP, Tawa P, Witmer M, DiStefano D, Li Y, Burch J, Sachs N, Lu M, Cauchon E, Campeau LC, Grobler J, Yan Y, Ducharme Y, Côté B, Asante-Appiah E, Hazuda DJ, Miller MD. In vitro characterization of MK-1439, a novel HIV-1 nonnucleoside reverse transcriptase inhibitor. </w:t>
      </w:r>
      <w:r w:rsidRPr="002A60A4">
        <w:rPr>
          <w:rFonts w:ascii="Book Antiqua" w:eastAsia="宋体" w:hAnsi="Book Antiqua" w:cs="宋体"/>
          <w:i/>
          <w:iCs/>
          <w:color w:val="000000"/>
          <w:sz w:val="24"/>
          <w:szCs w:val="24"/>
          <w:lang w:val="en-US" w:eastAsia="zh-CN"/>
        </w:rPr>
        <w:t>Antimicrob Agents Chemother</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58</w:t>
      </w:r>
      <w:r w:rsidRPr="002A60A4">
        <w:rPr>
          <w:rFonts w:ascii="Book Antiqua" w:eastAsia="宋体" w:hAnsi="Book Antiqua" w:cs="宋体"/>
          <w:color w:val="000000"/>
          <w:sz w:val="24"/>
          <w:szCs w:val="24"/>
          <w:lang w:val="en-US" w:eastAsia="zh-CN"/>
        </w:rPr>
        <w:t>: 1652-1663 [PMID: 24379202 DOI: 10.1128/AAC.02403-13]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188 </w:t>
      </w:r>
      <w:r w:rsidRPr="002A60A4">
        <w:rPr>
          <w:rFonts w:ascii="Book Antiqua" w:eastAsia="宋体" w:hAnsi="Book Antiqua" w:cs="宋体"/>
          <w:b/>
          <w:bCs/>
          <w:color w:val="000000"/>
          <w:sz w:val="24"/>
          <w:szCs w:val="24"/>
          <w:lang w:val="en-US" w:eastAsia="zh-CN"/>
        </w:rPr>
        <w:t>Chong H</w:t>
      </w:r>
      <w:r w:rsidRPr="002A60A4">
        <w:rPr>
          <w:rFonts w:ascii="Book Antiqua" w:eastAsia="宋体" w:hAnsi="Book Antiqua" w:cs="宋体"/>
          <w:color w:val="000000"/>
          <w:sz w:val="24"/>
          <w:szCs w:val="24"/>
          <w:lang w:val="en-US" w:eastAsia="zh-CN"/>
        </w:rPr>
        <w:t>, Yao X, Zhang C, Cai L, Cui S, Wang Y, He Y. Biophysical property and broad anti-HIV activity of albuvirtide, a 3-maleimimidopropionic acid-modified peptide fusion inhibitor. </w:t>
      </w:r>
      <w:r w:rsidRPr="002A60A4">
        <w:rPr>
          <w:rFonts w:ascii="Book Antiqua" w:eastAsia="宋体" w:hAnsi="Book Antiqua" w:cs="宋体"/>
          <w:i/>
          <w:iCs/>
          <w:color w:val="000000"/>
          <w:sz w:val="24"/>
          <w:szCs w:val="24"/>
          <w:lang w:val="en-US" w:eastAsia="zh-CN"/>
        </w:rPr>
        <w:t>PLoS One</w:t>
      </w:r>
      <w:r w:rsidRPr="002A60A4">
        <w:rPr>
          <w:rFonts w:ascii="Book Antiqua" w:eastAsia="宋体" w:hAnsi="Book Antiqua" w:cs="宋体"/>
          <w:color w:val="000000"/>
          <w:sz w:val="24"/>
          <w:szCs w:val="24"/>
          <w:lang w:val="en-US" w:eastAsia="zh-CN"/>
        </w:rPr>
        <w:t> 2012; </w:t>
      </w:r>
      <w:r w:rsidRPr="002A60A4">
        <w:rPr>
          <w:rFonts w:ascii="Book Antiqua" w:eastAsia="宋体" w:hAnsi="Book Antiqua" w:cs="宋体"/>
          <w:b/>
          <w:bCs/>
          <w:color w:val="000000"/>
          <w:sz w:val="24"/>
          <w:szCs w:val="24"/>
          <w:lang w:val="en-US" w:eastAsia="zh-CN"/>
        </w:rPr>
        <w:t>7</w:t>
      </w:r>
      <w:r w:rsidRPr="002A60A4">
        <w:rPr>
          <w:rFonts w:ascii="Book Antiqua" w:eastAsia="宋体" w:hAnsi="Book Antiqua" w:cs="宋体"/>
          <w:color w:val="000000"/>
          <w:sz w:val="24"/>
          <w:szCs w:val="24"/>
          <w:lang w:val="en-US" w:eastAsia="zh-CN"/>
        </w:rPr>
        <w:t>: e32599 [PMID: 22403678 DOI: 10.1371/journal.pone.0032599]</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189 </w:t>
      </w:r>
      <w:r w:rsidRPr="002A60A4">
        <w:rPr>
          <w:rFonts w:ascii="Book Antiqua" w:eastAsia="宋体" w:hAnsi="Book Antiqua" w:cs="宋体"/>
          <w:b/>
          <w:bCs/>
          <w:color w:val="000000"/>
          <w:sz w:val="24"/>
          <w:szCs w:val="24"/>
          <w:lang w:val="en-US" w:eastAsia="zh-CN"/>
        </w:rPr>
        <w:t>He Y</w:t>
      </w:r>
      <w:r w:rsidRPr="002A60A4">
        <w:rPr>
          <w:rFonts w:ascii="Book Antiqua" w:eastAsia="宋体" w:hAnsi="Book Antiqua" w:cs="宋体"/>
          <w:color w:val="000000"/>
          <w:sz w:val="24"/>
          <w:szCs w:val="24"/>
          <w:lang w:val="en-US" w:eastAsia="zh-CN"/>
        </w:rPr>
        <w:t>, Cheng J, Lu H, Li J, Hu J, Qi Z, Liu Z, Jiang S, Dai Q. Potent HIV fusion inhibitors against Enfuvirtide-resistant HIV-1 strains. </w:t>
      </w:r>
      <w:r w:rsidRPr="002A60A4">
        <w:rPr>
          <w:rFonts w:ascii="Book Antiqua" w:eastAsia="宋体" w:hAnsi="Book Antiqua" w:cs="宋体"/>
          <w:i/>
          <w:iCs/>
          <w:color w:val="000000"/>
          <w:sz w:val="24"/>
          <w:szCs w:val="24"/>
          <w:lang w:val="en-US" w:eastAsia="zh-CN"/>
        </w:rPr>
        <w:t>Proc Natl Acad Sci U S A</w:t>
      </w:r>
      <w:r w:rsidRPr="002A60A4">
        <w:rPr>
          <w:rFonts w:ascii="Book Antiqua" w:eastAsia="宋体" w:hAnsi="Book Antiqua" w:cs="宋体"/>
          <w:color w:val="000000"/>
          <w:sz w:val="24"/>
          <w:szCs w:val="24"/>
          <w:lang w:val="en-US" w:eastAsia="zh-CN"/>
        </w:rPr>
        <w:t> 2008; </w:t>
      </w:r>
      <w:r w:rsidRPr="002A60A4">
        <w:rPr>
          <w:rFonts w:ascii="Book Antiqua" w:eastAsia="宋体" w:hAnsi="Book Antiqua" w:cs="宋体"/>
          <w:b/>
          <w:bCs/>
          <w:color w:val="000000"/>
          <w:sz w:val="24"/>
          <w:szCs w:val="24"/>
          <w:lang w:val="en-US" w:eastAsia="zh-CN"/>
        </w:rPr>
        <w:t>105</w:t>
      </w:r>
      <w:r w:rsidRPr="002A60A4">
        <w:rPr>
          <w:rFonts w:ascii="Book Antiqua" w:eastAsia="宋体" w:hAnsi="Book Antiqua" w:cs="宋体"/>
          <w:color w:val="000000"/>
          <w:sz w:val="24"/>
          <w:szCs w:val="24"/>
          <w:lang w:val="en-US" w:eastAsia="zh-CN"/>
        </w:rPr>
        <w:t>: 16332-16337 [PMID: 18852475 DOI: 10.1073/pnas.0807335105]</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190 </w:t>
      </w:r>
      <w:r w:rsidRPr="002A60A4">
        <w:rPr>
          <w:rFonts w:ascii="Book Antiqua" w:eastAsia="宋体" w:hAnsi="Book Antiqua" w:cs="宋体"/>
          <w:b/>
          <w:bCs/>
          <w:color w:val="000000"/>
          <w:sz w:val="24"/>
          <w:szCs w:val="24"/>
          <w:lang w:val="en-US" w:eastAsia="zh-CN"/>
        </w:rPr>
        <w:t>Nathan B</w:t>
      </w:r>
      <w:r w:rsidRPr="002A60A4">
        <w:rPr>
          <w:rFonts w:ascii="Book Antiqua" w:eastAsia="宋体" w:hAnsi="Book Antiqua" w:cs="宋体"/>
          <w:color w:val="000000"/>
          <w:sz w:val="24"/>
          <w:szCs w:val="24"/>
          <w:lang w:val="en-US" w:eastAsia="zh-CN"/>
        </w:rPr>
        <w:t>, Bayley J, Waters L, Post FA. Cobicistat: a Novel Pharmacoenhancer for Co-Formulation with HIV Protease and Integrase Inhibitors. </w:t>
      </w:r>
      <w:r w:rsidRPr="002A60A4">
        <w:rPr>
          <w:rFonts w:ascii="Book Antiqua" w:eastAsia="宋体" w:hAnsi="Book Antiqua" w:cs="宋体"/>
          <w:i/>
          <w:iCs/>
          <w:color w:val="000000"/>
          <w:sz w:val="24"/>
          <w:szCs w:val="24"/>
          <w:lang w:val="en-US" w:eastAsia="zh-CN"/>
        </w:rPr>
        <w:t>Infect Dis Ther</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2</w:t>
      </w:r>
      <w:r w:rsidRPr="002A60A4">
        <w:rPr>
          <w:rFonts w:ascii="Book Antiqua" w:eastAsia="宋体" w:hAnsi="Book Antiqua" w:cs="宋体"/>
          <w:color w:val="000000"/>
          <w:sz w:val="24"/>
          <w:szCs w:val="24"/>
          <w:lang w:val="en-US" w:eastAsia="zh-CN"/>
        </w:rPr>
        <w:t>: 111-122 [PMID: 25134475 DOI: 10.1007/s40121-013-0013-7]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191 </w:t>
      </w:r>
      <w:r w:rsidRPr="002A60A4">
        <w:rPr>
          <w:rFonts w:ascii="Book Antiqua" w:eastAsia="宋体" w:hAnsi="Book Antiqua" w:cs="宋体"/>
          <w:b/>
          <w:bCs/>
          <w:color w:val="000000"/>
          <w:sz w:val="24"/>
          <w:szCs w:val="24"/>
          <w:lang w:val="en-US" w:eastAsia="zh-CN"/>
        </w:rPr>
        <w:t>Lepist EI</w:t>
      </w:r>
      <w:r w:rsidRPr="002A60A4">
        <w:rPr>
          <w:rFonts w:ascii="Book Antiqua" w:eastAsia="宋体" w:hAnsi="Book Antiqua" w:cs="宋体"/>
          <w:color w:val="000000"/>
          <w:sz w:val="24"/>
          <w:szCs w:val="24"/>
          <w:lang w:val="en-US" w:eastAsia="zh-CN"/>
        </w:rPr>
        <w:t>, Phan TK, Roy A, Tong L, Maclennan K, Murray B, Ray AS. Cobicistat boosts the intestinal absorption of transport substrates, including HIV protease inhibitors and GS-7340, in vitro. </w:t>
      </w:r>
      <w:r w:rsidRPr="002A60A4">
        <w:rPr>
          <w:rFonts w:ascii="Book Antiqua" w:eastAsia="宋体" w:hAnsi="Book Antiqua" w:cs="宋体"/>
          <w:i/>
          <w:iCs/>
          <w:color w:val="000000"/>
          <w:sz w:val="24"/>
          <w:szCs w:val="24"/>
          <w:lang w:val="en-US" w:eastAsia="zh-CN"/>
        </w:rPr>
        <w:t>Antimicrob Agents Chemother</w:t>
      </w:r>
      <w:r w:rsidRPr="002A60A4">
        <w:rPr>
          <w:rFonts w:ascii="Book Antiqua" w:eastAsia="宋体" w:hAnsi="Book Antiqua" w:cs="宋体"/>
          <w:color w:val="000000"/>
          <w:sz w:val="24"/>
          <w:szCs w:val="24"/>
          <w:lang w:val="en-US" w:eastAsia="zh-CN"/>
        </w:rPr>
        <w:t> 2012; </w:t>
      </w:r>
      <w:r w:rsidRPr="002A60A4">
        <w:rPr>
          <w:rFonts w:ascii="Book Antiqua" w:eastAsia="宋体" w:hAnsi="Book Antiqua" w:cs="宋体"/>
          <w:b/>
          <w:bCs/>
          <w:color w:val="000000"/>
          <w:sz w:val="24"/>
          <w:szCs w:val="24"/>
          <w:lang w:val="en-US" w:eastAsia="zh-CN"/>
        </w:rPr>
        <w:t>56</w:t>
      </w:r>
      <w:r w:rsidRPr="002A60A4">
        <w:rPr>
          <w:rFonts w:ascii="Book Antiqua" w:eastAsia="宋体" w:hAnsi="Book Antiqua" w:cs="宋体"/>
          <w:color w:val="000000"/>
          <w:sz w:val="24"/>
          <w:szCs w:val="24"/>
          <w:lang w:val="en-US" w:eastAsia="zh-CN"/>
        </w:rPr>
        <w:t>: 5409-5413 [PMID: 22850510 DOI: 10.1128/AAC.01089-12]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192 </w:t>
      </w:r>
      <w:r w:rsidRPr="002A60A4">
        <w:rPr>
          <w:rFonts w:ascii="Book Antiqua" w:eastAsia="宋体" w:hAnsi="Book Antiqua" w:cs="宋体"/>
          <w:b/>
          <w:bCs/>
          <w:color w:val="000000"/>
          <w:sz w:val="24"/>
          <w:szCs w:val="24"/>
          <w:lang w:val="en-US" w:eastAsia="zh-CN"/>
        </w:rPr>
        <w:t>Sax PE</w:t>
      </w:r>
      <w:r w:rsidRPr="002A60A4">
        <w:rPr>
          <w:rFonts w:ascii="Book Antiqua" w:eastAsia="宋体" w:hAnsi="Book Antiqua" w:cs="宋体"/>
          <w:color w:val="000000"/>
          <w:sz w:val="24"/>
          <w:szCs w:val="24"/>
          <w:lang w:val="en-US" w:eastAsia="zh-CN"/>
        </w:rPr>
        <w:t>, DeJesus E, Mills A, Zolopa A, Cohen C, Wohl D, Gallant JE, Liu HC, Zhong L, Yale K, White K, Kearney BP, Szwarcberg J, Quirk E, Cheng AK. Co-formulated elvitegravir, cobicistat, emtricitabine, and tenofovir versus co-formulated efavirenz, emtricitabine, and tenofovir for initial treatment of HIV-1 infection: a randomised, double-blind, phase 3 trial, analysis of results after 48 weeks. </w:t>
      </w:r>
      <w:r w:rsidRPr="002A60A4">
        <w:rPr>
          <w:rFonts w:ascii="Book Antiqua" w:eastAsia="宋体" w:hAnsi="Book Antiqua" w:cs="宋体"/>
          <w:i/>
          <w:iCs/>
          <w:color w:val="000000"/>
          <w:sz w:val="24"/>
          <w:szCs w:val="24"/>
          <w:lang w:val="en-US" w:eastAsia="zh-CN"/>
        </w:rPr>
        <w:t>Lancet</w:t>
      </w:r>
      <w:r w:rsidRPr="002A60A4">
        <w:rPr>
          <w:rFonts w:ascii="Book Antiqua" w:eastAsia="宋体" w:hAnsi="Book Antiqua" w:cs="宋体"/>
          <w:color w:val="000000"/>
          <w:sz w:val="24"/>
          <w:szCs w:val="24"/>
          <w:lang w:val="en-US" w:eastAsia="zh-CN"/>
        </w:rPr>
        <w:t> 2012; </w:t>
      </w:r>
      <w:r w:rsidRPr="002A60A4">
        <w:rPr>
          <w:rFonts w:ascii="Book Antiqua" w:eastAsia="宋体" w:hAnsi="Book Antiqua" w:cs="宋体"/>
          <w:b/>
          <w:bCs/>
          <w:color w:val="000000"/>
          <w:sz w:val="24"/>
          <w:szCs w:val="24"/>
          <w:lang w:val="en-US" w:eastAsia="zh-CN"/>
        </w:rPr>
        <w:t>379</w:t>
      </w:r>
      <w:r w:rsidRPr="002A60A4">
        <w:rPr>
          <w:rFonts w:ascii="Book Antiqua" w:eastAsia="宋体" w:hAnsi="Book Antiqua" w:cs="宋体"/>
          <w:color w:val="000000"/>
          <w:sz w:val="24"/>
          <w:szCs w:val="24"/>
          <w:lang w:val="en-US" w:eastAsia="zh-CN"/>
        </w:rPr>
        <w:t>: 2439-2448 [PMID: 22748591 DOI: 10.1016/S0140-6736(12)60917-9]</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193 </w:t>
      </w:r>
      <w:r w:rsidRPr="002A60A4">
        <w:rPr>
          <w:rFonts w:ascii="Book Antiqua" w:eastAsia="宋体" w:hAnsi="Book Antiqua" w:cs="宋体"/>
          <w:b/>
          <w:bCs/>
          <w:color w:val="000000"/>
          <w:sz w:val="24"/>
          <w:szCs w:val="24"/>
          <w:lang w:val="en-US" w:eastAsia="zh-CN"/>
        </w:rPr>
        <w:t>Bar-Magen T</w:t>
      </w:r>
      <w:r w:rsidRPr="002A60A4">
        <w:rPr>
          <w:rFonts w:ascii="Book Antiqua" w:eastAsia="宋体" w:hAnsi="Book Antiqua" w:cs="宋体"/>
          <w:color w:val="000000"/>
          <w:sz w:val="24"/>
          <w:szCs w:val="24"/>
          <w:lang w:val="en-US" w:eastAsia="zh-CN"/>
        </w:rPr>
        <w:t>, Sloan RD, Donahue DA, Kuhl BD, Zabeida A, Xu H, Oliveira M, Hazuda DJ, Wainberg MA. Identification of novel mutations responsible for resistance to MK-2048, a second-generation HIV-1 integrase inhibitor. </w:t>
      </w:r>
      <w:r w:rsidRPr="002A60A4">
        <w:rPr>
          <w:rFonts w:ascii="Book Antiqua" w:eastAsia="宋体" w:hAnsi="Book Antiqua" w:cs="宋体"/>
          <w:i/>
          <w:iCs/>
          <w:color w:val="000000"/>
          <w:sz w:val="24"/>
          <w:szCs w:val="24"/>
          <w:lang w:val="en-US" w:eastAsia="zh-CN"/>
        </w:rPr>
        <w:t>J Virol</w:t>
      </w:r>
      <w:r w:rsidRPr="002A60A4">
        <w:rPr>
          <w:rFonts w:ascii="Book Antiqua" w:eastAsia="宋体" w:hAnsi="Book Antiqua" w:cs="宋体"/>
          <w:color w:val="000000"/>
          <w:sz w:val="24"/>
          <w:szCs w:val="24"/>
          <w:lang w:val="en-US" w:eastAsia="zh-CN"/>
        </w:rPr>
        <w:t> 2010; </w:t>
      </w:r>
      <w:r w:rsidRPr="002A60A4">
        <w:rPr>
          <w:rFonts w:ascii="Book Antiqua" w:eastAsia="宋体" w:hAnsi="Book Antiqua" w:cs="宋体"/>
          <w:b/>
          <w:bCs/>
          <w:color w:val="000000"/>
          <w:sz w:val="24"/>
          <w:szCs w:val="24"/>
          <w:lang w:val="en-US" w:eastAsia="zh-CN"/>
        </w:rPr>
        <w:t>84</w:t>
      </w:r>
      <w:r w:rsidRPr="002A60A4">
        <w:rPr>
          <w:rFonts w:ascii="Book Antiqua" w:eastAsia="宋体" w:hAnsi="Book Antiqua" w:cs="宋体"/>
          <w:color w:val="000000"/>
          <w:sz w:val="24"/>
          <w:szCs w:val="24"/>
          <w:lang w:val="en-US" w:eastAsia="zh-CN"/>
        </w:rPr>
        <w:t>: 9210-9216 [PMID: 20610719 DOI: 10.1128/JVI.01164-10]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194 </w:t>
      </w:r>
      <w:r w:rsidRPr="002A60A4">
        <w:rPr>
          <w:rFonts w:ascii="Book Antiqua" w:eastAsia="宋体" w:hAnsi="Book Antiqua" w:cs="宋体"/>
          <w:b/>
          <w:bCs/>
          <w:color w:val="000000"/>
          <w:sz w:val="24"/>
          <w:szCs w:val="24"/>
          <w:lang w:val="en-US" w:eastAsia="zh-CN"/>
        </w:rPr>
        <w:t>Bera S</w:t>
      </w:r>
      <w:r w:rsidRPr="002A60A4">
        <w:rPr>
          <w:rFonts w:ascii="Book Antiqua" w:eastAsia="宋体" w:hAnsi="Book Antiqua" w:cs="宋体"/>
          <w:color w:val="000000"/>
          <w:sz w:val="24"/>
          <w:szCs w:val="24"/>
          <w:lang w:val="en-US" w:eastAsia="zh-CN"/>
        </w:rPr>
        <w:t>, Pandey KK, Vora AC, Grandgenett DP. HIV-1 integrase strand transfer inhibitors stabilize an integrase-single blunt-ended DNA complex. </w:t>
      </w:r>
      <w:r w:rsidRPr="002A60A4">
        <w:rPr>
          <w:rFonts w:ascii="Book Antiqua" w:eastAsia="宋体" w:hAnsi="Book Antiqua" w:cs="宋体"/>
          <w:i/>
          <w:iCs/>
          <w:color w:val="000000"/>
          <w:sz w:val="24"/>
          <w:szCs w:val="24"/>
          <w:lang w:val="en-US" w:eastAsia="zh-CN"/>
        </w:rPr>
        <w:t>J Mol Biol</w:t>
      </w:r>
      <w:r w:rsidRPr="002A60A4">
        <w:rPr>
          <w:rFonts w:ascii="Book Antiqua" w:eastAsia="宋体" w:hAnsi="Book Antiqua" w:cs="宋体"/>
          <w:color w:val="000000"/>
          <w:sz w:val="24"/>
          <w:szCs w:val="24"/>
          <w:lang w:val="en-US" w:eastAsia="zh-CN"/>
        </w:rPr>
        <w:t> 2011; </w:t>
      </w:r>
      <w:r w:rsidRPr="002A60A4">
        <w:rPr>
          <w:rFonts w:ascii="Book Antiqua" w:eastAsia="宋体" w:hAnsi="Book Antiqua" w:cs="宋体"/>
          <w:b/>
          <w:bCs/>
          <w:color w:val="000000"/>
          <w:sz w:val="24"/>
          <w:szCs w:val="24"/>
          <w:lang w:val="en-US" w:eastAsia="zh-CN"/>
        </w:rPr>
        <w:t>410</w:t>
      </w:r>
      <w:r w:rsidRPr="002A60A4">
        <w:rPr>
          <w:rFonts w:ascii="Book Antiqua" w:eastAsia="宋体" w:hAnsi="Book Antiqua" w:cs="宋体"/>
          <w:color w:val="000000"/>
          <w:sz w:val="24"/>
          <w:szCs w:val="24"/>
          <w:lang w:val="en-US" w:eastAsia="zh-CN"/>
        </w:rPr>
        <w:t>: 831-846 [PMID: 21295584 DOI: 10.1016/j.jmb.2011.01.043]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195 </w:t>
      </w:r>
      <w:r w:rsidRPr="002A60A4">
        <w:rPr>
          <w:rFonts w:ascii="Book Antiqua" w:eastAsia="宋体" w:hAnsi="Book Antiqua" w:cs="宋体"/>
          <w:b/>
          <w:bCs/>
          <w:color w:val="000000"/>
          <w:sz w:val="24"/>
          <w:szCs w:val="24"/>
          <w:lang w:val="en-US" w:eastAsia="zh-CN"/>
        </w:rPr>
        <w:t>Fader LD</w:t>
      </w:r>
      <w:r w:rsidRPr="002A60A4">
        <w:rPr>
          <w:rFonts w:ascii="Book Antiqua" w:eastAsia="宋体" w:hAnsi="Book Antiqua" w:cs="宋体"/>
          <w:color w:val="000000"/>
          <w:sz w:val="24"/>
          <w:szCs w:val="24"/>
          <w:lang w:val="en-US" w:eastAsia="zh-CN"/>
        </w:rPr>
        <w:t>, Malenfant E, Parisien M, Carson R, Bilodeau F, Landry S, Pesant M, Brochu C, Morin S, Chabot C, Halmos T, Bousquet Y, Bailey MD, Kawai SH, Coulombe R, LaPlante S, Jakalian A, Bhardwaj PK, Wernic D, Schroeder P, Amad M, Edwards P, Garneau M, Duan J, Cordingley M, Bethell R, Mason SW, Bös M, Bonneau P, Poupart MA, Faucher AM, Simoneau B, Fenwick C, Yoakim C, Tsantrizos Y. Discovery of BI 224436, a Noncatalytic Site Integrase Inhibitor (NCINI) of HIV-1. </w:t>
      </w:r>
      <w:r w:rsidRPr="002A60A4">
        <w:rPr>
          <w:rFonts w:ascii="Book Antiqua" w:eastAsia="宋体" w:hAnsi="Book Antiqua" w:cs="宋体"/>
          <w:i/>
          <w:iCs/>
          <w:color w:val="000000"/>
          <w:sz w:val="24"/>
          <w:szCs w:val="24"/>
          <w:lang w:val="en-US" w:eastAsia="zh-CN"/>
        </w:rPr>
        <w:t>ACS Med Chem Lett</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5</w:t>
      </w:r>
      <w:r w:rsidRPr="002A60A4">
        <w:rPr>
          <w:rFonts w:ascii="Book Antiqua" w:eastAsia="宋体" w:hAnsi="Book Antiqua" w:cs="宋体"/>
          <w:color w:val="000000"/>
          <w:sz w:val="24"/>
          <w:szCs w:val="24"/>
          <w:lang w:val="en-US" w:eastAsia="zh-CN"/>
        </w:rPr>
        <w:t>: 422-427 [PMID: 24900852 DOI: 10.1021/ml500002n]</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196 </w:t>
      </w:r>
      <w:r w:rsidRPr="002A60A4">
        <w:rPr>
          <w:rFonts w:ascii="Book Antiqua" w:eastAsia="宋体" w:hAnsi="Book Antiqua" w:cs="宋体"/>
          <w:b/>
          <w:bCs/>
          <w:color w:val="000000"/>
          <w:sz w:val="24"/>
          <w:szCs w:val="24"/>
          <w:lang w:val="en-US" w:eastAsia="zh-CN"/>
        </w:rPr>
        <w:t>Fenwick C</w:t>
      </w:r>
      <w:r w:rsidRPr="002A60A4">
        <w:rPr>
          <w:rFonts w:ascii="Book Antiqua" w:eastAsia="宋体" w:hAnsi="Book Antiqua" w:cs="宋体"/>
          <w:color w:val="000000"/>
          <w:sz w:val="24"/>
          <w:szCs w:val="24"/>
          <w:lang w:val="en-US" w:eastAsia="zh-CN"/>
        </w:rPr>
        <w:t>, Amad M, Bailey MD, Bethell R, Bös M, Bonneau P, Cordingley M, Coulombe R, Duan J, Edwards P, Fader LD, Faucher AM, Garneau M, Jakalian A, Kawai S, Lamorte L, LaPlante S, Luo L, Mason S, Poupart MA, Rioux N, Schroeder P, Simoneau B, Tremblay S, Tsantrizos Y, Witvrouw M, Yoakim C. Preclinical profile of BI 224436, a novel HIV-1 non-catalytic-site integrase inhibitor. </w:t>
      </w:r>
      <w:r w:rsidRPr="002A60A4">
        <w:rPr>
          <w:rFonts w:ascii="Book Antiqua" w:eastAsia="宋体" w:hAnsi="Book Antiqua" w:cs="宋体"/>
          <w:i/>
          <w:iCs/>
          <w:color w:val="000000"/>
          <w:sz w:val="24"/>
          <w:szCs w:val="24"/>
          <w:lang w:val="en-US" w:eastAsia="zh-CN"/>
        </w:rPr>
        <w:t>Antimicrob Agents Chemother</w:t>
      </w:r>
      <w:r w:rsidRPr="002A60A4">
        <w:rPr>
          <w:rFonts w:ascii="Book Antiqua" w:eastAsia="宋体" w:hAnsi="Book Antiqua" w:cs="宋体"/>
          <w:color w:val="000000"/>
          <w:sz w:val="24"/>
          <w:szCs w:val="24"/>
          <w:lang w:val="en-US" w:eastAsia="zh-CN"/>
        </w:rPr>
        <w:t> 2014; </w:t>
      </w:r>
      <w:r w:rsidRPr="002A60A4">
        <w:rPr>
          <w:rFonts w:ascii="Book Antiqua" w:eastAsia="宋体" w:hAnsi="Book Antiqua" w:cs="宋体"/>
          <w:b/>
          <w:bCs/>
          <w:color w:val="000000"/>
          <w:sz w:val="24"/>
          <w:szCs w:val="24"/>
          <w:lang w:val="en-US" w:eastAsia="zh-CN"/>
        </w:rPr>
        <w:t>58</w:t>
      </w:r>
      <w:r w:rsidRPr="002A60A4">
        <w:rPr>
          <w:rFonts w:ascii="Book Antiqua" w:eastAsia="宋体" w:hAnsi="Book Antiqua" w:cs="宋体"/>
          <w:color w:val="000000"/>
          <w:sz w:val="24"/>
          <w:szCs w:val="24"/>
          <w:lang w:val="en-US" w:eastAsia="zh-CN"/>
        </w:rPr>
        <w:t>: 3233-3244 [PMID: 24663024 DOI: 10.1128/AAC.02719-13]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197 </w:t>
      </w:r>
      <w:r w:rsidRPr="002A60A4">
        <w:rPr>
          <w:rFonts w:ascii="Book Antiqua" w:eastAsia="宋体" w:hAnsi="Book Antiqua" w:cs="宋体"/>
          <w:b/>
          <w:bCs/>
          <w:color w:val="000000"/>
          <w:sz w:val="24"/>
          <w:szCs w:val="24"/>
          <w:lang w:val="en-US" w:eastAsia="zh-CN"/>
        </w:rPr>
        <w:t>Taha H</w:t>
      </w:r>
      <w:r w:rsidRPr="002A60A4">
        <w:rPr>
          <w:rFonts w:ascii="Book Antiqua" w:eastAsia="宋体" w:hAnsi="Book Antiqua" w:cs="宋体"/>
          <w:color w:val="000000"/>
          <w:sz w:val="24"/>
          <w:szCs w:val="24"/>
          <w:lang w:val="en-US" w:eastAsia="zh-CN"/>
        </w:rPr>
        <w:t>, Morgan J, Das A, Das S. Parenteral patent drug S/GSK1265744 has the potential to be an effective agent in pre-exposure prophylaxis against HIV infection. </w:t>
      </w:r>
      <w:r w:rsidRPr="002A60A4">
        <w:rPr>
          <w:rFonts w:ascii="Book Antiqua" w:eastAsia="宋体" w:hAnsi="Book Antiqua" w:cs="宋体"/>
          <w:i/>
          <w:iCs/>
          <w:color w:val="000000"/>
          <w:sz w:val="24"/>
          <w:szCs w:val="24"/>
          <w:lang w:val="en-US" w:eastAsia="zh-CN"/>
        </w:rPr>
        <w:t>Recent Pat Antiinfect Drug Discov</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8</w:t>
      </w:r>
      <w:r w:rsidRPr="002A60A4">
        <w:rPr>
          <w:rFonts w:ascii="Book Antiqua" w:eastAsia="宋体" w:hAnsi="Book Antiqua" w:cs="宋体"/>
          <w:color w:val="000000"/>
          <w:sz w:val="24"/>
          <w:szCs w:val="24"/>
          <w:lang w:val="en-US" w:eastAsia="zh-CN"/>
        </w:rPr>
        <w:t>: 213-218 [PMID: 24738551 DOI: 10.2174/1574891X09666140417154727]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198 </w:t>
      </w:r>
      <w:r w:rsidRPr="002A60A4">
        <w:rPr>
          <w:rFonts w:ascii="Book Antiqua" w:eastAsia="宋体" w:hAnsi="Book Antiqua" w:cs="宋体"/>
          <w:b/>
          <w:bCs/>
          <w:color w:val="000000"/>
          <w:sz w:val="24"/>
          <w:szCs w:val="24"/>
          <w:lang w:val="en-US" w:eastAsia="zh-CN"/>
        </w:rPr>
        <w:t>Ford SL</w:t>
      </w:r>
      <w:r w:rsidRPr="002A60A4">
        <w:rPr>
          <w:rFonts w:ascii="Book Antiqua" w:eastAsia="宋体" w:hAnsi="Book Antiqua" w:cs="宋体"/>
          <w:color w:val="000000"/>
          <w:sz w:val="24"/>
          <w:szCs w:val="24"/>
          <w:lang w:val="en-US" w:eastAsia="zh-CN"/>
        </w:rPr>
        <w:t>, Gould E, Chen S, Lou Y, Dumont E, Spreen W, Piscitelli S. Effects of etravirine on the pharmacokinetics of the integrase inhibitor S/GSK1265744. </w:t>
      </w:r>
      <w:r w:rsidRPr="002A60A4">
        <w:rPr>
          <w:rFonts w:ascii="Book Antiqua" w:eastAsia="宋体" w:hAnsi="Book Antiqua" w:cs="宋体"/>
          <w:i/>
          <w:iCs/>
          <w:color w:val="000000"/>
          <w:sz w:val="24"/>
          <w:szCs w:val="24"/>
          <w:lang w:val="en-US" w:eastAsia="zh-CN"/>
        </w:rPr>
        <w:t>Antimicrob Agents Chemother</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57</w:t>
      </w:r>
      <w:r w:rsidRPr="002A60A4">
        <w:rPr>
          <w:rFonts w:ascii="Book Antiqua" w:eastAsia="宋体" w:hAnsi="Book Antiqua" w:cs="宋体"/>
          <w:color w:val="000000"/>
          <w:sz w:val="24"/>
          <w:szCs w:val="24"/>
          <w:lang w:val="en-US" w:eastAsia="zh-CN"/>
        </w:rPr>
        <w:t>: 277-280 [PMID: 23114768 DOI: 10.1128/AAC.01685-12]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199 </w:t>
      </w:r>
      <w:r w:rsidRPr="002A60A4">
        <w:rPr>
          <w:rFonts w:ascii="Book Antiqua" w:eastAsia="宋体" w:hAnsi="Book Antiqua" w:cs="宋体"/>
          <w:b/>
          <w:bCs/>
          <w:color w:val="000000"/>
          <w:sz w:val="24"/>
          <w:szCs w:val="24"/>
          <w:lang w:val="en-US" w:eastAsia="zh-CN"/>
        </w:rPr>
        <w:t>Loonam CR</w:t>
      </w:r>
      <w:r w:rsidRPr="002A60A4">
        <w:rPr>
          <w:rFonts w:ascii="Book Antiqua" w:eastAsia="宋体" w:hAnsi="Book Antiqua" w:cs="宋体"/>
          <w:color w:val="000000"/>
          <w:sz w:val="24"/>
          <w:szCs w:val="24"/>
          <w:lang w:val="en-US" w:eastAsia="zh-CN"/>
        </w:rPr>
        <w:t>, Mullen A. Nutrition and the HIV-associated lipodystrophy syndrome. </w:t>
      </w:r>
      <w:r w:rsidRPr="002A60A4">
        <w:rPr>
          <w:rFonts w:ascii="Book Antiqua" w:eastAsia="宋体" w:hAnsi="Book Antiqua" w:cs="宋体"/>
          <w:i/>
          <w:iCs/>
          <w:color w:val="000000"/>
          <w:sz w:val="24"/>
          <w:szCs w:val="24"/>
          <w:lang w:val="en-US" w:eastAsia="zh-CN"/>
        </w:rPr>
        <w:t>Nutr Res Rev</w:t>
      </w:r>
      <w:r w:rsidRPr="002A60A4">
        <w:rPr>
          <w:rFonts w:ascii="Book Antiqua" w:eastAsia="宋体" w:hAnsi="Book Antiqua" w:cs="宋体"/>
          <w:color w:val="000000"/>
          <w:sz w:val="24"/>
          <w:szCs w:val="24"/>
          <w:lang w:val="en-US" w:eastAsia="zh-CN"/>
        </w:rPr>
        <w:t> 2012; </w:t>
      </w:r>
      <w:r w:rsidRPr="002A60A4">
        <w:rPr>
          <w:rFonts w:ascii="Book Antiqua" w:eastAsia="宋体" w:hAnsi="Book Antiqua" w:cs="宋体"/>
          <w:b/>
          <w:bCs/>
          <w:color w:val="000000"/>
          <w:sz w:val="24"/>
          <w:szCs w:val="24"/>
          <w:lang w:val="en-US" w:eastAsia="zh-CN"/>
        </w:rPr>
        <w:t>25</w:t>
      </w:r>
      <w:r w:rsidRPr="002A60A4">
        <w:rPr>
          <w:rFonts w:ascii="Book Antiqua" w:eastAsia="宋体" w:hAnsi="Book Antiqua" w:cs="宋体"/>
          <w:color w:val="000000"/>
          <w:sz w:val="24"/>
          <w:szCs w:val="24"/>
          <w:lang w:val="en-US" w:eastAsia="zh-CN"/>
        </w:rPr>
        <w:t>: 267-287 [PMID: 23174511 DOI: 10.1017/S0954422411000138]</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200 </w:t>
      </w:r>
      <w:r w:rsidRPr="002A60A4">
        <w:rPr>
          <w:rFonts w:ascii="Book Antiqua" w:eastAsia="宋体" w:hAnsi="Book Antiqua" w:cs="宋体"/>
          <w:b/>
          <w:bCs/>
          <w:color w:val="000000"/>
          <w:sz w:val="24"/>
          <w:szCs w:val="24"/>
          <w:lang w:val="en-US" w:eastAsia="zh-CN"/>
        </w:rPr>
        <w:t>Fields-Gardner C</w:t>
      </w:r>
      <w:r w:rsidRPr="002A60A4">
        <w:rPr>
          <w:rFonts w:ascii="Book Antiqua" w:eastAsia="宋体" w:hAnsi="Book Antiqua" w:cs="宋体"/>
          <w:color w:val="000000"/>
          <w:sz w:val="24"/>
          <w:szCs w:val="24"/>
          <w:lang w:val="en-US" w:eastAsia="zh-CN"/>
        </w:rPr>
        <w:t>, Campa A. Position of the American Dietetic Association: Nutrition Intervention and Human Immunodeficiency Virus Infection. </w:t>
      </w:r>
      <w:r w:rsidRPr="002A60A4">
        <w:rPr>
          <w:rFonts w:ascii="Book Antiqua" w:eastAsia="宋体" w:hAnsi="Book Antiqua" w:cs="宋体"/>
          <w:i/>
          <w:iCs/>
          <w:color w:val="000000"/>
          <w:sz w:val="24"/>
          <w:szCs w:val="24"/>
          <w:lang w:val="en-US" w:eastAsia="zh-CN"/>
        </w:rPr>
        <w:t>J Am Diet Assoc</w:t>
      </w:r>
      <w:r w:rsidRPr="002A60A4">
        <w:rPr>
          <w:rFonts w:ascii="Book Antiqua" w:eastAsia="宋体" w:hAnsi="Book Antiqua" w:cs="宋体"/>
          <w:color w:val="000000"/>
          <w:sz w:val="24"/>
          <w:szCs w:val="24"/>
          <w:lang w:val="en-US" w:eastAsia="zh-CN"/>
        </w:rPr>
        <w:t> 2010; </w:t>
      </w:r>
      <w:r w:rsidRPr="002A60A4">
        <w:rPr>
          <w:rFonts w:ascii="Book Antiqua" w:eastAsia="宋体" w:hAnsi="Book Antiqua" w:cs="宋体"/>
          <w:b/>
          <w:bCs/>
          <w:color w:val="000000"/>
          <w:sz w:val="24"/>
          <w:szCs w:val="24"/>
          <w:lang w:val="en-US" w:eastAsia="zh-CN"/>
        </w:rPr>
        <w:t>110</w:t>
      </w:r>
      <w:r w:rsidRPr="002A60A4">
        <w:rPr>
          <w:rFonts w:ascii="Book Antiqua" w:eastAsia="宋体" w:hAnsi="Book Antiqua" w:cs="宋体"/>
          <w:color w:val="000000"/>
          <w:sz w:val="24"/>
          <w:szCs w:val="24"/>
          <w:lang w:val="en-US" w:eastAsia="zh-CN"/>
        </w:rPr>
        <w:t>: 1105-1119 [PMID: 20645459 DOI: 10.1016/j.jada.2010.05.020]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201 </w:t>
      </w:r>
      <w:r w:rsidRPr="002A60A4">
        <w:rPr>
          <w:rFonts w:ascii="Book Antiqua" w:eastAsia="宋体" w:hAnsi="Book Antiqua" w:cs="宋体"/>
          <w:b/>
          <w:bCs/>
          <w:color w:val="000000"/>
          <w:sz w:val="24"/>
          <w:szCs w:val="24"/>
          <w:lang w:val="en-US" w:eastAsia="zh-CN"/>
        </w:rPr>
        <w:t>Shah M</w:t>
      </w:r>
      <w:r w:rsidRPr="002A60A4">
        <w:rPr>
          <w:rFonts w:ascii="Book Antiqua" w:eastAsia="宋体" w:hAnsi="Book Antiqua" w:cs="宋体"/>
          <w:color w:val="000000"/>
          <w:sz w:val="24"/>
          <w:szCs w:val="24"/>
          <w:lang w:val="en-US" w:eastAsia="zh-CN"/>
        </w:rPr>
        <w:t>, Tierney K, Adams-Huet B, Boonyavarakul A, Jacob K, Quittner C, Dinges W, Peterson D, Garg A. The role of diet, exercise and smoking in dyslipidaemia in HIV-infected patients with lipodystrophy. </w:t>
      </w:r>
      <w:r w:rsidRPr="002A60A4">
        <w:rPr>
          <w:rFonts w:ascii="Book Antiqua" w:eastAsia="宋体" w:hAnsi="Book Antiqua" w:cs="宋体"/>
          <w:i/>
          <w:iCs/>
          <w:color w:val="000000"/>
          <w:sz w:val="24"/>
          <w:szCs w:val="24"/>
          <w:lang w:val="en-US" w:eastAsia="zh-CN"/>
        </w:rPr>
        <w:t>HIV Med</w:t>
      </w:r>
      <w:r w:rsidRPr="002A60A4">
        <w:rPr>
          <w:rFonts w:ascii="Book Antiqua" w:eastAsia="宋体" w:hAnsi="Book Antiqua" w:cs="宋体"/>
          <w:color w:val="000000"/>
          <w:sz w:val="24"/>
          <w:szCs w:val="24"/>
          <w:lang w:val="en-US" w:eastAsia="zh-CN"/>
        </w:rPr>
        <w:t> 2005; </w:t>
      </w:r>
      <w:r w:rsidRPr="002A60A4">
        <w:rPr>
          <w:rFonts w:ascii="Book Antiqua" w:eastAsia="宋体" w:hAnsi="Book Antiqua" w:cs="宋体"/>
          <w:b/>
          <w:bCs/>
          <w:color w:val="000000"/>
          <w:sz w:val="24"/>
          <w:szCs w:val="24"/>
          <w:lang w:val="en-US" w:eastAsia="zh-CN"/>
        </w:rPr>
        <w:t>6</w:t>
      </w:r>
      <w:r w:rsidRPr="002A60A4">
        <w:rPr>
          <w:rFonts w:ascii="Book Antiqua" w:eastAsia="宋体" w:hAnsi="Book Antiqua" w:cs="宋体"/>
          <w:color w:val="000000"/>
          <w:sz w:val="24"/>
          <w:szCs w:val="24"/>
          <w:lang w:val="en-US" w:eastAsia="zh-CN"/>
        </w:rPr>
        <w:t>: 291-298 [PMID: 16011535 DOI: 10.1111/j.1468-1293.2005.00309.x]</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202 </w:t>
      </w:r>
      <w:r w:rsidRPr="002A60A4">
        <w:rPr>
          <w:rFonts w:ascii="Book Antiqua" w:eastAsia="宋体" w:hAnsi="Book Antiqua" w:cs="宋体"/>
          <w:b/>
          <w:bCs/>
          <w:color w:val="000000"/>
          <w:sz w:val="24"/>
          <w:szCs w:val="24"/>
          <w:lang w:val="en-US" w:eastAsia="zh-CN"/>
        </w:rPr>
        <w:t>Hadigan C</w:t>
      </w:r>
      <w:r w:rsidRPr="002A60A4">
        <w:rPr>
          <w:rFonts w:ascii="Book Antiqua" w:eastAsia="宋体" w:hAnsi="Book Antiqua" w:cs="宋体"/>
          <w:color w:val="000000"/>
          <w:sz w:val="24"/>
          <w:szCs w:val="24"/>
          <w:lang w:val="en-US" w:eastAsia="zh-CN"/>
        </w:rPr>
        <w:t>, Jeste S, Anderson EJ, Tsay R, Cyr H, Grinspoon S. Modifiable dietary habits and their relation to metabolic abnormalities in men and women with human immunodeficiency virus infection and fat redistribution. </w:t>
      </w:r>
      <w:r w:rsidRPr="002A60A4">
        <w:rPr>
          <w:rFonts w:ascii="Book Antiqua" w:eastAsia="宋体" w:hAnsi="Book Antiqua" w:cs="宋体"/>
          <w:i/>
          <w:iCs/>
          <w:color w:val="000000"/>
          <w:sz w:val="24"/>
          <w:szCs w:val="24"/>
          <w:lang w:val="en-US" w:eastAsia="zh-CN"/>
        </w:rPr>
        <w:t>Clin Infect Dis</w:t>
      </w:r>
      <w:r w:rsidRPr="002A60A4">
        <w:rPr>
          <w:rFonts w:ascii="Book Antiqua" w:eastAsia="宋体" w:hAnsi="Book Antiqua" w:cs="宋体"/>
          <w:color w:val="000000"/>
          <w:sz w:val="24"/>
          <w:szCs w:val="24"/>
          <w:lang w:val="en-US" w:eastAsia="zh-CN"/>
        </w:rPr>
        <w:t> 2001; </w:t>
      </w:r>
      <w:r w:rsidRPr="002A60A4">
        <w:rPr>
          <w:rFonts w:ascii="Book Antiqua" w:eastAsia="宋体" w:hAnsi="Book Antiqua" w:cs="宋体"/>
          <w:b/>
          <w:bCs/>
          <w:color w:val="000000"/>
          <w:sz w:val="24"/>
          <w:szCs w:val="24"/>
          <w:lang w:val="en-US" w:eastAsia="zh-CN"/>
        </w:rPr>
        <w:t>33</w:t>
      </w:r>
      <w:r w:rsidRPr="002A60A4">
        <w:rPr>
          <w:rFonts w:ascii="Book Antiqua" w:eastAsia="宋体" w:hAnsi="Book Antiqua" w:cs="宋体"/>
          <w:color w:val="000000"/>
          <w:sz w:val="24"/>
          <w:szCs w:val="24"/>
          <w:lang w:val="en-US" w:eastAsia="zh-CN"/>
        </w:rPr>
        <w:t>: 710-717 [PMID: 11486294 DOI: 10.1086/322680]</w:t>
      </w:r>
    </w:p>
    <w:p w:rsidR="002A60A4" w:rsidRPr="002A60A4" w:rsidRDefault="003F0C57" w:rsidP="002A60A4">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203 </w:t>
      </w:r>
      <w:r w:rsidR="002A60A4" w:rsidRPr="002A60A4">
        <w:rPr>
          <w:rFonts w:ascii="Book Antiqua" w:eastAsia="宋体" w:hAnsi="Book Antiqua" w:cs="宋体"/>
          <w:color w:val="000000"/>
          <w:sz w:val="24"/>
          <w:szCs w:val="24"/>
          <w:lang w:val="en-US" w:eastAsia="zh-CN"/>
        </w:rPr>
        <w:t>Executive Summary of The Third Report of The National Cholesterol Education Program (NCEP) Expert Panel on Detection, Evaluation, And Treatment of High Blood Cholesterol In Adults (Adult Treatment Panel III). </w:t>
      </w:r>
      <w:r w:rsidR="002A60A4" w:rsidRPr="002A60A4">
        <w:rPr>
          <w:rFonts w:ascii="Book Antiqua" w:eastAsia="宋体" w:hAnsi="Book Antiqua" w:cs="宋体"/>
          <w:i/>
          <w:iCs/>
          <w:color w:val="000000"/>
          <w:sz w:val="24"/>
          <w:szCs w:val="24"/>
          <w:lang w:val="en-US" w:eastAsia="zh-CN"/>
        </w:rPr>
        <w:t>JAMA</w:t>
      </w:r>
      <w:r w:rsidR="002A60A4" w:rsidRPr="002A60A4">
        <w:rPr>
          <w:rFonts w:ascii="Book Antiqua" w:eastAsia="宋体" w:hAnsi="Book Antiqua" w:cs="宋体"/>
          <w:color w:val="000000"/>
          <w:sz w:val="24"/>
          <w:szCs w:val="24"/>
          <w:lang w:val="en-US" w:eastAsia="zh-CN"/>
        </w:rPr>
        <w:t> 2001; </w:t>
      </w:r>
      <w:r w:rsidR="002A60A4" w:rsidRPr="002A60A4">
        <w:rPr>
          <w:rFonts w:ascii="Book Antiqua" w:eastAsia="宋体" w:hAnsi="Book Antiqua" w:cs="宋体"/>
          <w:b/>
          <w:bCs/>
          <w:color w:val="000000"/>
          <w:sz w:val="24"/>
          <w:szCs w:val="24"/>
          <w:lang w:val="en-US" w:eastAsia="zh-CN"/>
        </w:rPr>
        <w:t>285</w:t>
      </w:r>
      <w:r w:rsidR="002A60A4" w:rsidRPr="002A60A4">
        <w:rPr>
          <w:rFonts w:ascii="Book Antiqua" w:eastAsia="宋体" w:hAnsi="Book Antiqua" w:cs="宋体"/>
          <w:color w:val="000000"/>
          <w:sz w:val="24"/>
          <w:szCs w:val="24"/>
          <w:lang w:val="en-US" w:eastAsia="zh-CN"/>
        </w:rPr>
        <w:t>: 2486-2497 [PMID: 11368702 DOI: 10.1001/jama.285.19.2486]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204 </w:t>
      </w:r>
      <w:r w:rsidRPr="002A60A4">
        <w:rPr>
          <w:rFonts w:ascii="Book Antiqua" w:eastAsia="宋体" w:hAnsi="Book Antiqua" w:cs="宋体"/>
          <w:b/>
          <w:bCs/>
          <w:color w:val="000000"/>
          <w:sz w:val="24"/>
          <w:szCs w:val="24"/>
          <w:lang w:val="en-US" w:eastAsia="zh-CN"/>
        </w:rPr>
        <w:t>Grundy SM</w:t>
      </w:r>
      <w:r w:rsidRPr="002A60A4">
        <w:rPr>
          <w:rFonts w:ascii="Book Antiqua" w:eastAsia="宋体" w:hAnsi="Book Antiqua" w:cs="宋体"/>
          <w:color w:val="000000"/>
          <w:sz w:val="24"/>
          <w:szCs w:val="24"/>
          <w:lang w:val="en-US" w:eastAsia="zh-CN"/>
        </w:rPr>
        <w:t>, Cleeman JI, Merz CN, Brewer HB, Clark LT, Hunninghake DB, Pasternak RC, Smith SC, Stone NJ. Implications of recent clinical trials for the National Cholesterol Education Program Adult Treatment Panel III guidelines. </w:t>
      </w:r>
      <w:r w:rsidRPr="002A60A4">
        <w:rPr>
          <w:rFonts w:ascii="Book Antiqua" w:eastAsia="宋体" w:hAnsi="Book Antiqua" w:cs="宋体"/>
          <w:i/>
          <w:iCs/>
          <w:color w:val="000000"/>
          <w:sz w:val="24"/>
          <w:szCs w:val="24"/>
          <w:lang w:val="en-US" w:eastAsia="zh-CN"/>
        </w:rPr>
        <w:t>Arterioscler Thromb Vasc Biol</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24</w:t>
      </w:r>
      <w:r w:rsidRPr="002A60A4">
        <w:rPr>
          <w:rFonts w:ascii="Book Antiqua" w:eastAsia="宋体" w:hAnsi="Book Antiqua" w:cs="宋体"/>
          <w:color w:val="000000"/>
          <w:sz w:val="24"/>
          <w:szCs w:val="24"/>
          <w:lang w:val="en-US" w:eastAsia="zh-CN"/>
        </w:rPr>
        <w:t>: e149-e161 [PMID: 15297292 DOI: 10.1161/01.ATV.0000133317.49796.0E]</w:t>
      </w:r>
    </w:p>
    <w:p w:rsidR="002A60A4" w:rsidRPr="002A60A4" w:rsidRDefault="003F0C57" w:rsidP="002A60A4">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205 </w:t>
      </w:r>
      <w:r w:rsidR="002A60A4" w:rsidRPr="003F0C57">
        <w:rPr>
          <w:rFonts w:ascii="Book Antiqua" w:eastAsia="宋体" w:hAnsi="Book Antiqua" w:cs="宋体"/>
          <w:b/>
          <w:color w:val="000000"/>
          <w:sz w:val="24"/>
          <w:szCs w:val="24"/>
          <w:lang w:val="en-US" w:eastAsia="zh-CN"/>
        </w:rPr>
        <w:t>Lazzaretti R</w:t>
      </w:r>
      <w:r w:rsidR="002A60A4" w:rsidRPr="002A60A4">
        <w:rPr>
          <w:rFonts w:ascii="Book Antiqua" w:eastAsia="宋体" w:hAnsi="Book Antiqua" w:cs="宋体"/>
          <w:color w:val="000000"/>
          <w:sz w:val="24"/>
          <w:szCs w:val="24"/>
          <w:lang w:val="en-US" w:eastAsia="zh-CN"/>
        </w:rPr>
        <w:t>, Nutritional intervention protects against the development of dyslipidemia in patients who start HAART: a randomized trial. XIV International AIDS Conference</w:t>
      </w:r>
      <w:r>
        <w:rPr>
          <w:rFonts w:ascii="Book Antiqua" w:eastAsia="宋体" w:hAnsi="Book Antiqua" w:cs="宋体" w:hint="eastAsia"/>
          <w:color w:val="000000"/>
          <w:sz w:val="24"/>
          <w:szCs w:val="24"/>
          <w:lang w:val="en-US" w:eastAsia="zh-CN"/>
        </w:rPr>
        <w:t>.</w:t>
      </w:r>
      <w:r w:rsidR="002A60A4" w:rsidRPr="002A60A4">
        <w:rPr>
          <w:rFonts w:ascii="Book Antiqua" w:eastAsia="宋体" w:hAnsi="Book Antiqua" w:cs="宋体"/>
          <w:color w:val="000000"/>
          <w:sz w:val="24"/>
          <w:szCs w:val="24"/>
          <w:lang w:val="en-US" w:eastAsia="zh-CN"/>
        </w:rPr>
        <w:t xml:space="preserve"> Toronto, Canada</w:t>
      </w:r>
      <w:r>
        <w:rPr>
          <w:rFonts w:ascii="Book Antiqua" w:eastAsia="宋体" w:hAnsi="Book Antiqua" w:cs="宋体" w:hint="eastAsia"/>
          <w:color w:val="000000"/>
          <w:sz w:val="24"/>
          <w:szCs w:val="24"/>
          <w:lang w:val="en-US" w:eastAsia="zh-CN"/>
        </w:rPr>
        <w:t>,</w:t>
      </w:r>
      <w:r w:rsidR="002A60A4" w:rsidRPr="002A60A4">
        <w:rPr>
          <w:rFonts w:ascii="Book Antiqua" w:eastAsia="宋体" w:hAnsi="Book Antiqua" w:cs="宋体"/>
          <w:color w:val="000000"/>
          <w:sz w:val="24"/>
          <w:szCs w:val="24"/>
          <w:lang w:val="en-US" w:eastAsia="zh-CN"/>
        </w:rPr>
        <w:t xml:space="preserve"> Aug 13–18, 2006</w:t>
      </w:r>
      <w:r>
        <w:rPr>
          <w:rFonts w:ascii="Book Antiqua" w:eastAsia="宋体" w:hAnsi="Book Antiqua" w:cs="宋体" w:hint="eastAsia"/>
          <w:color w:val="000000"/>
          <w:sz w:val="24"/>
          <w:szCs w:val="24"/>
          <w:lang w:val="en-US" w:eastAsia="zh-CN"/>
        </w:rPr>
        <w:t>:</w:t>
      </w:r>
      <w:r>
        <w:rPr>
          <w:rFonts w:ascii="Book Antiqua" w:eastAsia="宋体" w:hAnsi="Book Antiqua" w:cs="宋体"/>
          <w:color w:val="000000"/>
          <w:sz w:val="24"/>
          <w:szCs w:val="24"/>
          <w:lang w:val="en-US" w:eastAsia="zh-CN"/>
        </w:rPr>
        <w:t xml:space="preserve"> Abstract 2192713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206 </w:t>
      </w:r>
      <w:r w:rsidRPr="002A60A4">
        <w:rPr>
          <w:rFonts w:ascii="Book Antiqua" w:eastAsia="宋体" w:hAnsi="Book Antiqua" w:cs="宋体"/>
          <w:b/>
          <w:bCs/>
          <w:color w:val="000000"/>
          <w:sz w:val="24"/>
          <w:szCs w:val="24"/>
          <w:lang w:val="en-US" w:eastAsia="zh-CN"/>
        </w:rPr>
        <w:t>Schwellenbach LJ</w:t>
      </w:r>
      <w:r w:rsidRPr="002A60A4">
        <w:rPr>
          <w:rFonts w:ascii="Book Antiqua" w:eastAsia="宋体" w:hAnsi="Book Antiqua" w:cs="宋体"/>
          <w:color w:val="000000"/>
          <w:sz w:val="24"/>
          <w:szCs w:val="24"/>
          <w:lang w:val="en-US" w:eastAsia="zh-CN"/>
        </w:rPr>
        <w:t>, Olson KL, McConnell KJ, Stolcpart RS, Nash JD, Merenich JA. The triglyceride-lowering effects of a modest dose of docosahexaenoic acid alone versus in combination with low dose eicosapentaenoic acid in patients with coronary artery disease and elevated triglycerides. </w:t>
      </w:r>
      <w:r w:rsidRPr="002A60A4">
        <w:rPr>
          <w:rFonts w:ascii="Book Antiqua" w:eastAsia="宋体" w:hAnsi="Book Antiqua" w:cs="宋体"/>
          <w:i/>
          <w:iCs/>
          <w:color w:val="000000"/>
          <w:sz w:val="24"/>
          <w:szCs w:val="24"/>
          <w:lang w:val="en-US" w:eastAsia="zh-CN"/>
        </w:rPr>
        <w:t>J Am Coll Nutr</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25</w:t>
      </w:r>
      <w:r w:rsidRPr="002A60A4">
        <w:rPr>
          <w:rFonts w:ascii="Book Antiqua" w:eastAsia="宋体" w:hAnsi="Book Antiqua" w:cs="宋体"/>
          <w:color w:val="000000"/>
          <w:sz w:val="24"/>
          <w:szCs w:val="24"/>
          <w:lang w:val="en-US" w:eastAsia="zh-CN"/>
        </w:rPr>
        <w:t>: 480-485 [PMID: 17229894 DOI: 10.1080/07315724.2006.10719562]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207 </w:t>
      </w:r>
      <w:r w:rsidRPr="002A60A4">
        <w:rPr>
          <w:rFonts w:ascii="Book Antiqua" w:eastAsia="宋体" w:hAnsi="Book Antiqua" w:cs="宋体"/>
          <w:b/>
          <w:bCs/>
          <w:color w:val="000000"/>
          <w:sz w:val="24"/>
          <w:szCs w:val="24"/>
          <w:lang w:val="en-US" w:eastAsia="zh-CN"/>
        </w:rPr>
        <w:t>Elosua R</w:t>
      </w:r>
      <w:r w:rsidRPr="002A60A4">
        <w:rPr>
          <w:rFonts w:ascii="Book Antiqua" w:eastAsia="宋体" w:hAnsi="Book Antiqua" w:cs="宋体"/>
          <w:color w:val="000000"/>
          <w:sz w:val="24"/>
          <w:szCs w:val="24"/>
          <w:lang w:val="en-US" w:eastAsia="zh-CN"/>
        </w:rPr>
        <w:t>, Molina L, Fito M, Arquer A, Sanchez-Quesada JL, Covas MI, Ordoñez-Llanos J, Marrugat J. Response of oxidative stress biomarkers to a 16-week aerobic physical activity program, and to acute physical activity, in healthy young men and women. </w:t>
      </w:r>
      <w:r w:rsidRPr="002A60A4">
        <w:rPr>
          <w:rFonts w:ascii="Book Antiqua" w:eastAsia="宋体" w:hAnsi="Book Antiqua" w:cs="宋体"/>
          <w:i/>
          <w:iCs/>
          <w:color w:val="000000"/>
          <w:sz w:val="24"/>
          <w:szCs w:val="24"/>
          <w:lang w:val="en-US" w:eastAsia="zh-CN"/>
        </w:rPr>
        <w:t>Atherosclerosis</w:t>
      </w:r>
      <w:r w:rsidRPr="002A60A4">
        <w:rPr>
          <w:rFonts w:ascii="Book Antiqua" w:eastAsia="宋体" w:hAnsi="Book Antiqua" w:cs="宋体"/>
          <w:color w:val="000000"/>
          <w:sz w:val="24"/>
          <w:szCs w:val="24"/>
          <w:lang w:val="en-US" w:eastAsia="zh-CN"/>
        </w:rPr>
        <w:t> 2003; </w:t>
      </w:r>
      <w:r w:rsidRPr="002A60A4">
        <w:rPr>
          <w:rFonts w:ascii="Book Antiqua" w:eastAsia="宋体" w:hAnsi="Book Antiqua" w:cs="宋体"/>
          <w:b/>
          <w:bCs/>
          <w:color w:val="000000"/>
          <w:sz w:val="24"/>
          <w:szCs w:val="24"/>
          <w:lang w:val="en-US" w:eastAsia="zh-CN"/>
        </w:rPr>
        <w:t>167</w:t>
      </w:r>
      <w:r w:rsidRPr="002A60A4">
        <w:rPr>
          <w:rFonts w:ascii="Book Antiqua" w:eastAsia="宋体" w:hAnsi="Book Antiqua" w:cs="宋体"/>
          <w:color w:val="000000"/>
          <w:sz w:val="24"/>
          <w:szCs w:val="24"/>
          <w:lang w:val="en-US" w:eastAsia="zh-CN"/>
        </w:rPr>
        <w:t>: 327-334 [PMID: 12818416 DOI: 10.1016/S0021-9150(03)00018-2]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208 </w:t>
      </w:r>
      <w:r w:rsidRPr="002A60A4">
        <w:rPr>
          <w:rFonts w:ascii="Book Antiqua" w:eastAsia="宋体" w:hAnsi="Book Antiqua" w:cs="宋体"/>
          <w:b/>
          <w:bCs/>
          <w:color w:val="000000"/>
          <w:sz w:val="24"/>
          <w:szCs w:val="24"/>
          <w:lang w:val="en-US" w:eastAsia="zh-CN"/>
        </w:rPr>
        <w:t>Wilson IB</w:t>
      </w:r>
      <w:r w:rsidRPr="002A60A4">
        <w:rPr>
          <w:rFonts w:ascii="Book Antiqua" w:eastAsia="宋体" w:hAnsi="Book Antiqua" w:cs="宋体"/>
          <w:color w:val="000000"/>
          <w:sz w:val="24"/>
          <w:szCs w:val="24"/>
          <w:lang w:val="en-US" w:eastAsia="zh-CN"/>
        </w:rPr>
        <w:t>, Jacobson DL, Roubenoff R, Spiegelman D, Knox TA, Gorbach SL. Changes in lean body mass and total body weight are weakly associated with physical functioning in patients with HIV infection. </w:t>
      </w:r>
      <w:r w:rsidRPr="002A60A4">
        <w:rPr>
          <w:rFonts w:ascii="Book Antiqua" w:eastAsia="宋体" w:hAnsi="Book Antiqua" w:cs="宋体"/>
          <w:i/>
          <w:iCs/>
          <w:color w:val="000000"/>
          <w:sz w:val="24"/>
          <w:szCs w:val="24"/>
          <w:lang w:val="en-US" w:eastAsia="zh-CN"/>
        </w:rPr>
        <w:t>HIV Med</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3</w:t>
      </w:r>
      <w:r w:rsidRPr="002A60A4">
        <w:rPr>
          <w:rFonts w:ascii="Book Antiqua" w:eastAsia="宋体" w:hAnsi="Book Antiqua" w:cs="宋体"/>
          <w:color w:val="000000"/>
          <w:sz w:val="24"/>
          <w:szCs w:val="24"/>
          <w:lang w:val="en-US" w:eastAsia="zh-CN"/>
        </w:rPr>
        <w:t>: 263-270 [PMID: 12444944 DOI: 10.1046/j.1468-1293.2002.00122.x]</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209 </w:t>
      </w:r>
      <w:r w:rsidRPr="002A60A4">
        <w:rPr>
          <w:rFonts w:ascii="Book Antiqua" w:eastAsia="宋体" w:hAnsi="Book Antiqua" w:cs="宋体"/>
          <w:b/>
          <w:bCs/>
          <w:color w:val="000000"/>
          <w:sz w:val="24"/>
          <w:szCs w:val="24"/>
          <w:lang w:val="en-US" w:eastAsia="zh-CN"/>
        </w:rPr>
        <w:t>Lindegaard B</w:t>
      </w:r>
      <w:r w:rsidRPr="002A60A4">
        <w:rPr>
          <w:rFonts w:ascii="Book Antiqua" w:eastAsia="宋体" w:hAnsi="Book Antiqua" w:cs="宋体"/>
          <w:color w:val="000000"/>
          <w:sz w:val="24"/>
          <w:szCs w:val="24"/>
          <w:lang w:val="en-US" w:eastAsia="zh-CN"/>
        </w:rPr>
        <w:t>, Hansen T, Hvid T, van Hall G, Plomgaard P, Ditlevsen S, Gerstoft J, Pedersen BK. The effect of strength and endurance training on insulin sensitivity and fat distribution in human immunodeficiency virus-infected patients with lipodystrophy. </w:t>
      </w:r>
      <w:r w:rsidRPr="002A60A4">
        <w:rPr>
          <w:rFonts w:ascii="Book Antiqua" w:eastAsia="宋体" w:hAnsi="Book Antiqua" w:cs="宋体"/>
          <w:i/>
          <w:iCs/>
          <w:color w:val="000000"/>
          <w:sz w:val="24"/>
          <w:szCs w:val="24"/>
          <w:lang w:val="en-US" w:eastAsia="zh-CN"/>
        </w:rPr>
        <w:t>J Clin Endocrinol Metab</w:t>
      </w:r>
      <w:r w:rsidRPr="002A60A4">
        <w:rPr>
          <w:rFonts w:ascii="Book Antiqua" w:eastAsia="宋体" w:hAnsi="Book Antiqua" w:cs="宋体"/>
          <w:color w:val="000000"/>
          <w:sz w:val="24"/>
          <w:szCs w:val="24"/>
          <w:lang w:val="en-US" w:eastAsia="zh-CN"/>
        </w:rPr>
        <w:t> 2008; </w:t>
      </w:r>
      <w:r w:rsidRPr="002A60A4">
        <w:rPr>
          <w:rFonts w:ascii="Book Antiqua" w:eastAsia="宋体" w:hAnsi="Book Antiqua" w:cs="宋体"/>
          <w:b/>
          <w:bCs/>
          <w:color w:val="000000"/>
          <w:sz w:val="24"/>
          <w:szCs w:val="24"/>
          <w:lang w:val="en-US" w:eastAsia="zh-CN"/>
        </w:rPr>
        <w:t>93</w:t>
      </w:r>
      <w:r w:rsidRPr="002A60A4">
        <w:rPr>
          <w:rFonts w:ascii="Book Antiqua" w:eastAsia="宋体" w:hAnsi="Book Antiqua" w:cs="宋体"/>
          <w:color w:val="000000"/>
          <w:sz w:val="24"/>
          <w:szCs w:val="24"/>
          <w:lang w:val="en-US" w:eastAsia="zh-CN"/>
        </w:rPr>
        <w:t>: 3860-3869 [PMID: 18628529 DOI: 10.1210/jc.2007-2733]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210 </w:t>
      </w:r>
      <w:r w:rsidRPr="002A60A4">
        <w:rPr>
          <w:rFonts w:ascii="Book Antiqua" w:eastAsia="宋体" w:hAnsi="Book Antiqua" w:cs="宋体"/>
          <w:b/>
          <w:bCs/>
          <w:color w:val="000000"/>
          <w:sz w:val="24"/>
          <w:szCs w:val="24"/>
          <w:lang w:val="en-US" w:eastAsia="zh-CN"/>
        </w:rPr>
        <w:t>Roubenoff R</w:t>
      </w:r>
      <w:r w:rsidRPr="002A60A4">
        <w:rPr>
          <w:rFonts w:ascii="Book Antiqua" w:eastAsia="宋体" w:hAnsi="Book Antiqua" w:cs="宋体"/>
          <w:color w:val="000000"/>
          <w:sz w:val="24"/>
          <w:szCs w:val="24"/>
          <w:lang w:val="en-US" w:eastAsia="zh-CN"/>
        </w:rPr>
        <w:t>, Wilson IB. Effect of resistance training on self-reported physical functioning in HIV infection. </w:t>
      </w:r>
      <w:r w:rsidRPr="002A60A4">
        <w:rPr>
          <w:rFonts w:ascii="Book Antiqua" w:eastAsia="宋体" w:hAnsi="Book Antiqua" w:cs="宋体"/>
          <w:i/>
          <w:iCs/>
          <w:color w:val="000000"/>
          <w:sz w:val="24"/>
          <w:szCs w:val="24"/>
          <w:lang w:val="en-US" w:eastAsia="zh-CN"/>
        </w:rPr>
        <w:t>Med Sci Sports Exerc</w:t>
      </w:r>
      <w:r w:rsidRPr="002A60A4">
        <w:rPr>
          <w:rFonts w:ascii="Book Antiqua" w:eastAsia="宋体" w:hAnsi="Book Antiqua" w:cs="宋体"/>
          <w:color w:val="000000"/>
          <w:sz w:val="24"/>
          <w:szCs w:val="24"/>
          <w:lang w:val="en-US" w:eastAsia="zh-CN"/>
        </w:rPr>
        <w:t> 2001; </w:t>
      </w:r>
      <w:r w:rsidRPr="002A60A4">
        <w:rPr>
          <w:rFonts w:ascii="Book Antiqua" w:eastAsia="宋体" w:hAnsi="Book Antiqua" w:cs="宋体"/>
          <w:b/>
          <w:bCs/>
          <w:color w:val="000000"/>
          <w:sz w:val="24"/>
          <w:szCs w:val="24"/>
          <w:lang w:val="en-US" w:eastAsia="zh-CN"/>
        </w:rPr>
        <w:t>33</w:t>
      </w:r>
      <w:r w:rsidRPr="002A60A4">
        <w:rPr>
          <w:rFonts w:ascii="Book Antiqua" w:eastAsia="宋体" w:hAnsi="Book Antiqua" w:cs="宋体"/>
          <w:color w:val="000000"/>
          <w:sz w:val="24"/>
          <w:szCs w:val="24"/>
          <w:lang w:val="en-US" w:eastAsia="zh-CN"/>
        </w:rPr>
        <w:t>: 1811-1817 [PMID: 11689729 DOI: 10.1097/00005768-200111000-00003]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211 </w:t>
      </w:r>
      <w:r w:rsidRPr="002A60A4">
        <w:rPr>
          <w:rFonts w:ascii="Book Antiqua" w:eastAsia="宋体" w:hAnsi="Book Antiqua" w:cs="宋体"/>
          <w:b/>
          <w:bCs/>
          <w:color w:val="000000"/>
          <w:sz w:val="24"/>
          <w:szCs w:val="24"/>
          <w:lang w:val="en-US" w:eastAsia="zh-CN"/>
        </w:rPr>
        <w:t>de Almeida ER</w:t>
      </w:r>
      <w:r w:rsidRPr="002A60A4">
        <w:rPr>
          <w:rFonts w:ascii="Book Antiqua" w:eastAsia="宋体" w:hAnsi="Book Antiqua" w:cs="宋体"/>
          <w:color w:val="000000"/>
          <w:sz w:val="24"/>
          <w:szCs w:val="24"/>
          <w:lang w:val="en-US" w:eastAsia="zh-CN"/>
        </w:rPr>
        <w:t>, Reiche EM, Kallaur AP, Flauzino T, Watanabe MA. The roles of genetic polymorphisms and human immunodeficiency virus infection in lipid metabolism. </w:t>
      </w:r>
      <w:r w:rsidRPr="002A60A4">
        <w:rPr>
          <w:rFonts w:ascii="Book Antiqua" w:eastAsia="宋体" w:hAnsi="Book Antiqua" w:cs="宋体"/>
          <w:i/>
          <w:iCs/>
          <w:color w:val="000000"/>
          <w:sz w:val="24"/>
          <w:szCs w:val="24"/>
          <w:lang w:val="en-US" w:eastAsia="zh-CN"/>
        </w:rPr>
        <w:t>Biomed Res Int</w:t>
      </w:r>
      <w:r w:rsidRPr="002A60A4">
        <w:rPr>
          <w:rFonts w:ascii="Book Antiqua" w:eastAsia="宋体" w:hAnsi="Book Antiqua" w:cs="宋体"/>
          <w:color w:val="000000"/>
          <w:sz w:val="24"/>
          <w:szCs w:val="24"/>
          <w:lang w:val="en-US" w:eastAsia="zh-CN"/>
        </w:rPr>
        <w:t> 2013; </w:t>
      </w:r>
      <w:r w:rsidRPr="002A60A4">
        <w:rPr>
          <w:rFonts w:ascii="Book Antiqua" w:eastAsia="宋体" w:hAnsi="Book Antiqua" w:cs="宋体"/>
          <w:b/>
          <w:bCs/>
          <w:color w:val="000000"/>
          <w:sz w:val="24"/>
          <w:szCs w:val="24"/>
          <w:lang w:val="en-US" w:eastAsia="zh-CN"/>
        </w:rPr>
        <w:t>2013</w:t>
      </w:r>
      <w:r w:rsidRPr="002A60A4">
        <w:rPr>
          <w:rFonts w:ascii="Book Antiqua" w:eastAsia="宋体" w:hAnsi="Book Antiqua" w:cs="宋体"/>
          <w:color w:val="000000"/>
          <w:sz w:val="24"/>
          <w:szCs w:val="24"/>
          <w:lang w:val="en-US" w:eastAsia="zh-CN"/>
        </w:rPr>
        <w:t>: 836790 [PMID: 24319689 DOI: 10.1155/2013/836790]</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212 </w:t>
      </w:r>
      <w:r w:rsidRPr="002A60A4">
        <w:rPr>
          <w:rFonts w:ascii="Book Antiqua" w:eastAsia="宋体" w:hAnsi="Book Antiqua" w:cs="宋体"/>
          <w:b/>
          <w:bCs/>
          <w:color w:val="000000"/>
          <w:sz w:val="24"/>
          <w:szCs w:val="24"/>
          <w:lang w:val="en-US" w:eastAsia="zh-CN"/>
        </w:rPr>
        <w:t>Alcaraz LA</w:t>
      </w:r>
      <w:r w:rsidRPr="002A60A4">
        <w:rPr>
          <w:rFonts w:ascii="Book Antiqua" w:eastAsia="宋体" w:hAnsi="Book Antiqua" w:cs="宋体"/>
          <w:color w:val="000000"/>
          <w:sz w:val="24"/>
          <w:szCs w:val="24"/>
          <w:lang w:val="en-US" w:eastAsia="zh-CN"/>
        </w:rPr>
        <w:t>, del Alamo M, Barrera FN, Mateu MG, Neira JL. Flexibility in HIV-1 assembly subunits: solution structure of the monomeric C-terminal domain of the capsid protein. </w:t>
      </w:r>
      <w:r w:rsidRPr="002A60A4">
        <w:rPr>
          <w:rFonts w:ascii="Book Antiqua" w:eastAsia="宋体" w:hAnsi="Book Antiqua" w:cs="宋体"/>
          <w:i/>
          <w:iCs/>
          <w:color w:val="000000"/>
          <w:sz w:val="24"/>
          <w:szCs w:val="24"/>
          <w:lang w:val="en-US" w:eastAsia="zh-CN"/>
        </w:rPr>
        <w:t>Biophys J</w:t>
      </w:r>
      <w:r w:rsidRPr="002A60A4">
        <w:rPr>
          <w:rFonts w:ascii="Book Antiqua" w:eastAsia="宋体" w:hAnsi="Book Antiqua" w:cs="宋体"/>
          <w:color w:val="000000"/>
          <w:sz w:val="24"/>
          <w:szCs w:val="24"/>
          <w:lang w:val="en-US" w:eastAsia="zh-CN"/>
        </w:rPr>
        <w:t> 2007; </w:t>
      </w:r>
      <w:r w:rsidRPr="002A60A4">
        <w:rPr>
          <w:rFonts w:ascii="Book Antiqua" w:eastAsia="宋体" w:hAnsi="Book Antiqua" w:cs="宋体"/>
          <w:b/>
          <w:bCs/>
          <w:color w:val="000000"/>
          <w:sz w:val="24"/>
          <w:szCs w:val="24"/>
          <w:lang w:val="en-US" w:eastAsia="zh-CN"/>
        </w:rPr>
        <w:t>93</w:t>
      </w:r>
      <w:r w:rsidRPr="002A60A4">
        <w:rPr>
          <w:rFonts w:ascii="Book Antiqua" w:eastAsia="宋体" w:hAnsi="Book Antiqua" w:cs="宋体"/>
          <w:color w:val="000000"/>
          <w:sz w:val="24"/>
          <w:szCs w:val="24"/>
          <w:lang w:val="en-US" w:eastAsia="zh-CN"/>
        </w:rPr>
        <w:t>: 1264-1276 [PMID: 17526561]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213 </w:t>
      </w:r>
      <w:r w:rsidRPr="002A60A4">
        <w:rPr>
          <w:rFonts w:ascii="Book Antiqua" w:eastAsia="宋体" w:hAnsi="Book Antiqua" w:cs="宋体"/>
          <w:b/>
          <w:bCs/>
          <w:color w:val="000000"/>
          <w:sz w:val="24"/>
          <w:szCs w:val="24"/>
          <w:lang w:val="en-US" w:eastAsia="zh-CN"/>
        </w:rPr>
        <w:t>Forshey BM</w:t>
      </w:r>
      <w:r w:rsidRPr="002A60A4">
        <w:rPr>
          <w:rFonts w:ascii="Book Antiqua" w:eastAsia="宋体" w:hAnsi="Book Antiqua" w:cs="宋体"/>
          <w:color w:val="000000"/>
          <w:sz w:val="24"/>
          <w:szCs w:val="24"/>
          <w:lang w:val="en-US" w:eastAsia="zh-CN"/>
        </w:rPr>
        <w:t>, von Schwedler U, Sundquist WI, Aiken C. Formation of a human immunodeficiency virus type 1 core of optimal stability is crucial for viral replication. </w:t>
      </w:r>
      <w:r w:rsidRPr="002A60A4">
        <w:rPr>
          <w:rFonts w:ascii="Book Antiqua" w:eastAsia="宋体" w:hAnsi="Book Antiqua" w:cs="宋体"/>
          <w:i/>
          <w:iCs/>
          <w:color w:val="000000"/>
          <w:sz w:val="24"/>
          <w:szCs w:val="24"/>
          <w:lang w:val="en-US" w:eastAsia="zh-CN"/>
        </w:rPr>
        <w:t>J Virol</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76</w:t>
      </w:r>
      <w:r w:rsidRPr="002A60A4">
        <w:rPr>
          <w:rFonts w:ascii="Book Antiqua" w:eastAsia="宋体" w:hAnsi="Book Antiqua" w:cs="宋体"/>
          <w:color w:val="000000"/>
          <w:sz w:val="24"/>
          <w:szCs w:val="24"/>
          <w:lang w:val="en-US" w:eastAsia="zh-CN"/>
        </w:rPr>
        <w:t>: 5667-5677 [PMID: 11991995 DOI: 10.1128/JVI.76.11.5667-5677.2002]</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214 </w:t>
      </w:r>
      <w:r w:rsidRPr="002A60A4">
        <w:rPr>
          <w:rFonts w:ascii="Book Antiqua" w:eastAsia="宋体" w:hAnsi="Book Antiqua" w:cs="宋体"/>
          <w:b/>
          <w:bCs/>
          <w:color w:val="000000"/>
          <w:sz w:val="24"/>
          <w:szCs w:val="24"/>
          <w:lang w:val="en-US" w:eastAsia="zh-CN"/>
        </w:rPr>
        <w:t>Perron MJ</w:t>
      </w:r>
      <w:r w:rsidRPr="002A60A4">
        <w:rPr>
          <w:rFonts w:ascii="Book Antiqua" w:eastAsia="宋体" w:hAnsi="Book Antiqua" w:cs="宋体"/>
          <w:color w:val="000000"/>
          <w:sz w:val="24"/>
          <w:szCs w:val="24"/>
          <w:lang w:val="en-US" w:eastAsia="zh-CN"/>
        </w:rPr>
        <w:t>, Stremlau M, Song B, Ulm W, Mulligan RC, Sodroski J. TRIM5alpha mediates the postentry block to N-tropic murine leukemia viruses in human cells. </w:t>
      </w:r>
      <w:r w:rsidR="003F0C57">
        <w:rPr>
          <w:rFonts w:ascii="Book Antiqua" w:eastAsia="宋体" w:hAnsi="Book Antiqua" w:cs="宋体"/>
          <w:i/>
          <w:iCs/>
          <w:color w:val="000000"/>
          <w:sz w:val="24"/>
          <w:szCs w:val="24"/>
          <w:lang w:val="en-US" w:eastAsia="zh-CN"/>
        </w:rPr>
        <w:t>Proc Natl Acad Sci US</w:t>
      </w:r>
      <w:r w:rsidRPr="002A60A4">
        <w:rPr>
          <w:rFonts w:ascii="Book Antiqua" w:eastAsia="宋体" w:hAnsi="Book Antiqua" w:cs="宋体"/>
          <w:i/>
          <w:iCs/>
          <w:color w:val="000000"/>
          <w:sz w:val="24"/>
          <w:szCs w:val="24"/>
          <w:lang w:val="en-US" w:eastAsia="zh-CN"/>
        </w:rPr>
        <w:t>A</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101</w:t>
      </w:r>
      <w:r w:rsidRPr="002A60A4">
        <w:rPr>
          <w:rFonts w:ascii="Book Antiqua" w:eastAsia="宋体" w:hAnsi="Book Antiqua" w:cs="宋体"/>
          <w:color w:val="000000"/>
          <w:sz w:val="24"/>
          <w:szCs w:val="24"/>
          <w:lang w:val="en-US" w:eastAsia="zh-CN"/>
        </w:rPr>
        <w:t>: 11827-11832 [PMID: 15280539 DOI: 10.1073/pnas.0403364101]</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215 </w:t>
      </w:r>
      <w:r w:rsidRPr="002A60A4">
        <w:rPr>
          <w:rFonts w:ascii="Book Antiqua" w:eastAsia="宋体" w:hAnsi="Book Antiqua" w:cs="宋体"/>
          <w:b/>
          <w:bCs/>
          <w:color w:val="000000"/>
          <w:sz w:val="24"/>
          <w:szCs w:val="24"/>
          <w:lang w:val="en-US" w:eastAsia="zh-CN"/>
        </w:rPr>
        <w:t>Stremlau M</w:t>
      </w:r>
      <w:r w:rsidRPr="002A60A4">
        <w:rPr>
          <w:rFonts w:ascii="Book Antiqua" w:eastAsia="宋体" w:hAnsi="Book Antiqua" w:cs="宋体"/>
          <w:color w:val="000000"/>
          <w:sz w:val="24"/>
          <w:szCs w:val="24"/>
          <w:lang w:val="en-US" w:eastAsia="zh-CN"/>
        </w:rPr>
        <w:t>, Owens CM, Perron MJ, Kiessling M, Autissier P, Sodroski J. The cytoplasmic body component TRIM5alpha restricts HIV-1 infection in Old World monkeys. </w:t>
      </w:r>
      <w:r w:rsidRPr="002A60A4">
        <w:rPr>
          <w:rFonts w:ascii="Book Antiqua" w:eastAsia="宋体" w:hAnsi="Book Antiqua" w:cs="宋体"/>
          <w:i/>
          <w:iCs/>
          <w:color w:val="000000"/>
          <w:sz w:val="24"/>
          <w:szCs w:val="24"/>
          <w:lang w:val="en-US" w:eastAsia="zh-CN"/>
        </w:rPr>
        <w:t>Nature</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427</w:t>
      </w:r>
      <w:r w:rsidRPr="002A60A4">
        <w:rPr>
          <w:rFonts w:ascii="Book Antiqua" w:eastAsia="宋体" w:hAnsi="Book Antiqua" w:cs="宋体"/>
          <w:color w:val="000000"/>
          <w:sz w:val="24"/>
          <w:szCs w:val="24"/>
          <w:lang w:val="en-US" w:eastAsia="zh-CN"/>
        </w:rPr>
        <w:t>: 848-853 [PMID: 14985764 DOI: 10.1038/nature02343]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216 </w:t>
      </w:r>
      <w:r w:rsidRPr="002A60A4">
        <w:rPr>
          <w:rFonts w:ascii="Book Antiqua" w:eastAsia="宋体" w:hAnsi="Book Antiqua" w:cs="宋体"/>
          <w:b/>
          <w:bCs/>
          <w:color w:val="000000"/>
          <w:sz w:val="24"/>
          <w:szCs w:val="24"/>
          <w:lang w:val="en-US" w:eastAsia="zh-CN"/>
        </w:rPr>
        <w:t>Sayah DM</w:t>
      </w:r>
      <w:r w:rsidRPr="002A60A4">
        <w:rPr>
          <w:rFonts w:ascii="Book Antiqua" w:eastAsia="宋体" w:hAnsi="Book Antiqua" w:cs="宋体"/>
          <w:color w:val="000000"/>
          <w:sz w:val="24"/>
          <w:szCs w:val="24"/>
          <w:lang w:val="en-US" w:eastAsia="zh-CN"/>
        </w:rPr>
        <w:t>, Sokolskaja E, Berthoux L, Luban J. Cyclophilin A retrotransposition into TRIM5 explains owl monkey resistance to HIV-1. </w:t>
      </w:r>
      <w:r w:rsidRPr="002A60A4">
        <w:rPr>
          <w:rFonts w:ascii="Book Antiqua" w:eastAsia="宋体" w:hAnsi="Book Antiqua" w:cs="宋体"/>
          <w:i/>
          <w:iCs/>
          <w:color w:val="000000"/>
          <w:sz w:val="24"/>
          <w:szCs w:val="24"/>
          <w:lang w:val="en-US" w:eastAsia="zh-CN"/>
        </w:rPr>
        <w:t>Nature</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430</w:t>
      </w:r>
      <w:r w:rsidRPr="002A60A4">
        <w:rPr>
          <w:rFonts w:ascii="Book Antiqua" w:eastAsia="宋体" w:hAnsi="Book Antiqua" w:cs="宋体"/>
          <w:color w:val="000000"/>
          <w:sz w:val="24"/>
          <w:szCs w:val="24"/>
          <w:lang w:val="en-US" w:eastAsia="zh-CN"/>
        </w:rPr>
        <w:t>: 569-573 [PMID: 15243629 DOI: 10.1038/nature02777]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217 </w:t>
      </w:r>
      <w:r w:rsidRPr="002A60A4">
        <w:rPr>
          <w:rFonts w:ascii="Book Antiqua" w:eastAsia="宋体" w:hAnsi="Book Antiqua" w:cs="宋体"/>
          <w:b/>
          <w:bCs/>
          <w:color w:val="000000"/>
          <w:sz w:val="24"/>
          <w:szCs w:val="24"/>
          <w:lang w:val="en-US" w:eastAsia="zh-CN"/>
        </w:rPr>
        <w:t>Ohkura S</w:t>
      </w:r>
      <w:r w:rsidRPr="002A60A4">
        <w:rPr>
          <w:rFonts w:ascii="Book Antiqua" w:eastAsia="宋体" w:hAnsi="Book Antiqua" w:cs="宋体"/>
          <w:color w:val="000000"/>
          <w:sz w:val="24"/>
          <w:szCs w:val="24"/>
          <w:lang w:val="en-US" w:eastAsia="zh-CN"/>
        </w:rPr>
        <w:t>, Yap MW, Sheldon T, Stoye JP. All three variable regions of the TRIM5alpha B30.2 domain can contribute to the specificity of retrovirus restriction. </w:t>
      </w:r>
      <w:r w:rsidRPr="002A60A4">
        <w:rPr>
          <w:rFonts w:ascii="Book Antiqua" w:eastAsia="宋体" w:hAnsi="Book Antiqua" w:cs="宋体"/>
          <w:i/>
          <w:iCs/>
          <w:color w:val="000000"/>
          <w:sz w:val="24"/>
          <w:szCs w:val="24"/>
          <w:lang w:val="en-US" w:eastAsia="zh-CN"/>
        </w:rPr>
        <w:t>J Virol</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80</w:t>
      </w:r>
      <w:r w:rsidRPr="002A60A4">
        <w:rPr>
          <w:rFonts w:ascii="Book Antiqua" w:eastAsia="宋体" w:hAnsi="Book Antiqua" w:cs="宋体"/>
          <w:color w:val="000000"/>
          <w:sz w:val="24"/>
          <w:szCs w:val="24"/>
          <w:lang w:val="en-US" w:eastAsia="zh-CN"/>
        </w:rPr>
        <w:t>: 8554-8565 [PMID: 16912305 DOI: 10.1128/JVI.00688-06]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218 </w:t>
      </w:r>
      <w:r w:rsidRPr="002A60A4">
        <w:rPr>
          <w:rFonts w:ascii="Book Antiqua" w:eastAsia="宋体" w:hAnsi="Book Antiqua" w:cs="宋体"/>
          <w:b/>
          <w:bCs/>
          <w:color w:val="000000"/>
          <w:sz w:val="24"/>
          <w:szCs w:val="24"/>
          <w:lang w:val="en-US" w:eastAsia="zh-CN"/>
        </w:rPr>
        <w:t>Nakayama EE</w:t>
      </w:r>
      <w:r w:rsidRPr="002A60A4">
        <w:rPr>
          <w:rFonts w:ascii="Book Antiqua" w:eastAsia="宋体" w:hAnsi="Book Antiqua" w:cs="宋体"/>
          <w:color w:val="000000"/>
          <w:sz w:val="24"/>
          <w:szCs w:val="24"/>
          <w:lang w:val="en-US" w:eastAsia="zh-CN"/>
        </w:rPr>
        <w:t>, Shioda T. Role of Human TRIM5α in Intrinsic Immunity. </w:t>
      </w:r>
      <w:r w:rsidRPr="002A60A4">
        <w:rPr>
          <w:rFonts w:ascii="Book Antiqua" w:eastAsia="宋体" w:hAnsi="Book Antiqua" w:cs="宋体"/>
          <w:i/>
          <w:iCs/>
          <w:color w:val="000000"/>
          <w:sz w:val="24"/>
          <w:szCs w:val="24"/>
          <w:lang w:val="en-US" w:eastAsia="zh-CN"/>
        </w:rPr>
        <w:t>Front Microbiol</w:t>
      </w:r>
      <w:r w:rsidRPr="002A60A4">
        <w:rPr>
          <w:rFonts w:ascii="Book Antiqua" w:eastAsia="宋体" w:hAnsi="Book Antiqua" w:cs="宋体"/>
          <w:color w:val="000000"/>
          <w:sz w:val="24"/>
          <w:szCs w:val="24"/>
          <w:lang w:val="en-US" w:eastAsia="zh-CN"/>
        </w:rPr>
        <w:t> 2012; </w:t>
      </w:r>
      <w:r w:rsidRPr="002A60A4">
        <w:rPr>
          <w:rFonts w:ascii="Book Antiqua" w:eastAsia="宋体" w:hAnsi="Book Antiqua" w:cs="宋体"/>
          <w:b/>
          <w:bCs/>
          <w:color w:val="000000"/>
          <w:sz w:val="24"/>
          <w:szCs w:val="24"/>
          <w:lang w:val="en-US" w:eastAsia="zh-CN"/>
        </w:rPr>
        <w:t>3</w:t>
      </w:r>
      <w:r w:rsidRPr="002A60A4">
        <w:rPr>
          <w:rFonts w:ascii="Book Antiqua" w:eastAsia="宋体" w:hAnsi="Book Antiqua" w:cs="宋体"/>
          <w:color w:val="000000"/>
          <w:sz w:val="24"/>
          <w:szCs w:val="24"/>
          <w:lang w:val="en-US" w:eastAsia="zh-CN"/>
        </w:rPr>
        <w:t>: 97 [PMID: 22435067 DOI: 10.3389/fmicb.2012.00097]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219 </w:t>
      </w:r>
      <w:r w:rsidRPr="002A60A4">
        <w:rPr>
          <w:rFonts w:ascii="Book Antiqua" w:eastAsia="宋体" w:hAnsi="Book Antiqua" w:cs="宋体"/>
          <w:b/>
          <w:bCs/>
          <w:color w:val="000000"/>
          <w:sz w:val="24"/>
          <w:szCs w:val="24"/>
          <w:lang w:val="en-US" w:eastAsia="zh-CN"/>
        </w:rPr>
        <w:t>Zhang J</w:t>
      </w:r>
      <w:r w:rsidRPr="002A60A4">
        <w:rPr>
          <w:rFonts w:ascii="Book Antiqua" w:eastAsia="宋体" w:hAnsi="Book Antiqua" w:cs="宋体"/>
          <w:color w:val="000000"/>
          <w:sz w:val="24"/>
          <w:szCs w:val="24"/>
          <w:lang w:val="en-US" w:eastAsia="zh-CN"/>
        </w:rPr>
        <w:t>, Ge W, Zhan P, De Clercq E, Liu X. Retroviral restriction factors TRIM5α: therapeutic strategy to inhibit HIV-1 replication. </w:t>
      </w:r>
      <w:r w:rsidRPr="002A60A4">
        <w:rPr>
          <w:rFonts w:ascii="Book Antiqua" w:eastAsia="宋体" w:hAnsi="Book Antiqua" w:cs="宋体"/>
          <w:i/>
          <w:iCs/>
          <w:color w:val="000000"/>
          <w:sz w:val="24"/>
          <w:szCs w:val="24"/>
          <w:lang w:val="en-US" w:eastAsia="zh-CN"/>
        </w:rPr>
        <w:t>Curr Med Chem</w:t>
      </w:r>
      <w:r w:rsidRPr="002A60A4">
        <w:rPr>
          <w:rFonts w:ascii="Book Antiqua" w:eastAsia="宋体" w:hAnsi="Book Antiqua" w:cs="宋体"/>
          <w:color w:val="000000"/>
          <w:sz w:val="24"/>
          <w:szCs w:val="24"/>
          <w:lang w:val="en-US" w:eastAsia="zh-CN"/>
        </w:rPr>
        <w:t> 2011; </w:t>
      </w:r>
      <w:r w:rsidRPr="002A60A4">
        <w:rPr>
          <w:rFonts w:ascii="Book Antiqua" w:eastAsia="宋体" w:hAnsi="Book Antiqua" w:cs="宋体"/>
          <w:b/>
          <w:bCs/>
          <w:color w:val="000000"/>
          <w:sz w:val="24"/>
          <w:szCs w:val="24"/>
          <w:lang w:val="en-US" w:eastAsia="zh-CN"/>
        </w:rPr>
        <w:t>18</w:t>
      </w:r>
      <w:r w:rsidRPr="002A60A4">
        <w:rPr>
          <w:rFonts w:ascii="Book Antiqua" w:eastAsia="宋体" w:hAnsi="Book Antiqua" w:cs="宋体"/>
          <w:color w:val="000000"/>
          <w:sz w:val="24"/>
          <w:szCs w:val="24"/>
          <w:lang w:val="en-US" w:eastAsia="zh-CN"/>
        </w:rPr>
        <w:t>: 2649-2654 [PMID: 21568899 DOI: 10.2174/092986711795933687]</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220 </w:t>
      </w:r>
      <w:r w:rsidRPr="002A60A4">
        <w:rPr>
          <w:rFonts w:ascii="Book Antiqua" w:eastAsia="宋体" w:hAnsi="Book Antiqua" w:cs="宋体"/>
          <w:b/>
          <w:bCs/>
          <w:color w:val="000000"/>
          <w:sz w:val="24"/>
          <w:szCs w:val="24"/>
          <w:lang w:val="en-US" w:eastAsia="zh-CN"/>
        </w:rPr>
        <w:t>Jarmuz A</w:t>
      </w:r>
      <w:r w:rsidRPr="002A60A4">
        <w:rPr>
          <w:rFonts w:ascii="Book Antiqua" w:eastAsia="宋体" w:hAnsi="Book Antiqua" w:cs="宋体"/>
          <w:color w:val="000000"/>
          <w:sz w:val="24"/>
          <w:szCs w:val="24"/>
          <w:lang w:val="en-US" w:eastAsia="zh-CN"/>
        </w:rPr>
        <w:t>, Chester A, Bayliss J, Gisbourne J, Dunham I, Scott J, Navaratnam N. An anthropoid-specific locus of orphan C to U RNA-editing enzymes on chromosome 22. </w:t>
      </w:r>
      <w:r w:rsidRPr="002A60A4">
        <w:rPr>
          <w:rFonts w:ascii="Book Antiqua" w:eastAsia="宋体" w:hAnsi="Book Antiqua" w:cs="宋体"/>
          <w:i/>
          <w:iCs/>
          <w:color w:val="000000"/>
          <w:sz w:val="24"/>
          <w:szCs w:val="24"/>
          <w:lang w:val="en-US" w:eastAsia="zh-CN"/>
        </w:rPr>
        <w:t>Genomics</w:t>
      </w:r>
      <w:r w:rsidRPr="002A60A4">
        <w:rPr>
          <w:rFonts w:ascii="Book Antiqua" w:eastAsia="宋体" w:hAnsi="Book Antiqua" w:cs="宋体"/>
          <w:color w:val="000000"/>
          <w:sz w:val="24"/>
          <w:szCs w:val="24"/>
          <w:lang w:val="en-US" w:eastAsia="zh-CN"/>
        </w:rPr>
        <w:t> 2002; </w:t>
      </w:r>
      <w:r w:rsidRPr="002A60A4">
        <w:rPr>
          <w:rFonts w:ascii="Book Antiqua" w:eastAsia="宋体" w:hAnsi="Book Antiqua" w:cs="宋体"/>
          <w:b/>
          <w:bCs/>
          <w:color w:val="000000"/>
          <w:sz w:val="24"/>
          <w:szCs w:val="24"/>
          <w:lang w:val="en-US" w:eastAsia="zh-CN"/>
        </w:rPr>
        <w:t>79</w:t>
      </w:r>
      <w:r w:rsidRPr="002A60A4">
        <w:rPr>
          <w:rFonts w:ascii="Book Antiqua" w:eastAsia="宋体" w:hAnsi="Book Antiqua" w:cs="宋体"/>
          <w:color w:val="000000"/>
          <w:sz w:val="24"/>
          <w:szCs w:val="24"/>
          <w:lang w:val="en-US" w:eastAsia="zh-CN"/>
        </w:rPr>
        <w:t>: 285-296 [PMID: 11863358 DOI: 10.1006/geno.2002.6718]</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221 </w:t>
      </w:r>
      <w:r w:rsidRPr="002A60A4">
        <w:rPr>
          <w:rFonts w:ascii="Book Antiqua" w:eastAsia="宋体" w:hAnsi="Book Antiqua" w:cs="宋体"/>
          <w:b/>
          <w:bCs/>
          <w:color w:val="000000"/>
          <w:sz w:val="24"/>
          <w:szCs w:val="24"/>
          <w:lang w:val="en-US" w:eastAsia="zh-CN"/>
        </w:rPr>
        <w:t>Zheng YH</w:t>
      </w:r>
      <w:r w:rsidRPr="002A60A4">
        <w:rPr>
          <w:rFonts w:ascii="Book Antiqua" w:eastAsia="宋体" w:hAnsi="Book Antiqua" w:cs="宋体"/>
          <w:color w:val="000000"/>
          <w:sz w:val="24"/>
          <w:szCs w:val="24"/>
          <w:lang w:val="en-US" w:eastAsia="zh-CN"/>
        </w:rPr>
        <w:t>, Irwin D, Kurosu T, Tokunaga K, Sata T, Peterlin BM. Human APOBEC3F is another host factor that blocks human immunodeficiency virus type 1 replication. </w:t>
      </w:r>
      <w:r w:rsidRPr="002A60A4">
        <w:rPr>
          <w:rFonts w:ascii="Book Antiqua" w:eastAsia="宋体" w:hAnsi="Book Antiqua" w:cs="宋体"/>
          <w:i/>
          <w:iCs/>
          <w:color w:val="000000"/>
          <w:sz w:val="24"/>
          <w:szCs w:val="24"/>
          <w:lang w:val="en-US" w:eastAsia="zh-CN"/>
        </w:rPr>
        <w:t>J Virol</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78</w:t>
      </w:r>
      <w:r w:rsidRPr="002A60A4">
        <w:rPr>
          <w:rFonts w:ascii="Book Antiqua" w:eastAsia="宋体" w:hAnsi="Book Antiqua" w:cs="宋体"/>
          <w:color w:val="000000"/>
          <w:sz w:val="24"/>
          <w:szCs w:val="24"/>
          <w:lang w:val="en-US" w:eastAsia="zh-CN"/>
        </w:rPr>
        <w:t>: 6073-6076 [PMID: 15141007 DOI: 10.1128/JVI.78.11.6073-6076.2004]</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222 </w:t>
      </w:r>
      <w:r w:rsidRPr="002A60A4">
        <w:rPr>
          <w:rFonts w:ascii="Book Antiqua" w:eastAsia="宋体" w:hAnsi="Book Antiqua" w:cs="宋体"/>
          <w:b/>
          <w:bCs/>
          <w:color w:val="000000"/>
          <w:sz w:val="24"/>
          <w:szCs w:val="24"/>
          <w:lang w:val="en-US" w:eastAsia="zh-CN"/>
        </w:rPr>
        <w:t>Wiegand HL</w:t>
      </w:r>
      <w:r w:rsidRPr="002A60A4">
        <w:rPr>
          <w:rFonts w:ascii="Book Antiqua" w:eastAsia="宋体" w:hAnsi="Book Antiqua" w:cs="宋体"/>
          <w:color w:val="000000"/>
          <w:sz w:val="24"/>
          <w:szCs w:val="24"/>
          <w:lang w:val="en-US" w:eastAsia="zh-CN"/>
        </w:rPr>
        <w:t>, Doehle BP, Bogerd HP, Cullen BR. A second human antiretroviral factor, APOBEC3F, is suppressed by the HIV-1 and HIV-2 Vif proteins. </w:t>
      </w:r>
      <w:r w:rsidRPr="002A60A4">
        <w:rPr>
          <w:rFonts w:ascii="Book Antiqua" w:eastAsia="宋体" w:hAnsi="Book Antiqua" w:cs="宋体"/>
          <w:i/>
          <w:iCs/>
          <w:color w:val="000000"/>
          <w:sz w:val="24"/>
          <w:szCs w:val="24"/>
          <w:lang w:val="en-US" w:eastAsia="zh-CN"/>
        </w:rPr>
        <w:t>EMBO J</w:t>
      </w:r>
      <w:r w:rsidRPr="002A60A4">
        <w:rPr>
          <w:rFonts w:ascii="Book Antiqua" w:eastAsia="宋体" w:hAnsi="Book Antiqua" w:cs="宋体"/>
          <w:color w:val="000000"/>
          <w:sz w:val="24"/>
          <w:szCs w:val="24"/>
          <w:lang w:val="en-US" w:eastAsia="zh-CN"/>
        </w:rPr>
        <w:t> 2004; </w:t>
      </w:r>
      <w:r w:rsidRPr="002A60A4">
        <w:rPr>
          <w:rFonts w:ascii="Book Antiqua" w:eastAsia="宋体" w:hAnsi="Book Antiqua" w:cs="宋体"/>
          <w:b/>
          <w:bCs/>
          <w:color w:val="000000"/>
          <w:sz w:val="24"/>
          <w:szCs w:val="24"/>
          <w:lang w:val="en-US" w:eastAsia="zh-CN"/>
        </w:rPr>
        <w:t>23</w:t>
      </w:r>
      <w:r w:rsidRPr="002A60A4">
        <w:rPr>
          <w:rFonts w:ascii="Book Antiqua" w:eastAsia="宋体" w:hAnsi="Book Antiqua" w:cs="宋体"/>
          <w:color w:val="000000"/>
          <w:sz w:val="24"/>
          <w:szCs w:val="24"/>
          <w:lang w:val="en-US" w:eastAsia="zh-CN"/>
        </w:rPr>
        <w:t>: 2451-2458 [PMID: 15152192 DOI: 10.1038/sj.emboj.7600246]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223 </w:t>
      </w:r>
      <w:r w:rsidRPr="002A60A4">
        <w:rPr>
          <w:rFonts w:ascii="Book Antiqua" w:eastAsia="宋体" w:hAnsi="Book Antiqua" w:cs="宋体"/>
          <w:b/>
          <w:bCs/>
          <w:color w:val="000000"/>
          <w:sz w:val="24"/>
          <w:szCs w:val="24"/>
          <w:lang w:val="en-US" w:eastAsia="zh-CN"/>
        </w:rPr>
        <w:t>Cullen BR</w:t>
      </w:r>
      <w:r w:rsidRPr="002A60A4">
        <w:rPr>
          <w:rFonts w:ascii="Book Antiqua" w:eastAsia="宋体" w:hAnsi="Book Antiqua" w:cs="宋体"/>
          <w:color w:val="000000"/>
          <w:sz w:val="24"/>
          <w:szCs w:val="24"/>
          <w:lang w:val="en-US" w:eastAsia="zh-CN"/>
        </w:rPr>
        <w:t>. Role and mechanism of action of the APOBEC3 family of antiretroviral resistance factors. </w:t>
      </w:r>
      <w:r w:rsidRPr="002A60A4">
        <w:rPr>
          <w:rFonts w:ascii="Book Antiqua" w:eastAsia="宋体" w:hAnsi="Book Antiqua" w:cs="宋体"/>
          <w:i/>
          <w:iCs/>
          <w:color w:val="000000"/>
          <w:sz w:val="24"/>
          <w:szCs w:val="24"/>
          <w:lang w:val="en-US" w:eastAsia="zh-CN"/>
        </w:rPr>
        <w:t>J Virol</w:t>
      </w:r>
      <w:r w:rsidRPr="002A60A4">
        <w:rPr>
          <w:rFonts w:ascii="Book Antiqua" w:eastAsia="宋体" w:hAnsi="Book Antiqua" w:cs="宋体"/>
          <w:color w:val="000000"/>
          <w:sz w:val="24"/>
          <w:szCs w:val="24"/>
          <w:lang w:val="en-US" w:eastAsia="zh-CN"/>
        </w:rPr>
        <w:t> 2006; </w:t>
      </w:r>
      <w:r w:rsidRPr="002A60A4">
        <w:rPr>
          <w:rFonts w:ascii="Book Antiqua" w:eastAsia="宋体" w:hAnsi="Book Antiqua" w:cs="宋体"/>
          <w:b/>
          <w:bCs/>
          <w:color w:val="000000"/>
          <w:sz w:val="24"/>
          <w:szCs w:val="24"/>
          <w:lang w:val="en-US" w:eastAsia="zh-CN"/>
        </w:rPr>
        <w:t>80</w:t>
      </w:r>
      <w:r w:rsidRPr="002A60A4">
        <w:rPr>
          <w:rFonts w:ascii="Book Antiqua" w:eastAsia="宋体" w:hAnsi="Book Antiqua" w:cs="宋体"/>
          <w:color w:val="000000"/>
          <w:sz w:val="24"/>
          <w:szCs w:val="24"/>
          <w:lang w:val="en-US" w:eastAsia="zh-CN"/>
        </w:rPr>
        <w:t>: 1067-1076 [PMID: 16414984 DOI: 10.1128/JVI.80.3.1067-1076.2006]</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224 </w:t>
      </w:r>
      <w:r w:rsidRPr="002A60A4">
        <w:rPr>
          <w:rFonts w:ascii="Book Antiqua" w:eastAsia="宋体" w:hAnsi="Book Antiqua" w:cs="宋体"/>
          <w:b/>
          <w:bCs/>
          <w:color w:val="000000"/>
          <w:sz w:val="24"/>
          <w:szCs w:val="24"/>
          <w:lang w:val="en-US" w:eastAsia="zh-CN"/>
        </w:rPr>
        <w:t>Ishikawa J</w:t>
      </w:r>
      <w:r w:rsidRPr="002A60A4">
        <w:rPr>
          <w:rFonts w:ascii="Book Antiqua" w:eastAsia="宋体" w:hAnsi="Book Antiqua" w:cs="宋体"/>
          <w:color w:val="000000"/>
          <w:sz w:val="24"/>
          <w:szCs w:val="24"/>
          <w:lang w:val="en-US" w:eastAsia="zh-CN"/>
        </w:rPr>
        <w:t>, Kaisho T, Tomizawa H, Lee BO, Kobune Y, Inazawa J, Oritani K, Itoh M, Ochi T, Ishihara K. Molecular cloning and chromosomal mapping of a bone marrow stromal cell surface gene, BST2, that may be involved in pre-B-cell growth. </w:t>
      </w:r>
      <w:r w:rsidRPr="002A60A4">
        <w:rPr>
          <w:rFonts w:ascii="Book Antiqua" w:eastAsia="宋体" w:hAnsi="Book Antiqua" w:cs="宋体"/>
          <w:i/>
          <w:iCs/>
          <w:color w:val="000000"/>
          <w:sz w:val="24"/>
          <w:szCs w:val="24"/>
          <w:lang w:val="en-US" w:eastAsia="zh-CN"/>
        </w:rPr>
        <w:t>Genomics</w:t>
      </w:r>
      <w:r w:rsidRPr="002A60A4">
        <w:rPr>
          <w:rFonts w:ascii="Book Antiqua" w:eastAsia="宋体" w:hAnsi="Book Antiqua" w:cs="宋体"/>
          <w:color w:val="000000"/>
          <w:sz w:val="24"/>
          <w:szCs w:val="24"/>
          <w:lang w:val="en-US" w:eastAsia="zh-CN"/>
        </w:rPr>
        <w:t> 1995; </w:t>
      </w:r>
      <w:r w:rsidRPr="002A60A4">
        <w:rPr>
          <w:rFonts w:ascii="Book Antiqua" w:eastAsia="宋体" w:hAnsi="Book Antiqua" w:cs="宋体"/>
          <w:b/>
          <w:bCs/>
          <w:color w:val="000000"/>
          <w:sz w:val="24"/>
          <w:szCs w:val="24"/>
          <w:lang w:val="en-US" w:eastAsia="zh-CN"/>
        </w:rPr>
        <w:t>26</w:t>
      </w:r>
      <w:r w:rsidRPr="002A60A4">
        <w:rPr>
          <w:rFonts w:ascii="Book Antiqua" w:eastAsia="宋体" w:hAnsi="Book Antiqua" w:cs="宋体"/>
          <w:color w:val="000000"/>
          <w:sz w:val="24"/>
          <w:szCs w:val="24"/>
          <w:lang w:val="en-US" w:eastAsia="zh-CN"/>
        </w:rPr>
        <w:t>: 527-534 [PMID: 7607676 DOI: 10.1016/0888-7543(95)80171-H]</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225 </w:t>
      </w:r>
      <w:r w:rsidRPr="002A60A4">
        <w:rPr>
          <w:rFonts w:ascii="Book Antiqua" w:eastAsia="宋体" w:hAnsi="Book Antiqua" w:cs="宋体"/>
          <w:b/>
          <w:bCs/>
          <w:color w:val="000000"/>
          <w:sz w:val="24"/>
          <w:szCs w:val="24"/>
          <w:lang w:val="en-US" w:eastAsia="zh-CN"/>
        </w:rPr>
        <w:t>Douglas JL</w:t>
      </w:r>
      <w:r w:rsidRPr="002A60A4">
        <w:rPr>
          <w:rFonts w:ascii="Book Antiqua" w:eastAsia="宋体" w:hAnsi="Book Antiqua" w:cs="宋体"/>
          <w:color w:val="000000"/>
          <w:sz w:val="24"/>
          <w:szCs w:val="24"/>
          <w:lang w:val="en-US" w:eastAsia="zh-CN"/>
        </w:rPr>
        <w:t>, Gustin JK, Viswanathan K, Mansouri M, Moses AV, Früh K. The great escape: viral strategies to counter BST-2/tetherin. </w:t>
      </w:r>
      <w:r w:rsidRPr="002A60A4">
        <w:rPr>
          <w:rFonts w:ascii="Book Antiqua" w:eastAsia="宋体" w:hAnsi="Book Antiqua" w:cs="宋体"/>
          <w:i/>
          <w:iCs/>
          <w:color w:val="000000"/>
          <w:sz w:val="24"/>
          <w:szCs w:val="24"/>
          <w:lang w:val="en-US" w:eastAsia="zh-CN"/>
        </w:rPr>
        <w:t>PLoS Pathog</w:t>
      </w:r>
      <w:r w:rsidRPr="002A60A4">
        <w:rPr>
          <w:rFonts w:ascii="Book Antiqua" w:eastAsia="宋体" w:hAnsi="Book Antiqua" w:cs="宋体"/>
          <w:color w:val="000000"/>
          <w:sz w:val="24"/>
          <w:szCs w:val="24"/>
          <w:lang w:val="en-US" w:eastAsia="zh-CN"/>
        </w:rPr>
        <w:t> 2010; </w:t>
      </w:r>
      <w:r w:rsidRPr="002A60A4">
        <w:rPr>
          <w:rFonts w:ascii="Book Antiqua" w:eastAsia="宋体" w:hAnsi="Book Antiqua" w:cs="宋体"/>
          <w:b/>
          <w:bCs/>
          <w:color w:val="000000"/>
          <w:sz w:val="24"/>
          <w:szCs w:val="24"/>
          <w:lang w:val="en-US" w:eastAsia="zh-CN"/>
        </w:rPr>
        <w:t>6</w:t>
      </w:r>
      <w:r w:rsidRPr="002A60A4">
        <w:rPr>
          <w:rFonts w:ascii="Book Antiqua" w:eastAsia="宋体" w:hAnsi="Book Antiqua" w:cs="宋体"/>
          <w:color w:val="000000"/>
          <w:sz w:val="24"/>
          <w:szCs w:val="24"/>
          <w:lang w:val="en-US" w:eastAsia="zh-CN"/>
        </w:rPr>
        <w:t>: e1000913 [PMID: 20485522 DOI: 10.1371/journal.ppat.1000913]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226 </w:t>
      </w:r>
      <w:r w:rsidRPr="002A60A4">
        <w:rPr>
          <w:rFonts w:ascii="Book Antiqua" w:eastAsia="宋体" w:hAnsi="Book Antiqua" w:cs="宋体"/>
          <w:b/>
          <w:bCs/>
          <w:color w:val="000000"/>
          <w:sz w:val="24"/>
          <w:szCs w:val="24"/>
          <w:lang w:val="en-US" w:eastAsia="zh-CN"/>
        </w:rPr>
        <w:t>Neil SJ</w:t>
      </w:r>
      <w:r w:rsidRPr="002A60A4">
        <w:rPr>
          <w:rFonts w:ascii="Book Antiqua" w:eastAsia="宋体" w:hAnsi="Book Antiqua" w:cs="宋体"/>
          <w:color w:val="000000"/>
          <w:sz w:val="24"/>
          <w:szCs w:val="24"/>
          <w:lang w:val="en-US" w:eastAsia="zh-CN"/>
        </w:rPr>
        <w:t>, Zang T, Bieniasz PD. Tetherin inhibits retrovirus release and is antagonized by HIV-1 Vpu. </w:t>
      </w:r>
      <w:r w:rsidRPr="002A60A4">
        <w:rPr>
          <w:rFonts w:ascii="Book Antiqua" w:eastAsia="宋体" w:hAnsi="Book Antiqua" w:cs="宋体"/>
          <w:i/>
          <w:iCs/>
          <w:color w:val="000000"/>
          <w:sz w:val="24"/>
          <w:szCs w:val="24"/>
          <w:lang w:val="en-US" w:eastAsia="zh-CN"/>
        </w:rPr>
        <w:t>Nature</w:t>
      </w:r>
      <w:r w:rsidRPr="002A60A4">
        <w:rPr>
          <w:rFonts w:ascii="Book Antiqua" w:eastAsia="宋体" w:hAnsi="Book Antiqua" w:cs="宋体"/>
          <w:color w:val="000000"/>
          <w:sz w:val="24"/>
          <w:szCs w:val="24"/>
          <w:lang w:val="en-US" w:eastAsia="zh-CN"/>
        </w:rPr>
        <w:t> 2008; </w:t>
      </w:r>
      <w:r w:rsidRPr="002A60A4">
        <w:rPr>
          <w:rFonts w:ascii="Book Antiqua" w:eastAsia="宋体" w:hAnsi="Book Antiqua" w:cs="宋体"/>
          <w:b/>
          <w:bCs/>
          <w:color w:val="000000"/>
          <w:sz w:val="24"/>
          <w:szCs w:val="24"/>
          <w:lang w:val="en-US" w:eastAsia="zh-CN"/>
        </w:rPr>
        <w:t>451</w:t>
      </w:r>
      <w:r w:rsidRPr="002A60A4">
        <w:rPr>
          <w:rFonts w:ascii="Book Antiqua" w:eastAsia="宋体" w:hAnsi="Book Antiqua" w:cs="宋体"/>
          <w:color w:val="000000"/>
          <w:sz w:val="24"/>
          <w:szCs w:val="24"/>
          <w:lang w:val="en-US" w:eastAsia="zh-CN"/>
        </w:rPr>
        <w:t>: 425-430 [PMID: 18200009 DOI: 10.1038/nature06553]</w:t>
      </w:r>
    </w:p>
    <w:p w:rsidR="002A60A4" w:rsidRPr="002A60A4" w:rsidRDefault="002A60A4" w:rsidP="002A60A4">
      <w:pPr>
        <w:spacing w:after="0" w:line="360" w:lineRule="auto"/>
        <w:jc w:val="both"/>
        <w:rPr>
          <w:rFonts w:ascii="Book Antiqua" w:eastAsia="宋体" w:hAnsi="Book Antiqua" w:cs="宋体"/>
          <w:color w:val="000000"/>
          <w:sz w:val="24"/>
          <w:szCs w:val="24"/>
          <w:lang w:val="en-US" w:eastAsia="zh-CN"/>
        </w:rPr>
      </w:pPr>
      <w:r w:rsidRPr="002A60A4">
        <w:rPr>
          <w:rFonts w:ascii="Book Antiqua" w:eastAsia="宋体" w:hAnsi="Book Antiqua" w:cs="宋体"/>
          <w:color w:val="000000"/>
          <w:sz w:val="24"/>
          <w:szCs w:val="24"/>
          <w:lang w:val="en-US" w:eastAsia="zh-CN"/>
        </w:rPr>
        <w:t>227 </w:t>
      </w:r>
      <w:r w:rsidRPr="002A60A4">
        <w:rPr>
          <w:rFonts w:ascii="Book Antiqua" w:eastAsia="宋体" w:hAnsi="Book Antiqua" w:cs="宋体"/>
          <w:b/>
          <w:bCs/>
          <w:color w:val="000000"/>
          <w:sz w:val="24"/>
          <w:szCs w:val="24"/>
          <w:lang w:val="en-US" w:eastAsia="zh-CN"/>
        </w:rPr>
        <w:t>Van Damme N</w:t>
      </w:r>
      <w:r w:rsidRPr="002A60A4">
        <w:rPr>
          <w:rFonts w:ascii="Book Antiqua" w:eastAsia="宋体" w:hAnsi="Book Antiqua" w:cs="宋体"/>
          <w:color w:val="000000"/>
          <w:sz w:val="24"/>
          <w:szCs w:val="24"/>
          <w:lang w:val="en-US" w:eastAsia="zh-CN"/>
        </w:rPr>
        <w:t>, Goff D, Katsura C, Jorgenson RL, Mitchell R, Johnson MC, Stephens EB, Guatelli J. The interferon-induced protein BST-2 restricts HIV-1 release and is downregulated from the cell surface by the viral Vpu protein. </w:t>
      </w:r>
      <w:r w:rsidRPr="002A60A4">
        <w:rPr>
          <w:rFonts w:ascii="Book Antiqua" w:eastAsia="宋体" w:hAnsi="Book Antiqua" w:cs="宋体"/>
          <w:i/>
          <w:iCs/>
          <w:color w:val="000000"/>
          <w:sz w:val="24"/>
          <w:szCs w:val="24"/>
          <w:lang w:val="en-US" w:eastAsia="zh-CN"/>
        </w:rPr>
        <w:t>Cell Host Microbe</w:t>
      </w:r>
      <w:r w:rsidRPr="002A60A4">
        <w:rPr>
          <w:rFonts w:ascii="Book Antiqua" w:eastAsia="宋体" w:hAnsi="Book Antiqua" w:cs="宋体"/>
          <w:color w:val="000000"/>
          <w:sz w:val="24"/>
          <w:szCs w:val="24"/>
          <w:lang w:val="en-US" w:eastAsia="zh-CN"/>
        </w:rPr>
        <w:t> 2008; </w:t>
      </w:r>
      <w:r w:rsidRPr="002A60A4">
        <w:rPr>
          <w:rFonts w:ascii="Book Antiqua" w:eastAsia="宋体" w:hAnsi="Book Antiqua" w:cs="宋体"/>
          <w:b/>
          <w:bCs/>
          <w:color w:val="000000"/>
          <w:sz w:val="24"/>
          <w:szCs w:val="24"/>
          <w:lang w:val="en-US" w:eastAsia="zh-CN"/>
        </w:rPr>
        <w:t>3</w:t>
      </w:r>
      <w:r w:rsidRPr="002A60A4">
        <w:rPr>
          <w:rFonts w:ascii="Book Antiqua" w:eastAsia="宋体" w:hAnsi="Book Antiqua" w:cs="宋体"/>
          <w:color w:val="000000"/>
          <w:sz w:val="24"/>
          <w:szCs w:val="24"/>
          <w:lang w:val="en-US" w:eastAsia="zh-CN"/>
        </w:rPr>
        <w:t>: 245-252 [PMID: 18342597 DOI: 10.1016/j.chom.2008.03.001]</w:t>
      </w:r>
    </w:p>
    <w:p w:rsidR="008B748B" w:rsidRPr="002A60A4" w:rsidRDefault="008B748B" w:rsidP="002A60A4">
      <w:pPr>
        <w:spacing w:after="0" w:line="360" w:lineRule="auto"/>
        <w:jc w:val="both"/>
        <w:rPr>
          <w:rFonts w:ascii="Book Antiqua" w:hAnsi="Book Antiqua" w:cs="Arial"/>
          <w:b/>
          <w:sz w:val="24"/>
          <w:szCs w:val="24"/>
          <w:lang w:val="en-US" w:eastAsia="zh-CN"/>
        </w:rPr>
      </w:pPr>
    </w:p>
    <w:p w:rsidR="008B748B" w:rsidRPr="003F0C57" w:rsidRDefault="008B748B" w:rsidP="003F0C57">
      <w:pPr>
        <w:pStyle w:val="PlainText"/>
        <w:spacing w:line="360" w:lineRule="auto"/>
        <w:jc w:val="right"/>
        <w:rPr>
          <w:rFonts w:ascii="Book Antiqua" w:hAnsi="Book Antiqua"/>
          <w:b/>
          <w:sz w:val="24"/>
          <w:szCs w:val="24"/>
        </w:rPr>
      </w:pPr>
      <w:r w:rsidRPr="003F0C57">
        <w:rPr>
          <w:rFonts w:ascii="Book Antiqua" w:hAnsi="Book Antiqua"/>
          <w:b/>
          <w:sz w:val="24"/>
          <w:szCs w:val="24"/>
        </w:rPr>
        <w:t xml:space="preserve">P-Reviewer: </w:t>
      </w:r>
      <w:r w:rsidRPr="003F0C57">
        <w:rPr>
          <w:rFonts w:ascii="Book Antiqua" w:hAnsi="Book Antiqua" w:cs="Tahoma"/>
          <w:color w:val="000000"/>
          <w:sz w:val="24"/>
          <w:szCs w:val="24"/>
        </w:rPr>
        <w:t xml:space="preserve">Ayieko J </w:t>
      </w:r>
      <w:r w:rsidRPr="003F0C57">
        <w:rPr>
          <w:rFonts w:ascii="Book Antiqua" w:hAnsi="Book Antiqua"/>
          <w:b/>
          <w:sz w:val="24"/>
          <w:szCs w:val="24"/>
        </w:rPr>
        <w:t xml:space="preserve">S-Editor: </w:t>
      </w:r>
      <w:r w:rsidRPr="003F0C57">
        <w:rPr>
          <w:rFonts w:ascii="Book Antiqua" w:hAnsi="Book Antiqua"/>
          <w:sz w:val="24"/>
          <w:szCs w:val="24"/>
        </w:rPr>
        <w:t>Ji FF</w:t>
      </w:r>
      <w:r w:rsidRPr="003F0C57">
        <w:rPr>
          <w:rFonts w:ascii="Book Antiqua" w:hAnsi="Book Antiqua"/>
          <w:b/>
          <w:sz w:val="24"/>
          <w:szCs w:val="24"/>
        </w:rPr>
        <w:t xml:space="preserve"> L-Editor: E-Editor:</w:t>
      </w:r>
    </w:p>
    <w:p w:rsidR="008B748B" w:rsidRPr="004C750C" w:rsidRDefault="008B748B" w:rsidP="004C750C">
      <w:pPr>
        <w:spacing w:after="0" w:line="360" w:lineRule="auto"/>
        <w:jc w:val="both"/>
        <w:rPr>
          <w:rFonts w:ascii="Book Antiqua" w:hAnsi="Book Antiqua" w:cs="Arial"/>
          <w:b/>
          <w:sz w:val="24"/>
          <w:szCs w:val="24"/>
          <w:lang w:val="en-US" w:eastAsia="zh-CN"/>
        </w:rPr>
      </w:pP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noProof/>
          <w:sz w:val="24"/>
          <w:szCs w:val="24"/>
          <w:lang w:val="en-US"/>
        </w:rPr>
        <w:drawing>
          <wp:inline distT="0" distB="0" distL="0" distR="0">
            <wp:extent cx="4733644" cy="334778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1_HIV.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36913" cy="3350092"/>
                    </a:xfrm>
                    <a:prstGeom prst="rect">
                      <a:avLst/>
                    </a:prstGeom>
                  </pic:spPr>
                </pic:pic>
              </a:graphicData>
            </a:graphic>
          </wp:inline>
        </w:drawing>
      </w:r>
    </w:p>
    <w:p w:rsidR="008B748B" w:rsidRPr="004C750C" w:rsidRDefault="008B748B" w:rsidP="004C750C">
      <w:pPr>
        <w:spacing w:after="0" w:line="360" w:lineRule="auto"/>
        <w:jc w:val="both"/>
        <w:rPr>
          <w:rFonts w:ascii="Book Antiqua" w:hAnsi="Book Antiqua" w:cs="Arial"/>
          <w:sz w:val="24"/>
          <w:szCs w:val="24"/>
          <w:lang w:val="en-US" w:eastAsia="zh-CN"/>
        </w:rPr>
      </w:pPr>
      <w:r w:rsidRPr="004C750C">
        <w:rPr>
          <w:rFonts w:ascii="Book Antiqua" w:hAnsi="Book Antiqua" w:cs="Arial"/>
          <w:b/>
          <w:sz w:val="24"/>
          <w:szCs w:val="24"/>
          <w:lang w:val="en-US"/>
        </w:rPr>
        <w:t>Figure 1</w:t>
      </w:r>
      <w:r w:rsidRPr="004C750C">
        <w:rPr>
          <w:rFonts w:ascii="Book Antiqua" w:hAnsi="Book Antiqua" w:cs="Arial"/>
          <w:b/>
          <w:sz w:val="24"/>
          <w:szCs w:val="24"/>
          <w:lang w:val="en-US" w:eastAsia="zh-CN"/>
        </w:rPr>
        <w:t xml:space="preserve"> </w:t>
      </w:r>
      <w:r w:rsidR="002817EF" w:rsidRPr="004C750C">
        <w:rPr>
          <w:rFonts w:ascii="Book Antiqua" w:hAnsi="Book Antiqua" w:cs="Arial"/>
          <w:b/>
          <w:sz w:val="24"/>
          <w:szCs w:val="24"/>
          <w:lang w:val="en-US"/>
        </w:rPr>
        <w:t xml:space="preserve">The human immunodeficiency virus type 1, upon entering peripheral circulation, will infect lymphocytes and macrophages. </w:t>
      </w:r>
      <w:r w:rsidR="002817EF" w:rsidRPr="004C750C">
        <w:rPr>
          <w:rFonts w:ascii="Book Antiqua" w:hAnsi="Book Antiqua" w:cs="Arial"/>
          <w:sz w:val="24"/>
          <w:szCs w:val="24"/>
          <w:lang w:val="en-US"/>
        </w:rPr>
        <w:t>The viral proteins gp120 and gp41 of HIV-1 bind to the CD4+ receptor and coreceptors, CCR5 and CXCR4, on the surface of these cells. The lymphocytes LT-CD4 that are infected with HIV-1 produce viral particles and may remain in a latent form within circulation. Infected monocytes can directly present antigen to LT-CD4, or transform into tissue macrophages. This process stimulates the host inflammatory response and amplifies the production of proinflammatory cytokines and promotes increased cellular oxidative stress. The production of proinflammatory cytokines by macrophages and lymphocytes promotes a decrease in plasma high-density lipoprotein (HDL) cholesterol by impairing the cholesterol dependent efflux transporter ATP-binding cassette protein A1 (ABCA1) in human macrophages. Additionally, viral proteins and proinflammatory cytokines including interleukin-1 (IL-1), IL-6, tumor necrosis factor α (TNFα) and interferon gamma (IFN-</w:t>
      </w:r>
      <w:r w:rsidR="002817EF" w:rsidRPr="004C750C">
        <w:rPr>
          <w:rFonts w:ascii="Times New Roman" w:hAnsi="Times New Roman" w:cs="Times New Roman"/>
          <w:sz w:val="24"/>
          <w:szCs w:val="24"/>
          <w:vertAlign w:val="subscript"/>
          <w:lang w:val="en-US"/>
        </w:rPr>
        <w:t>Ƴ</w:t>
      </w:r>
      <w:r w:rsidR="002817EF" w:rsidRPr="004C750C">
        <w:rPr>
          <w:rFonts w:ascii="Book Antiqua" w:hAnsi="Book Antiqua" w:cs="Arial"/>
          <w:sz w:val="24"/>
          <w:szCs w:val="24"/>
          <w:lang w:val="en-US"/>
        </w:rPr>
        <w:t>) stimulate endothelial lipase enzyme and different acute phase proteins, such as serum amyloid A. Viral proteins also exert effects on adipocytes resulting in mitochondrial dysfunction, production of reactive oxygen species (ROS), increased insulin resistance, decreased adiponectin, and change the clearance of triglyceride-rich lipoproteins (RLP-TG) and insulin resistance. Finally, all of the different cellular mechanisms involved and affected by HIV-1 infection promote an increased risk of cardiovascular disease.</w:t>
      </w:r>
      <w:r w:rsidRPr="004C750C">
        <w:rPr>
          <w:rFonts w:ascii="Book Antiqua" w:hAnsi="Book Antiqua" w:cs="Arial"/>
          <w:sz w:val="24"/>
          <w:szCs w:val="24"/>
          <w:lang w:val="en-US"/>
        </w:rPr>
        <w:t xml:space="preserve"> </w:t>
      </w:r>
      <w:r w:rsidRPr="004C750C">
        <w:rPr>
          <w:rFonts w:ascii="Book Antiqua" w:hAnsi="Book Antiqua" w:cs="Arial"/>
          <w:sz w:val="24"/>
          <w:szCs w:val="24"/>
        </w:rPr>
        <w:t xml:space="preserve">Source: de Almeida </w:t>
      </w:r>
      <w:r w:rsidRPr="004C750C">
        <w:rPr>
          <w:rFonts w:ascii="Book Antiqua" w:hAnsi="Book Antiqua" w:cs="Arial"/>
          <w:i/>
          <w:sz w:val="24"/>
          <w:szCs w:val="24"/>
        </w:rPr>
        <w:t>et al</w:t>
      </w:r>
      <w:r w:rsidRPr="004C750C">
        <w:rPr>
          <w:rFonts w:ascii="Book Antiqua" w:hAnsi="Book Antiqua" w:cs="Arial"/>
          <w:sz w:val="24"/>
          <w:szCs w:val="24"/>
          <w:vertAlign w:val="superscript"/>
          <w:lang w:eastAsia="zh-CN"/>
        </w:rPr>
        <w:t>[215]</w:t>
      </w:r>
      <w:r w:rsidRPr="004C750C">
        <w:rPr>
          <w:rFonts w:ascii="Book Antiqua" w:hAnsi="Book Antiqua"/>
          <w:sz w:val="24"/>
          <w:szCs w:val="24"/>
          <w:lang w:eastAsia="zh-CN"/>
        </w:rPr>
        <w:t>.</w:t>
      </w:r>
    </w:p>
    <w:p w:rsidR="00E41043" w:rsidRPr="004C750C" w:rsidRDefault="00E41043" w:rsidP="004C750C">
      <w:pPr>
        <w:spacing w:after="0" w:line="360" w:lineRule="auto"/>
        <w:jc w:val="both"/>
        <w:rPr>
          <w:rFonts w:ascii="Book Antiqua" w:hAnsi="Book Antiqua" w:cs="Arial"/>
          <w:sz w:val="24"/>
          <w:szCs w:val="24"/>
          <w:lang w:val="en-US" w:eastAsia="zh-CN"/>
        </w:rPr>
      </w:pPr>
    </w:p>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noProof/>
          <w:sz w:val="24"/>
          <w:szCs w:val="24"/>
          <w:lang w:val="en-US"/>
        </w:rPr>
        <w:drawing>
          <wp:inline distT="0" distB="0" distL="0" distR="0">
            <wp:extent cx="4384717" cy="3101009"/>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3_HIV.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89499" cy="3104391"/>
                    </a:xfrm>
                    <a:prstGeom prst="rect">
                      <a:avLst/>
                    </a:prstGeom>
                  </pic:spPr>
                </pic:pic>
              </a:graphicData>
            </a:graphic>
          </wp:inline>
        </w:drawing>
      </w:r>
    </w:p>
    <w:p w:rsidR="002817EF" w:rsidRPr="004C750C" w:rsidRDefault="008B748B" w:rsidP="004C750C">
      <w:pPr>
        <w:spacing w:after="0" w:line="360" w:lineRule="auto"/>
        <w:jc w:val="both"/>
        <w:rPr>
          <w:rFonts w:ascii="Book Antiqua" w:hAnsi="Book Antiqua" w:cs="Arial"/>
          <w:sz w:val="24"/>
          <w:szCs w:val="24"/>
          <w:lang w:val="en-US" w:eastAsia="zh-CN"/>
        </w:rPr>
      </w:pPr>
      <w:r w:rsidRPr="004C750C">
        <w:rPr>
          <w:rFonts w:ascii="Book Antiqua" w:hAnsi="Book Antiqua" w:cs="Arial"/>
          <w:b/>
          <w:sz w:val="24"/>
          <w:szCs w:val="24"/>
          <w:lang w:val="en-US"/>
        </w:rPr>
        <w:t>Figure 2</w:t>
      </w:r>
      <w:r w:rsidR="002817EF" w:rsidRPr="004C750C">
        <w:rPr>
          <w:rFonts w:ascii="Book Antiqua" w:hAnsi="Book Antiqua" w:cs="Arial"/>
          <w:b/>
          <w:sz w:val="24"/>
          <w:szCs w:val="24"/>
          <w:lang w:val="en-US"/>
        </w:rPr>
        <w:t xml:space="preserve"> </w:t>
      </w:r>
      <w:r w:rsidRPr="004C750C">
        <w:rPr>
          <w:rFonts w:ascii="Book Antiqua" w:hAnsi="Book Antiqua" w:cs="Arial"/>
          <w:b/>
          <w:sz w:val="24"/>
          <w:szCs w:val="24"/>
          <w:lang w:val="en-US"/>
        </w:rPr>
        <w:t>Highly active antiretroviral therapy</w:t>
      </w:r>
      <w:r w:rsidR="002817EF" w:rsidRPr="004C750C">
        <w:rPr>
          <w:rFonts w:ascii="Book Antiqua" w:hAnsi="Book Antiqua" w:cs="Arial"/>
          <w:b/>
          <w:sz w:val="24"/>
          <w:szCs w:val="24"/>
          <w:lang w:val="en-US"/>
        </w:rPr>
        <w:t>-associated dyslipidemia is especially evident with the use of protease inhibitors.</w:t>
      </w:r>
      <w:r w:rsidR="002817EF" w:rsidRPr="004C750C">
        <w:rPr>
          <w:rFonts w:ascii="Book Antiqua" w:hAnsi="Book Antiqua" w:cs="Arial"/>
          <w:sz w:val="24"/>
          <w:szCs w:val="24"/>
          <w:lang w:val="en-US"/>
        </w:rPr>
        <w:t xml:space="preserve"> </w:t>
      </w:r>
      <w:r w:rsidRPr="004C750C">
        <w:rPr>
          <w:rFonts w:ascii="Book Antiqua" w:hAnsi="Book Antiqua" w:cs="Arial"/>
          <w:sz w:val="24"/>
          <w:szCs w:val="24"/>
          <w:lang w:val="en-US"/>
        </w:rPr>
        <w:t>Protease inhibitors (PIs)</w:t>
      </w:r>
      <w:r w:rsidR="002817EF" w:rsidRPr="004C750C">
        <w:rPr>
          <w:rFonts w:ascii="Book Antiqua" w:hAnsi="Book Antiqua" w:cs="Arial"/>
          <w:sz w:val="24"/>
          <w:szCs w:val="24"/>
          <w:lang w:val="en-US"/>
        </w:rPr>
        <w:t xml:space="preserve"> promote a decrease in plasma high-density lipoprotein (HDL) cholesterol and increased overall cholesterol, triglyceride (TG), and low-density lipoprotein (LDL) cholesterol. These changes, induced by PIs, promote an increased risk of cardiovascular disease. Proposed mechanisms for PI-based dyslipidemia include the following: (1) There is structural similarity with the amino acid sequence of the C-terminal region of cytoplasmic retinoic acid-binding protein type 1 (CRABP1); thus, the PIs likely bind to CR</w:t>
      </w:r>
      <w:r w:rsidR="006F6330" w:rsidRPr="004C750C">
        <w:rPr>
          <w:rFonts w:ascii="Book Antiqua" w:hAnsi="Book Antiqua" w:cs="Arial"/>
          <w:sz w:val="24"/>
          <w:szCs w:val="24"/>
          <w:lang w:val="en-US"/>
        </w:rPr>
        <w:t xml:space="preserve">ABP-1, increasing apoptosis and </w:t>
      </w:r>
      <w:r w:rsidR="002817EF" w:rsidRPr="004C750C">
        <w:rPr>
          <w:rFonts w:ascii="Book Antiqua" w:hAnsi="Book Antiqua" w:cs="Arial"/>
          <w:sz w:val="24"/>
          <w:szCs w:val="24"/>
          <w:lang w:val="en-US"/>
        </w:rPr>
        <w:t>diminishing the proliferation of peripheral adipocytes; (2) PI-mediated increases in the expression and secretion of proinflammatory cytokines, such as tumor necrosis factor alpha (TNF-</w:t>
      </w:r>
      <w:r w:rsidR="002817EF" w:rsidRPr="004C750C">
        <w:rPr>
          <w:rFonts w:ascii="Cambria Math" w:hAnsi="Cambria Math" w:cs="Cambria Math"/>
          <w:sz w:val="24"/>
          <w:szCs w:val="24"/>
          <w:lang w:val="en-US"/>
        </w:rPr>
        <w:t>𝛼</w:t>
      </w:r>
      <w:r w:rsidR="002817EF" w:rsidRPr="004C750C">
        <w:rPr>
          <w:rFonts w:ascii="Book Antiqua" w:hAnsi="Book Antiqua" w:cs="Arial"/>
          <w:sz w:val="24"/>
          <w:szCs w:val="24"/>
          <w:lang w:val="en-US"/>
        </w:rPr>
        <w:t>), interleukin 1(IL-1</w:t>
      </w:r>
      <w:r w:rsidR="002817EF" w:rsidRPr="004C750C">
        <w:rPr>
          <w:rFonts w:ascii="Cambria Math" w:hAnsi="Cambria Math" w:cs="Cambria Math"/>
          <w:sz w:val="24"/>
          <w:szCs w:val="24"/>
          <w:lang w:val="en-US"/>
        </w:rPr>
        <w:t>𝛽</w:t>
      </w:r>
      <w:r w:rsidR="002817EF" w:rsidRPr="004C750C">
        <w:rPr>
          <w:rFonts w:ascii="Book Antiqua" w:hAnsi="Book Antiqua" w:cs="Arial"/>
          <w:sz w:val="24"/>
          <w:szCs w:val="24"/>
          <w:lang w:val="en-US"/>
        </w:rPr>
        <w:t xml:space="preserve">) and IL-6 are involved in altered adipocyte functions and decreased adiponectin; (3-4) PI-induced dyslipidemia is based on the structural similarity between the catalytic region of HIV-1 protease and the LDL-receptor-related protein (LRP) that interferes with LRP-LPL complex formation. As a result the adipose storage capacity is reduced and plasma TG-rich lipoproteins are increased; (5) PI suppresses proteasome-mediated degradation of the sterol regulatory element binding proteins (SREBP) in the </w:t>
      </w:r>
      <w:r w:rsidRPr="004C750C">
        <w:rPr>
          <w:rFonts w:ascii="Book Antiqua" w:hAnsi="Book Antiqua" w:cs="Arial"/>
          <w:sz w:val="24"/>
          <w:szCs w:val="24"/>
          <w:lang w:val="en-US"/>
        </w:rPr>
        <w:t>liver and adipocytes, which are</w:t>
      </w:r>
      <w:r w:rsidRPr="004C750C">
        <w:rPr>
          <w:rFonts w:ascii="Book Antiqua" w:hAnsi="Book Antiqua" w:cs="Arial"/>
          <w:sz w:val="24"/>
          <w:szCs w:val="24"/>
          <w:lang w:val="en-US" w:eastAsia="zh-CN"/>
        </w:rPr>
        <w:t xml:space="preserve"> </w:t>
      </w:r>
      <w:r w:rsidR="002817EF" w:rsidRPr="004C750C">
        <w:rPr>
          <w:rFonts w:ascii="Book Antiqua" w:hAnsi="Book Antiqua" w:cs="Arial"/>
          <w:sz w:val="24"/>
          <w:szCs w:val="24"/>
          <w:lang w:val="en-US"/>
        </w:rPr>
        <w:t>transcription factors responsible for fatty acid and TG synthesis in the liver and adipose tissue and control several steps of cholesterol synthesis. The suppression promotes nSREBP accumulation in the liver and an increase in the biosynthesis of total cholesterol and TG, and adipose tissue, promoting increased insulin resistance, reduced expression of leptin and lipodystrophy; (6) PI-based therapy increases the hepatic synthesis of TG, and to a lesser extent, very-low density lipoprotein (VLDL) cholesterol.</w:t>
      </w:r>
      <w:r w:rsidRPr="004C750C">
        <w:rPr>
          <w:rFonts w:ascii="Book Antiqua" w:hAnsi="Book Antiqua" w:cs="Arial"/>
          <w:sz w:val="24"/>
          <w:szCs w:val="24"/>
          <w:lang w:val="en-US"/>
        </w:rPr>
        <w:t xml:space="preserve"> </w:t>
      </w:r>
      <w:r w:rsidRPr="004C750C">
        <w:rPr>
          <w:rFonts w:ascii="Book Antiqua" w:hAnsi="Book Antiqua" w:cs="Arial"/>
          <w:sz w:val="24"/>
          <w:szCs w:val="24"/>
        </w:rPr>
        <w:t xml:space="preserve">Source: de Almeida </w:t>
      </w:r>
      <w:r w:rsidRPr="004C750C">
        <w:rPr>
          <w:rFonts w:ascii="Book Antiqua" w:hAnsi="Book Antiqua" w:cs="Arial"/>
          <w:i/>
          <w:sz w:val="24"/>
          <w:szCs w:val="24"/>
        </w:rPr>
        <w:t>et al</w:t>
      </w:r>
      <w:r w:rsidRPr="004C750C">
        <w:rPr>
          <w:rFonts w:ascii="Book Antiqua" w:hAnsi="Book Antiqua" w:cs="Arial"/>
          <w:sz w:val="24"/>
          <w:szCs w:val="24"/>
          <w:vertAlign w:val="superscript"/>
          <w:lang w:eastAsia="zh-CN"/>
        </w:rPr>
        <w:t>[215]</w:t>
      </w:r>
      <w:r w:rsidRPr="004C750C">
        <w:rPr>
          <w:rFonts w:ascii="Book Antiqua" w:hAnsi="Book Antiqua"/>
          <w:sz w:val="24"/>
          <w:szCs w:val="24"/>
          <w:lang w:eastAsia="zh-CN"/>
        </w:rPr>
        <w:t>.</w:t>
      </w:r>
    </w:p>
    <w:p w:rsidR="00774857" w:rsidRPr="004C750C" w:rsidRDefault="00774857"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r w:rsidRPr="004C750C">
        <w:rPr>
          <w:rFonts w:ascii="Book Antiqua" w:hAnsi="Book Antiqua" w:cs="Arial"/>
          <w:b/>
          <w:sz w:val="24"/>
          <w:szCs w:val="24"/>
          <w:lang w:val="en-US"/>
        </w:rPr>
        <w:t>Table 1 Antiretroviral drugs class</w:t>
      </w: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p w:rsidR="008B748B" w:rsidRPr="004C750C" w:rsidRDefault="008B748B" w:rsidP="004C750C">
      <w:pPr>
        <w:spacing w:after="0" w:line="360" w:lineRule="auto"/>
        <w:jc w:val="both"/>
        <w:rPr>
          <w:rFonts w:ascii="Book Antiqua" w:hAnsi="Book Antiqua" w:cs="Arial"/>
          <w:b/>
          <w:sz w:val="24"/>
          <w:szCs w:val="24"/>
          <w:lang w:val="en-US" w:eastAsia="zh-CN"/>
        </w:rPr>
      </w:pPr>
    </w:p>
    <w:tbl>
      <w:tblPr>
        <w:tblpPr w:leftFromText="141" w:rightFromText="141" w:horzAnchor="margin" w:tblpY="564"/>
        <w:tblW w:w="9652" w:type="dxa"/>
        <w:tblBorders>
          <w:top w:val="single" w:sz="12" w:space="0" w:color="auto"/>
          <w:bottom w:val="single" w:sz="12" w:space="0" w:color="auto"/>
        </w:tblBorders>
        <w:tblLook w:val="04A0" w:firstRow="1" w:lastRow="0" w:firstColumn="1" w:lastColumn="0" w:noHBand="0" w:noVBand="1"/>
      </w:tblPr>
      <w:tblGrid>
        <w:gridCol w:w="4124"/>
        <w:gridCol w:w="1890"/>
        <w:gridCol w:w="3638"/>
      </w:tblGrid>
      <w:tr w:rsidR="008B748B" w:rsidRPr="004C750C" w:rsidTr="006950F4">
        <w:tc>
          <w:tcPr>
            <w:tcW w:w="4124" w:type="dxa"/>
            <w:tcBorders>
              <w:top w:val="single" w:sz="4" w:space="0" w:color="auto"/>
              <w:bottom w:val="nil"/>
            </w:tcBorders>
          </w:tcPr>
          <w:p w:rsidR="008B748B" w:rsidRPr="004C750C" w:rsidRDefault="008B748B"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Antiretroviral class</w:t>
            </w:r>
          </w:p>
        </w:tc>
        <w:tc>
          <w:tcPr>
            <w:tcW w:w="1890" w:type="dxa"/>
            <w:tcBorders>
              <w:top w:val="single" w:sz="4" w:space="0" w:color="auto"/>
              <w:bottom w:val="nil"/>
            </w:tcBorders>
          </w:tcPr>
          <w:p w:rsidR="008B748B" w:rsidRPr="004C750C" w:rsidRDefault="008B748B"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Generic name drug</w:t>
            </w:r>
          </w:p>
        </w:tc>
        <w:tc>
          <w:tcPr>
            <w:tcW w:w="3638" w:type="dxa"/>
            <w:tcBorders>
              <w:top w:val="single" w:sz="4" w:space="0" w:color="auto"/>
              <w:bottom w:val="nil"/>
            </w:tcBorders>
          </w:tcPr>
          <w:p w:rsidR="008B748B" w:rsidRPr="004C750C" w:rsidRDefault="008B748B"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Trade nam</w:t>
            </w:r>
            <w:r w:rsidR="00C6780A" w:rsidRPr="004C750C">
              <w:rPr>
                <w:rFonts w:ascii="Book Antiqua" w:hAnsi="Book Antiqua" w:cs="Arial"/>
                <w:b/>
                <w:sz w:val="24"/>
                <w:szCs w:val="24"/>
                <w:lang w:val="en-US"/>
              </w:rPr>
              <w:t>e/manufacturer/</w:t>
            </w:r>
            <w:r w:rsidR="00C6780A" w:rsidRPr="004C750C">
              <w:rPr>
                <w:rFonts w:ascii="Book Antiqua" w:hAnsi="Book Antiqua" w:cs="Arial"/>
                <w:b/>
                <w:sz w:val="24"/>
                <w:szCs w:val="24"/>
                <w:lang w:val="en-US" w:eastAsia="zh-CN"/>
              </w:rPr>
              <w:t xml:space="preserve"> </w:t>
            </w:r>
            <w:r w:rsidRPr="004C750C">
              <w:rPr>
                <w:rFonts w:ascii="Book Antiqua" w:hAnsi="Book Antiqua" w:cs="Arial"/>
                <w:b/>
                <w:sz w:val="24"/>
                <w:szCs w:val="24"/>
                <w:lang w:val="en-US"/>
              </w:rPr>
              <w:t>approval (yr)</w:t>
            </w:r>
          </w:p>
        </w:tc>
      </w:tr>
      <w:tr w:rsidR="008B748B" w:rsidRPr="004C750C" w:rsidTr="006950F4">
        <w:tc>
          <w:tcPr>
            <w:tcW w:w="4124" w:type="dxa"/>
            <w:tcBorders>
              <w:top w:val="single" w:sz="4" w:space="0" w:color="auto"/>
              <w:bottom w:val="nil"/>
            </w:tcBorders>
          </w:tcPr>
          <w:p w:rsidR="008B748B" w:rsidRPr="004C750C" w:rsidRDefault="008B748B"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 xml:space="preserve">Nucleos(t)ide reverse transcriptase inhibitors </w:t>
            </w:r>
          </w:p>
          <w:p w:rsidR="008B748B" w:rsidRPr="004C750C" w:rsidRDefault="008B748B" w:rsidP="004C750C">
            <w:pPr>
              <w:spacing w:after="0" w:line="360" w:lineRule="auto"/>
              <w:jc w:val="both"/>
              <w:rPr>
                <w:rFonts w:ascii="Book Antiqua" w:hAnsi="Book Antiqua" w:cs="Arial"/>
                <w:sz w:val="24"/>
                <w:szCs w:val="24"/>
                <w:lang w:val="en-US"/>
              </w:rPr>
            </w:pPr>
          </w:p>
        </w:tc>
        <w:tc>
          <w:tcPr>
            <w:tcW w:w="1890" w:type="dxa"/>
            <w:tcBorders>
              <w:top w:val="single" w:sz="4" w:space="0" w:color="auto"/>
              <w:bottom w:val="nil"/>
            </w:tcBorders>
            <w:hideMark/>
          </w:tcPr>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Abacavir (ABC)</w:t>
            </w: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 xml:space="preserve">Didanozine (ddl) </w:t>
            </w: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 xml:space="preserve">Emtricitabine (FTC) </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Lamivudine (3TC)</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Stavudine (d4T)</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Tenofovir (TDF)</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xml:space="preserve">Zidovudine (AZT) </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Zalcitabine (ddC)</w:t>
            </w:r>
          </w:p>
        </w:tc>
        <w:tc>
          <w:tcPr>
            <w:tcW w:w="3638" w:type="dxa"/>
            <w:tcBorders>
              <w:top w:val="single" w:sz="4" w:space="0" w:color="auto"/>
              <w:bottom w:val="nil"/>
            </w:tcBorders>
            <w:hideMark/>
          </w:tcPr>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Ziagen</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36" w:tooltip="ViiV Healthcare" w:history="1">
              <w:r w:rsidRPr="004C750C">
                <w:rPr>
                  <w:rStyle w:val="Hyperlink"/>
                  <w:rFonts w:ascii="Book Antiqua" w:hAnsi="Book Antiqua" w:cs="Arial"/>
                  <w:color w:val="auto"/>
                  <w:sz w:val="24"/>
                  <w:szCs w:val="24"/>
                  <w:u w:val="none"/>
                  <w:lang w:val="en-US"/>
                </w:rPr>
                <w:t>ViiV Healthcare</w:t>
              </w:r>
            </w:hyperlink>
            <w:r w:rsidRPr="004C750C">
              <w:rPr>
                <w:rFonts w:ascii="Book Antiqua" w:hAnsi="Book Antiqua" w:cs="Arial"/>
                <w:sz w:val="24"/>
                <w:szCs w:val="24"/>
                <w:lang w:val="en-US"/>
              </w:rPr>
              <w:t xml:space="preserve"> (1998)</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Videx</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37" w:tooltip="Bristol-Myers Squibb" w:history="1">
              <w:r w:rsidRPr="004C750C">
                <w:rPr>
                  <w:rStyle w:val="Hyperlink"/>
                  <w:rFonts w:ascii="Book Antiqua" w:hAnsi="Book Antiqua" w:cs="Arial"/>
                  <w:color w:val="auto"/>
                  <w:sz w:val="24"/>
                  <w:szCs w:val="24"/>
                  <w:u w:val="none"/>
                  <w:lang w:val="en-US"/>
                </w:rPr>
                <w:t>Bristol-Myers Squibb</w:t>
              </w:r>
            </w:hyperlink>
            <w:r w:rsidRPr="004C750C">
              <w:rPr>
                <w:rFonts w:ascii="Book Antiqua" w:hAnsi="Book Antiqua" w:cs="Arial"/>
                <w:sz w:val="24"/>
                <w:szCs w:val="24"/>
                <w:lang w:val="en-US"/>
              </w:rPr>
              <w:t xml:space="preserve"> Co. (1991)</w:t>
            </w:r>
          </w:p>
          <w:p w:rsidR="008B748B" w:rsidRPr="004C750C" w:rsidRDefault="008B748B" w:rsidP="004C750C">
            <w:pPr>
              <w:spacing w:after="0" w:line="360" w:lineRule="auto"/>
              <w:jc w:val="both"/>
              <w:rPr>
                <w:rFonts w:ascii="Book Antiqua" w:hAnsi="Book Antiqua" w:cs="Arial"/>
                <w:bCs/>
                <w:sz w:val="24"/>
                <w:szCs w:val="24"/>
                <w:lang w:val="en-US"/>
              </w:rPr>
            </w:pPr>
            <w:r w:rsidRPr="004C750C">
              <w:rPr>
                <w:rFonts w:ascii="Book Antiqua" w:hAnsi="Book Antiqua" w:cs="Arial"/>
                <w:sz w:val="24"/>
                <w:szCs w:val="24"/>
                <w:lang w:val="en-US"/>
              </w:rPr>
              <w:t>Emtriva</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38" w:tooltip="Gilead Sciences" w:history="1">
              <w:r w:rsidRPr="004C750C">
                <w:rPr>
                  <w:rStyle w:val="Hyperlink"/>
                  <w:rFonts w:ascii="Book Antiqua" w:hAnsi="Book Antiqua" w:cs="Arial"/>
                  <w:color w:val="auto"/>
                  <w:sz w:val="24"/>
                  <w:szCs w:val="24"/>
                  <w:u w:val="none"/>
                  <w:lang w:val="en-US"/>
                </w:rPr>
                <w:t>Gilead Sci</w:t>
              </w:r>
            </w:hyperlink>
            <w:r w:rsidRPr="004C750C">
              <w:rPr>
                <w:rFonts w:ascii="Book Antiqua" w:hAnsi="Book Antiqua" w:cs="Arial"/>
                <w:sz w:val="24"/>
                <w:szCs w:val="24"/>
                <w:lang w:val="en-US"/>
              </w:rPr>
              <w:t>.</w:t>
            </w:r>
            <w:r w:rsidRPr="004C750C">
              <w:rPr>
                <w:rFonts w:ascii="Book Antiqua" w:hAnsi="Book Antiqua" w:cs="Arial"/>
                <w:bCs/>
                <w:sz w:val="24"/>
                <w:szCs w:val="24"/>
                <w:lang w:val="en-US"/>
              </w:rPr>
              <w:t xml:space="preserve"> (2003)</w:t>
            </w:r>
          </w:p>
          <w:p w:rsidR="008B748B" w:rsidRPr="004C750C" w:rsidRDefault="008B748B" w:rsidP="004C750C">
            <w:pPr>
              <w:spacing w:after="0" w:line="360" w:lineRule="auto"/>
              <w:jc w:val="both"/>
              <w:rPr>
                <w:rFonts w:ascii="Book Antiqua" w:hAnsi="Book Antiqua" w:cs="Arial"/>
                <w:bCs/>
                <w:sz w:val="24"/>
                <w:szCs w:val="24"/>
                <w:lang w:val="en-US"/>
              </w:rPr>
            </w:pPr>
            <w:r w:rsidRPr="004C750C">
              <w:rPr>
                <w:rFonts w:ascii="Book Antiqua" w:hAnsi="Book Antiqua" w:cs="Arial"/>
                <w:sz w:val="24"/>
                <w:szCs w:val="24"/>
                <w:lang w:val="en-US"/>
              </w:rPr>
              <w:t>Epivir</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39" w:tooltip="GlaxoSmithKline" w:history="1">
              <w:r w:rsidRPr="004C750C">
                <w:rPr>
                  <w:rStyle w:val="Hyperlink"/>
                  <w:rFonts w:ascii="Book Antiqua" w:hAnsi="Book Antiqua" w:cs="Arial"/>
                  <w:color w:val="auto"/>
                  <w:sz w:val="24"/>
                  <w:szCs w:val="24"/>
                  <w:u w:val="none"/>
                  <w:lang w:val="en-US"/>
                </w:rPr>
                <w:t>GlaxoSmithKline</w:t>
              </w:r>
            </w:hyperlink>
            <w:r w:rsidRPr="004C750C">
              <w:rPr>
                <w:rFonts w:ascii="Book Antiqua" w:hAnsi="Book Antiqua" w:cs="Arial"/>
                <w:bCs/>
                <w:sz w:val="24"/>
                <w:szCs w:val="24"/>
                <w:lang w:val="en-US"/>
              </w:rPr>
              <w:t xml:space="preserve"> (1995)</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Zerit</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Bristol-Myers Squibb Co. (1994)</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Viread</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40" w:tooltip="Gilead Sciences" w:history="1">
              <w:r w:rsidRPr="004C750C">
                <w:rPr>
                  <w:rStyle w:val="Hyperlink"/>
                  <w:rFonts w:ascii="Book Antiqua" w:hAnsi="Book Antiqua" w:cs="Arial"/>
                  <w:color w:val="auto"/>
                  <w:sz w:val="24"/>
                  <w:szCs w:val="24"/>
                  <w:u w:val="none"/>
                  <w:lang w:val="en-US"/>
                </w:rPr>
                <w:t>Gilead Sci</w:t>
              </w:r>
            </w:hyperlink>
            <w:r w:rsidRPr="004C750C">
              <w:rPr>
                <w:rFonts w:ascii="Book Antiqua" w:hAnsi="Book Antiqua" w:cs="Arial"/>
                <w:sz w:val="24"/>
                <w:szCs w:val="24"/>
                <w:lang w:val="en-US"/>
              </w:rPr>
              <w:t>.</w:t>
            </w:r>
            <w:r w:rsidRPr="004C750C">
              <w:rPr>
                <w:rFonts w:ascii="Book Antiqua" w:hAnsi="Book Antiqua" w:cs="Arial"/>
                <w:bCs/>
                <w:sz w:val="24"/>
                <w:szCs w:val="24"/>
                <w:lang w:val="en-US"/>
              </w:rPr>
              <w:t xml:space="preserve"> (2001)</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Retrovir</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41" w:tooltip="ViiV Healthcare" w:history="1">
              <w:r w:rsidRPr="004C750C">
                <w:rPr>
                  <w:rStyle w:val="Hyperlink"/>
                  <w:rFonts w:ascii="Book Antiqua" w:hAnsi="Book Antiqua" w:cs="Arial"/>
                  <w:color w:val="auto"/>
                  <w:sz w:val="24"/>
                  <w:szCs w:val="24"/>
                  <w:u w:val="none"/>
                  <w:lang w:val="en-US"/>
                </w:rPr>
                <w:t>ViiV Healthcare</w:t>
              </w:r>
            </w:hyperlink>
            <w:r w:rsidRPr="004C750C">
              <w:rPr>
                <w:rFonts w:ascii="Book Antiqua" w:hAnsi="Book Antiqua" w:cs="Arial"/>
                <w:sz w:val="24"/>
                <w:szCs w:val="24"/>
                <w:lang w:val="en-US"/>
              </w:rPr>
              <w:t xml:space="preserve"> (1987) </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Hivid</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Roche (1992)</w:t>
            </w:r>
          </w:p>
          <w:p w:rsidR="008B748B" w:rsidRPr="004C750C" w:rsidRDefault="008B748B" w:rsidP="004C750C">
            <w:pPr>
              <w:spacing w:after="0" w:line="360" w:lineRule="auto"/>
              <w:jc w:val="both"/>
              <w:rPr>
                <w:rFonts w:ascii="Book Antiqua" w:hAnsi="Book Antiqua" w:cs="Arial"/>
                <w:sz w:val="24"/>
                <w:szCs w:val="24"/>
                <w:lang w:val="en-US"/>
              </w:rPr>
            </w:pPr>
          </w:p>
        </w:tc>
      </w:tr>
      <w:tr w:rsidR="008B748B" w:rsidRPr="004C750C" w:rsidTr="006950F4">
        <w:tc>
          <w:tcPr>
            <w:tcW w:w="4124" w:type="dxa"/>
            <w:tcBorders>
              <w:top w:val="nil"/>
            </w:tcBorders>
          </w:tcPr>
          <w:p w:rsidR="008B748B" w:rsidRPr="004C750C" w:rsidRDefault="008B748B"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 xml:space="preserve">Non-nucleoside reverse transcriptase inhibitors </w:t>
            </w:r>
          </w:p>
          <w:p w:rsidR="008B748B" w:rsidRPr="004C750C" w:rsidRDefault="008B748B" w:rsidP="004C750C">
            <w:pPr>
              <w:spacing w:after="0" w:line="360" w:lineRule="auto"/>
              <w:jc w:val="both"/>
              <w:rPr>
                <w:rFonts w:ascii="Book Antiqua" w:hAnsi="Book Antiqua" w:cs="Arial"/>
                <w:sz w:val="24"/>
                <w:szCs w:val="24"/>
                <w:lang w:val="en-US"/>
              </w:rPr>
            </w:pPr>
          </w:p>
        </w:tc>
        <w:tc>
          <w:tcPr>
            <w:tcW w:w="1890" w:type="dxa"/>
            <w:tcBorders>
              <w:top w:val="nil"/>
            </w:tcBorders>
          </w:tcPr>
          <w:p w:rsidR="008B748B" w:rsidRPr="004C750C" w:rsidRDefault="008B748B" w:rsidP="004C750C">
            <w:pPr>
              <w:spacing w:after="0" w:line="360" w:lineRule="auto"/>
              <w:jc w:val="both"/>
              <w:rPr>
                <w:rFonts w:ascii="Book Antiqua" w:hAnsi="Book Antiqua" w:cs="Arial"/>
                <w:bCs/>
                <w:sz w:val="24"/>
                <w:szCs w:val="24"/>
              </w:rPr>
            </w:pPr>
            <w:r w:rsidRPr="004C750C">
              <w:rPr>
                <w:rFonts w:ascii="Book Antiqua" w:hAnsi="Book Antiqua" w:cs="Arial"/>
                <w:bCs/>
                <w:sz w:val="24"/>
                <w:szCs w:val="24"/>
              </w:rPr>
              <w:t>Delavirdine (DLV)</w:t>
            </w: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Efavirenz (EFV)</w:t>
            </w:r>
          </w:p>
          <w:p w:rsidR="008B748B" w:rsidRPr="004C750C" w:rsidRDefault="008B748B" w:rsidP="004C750C">
            <w:pPr>
              <w:spacing w:after="0" w:line="360" w:lineRule="auto"/>
              <w:jc w:val="both"/>
              <w:rPr>
                <w:rFonts w:ascii="Book Antiqua" w:hAnsi="Book Antiqua" w:cs="Arial"/>
                <w:sz w:val="24"/>
                <w:szCs w:val="24"/>
              </w:rPr>
            </w:pP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Nevirapine (NVP)</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Etravirine (ETR)</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Rilpivirine (RPV)</w:t>
            </w:r>
          </w:p>
        </w:tc>
        <w:tc>
          <w:tcPr>
            <w:tcW w:w="3638" w:type="dxa"/>
            <w:tcBorders>
              <w:top w:val="nil"/>
            </w:tcBorders>
          </w:tcPr>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Rescriptor</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42" w:tooltip="Pfizer" w:history="1">
              <w:r w:rsidRPr="004C750C">
                <w:rPr>
                  <w:rStyle w:val="Hyperlink"/>
                  <w:rFonts w:ascii="Book Antiqua" w:hAnsi="Book Antiqua" w:cs="Arial"/>
                  <w:color w:val="auto"/>
                  <w:sz w:val="24"/>
                  <w:szCs w:val="24"/>
                  <w:u w:val="none"/>
                  <w:lang w:val="en-US"/>
                </w:rPr>
                <w:t>Pfizer</w:t>
              </w:r>
            </w:hyperlink>
            <w:r w:rsidRPr="004C750C">
              <w:rPr>
                <w:rFonts w:ascii="Book Antiqua" w:hAnsi="Book Antiqua" w:cs="Arial"/>
                <w:sz w:val="24"/>
                <w:szCs w:val="24"/>
                <w:lang w:val="en-US"/>
              </w:rPr>
              <w:t xml:space="preserve"> (1997)</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Sustiva</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43" w:tooltip="Bristol-Myers Squibb" w:history="1">
              <w:r w:rsidRPr="004C750C">
                <w:rPr>
                  <w:rStyle w:val="Hyperlink"/>
                  <w:rFonts w:ascii="Book Antiqua" w:hAnsi="Book Antiqua" w:cs="Arial"/>
                  <w:color w:val="auto"/>
                  <w:sz w:val="24"/>
                  <w:szCs w:val="24"/>
                  <w:u w:val="none"/>
                  <w:lang w:val="en-US"/>
                </w:rPr>
                <w:t>Bristol-Myers Squibb</w:t>
              </w:r>
            </w:hyperlink>
            <w:r w:rsidRPr="004C750C">
              <w:rPr>
                <w:rFonts w:ascii="Book Antiqua" w:hAnsi="Book Antiqua" w:cs="Arial"/>
                <w:sz w:val="24"/>
                <w:szCs w:val="24"/>
                <w:lang w:val="en-US"/>
              </w:rPr>
              <w:t xml:space="preserve"> Co. (1998)</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Stocrin</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Merck Sharp, Dohme (1998)</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Viramune</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44" w:tooltip="Boehringer Ingelheim" w:history="1">
              <w:r w:rsidRPr="004C750C">
                <w:rPr>
                  <w:rStyle w:val="Hyperlink"/>
                  <w:rFonts w:ascii="Book Antiqua" w:hAnsi="Book Antiqua" w:cs="Arial"/>
                  <w:color w:val="auto"/>
                  <w:sz w:val="24"/>
                  <w:szCs w:val="24"/>
                  <w:u w:val="none"/>
                  <w:lang w:val="en-US"/>
                </w:rPr>
                <w:t>Boehringer Ingelheim</w:t>
              </w:r>
            </w:hyperlink>
            <w:r w:rsidRPr="004C750C">
              <w:rPr>
                <w:rFonts w:ascii="Book Antiqua" w:hAnsi="Book Antiqua" w:cs="Arial"/>
                <w:sz w:val="24"/>
                <w:szCs w:val="24"/>
                <w:lang w:val="en-US"/>
              </w:rPr>
              <w:t xml:space="preserve"> (1996)</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Intelence</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Janssen-Cilag (2008)</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Edurant</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Janssen-Cilag (2011)</w:t>
            </w:r>
          </w:p>
          <w:p w:rsidR="008B748B" w:rsidRPr="004C750C" w:rsidRDefault="008B748B" w:rsidP="004C750C">
            <w:pPr>
              <w:spacing w:after="0" w:line="360" w:lineRule="auto"/>
              <w:jc w:val="both"/>
              <w:rPr>
                <w:rFonts w:ascii="Book Antiqua" w:hAnsi="Book Antiqua" w:cs="Arial"/>
                <w:sz w:val="24"/>
                <w:szCs w:val="24"/>
                <w:lang w:val="en-US"/>
              </w:rPr>
            </w:pPr>
          </w:p>
        </w:tc>
      </w:tr>
      <w:tr w:rsidR="008B748B" w:rsidRPr="004C750C" w:rsidTr="006950F4">
        <w:tc>
          <w:tcPr>
            <w:tcW w:w="4124" w:type="dxa"/>
          </w:tcPr>
          <w:p w:rsidR="008B748B" w:rsidRPr="004C750C" w:rsidRDefault="008B748B"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Protease inhibitors</w:t>
            </w:r>
          </w:p>
          <w:p w:rsidR="008B748B" w:rsidRPr="004C750C" w:rsidRDefault="008B748B" w:rsidP="004C750C">
            <w:pPr>
              <w:spacing w:after="0" w:line="360" w:lineRule="auto"/>
              <w:jc w:val="both"/>
              <w:rPr>
                <w:rFonts w:ascii="Book Antiqua" w:hAnsi="Book Antiqua" w:cs="Arial"/>
                <w:sz w:val="24"/>
                <w:szCs w:val="24"/>
                <w:lang w:val="en-US"/>
              </w:rPr>
            </w:pPr>
          </w:p>
        </w:tc>
        <w:tc>
          <w:tcPr>
            <w:tcW w:w="1890" w:type="dxa"/>
          </w:tcPr>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Amprenavir</w:t>
            </w: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Atazanavir</w:t>
            </w: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Darunavir</w:t>
            </w: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bCs/>
                <w:sz w:val="24"/>
                <w:szCs w:val="24"/>
              </w:rPr>
              <w:t>Fosamprenavir</w:t>
            </w: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Indinavir</w:t>
            </w: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Lopinavir</w:t>
            </w: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 xml:space="preserve">Nelfinavir </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Ritonavir</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Saquinavir</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Tipranavir</w:t>
            </w:r>
          </w:p>
        </w:tc>
        <w:tc>
          <w:tcPr>
            <w:tcW w:w="3638" w:type="dxa"/>
          </w:tcPr>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Agenerase</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45" w:tooltip="GlaxoSmithKline" w:history="1">
              <w:r w:rsidRPr="004C750C">
                <w:rPr>
                  <w:rStyle w:val="Hyperlink"/>
                  <w:rFonts w:ascii="Book Antiqua" w:hAnsi="Book Antiqua" w:cs="Arial"/>
                  <w:color w:val="auto"/>
                  <w:sz w:val="24"/>
                  <w:szCs w:val="24"/>
                  <w:u w:val="none"/>
                  <w:lang w:val="en-US"/>
                </w:rPr>
                <w:t>GlaxoSmithKline</w:t>
              </w:r>
            </w:hyperlink>
            <w:r w:rsidRPr="004C750C">
              <w:rPr>
                <w:rFonts w:ascii="Book Antiqua" w:hAnsi="Book Antiqua" w:cs="Arial"/>
                <w:sz w:val="24"/>
                <w:szCs w:val="24"/>
                <w:lang w:val="en-US"/>
              </w:rPr>
              <w:t xml:space="preserve"> (1999)</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bCs/>
                <w:sz w:val="24"/>
                <w:szCs w:val="24"/>
                <w:lang w:val="en-US"/>
              </w:rPr>
              <w:t>Reyataz</w:t>
            </w:r>
            <w:r w:rsidRPr="004C750C">
              <w:rPr>
                <w:rFonts w:ascii="Book Antiqua" w:hAnsi="Book Antiqua" w:cs="Arial"/>
                <w:sz w:val="24"/>
                <w:szCs w:val="24"/>
                <w:vertAlign w:val="superscript"/>
                <w:lang w:val="en-US"/>
              </w:rPr>
              <w:t>®</w:t>
            </w:r>
            <w:r w:rsidRPr="004C750C">
              <w:rPr>
                <w:rFonts w:ascii="Book Antiqua" w:hAnsi="Book Antiqua" w:cs="Arial"/>
                <w:bCs/>
                <w:sz w:val="24"/>
                <w:szCs w:val="24"/>
                <w:lang w:val="en-US"/>
              </w:rPr>
              <w:t xml:space="preserve"> </w:t>
            </w:r>
            <w:hyperlink r:id="rId46" w:tooltip="Bristol-Myers Squibb" w:history="1">
              <w:r w:rsidRPr="004C750C">
                <w:rPr>
                  <w:rStyle w:val="Hyperlink"/>
                  <w:rFonts w:ascii="Book Antiqua" w:hAnsi="Book Antiqua" w:cs="Arial"/>
                  <w:color w:val="auto"/>
                  <w:sz w:val="24"/>
                  <w:szCs w:val="24"/>
                  <w:u w:val="none"/>
                  <w:lang w:val="en-US"/>
                </w:rPr>
                <w:t>Bristol-Myers Squibb</w:t>
              </w:r>
            </w:hyperlink>
            <w:r w:rsidRPr="004C750C">
              <w:rPr>
                <w:rFonts w:ascii="Book Antiqua" w:hAnsi="Book Antiqua" w:cs="Arial"/>
                <w:sz w:val="24"/>
                <w:szCs w:val="24"/>
                <w:lang w:val="en-US"/>
              </w:rPr>
              <w:t xml:space="preserve"> Co. (2003)</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Prezista</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Janssen-Cilag (2006)</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Lexiva</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47" w:tooltip="ViiV Healthcare" w:history="1">
              <w:r w:rsidRPr="004C750C">
                <w:rPr>
                  <w:rStyle w:val="Hyperlink"/>
                  <w:rFonts w:ascii="Book Antiqua" w:hAnsi="Book Antiqua" w:cs="Arial"/>
                  <w:color w:val="auto"/>
                  <w:sz w:val="24"/>
                  <w:szCs w:val="24"/>
                  <w:u w:val="none"/>
                  <w:lang w:val="en-US"/>
                </w:rPr>
                <w:t>ViiV Healthcare</w:t>
              </w:r>
            </w:hyperlink>
            <w:r w:rsidRPr="004C750C">
              <w:rPr>
                <w:rFonts w:ascii="Book Antiqua" w:hAnsi="Book Antiqua" w:cs="Arial"/>
                <w:sz w:val="24"/>
                <w:szCs w:val="24"/>
                <w:lang w:val="en-US"/>
              </w:rPr>
              <w:t xml:space="preserve"> (2003)</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Crixivan</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48" w:tooltip="Merck &amp; Co." w:history="1">
              <w:r w:rsidRPr="004C750C">
                <w:rPr>
                  <w:rStyle w:val="Hyperlink"/>
                  <w:rFonts w:ascii="Book Antiqua" w:hAnsi="Book Antiqua" w:cs="Arial"/>
                  <w:color w:val="auto"/>
                  <w:sz w:val="24"/>
                  <w:szCs w:val="24"/>
                  <w:u w:val="none"/>
                  <w:lang w:val="en-US"/>
                </w:rPr>
                <w:t>Merck &amp; Co</w:t>
              </w:r>
            </w:hyperlink>
            <w:r w:rsidRPr="004C750C">
              <w:rPr>
                <w:rFonts w:ascii="Book Antiqua" w:hAnsi="Book Antiqua" w:cs="Arial"/>
                <w:sz w:val="24"/>
                <w:szCs w:val="24"/>
                <w:lang w:val="en-US"/>
              </w:rPr>
              <w:t>. (1996)</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Kaletra</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Abbott (2000)</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Viracept</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49" w:tooltip="ViiV Healthcare" w:history="1">
              <w:r w:rsidRPr="004C750C">
                <w:rPr>
                  <w:rStyle w:val="Hyperlink"/>
                  <w:rFonts w:ascii="Book Antiqua" w:hAnsi="Book Antiqua" w:cs="Arial"/>
                  <w:color w:val="auto"/>
                  <w:sz w:val="24"/>
                  <w:szCs w:val="24"/>
                  <w:u w:val="none"/>
                  <w:lang w:val="en-US"/>
                </w:rPr>
                <w:t>ViiV Healthcare</w:t>
              </w:r>
            </w:hyperlink>
            <w:r w:rsidRPr="004C750C">
              <w:rPr>
                <w:rFonts w:ascii="Book Antiqua" w:hAnsi="Book Antiqua" w:cs="Arial"/>
                <w:sz w:val="24"/>
                <w:szCs w:val="24"/>
                <w:lang w:val="en-US"/>
              </w:rPr>
              <w:t xml:space="preserve"> (1997)</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bCs/>
                <w:sz w:val="24"/>
                <w:szCs w:val="24"/>
                <w:lang w:val="en-US"/>
              </w:rPr>
              <w:t>Norvir</w:t>
            </w:r>
            <w:r w:rsidRPr="004C750C">
              <w:rPr>
                <w:rFonts w:ascii="Book Antiqua" w:hAnsi="Book Antiqua" w:cs="Arial"/>
                <w:sz w:val="24"/>
                <w:szCs w:val="24"/>
                <w:vertAlign w:val="superscript"/>
                <w:lang w:val="en-US"/>
              </w:rPr>
              <w:t>®</w:t>
            </w:r>
            <w:r w:rsidRPr="004C750C">
              <w:rPr>
                <w:rFonts w:ascii="Book Antiqua" w:hAnsi="Book Antiqua" w:cs="Arial"/>
                <w:bCs/>
                <w:sz w:val="24"/>
                <w:szCs w:val="24"/>
                <w:lang w:val="en-US"/>
              </w:rPr>
              <w:t xml:space="preserve"> </w:t>
            </w:r>
            <w:hyperlink r:id="rId50" w:tooltip="AbbVie" w:history="1">
              <w:r w:rsidRPr="004C750C">
                <w:rPr>
                  <w:rStyle w:val="Hyperlink"/>
                  <w:rFonts w:ascii="Book Antiqua" w:hAnsi="Book Antiqua" w:cs="Arial"/>
                  <w:color w:val="auto"/>
                  <w:sz w:val="24"/>
                  <w:szCs w:val="24"/>
                  <w:u w:val="none"/>
                  <w:lang w:val="en-US"/>
                </w:rPr>
                <w:t>AbbVie Inc.</w:t>
              </w:r>
            </w:hyperlink>
            <w:r w:rsidRPr="004C750C">
              <w:rPr>
                <w:rFonts w:ascii="Book Antiqua" w:hAnsi="Book Antiqua" w:cs="Arial"/>
                <w:sz w:val="24"/>
                <w:szCs w:val="24"/>
                <w:lang w:val="en-US"/>
              </w:rPr>
              <w:t xml:space="preserve"> (1996)</w:t>
            </w: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Invirase</w:t>
            </w:r>
            <w:r w:rsidRPr="004C750C">
              <w:rPr>
                <w:rFonts w:ascii="Book Antiqua" w:hAnsi="Book Antiqua" w:cs="Arial"/>
                <w:sz w:val="24"/>
                <w:szCs w:val="24"/>
                <w:vertAlign w:val="superscript"/>
                <w:lang w:val="en-US"/>
              </w:rPr>
              <w:t>®</w:t>
            </w:r>
            <w:r w:rsidRPr="004C750C">
              <w:rPr>
                <w:rFonts w:ascii="Book Antiqua" w:hAnsi="Book Antiqua" w:cs="Arial"/>
                <w:sz w:val="24"/>
                <w:szCs w:val="24"/>
              </w:rPr>
              <w:t xml:space="preserve"> Roche (1995)</w:t>
            </w: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Aptivus</w:t>
            </w:r>
            <w:r w:rsidRPr="004C750C">
              <w:rPr>
                <w:rFonts w:ascii="Book Antiqua" w:hAnsi="Book Antiqua" w:cs="Arial"/>
                <w:sz w:val="24"/>
                <w:szCs w:val="24"/>
                <w:vertAlign w:val="superscript"/>
                <w:lang w:val="en-US"/>
              </w:rPr>
              <w:t>®</w:t>
            </w:r>
            <w:r w:rsidRPr="004C750C">
              <w:rPr>
                <w:rFonts w:ascii="Book Antiqua" w:hAnsi="Book Antiqua" w:cs="Arial"/>
                <w:sz w:val="24"/>
                <w:szCs w:val="24"/>
              </w:rPr>
              <w:t xml:space="preserve"> </w:t>
            </w:r>
            <w:hyperlink r:id="rId51" w:tooltip="Boehringer Ingelheim" w:history="1">
              <w:r w:rsidRPr="004C750C">
                <w:rPr>
                  <w:rStyle w:val="Hyperlink"/>
                  <w:rFonts w:ascii="Book Antiqua" w:hAnsi="Book Antiqua" w:cs="Arial"/>
                  <w:color w:val="auto"/>
                  <w:sz w:val="24"/>
                  <w:szCs w:val="24"/>
                  <w:u w:val="none"/>
                </w:rPr>
                <w:t>Boehringer Ingelheim</w:t>
              </w:r>
            </w:hyperlink>
            <w:r w:rsidRPr="004C750C">
              <w:rPr>
                <w:rFonts w:ascii="Book Antiqua" w:hAnsi="Book Antiqua" w:cs="Arial"/>
                <w:sz w:val="24"/>
                <w:szCs w:val="24"/>
              </w:rPr>
              <w:t xml:space="preserve"> (2005)</w:t>
            </w:r>
          </w:p>
          <w:p w:rsidR="008B748B" w:rsidRPr="004C750C" w:rsidRDefault="008B748B" w:rsidP="004C750C">
            <w:pPr>
              <w:spacing w:after="0" w:line="360" w:lineRule="auto"/>
              <w:jc w:val="both"/>
              <w:rPr>
                <w:rFonts w:ascii="Book Antiqua" w:hAnsi="Book Antiqua" w:cs="Arial"/>
                <w:sz w:val="24"/>
                <w:szCs w:val="24"/>
              </w:rPr>
            </w:pPr>
          </w:p>
        </w:tc>
      </w:tr>
      <w:tr w:rsidR="008B748B" w:rsidRPr="004C750C" w:rsidTr="006950F4">
        <w:tc>
          <w:tcPr>
            <w:tcW w:w="4124" w:type="dxa"/>
          </w:tcPr>
          <w:p w:rsidR="008B748B" w:rsidRPr="004C750C" w:rsidRDefault="008B748B"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Fusion inhibitors</w:t>
            </w:r>
          </w:p>
        </w:tc>
        <w:tc>
          <w:tcPr>
            <w:tcW w:w="1890" w:type="dxa"/>
          </w:tcPr>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Enfuvirtide, T-20</w:t>
            </w:r>
          </w:p>
        </w:tc>
        <w:tc>
          <w:tcPr>
            <w:tcW w:w="3638" w:type="dxa"/>
          </w:tcPr>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Fuzeon</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r w:rsidRPr="004C750C">
              <w:rPr>
                <w:rFonts w:ascii="Book Antiqua" w:hAnsi="Book Antiqua" w:cs="Arial"/>
                <w:sz w:val="24"/>
                <w:szCs w:val="24"/>
              </w:rPr>
              <w:t>Hoffmann La Roche</w:t>
            </w:r>
            <w:r w:rsidRPr="004C750C">
              <w:rPr>
                <w:rFonts w:ascii="Book Antiqua" w:hAnsi="Book Antiqua" w:cs="Arial"/>
                <w:sz w:val="24"/>
                <w:szCs w:val="24"/>
                <w:lang w:val="en-US"/>
              </w:rPr>
              <w:t xml:space="preserve"> (2003)</w:t>
            </w:r>
          </w:p>
          <w:p w:rsidR="008B748B" w:rsidRPr="004C750C" w:rsidRDefault="008B748B" w:rsidP="004C750C">
            <w:pPr>
              <w:spacing w:after="0" w:line="360" w:lineRule="auto"/>
              <w:jc w:val="both"/>
              <w:rPr>
                <w:rFonts w:ascii="Book Antiqua" w:hAnsi="Book Antiqua" w:cs="Arial"/>
                <w:sz w:val="24"/>
                <w:szCs w:val="24"/>
                <w:lang w:val="en-US"/>
              </w:rPr>
            </w:pPr>
          </w:p>
        </w:tc>
      </w:tr>
      <w:tr w:rsidR="008B748B" w:rsidRPr="004C750C" w:rsidTr="006950F4">
        <w:tc>
          <w:tcPr>
            <w:tcW w:w="4124" w:type="dxa"/>
          </w:tcPr>
          <w:p w:rsidR="008B748B" w:rsidRPr="004C750C" w:rsidRDefault="008B748B"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 xml:space="preserve">Integrase strand transfer inhibitors </w:t>
            </w:r>
          </w:p>
        </w:tc>
        <w:tc>
          <w:tcPr>
            <w:tcW w:w="1890" w:type="dxa"/>
          </w:tcPr>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rPr>
              <w:t>Dolutegravir (DTG)</w:t>
            </w: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Elvitegravir (EVG)</w:t>
            </w:r>
          </w:p>
          <w:p w:rsidR="008B748B" w:rsidRPr="004C750C" w:rsidRDefault="008B748B" w:rsidP="004C750C">
            <w:pPr>
              <w:spacing w:after="0" w:line="360" w:lineRule="auto"/>
              <w:jc w:val="both"/>
              <w:rPr>
                <w:rFonts w:ascii="Book Antiqua" w:hAnsi="Book Antiqua" w:cs="Arial"/>
                <w:sz w:val="24"/>
                <w:szCs w:val="24"/>
              </w:rPr>
            </w:pPr>
            <w:r w:rsidRPr="004C750C">
              <w:rPr>
                <w:rFonts w:ascii="Book Antiqua" w:hAnsi="Book Antiqua" w:cs="Arial"/>
                <w:sz w:val="24"/>
                <w:szCs w:val="24"/>
              </w:rPr>
              <w:t>Raltegravir (RAL)</w:t>
            </w:r>
            <w:r w:rsidRPr="004C750C">
              <w:rPr>
                <w:rFonts w:ascii="Book Antiqua" w:hAnsi="Book Antiqua" w:cs="Arial"/>
                <w:bCs/>
                <w:sz w:val="24"/>
                <w:szCs w:val="24"/>
              </w:rPr>
              <w:t xml:space="preserve"> </w:t>
            </w:r>
          </w:p>
        </w:tc>
        <w:tc>
          <w:tcPr>
            <w:tcW w:w="3638" w:type="dxa"/>
          </w:tcPr>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Tivicay</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52" w:tooltip="GlaxoSmithKline" w:history="1">
              <w:r w:rsidRPr="004C750C">
                <w:rPr>
                  <w:rStyle w:val="Hyperlink"/>
                  <w:rFonts w:ascii="Book Antiqua" w:hAnsi="Book Antiqua" w:cs="Arial"/>
                  <w:color w:val="auto"/>
                  <w:sz w:val="24"/>
                  <w:szCs w:val="24"/>
                  <w:u w:val="none"/>
                  <w:lang w:val="en-US"/>
                </w:rPr>
                <w:t>GlaxoSmithKline</w:t>
              </w:r>
            </w:hyperlink>
            <w:r w:rsidRPr="004C750C">
              <w:rPr>
                <w:rFonts w:ascii="Book Antiqua" w:hAnsi="Book Antiqua" w:cs="Arial"/>
                <w:sz w:val="24"/>
                <w:szCs w:val="24"/>
                <w:lang w:val="en-US"/>
              </w:rPr>
              <w:t xml:space="preserve"> (2013) </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Stribild</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53" w:tooltip="Gilead Sciences" w:history="1">
              <w:r w:rsidRPr="004C750C">
                <w:rPr>
                  <w:rStyle w:val="Hyperlink"/>
                  <w:rFonts w:ascii="Book Antiqua" w:hAnsi="Book Antiqua" w:cs="Arial"/>
                  <w:color w:val="auto"/>
                  <w:sz w:val="24"/>
                  <w:szCs w:val="24"/>
                  <w:u w:val="none"/>
                  <w:lang w:val="en-US"/>
                </w:rPr>
                <w:t>Gilead Sci</w:t>
              </w:r>
            </w:hyperlink>
            <w:r w:rsidRPr="004C750C">
              <w:rPr>
                <w:rFonts w:ascii="Book Antiqua" w:hAnsi="Book Antiqua" w:cs="Arial"/>
                <w:sz w:val="24"/>
                <w:szCs w:val="24"/>
                <w:lang w:val="en-US"/>
              </w:rPr>
              <w:t>.</w:t>
            </w:r>
            <w:r w:rsidRPr="004C750C">
              <w:rPr>
                <w:rFonts w:ascii="Book Antiqua" w:hAnsi="Book Antiqua" w:cs="Arial"/>
                <w:bCs/>
                <w:sz w:val="24"/>
                <w:szCs w:val="24"/>
                <w:lang w:val="en-US"/>
              </w:rPr>
              <w:t xml:space="preserve"> (2012)</w:t>
            </w:r>
            <w:r w:rsidRPr="004C750C">
              <w:rPr>
                <w:rFonts w:ascii="Book Antiqua" w:hAnsi="Book Antiqua" w:cs="Arial"/>
                <w:sz w:val="24"/>
                <w:szCs w:val="24"/>
                <w:lang w:val="en-US"/>
              </w:rPr>
              <w:t xml:space="preserve"> </w:t>
            </w: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Isentress</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54" w:tooltip="Merck &amp; Co." w:history="1">
              <w:r w:rsidRPr="004C750C">
                <w:rPr>
                  <w:rStyle w:val="Hyperlink"/>
                  <w:rFonts w:ascii="Book Antiqua" w:hAnsi="Book Antiqua" w:cs="Arial"/>
                  <w:color w:val="auto"/>
                  <w:sz w:val="24"/>
                  <w:szCs w:val="24"/>
                  <w:u w:val="none"/>
                  <w:lang w:val="en-US"/>
                </w:rPr>
                <w:t xml:space="preserve">Merck </w:t>
              </w:r>
              <w:r w:rsidRPr="004C750C">
                <w:rPr>
                  <w:rStyle w:val="Hyperlink"/>
                  <w:rFonts w:ascii="Book Antiqua" w:hAnsi="Book Antiqua" w:cs="Arial"/>
                  <w:color w:val="auto"/>
                  <w:sz w:val="24"/>
                  <w:szCs w:val="24"/>
                  <w:u w:val="none"/>
                  <w:lang w:val="en-US" w:eastAsia="zh-CN"/>
                </w:rPr>
                <w:t>and</w:t>
              </w:r>
              <w:r w:rsidRPr="004C750C">
                <w:rPr>
                  <w:rStyle w:val="Hyperlink"/>
                  <w:rFonts w:ascii="Book Antiqua" w:hAnsi="Book Antiqua" w:cs="Arial"/>
                  <w:color w:val="auto"/>
                  <w:sz w:val="24"/>
                  <w:szCs w:val="24"/>
                  <w:u w:val="none"/>
                  <w:lang w:val="en-US"/>
                </w:rPr>
                <w:t xml:space="preserve"> Co</w:t>
              </w:r>
            </w:hyperlink>
            <w:r w:rsidRPr="004C750C">
              <w:rPr>
                <w:rFonts w:ascii="Book Antiqua" w:hAnsi="Book Antiqua" w:cs="Arial"/>
                <w:sz w:val="24"/>
                <w:szCs w:val="24"/>
                <w:lang w:val="en-US"/>
              </w:rPr>
              <w:t>.</w:t>
            </w:r>
            <w:r w:rsidRPr="004C750C">
              <w:rPr>
                <w:rFonts w:ascii="Book Antiqua" w:hAnsi="Book Antiqua" w:cs="Arial"/>
                <w:b/>
                <w:bCs/>
                <w:sz w:val="24"/>
                <w:szCs w:val="24"/>
                <w:lang w:val="en-US"/>
              </w:rPr>
              <w:t xml:space="preserve"> (</w:t>
            </w:r>
            <w:r w:rsidRPr="004C750C">
              <w:rPr>
                <w:rFonts w:ascii="Book Antiqua" w:hAnsi="Book Antiqua" w:cs="Arial"/>
                <w:bCs/>
                <w:sz w:val="24"/>
                <w:szCs w:val="24"/>
                <w:lang w:val="en-US"/>
              </w:rPr>
              <w:t>2007</w:t>
            </w:r>
            <w:r w:rsidRPr="004C750C">
              <w:rPr>
                <w:rFonts w:ascii="Book Antiqua" w:hAnsi="Book Antiqua" w:cs="Arial"/>
                <w:sz w:val="24"/>
                <w:szCs w:val="24"/>
                <w:lang w:val="en-US"/>
              </w:rPr>
              <w:t>)</w:t>
            </w:r>
          </w:p>
        </w:tc>
      </w:tr>
      <w:tr w:rsidR="008B748B" w:rsidRPr="004C750C" w:rsidTr="006950F4">
        <w:tc>
          <w:tcPr>
            <w:tcW w:w="4124" w:type="dxa"/>
          </w:tcPr>
          <w:p w:rsidR="008B748B" w:rsidRPr="004C750C" w:rsidRDefault="008B748B"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 xml:space="preserve">Entry inhibitors </w:t>
            </w:r>
          </w:p>
          <w:p w:rsidR="008B748B" w:rsidRPr="004C750C" w:rsidRDefault="008B748B" w:rsidP="003F0C57">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(CC chemokine receptor 5</w:t>
            </w:r>
            <w:r w:rsidR="003F0C57">
              <w:rPr>
                <w:rFonts w:ascii="Book Antiqua" w:hAnsi="Book Antiqua" w:cs="Arial" w:hint="eastAsia"/>
                <w:b/>
                <w:sz w:val="24"/>
                <w:szCs w:val="24"/>
                <w:lang w:val="en-US" w:eastAsia="zh-CN"/>
              </w:rPr>
              <w:t xml:space="preserve"> </w:t>
            </w:r>
            <w:r w:rsidRPr="004C750C">
              <w:rPr>
                <w:rFonts w:ascii="Book Antiqua" w:hAnsi="Book Antiqua" w:cs="Arial"/>
                <w:b/>
                <w:sz w:val="24"/>
                <w:szCs w:val="24"/>
                <w:lang w:val="en-US"/>
              </w:rPr>
              <w:t>antagonists)</w:t>
            </w:r>
          </w:p>
        </w:tc>
        <w:tc>
          <w:tcPr>
            <w:tcW w:w="1890" w:type="dxa"/>
          </w:tcPr>
          <w:p w:rsidR="008B748B" w:rsidRPr="004C750C" w:rsidRDefault="008B748B" w:rsidP="004C750C">
            <w:pPr>
              <w:spacing w:after="0" w:line="360" w:lineRule="auto"/>
              <w:jc w:val="both"/>
              <w:rPr>
                <w:rFonts w:ascii="Book Antiqua" w:hAnsi="Book Antiqua" w:cs="Arial"/>
                <w:sz w:val="24"/>
                <w:szCs w:val="24"/>
                <w:lang w:val="en-US"/>
              </w:rPr>
            </w:pP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rPr>
              <w:t>Selzentry</w:t>
            </w:r>
          </w:p>
        </w:tc>
        <w:tc>
          <w:tcPr>
            <w:tcW w:w="3638" w:type="dxa"/>
          </w:tcPr>
          <w:p w:rsidR="008B748B" w:rsidRPr="004C750C" w:rsidRDefault="008B748B" w:rsidP="004C750C">
            <w:pPr>
              <w:spacing w:after="0" w:line="360" w:lineRule="auto"/>
              <w:jc w:val="both"/>
              <w:rPr>
                <w:rFonts w:ascii="Book Antiqua" w:hAnsi="Book Antiqua" w:cs="Arial"/>
                <w:sz w:val="24"/>
                <w:szCs w:val="24"/>
                <w:lang w:val="en-US"/>
              </w:rPr>
            </w:pPr>
          </w:p>
          <w:p w:rsidR="008B748B" w:rsidRPr="004C750C" w:rsidRDefault="008B748B"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Maraviroc</w:t>
            </w:r>
            <w:r w:rsidRPr="004C750C">
              <w:rPr>
                <w:rFonts w:ascii="Book Antiqua" w:hAnsi="Book Antiqua" w:cs="Arial"/>
                <w:sz w:val="24"/>
                <w:szCs w:val="24"/>
                <w:vertAlign w:val="superscript"/>
                <w:lang w:val="en-US"/>
              </w:rPr>
              <w:t>®</w:t>
            </w:r>
            <w:r w:rsidRPr="004C750C">
              <w:rPr>
                <w:rFonts w:ascii="Book Antiqua" w:hAnsi="Book Antiqua" w:cs="Arial"/>
                <w:sz w:val="24"/>
                <w:szCs w:val="24"/>
                <w:lang w:val="en-US"/>
              </w:rPr>
              <w:t xml:space="preserve"> </w:t>
            </w:r>
            <w:hyperlink r:id="rId55" w:tooltip="Pfizer" w:history="1">
              <w:r w:rsidRPr="004C750C">
                <w:rPr>
                  <w:rStyle w:val="Hyperlink"/>
                  <w:rFonts w:ascii="Book Antiqua" w:hAnsi="Book Antiqua" w:cs="Arial"/>
                  <w:color w:val="auto"/>
                  <w:sz w:val="24"/>
                  <w:szCs w:val="24"/>
                  <w:u w:val="none"/>
                  <w:lang w:val="en-US"/>
                </w:rPr>
                <w:t>Pfizer</w:t>
              </w:r>
            </w:hyperlink>
            <w:r w:rsidRPr="004C750C">
              <w:rPr>
                <w:rFonts w:ascii="Book Antiqua" w:hAnsi="Book Antiqua" w:cs="Arial"/>
                <w:sz w:val="24"/>
                <w:szCs w:val="24"/>
                <w:lang w:val="en-US"/>
              </w:rPr>
              <w:t xml:space="preserve"> (</w:t>
            </w:r>
            <w:r w:rsidRPr="004C750C">
              <w:rPr>
                <w:rFonts w:ascii="Book Antiqua" w:hAnsi="Book Antiqua" w:cs="Arial"/>
                <w:sz w:val="24"/>
                <w:szCs w:val="24"/>
              </w:rPr>
              <w:t>2007)</w:t>
            </w:r>
          </w:p>
        </w:tc>
      </w:tr>
    </w:tbl>
    <w:p w:rsidR="003F4FCF" w:rsidRPr="004C750C" w:rsidRDefault="003F4FCF" w:rsidP="004C750C">
      <w:pPr>
        <w:tabs>
          <w:tab w:val="left" w:pos="1315"/>
        </w:tabs>
        <w:spacing w:after="0" w:line="360" w:lineRule="auto"/>
        <w:jc w:val="both"/>
        <w:rPr>
          <w:rFonts w:ascii="Book Antiqua" w:hAnsi="Book Antiqua" w:cs="Arial"/>
          <w:b/>
          <w:sz w:val="24"/>
          <w:szCs w:val="24"/>
          <w:lang w:val="en-US"/>
        </w:rPr>
      </w:pPr>
    </w:p>
    <w:p w:rsidR="002817EF" w:rsidRPr="004C750C" w:rsidRDefault="00C6780A" w:rsidP="004C750C">
      <w:pPr>
        <w:tabs>
          <w:tab w:val="left" w:pos="1315"/>
        </w:tabs>
        <w:spacing w:after="0" w:line="360" w:lineRule="auto"/>
        <w:jc w:val="both"/>
        <w:rPr>
          <w:rFonts w:ascii="Book Antiqua" w:hAnsi="Book Antiqua" w:cs="Arial"/>
          <w:b/>
          <w:sz w:val="24"/>
          <w:szCs w:val="24"/>
          <w:highlight w:val="green"/>
          <w:lang w:val="en-US" w:eastAsia="zh-CN"/>
        </w:rPr>
      </w:pPr>
      <w:r w:rsidRPr="004C750C">
        <w:rPr>
          <w:rFonts w:ascii="Book Antiqua" w:hAnsi="Book Antiqua" w:cs="Arial"/>
          <w:b/>
          <w:sz w:val="24"/>
          <w:szCs w:val="24"/>
          <w:lang w:val="en-US"/>
        </w:rPr>
        <w:t>Table 2</w:t>
      </w:r>
      <w:r w:rsidR="002817EF" w:rsidRPr="004C750C">
        <w:rPr>
          <w:rFonts w:ascii="Book Antiqua" w:hAnsi="Book Antiqua" w:cs="Arial"/>
          <w:b/>
          <w:sz w:val="24"/>
          <w:szCs w:val="24"/>
          <w:lang w:val="en-US"/>
        </w:rPr>
        <w:t xml:space="preserve"> Antiretroviral drugs: impact </w:t>
      </w:r>
      <w:r w:rsidRPr="004C750C">
        <w:rPr>
          <w:rFonts w:ascii="Book Antiqua" w:hAnsi="Book Antiqua" w:cs="Arial"/>
          <w:b/>
          <w:sz w:val="24"/>
          <w:szCs w:val="24"/>
          <w:lang w:val="en-US"/>
        </w:rPr>
        <w:t>on lipid and glucose metabolism</w:t>
      </w:r>
    </w:p>
    <w:tbl>
      <w:tblPr>
        <w:tblW w:w="8613" w:type="dxa"/>
        <w:tblBorders>
          <w:top w:val="single" w:sz="12" w:space="0" w:color="auto"/>
          <w:bottom w:val="single" w:sz="12" w:space="0" w:color="auto"/>
        </w:tblBorders>
        <w:tblLook w:val="04A0" w:firstRow="1" w:lastRow="0" w:firstColumn="1" w:lastColumn="0" w:noHBand="0" w:noVBand="1"/>
      </w:tblPr>
      <w:tblGrid>
        <w:gridCol w:w="1737"/>
        <w:gridCol w:w="2908"/>
        <w:gridCol w:w="2234"/>
        <w:gridCol w:w="1734"/>
      </w:tblGrid>
      <w:tr w:rsidR="00E769B0" w:rsidRPr="004C750C" w:rsidTr="00C6780A">
        <w:tc>
          <w:tcPr>
            <w:tcW w:w="1668" w:type="dxa"/>
            <w:tcBorders>
              <w:top w:val="nil"/>
              <w:bottom w:val="single" w:sz="2" w:space="0" w:color="auto"/>
            </w:tcBorders>
            <w:shd w:val="clear" w:color="auto" w:fill="auto"/>
            <w:hideMark/>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Antiretroviral class</w:t>
            </w:r>
          </w:p>
        </w:tc>
        <w:tc>
          <w:tcPr>
            <w:tcW w:w="2552" w:type="dxa"/>
            <w:tcBorders>
              <w:top w:val="nil"/>
              <w:bottom w:val="single" w:sz="2" w:space="0" w:color="auto"/>
            </w:tcBorders>
            <w:shd w:val="clear" w:color="auto" w:fill="auto"/>
            <w:hideMark/>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Drug</w:t>
            </w:r>
          </w:p>
        </w:tc>
        <w:tc>
          <w:tcPr>
            <w:tcW w:w="2267" w:type="dxa"/>
            <w:tcBorders>
              <w:top w:val="nil"/>
              <w:bottom w:val="single" w:sz="2" w:space="0" w:color="auto"/>
            </w:tcBorders>
            <w:shd w:val="clear" w:color="auto" w:fill="auto"/>
            <w:hideMark/>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Effects on lipids</w:t>
            </w:r>
          </w:p>
        </w:tc>
        <w:tc>
          <w:tcPr>
            <w:tcW w:w="2126" w:type="dxa"/>
            <w:tcBorders>
              <w:top w:val="nil"/>
              <w:bottom w:val="single" w:sz="2" w:space="0" w:color="auto"/>
            </w:tcBorders>
            <w:shd w:val="clear" w:color="auto" w:fill="auto"/>
            <w:hideMark/>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Effects on glucose</w:t>
            </w:r>
          </w:p>
        </w:tc>
      </w:tr>
      <w:tr w:rsidR="00E769B0" w:rsidRPr="004C750C" w:rsidTr="006950F4">
        <w:tc>
          <w:tcPr>
            <w:tcW w:w="1668" w:type="dxa"/>
            <w:tcBorders>
              <w:top w:val="single" w:sz="2" w:space="0" w:color="auto"/>
            </w:tcBorders>
            <w:shd w:val="clear" w:color="auto" w:fill="auto"/>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NRTIs</w:t>
            </w:r>
          </w:p>
          <w:p w:rsidR="002817EF" w:rsidRPr="004C750C" w:rsidRDefault="002817EF" w:rsidP="004C750C">
            <w:pPr>
              <w:spacing w:after="0" w:line="360" w:lineRule="auto"/>
              <w:jc w:val="both"/>
              <w:rPr>
                <w:rFonts w:ascii="Book Antiqua" w:hAnsi="Book Antiqua" w:cs="Arial"/>
                <w:sz w:val="24"/>
                <w:szCs w:val="24"/>
                <w:lang w:val="en-US"/>
              </w:rPr>
            </w:pPr>
          </w:p>
        </w:tc>
        <w:tc>
          <w:tcPr>
            <w:tcW w:w="2552" w:type="dxa"/>
            <w:tcBorders>
              <w:top w:val="single" w:sz="2" w:space="0" w:color="auto"/>
            </w:tcBorders>
            <w:shd w:val="clear" w:color="auto" w:fill="auto"/>
            <w:hideMark/>
          </w:tcPr>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Abacavir (ABC)</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Didanozine (ddl)</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 xml:space="preserve">Emtricitabine (FTC) </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xml:space="preserve">Lamivudine (3TC) </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xml:space="preserve">Stavudine (d4T) </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xml:space="preserve">Tenofovir (TDF) </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Zidovudine (AZT)</w:t>
            </w:r>
          </w:p>
        </w:tc>
        <w:tc>
          <w:tcPr>
            <w:tcW w:w="2267" w:type="dxa"/>
            <w:tcBorders>
              <w:top w:val="single" w:sz="2" w:space="0" w:color="auto"/>
            </w:tcBorders>
            <w:shd w:val="clear" w:color="auto" w:fill="auto"/>
            <w:hideMark/>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Dyslipidemia</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Dyslipidemia</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Dyslipidemia</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Dyslipidemia</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Dyslipidemia</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Dyslipidemia</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Dyslipidemia</w:t>
            </w:r>
          </w:p>
        </w:tc>
        <w:tc>
          <w:tcPr>
            <w:tcW w:w="2126" w:type="dxa"/>
            <w:tcBorders>
              <w:top w:val="single" w:sz="2" w:space="0" w:color="auto"/>
            </w:tcBorders>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No effect</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Insulin resistance</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No effect</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No effect</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Insulin resistance</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No effect</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Insulin resistance</w:t>
            </w:r>
          </w:p>
        </w:tc>
      </w:tr>
      <w:tr w:rsidR="00E769B0" w:rsidRPr="004C750C" w:rsidTr="006950F4">
        <w:tc>
          <w:tcPr>
            <w:tcW w:w="1668" w:type="dxa"/>
            <w:shd w:val="clear" w:color="auto" w:fill="auto"/>
          </w:tcPr>
          <w:p w:rsidR="002817EF" w:rsidRPr="004C750C" w:rsidRDefault="002817EF" w:rsidP="004C750C">
            <w:pPr>
              <w:spacing w:after="0" w:line="360" w:lineRule="auto"/>
              <w:jc w:val="both"/>
              <w:rPr>
                <w:rFonts w:ascii="Book Antiqua" w:hAnsi="Book Antiqua" w:cs="Arial"/>
                <w:b/>
                <w:sz w:val="24"/>
                <w:szCs w:val="24"/>
                <w:lang w:val="en-US"/>
              </w:rPr>
            </w:pPr>
          </w:p>
        </w:tc>
        <w:tc>
          <w:tcPr>
            <w:tcW w:w="2552"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c>
          <w:tcPr>
            <w:tcW w:w="2267"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c>
          <w:tcPr>
            <w:tcW w:w="2126"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r>
      <w:tr w:rsidR="00E769B0" w:rsidRPr="004C750C" w:rsidTr="006950F4">
        <w:tc>
          <w:tcPr>
            <w:tcW w:w="1668" w:type="dxa"/>
            <w:shd w:val="clear" w:color="auto" w:fill="auto"/>
            <w:hideMark/>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NNRTIs</w:t>
            </w:r>
          </w:p>
        </w:tc>
        <w:tc>
          <w:tcPr>
            <w:tcW w:w="2552" w:type="dxa"/>
            <w:shd w:val="clear" w:color="auto" w:fill="auto"/>
            <w:hideMark/>
          </w:tcPr>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Efavirenz (EFV)</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Etravirine (ETR)</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Nevirapine (NVP)</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Rilpivirine (RPV)</w:t>
            </w:r>
          </w:p>
        </w:tc>
        <w:tc>
          <w:tcPr>
            <w:tcW w:w="2267"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↑↑HDL, ↑ Dyslipidemia</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Neutral effects</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↑↑HDL, ↑LDL</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Neutral effect</w:t>
            </w:r>
          </w:p>
        </w:tc>
        <w:tc>
          <w:tcPr>
            <w:tcW w:w="2126"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xml:space="preserve">No effect </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No effect</w:t>
            </w:r>
          </w:p>
          <w:p w:rsidR="002817EF" w:rsidRPr="004C750C" w:rsidRDefault="002817EF" w:rsidP="004C750C">
            <w:pPr>
              <w:spacing w:after="0" w:line="360" w:lineRule="auto"/>
              <w:jc w:val="both"/>
              <w:rPr>
                <w:rFonts w:ascii="Book Antiqua" w:hAnsi="Book Antiqua" w:cs="Arial"/>
                <w:sz w:val="24"/>
                <w:szCs w:val="24"/>
                <w:lang w:val="en-US"/>
              </w:rPr>
            </w:pPr>
          </w:p>
        </w:tc>
      </w:tr>
      <w:tr w:rsidR="00E769B0" w:rsidRPr="004C750C" w:rsidTr="006950F4">
        <w:tc>
          <w:tcPr>
            <w:tcW w:w="1668" w:type="dxa"/>
            <w:shd w:val="clear" w:color="auto" w:fill="auto"/>
          </w:tcPr>
          <w:p w:rsidR="002817EF" w:rsidRPr="004C750C" w:rsidRDefault="002817EF" w:rsidP="004C750C">
            <w:pPr>
              <w:spacing w:after="0" w:line="360" w:lineRule="auto"/>
              <w:jc w:val="both"/>
              <w:rPr>
                <w:rFonts w:ascii="Book Antiqua" w:hAnsi="Book Antiqua" w:cs="Arial"/>
                <w:b/>
                <w:sz w:val="24"/>
                <w:szCs w:val="24"/>
                <w:lang w:val="en-US"/>
              </w:rPr>
            </w:pPr>
          </w:p>
        </w:tc>
        <w:tc>
          <w:tcPr>
            <w:tcW w:w="2552"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c>
          <w:tcPr>
            <w:tcW w:w="2267"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c>
          <w:tcPr>
            <w:tcW w:w="2126"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r>
      <w:tr w:rsidR="00E769B0" w:rsidRPr="004C750C" w:rsidTr="006950F4">
        <w:tc>
          <w:tcPr>
            <w:tcW w:w="1668" w:type="dxa"/>
            <w:shd w:val="clear" w:color="auto" w:fill="auto"/>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PIs</w:t>
            </w:r>
          </w:p>
          <w:p w:rsidR="002817EF" w:rsidRPr="004C750C" w:rsidRDefault="002817EF" w:rsidP="004C750C">
            <w:pPr>
              <w:spacing w:after="0" w:line="360" w:lineRule="auto"/>
              <w:jc w:val="both"/>
              <w:rPr>
                <w:rFonts w:ascii="Book Antiqua" w:hAnsi="Book Antiqua" w:cs="Arial"/>
                <w:b/>
                <w:sz w:val="24"/>
                <w:szCs w:val="24"/>
                <w:lang w:val="en-US"/>
              </w:rPr>
            </w:pPr>
          </w:p>
        </w:tc>
        <w:tc>
          <w:tcPr>
            <w:tcW w:w="2552" w:type="dxa"/>
            <w:shd w:val="clear" w:color="auto" w:fill="auto"/>
            <w:hideMark/>
          </w:tcPr>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Amprenavir/ritonavir</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Atazanavir/ritonavir</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Darunavir/ritonavir</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bCs/>
                <w:sz w:val="24"/>
                <w:szCs w:val="24"/>
              </w:rPr>
              <w:t>Fosamprenavir/r</w:t>
            </w:r>
            <w:r w:rsidRPr="004C750C">
              <w:rPr>
                <w:rFonts w:ascii="Book Antiqua" w:hAnsi="Book Antiqua" w:cs="Arial"/>
                <w:sz w:val="24"/>
                <w:szCs w:val="24"/>
              </w:rPr>
              <w:t>itonavir</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Indinavir</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Lopinavir/ritonavir</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 xml:space="preserve">Nelfinavir </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Saquinavir</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Tipranavir/ritonavir</w:t>
            </w:r>
          </w:p>
        </w:tc>
        <w:tc>
          <w:tcPr>
            <w:tcW w:w="2267" w:type="dxa"/>
            <w:shd w:val="clear" w:color="auto" w:fill="auto"/>
          </w:tcPr>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↑↑↑Dyslipidemia</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    Dyslipidemia</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    Dyslipidemia</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↑↑↑Dyslipidemia</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  Dyslipidemia</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↑↑↑Dyslipidemia</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  Dyslipidemia</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    Dyslipidemia</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↑↑↑Dyslipidemia</w:t>
            </w:r>
          </w:p>
        </w:tc>
        <w:tc>
          <w:tcPr>
            <w:tcW w:w="2126"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Insulin resistance</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Insulin resistance</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Insulin resistance</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Insulin resistance</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Insulin resistance</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Insulin resistance</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Insulin resistance</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Insulin resistance</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Insulin resistance</w:t>
            </w:r>
          </w:p>
        </w:tc>
      </w:tr>
      <w:tr w:rsidR="00E769B0" w:rsidRPr="004C750C" w:rsidTr="006950F4">
        <w:tc>
          <w:tcPr>
            <w:tcW w:w="1668" w:type="dxa"/>
            <w:shd w:val="clear" w:color="auto" w:fill="auto"/>
          </w:tcPr>
          <w:p w:rsidR="002817EF" w:rsidRPr="004C750C" w:rsidRDefault="002817EF" w:rsidP="004C750C">
            <w:pPr>
              <w:spacing w:after="0" w:line="360" w:lineRule="auto"/>
              <w:jc w:val="both"/>
              <w:rPr>
                <w:rFonts w:ascii="Book Antiqua" w:hAnsi="Book Antiqua" w:cs="Arial"/>
                <w:b/>
                <w:sz w:val="24"/>
                <w:szCs w:val="24"/>
                <w:lang w:val="en-US"/>
              </w:rPr>
            </w:pPr>
          </w:p>
        </w:tc>
        <w:tc>
          <w:tcPr>
            <w:tcW w:w="2552"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c>
          <w:tcPr>
            <w:tcW w:w="2267"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c>
          <w:tcPr>
            <w:tcW w:w="2126"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r>
      <w:tr w:rsidR="00E769B0" w:rsidRPr="004C750C" w:rsidTr="006950F4">
        <w:tc>
          <w:tcPr>
            <w:tcW w:w="1668" w:type="dxa"/>
            <w:shd w:val="clear" w:color="auto" w:fill="auto"/>
            <w:hideMark/>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Fusion inhibitors</w:t>
            </w:r>
          </w:p>
        </w:tc>
        <w:tc>
          <w:tcPr>
            <w:tcW w:w="2552" w:type="dxa"/>
            <w:shd w:val="clear" w:color="auto" w:fill="auto"/>
            <w:hideMark/>
          </w:tcPr>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lang w:val="en-US"/>
              </w:rPr>
              <w:t>Enfuvirtide, T-20</w:t>
            </w:r>
          </w:p>
        </w:tc>
        <w:tc>
          <w:tcPr>
            <w:tcW w:w="2267"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Neutral effect</w:t>
            </w:r>
          </w:p>
        </w:tc>
        <w:tc>
          <w:tcPr>
            <w:tcW w:w="2126"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No effect</w:t>
            </w:r>
          </w:p>
        </w:tc>
      </w:tr>
      <w:tr w:rsidR="00E769B0" w:rsidRPr="004C750C" w:rsidTr="006950F4">
        <w:tc>
          <w:tcPr>
            <w:tcW w:w="1668" w:type="dxa"/>
            <w:shd w:val="clear" w:color="auto" w:fill="auto"/>
          </w:tcPr>
          <w:p w:rsidR="002817EF" w:rsidRPr="004C750C" w:rsidRDefault="002817EF" w:rsidP="004C750C">
            <w:pPr>
              <w:spacing w:after="0" w:line="360" w:lineRule="auto"/>
              <w:jc w:val="both"/>
              <w:rPr>
                <w:rFonts w:ascii="Book Antiqua" w:hAnsi="Book Antiqua" w:cs="Arial"/>
                <w:b/>
                <w:sz w:val="24"/>
                <w:szCs w:val="24"/>
                <w:lang w:val="en-US"/>
              </w:rPr>
            </w:pPr>
          </w:p>
        </w:tc>
        <w:tc>
          <w:tcPr>
            <w:tcW w:w="2552" w:type="dxa"/>
            <w:shd w:val="clear" w:color="auto" w:fill="auto"/>
          </w:tcPr>
          <w:p w:rsidR="002817EF" w:rsidRPr="004C750C" w:rsidRDefault="002817EF" w:rsidP="004C750C">
            <w:pPr>
              <w:spacing w:after="0" w:line="360" w:lineRule="auto"/>
              <w:jc w:val="both"/>
              <w:rPr>
                <w:rFonts w:ascii="Book Antiqua" w:hAnsi="Book Antiqua" w:cs="Arial"/>
                <w:sz w:val="24"/>
                <w:szCs w:val="24"/>
              </w:rPr>
            </w:pPr>
          </w:p>
        </w:tc>
        <w:tc>
          <w:tcPr>
            <w:tcW w:w="2267"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c>
          <w:tcPr>
            <w:tcW w:w="2126"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r>
      <w:tr w:rsidR="00E769B0" w:rsidRPr="004C750C" w:rsidTr="006950F4">
        <w:tc>
          <w:tcPr>
            <w:tcW w:w="1668" w:type="dxa"/>
            <w:shd w:val="clear" w:color="auto" w:fill="auto"/>
            <w:hideMark/>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InSTIs</w:t>
            </w:r>
          </w:p>
        </w:tc>
        <w:tc>
          <w:tcPr>
            <w:tcW w:w="2552" w:type="dxa"/>
            <w:shd w:val="clear" w:color="auto" w:fill="auto"/>
            <w:hideMark/>
          </w:tcPr>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 xml:space="preserve">Dolutegravir (DTG) </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Elvitegravir (EVG)</w:t>
            </w:r>
          </w:p>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Raltegravir</w:t>
            </w:r>
            <w:r w:rsidRPr="004C750C">
              <w:rPr>
                <w:rFonts w:ascii="Book Antiqua" w:hAnsi="Book Antiqua" w:cs="Arial"/>
                <w:bCs/>
                <w:sz w:val="24"/>
                <w:szCs w:val="24"/>
              </w:rPr>
              <w:t xml:space="preserve"> (RAL)</w:t>
            </w:r>
          </w:p>
        </w:tc>
        <w:tc>
          <w:tcPr>
            <w:tcW w:w="2267"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Neutral effect</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Neutral effect</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xml:space="preserve">Neutral effect </w:t>
            </w:r>
          </w:p>
        </w:tc>
        <w:tc>
          <w:tcPr>
            <w:tcW w:w="2126" w:type="dxa"/>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No effect</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xml:space="preserve">No effect </w:t>
            </w:r>
          </w:p>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No effect</w:t>
            </w:r>
          </w:p>
        </w:tc>
      </w:tr>
      <w:tr w:rsidR="00E769B0" w:rsidRPr="004C750C" w:rsidTr="00C6780A">
        <w:tc>
          <w:tcPr>
            <w:tcW w:w="1668" w:type="dxa"/>
            <w:tcBorders>
              <w:bottom w:val="nil"/>
            </w:tcBorders>
            <w:shd w:val="clear" w:color="auto" w:fill="auto"/>
          </w:tcPr>
          <w:p w:rsidR="002817EF" w:rsidRPr="004C750C" w:rsidRDefault="002817EF" w:rsidP="004C750C">
            <w:pPr>
              <w:spacing w:after="0" w:line="360" w:lineRule="auto"/>
              <w:jc w:val="both"/>
              <w:rPr>
                <w:rFonts w:ascii="Book Antiqua" w:hAnsi="Book Antiqua" w:cs="Arial"/>
                <w:b/>
                <w:sz w:val="24"/>
                <w:szCs w:val="24"/>
                <w:lang w:val="en-US"/>
              </w:rPr>
            </w:pPr>
          </w:p>
        </w:tc>
        <w:tc>
          <w:tcPr>
            <w:tcW w:w="2552" w:type="dxa"/>
            <w:tcBorders>
              <w:bottom w:val="nil"/>
            </w:tcBorders>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c>
          <w:tcPr>
            <w:tcW w:w="2267" w:type="dxa"/>
            <w:tcBorders>
              <w:bottom w:val="nil"/>
            </w:tcBorders>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c>
          <w:tcPr>
            <w:tcW w:w="2126" w:type="dxa"/>
            <w:tcBorders>
              <w:bottom w:val="nil"/>
            </w:tcBorders>
            <w:shd w:val="clear" w:color="auto" w:fill="auto"/>
          </w:tcPr>
          <w:p w:rsidR="002817EF" w:rsidRPr="004C750C" w:rsidRDefault="002817EF" w:rsidP="004C750C">
            <w:pPr>
              <w:spacing w:after="0" w:line="360" w:lineRule="auto"/>
              <w:jc w:val="both"/>
              <w:rPr>
                <w:rFonts w:ascii="Book Antiqua" w:hAnsi="Book Antiqua" w:cs="Arial"/>
                <w:sz w:val="24"/>
                <w:szCs w:val="24"/>
                <w:lang w:val="en-US"/>
              </w:rPr>
            </w:pPr>
          </w:p>
        </w:tc>
      </w:tr>
      <w:tr w:rsidR="002817EF" w:rsidRPr="004C750C" w:rsidTr="00C6780A">
        <w:tc>
          <w:tcPr>
            <w:tcW w:w="1668" w:type="dxa"/>
            <w:tcBorders>
              <w:top w:val="nil"/>
              <w:bottom w:val="single" w:sz="4" w:space="0" w:color="auto"/>
            </w:tcBorders>
            <w:shd w:val="clear" w:color="auto" w:fill="auto"/>
            <w:hideMark/>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Entry inhibitors</w:t>
            </w:r>
          </w:p>
        </w:tc>
        <w:tc>
          <w:tcPr>
            <w:tcW w:w="2552" w:type="dxa"/>
            <w:tcBorders>
              <w:top w:val="nil"/>
              <w:bottom w:val="single" w:sz="4" w:space="0" w:color="auto"/>
            </w:tcBorders>
            <w:shd w:val="clear" w:color="auto" w:fill="auto"/>
            <w:hideMark/>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rPr>
              <w:t>Selzentry</w:t>
            </w:r>
          </w:p>
        </w:tc>
        <w:tc>
          <w:tcPr>
            <w:tcW w:w="2267" w:type="dxa"/>
            <w:tcBorders>
              <w:top w:val="nil"/>
              <w:bottom w:val="single" w:sz="4" w:space="0" w:color="auto"/>
            </w:tcBorders>
            <w:shd w:val="clear" w:color="auto" w:fill="auto"/>
            <w:hideMark/>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Neutral effect</w:t>
            </w:r>
          </w:p>
        </w:tc>
        <w:tc>
          <w:tcPr>
            <w:tcW w:w="2126" w:type="dxa"/>
            <w:tcBorders>
              <w:top w:val="nil"/>
              <w:bottom w:val="single" w:sz="4" w:space="0" w:color="auto"/>
            </w:tcBorders>
            <w:shd w:val="clear" w:color="auto" w:fill="auto"/>
            <w:hideMark/>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No effect</w:t>
            </w:r>
          </w:p>
        </w:tc>
      </w:tr>
    </w:tbl>
    <w:p w:rsidR="00C6780A" w:rsidRPr="004C750C" w:rsidRDefault="00C6780A"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NRTIs</w:t>
      </w:r>
      <w:r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Nucleos(t)ide reverse transcriptase inhibitors</w:t>
      </w:r>
      <w:r w:rsidRPr="004C750C">
        <w:rPr>
          <w:rFonts w:ascii="Book Antiqua" w:hAnsi="Book Antiqua" w:cs="Arial"/>
          <w:sz w:val="24"/>
          <w:szCs w:val="24"/>
          <w:lang w:val="en-US" w:eastAsia="zh-CN"/>
        </w:rPr>
        <w:t>;</w:t>
      </w:r>
      <w:r w:rsidRPr="004C750C">
        <w:rPr>
          <w:rFonts w:ascii="Book Antiqua" w:hAnsi="Book Antiqua" w:cs="Arial"/>
          <w:sz w:val="24"/>
          <w:szCs w:val="24"/>
          <w:lang w:val="en-US"/>
        </w:rPr>
        <w:t xml:space="preserve"> NNRTIs</w:t>
      </w:r>
      <w:r w:rsidRPr="004C750C">
        <w:rPr>
          <w:rFonts w:ascii="Book Antiqua" w:hAnsi="Book Antiqua" w:cs="Arial"/>
          <w:sz w:val="24"/>
          <w:szCs w:val="24"/>
          <w:lang w:val="en-US" w:eastAsia="zh-CN"/>
        </w:rPr>
        <w:t>:</w:t>
      </w:r>
      <w:r w:rsidRPr="004C750C">
        <w:rPr>
          <w:rFonts w:ascii="Book Antiqua" w:hAnsi="Book Antiqua" w:cs="Arial"/>
          <w:sz w:val="24"/>
          <w:szCs w:val="24"/>
          <w:lang w:val="en-US"/>
        </w:rPr>
        <w:t xml:space="preserve"> Non-nucleoside reverse transcriptase inhibitors</w:t>
      </w:r>
      <w:r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PIs</w:t>
      </w:r>
      <w:r w:rsidRPr="004C750C">
        <w:rPr>
          <w:rFonts w:ascii="Book Antiqua" w:hAnsi="Book Antiqua" w:cs="Arial"/>
          <w:sz w:val="24"/>
          <w:szCs w:val="24"/>
          <w:lang w:val="en-US" w:eastAsia="zh-CN"/>
        </w:rPr>
        <w:t>:</w:t>
      </w:r>
      <w:r w:rsidRPr="004C750C">
        <w:rPr>
          <w:rFonts w:ascii="Book Antiqua" w:hAnsi="Book Antiqua" w:cs="Arial"/>
          <w:sz w:val="24"/>
          <w:szCs w:val="24"/>
          <w:lang w:val="en-US"/>
        </w:rPr>
        <w:t xml:space="preserve"> Protease inhibitors</w:t>
      </w:r>
      <w:r w:rsidRPr="004C750C">
        <w:rPr>
          <w:rFonts w:ascii="Book Antiqua" w:hAnsi="Book Antiqua" w:cs="Arial"/>
          <w:sz w:val="24"/>
          <w:szCs w:val="24"/>
          <w:lang w:val="en-US" w:eastAsia="zh-CN"/>
        </w:rPr>
        <w:t>;</w:t>
      </w:r>
      <w:r w:rsidRPr="004C750C">
        <w:rPr>
          <w:rFonts w:ascii="Book Antiqua" w:hAnsi="Book Antiqua" w:cs="Arial"/>
          <w:sz w:val="24"/>
          <w:szCs w:val="24"/>
          <w:lang w:val="en-US"/>
        </w:rPr>
        <w:t xml:space="preserve"> InSTIs</w:t>
      </w:r>
      <w:r w:rsidRPr="004C750C">
        <w:rPr>
          <w:rFonts w:ascii="Book Antiqua" w:hAnsi="Book Antiqua" w:cs="Arial"/>
          <w:sz w:val="24"/>
          <w:szCs w:val="24"/>
          <w:lang w:val="en-US" w:eastAsia="zh-CN"/>
        </w:rPr>
        <w:t xml:space="preserve">: </w:t>
      </w:r>
      <w:r w:rsidRPr="004C750C">
        <w:rPr>
          <w:rFonts w:ascii="Book Antiqua" w:hAnsi="Book Antiqua" w:cs="Arial"/>
          <w:sz w:val="24"/>
          <w:szCs w:val="24"/>
          <w:lang w:val="en-US"/>
        </w:rPr>
        <w:t>Integrase strand transfer inhibitors</w:t>
      </w:r>
      <w:r w:rsidRPr="004C750C">
        <w:rPr>
          <w:rFonts w:ascii="Book Antiqua" w:hAnsi="Book Antiqua" w:cs="Arial"/>
          <w:sz w:val="24"/>
          <w:szCs w:val="24"/>
          <w:lang w:val="en-US" w:eastAsia="zh-CN"/>
        </w:rPr>
        <w:t>.</w:t>
      </w:r>
    </w:p>
    <w:p w:rsidR="003F4FCF" w:rsidRPr="004C750C" w:rsidRDefault="003F4FCF" w:rsidP="004C750C">
      <w:pPr>
        <w:spacing w:after="0" w:line="360" w:lineRule="auto"/>
        <w:jc w:val="both"/>
        <w:rPr>
          <w:rFonts w:ascii="Book Antiqua" w:hAnsi="Book Antiqua" w:cs="Arial"/>
          <w:b/>
          <w:sz w:val="24"/>
          <w:szCs w:val="24"/>
          <w:lang w:val="en-US" w:eastAsia="zh-CN"/>
        </w:rPr>
      </w:pPr>
    </w:p>
    <w:p w:rsidR="002817EF" w:rsidRPr="004C750C" w:rsidRDefault="00C6780A" w:rsidP="004C750C">
      <w:pPr>
        <w:spacing w:after="0" w:line="360" w:lineRule="auto"/>
        <w:jc w:val="both"/>
        <w:rPr>
          <w:rFonts w:ascii="Book Antiqua" w:hAnsi="Book Antiqua" w:cs="Arial"/>
          <w:b/>
          <w:sz w:val="24"/>
          <w:szCs w:val="24"/>
          <w:lang w:val="en-US" w:eastAsia="zh-CN"/>
        </w:rPr>
      </w:pPr>
      <w:r w:rsidRPr="004C750C">
        <w:rPr>
          <w:rFonts w:ascii="Book Antiqua" w:hAnsi="Book Antiqua" w:cs="Arial"/>
          <w:b/>
          <w:sz w:val="24"/>
          <w:szCs w:val="24"/>
          <w:lang w:val="en-US"/>
        </w:rPr>
        <w:t>Table 3</w:t>
      </w:r>
      <w:r w:rsidR="002817EF" w:rsidRPr="004C750C">
        <w:rPr>
          <w:rFonts w:ascii="Book Antiqua" w:hAnsi="Book Antiqua" w:cs="Arial"/>
          <w:b/>
          <w:sz w:val="24"/>
          <w:szCs w:val="24"/>
          <w:lang w:val="en-US"/>
        </w:rPr>
        <w:t xml:space="preserve"> Clinical diagnosis and treatment to HIV-as</w:t>
      </w:r>
      <w:r w:rsidRPr="004C750C">
        <w:rPr>
          <w:rFonts w:ascii="Book Antiqua" w:hAnsi="Book Antiqua" w:cs="Arial"/>
          <w:b/>
          <w:sz w:val="24"/>
          <w:szCs w:val="24"/>
          <w:lang w:val="en-US"/>
        </w:rPr>
        <w:t>sociated lipodystrophy syndrome</w:t>
      </w:r>
    </w:p>
    <w:tbl>
      <w:tblPr>
        <w:tblW w:w="9180" w:type="dxa"/>
        <w:tblBorders>
          <w:top w:val="single" w:sz="12" w:space="0" w:color="auto"/>
          <w:bottom w:val="single" w:sz="12" w:space="0" w:color="auto"/>
        </w:tblBorders>
        <w:tblLook w:val="04A0" w:firstRow="1" w:lastRow="0" w:firstColumn="1" w:lastColumn="0" w:noHBand="0" w:noVBand="1"/>
      </w:tblPr>
      <w:tblGrid>
        <w:gridCol w:w="4928"/>
        <w:gridCol w:w="4252"/>
      </w:tblGrid>
      <w:tr w:rsidR="00E769B0" w:rsidRPr="004C750C" w:rsidTr="006950F4">
        <w:tc>
          <w:tcPr>
            <w:tcW w:w="4928" w:type="dxa"/>
            <w:tcBorders>
              <w:top w:val="single" w:sz="12" w:space="0" w:color="auto"/>
              <w:bottom w:val="single" w:sz="2" w:space="0" w:color="auto"/>
            </w:tcBorders>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Clinical diagnosis</w:t>
            </w:r>
          </w:p>
        </w:tc>
        <w:tc>
          <w:tcPr>
            <w:tcW w:w="4252" w:type="dxa"/>
            <w:tcBorders>
              <w:top w:val="single" w:sz="12" w:space="0" w:color="auto"/>
              <w:bottom w:val="single" w:sz="2" w:space="0" w:color="auto"/>
            </w:tcBorders>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Treatment  options</w:t>
            </w:r>
          </w:p>
        </w:tc>
      </w:tr>
      <w:tr w:rsidR="00E769B0" w:rsidRPr="004C750C" w:rsidTr="006950F4">
        <w:tc>
          <w:tcPr>
            <w:tcW w:w="4928" w:type="dxa"/>
            <w:tcBorders>
              <w:top w:val="single" w:sz="2" w:space="0" w:color="auto"/>
            </w:tcBorders>
            <w:hideMark/>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Lipoatrophy</w:t>
            </w:r>
          </w:p>
        </w:tc>
        <w:tc>
          <w:tcPr>
            <w:tcW w:w="4252" w:type="dxa"/>
            <w:tcBorders>
              <w:top w:val="single" w:sz="2" w:space="0" w:color="auto"/>
            </w:tcBorders>
          </w:tcPr>
          <w:p w:rsidR="002817EF" w:rsidRPr="004C750C" w:rsidRDefault="002817EF" w:rsidP="004C750C">
            <w:pPr>
              <w:spacing w:after="0" w:line="360" w:lineRule="auto"/>
              <w:jc w:val="both"/>
              <w:rPr>
                <w:rFonts w:ascii="Book Antiqua" w:hAnsi="Book Antiqua" w:cs="Arial"/>
                <w:i/>
                <w:sz w:val="24"/>
                <w:szCs w:val="24"/>
                <w:lang w:val="en-US"/>
              </w:rPr>
            </w:pPr>
          </w:p>
        </w:tc>
      </w:tr>
      <w:tr w:rsidR="00E769B0" w:rsidRPr="004C750C" w:rsidTr="006950F4">
        <w:trPr>
          <w:trHeight w:val="999"/>
        </w:trPr>
        <w:tc>
          <w:tcPr>
            <w:tcW w:w="4928" w:type="dxa"/>
            <w:hideMark/>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 xml:space="preserve">Sunken eyes, sunken cheeks, prominent  zygomatic arch, prominent veins, skinny or muscular appearance, loose skin folds loss of contour </w:t>
            </w:r>
          </w:p>
        </w:tc>
        <w:tc>
          <w:tcPr>
            <w:tcW w:w="4252" w:type="dxa"/>
            <w:hideMark/>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Switching antiviral therapies: stavudine or  zidovudineto abacavir or tenofovir, other switch, and/or reconstructive procedures</w:t>
            </w:r>
          </w:p>
        </w:tc>
      </w:tr>
      <w:tr w:rsidR="00E769B0" w:rsidRPr="004C750C" w:rsidTr="006950F4">
        <w:tc>
          <w:tcPr>
            <w:tcW w:w="4928" w:type="dxa"/>
            <w:hideMark/>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Lipohypertrophy</w:t>
            </w:r>
          </w:p>
        </w:tc>
        <w:tc>
          <w:tcPr>
            <w:tcW w:w="4252" w:type="dxa"/>
          </w:tcPr>
          <w:p w:rsidR="002817EF" w:rsidRPr="004C750C" w:rsidRDefault="002817EF" w:rsidP="004C750C">
            <w:pPr>
              <w:spacing w:after="0" w:line="360" w:lineRule="auto"/>
              <w:jc w:val="both"/>
              <w:rPr>
                <w:rFonts w:ascii="Book Antiqua" w:hAnsi="Book Antiqua" w:cs="Arial"/>
                <w:i/>
                <w:sz w:val="24"/>
                <w:szCs w:val="24"/>
                <w:lang w:val="en-US"/>
              </w:rPr>
            </w:pPr>
          </w:p>
        </w:tc>
      </w:tr>
      <w:tr w:rsidR="00E769B0" w:rsidRPr="004C750C" w:rsidTr="006950F4">
        <w:tc>
          <w:tcPr>
            <w:tcW w:w="4928" w:type="dxa"/>
            <w:vMerge w:val="restart"/>
            <w:hideMark/>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Increased abdominal girth with visceral fat accumulation, dorsocervical or supraclavicular fat pad</w:t>
            </w:r>
          </w:p>
        </w:tc>
        <w:tc>
          <w:tcPr>
            <w:tcW w:w="4252" w:type="dxa"/>
            <w:hideMark/>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Diet, exercise, liposuction.</w:t>
            </w:r>
          </w:p>
        </w:tc>
      </w:tr>
      <w:tr w:rsidR="00E769B0" w:rsidRPr="004C750C" w:rsidTr="006950F4">
        <w:tc>
          <w:tcPr>
            <w:tcW w:w="0" w:type="auto"/>
            <w:vMerge/>
            <w:vAlign w:val="center"/>
            <w:hideMark/>
          </w:tcPr>
          <w:p w:rsidR="002817EF" w:rsidRPr="004C750C" w:rsidRDefault="002817EF" w:rsidP="004C750C">
            <w:pPr>
              <w:spacing w:after="0" w:line="360" w:lineRule="auto"/>
              <w:jc w:val="both"/>
              <w:rPr>
                <w:rFonts w:ascii="Book Antiqua" w:hAnsi="Book Antiqua" w:cs="Arial"/>
                <w:sz w:val="24"/>
                <w:szCs w:val="24"/>
                <w:lang w:val="en-US"/>
              </w:rPr>
            </w:pPr>
          </w:p>
        </w:tc>
        <w:tc>
          <w:tcPr>
            <w:tcW w:w="4252" w:type="dxa"/>
          </w:tcPr>
          <w:p w:rsidR="002817EF" w:rsidRPr="004C750C" w:rsidRDefault="002817EF" w:rsidP="004C750C">
            <w:pPr>
              <w:pStyle w:val="ListParagraph"/>
              <w:spacing w:after="0" w:line="360" w:lineRule="auto"/>
              <w:ind w:left="0"/>
              <w:jc w:val="both"/>
              <w:rPr>
                <w:rFonts w:ascii="Book Antiqua" w:hAnsi="Book Antiqua" w:cs="Arial"/>
                <w:sz w:val="24"/>
                <w:szCs w:val="24"/>
                <w:lang w:val="en-US"/>
              </w:rPr>
            </w:pPr>
          </w:p>
        </w:tc>
      </w:tr>
      <w:tr w:rsidR="00E769B0" w:rsidRPr="004C750C" w:rsidTr="006950F4">
        <w:tc>
          <w:tcPr>
            <w:tcW w:w="4928" w:type="dxa"/>
            <w:hideMark/>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Related findings</w:t>
            </w:r>
          </w:p>
        </w:tc>
        <w:tc>
          <w:tcPr>
            <w:tcW w:w="4252" w:type="dxa"/>
          </w:tcPr>
          <w:p w:rsidR="002817EF" w:rsidRPr="004C750C" w:rsidRDefault="002817EF" w:rsidP="004C750C">
            <w:pPr>
              <w:spacing w:after="0" w:line="360" w:lineRule="auto"/>
              <w:jc w:val="both"/>
              <w:rPr>
                <w:rFonts w:ascii="Book Antiqua" w:hAnsi="Book Antiqua" w:cs="Arial"/>
                <w:i/>
                <w:sz w:val="24"/>
                <w:szCs w:val="24"/>
                <w:lang w:val="en-US"/>
              </w:rPr>
            </w:pPr>
          </w:p>
        </w:tc>
      </w:tr>
      <w:tr w:rsidR="002817EF" w:rsidRPr="004C750C" w:rsidTr="006950F4">
        <w:trPr>
          <w:trHeight w:val="1028"/>
        </w:trPr>
        <w:tc>
          <w:tcPr>
            <w:tcW w:w="4928" w:type="dxa"/>
            <w:hideMark/>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Hypertriglyceridemia, usually with depressed HDL, hypercholesterolemia, insulin resistance, glucose intolerance</w:t>
            </w:r>
          </w:p>
        </w:tc>
        <w:tc>
          <w:tcPr>
            <w:tcW w:w="4252" w:type="dxa"/>
            <w:hideMark/>
          </w:tcPr>
          <w:p w:rsidR="002817EF" w:rsidRPr="004C750C" w:rsidRDefault="002817EF" w:rsidP="004C750C">
            <w:pPr>
              <w:pStyle w:val="ListParagraph"/>
              <w:spacing w:after="0" w:line="360" w:lineRule="auto"/>
              <w:ind w:left="0"/>
              <w:jc w:val="both"/>
              <w:rPr>
                <w:rFonts w:ascii="Book Antiqua" w:hAnsi="Book Antiqua" w:cs="Arial"/>
                <w:sz w:val="24"/>
                <w:szCs w:val="24"/>
                <w:lang w:val="en-US" w:eastAsia="zh-CN"/>
              </w:rPr>
            </w:pPr>
            <w:r w:rsidRPr="004C750C">
              <w:rPr>
                <w:rFonts w:ascii="Book Antiqua" w:hAnsi="Book Antiqua" w:cs="Arial"/>
                <w:sz w:val="24"/>
                <w:szCs w:val="24"/>
                <w:lang w:val="en-US"/>
              </w:rPr>
              <w:t>Statins, fibrates, inhibits intestinal cholesterol absorption, fish oils, diet, exercise, drugs (metformin, acarbose, sul</w:t>
            </w:r>
            <w:r w:rsidR="00C6780A" w:rsidRPr="004C750C">
              <w:rPr>
                <w:rFonts w:ascii="Book Antiqua" w:hAnsi="Book Antiqua" w:cs="Arial"/>
                <w:sz w:val="24"/>
                <w:szCs w:val="24"/>
                <w:lang w:val="en-US"/>
              </w:rPr>
              <w:t>fonylureas, glinides or leptin)</w:t>
            </w:r>
          </w:p>
        </w:tc>
      </w:tr>
    </w:tbl>
    <w:p w:rsidR="00774857" w:rsidRPr="004C750C" w:rsidRDefault="00774857" w:rsidP="004C750C">
      <w:pPr>
        <w:spacing w:after="0" w:line="360" w:lineRule="auto"/>
        <w:jc w:val="both"/>
        <w:rPr>
          <w:rFonts w:ascii="Book Antiqua" w:hAnsi="Book Antiqua" w:cs="Arial"/>
          <w:b/>
          <w:sz w:val="24"/>
          <w:szCs w:val="24"/>
          <w:highlight w:val="green"/>
          <w:lang w:val="en-US" w:eastAsia="zh-CN"/>
        </w:rPr>
      </w:pPr>
    </w:p>
    <w:p w:rsidR="00D81464" w:rsidRPr="004C750C" w:rsidRDefault="00C6780A" w:rsidP="004C750C">
      <w:pPr>
        <w:spacing w:after="0" w:line="360" w:lineRule="auto"/>
        <w:jc w:val="both"/>
        <w:rPr>
          <w:rFonts w:ascii="Book Antiqua" w:hAnsi="Book Antiqua" w:cs="Arial"/>
          <w:b/>
          <w:sz w:val="24"/>
          <w:szCs w:val="24"/>
          <w:lang w:val="en-US" w:eastAsia="zh-CN"/>
        </w:rPr>
      </w:pPr>
      <w:r w:rsidRPr="004C750C">
        <w:rPr>
          <w:rFonts w:ascii="Book Antiqua" w:hAnsi="Book Antiqua" w:cs="Arial"/>
          <w:b/>
          <w:sz w:val="24"/>
          <w:szCs w:val="24"/>
          <w:lang w:val="en-US"/>
        </w:rPr>
        <w:t>Table 4</w:t>
      </w:r>
      <w:r w:rsidR="002817EF" w:rsidRPr="004C750C">
        <w:rPr>
          <w:rFonts w:ascii="Book Antiqua" w:hAnsi="Book Antiqua" w:cs="Arial"/>
          <w:b/>
          <w:sz w:val="24"/>
          <w:szCs w:val="24"/>
          <w:lang w:val="en-US"/>
        </w:rPr>
        <w:t xml:space="preserve"> Statins to </w:t>
      </w:r>
      <w:r w:rsidRPr="004C750C">
        <w:rPr>
          <w:rFonts w:ascii="Book Antiqua" w:hAnsi="Book Antiqua" w:cs="Arial"/>
          <w:b/>
          <w:sz w:val="24"/>
          <w:szCs w:val="24"/>
          <w:lang w:val="en-US"/>
        </w:rPr>
        <w:t>highly active antiretroviral therapy</w:t>
      </w:r>
      <w:r w:rsidR="002817EF" w:rsidRPr="004C750C">
        <w:rPr>
          <w:rFonts w:ascii="Book Antiqua" w:hAnsi="Book Antiqua" w:cs="Arial"/>
          <w:b/>
          <w:sz w:val="24"/>
          <w:szCs w:val="24"/>
          <w:lang w:val="en-US"/>
        </w:rPr>
        <w:t>-associated dysli</w:t>
      </w:r>
      <w:r w:rsidRPr="004C750C">
        <w:rPr>
          <w:rFonts w:ascii="Book Antiqua" w:hAnsi="Book Antiqua" w:cs="Arial"/>
          <w:b/>
          <w:sz w:val="24"/>
          <w:szCs w:val="24"/>
          <w:lang w:val="en-US"/>
        </w:rPr>
        <w:t>pidemia</w:t>
      </w:r>
    </w:p>
    <w:tbl>
      <w:tblPr>
        <w:tblW w:w="9180" w:type="dxa"/>
        <w:tblBorders>
          <w:top w:val="single" w:sz="12" w:space="0" w:color="auto"/>
          <w:bottom w:val="single" w:sz="12" w:space="0" w:color="auto"/>
        </w:tblBorders>
        <w:tblLook w:val="04A0" w:firstRow="1" w:lastRow="0" w:firstColumn="1" w:lastColumn="0" w:noHBand="0" w:noVBand="1"/>
      </w:tblPr>
      <w:tblGrid>
        <w:gridCol w:w="1809"/>
        <w:gridCol w:w="7371"/>
      </w:tblGrid>
      <w:tr w:rsidR="00E769B0" w:rsidRPr="004C750C" w:rsidTr="006950F4">
        <w:tc>
          <w:tcPr>
            <w:tcW w:w="1809" w:type="dxa"/>
            <w:tcBorders>
              <w:bottom w:val="single" w:sz="2" w:space="0" w:color="auto"/>
            </w:tcBorders>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Drug</w:t>
            </w:r>
          </w:p>
        </w:tc>
        <w:tc>
          <w:tcPr>
            <w:tcW w:w="7371" w:type="dxa"/>
            <w:tcBorders>
              <w:bottom w:val="single" w:sz="2" w:space="0" w:color="auto"/>
            </w:tcBorders>
          </w:tcPr>
          <w:p w:rsidR="002817EF" w:rsidRPr="004C750C" w:rsidRDefault="002817EF" w:rsidP="004C750C">
            <w:pPr>
              <w:spacing w:after="0" w:line="360" w:lineRule="auto"/>
              <w:jc w:val="both"/>
              <w:rPr>
                <w:rFonts w:ascii="Book Antiqua" w:hAnsi="Book Antiqua" w:cs="Arial"/>
                <w:b/>
                <w:sz w:val="24"/>
                <w:szCs w:val="24"/>
                <w:lang w:val="en-US"/>
              </w:rPr>
            </w:pPr>
            <w:r w:rsidRPr="004C750C">
              <w:rPr>
                <w:rFonts w:ascii="Book Antiqua" w:hAnsi="Book Antiqua" w:cs="Arial"/>
                <w:b/>
                <w:sz w:val="24"/>
                <w:szCs w:val="24"/>
                <w:lang w:val="en-US"/>
              </w:rPr>
              <w:t>Metabolism and interactions</w:t>
            </w:r>
          </w:p>
        </w:tc>
      </w:tr>
      <w:tr w:rsidR="00E769B0" w:rsidRPr="004C750C" w:rsidTr="006950F4">
        <w:tc>
          <w:tcPr>
            <w:tcW w:w="1809" w:type="dxa"/>
            <w:tcBorders>
              <w:top w:val="single" w:sz="2" w:space="0" w:color="auto"/>
              <w:bottom w:val="nil"/>
            </w:tcBorders>
            <w:hideMark/>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Simvastatin</w:t>
            </w:r>
          </w:p>
        </w:tc>
        <w:tc>
          <w:tcPr>
            <w:tcW w:w="7371" w:type="dxa"/>
            <w:tcBorders>
              <w:top w:val="single" w:sz="2" w:space="0" w:color="auto"/>
              <w:bottom w:val="nil"/>
            </w:tcBorders>
          </w:tcPr>
          <w:p w:rsidR="002817EF" w:rsidRPr="004C750C" w:rsidRDefault="002817EF"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 xml:space="preserve">Considerable CYP3A4 metabolism. ↑simvastatin levels with PIs and ↓↓ levels with efavirenz. </w:t>
            </w:r>
            <w:r w:rsidRPr="004C750C">
              <w:rPr>
                <w:rFonts w:ascii="Book Antiqua" w:hAnsi="Book Antiqua" w:cs="Arial"/>
                <w:sz w:val="24"/>
                <w:szCs w:val="24"/>
              </w:rPr>
              <w:t xml:space="preserve">Not recommended with atazanavir, atazanavir/ritonavir, fosamprenavir/ritonavir, saquinavir/ritonavir, tipranavir/ritonavir, lopinavir/ritonavir, indinavir/ritonavir, darunavir/ritonavir and nelfinavir. </w:t>
            </w:r>
            <w:r w:rsidRPr="004C750C">
              <w:rPr>
                <w:rFonts w:ascii="Book Antiqua" w:hAnsi="Book Antiqua" w:cs="Arial"/>
                <w:sz w:val="24"/>
                <w:szCs w:val="24"/>
                <w:lang w:val="en-US"/>
              </w:rPr>
              <w:t>Doses of 80 mg/day with NN</w:t>
            </w:r>
            <w:r w:rsidR="00C6780A" w:rsidRPr="004C750C">
              <w:rPr>
                <w:rFonts w:ascii="Book Antiqua" w:hAnsi="Book Antiqua" w:cs="Arial"/>
                <w:sz w:val="24"/>
                <w:szCs w:val="24"/>
                <w:lang w:val="en-US"/>
              </w:rPr>
              <w:t>RTIs, raltegravir and selzentry</w:t>
            </w:r>
          </w:p>
        </w:tc>
      </w:tr>
      <w:tr w:rsidR="00E769B0" w:rsidRPr="004C750C" w:rsidTr="006950F4">
        <w:tc>
          <w:tcPr>
            <w:tcW w:w="1809" w:type="dxa"/>
            <w:tcBorders>
              <w:top w:val="nil"/>
            </w:tcBorders>
          </w:tcPr>
          <w:p w:rsidR="002817EF" w:rsidRPr="004C750C" w:rsidRDefault="002817EF" w:rsidP="004C750C">
            <w:pPr>
              <w:spacing w:after="0" w:line="360" w:lineRule="auto"/>
              <w:jc w:val="both"/>
              <w:rPr>
                <w:rFonts w:ascii="Book Antiqua" w:hAnsi="Book Antiqua" w:cs="Arial"/>
                <w:sz w:val="24"/>
                <w:szCs w:val="24"/>
                <w:lang w:val="en-US"/>
              </w:rPr>
            </w:pPr>
            <w:r w:rsidRPr="004C750C">
              <w:rPr>
                <w:rFonts w:ascii="Book Antiqua" w:hAnsi="Book Antiqua" w:cs="Arial"/>
                <w:sz w:val="24"/>
                <w:szCs w:val="24"/>
                <w:lang w:val="en-US"/>
              </w:rPr>
              <w:t>Lovastatin</w:t>
            </w:r>
          </w:p>
        </w:tc>
        <w:tc>
          <w:tcPr>
            <w:tcW w:w="7371" w:type="dxa"/>
            <w:tcBorders>
              <w:top w:val="nil"/>
            </w:tcBorders>
          </w:tcPr>
          <w:p w:rsidR="002817EF" w:rsidRPr="004C750C" w:rsidRDefault="002817EF"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rPr>
              <w:t xml:space="preserve">Not recommended with atazanavir, atazanavir/ritonavir, fosamprenavir/ritonavir, saquinavir/ritonavir, tipranavir/ritonavir, lopinavir/ritonavir, indinavir/ritonavir, darunavir/ritonavir and nelfinavir. </w:t>
            </w:r>
            <w:r w:rsidRPr="004C750C">
              <w:rPr>
                <w:rFonts w:ascii="Book Antiqua" w:hAnsi="Book Antiqua" w:cs="Arial"/>
                <w:sz w:val="24"/>
                <w:szCs w:val="24"/>
                <w:lang w:val="en-US"/>
              </w:rPr>
              <w:t>Doses of 80 mg/d with NN</w:t>
            </w:r>
            <w:r w:rsidR="00C6780A" w:rsidRPr="004C750C">
              <w:rPr>
                <w:rFonts w:ascii="Book Antiqua" w:hAnsi="Book Antiqua" w:cs="Arial"/>
                <w:sz w:val="24"/>
                <w:szCs w:val="24"/>
                <w:lang w:val="en-US"/>
              </w:rPr>
              <w:t>RTIs, raltegravir and selzentry</w:t>
            </w:r>
          </w:p>
        </w:tc>
      </w:tr>
      <w:tr w:rsidR="00E769B0" w:rsidRPr="004C750C" w:rsidTr="006950F4">
        <w:tc>
          <w:tcPr>
            <w:tcW w:w="1809" w:type="dxa"/>
          </w:tcPr>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lang w:val="en-US"/>
              </w:rPr>
              <w:t>Atorvastatin</w:t>
            </w:r>
          </w:p>
        </w:tc>
        <w:tc>
          <w:tcPr>
            <w:tcW w:w="7371" w:type="dxa"/>
          </w:tcPr>
          <w:p w:rsidR="002817EF" w:rsidRPr="004C750C" w:rsidRDefault="002817EF" w:rsidP="004C750C">
            <w:pPr>
              <w:spacing w:after="0" w:line="360" w:lineRule="auto"/>
              <w:jc w:val="both"/>
              <w:rPr>
                <w:rFonts w:ascii="Book Antiqua" w:hAnsi="Book Antiqua" w:cs="Arial"/>
                <w:sz w:val="24"/>
                <w:szCs w:val="24"/>
                <w:lang w:eastAsia="zh-CN"/>
              </w:rPr>
            </w:pPr>
            <w:r w:rsidRPr="004C750C">
              <w:rPr>
                <w:rFonts w:ascii="Book Antiqua" w:hAnsi="Book Antiqua" w:cs="Arial"/>
                <w:sz w:val="24"/>
                <w:szCs w:val="24"/>
              </w:rPr>
              <w:t>Somewhat CYP3A4 metabolism, ↑levels with PIs darunavir, lopinavir, saquinavir/ritonavir, fosamprenavir. ↓levels with efavirenz. Doses of 20 mg/d with PIs, 80 mg/d with NNR</w:t>
            </w:r>
            <w:r w:rsidR="00C6780A" w:rsidRPr="004C750C">
              <w:rPr>
                <w:rFonts w:ascii="Book Antiqua" w:hAnsi="Book Antiqua" w:cs="Arial"/>
                <w:sz w:val="24"/>
                <w:szCs w:val="24"/>
              </w:rPr>
              <w:t>TIs, raltegravir and selzentry</w:t>
            </w:r>
          </w:p>
        </w:tc>
      </w:tr>
      <w:tr w:rsidR="00E769B0" w:rsidRPr="004C750C" w:rsidTr="006950F4">
        <w:tc>
          <w:tcPr>
            <w:tcW w:w="1809" w:type="dxa"/>
          </w:tcPr>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Pravastatin</w:t>
            </w:r>
          </w:p>
        </w:tc>
        <w:tc>
          <w:tcPr>
            <w:tcW w:w="7371" w:type="dxa"/>
          </w:tcPr>
          <w:p w:rsidR="002817EF" w:rsidRPr="004C750C" w:rsidRDefault="002817EF"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Reduced interaction with CYP450 metabolism, primarily renal excretion but 50% ↓with lopinavir/ritonavir, 45% ↓with nelfinavir, 80% ↑with darunavir/ritonavir, and 40% ↓with efavirenz. Doses of 80 mg/d with PIs, NN</w:t>
            </w:r>
            <w:r w:rsidR="00C6780A" w:rsidRPr="004C750C">
              <w:rPr>
                <w:rFonts w:ascii="Book Antiqua" w:hAnsi="Book Antiqua" w:cs="Arial"/>
                <w:sz w:val="24"/>
                <w:szCs w:val="24"/>
                <w:lang w:val="en-US"/>
              </w:rPr>
              <w:t>RTIs, raltegravir and selzentry</w:t>
            </w:r>
          </w:p>
        </w:tc>
      </w:tr>
      <w:tr w:rsidR="00E769B0" w:rsidRPr="004C750C" w:rsidTr="006950F4">
        <w:tc>
          <w:tcPr>
            <w:tcW w:w="1809" w:type="dxa"/>
          </w:tcPr>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Fluvastatin</w:t>
            </w:r>
          </w:p>
        </w:tc>
        <w:tc>
          <w:tcPr>
            <w:tcW w:w="7371" w:type="dxa"/>
          </w:tcPr>
          <w:p w:rsidR="002817EF" w:rsidRPr="004C750C" w:rsidRDefault="002817EF"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Metabolized by CYP2C9, and occasional interactions with nelfinavir and efavirenz. Doses of 80 mg/d with PIs, NN</w:t>
            </w:r>
            <w:r w:rsidR="00C6780A" w:rsidRPr="004C750C">
              <w:rPr>
                <w:rFonts w:ascii="Book Antiqua" w:hAnsi="Book Antiqua" w:cs="Arial"/>
                <w:sz w:val="24"/>
                <w:szCs w:val="24"/>
                <w:lang w:val="en-US"/>
              </w:rPr>
              <w:t>RTIs, raltegravir and selzentry</w:t>
            </w:r>
          </w:p>
        </w:tc>
      </w:tr>
      <w:tr w:rsidR="00E769B0" w:rsidRPr="004C750C" w:rsidTr="006950F4">
        <w:tc>
          <w:tcPr>
            <w:tcW w:w="1809" w:type="dxa"/>
          </w:tcPr>
          <w:p w:rsidR="002817EF" w:rsidRPr="004C750C" w:rsidRDefault="002817EF" w:rsidP="004C750C">
            <w:pPr>
              <w:spacing w:after="0" w:line="360" w:lineRule="auto"/>
              <w:jc w:val="both"/>
              <w:rPr>
                <w:rFonts w:ascii="Book Antiqua" w:hAnsi="Book Antiqua" w:cs="Arial"/>
                <w:sz w:val="24"/>
                <w:szCs w:val="24"/>
              </w:rPr>
            </w:pPr>
            <w:r w:rsidRPr="004C750C">
              <w:rPr>
                <w:rFonts w:ascii="Book Antiqua" w:hAnsi="Book Antiqua" w:cs="Arial"/>
                <w:sz w:val="24"/>
                <w:szCs w:val="24"/>
              </w:rPr>
              <w:t>Rosuvastatin</w:t>
            </w:r>
          </w:p>
        </w:tc>
        <w:tc>
          <w:tcPr>
            <w:tcW w:w="7371" w:type="dxa"/>
          </w:tcPr>
          <w:p w:rsidR="002817EF" w:rsidRPr="004C750C" w:rsidRDefault="002817EF" w:rsidP="004C750C">
            <w:pPr>
              <w:spacing w:after="0" w:line="360" w:lineRule="auto"/>
              <w:jc w:val="both"/>
              <w:rPr>
                <w:rFonts w:ascii="Book Antiqua" w:hAnsi="Book Antiqua" w:cs="Arial"/>
                <w:sz w:val="24"/>
                <w:szCs w:val="24"/>
                <w:lang w:val="en-US" w:eastAsia="zh-CN"/>
              </w:rPr>
            </w:pPr>
            <w:r w:rsidRPr="004C750C">
              <w:rPr>
                <w:rFonts w:ascii="Book Antiqua" w:hAnsi="Book Antiqua" w:cs="Arial"/>
                <w:sz w:val="24"/>
                <w:szCs w:val="24"/>
                <w:lang w:val="en-US"/>
              </w:rPr>
              <w:t>Not CYP3A4 metabolized but 5</w:t>
            </w:r>
            <w:r w:rsidR="00C6780A" w:rsidRPr="004C750C">
              <w:rPr>
                <w:rFonts w:ascii="Book Antiqua" w:hAnsi="Book Antiqua" w:cs="Arial"/>
                <w:sz w:val="24"/>
                <w:szCs w:val="24"/>
                <w:lang w:val="en-US" w:eastAsia="zh-CN"/>
              </w:rPr>
              <w:t xml:space="preserve"> </w:t>
            </w:r>
            <w:r w:rsidR="00C6780A" w:rsidRPr="004C750C">
              <w:rPr>
                <w:rFonts w:ascii="Book Antiqua" w:hAnsi="Book Antiqua" w:cs="Times New Roman"/>
                <w:color w:val="000000"/>
                <w:sz w:val="24"/>
                <w:szCs w:val="24"/>
                <w:lang w:val="en-US"/>
              </w:rPr>
              <w:t>×</w:t>
            </w:r>
            <w:r w:rsidRPr="004C750C">
              <w:rPr>
                <w:rFonts w:ascii="Book Antiqua" w:hAnsi="Book Antiqua" w:cs="Arial"/>
                <w:sz w:val="24"/>
                <w:szCs w:val="24"/>
                <w:lang w:val="en-US"/>
              </w:rPr>
              <w:t xml:space="preserve"> ↑levels with lopinavir/ritonavir and darunavir/ritonavir (uncertain). Low starting doses (5-10 mg) recommended with PIs. Doses of 20 mg/d with PIs, 40 mg/d with NN</w:t>
            </w:r>
            <w:r w:rsidR="00C6780A" w:rsidRPr="004C750C">
              <w:rPr>
                <w:rFonts w:ascii="Book Antiqua" w:hAnsi="Book Antiqua" w:cs="Arial"/>
                <w:sz w:val="24"/>
                <w:szCs w:val="24"/>
                <w:lang w:val="en-US"/>
              </w:rPr>
              <w:t>RTIs, raltegravir and selzentry</w:t>
            </w:r>
          </w:p>
        </w:tc>
      </w:tr>
    </w:tbl>
    <w:p w:rsidR="00351BD4" w:rsidRPr="004C750C" w:rsidRDefault="00351BD4" w:rsidP="004C750C">
      <w:pPr>
        <w:spacing w:after="0" w:line="360" w:lineRule="auto"/>
        <w:jc w:val="both"/>
        <w:rPr>
          <w:rFonts w:ascii="Book Antiqua" w:hAnsi="Book Antiqua" w:cs="Arial"/>
          <w:b/>
          <w:sz w:val="24"/>
          <w:szCs w:val="24"/>
          <w:lang w:val="en-US" w:eastAsia="zh-CN"/>
        </w:rPr>
      </w:pPr>
    </w:p>
    <w:sectPr w:rsidR="00351BD4" w:rsidRPr="004C750C" w:rsidSect="006A0E9A">
      <w:footerReference w:type="default" r:id="rId56"/>
      <w:pgSz w:w="11906" w:h="16838"/>
      <w:pgMar w:top="1417" w:right="1133"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29CD01" w15:done="0"/>
  <w15:commentEx w15:paraId="1C252E5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356" w:rsidRDefault="00204356" w:rsidP="00CB0D1B">
      <w:pPr>
        <w:spacing w:after="0" w:line="240" w:lineRule="auto"/>
      </w:pPr>
      <w:r>
        <w:separator/>
      </w:r>
    </w:p>
  </w:endnote>
  <w:endnote w:type="continuationSeparator" w:id="0">
    <w:p w:rsidR="00204356" w:rsidRDefault="00204356" w:rsidP="00CB0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3"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ScalaLancetPro">
    <w:altName w:val="Arial Unicode MS"/>
    <w:panose1 w:val="00000000000000000000"/>
    <w:charset w:val="80"/>
    <w:family w:val="auto"/>
    <w:notTrueType/>
    <w:pitch w:val="default"/>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276542"/>
      <w:docPartObj>
        <w:docPartGallery w:val="Page Numbers (Bottom of Page)"/>
        <w:docPartUnique/>
      </w:docPartObj>
    </w:sdtPr>
    <w:sdtEndPr/>
    <w:sdtContent>
      <w:p w:rsidR="002A60A4" w:rsidRDefault="002A60A4">
        <w:pPr>
          <w:pStyle w:val="Footer"/>
          <w:jc w:val="right"/>
        </w:pPr>
        <w:r>
          <w:fldChar w:fldCharType="begin"/>
        </w:r>
        <w:r>
          <w:instrText>PAGE   \* MERGEFORMAT</w:instrText>
        </w:r>
        <w:r>
          <w:fldChar w:fldCharType="separate"/>
        </w:r>
        <w:r w:rsidR="00D34022">
          <w:rPr>
            <w:noProof/>
          </w:rPr>
          <w:t>1</w:t>
        </w:r>
        <w:r>
          <w:fldChar w:fldCharType="end"/>
        </w:r>
      </w:p>
    </w:sdtContent>
  </w:sdt>
  <w:p w:rsidR="002A60A4" w:rsidRDefault="002A60A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356" w:rsidRDefault="00204356" w:rsidP="00CB0D1B">
      <w:pPr>
        <w:spacing w:after="0" w:line="240" w:lineRule="auto"/>
      </w:pPr>
      <w:r>
        <w:separator/>
      </w:r>
    </w:p>
  </w:footnote>
  <w:footnote w:type="continuationSeparator" w:id="0">
    <w:p w:rsidR="00204356" w:rsidRDefault="00204356" w:rsidP="00CB0D1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62E"/>
    <w:multiLevelType w:val="hybridMultilevel"/>
    <w:tmpl w:val="F1FAB4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F30680A"/>
    <w:multiLevelType w:val="hybridMultilevel"/>
    <w:tmpl w:val="68248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8B170BC"/>
    <w:multiLevelType w:val="multilevel"/>
    <w:tmpl w:val="5558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CC481A"/>
    <w:multiLevelType w:val="multilevel"/>
    <w:tmpl w:val="8D2C71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2A975FE"/>
    <w:multiLevelType w:val="hybridMultilevel"/>
    <w:tmpl w:val="800A8AC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70B0FD4"/>
    <w:multiLevelType w:val="hybridMultilevel"/>
    <w:tmpl w:val="AAFAEDF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34A538D"/>
    <w:multiLevelType w:val="multilevel"/>
    <w:tmpl w:val="0896C4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77365F3"/>
    <w:multiLevelType w:val="hybridMultilevel"/>
    <w:tmpl w:val="5C466D62"/>
    <w:lvl w:ilvl="0" w:tplc="EACADDB0">
      <w:start w:val="10"/>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CCE6A22"/>
    <w:multiLevelType w:val="multilevel"/>
    <w:tmpl w:val="D41E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52D2151"/>
    <w:multiLevelType w:val="multilevel"/>
    <w:tmpl w:val="BC6A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2E306FB"/>
    <w:multiLevelType w:val="multilevel"/>
    <w:tmpl w:val="EF40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3095277"/>
    <w:multiLevelType w:val="multilevel"/>
    <w:tmpl w:val="CDD01F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53D4262"/>
    <w:multiLevelType w:val="multilevel"/>
    <w:tmpl w:val="DBB0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9B2572E"/>
    <w:multiLevelType w:val="hybridMultilevel"/>
    <w:tmpl w:val="C5CCCF2E"/>
    <w:lvl w:ilvl="0" w:tplc="2DA6B978">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9B82487"/>
    <w:multiLevelType w:val="multilevel"/>
    <w:tmpl w:val="FD0A1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7A5673F"/>
    <w:multiLevelType w:val="multilevel"/>
    <w:tmpl w:val="5268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7"/>
  </w:num>
  <w:num w:numId="4">
    <w:abstractNumId w:val="1"/>
  </w:num>
  <w:num w:numId="5">
    <w:abstractNumId w:val="8"/>
  </w:num>
  <w:num w:numId="6">
    <w:abstractNumId w:val="15"/>
  </w:num>
  <w:num w:numId="7">
    <w:abstractNumId w:val="9"/>
  </w:num>
  <w:num w:numId="8">
    <w:abstractNumId w:val="10"/>
  </w:num>
  <w:num w:numId="9">
    <w:abstractNumId w:val="11"/>
  </w:num>
  <w:num w:numId="10">
    <w:abstractNumId w:val="0"/>
  </w:num>
  <w:num w:numId="11">
    <w:abstractNumId w:val="12"/>
  </w:num>
  <w:num w:numId="12">
    <w:abstractNumId w:val="13"/>
  </w:num>
  <w:num w:numId="13">
    <w:abstractNumId w:val="14"/>
  </w:num>
  <w:num w:numId="14">
    <w:abstractNumId w:val="5"/>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aging Editor">
    <w15:presenceInfo w15:providerId="None" w15:userId="Managing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008"/>
    <w:rsid w:val="00000AE8"/>
    <w:rsid w:val="0000115B"/>
    <w:rsid w:val="0000266E"/>
    <w:rsid w:val="00003606"/>
    <w:rsid w:val="00005F3A"/>
    <w:rsid w:val="0000660D"/>
    <w:rsid w:val="00010FF8"/>
    <w:rsid w:val="000149BE"/>
    <w:rsid w:val="00014C31"/>
    <w:rsid w:val="000172DF"/>
    <w:rsid w:val="00022E4D"/>
    <w:rsid w:val="0002356D"/>
    <w:rsid w:val="0002443D"/>
    <w:rsid w:val="00024A75"/>
    <w:rsid w:val="00025E09"/>
    <w:rsid w:val="00031ACB"/>
    <w:rsid w:val="000324B2"/>
    <w:rsid w:val="00035EF6"/>
    <w:rsid w:val="0003753A"/>
    <w:rsid w:val="0004175A"/>
    <w:rsid w:val="00043644"/>
    <w:rsid w:val="000441D2"/>
    <w:rsid w:val="00044C0F"/>
    <w:rsid w:val="00047239"/>
    <w:rsid w:val="000506FB"/>
    <w:rsid w:val="00051063"/>
    <w:rsid w:val="000516E1"/>
    <w:rsid w:val="0005251C"/>
    <w:rsid w:val="000533CA"/>
    <w:rsid w:val="0005363A"/>
    <w:rsid w:val="0005470C"/>
    <w:rsid w:val="00055493"/>
    <w:rsid w:val="00055DDD"/>
    <w:rsid w:val="000569F2"/>
    <w:rsid w:val="000575D1"/>
    <w:rsid w:val="00057752"/>
    <w:rsid w:val="000603DB"/>
    <w:rsid w:val="00064CB8"/>
    <w:rsid w:val="000658DC"/>
    <w:rsid w:val="000678E2"/>
    <w:rsid w:val="00067BCC"/>
    <w:rsid w:val="000709AB"/>
    <w:rsid w:val="00071EB7"/>
    <w:rsid w:val="00074A9B"/>
    <w:rsid w:val="00075083"/>
    <w:rsid w:val="000755F8"/>
    <w:rsid w:val="00077564"/>
    <w:rsid w:val="000801C5"/>
    <w:rsid w:val="000809DC"/>
    <w:rsid w:val="00080D6C"/>
    <w:rsid w:val="00083313"/>
    <w:rsid w:val="00083621"/>
    <w:rsid w:val="000879C4"/>
    <w:rsid w:val="0009046B"/>
    <w:rsid w:val="00090C5A"/>
    <w:rsid w:val="0009119F"/>
    <w:rsid w:val="000955D6"/>
    <w:rsid w:val="00096569"/>
    <w:rsid w:val="000A17CD"/>
    <w:rsid w:val="000A2C39"/>
    <w:rsid w:val="000A4D85"/>
    <w:rsid w:val="000A5D27"/>
    <w:rsid w:val="000A7978"/>
    <w:rsid w:val="000B186C"/>
    <w:rsid w:val="000B415A"/>
    <w:rsid w:val="000B6126"/>
    <w:rsid w:val="000B6D7E"/>
    <w:rsid w:val="000B7E22"/>
    <w:rsid w:val="000C0F4B"/>
    <w:rsid w:val="000C1361"/>
    <w:rsid w:val="000C34E1"/>
    <w:rsid w:val="000C4A5E"/>
    <w:rsid w:val="000D1D76"/>
    <w:rsid w:val="000D2E53"/>
    <w:rsid w:val="000D3CAC"/>
    <w:rsid w:val="000D6D4A"/>
    <w:rsid w:val="000D7B1E"/>
    <w:rsid w:val="000E1363"/>
    <w:rsid w:val="000E17F1"/>
    <w:rsid w:val="000E1AB8"/>
    <w:rsid w:val="000E3E29"/>
    <w:rsid w:val="000E50C6"/>
    <w:rsid w:val="000E7AE0"/>
    <w:rsid w:val="000E7F7A"/>
    <w:rsid w:val="000F08A9"/>
    <w:rsid w:val="000F592A"/>
    <w:rsid w:val="001014BD"/>
    <w:rsid w:val="001017AD"/>
    <w:rsid w:val="00101F33"/>
    <w:rsid w:val="00102647"/>
    <w:rsid w:val="0010279E"/>
    <w:rsid w:val="001028F7"/>
    <w:rsid w:val="00103634"/>
    <w:rsid w:val="001100FF"/>
    <w:rsid w:val="00110E37"/>
    <w:rsid w:val="00111AB4"/>
    <w:rsid w:val="00114345"/>
    <w:rsid w:val="00116DF4"/>
    <w:rsid w:val="001176C8"/>
    <w:rsid w:val="00117C43"/>
    <w:rsid w:val="0012040D"/>
    <w:rsid w:val="001205D7"/>
    <w:rsid w:val="00120B56"/>
    <w:rsid w:val="0012352A"/>
    <w:rsid w:val="00123D61"/>
    <w:rsid w:val="00124105"/>
    <w:rsid w:val="001246F0"/>
    <w:rsid w:val="00125F88"/>
    <w:rsid w:val="0012623A"/>
    <w:rsid w:val="0012637F"/>
    <w:rsid w:val="001270C5"/>
    <w:rsid w:val="00127CF8"/>
    <w:rsid w:val="00127E8F"/>
    <w:rsid w:val="001330E7"/>
    <w:rsid w:val="00133771"/>
    <w:rsid w:val="00136334"/>
    <w:rsid w:val="00137155"/>
    <w:rsid w:val="001405D8"/>
    <w:rsid w:val="0014108F"/>
    <w:rsid w:val="00141862"/>
    <w:rsid w:val="00141E7A"/>
    <w:rsid w:val="00141F5D"/>
    <w:rsid w:val="001436DC"/>
    <w:rsid w:val="00144217"/>
    <w:rsid w:val="0015000D"/>
    <w:rsid w:val="00151376"/>
    <w:rsid w:val="00151516"/>
    <w:rsid w:val="00151790"/>
    <w:rsid w:val="001531CE"/>
    <w:rsid w:val="00153363"/>
    <w:rsid w:val="001533AC"/>
    <w:rsid w:val="001534A6"/>
    <w:rsid w:val="001575DA"/>
    <w:rsid w:val="0016007A"/>
    <w:rsid w:val="001603AF"/>
    <w:rsid w:val="001627F8"/>
    <w:rsid w:val="00162FFF"/>
    <w:rsid w:val="00167A5E"/>
    <w:rsid w:val="00171D32"/>
    <w:rsid w:val="001739B1"/>
    <w:rsid w:val="00174B63"/>
    <w:rsid w:val="00175D46"/>
    <w:rsid w:val="001801E4"/>
    <w:rsid w:val="00180D1E"/>
    <w:rsid w:val="001816A7"/>
    <w:rsid w:val="00182B92"/>
    <w:rsid w:val="00183F6C"/>
    <w:rsid w:val="001848F6"/>
    <w:rsid w:val="001947E2"/>
    <w:rsid w:val="00195927"/>
    <w:rsid w:val="00197E8C"/>
    <w:rsid w:val="001A24E6"/>
    <w:rsid w:val="001A444E"/>
    <w:rsid w:val="001A799B"/>
    <w:rsid w:val="001B0EE3"/>
    <w:rsid w:val="001B146F"/>
    <w:rsid w:val="001B5A7B"/>
    <w:rsid w:val="001B5D99"/>
    <w:rsid w:val="001B5FF3"/>
    <w:rsid w:val="001B61DA"/>
    <w:rsid w:val="001B711E"/>
    <w:rsid w:val="001C2350"/>
    <w:rsid w:val="001C3F62"/>
    <w:rsid w:val="001C47C6"/>
    <w:rsid w:val="001C5180"/>
    <w:rsid w:val="001D17D9"/>
    <w:rsid w:val="001D1F50"/>
    <w:rsid w:val="001D4521"/>
    <w:rsid w:val="001D737E"/>
    <w:rsid w:val="001E150A"/>
    <w:rsid w:val="001E3607"/>
    <w:rsid w:val="001E54B3"/>
    <w:rsid w:val="001E5A34"/>
    <w:rsid w:val="001E7491"/>
    <w:rsid w:val="001E74D1"/>
    <w:rsid w:val="001F06CC"/>
    <w:rsid w:val="001F10E5"/>
    <w:rsid w:val="001F62E8"/>
    <w:rsid w:val="001F7681"/>
    <w:rsid w:val="0020063A"/>
    <w:rsid w:val="00203783"/>
    <w:rsid w:val="00204356"/>
    <w:rsid w:val="00204855"/>
    <w:rsid w:val="0020574F"/>
    <w:rsid w:val="00206001"/>
    <w:rsid w:val="002070E4"/>
    <w:rsid w:val="002072BE"/>
    <w:rsid w:val="00212062"/>
    <w:rsid w:val="0021210B"/>
    <w:rsid w:val="00212599"/>
    <w:rsid w:val="00212759"/>
    <w:rsid w:val="00216EC9"/>
    <w:rsid w:val="002237A4"/>
    <w:rsid w:val="00231FCB"/>
    <w:rsid w:val="002333F5"/>
    <w:rsid w:val="00234645"/>
    <w:rsid w:val="002409F8"/>
    <w:rsid w:val="00240C97"/>
    <w:rsid w:val="00242457"/>
    <w:rsid w:val="0024272C"/>
    <w:rsid w:val="00243803"/>
    <w:rsid w:val="002468FF"/>
    <w:rsid w:val="00246F9D"/>
    <w:rsid w:val="00247B04"/>
    <w:rsid w:val="00252208"/>
    <w:rsid w:val="00253E18"/>
    <w:rsid w:val="0025490F"/>
    <w:rsid w:val="0025748E"/>
    <w:rsid w:val="00262211"/>
    <w:rsid w:val="00265AE1"/>
    <w:rsid w:val="00265B21"/>
    <w:rsid w:val="002663BF"/>
    <w:rsid w:val="00266DCF"/>
    <w:rsid w:val="0027111B"/>
    <w:rsid w:val="00271D7E"/>
    <w:rsid w:val="002726AB"/>
    <w:rsid w:val="0027514A"/>
    <w:rsid w:val="002755A6"/>
    <w:rsid w:val="002756C1"/>
    <w:rsid w:val="0027689A"/>
    <w:rsid w:val="00277278"/>
    <w:rsid w:val="00280851"/>
    <w:rsid w:val="00280EA9"/>
    <w:rsid w:val="002817EF"/>
    <w:rsid w:val="002833D8"/>
    <w:rsid w:val="00283C87"/>
    <w:rsid w:val="0028661B"/>
    <w:rsid w:val="002873FF"/>
    <w:rsid w:val="002910D7"/>
    <w:rsid w:val="00291FA3"/>
    <w:rsid w:val="00294006"/>
    <w:rsid w:val="002969C2"/>
    <w:rsid w:val="002A2536"/>
    <w:rsid w:val="002A4725"/>
    <w:rsid w:val="002A5854"/>
    <w:rsid w:val="002A60A4"/>
    <w:rsid w:val="002A66DD"/>
    <w:rsid w:val="002A6A3E"/>
    <w:rsid w:val="002B2513"/>
    <w:rsid w:val="002B286A"/>
    <w:rsid w:val="002B34C0"/>
    <w:rsid w:val="002B44CC"/>
    <w:rsid w:val="002B48BF"/>
    <w:rsid w:val="002B527B"/>
    <w:rsid w:val="002B6554"/>
    <w:rsid w:val="002C1B91"/>
    <w:rsid w:val="002C22F8"/>
    <w:rsid w:val="002C3D94"/>
    <w:rsid w:val="002C423D"/>
    <w:rsid w:val="002C4D45"/>
    <w:rsid w:val="002C4F9D"/>
    <w:rsid w:val="002C546C"/>
    <w:rsid w:val="002C5A41"/>
    <w:rsid w:val="002D027E"/>
    <w:rsid w:val="002D11E5"/>
    <w:rsid w:val="002D1294"/>
    <w:rsid w:val="002D2027"/>
    <w:rsid w:val="002D2B3C"/>
    <w:rsid w:val="002D39A0"/>
    <w:rsid w:val="002D3C5A"/>
    <w:rsid w:val="002D5E2C"/>
    <w:rsid w:val="002D665D"/>
    <w:rsid w:val="002D6AC3"/>
    <w:rsid w:val="002D6B21"/>
    <w:rsid w:val="002D78EE"/>
    <w:rsid w:val="002D7B9E"/>
    <w:rsid w:val="002E0378"/>
    <w:rsid w:val="002E1033"/>
    <w:rsid w:val="002E19BF"/>
    <w:rsid w:val="002E40CF"/>
    <w:rsid w:val="002E463F"/>
    <w:rsid w:val="002E4A08"/>
    <w:rsid w:val="002E4A26"/>
    <w:rsid w:val="002E56B6"/>
    <w:rsid w:val="002F04B5"/>
    <w:rsid w:val="002F0B00"/>
    <w:rsid w:val="002F444F"/>
    <w:rsid w:val="002F66E4"/>
    <w:rsid w:val="002F7ED1"/>
    <w:rsid w:val="003030AB"/>
    <w:rsid w:val="00304148"/>
    <w:rsid w:val="0030482B"/>
    <w:rsid w:val="003050F2"/>
    <w:rsid w:val="003066B9"/>
    <w:rsid w:val="00310D4D"/>
    <w:rsid w:val="003131BB"/>
    <w:rsid w:val="0031361B"/>
    <w:rsid w:val="003150A6"/>
    <w:rsid w:val="0031520E"/>
    <w:rsid w:val="00320316"/>
    <w:rsid w:val="003209E3"/>
    <w:rsid w:val="003232A1"/>
    <w:rsid w:val="00323979"/>
    <w:rsid w:val="00323D52"/>
    <w:rsid w:val="003262F5"/>
    <w:rsid w:val="00327DD9"/>
    <w:rsid w:val="00327E0C"/>
    <w:rsid w:val="0033136A"/>
    <w:rsid w:val="003321C6"/>
    <w:rsid w:val="003323A6"/>
    <w:rsid w:val="0033243E"/>
    <w:rsid w:val="00336339"/>
    <w:rsid w:val="003366D4"/>
    <w:rsid w:val="00336FDA"/>
    <w:rsid w:val="00337BB0"/>
    <w:rsid w:val="00340360"/>
    <w:rsid w:val="003404D7"/>
    <w:rsid w:val="00341C6D"/>
    <w:rsid w:val="0034541C"/>
    <w:rsid w:val="00345B86"/>
    <w:rsid w:val="003463E6"/>
    <w:rsid w:val="00346987"/>
    <w:rsid w:val="003508D4"/>
    <w:rsid w:val="00351005"/>
    <w:rsid w:val="00351912"/>
    <w:rsid w:val="00351BD4"/>
    <w:rsid w:val="00352148"/>
    <w:rsid w:val="00353B1D"/>
    <w:rsid w:val="003543E2"/>
    <w:rsid w:val="00356F46"/>
    <w:rsid w:val="00360563"/>
    <w:rsid w:val="00364063"/>
    <w:rsid w:val="00364E78"/>
    <w:rsid w:val="00367596"/>
    <w:rsid w:val="0037026A"/>
    <w:rsid w:val="00370F63"/>
    <w:rsid w:val="00372356"/>
    <w:rsid w:val="00372BF8"/>
    <w:rsid w:val="00375D69"/>
    <w:rsid w:val="00375F6D"/>
    <w:rsid w:val="003779F7"/>
    <w:rsid w:val="00377A74"/>
    <w:rsid w:val="003819DA"/>
    <w:rsid w:val="00381CBA"/>
    <w:rsid w:val="00383874"/>
    <w:rsid w:val="00383B33"/>
    <w:rsid w:val="00383F11"/>
    <w:rsid w:val="00384113"/>
    <w:rsid w:val="003844C5"/>
    <w:rsid w:val="00385006"/>
    <w:rsid w:val="00385775"/>
    <w:rsid w:val="003861C8"/>
    <w:rsid w:val="003865D4"/>
    <w:rsid w:val="00393CBE"/>
    <w:rsid w:val="003941CE"/>
    <w:rsid w:val="0039691E"/>
    <w:rsid w:val="0039799B"/>
    <w:rsid w:val="003A09A2"/>
    <w:rsid w:val="003A202B"/>
    <w:rsid w:val="003A4130"/>
    <w:rsid w:val="003A5FCB"/>
    <w:rsid w:val="003A786F"/>
    <w:rsid w:val="003B0A58"/>
    <w:rsid w:val="003B1973"/>
    <w:rsid w:val="003B4D38"/>
    <w:rsid w:val="003B5C2C"/>
    <w:rsid w:val="003B5FB5"/>
    <w:rsid w:val="003B6688"/>
    <w:rsid w:val="003C2086"/>
    <w:rsid w:val="003C667B"/>
    <w:rsid w:val="003D086D"/>
    <w:rsid w:val="003D363B"/>
    <w:rsid w:val="003D43A3"/>
    <w:rsid w:val="003D68A8"/>
    <w:rsid w:val="003D69F6"/>
    <w:rsid w:val="003E0FC4"/>
    <w:rsid w:val="003E2515"/>
    <w:rsid w:val="003E2C59"/>
    <w:rsid w:val="003E37CE"/>
    <w:rsid w:val="003E449D"/>
    <w:rsid w:val="003E6EA3"/>
    <w:rsid w:val="003E7EA3"/>
    <w:rsid w:val="003F0C57"/>
    <w:rsid w:val="003F1B59"/>
    <w:rsid w:val="003F4FCF"/>
    <w:rsid w:val="003F5257"/>
    <w:rsid w:val="003F6AD6"/>
    <w:rsid w:val="00401B82"/>
    <w:rsid w:val="00401F85"/>
    <w:rsid w:val="00403A99"/>
    <w:rsid w:val="00404B5E"/>
    <w:rsid w:val="00406862"/>
    <w:rsid w:val="00406B49"/>
    <w:rsid w:val="00411726"/>
    <w:rsid w:val="00411762"/>
    <w:rsid w:val="004155B0"/>
    <w:rsid w:val="00415796"/>
    <w:rsid w:val="0041760C"/>
    <w:rsid w:val="00420F54"/>
    <w:rsid w:val="00421EDC"/>
    <w:rsid w:val="00421F87"/>
    <w:rsid w:val="004226A7"/>
    <w:rsid w:val="004254AF"/>
    <w:rsid w:val="004264F1"/>
    <w:rsid w:val="004307BB"/>
    <w:rsid w:val="00431AB9"/>
    <w:rsid w:val="00433776"/>
    <w:rsid w:val="00433F6B"/>
    <w:rsid w:val="0043551F"/>
    <w:rsid w:val="00437087"/>
    <w:rsid w:val="00437499"/>
    <w:rsid w:val="0044102A"/>
    <w:rsid w:val="0044485D"/>
    <w:rsid w:val="00445C6B"/>
    <w:rsid w:val="00446C29"/>
    <w:rsid w:val="004507D8"/>
    <w:rsid w:val="00450C2A"/>
    <w:rsid w:val="00450E56"/>
    <w:rsid w:val="00450F2C"/>
    <w:rsid w:val="004544CD"/>
    <w:rsid w:val="00454FA4"/>
    <w:rsid w:val="00464D5F"/>
    <w:rsid w:val="0046615E"/>
    <w:rsid w:val="00473003"/>
    <w:rsid w:val="00474BE5"/>
    <w:rsid w:val="00474F83"/>
    <w:rsid w:val="00480118"/>
    <w:rsid w:val="00481C3A"/>
    <w:rsid w:val="00483060"/>
    <w:rsid w:val="00484660"/>
    <w:rsid w:val="00484B62"/>
    <w:rsid w:val="004900B8"/>
    <w:rsid w:val="00490ED5"/>
    <w:rsid w:val="00492F6F"/>
    <w:rsid w:val="00493EC0"/>
    <w:rsid w:val="00495599"/>
    <w:rsid w:val="004A031D"/>
    <w:rsid w:val="004A1F6B"/>
    <w:rsid w:val="004A2205"/>
    <w:rsid w:val="004A4002"/>
    <w:rsid w:val="004A5439"/>
    <w:rsid w:val="004A621F"/>
    <w:rsid w:val="004B125A"/>
    <w:rsid w:val="004B145B"/>
    <w:rsid w:val="004B1969"/>
    <w:rsid w:val="004B2ECC"/>
    <w:rsid w:val="004B5D19"/>
    <w:rsid w:val="004B7A11"/>
    <w:rsid w:val="004C21D5"/>
    <w:rsid w:val="004C2C10"/>
    <w:rsid w:val="004C48AA"/>
    <w:rsid w:val="004C750C"/>
    <w:rsid w:val="004D0AE6"/>
    <w:rsid w:val="004D3345"/>
    <w:rsid w:val="004D5160"/>
    <w:rsid w:val="004D6D57"/>
    <w:rsid w:val="004D7C6B"/>
    <w:rsid w:val="004E293C"/>
    <w:rsid w:val="004E39A8"/>
    <w:rsid w:val="004E3AC7"/>
    <w:rsid w:val="004E53DC"/>
    <w:rsid w:val="004E67D5"/>
    <w:rsid w:val="004F0645"/>
    <w:rsid w:val="004F26E4"/>
    <w:rsid w:val="004F45A9"/>
    <w:rsid w:val="004F483B"/>
    <w:rsid w:val="004F5249"/>
    <w:rsid w:val="004F525A"/>
    <w:rsid w:val="004F7FFB"/>
    <w:rsid w:val="00500454"/>
    <w:rsid w:val="005011E1"/>
    <w:rsid w:val="00502565"/>
    <w:rsid w:val="00510243"/>
    <w:rsid w:val="00514766"/>
    <w:rsid w:val="00515524"/>
    <w:rsid w:val="00515BB3"/>
    <w:rsid w:val="00517F92"/>
    <w:rsid w:val="00524029"/>
    <w:rsid w:val="00525E1A"/>
    <w:rsid w:val="005342DC"/>
    <w:rsid w:val="005359F9"/>
    <w:rsid w:val="00535AA6"/>
    <w:rsid w:val="00536F0A"/>
    <w:rsid w:val="00537E68"/>
    <w:rsid w:val="00543173"/>
    <w:rsid w:val="00544FB3"/>
    <w:rsid w:val="00545023"/>
    <w:rsid w:val="0054577B"/>
    <w:rsid w:val="00545960"/>
    <w:rsid w:val="005472B4"/>
    <w:rsid w:val="0055097A"/>
    <w:rsid w:val="005522A6"/>
    <w:rsid w:val="00552D11"/>
    <w:rsid w:val="005539B1"/>
    <w:rsid w:val="00553D17"/>
    <w:rsid w:val="00555F8F"/>
    <w:rsid w:val="005624D6"/>
    <w:rsid w:val="00564DE4"/>
    <w:rsid w:val="00565492"/>
    <w:rsid w:val="00566DE2"/>
    <w:rsid w:val="00567B5E"/>
    <w:rsid w:val="005700AE"/>
    <w:rsid w:val="0057088F"/>
    <w:rsid w:val="00572A67"/>
    <w:rsid w:val="00572B31"/>
    <w:rsid w:val="0057343A"/>
    <w:rsid w:val="00574200"/>
    <w:rsid w:val="00580F78"/>
    <w:rsid w:val="00581D86"/>
    <w:rsid w:val="00582BDB"/>
    <w:rsid w:val="005835C8"/>
    <w:rsid w:val="00584B2F"/>
    <w:rsid w:val="005861A0"/>
    <w:rsid w:val="005905EE"/>
    <w:rsid w:val="005918BB"/>
    <w:rsid w:val="00594853"/>
    <w:rsid w:val="005967D3"/>
    <w:rsid w:val="00597138"/>
    <w:rsid w:val="00597AE8"/>
    <w:rsid w:val="005A105C"/>
    <w:rsid w:val="005A1876"/>
    <w:rsid w:val="005A603A"/>
    <w:rsid w:val="005A7863"/>
    <w:rsid w:val="005B0D51"/>
    <w:rsid w:val="005B17F4"/>
    <w:rsid w:val="005B2657"/>
    <w:rsid w:val="005B2743"/>
    <w:rsid w:val="005B34D8"/>
    <w:rsid w:val="005B698C"/>
    <w:rsid w:val="005B6B67"/>
    <w:rsid w:val="005B71DD"/>
    <w:rsid w:val="005C1345"/>
    <w:rsid w:val="005C3530"/>
    <w:rsid w:val="005C413B"/>
    <w:rsid w:val="005C6C15"/>
    <w:rsid w:val="005D0599"/>
    <w:rsid w:val="005D0AC4"/>
    <w:rsid w:val="005D2C5C"/>
    <w:rsid w:val="005D3D49"/>
    <w:rsid w:val="005D512E"/>
    <w:rsid w:val="005D5DDA"/>
    <w:rsid w:val="005D5ED2"/>
    <w:rsid w:val="005E0BE4"/>
    <w:rsid w:val="005E2291"/>
    <w:rsid w:val="005E3DAA"/>
    <w:rsid w:val="005E4CC6"/>
    <w:rsid w:val="005E5DC6"/>
    <w:rsid w:val="005F106D"/>
    <w:rsid w:val="005F1687"/>
    <w:rsid w:val="005F217D"/>
    <w:rsid w:val="005F6314"/>
    <w:rsid w:val="005F7DF0"/>
    <w:rsid w:val="00603135"/>
    <w:rsid w:val="0060532A"/>
    <w:rsid w:val="006054CF"/>
    <w:rsid w:val="00606100"/>
    <w:rsid w:val="00610489"/>
    <w:rsid w:val="006108A5"/>
    <w:rsid w:val="006108ED"/>
    <w:rsid w:val="006135E9"/>
    <w:rsid w:val="006136FA"/>
    <w:rsid w:val="00615023"/>
    <w:rsid w:val="006173DF"/>
    <w:rsid w:val="00617444"/>
    <w:rsid w:val="00617BEE"/>
    <w:rsid w:val="00620E39"/>
    <w:rsid w:val="00621746"/>
    <w:rsid w:val="00621A3F"/>
    <w:rsid w:val="00622355"/>
    <w:rsid w:val="00624019"/>
    <w:rsid w:val="00627D80"/>
    <w:rsid w:val="00630ECD"/>
    <w:rsid w:val="006312E3"/>
    <w:rsid w:val="00631E48"/>
    <w:rsid w:val="00633F83"/>
    <w:rsid w:val="00634288"/>
    <w:rsid w:val="00636BBA"/>
    <w:rsid w:val="0064035F"/>
    <w:rsid w:val="00640A45"/>
    <w:rsid w:val="00641C61"/>
    <w:rsid w:val="00643327"/>
    <w:rsid w:val="0064435F"/>
    <w:rsid w:val="00645827"/>
    <w:rsid w:val="00650541"/>
    <w:rsid w:val="0065319E"/>
    <w:rsid w:val="006549CD"/>
    <w:rsid w:val="00654E96"/>
    <w:rsid w:val="00656A10"/>
    <w:rsid w:val="00656BE5"/>
    <w:rsid w:val="00660465"/>
    <w:rsid w:val="00660E58"/>
    <w:rsid w:val="0066653A"/>
    <w:rsid w:val="006667EF"/>
    <w:rsid w:val="00667315"/>
    <w:rsid w:val="006712AF"/>
    <w:rsid w:val="00671C17"/>
    <w:rsid w:val="00672CB6"/>
    <w:rsid w:val="00677B49"/>
    <w:rsid w:val="00680020"/>
    <w:rsid w:val="00682448"/>
    <w:rsid w:val="00684D9B"/>
    <w:rsid w:val="00685780"/>
    <w:rsid w:val="006865B8"/>
    <w:rsid w:val="0069038F"/>
    <w:rsid w:val="00690869"/>
    <w:rsid w:val="00691623"/>
    <w:rsid w:val="00692AE2"/>
    <w:rsid w:val="00692FCD"/>
    <w:rsid w:val="00693458"/>
    <w:rsid w:val="006950F4"/>
    <w:rsid w:val="0069660A"/>
    <w:rsid w:val="00697505"/>
    <w:rsid w:val="006A0983"/>
    <w:rsid w:val="006A0E9A"/>
    <w:rsid w:val="006A4E37"/>
    <w:rsid w:val="006B0813"/>
    <w:rsid w:val="006B0D37"/>
    <w:rsid w:val="006B15F9"/>
    <w:rsid w:val="006B3E4B"/>
    <w:rsid w:val="006B4C5A"/>
    <w:rsid w:val="006B5605"/>
    <w:rsid w:val="006C203D"/>
    <w:rsid w:val="006C3612"/>
    <w:rsid w:val="006C393C"/>
    <w:rsid w:val="006C40A8"/>
    <w:rsid w:val="006C4A68"/>
    <w:rsid w:val="006C4C46"/>
    <w:rsid w:val="006C56A1"/>
    <w:rsid w:val="006C593F"/>
    <w:rsid w:val="006C6425"/>
    <w:rsid w:val="006D2C6F"/>
    <w:rsid w:val="006D527C"/>
    <w:rsid w:val="006D6181"/>
    <w:rsid w:val="006E09AE"/>
    <w:rsid w:val="006E1498"/>
    <w:rsid w:val="006E27A6"/>
    <w:rsid w:val="006E32CB"/>
    <w:rsid w:val="006E4C2A"/>
    <w:rsid w:val="006E5E0C"/>
    <w:rsid w:val="006E6208"/>
    <w:rsid w:val="006F039C"/>
    <w:rsid w:val="006F1344"/>
    <w:rsid w:val="006F15A2"/>
    <w:rsid w:val="006F6330"/>
    <w:rsid w:val="006F7629"/>
    <w:rsid w:val="00700335"/>
    <w:rsid w:val="0070380E"/>
    <w:rsid w:val="00705A7F"/>
    <w:rsid w:val="00706F37"/>
    <w:rsid w:val="007114BF"/>
    <w:rsid w:val="00712341"/>
    <w:rsid w:val="007126B4"/>
    <w:rsid w:val="00715691"/>
    <w:rsid w:val="00717591"/>
    <w:rsid w:val="00720269"/>
    <w:rsid w:val="00723225"/>
    <w:rsid w:val="00724B1A"/>
    <w:rsid w:val="00725ADD"/>
    <w:rsid w:val="00727150"/>
    <w:rsid w:val="00727458"/>
    <w:rsid w:val="00732459"/>
    <w:rsid w:val="00732F3F"/>
    <w:rsid w:val="0073316C"/>
    <w:rsid w:val="00735C13"/>
    <w:rsid w:val="007366E9"/>
    <w:rsid w:val="00740381"/>
    <w:rsid w:val="00742312"/>
    <w:rsid w:val="0074647A"/>
    <w:rsid w:val="00746A36"/>
    <w:rsid w:val="00751B7F"/>
    <w:rsid w:val="00751C13"/>
    <w:rsid w:val="00753645"/>
    <w:rsid w:val="00754802"/>
    <w:rsid w:val="007550DB"/>
    <w:rsid w:val="007576F3"/>
    <w:rsid w:val="007579E2"/>
    <w:rsid w:val="007635D8"/>
    <w:rsid w:val="00764A05"/>
    <w:rsid w:val="007651F1"/>
    <w:rsid w:val="0076732A"/>
    <w:rsid w:val="00767685"/>
    <w:rsid w:val="00772AF7"/>
    <w:rsid w:val="00774857"/>
    <w:rsid w:val="00774F23"/>
    <w:rsid w:val="0077550C"/>
    <w:rsid w:val="00776629"/>
    <w:rsid w:val="007767A4"/>
    <w:rsid w:val="00780406"/>
    <w:rsid w:val="0078065E"/>
    <w:rsid w:val="00785344"/>
    <w:rsid w:val="007853B9"/>
    <w:rsid w:val="00785548"/>
    <w:rsid w:val="00786EB8"/>
    <w:rsid w:val="00791596"/>
    <w:rsid w:val="0079171F"/>
    <w:rsid w:val="007925C6"/>
    <w:rsid w:val="007933BD"/>
    <w:rsid w:val="00793441"/>
    <w:rsid w:val="007937F7"/>
    <w:rsid w:val="00793AE2"/>
    <w:rsid w:val="00795635"/>
    <w:rsid w:val="007959A4"/>
    <w:rsid w:val="00795AA9"/>
    <w:rsid w:val="00796030"/>
    <w:rsid w:val="007A2298"/>
    <w:rsid w:val="007A62D6"/>
    <w:rsid w:val="007A6BB9"/>
    <w:rsid w:val="007B018E"/>
    <w:rsid w:val="007B5B80"/>
    <w:rsid w:val="007B647B"/>
    <w:rsid w:val="007B7F50"/>
    <w:rsid w:val="007C2FC4"/>
    <w:rsid w:val="007C4EAE"/>
    <w:rsid w:val="007C5336"/>
    <w:rsid w:val="007C749D"/>
    <w:rsid w:val="007D00B0"/>
    <w:rsid w:val="007D031C"/>
    <w:rsid w:val="007D0A31"/>
    <w:rsid w:val="007D369D"/>
    <w:rsid w:val="007D5AAB"/>
    <w:rsid w:val="007D6A4D"/>
    <w:rsid w:val="007E25E2"/>
    <w:rsid w:val="007E2F6E"/>
    <w:rsid w:val="007E3416"/>
    <w:rsid w:val="007F1624"/>
    <w:rsid w:val="007F1A46"/>
    <w:rsid w:val="007F2819"/>
    <w:rsid w:val="007F4363"/>
    <w:rsid w:val="007F4446"/>
    <w:rsid w:val="007F5A36"/>
    <w:rsid w:val="007F5FB0"/>
    <w:rsid w:val="007F7C41"/>
    <w:rsid w:val="00801EB8"/>
    <w:rsid w:val="00811824"/>
    <w:rsid w:val="00811995"/>
    <w:rsid w:val="008120C5"/>
    <w:rsid w:val="00812383"/>
    <w:rsid w:val="00812B1C"/>
    <w:rsid w:val="00812ED2"/>
    <w:rsid w:val="008151CF"/>
    <w:rsid w:val="0081589D"/>
    <w:rsid w:val="008163D8"/>
    <w:rsid w:val="00817517"/>
    <w:rsid w:val="00820875"/>
    <w:rsid w:val="00821A55"/>
    <w:rsid w:val="00821E16"/>
    <w:rsid w:val="00823442"/>
    <w:rsid w:val="00823588"/>
    <w:rsid w:val="00826BD3"/>
    <w:rsid w:val="00827095"/>
    <w:rsid w:val="008270AA"/>
    <w:rsid w:val="008300A7"/>
    <w:rsid w:val="00830BA8"/>
    <w:rsid w:val="0083202A"/>
    <w:rsid w:val="00832407"/>
    <w:rsid w:val="0083368D"/>
    <w:rsid w:val="008353E8"/>
    <w:rsid w:val="00836125"/>
    <w:rsid w:val="008362EE"/>
    <w:rsid w:val="008364D7"/>
    <w:rsid w:val="00836944"/>
    <w:rsid w:val="00837652"/>
    <w:rsid w:val="00840405"/>
    <w:rsid w:val="00840973"/>
    <w:rsid w:val="00841044"/>
    <w:rsid w:val="00845041"/>
    <w:rsid w:val="00852431"/>
    <w:rsid w:val="0085353C"/>
    <w:rsid w:val="00855632"/>
    <w:rsid w:val="00855B4C"/>
    <w:rsid w:val="00855DD7"/>
    <w:rsid w:val="00856ED5"/>
    <w:rsid w:val="00857598"/>
    <w:rsid w:val="00860014"/>
    <w:rsid w:val="008604D6"/>
    <w:rsid w:val="008657D5"/>
    <w:rsid w:val="0086637E"/>
    <w:rsid w:val="00866A64"/>
    <w:rsid w:val="008673E0"/>
    <w:rsid w:val="00867C46"/>
    <w:rsid w:val="00867C90"/>
    <w:rsid w:val="008718D6"/>
    <w:rsid w:val="00871999"/>
    <w:rsid w:val="00872F21"/>
    <w:rsid w:val="008736FA"/>
    <w:rsid w:val="008770BC"/>
    <w:rsid w:val="00877629"/>
    <w:rsid w:val="008800CD"/>
    <w:rsid w:val="008802DD"/>
    <w:rsid w:val="008816B8"/>
    <w:rsid w:val="00882DD6"/>
    <w:rsid w:val="008831B4"/>
    <w:rsid w:val="0088374F"/>
    <w:rsid w:val="00884C23"/>
    <w:rsid w:val="00884D63"/>
    <w:rsid w:val="0088681B"/>
    <w:rsid w:val="00886C72"/>
    <w:rsid w:val="00887491"/>
    <w:rsid w:val="00891A36"/>
    <w:rsid w:val="00895492"/>
    <w:rsid w:val="008A31CC"/>
    <w:rsid w:val="008A38BF"/>
    <w:rsid w:val="008A7C42"/>
    <w:rsid w:val="008B38E4"/>
    <w:rsid w:val="008B4DBE"/>
    <w:rsid w:val="008B4E82"/>
    <w:rsid w:val="008B59D8"/>
    <w:rsid w:val="008B748B"/>
    <w:rsid w:val="008B766B"/>
    <w:rsid w:val="008B7D95"/>
    <w:rsid w:val="008C1B1A"/>
    <w:rsid w:val="008C244C"/>
    <w:rsid w:val="008C4570"/>
    <w:rsid w:val="008D00F5"/>
    <w:rsid w:val="008D105E"/>
    <w:rsid w:val="008D1636"/>
    <w:rsid w:val="008D1A64"/>
    <w:rsid w:val="008D1B1E"/>
    <w:rsid w:val="008D22FF"/>
    <w:rsid w:val="008D231E"/>
    <w:rsid w:val="008D52B8"/>
    <w:rsid w:val="008D60A1"/>
    <w:rsid w:val="008D6D91"/>
    <w:rsid w:val="008E03AA"/>
    <w:rsid w:val="008E058A"/>
    <w:rsid w:val="008E37D8"/>
    <w:rsid w:val="008E388E"/>
    <w:rsid w:val="008E6022"/>
    <w:rsid w:val="008E6C51"/>
    <w:rsid w:val="008E73AC"/>
    <w:rsid w:val="009007C3"/>
    <w:rsid w:val="009008B7"/>
    <w:rsid w:val="0090483B"/>
    <w:rsid w:val="00907230"/>
    <w:rsid w:val="00907509"/>
    <w:rsid w:val="0091067A"/>
    <w:rsid w:val="00911002"/>
    <w:rsid w:val="00911C60"/>
    <w:rsid w:val="00911FC4"/>
    <w:rsid w:val="009138AB"/>
    <w:rsid w:val="009154E8"/>
    <w:rsid w:val="0091581B"/>
    <w:rsid w:val="0091781F"/>
    <w:rsid w:val="00917EFA"/>
    <w:rsid w:val="00917F70"/>
    <w:rsid w:val="0092232F"/>
    <w:rsid w:val="009231C2"/>
    <w:rsid w:val="00923669"/>
    <w:rsid w:val="009263FF"/>
    <w:rsid w:val="0092655F"/>
    <w:rsid w:val="00926CA6"/>
    <w:rsid w:val="0092709B"/>
    <w:rsid w:val="009318B3"/>
    <w:rsid w:val="0093260E"/>
    <w:rsid w:val="009330EF"/>
    <w:rsid w:val="0093598D"/>
    <w:rsid w:val="00940249"/>
    <w:rsid w:val="009440E5"/>
    <w:rsid w:val="00946E8A"/>
    <w:rsid w:val="009475F5"/>
    <w:rsid w:val="009503F6"/>
    <w:rsid w:val="00950808"/>
    <w:rsid w:val="00954231"/>
    <w:rsid w:val="0095564B"/>
    <w:rsid w:val="0095587F"/>
    <w:rsid w:val="0095665D"/>
    <w:rsid w:val="009578DE"/>
    <w:rsid w:val="00960E50"/>
    <w:rsid w:val="009671AA"/>
    <w:rsid w:val="00967F91"/>
    <w:rsid w:val="00971CBB"/>
    <w:rsid w:val="00971D0E"/>
    <w:rsid w:val="00972301"/>
    <w:rsid w:val="00972F16"/>
    <w:rsid w:val="00973594"/>
    <w:rsid w:val="00973D3C"/>
    <w:rsid w:val="00974275"/>
    <w:rsid w:val="009743C1"/>
    <w:rsid w:val="00975580"/>
    <w:rsid w:val="0097597D"/>
    <w:rsid w:val="00976B4A"/>
    <w:rsid w:val="00976FBA"/>
    <w:rsid w:val="00985ACD"/>
    <w:rsid w:val="00990062"/>
    <w:rsid w:val="00991CC6"/>
    <w:rsid w:val="0099207C"/>
    <w:rsid w:val="0099357D"/>
    <w:rsid w:val="0099564D"/>
    <w:rsid w:val="00995C6A"/>
    <w:rsid w:val="0099799E"/>
    <w:rsid w:val="009A124F"/>
    <w:rsid w:val="009A5601"/>
    <w:rsid w:val="009A5F02"/>
    <w:rsid w:val="009A7473"/>
    <w:rsid w:val="009B2DFE"/>
    <w:rsid w:val="009B4F7C"/>
    <w:rsid w:val="009B6043"/>
    <w:rsid w:val="009B690A"/>
    <w:rsid w:val="009B7E02"/>
    <w:rsid w:val="009C0552"/>
    <w:rsid w:val="009C2D04"/>
    <w:rsid w:val="009C5EEE"/>
    <w:rsid w:val="009C5FCA"/>
    <w:rsid w:val="009C62F0"/>
    <w:rsid w:val="009D05FF"/>
    <w:rsid w:val="009D2136"/>
    <w:rsid w:val="009D3C26"/>
    <w:rsid w:val="009D4FAB"/>
    <w:rsid w:val="009D55C1"/>
    <w:rsid w:val="009E1391"/>
    <w:rsid w:val="009E399C"/>
    <w:rsid w:val="009E47D7"/>
    <w:rsid w:val="009E4883"/>
    <w:rsid w:val="009E65DA"/>
    <w:rsid w:val="009E690A"/>
    <w:rsid w:val="009E6AF8"/>
    <w:rsid w:val="009E7105"/>
    <w:rsid w:val="009F2360"/>
    <w:rsid w:val="009F2462"/>
    <w:rsid w:val="009F5711"/>
    <w:rsid w:val="009F70FA"/>
    <w:rsid w:val="00A000AA"/>
    <w:rsid w:val="00A00863"/>
    <w:rsid w:val="00A01027"/>
    <w:rsid w:val="00A021CE"/>
    <w:rsid w:val="00A031DA"/>
    <w:rsid w:val="00A03610"/>
    <w:rsid w:val="00A03FCC"/>
    <w:rsid w:val="00A05B31"/>
    <w:rsid w:val="00A0654D"/>
    <w:rsid w:val="00A06C30"/>
    <w:rsid w:val="00A075A1"/>
    <w:rsid w:val="00A10B74"/>
    <w:rsid w:val="00A10EE0"/>
    <w:rsid w:val="00A112F3"/>
    <w:rsid w:val="00A119BA"/>
    <w:rsid w:val="00A13F94"/>
    <w:rsid w:val="00A162B7"/>
    <w:rsid w:val="00A178BB"/>
    <w:rsid w:val="00A17D4F"/>
    <w:rsid w:val="00A22DA0"/>
    <w:rsid w:val="00A23EB9"/>
    <w:rsid w:val="00A257C3"/>
    <w:rsid w:val="00A27640"/>
    <w:rsid w:val="00A27EB7"/>
    <w:rsid w:val="00A32919"/>
    <w:rsid w:val="00A34825"/>
    <w:rsid w:val="00A34936"/>
    <w:rsid w:val="00A37029"/>
    <w:rsid w:val="00A371DA"/>
    <w:rsid w:val="00A411E7"/>
    <w:rsid w:val="00A4317A"/>
    <w:rsid w:val="00A43384"/>
    <w:rsid w:val="00A435B0"/>
    <w:rsid w:val="00A43785"/>
    <w:rsid w:val="00A44471"/>
    <w:rsid w:val="00A455E0"/>
    <w:rsid w:val="00A47628"/>
    <w:rsid w:val="00A51674"/>
    <w:rsid w:val="00A534CF"/>
    <w:rsid w:val="00A56009"/>
    <w:rsid w:val="00A624C8"/>
    <w:rsid w:val="00A626C0"/>
    <w:rsid w:val="00A66BC6"/>
    <w:rsid w:val="00A67538"/>
    <w:rsid w:val="00A719E7"/>
    <w:rsid w:val="00A73FFA"/>
    <w:rsid w:val="00A7597C"/>
    <w:rsid w:val="00A761DD"/>
    <w:rsid w:val="00A771A4"/>
    <w:rsid w:val="00A81B09"/>
    <w:rsid w:val="00A83929"/>
    <w:rsid w:val="00A84C11"/>
    <w:rsid w:val="00A852D6"/>
    <w:rsid w:val="00A85BE7"/>
    <w:rsid w:val="00A91CE2"/>
    <w:rsid w:val="00A91DB9"/>
    <w:rsid w:val="00A921A7"/>
    <w:rsid w:val="00A925BF"/>
    <w:rsid w:val="00A94E09"/>
    <w:rsid w:val="00A96D17"/>
    <w:rsid w:val="00AA287D"/>
    <w:rsid w:val="00AA2CDC"/>
    <w:rsid w:val="00AA432C"/>
    <w:rsid w:val="00AA7106"/>
    <w:rsid w:val="00AB1BFF"/>
    <w:rsid w:val="00AB5386"/>
    <w:rsid w:val="00AB727F"/>
    <w:rsid w:val="00AB767A"/>
    <w:rsid w:val="00AB771F"/>
    <w:rsid w:val="00AC017C"/>
    <w:rsid w:val="00AC3910"/>
    <w:rsid w:val="00AC4AB4"/>
    <w:rsid w:val="00AD1A90"/>
    <w:rsid w:val="00AD44E8"/>
    <w:rsid w:val="00AD71F8"/>
    <w:rsid w:val="00AD7EA8"/>
    <w:rsid w:val="00AE05B1"/>
    <w:rsid w:val="00AE15CB"/>
    <w:rsid w:val="00AE1D7F"/>
    <w:rsid w:val="00AE2693"/>
    <w:rsid w:val="00AE2C8C"/>
    <w:rsid w:val="00AE5243"/>
    <w:rsid w:val="00AF021F"/>
    <w:rsid w:val="00AF32DF"/>
    <w:rsid w:val="00AF3A8A"/>
    <w:rsid w:val="00AF6002"/>
    <w:rsid w:val="00AF6C9F"/>
    <w:rsid w:val="00AF6E91"/>
    <w:rsid w:val="00B03F8D"/>
    <w:rsid w:val="00B058AC"/>
    <w:rsid w:val="00B060F7"/>
    <w:rsid w:val="00B10C19"/>
    <w:rsid w:val="00B1238E"/>
    <w:rsid w:val="00B1379F"/>
    <w:rsid w:val="00B200D6"/>
    <w:rsid w:val="00B2210C"/>
    <w:rsid w:val="00B22710"/>
    <w:rsid w:val="00B22F63"/>
    <w:rsid w:val="00B22FD0"/>
    <w:rsid w:val="00B25E3F"/>
    <w:rsid w:val="00B26834"/>
    <w:rsid w:val="00B26E83"/>
    <w:rsid w:val="00B27BDC"/>
    <w:rsid w:val="00B27D28"/>
    <w:rsid w:val="00B30712"/>
    <w:rsid w:val="00B30F0A"/>
    <w:rsid w:val="00B32631"/>
    <w:rsid w:val="00B34AEE"/>
    <w:rsid w:val="00B34B7A"/>
    <w:rsid w:val="00B35212"/>
    <w:rsid w:val="00B35FC5"/>
    <w:rsid w:val="00B415DF"/>
    <w:rsid w:val="00B426B8"/>
    <w:rsid w:val="00B43F99"/>
    <w:rsid w:val="00B45E57"/>
    <w:rsid w:val="00B503D5"/>
    <w:rsid w:val="00B5097A"/>
    <w:rsid w:val="00B51D7B"/>
    <w:rsid w:val="00B52665"/>
    <w:rsid w:val="00B53F15"/>
    <w:rsid w:val="00B54BA3"/>
    <w:rsid w:val="00B55317"/>
    <w:rsid w:val="00B55C9C"/>
    <w:rsid w:val="00B56854"/>
    <w:rsid w:val="00B602BC"/>
    <w:rsid w:val="00B60342"/>
    <w:rsid w:val="00B6148F"/>
    <w:rsid w:val="00B624D9"/>
    <w:rsid w:val="00B63441"/>
    <w:rsid w:val="00B64C50"/>
    <w:rsid w:val="00B66075"/>
    <w:rsid w:val="00B6710E"/>
    <w:rsid w:val="00B6771F"/>
    <w:rsid w:val="00B70C65"/>
    <w:rsid w:val="00B71745"/>
    <w:rsid w:val="00B71F70"/>
    <w:rsid w:val="00B7376F"/>
    <w:rsid w:val="00B76565"/>
    <w:rsid w:val="00B76A64"/>
    <w:rsid w:val="00B76CCD"/>
    <w:rsid w:val="00B805D6"/>
    <w:rsid w:val="00B81A3B"/>
    <w:rsid w:val="00B81D32"/>
    <w:rsid w:val="00B840BB"/>
    <w:rsid w:val="00B859E8"/>
    <w:rsid w:val="00B875DC"/>
    <w:rsid w:val="00B90B38"/>
    <w:rsid w:val="00B91E35"/>
    <w:rsid w:val="00B94232"/>
    <w:rsid w:val="00B946C1"/>
    <w:rsid w:val="00B96760"/>
    <w:rsid w:val="00BA15CD"/>
    <w:rsid w:val="00BA459C"/>
    <w:rsid w:val="00BA5246"/>
    <w:rsid w:val="00BA5FE3"/>
    <w:rsid w:val="00BA67CB"/>
    <w:rsid w:val="00BA6D07"/>
    <w:rsid w:val="00BA6DCA"/>
    <w:rsid w:val="00BA7173"/>
    <w:rsid w:val="00BB4982"/>
    <w:rsid w:val="00BB5D8B"/>
    <w:rsid w:val="00BB6E7D"/>
    <w:rsid w:val="00BC06C7"/>
    <w:rsid w:val="00BC39C5"/>
    <w:rsid w:val="00BC3BD3"/>
    <w:rsid w:val="00BC51DA"/>
    <w:rsid w:val="00BC663E"/>
    <w:rsid w:val="00BC6DA5"/>
    <w:rsid w:val="00BC70F9"/>
    <w:rsid w:val="00BC71F9"/>
    <w:rsid w:val="00BD10E5"/>
    <w:rsid w:val="00BD28E4"/>
    <w:rsid w:val="00BD2976"/>
    <w:rsid w:val="00BD2CA0"/>
    <w:rsid w:val="00BD3438"/>
    <w:rsid w:val="00BD486D"/>
    <w:rsid w:val="00BD60F0"/>
    <w:rsid w:val="00BD6118"/>
    <w:rsid w:val="00BD7A21"/>
    <w:rsid w:val="00BE0D23"/>
    <w:rsid w:val="00BE19C3"/>
    <w:rsid w:val="00BE1CB8"/>
    <w:rsid w:val="00BE2066"/>
    <w:rsid w:val="00BE2CD1"/>
    <w:rsid w:val="00BE4BCE"/>
    <w:rsid w:val="00BE5AED"/>
    <w:rsid w:val="00BE5B8C"/>
    <w:rsid w:val="00BE5B8D"/>
    <w:rsid w:val="00BE65DE"/>
    <w:rsid w:val="00BF105E"/>
    <w:rsid w:val="00BF16B1"/>
    <w:rsid w:val="00BF5D73"/>
    <w:rsid w:val="00BF63CC"/>
    <w:rsid w:val="00BF6A5B"/>
    <w:rsid w:val="00BF7AB7"/>
    <w:rsid w:val="00C0089C"/>
    <w:rsid w:val="00C00DCE"/>
    <w:rsid w:val="00C016B7"/>
    <w:rsid w:val="00C02548"/>
    <w:rsid w:val="00C04B5B"/>
    <w:rsid w:val="00C05F19"/>
    <w:rsid w:val="00C10E5E"/>
    <w:rsid w:val="00C10E94"/>
    <w:rsid w:val="00C13336"/>
    <w:rsid w:val="00C1381F"/>
    <w:rsid w:val="00C14029"/>
    <w:rsid w:val="00C1415E"/>
    <w:rsid w:val="00C15569"/>
    <w:rsid w:val="00C15D86"/>
    <w:rsid w:val="00C17179"/>
    <w:rsid w:val="00C206A6"/>
    <w:rsid w:val="00C21248"/>
    <w:rsid w:val="00C22383"/>
    <w:rsid w:val="00C22CC8"/>
    <w:rsid w:val="00C23110"/>
    <w:rsid w:val="00C26FB7"/>
    <w:rsid w:val="00C315A2"/>
    <w:rsid w:val="00C364E7"/>
    <w:rsid w:val="00C36635"/>
    <w:rsid w:val="00C419EA"/>
    <w:rsid w:val="00C41F32"/>
    <w:rsid w:val="00C44E8B"/>
    <w:rsid w:val="00C4552C"/>
    <w:rsid w:val="00C4608D"/>
    <w:rsid w:val="00C46798"/>
    <w:rsid w:val="00C47E58"/>
    <w:rsid w:val="00C510E4"/>
    <w:rsid w:val="00C523AD"/>
    <w:rsid w:val="00C5285F"/>
    <w:rsid w:val="00C53851"/>
    <w:rsid w:val="00C55B93"/>
    <w:rsid w:val="00C55EBF"/>
    <w:rsid w:val="00C561DB"/>
    <w:rsid w:val="00C60160"/>
    <w:rsid w:val="00C61EFF"/>
    <w:rsid w:val="00C634B6"/>
    <w:rsid w:val="00C63B6B"/>
    <w:rsid w:val="00C65016"/>
    <w:rsid w:val="00C66D3E"/>
    <w:rsid w:val="00C6745B"/>
    <w:rsid w:val="00C674BC"/>
    <w:rsid w:val="00C6769B"/>
    <w:rsid w:val="00C6780A"/>
    <w:rsid w:val="00C700E4"/>
    <w:rsid w:val="00C70738"/>
    <w:rsid w:val="00C710AA"/>
    <w:rsid w:val="00C72C95"/>
    <w:rsid w:val="00C72D90"/>
    <w:rsid w:val="00C7379E"/>
    <w:rsid w:val="00C74177"/>
    <w:rsid w:val="00C753A1"/>
    <w:rsid w:val="00C82D54"/>
    <w:rsid w:val="00C82F06"/>
    <w:rsid w:val="00C838B3"/>
    <w:rsid w:val="00C8574C"/>
    <w:rsid w:val="00C8609B"/>
    <w:rsid w:val="00C92E82"/>
    <w:rsid w:val="00C93AD0"/>
    <w:rsid w:val="00C9571D"/>
    <w:rsid w:val="00C95F7C"/>
    <w:rsid w:val="00C974B3"/>
    <w:rsid w:val="00CA2090"/>
    <w:rsid w:val="00CA4456"/>
    <w:rsid w:val="00CA4687"/>
    <w:rsid w:val="00CA52EE"/>
    <w:rsid w:val="00CA568B"/>
    <w:rsid w:val="00CA65A7"/>
    <w:rsid w:val="00CA67F7"/>
    <w:rsid w:val="00CA699C"/>
    <w:rsid w:val="00CA7BD6"/>
    <w:rsid w:val="00CA7C19"/>
    <w:rsid w:val="00CB0D1B"/>
    <w:rsid w:val="00CB0D8E"/>
    <w:rsid w:val="00CB2927"/>
    <w:rsid w:val="00CB2976"/>
    <w:rsid w:val="00CB364D"/>
    <w:rsid w:val="00CB462C"/>
    <w:rsid w:val="00CB4A10"/>
    <w:rsid w:val="00CB68BD"/>
    <w:rsid w:val="00CC1FDF"/>
    <w:rsid w:val="00CC3CFA"/>
    <w:rsid w:val="00CC3F19"/>
    <w:rsid w:val="00CC4F19"/>
    <w:rsid w:val="00CC5EF7"/>
    <w:rsid w:val="00CC7930"/>
    <w:rsid w:val="00CD044E"/>
    <w:rsid w:val="00CD542C"/>
    <w:rsid w:val="00CD7C74"/>
    <w:rsid w:val="00CE1744"/>
    <w:rsid w:val="00CF1175"/>
    <w:rsid w:val="00CF11F8"/>
    <w:rsid w:val="00CF4A96"/>
    <w:rsid w:val="00CF4D9A"/>
    <w:rsid w:val="00D012E3"/>
    <w:rsid w:val="00D01A75"/>
    <w:rsid w:val="00D02333"/>
    <w:rsid w:val="00D0332A"/>
    <w:rsid w:val="00D038A9"/>
    <w:rsid w:val="00D03AFA"/>
    <w:rsid w:val="00D050C1"/>
    <w:rsid w:val="00D05DBD"/>
    <w:rsid w:val="00D07631"/>
    <w:rsid w:val="00D10B3F"/>
    <w:rsid w:val="00D15B78"/>
    <w:rsid w:val="00D24D7F"/>
    <w:rsid w:val="00D31518"/>
    <w:rsid w:val="00D34022"/>
    <w:rsid w:val="00D36224"/>
    <w:rsid w:val="00D369B8"/>
    <w:rsid w:val="00D36D0E"/>
    <w:rsid w:val="00D376DA"/>
    <w:rsid w:val="00D409D2"/>
    <w:rsid w:val="00D40E38"/>
    <w:rsid w:val="00D44EC2"/>
    <w:rsid w:val="00D4603F"/>
    <w:rsid w:val="00D46083"/>
    <w:rsid w:val="00D463A3"/>
    <w:rsid w:val="00D5091C"/>
    <w:rsid w:val="00D50C4A"/>
    <w:rsid w:val="00D51DBB"/>
    <w:rsid w:val="00D52388"/>
    <w:rsid w:val="00D54307"/>
    <w:rsid w:val="00D5500C"/>
    <w:rsid w:val="00D57F6A"/>
    <w:rsid w:val="00D60200"/>
    <w:rsid w:val="00D6274B"/>
    <w:rsid w:val="00D6470C"/>
    <w:rsid w:val="00D650A7"/>
    <w:rsid w:val="00D71CE8"/>
    <w:rsid w:val="00D71F99"/>
    <w:rsid w:val="00D72EB1"/>
    <w:rsid w:val="00D75935"/>
    <w:rsid w:val="00D767AA"/>
    <w:rsid w:val="00D77346"/>
    <w:rsid w:val="00D77978"/>
    <w:rsid w:val="00D77BEA"/>
    <w:rsid w:val="00D80BB9"/>
    <w:rsid w:val="00D81464"/>
    <w:rsid w:val="00D81B8C"/>
    <w:rsid w:val="00D81F76"/>
    <w:rsid w:val="00D82C48"/>
    <w:rsid w:val="00D84227"/>
    <w:rsid w:val="00D85E02"/>
    <w:rsid w:val="00D90516"/>
    <w:rsid w:val="00D908D2"/>
    <w:rsid w:val="00D939EC"/>
    <w:rsid w:val="00D93FFE"/>
    <w:rsid w:val="00D94955"/>
    <w:rsid w:val="00D9640F"/>
    <w:rsid w:val="00D96A1C"/>
    <w:rsid w:val="00DA161F"/>
    <w:rsid w:val="00DA215C"/>
    <w:rsid w:val="00DA28F3"/>
    <w:rsid w:val="00DA3839"/>
    <w:rsid w:val="00DA4193"/>
    <w:rsid w:val="00DA4442"/>
    <w:rsid w:val="00DA6AD8"/>
    <w:rsid w:val="00DA757D"/>
    <w:rsid w:val="00DB1DD5"/>
    <w:rsid w:val="00DB331C"/>
    <w:rsid w:val="00DB5B65"/>
    <w:rsid w:val="00DB5E94"/>
    <w:rsid w:val="00DC038A"/>
    <w:rsid w:val="00DC3AC0"/>
    <w:rsid w:val="00DC451B"/>
    <w:rsid w:val="00DC64F7"/>
    <w:rsid w:val="00DC6AC8"/>
    <w:rsid w:val="00DC79C3"/>
    <w:rsid w:val="00DC7DD7"/>
    <w:rsid w:val="00DD1809"/>
    <w:rsid w:val="00DD6F3D"/>
    <w:rsid w:val="00DD787E"/>
    <w:rsid w:val="00DE0008"/>
    <w:rsid w:val="00DE0022"/>
    <w:rsid w:val="00DE02A2"/>
    <w:rsid w:val="00DE40F5"/>
    <w:rsid w:val="00DE587C"/>
    <w:rsid w:val="00DE633E"/>
    <w:rsid w:val="00DE7C10"/>
    <w:rsid w:val="00DE7DC9"/>
    <w:rsid w:val="00DF19ED"/>
    <w:rsid w:val="00DF1C26"/>
    <w:rsid w:val="00DF3358"/>
    <w:rsid w:val="00DF515E"/>
    <w:rsid w:val="00DF763E"/>
    <w:rsid w:val="00DF78C1"/>
    <w:rsid w:val="00DF79C0"/>
    <w:rsid w:val="00DF7DD9"/>
    <w:rsid w:val="00E00052"/>
    <w:rsid w:val="00E001F8"/>
    <w:rsid w:val="00E03268"/>
    <w:rsid w:val="00E05B80"/>
    <w:rsid w:val="00E074C9"/>
    <w:rsid w:val="00E07679"/>
    <w:rsid w:val="00E077F6"/>
    <w:rsid w:val="00E11E45"/>
    <w:rsid w:val="00E13F54"/>
    <w:rsid w:val="00E14934"/>
    <w:rsid w:val="00E15CD8"/>
    <w:rsid w:val="00E15F63"/>
    <w:rsid w:val="00E215A2"/>
    <w:rsid w:val="00E245F1"/>
    <w:rsid w:val="00E2639F"/>
    <w:rsid w:val="00E308BA"/>
    <w:rsid w:val="00E32AE2"/>
    <w:rsid w:val="00E32F05"/>
    <w:rsid w:val="00E336B3"/>
    <w:rsid w:val="00E336CD"/>
    <w:rsid w:val="00E3606B"/>
    <w:rsid w:val="00E3697D"/>
    <w:rsid w:val="00E407FF"/>
    <w:rsid w:val="00E41043"/>
    <w:rsid w:val="00E41646"/>
    <w:rsid w:val="00E42385"/>
    <w:rsid w:val="00E42E2C"/>
    <w:rsid w:val="00E436BC"/>
    <w:rsid w:val="00E446C8"/>
    <w:rsid w:val="00E478A5"/>
    <w:rsid w:val="00E47F24"/>
    <w:rsid w:val="00E531FA"/>
    <w:rsid w:val="00E54DFF"/>
    <w:rsid w:val="00E55439"/>
    <w:rsid w:val="00E55D4A"/>
    <w:rsid w:val="00E5750D"/>
    <w:rsid w:val="00E57C9E"/>
    <w:rsid w:val="00E605B0"/>
    <w:rsid w:val="00E61676"/>
    <w:rsid w:val="00E648E7"/>
    <w:rsid w:val="00E66F7D"/>
    <w:rsid w:val="00E677A8"/>
    <w:rsid w:val="00E70981"/>
    <w:rsid w:val="00E70C1A"/>
    <w:rsid w:val="00E71298"/>
    <w:rsid w:val="00E71302"/>
    <w:rsid w:val="00E74E0A"/>
    <w:rsid w:val="00E76829"/>
    <w:rsid w:val="00E769B0"/>
    <w:rsid w:val="00E81447"/>
    <w:rsid w:val="00E817C6"/>
    <w:rsid w:val="00E81E41"/>
    <w:rsid w:val="00E8268A"/>
    <w:rsid w:val="00E84D27"/>
    <w:rsid w:val="00E84FF2"/>
    <w:rsid w:val="00E86240"/>
    <w:rsid w:val="00E868FA"/>
    <w:rsid w:val="00E87B0E"/>
    <w:rsid w:val="00E908AB"/>
    <w:rsid w:val="00E910B9"/>
    <w:rsid w:val="00E915B8"/>
    <w:rsid w:val="00E91923"/>
    <w:rsid w:val="00E93F9C"/>
    <w:rsid w:val="00E971D2"/>
    <w:rsid w:val="00EA2C59"/>
    <w:rsid w:val="00EA3243"/>
    <w:rsid w:val="00EA3B38"/>
    <w:rsid w:val="00EB2F37"/>
    <w:rsid w:val="00EB37C9"/>
    <w:rsid w:val="00EB434E"/>
    <w:rsid w:val="00EB447B"/>
    <w:rsid w:val="00EB512A"/>
    <w:rsid w:val="00EB5A75"/>
    <w:rsid w:val="00EB78E2"/>
    <w:rsid w:val="00EC1695"/>
    <w:rsid w:val="00EC3850"/>
    <w:rsid w:val="00EC5587"/>
    <w:rsid w:val="00EC65A4"/>
    <w:rsid w:val="00EC6759"/>
    <w:rsid w:val="00EC6A36"/>
    <w:rsid w:val="00EC7D1E"/>
    <w:rsid w:val="00ED0493"/>
    <w:rsid w:val="00ED3759"/>
    <w:rsid w:val="00ED7F3A"/>
    <w:rsid w:val="00EE0575"/>
    <w:rsid w:val="00EE2113"/>
    <w:rsid w:val="00EE41F7"/>
    <w:rsid w:val="00EE44F0"/>
    <w:rsid w:val="00EE4FD6"/>
    <w:rsid w:val="00EE6EAB"/>
    <w:rsid w:val="00EF10CC"/>
    <w:rsid w:val="00EF2C27"/>
    <w:rsid w:val="00EF2D60"/>
    <w:rsid w:val="00EF4199"/>
    <w:rsid w:val="00EF7D2F"/>
    <w:rsid w:val="00F00D22"/>
    <w:rsid w:val="00F00F1D"/>
    <w:rsid w:val="00F02134"/>
    <w:rsid w:val="00F02270"/>
    <w:rsid w:val="00F02E79"/>
    <w:rsid w:val="00F046F1"/>
    <w:rsid w:val="00F050B5"/>
    <w:rsid w:val="00F06722"/>
    <w:rsid w:val="00F07E31"/>
    <w:rsid w:val="00F10481"/>
    <w:rsid w:val="00F11E9C"/>
    <w:rsid w:val="00F144B9"/>
    <w:rsid w:val="00F14F60"/>
    <w:rsid w:val="00F16721"/>
    <w:rsid w:val="00F2126B"/>
    <w:rsid w:val="00F21444"/>
    <w:rsid w:val="00F23DE7"/>
    <w:rsid w:val="00F24285"/>
    <w:rsid w:val="00F247E6"/>
    <w:rsid w:val="00F26E2A"/>
    <w:rsid w:val="00F271FC"/>
    <w:rsid w:val="00F27ABF"/>
    <w:rsid w:val="00F3003C"/>
    <w:rsid w:val="00F318BC"/>
    <w:rsid w:val="00F31F76"/>
    <w:rsid w:val="00F33427"/>
    <w:rsid w:val="00F36CB7"/>
    <w:rsid w:val="00F375B2"/>
    <w:rsid w:val="00F411D3"/>
    <w:rsid w:val="00F44A17"/>
    <w:rsid w:val="00F458D3"/>
    <w:rsid w:val="00F4590E"/>
    <w:rsid w:val="00F46090"/>
    <w:rsid w:val="00F4657A"/>
    <w:rsid w:val="00F467C4"/>
    <w:rsid w:val="00F5437B"/>
    <w:rsid w:val="00F54B51"/>
    <w:rsid w:val="00F60F4A"/>
    <w:rsid w:val="00F663F4"/>
    <w:rsid w:val="00F71A39"/>
    <w:rsid w:val="00F72B4C"/>
    <w:rsid w:val="00F74362"/>
    <w:rsid w:val="00F747DF"/>
    <w:rsid w:val="00F77CA3"/>
    <w:rsid w:val="00F801F6"/>
    <w:rsid w:val="00F8067A"/>
    <w:rsid w:val="00F81E78"/>
    <w:rsid w:val="00F82DFD"/>
    <w:rsid w:val="00F8469C"/>
    <w:rsid w:val="00F8596E"/>
    <w:rsid w:val="00F913FF"/>
    <w:rsid w:val="00F91ADD"/>
    <w:rsid w:val="00F92C9F"/>
    <w:rsid w:val="00F93C54"/>
    <w:rsid w:val="00F93F02"/>
    <w:rsid w:val="00F945D8"/>
    <w:rsid w:val="00F9523B"/>
    <w:rsid w:val="00F97351"/>
    <w:rsid w:val="00FA3A59"/>
    <w:rsid w:val="00FA41B2"/>
    <w:rsid w:val="00FA4DEA"/>
    <w:rsid w:val="00FA613E"/>
    <w:rsid w:val="00FA69F0"/>
    <w:rsid w:val="00FA6DAE"/>
    <w:rsid w:val="00FB2EAB"/>
    <w:rsid w:val="00FB4328"/>
    <w:rsid w:val="00FB55C1"/>
    <w:rsid w:val="00FC00BD"/>
    <w:rsid w:val="00FC03B7"/>
    <w:rsid w:val="00FC4410"/>
    <w:rsid w:val="00FC474F"/>
    <w:rsid w:val="00FC612D"/>
    <w:rsid w:val="00FC627A"/>
    <w:rsid w:val="00FD0860"/>
    <w:rsid w:val="00FD3987"/>
    <w:rsid w:val="00FD42D4"/>
    <w:rsid w:val="00FD4EFE"/>
    <w:rsid w:val="00FE19C1"/>
    <w:rsid w:val="00FE24F5"/>
    <w:rsid w:val="00FE2C4A"/>
    <w:rsid w:val="00FE2DDF"/>
    <w:rsid w:val="00FE2F00"/>
    <w:rsid w:val="00FE449B"/>
    <w:rsid w:val="00FE54FB"/>
    <w:rsid w:val="00FE7192"/>
    <w:rsid w:val="00FE7435"/>
    <w:rsid w:val="00FF1354"/>
    <w:rsid w:val="00FF1802"/>
    <w:rsid w:val="00FF186C"/>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Ttulo1Char"/>
    <w:qFormat/>
    <w:rsid w:val="00C66D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Ttulo2Char"/>
    <w:uiPriority w:val="9"/>
    <w:qFormat/>
    <w:rsid w:val="00E84FF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Heading3">
    <w:name w:val="heading 3"/>
    <w:basedOn w:val="Normal"/>
    <w:next w:val="Normal"/>
    <w:link w:val="Ttulo3Char"/>
    <w:uiPriority w:val="9"/>
    <w:semiHidden/>
    <w:unhideWhenUsed/>
    <w:qFormat/>
    <w:rsid w:val="00C66D3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Ttulo4Char"/>
    <w:uiPriority w:val="9"/>
    <w:unhideWhenUsed/>
    <w:qFormat/>
    <w:rsid w:val="0013377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Ttulo6Char"/>
    <w:uiPriority w:val="9"/>
    <w:semiHidden/>
    <w:unhideWhenUsed/>
    <w:qFormat/>
    <w:rsid w:val="002B34C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tulo1Char">
    <w:name w:val="Título 1 Char"/>
    <w:basedOn w:val="DefaultParagraphFont"/>
    <w:link w:val="Heading1"/>
    <w:rsid w:val="00C66D3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DefaultParagraphFont"/>
    <w:link w:val="Heading2"/>
    <w:uiPriority w:val="9"/>
    <w:rsid w:val="00E84FF2"/>
    <w:rPr>
      <w:rFonts w:ascii="Times New Roman" w:eastAsia="Times New Roman" w:hAnsi="Times New Roman" w:cs="Times New Roman"/>
      <w:b/>
      <w:bCs/>
      <w:sz w:val="36"/>
      <w:szCs w:val="36"/>
      <w:lang w:eastAsia="pt-BR"/>
    </w:rPr>
  </w:style>
  <w:style w:type="character" w:customStyle="1" w:styleId="Ttulo3Char">
    <w:name w:val="Título 3 Char"/>
    <w:basedOn w:val="DefaultParagraphFont"/>
    <w:link w:val="Heading3"/>
    <w:uiPriority w:val="9"/>
    <w:semiHidden/>
    <w:rsid w:val="00C66D3E"/>
    <w:rPr>
      <w:rFonts w:asciiTheme="majorHAnsi" w:eastAsiaTheme="majorEastAsia" w:hAnsiTheme="majorHAnsi" w:cstheme="majorBidi"/>
      <w:b/>
      <w:bCs/>
      <w:color w:val="4F81BD" w:themeColor="accent1"/>
    </w:rPr>
  </w:style>
  <w:style w:type="character" w:customStyle="1" w:styleId="Ttulo4Char">
    <w:name w:val="Título 4 Char"/>
    <w:basedOn w:val="DefaultParagraphFont"/>
    <w:link w:val="Heading4"/>
    <w:uiPriority w:val="9"/>
    <w:rsid w:val="00133771"/>
    <w:rPr>
      <w:rFonts w:asciiTheme="majorHAnsi" w:eastAsiaTheme="majorEastAsia" w:hAnsiTheme="majorHAnsi" w:cstheme="majorBidi"/>
      <w:b/>
      <w:bCs/>
      <w:i/>
      <w:iCs/>
      <w:color w:val="4F81BD" w:themeColor="accent1"/>
    </w:rPr>
  </w:style>
  <w:style w:type="character" w:customStyle="1" w:styleId="Ttulo6Char">
    <w:name w:val="Título 6 Char"/>
    <w:basedOn w:val="DefaultParagraphFont"/>
    <w:link w:val="Heading6"/>
    <w:uiPriority w:val="9"/>
    <w:semiHidden/>
    <w:rsid w:val="002B34C0"/>
    <w:rPr>
      <w:rFonts w:asciiTheme="majorHAnsi" w:eastAsiaTheme="majorEastAsia" w:hAnsiTheme="majorHAnsi" w:cstheme="majorBidi"/>
      <w:i/>
      <w:iCs/>
      <w:color w:val="243F60" w:themeColor="accent1" w:themeShade="7F"/>
    </w:rPr>
  </w:style>
  <w:style w:type="paragraph" w:styleId="Header">
    <w:name w:val="header"/>
    <w:basedOn w:val="Normal"/>
    <w:link w:val="CabealhoChar"/>
    <w:uiPriority w:val="99"/>
    <w:unhideWhenUsed/>
    <w:rsid w:val="00CB0D1B"/>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CB0D1B"/>
  </w:style>
  <w:style w:type="paragraph" w:styleId="Footer">
    <w:name w:val="footer"/>
    <w:basedOn w:val="Normal"/>
    <w:link w:val="RodapChar"/>
    <w:uiPriority w:val="99"/>
    <w:unhideWhenUsed/>
    <w:rsid w:val="00CB0D1B"/>
    <w:pPr>
      <w:tabs>
        <w:tab w:val="center" w:pos="4252"/>
        <w:tab w:val="right" w:pos="8504"/>
      </w:tabs>
      <w:spacing w:after="0" w:line="240" w:lineRule="auto"/>
    </w:pPr>
  </w:style>
  <w:style w:type="character" w:customStyle="1" w:styleId="RodapChar">
    <w:name w:val="Rodapé Char"/>
    <w:basedOn w:val="DefaultParagraphFont"/>
    <w:link w:val="Footer"/>
    <w:uiPriority w:val="99"/>
    <w:rsid w:val="00CB0D1B"/>
  </w:style>
  <w:style w:type="paragraph" w:styleId="BalloonText">
    <w:name w:val="Balloon Text"/>
    <w:basedOn w:val="Normal"/>
    <w:link w:val="TextodebaloChar"/>
    <w:uiPriority w:val="99"/>
    <w:semiHidden/>
    <w:unhideWhenUsed/>
    <w:rsid w:val="00A44471"/>
    <w:pPr>
      <w:spacing w:after="0" w:line="240" w:lineRule="auto"/>
    </w:pPr>
    <w:rPr>
      <w:rFonts w:ascii="Tahoma" w:hAnsi="Tahoma" w:cs="Tahoma"/>
      <w:sz w:val="16"/>
      <w:szCs w:val="16"/>
      <w:lang w:val="en-US"/>
    </w:rPr>
  </w:style>
  <w:style w:type="character" w:customStyle="1" w:styleId="TextodebaloChar">
    <w:name w:val="Texto de balão Char"/>
    <w:basedOn w:val="DefaultParagraphFont"/>
    <w:link w:val="BalloonText"/>
    <w:uiPriority w:val="99"/>
    <w:semiHidden/>
    <w:rsid w:val="00A44471"/>
    <w:rPr>
      <w:rFonts w:ascii="Tahoma" w:hAnsi="Tahoma" w:cs="Tahoma"/>
      <w:sz w:val="16"/>
      <w:szCs w:val="16"/>
      <w:lang w:val="en-US"/>
    </w:rPr>
  </w:style>
  <w:style w:type="character" w:styleId="Hyperlink">
    <w:name w:val="Hyperlink"/>
    <w:basedOn w:val="DefaultParagraphFont"/>
    <w:uiPriority w:val="99"/>
    <w:unhideWhenUsed/>
    <w:rsid w:val="00320316"/>
    <w:rPr>
      <w:color w:val="0000FF"/>
      <w:u w:val="single"/>
    </w:rPr>
  </w:style>
  <w:style w:type="character" w:customStyle="1" w:styleId="apple-converted-space">
    <w:name w:val="apple-converted-space"/>
    <w:basedOn w:val="DefaultParagraphFont"/>
    <w:rsid w:val="00320316"/>
  </w:style>
  <w:style w:type="paragraph" w:styleId="NormalWeb">
    <w:name w:val="Normal (Web)"/>
    <w:basedOn w:val="Normal"/>
    <w:uiPriority w:val="99"/>
    <w:unhideWhenUsed/>
    <w:rsid w:val="00320316"/>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leGrid">
    <w:name w:val="Table Grid"/>
    <w:basedOn w:val="TableNormal"/>
    <w:uiPriority w:val="59"/>
    <w:rsid w:val="009D3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
    <w:name w:val="Medium Shading 1"/>
    <w:basedOn w:val="TableNormal"/>
    <w:uiPriority w:val="63"/>
    <w:rsid w:val="00960E5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E84FF2"/>
    <w:pPr>
      <w:ind w:left="720"/>
      <w:contextualSpacing/>
    </w:pPr>
  </w:style>
  <w:style w:type="character" w:customStyle="1" w:styleId="hps">
    <w:name w:val="hps"/>
    <w:basedOn w:val="DefaultParagraphFont"/>
    <w:rsid w:val="001816A7"/>
  </w:style>
  <w:style w:type="character" w:customStyle="1" w:styleId="atn">
    <w:name w:val="atn"/>
    <w:basedOn w:val="DefaultParagraphFont"/>
    <w:rsid w:val="001816A7"/>
  </w:style>
  <w:style w:type="character" w:customStyle="1" w:styleId="hpsatn">
    <w:name w:val="hps atn"/>
    <w:basedOn w:val="DefaultParagraphFont"/>
    <w:rsid w:val="001816A7"/>
  </w:style>
  <w:style w:type="character" w:customStyle="1" w:styleId="hpsalt-edited">
    <w:name w:val="hps alt-edited"/>
    <w:basedOn w:val="DefaultParagraphFont"/>
    <w:rsid w:val="00746A36"/>
  </w:style>
  <w:style w:type="character" w:customStyle="1" w:styleId="element-citation">
    <w:name w:val="element-citation"/>
    <w:basedOn w:val="DefaultParagraphFont"/>
    <w:rsid w:val="00C82D54"/>
  </w:style>
  <w:style w:type="character" w:customStyle="1" w:styleId="highlight">
    <w:name w:val="highlight"/>
    <w:basedOn w:val="DefaultParagraphFont"/>
    <w:rsid w:val="00C66D3E"/>
  </w:style>
  <w:style w:type="character" w:customStyle="1" w:styleId="ui-ncbitoggler-master-text">
    <w:name w:val="ui-ncbitoggler-master-text"/>
    <w:basedOn w:val="DefaultParagraphFont"/>
    <w:rsid w:val="00C66D3E"/>
  </w:style>
  <w:style w:type="paragraph" w:customStyle="1" w:styleId="p">
    <w:name w:val="p"/>
    <w:basedOn w:val="Normal"/>
    <w:uiPriority w:val="99"/>
    <w:rsid w:val="00AE05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Emphasis">
    <w:name w:val="Emphasis"/>
    <w:basedOn w:val="DefaultParagraphFont"/>
    <w:uiPriority w:val="20"/>
    <w:qFormat/>
    <w:rsid w:val="00A94E09"/>
    <w:rPr>
      <w:i/>
      <w:iCs/>
    </w:rPr>
  </w:style>
  <w:style w:type="character" w:customStyle="1" w:styleId="mw-headline">
    <w:name w:val="mw-headline"/>
    <w:basedOn w:val="DefaultParagraphFont"/>
    <w:rsid w:val="009E47D7"/>
  </w:style>
  <w:style w:type="character" w:customStyle="1" w:styleId="mw-editsection">
    <w:name w:val="mw-editsection"/>
    <w:basedOn w:val="DefaultParagraphFont"/>
    <w:rsid w:val="009E47D7"/>
  </w:style>
  <w:style w:type="character" w:customStyle="1" w:styleId="mw-editsection-bracket">
    <w:name w:val="mw-editsection-bracket"/>
    <w:basedOn w:val="DefaultParagraphFont"/>
    <w:rsid w:val="009E47D7"/>
  </w:style>
  <w:style w:type="character" w:customStyle="1" w:styleId="mw-cite-backlink">
    <w:name w:val="mw-cite-backlink"/>
    <w:basedOn w:val="DefaultParagraphFont"/>
    <w:rsid w:val="00C700E4"/>
  </w:style>
  <w:style w:type="character" w:customStyle="1" w:styleId="cite-accessibility-label">
    <w:name w:val="cite-accessibility-label"/>
    <w:basedOn w:val="DefaultParagraphFont"/>
    <w:rsid w:val="00C700E4"/>
  </w:style>
  <w:style w:type="character" w:customStyle="1" w:styleId="citation">
    <w:name w:val="citation"/>
    <w:basedOn w:val="DefaultParagraphFont"/>
    <w:rsid w:val="00C700E4"/>
  </w:style>
  <w:style w:type="character" w:customStyle="1" w:styleId="reference-accessdate">
    <w:name w:val="reference-accessdate"/>
    <w:basedOn w:val="DefaultParagraphFont"/>
    <w:rsid w:val="00C700E4"/>
  </w:style>
  <w:style w:type="character" w:customStyle="1" w:styleId="TextodecomentrioChar">
    <w:name w:val="Texto de comentário Char"/>
    <w:basedOn w:val="DefaultParagraphFont"/>
    <w:link w:val="CommentText"/>
    <w:uiPriority w:val="99"/>
    <w:rsid w:val="004D6D57"/>
    <w:rPr>
      <w:sz w:val="20"/>
      <w:szCs w:val="20"/>
    </w:rPr>
  </w:style>
  <w:style w:type="paragraph" w:styleId="CommentText">
    <w:name w:val="annotation text"/>
    <w:basedOn w:val="Normal"/>
    <w:link w:val="TextodecomentrioChar"/>
    <w:uiPriority w:val="99"/>
    <w:unhideWhenUsed/>
    <w:rsid w:val="004D6D57"/>
    <w:pPr>
      <w:spacing w:line="240" w:lineRule="auto"/>
    </w:pPr>
    <w:rPr>
      <w:sz w:val="20"/>
      <w:szCs w:val="20"/>
    </w:rPr>
  </w:style>
  <w:style w:type="character" w:customStyle="1" w:styleId="AssuntodocomentrioChar">
    <w:name w:val="Assunto do comentário Char"/>
    <w:basedOn w:val="TextodecomentrioChar"/>
    <w:link w:val="CommentSubject"/>
    <w:uiPriority w:val="99"/>
    <w:semiHidden/>
    <w:rsid w:val="004D6D57"/>
    <w:rPr>
      <w:b/>
      <w:bCs/>
      <w:sz w:val="20"/>
      <w:szCs w:val="20"/>
    </w:rPr>
  </w:style>
  <w:style w:type="paragraph" w:styleId="CommentSubject">
    <w:name w:val="annotation subject"/>
    <w:basedOn w:val="CommentText"/>
    <w:next w:val="CommentText"/>
    <w:link w:val="AssuntodocomentrioChar"/>
    <w:uiPriority w:val="99"/>
    <w:semiHidden/>
    <w:unhideWhenUsed/>
    <w:rsid w:val="004D6D57"/>
    <w:rPr>
      <w:b/>
      <w:bCs/>
    </w:rPr>
  </w:style>
  <w:style w:type="paragraph" w:styleId="Revision">
    <w:name w:val="Revision"/>
    <w:hidden/>
    <w:uiPriority w:val="99"/>
    <w:semiHidden/>
    <w:rsid w:val="004D6D57"/>
    <w:pPr>
      <w:spacing w:after="0" w:line="240" w:lineRule="auto"/>
    </w:pPr>
  </w:style>
  <w:style w:type="character" w:customStyle="1" w:styleId="ref-journal">
    <w:name w:val="ref-journal"/>
    <w:basedOn w:val="DefaultParagraphFont"/>
    <w:rsid w:val="004D6D57"/>
  </w:style>
  <w:style w:type="character" w:customStyle="1" w:styleId="ref-vol">
    <w:name w:val="ref-vol"/>
    <w:basedOn w:val="DefaultParagraphFont"/>
    <w:rsid w:val="004D6D57"/>
  </w:style>
  <w:style w:type="paragraph" w:customStyle="1" w:styleId="desc">
    <w:name w:val="desc"/>
    <w:basedOn w:val="Normal"/>
    <w:rsid w:val="004D6D5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it">
    <w:name w:val="cit"/>
    <w:basedOn w:val="DefaultParagraphFont"/>
    <w:rsid w:val="004D6D57"/>
  </w:style>
  <w:style w:type="paragraph" w:customStyle="1" w:styleId="Ttulo3">
    <w:name w:val="Título3"/>
    <w:basedOn w:val="Normal"/>
    <w:uiPriority w:val="99"/>
    <w:rsid w:val="004D6D5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tulo4">
    <w:name w:val="Título4"/>
    <w:basedOn w:val="Normal"/>
    <w:uiPriority w:val="99"/>
    <w:rsid w:val="004D6D5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ixed-citation">
    <w:name w:val="mixed-citation"/>
    <w:basedOn w:val="DefaultParagraphFont"/>
    <w:rsid w:val="004D6D57"/>
  </w:style>
  <w:style w:type="character" w:customStyle="1" w:styleId="ref-title">
    <w:name w:val="ref-title"/>
    <w:basedOn w:val="DefaultParagraphFont"/>
    <w:rsid w:val="004D6D57"/>
  </w:style>
  <w:style w:type="paragraph" w:customStyle="1" w:styleId="Ttulo1">
    <w:name w:val="Título1"/>
    <w:basedOn w:val="Normal"/>
    <w:uiPriority w:val="99"/>
    <w:rsid w:val="004D6D5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tails">
    <w:name w:val="details"/>
    <w:basedOn w:val="Normal"/>
    <w:rsid w:val="004D6D5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tulo2">
    <w:name w:val="Título2"/>
    <w:basedOn w:val="Normal"/>
    <w:uiPriority w:val="99"/>
    <w:rsid w:val="004D6D5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style-span">
    <w:name w:val="apple-style-span"/>
    <w:basedOn w:val="DefaultParagraphFont"/>
    <w:rsid w:val="004D6D57"/>
  </w:style>
  <w:style w:type="character" w:customStyle="1" w:styleId="artjournal">
    <w:name w:val="art_journal"/>
    <w:basedOn w:val="DefaultParagraphFont"/>
    <w:rsid w:val="004D6D57"/>
  </w:style>
  <w:style w:type="character" w:customStyle="1" w:styleId="artdatevolumeissuepart">
    <w:name w:val="art_datevolumeissuepart"/>
    <w:basedOn w:val="DefaultParagraphFont"/>
    <w:rsid w:val="004D6D57"/>
  </w:style>
  <w:style w:type="character" w:customStyle="1" w:styleId="artpages">
    <w:name w:val="art_pages"/>
    <w:basedOn w:val="DefaultParagraphFont"/>
    <w:rsid w:val="004D6D57"/>
  </w:style>
  <w:style w:type="character" w:customStyle="1" w:styleId="jrnl">
    <w:name w:val="jrnl"/>
    <w:basedOn w:val="DefaultParagraphFont"/>
    <w:rsid w:val="004D6D57"/>
  </w:style>
  <w:style w:type="character" w:customStyle="1" w:styleId="atl">
    <w:name w:val="atl"/>
    <w:basedOn w:val="DefaultParagraphFont"/>
    <w:rsid w:val="004D6D57"/>
  </w:style>
  <w:style w:type="character" w:customStyle="1" w:styleId="jtl">
    <w:name w:val="jtl"/>
    <w:basedOn w:val="DefaultParagraphFont"/>
    <w:rsid w:val="004D6D57"/>
  </w:style>
  <w:style w:type="character" w:customStyle="1" w:styleId="vid">
    <w:name w:val="vid"/>
    <w:basedOn w:val="DefaultParagraphFont"/>
    <w:rsid w:val="004D6D57"/>
  </w:style>
  <w:style w:type="character" w:customStyle="1" w:styleId="cite-month-year">
    <w:name w:val="cite-month-year"/>
    <w:basedOn w:val="DefaultParagraphFont"/>
    <w:rsid w:val="004D6D57"/>
  </w:style>
  <w:style w:type="character" w:customStyle="1" w:styleId="fm-citation-ids-label">
    <w:name w:val="fm-citation-ids-label"/>
    <w:basedOn w:val="DefaultParagraphFont"/>
    <w:rsid w:val="004D6D57"/>
  </w:style>
  <w:style w:type="character" w:customStyle="1" w:styleId="cit-name-surname">
    <w:name w:val="cit-name-surname"/>
    <w:basedOn w:val="DefaultParagraphFont"/>
    <w:rsid w:val="004D6D57"/>
  </w:style>
  <w:style w:type="character" w:customStyle="1" w:styleId="cit-name-given-names">
    <w:name w:val="cit-name-given-names"/>
    <w:basedOn w:val="DefaultParagraphFont"/>
    <w:rsid w:val="004D6D57"/>
  </w:style>
  <w:style w:type="character" w:customStyle="1" w:styleId="cit-etal">
    <w:name w:val="cit-etal"/>
    <w:basedOn w:val="DefaultParagraphFont"/>
    <w:rsid w:val="004D6D57"/>
  </w:style>
  <w:style w:type="character" w:customStyle="1" w:styleId="cit-article-title">
    <w:name w:val="cit-article-title"/>
    <w:basedOn w:val="DefaultParagraphFont"/>
    <w:rsid w:val="004D6D57"/>
  </w:style>
  <w:style w:type="character" w:customStyle="1" w:styleId="cit-pub-date">
    <w:name w:val="cit-pub-date"/>
    <w:basedOn w:val="DefaultParagraphFont"/>
    <w:rsid w:val="004D6D57"/>
  </w:style>
  <w:style w:type="character" w:customStyle="1" w:styleId="cit-vol">
    <w:name w:val="cit-vol"/>
    <w:basedOn w:val="DefaultParagraphFont"/>
    <w:rsid w:val="004D6D57"/>
  </w:style>
  <w:style w:type="character" w:customStyle="1" w:styleId="cit-fpage">
    <w:name w:val="cit-fpage"/>
    <w:basedOn w:val="DefaultParagraphFont"/>
    <w:rsid w:val="004D6D57"/>
  </w:style>
  <w:style w:type="character" w:customStyle="1" w:styleId="cit-lpage">
    <w:name w:val="cit-lpage"/>
    <w:basedOn w:val="DefaultParagraphFont"/>
    <w:rsid w:val="004D6D57"/>
  </w:style>
  <w:style w:type="character" w:customStyle="1" w:styleId="cit-conf-name">
    <w:name w:val="cit-conf-name"/>
    <w:basedOn w:val="DefaultParagraphFont"/>
    <w:rsid w:val="004D6D57"/>
  </w:style>
  <w:style w:type="character" w:customStyle="1" w:styleId="cit-conf-loc">
    <w:name w:val="cit-conf-loc"/>
    <w:basedOn w:val="DefaultParagraphFont"/>
    <w:rsid w:val="004D6D57"/>
  </w:style>
  <w:style w:type="character" w:customStyle="1" w:styleId="cit-publ-loc">
    <w:name w:val="cit-publ-loc"/>
    <w:basedOn w:val="DefaultParagraphFont"/>
    <w:rsid w:val="004D6D57"/>
  </w:style>
  <w:style w:type="character" w:customStyle="1" w:styleId="cit-publ-name">
    <w:name w:val="cit-publ-name"/>
    <w:basedOn w:val="DefaultParagraphFont"/>
    <w:rsid w:val="004D6D57"/>
  </w:style>
  <w:style w:type="character" w:customStyle="1" w:styleId="cit-comment">
    <w:name w:val="cit-comment"/>
    <w:basedOn w:val="DefaultParagraphFont"/>
    <w:rsid w:val="004D6D57"/>
  </w:style>
  <w:style w:type="character" w:customStyle="1" w:styleId="nowrap">
    <w:name w:val="nowrap"/>
    <w:basedOn w:val="DefaultParagraphFont"/>
    <w:rsid w:val="004D6D57"/>
  </w:style>
  <w:style w:type="character" w:customStyle="1" w:styleId="doi">
    <w:name w:val="doi"/>
    <w:basedOn w:val="DefaultParagraphFont"/>
    <w:rsid w:val="004D6D57"/>
  </w:style>
  <w:style w:type="character" w:customStyle="1" w:styleId="cit-issue">
    <w:name w:val="cit-issue"/>
    <w:basedOn w:val="DefaultParagraphFont"/>
    <w:rsid w:val="004D6D57"/>
  </w:style>
  <w:style w:type="character" w:customStyle="1" w:styleId="source">
    <w:name w:val="source"/>
    <w:basedOn w:val="DefaultParagraphFont"/>
    <w:rsid w:val="004D6D57"/>
  </w:style>
  <w:style w:type="character" w:customStyle="1" w:styleId="volume">
    <w:name w:val="volume"/>
    <w:basedOn w:val="DefaultParagraphFont"/>
    <w:rsid w:val="004D6D57"/>
  </w:style>
  <w:style w:type="character" w:customStyle="1" w:styleId="surname">
    <w:name w:val="surname"/>
    <w:basedOn w:val="DefaultParagraphFont"/>
    <w:rsid w:val="004D6D57"/>
  </w:style>
  <w:style w:type="character" w:customStyle="1" w:styleId="firstname">
    <w:name w:val="firstname"/>
    <w:basedOn w:val="DefaultParagraphFont"/>
    <w:rsid w:val="004D6D57"/>
  </w:style>
  <w:style w:type="character" w:customStyle="1" w:styleId="etal">
    <w:name w:val="etal"/>
    <w:basedOn w:val="DefaultParagraphFont"/>
    <w:rsid w:val="004D6D57"/>
  </w:style>
  <w:style w:type="character" w:customStyle="1" w:styleId="ref2">
    <w:name w:val="ref2"/>
    <w:rsid w:val="00832407"/>
    <w:rPr>
      <w:vanish w:val="0"/>
      <w:webHidden w:val="0"/>
      <w:specVanish w:val="0"/>
    </w:rPr>
  </w:style>
  <w:style w:type="character" w:customStyle="1" w:styleId="ref-cit">
    <w:name w:val="ref-cit"/>
    <w:basedOn w:val="DefaultParagraphFont"/>
    <w:rsid w:val="001E3607"/>
  </w:style>
  <w:style w:type="character" w:customStyle="1" w:styleId="ref-journal1">
    <w:name w:val="ref-journal1"/>
    <w:rsid w:val="001E3607"/>
    <w:rPr>
      <w:i/>
      <w:iCs/>
    </w:rPr>
  </w:style>
  <w:style w:type="paragraph" w:customStyle="1" w:styleId="Ttulo5">
    <w:name w:val="Título5"/>
    <w:basedOn w:val="Normal"/>
    <w:rsid w:val="001E360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CommentReference">
    <w:name w:val="annotation reference"/>
    <w:basedOn w:val="DefaultParagraphFont"/>
    <w:uiPriority w:val="99"/>
    <w:semiHidden/>
    <w:unhideWhenUsed/>
    <w:rsid w:val="00D81F76"/>
    <w:rPr>
      <w:sz w:val="18"/>
      <w:szCs w:val="18"/>
    </w:rPr>
  </w:style>
  <w:style w:type="character" w:styleId="FollowedHyperlink">
    <w:name w:val="FollowedHyperlink"/>
    <w:basedOn w:val="DefaultParagraphFont"/>
    <w:uiPriority w:val="99"/>
    <w:semiHidden/>
    <w:unhideWhenUsed/>
    <w:rsid w:val="0031520E"/>
    <w:rPr>
      <w:color w:val="800080" w:themeColor="followedHyperlink"/>
      <w:u w:val="single"/>
    </w:rPr>
  </w:style>
  <w:style w:type="paragraph" w:styleId="PlainText">
    <w:name w:val="Plain Text"/>
    <w:basedOn w:val="Normal"/>
    <w:link w:val="TextosemFormataoChar"/>
    <w:rsid w:val="008B748B"/>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TextosemFormataoChar">
    <w:name w:val="Texto sem Formatação Char"/>
    <w:basedOn w:val="DefaultParagraphFont"/>
    <w:link w:val="PlainText"/>
    <w:rsid w:val="008B748B"/>
    <w:rPr>
      <w:rFonts w:ascii="宋体" w:eastAsia="宋体" w:hAnsi="Courier New" w:cs="Courier New"/>
      <w:kern w:val="2"/>
      <w:sz w:val="21"/>
      <w:szCs w:val="21"/>
      <w:lang w:val="en-US" w:eastAsia="zh-CN"/>
    </w:rPr>
  </w:style>
  <w:style w:type="character" w:customStyle="1" w:styleId="Char1">
    <w:name w:val="批注文字 Char1"/>
    <w:basedOn w:val="DefaultParagraphFont"/>
    <w:uiPriority w:val="99"/>
    <w:semiHidden/>
    <w:rsid w:val="007366E9"/>
  </w:style>
  <w:style w:type="character" w:customStyle="1" w:styleId="Char10">
    <w:name w:val="批注主题 Char1"/>
    <w:basedOn w:val="Char1"/>
    <w:uiPriority w:val="99"/>
    <w:semiHidden/>
    <w:rsid w:val="007366E9"/>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Ttulo1Char"/>
    <w:qFormat/>
    <w:rsid w:val="00C66D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Ttulo2Char"/>
    <w:uiPriority w:val="9"/>
    <w:qFormat/>
    <w:rsid w:val="00E84FF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Heading3">
    <w:name w:val="heading 3"/>
    <w:basedOn w:val="Normal"/>
    <w:next w:val="Normal"/>
    <w:link w:val="Ttulo3Char"/>
    <w:uiPriority w:val="9"/>
    <w:semiHidden/>
    <w:unhideWhenUsed/>
    <w:qFormat/>
    <w:rsid w:val="00C66D3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Ttulo4Char"/>
    <w:uiPriority w:val="9"/>
    <w:unhideWhenUsed/>
    <w:qFormat/>
    <w:rsid w:val="0013377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Ttulo6Char"/>
    <w:uiPriority w:val="9"/>
    <w:semiHidden/>
    <w:unhideWhenUsed/>
    <w:qFormat/>
    <w:rsid w:val="002B34C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tulo1Char">
    <w:name w:val="Título 1 Char"/>
    <w:basedOn w:val="DefaultParagraphFont"/>
    <w:link w:val="Heading1"/>
    <w:rsid w:val="00C66D3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DefaultParagraphFont"/>
    <w:link w:val="Heading2"/>
    <w:uiPriority w:val="9"/>
    <w:rsid w:val="00E84FF2"/>
    <w:rPr>
      <w:rFonts w:ascii="Times New Roman" w:eastAsia="Times New Roman" w:hAnsi="Times New Roman" w:cs="Times New Roman"/>
      <w:b/>
      <w:bCs/>
      <w:sz w:val="36"/>
      <w:szCs w:val="36"/>
      <w:lang w:eastAsia="pt-BR"/>
    </w:rPr>
  </w:style>
  <w:style w:type="character" w:customStyle="1" w:styleId="Ttulo3Char">
    <w:name w:val="Título 3 Char"/>
    <w:basedOn w:val="DefaultParagraphFont"/>
    <w:link w:val="Heading3"/>
    <w:uiPriority w:val="9"/>
    <w:semiHidden/>
    <w:rsid w:val="00C66D3E"/>
    <w:rPr>
      <w:rFonts w:asciiTheme="majorHAnsi" w:eastAsiaTheme="majorEastAsia" w:hAnsiTheme="majorHAnsi" w:cstheme="majorBidi"/>
      <w:b/>
      <w:bCs/>
      <w:color w:val="4F81BD" w:themeColor="accent1"/>
    </w:rPr>
  </w:style>
  <w:style w:type="character" w:customStyle="1" w:styleId="Ttulo4Char">
    <w:name w:val="Título 4 Char"/>
    <w:basedOn w:val="DefaultParagraphFont"/>
    <w:link w:val="Heading4"/>
    <w:uiPriority w:val="9"/>
    <w:rsid w:val="00133771"/>
    <w:rPr>
      <w:rFonts w:asciiTheme="majorHAnsi" w:eastAsiaTheme="majorEastAsia" w:hAnsiTheme="majorHAnsi" w:cstheme="majorBidi"/>
      <w:b/>
      <w:bCs/>
      <w:i/>
      <w:iCs/>
      <w:color w:val="4F81BD" w:themeColor="accent1"/>
    </w:rPr>
  </w:style>
  <w:style w:type="character" w:customStyle="1" w:styleId="Ttulo6Char">
    <w:name w:val="Título 6 Char"/>
    <w:basedOn w:val="DefaultParagraphFont"/>
    <w:link w:val="Heading6"/>
    <w:uiPriority w:val="9"/>
    <w:semiHidden/>
    <w:rsid w:val="002B34C0"/>
    <w:rPr>
      <w:rFonts w:asciiTheme="majorHAnsi" w:eastAsiaTheme="majorEastAsia" w:hAnsiTheme="majorHAnsi" w:cstheme="majorBidi"/>
      <w:i/>
      <w:iCs/>
      <w:color w:val="243F60" w:themeColor="accent1" w:themeShade="7F"/>
    </w:rPr>
  </w:style>
  <w:style w:type="paragraph" w:styleId="Header">
    <w:name w:val="header"/>
    <w:basedOn w:val="Normal"/>
    <w:link w:val="CabealhoChar"/>
    <w:uiPriority w:val="99"/>
    <w:unhideWhenUsed/>
    <w:rsid w:val="00CB0D1B"/>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CB0D1B"/>
  </w:style>
  <w:style w:type="paragraph" w:styleId="Footer">
    <w:name w:val="footer"/>
    <w:basedOn w:val="Normal"/>
    <w:link w:val="RodapChar"/>
    <w:uiPriority w:val="99"/>
    <w:unhideWhenUsed/>
    <w:rsid w:val="00CB0D1B"/>
    <w:pPr>
      <w:tabs>
        <w:tab w:val="center" w:pos="4252"/>
        <w:tab w:val="right" w:pos="8504"/>
      </w:tabs>
      <w:spacing w:after="0" w:line="240" w:lineRule="auto"/>
    </w:pPr>
  </w:style>
  <w:style w:type="character" w:customStyle="1" w:styleId="RodapChar">
    <w:name w:val="Rodapé Char"/>
    <w:basedOn w:val="DefaultParagraphFont"/>
    <w:link w:val="Footer"/>
    <w:uiPriority w:val="99"/>
    <w:rsid w:val="00CB0D1B"/>
  </w:style>
  <w:style w:type="paragraph" w:styleId="BalloonText">
    <w:name w:val="Balloon Text"/>
    <w:basedOn w:val="Normal"/>
    <w:link w:val="TextodebaloChar"/>
    <w:uiPriority w:val="99"/>
    <w:semiHidden/>
    <w:unhideWhenUsed/>
    <w:rsid w:val="00A44471"/>
    <w:pPr>
      <w:spacing w:after="0" w:line="240" w:lineRule="auto"/>
    </w:pPr>
    <w:rPr>
      <w:rFonts w:ascii="Tahoma" w:hAnsi="Tahoma" w:cs="Tahoma"/>
      <w:sz w:val="16"/>
      <w:szCs w:val="16"/>
      <w:lang w:val="en-US"/>
    </w:rPr>
  </w:style>
  <w:style w:type="character" w:customStyle="1" w:styleId="TextodebaloChar">
    <w:name w:val="Texto de balão Char"/>
    <w:basedOn w:val="DefaultParagraphFont"/>
    <w:link w:val="BalloonText"/>
    <w:uiPriority w:val="99"/>
    <w:semiHidden/>
    <w:rsid w:val="00A44471"/>
    <w:rPr>
      <w:rFonts w:ascii="Tahoma" w:hAnsi="Tahoma" w:cs="Tahoma"/>
      <w:sz w:val="16"/>
      <w:szCs w:val="16"/>
      <w:lang w:val="en-US"/>
    </w:rPr>
  </w:style>
  <w:style w:type="character" w:styleId="Hyperlink">
    <w:name w:val="Hyperlink"/>
    <w:basedOn w:val="DefaultParagraphFont"/>
    <w:uiPriority w:val="99"/>
    <w:unhideWhenUsed/>
    <w:rsid w:val="00320316"/>
    <w:rPr>
      <w:color w:val="0000FF"/>
      <w:u w:val="single"/>
    </w:rPr>
  </w:style>
  <w:style w:type="character" w:customStyle="1" w:styleId="apple-converted-space">
    <w:name w:val="apple-converted-space"/>
    <w:basedOn w:val="DefaultParagraphFont"/>
    <w:rsid w:val="00320316"/>
  </w:style>
  <w:style w:type="paragraph" w:styleId="NormalWeb">
    <w:name w:val="Normal (Web)"/>
    <w:basedOn w:val="Normal"/>
    <w:uiPriority w:val="99"/>
    <w:unhideWhenUsed/>
    <w:rsid w:val="00320316"/>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leGrid">
    <w:name w:val="Table Grid"/>
    <w:basedOn w:val="TableNormal"/>
    <w:uiPriority w:val="59"/>
    <w:rsid w:val="009D3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
    <w:name w:val="Medium Shading 1"/>
    <w:basedOn w:val="TableNormal"/>
    <w:uiPriority w:val="63"/>
    <w:rsid w:val="00960E5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E84FF2"/>
    <w:pPr>
      <w:ind w:left="720"/>
      <w:contextualSpacing/>
    </w:pPr>
  </w:style>
  <w:style w:type="character" w:customStyle="1" w:styleId="hps">
    <w:name w:val="hps"/>
    <w:basedOn w:val="DefaultParagraphFont"/>
    <w:rsid w:val="001816A7"/>
  </w:style>
  <w:style w:type="character" w:customStyle="1" w:styleId="atn">
    <w:name w:val="atn"/>
    <w:basedOn w:val="DefaultParagraphFont"/>
    <w:rsid w:val="001816A7"/>
  </w:style>
  <w:style w:type="character" w:customStyle="1" w:styleId="hpsatn">
    <w:name w:val="hps atn"/>
    <w:basedOn w:val="DefaultParagraphFont"/>
    <w:rsid w:val="001816A7"/>
  </w:style>
  <w:style w:type="character" w:customStyle="1" w:styleId="hpsalt-edited">
    <w:name w:val="hps alt-edited"/>
    <w:basedOn w:val="DefaultParagraphFont"/>
    <w:rsid w:val="00746A36"/>
  </w:style>
  <w:style w:type="character" w:customStyle="1" w:styleId="element-citation">
    <w:name w:val="element-citation"/>
    <w:basedOn w:val="DefaultParagraphFont"/>
    <w:rsid w:val="00C82D54"/>
  </w:style>
  <w:style w:type="character" w:customStyle="1" w:styleId="highlight">
    <w:name w:val="highlight"/>
    <w:basedOn w:val="DefaultParagraphFont"/>
    <w:rsid w:val="00C66D3E"/>
  </w:style>
  <w:style w:type="character" w:customStyle="1" w:styleId="ui-ncbitoggler-master-text">
    <w:name w:val="ui-ncbitoggler-master-text"/>
    <w:basedOn w:val="DefaultParagraphFont"/>
    <w:rsid w:val="00C66D3E"/>
  </w:style>
  <w:style w:type="paragraph" w:customStyle="1" w:styleId="p">
    <w:name w:val="p"/>
    <w:basedOn w:val="Normal"/>
    <w:uiPriority w:val="99"/>
    <w:rsid w:val="00AE05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Emphasis">
    <w:name w:val="Emphasis"/>
    <w:basedOn w:val="DefaultParagraphFont"/>
    <w:uiPriority w:val="20"/>
    <w:qFormat/>
    <w:rsid w:val="00A94E09"/>
    <w:rPr>
      <w:i/>
      <w:iCs/>
    </w:rPr>
  </w:style>
  <w:style w:type="character" w:customStyle="1" w:styleId="mw-headline">
    <w:name w:val="mw-headline"/>
    <w:basedOn w:val="DefaultParagraphFont"/>
    <w:rsid w:val="009E47D7"/>
  </w:style>
  <w:style w:type="character" w:customStyle="1" w:styleId="mw-editsection">
    <w:name w:val="mw-editsection"/>
    <w:basedOn w:val="DefaultParagraphFont"/>
    <w:rsid w:val="009E47D7"/>
  </w:style>
  <w:style w:type="character" w:customStyle="1" w:styleId="mw-editsection-bracket">
    <w:name w:val="mw-editsection-bracket"/>
    <w:basedOn w:val="DefaultParagraphFont"/>
    <w:rsid w:val="009E47D7"/>
  </w:style>
  <w:style w:type="character" w:customStyle="1" w:styleId="mw-cite-backlink">
    <w:name w:val="mw-cite-backlink"/>
    <w:basedOn w:val="DefaultParagraphFont"/>
    <w:rsid w:val="00C700E4"/>
  </w:style>
  <w:style w:type="character" w:customStyle="1" w:styleId="cite-accessibility-label">
    <w:name w:val="cite-accessibility-label"/>
    <w:basedOn w:val="DefaultParagraphFont"/>
    <w:rsid w:val="00C700E4"/>
  </w:style>
  <w:style w:type="character" w:customStyle="1" w:styleId="citation">
    <w:name w:val="citation"/>
    <w:basedOn w:val="DefaultParagraphFont"/>
    <w:rsid w:val="00C700E4"/>
  </w:style>
  <w:style w:type="character" w:customStyle="1" w:styleId="reference-accessdate">
    <w:name w:val="reference-accessdate"/>
    <w:basedOn w:val="DefaultParagraphFont"/>
    <w:rsid w:val="00C700E4"/>
  </w:style>
  <w:style w:type="character" w:customStyle="1" w:styleId="TextodecomentrioChar">
    <w:name w:val="Texto de comentário Char"/>
    <w:basedOn w:val="DefaultParagraphFont"/>
    <w:link w:val="CommentText"/>
    <w:uiPriority w:val="99"/>
    <w:rsid w:val="004D6D57"/>
    <w:rPr>
      <w:sz w:val="20"/>
      <w:szCs w:val="20"/>
    </w:rPr>
  </w:style>
  <w:style w:type="paragraph" w:styleId="CommentText">
    <w:name w:val="annotation text"/>
    <w:basedOn w:val="Normal"/>
    <w:link w:val="TextodecomentrioChar"/>
    <w:uiPriority w:val="99"/>
    <w:unhideWhenUsed/>
    <w:rsid w:val="004D6D57"/>
    <w:pPr>
      <w:spacing w:line="240" w:lineRule="auto"/>
    </w:pPr>
    <w:rPr>
      <w:sz w:val="20"/>
      <w:szCs w:val="20"/>
    </w:rPr>
  </w:style>
  <w:style w:type="character" w:customStyle="1" w:styleId="AssuntodocomentrioChar">
    <w:name w:val="Assunto do comentário Char"/>
    <w:basedOn w:val="TextodecomentrioChar"/>
    <w:link w:val="CommentSubject"/>
    <w:uiPriority w:val="99"/>
    <w:semiHidden/>
    <w:rsid w:val="004D6D57"/>
    <w:rPr>
      <w:b/>
      <w:bCs/>
      <w:sz w:val="20"/>
      <w:szCs w:val="20"/>
    </w:rPr>
  </w:style>
  <w:style w:type="paragraph" w:styleId="CommentSubject">
    <w:name w:val="annotation subject"/>
    <w:basedOn w:val="CommentText"/>
    <w:next w:val="CommentText"/>
    <w:link w:val="AssuntodocomentrioChar"/>
    <w:uiPriority w:val="99"/>
    <w:semiHidden/>
    <w:unhideWhenUsed/>
    <w:rsid w:val="004D6D57"/>
    <w:rPr>
      <w:b/>
      <w:bCs/>
    </w:rPr>
  </w:style>
  <w:style w:type="paragraph" w:styleId="Revision">
    <w:name w:val="Revision"/>
    <w:hidden/>
    <w:uiPriority w:val="99"/>
    <w:semiHidden/>
    <w:rsid w:val="004D6D57"/>
    <w:pPr>
      <w:spacing w:after="0" w:line="240" w:lineRule="auto"/>
    </w:pPr>
  </w:style>
  <w:style w:type="character" w:customStyle="1" w:styleId="ref-journal">
    <w:name w:val="ref-journal"/>
    <w:basedOn w:val="DefaultParagraphFont"/>
    <w:rsid w:val="004D6D57"/>
  </w:style>
  <w:style w:type="character" w:customStyle="1" w:styleId="ref-vol">
    <w:name w:val="ref-vol"/>
    <w:basedOn w:val="DefaultParagraphFont"/>
    <w:rsid w:val="004D6D57"/>
  </w:style>
  <w:style w:type="paragraph" w:customStyle="1" w:styleId="desc">
    <w:name w:val="desc"/>
    <w:basedOn w:val="Normal"/>
    <w:rsid w:val="004D6D5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it">
    <w:name w:val="cit"/>
    <w:basedOn w:val="DefaultParagraphFont"/>
    <w:rsid w:val="004D6D57"/>
  </w:style>
  <w:style w:type="paragraph" w:customStyle="1" w:styleId="Ttulo3">
    <w:name w:val="Título3"/>
    <w:basedOn w:val="Normal"/>
    <w:uiPriority w:val="99"/>
    <w:rsid w:val="004D6D5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tulo4">
    <w:name w:val="Título4"/>
    <w:basedOn w:val="Normal"/>
    <w:uiPriority w:val="99"/>
    <w:rsid w:val="004D6D5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ixed-citation">
    <w:name w:val="mixed-citation"/>
    <w:basedOn w:val="DefaultParagraphFont"/>
    <w:rsid w:val="004D6D57"/>
  </w:style>
  <w:style w:type="character" w:customStyle="1" w:styleId="ref-title">
    <w:name w:val="ref-title"/>
    <w:basedOn w:val="DefaultParagraphFont"/>
    <w:rsid w:val="004D6D57"/>
  </w:style>
  <w:style w:type="paragraph" w:customStyle="1" w:styleId="Ttulo1">
    <w:name w:val="Título1"/>
    <w:basedOn w:val="Normal"/>
    <w:uiPriority w:val="99"/>
    <w:rsid w:val="004D6D5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tails">
    <w:name w:val="details"/>
    <w:basedOn w:val="Normal"/>
    <w:rsid w:val="004D6D5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tulo2">
    <w:name w:val="Título2"/>
    <w:basedOn w:val="Normal"/>
    <w:uiPriority w:val="99"/>
    <w:rsid w:val="004D6D5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style-span">
    <w:name w:val="apple-style-span"/>
    <w:basedOn w:val="DefaultParagraphFont"/>
    <w:rsid w:val="004D6D57"/>
  </w:style>
  <w:style w:type="character" w:customStyle="1" w:styleId="artjournal">
    <w:name w:val="art_journal"/>
    <w:basedOn w:val="DefaultParagraphFont"/>
    <w:rsid w:val="004D6D57"/>
  </w:style>
  <w:style w:type="character" w:customStyle="1" w:styleId="artdatevolumeissuepart">
    <w:name w:val="art_datevolumeissuepart"/>
    <w:basedOn w:val="DefaultParagraphFont"/>
    <w:rsid w:val="004D6D57"/>
  </w:style>
  <w:style w:type="character" w:customStyle="1" w:styleId="artpages">
    <w:name w:val="art_pages"/>
    <w:basedOn w:val="DefaultParagraphFont"/>
    <w:rsid w:val="004D6D57"/>
  </w:style>
  <w:style w:type="character" w:customStyle="1" w:styleId="jrnl">
    <w:name w:val="jrnl"/>
    <w:basedOn w:val="DefaultParagraphFont"/>
    <w:rsid w:val="004D6D57"/>
  </w:style>
  <w:style w:type="character" w:customStyle="1" w:styleId="atl">
    <w:name w:val="atl"/>
    <w:basedOn w:val="DefaultParagraphFont"/>
    <w:rsid w:val="004D6D57"/>
  </w:style>
  <w:style w:type="character" w:customStyle="1" w:styleId="jtl">
    <w:name w:val="jtl"/>
    <w:basedOn w:val="DefaultParagraphFont"/>
    <w:rsid w:val="004D6D57"/>
  </w:style>
  <w:style w:type="character" w:customStyle="1" w:styleId="vid">
    <w:name w:val="vid"/>
    <w:basedOn w:val="DefaultParagraphFont"/>
    <w:rsid w:val="004D6D57"/>
  </w:style>
  <w:style w:type="character" w:customStyle="1" w:styleId="cite-month-year">
    <w:name w:val="cite-month-year"/>
    <w:basedOn w:val="DefaultParagraphFont"/>
    <w:rsid w:val="004D6D57"/>
  </w:style>
  <w:style w:type="character" w:customStyle="1" w:styleId="fm-citation-ids-label">
    <w:name w:val="fm-citation-ids-label"/>
    <w:basedOn w:val="DefaultParagraphFont"/>
    <w:rsid w:val="004D6D57"/>
  </w:style>
  <w:style w:type="character" w:customStyle="1" w:styleId="cit-name-surname">
    <w:name w:val="cit-name-surname"/>
    <w:basedOn w:val="DefaultParagraphFont"/>
    <w:rsid w:val="004D6D57"/>
  </w:style>
  <w:style w:type="character" w:customStyle="1" w:styleId="cit-name-given-names">
    <w:name w:val="cit-name-given-names"/>
    <w:basedOn w:val="DefaultParagraphFont"/>
    <w:rsid w:val="004D6D57"/>
  </w:style>
  <w:style w:type="character" w:customStyle="1" w:styleId="cit-etal">
    <w:name w:val="cit-etal"/>
    <w:basedOn w:val="DefaultParagraphFont"/>
    <w:rsid w:val="004D6D57"/>
  </w:style>
  <w:style w:type="character" w:customStyle="1" w:styleId="cit-article-title">
    <w:name w:val="cit-article-title"/>
    <w:basedOn w:val="DefaultParagraphFont"/>
    <w:rsid w:val="004D6D57"/>
  </w:style>
  <w:style w:type="character" w:customStyle="1" w:styleId="cit-pub-date">
    <w:name w:val="cit-pub-date"/>
    <w:basedOn w:val="DefaultParagraphFont"/>
    <w:rsid w:val="004D6D57"/>
  </w:style>
  <w:style w:type="character" w:customStyle="1" w:styleId="cit-vol">
    <w:name w:val="cit-vol"/>
    <w:basedOn w:val="DefaultParagraphFont"/>
    <w:rsid w:val="004D6D57"/>
  </w:style>
  <w:style w:type="character" w:customStyle="1" w:styleId="cit-fpage">
    <w:name w:val="cit-fpage"/>
    <w:basedOn w:val="DefaultParagraphFont"/>
    <w:rsid w:val="004D6D57"/>
  </w:style>
  <w:style w:type="character" w:customStyle="1" w:styleId="cit-lpage">
    <w:name w:val="cit-lpage"/>
    <w:basedOn w:val="DefaultParagraphFont"/>
    <w:rsid w:val="004D6D57"/>
  </w:style>
  <w:style w:type="character" w:customStyle="1" w:styleId="cit-conf-name">
    <w:name w:val="cit-conf-name"/>
    <w:basedOn w:val="DefaultParagraphFont"/>
    <w:rsid w:val="004D6D57"/>
  </w:style>
  <w:style w:type="character" w:customStyle="1" w:styleId="cit-conf-loc">
    <w:name w:val="cit-conf-loc"/>
    <w:basedOn w:val="DefaultParagraphFont"/>
    <w:rsid w:val="004D6D57"/>
  </w:style>
  <w:style w:type="character" w:customStyle="1" w:styleId="cit-publ-loc">
    <w:name w:val="cit-publ-loc"/>
    <w:basedOn w:val="DefaultParagraphFont"/>
    <w:rsid w:val="004D6D57"/>
  </w:style>
  <w:style w:type="character" w:customStyle="1" w:styleId="cit-publ-name">
    <w:name w:val="cit-publ-name"/>
    <w:basedOn w:val="DefaultParagraphFont"/>
    <w:rsid w:val="004D6D57"/>
  </w:style>
  <w:style w:type="character" w:customStyle="1" w:styleId="cit-comment">
    <w:name w:val="cit-comment"/>
    <w:basedOn w:val="DefaultParagraphFont"/>
    <w:rsid w:val="004D6D57"/>
  </w:style>
  <w:style w:type="character" w:customStyle="1" w:styleId="nowrap">
    <w:name w:val="nowrap"/>
    <w:basedOn w:val="DefaultParagraphFont"/>
    <w:rsid w:val="004D6D57"/>
  </w:style>
  <w:style w:type="character" w:customStyle="1" w:styleId="doi">
    <w:name w:val="doi"/>
    <w:basedOn w:val="DefaultParagraphFont"/>
    <w:rsid w:val="004D6D57"/>
  </w:style>
  <w:style w:type="character" w:customStyle="1" w:styleId="cit-issue">
    <w:name w:val="cit-issue"/>
    <w:basedOn w:val="DefaultParagraphFont"/>
    <w:rsid w:val="004D6D57"/>
  </w:style>
  <w:style w:type="character" w:customStyle="1" w:styleId="source">
    <w:name w:val="source"/>
    <w:basedOn w:val="DefaultParagraphFont"/>
    <w:rsid w:val="004D6D57"/>
  </w:style>
  <w:style w:type="character" w:customStyle="1" w:styleId="volume">
    <w:name w:val="volume"/>
    <w:basedOn w:val="DefaultParagraphFont"/>
    <w:rsid w:val="004D6D57"/>
  </w:style>
  <w:style w:type="character" w:customStyle="1" w:styleId="surname">
    <w:name w:val="surname"/>
    <w:basedOn w:val="DefaultParagraphFont"/>
    <w:rsid w:val="004D6D57"/>
  </w:style>
  <w:style w:type="character" w:customStyle="1" w:styleId="firstname">
    <w:name w:val="firstname"/>
    <w:basedOn w:val="DefaultParagraphFont"/>
    <w:rsid w:val="004D6D57"/>
  </w:style>
  <w:style w:type="character" w:customStyle="1" w:styleId="etal">
    <w:name w:val="etal"/>
    <w:basedOn w:val="DefaultParagraphFont"/>
    <w:rsid w:val="004D6D57"/>
  </w:style>
  <w:style w:type="character" w:customStyle="1" w:styleId="ref2">
    <w:name w:val="ref2"/>
    <w:rsid w:val="00832407"/>
    <w:rPr>
      <w:vanish w:val="0"/>
      <w:webHidden w:val="0"/>
      <w:specVanish w:val="0"/>
    </w:rPr>
  </w:style>
  <w:style w:type="character" w:customStyle="1" w:styleId="ref-cit">
    <w:name w:val="ref-cit"/>
    <w:basedOn w:val="DefaultParagraphFont"/>
    <w:rsid w:val="001E3607"/>
  </w:style>
  <w:style w:type="character" w:customStyle="1" w:styleId="ref-journal1">
    <w:name w:val="ref-journal1"/>
    <w:rsid w:val="001E3607"/>
    <w:rPr>
      <w:i/>
      <w:iCs/>
    </w:rPr>
  </w:style>
  <w:style w:type="paragraph" w:customStyle="1" w:styleId="Ttulo5">
    <w:name w:val="Título5"/>
    <w:basedOn w:val="Normal"/>
    <w:rsid w:val="001E360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CommentReference">
    <w:name w:val="annotation reference"/>
    <w:basedOn w:val="DefaultParagraphFont"/>
    <w:uiPriority w:val="99"/>
    <w:semiHidden/>
    <w:unhideWhenUsed/>
    <w:rsid w:val="00D81F76"/>
    <w:rPr>
      <w:sz w:val="18"/>
      <w:szCs w:val="18"/>
    </w:rPr>
  </w:style>
  <w:style w:type="character" w:styleId="FollowedHyperlink">
    <w:name w:val="FollowedHyperlink"/>
    <w:basedOn w:val="DefaultParagraphFont"/>
    <w:uiPriority w:val="99"/>
    <w:semiHidden/>
    <w:unhideWhenUsed/>
    <w:rsid w:val="0031520E"/>
    <w:rPr>
      <w:color w:val="800080" w:themeColor="followedHyperlink"/>
      <w:u w:val="single"/>
    </w:rPr>
  </w:style>
  <w:style w:type="paragraph" w:styleId="PlainText">
    <w:name w:val="Plain Text"/>
    <w:basedOn w:val="Normal"/>
    <w:link w:val="TextosemFormataoChar"/>
    <w:rsid w:val="008B748B"/>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TextosemFormataoChar">
    <w:name w:val="Texto sem Formatação Char"/>
    <w:basedOn w:val="DefaultParagraphFont"/>
    <w:link w:val="PlainText"/>
    <w:rsid w:val="008B748B"/>
    <w:rPr>
      <w:rFonts w:ascii="宋体" w:eastAsia="宋体" w:hAnsi="Courier New" w:cs="Courier New"/>
      <w:kern w:val="2"/>
      <w:sz w:val="21"/>
      <w:szCs w:val="21"/>
      <w:lang w:val="en-US" w:eastAsia="zh-CN"/>
    </w:rPr>
  </w:style>
  <w:style w:type="character" w:customStyle="1" w:styleId="Char1">
    <w:name w:val="批注文字 Char1"/>
    <w:basedOn w:val="DefaultParagraphFont"/>
    <w:uiPriority w:val="99"/>
    <w:semiHidden/>
    <w:rsid w:val="007366E9"/>
  </w:style>
  <w:style w:type="character" w:customStyle="1" w:styleId="Char10">
    <w:name w:val="批注主题 Char1"/>
    <w:basedOn w:val="Char1"/>
    <w:uiPriority w:val="99"/>
    <w:semiHidden/>
    <w:rsid w:val="007366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4253">
      <w:bodyDiv w:val="1"/>
      <w:marLeft w:val="0"/>
      <w:marRight w:val="0"/>
      <w:marTop w:val="0"/>
      <w:marBottom w:val="0"/>
      <w:divBdr>
        <w:top w:val="none" w:sz="0" w:space="0" w:color="auto"/>
        <w:left w:val="none" w:sz="0" w:space="0" w:color="auto"/>
        <w:bottom w:val="none" w:sz="0" w:space="0" w:color="auto"/>
        <w:right w:val="none" w:sz="0" w:space="0" w:color="auto"/>
      </w:divBdr>
    </w:div>
    <w:div w:id="62216952">
      <w:bodyDiv w:val="1"/>
      <w:marLeft w:val="0"/>
      <w:marRight w:val="0"/>
      <w:marTop w:val="0"/>
      <w:marBottom w:val="0"/>
      <w:divBdr>
        <w:top w:val="none" w:sz="0" w:space="0" w:color="auto"/>
        <w:left w:val="none" w:sz="0" w:space="0" w:color="auto"/>
        <w:bottom w:val="none" w:sz="0" w:space="0" w:color="auto"/>
        <w:right w:val="none" w:sz="0" w:space="0" w:color="auto"/>
      </w:divBdr>
    </w:div>
    <w:div w:id="95752436">
      <w:bodyDiv w:val="1"/>
      <w:marLeft w:val="0"/>
      <w:marRight w:val="0"/>
      <w:marTop w:val="0"/>
      <w:marBottom w:val="0"/>
      <w:divBdr>
        <w:top w:val="none" w:sz="0" w:space="0" w:color="auto"/>
        <w:left w:val="none" w:sz="0" w:space="0" w:color="auto"/>
        <w:bottom w:val="none" w:sz="0" w:space="0" w:color="auto"/>
        <w:right w:val="none" w:sz="0" w:space="0" w:color="auto"/>
      </w:divBdr>
    </w:div>
    <w:div w:id="106505505">
      <w:bodyDiv w:val="1"/>
      <w:marLeft w:val="0"/>
      <w:marRight w:val="0"/>
      <w:marTop w:val="0"/>
      <w:marBottom w:val="0"/>
      <w:divBdr>
        <w:top w:val="none" w:sz="0" w:space="0" w:color="auto"/>
        <w:left w:val="none" w:sz="0" w:space="0" w:color="auto"/>
        <w:bottom w:val="none" w:sz="0" w:space="0" w:color="auto"/>
        <w:right w:val="none" w:sz="0" w:space="0" w:color="auto"/>
      </w:divBdr>
    </w:div>
    <w:div w:id="118574770">
      <w:bodyDiv w:val="1"/>
      <w:marLeft w:val="0"/>
      <w:marRight w:val="0"/>
      <w:marTop w:val="0"/>
      <w:marBottom w:val="0"/>
      <w:divBdr>
        <w:top w:val="none" w:sz="0" w:space="0" w:color="auto"/>
        <w:left w:val="none" w:sz="0" w:space="0" w:color="auto"/>
        <w:bottom w:val="none" w:sz="0" w:space="0" w:color="auto"/>
        <w:right w:val="none" w:sz="0" w:space="0" w:color="auto"/>
      </w:divBdr>
    </w:div>
    <w:div w:id="144200890">
      <w:bodyDiv w:val="1"/>
      <w:marLeft w:val="0"/>
      <w:marRight w:val="0"/>
      <w:marTop w:val="0"/>
      <w:marBottom w:val="0"/>
      <w:divBdr>
        <w:top w:val="none" w:sz="0" w:space="0" w:color="auto"/>
        <w:left w:val="none" w:sz="0" w:space="0" w:color="auto"/>
        <w:bottom w:val="none" w:sz="0" w:space="0" w:color="auto"/>
        <w:right w:val="none" w:sz="0" w:space="0" w:color="auto"/>
      </w:divBdr>
    </w:div>
    <w:div w:id="156961121">
      <w:bodyDiv w:val="1"/>
      <w:marLeft w:val="0"/>
      <w:marRight w:val="0"/>
      <w:marTop w:val="0"/>
      <w:marBottom w:val="0"/>
      <w:divBdr>
        <w:top w:val="none" w:sz="0" w:space="0" w:color="auto"/>
        <w:left w:val="none" w:sz="0" w:space="0" w:color="auto"/>
        <w:bottom w:val="none" w:sz="0" w:space="0" w:color="auto"/>
        <w:right w:val="none" w:sz="0" w:space="0" w:color="auto"/>
      </w:divBdr>
      <w:divsChild>
        <w:div w:id="1877809858">
          <w:marLeft w:val="0"/>
          <w:marRight w:val="0"/>
          <w:marTop w:val="0"/>
          <w:marBottom w:val="120"/>
          <w:divBdr>
            <w:top w:val="none" w:sz="0" w:space="0" w:color="auto"/>
            <w:left w:val="none" w:sz="0" w:space="0" w:color="auto"/>
            <w:bottom w:val="none" w:sz="0" w:space="0" w:color="auto"/>
            <w:right w:val="none" w:sz="0" w:space="0" w:color="auto"/>
          </w:divBdr>
        </w:div>
      </w:divsChild>
    </w:div>
    <w:div w:id="160513806">
      <w:bodyDiv w:val="1"/>
      <w:marLeft w:val="0"/>
      <w:marRight w:val="0"/>
      <w:marTop w:val="0"/>
      <w:marBottom w:val="0"/>
      <w:divBdr>
        <w:top w:val="none" w:sz="0" w:space="0" w:color="auto"/>
        <w:left w:val="none" w:sz="0" w:space="0" w:color="auto"/>
        <w:bottom w:val="none" w:sz="0" w:space="0" w:color="auto"/>
        <w:right w:val="none" w:sz="0" w:space="0" w:color="auto"/>
      </w:divBdr>
    </w:div>
    <w:div w:id="182868241">
      <w:bodyDiv w:val="1"/>
      <w:marLeft w:val="0"/>
      <w:marRight w:val="0"/>
      <w:marTop w:val="0"/>
      <w:marBottom w:val="0"/>
      <w:divBdr>
        <w:top w:val="none" w:sz="0" w:space="0" w:color="auto"/>
        <w:left w:val="none" w:sz="0" w:space="0" w:color="auto"/>
        <w:bottom w:val="none" w:sz="0" w:space="0" w:color="auto"/>
        <w:right w:val="none" w:sz="0" w:space="0" w:color="auto"/>
      </w:divBdr>
    </w:div>
    <w:div w:id="192501798">
      <w:bodyDiv w:val="1"/>
      <w:marLeft w:val="0"/>
      <w:marRight w:val="0"/>
      <w:marTop w:val="0"/>
      <w:marBottom w:val="0"/>
      <w:divBdr>
        <w:top w:val="none" w:sz="0" w:space="0" w:color="auto"/>
        <w:left w:val="none" w:sz="0" w:space="0" w:color="auto"/>
        <w:bottom w:val="none" w:sz="0" w:space="0" w:color="auto"/>
        <w:right w:val="none" w:sz="0" w:space="0" w:color="auto"/>
      </w:divBdr>
    </w:div>
    <w:div w:id="205220239">
      <w:bodyDiv w:val="1"/>
      <w:marLeft w:val="0"/>
      <w:marRight w:val="0"/>
      <w:marTop w:val="0"/>
      <w:marBottom w:val="0"/>
      <w:divBdr>
        <w:top w:val="none" w:sz="0" w:space="0" w:color="auto"/>
        <w:left w:val="none" w:sz="0" w:space="0" w:color="auto"/>
        <w:bottom w:val="none" w:sz="0" w:space="0" w:color="auto"/>
        <w:right w:val="none" w:sz="0" w:space="0" w:color="auto"/>
      </w:divBdr>
    </w:div>
    <w:div w:id="231551293">
      <w:bodyDiv w:val="1"/>
      <w:marLeft w:val="0"/>
      <w:marRight w:val="0"/>
      <w:marTop w:val="0"/>
      <w:marBottom w:val="0"/>
      <w:divBdr>
        <w:top w:val="none" w:sz="0" w:space="0" w:color="auto"/>
        <w:left w:val="none" w:sz="0" w:space="0" w:color="auto"/>
        <w:bottom w:val="none" w:sz="0" w:space="0" w:color="auto"/>
        <w:right w:val="none" w:sz="0" w:space="0" w:color="auto"/>
      </w:divBdr>
    </w:div>
    <w:div w:id="255332902">
      <w:bodyDiv w:val="1"/>
      <w:marLeft w:val="0"/>
      <w:marRight w:val="0"/>
      <w:marTop w:val="0"/>
      <w:marBottom w:val="0"/>
      <w:divBdr>
        <w:top w:val="none" w:sz="0" w:space="0" w:color="auto"/>
        <w:left w:val="none" w:sz="0" w:space="0" w:color="auto"/>
        <w:bottom w:val="none" w:sz="0" w:space="0" w:color="auto"/>
        <w:right w:val="none" w:sz="0" w:space="0" w:color="auto"/>
      </w:divBdr>
    </w:div>
    <w:div w:id="277182098">
      <w:bodyDiv w:val="1"/>
      <w:marLeft w:val="0"/>
      <w:marRight w:val="0"/>
      <w:marTop w:val="0"/>
      <w:marBottom w:val="0"/>
      <w:divBdr>
        <w:top w:val="none" w:sz="0" w:space="0" w:color="auto"/>
        <w:left w:val="none" w:sz="0" w:space="0" w:color="auto"/>
        <w:bottom w:val="none" w:sz="0" w:space="0" w:color="auto"/>
        <w:right w:val="none" w:sz="0" w:space="0" w:color="auto"/>
      </w:divBdr>
    </w:div>
    <w:div w:id="289242221">
      <w:bodyDiv w:val="1"/>
      <w:marLeft w:val="0"/>
      <w:marRight w:val="0"/>
      <w:marTop w:val="0"/>
      <w:marBottom w:val="0"/>
      <w:divBdr>
        <w:top w:val="none" w:sz="0" w:space="0" w:color="auto"/>
        <w:left w:val="none" w:sz="0" w:space="0" w:color="auto"/>
        <w:bottom w:val="none" w:sz="0" w:space="0" w:color="auto"/>
        <w:right w:val="none" w:sz="0" w:space="0" w:color="auto"/>
      </w:divBdr>
    </w:div>
    <w:div w:id="309869291">
      <w:bodyDiv w:val="1"/>
      <w:marLeft w:val="0"/>
      <w:marRight w:val="0"/>
      <w:marTop w:val="0"/>
      <w:marBottom w:val="0"/>
      <w:divBdr>
        <w:top w:val="none" w:sz="0" w:space="0" w:color="auto"/>
        <w:left w:val="none" w:sz="0" w:space="0" w:color="auto"/>
        <w:bottom w:val="none" w:sz="0" w:space="0" w:color="auto"/>
        <w:right w:val="none" w:sz="0" w:space="0" w:color="auto"/>
      </w:divBdr>
    </w:div>
    <w:div w:id="338242824">
      <w:bodyDiv w:val="1"/>
      <w:marLeft w:val="0"/>
      <w:marRight w:val="0"/>
      <w:marTop w:val="0"/>
      <w:marBottom w:val="0"/>
      <w:divBdr>
        <w:top w:val="none" w:sz="0" w:space="0" w:color="auto"/>
        <w:left w:val="none" w:sz="0" w:space="0" w:color="auto"/>
        <w:bottom w:val="none" w:sz="0" w:space="0" w:color="auto"/>
        <w:right w:val="none" w:sz="0" w:space="0" w:color="auto"/>
      </w:divBdr>
    </w:div>
    <w:div w:id="346829392">
      <w:bodyDiv w:val="1"/>
      <w:marLeft w:val="0"/>
      <w:marRight w:val="0"/>
      <w:marTop w:val="0"/>
      <w:marBottom w:val="0"/>
      <w:divBdr>
        <w:top w:val="none" w:sz="0" w:space="0" w:color="auto"/>
        <w:left w:val="none" w:sz="0" w:space="0" w:color="auto"/>
        <w:bottom w:val="none" w:sz="0" w:space="0" w:color="auto"/>
        <w:right w:val="none" w:sz="0" w:space="0" w:color="auto"/>
      </w:divBdr>
    </w:div>
    <w:div w:id="356809365">
      <w:bodyDiv w:val="1"/>
      <w:marLeft w:val="0"/>
      <w:marRight w:val="0"/>
      <w:marTop w:val="0"/>
      <w:marBottom w:val="0"/>
      <w:divBdr>
        <w:top w:val="none" w:sz="0" w:space="0" w:color="auto"/>
        <w:left w:val="none" w:sz="0" w:space="0" w:color="auto"/>
        <w:bottom w:val="none" w:sz="0" w:space="0" w:color="auto"/>
        <w:right w:val="none" w:sz="0" w:space="0" w:color="auto"/>
      </w:divBdr>
      <w:divsChild>
        <w:div w:id="1528323875">
          <w:marLeft w:val="0"/>
          <w:marRight w:val="0"/>
          <w:marTop w:val="0"/>
          <w:marBottom w:val="0"/>
          <w:divBdr>
            <w:top w:val="none" w:sz="0" w:space="0" w:color="auto"/>
            <w:left w:val="none" w:sz="0" w:space="0" w:color="auto"/>
            <w:bottom w:val="none" w:sz="0" w:space="0" w:color="auto"/>
            <w:right w:val="none" w:sz="0" w:space="0" w:color="auto"/>
          </w:divBdr>
        </w:div>
        <w:div w:id="1434781582">
          <w:marLeft w:val="0"/>
          <w:marRight w:val="0"/>
          <w:marTop w:val="0"/>
          <w:marBottom w:val="0"/>
          <w:divBdr>
            <w:top w:val="none" w:sz="0" w:space="0" w:color="auto"/>
            <w:left w:val="none" w:sz="0" w:space="0" w:color="auto"/>
            <w:bottom w:val="none" w:sz="0" w:space="0" w:color="auto"/>
            <w:right w:val="none" w:sz="0" w:space="0" w:color="auto"/>
          </w:divBdr>
        </w:div>
        <w:div w:id="1611548523">
          <w:marLeft w:val="0"/>
          <w:marRight w:val="0"/>
          <w:marTop w:val="0"/>
          <w:marBottom w:val="0"/>
          <w:divBdr>
            <w:top w:val="none" w:sz="0" w:space="0" w:color="auto"/>
            <w:left w:val="none" w:sz="0" w:space="0" w:color="auto"/>
            <w:bottom w:val="none" w:sz="0" w:space="0" w:color="auto"/>
            <w:right w:val="none" w:sz="0" w:space="0" w:color="auto"/>
          </w:divBdr>
        </w:div>
        <w:div w:id="1839269524">
          <w:marLeft w:val="0"/>
          <w:marRight w:val="0"/>
          <w:marTop w:val="0"/>
          <w:marBottom w:val="0"/>
          <w:divBdr>
            <w:top w:val="none" w:sz="0" w:space="0" w:color="auto"/>
            <w:left w:val="none" w:sz="0" w:space="0" w:color="auto"/>
            <w:bottom w:val="none" w:sz="0" w:space="0" w:color="auto"/>
            <w:right w:val="none" w:sz="0" w:space="0" w:color="auto"/>
          </w:divBdr>
        </w:div>
        <w:div w:id="1858884124">
          <w:marLeft w:val="0"/>
          <w:marRight w:val="0"/>
          <w:marTop w:val="0"/>
          <w:marBottom w:val="0"/>
          <w:divBdr>
            <w:top w:val="none" w:sz="0" w:space="0" w:color="auto"/>
            <w:left w:val="none" w:sz="0" w:space="0" w:color="auto"/>
            <w:bottom w:val="none" w:sz="0" w:space="0" w:color="auto"/>
            <w:right w:val="none" w:sz="0" w:space="0" w:color="auto"/>
          </w:divBdr>
        </w:div>
        <w:div w:id="208732750">
          <w:marLeft w:val="0"/>
          <w:marRight w:val="0"/>
          <w:marTop w:val="0"/>
          <w:marBottom w:val="0"/>
          <w:divBdr>
            <w:top w:val="none" w:sz="0" w:space="0" w:color="auto"/>
            <w:left w:val="none" w:sz="0" w:space="0" w:color="auto"/>
            <w:bottom w:val="none" w:sz="0" w:space="0" w:color="auto"/>
            <w:right w:val="none" w:sz="0" w:space="0" w:color="auto"/>
          </w:divBdr>
        </w:div>
        <w:div w:id="1974602787">
          <w:marLeft w:val="0"/>
          <w:marRight w:val="0"/>
          <w:marTop w:val="0"/>
          <w:marBottom w:val="0"/>
          <w:divBdr>
            <w:top w:val="none" w:sz="0" w:space="0" w:color="auto"/>
            <w:left w:val="none" w:sz="0" w:space="0" w:color="auto"/>
            <w:bottom w:val="none" w:sz="0" w:space="0" w:color="auto"/>
            <w:right w:val="none" w:sz="0" w:space="0" w:color="auto"/>
          </w:divBdr>
        </w:div>
      </w:divsChild>
    </w:div>
    <w:div w:id="454905148">
      <w:bodyDiv w:val="1"/>
      <w:marLeft w:val="0"/>
      <w:marRight w:val="0"/>
      <w:marTop w:val="0"/>
      <w:marBottom w:val="0"/>
      <w:divBdr>
        <w:top w:val="none" w:sz="0" w:space="0" w:color="auto"/>
        <w:left w:val="none" w:sz="0" w:space="0" w:color="auto"/>
        <w:bottom w:val="none" w:sz="0" w:space="0" w:color="auto"/>
        <w:right w:val="none" w:sz="0" w:space="0" w:color="auto"/>
      </w:divBdr>
    </w:div>
    <w:div w:id="502626964">
      <w:bodyDiv w:val="1"/>
      <w:marLeft w:val="0"/>
      <w:marRight w:val="0"/>
      <w:marTop w:val="0"/>
      <w:marBottom w:val="0"/>
      <w:divBdr>
        <w:top w:val="none" w:sz="0" w:space="0" w:color="auto"/>
        <w:left w:val="none" w:sz="0" w:space="0" w:color="auto"/>
        <w:bottom w:val="none" w:sz="0" w:space="0" w:color="auto"/>
        <w:right w:val="none" w:sz="0" w:space="0" w:color="auto"/>
      </w:divBdr>
    </w:div>
    <w:div w:id="504638066">
      <w:bodyDiv w:val="1"/>
      <w:marLeft w:val="0"/>
      <w:marRight w:val="0"/>
      <w:marTop w:val="0"/>
      <w:marBottom w:val="0"/>
      <w:divBdr>
        <w:top w:val="none" w:sz="0" w:space="0" w:color="auto"/>
        <w:left w:val="none" w:sz="0" w:space="0" w:color="auto"/>
        <w:bottom w:val="none" w:sz="0" w:space="0" w:color="auto"/>
        <w:right w:val="none" w:sz="0" w:space="0" w:color="auto"/>
      </w:divBdr>
      <w:divsChild>
        <w:div w:id="1087339940">
          <w:marLeft w:val="0"/>
          <w:marRight w:val="0"/>
          <w:marTop w:val="0"/>
          <w:marBottom w:val="0"/>
          <w:divBdr>
            <w:top w:val="none" w:sz="0" w:space="0" w:color="auto"/>
            <w:left w:val="none" w:sz="0" w:space="0" w:color="auto"/>
            <w:bottom w:val="none" w:sz="0" w:space="0" w:color="auto"/>
            <w:right w:val="none" w:sz="0" w:space="0" w:color="auto"/>
          </w:divBdr>
        </w:div>
        <w:div w:id="1004943843">
          <w:marLeft w:val="0"/>
          <w:marRight w:val="0"/>
          <w:marTop w:val="0"/>
          <w:marBottom w:val="0"/>
          <w:divBdr>
            <w:top w:val="none" w:sz="0" w:space="0" w:color="auto"/>
            <w:left w:val="none" w:sz="0" w:space="0" w:color="auto"/>
            <w:bottom w:val="none" w:sz="0" w:space="0" w:color="auto"/>
            <w:right w:val="none" w:sz="0" w:space="0" w:color="auto"/>
          </w:divBdr>
        </w:div>
        <w:div w:id="1555896109">
          <w:marLeft w:val="0"/>
          <w:marRight w:val="0"/>
          <w:marTop w:val="0"/>
          <w:marBottom w:val="0"/>
          <w:divBdr>
            <w:top w:val="none" w:sz="0" w:space="0" w:color="auto"/>
            <w:left w:val="none" w:sz="0" w:space="0" w:color="auto"/>
            <w:bottom w:val="none" w:sz="0" w:space="0" w:color="auto"/>
            <w:right w:val="none" w:sz="0" w:space="0" w:color="auto"/>
          </w:divBdr>
        </w:div>
        <w:div w:id="1538397957">
          <w:marLeft w:val="0"/>
          <w:marRight w:val="0"/>
          <w:marTop w:val="0"/>
          <w:marBottom w:val="0"/>
          <w:divBdr>
            <w:top w:val="none" w:sz="0" w:space="0" w:color="auto"/>
            <w:left w:val="none" w:sz="0" w:space="0" w:color="auto"/>
            <w:bottom w:val="none" w:sz="0" w:space="0" w:color="auto"/>
            <w:right w:val="none" w:sz="0" w:space="0" w:color="auto"/>
          </w:divBdr>
          <w:divsChild>
            <w:div w:id="7197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4263">
      <w:bodyDiv w:val="1"/>
      <w:marLeft w:val="0"/>
      <w:marRight w:val="0"/>
      <w:marTop w:val="0"/>
      <w:marBottom w:val="0"/>
      <w:divBdr>
        <w:top w:val="none" w:sz="0" w:space="0" w:color="auto"/>
        <w:left w:val="none" w:sz="0" w:space="0" w:color="auto"/>
        <w:bottom w:val="none" w:sz="0" w:space="0" w:color="auto"/>
        <w:right w:val="none" w:sz="0" w:space="0" w:color="auto"/>
      </w:divBdr>
    </w:div>
    <w:div w:id="564344057">
      <w:bodyDiv w:val="1"/>
      <w:marLeft w:val="0"/>
      <w:marRight w:val="0"/>
      <w:marTop w:val="0"/>
      <w:marBottom w:val="0"/>
      <w:divBdr>
        <w:top w:val="none" w:sz="0" w:space="0" w:color="auto"/>
        <w:left w:val="none" w:sz="0" w:space="0" w:color="auto"/>
        <w:bottom w:val="none" w:sz="0" w:space="0" w:color="auto"/>
        <w:right w:val="none" w:sz="0" w:space="0" w:color="auto"/>
      </w:divBdr>
    </w:div>
    <w:div w:id="571428302">
      <w:bodyDiv w:val="1"/>
      <w:marLeft w:val="0"/>
      <w:marRight w:val="0"/>
      <w:marTop w:val="0"/>
      <w:marBottom w:val="0"/>
      <w:divBdr>
        <w:top w:val="none" w:sz="0" w:space="0" w:color="auto"/>
        <w:left w:val="none" w:sz="0" w:space="0" w:color="auto"/>
        <w:bottom w:val="none" w:sz="0" w:space="0" w:color="auto"/>
        <w:right w:val="none" w:sz="0" w:space="0" w:color="auto"/>
      </w:divBdr>
    </w:div>
    <w:div w:id="606275443">
      <w:bodyDiv w:val="1"/>
      <w:marLeft w:val="0"/>
      <w:marRight w:val="0"/>
      <w:marTop w:val="0"/>
      <w:marBottom w:val="0"/>
      <w:divBdr>
        <w:top w:val="none" w:sz="0" w:space="0" w:color="auto"/>
        <w:left w:val="none" w:sz="0" w:space="0" w:color="auto"/>
        <w:bottom w:val="none" w:sz="0" w:space="0" w:color="auto"/>
        <w:right w:val="none" w:sz="0" w:space="0" w:color="auto"/>
      </w:divBdr>
    </w:div>
    <w:div w:id="619653630">
      <w:bodyDiv w:val="1"/>
      <w:marLeft w:val="0"/>
      <w:marRight w:val="0"/>
      <w:marTop w:val="0"/>
      <w:marBottom w:val="0"/>
      <w:divBdr>
        <w:top w:val="none" w:sz="0" w:space="0" w:color="auto"/>
        <w:left w:val="none" w:sz="0" w:space="0" w:color="auto"/>
        <w:bottom w:val="none" w:sz="0" w:space="0" w:color="auto"/>
        <w:right w:val="none" w:sz="0" w:space="0" w:color="auto"/>
      </w:divBdr>
    </w:div>
    <w:div w:id="651258701">
      <w:bodyDiv w:val="1"/>
      <w:marLeft w:val="0"/>
      <w:marRight w:val="0"/>
      <w:marTop w:val="0"/>
      <w:marBottom w:val="0"/>
      <w:divBdr>
        <w:top w:val="none" w:sz="0" w:space="0" w:color="auto"/>
        <w:left w:val="none" w:sz="0" w:space="0" w:color="auto"/>
        <w:bottom w:val="none" w:sz="0" w:space="0" w:color="auto"/>
        <w:right w:val="none" w:sz="0" w:space="0" w:color="auto"/>
      </w:divBdr>
    </w:div>
    <w:div w:id="673386614">
      <w:bodyDiv w:val="1"/>
      <w:marLeft w:val="0"/>
      <w:marRight w:val="0"/>
      <w:marTop w:val="0"/>
      <w:marBottom w:val="0"/>
      <w:divBdr>
        <w:top w:val="none" w:sz="0" w:space="0" w:color="auto"/>
        <w:left w:val="none" w:sz="0" w:space="0" w:color="auto"/>
        <w:bottom w:val="none" w:sz="0" w:space="0" w:color="auto"/>
        <w:right w:val="none" w:sz="0" w:space="0" w:color="auto"/>
      </w:divBdr>
    </w:div>
    <w:div w:id="686835577">
      <w:bodyDiv w:val="1"/>
      <w:marLeft w:val="0"/>
      <w:marRight w:val="0"/>
      <w:marTop w:val="0"/>
      <w:marBottom w:val="0"/>
      <w:divBdr>
        <w:top w:val="none" w:sz="0" w:space="0" w:color="auto"/>
        <w:left w:val="none" w:sz="0" w:space="0" w:color="auto"/>
        <w:bottom w:val="none" w:sz="0" w:space="0" w:color="auto"/>
        <w:right w:val="none" w:sz="0" w:space="0" w:color="auto"/>
      </w:divBdr>
    </w:div>
    <w:div w:id="690499048">
      <w:bodyDiv w:val="1"/>
      <w:marLeft w:val="0"/>
      <w:marRight w:val="0"/>
      <w:marTop w:val="0"/>
      <w:marBottom w:val="0"/>
      <w:divBdr>
        <w:top w:val="none" w:sz="0" w:space="0" w:color="auto"/>
        <w:left w:val="none" w:sz="0" w:space="0" w:color="auto"/>
        <w:bottom w:val="none" w:sz="0" w:space="0" w:color="auto"/>
        <w:right w:val="none" w:sz="0" w:space="0" w:color="auto"/>
      </w:divBdr>
    </w:div>
    <w:div w:id="713964134">
      <w:bodyDiv w:val="1"/>
      <w:marLeft w:val="0"/>
      <w:marRight w:val="0"/>
      <w:marTop w:val="0"/>
      <w:marBottom w:val="0"/>
      <w:divBdr>
        <w:top w:val="none" w:sz="0" w:space="0" w:color="auto"/>
        <w:left w:val="none" w:sz="0" w:space="0" w:color="auto"/>
        <w:bottom w:val="none" w:sz="0" w:space="0" w:color="auto"/>
        <w:right w:val="none" w:sz="0" w:space="0" w:color="auto"/>
      </w:divBdr>
      <w:divsChild>
        <w:div w:id="430977850">
          <w:marLeft w:val="0"/>
          <w:marRight w:val="0"/>
          <w:marTop w:val="0"/>
          <w:marBottom w:val="0"/>
          <w:divBdr>
            <w:top w:val="none" w:sz="0" w:space="0" w:color="auto"/>
            <w:left w:val="none" w:sz="0" w:space="0" w:color="auto"/>
            <w:bottom w:val="none" w:sz="0" w:space="0" w:color="auto"/>
            <w:right w:val="none" w:sz="0" w:space="0" w:color="auto"/>
          </w:divBdr>
        </w:div>
        <w:div w:id="1482843656">
          <w:marLeft w:val="0"/>
          <w:marRight w:val="0"/>
          <w:marTop w:val="0"/>
          <w:marBottom w:val="0"/>
          <w:divBdr>
            <w:top w:val="none" w:sz="0" w:space="0" w:color="auto"/>
            <w:left w:val="none" w:sz="0" w:space="0" w:color="auto"/>
            <w:bottom w:val="none" w:sz="0" w:space="0" w:color="auto"/>
            <w:right w:val="none" w:sz="0" w:space="0" w:color="auto"/>
          </w:divBdr>
        </w:div>
        <w:div w:id="1851942111">
          <w:marLeft w:val="0"/>
          <w:marRight w:val="0"/>
          <w:marTop w:val="0"/>
          <w:marBottom w:val="0"/>
          <w:divBdr>
            <w:top w:val="none" w:sz="0" w:space="0" w:color="auto"/>
            <w:left w:val="none" w:sz="0" w:space="0" w:color="auto"/>
            <w:bottom w:val="none" w:sz="0" w:space="0" w:color="auto"/>
            <w:right w:val="none" w:sz="0" w:space="0" w:color="auto"/>
          </w:divBdr>
        </w:div>
        <w:div w:id="1889608187">
          <w:marLeft w:val="0"/>
          <w:marRight w:val="0"/>
          <w:marTop w:val="0"/>
          <w:marBottom w:val="0"/>
          <w:divBdr>
            <w:top w:val="none" w:sz="0" w:space="0" w:color="auto"/>
            <w:left w:val="none" w:sz="0" w:space="0" w:color="auto"/>
            <w:bottom w:val="none" w:sz="0" w:space="0" w:color="auto"/>
            <w:right w:val="none" w:sz="0" w:space="0" w:color="auto"/>
          </w:divBdr>
        </w:div>
        <w:div w:id="789206713">
          <w:marLeft w:val="0"/>
          <w:marRight w:val="0"/>
          <w:marTop w:val="0"/>
          <w:marBottom w:val="0"/>
          <w:divBdr>
            <w:top w:val="none" w:sz="0" w:space="0" w:color="auto"/>
            <w:left w:val="none" w:sz="0" w:space="0" w:color="auto"/>
            <w:bottom w:val="none" w:sz="0" w:space="0" w:color="auto"/>
            <w:right w:val="none" w:sz="0" w:space="0" w:color="auto"/>
          </w:divBdr>
        </w:div>
        <w:div w:id="110058425">
          <w:marLeft w:val="0"/>
          <w:marRight w:val="0"/>
          <w:marTop w:val="0"/>
          <w:marBottom w:val="0"/>
          <w:divBdr>
            <w:top w:val="none" w:sz="0" w:space="0" w:color="auto"/>
            <w:left w:val="none" w:sz="0" w:space="0" w:color="auto"/>
            <w:bottom w:val="none" w:sz="0" w:space="0" w:color="auto"/>
            <w:right w:val="none" w:sz="0" w:space="0" w:color="auto"/>
          </w:divBdr>
        </w:div>
        <w:div w:id="2029867966">
          <w:marLeft w:val="0"/>
          <w:marRight w:val="0"/>
          <w:marTop w:val="0"/>
          <w:marBottom w:val="0"/>
          <w:divBdr>
            <w:top w:val="none" w:sz="0" w:space="0" w:color="auto"/>
            <w:left w:val="none" w:sz="0" w:space="0" w:color="auto"/>
            <w:bottom w:val="none" w:sz="0" w:space="0" w:color="auto"/>
            <w:right w:val="none" w:sz="0" w:space="0" w:color="auto"/>
          </w:divBdr>
        </w:div>
        <w:div w:id="1271817244">
          <w:marLeft w:val="0"/>
          <w:marRight w:val="0"/>
          <w:marTop w:val="0"/>
          <w:marBottom w:val="0"/>
          <w:divBdr>
            <w:top w:val="none" w:sz="0" w:space="0" w:color="auto"/>
            <w:left w:val="none" w:sz="0" w:space="0" w:color="auto"/>
            <w:bottom w:val="none" w:sz="0" w:space="0" w:color="auto"/>
            <w:right w:val="none" w:sz="0" w:space="0" w:color="auto"/>
          </w:divBdr>
        </w:div>
        <w:div w:id="544682543">
          <w:marLeft w:val="0"/>
          <w:marRight w:val="0"/>
          <w:marTop w:val="0"/>
          <w:marBottom w:val="0"/>
          <w:divBdr>
            <w:top w:val="none" w:sz="0" w:space="0" w:color="auto"/>
            <w:left w:val="none" w:sz="0" w:space="0" w:color="auto"/>
            <w:bottom w:val="none" w:sz="0" w:space="0" w:color="auto"/>
            <w:right w:val="none" w:sz="0" w:space="0" w:color="auto"/>
          </w:divBdr>
        </w:div>
        <w:div w:id="977878152">
          <w:marLeft w:val="0"/>
          <w:marRight w:val="0"/>
          <w:marTop w:val="0"/>
          <w:marBottom w:val="0"/>
          <w:divBdr>
            <w:top w:val="none" w:sz="0" w:space="0" w:color="auto"/>
            <w:left w:val="none" w:sz="0" w:space="0" w:color="auto"/>
            <w:bottom w:val="none" w:sz="0" w:space="0" w:color="auto"/>
            <w:right w:val="none" w:sz="0" w:space="0" w:color="auto"/>
          </w:divBdr>
        </w:div>
        <w:div w:id="900097629">
          <w:marLeft w:val="0"/>
          <w:marRight w:val="0"/>
          <w:marTop w:val="0"/>
          <w:marBottom w:val="0"/>
          <w:divBdr>
            <w:top w:val="none" w:sz="0" w:space="0" w:color="auto"/>
            <w:left w:val="none" w:sz="0" w:space="0" w:color="auto"/>
            <w:bottom w:val="none" w:sz="0" w:space="0" w:color="auto"/>
            <w:right w:val="none" w:sz="0" w:space="0" w:color="auto"/>
          </w:divBdr>
        </w:div>
        <w:div w:id="667833172">
          <w:marLeft w:val="0"/>
          <w:marRight w:val="0"/>
          <w:marTop w:val="0"/>
          <w:marBottom w:val="0"/>
          <w:divBdr>
            <w:top w:val="none" w:sz="0" w:space="0" w:color="auto"/>
            <w:left w:val="none" w:sz="0" w:space="0" w:color="auto"/>
            <w:bottom w:val="none" w:sz="0" w:space="0" w:color="auto"/>
            <w:right w:val="none" w:sz="0" w:space="0" w:color="auto"/>
          </w:divBdr>
        </w:div>
        <w:div w:id="1652753404">
          <w:marLeft w:val="0"/>
          <w:marRight w:val="0"/>
          <w:marTop w:val="0"/>
          <w:marBottom w:val="0"/>
          <w:divBdr>
            <w:top w:val="none" w:sz="0" w:space="0" w:color="auto"/>
            <w:left w:val="none" w:sz="0" w:space="0" w:color="auto"/>
            <w:bottom w:val="none" w:sz="0" w:space="0" w:color="auto"/>
            <w:right w:val="none" w:sz="0" w:space="0" w:color="auto"/>
          </w:divBdr>
        </w:div>
        <w:div w:id="1772621934">
          <w:marLeft w:val="0"/>
          <w:marRight w:val="0"/>
          <w:marTop w:val="0"/>
          <w:marBottom w:val="0"/>
          <w:divBdr>
            <w:top w:val="none" w:sz="0" w:space="0" w:color="auto"/>
            <w:left w:val="none" w:sz="0" w:space="0" w:color="auto"/>
            <w:bottom w:val="none" w:sz="0" w:space="0" w:color="auto"/>
            <w:right w:val="none" w:sz="0" w:space="0" w:color="auto"/>
          </w:divBdr>
        </w:div>
        <w:div w:id="1496653263">
          <w:marLeft w:val="0"/>
          <w:marRight w:val="0"/>
          <w:marTop w:val="0"/>
          <w:marBottom w:val="0"/>
          <w:divBdr>
            <w:top w:val="none" w:sz="0" w:space="0" w:color="auto"/>
            <w:left w:val="none" w:sz="0" w:space="0" w:color="auto"/>
            <w:bottom w:val="none" w:sz="0" w:space="0" w:color="auto"/>
            <w:right w:val="none" w:sz="0" w:space="0" w:color="auto"/>
          </w:divBdr>
        </w:div>
        <w:div w:id="407700901">
          <w:marLeft w:val="0"/>
          <w:marRight w:val="0"/>
          <w:marTop w:val="0"/>
          <w:marBottom w:val="0"/>
          <w:divBdr>
            <w:top w:val="none" w:sz="0" w:space="0" w:color="auto"/>
            <w:left w:val="none" w:sz="0" w:space="0" w:color="auto"/>
            <w:bottom w:val="none" w:sz="0" w:space="0" w:color="auto"/>
            <w:right w:val="none" w:sz="0" w:space="0" w:color="auto"/>
          </w:divBdr>
        </w:div>
        <w:div w:id="398601984">
          <w:marLeft w:val="0"/>
          <w:marRight w:val="0"/>
          <w:marTop w:val="0"/>
          <w:marBottom w:val="0"/>
          <w:divBdr>
            <w:top w:val="none" w:sz="0" w:space="0" w:color="auto"/>
            <w:left w:val="none" w:sz="0" w:space="0" w:color="auto"/>
            <w:bottom w:val="none" w:sz="0" w:space="0" w:color="auto"/>
            <w:right w:val="none" w:sz="0" w:space="0" w:color="auto"/>
          </w:divBdr>
        </w:div>
      </w:divsChild>
    </w:div>
    <w:div w:id="749733820">
      <w:bodyDiv w:val="1"/>
      <w:marLeft w:val="0"/>
      <w:marRight w:val="0"/>
      <w:marTop w:val="0"/>
      <w:marBottom w:val="0"/>
      <w:divBdr>
        <w:top w:val="none" w:sz="0" w:space="0" w:color="auto"/>
        <w:left w:val="none" w:sz="0" w:space="0" w:color="auto"/>
        <w:bottom w:val="none" w:sz="0" w:space="0" w:color="auto"/>
        <w:right w:val="none" w:sz="0" w:space="0" w:color="auto"/>
      </w:divBdr>
    </w:div>
    <w:div w:id="753935951">
      <w:bodyDiv w:val="1"/>
      <w:marLeft w:val="0"/>
      <w:marRight w:val="0"/>
      <w:marTop w:val="0"/>
      <w:marBottom w:val="0"/>
      <w:divBdr>
        <w:top w:val="none" w:sz="0" w:space="0" w:color="auto"/>
        <w:left w:val="none" w:sz="0" w:space="0" w:color="auto"/>
        <w:bottom w:val="none" w:sz="0" w:space="0" w:color="auto"/>
        <w:right w:val="none" w:sz="0" w:space="0" w:color="auto"/>
      </w:divBdr>
    </w:div>
    <w:div w:id="758404716">
      <w:bodyDiv w:val="1"/>
      <w:marLeft w:val="0"/>
      <w:marRight w:val="0"/>
      <w:marTop w:val="0"/>
      <w:marBottom w:val="0"/>
      <w:divBdr>
        <w:top w:val="none" w:sz="0" w:space="0" w:color="auto"/>
        <w:left w:val="none" w:sz="0" w:space="0" w:color="auto"/>
        <w:bottom w:val="none" w:sz="0" w:space="0" w:color="auto"/>
        <w:right w:val="none" w:sz="0" w:space="0" w:color="auto"/>
      </w:divBdr>
    </w:div>
    <w:div w:id="792023095">
      <w:bodyDiv w:val="1"/>
      <w:marLeft w:val="0"/>
      <w:marRight w:val="0"/>
      <w:marTop w:val="0"/>
      <w:marBottom w:val="0"/>
      <w:divBdr>
        <w:top w:val="none" w:sz="0" w:space="0" w:color="auto"/>
        <w:left w:val="none" w:sz="0" w:space="0" w:color="auto"/>
        <w:bottom w:val="none" w:sz="0" w:space="0" w:color="auto"/>
        <w:right w:val="none" w:sz="0" w:space="0" w:color="auto"/>
      </w:divBdr>
    </w:div>
    <w:div w:id="792209071">
      <w:bodyDiv w:val="1"/>
      <w:marLeft w:val="0"/>
      <w:marRight w:val="0"/>
      <w:marTop w:val="0"/>
      <w:marBottom w:val="0"/>
      <w:divBdr>
        <w:top w:val="none" w:sz="0" w:space="0" w:color="auto"/>
        <w:left w:val="none" w:sz="0" w:space="0" w:color="auto"/>
        <w:bottom w:val="none" w:sz="0" w:space="0" w:color="auto"/>
        <w:right w:val="none" w:sz="0" w:space="0" w:color="auto"/>
      </w:divBdr>
    </w:div>
    <w:div w:id="828063114">
      <w:bodyDiv w:val="1"/>
      <w:marLeft w:val="0"/>
      <w:marRight w:val="0"/>
      <w:marTop w:val="0"/>
      <w:marBottom w:val="0"/>
      <w:divBdr>
        <w:top w:val="none" w:sz="0" w:space="0" w:color="auto"/>
        <w:left w:val="none" w:sz="0" w:space="0" w:color="auto"/>
        <w:bottom w:val="none" w:sz="0" w:space="0" w:color="auto"/>
        <w:right w:val="none" w:sz="0" w:space="0" w:color="auto"/>
      </w:divBdr>
    </w:div>
    <w:div w:id="863515943">
      <w:bodyDiv w:val="1"/>
      <w:marLeft w:val="0"/>
      <w:marRight w:val="0"/>
      <w:marTop w:val="0"/>
      <w:marBottom w:val="0"/>
      <w:divBdr>
        <w:top w:val="none" w:sz="0" w:space="0" w:color="auto"/>
        <w:left w:val="none" w:sz="0" w:space="0" w:color="auto"/>
        <w:bottom w:val="none" w:sz="0" w:space="0" w:color="auto"/>
        <w:right w:val="none" w:sz="0" w:space="0" w:color="auto"/>
      </w:divBdr>
    </w:div>
    <w:div w:id="867915026">
      <w:bodyDiv w:val="1"/>
      <w:marLeft w:val="0"/>
      <w:marRight w:val="0"/>
      <w:marTop w:val="0"/>
      <w:marBottom w:val="0"/>
      <w:divBdr>
        <w:top w:val="none" w:sz="0" w:space="0" w:color="auto"/>
        <w:left w:val="none" w:sz="0" w:space="0" w:color="auto"/>
        <w:bottom w:val="none" w:sz="0" w:space="0" w:color="auto"/>
        <w:right w:val="none" w:sz="0" w:space="0" w:color="auto"/>
      </w:divBdr>
    </w:div>
    <w:div w:id="879122837">
      <w:bodyDiv w:val="1"/>
      <w:marLeft w:val="0"/>
      <w:marRight w:val="0"/>
      <w:marTop w:val="0"/>
      <w:marBottom w:val="0"/>
      <w:divBdr>
        <w:top w:val="none" w:sz="0" w:space="0" w:color="auto"/>
        <w:left w:val="none" w:sz="0" w:space="0" w:color="auto"/>
        <w:bottom w:val="none" w:sz="0" w:space="0" w:color="auto"/>
        <w:right w:val="none" w:sz="0" w:space="0" w:color="auto"/>
      </w:divBdr>
    </w:div>
    <w:div w:id="903830480">
      <w:bodyDiv w:val="1"/>
      <w:marLeft w:val="0"/>
      <w:marRight w:val="0"/>
      <w:marTop w:val="0"/>
      <w:marBottom w:val="0"/>
      <w:divBdr>
        <w:top w:val="none" w:sz="0" w:space="0" w:color="auto"/>
        <w:left w:val="none" w:sz="0" w:space="0" w:color="auto"/>
        <w:bottom w:val="none" w:sz="0" w:space="0" w:color="auto"/>
        <w:right w:val="none" w:sz="0" w:space="0" w:color="auto"/>
      </w:divBdr>
    </w:div>
    <w:div w:id="971903054">
      <w:bodyDiv w:val="1"/>
      <w:marLeft w:val="0"/>
      <w:marRight w:val="0"/>
      <w:marTop w:val="0"/>
      <w:marBottom w:val="0"/>
      <w:divBdr>
        <w:top w:val="none" w:sz="0" w:space="0" w:color="auto"/>
        <w:left w:val="none" w:sz="0" w:space="0" w:color="auto"/>
        <w:bottom w:val="none" w:sz="0" w:space="0" w:color="auto"/>
        <w:right w:val="none" w:sz="0" w:space="0" w:color="auto"/>
      </w:divBdr>
    </w:div>
    <w:div w:id="984965481">
      <w:bodyDiv w:val="1"/>
      <w:marLeft w:val="0"/>
      <w:marRight w:val="0"/>
      <w:marTop w:val="0"/>
      <w:marBottom w:val="0"/>
      <w:divBdr>
        <w:top w:val="none" w:sz="0" w:space="0" w:color="auto"/>
        <w:left w:val="none" w:sz="0" w:space="0" w:color="auto"/>
        <w:bottom w:val="none" w:sz="0" w:space="0" w:color="auto"/>
        <w:right w:val="none" w:sz="0" w:space="0" w:color="auto"/>
      </w:divBdr>
    </w:div>
    <w:div w:id="997346662">
      <w:bodyDiv w:val="1"/>
      <w:marLeft w:val="0"/>
      <w:marRight w:val="0"/>
      <w:marTop w:val="0"/>
      <w:marBottom w:val="0"/>
      <w:divBdr>
        <w:top w:val="none" w:sz="0" w:space="0" w:color="auto"/>
        <w:left w:val="none" w:sz="0" w:space="0" w:color="auto"/>
        <w:bottom w:val="none" w:sz="0" w:space="0" w:color="auto"/>
        <w:right w:val="none" w:sz="0" w:space="0" w:color="auto"/>
      </w:divBdr>
      <w:divsChild>
        <w:div w:id="153617127">
          <w:marLeft w:val="0"/>
          <w:marRight w:val="0"/>
          <w:marTop w:val="0"/>
          <w:marBottom w:val="0"/>
          <w:divBdr>
            <w:top w:val="none" w:sz="0" w:space="0" w:color="auto"/>
            <w:left w:val="none" w:sz="0" w:space="0" w:color="auto"/>
            <w:bottom w:val="none" w:sz="0" w:space="0" w:color="auto"/>
            <w:right w:val="none" w:sz="0" w:space="0" w:color="auto"/>
          </w:divBdr>
        </w:div>
        <w:div w:id="1543253882">
          <w:marLeft w:val="0"/>
          <w:marRight w:val="0"/>
          <w:marTop w:val="0"/>
          <w:marBottom w:val="0"/>
          <w:divBdr>
            <w:top w:val="none" w:sz="0" w:space="0" w:color="auto"/>
            <w:left w:val="none" w:sz="0" w:space="0" w:color="auto"/>
            <w:bottom w:val="none" w:sz="0" w:space="0" w:color="auto"/>
            <w:right w:val="none" w:sz="0" w:space="0" w:color="auto"/>
          </w:divBdr>
        </w:div>
        <w:div w:id="1924989221">
          <w:marLeft w:val="0"/>
          <w:marRight w:val="0"/>
          <w:marTop w:val="0"/>
          <w:marBottom w:val="0"/>
          <w:divBdr>
            <w:top w:val="none" w:sz="0" w:space="0" w:color="auto"/>
            <w:left w:val="none" w:sz="0" w:space="0" w:color="auto"/>
            <w:bottom w:val="none" w:sz="0" w:space="0" w:color="auto"/>
            <w:right w:val="none" w:sz="0" w:space="0" w:color="auto"/>
          </w:divBdr>
        </w:div>
        <w:div w:id="2076928180">
          <w:marLeft w:val="0"/>
          <w:marRight w:val="0"/>
          <w:marTop w:val="0"/>
          <w:marBottom w:val="0"/>
          <w:divBdr>
            <w:top w:val="none" w:sz="0" w:space="0" w:color="auto"/>
            <w:left w:val="none" w:sz="0" w:space="0" w:color="auto"/>
            <w:bottom w:val="none" w:sz="0" w:space="0" w:color="auto"/>
            <w:right w:val="none" w:sz="0" w:space="0" w:color="auto"/>
          </w:divBdr>
        </w:div>
        <w:div w:id="2039502412">
          <w:marLeft w:val="0"/>
          <w:marRight w:val="0"/>
          <w:marTop w:val="0"/>
          <w:marBottom w:val="0"/>
          <w:divBdr>
            <w:top w:val="none" w:sz="0" w:space="0" w:color="auto"/>
            <w:left w:val="none" w:sz="0" w:space="0" w:color="auto"/>
            <w:bottom w:val="none" w:sz="0" w:space="0" w:color="auto"/>
            <w:right w:val="none" w:sz="0" w:space="0" w:color="auto"/>
          </w:divBdr>
        </w:div>
        <w:div w:id="1063523809">
          <w:marLeft w:val="0"/>
          <w:marRight w:val="0"/>
          <w:marTop w:val="0"/>
          <w:marBottom w:val="0"/>
          <w:divBdr>
            <w:top w:val="none" w:sz="0" w:space="0" w:color="auto"/>
            <w:left w:val="none" w:sz="0" w:space="0" w:color="auto"/>
            <w:bottom w:val="none" w:sz="0" w:space="0" w:color="auto"/>
            <w:right w:val="none" w:sz="0" w:space="0" w:color="auto"/>
          </w:divBdr>
        </w:div>
        <w:div w:id="1720475746">
          <w:marLeft w:val="0"/>
          <w:marRight w:val="0"/>
          <w:marTop w:val="0"/>
          <w:marBottom w:val="0"/>
          <w:divBdr>
            <w:top w:val="none" w:sz="0" w:space="0" w:color="auto"/>
            <w:left w:val="none" w:sz="0" w:space="0" w:color="auto"/>
            <w:bottom w:val="none" w:sz="0" w:space="0" w:color="auto"/>
            <w:right w:val="none" w:sz="0" w:space="0" w:color="auto"/>
          </w:divBdr>
        </w:div>
        <w:div w:id="1047797392">
          <w:marLeft w:val="0"/>
          <w:marRight w:val="0"/>
          <w:marTop w:val="0"/>
          <w:marBottom w:val="0"/>
          <w:divBdr>
            <w:top w:val="none" w:sz="0" w:space="0" w:color="auto"/>
            <w:left w:val="none" w:sz="0" w:space="0" w:color="auto"/>
            <w:bottom w:val="none" w:sz="0" w:space="0" w:color="auto"/>
            <w:right w:val="none" w:sz="0" w:space="0" w:color="auto"/>
          </w:divBdr>
        </w:div>
        <w:div w:id="76052473">
          <w:marLeft w:val="0"/>
          <w:marRight w:val="0"/>
          <w:marTop w:val="0"/>
          <w:marBottom w:val="0"/>
          <w:divBdr>
            <w:top w:val="none" w:sz="0" w:space="0" w:color="auto"/>
            <w:left w:val="none" w:sz="0" w:space="0" w:color="auto"/>
            <w:bottom w:val="none" w:sz="0" w:space="0" w:color="auto"/>
            <w:right w:val="none" w:sz="0" w:space="0" w:color="auto"/>
          </w:divBdr>
        </w:div>
        <w:div w:id="1024751949">
          <w:marLeft w:val="0"/>
          <w:marRight w:val="0"/>
          <w:marTop w:val="0"/>
          <w:marBottom w:val="0"/>
          <w:divBdr>
            <w:top w:val="none" w:sz="0" w:space="0" w:color="auto"/>
            <w:left w:val="none" w:sz="0" w:space="0" w:color="auto"/>
            <w:bottom w:val="none" w:sz="0" w:space="0" w:color="auto"/>
            <w:right w:val="none" w:sz="0" w:space="0" w:color="auto"/>
          </w:divBdr>
        </w:div>
        <w:div w:id="522473883">
          <w:marLeft w:val="0"/>
          <w:marRight w:val="0"/>
          <w:marTop w:val="0"/>
          <w:marBottom w:val="0"/>
          <w:divBdr>
            <w:top w:val="none" w:sz="0" w:space="0" w:color="auto"/>
            <w:left w:val="none" w:sz="0" w:space="0" w:color="auto"/>
            <w:bottom w:val="none" w:sz="0" w:space="0" w:color="auto"/>
            <w:right w:val="none" w:sz="0" w:space="0" w:color="auto"/>
          </w:divBdr>
        </w:div>
        <w:div w:id="973415543">
          <w:marLeft w:val="0"/>
          <w:marRight w:val="0"/>
          <w:marTop w:val="0"/>
          <w:marBottom w:val="0"/>
          <w:divBdr>
            <w:top w:val="none" w:sz="0" w:space="0" w:color="auto"/>
            <w:left w:val="none" w:sz="0" w:space="0" w:color="auto"/>
            <w:bottom w:val="none" w:sz="0" w:space="0" w:color="auto"/>
            <w:right w:val="none" w:sz="0" w:space="0" w:color="auto"/>
          </w:divBdr>
        </w:div>
        <w:div w:id="2049646822">
          <w:marLeft w:val="0"/>
          <w:marRight w:val="0"/>
          <w:marTop w:val="0"/>
          <w:marBottom w:val="0"/>
          <w:divBdr>
            <w:top w:val="none" w:sz="0" w:space="0" w:color="auto"/>
            <w:left w:val="none" w:sz="0" w:space="0" w:color="auto"/>
            <w:bottom w:val="none" w:sz="0" w:space="0" w:color="auto"/>
            <w:right w:val="none" w:sz="0" w:space="0" w:color="auto"/>
          </w:divBdr>
        </w:div>
        <w:div w:id="598106814">
          <w:marLeft w:val="0"/>
          <w:marRight w:val="0"/>
          <w:marTop w:val="0"/>
          <w:marBottom w:val="0"/>
          <w:divBdr>
            <w:top w:val="none" w:sz="0" w:space="0" w:color="auto"/>
            <w:left w:val="none" w:sz="0" w:space="0" w:color="auto"/>
            <w:bottom w:val="none" w:sz="0" w:space="0" w:color="auto"/>
            <w:right w:val="none" w:sz="0" w:space="0" w:color="auto"/>
          </w:divBdr>
        </w:div>
        <w:div w:id="948005140">
          <w:marLeft w:val="0"/>
          <w:marRight w:val="0"/>
          <w:marTop w:val="0"/>
          <w:marBottom w:val="0"/>
          <w:divBdr>
            <w:top w:val="none" w:sz="0" w:space="0" w:color="auto"/>
            <w:left w:val="none" w:sz="0" w:space="0" w:color="auto"/>
            <w:bottom w:val="none" w:sz="0" w:space="0" w:color="auto"/>
            <w:right w:val="none" w:sz="0" w:space="0" w:color="auto"/>
          </w:divBdr>
        </w:div>
        <w:div w:id="1360357060">
          <w:marLeft w:val="0"/>
          <w:marRight w:val="0"/>
          <w:marTop w:val="0"/>
          <w:marBottom w:val="0"/>
          <w:divBdr>
            <w:top w:val="none" w:sz="0" w:space="0" w:color="auto"/>
            <w:left w:val="none" w:sz="0" w:space="0" w:color="auto"/>
            <w:bottom w:val="none" w:sz="0" w:space="0" w:color="auto"/>
            <w:right w:val="none" w:sz="0" w:space="0" w:color="auto"/>
          </w:divBdr>
        </w:div>
        <w:div w:id="600379366">
          <w:marLeft w:val="0"/>
          <w:marRight w:val="0"/>
          <w:marTop w:val="0"/>
          <w:marBottom w:val="0"/>
          <w:divBdr>
            <w:top w:val="none" w:sz="0" w:space="0" w:color="auto"/>
            <w:left w:val="none" w:sz="0" w:space="0" w:color="auto"/>
            <w:bottom w:val="none" w:sz="0" w:space="0" w:color="auto"/>
            <w:right w:val="none" w:sz="0" w:space="0" w:color="auto"/>
          </w:divBdr>
        </w:div>
        <w:div w:id="2023240833">
          <w:marLeft w:val="0"/>
          <w:marRight w:val="0"/>
          <w:marTop w:val="0"/>
          <w:marBottom w:val="0"/>
          <w:divBdr>
            <w:top w:val="none" w:sz="0" w:space="0" w:color="auto"/>
            <w:left w:val="none" w:sz="0" w:space="0" w:color="auto"/>
            <w:bottom w:val="none" w:sz="0" w:space="0" w:color="auto"/>
            <w:right w:val="none" w:sz="0" w:space="0" w:color="auto"/>
          </w:divBdr>
        </w:div>
        <w:div w:id="1590045383">
          <w:marLeft w:val="0"/>
          <w:marRight w:val="0"/>
          <w:marTop w:val="0"/>
          <w:marBottom w:val="0"/>
          <w:divBdr>
            <w:top w:val="none" w:sz="0" w:space="0" w:color="auto"/>
            <w:left w:val="none" w:sz="0" w:space="0" w:color="auto"/>
            <w:bottom w:val="none" w:sz="0" w:space="0" w:color="auto"/>
            <w:right w:val="none" w:sz="0" w:space="0" w:color="auto"/>
          </w:divBdr>
        </w:div>
      </w:divsChild>
    </w:div>
    <w:div w:id="1087578004">
      <w:bodyDiv w:val="1"/>
      <w:marLeft w:val="0"/>
      <w:marRight w:val="0"/>
      <w:marTop w:val="0"/>
      <w:marBottom w:val="0"/>
      <w:divBdr>
        <w:top w:val="none" w:sz="0" w:space="0" w:color="auto"/>
        <w:left w:val="none" w:sz="0" w:space="0" w:color="auto"/>
        <w:bottom w:val="none" w:sz="0" w:space="0" w:color="auto"/>
        <w:right w:val="none" w:sz="0" w:space="0" w:color="auto"/>
      </w:divBdr>
    </w:div>
    <w:div w:id="1103381266">
      <w:bodyDiv w:val="1"/>
      <w:marLeft w:val="0"/>
      <w:marRight w:val="0"/>
      <w:marTop w:val="0"/>
      <w:marBottom w:val="0"/>
      <w:divBdr>
        <w:top w:val="none" w:sz="0" w:space="0" w:color="auto"/>
        <w:left w:val="none" w:sz="0" w:space="0" w:color="auto"/>
        <w:bottom w:val="none" w:sz="0" w:space="0" w:color="auto"/>
        <w:right w:val="none" w:sz="0" w:space="0" w:color="auto"/>
      </w:divBdr>
    </w:div>
    <w:div w:id="1118450277">
      <w:bodyDiv w:val="1"/>
      <w:marLeft w:val="0"/>
      <w:marRight w:val="0"/>
      <w:marTop w:val="0"/>
      <w:marBottom w:val="0"/>
      <w:divBdr>
        <w:top w:val="none" w:sz="0" w:space="0" w:color="auto"/>
        <w:left w:val="none" w:sz="0" w:space="0" w:color="auto"/>
        <w:bottom w:val="none" w:sz="0" w:space="0" w:color="auto"/>
        <w:right w:val="none" w:sz="0" w:space="0" w:color="auto"/>
      </w:divBdr>
    </w:div>
    <w:div w:id="1119031596">
      <w:bodyDiv w:val="1"/>
      <w:marLeft w:val="0"/>
      <w:marRight w:val="0"/>
      <w:marTop w:val="0"/>
      <w:marBottom w:val="0"/>
      <w:divBdr>
        <w:top w:val="none" w:sz="0" w:space="0" w:color="auto"/>
        <w:left w:val="none" w:sz="0" w:space="0" w:color="auto"/>
        <w:bottom w:val="none" w:sz="0" w:space="0" w:color="auto"/>
        <w:right w:val="none" w:sz="0" w:space="0" w:color="auto"/>
      </w:divBdr>
    </w:div>
    <w:div w:id="1134523021">
      <w:bodyDiv w:val="1"/>
      <w:marLeft w:val="0"/>
      <w:marRight w:val="0"/>
      <w:marTop w:val="0"/>
      <w:marBottom w:val="0"/>
      <w:divBdr>
        <w:top w:val="none" w:sz="0" w:space="0" w:color="auto"/>
        <w:left w:val="none" w:sz="0" w:space="0" w:color="auto"/>
        <w:bottom w:val="none" w:sz="0" w:space="0" w:color="auto"/>
        <w:right w:val="none" w:sz="0" w:space="0" w:color="auto"/>
      </w:divBdr>
    </w:div>
    <w:div w:id="1149982396">
      <w:bodyDiv w:val="1"/>
      <w:marLeft w:val="0"/>
      <w:marRight w:val="0"/>
      <w:marTop w:val="0"/>
      <w:marBottom w:val="0"/>
      <w:divBdr>
        <w:top w:val="none" w:sz="0" w:space="0" w:color="auto"/>
        <w:left w:val="none" w:sz="0" w:space="0" w:color="auto"/>
        <w:bottom w:val="none" w:sz="0" w:space="0" w:color="auto"/>
        <w:right w:val="none" w:sz="0" w:space="0" w:color="auto"/>
      </w:divBdr>
    </w:div>
    <w:div w:id="1152985667">
      <w:bodyDiv w:val="1"/>
      <w:marLeft w:val="0"/>
      <w:marRight w:val="0"/>
      <w:marTop w:val="0"/>
      <w:marBottom w:val="0"/>
      <w:divBdr>
        <w:top w:val="none" w:sz="0" w:space="0" w:color="auto"/>
        <w:left w:val="none" w:sz="0" w:space="0" w:color="auto"/>
        <w:bottom w:val="none" w:sz="0" w:space="0" w:color="auto"/>
        <w:right w:val="none" w:sz="0" w:space="0" w:color="auto"/>
      </w:divBdr>
    </w:div>
    <w:div w:id="1185166968">
      <w:bodyDiv w:val="1"/>
      <w:marLeft w:val="0"/>
      <w:marRight w:val="0"/>
      <w:marTop w:val="0"/>
      <w:marBottom w:val="0"/>
      <w:divBdr>
        <w:top w:val="none" w:sz="0" w:space="0" w:color="auto"/>
        <w:left w:val="none" w:sz="0" w:space="0" w:color="auto"/>
        <w:bottom w:val="none" w:sz="0" w:space="0" w:color="auto"/>
        <w:right w:val="none" w:sz="0" w:space="0" w:color="auto"/>
      </w:divBdr>
    </w:div>
    <w:div w:id="1244023516">
      <w:bodyDiv w:val="1"/>
      <w:marLeft w:val="0"/>
      <w:marRight w:val="0"/>
      <w:marTop w:val="0"/>
      <w:marBottom w:val="0"/>
      <w:divBdr>
        <w:top w:val="none" w:sz="0" w:space="0" w:color="auto"/>
        <w:left w:val="none" w:sz="0" w:space="0" w:color="auto"/>
        <w:bottom w:val="none" w:sz="0" w:space="0" w:color="auto"/>
        <w:right w:val="none" w:sz="0" w:space="0" w:color="auto"/>
      </w:divBdr>
    </w:div>
    <w:div w:id="1262841333">
      <w:bodyDiv w:val="1"/>
      <w:marLeft w:val="0"/>
      <w:marRight w:val="0"/>
      <w:marTop w:val="0"/>
      <w:marBottom w:val="0"/>
      <w:divBdr>
        <w:top w:val="none" w:sz="0" w:space="0" w:color="auto"/>
        <w:left w:val="none" w:sz="0" w:space="0" w:color="auto"/>
        <w:bottom w:val="none" w:sz="0" w:space="0" w:color="auto"/>
        <w:right w:val="none" w:sz="0" w:space="0" w:color="auto"/>
      </w:divBdr>
    </w:div>
    <w:div w:id="1383166324">
      <w:bodyDiv w:val="1"/>
      <w:marLeft w:val="0"/>
      <w:marRight w:val="0"/>
      <w:marTop w:val="0"/>
      <w:marBottom w:val="0"/>
      <w:divBdr>
        <w:top w:val="none" w:sz="0" w:space="0" w:color="auto"/>
        <w:left w:val="none" w:sz="0" w:space="0" w:color="auto"/>
        <w:bottom w:val="none" w:sz="0" w:space="0" w:color="auto"/>
        <w:right w:val="none" w:sz="0" w:space="0" w:color="auto"/>
      </w:divBdr>
    </w:div>
    <w:div w:id="1391535455">
      <w:bodyDiv w:val="1"/>
      <w:marLeft w:val="0"/>
      <w:marRight w:val="0"/>
      <w:marTop w:val="0"/>
      <w:marBottom w:val="0"/>
      <w:divBdr>
        <w:top w:val="none" w:sz="0" w:space="0" w:color="auto"/>
        <w:left w:val="none" w:sz="0" w:space="0" w:color="auto"/>
        <w:bottom w:val="none" w:sz="0" w:space="0" w:color="auto"/>
        <w:right w:val="none" w:sz="0" w:space="0" w:color="auto"/>
      </w:divBdr>
    </w:div>
    <w:div w:id="1423725106">
      <w:bodyDiv w:val="1"/>
      <w:marLeft w:val="0"/>
      <w:marRight w:val="0"/>
      <w:marTop w:val="0"/>
      <w:marBottom w:val="0"/>
      <w:divBdr>
        <w:top w:val="none" w:sz="0" w:space="0" w:color="auto"/>
        <w:left w:val="none" w:sz="0" w:space="0" w:color="auto"/>
        <w:bottom w:val="none" w:sz="0" w:space="0" w:color="auto"/>
        <w:right w:val="none" w:sz="0" w:space="0" w:color="auto"/>
      </w:divBdr>
    </w:div>
    <w:div w:id="1429279285">
      <w:bodyDiv w:val="1"/>
      <w:marLeft w:val="0"/>
      <w:marRight w:val="0"/>
      <w:marTop w:val="0"/>
      <w:marBottom w:val="0"/>
      <w:divBdr>
        <w:top w:val="none" w:sz="0" w:space="0" w:color="auto"/>
        <w:left w:val="none" w:sz="0" w:space="0" w:color="auto"/>
        <w:bottom w:val="none" w:sz="0" w:space="0" w:color="auto"/>
        <w:right w:val="none" w:sz="0" w:space="0" w:color="auto"/>
      </w:divBdr>
    </w:div>
    <w:div w:id="1472089668">
      <w:bodyDiv w:val="1"/>
      <w:marLeft w:val="0"/>
      <w:marRight w:val="0"/>
      <w:marTop w:val="0"/>
      <w:marBottom w:val="0"/>
      <w:divBdr>
        <w:top w:val="none" w:sz="0" w:space="0" w:color="auto"/>
        <w:left w:val="none" w:sz="0" w:space="0" w:color="auto"/>
        <w:bottom w:val="none" w:sz="0" w:space="0" w:color="auto"/>
        <w:right w:val="none" w:sz="0" w:space="0" w:color="auto"/>
      </w:divBdr>
    </w:div>
    <w:div w:id="1513565539">
      <w:bodyDiv w:val="1"/>
      <w:marLeft w:val="0"/>
      <w:marRight w:val="0"/>
      <w:marTop w:val="0"/>
      <w:marBottom w:val="0"/>
      <w:divBdr>
        <w:top w:val="none" w:sz="0" w:space="0" w:color="auto"/>
        <w:left w:val="none" w:sz="0" w:space="0" w:color="auto"/>
        <w:bottom w:val="none" w:sz="0" w:space="0" w:color="auto"/>
        <w:right w:val="none" w:sz="0" w:space="0" w:color="auto"/>
      </w:divBdr>
    </w:div>
    <w:div w:id="1513908760">
      <w:bodyDiv w:val="1"/>
      <w:marLeft w:val="0"/>
      <w:marRight w:val="0"/>
      <w:marTop w:val="0"/>
      <w:marBottom w:val="0"/>
      <w:divBdr>
        <w:top w:val="none" w:sz="0" w:space="0" w:color="auto"/>
        <w:left w:val="none" w:sz="0" w:space="0" w:color="auto"/>
        <w:bottom w:val="none" w:sz="0" w:space="0" w:color="auto"/>
        <w:right w:val="none" w:sz="0" w:space="0" w:color="auto"/>
      </w:divBdr>
    </w:div>
    <w:div w:id="1521361134">
      <w:bodyDiv w:val="1"/>
      <w:marLeft w:val="0"/>
      <w:marRight w:val="0"/>
      <w:marTop w:val="0"/>
      <w:marBottom w:val="0"/>
      <w:divBdr>
        <w:top w:val="none" w:sz="0" w:space="0" w:color="auto"/>
        <w:left w:val="none" w:sz="0" w:space="0" w:color="auto"/>
        <w:bottom w:val="none" w:sz="0" w:space="0" w:color="auto"/>
        <w:right w:val="none" w:sz="0" w:space="0" w:color="auto"/>
      </w:divBdr>
    </w:div>
    <w:div w:id="1531722605">
      <w:bodyDiv w:val="1"/>
      <w:marLeft w:val="0"/>
      <w:marRight w:val="0"/>
      <w:marTop w:val="0"/>
      <w:marBottom w:val="0"/>
      <w:divBdr>
        <w:top w:val="none" w:sz="0" w:space="0" w:color="auto"/>
        <w:left w:val="none" w:sz="0" w:space="0" w:color="auto"/>
        <w:bottom w:val="none" w:sz="0" w:space="0" w:color="auto"/>
        <w:right w:val="none" w:sz="0" w:space="0" w:color="auto"/>
      </w:divBdr>
    </w:div>
    <w:div w:id="1591814258">
      <w:bodyDiv w:val="1"/>
      <w:marLeft w:val="0"/>
      <w:marRight w:val="0"/>
      <w:marTop w:val="0"/>
      <w:marBottom w:val="0"/>
      <w:divBdr>
        <w:top w:val="none" w:sz="0" w:space="0" w:color="auto"/>
        <w:left w:val="none" w:sz="0" w:space="0" w:color="auto"/>
        <w:bottom w:val="none" w:sz="0" w:space="0" w:color="auto"/>
        <w:right w:val="none" w:sz="0" w:space="0" w:color="auto"/>
      </w:divBdr>
    </w:div>
    <w:div w:id="1596742479">
      <w:bodyDiv w:val="1"/>
      <w:marLeft w:val="0"/>
      <w:marRight w:val="0"/>
      <w:marTop w:val="0"/>
      <w:marBottom w:val="0"/>
      <w:divBdr>
        <w:top w:val="none" w:sz="0" w:space="0" w:color="auto"/>
        <w:left w:val="none" w:sz="0" w:space="0" w:color="auto"/>
        <w:bottom w:val="none" w:sz="0" w:space="0" w:color="auto"/>
        <w:right w:val="none" w:sz="0" w:space="0" w:color="auto"/>
      </w:divBdr>
    </w:div>
    <w:div w:id="1611425330">
      <w:bodyDiv w:val="1"/>
      <w:marLeft w:val="0"/>
      <w:marRight w:val="0"/>
      <w:marTop w:val="0"/>
      <w:marBottom w:val="0"/>
      <w:divBdr>
        <w:top w:val="none" w:sz="0" w:space="0" w:color="auto"/>
        <w:left w:val="none" w:sz="0" w:space="0" w:color="auto"/>
        <w:bottom w:val="none" w:sz="0" w:space="0" w:color="auto"/>
        <w:right w:val="none" w:sz="0" w:space="0" w:color="auto"/>
      </w:divBdr>
    </w:div>
    <w:div w:id="1612976282">
      <w:bodyDiv w:val="1"/>
      <w:marLeft w:val="0"/>
      <w:marRight w:val="0"/>
      <w:marTop w:val="0"/>
      <w:marBottom w:val="0"/>
      <w:divBdr>
        <w:top w:val="none" w:sz="0" w:space="0" w:color="auto"/>
        <w:left w:val="none" w:sz="0" w:space="0" w:color="auto"/>
        <w:bottom w:val="none" w:sz="0" w:space="0" w:color="auto"/>
        <w:right w:val="none" w:sz="0" w:space="0" w:color="auto"/>
      </w:divBdr>
    </w:div>
    <w:div w:id="1614939379">
      <w:bodyDiv w:val="1"/>
      <w:marLeft w:val="0"/>
      <w:marRight w:val="0"/>
      <w:marTop w:val="0"/>
      <w:marBottom w:val="0"/>
      <w:divBdr>
        <w:top w:val="none" w:sz="0" w:space="0" w:color="auto"/>
        <w:left w:val="none" w:sz="0" w:space="0" w:color="auto"/>
        <w:bottom w:val="none" w:sz="0" w:space="0" w:color="auto"/>
        <w:right w:val="none" w:sz="0" w:space="0" w:color="auto"/>
      </w:divBdr>
    </w:div>
    <w:div w:id="1618289885">
      <w:bodyDiv w:val="1"/>
      <w:marLeft w:val="0"/>
      <w:marRight w:val="0"/>
      <w:marTop w:val="0"/>
      <w:marBottom w:val="0"/>
      <w:divBdr>
        <w:top w:val="none" w:sz="0" w:space="0" w:color="auto"/>
        <w:left w:val="none" w:sz="0" w:space="0" w:color="auto"/>
        <w:bottom w:val="none" w:sz="0" w:space="0" w:color="auto"/>
        <w:right w:val="none" w:sz="0" w:space="0" w:color="auto"/>
      </w:divBdr>
    </w:div>
    <w:div w:id="1626233843">
      <w:bodyDiv w:val="1"/>
      <w:marLeft w:val="0"/>
      <w:marRight w:val="0"/>
      <w:marTop w:val="0"/>
      <w:marBottom w:val="0"/>
      <w:divBdr>
        <w:top w:val="none" w:sz="0" w:space="0" w:color="auto"/>
        <w:left w:val="none" w:sz="0" w:space="0" w:color="auto"/>
        <w:bottom w:val="none" w:sz="0" w:space="0" w:color="auto"/>
        <w:right w:val="none" w:sz="0" w:space="0" w:color="auto"/>
      </w:divBdr>
    </w:div>
    <w:div w:id="1666782245">
      <w:bodyDiv w:val="1"/>
      <w:marLeft w:val="0"/>
      <w:marRight w:val="0"/>
      <w:marTop w:val="0"/>
      <w:marBottom w:val="0"/>
      <w:divBdr>
        <w:top w:val="none" w:sz="0" w:space="0" w:color="auto"/>
        <w:left w:val="none" w:sz="0" w:space="0" w:color="auto"/>
        <w:bottom w:val="none" w:sz="0" w:space="0" w:color="auto"/>
        <w:right w:val="none" w:sz="0" w:space="0" w:color="auto"/>
      </w:divBdr>
    </w:div>
    <w:div w:id="1687558974">
      <w:bodyDiv w:val="1"/>
      <w:marLeft w:val="0"/>
      <w:marRight w:val="0"/>
      <w:marTop w:val="0"/>
      <w:marBottom w:val="0"/>
      <w:divBdr>
        <w:top w:val="none" w:sz="0" w:space="0" w:color="auto"/>
        <w:left w:val="none" w:sz="0" w:space="0" w:color="auto"/>
        <w:bottom w:val="none" w:sz="0" w:space="0" w:color="auto"/>
        <w:right w:val="none" w:sz="0" w:space="0" w:color="auto"/>
      </w:divBdr>
    </w:div>
    <w:div w:id="1695576138">
      <w:bodyDiv w:val="1"/>
      <w:marLeft w:val="0"/>
      <w:marRight w:val="0"/>
      <w:marTop w:val="0"/>
      <w:marBottom w:val="0"/>
      <w:divBdr>
        <w:top w:val="none" w:sz="0" w:space="0" w:color="auto"/>
        <w:left w:val="none" w:sz="0" w:space="0" w:color="auto"/>
        <w:bottom w:val="none" w:sz="0" w:space="0" w:color="auto"/>
        <w:right w:val="none" w:sz="0" w:space="0" w:color="auto"/>
      </w:divBdr>
    </w:div>
    <w:div w:id="1704480576">
      <w:bodyDiv w:val="1"/>
      <w:marLeft w:val="0"/>
      <w:marRight w:val="0"/>
      <w:marTop w:val="0"/>
      <w:marBottom w:val="0"/>
      <w:divBdr>
        <w:top w:val="none" w:sz="0" w:space="0" w:color="auto"/>
        <w:left w:val="none" w:sz="0" w:space="0" w:color="auto"/>
        <w:bottom w:val="none" w:sz="0" w:space="0" w:color="auto"/>
        <w:right w:val="none" w:sz="0" w:space="0" w:color="auto"/>
      </w:divBdr>
    </w:div>
    <w:div w:id="1711034329">
      <w:bodyDiv w:val="1"/>
      <w:marLeft w:val="0"/>
      <w:marRight w:val="0"/>
      <w:marTop w:val="0"/>
      <w:marBottom w:val="0"/>
      <w:divBdr>
        <w:top w:val="none" w:sz="0" w:space="0" w:color="auto"/>
        <w:left w:val="none" w:sz="0" w:space="0" w:color="auto"/>
        <w:bottom w:val="none" w:sz="0" w:space="0" w:color="auto"/>
        <w:right w:val="none" w:sz="0" w:space="0" w:color="auto"/>
      </w:divBdr>
    </w:div>
    <w:div w:id="1719936371">
      <w:bodyDiv w:val="1"/>
      <w:marLeft w:val="0"/>
      <w:marRight w:val="0"/>
      <w:marTop w:val="0"/>
      <w:marBottom w:val="0"/>
      <w:divBdr>
        <w:top w:val="none" w:sz="0" w:space="0" w:color="auto"/>
        <w:left w:val="none" w:sz="0" w:space="0" w:color="auto"/>
        <w:bottom w:val="none" w:sz="0" w:space="0" w:color="auto"/>
        <w:right w:val="none" w:sz="0" w:space="0" w:color="auto"/>
      </w:divBdr>
    </w:div>
    <w:div w:id="1728138773">
      <w:bodyDiv w:val="1"/>
      <w:marLeft w:val="0"/>
      <w:marRight w:val="0"/>
      <w:marTop w:val="0"/>
      <w:marBottom w:val="0"/>
      <w:divBdr>
        <w:top w:val="none" w:sz="0" w:space="0" w:color="auto"/>
        <w:left w:val="none" w:sz="0" w:space="0" w:color="auto"/>
        <w:bottom w:val="none" w:sz="0" w:space="0" w:color="auto"/>
        <w:right w:val="none" w:sz="0" w:space="0" w:color="auto"/>
      </w:divBdr>
    </w:div>
    <w:div w:id="1747410132">
      <w:bodyDiv w:val="1"/>
      <w:marLeft w:val="0"/>
      <w:marRight w:val="0"/>
      <w:marTop w:val="0"/>
      <w:marBottom w:val="0"/>
      <w:divBdr>
        <w:top w:val="none" w:sz="0" w:space="0" w:color="auto"/>
        <w:left w:val="none" w:sz="0" w:space="0" w:color="auto"/>
        <w:bottom w:val="none" w:sz="0" w:space="0" w:color="auto"/>
        <w:right w:val="none" w:sz="0" w:space="0" w:color="auto"/>
      </w:divBdr>
    </w:div>
    <w:div w:id="1749494756">
      <w:bodyDiv w:val="1"/>
      <w:marLeft w:val="0"/>
      <w:marRight w:val="0"/>
      <w:marTop w:val="0"/>
      <w:marBottom w:val="0"/>
      <w:divBdr>
        <w:top w:val="none" w:sz="0" w:space="0" w:color="auto"/>
        <w:left w:val="none" w:sz="0" w:space="0" w:color="auto"/>
        <w:bottom w:val="none" w:sz="0" w:space="0" w:color="auto"/>
        <w:right w:val="none" w:sz="0" w:space="0" w:color="auto"/>
      </w:divBdr>
    </w:div>
    <w:div w:id="1764572599">
      <w:bodyDiv w:val="1"/>
      <w:marLeft w:val="0"/>
      <w:marRight w:val="0"/>
      <w:marTop w:val="0"/>
      <w:marBottom w:val="0"/>
      <w:divBdr>
        <w:top w:val="none" w:sz="0" w:space="0" w:color="auto"/>
        <w:left w:val="none" w:sz="0" w:space="0" w:color="auto"/>
        <w:bottom w:val="none" w:sz="0" w:space="0" w:color="auto"/>
        <w:right w:val="none" w:sz="0" w:space="0" w:color="auto"/>
      </w:divBdr>
    </w:div>
    <w:div w:id="1768192256">
      <w:bodyDiv w:val="1"/>
      <w:marLeft w:val="0"/>
      <w:marRight w:val="0"/>
      <w:marTop w:val="0"/>
      <w:marBottom w:val="0"/>
      <w:divBdr>
        <w:top w:val="none" w:sz="0" w:space="0" w:color="auto"/>
        <w:left w:val="none" w:sz="0" w:space="0" w:color="auto"/>
        <w:bottom w:val="none" w:sz="0" w:space="0" w:color="auto"/>
        <w:right w:val="none" w:sz="0" w:space="0" w:color="auto"/>
      </w:divBdr>
    </w:div>
    <w:div w:id="1772161433">
      <w:bodyDiv w:val="1"/>
      <w:marLeft w:val="0"/>
      <w:marRight w:val="0"/>
      <w:marTop w:val="0"/>
      <w:marBottom w:val="0"/>
      <w:divBdr>
        <w:top w:val="none" w:sz="0" w:space="0" w:color="auto"/>
        <w:left w:val="none" w:sz="0" w:space="0" w:color="auto"/>
        <w:bottom w:val="none" w:sz="0" w:space="0" w:color="auto"/>
        <w:right w:val="none" w:sz="0" w:space="0" w:color="auto"/>
      </w:divBdr>
    </w:div>
    <w:div w:id="1772507346">
      <w:bodyDiv w:val="1"/>
      <w:marLeft w:val="0"/>
      <w:marRight w:val="0"/>
      <w:marTop w:val="0"/>
      <w:marBottom w:val="0"/>
      <w:divBdr>
        <w:top w:val="none" w:sz="0" w:space="0" w:color="auto"/>
        <w:left w:val="none" w:sz="0" w:space="0" w:color="auto"/>
        <w:bottom w:val="none" w:sz="0" w:space="0" w:color="auto"/>
        <w:right w:val="none" w:sz="0" w:space="0" w:color="auto"/>
      </w:divBdr>
    </w:div>
    <w:div w:id="1779062467">
      <w:bodyDiv w:val="1"/>
      <w:marLeft w:val="0"/>
      <w:marRight w:val="0"/>
      <w:marTop w:val="0"/>
      <w:marBottom w:val="0"/>
      <w:divBdr>
        <w:top w:val="none" w:sz="0" w:space="0" w:color="auto"/>
        <w:left w:val="none" w:sz="0" w:space="0" w:color="auto"/>
        <w:bottom w:val="none" w:sz="0" w:space="0" w:color="auto"/>
        <w:right w:val="none" w:sz="0" w:space="0" w:color="auto"/>
      </w:divBdr>
    </w:div>
    <w:div w:id="1812819022">
      <w:bodyDiv w:val="1"/>
      <w:marLeft w:val="0"/>
      <w:marRight w:val="0"/>
      <w:marTop w:val="0"/>
      <w:marBottom w:val="0"/>
      <w:divBdr>
        <w:top w:val="none" w:sz="0" w:space="0" w:color="auto"/>
        <w:left w:val="none" w:sz="0" w:space="0" w:color="auto"/>
        <w:bottom w:val="none" w:sz="0" w:space="0" w:color="auto"/>
        <w:right w:val="none" w:sz="0" w:space="0" w:color="auto"/>
      </w:divBdr>
    </w:div>
    <w:div w:id="1825782396">
      <w:bodyDiv w:val="1"/>
      <w:marLeft w:val="0"/>
      <w:marRight w:val="0"/>
      <w:marTop w:val="0"/>
      <w:marBottom w:val="0"/>
      <w:divBdr>
        <w:top w:val="none" w:sz="0" w:space="0" w:color="auto"/>
        <w:left w:val="none" w:sz="0" w:space="0" w:color="auto"/>
        <w:bottom w:val="none" w:sz="0" w:space="0" w:color="auto"/>
        <w:right w:val="none" w:sz="0" w:space="0" w:color="auto"/>
      </w:divBdr>
    </w:div>
    <w:div w:id="1837721661">
      <w:bodyDiv w:val="1"/>
      <w:marLeft w:val="0"/>
      <w:marRight w:val="0"/>
      <w:marTop w:val="0"/>
      <w:marBottom w:val="0"/>
      <w:divBdr>
        <w:top w:val="none" w:sz="0" w:space="0" w:color="auto"/>
        <w:left w:val="none" w:sz="0" w:space="0" w:color="auto"/>
        <w:bottom w:val="none" w:sz="0" w:space="0" w:color="auto"/>
        <w:right w:val="none" w:sz="0" w:space="0" w:color="auto"/>
      </w:divBdr>
    </w:div>
    <w:div w:id="1840149672">
      <w:bodyDiv w:val="1"/>
      <w:marLeft w:val="0"/>
      <w:marRight w:val="0"/>
      <w:marTop w:val="0"/>
      <w:marBottom w:val="0"/>
      <w:divBdr>
        <w:top w:val="none" w:sz="0" w:space="0" w:color="auto"/>
        <w:left w:val="none" w:sz="0" w:space="0" w:color="auto"/>
        <w:bottom w:val="none" w:sz="0" w:space="0" w:color="auto"/>
        <w:right w:val="none" w:sz="0" w:space="0" w:color="auto"/>
      </w:divBdr>
    </w:div>
    <w:div w:id="1844054443">
      <w:bodyDiv w:val="1"/>
      <w:marLeft w:val="0"/>
      <w:marRight w:val="0"/>
      <w:marTop w:val="0"/>
      <w:marBottom w:val="0"/>
      <w:divBdr>
        <w:top w:val="none" w:sz="0" w:space="0" w:color="auto"/>
        <w:left w:val="none" w:sz="0" w:space="0" w:color="auto"/>
        <w:bottom w:val="none" w:sz="0" w:space="0" w:color="auto"/>
        <w:right w:val="none" w:sz="0" w:space="0" w:color="auto"/>
      </w:divBdr>
    </w:div>
    <w:div w:id="1864392250">
      <w:bodyDiv w:val="1"/>
      <w:marLeft w:val="0"/>
      <w:marRight w:val="0"/>
      <w:marTop w:val="0"/>
      <w:marBottom w:val="0"/>
      <w:divBdr>
        <w:top w:val="none" w:sz="0" w:space="0" w:color="auto"/>
        <w:left w:val="none" w:sz="0" w:space="0" w:color="auto"/>
        <w:bottom w:val="none" w:sz="0" w:space="0" w:color="auto"/>
        <w:right w:val="none" w:sz="0" w:space="0" w:color="auto"/>
      </w:divBdr>
    </w:div>
    <w:div w:id="1883319898">
      <w:bodyDiv w:val="1"/>
      <w:marLeft w:val="0"/>
      <w:marRight w:val="0"/>
      <w:marTop w:val="0"/>
      <w:marBottom w:val="0"/>
      <w:divBdr>
        <w:top w:val="none" w:sz="0" w:space="0" w:color="auto"/>
        <w:left w:val="none" w:sz="0" w:space="0" w:color="auto"/>
        <w:bottom w:val="none" w:sz="0" w:space="0" w:color="auto"/>
        <w:right w:val="none" w:sz="0" w:space="0" w:color="auto"/>
      </w:divBdr>
    </w:div>
    <w:div w:id="1893076889">
      <w:bodyDiv w:val="1"/>
      <w:marLeft w:val="0"/>
      <w:marRight w:val="0"/>
      <w:marTop w:val="0"/>
      <w:marBottom w:val="0"/>
      <w:divBdr>
        <w:top w:val="none" w:sz="0" w:space="0" w:color="auto"/>
        <w:left w:val="none" w:sz="0" w:space="0" w:color="auto"/>
        <w:bottom w:val="none" w:sz="0" w:space="0" w:color="auto"/>
        <w:right w:val="none" w:sz="0" w:space="0" w:color="auto"/>
      </w:divBdr>
    </w:div>
    <w:div w:id="1908149944">
      <w:bodyDiv w:val="1"/>
      <w:marLeft w:val="0"/>
      <w:marRight w:val="0"/>
      <w:marTop w:val="0"/>
      <w:marBottom w:val="0"/>
      <w:divBdr>
        <w:top w:val="none" w:sz="0" w:space="0" w:color="auto"/>
        <w:left w:val="none" w:sz="0" w:space="0" w:color="auto"/>
        <w:bottom w:val="none" w:sz="0" w:space="0" w:color="auto"/>
        <w:right w:val="none" w:sz="0" w:space="0" w:color="auto"/>
      </w:divBdr>
      <w:divsChild>
        <w:div w:id="1603798882">
          <w:marLeft w:val="0"/>
          <w:marRight w:val="0"/>
          <w:marTop w:val="0"/>
          <w:marBottom w:val="0"/>
          <w:divBdr>
            <w:top w:val="none" w:sz="0" w:space="0" w:color="auto"/>
            <w:left w:val="none" w:sz="0" w:space="0" w:color="auto"/>
            <w:bottom w:val="none" w:sz="0" w:space="0" w:color="auto"/>
            <w:right w:val="none" w:sz="0" w:space="0" w:color="auto"/>
          </w:divBdr>
        </w:div>
        <w:div w:id="1293749847">
          <w:marLeft w:val="0"/>
          <w:marRight w:val="0"/>
          <w:marTop w:val="0"/>
          <w:marBottom w:val="0"/>
          <w:divBdr>
            <w:top w:val="none" w:sz="0" w:space="0" w:color="auto"/>
            <w:left w:val="none" w:sz="0" w:space="0" w:color="auto"/>
            <w:bottom w:val="none" w:sz="0" w:space="0" w:color="auto"/>
            <w:right w:val="none" w:sz="0" w:space="0" w:color="auto"/>
          </w:divBdr>
        </w:div>
        <w:div w:id="819998397">
          <w:marLeft w:val="0"/>
          <w:marRight w:val="0"/>
          <w:marTop w:val="0"/>
          <w:marBottom w:val="0"/>
          <w:divBdr>
            <w:top w:val="none" w:sz="0" w:space="0" w:color="auto"/>
            <w:left w:val="none" w:sz="0" w:space="0" w:color="auto"/>
            <w:bottom w:val="none" w:sz="0" w:space="0" w:color="auto"/>
            <w:right w:val="none" w:sz="0" w:space="0" w:color="auto"/>
          </w:divBdr>
        </w:div>
        <w:div w:id="635332042">
          <w:marLeft w:val="0"/>
          <w:marRight w:val="0"/>
          <w:marTop w:val="0"/>
          <w:marBottom w:val="0"/>
          <w:divBdr>
            <w:top w:val="none" w:sz="0" w:space="0" w:color="auto"/>
            <w:left w:val="none" w:sz="0" w:space="0" w:color="auto"/>
            <w:bottom w:val="none" w:sz="0" w:space="0" w:color="auto"/>
            <w:right w:val="none" w:sz="0" w:space="0" w:color="auto"/>
          </w:divBdr>
        </w:div>
        <w:div w:id="317930313">
          <w:marLeft w:val="0"/>
          <w:marRight w:val="0"/>
          <w:marTop w:val="0"/>
          <w:marBottom w:val="0"/>
          <w:divBdr>
            <w:top w:val="none" w:sz="0" w:space="0" w:color="auto"/>
            <w:left w:val="none" w:sz="0" w:space="0" w:color="auto"/>
            <w:bottom w:val="none" w:sz="0" w:space="0" w:color="auto"/>
            <w:right w:val="none" w:sz="0" w:space="0" w:color="auto"/>
          </w:divBdr>
        </w:div>
        <w:div w:id="1943102851">
          <w:marLeft w:val="0"/>
          <w:marRight w:val="0"/>
          <w:marTop w:val="0"/>
          <w:marBottom w:val="0"/>
          <w:divBdr>
            <w:top w:val="none" w:sz="0" w:space="0" w:color="auto"/>
            <w:left w:val="none" w:sz="0" w:space="0" w:color="auto"/>
            <w:bottom w:val="none" w:sz="0" w:space="0" w:color="auto"/>
            <w:right w:val="none" w:sz="0" w:space="0" w:color="auto"/>
          </w:divBdr>
        </w:div>
        <w:div w:id="2003583425">
          <w:marLeft w:val="0"/>
          <w:marRight w:val="0"/>
          <w:marTop w:val="0"/>
          <w:marBottom w:val="0"/>
          <w:divBdr>
            <w:top w:val="none" w:sz="0" w:space="0" w:color="auto"/>
            <w:left w:val="none" w:sz="0" w:space="0" w:color="auto"/>
            <w:bottom w:val="none" w:sz="0" w:space="0" w:color="auto"/>
            <w:right w:val="none" w:sz="0" w:space="0" w:color="auto"/>
          </w:divBdr>
        </w:div>
        <w:div w:id="767654158">
          <w:marLeft w:val="0"/>
          <w:marRight w:val="0"/>
          <w:marTop w:val="0"/>
          <w:marBottom w:val="0"/>
          <w:divBdr>
            <w:top w:val="none" w:sz="0" w:space="0" w:color="auto"/>
            <w:left w:val="none" w:sz="0" w:space="0" w:color="auto"/>
            <w:bottom w:val="none" w:sz="0" w:space="0" w:color="auto"/>
            <w:right w:val="none" w:sz="0" w:space="0" w:color="auto"/>
          </w:divBdr>
        </w:div>
        <w:div w:id="802428259">
          <w:marLeft w:val="0"/>
          <w:marRight w:val="0"/>
          <w:marTop w:val="0"/>
          <w:marBottom w:val="0"/>
          <w:divBdr>
            <w:top w:val="none" w:sz="0" w:space="0" w:color="auto"/>
            <w:left w:val="none" w:sz="0" w:space="0" w:color="auto"/>
            <w:bottom w:val="none" w:sz="0" w:space="0" w:color="auto"/>
            <w:right w:val="none" w:sz="0" w:space="0" w:color="auto"/>
          </w:divBdr>
        </w:div>
        <w:div w:id="1927809357">
          <w:marLeft w:val="0"/>
          <w:marRight w:val="0"/>
          <w:marTop w:val="0"/>
          <w:marBottom w:val="0"/>
          <w:divBdr>
            <w:top w:val="none" w:sz="0" w:space="0" w:color="auto"/>
            <w:left w:val="none" w:sz="0" w:space="0" w:color="auto"/>
            <w:bottom w:val="none" w:sz="0" w:space="0" w:color="auto"/>
            <w:right w:val="none" w:sz="0" w:space="0" w:color="auto"/>
          </w:divBdr>
        </w:div>
        <w:div w:id="1416197508">
          <w:marLeft w:val="0"/>
          <w:marRight w:val="0"/>
          <w:marTop w:val="0"/>
          <w:marBottom w:val="0"/>
          <w:divBdr>
            <w:top w:val="none" w:sz="0" w:space="0" w:color="auto"/>
            <w:left w:val="none" w:sz="0" w:space="0" w:color="auto"/>
            <w:bottom w:val="none" w:sz="0" w:space="0" w:color="auto"/>
            <w:right w:val="none" w:sz="0" w:space="0" w:color="auto"/>
          </w:divBdr>
        </w:div>
        <w:div w:id="84229861">
          <w:marLeft w:val="0"/>
          <w:marRight w:val="0"/>
          <w:marTop w:val="0"/>
          <w:marBottom w:val="0"/>
          <w:divBdr>
            <w:top w:val="none" w:sz="0" w:space="0" w:color="auto"/>
            <w:left w:val="none" w:sz="0" w:space="0" w:color="auto"/>
            <w:bottom w:val="none" w:sz="0" w:space="0" w:color="auto"/>
            <w:right w:val="none" w:sz="0" w:space="0" w:color="auto"/>
          </w:divBdr>
        </w:div>
        <w:div w:id="1848861807">
          <w:marLeft w:val="0"/>
          <w:marRight w:val="0"/>
          <w:marTop w:val="0"/>
          <w:marBottom w:val="0"/>
          <w:divBdr>
            <w:top w:val="none" w:sz="0" w:space="0" w:color="auto"/>
            <w:left w:val="none" w:sz="0" w:space="0" w:color="auto"/>
            <w:bottom w:val="none" w:sz="0" w:space="0" w:color="auto"/>
            <w:right w:val="none" w:sz="0" w:space="0" w:color="auto"/>
          </w:divBdr>
        </w:div>
        <w:div w:id="474874672">
          <w:marLeft w:val="0"/>
          <w:marRight w:val="0"/>
          <w:marTop w:val="0"/>
          <w:marBottom w:val="0"/>
          <w:divBdr>
            <w:top w:val="none" w:sz="0" w:space="0" w:color="auto"/>
            <w:left w:val="none" w:sz="0" w:space="0" w:color="auto"/>
            <w:bottom w:val="none" w:sz="0" w:space="0" w:color="auto"/>
            <w:right w:val="none" w:sz="0" w:space="0" w:color="auto"/>
          </w:divBdr>
        </w:div>
        <w:div w:id="1506287628">
          <w:marLeft w:val="0"/>
          <w:marRight w:val="0"/>
          <w:marTop w:val="0"/>
          <w:marBottom w:val="0"/>
          <w:divBdr>
            <w:top w:val="none" w:sz="0" w:space="0" w:color="auto"/>
            <w:left w:val="none" w:sz="0" w:space="0" w:color="auto"/>
            <w:bottom w:val="none" w:sz="0" w:space="0" w:color="auto"/>
            <w:right w:val="none" w:sz="0" w:space="0" w:color="auto"/>
          </w:divBdr>
        </w:div>
        <w:div w:id="105933468">
          <w:marLeft w:val="0"/>
          <w:marRight w:val="0"/>
          <w:marTop w:val="0"/>
          <w:marBottom w:val="0"/>
          <w:divBdr>
            <w:top w:val="none" w:sz="0" w:space="0" w:color="auto"/>
            <w:left w:val="none" w:sz="0" w:space="0" w:color="auto"/>
            <w:bottom w:val="none" w:sz="0" w:space="0" w:color="auto"/>
            <w:right w:val="none" w:sz="0" w:space="0" w:color="auto"/>
          </w:divBdr>
        </w:div>
        <w:div w:id="26493248">
          <w:marLeft w:val="0"/>
          <w:marRight w:val="0"/>
          <w:marTop w:val="0"/>
          <w:marBottom w:val="0"/>
          <w:divBdr>
            <w:top w:val="none" w:sz="0" w:space="0" w:color="auto"/>
            <w:left w:val="none" w:sz="0" w:space="0" w:color="auto"/>
            <w:bottom w:val="none" w:sz="0" w:space="0" w:color="auto"/>
            <w:right w:val="none" w:sz="0" w:space="0" w:color="auto"/>
          </w:divBdr>
        </w:div>
        <w:div w:id="1134912630">
          <w:marLeft w:val="0"/>
          <w:marRight w:val="0"/>
          <w:marTop w:val="0"/>
          <w:marBottom w:val="0"/>
          <w:divBdr>
            <w:top w:val="none" w:sz="0" w:space="0" w:color="auto"/>
            <w:left w:val="none" w:sz="0" w:space="0" w:color="auto"/>
            <w:bottom w:val="none" w:sz="0" w:space="0" w:color="auto"/>
            <w:right w:val="none" w:sz="0" w:space="0" w:color="auto"/>
          </w:divBdr>
        </w:div>
        <w:div w:id="574053260">
          <w:marLeft w:val="0"/>
          <w:marRight w:val="0"/>
          <w:marTop w:val="0"/>
          <w:marBottom w:val="0"/>
          <w:divBdr>
            <w:top w:val="none" w:sz="0" w:space="0" w:color="auto"/>
            <w:left w:val="none" w:sz="0" w:space="0" w:color="auto"/>
            <w:bottom w:val="none" w:sz="0" w:space="0" w:color="auto"/>
            <w:right w:val="none" w:sz="0" w:space="0" w:color="auto"/>
          </w:divBdr>
        </w:div>
        <w:div w:id="583957635">
          <w:marLeft w:val="0"/>
          <w:marRight w:val="0"/>
          <w:marTop w:val="0"/>
          <w:marBottom w:val="0"/>
          <w:divBdr>
            <w:top w:val="none" w:sz="0" w:space="0" w:color="auto"/>
            <w:left w:val="none" w:sz="0" w:space="0" w:color="auto"/>
            <w:bottom w:val="none" w:sz="0" w:space="0" w:color="auto"/>
            <w:right w:val="none" w:sz="0" w:space="0" w:color="auto"/>
          </w:divBdr>
        </w:div>
        <w:div w:id="1602568301">
          <w:marLeft w:val="0"/>
          <w:marRight w:val="0"/>
          <w:marTop w:val="0"/>
          <w:marBottom w:val="0"/>
          <w:divBdr>
            <w:top w:val="none" w:sz="0" w:space="0" w:color="auto"/>
            <w:left w:val="none" w:sz="0" w:space="0" w:color="auto"/>
            <w:bottom w:val="none" w:sz="0" w:space="0" w:color="auto"/>
            <w:right w:val="none" w:sz="0" w:space="0" w:color="auto"/>
          </w:divBdr>
        </w:div>
        <w:div w:id="1051928944">
          <w:marLeft w:val="0"/>
          <w:marRight w:val="0"/>
          <w:marTop w:val="0"/>
          <w:marBottom w:val="0"/>
          <w:divBdr>
            <w:top w:val="none" w:sz="0" w:space="0" w:color="auto"/>
            <w:left w:val="none" w:sz="0" w:space="0" w:color="auto"/>
            <w:bottom w:val="none" w:sz="0" w:space="0" w:color="auto"/>
            <w:right w:val="none" w:sz="0" w:space="0" w:color="auto"/>
          </w:divBdr>
        </w:div>
        <w:div w:id="1337490394">
          <w:marLeft w:val="0"/>
          <w:marRight w:val="0"/>
          <w:marTop w:val="0"/>
          <w:marBottom w:val="0"/>
          <w:divBdr>
            <w:top w:val="none" w:sz="0" w:space="0" w:color="auto"/>
            <w:left w:val="none" w:sz="0" w:space="0" w:color="auto"/>
            <w:bottom w:val="none" w:sz="0" w:space="0" w:color="auto"/>
            <w:right w:val="none" w:sz="0" w:space="0" w:color="auto"/>
          </w:divBdr>
        </w:div>
        <w:div w:id="2077316224">
          <w:marLeft w:val="0"/>
          <w:marRight w:val="0"/>
          <w:marTop w:val="0"/>
          <w:marBottom w:val="0"/>
          <w:divBdr>
            <w:top w:val="none" w:sz="0" w:space="0" w:color="auto"/>
            <w:left w:val="none" w:sz="0" w:space="0" w:color="auto"/>
            <w:bottom w:val="none" w:sz="0" w:space="0" w:color="auto"/>
            <w:right w:val="none" w:sz="0" w:space="0" w:color="auto"/>
          </w:divBdr>
        </w:div>
        <w:div w:id="1185705238">
          <w:marLeft w:val="0"/>
          <w:marRight w:val="0"/>
          <w:marTop w:val="0"/>
          <w:marBottom w:val="0"/>
          <w:divBdr>
            <w:top w:val="none" w:sz="0" w:space="0" w:color="auto"/>
            <w:left w:val="none" w:sz="0" w:space="0" w:color="auto"/>
            <w:bottom w:val="none" w:sz="0" w:space="0" w:color="auto"/>
            <w:right w:val="none" w:sz="0" w:space="0" w:color="auto"/>
          </w:divBdr>
        </w:div>
        <w:div w:id="168755608">
          <w:marLeft w:val="0"/>
          <w:marRight w:val="0"/>
          <w:marTop w:val="0"/>
          <w:marBottom w:val="0"/>
          <w:divBdr>
            <w:top w:val="none" w:sz="0" w:space="0" w:color="auto"/>
            <w:left w:val="none" w:sz="0" w:space="0" w:color="auto"/>
            <w:bottom w:val="none" w:sz="0" w:space="0" w:color="auto"/>
            <w:right w:val="none" w:sz="0" w:space="0" w:color="auto"/>
          </w:divBdr>
        </w:div>
        <w:div w:id="535048750">
          <w:marLeft w:val="0"/>
          <w:marRight w:val="0"/>
          <w:marTop w:val="0"/>
          <w:marBottom w:val="0"/>
          <w:divBdr>
            <w:top w:val="none" w:sz="0" w:space="0" w:color="auto"/>
            <w:left w:val="none" w:sz="0" w:space="0" w:color="auto"/>
            <w:bottom w:val="none" w:sz="0" w:space="0" w:color="auto"/>
            <w:right w:val="none" w:sz="0" w:space="0" w:color="auto"/>
          </w:divBdr>
        </w:div>
        <w:div w:id="732854358">
          <w:marLeft w:val="0"/>
          <w:marRight w:val="0"/>
          <w:marTop w:val="0"/>
          <w:marBottom w:val="0"/>
          <w:divBdr>
            <w:top w:val="none" w:sz="0" w:space="0" w:color="auto"/>
            <w:left w:val="none" w:sz="0" w:space="0" w:color="auto"/>
            <w:bottom w:val="none" w:sz="0" w:space="0" w:color="auto"/>
            <w:right w:val="none" w:sz="0" w:space="0" w:color="auto"/>
          </w:divBdr>
        </w:div>
        <w:div w:id="791442995">
          <w:marLeft w:val="0"/>
          <w:marRight w:val="0"/>
          <w:marTop w:val="0"/>
          <w:marBottom w:val="0"/>
          <w:divBdr>
            <w:top w:val="none" w:sz="0" w:space="0" w:color="auto"/>
            <w:left w:val="none" w:sz="0" w:space="0" w:color="auto"/>
            <w:bottom w:val="none" w:sz="0" w:space="0" w:color="auto"/>
            <w:right w:val="none" w:sz="0" w:space="0" w:color="auto"/>
          </w:divBdr>
        </w:div>
        <w:div w:id="669599923">
          <w:marLeft w:val="0"/>
          <w:marRight w:val="0"/>
          <w:marTop w:val="0"/>
          <w:marBottom w:val="0"/>
          <w:divBdr>
            <w:top w:val="none" w:sz="0" w:space="0" w:color="auto"/>
            <w:left w:val="none" w:sz="0" w:space="0" w:color="auto"/>
            <w:bottom w:val="none" w:sz="0" w:space="0" w:color="auto"/>
            <w:right w:val="none" w:sz="0" w:space="0" w:color="auto"/>
          </w:divBdr>
        </w:div>
        <w:div w:id="306277870">
          <w:marLeft w:val="0"/>
          <w:marRight w:val="0"/>
          <w:marTop w:val="0"/>
          <w:marBottom w:val="0"/>
          <w:divBdr>
            <w:top w:val="none" w:sz="0" w:space="0" w:color="auto"/>
            <w:left w:val="none" w:sz="0" w:space="0" w:color="auto"/>
            <w:bottom w:val="none" w:sz="0" w:space="0" w:color="auto"/>
            <w:right w:val="none" w:sz="0" w:space="0" w:color="auto"/>
          </w:divBdr>
        </w:div>
        <w:div w:id="1733886112">
          <w:marLeft w:val="0"/>
          <w:marRight w:val="0"/>
          <w:marTop w:val="0"/>
          <w:marBottom w:val="0"/>
          <w:divBdr>
            <w:top w:val="none" w:sz="0" w:space="0" w:color="auto"/>
            <w:left w:val="none" w:sz="0" w:space="0" w:color="auto"/>
            <w:bottom w:val="none" w:sz="0" w:space="0" w:color="auto"/>
            <w:right w:val="none" w:sz="0" w:space="0" w:color="auto"/>
          </w:divBdr>
        </w:div>
        <w:div w:id="294718454">
          <w:marLeft w:val="0"/>
          <w:marRight w:val="0"/>
          <w:marTop w:val="0"/>
          <w:marBottom w:val="0"/>
          <w:divBdr>
            <w:top w:val="none" w:sz="0" w:space="0" w:color="auto"/>
            <w:left w:val="none" w:sz="0" w:space="0" w:color="auto"/>
            <w:bottom w:val="none" w:sz="0" w:space="0" w:color="auto"/>
            <w:right w:val="none" w:sz="0" w:space="0" w:color="auto"/>
          </w:divBdr>
        </w:div>
        <w:div w:id="1933974661">
          <w:marLeft w:val="0"/>
          <w:marRight w:val="0"/>
          <w:marTop w:val="0"/>
          <w:marBottom w:val="0"/>
          <w:divBdr>
            <w:top w:val="none" w:sz="0" w:space="0" w:color="auto"/>
            <w:left w:val="none" w:sz="0" w:space="0" w:color="auto"/>
            <w:bottom w:val="none" w:sz="0" w:space="0" w:color="auto"/>
            <w:right w:val="none" w:sz="0" w:space="0" w:color="auto"/>
          </w:divBdr>
        </w:div>
        <w:div w:id="950164348">
          <w:marLeft w:val="0"/>
          <w:marRight w:val="0"/>
          <w:marTop w:val="0"/>
          <w:marBottom w:val="0"/>
          <w:divBdr>
            <w:top w:val="none" w:sz="0" w:space="0" w:color="auto"/>
            <w:left w:val="none" w:sz="0" w:space="0" w:color="auto"/>
            <w:bottom w:val="none" w:sz="0" w:space="0" w:color="auto"/>
            <w:right w:val="none" w:sz="0" w:space="0" w:color="auto"/>
          </w:divBdr>
        </w:div>
        <w:div w:id="1007053257">
          <w:marLeft w:val="0"/>
          <w:marRight w:val="0"/>
          <w:marTop w:val="0"/>
          <w:marBottom w:val="0"/>
          <w:divBdr>
            <w:top w:val="none" w:sz="0" w:space="0" w:color="auto"/>
            <w:left w:val="none" w:sz="0" w:space="0" w:color="auto"/>
            <w:bottom w:val="none" w:sz="0" w:space="0" w:color="auto"/>
            <w:right w:val="none" w:sz="0" w:space="0" w:color="auto"/>
          </w:divBdr>
        </w:div>
        <w:div w:id="1714963131">
          <w:marLeft w:val="0"/>
          <w:marRight w:val="0"/>
          <w:marTop w:val="0"/>
          <w:marBottom w:val="0"/>
          <w:divBdr>
            <w:top w:val="none" w:sz="0" w:space="0" w:color="auto"/>
            <w:left w:val="none" w:sz="0" w:space="0" w:color="auto"/>
            <w:bottom w:val="none" w:sz="0" w:space="0" w:color="auto"/>
            <w:right w:val="none" w:sz="0" w:space="0" w:color="auto"/>
          </w:divBdr>
        </w:div>
        <w:div w:id="383068232">
          <w:marLeft w:val="0"/>
          <w:marRight w:val="0"/>
          <w:marTop w:val="0"/>
          <w:marBottom w:val="0"/>
          <w:divBdr>
            <w:top w:val="none" w:sz="0" w:space="0" w:color="auto"/>
            <w:left w:val="none" w:sz="0" w:space="0" w:color="auto"/>
            <w:bottom w:val="none" w:sz="0" w:space="0" w:color="auto"/>
            <w:right w:val="none" w:sz="0" w:space="0" w:color="auto"/>
          </w:divBdr>
        </w:div>
        <w:div w:id="1660233249">
          <w:marLeft w:val="0"/>
          <w:marRight w:val="0"/>
          <w:marTop w:val="0"/>
          <w:marBottom w:val="0"/>
          <w:divBdr>
            <w:top w:val="none" w:sz="0" w:space="0" w:color="auto"/>
            <w:left w:val="none" w:sz="0" w:space="0" w:color="auto"/>
            <w:bottom w:val="none" w:sz="0" w:space="0" w:color="auto"/>
            <w:right w:val="none" w:sz="0" w:space="0" w:color="auto"/>
          </w:divBdr>
        </w:div>
        <w:div w:id="1374037757">
          <w:marLeft w:val="0"/>
          <w:marRight w:val="0"/>
          <w:marTop w:val="0"/>
          <w:marBottom w:val="0"/>
          <w:divBdr>
            <w:top w:val="none" w:sz="0" w:space="0" w:color="auto"/>
            <w:left w:val="none" w:sz="0" w:space="0" w:color="auto"/>
            <w:bottom w:val="none" w:sz="0" w:space="0" w:color="auto"/>
            <w:right w:val="none" w:sz="0" w:space="0" w:color="auto"/>
          </w:divBdr>
        </w:div>
        <w:div w:id="1501234061">
          <w:marLeft w:val="0"/>
          <w:marRight w:val="0"/>
          <w:marTop w:val="0"/>
          <w:marBottom w:val="0"/>
          <w:divBdr>
            <w:top w:val="none" w:sz="0" w:space="0" w:color="auto"/>
            <w:left w:val="none" w:sz="0" w:space="0" w:color="auto"/>
            <w:bottom w:val="none" w:sz="0" w:space="0" w:color="auto"/>
            <w:right w:val="none" w:sz="0" w:space="0" w:color="auto"/>
          </w:divBdr>
        </w:div>
        <w:div w:id="1088382241">
          <w:marLeft w:val="0"/>
          <w:marRight w:val="0"/>
          <w:marTop w:val="0"/>
          <w:marBottom w:val="0"/>
          <w:divBdr>
            <w:top w:val="none" w:sz="0" w:space="0" w:color="auto"/>
            <w:left w:val="none" w:sz="0" w:space="0" w:color="auto"/>
            <w:bottom w:val="none" w:sz="0" w:space="0" w:color="auto"/>
            <w:right w:val="none" w:sz="0" w:space="0" w:color="auto"/>
          </w:divBdr>
        </w:div>
        <w:div w:id="1284768081">
          <w:marLeft w:val="0"/>
          <w:marRight w:val="0"/>
          <w:marTop w:val="0"/>
          <w:marBottom w:val="0"/>
          <w:divBdr>
            <w:top w:val="none" w:sz="0" w:space="0" w:color="auto"/>
            <w:left w:val="none" w:sz="0" w:space="0" w:color="auto"/>
            <w:bottom w:val="none" w:sz="0" w:space="0" w:color="auto"/>
            <w:right w:val="none" w:sz="0" w:space="0" w:color="auto"/>
          </w:divBdr>
        </w:div>
        <w:div w:id="413429851">
          <w:marLeft w:val="0"/>
          <w:marRight w:val="0"/>
          <w:marTop w:val="0"/>
          <w:marBottom w:val="0"/>
          <w:divBdr>
            <w:top w:val="none" w:sz="0" w:space="0" w:color="auto"/>
            <w:left w:val="none" w:sz="0" w:space="0" w:color="auto"/>
            <w:bottom w:val="none" w:sz="0" w:space="0" w:color="auto"/>
            <w:right w:val="none" w:sz="0" w:space="0" w:color="auto"/>
          </w:divBdr>
        </w:div>
        <w:div w:id="181093914">
          <w:marLeft w:val="0"/>
          <w:marRight w:val="0"/>
          <w:marTop w:val="0"/>
          <w:marBottom w:val="0"/>
          <w:divBdr>
            <w:top w:val="none" w:sz="0" w:space="0" w:color="auto"/>
            <w:left w:val="none" w:sz="0" w:space="0" w:color="auto"/>
            <w:bottom w:val="none" w:sz="0" w:space="0" w:color="auto"/>
            <w:right w:val="none" w:sz="0" w:space="0" w:color="auto"/>
          </w:divBdr>
        </w:div>
        <w:div w:id="1772159907">
          <w:marLeft w:val="0"/>
          <w:marRight w:val="0"/>
          <w:marTop w:val="0"/>
          <w:marBottom w:val="0"/>
          <w:divBdr>
            <w:top w:val="none" w:sz="0" w:space="0" w:color="auto"/>
            <w:left w:val="none" w:sz="0" w:space="0" w:color="auto"/>
            <w:bottom w:val="none" w:sz="0" w:space="0" w:color="auto"/>
            <w:right w:val="none" w:sz="0" w:space="0" w:color="auto"/>
          </w:divBdr>
        </w:div>
        <w:div w:id="363016709">
          <w:marLeft w:val="0"/>
          <w:marRight w:val="0"/>
          <w:marTop w:val="0"/>
          <w:marBottom w:val="0"/>
          <w:divBdr>
            <w:top w:val="none" w:sz="0" w:space="0" w:color="auto"/>
            <w:left w:val="none" w:sz="0" w:space="0" w:color="auto"/>
            <w:bottom w:val="none" w:sz="0" w:space="0" w:color="auto"/>
            <w:right w:val="none" w:sz="0" w:space="0" w:color="auto"/>
          </w:divBdr>
        </w:div>
        <w:div w:id="2018339820">
          <w:marLeft w:val="0"/>
          <w:marRight w:val="0"/>
          <w:marTop w:val="0"/>
          <w:marBottom w:val="0"/>
          <w:divBdr>
            <w:top w:val="none" w:sz="0" w:space="0" w:color="auto"/>
            <w:left w:val="none" w:sz="0" w:space="0" w:color="auto"/>
            <w:bottom w:val="none" w:sz="0" w:space="0" w:color="auto"/>
            <w:right w:val="none" w:sz="0" w:space="0" w:color="auto"/>
          </w:divBdr>
        </w:div>
        <w:div w:id="1894147690">
          <w:marLeft w:val="0"/>
          <w:marRight w:val="0"/>
          <w:marTop w:val="0"/>
          <w:marBottom w:val="0"/>
          <w:divBdr>
            <w:top w:val="none" w:sz="0" w:space="0" w:color="auto"/>
            <w:left w:val="none" w:sz="0" w:space="0" w:color="auto"/>
            <w:bottom w:val="none" w:sz="0" w:space="0" w:color="auto"/>
            <w:right w:val="none" w:sz="0" w:space="0" w:color="auto"/>
          </w:divBdr>
        </w:div>
        <w:div w:id="83380944">
          <w:marLeft w:val="0"/>
          <w:marRight w:val="0"/>
          <w:marTop w:val="0"/>
          <w:marBottom w:val="0"/>
          <w:divBdr>
            <w:top w:val="none" w:sz="0" w:space="0" w:color="auto"/>
            <w:left w:val="none" w:sz="0" w:space="0" w:color="auto"/>
            <w:bottom w:val="none" w:sz="0" w:space="0" w:color="auto"/>
            <w:right w:val="none" w:sz="0" w:space="0" w:color="auto"/>
          </w:divBdr>
        </w:div>
        <w:div w:id="566845942">
          <w:marLeft w:val="0"/>
          <w:marRight w:val="0"/>
          <w:marTop w:val="0"/>
          <w:marBottom w:val="0"/>
          <w:divBdr>
            <w:top w:val="none" w:sz="0" w:space="0" w:color="auto"/>
            <w:left w:val="none" w:sz="0" w:space="0" w:color="auto"/>
            <w:bottom w:val="none" w:sz="0" w:space="0" w:color="auto"/>
            <w:right w:val="none" w:sz="0" w:space="0" w:color="auto"/>
          </w:divBdr>
        </w:div>
        <w:div w:id="1361399654">
          <w:marLeft w:val="0"/>
          <w:marRight w:val="0"/>
          <w:marTop w:val="0"/>
          <w:marBottom w:val="0"/>
          <w:divBdr>
            <w:top w:val="none" w:sz="0" w:space="0" w:color="auto"/>
            <w:left w:val="none" w:sz="0" w:space="0" w:color="auto"/>
            <w:bottom w:val="none" w:sz="0" w:space="0" w:color="auto"/>
            <w:right w:val="none" w:sz="0" w:space="0" w:color="auto"/>
          </w:divBdr>
        </w:div>
        <w:div w:id="743381663">
          <w:marLeft w:val="0"/>
          <w:marRight w:val="0"/>
          <w:marTop w:val="0"/>
          <w:marBottom w:val="0"/>
          <w:divBdr>
            <w:top w:val="none" w:sz="0" w:space="0" w:color="auto"/>
            <w:left w:val="none" w:sz="0" w:space="0" w:color="auto"/>
            <w:bottom w:val="none" w:sz="0" w:space="0" w:color="auto"/>
            <w:right w:val="none" w:sz="0" w:space="0" w:color="auto"/>
          </w:divBdr>
        </w:div>
        <w:div w:id="1232620733">
          <w:marLeft w:val="0"/>
          <w:marRight w:val="0"/>
          <w:marTop w:val="0"/>
          <w:marBottom w:val="0"/>
          <w:divBdr>
            <w:top w:val="none" w:sz="0" w:space="0" w:color="auto"/>
            <w:left w:val="none" w:sz="0" w:space="0" w:color="auto"/>
            <w:bottom w:val="none" w:sz="0" w:space="0" w:color="auto"/>
            <w:right w:val="none" w:sz="0" w:space="0" w:color="auto"/>
          </w:divBdr>
        </w:div>
        <w:div w:id="292951746">
          <w:marLeft w:val="0"/>
          <w:marRight w:val="0"/>
          <w:marTop w:val="0"/>
          <w:marBottom w:val="0"/>
          <w:divBdr>
            <w:top w:val="none" w:sz="0" w:space="0" w:color="auto"/>
            <w:left w:val="none" w:sz="0" w:space="0" w:color="auto"/>
            <w:bottom w:val="none" w:sz="0" w:space="0" w:color="auto"/>
            <w:right w:val="none" w:sz="0" w:space="0" w:color="auto"/>
          </w:divBdr>
        </w:div>
        <w:div w:id="605161317">
          <w:marLeft w:val="0"/>
          <w:marRight w:val="0"/>
          <w:marTop w:val="0"/>
          <w:marBottom w:val="0"/>
          <w:divBdr>
            <w:top w:val="none" w:sz="0" w:space="0" w:color="auto"/>
            <w:left w:val="none" w:sz="0" w:space="0" w:color="auto"/>
            <w:bottom w:val="none" w:sz="0" w:space="0" w:color="auto"/>
            <w:right w:val="none" w:sz="0" w:space="0" w:color="auto"/>
          </w:divBdr>
        </w:div>
        <w:div w:id="954672341">
          <w:marLeft w:val="0"/>
          <w:marRight w:val="0"/>
          <w:marTop w:val="0"/>
          <w:marBottom w:val="0"/>
          <w:divBdr>
            <w:top w:val="none" w:sz="0" w:space="0" w:color="auto"/>
            <w:left w:val="none" w:sz="0" w:space="0" w:color="auto"/>
            <w:bottom w:val="none" w:sz="0" w:space="0" w:color="auto"/>
            <w:right w:val="none" w:sz="0" w:space="0" w:color="auto"/>
          </w:divBdr>
        </w:div>
        <w:div w:id="527183107">
          <w:marLeft w:val="0"/>
          <w:marRight w:val="0"/>
          <w:marTop w:val="0"/>
          <w:marBottom w:val="0"/>
          <w:divBdr>
            <w:top w:val="none" w:sz="0" w:space="0" w:color="auto"/>
            <w:left w:val="none" w:sz="0" w:space="0" w:color="auto"/>
            <w:bottom w:val="none" w:sz="0" w:space="0" w:color="auto"/>
            <w:right w:val="none" w:sz="0" w:space="0" w:color="auto"/>
          </w:divBdr>
        </w:div>
        <w:div w:id="1481582576">
          <w:marLeft w:val="0"/>
          <w:marRight w:val="0"/>
          <w:marTop w:val="0"/>
          <w:marBottom w:val="0"/>
          <w:divBdr>
            <w:top w:val="none" w:sz="0" w:space="0" w:color="auto"/>
            <w:left w:val="none" w:sz="0" w:space="0" w:color="auto"/>
            <w:bottom w:val="none" w:sz="0" w:space="0" w:color="auto"/>
            <w:right w:val="none" w:sz="0" w:space="0" w:color="auto"/>
          </w:divBdr>
        </w:div>
        <w:div w:id="653677967">
          <w:marLeft w:val="0"/>
          <w:marRight w:val="0"/>
          <w:marTop w:val="0"/>
          <w:marBottom w:val="0"/>
          <w:divBdr>
            <w:top w:val="none" w:sz="0" w:space="0" w:color="auto"/>
            <w:left w:val="none" w:sz="0" w:space="0" w:color="auto"/>
            <w:bottom w:val="none" w:sz="0" w:space="0" w:color="auto"/>
            <w:right w:val="none" w:sz="0" w:space="0" w:color="auto"/>
          </w:divBdr>
        </w:div>
        <w:div w:id="1799563705">
          <w:marLeft w:val="0"/>
          <w:marRight w:val="0"/>
          <w:marTop w:val="0"/>
          <w:marBottom w:val="0"/>
          <w:divBdr>
            <w:top w:val="none" w:sz="0" w:space="0" w:color="auto"/>
            <w:left w:val="none" w:sz="0" w:space="0" w:color="auto"/>
            <w:bottom w:val="none" w:sz="0" w:space="0" w:color="auto"/>
            <w:right w:val="none" w:sz="0" w:space="0" w:color="auto"/>
          </w:divBdr>
        </w:div>
        <w:div w:id="919943164">
          <w:marLeft w:val="0"/>
          <w:marRight w:val="0"/>
          <w:marTop w:val="0"/>
          <w:marBottom w:val="0"/>
          <w:divBdr>
            <w:top w:val="none" w:sz="0" w:space="0" w:color="auto"/>
            <w:left w:val="none" w:sz="0" w:space="0" w:color="auto"/>
            <w:bottom w:val="none" w:sz="0" w:space="0" w:color="auto"/>
            <w:right w:val="none" w:sz="0" w:space="0" w:color="auto"/>
          </w:divBdr>
        </w:div>
        <w:div w:id="1391272186">
          <w:marLeft w:val="0"/>
          <w:marRight w:val="0"/>
          <w:marTop w:val="0"/>
          <w:marBottom w:val="0"/>
          <w:divBdr>
            <w:top w:val="none" w:sz="0" w:space="0" w:color="auto"/>
            <w:left w:val="none" w:sz="0" w:space="0" w:color="auto"/>
            <w:bottom w:val="none" w:sz="0" w:space="0" w:color="auto"/>
            <w:right w:val="none" w:sz="0" w:space="0" w:color="auto"/>
          </w:divBdr>
        </w:div>
        <w:div w:id="901719835">
          <w:marLeft w:val="0"/>
          <w:marRight w:val="0"/>
          <w:marTop w:val="0"/>
          <w:marBottom w:val="0"/>
          <w:divBdr>
            <w:top w:val="none" w:sz="0" w:space="0" w:color="auto"/>
            <w:left w:val="none" w:sz="0" w:space="0" w:color="auto"/>
            <w:bottom w:val="none" w:sz="0" w:space="0" w:color="auto"/>
            <w:right w:val="none" w:sz="0" w:space="0" w:color="auto"/>
          </w:divBdr>
        </w:div>
        <w:div w:id="1509052333">
          <w:marLeft w:val="0"/>
          <w:marRight w:val="0"/>
          <w:marTop w:val="0"/>
          <w:marBottom w:val="0"/>
          <w:divBdr>
            <w:top w:val="none" w:sz="0" w:space="0" w:color="auto"/>
            <w:left w:val="none" w:sz="0" w:space="0" w:color="auto"/>
            <w:bottom w:val="none" w:sz="0" w:space="0" w:color="auto"/>
            <w:right w:val="none" w:sz="0" w:space="0" w:color="auto"/>
          </w:divBdr>
        </w:div>
        <w:div w:id="1024021557">
          <w:marLeft w:val="0"/>
          <w:marRight w:val="0"/>
          <w:marTop w:val="0"/>
          <w:marBottom w:val="0"/>
          <w:divBdr>
            <w:top w:val="none" w:sz="0" w:space="0" w:color="auto"/>
            <w:left w:val="none" w:sz="0" w:space="0" w:color="auto"/>
            <w:bottom w:val="none" w:sz="0" w:space="0" w:color="auto"/>
            <w:right w:val="none" w:sz="0" w:space="0" w:color="auto"/>
          </w:divBdr>
        </w:div>
        <w:div w:id="449863956">
          <w:marLeft w:val="0"/>
          <w:marRight w:val="0"/>
          <w:marTop w:val="0"/>
          <w:marBottom w:val="0"/>
          <w:divBdr>
            <w:top w:val="none" w:sz="0" w:space="0" w:color="auto"/>
            <w:left w:val="none" w:sz="0" w:space="0" w:color="auto"/>
            <w:bottom w:val="none" w:sz="0" w:space="0" w:color="auto"/>
            <w:right w:val="none" w:sz="0" w:space="0" w:color="auto"/>
          </w:divBdr>
        </w:div>
        <w:div w:id="1377967967">
          <w:marLeft w:val="0"/>
          <w:marRight w:val="0"/>
          <w:marTop w:val="0"/>
          <w:marBottom w:val="0"/>
          <w:divBdr>
            <w:top w:val="none" w:sz="0" w:space="0" w:color="auto"/>
            <w:left w:val="none" w:sz="0" w:space="0" w:color="auto"/>
            <w:bottom w:val="none" w:sz="0" w:space="0" w:color="auto"/>
            <w:right w:val="none" w:sz="0" w:space="0" w:color="auto"/>
          </w:divBdr>
        </w:div>
        <w:div w:id="593897462">
          <w:marLeft w:val="0"/>
          <w:marRight w:val="0"/>
          <w:marTop w:val="0"/>
          <w:marBottom w:val="0"/>
          <w:divBdr>
            <w:top w:val="none" w:sz="0" w:space="0" w:color="auto"/>
            <w:left w:val="none" w:sz="0" w:space="0" w:color="auto"/>
            <w:bottom w:val="none" w:sz="0" w:space="0" w:color="auto"/>
            <w:right w:val="none" w:sz="0" w:space="0" w:color="auto"/>
          </w:divBdr>
        </w:div>
        <w:div w:id="165022279">
          <w:marLeft w:val="0"/>
          <w:marRight w:val="0"/>
          <w:marTop w:val="0"/>
          <w:marBottom w:val="0"/>
          <w:divBdr>
            <w:top w:val="none" w:sz="0" w:space="0" w:color="auto"/>
            <w:left w:val="none" w:sz="0" w:space="0" w:color="auto"/>
            <w:bottom w:val="none" w:sz="0" w:space="0" w:color="auto"/>
            <w:right w:val="none" w:sz="0" w:space="0" w:color="auto"/>
          </w:divBdr>
        </w:div>
        <w:div w:id="1177233091">
          <w:marLeft w:val="0"/>
          <w:marRight w:val="0"/>
          <w:marTop w:val="0"/>
          <w:marBottom w:val="0"/>
          <w:divBdr>
            <w:top w:val="none" w:sz="0" w:space="0" w:color="auto"/>
            <w:left w:val="none" w:sz="0" w:space="0" w:color="auto"/>
            <w:bottom w:val="none" w:sz="0" w:space="0" w:color="auto"/>
            <w:right w:val="none" w:sz="0" w:space="0" w:color="auto"/>
          </w:divBdr>
        </w:div>
        <w:div w:id="215437504">
          <w:marLeft w:val="0"/>
          <w:marRight w:val="0"/>
          <w:marTop w:val="0"/>
          <w:marBottom w:val="0"/>
          <w:divBdr>
            <w:top w:val="none" w:sz="0" w:space="0" w:color="auto"/>
            <w:left w:val="none" w:sz="0" w:space="0" w:color="auto"/>
            <w:bottom w:val="none" w:sz="0" w:space="0" w:color="auto"/>
            <w:right w:val="none" w:sz="0" w:space="0" w:color="auto"/>
          </w:divBdr>
        </w:div>
        <w:div w:id="2047018759">
          <w:marLeft w:val="0"/>
          <w:marRight w:val="0"/>
          <w:marTop w:val="0"/>
          <w:marBottom w:val="0"/>
          <w:divBdr>
            <w:top w:val="none" w:sz="0" w:space="0" w:color="auto"/>
            <w:left w:val="none" w:sz="0" w:space="0" w:color="auto"/>
            <w:bottom w:val="none" w:sz="0" w:space="0" w:color="auto"/>
            <w:right w:val="none" w:sz="0" w:space="0" w:color="auto"/>
          </w:divBdr>
        </w:div>
        <w:div w:id="505436947">
          <w:marLeft w:val="0"/>
          <w:marRight w:val="0"/>
          <w:marTop w:val="0"/>
          <w:marBottom w:val="0"/>
          <w:divBdr>
            <w:top w:val="none" w:sz="0" w:space="0" w:color="auto"/>
            <w:left w:val="none" w:sz="0" w:space="0" w:color="auto"/>
            <w:bottom w:val="none" w:sz="0" w:space="0" w:color="auto"/>
            <w:right w:val="none" w:sz="0" w:space="0" w:color="auto"/>
          </w:divBdr>
        </w:div>
        <w:div w:id="326595363">
          <w:marLeft w:val="0"/>
          <w:marRight w:val="0"/>
          <w:marTop w:val="0"/>
          <w:marBottom w:val="0"/>
          <w:divBdr>
            <w:top w:val="none" w:sz="0" w:space="0" w:color="auto"/>
            <w:left w:val="none" w:sz="0" w:space="0" w:color="auto"/>
            <w:bottom w:val="none" w:sz="0" w:space="0" w:color="auto"/>
            <w:right w:val="none" w:sz="0" w:space="0" w:color="auto"/>
          </w:divBdr>
        </w:div>
        <w:div w:id="921260169">
          <w:marLeft w:val="0"/>
          <w:marRight w:val="0"/>
          <w:marTop w:val="0"/>
          <w:marBottom w:val="0"/>
          <w:divBdr>
            <w:top w:val="none" w:sz="0" w:space="0" w:color="auto"/>
            <w:left w:val="none" w:sz="0" w:space="0" w:color="auto"/>
            <w:bottom w:val="none" w:sz="0" w:space="0" w:color="auto"/>
            <w:right w:val="none" w:sz="0" w:space="0" w:color="auto"/>
          </w:divBdr>
        </w:div>
        <w:div w:id="645624644">
          <w:marLeft w:val="0"/>
          <w:marRight w:val="0"/>
          <w:marTop w:val="0"/>
          <w:marBottom w:val="0"/>
          <w:divBdr>
            <w:top w:val="none" w:sz="0" w:space="0" w:color="auto"/>
            <w:left w:val="none" w:sz="0" w:space="0" w:color="auto"/>
            <w:bottom w:val="none" w:sz="0" w:space="0" w:color="auto"/>
            <w:right w:val="none" w:sz="0" w:space="0" w:color="auto"/>
          </w:divBdr>
        </w:div>
        <w:div w:id="744762394">
          <w:marLeft w:val="0"/>
          <w:marRight w:val="0"/>
          <w:marTop w:val="0"/>
          <w:marBottom w:val="0"/>
          <w:divBdr>
            <w:top w:val="none" w:sz="0" w:space="0" w:color="auto"/>
            <w:left w:val="none" w:sz="0" w:space="0" w:color="auto"/>
            <w:bottom w:val="none" w:sz="0" w:space="0" w:color="auto"/>
            <w:right w:val="none" w:sz="0" w:space="0" w:color="auto"/>
          </w:divBdr>
        </w:div>
        <w:div w:id="1714309358">
          <w:marLeft w:val="0"/>
          <w:marRight w:val="0"/>
          <w:marTop w:val="0"/>
          <w:marBottom w:val="0"/>
          <w:divBdr>
            <w:top w:val="none" w:sz="0" w:space="0" w:color="auto"/>
            <w:left w:val="none" w:sz="0" w:space="0" w:color="auto"/>
            <w:bottom w:val="none" w:sz="0" w:space="0" w:color="auto"/>
            <w:right w:val="none" w:sz="0" w:space="0" w:color="auto"/>
          </w:divBdr>
        </w:div>
        <w:div w:id="1796755203">
          <w:marLeft w:val="0"/>
          <w:marRight w:val="0"/>
          <w:marTop w:val="0"/>
          <w:marBottom w:val="0"/>
          <w:divBdr>
            <w:top w:val="none" w:sz="0" w:space="0" w:color="auto"/>
            <w:left w:val="none" w:sz="0" w:space="0" w:color="auto"/>
            <w:bottom w:val="none" w:sz="0" w:space="0" w:color="auto"/>
            <w:right w:val="none" w:sz="0" w:space="0" w:color="auto"/>
          </w:divBdr>
        </w:div>
        <w:div w:id="1362241146">
          <w:marLeft w:val="0"/>
          <w:marRight w:val="0"/>
          <w:marTop w:val="0"/>
          <w:marBottom w:val="0"/>
          <w:divBdr>
            <w:top w:val="none" w:sz="0" w:space="0" w:color="auto"/>
            <w:left w:val="none" w:sz="0" w:space="0" w:color="auto"/>
            <w:bottom w:val="none" w:sz="0" w:space="0" w:color="auto"/>
            <w:right w:val="none" w:sz="0" w:space="0" w:color="auto"/>
          </w:divBdr>
        </w:div>
        <w:div w:id="873734072">
          <w:marLeft w:val="0"/>
          <w:marRight w:val="0"/>
          <w:marTop w:val="0"/>
          <w:marBottom w:val="0"/>
          <w:divBdr>
            <w:top w:val="none" w:sz="0" w:space="0" w:color="auto"/>
            <w:left w:val="none" w:sz="0" w:space="0" w:color="auto"/>
            <w:bottom w:val="none" w:sz="0" w:space="0" w:color="auto"/>
            <w:right w:val="none" w:sz="0" w:space="0" w:color="auto"/>
          </w:divBdr>
        </w:div>
        <w:div w:id="1569194935">
          <w:marLeft w:val="0"/>
          <w:marRight w:val="0"/>
          <w:marTop w:val="0"/>
          <w:marBottom w:val="0"/>
          <w:divBdr>
            <w:top w:val="none" w:sz="0" w:space="0" w:color="auto"/>
            <w:left w:val="none" w:sz="0" w:space="0" w:color="auto"/>
            <w:bottom w:val="none" w:sz="0" w:space="0" w:color="auto"/>
            <w:right w:val="none" w:sz="0" w:space="0" w:color="auto"/>
          </w:divBdr>
        </w:div>
        <w:div w:id="396785733">
          <w:marLeft w:val="0"/>
          <w:marRight w:val="0"/>
          <w:marTop w:val="0"/>
          <w:marBottom w:val="0"/>
          <w:divBdr>
            <w:top w:val="none" w:sz="0" w:space="0" w:color="auto"/>
            <w:left w:val="none" w:sz="0" w:space="0" w:color="auto"/>
            <w:bottom w:val="none" w:sz="0" w:space="0" w:color="auto"/>
            <w:right w:val="none" w:sz="0" w:space="0" w:color="auto"/>
          </w:divBdr>
        </w:div>
        <w:div w:id="356854746">
          <w:marLeft w:val="0"/>
          <w:marRight w:val="0"/>
          <w:marTop w:val="0"/>
          <w:marBottom w:val="0"/>
          <w:divBdr>
            <w:top w:val="none" w:sz="0" w:space="0" w:color="auto"/>
            <w:left w:val="none" w:sz="0" w:space="0" w:color="auto"/>
            <w:bottom w:val="none" w:sz="0" w:space="0" w:color="auto"/>
            <w:right w:val="none" w:sz="0" w:space="0" w:color="auto"/>
          </w:divBdr>
        </w:div>
        <w:div w:id="1398547710">
          <w:marLeft w:val="0"/>
          <w:marRight w:val="0"/>
          <w:marTop w:val="0"/>
          <w:marBottom w:val="0"/>
          <w:divBdr>
            <w:top w:val="none" w:sz="0" w:space="0" w:color="auto"/>
            <w:left w:val="none" w:sz="0" w:space="0" w:color="auto"/>
            <w:bottom w:val="none" w:sz="0" w:space="0" w:color="auto"/>
            <w:right w:val="none" w:sz="0" w:space="0" w:color="auto"/>
          </w:divBdr>
        </w:div>
        <w:div w:id="851458763">
          <w:marLeft w:val="0"/>
          <w:marRight w:val="0"/>
          <w:marTop w:val="0"/>
          <w:marBottom w:val="0"/>
          <w:divBdr>
            <w:top w:val="none" w:sz="0" w:space="0" w:color="auto"/>
            <w:left w:val="none" w:sz="0" w:space="0" w:color="auto"/>
            <w:bottom w:val="none" w:sz="0" w:space="0" w:color="auto"/>
            <w:right w:val="none" w:sz="0" w:space="0" w:color="auto"/>
          </w:divBdr>
        </w:div>
        <w:div w:id="453061298">
          <w:marLeft w:val="0"/>
          <w:marRight w:val="0"/>
          <w:marTop w:val="0"/>
          <w:marBottom w:val="0"/>
          <w:divBdr>
            <w:top w:val="none" w:sz="0" w:space="0" w:color="auto"/>
            <w:left w:val="none" w:sz="0" w:space="0" w:color="auto"/>
            <w:bottom w:val="none" w:sz="0" w:space="0" w:color="auto"/>
            <w:right w:val="none" w:sz="0" w:space="0" w:color="auto"/>
          </w:divBdr>
        </w:div>
        <w:div w:id="2064670922">
          <w:marLeft w:val="0"/>
          <w:marRight w:val="0"/>
          <w:marTop w:val="0"/>
          <w:marBottom w:val="0"/>
          <w:divBdr>
            <w:top w:val="none" w:sz="0" w:space="0" w:color="auto"/>
            <w:left w:val="none" w:sz="0" w:space="0" w:color="auto"/>
            <w:bottom w:val="none" w:sz="0" w:space="0" w:color="auto"/>
            <w:right w:val="none" w:sz="0" w:space="0" w:color="auto"/>
          </w:divBdr>
        </w:div>
        <w:div w:id="1560439241">
          <w:marLeft w:val="0"/>
          <w:marRight w:val="0"/>
          <w:marTop w:val="0"/>
          <w:marBottom w:val="0"/>
          <w:divBdr>
            <w:top w:val="none" w:sz="0" w:space="0" w:color="auto"/>
            <w:left w:val="none" w:sz="0" w:space="0" w:color="auto"/>
            <w:bottom w:val="none" w:sz="0" w:space="0" w:color="auto"/>
            <w:right w:val="none" w:sz="0" w:space="0" w:color="auto"/>
          </w:divBdr>
        </w:div>
        <w:div w:id="1686519765">
          <w:marLeft w:val="0"/>
          <w:marRight w:val="0"/>
          <w:marTop w:val="0"/>
          <w:marBottom w:val="0"/>
          <w:divBdr>
            <w:top w:val="none" w:sz="0" w:space="0" w:color="auto"/>
            <w:left w:val="none" w:sz="0" w:space="0" w:color="auto"/>
            <w:bottom w:val="none" w:sz="0" w:space="0" w:color="auto"/>
            <w:right w:val="none" w:sz="0" w:space="0" w:color="auto"/>
          </w:divBdr>
        </w:div>
        <w:div w:id="1716856742">
          <w:marLeft w:val="0"/>
          <w:marRight w:val="0"/>
          <w:marTop w:val="0"/>
          <w:marBottom w:val="0"/>
          <w:divBdr>
            <w:top w:val="none" w:sz="0" w:space="0" w:color="auto"/>
            <w:left w:val="none" w:sz="0" w:space="0" w:color="auto"/>
            <w:bottom w:val="none" w:sz="0" w:space="0" w:color="auto"/>
            <w:right w:val="none" w:sz="0" w:space="0" w:color="auto"/>
          </w:divBdr>
        </w:div>
        <w:div w:id="399181843">
          <w:marLeft w:val="0"/>
          <w:marRight w:val="0"/>
          <w:marTop w:val="0"/>
          <w:marBottom w:val="0"/>
          <w:divBdr>
            <w:top w:val="none" w:sz="0" w:space="0" w:color="auto"/>
            <w:left w:val="none" w:sz="0" w:space="0" w:color="auto"/>
            <w:bottom w:val="none" w:sz="0" w:space="0" w:color="auto"/>
            <w:right w:val="none" w:sz="0" w:space="0" w:color="auto"/>
          </w:divBdr>
        </w:div>
        <w:div w:id="1157382728">
          <w:marLeft w:val="0"/>
          <w:marRight w:val="0"/>
          <w:marTop w:val="0"/>
          <w:marBottom w:val="0"/>
          <w:divBdr>
            <w:top w:val="none" w:sz="0" w:space="0" w:color="auto"/>
            <w:left w:val="none" w:sz="0" w:space="0" w:color="auto"/>
            <w:bottom w:val="none" w:sz="0" w:space="0" w:color="auto"/>
            <w:right w:val="none" w:sz="0" w:space="0" w:color="auto"/>
          </w:divBdr>
        </w:div>
        <w:div w:id="1642273669">
          <w:marLeft w:val="0"/>
          <w:marRight w:val="0"/>
          <w:marTop w:val="0"/>
          <w:marBottom w:val="0"/>
          <w:divBdr>
            <w:top w:val="none" w:sz="0" w:space="0" w:color="auto"/>
            <w:left w:val="none" w:sz="0" w:space="0" w:color="auto"/>
            <w:bottom w:val="none" w:sz="0" w:space="0" w:color="auto"/>
            <w:right w:val="none" w:sz="0" w:space="0" w:color="auto"/>
          </w:divBdr>
        </w:div>
        <w:div w:id="996962650">
          <w:marLeft w:val="0"/>
          <w:marRight w:val="0"/>
          <w:marTop w:val="0"/>
          <w:marBottom w:val="0"/>
          <w:divBdr>
            <w:top w:val="none" w:sz="0" w:space="0" w:color="auto"/>
            <w:left w:val="none" w:sz="0" w:space="0" w:color="auto"/>
            <w:bottom w:val="none" w:sz="0" w:space="0" w:color="auto"/>
            <w:right w:val="none" w:sz="0" w:space="0" w:color="auto"/>
          </w:divBdr>
        </w:div>
        <w:div w:id="594434793">
          <w:marLeft w:val="0"/>
          <w:marRight w:val="0"/>
          <w:marTop w:val="0"/>
          <w:marBottom w:val="0"/>
          <w:divBdr>
            <w:top w:val="none" w:sz="0" w:space="0" w:color="auto"/>
            <w:left w:val="none" w:sz="0" w:space="0" w:color="auto"/>
            <w:bottom w:val="none" w:sz="0" w:space="0" w:color="auto"/>
            <w:right w:val="none" w:sz="0" w:space="0" w:color="auto"/>
          </w:divBdr>
        </w:div>
        <w:div w:id="1380544423">
          <w:marLeft w:val="0"/>
          <w:marRight w:val="0"/>
          <w:marTop w:val="0"/>
          <w:marBottom w:val="0"/>
          <w:divBdr>
            <w:top w:val="none" w:sz="0" w:space="0" w:color="auto"/>
            <w:left w:val="none" w:sz="0" w:space="0" w:color="auto"/>
            <w:bottom w:val="none" w:sz="0" w:space="0" w:color="auto"/>
            <w:right w:val="none" w:sz="0" w:space="0" w:color="auto"/>
          </w:divBdr>
        </w:div>
        <w:div w:id="270430225">
          <w:marLeft w:val="0"/>
          <w:marRight w:val="0"/>
          <w:marTop w:val="0"/>
          <w:marBottom w:val="0"/>
          <w:divBdr>
            <w:top w:val="none" w:sz="0" w:space="0" w:color="auto"/>
            <w:left w:val="none" w:sz="0" w:space="0" w:color="auto"/>
            <w:bottom w:val="none" w:sz="0" w:space="0" w:color="auto"/>
            <w:right w:val="none" w:sz="0" w:space="0" w:color="auto"/>
          </w:divBdr>
        </w:div>
        <w:div w:id="1515806557">
          <w:marLeft w:val="0"/>
          <w:marRight w:val="0"/>
          <w:marTop w:val="0"/>
          <w:marBottom w:val="0"/>
          <w:divBdr>
            <w:top w:val="none" w:sz="0" w:space="0" w:color="auto"/>
            <w:left w:val="none" w:sz="0" w:space="0" w:color="auto"/>
            <w:bottom w:val="none" w:sz="0" w:space="0" w:color="auto"/>
            <w:right w:val="none" w:sz="0" w:space="0" w:color="auto"/>
          </w:divBdr>
        </w:div>
        <w:div w:id="533929741">
          <w:marLeft w:val="0"/>
          <w:marRight w:val="0"/>
          <w:marTop w:val="0"/>
          <w:marBottom w:val="0"/>
          <w:divBdr>
            <w:top w:val="none" w:sz="0" w:space="0" w:color="auto"/>
            <w:left w:val="none" w:sz="0" w:space="0" w:color="auto"/>
            <w:bottom w:val="none" w:sz="0" w:space="0" w:color="auto"/>
            <w:right w:val="none" w:sz="0" w:space="0" w:color="auto"/>
          </w:divBdr>
        </w:div>
        <w:div w:id="1505779044">
          <w:marLeft w:val="0"/>
          <w:marRight w:val="0"/>
          <w:marTop w:val="0"/>
          <w:marBottom w:val="0"/>
          <w:divBdr>
            <w:top w:val="none" w:sz="0" w:space="0" w:color="auto"/>
            <w:left w:val="none" w:sz="0" w:space="0" w:color="auto"/>
            <w:bottom w:val="none" w:sz="0" w:space="0" w:color="auto"/>
            <w:right w:val="none" w:sz="0" w:space="0" w:color="auto"/>
          </w:divBdr>
        </w:div>
        <w:div w:id="2015498665">
          <w:marLeft w:val="0"/>
          <w:marRight w:val="0"/>
          <w:marTop w:val="0"/>
          <w:marBottom w:val="0"/>
          <w:divBdr>
            <w:top w:val="none" w:sz="0" w:space="0" w:color="auto"/>
            <w:left w:val="none" w:sz="0" w:space="0" w:color="auto"/>
            <w:bottom w:val="none" w:sz="0" w:space="0" w:color="auto"/>
            <w:right w:val="none" w:sz="0" w:space="0" w:color="auto"/>
          </w:divBdr>
        </w:div>
        <w:div w:id="170490485">
          <w:marLeft w:val="0"/>
          <w:marRight w:val="0"/>
          <w:marTop w:val="0"/>
          <w:marBottom w:val="0"/>
          <w:divBdr>
            <w:top w:val="none" w:sz="0" w:space="0" w:color="auto"/>
            <w:left w:val="none" w:sz="0" w:space="0" w:color="auto"/>
            <w:bottom w:val="none" w:sz="0" w:space="0" w:color="auto"/>
            <w:right w:val="none" w:sz="0" w:space="0" w:color="auto"/>
          </w:divBdr>
        </w:div>
        <w:div w:id="171839163">
          <w:marLeft w:val="0"/>
          <w:marRight w:val="0"/>
          <w:marTop w:val="0"/>
          <w:marBottom w:val="0"/>
          <w:divBdr>
            <w:top w:val="none" w:sz="0" w:space="0" w:color="auto"/>
            <w:left w:val="none" w:sz="0" w:space="0" w:color="auto"/>
            <w:bottom w:val="none" w:sz="0" w:space="0" w:color="auto"/>
            <w:right w:val="none" w:sz="0" w:space="0" w:color="auto"/>
          </w:divBdr>
        </w:div>
        <w:div w:id="710111250">
          <w:marLeft w:val="0"/>
          <w:marRight w:val="0"/>
          <w:marTop w:val="0"/>
          <w:marBottom w:val="0"/>
          <w:divBdr>
            <w:top w:val="none" w:sz="0" w:space="0" w:color="auto"/>
            <w:left w:val="none" w:sz="0" w:space="0" w:color="auto"/>
            <w:bottom w:val="none" w:sz="0" w:space="0" w:color="auto"/>
            <w:right w:val="none" w:sz="0" w:space="0" w:color="auto"/>
          </w:divBdr>
        </w:div>
        <w:div w:id="197663724">
          <w:marLeft w:val="0"/>
          <w:marRight w:val="0"/>
          <w:marTop w:val="0"/>
          <w:marBottom w:val="0"/>
          <w:divBdr>
            <w:top w:val="none" w:sz="0" w:space="0" w:color="auto"/>
            <w:left w:val="none" w:sz="0" w:space="0" w:color="auto"/>
            <w:bottom w:val="none" w:sz="0" w:space="0" w:color="auto"/>
            <w:right w:val="none" w:sz="0" w:space="0" w:color="auto"/>
          </w:divBdr>
        </w:div>
        <w:div w:id="1064253438">
          <w:marLeft w:val="0"/>
          <w:marRight w:val="0"/>
          <w:marTop w:val="0"/>
          <w:marBottom w:val="0"/>
          <w:divBdr>
            <w:top w:val="none" w:sz="0" w:space="0" w:color="auto"/>
            <w:left w:val="none" w:sz="0" w:space="0" w:color="auto"/>
            <w:bottom w:val="none" w:sz="0" w:space="0" w:color="auto"/>
            <w:right w:val="none" w:sz="0" w:space="0" w:color="auto"/>
          </w:divBdr>
        </w:div>
        <w:div w:id="387655047">
          <w:marLeft w:val="0"/>
          <w:marRight w:val="0"/>
          <w:marTop w:val="0"/>
          <w:marBottom w:val="0"/>
          <w:divBdr>
            <w:top w:val="none" w:sz="0" w:space="0" w:color="auto"/>
            <w:left w:val="none" w:sz="0" w:space="0" w:color="auto"/>
            <w:bottom w:val="none" w:sz="0" w:space="0" w:color="auto"/>
            <w:right w:val="none" w:sz="0" w:space="0" w:color="auto"/>
          </w:divBdr>
        </w:div>
        <w:div w:id="1264071817">
          <w:marLeft w:val="0"/>
          <w:marRight w:val="0"/>
          <w:marTop w:val="0"/>
          <w:marBottom w:val="0"/>
          <w:divBdr>
            <w:top w:val="none" w:sz="0" w:space="0" w:color="auto"/>
            <w:left w:val="none" w:sz="0" w:space="0" w:color="auto"/>
            <w:bottom w:val="none" w:sz="0" w:space="0" w:color="auto"/>
            <w:right w:val="none" w:sz="0" w:space="0" w:color="auto"/>
          </w:divBdr>
        </w:div>
        <w:div w:id="238029492">
          <w:marLeft w:val="0"/>
          <w:marRight w:val="0"/>
          <w:marTop w:val="0"/>
          <w:marBottom w:val="0"/>
          <w:divBdr>
            <w:top w:val="none" w:sz="0" w:space="0" w:color="auto"/>
            <w:left w:val="none" w:sz="0" w:space="0" w:color="auto"/>
            <w:bottom w:val="none" w:sz="0" w:space="0" w:color="auto"/>
            <w:right w:val="none" w:sz="0" w:space="0" w:color="auto"/>
          </w:divBdr>
        </w:div>
        <w:div w:id="721178828">
          <w:marLeft w:val="0"/>
          <w:marRight w:val="0"/>
          <w:marTop w:val="0"/>
          <w:marBottom w:val="0"/>
          <w:divBdr>
            <w:top w:val="none" w:sz="0" w:space="0" w:color="auto"/>
            <w:left w:val="none" w:sz="0" w:space="0" w:color="auto"/>
            <w:bottom w:val="none" w:sz="0" w:space="0" w:color="auto"/>
            <w:right w:val="none" w:sz="0" w:space="0" w:color="auto"/>
          </w:divBdr>
        </w:div>
        <w:div w:id="809595978">
          <w:marLeft w:val="0"/>
          <w:marRight w:val="0"/>
          <w:marTop w:val="0"/>
          <w:marBottom w:val="0"/>
          <w:divBdr>
            <w:top w:val="none" w:sz="0" w:space="0" w:color="auto"/>
            <w:left w:val="none" w:sz="0" w:space="0" w:color="auto"/>
            <w:bottom w:val="none" w:sz="0" w:space="0" w:color="auto"/>
            <w:right w:val="none" w:sz="0" w:space="0" w:color="auto"/>
          </w:divBdr>
        </w:div>
        <w:div w:id="1418289342">
          <w:marLeft w:val="0"/>
          <w:marRight w:val="0"/>
          <w:marTop w:val="0"/>
          <w:marBottom w:val="0"/>
          <w:divBdr>
            <w:top w:val="none" w:sz="0" w:space="0" w:color="auto"/>
            <w:left w:val="none" w:sz="0" w:space="0" w:color="auto"/>
            <w:bottom w:val="none" w:sz="0" w:space="0" w:color="auto"/>
            <w:right w:val="none" w:sz="0" w:space="0" w:color="auto"/>
          </w:divBdr>
        </w:div>
        <w:div w:id="2132821351">
          <w:marLeft w:val="0"/>
          <w:marRight w:val="0"/>
          <w:marTop w:val="0"/>
          <w:marBottom w:val="0"/>
          <w:divBdr>
            <w:top w:val="none" w:sz="0" w:space="0" w:color="auto"/>
            <w:left w:val="none" w:sz="0" w:space="0" w:color="auto"/>
            <w:bottom w:val="none" w:sz="0" w:space="0" w:color="auto"/>
            <w:right w:val="none" w:sz="0" w:space="0" w:color="auto"/>
          </w:divBdr>
        </w:div>
        <w:div w:id="595945465">
          <w:marLeft w:val="0"/>
          <w:marRight w:val="0"/>
          <w:marTop w:val="0"/>
          <w:marBottom w:val="0"/>
          <w:divBdr>
            <w:top w:val="none" w:sz="0" w:space="0" w:color="auto"/>
            <w:left w:val="none" w:sz="0" w:space="0" w:color="auto"/>
            <w:bottom w:val="none" w:sz="0" w:space="0" w:color="auto"/>
            <w:right w:val="none" w:sz="0" w:space="0" w:color="auto"/>
          </w:divBdr>
        </w:div>
        <w:div w:id="1647322036">
          <w:marLeft w:val="0"/>
          <w:marRight w:val="0"/>
          <w:marTop w:val="0"/>
          <w:marBottom w:val="0"/>
          <w:divBdr>
            <w:top w:val="none" w:sz="0" w:space="0" w:color="auto"/>
            <w:left w:val="none" w:sz="0" w:space="0" w:color="auto"/>
            <w:bottom w:val="none" w:sz="0" w:space="0" w:color="auto"/>
            <w:right w:val="none" w:sz="0" w:space="0" w:color="auto"/>
          </w:divBdr>
        </w:div>
        <w:div w:id="1029337748">
          <w:marLeft w:val="0"/>
          <w:marRight w:val="0"/>
          <w:marTop w:val="0"/>
          <w:marBottom w:val="0"/>
          <w:divBdr>
            <w:top w:val="none" w:sz="0" w:space="0" w:color="auto"/>
            <w:left w:val="none" w:sz="0" w:space="0" w:color="auto"/>
            <w:bottom w:val="none" w:sz="0" w:space="0" w:color="auto"/>
            <w:right w:val="none" w:sz="0" w:space="0" w:color="auto"/>
          </w:divBdr>
        </w:div>
        <w:div w:id="1036547374">
          <w:marLeft w:val="0"/>
          <w:marRight w:val="0"/>
          <w:marTop w:val="0"/>
          <w:marBottom w:val="0"/>
          <w:divBdr>
            <w:top w:val="none" w:sz="0" w:space="0" w:color="auto"/>
            <w:left w:val="none" w:sz="0" w:space="0" w:color="auto"/>
            <w:bottom w:val="none" w:sz="0" w:space="0" w:color="auto"/>
            <w:right w:val="none" w:sz="0" w:space="0" w:color="auto"/>
          </w:divBdr>
        </w:div>
        <w:div w:id="143746535">
          <w:marLeft w:val="0"/>
          <w:marRight w:val="0"/>
          <w:marTop w:val="0"/>
          <w:marBottom w:val="0"/>
          <w:divBdr>
            <w:top w:val="none" w:sz="0" w:space="0" w:color="auto"/>
            <w:left w:val="none" w:sz="0" w:space="0" w:color="auto"/>
            <w:bottom w:val="none" w:sz="0" w:space="0" w:color="auto"/>
            <w:right w:val="none" w:sz="0" w:space="0" w:color="auto"/>
          </w:divBdr>
        </w:div>
        <w:div w:id="2029866956">
          <w:marLeft w:val="0"/>
          <w:marRight w:val="0"/>
          <w:marTop w:val="0"/>
          <w:marBottom w:val="0"/>
          <w:divBdr>
            <w:top w:val="none" w:sz="0" w:space="0" w:color="auto"/>
            <w:left w:val="none" w:sz="0" w:space="0" w:color="auto"/>
            <w:bottom w:val="none" w:sz="0" w:space="0" w:color="auto"/>
            <w:right w:val="none" w:sz="0" w:space="0" w:color="auto"/>
          </w:divBdr>
        </w:div>
        <w:div w:id="1451584402">
          <w:marLeft w:val="0"/>
          <w:marRight w:val="0"/>
          <w:marTop w:val="0"/>
          <w:marBottom w:val="0"/>
          <w:divBdr>
            <w:top w:val="none" w:sz="0" w:space="0" w:color="auto"/>
            <w:left w:val="none" w:sz="0" w:space="0" w:color="auto"/>
            <w:bottom w:val="none" w:sz="0" w:space="0" w:color="auto"/>
            <w:right w:val="none" w:sz="0" w:space="0" w:color="auto"/>
          </w:divBdr>
        </w:div>
        <w:div w:id="1682967229">
          <w:marLeft w:val="0"/>
          <w:marRight w:val="0"/>
          <w:marTop w:val="0"/>
          <w:marBottom w:val="0"/>
          <w:divBdr>
            <w:top w:val="none" w:sz="0" w:space="0" w:color="auto"/>
            <w:left w:val="none" w:sz="0" w:space="0" w:color="auto"/>
            <w:bottom w:val="none" w:sz="0" w:space="0" w:color="auto"/>
            <w:right w:val="none" w:sz="0" w:space="0" w:color="auto"/>
          </w:divBdr>
        </w:div>
        <w:div w:id="2031566569">
          <w:marLeft w:val="0"/>
          <w:marRight w:val="0"/>
          <w:marTop w:val="0"/>
          <w:marBottom w:val="0"/>
          <w:divBdr>
            <w:top w:val="none" w:sz="0" w:space="0" w:color="auto"/>
            <w:left w:val="none" w:sz="0" w:space="0" w:color="auto"/>
            <w:bottom w:val="none" w:sz="0" w:space="0" w:color="auto"/>
            <w:right w:val="none" w:sz="0" w:space="0" w:color="auto"/>
          </w:divBdr>
        </w:div>
        <w:div w:id="2024890556">
          <w:marLeft w:val="0"/>
          <w:marRight w:val="0"/>
          <w:marTop w:val="0"/>
          <w:marBottom w:val="0"/>
          <w:divBdr>
            <w:top w:val="none" w:sz="0" w:space="0" w:color="auto"/>
            <w:left w:val="none" w:sz="0" w:space="0" w:color="auto"/>
            <w:bottom w:val="none" w:sz="0" w:space="0" w:color="auto"/>
            <w:right w:val="none" w:sz="0" w:space="0" w:color="auto"/>
          </w:divBdr>
        </w:div>
        <w:div w:id="536703372">
          <w:marLeft w:val="0"/>
          <w:marRight w:val="0"/>
          <w:marTop w:val="0"/>
          <w:marBottom w:val="0"/>
          <w:divBdr>
            <w:top w:val="none" w:sz="0" w:space="0" w:color="auto"/>
            <w:left w:val="none" w:sz="0" w:space="0" w:color="auto"/>
            <w:bottom w:val="none" w:sz="0" w:space="0" w:color="auto"/>
            <w:right w:val="none" w:sz="0" w:space="0" w:color="auto"/>
          </w:divBdr>
        </w:div>
        <w:div w:id="757555840">
          <w:marLeft w:val="0"/>
          <w:marRight w:val="0"/>
          <w:marTop w:val="0"/>
          <w:marBottom w:val="0"/>
          <w:divBdr>
            <w:top w:val="none" w:sz="0" w:space="0" w:color="auto"/>
            <w:left w:val="none" w:sz="0" w:space="0" w:color="auto"/>
            <w:bottom w:val="none" w:sz="0" w:space="0" w:color="auto"/>
            <w:right w:val="none" w:sz="0" w:space="0" w:color="auto"/>
          </w:divBdr>
        </w:div>
        <w:div w:id="2024669967">
          <w:marLeft w:val="0"/>
          <w:marRight w:val="0"/>
          <w:marTop w:val="0"/>
          <w:marBottom w:val="0"/>
          <w:divBdr>
            <w:top w:val="none" w:sz="0" w:space="0" w:color="auto"/>
            <w:left w:val="none" w:sz="0" w:space="0" w:color="auto"/>
            <w:bottom w:val="none" w:sz="0" w:space="0" w:color="auto"/>
            <w:right w:val="none" w:sz="0" w:space="0" w:color="auto"/>
          </w:divBdr>
        </w:div>
        <w:div w:id="1642811289">
          <w:marLeft w:val="0"/>
          <w:marRight w:val="0"/>
          <w:marTop w:val="0"/>
          <w:marBottom w:val="0"/>
          <w:divBdr>
            <w:top w:val="none" w:sz="0" w:space="0" w:color="auto"/>
            <w:left w:val="none" w:sz="0" w:space="0" w:color="auto"/>
            <w:bottom w:val="none" w:sz="0" w:space="0" w:color="auto"/>
            <w:right w:val="none" w:sz="0" w:space="0" w:color="auto"/>
          </w:divBdr>
        </w:div>
        <w:div w:id="981696161">
          <w:marLeft w:val="0"/>
          <w:marRight w:val="0"/>
          <w:marTop w:val="0"/>
          <w:marBottom w:val="0"/>
          <w:divBdr>
            <w:top w:val="none" w:sz="0" w:space="0" w:color="auto"/>
            <w:left w:val="none" w:sz="0" w:space="0" w:color="auto"/>
            <w:bottom w:val="none" w:sz="0" w:space="0" w:color="auto"/>
            <w:right w:val="none" w:sz="0" w:space="0" w:color="auto"/>
          </w:divBdr>
        </w:div>
        <w:div w:id="308634775">
          <w:marLeft w:val="0"/>
          <w:marRight w:val="0"/>
          <w:marTop w:val="0"/>
          <w:marBottom w:val="0"/>
          <w:divBdr>
            <w:top w:val="none" w:sz="0" w:space="0" w:color="auto"/>
            <w:left w:val="none" w:sz="0" w:space="0" w:color="auto"/>
            <w:bottom w:val="none" w:sz="0" w:space="0" w:color="auto"/>
            <w:right w:val="none" w:sz="0" w:space="0" w:color="auto"/>
          </w:divBdr>
        </w:div>
        <w:div w:id="279844193">
          <w:marLeft w:val="0"/>
          <w:marRight w:val="0"/>
          <w:marTop w:val="0"/>
          <w:marBottom w:val="0"/>
          <w:divBdr>
            <w:top w:val="none" w:sz="0" w:space="0" w:color="auto"/>
            <w:left w:val="none" w:sz="0" w:space="0" w:color="auto"/>
            <w:bottom w:val="none" w:sz="0" w:space="0" w:color="auto"/>
            <w:right w:val="none" w:sz="0" w:space="0" w:color="auto"/>
          </w:divBdr>
        </w:div>
        <w:div w:id="1130712724">
          <w:marLeft w:val="0"/>
          <w:marRight w:val="0"/>
          <w:marTop w:val="0"/>
          <w:marBottom w:val="0"/>
          <w:divBdr>
            <w:top w:val="none" w:sz="0" w:space="0" w:color="auto"/>
            <w:left w:val="none" w:sz="0" w:space="0" w:color="auto"/>
            <w:bottom w:val="none" w:sz="0" w:space="0" w:color="auto"/>
            <w:right w:val="none" w:sz="0" w:space="0" w:color="auto"/>
          </w:divBdr>
        </w:div>
        <w:div w:id="512839768">
          <w:marLeft w:val="0"/>
          <w:marRight w:val="0"/>
          <w:marTop w:val="0"/>
          <w:marBottom w:val="0"/>
          <w:divBdr>
            <w:top w:val="none" w:sz="0" w:space="0" w:color="auto"/>
            <w:left w:val="none" w:sz="0" w:space="0" w:color="auto"/>
            <w:bottom w:val="none" w:sz="0" w:space="0" w:color="auto"/>
            <w:right w:val="none" w:sz="0" w:space="0" w:color="auto"/>
          </w:divBdr>
        </w:div>
        <w:div w:id="1381588944">
          <w:marLeft w:val="0"/>
          <w:marRight w:val="0"/>
          <w:marTop w:val="0"/>
          <w:marBottom w:val="0"/>
          <w:divBdr>
            <w:top w:val="none" w:sz="0" w:space="0" w:color="auto"/>
            <w:left w:val="none" w:sz="0" w:space="0" w:color="auto"/>
            <w:bottom w:val="none" w:sz="0" w:space="0" w:color="auto"/>
            <w:right w:val="none" w:sz="0" w:space="0" w:color="auto"/>
          </w:divBdr>
        </w:div>
        <w:div w:id="1272592940">
          <w:marLeft w:val="0"/>
          <w:marRight w:val="0"/>
          <w:marTop w:val="0"/>
          <w:marBottom w:val="0"/>
          <w:divBdr>
            <w:top w:val="none" w:sz="0" w:space="0" w:color="auto"/>
            <w:left w:val="none" w:sz="0" w:space="0" w:color="auto"/>
            <w:bottom w:val="none" w:sz="0" w:space="0" w:color="auto"/>
            <w:right w:val="none" w:sz="0" w:space="0" w:color="auto"/>
          </w:divBdr>
        </w:div>
        <w:div w:id="1390760498">
          <w:marLeft w:val="0"/>
          <w:marRight w:val="0"/>
          <w:marTop w:val="0"/>
          <w:marBottom w:val="0"/>
          <w:divBdr>
            <w:top w:val="none" w:sz="0" w:space="0" w:color="auto"/>
            <w:left w:val="none" w:sz="0" w:space="0" w:color="auto"/>
            <w:bottom w:val="none" w:sz="0" w:space="0" w:color="auto"/>
            <w:right w:val="none" w:sz="0" w:space="0" w:color="auto"/>
          </w:divBdr>
        </w:div>
        <w:div w:id="1921139091">
          <w:marLeft w:val="0"/>
          <w:marRight w:val="0"/>
          <w:marTop w:val="0"/>
          <w:marBottom w:val="0"/>
          <w:divBdr>
            <w:top w:val="none" w:sz="0" w:space="0" w:color="auto"/>
            <w:left w:val="none" w:sz="0" w:space="0" w:color="auto"/>
            <w:bottom w:val="none" w:sz="0" w:space="0" w:color="auto"/>
            <w:right w:val="none" w:sz="0" w:space="0" w:color="auto"/>
          </w:divBdr>
        </w:div>
        <w:div w:id="1082869160">
          <w:marLeft w:val="0"/>
          <w:marRight w:val="0"/>
          <w:marTop w:val="0"/>
          <w:marBottom w:val="0"/>
          <w:divBdr>
            <w:top w:val="none" w:sz="0" w:space="0" w:color="auto"/>
            <w:left w:val="none" w:sz="0" w:space="0" w:color="auto"/>
            <w:bottom w:val="none" w:sz="0" w:space="0" w:color="auto"/>
            <w:right w:val="none" w:sz="0" w:space="0" w:color="auto"/>
          </w:divBdr>
        </w:div>
        <w:div w:id="1697533910">
          <w:marLeft w:val="0"/>
          <w:marRight w:val="0"/>
          <w:marTop w:val="0"/>
          <w:marBottom w:val="0"/>
          <w:divBdr>
            <w:top w:val="none" w:sz="0" w:space="0" w:color="auto"/>
            <w:left w:val="none" w:sz="0" w:space="0" w:color="auto"/>
            <w:bottom w:val="none" w:sz="0" w:space="0" w:color="auto"/>
            <w:right w:val="none" w:sz="0" w:space="0" w:color="auto"/>
          </w:divBdr>
        </w:div>
        <w:div w:id="1483083039">
          <w:marLeft w:val="0"/>
          <w:marRight w:val="0"/>
          <w:marTop w:val="0"/>
          <w:marBottom w:val="0"/>
          <w:divBdr>
            <w:top w:val="none" w:sz="0" w:space="0" w:color="auto"/>
            <w:left w:val="none" w:sz="0" w:space="0" w:color="auto"/>
            <w:bottom w:val="none" w:sz="0" w:space="0" w:color="auto"/>
            <w:right w:val="none" w:sz="0" w:space="0" w:color="auto"/>
          </w:divBdr>
        </w:div>
        <w:div w:id="1692101512">
          <w:marLeft w:val="0"/>
          <w:marRight w:val="0"/>
          <w:marTop w:val="0"/>
          <w:marBottom w:val="0"/>
          <w:divBdr>
            <w:top w:val="none" w:sz="0" w:space="0" w:color="auto"/>
            <w:left w:val="none" w:sz="0" w:space="0" w:color="auto"/>
            <w:bottom w:val="none" w:sz="0" w:space="0" w:color="auto"/>
            <w:right w:val="none" w:sz="0" w:space="0" w:color="auto"/>
          </w:divBdr>
        </w:div>
        <w:div w:id="1675451242">
          <w:marLeft w:val="0"/>
          <w:marRight w:val="0"/>
          <w:marTop w:val="0"/>
          <w:marBottom w:val="0"/>
          <w:divBdr>
            <w:top w:val="none" w:sz="0" w:space="0" w:color="auto"/>
            <w:left w:val="none" w:sz="0" w:space="0" w:color="auto"/>
            <w:bottom w:val="none" w:sz="0" w:space="0" w:color="auto"/>
            <w:right w:val="none" w:sz="0" w:space="0" w:color="auto"/>
          </w:divBdr>
        </w:div>
        <w:div w:id="585923641">
          <w:marLeft w:val="0"/>
          <w:marRight w:val="0"/>
          <w:marTop w:val="0"/>
          <w:marBottom w:val="0"/>
          <w:divBdr>
            <w:top w:val="none" w:sz="0" w:space="0" w:color="auto"/>
            <w:left w:val="none" w:sz="0" w:space="0" w:color="auto"/>
            <w:bottom w:val="none" w:sz="0" w:space="0" w:color="auto"/>
            <w:right w:val="none" w:sz="0" w:space="0" w:color="auto"/>
          </w:divBdr>
        </w:div>
        <w:div w:id="1349796320">
          <w:marLeft w:val="0"/>
          <w:marRight w:val="0"/>
          <w:marTop w:val="0"/>
          <w:marBottom w:val="0"/>
          <w:divBdr>
            <w:top w:val="none" w:sz="0" w:space="0" w:color="auto"/>
            <w:left w:val="none" w:sz="0" w:space="0" w:color="auto"/>
            <w:bottom w:val="none" w:sz="0" w:space="0" w:color="auto"/>
            <w:right w:val="none" w:sz="0" w:space="0" w:color="auto"/>
          </w:divBdr>
        </w:div>
        <w:div w:id="1551265727">
          <w:marLeft w:val="0"/>
          <w:marRight w:val="0"/>
          <w:marTop w:val="0"/>
          <w:marBottom w:val="0"/>
          <w:divBdr>
            <w:top w:val="none" w:sz="0" w:space="0" w:color="auto"/>
            <w:left w:val="none" w:sz="0" w:space="0" w:color="auto"/>
            <w:bottom w:val="none" w:sz="0" w:space="0" w:color="auto"/>
            <w:right w:val="none" w:sz="0" w:space="0" w:color="auto"/>
          </w:divBdr>
        </w:div>
        <w:div w:id="296840328">
          <w:marLeft w:val="0"/>
          <w:marRight w:val="0"/>
          <w:marTop w:val="0"/>
          <w:marBottom w:val="0"/>
          <w:divBdr>
            <w:top w:val="none" w:sz="0" w:space="0" w:color="auto"/>
            <w:left w:val="none" w:sz="0" w:space="0" w:color="auto"/>
            <w:bottom w:val="none" w:sz="0" w:space="0" w:color="auto"/>
            <w:right w:val="none" w:sz="0" w:space="0" w:color="auto"/>
          </w:divBdr>
        </w:div>
        <w:div w:id="1121650538">
          <w:marLeft w:val="0"/>
          <w:marRight w:val="0"/>
          <w:marTop w:val="0"/>
          <w:marBottom w:val="0"/>
          <w:divBdr>
            <w:top w:val="none" w:sz="0" w:space="0" w:color="auto"/>
            <w:left w:val="none" w:sz="0" w:space="0" w:color="auto"/>
            <w:bottom w:val="none" w:sz="0" w:space="0" w:color="auto"/>
            <w:right w:val="none" w:sz="0" w:space="0" w:color="auto"/>
          </w:divBdr>
        </w:div>
        <w:div w:id="87236150">
          <w:marLeft w:val="0"/>
          <w:marRight w:val="0"/>
          <w:marTop w:val="0"/>
          <w:marBottom w:val="0"/>
          <w:divBdr>
            <w:top w:val="none" w:sz="0" w:space="0" w:color="auto"/>
            <w:left w:val="none" w:sz="0" w:space="0" w:color="auto"/>
            <w:bottom w:val="none" w:sz="0" w:space="0" w:color="auto"/>
            <w:right w:val="none" w:sz="0" w:space="0" w:color="auto"/>
          </w:divBdr>
        </w:div>
        <w:div w:id="79497586">
          <w:marLeft w:val="0"/>
          <w:marRight w:val="0"/>
          <w:marTop w:val="0"/>
          <w:marBottom w:val="0"/>
          <w:divBdr>
            <w:top w:val="none" w:sz="0" w:space="0" w:color="auto"/>
            <w:left w:val="none" w:sz="0" w:space="0" w:color="auto"/>
            <w:bottom w:val="none" w:sz="0" w:space="0" w:color="auto"/>
            <w:right w:val="none" w:sz="0" w:space="0" w:color="auto"/>
          </w:divBdr>
        </w:div>
        <w:div w:id="1795828204">
          <w:marLeft w:val="0"/>
          <w:marRight w:val="0"/>
          <w:marTop w:val="0"/>
          <w:marBottom w:val="0"/>
          <w:divBdr>
            <w:top w:val="none" w:sz="0" w:space="0" w:color="auto"/>
            <w:left w:val="none" w:sz="0" w:space="0" w:color="auto"/>
            <w:bottom w:val="none" w:sz="0" w:space="0" w:color="auto"/>
            <w:right w:val="none" w:sz="0" w:space="0" w:color="auto"/>
          </w:divBdr>
        </w:div>
        <w:div w:id="1411929692">
          <w:marLeft w:val="0"/>
          <w:marRight w:val="0"/>
          <w:marTop w:val="0"/>
          <w:marBottom w:val="0"/>
          <w:divBdr>
            <w:top w:val="none" w:sz="0" w:space="0" w:color="auto"/>
            <w:left w:val="none" w:sz="0" w:space="0" w:color="auto"/>
            <w:bottom w:val="none" w:sz="0" w:space="0" w:color="auto"/>
            <w:right w:val="none" w:sz="0" w:space="0" w:color="auto"/>
          </w:divBdr>
        </w:div>
        <w:div w:id="505554558">
          <w:marLeft w:val="0"/>
          <w:marRight w:val="0"/>
          <w:marTop w:val="0"/>
          <w:marBottom w:val="0"/>
          <w:divBdr>
            <w:top w:val="none" w:sz="0" w:space="0" w:color="auto"/>
            <w:left w:val="none" w:sz="0" w:space="0" w:color="auto"/>
            <w:bottom w:val="none" w:sz="0" w:space="0" w:color="auto"/>
            <w:right w:val="none" w:sz="0" w:space="0" w:color="auto"/>
          </w:divBdr>
        </w:div>
        <w:div w:id="1000933380">
          <w:marLeft w:val="0"/>
          <w:marRight w:val="0"/>
          <w:marTop w:val="0"/>
          <w:marBottom w:val="0"/>
          <w:divBdr>
            <w:top w:val="none" w:sz="0" w:space="0" w:color="auto"/>
            <w:left w:val="none" w:sz="0" w:space="0" w:color="auto"/>
            <w:bottom w:val="none" w:sz="0" w:space="0" w:color="auto"/>
            <w:right w:val="none" w:sz="0" w:space="0" w:color="auto"/>
          </w:divBdr>
        </w:div>
        <w:div w:id="324669960">
          <w:marLeft w:val="0"/>
          <w:marRight w:val="0"/>
          <w:marTop w:val="0"/>
          <w:marBottom w:val="0"/>
          <w:divBdr>
            <w:top w:val="none" w:sz="0" w:space="0" w:color="auto"/>
            <w:left w:val="none" w:sz="0" w:space="0" w:color="auto"/>
            <w:bottom w:val="none" w:sz="0" w:space="0" w:color="auto"/>
            <w:right w:val="none" w:sz="0" w:space="0" w:color="auto"/>
          </w:divBdr>
        </w:div>
        <w:div w:id="994452932">
          <w:marLeft w:val="0"/>
          <w:marRight w:val="0"/>
          <w:marTop w:val="0"/>
          <w:marBottom w:val="0"/>
          <w:divBdr>
            <w:top w:val="none" w:sz="0" w:space="0" w:color="auto"/>
            <w:left w:val="none" w:sz="0" w:space="0" w:color="auto"/>
            <w:bottom w:val="none" w:sz="0" w:space="0" w:color="auto"/>
            <w:right w:val="none" w:sz="0" w:space="0" w:color="auto"/>
          </w:divBdr>
        </w:div>
        <w:div w:id="1467308753">
          <w:marLeft w:val="0"/>
          <w:marRight w:val="0"/>
          <w:marTop w:val="0"/>
          <w:marBottom w:val="0"/>
          <w:divBdr>
            <w:top w:val="none" w:sz="0" w:space="0" w:color="auto"/>
            <w:left w:val="none" w:sz="0" w:space="0" w:color="auto"/>
            <w:bottom w:val="none" w:sz="0" w:space="0" w:color="auto"/>
            <w:right w:val="none" w:sz="0" w:space="0" w:color="auto"/>
          </w:divBdr>
        </w:div>
        <w:div w:id="960913367">
          <w:marLeft w:val="0"/>
          <w:marRight w:val="0"/>
          <w:marTop w:val="0"/>
          <w:marBottom w:val="0"/>
          <w:divBdr>
            <w:top w:val="none" w:sz="0" w:space="0" w:color="auto"/>
            <w:left w:val="none" w:sz="0" w:space="0" w:color="auto"/>
            <w:bottom w:val="none" w:sz="0" w:space="0" w:color="auto"/>
            <w:right w:val="none" w:sz="0" w:space="0" w:color="auto"/>
          </w:divBdr>
        </w:div>
        <w:div w:id="1533154830">
          <w:marLeft w:val="0"/>
          <w:marRight w:val="0"/>
          <w:marTop w:val="0"/>
          <w:marBottom w:val="0"/>
          <w:divBdr>
            <w:top w:val="none" w:sz="0" w:space="0" w:color="auto"/>
            <w:left w:val="none" w:sz="0" w:space="0" w:color="auto"/>
            <w:bottom w:val="none" w:sz="0" w:space="0" w:color="auto"/>
            <w:right w:val="none" w:sz="0" w:space="0" w:color="auto"/>
          </w:divBdr>
        </w:div>
        <w:div w:id="849873658">
          <w:marLeft w:val="0"/>
          <w:marRight w:val="0"/>
          <w:marTop w:val="0"/>
          <w:marBottom w:val="0"/>
          <w:divBdr>
            <w:top w:val="none" w:sz="0" w:space="0" w:color="auto"/>
            <w:left w:val="none" w:sz="0" w:space="0" w:color="auto"/>
            <w:bottom w:val="none" w:sz="0" w:space="0" w:color="auto"/>
            <w:right w:val="none" w:sz="0" w:space="0" w:color="auto"/>
          </w:divBdr>
        </w:div>
        <w:div w:id="346031193">
          <w:marLeft w:val="0"/>
          <w:marRight w:val="0"/>
          <w:marTop w:val="0"/>
          <w:marBottom w:val="0"/>
          <w:divBdr>
            <w:top w:val="none" w:sz="0" w:space="0" w:color="auto"/>
            <w:left w:val="none" w:sz="0" w:space="0" w:color="auto"/>
            <w:bottom w:val="none" w:sz="0" w:space="0" w:color="auto"/>
            <w:right w:val="none" w:sz="0" w:space="0" w:color="auto"/>
          </w:divBdr>
        </w:div>
        <w:div w:id="1641039041">
          <w:marLeft w:val="0"/>
          <w:marRight w:val="0"/>
          <w:marTop w:val="0"/>
          <w:marBottom w:val="0"/>
          <w:divBdr>
            <w:top w:val="none" w:sz="0" w:space="0" w:color="auto"/>
            <w:left w:val="none" w:sz="0" w:space="0" w:color="auto"/>
            <w:bottom w:val="none" w:sz="0" w:space="0" w:color="auto"/>
            <w:right w:val="none" w:sz="0" w:space="0" w:color="auto"/>
          </w:divBdr>
        </w:div>
        <w:div w:id="987325416">
          <w:marLeft w:val="0"/>
          <w:marRight w:val="0"/>
          <w:marTop w:val="0"/>
          <w:marBottom w:val="0"/>
          <w:divBdr>
            <w:top w:val="none" w:sz="0" w:space="0" w:color="auto"/>
            <w:left w:val="none" w:sz="0" w:space="0" w:color="auto"/>
            <w:bottom w:val="none" w:sz="0" w:space="0" w:color="auto"/>
            <w:right w:val="none" w:sz="0" w:space="0" w:color="auto"/>
          </w:divBdr>
        </w:div>
        <w:div w:id="1878158105">
          <w:marLeft w:val="0"/>
          <w:marRight w:val="0"/>
          <w:marTop w:val="0"/>
          <w:marBottom w:val="0"/>
          <w:divBdr>
            <w:top w:val="none" w:sz="0" w:space="0" w:color="auto"/>
            <w:left w:val="none" w:sz="0" w:space="0" w:color="auto"/>
            <w:bottom w:val="none" w:sz="0" w:space="0" w:color="auto"/>
            <w:right w:val="none" w:sz="0" w:space="0" w:color="auto"/>
          </w:divBdr>
        </w:div>
        <w:div w:id="920605032">
          <w:marLeft w:val="0"/>
          <w:marRight w:val="0"/>
          <w:marTop w:val="0"/>
          <w:marBottom w:val="0"/>
          <w:divBdr>
            <w:top w:val="none" w:sz="0" w:space="0" w:color="auto"/>
            <w:left w:val="none" w:sz="0" w:space="0" w:color="auto"/>
            <w:bottom w:val="none" w:sz="0" w:space="0" w:color="auto"/>
            <w:right w:val="none" w:sz="0" w:space="0" w:color="auto"/>
          </w:divBdr>
        </w:div>
        <w:div w:id="451828132">
          <w:marLeft w:val="0"/>
          <w:marRight w:val="0"/>
          <w:marTop w:val="0"/>
          <w:marBottom w:val="0"/>
          <w:divBdr>
            <w:top w:val="none" w:sz="0" w:space="0" w:color="auto"/>
            <w:left w:val="none" w:sz="0" w:space="0" w:color="auto"/>
            <w:bottom w:val="none" w:sz="0" w:space="0" w:color="auto"/>
            <w:right w:val="none" w:sz="0" w:space="0" w:color="auto"/>
          </w:divBdr>
        </w:div>
        <w:div w:id="457842368">
          <w:marLeft w:val="0"/>
          <w:marRight w:val="0"/>
          <w:marTop w:val="0"/>
          <w:marBottom w:val="0"/>
          <w:divBdr>
            <w:top w:val="none" w:sz="0" w:space="0" w:color="auto"/>
            <w:left w:val="none" w:sz="0" w:space="0" w:color="auto"/>
            <w:bottom w:val="none" w:sz="0" w:space="0" w:color="auto"/>
            <w:right w:val="none" w:sz="0" w:space="0" w:color="auto"/>
          </w:divBdr>
        </w:div>
        <w:div w:id="1054432625">
          <w:marLeft w:val="0"/>
          <w:marRight w:val="0"/>
          <w:marTop w:val="0"/>
          <w:marBottom w:val="0"/>
          <w:divBdr>
            <w:top w:val="none" w:sz="0" w:space="0" w:color="auto"/>
            <w:left w:val="none" w:sz="0" w:space="0" w:color="auto"/>
            <w:bottom w:val="none" w:sz="0" w:space="0" w:color="auto"/>
            <w:right w:val="none" w:sz="0" w:space="0" w:color="auto"/>
          </w:divBdr>
        </w:div>
        <w:div w:id="1307122699">
          <w:marLeft w:val="0"/>
          <w:marRight w:val="0"/>
          <w:marTop w:val="0"/>
          <w:marBottom w:val="0"/>
          <w:divBdr>
            <w:top w:val="none" w:sz="0" w:space="0" w:color="auto"/>
            <w:left w:val="none" w:sz="0" w:space="0" w:color="auto"/>
            <w:bottom w:val="none" w:sz="0" w:space="0" w:color="auto"/>
            <w:right w:val="none" w:sz="0" w:space="0" w:color="auto"/>
          </w:divBdr>
        </w:div>
        <w:div w:id="1517503528">
          <w:marLeft w:val="0"/>
          <w:marRight w:val="0"/>
          <w:marTop w:val="0"/>
          <w:marBottom w:val="0"/>
          <w:divBdr>
            <w:top w:val="none" w:sz="0" w:space="0" w:color="auto"/>
            <w:left w:val="none" w:sz="0" w:space="0" w:color="auto"/>
            <w:bottom w:val="none" w:sz="0" w:space="0" w:color="auto"/>
            <w:right w:val="none" w:sz="0" w:space="0" w:color="auto"/>
          </w:divBdr>
        </w:div>
        <w:div w:id="1644120392">
          <w:marLeft w:val="0"/>
          <w:marRight w:val="0"/>
          <w:marTop w:val="0"/>
          <w:marBottom w:val="0"/>
          <w:divBdr>
            <w:top w:val="none" w:sz="0" w:space="0" w:color="auto"/>
            <w:left w:val="none" w:sz="0" w:space="0" w:color="auto"/>
            <w:bottom w:val="none" w:sz="0" w:space="0" w:color="auto"/>
            <w:right w:val="none" w:sz="0" w:space="0" w:color="auto"/>
          </w:divBdr>
        </w:div>
        <w:div w:id="1653213855">
          <w:marLeft w:val="0"/>
          <w:marRight w:val="0"/>
          <w:marTop w:val="0"/>
          <w:marBottom w:val="0"/>
          <w:divBdr>
            <w:top w:val="none" w:sz="0" w:space="0" w:color="auto"/>
            <w:left w:val="none" w:sz="0" w:space="0" w:color="auto"/>
            <w:bottom w:val="none" w:sz="0" w:space="0" w:color="auto"/>
            <w:right w:val="none" w:sz="0" w:space="0" w:color="auto"/>
          </w:divBdr>
        </w:div>
        <w:div w:id="19744363">
          <w:marLeft w:val="0"/>
          <w:marRight w:val="0"/>
          <w:marTop w:val="0"/>
          <w:marBottom w:val="0"/>
          <w:divBdr>
            <w:top w:val="none" w:sz="0" w:space="0" w:color="auto"/>
            <w:left w:val="none" w:sz="0" w:space="0" w:color="auto"/>
            <w:bottom w:val="none" w:sz="0" w:space="0" w:color="auto"/>
            <w:right w:val="none" w:sz="0" w:space="0" w:color="auto"/>
          </w:divBdr>
        </w:div>
        <w:div w:id="575019914">
          <w:marLeft w:val="0"/>
          <w:marRight w:val="0"/>
          <w:marTop w:val="0"/>
          <w:marBottom w:val="0"/>
          <w:divBdr>
            <w:top w:val="none" w:sz="0" w:space="0" w:color="auto"/>
            <w:left w:val="none" w:sz="0" w:space="0" w:color="auto"/>
            <w:bottom w:val="none" w:sz="0" w:space="0" w:color="auto"/>
            <w:right w:val="none" w:sz="0" w:space="0" w:color="auto"/>
          </w:divBdr>
        </w:div>
        <w:div w:id="353581324">
          <w:marLeft w:val="0"/>
          <w:marRight w:val="0"/>
          <w:marTop w:val="0"/>
          <w:marBottom w:val="0"/>
          <w:divBdr>
            <w:top w:val="none" w:sz="0" w:space="0" w:color="auto"/>
            <w:left w:val="none" w:sz="0" w:space="0" w:color="auto"/>
            <w:bottom w:val="none" w:sz="0" w:space="0" w:color="auto"/>
            <w:right w:val="none" w:sz="0" w:space="0" w:color="auto"/>
          </w:divBdr>
        </w:div>
        <w:div w:id="561065970">
          <w:marLeft w:val="0"/>
          <w:marRight w:val="0"/>
          <w:marTop w:val="0"/>
          <w:marBottom w:val="0"/>
          <w:divBdr>
            <w:top w:val="none" w:sz="0" w:space="0" w:color="auto"/>
            <w:left w:val="none" w:sz="0" w:space="0" w:color="auto"/>
            <w:bottom w:val="none" w:sz="0" w:space="0" w:color="auto"/>
            <w:right w:val="none" w:sz="0" w:space="0" w:color="auto"/>
          </w:divBdr>
        </w:div>
        <w:div w:id="1714580156">
          <w:marLeft w:val="0"/>
          <w:marRight w:val="0"/>
          <w:marTop w:val="0"/>
          <w:marBottom w:val="0"/>
          <w:divBdr>
            <w:top w:val="none" w:sz="0" w:space="0" w:color="auto"/>
            <w:left w:val="none" w:sz="0" w:space="0" w:color="auto"/>
            <w:bottom w:val="none" w:sz="0" w:space="0" w:color="auto"/>
            <w:right w:val="none" w:sz="0" w:space="0" w:color="auto"/>
          </w:divBdr>
        </w:div>
        <w:div w:id="1712530224">
          <w:marLeft w:val="0"/>
          <w:marRight w:val="0"/>
          <w:marTop w:val="0"/>
          <w:marBottom w:val="0"/>
          <w:divBdr>
            <w:top w:val="none" w:sz="0" w:space="0" w:color="auto"/>
            <w:left w:val="none" w:sz="0" w:space="0" w:color="auto"/>
            <w:bottom w:val="none" w:sz="0" w:space="0" w:color="auto"/>
            <w:right w:val="none" w:sz="0" w:space="0" w:color="auto"/>
          </w:divBdr>
        </w:div>
        <w:div w:id="1979456537">
          <w:marLeft w:val="0"/>
          <w:marRight w:val="0"/>
          <w:marTop w:val="0"/>
          <w:marBottom w:val="0"/>
          <w:divBdr>
            <w:top w:val="none" w:sz="0" w:space="0" w:color="auto"/>
            <w:left w:val="none" w:sz="0" w:space="0" w:color="auto"/>
            <w:bottom w:val="none" w:sz="0" w:space="0" w:color="auto"/>
            <w:right w:val="none" w:sz="0" w:space="0" w:color="auto"/>
          </w:divBdr>
        </w:div>
        <w:div w:id="42872131">
          <w:marLeft w:val="0"/>
          <w:marRight w:val="0"/>
          <w:marTop w:val="0"/>
          <w:marBottom w:val="0"/>
          <w:divBdr>
            <w:top w:val="none" w:sz="0" w:space="0" w:color="auto"/>
            <w:left w:val="none" w:sz="0" w:space="0" w:color="auto"/>
            <w:bottom w:val="none" w:sz="0" w:space="0" w:color="auto"/>
            <w:right w:val="none" w:sz="0" w:space="0" w:color="auto"/>
          </w:divBdr>
        </w:div>
        <w:div w:id="2041009322">
          <w:marLeft w:val="0"/>
          <w:marRight w:val="0"/>
          <w:marTop w:val="0"/>
          <w:marBottom w:val="0"/>
          <w:divBdr>
            <w:top w:val="none" w:sz="0" w:space="0" w:color="auto"/>
            <w:left w:val="none" w:sz="0" w:space="0" w:color="auto"/>
            <w:bottom w:val="none" w:sz="0" w:space="0" w:color="auto"/>
            <w:right w:val="none" w:sz="0" w:space="0" w:color="auto"/>
          </w:divBdr>
        </w:div>
        <w:div w:id="607978430">
          <w:marLeft w:val="0"/>
          <w:marRight w:val="0"/>
          <w:marTop w:val="0"/>
          <w:marBottom w:val="0"/>
          <w:divBdr>
            <w:top w:val="none" w:sz="0" w:space="0" w:color="auto"/>
            <w:left w:val="none" w:sz="0" w:space="0" w:color="auto"/>
            <w:bottom w:val="none" w:sz="0" w:space="0" w:color="auto"/>
            <w:right w:val="none" w:sz="0" w:space="0" w:color="auto"/>
          </w:divBdr>
        </w:div>
        <w:div w:id="508446298">
          <w:marLeft w:val="0"/>
          <w:marRight w:val="0"/>
          <w:marTop w:val="0"/>
          <w:marBottom w:val="0"/>
          <w:divBdr>
            <w:top w:val="none" w:sz="0" w:space="0" w:color="auto"/>
            <w:left w:val="none" w:sz="0" w:space="0" w:color="auto"/>
            <w:bottom w:val="none" w:sz="0" w:space="0" w:color="auto"/>
            <w:right w:val="none" w:sz="0" w:space="0" w:color="auto"/>
          </w:divBdr>
        </w:div>
        <w:div w:id="224029875">
          <w:marLeft w:val="0"/>
          <w:marRight w:val="0"/>
          <w:marTop w:val="0"/>
          <w:marBottom w:val="0"/>
          <w:divBdr>
            <w:top w:val="none" w:sz="0" w:space="0" w:color="auto"/>
            <w:left w:val="none" w:sz="0" w:space="0" w:color="auto"/>
            <w:bottom w:val="none" w:sz="0" w:space="0" w:color="auto"/>
            <w:right w:val="none" w:sz="0" w:space="0" w:color="auto"/>
          </w:divBdr>
        </w:div>
        <w:div w:id="1247963280">
          <w:marLeft w:val="0"/>
          <w:marRight w:val="0"/>
          <w:marTop w:val="0"/>
          <w:marBottom w:val="0"/>
          <w:divBdr>
            <w:top w:val="none" w:sz="0" w:space="0" w:color="auto"/>
            <w:left w:val="none" w:sz="0" w:space="0" w:color="auto"/>
            <w:bottom w:val="none" w:sz="0" w:space="0" w:color="auto"/>
            <w:right w:val="none" w:sz="0" w:space="0" w:color="auto"/>
          </w:divBdr>
        </w:div>
        <w:div w:id="296843287">
          <w:marLeft w:val="0"/>
          <w:marRight w:val="0"/>
          <w:marTop w:val="0"/>
          <w:marBottom w:val="0"/>
          <w:divBdr>
            <w:top w:val="none" w:sz="0" w:space="0" w:color="auto"/>
            <w:left w:val="none" w:sz="0" w:space="0" w:color="auto"/>
            <w:bottom w:val="none" w:sz="0" w:space="0" w:color="auto"/>
            <w:right w:val="none" w:sz="0" w:space="0" w:color="auto"/>
          </w:divBdr>
        </w:div>
        <w:div w:id="885988753">
          <w:marLeft w:val="0"/>
          <w:marRight w:val="0"/>
          <w:marTop w:val="0"/>
          <w:marBottom w:val="0"/>
          <w:divBdr>
            <w:top w:val="none" w:sz="0" w:space="0" w:color="auto"/>
            <w:left w:val="none" w:sz="0" w:space="0" w:color="auto"/>
            <w:bottom w:val="none" w:sz="0" w:space="0" w:color="auto"/>
            <w:right w:val="none" w:sz="0" w:space="0" w:color="auto"/>
          </w:divBdr>
        </w:div>
        <w:div w:id="1267036338">
          <w:marLeft w:val="0"/>
          <w:marRight w:val="0"/>
          <w:marTop w:val="0"/>
          <w:marBottom w:val="0"/>
          <w:divBdr>
            <w:top w:val="none" w:sz="0" w:space="0" w:color="auto"/>
            <w:left w:val="none" w:sz="0" w:space="0" w:color="auto"/>
            <w:bottom w:val="none" w:sz="0" w:space="0" w:color="auto"/>
            <w:right w:val="none" w:sz="0" w:space="0" w:color="auto"/>
          </w:divBdr>
        </w:div>
        <w:div w:id="1939212191">
          <w:marLeft w:val="0"/>
          <w:marRight w:val="0"/>
          <w:marTop w:val="0"/>
          <w:marBottom w:val="0"/>
          <w:divBdr>
            <w:top w:val="none" w:sz="0" w:space="0" w:color="auto"/>
            <w:left w:val="none" w:sz="0" w:space="0" w:color="auto"/>
            <w:bottom w:val="none" w:sz="0" w:space="0" w:color="auto"/>
            <w:right w:val="none" w:sz="0" w:space="0" w:color="auto"/>
          </w:divBdr>
        </w:div>
        <w:div w:id="1513910654">
          <w:marLeft w:val="0"/>
          <w:marRight w:val="0"/>
          <w:marTop w:val="0"/>
          <w:marBottom w:val="0"/>
          <w:divBdr>
            <w:top w:val="none" w:sz="0" w:space="0" w:color="auto"/>
            <w:left w:val="none" w:sz="0" w:space="0" w:color="auto"/>
            <w:bottom w:val="none" w:sz="0" w:space="0" w:color="auto"/>
            <w:right w:val="none" w:sz="0" w:space="0" w:color="auto"/>
          </w:divBdr>
        </w:div>
        <w:div w:id="531844392">
          <w:marLeft w:val="0"/>
          <w:marRight w:val="0"/>
          <w:marTop w:val="0"/>
          <w:marBottom w:val="0"/>
          <w:divBdr>
            <w:top w:val="none" w:sz="0" w:space="0" w:color="auto"/>
            <w:left w:val="none" w:sz="0" w:space="0" w:color="auto"/>
            <w:bottom w:val="none" w:sz="0" w:space="0" w:color="auto"/>
            <w:right w:val="none" w:sz="0" w:space="0" w:color="auto"/>
          </w:divBdr>
        </w:div>
        <w:div w:id="489444915">
          <w:marLeft w:val="0"/>
          <w:marRight w:val="0"/>
          <w:marTop w:val="0"/>
          <w:marBottom w:val="0"/>
          <w:divBdr>
            <w:top w:val="none" w:sz="0" w:space="0" w:color="auto"/>
            <w:left w:val="none" w:sz="0" w:space="0" w:color="auto"/>
            <w:bottom w:val="none" w:sz="0" w:space="0" w:color="auto"/>
            <w:right w:val="none" w:sz="0" w:space="0" w:color="auto"/>
          </w:divBdr>
        </w:div>
        <w:div w:id="2034308166">
          <w:marLeft w:val="0"/>
          <w:marRight w:val="0"/>
          <w:marTop w:val="0"/>
          <w:marBottom w:val="0"/>
          <w:divBdr>
            <w:top w:val="none" w:sz="0" w:space="0" w:color="auto"/>
            <w:left w:val="none" w:sz="0" w:space="0" w:color="auto"/>
            <w:bottom w:val="none" w:sz="0" w:space="0" w:color="auto"/>
            <w:right w:val="none" w:sz="0" w:space="0" w:color="auto"/>
          </w:divBdr>
        </w:div>
        <w:div w:id="1222014856">
          <w:marLeft w:val="0"/>
          <w:marRight w:val="0"/>
          <w:marTop w:val="0"/>
          <w:marBottom w:val="0"/>
          <w:divBdr>
            <w:top w:val="none" w:sz="0" w:space="0" w:color="auto"/>
            <w:left w:val="none" w:sz="0" w:space="0" w:color="auto"/>
            <w:bottom w:val="none" w:sz="0" w:space="0" w:color="auto"/>
            <w:right w:val="none" w:sz="0" w:space="0" w:color="auto"/>
          </w:divBdr>
        </w:div>
        <w:div w:id="982153919">
          <w:marLeft w:val="0"/>
          <w:marRight w:val="0"/>
          <w:marTop w:val="0"/>
          <w:marBottom w:val="0"/>
          <w:divBdr>
            <w:top w:val="none" w:sz="0" w:space="0" w:color="auto"/>
            <w:left w:val="none" w:sz="0" w:space="0" w:color="auto"/>
            <w:bottom w:val="none" w:sz="0" w:space="0" w:color="auto"/>
            <w:right w:val="none" w:sz="0" w:space="0" w:color="auto"/>
          </w:divBdr>
        </w:div>
        <w:div w:id="294141990">
          <w:marLeft w:val="0"/>
          <w:marRight w:val="0"/>
          <w:marTop w:val="0"/>
          <w:marBottom w:val="0"/>
          <w:divBdr>
            <w:top w:val="none" w:sz="0" w:space="0" w:color="auto"/>
            <w:left w:val="none" w:sz="0" w:space="0" w:color="auto"/>
            <w:bottom w:val="none" w:sz="0" w:space="0" w:color="auto"/>
            <w:right w:val="none" w:sz="0" w:space="0" w:color="auto"/>
          </w:divBdr>
        </w:div>
        <w:div w:id="67044280">
          <w:marLeft w:val="0"/>
          <w:marRight w:val="0"/>
          <w:marTop w:val="0"/>
          <w:marBottom w:val="0"/>
          <w:divBdr>
            <w:top w:val="none" w:sz="0" w:space="0" w:color="auto"/>
            <w:left w:val="none" w:sz="0" w:space="0" w:color="auto"/>
            <w:bottom w:val="none" w:sz="0" w:space="0" w:color="auto"/>
            <w:right w:val="none" w:sz="0" w:space="0" w:color="auto"/>
          </w:divBdr>
        </w:div>
        <w:div w:id="884952201">
          <w:marLeft w:val="0"/>
          <w:marRight w:val="0"/>
          <w:marTop w:val="0"/>
          <w:marBottom w:val="0"/>
          <w:divBdr>
            <w:top w:val="none" w:sz="0" w:space="0" w:color="auto"/>
            <w:left w:val="none" w:sz="0" w:space="0" w:color="auto"/>
            <w:bottom w:val="none" w:sz="0" w:space="0" w:color="auto"/>
            <w:right w:val="none" w:sz="0" w:space="0" w:color="auto"/>
          </w:divBdr>
        </w:div>
        <w:div w:id="1168791804">
          <w:marLeft w:val="0"/>
          <w:marRight w:val="0"/>
          <w:marTop w:val="0"/>
          <w:marBottom w:val="0"/>
          <w:divBdr>
            <w:top w:val="none" w:sz="0" w:space="0" w:color="auto"/>
            <w:left w:val="none" w:sz="0" w:space="0" w:color="auto"/>
            <w:bottom w:val="none" w:sz="0" w:space="0" w:color="auto"/>
            <w:right w:val="none" w:sz="0" w:space="0" w:color="auto"/>
          </w:divBdr>
        </w:div>
        <w:div w:id="1769160437">
          <w:marLeft w:val="0"/>
          <w:marRight w:val="0"/>
          <w:marTop w:val="0"/>
          <w:marBottom w:val="0"/>
          <w:divBdr>
            <w:top w:val="none" w:sz="0" w:space="0" w:color="auto"/>
            <w:left w:val="none" w:sz="0" w:space="0" w:color="auto"/>
            <w:bottom w:val="none" w:sz="0" w:space="0" w:color="auto"/>
            <w:right w:val="none" w:sz="0" w:space="0" w:color="auto"/>
          </w:divBdr>
        </w:div>
        <w:div w:id="1357803651">
          <w:marLeft w:val="0"/>
          <w:marRight w:val="0"/>
          <w:marTop w:val="0"/>
          <w:marBottom w:val="0"/>
          <w:divBdr>
            <w:top w:val="none" w:sz="0" w:space="0" w:color="auto"/>
            <w:left w:val="none" w:sz="0" w:space="0" w:color="auto"/>
            <w:bottom w:val="none" w:sz="0" w:space="0" w:color="auto"/>
            <w:right w:val="none" w:sz="0" w:space="0" w:color="auto"/>
          </w:divBdr>
        </w:div>
        <w:div w:id="1976107743">
          <w:marLeft w:val="0"/>
          <w:marRight w:val="0"/>
          <w:marTop w:val="0"/>
          <w:marBottom w:val="0"/>
          <w:divBdr>
            <w:top w:val="none" w:sz="0" w:space="0" w:color="auto"/>
            <w:left w:val="none" w:sz="0" w:space="0" w:color="auto"/>
            <w:bottom w:val="none" w:sz="0" w:space="0" w:color="auto"/>
            <w:right w:val="none" w:sz="0" w:space="0" w:color="auto"/>
          </w:divBdr>
        </w:div>
        <w:div w:id="561526999">
          <w:marLeft w:val="0"/>
          <w:marRight w:val="0"/>
          <w:marTop w:val="0"/>
          <w:marBottom w:val="0"/>
          <w:divBdr>
            <w:top w:val="none" w:sz="0" w:space="0" w:color="auto"/>
            <w:left w:val="none" w:sz="0" w:space="0" w:color="auto"/>
            <w:bottom w:val="none" w:sz="0" w:space="0" w:color="auto"/>
            <w:right w:val="none" w:sz="0" w:space="0" w:color="auto"/>
          </w:divBdr>
        </w:div>
        <w:div w:id="682048869">
          <w:marLeft w:val="0"/>
          <w:marRight w:val="0"/>
          <w:marTop w:val="0"/>
          <w:marBottom w:val="0"/>
          <w:divBdr>
            <w:top w:val="none" w:sz="0" w:space="0" w:color="auto"/>
            <w:left w:val="none" w:sz="0" w:space="0" w:color="auto"/>
            <w:bottom w:val="none" w:sz="0" w:space="0" w:color="auto"/>
            <w:right w:val="none" w:sz="0" w:space="0" w:color="auto"/>
          </w:divBdr>
        </w:div>
        <w:div w:id="2023315727">
          <w:marLeft w:val="0"/>
          <w:marRight w:val="0"/>
          <w:marTop w:val="0"/>
          <w:marBottom w:val="0"/>
          <w:divBdr>
            <w:top w:val="none" w:sz="0" w:space="0" w:color="auto"/>
            <w:left w:val="none" w:sz="0" w:space="0" w:color="auto"/>
            <w:bottom w:val="none" w:sz="0" w:space="0" w:color="auto"/>
            <w:right w:val="none" w:sz="0" w:space="0" w:color="auto"/>
          </w:divBdr>
        </w:div>
        <w:div w:id="1231035814">
          <w:marLeft w:val="0"/>
          <w:marRight w:val="0"/>
          <w:marTop w:val="0"/>
          <w:marBottom w:val="0"/>
          <w:divBdr>
            <w:top w:val="none" w:sz="0" w:space="0" w:color="auto"/>
            <w:left w:val="none" w:sz="0" w:space="0" w:color="auto"/>
            <w:bottom w:val="none" w:sz="0" w:space="0" w:color="auto"/>
            <w:right w:val="none" w:sz="0" w:space="0" w:color="auto"/>
          </w:divBdr>
        </w:div>
        <w:div w:id="180970083">
          <w:marLeft w:val="0"/>
          <w:marRight w:val="0"/>
          <w:marTop w:val="0"/>
          <w:marBottom w:val="0"/>
          <w:divBdr>
            <w:top w:val="none" w:sz="0" w:space="0" w:color="auto"/>
            <w:left w:val="none" w:sz="0" w:space="0" w:color="auto"/>
            <w:bottom w:val="none" w:sz="0" w:space="0" w:color="auto"/>
            <w:right w:val="none" w:sz="0" w:space="0" w:color="auto"/>
          </w:divBdr>
        </w:div>
        <w:div w:id="82142020">
          <w:marLeft w:val="0"/>
          <w:marRight w:val="0"/>
          <w:marTop w:val="0"/>
          <w:marBottom w:val="0"/>
          <w:divBdr>
            <w:top w:val="none" w:sz="0" w:space="0" w:color="auto"/>
            <w:left w:val="none" w:sz="0" w:space="0" w:color="auto"/>
            <w:bottom w:val="none" w:sz="0" w:space="0" w:color="auto"/>
            <w:right w:val="none" w:sz="0" w:space="0" w:color="auto"/>
          </w:divBdr>
        </w:div>
        <w:div w:id="1352563878">
          <w:marLeft w:val="0"/>
          <w:marRight w:val="0"/>
          <w:marTop w:val="0"/>
          <w:marBottom w:val="0"/>
          <w:divBdr>
            <w:top w:val="none" w:sz="0" w:space="0" w:color="auto"/>
            <w:left w:val="none" w:sz="0" w:space="0" w:color="auto"/>
            <w:bottom w:val="none" w:sz="0" w:space="0" w:color="auto"/>
            <w:right w:val="none" w:sz="0" w:space="0" w:color="auto"/>
          </w:divBdr>
        </w:div>
        <w:div w:id="398094483">
          <w:marLeft w:val="0"/>
          <w:marRight w:val="0"/>
          <w:marTop w:val="0"/>
          <w:marBottom w:val="0"/>
          <w:divBdr>
            <w:top w:val="none" w:sz="0" w:space="0" w:color="auto"/>
            <w:left w:val="none" w:sz="0" w:space="0" w:color="auto"/>
            <w:bottom w:val="none" w:sz="0" w:space="0" w:color="auto"/>
            <w:right w:val="none" w:sz="0" w:space="0" w:color="auto"/>
          </w:divBdr>
        </w:div>
        <w:div w:id="1707682155">
          <w:marLeft w:val="0"/>
          <w:marRight w:val="0"/>
          <w:marTop w:val="0"/>
          <w:marBottom w:val="0"/>
          <w:divBdr>
            <w:top w:val="none" w:sz="0" w:space="0" w:color="auto"/>
            <w:left w:val="none" w:sz="0" w:space="0" w:color="auto"/>
            <w:bottom w:val="none" w:sz="0" w:space="0" w:color="auto"/>
            <w:right w:val="none" w:sz="0" w:space="0" w:color="auto"/>
          </w:divBdr>
        </w:div>
        <w:div w:id="2124613232">
          <w:marLeft w:val="0"/>
          <w:marRight w:val="0"/>
          <w:marTop w:val="0"/>
          <w:marBottom w:val="0"/>
          <w:divBdr>
            <w:top w:val="none" w:sz="0" w:space="0" w:color="auto"/>
            <w:left w:val="none" w:sz="0" w:space="0" w:color="auto"/>
            <w:bottom w:val="none" w:sz="0" w:space="0" w:color="auto"/>
            <w:right w:val="none" w:sz="0" w:space="0" w:color="auto"/>
          </w:divBdr>
        </w:div>
        <w:div w:id="1966429096">
          <w:marLeft w:val="0"/>
          <w:marRight w:val="0"/>
          <w:marTop w:val="0"/>
          <w:marBottom w:val="0"/>
          <w:divBdr>
            <w:top w:val="none" w:sz="0" w:space="0" w:color="auto"/>
            <w:left w:val="none" w:sz="0" w:space="0" w:color="auto"/>
            <w:bottom w:val="none" w:sz="0" w:space="0" w:color="auto"/>
            <w:right w:val="none" w:sz="0" w:space="0" w:color="auto"/>
          </w:divBdr>
        </w:div>
        <w:div w:id="2100059241">
          <w:marLeft w:val="0"/>
          <w:marRight w:val="0"/>
          <w:marTop w:val="0"/>
          <w:marBottom w:val="0"/>
          <w:divBdr>
            <w:top w:val="none" w:sz="0" w:space="0" w:color="auto"/>
            <w:left w:val="none" w:sz="0" w:space="0" w:color="auto"/>
            <w:bottom w:val="none" w:sz="0" w:space="0" w:color="auto"/>
            <w:right w:val="none" w:sz="0" w:space="0" w:color="auto"/>
          </w:divBdr>
        </w:div>
        <w:div w:id="1160460876">
          <w:marLeft w:val="0"/>
          <w:marRight w:val="0"/>
          <w:marTop w:val="0"/>
          <w:marBottom w:val="0"/>
          <w:divBdr>
            <w:top w:val="none" w:sz="0" w:space="0" w:color="auto"/>
            <w:left w:val="none" w:sz="0" w:space="0" w:color="auto"/>
            <w:bottom w:val="none" w:sz="0" w:space="0" w:color="auto"/>
            <w:right w:val="none" w:sz="0" w:space="0" w:color="auto"/>
          </w:divBdr>
        </w:div>
        <w:div w:id="567350535">
          <w:marLeft w:val="0"/>
          <w:marRight w:val="0"/>
          <w:marTop w:val="0"/>
          <w:marBottom w:val="0"/>
          <w:divBdr>
            <w:top w:val="none" w:sz="0" w:space="0" w:color="auto"/>
            <w:left w:val="none" w:sz="0" w:space="0" w:color="auto"/>
            <w:bottom w:val="none" w:sz="0" w:space="0" w:color="auto"/>
            <w:right w:val="none" w:sz="0" w:space="0" w:color="auto"/>
          </w:divBdr>
        </w:div>
        <w:div w:id="963391057">
          <w:marLeft w:val="0"/>
          <w:marRight w:val="0"/>
          <w:marTop w:val="0"/>
          <w:marBottom w:val="0"/>
          <w:divBdr>
            <w:top w:val="none" w:sz="0" w:space="0" w:color="auto"/>
            <w:left w:val="none" w:sz="0" w:space="0" w:color="auto"/>
            <w:bottom w:val="none" w:sz="0" w:space="0" w:color="auto"/>
            <w:right w:val="none" w:sz="0" w:space="0" w:color="auto"/>
          </w:divBdr>
        </w:div>
        <w:div w:id="1640498256">
          <w:marLeft w:val="0"/>
          <w:marRight w:val="0"/>
          <w:marTop w:val="0"/>
          <w:marBottom w:val="0"/>
          <w:divBdr>
            <w:top w:val="none" w:sz="0" w:space="0" w:color="auto"/>
            <w:left w:val="none" w:sz="0" w:space="0" w:color="auto"/>
            <w:bottom w:val="none" w:sz="0" w:space="0" w:color="auto"/>
            <w:right w:val="none" w:sz="0" w:space="0" w:color="auto"/>
          </w:divBdr>
        </w:div>
        <w:div w:id="141891131">
          <w:marLeft w:val="0"/>
          <w:marRight w:val="0"/>
          <w:marTop w:val="0"/>
          <w:marBottom w:val="0"/>
          <w:divBdr>
            <w:top w:val="none" w:sz="0" w:space="0" w:color="auto"/>
            <w:left w:val="none" w:sz="0" w:space="0" w:color="auto"/>
            <w:bottom w:val="none" w:sz="0" w:space="0" w:color="auto"/>
            <w:right w:val="none" w:sz="0" w:space="0" w:color="auto"/>
          </w:divBdr>
        </w:div>
        <w:div w:id="1510170851">
          <w:marLeft w:val="0"/>
          <w:marRight w:val="0"/>
          <w:marTop w:val="0"/>
          <w:marBottom w:val="0"/>
          <w:divBdr>
            <w:top w:val="none" w:sz="0" w:space="0" w:color="auto"/>
            <w:left w:val="none" w:sz="0" w:space="0" w:color="auto"/>
            <w:bottom w:val="none" w:sz="0" w:space="0" w:color="auto"/>
            <w:right w:val="none" w:sz="0" w:space="0" w:color="auto"/>
          </w:divBdr>
        </w:div>
        <w:div w:id="178929448">
          <w:marLeft w:val="0"/>
          <w:marRight w:val="0"/>
          <w:marTop w:val="0"/>
          <w:marBottom w:val="0"/>
          <w:divBdr>
            <w:top w:val="none" w:sz="0" w:space="0" w:color="auto"/>
            <w:left w:val="none" w:sz="0" w:space="0" w:color="auto"/>
            <w:bottom w:val="none" w:sz="0" w:space="0" w:color="auto"/>
            <w:right w:val="none" w:sz="0" w:space="0" w:color="auto"/>
          </w:divBdr>
        </w:div>
        <w:div w:id="1766219821">
          <w:marLeft w:val="0"/>
          <w:marRight w:val="0"/>
          <w:marTop w:val="0"/>
          <w:marBottom w:val="0"/>
          <w:divBdr>
            <w:top w:val="none" w:sz="0" w:space="0" w:color="auto"/>
            <w:left w:val="none" w:sz="0" w:space="0" w:color="auto"/>
            <w:bottom w:val="none" w:sz="0" w:space="0" w:color="auto"/>
            <w:right w:val="none" w:sz="0" w:space="0" w:color="auto"/>
          </w:divBdr>
        </w:div>
        <w:div w:id="1379160022">
          <w:marLeft w:val="0"/>
          <w:marRight w:val="0"/>
          <w:marTop w:val="0"/>
          <w:marBottom w:val="0"/>
          <w:divBdr>
            <w:top w:val="none" w:sz="0" w:space="0" w:color="auto"/>
            <w:left w:val="none" w:sz="0" w:space="0" w:color="auto"/>
            <w:bottom w:val="none" w:sz="0" w:space="0" w:color="auto"/>
            <w:right w:val="none" w:sz="0" w:space="0" w:color="auto"/>
          </w:divBdr>
        </w:div>
        <w:div w:id="1515461738">
          <w:marLeft w:val="0"/>
          <w:marRight w:val="0"/>
          <w:marTop w:val="0"/>
          <w:marBottom w:val="0"/>
          <w:divBdr>
            <w:top w:val="none" w:sz="0" w:space="0" w:color="auto"/>
            <w:left w:val="none" w:sz="0" w:space="0" w:color="auto"/>
            <w:bottom w:val="none" w:sz="0" w:space="0" w:color="auto"/>
            <w:right w:val="none" w:sz="0" w:space="0" w:color="auto"/>
          </w:divBdr>
        </w:div>
        <w:div w:id="197012673">
          <w:marLeft w:val="0"/>
          <w:marRight w:val="0"/>
          <w:marTop w:val="0"/>
          <w:marBottom w:val="0"/>
          <w:divBdr>
            <w:top w:val="none" w:sz="0" w:space="0" w:color="auto"/>
            <w:left w:val="none" w:sz="0" w:space="0" w:color="auto"/>
            <w:bottom w:val="none" w:sz="0" w:space="0" w:color="auto"/>
            <w:right w:val="none" w:sz="0" w:space="0" w:color="auto"/>
          </w:divBdr>
        </w:div>
        <w:div w:id="200941605">
          <w:marLeft w:val="0"/>
          <w:marRight w:val="0"/>
          <w:marTop w:val="0"/>
          <w:marBottom w:val="0"/>
          <w:divBdr>
            <w:top w:val="none" w:sz="0" w:space="0" w:color="auto"/>
            <w:left w:val="none" w:sz="0" w:space="0" w:color="auto"/>
            <w:bottom w:val="none" w:sz="0" w:space="0" w:color="auto"/>
            <w:right w:val="none" w:sz="0" w:space="0" w:color="auto"/>
          </w:divBdr>
        </w:div>
        <w:div w:id="1234244262">
          <w:marLeft w:val="0"/>
          <w:marRight w:val="0"/>
          <w:marTop w:val="0"/>
          <w:marBottom w:val="0"/>
          <w:divBdr>
            <w:top w:val="none" w:sz="0" w:space="0" w:color="auto"/>
            <w:left w:val="none" w:sz="0" w:space="0" w:color="auto"/>
            <w:bottom w:val="none" w:sz="0" w:space="0" w:color="auto"/>
            <w:right w:val="none" w:sz="0" w:space="0" w:color="auto"/>
          </w:divBdr>
        </w:div>
      </w:divsChild>
    </w:div>
    <w:div w:id="1938059279">
      <w:bodyDiv w:val="1"/>
      <w:marLeft w:val="0"/>
      <w:marRight w:val="0"/>
      <w:marTop w:val="0"/>
      <w:marBottom w:val="0"/>
      <w:divBdr>
        <w:top w:val="none" w:sz="0" w:space="0" w:color="auto"/>
        <w:left w:val="none" w:sz="0" w:space="0" w:color="auto"/>
        <w:bottom w:val="none" w:sz="0" w:space="0" w:color="auto"/>
        <w:right w:val="none" w:sz="0" w:space="0" w:color="auto"/>
      </w:divBdr>
    </w:div>
    <w:div w:id="1941906530">
      <w:bodyDiv w:val="1"/>
      <w:marLeft w:val="0"/>
      <w:marRight w:val="0"/>
      <w:marTop w:val="0"/>
      <w:marBottom w:val="0"/>
      <w:divBdr>
        <w:top w:val="none" w:sz="0" w:space="0" w:color="auto"/>
        <w:left w:val="none" w:sz="0" w:space="0" w:color="auto"/>
        <w:bottom w:val="none" w:sz="0" w:space="0" w:color="auto"/>
        <w:right w:val="none" w:sz="0" w:space="0" w:color="auto"/>
      </w:divBdr>
    </w:div>
    <w:div w:id="1948075681">
      <w:bodyDiv w:val="1"/>
      <w:marLeft w:val="0"/>
      <w:marRight w:val="0"/>
      <w:marTop w:val="0"/>
      <w:marBottom w:val="0"/>
      <w:divBdr>
        <w:top w:val="none" w:sz="0" w:space="0" w:color="auto"/>
        <w:left w:val="none" w:sz="0" w:space="0" w:color="auto"/>
        <w:bottom w:val="none" w:sz="0" w:space="0" w:color="auto"/>
        <w:right w:val="none" w:sz="0" w:space="0" w:color="auto"/>
      </w:divBdr>
    </w:div>
    <w:div w:id="2010017125">
      <w:bodyDiv w:val="1"/>
      <w:marLeft w:val="0"/>
      <w:marRight w:val="0"/>
      <w:marTop w:val="0"/>
      <w:marBottom w:val="0"/>
      <w:divBdr>
        <w:top w:val="none" w:sz="0" w:space="0" w:color="auto"/>
        <w:left w:val="none" w:sz="0" w:space="0" w:color="auto"/>
        <w:bottom w:val="none" w:sz="0" w:space="0" w:color="auto"/>
        <w:right w:val="none" w:sz="0" w:space="0" w:color="auto"/>
      </w:divBdr>
    </w:div>
    <w:div w:id="2016690904">
      <w:bodyDiv w:val="1"/>
      <w:marLeft w:val="0"/>
      <w:marRight w:val="0"/>
      <w:marTop w:val="0"/>
      <w:marBottom w:val="0"/>
      <w:divBdr>
        <w:top w:val="none" w:sz="0" w:space="0" w:color="auto"/>
        <w:left w:val="none" w:sz="0" w:space="0" w:color="auto"/>
        <w:bottom w:val="none" w:sz="0" w:space="0" w:color="auto"/>
        <w:right w:val="none" w:sz="0" w:space="0" w:color="auto"/>
      </w:divBdr>
    </w:div>
    <w:div w:id="2023703464">
      <w:bodyDiv w:val="1"/>
      <w:marLeft w:val="0"/>
      <w:marRight w:val="0"/>
      <w:marTop w:val="0"/>
      <w:marBottom w:val="0"/>
      <w:divBdr>
        <w:top w:val="none" w:sz="0" w:space="0" w:color="auto"/>
        <w:left w:val="none" w:sz="0" w:space="0" w:color="auto"/>
        <w:bottom w:val="none" w:sz="0" w:space="0" w:color="auto"/>
        <w:right w:val="none" w:sz="0" w:space="0" w:color="auto"/>
      </w:divBdr>
    </w:div>
    <w:div w:id="2048525310">
      <w:bodyDiv w:val="1"/>
      <w:marLeft w:val="0"/>
      <w:marRight w:val="0"/>
      <w:marTop w:val="0"/>
      <w:marBottom w:val="0"/>
      <w:divBdr>
        <w:top w:val="none" w:sz="0" w:space="0" w:color="auto"/>
        <w:left w:val="none" w:sz="0" w:space="0" w:color="auto"/>
        <w:bottom w:val="none" w:sz="0" w:space="0" w:color="auto"/>
        <w:right w:val="none" w:sz="0" w:space="0" w:color="auto"/>
      </w:divBdr>
    </w:div>
    <w:div w:id="2049866156">
      <w:bodyDiv w:val="1"/>
      <w:marLeft w:val="0"/>
      <w:marRight w:val="0"/>
      <w:marTop w:val="0"/>
      <w:marBottom w:val="0"/>
      <w:divBdr>
        <w:top w:val="none" w:sz="0" w:space="0" w:color="auto"/>
        <w:left w:val="none" w:sz="0" w:space="0" w:color="auto"/>
        <w:bottom w:val="none" w:sz="0" w:space="0" w:color="auto"/>
        <w:right w:val="none" w:sz="0" w:space="0" w:color="auto"/>
      </w:divBdr>
    </w:div>
    <w:div w:id="2116512956">
      <w:bodyDiv w:val="1"/>
      <w:marLeft w:val="0"/>
      <w:marRight w:val="0"/>
      <w:marTop w:val="0"/>
      <w:marBottom w:val="0"/>
      <w:divBdr>
        <w:top w:val="none" w:sz="0" w:space="0" w:color="auto"/>
        <w:left w:val="none" w:sz="0" w:space="0" w:color="auto"/>
        <w:bottom w:val="none" w:sz="0" w:space="0" w:color="auto"/>
        <w:right w:val="none" w:sz="0" w:space="0" w:color="auto"/>
      </w:divBdr>
    </w:div>
    <w:div w:id="2117628559">
      <w:bodyDiv w:val="1"/>
      <w:marLeft w:val="0"/>
      <w:marRight w:val="0"/>
      <w:marTop w:val="0"/>
      <w:marBottom w:val="0"/>
      <w:divBdr>
        <w:top w:val="none" w:sz="0" w:space="0" w:color="auto"/>
        <w:left w:val="none" w:sz="0" w:space="0" w:color="auto"/>
        <w:bottom w:val="none" w:sz="0" w:space="0" w:color="auto"/>
        <w:right w:val="none" w:sz="0" w:space="0" w:color="auto"/>
      </w:divBdr>
    </w:div>
    <w:div w:id="2122339105">
      <w:bodyDiv w:val="1"/>
      <w:marLeft w:val="0"/>
      <w:marRight w:val="0"/>
      <w:marTop w:val="0"/>
      <w:marBottom w:val="0"/>
      <w:divBdr>
        <w:top w:val="none" w:sz="0" w:space="0" w:color="auto"/>
        <w:left w:val="none" w:sz="0" w:space="0" w:color="auto"/>
        <w:bottom w:val="none" w:sz="0" w:space="0" w:color="auto"/>
        <w:right w:val="none" w:sz="0" w:space="0" w:color="auto"/>
      </w:divBdr>
    </w:div>
    <w:div w:id="213899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Tenofovir_alafenamide_fumarate" TargetMode="External"/><Relationship Id="rId14" Type="http://schemas.openxmlformats.org/officeDocument/2006/relationships/hyperlink" Target="http://en.wikipedia.org/wiki/Pre-exposure_prophylaxis" TargetMode="External"/><Relationship Id="rId15" Type="http://schemas.openxmlformats.org/officeDocument/2006/relationships/hyperlink" Target="http://en.wikipedia.org/wiki/Integrase_inhibitor" TargetMode="External"/><Relationship Id="rId16" Type="http://schemas.openxmlformats.org/officeDocument/2006/relationships/hyperlink" Target="http://en.wikipedia.org/wiki/Conserved_sequence" TargetMode="External"/><Relationship Id="rId17" Type="http://schemas.openxmlformats.org/officeDocument/2006/relationships/hyperlink" Target="http://en.wikipedia.org/wiki/Allosteric_regulation" TargetMode="External"/><Relationship Id="rId18" Type="http://schemas.openxmlformats.org/officeDocument/2006/relationships/hyperlink" Target="http://en.wikipedia.org/wiki/Integrase" TargetMode="External"/><Relationship Id="rId19" Type="http://schemas.openxmlformats.org/officeDocument/2006/relationships/hyperlink" Target="http://en.wikipedia.org/wiki/Enzyme" TargetMode="External"/><Relationship Id="rId50" Type="http://schemas.openxmlformats.org/officeDocument/2006/relationships/hyperlink" Target="http://en.wikipedia.org/wiki/AbbVie" TargetMode="External"/><Relationship Id="rId51" Type="http://schemas.openxmlformats.org/officeDocument/2006/relationships/hyperlink" Target="http://en.wikipedia.org/wiki/Boehringer_Ingelheim" TargetMode="External"/><Relationship Id="rId52" Type="http://schemas.openxmlformats.org/officeDocument/2006/relationships/hyperlink" Target="http://en.wikipedia.org/wiki/GlaxoSmithKline" TargetMode="External"/><Relationship Id="rId53" Type="http://schemas.openxmlformats.org/officeDocument/2006/relationships/hyperlink" Target="http://en.wikipedia.org/wiki/Gilead_Sciences" TargetMode="External"/><Relationship Id="rId54" Type="http://schemas.openxmlformats.org/officeDocument/2006/relationships/hyperlink" Target="http://en.wikipedia.org/wiki/Merck_%26_Co." TargetMode="External"/><Relationship Id="rId55" Type="http://schemas.openxmlformats.org/officeDocument/2006/relationships/hyperlink" Target="http://en.wikipedia.org/wiki/Pfizer" TargetMode="External"/><Relationship Id="rId56" Type="http://schemas.openxmlformats.org/officeDocument/2006/relationships/footer" Target="footer1.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hyperlink" Target="http://en.wikipedia.org/wiki/Gilead_Sciences" TargetMode="External"/><Relationship Id="rId41" Type="http://schemas.openxmlformats.org/officeDocument/2006/relationships/hyperlink" Target="http://en.wikipedia.org/wiki/ViiV_Healthcare" TargetMode="External"/><Relationship Id="rId42" Type="http://schemas.openxmlformats.org/officeDocument/2006/relationships/hyperlink" Target="http://en.wikipedia.org/wiki/Pfizer" TargetMode="External"/><Relationship Id="rId43" Type="http://schemas.openxmlformats.org/officeDocument/2006/relationships/hyperlink" Target="http://en.wikipedia.org/wiki/Bristol-Myers_Squibb" TargetMode="External"/><Relationship Id="rId44" Type="http://schemas.openxmlformats.org/officeDocument/2006/relationships/hyperlink" Target="http://en.wikipedia.org/wiki/Boehringer_Ingelheim" TargetMode="External"/><Relationship Id="rId45" Type="http://schemas.openxmlformats.org/officeDocument/2006/relationships/hyperlink" Target="http://en.wikipedia.org/wiki/GlaxoSmithKline" TargetMode="External"/><Relationship Id="rId46" Type="http://schemas.openxmlformats.org/officeDocument/2006/relationships/hyperlink" Target="http://en.wikipedia.org/wiki/Bristol-Myers_Squibb" TargetMode="External"/><Relationship Id="rId47" Type="http://schemas.openxmlformats.org/officeDocument/2006/relationships/hyperlink" Target="http://en.wikipedia.org/wiki/ViiV_Healthcare" TargetMode="External"/><Relationship Id="rId48" Type="http://schemas.openxmlformats.org/officeDocument/2006/relationships/hyperlink" Target="http://en.wikipedia.org/wiki/Merck_%26_Co." TargetMode="External"/><Relationship Id="rId49" Type="http://schemas.openxmlformats.org/officeDocument/2006/relationships/hyperlink" Target="http://en.wikipedia.org/wiki/ViiV_Healthcar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30" Type="http://schemas.openxmlformats.org/officeDocument/2006/relationships/hyperlink" Target="http://www.ncbi.nlm.nih.gov/pubmed/?term=Laursen%20A%5BAuthor%5D&amp;cauthor=true&amp;cauthor_uid=23072939" TargetMode="External"/><Relationship Id="rId31" Type="http://schemas.openxmlformats.org/officeDocument/2006/relationships/hyperlink" Target="http://www.ncbi.nlm.nih.gov/pubmed/?term=Obel%20N%5BAuthor%5D&amp;cauthor=true&amp;cauthor_uid=23072939" TargetMode="External"/><Relationship Id="rId32" Type="http://schemas.openxmlformats.org/officeDocument/2006/relationships/hyperlink" Target="http://www.ncbi.nlm.nih.gov/pubmed/?term=Gerstoft%20J%5BAuthor%5D&amp;cauthor=true&amp;cauthor_uid=23072939" TargetMode="External"/><Relationship Id="rId33" Type="http://schemas.openxmlformats.org/officeDocument/2006/relationships/hyperlink" Target="http://www.aids2008.org/Pag/Abstracts.aspx?SID=256&amp;AID=4376" TargetMode="External"/><Relationship Id="rId34" Type="http://schemas.openxmlformats.org/officeDocument/2006/relationships/image" Target="media/image1.jpeg"/><Relationship Id="rId35" Type="http://schemas.openxmlformats.org/officeDocument/2006/relationships/image" Target="media/image2.jpeg"/><Relationship Id="rId36" Type="http://schemas.openxmlformats.org/officeDocument/2006/relationships/hyperlink" Target="http://en.wikipedia.org/wiki/ViiV_Healthcare" TargetMode="External"/><Relationship Id="rId37" Type="http://schemas.openxmlformats.org/officeDocument/2006/relationships/hyperlink" Target="http://en.wikipedia.org/wiki/Bristol-Myers_Squibb" TargetMode="External"/><Relationship Id="rId38" Type="http://schemas.openxmlformats.org/officeDocument/2006/relationships/hyperlink" Target="http://en.wikipedia.org/wiki/Gilead_Sciences" TargetMode="External"/><Relationship Id="rId39" Type="http://schemas.openxmlformats.org/officeDocument/2006/relationships/hyperlink" Target="http://en.wikipedia.org/wiki/GlaxoSmithKline" TargetMode="External"/><Relationship Id="rId20" Type="http://schemas.openxmlformats.org/officeDocument/2006/relationships/hyperlink" Target="http://en.wikipedia.org/wiki/Raltegravir" TargetMode="External"/><Relationship Id="rId21" Type="http://schemas.openxmlformats.org/officeDocument/2006/relationships/hyperlink" Target="http://en.wikipedia.org/wiki/Elvitegravir" TargetMode="External"/><Relationship Id="rId22" Type="http://schemas.openxmlformats.org/officeDocument/2006/relationships/hyperlink" Target="http://en.wikipedia.org/wiki/Active_site" TargetMode="External"/><Relationship Id="rId23" Type="http://schemas.openxmlformats.org/officeDocument/2006/relationships/hyperlink" Target="http://en.wikipedia.org/wiki/Half-life" TargetMode="External"/><Relationship Id="rId24" Type="http://schemas.openxmlformats.org/officeDocument/2006/relationships/hyperlink" Target="http://www.ncbi.nlm.nih.gov/pubmed/?term=Helleberg%20M%5BAuthor%5D&amp;cauthor=true&amp;cauthor_uid=23072939" TargetMode="External"/><Relationship Id="rId25" Type="http://schemas.openxmlformats.org/officeDocument/2006/relationships/hyperlink" Target="http://www.ncbi.nlm.nih.gov/pubmed/?term=Kronborg%20G%5BAuthor%5D&amp;cauthor=true&amp;cauthor_uid=23072939" TargetMode="External"/><Relationship Id="rId26" Type="http://schemas.openxmlformats.org/officeDocument/2006/relationships/hyperlink" Target="http://www.ncbi.nlm.nih.gov/pubmed/?term=Larsen%20CS%5BAuthor%5D&amp;cauthor=true&amp;cauthor_uid=23072939" TargetMode="External"/><Relationship Id="rId27" Type="http://schemas.openxmlformats.org/officeDocument/2006/relationships/hyperlink" Target="http://www.ncbi.nlm.nih.gov/pubmed/?term=Pedersen%20G%5BAuthor%5D&amp;cauthor=true&amp;cauthor_uid=23072939" TargetMode="External"/><Relationship Id="rId28" Type="http://schemas.openxmlformats.org/officeDocument/2006/relationships/hyperlink" Target="http://www.ncbi.nlm.nih.gov/pubmed/?term=Pedersen%20C%5BAuthor%5D&amp;cauthor=true&amp;cauthor_uid=23072939" TargetMode="External"/><Relationship Id="rId29" Type="http://schemas.openxmlformats.org/officeDocument/2006/relationships/hyperlink" Target="http://www.ncbi.nlm.nih.gov/pubmed/?term=Nielsen%20L%5BAuthor%5D&amp;cauthor=true&amp;cauthor_uid=23072939" TargetMode="External"/><Relationship Id="rId1323" Type="http://schemas.microsoft.com/office/2011/relationships/people" Target="people.xml"/><Relationship Id="rId1324" Type="http://schemas.microsoft.com/office/2011/relationships/commentsExtended" Target="commentsExtended.xml"/><Relationship Id="rId10" Type="http://schemas.openxmlformats.org/officeDocument/2006/relationships/hyperlink" Target="mailto:spbydlow@usp.br" TargetMode="External"/><Relationship Id="rId11" Type="http://schemas.openxmlformats.org/officeDocument/2006/relationships/hyperlink" Target="http://en.wikipedia.org/wiki/Cytochrome_P450" TargetMode="External"/><Relationship Id="rId12" Type="http://schemas.openxmlformats.org/officeDocument/2006/relationships/hyperlink" Target="http://en.wikipedia.org/wiki/Darunavi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54067-2891-4541-9832-00E20EE92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20090</Words>
  <Characters>114513</Characters>
  <Application>Microsoft Macintosh Word</Application>
  <DocSecurity>0</DocSecurity>
  <Lines>954</Lines>
  <Paragraphs>268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134335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Felicissimo</dc:creator>
  <cp:lastModifiedBy>NA MA</cp:lastModifiedBy>
  <cp:revision>2</cp:revision>
  <cp:lastPrinted>2015-02-08T23:35:00Z</cp:lastPrinted>
  <dcterms:created xsi:type="dcterms:W3CDTF">2015-03-07T06:36:00Z</dcterms:created>
  <dcterms:modified xsi:type="dcterms:W3CDTF">2015-03-07T06:36:00Z</dcterms:modified>
</cp:coreProperties>
</file>