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E8306" w14:textId="77777777" w:rsidR="00E54724" w:rsidRPr="00E54724" w:rsidRDefault="00E54724" w:rsidP="00E54724">
      <w:pPr>
        <w:widowControl/>
        <w:spacing w:after="200" w:line="276" w:lineRule="auto"/>
        <w:rPr>
          <w:rFonts w:ascii="Book Antiqua" w:eastAsia="Calibri" w:hAnsi="Book Antiqua" w:cs="Calibri"/>
          <w:color w:val="000000"/>
          <w:sz w:val="24"/>
          <w:szCs w:val="24"/>
          <w:u w:color="000000"/>
        </w:rPr>
      </w:pPr>
      <w:r w:rsidRPr="00E54724">
        <w:rPr>
          <w:rFonts w:ascii="Book Antiqua" w:eastAsia="Calibri" w:hAnsi="Book Antiqua" w:cs="Calibri"/>
          <w:b/>
          <w:color w:val="000000"/>
          <w:sz w:val="24"/>
          <w:szCs w:val="24"/>
          <w:u w:color="000000"/>
        </w:rPr>
        <w:t xml:space="preserve">Name of journal: World Journal of Gastroenterology </w:t>
      </w:r>
    </w:p>
    <w:p w14:paraId="44F55A51" w14:textId="77777777" w:rsidR="00E54724" w:rsidRPr="00E54724" w:rsidRDefault="00E54724" w:rsidP="00E54724">
      <w:pPr>
        <w:widowControl/>
        <w:spacing w:after="200" w:line="276" w:lineRule="auto"/>
        <w:rPr>
          <w:rFonts w:ascii="Book Antiqua" w:eastAsia="SimSun" w:hAnsi="Book Antiqua" w:cs="Calibri"/>
          <w:b/>
          <w:color w:val="000000"/>
          <w:sz w:val="24"/>
          <w:szCs w:val="24"/>
          <w:u w:color="000000"/>
        </w:rPr>
      </w:pPr>
      <w:r w:rsidRPr="00E54724">
        <w:rPr>
          <w:rFonts w:ascii="Book Antiqua" w:eastAsia="Calibri" w:hAnsi="Book Antiqua" w:cs="Calibri"/>
          <w:b/>
          <w:color w:val="000000"/>
          <w:sz w:val="24"/>
          <w:szCs w:val="24"/>
          <w:u w:color="000000"/>
          <w:lang w:val="en"/>
        </w:rPr>
        <w:t xml:space="preserve">ESPS Manuscript NO: </w:t>
      </w:r>
      <w:r w:rsidRPr="00E54724">
        <w:rPr>
          <w:rFonts w:ascii="Book Antiqua" w:eastAsia="SimSun" w:hAnsi="Book Antiqua" w:cs="Calibri"/>
          <w:b/>
          <w:color w:val="000000"/>
          <w:sz w:val="24"/>
          <w:szCs w:val="24"/>
          <w:u w:color="000000"/>
          <w:lang w:val="en"/>
        </w:rPr>
        <w:t>149</w:t>
      </w:r>
      <w:r w:rsidR="000D75E6">
        <w:rPr>
          <w:rFonts w:ascii="Book Antiqua" w:eastAsia="SimSun" w:hAnsi="Book Antiqua" w:cs="Calibri" w:hint="eastAsia"/>
          <w:b/>
          <w:color w:val="000000"/>
          <w:sz w:val="24"/>
          <w:szCs w:val="24"/>
          <w:u w:color="000000"/>
          <w:lang w:val="en"/>
        </w:rPr>
        <w:t>74</w:t>
      </w:r>
    </w:p>
    <w:p w14:paraId="1396A6CD" w14:textId="77777777" w:rsidR="00E54724" w:rsidRPr="00E54724" w:rsidRDefault="00E54724" w:rsidP="00E54724">
      <w:pPr>
        <w:widowControl/>
        <w:spacing w:after="200" w:line="276" w:lineRule="auto"/>
        <w:rPr>
          <w:rFonts w:ascii="Book Antiqua" w:eastAsia="Calibri" w:hAnsi="Book Antiqua" w:cs="Calibri"/>
          <w:b/>
          <w:color w:val="000000"/>
          <w:sz w:val="24"/>
          <w:szCs w:val="24"/>
          <w:u w:color="000000"/>
        </w:rPr>
      </w:pPr>
      <w:r w:rsidRPr="00E54724">
        <w:rPr>
          <w:rFonts w:ascii="Book Antiqua" w:eastAsia="Calibri" w:hAnsi="Book Antiqua" w:cs="Calibri"/>
          <w:b/>
          <w:color w:val="000000"/>
          <w:sz w:val="24"/>
          <w:szCs w:val="24"/>
          <w:u w:color="000000"/>
        </w:rPr>
        <w:t xml:space="preserve">Columns: </w:t>
      </w:r>
      <w:r w:rsidRPr="00E54724">
        <w:rPr>
          <w:rFonts w:ascii="Book Antiqua" w:eastAsia="Calibri" w:hAnsi="Book Antiqua" w:cs="Calibri"/>
          <w:b/>
          <w:color w:val="000000"/>
          <w:sz w:val="24"/>
          <w:u w:color="000000"/>
        </w:rPr>
        <w:t>META-ANALYSIS</w:t>
      </w:r>
    </w:p>
    <w:p w14:paraId="1589C3FE" w14:textId="77777777" w:rsidR="00E54724" w:rsidRPr="00E54724" w:rsidRDefault="00E54724" w:rsidP="00E54724">
      <w:pPr>
        <w:widowControl/>
        <w:spacing w:after="200" w:line="276" w:lineRule="auto"/>
        <w:rPr>
          <w:rFonts w:ascii="Book Antiqua" w:eastAsia="Calibri" w:hAnsi="Book Antiqua" w:cs="Calibri"/>
          <w:color w:val="000000"/>
          <w:sz w:val="24"/>
          <w:szCs w:val="24"/>
          <w:u w:color="000000"/>
        </w:rPr>
      </w:pPr>
    </w:p>
    <w:p w14:paraId="61309F9E" w14:textId="77777777" w:rsidR="00E54724" w:rsidRPr="00E54724" w:rsidRDefault="00E54724" w:rsidP="00E54724">
      <w:pPr>
        <w:widowControl/>
        <w:spacing w:after="200" w:line="276" w:lineRule="auto"/>
        <w:rPr>
          <w:rFonts w:ascii="Book Antiqua" w:eastAsia="SimSun" w:hAnsi="Book Antiqua" w:cs="Calibri"/>
          <w:b/>
          <w:color w:val="000000"/>
          <w:sz w:val="24"/>
          <w:szCs w:val="24"/>
          <w:u w:color="000000"/>
        </w:rPr>
      </w:pPr>
      <w:r w:rsidRPr="00E54724">
        <w:rPr>
          <w:rFonts w:ascii="Book Antiqua" w:eastAsia="Calibri" w:hAnsi="Book Antiqua" w:cs="Calibri"/>
          <w:b/>
          <w:color w:val="000000"/>
          <w:sz w:val="24"/>
          <w:szCs w:val="24"/>
          <w:u w:color="000000"/>
        </w:rPr>
        <w:t>Autologous bone marrow transplantation in decompensated liver: Systematic review and meta-analysis</w:t>
      </w:r>
    </w:p>
    <w:p w14:paraId="21686105"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p>
    <w:p w14:paraId="3C5EB084" w14:textId="77777777" w:rsidR="00E54724" w:rsidRPr="00E54724" w:rsidRDefault="00E54724" w:rsidP="00E54724">
      <w:pPr>
        <w:widowControl/>
        <w:spacing w:after="200" w:line="360" w:lineRule="auto"/>
        <w:rPr>
          <w:rFonts w:ascii="Book Antiqua" w:eastAsia="SimSun" w:hAnsi="Book Antiqua" w:cs="Times New Roman"/>
          <w:b/>
          <w:color w:val="000000"/>
          <w:sz w:val="24"/>
          <w:szCs w:val="24"/>
          <w:u w:color="000000"/>
        </w:rPr>
      </w:pPr>
      <w:r w:rsidRPr="00E54724">
        <w:rPr>
          <w:rFonts w:ascii="Book Antiqua" w:eastAsia="SimSun" w:hAnsi="Book Antiqua" w:cs="Times New Roman"/>
          <w:color w:val="000000"/>
          <w:sz w:val="24"/>
          <w:szCs w:val="24"/>
          <w:u w:color="000000"/>
        </w:rPr>
        <w:t xml:space="preserve">Pankaj P </w:t>
      </w:r>
      <w:r w:rsidRPr="00E54724">
        <w:rPr>
          <w:rFonts w:ascii="Book Antiqua" w:eastAsia="SimSun" w:hAnsi="Book Antiqua" w:cs="Times New Roman"/>
          <w:i/>
          <w:color w:val="000000"/>
          <w:sz w:val="24"/>
          <w:szCs w:val="24"/>
          <w:u w:color="000000"/>
        </w:rPr>
        <w:t>et al</w:t>
      </w:r>
      <w:r w:rsidRPr="00E54724">
        <w:rPr>
          <w:rFonts w:ascii="Book Antiqua" w:eastAsia="SimSun" w:hAnsi="Book Antiqua" w:cs="Times New Roman"/>
          <w:color w:val="000000"/>
          <w:sz w:val="24"/>
          <w:szCs w:val="24"/>
          <w:u w:color="000000"/>
        </w:rPr>
        <w:t>. Bone marrow transplantation in decompensated liver</w:t>
      </w:r>
    </w:p>
    <w:p w14:paraId="17A69E88" w14:textId="77777777" w:rsidR="00E54724" w:rsidRPr="00E54724" w:rsidRDefault="00E54724" w:rsidP="00E54724">
      <w:pPr>
        <w:widowControl/>
        <w:spacing w:after="200" w:line="360" w:lineRule="auto"/>
        <w:rPr>
          <w:rFonts w:ascii="Book Antiqua" w:eastAsia="SimSun" w:hAnsi="Book Antiqua" w:cs="Times New Roman"/>
          <w:b/>
          <w:color w:val="000000"/>
          <w:sz w:val="24"/>
          <w:szCs w:val="24"/>
          <w:u w:color="000000"/>
        </w:rPr>
      </w:pPr>
    </w:p>
    <w:p w14:paraId="6E1C946E" w14:textId="75B5753E"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sz w:val="24"/>
          <w:szCs w:val="24"/>
        </w:rPr>
        <w:t xml:space="preserve">Prasoon Pankaj, Qi Zhang, </w:t>
      </w:r>
      <w:r w:rsidR="00643684" w:rsidRPr="00E54724">
        <w:rPr>
          <w:rFonts w:ascii="Book Antiqua" w:eastAsia="SimSun" w:hAnsi="Book Antiqua" w:cs="Times New Roman"/>
          <w:sz w:val="24"/>
          <w:szCs w:val="24"/>
        </w:rPr>
        <w:t xml:space="preserve">Xue-Li Bai, </w:t>
      </w:r>
      <w:r w:rsidRPr="00E54724">
        <w:rPr>
          <w:rFonts w:ascii="Book Antiqua" w:eastAsia="SimSun" w:hAnsi="Book Antiqua" w:cs="Times New Roman"/>
          <w:sz w:val="24"/>
          <w:szCs w:val="24"/>
        </w:rPr>
        <w:t>Ting-Bo Liang</w:t>
      </w:r>
    </w:p>
    <w:p w14:paraId="597735AC" w14:textId="77777777" w:rsidR="00E54724" w:rsidRPr="00E54724" w:rsidRDefault="00E54724" w:rsidP="00E54724">
      <w:pPr>
        <w:widowControl/>
        <w:spacing w:after="200" w:line="360" w:lineRule="auto"/>
        <w:rPr>
          <w:rFonts w:ascii="Book Antiqua" w:eastAsia="Calibri" w:hAnsi="Book Antiqua" w:cs="Calibri"/>
          <w:color w:val="000000"/>
          <w:sz w:val="22"/>
          <w:u w:color="000000"/>
        </w:rPr>
      </w:pPr>
    </w:p>
    <w:p w14:paraId="4D52EF1C" w14:textId="2F73605B" w:rsidR="00E54724" w:rsidRPr="00E54724" w:rsidRDefault="00E045BC"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045BC">
        <w:rPr>
          <w:rFonts w:ascii="Book Antiqua" w:eastAsia="SimSun" w:hAnsi="Book Antiqua" w:cs="Times New Roman"/>
          <w:b/>
          <w:sz w:val="24"/>
          <w:szCs w:val="24"/>
        </w:rPr>
        <w:t>Prasoon Pankaj, Qi Zhang, Xue-Li Bai, Ting-Bo Liang</w:t>
      </w:r>
      <w:r w:rsidR="00E54724" w:rsidRPr="00E54724">
        <w:rPr>
          <w:rFonts w:ascii="Book Antiqua" w:eastAsia="SimSun" w:hAnsi="Book Antiqua" w:cs="Times New Roman"/>
          <w:b/>
          <w:sz w:val="24"/>
          <w:szCs w:val="24"/>
        </w:rPr>
        <w:t xml:space="preserve">, </w:t>
      </w:r>
      <w:r w:rsidR="00E54724" w:rsidRPr="00E54724">
        <w:rPr>
          <w:rFonts w:ascii="Book Antiqua" w:eastAsia="SimSun" w:hAnsi="Book Antiqua" w:cs="Times New Roman"/>
          <w:sz w:val="24"/>
          <w:szCs w:val="24"/>
        </w:rPr>
        <w:t xml:space="preserve">Department of Hepatobiliary and Pancreatic Surgery, the Second Affiliated Hospital, Zhejiang University School of Medicine, Hangzhou 310009, </w:t>
      </w:r>
      <w:r w:rsidR="00E54724" w:rsidRPr="00E54724">
        <w:rPr>
          <w:rFonts w:ascii="Book Antiqua" w:eastAsia="SimSun" w:hAnsi="Book Antiqua" w:cs="Times New Roman" w:hint="eastAsia"/>
          <w:sz w:val="24"/>
          <w:szCs w:val="24"/>
        </w:rPr>
        <w:t xml:space="preserve">Zhejiang Province, </w:t>
      </w:r>
      <w:r w:rsidR="00E54724" w:rsidRPr="00E54724">
        <w:rPr>
          <w:rFonts w:ascii="Book Antiqua" w:eastAsia="SimSun" w:hAnsi="Book Antiqua" w:cs="Times New Roman"/>
          <w:sz w:val="24"/>
          <w:szCs w:val="24"/>
        </w:rPr>
        <w:t>China</w:t>
      </w:r>
    </w:p>
    <w:p w14:paraId="01ABE70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3ACAD9ED" w14:textId="33373AB6"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lang w:eastAsia="en-US"/>
        </w:rPr>
      </w:pPr>
      <w:r w:rsidRPr="00E54724">
        <w:rPr>
          <w:rFonts w:ascii="Book Antiqua" w:eastAsia="SimSun" w:hAnsi="Book Antiqua" w:cs="Times New Roman"/>
          <w:b/>
          <w:sz w:val="24"/>
          <w:szCs w:val="24"/>
        </w:rPr>
        <w:t>Author contribution</w:t>
      </w:r>
      <w:r w:rsidRPr="00E54724">
        <w:rPr>
          <w:rFonts w:ascii="Book Antiqua" w:eastAsia="SimSun" w:hAnsi="Book Antiqua" w:cs="Times New Roman" w:hint="eastAsia"/>
          <w:b/>
          <w:sz w:val="24"/>
          <w:szCs w:val="24"/>
        </w:rPr>
        <w:t>s</w:t>
      </w:r>
      <w:r w:rsidRPr="00E54724">
        <w:rPr>
          <w:rFonts w:ascii="Book Antiqua" w:eastAsia="SimSun" w:hAnsi="Book Antiqua" w:cs="Times New Roman"/>
          <w:b/>
          <w:sz w:val="24"/>
          <w:szCs w:val="24"/>
        </w:rPr>
        <w:t>:</w:t>
      </w:r>
      <w:r w:rsidRPr="00E54724">
        <w:rPr>
          <w:rFonts w:ascii="Book Antiqua" w:eastAsia="SimSun" w:hAnsi="Book Antiqua" w:cs="Times New Roman"/>
          <w:sz w:val="24"/>
          <w:szCs w:val="24"/>
        </w:rPr>
        <w:t xml:space="preserve"> Pankaj P and Zhang Q contributed equally to this work; Liang TB conceived the idea; </w:t>
      </w:r>
      <w:r w:rsidRPr="00E54724">
        <w:rPr>
          <w:rFonts w:ascii="Book Antiqua" w:eastAsia="SimSun" w:hAnsi="Book Antiqua" w:cs="Times New Roman"/>
          <w:sz w:val="24"/>
          <w:szCs w:val="24"/>
          <w:lang w:eastAsia="en-US"/>
        </w:rPr>
        <w:t>Pankaj P and Bai XL performed the literature search</w:t>
      </w:r>
      <w:r w:rsidR="001F7770">
        <w:rPr>
          <w:rFonts w:ascii="Book Antiqua" w:eastAsia="SimSun" w:hAnsi="Book Antiqua" w:cs="Times New Roman" w:hint="eastAsia"/>
          <w:sz w:val="24"/>
          <w:szCs w:val="24"/>
        </w:rPr>
        <w:t>;</w:t>
      </w:r>
      <w:r w:rsidRPr="00E54724">
        <w:rPr>
          <w:rFonts w:ascii="Book Antiqua" w:eastAsia="SimSun" w:hAnsi="Book Antiqua" w:cs="Times New Roman"/>
          <w:sz w:val="24"/>
          <w:szCs w:val="24"/>
          <w:lang w:eastAsia="en-US"/>
        </w:rPr>
        <w:t xml:space="preserve"> Pankaj P and Zhang Q extracted the data; </w:t>
      </w:r>
      <w:r w:rsidRPr="00E54724">
        <w:rPr>
          <w:rFonts w:ascii="Book Antiqua" w:eastAsia="SimSun" w:hAnsi="Book Antiqua" w:cs="Times New Roman"/>
          <w:sz w:val="24"/>
          <w:szCs w:val="24"/>
        </w:rPr>
        <w:t>Zhang Q analyzed the data</w:t>
      </w:r>
      <w:r w:rsidR="00593730">
        <w:rPr>
          <w:rFonts w:ascii="Book Antiqua" w:eastAsia="SimSun" w:hAnsi="Book Antiqua" w:cs="Times New Roman" w:hint="eastAsia"/>
          <w:sz w:val="24"/>
          <w:szCs w:val="24"/>
        </w:rPr>
        <w:t>;</w:t>
      </w:r>
      <w:r w:rsidR="001F7770">
        <w:rPr>
          <w:rFonts w:ascii="Book Antiqua" w:eastAsia="SimSun" w:hAnsi="Book Antiqua" w:cs="Times New Roman" w:hint="eastAsia"/>
          <w:sz w:val="24"/>
          <w:szCs w:val="24"/>
        </w:rPr>
        <w:t xml:space="preserve"> Pankaj P </w:t>
      </w:r>
      <w:r w:rsidR="001F7770" w:rsidRPr="00E54724">
        <w:rPr>
          <w:rFonts w:ascii="Book Antiqua" w:eastAsia="SimSun" w:hAnsi="Book Antiqua" w:cs="Times New Roman"/>
          <w:sz w:val="24"/>
          <w:szCs w:val="24"/>
          <w:lang w:eastAsia="en-US"/>
        </w:rPr>
        <w:t xml:space="preserve">and </w:t>
      </w:r>
      <w:r w:rsidR="001F7770">
        <w:rPr>
          <w:rFonts w:ascii="Book Antiqua" w:eastAsia="SimSun" w:hAnsi="Book Antiqua" w:cs="Times New Roman" w:hint="eastAsia"/>
          <w:sz w:val="24"/>
          <w:szCs w:val="24"/>
        </w:rPr>
        <w:t xml:space="preserve">Zhang Q </w:t>
      </w:r>
      <w:r w:rsidR="001F7770" w:rsidRPr="00E54724">
        <w:rPr>
          <w:rFonts w:ascii="Book Antiqua" w:eastAsia="SimSun" w:hAnsi="Book Antiqua" w:cs="Times New Roman"/>
          <w:sz w:val="24"/>
          <w:szCs w:val="24"/>
          <w:lang w:eastAsia="en-US"/>
        </w:rPr>
        <w:t>drafted the manuscript</w:t>
      </w:r>
      <w:r w:rsidRPr="00E54724">
        <w:rPr>
          <w:rFonts w:ascii="Book Antiqua" w:eastAsia="SimSun" w:hAnsi="Book Antiqua" w:cs="Times New Roman"/>
          <w:sz w:val="24"/>
          <w:szCs w:val="24"/>
        </w:rPr>
        <w:t xml:space="preserve">; </w:t>
      </w:r>
      <w:r w:rsidRPr="00E54724">
        <w:rPr>
          <w:rFonts w:ascii="Book Antiqua" w:eastAsia="SimSun" w:hAnsi="Book Antiqua" w:cs="Times New Roman"/>
          <w:sz w:val="24"/>
          <w:szCs w:val="24"/>
          <w:lang w:eastAsia="en-US"/>
        </w:rPr>
        <w:t>all authors approved the final version to be published.</w:t>
      </w:r>
    </w:p>
    <w:p w14:paraId="13171F89"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lang w:eastAsia="en-US"/>
        </w:rPr>
      </w:pPr>
    </w:p>
    <w:p w14:paraId="79218B5B"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sz w:val="24"/>
          <w:szCs w:val="24"/>
        </w:rPr>
        <w:t xml:space="preserve">Supported by </w:t>
      </w:r>
      <w:r w:rsidRPr="00E54724">
        <w:rPr>
          <w:rFonts w:ascii="Book Antiqua" w:eastAsia="SimSun" w:hAnsi="Book Antiqua" w:cs="Times New Roman"/>
          <w:sz w:val="24"/>
          <w:szCs w:val="24"/>
        </w:rPr>
        <w:t>National Natural Science Foundation of</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China</w:t>
      </w:r>
      <w:r w:rsidRPr="00E54724">
        <w:rPr>
          <w:rFonts w:ascii="Book Antiqua" w:eastAsia="SimSun" w:hAnsi="Book Antiqua" w:cs="Times New Roman" w:hint="eastAsia"/>
          <w:sz w:val="24"/>
          <w:szCs w:val="24"/>
        </w:rPr>
        <w:t>,</w:t>
      </w:r>
      <w:r w:rsidRPr="00E54724">
        <w:rPr>
          <w:rFonts w:ascii="Book Antiqua" w:eastAsia="SimSun" w:hAnsi="Book Antiqua" w:cs="Times New Roman"/>
          <w:sz w:val="24"/>
          <w:szCs w:val="24"/>
        </w:rPr>
        <w:t xml:space="preserve"> No. 81171884 and </w:t>
      </w:r>
      <w:r w:rsidRPr="00E54724">
        <w:rPr>
          <w:rFonts w:ascii="Book Antiqua" w:eastAsia="SimSun" w:hAnsi="Book Antiqua" w:cs="Times New Roman" w:hint="eastAsia"/>
          <w:sz w:val="24"/>
          <w:szCs w:val="24"/>
        </w:rPr>
        <w:t xml:space="preserve">No. </w:t>
      </w:r>
      <w:r w:rsidRPr="00E54724">
        <w:rPr>
          <w:rFonts w:ascii="Book Antiqua" w:eastAsia="SimSun" w:hAnsi="Book Antiqua" w:cs="Times New Roman"/>
          <w:sz w:val="24"/>
          <w:szCs w:val="24"/>
        </w:rPr>
        <w:t>81401954</w:t>
      </w:r>
      <w:r w:rsidRPr="00E54724">
        <w:rPr>
          <w:rFonts w:ascii="Book Antiqua" w:eastAsia="SimSun" w:hAnsi="Book Antiqua" w:cs="Times New Roman" w:hint="eastAsia"/>
          <w:sz w:val="24"/>
          <w:szCs w:val="24"/>
        </w:rPr>
        <w:t>;</w:t>
      </w:r>
      <w:r w:rsidRPr="00E54724">
        <w:rPr>
          <w:rFonts w:ascii="Book Antiqua" w:eastAsia="SimSun" w:hAnsi="Book Antiqua" w:cs="Times New Roman"/>
          <w:sz w:val="24"/>
          <w:szCs w:val="24"/>
        </w:rPr>
        <w:t xml:space="preserve"> and Innovation and High-Level Talent Training Program of Department of Health of Zhejiang Province, China.</w:t>
      </w:r>
    </w:p>
    <w:p w14:paraId="16EC11E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79789247"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Arial"/>
          <w:sz w:val="24"/>
          <w:szCs w:val="24"/>
        </w:rPr>
      </w:pPr>
      <w:r w:rsidRPr="00E54724">
        <w:rPr>
          <w:rFonts w:ascii="Book Antiqua" w:eastAsia="SimSun" w:hAnsi="Book Antiqua" w:cs="Times New Roman"/>
          <w:b/>
          <w:kern w:val="0"/>
          <w:sz w:val="24"/>
          <w:szCs w:val="24"/>
        </w:rPr>
        <w:t>Conflict-of-interest</w:t>
      </w:r>
      <w:r w:rsidRPr="00E54724">
        <w:rPr>
          <w:rFonts w:ascii="Book Antiqua" w:eastAsia="SimSun" w:hAnsi="Book Antiqua" w:cs="Times New Roman" w:hint="eastAsia"/>
          <w:b/>
          <w:sz w:val="24"/>
          <w:szCs w:val="24"/>
        </w:rPr>
        <w:t xml:space="preserve">: </w:t>
      </w:r>
      <w:r w:rsidRPr="00E54724">
        <w:rPr>
          <w:rFonts w:ascii="Book Antiqua" w:eastAsia="SimSun" w:hAnsi="Book Antiqua" w:cs="Times New Roman" w:hint="eastAsia"/>
          <w:sz w:val="24"/>
          <w:szCs w:val="24"/>
        </w:rPr>
        <w:t>The authors declared no conflict of interest.</w:t>
      </w:r>
    </w:p>
    <w:p w14:paraId="21909E30"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44115C99"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kern w:val="0"/>
          <w:sz w:val="24"/>
          <w:szCs w:val="24"/>
        </w:rPr>
        <w:t>Data sharing</w:t>
      </w:r>
      <w:r w:rsidRPr="00E54724">
        <w:rPr>
          <w:rFonts w:ascii="Book Antiqua" w:eastAsia="SimSun" w:hAnsi="Book Antiqua" w:cs="Times New Roman" w:hint="eastAsia"/>
          <w:b/>
          <w:sz w:val="24"/>
          <w:szCs w:val="24"/>
        </w:rPr>
        <w:t xml:space="preserve">: </w:t>
      </w:r>
      <w:r w:rsidRPr="00E54724">
        <w:rPr>
          <w:rFonts w:ascii="Book Antiqua" w:eastAsia="SimSun" w:hAnsi="Book Antiqua" w:cs="Times New Roman" w:hint="eastAsia"/>
          <w:sz w:val="24"/>
          <w:szCs w:val="24"/>
        </w:rPr>
        <w:t>No additional data are available.</w:t>
      </w:r>
    </w:p>
    <w:p w14:paraId="691A262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2B36BEC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bookmarkStart w:id="0" w:name="OLE_LINK507"/>
      <w:bookmarkStart w:id="1" w:name="OLE_LINK506"/>
      <w:bookmarkStart w:id="2" w:name="OLE_LINK496"/>
      <w:bookmarkStart w:id="3" w:name="OLE_LINK479"/>
      <w:r w:rsidRPr="00E54724">
        <w:rPr>
          <w:rFonts w:ascii="Book Antiqua" w:eastAsia="SimSun" w:hAnsi="Book Antiqua" w:cs="Times New Roman"/>
          <w:b/>
          <w:sz w:val="24"/>
          <w:szCs w:val="24"/>
        </w:rPr>
        <w:t xml:space="preserve">Open-Access: </w:t>
      </w:r>
      <w:r w:rsidRPr="00E54724">
        <w:rPr>
          <w:rFonts w:ascii="Book Antiqua" w:eastAsia="SimSun" w:hAnsi="Book Antiqua" w:cs="Times New Roman"/>
          <w:sz w:val="24"/>
          <w:szCs w:val="24"/>
        </w:rPr>
        <w:t>This article is an open-access</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article</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which was selected by an in-house editor and fully peer-reviewed by external reviewers. It is distributed</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in</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accordance</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6E427205"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061D28D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sz w:val="24"/>
          <w:szCs w:val="24"/>
        </w:rPr>
        <w:t>Correspondence to: Ting-Bo Liang, MD, PhD</w:t>
      </w:r>
      <w:r w:rsidRPr="00E54724">
        <w:rPr>
          <w:rFonts w:ascii="Book Antiqua" w:eastAsia="SimSun" w:hAnsi="Book Antiqua" w:cs="Times New Roman" w:hint="eastAsia"/>
          <w:b/>
          <w:sz w:val="24"/>
          <w:szCs w:val="24"/>
        </w:rPr>
        <w:t>,</w:t>
      </w:r>
      <w:r w:rsidRPr="00E54724">
        <w:rPr>
          <w:rFonts w:ascii="Book Antiqua" w:eastAsia="SimSun" w:hAnsi="Book Antiqua" w:cs="Times New Roman"/>
          <w:b/>
          <w:sz w:val="24"/>
          <w:szCs w:val="24"/>
        </w:rPr>
        <w:t xml:space="preserve"> </w:t>
      </w:r>
      <w:r w:rsidRPr="00E54724">
        <w:rPr>
          <w:rFonts w:ascii="Book Antiqua" w:eastAsia="SimSun" w:hAnsi="Book Antiqua" w:cs="Times New Roman" w:hint="eastAsia"/>
          <w:b/>
          <w:sz w:val="24"/>
          <w:szCs w:val="24"/>
        </w:rPr>
        <w:t>Professor,</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 xml:space="preserve">Department of Hepatobiliary and Pancreatic Surgery, the Second Affiliated Hospital, Zhejiang University School of Medicine, 88 Jiefang Road, Hangzhou 310009, </w:t>
      </w:r>
      <w:r w:rsidRPr="00E54724">
        <w:rPr>
          <w:rFonts w:ascii="Book Antiqua" w:eastAsia="SimSun" w:hAnsi="Book Antiqua" w:cs="Times New Roman" w:hint="eastAsia"/>
          <w:sz w:val="24"/>
          <w:szCs w:val="24"/>
        </w:rPr>
        <w:t xml:space="preserve">Zhejiang Province, </w:t>
      </w:r>
      <w:r w:rsidRPr="00E54724">
        <w:rPr>
          <w:rFonts w:ascii="Book Antiqua" w:eastAsia="SimSun" w:hAnsi="Book Antiqua" w:cs="Times New Roman"/>
          <w:sz w:val="24"/>
          <w:szCs w:val="24"/>
        </w:rPr>
        <w:t>China. liangtingbo@zju.edu.cn</w:t>
      </w:r>
    </w:p>
    <w:p w14:paraId="27B3D5A2"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39177D6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sz w:val="24"/>
          <w:szCs w:val="24"/>
        </w:rPr>
        <w:t>Telephone:</w:t>
      </w:r>
      <w:r w:rsidRPr="00E54724">
        <w:rPr>
          <w:rFonts w:ascii="Book Antiqua" w:eastAsia="SimSun" w:hAnsi="Book Antiqua" w:cs="Times New Roman"/>
          <w:sz w:val="24"/>
          <w:szCs w:val="24"/>
        </w:rPr>
        <w:t xml:space="preserve"> +86-571-8731500 </w:t>
      </w:r>
    </w:p>
    <w:p w14:paraId="55335C5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sz w:val="24"/>
          <w:szCs w:val="24"/>
        </w:rPr>
        <w:t xml:space="preserve">Fax: </w:t>
      </w:r>
      <w:r w:rsidRPr="00E54724">
        <w:rPr>
          <w:rFonts w:ascii="Book Antiqua" w:eastAsia="SimSun" w:hAnsi="Book Antiqua" w:cs="Times New Roman"/>
          <w:sz w:val="24"/>
          <w:szCs w:val="24"/>
        </w:rPr>
        <w:t>+86-571-87315005</w:t>
      </w:r>
    </w:p>
    <w:p w14:paraId="2E6A7A15"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sz w:val="24"/>
          <w:szCs w:val="24"/>
        </w:rPr>
        <w:t xml:space="preserve">Received: </w:t>
      </w:r>
      <w:r w:rsidRPr="00E54724">
        <w:rPr>
          <w:rFonts w:ascii="Book Antiqua" w:eastAsia="SimSun" w:hAnsi="Book Antiqua" w:cs="Times New Roman"/>
          <w:sz w:val="24"/>
          <w:szCs w:val="24"/>
        </w:rPr>
        <w:t>November</w:t>
      </w:r>
      <w:r w:rsidRPr="00E54724">
        <w:rPr>
          <w:rFonts w:ascii="Book Antiqua" w:eastAsia="SimSun" w:hAnsi="Book Antiqua" w:cs="Times New Roman" w:hint="eastAsia"/>
          <w:sz w:val="24"/>
          <w:szCs w:val="24"/>
        </w:rPr>
        <w:t xml:space="preserve"> 2, 2014</w:t>
      </w:r>
      <w:r w:rsidRPr="00E54724">
        <w:rPr>
          <w:rFonts w:ascii="Book Antiqua" w:eastAsia="SimSun" w:hAnsi="Book Antiqua" w:cs="Times New Roman"/>
          <w:sz w:val="24"/>
          <w:szCs w:val="24"/>
        </w:rPr>
        <w:t xml:space="preserve"> </w:t>
      </w:r>
    </w:p>
    <w:p w14:paraId="45DA3080"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sz w:val="24"/>
          <w:szCs w:val="24"/>
        </w:rPr>
        <w:t>Peer-review started:</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November</w:t>
      </w:r>
      <w:r w:rsidRPr="00E54724">
        <w:rPr>
          <w:rFonts w:ascii="Book Antiqua" w:eastAsia="SimSun" w:hAnsi="Book Antiqua" w:cs="Times New Roman" w:hint="eastAsia"/>
          <w:sz w:val="24"/>
          <w:szCs w:val="24"/>
        </w:rPr>
        <w:t xml:space="preserve"> 3, 2014</w:t>
      </w:r>
    </w:p>
    <w:p w14:paraId="5E83732B"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sz w:val="24"/>
          <w:szCs w:val="24"/>
        </w:rPr>
        <w:t>First decision:</w:t>
      </w:r>
      <w:r w:rsidRPr="00E54724">
        <w:rPr>
          <w:rFonts w:ascii="Book Antiqua" w:eastAsia="SimSun" w:hAnsi="Book Antiqua" w:cs="Times New Roman" w:hint="eastAsia"/>
          <w:b/>
          <w:sz w:val="24"/>
          <w:szCs w:val="24"/>
        </w:rPr>
        <w:t xml:space="preserve"> </w:t>
      </w:r>
      <w:r w:rsidRPr="00E54724">
        <w:rPr>
          <w:rFonts w:ascii="Book Antiqua" w:eastAsia="SimSun" w:hAnsi="Book Antiqua" w:cs="Times New Roman"/>
          <w:sz w:val="24"/>
          <w:szCs w:val="24"/>
        </w:rPr>
        <w:t>March</w:t>
      </w:r>
      <w:r w:rsidRPr="00E54724">
        <w:rPr>
          <w:rFonts w:ascii="Book Antiqua" w:eastAsia="SimSun" w:hAnsi="Book Antiqua" w:cs="Times New Roman" w:hint="eastAsia"/>
          <w:sz w:val="24"/>
          <w:szCs w:val="24"/>
        </w:rPr>
        <w:t xml:space="preserve"> 10, 2015</w:t>
      </w:r>
    </w:p>
    <w:p w14:paraId="73E61C3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b/>
          <w:sz w:val="24"/>
          <w:szCs w:val="24"/>
        </w:rPr>
        <w:t xml:space="preserve">Revised: </w:t>
      </w:r>
      <w:r w:rsidRPr="00E54724">
        <w:rPr>
          <w:rFonts w:ascii="Book Antiqua" w:eastAsia="SimSun" w:hAnsi="Book Antiqua" w:cs="Times New Roman"/>
          <w:sz w:val="24"/>
          <w:szCs w:val="24"/>
        </w:rPr>
        <w:t>March</w:t>
      </w:r>
      <w:r w:rsidRPr="00E54724">
        <w:rPr>
          <w:rFonts w:ascii="Book Antiqua" w:eastAsia="SimSun" w:hAnsi="Book Antiqua" w:cs="Times New Roman" w:hint="eastAsia"/>
          <w:sz w:val="24"/>
          <w:szCs w:val="24"/>
        </w:rPr>
        <w:t xml:space="preserve"> 27, 2015</w:t>
      </w:r>
      <w:r w:rsidRPr="00E54724">
        <w:rPr>
          <w:rFonts w:ascii="Book Antiqua" w:eastAsia="SimSun" w:hAnsi="Book Antiqua" w:cs="Times New Roman"/>
          <w:sz w:val="24"/>
          <w:szCs w:val="24"/>
        </w:rPr>
        <w:t xml:space="preserve"> </w:t>
      </w:r>
    </w:p>
    <w:p w14:paraId="6373B917" w14:textId="69909C04" w:rsidR="0080150C" w:rsidRPr="000213AF" w:rsidRDefault="00E54724" w:rsidP="0080150C">
      <w:pPr>
        <w:rPr>
          <w:rFonts w:ascii="Book Antiqua" w:hAnsi="Book Antiqua"/>
          <w:color w:val="000000"/>
          <w:sz w:val="24"/>
        </w:rPr>
      </w:pPr>
      <w:r w:rsidRPr="00E54724">
        <w:rPr>
          <w:rFonts w:ascii="Book Antiqua" w:eastAsia="SimSun" w:hAnsi="Book Antiqua" w:cs="Times New Roman"/>
          <w:b/>
          <w:sz w:val="24"/>
          <w:szCs w:val="24"/>
        </w:rPr>
        <w:t>Accepted:</w:t>
      </w:r>
      <w:bookmarkStart w:id="4" w:name="OLE_LINK99"/>
      <w:bookmarkStart w:id="5" w:name="OLE_LINK104"/>
      <w:bookmarkStart w:id="6" w:name="OLE_LINK110"/>
      <w:r w:rsidR="0080150C" w:rsidRPr="0080150C">
        <w:rPr>
          <w:rFonts w:ascii="Book Antiqua" w:hAnsi="Book Antiqua"/>
          <w:color w:val="000000"/>
          <w:sz w:val="24"/>
        </w:rPr>
        <w:t xml:space="preserve"> </w:t>
      </w:r>
      <w:r w:rsidR="0080150C">
        <w:rPr>
          <w:rFonts w:ascii="Book Antiqua" w:hAnsi="Book Antiqua"/>
          <w:color w:val="000000"/>
          <w:sz w:val="24"/>
        </w:rPr>
        <w:t>April 28</w:t>
      </w:r>
      <w:r w:rsidR="0080150C" w:rsidRPr="000213AF">
        <w:rPr>
          <w:rFonts w:ascii="Book Antiqua" w:hAnsi="Book Antiqua"/>
          <w:color w:val="000000"/>
          <w:sz w:val="24"/>
        </w:rPr>
        <w:t>, 2015</w:t>
      </w:r>
    </w:p>
    <w:p w14:paraId="5DD4B9BA"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bookmarkStart w:id="7" w:name="_GoBack"/>
      <w:bookmarkEnd w:id="4"/>
      <w:bookmarkEnd w:id="5"/>
      <w:bookmarkEnd w:id="6"/>
      <w:bookmarkEnd w:id="7"/>
      <w:r w:rsidRPr="00E54724">
        <w:rPr>
          <w:rFonts w:ascii="Book Antiqua" w:eastAsia="SimSun" w:hAnsi="Book Antiqua" w:cs="Times New Roman"/>
          <w:b/>
          <w:sz w:val="24"/>
          <w:szCs w:val="24"/>
        </w:rPr>
        <w:t xml:space="preserve"> </w:t>
      </w:r>
    </w:p>
    <w:p w14:paraId="44E5EF4F"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r w:rsidRPr="00E54724">
        <w:rPr>
          <w:rFonts w:ascii="Book Antiqua" w:eastAsia="SimSun" w:hAnsi="Book Antiqua" w:cs="Times New Roman"/>
          <w:b/>
          <w:sz w:val="24"/>
          <w:szCs w:val="24"/>
        </w:rPr>
        <w:t>Article in press:</w:t>
      </w:r>
    </w:p>
    <w:p w14:paraId="441A8244"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r w:rsidRPr="00E54724">
        <w:rPr>
          <w:rFonts w:ascii="Book Antiqua" w:eastAsia="SimSun" w:hAnsi="Book Antiqua" w:cs="Times New Roman"/>
          <w:b/>
          <w:sz w:val="24"/>
          <w:szCs w:val="24"/>
        </w:rPr>
        <w:t>Published online:</w:t>
      </w:r>
    </w:p>
    <w:p w14:paraId="48043901" w14:textId="77777777" w:rsidR="00E54724" w:rsidRPr="00E54724" w:rsidRDefault="00E54724" w:rsidP="00E54724">
      <w:pPr>
        <w:widowControl/>
        <w:spacing w:after="200" w:line="360" w:lineRule="auto"/>
        <w:rPr>
          <w:rFonts w:ascii="Book Antiqua" w:eastAsia="SimSun" w:hAnsi="Book Antiqua" w:cs="Times New Roman"/>
          <w:b/>
          <w:color w:val="000000"/>
          <w:sz w:val="24"/>
          <w:szCs w:val="24"/>
          <w:u w:color="000000"/>
        </w:rPr>
      </w:pPr>
    </w:p>
    <w:p w14:paraId="650BAE15" w14:textId="77777777" w:rsidR="00E54724" w:rsidRPr="00E54724" w:rsidRDefault="00E54724" w:rsidP="00E54724">
      <w:pPr>
        <w:widowControl/>
        <w:spacing w:after="200" w:line="360" w:lineRule="auto"/>
        <w:rPr>
          <w:rFonts w:ascii="Book Antiqua" w:eastAsia="SimSun" w:hAnsi="Book Antiqua" w:cs="Times New Roman"/>
          <w:b/>
          <w:color w:val="000000"/>
          <w:sz w:val="24"/>
          <w:szCs w:val="24"/>
          <w:u w:color="000000"/>
        </w:rPr>
      </w:pPr>
      <w:r w:rsidRPr="00E54724">
        <w:rPr>
          <w:rFonts w:ascii="Book Antiqua" w:eastAsia="SimSun" w:hAnsi="Book Antiqua" w:cs="Times New Roman"/>
          <w:b/>
          <w:color w:val="000000"/>
          <w:sz w:val="24"/>
          <w:szCs w:val="24"/>
          <w:u w:color="000000"/>
        </w:rPr>
        <w:t>Abstract</w:t>
      </w:r>
    </w:p>
    <w:p w14:paraId="0C2249DA" w14:textId="77777777" w:rsidR="00E54724" w:rsidRPr="00E54724" w:rsidRDefault="00E54724" w:rsidP="00E54724">
      <w:pPr>
        <w:widowControl/>
        <w:spacing w:after="200" w:line="360" w:lineRule="auto"/>
        <w:rPr>
          <w:rFonts w:ascii="Book Antiqua" w:eastAsia="SimSun" w:hAnsi="Book Antiqua" w:cs="Calibri"/>
          <w:color w:val="000000"/>
          <w:sz w:val="24"/>
          <w:szCs w:val="24"/>
          <w:u w:color="000000"/>
        </w:rPr>
      </w:pPr>
      <w:r w:rsidRPr="00E54724">
        <w:rPr>
          <w:rFonts w:ascii="Book Antiqua" w:eastAsia="SimSun" w:hAnsi="Book Antiqua" w:cs="Times New Roman"/>
          <w:b/>
          <w:color w:val="000000"/>
          <w:sz w:val="24"/>
          <w:szCs w:val="24"/>
          <w:u w:color="000000"/>
        </w:rPr>
        <w:t>AIM</w:t>
      </w:r>
      <w:r w:rsidRPr="00E54724">
        <w:rPr>
          <w:rFonts w:ascii="Book Antiqua" w:eastAsia="Calibri" w:hAnsi="Book Antiqua" w:cs="Times New Roman"/>
          <w:b/>
          <w:color w:val="000000"/>
          <w:sz w:val="24"/>
          <w:szCs w:val="24"/>
          <w:u w:color="000000"/>
        </w:rPr>
        <w:t>:</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To</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evaluate</w:t>
      </w:r>
      <w:r w:rsidRPr="00E54724">
        <w:rPr>
          <w:rFonts w:ascii="Book Antiqua" w:eastAsia="Calibri" w:hAnsi="Book Antiqua" w:cs="Times New Roman"/>
          <w:color w:val="000000"/>
          <w:sz w:val="24"/>
          <w:szCs w:val="24"/>
          <w:u w:color="000000"/>
        </w:rPr>
        <w:t> </w:t>
      </w:r>
      <w:r w:rsidRPr="00E54724">
        <w:rPr>
          <w:rFonts w:ascii="Book Antiqua" w:eastAsia="Calibri" w:hAnsi="Book Antiqua" w:cs="Calibri"/>
          <w:color w:val="000000"/>
          <w:sz w:val="24"/>
          <w:szCs w:val="24"/>
          <w:u w:color="000000"/>
        </w:rPr>
        <w:t>the</w:t>
      </w:r>
      <w:r w:rsidRPr="00E54724">
        <w:rPr>
          <w:rFonts w:ascii="Book Antiqua" w:eastAsia="Calibri" w:hAnsi="Book Antiqua" w:cs="Times New Roman"/>
          <w:color w:val="000000"/>
          <w:sz w:val="24"/>
          <w:szCs w:val="24"/>
          <w:u w:color="000000"/>
        </w:rPr>
        <w:t xml:space="preserve"> efficacy </w:t>
      </w:r>
      <w:r w:rsidRPr="00E54724">
        <w:rPr>
          <w:rFonts w:ascii="Book Antiqua" w:eastAsia="Calibri" w:hAnsi="Book Antiqua" w:cs="Calibri"/>
          <w:color w:val="000000"/>
          <w:sz w:val="24"/>
          <w:szCs w:val="24"/>
          <w:u w:color="000000"/>
        </w:rPr>
        <w:t>of</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autologous</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bone</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marrow</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mononuclear</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cell</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or</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mononuclear</w:t>
      </w:r>
      <w:r w:rsidRPr="00E54724">
        <w:rPr>
          <w:rFonts w:ascii="Book Antiqua" w:eastAsia="Calibri" w:hAnsi="Book Antiqua" w:cs="Times New Roman"/>
          <w:color w:val="000000"/>
          <w:sz w:val="24"/>
          <w:szCs w:val="24"/>
          <w:u w:color="000000"/>
        </w:rPr>
        <w:t> </w:t>
      </w:r>
      <w:r w:rsidRPr="00E54724">
        <w:rPr>
          <w:rFonts w:ascii="Book Antiqua" w:eastAsia="Calibri" w:hAnsi="Book Antiqua" w:cs="Calibri"/>
          <w:color w:val="000000"/>
          <w:sz w:val="24"/>
          <w:szCs w:val="24"/>
          <w:u w:color="000000"/>
        </w:rPr>
        <w:t>stem</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cell</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tr</w:t>
      </w:r>
      <w:r w:rsidRPr="00E54724">
        <w:rPr>
          <w:rFonts w:ascii="Book Antiqua" w:eastAsia="SimSun" w:hAnsi="Book Antiqua" w:cs="Times New Roman"/>
          <w:color w:val="000000"/>
          <w:sz w:val="24"/>
          <w:szCs w:val="24"/>
          <w:u w:color="000000"/>
        </w:rPr>
        <w:t>ansplan</w:t>
      </w:r>
      <w:r w:rsidRPr="00E54724">
        <w:rPr>
          <w:rFonts w:ascii="Book Antiqua" w:eastAsia="Calibri" w:hAnsi="Book Antiqua" w:cs="Calibri"/>
          <w:color w:val="000000"/>
          <w:sz w:val="24"/>
          <w:szCs w:val="24"/>
          <w:u w:color="000000"/>
        </w:rPr>
        <w:t>tation</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in</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decompensated</w:t>
      </w:r>
      <w:r w:rsidRPr="00E54724">
        <w:rPr>
          <w:rFonts w:ascii="Book Antiqua" w:eastAsia="Calibri" w:hAnsi="Book Antiqua" w:cs="Times New Roman"/>
          <w:color w:val="000000"/>
          <w:sz w:val="24"/>
          <w:szCs w:val="24"/>
          <w:u w:color="000000"/>
        </w:rPr>
        <w:t> </w:t>
      </w:r>
      <w:r w:rsidRPr="00E54724">
        <w:rPr>
          <w:rFonts w:ascii="Book Antiqua" w:eastAsia="Calibri" w:hAnsi="Book Antiqua" w:cs="Calibri"/>
          <w:color w:val="000000"/>
          <w:sz w:val="24"/>
          <w:szCs w:val="24"/>
          <w:u w:color="000000"/>
        </w:rPr>
        <w:t>liver</w:t>
      </w:r>
      <w:r w:rsidRPr="00E54724">
        <w:rPr>
          <w:rFonts w:ascii="Book Antiqua" w:eastAsia="Calibri" w:hAnsi="Book Antiqua" w:cs="Times New Roman"/>
          <w:color w:val="000000"/>
          <w:sz w:val="24"/>
          <w:szCs w:val="24"/>
          <w:u w:color="000000"/>
        </w:rPr>
        <w:t> </w:t>
      </w:r>
      <w:r w:rsidRPr="00E54724">
        <w:rPr>
          <w:rFonts w:ascii="Book Antiqua" w:eastAsia="Calibri" w:hAnsi="Book Antiqua" w:cs="Calibri"/>
          <w:color w:val="000000"/>
          <w:sz w:val="24"/>
          <w:szCs w:val="24"/>
          <w:u w:color="000000"/>
        </w:rPr>
        <w:t>disease.</w:t>
      </w:r>
    </w:p>
    <w:p w14:paraId="1A77EB17" w14:textId="77777777" w:rsidR="00E54724" w:rsidRPr="00E54724" w:rsidRDefault="00E54724" w:rsidP="00E54724">
      <w:pPr>
        <w:widowControl/>
        <w:spacing w:after="200" w:line="360" w:lineRule="auto"/>
        <w:rPr>
          <w:rFonts w:ascii="Book Antiqua" w:eastAsia="SimSun" w:hAnsi="Book Antiqua" w:cs="Calibri"/>
          <w:color w:val="000000"/>
          <w:sz w:val="24"/>
          <w:szCs w:val="24"/>
          <w:u w:color="000000"/>
        </w:rPr>
      </w:pPr>
    </w:p>
    <w:p w14:paraId="0582A25B" w14:textId="77777777" w:rsidR="00E54724" w:rsidRPr="00E54724" w:rsidRDefault="00E54724" w:rsidP="00E54724">
      <w:pPr>
        <w:widowControl/>
        <w:spacing w:after="200" w:line="360" w:lineRule="auto"/>
        <w:rPr>
          <w:rFonts w:ascii="Book Antiqua" w:eastAsia="SimSun" w:hAnsi="Book Antiqua" w:cs="Times New Roman"/>
          <w:color w:val="000000"/>
          <w:sz w:val="24"/>
          <w:szCs w:val="24"/>
          <w:u w:color="000000"/>
        </w:rPr>
      </w:pPr>
      <w:r w:rsidRPr="00E54724">
        <w:rPr>
          <w:rFonts w:ascii="Book Antiqua" w:eastAsia="Calibri" w:hAnsi="Book Antiqua" w:cs="Calibri"/>
          <w:b/>
          <w:color w:val="000000"/>
          <w:sz w:val="24"/>
          <w:szCs w:val="24"/>
          <w:u w:color="000000"/>
        </w:rPr>
        <w:t>METHODS:</w:t>
      </w:r>
      <w:r w:rsidRPr="00E54724">
        <w:rPr>
          <w:rFonts w:ascii="Book Antiqua" w:eastAsia="Calibri" w:hAnsi="Book Antiqua" w:cs="Calibri"/>
          <w:b/>
          <w:color w:val="000000"/>
          <w:sz w:val="22"/>
          <w:u w:color="000000"/>
        </w:rPr>
        <w:t xml:space="preserve"> </w:t>
      </w:r>
      <w:r w:rsidRPr="00E54724">
        <w:rPr>
          <w:rFonts w:ascii="Book Antiqua" w:eastAsia="Calibri" w:hAnsi="Book Antiqua" w:cs="Times New Roman"/>
          <w:color w:val="000000"/>
          <w:sz w:val="24"/>
          <w:szCs w:val="24"/>
          <w:u w:color="000000"/>
        </w:rPr>
        <w:t xml:space="preserve">Medline, </w:t>
      </w:r>
      <w:r w:rsidRPr="00E54724">
        <w:rPr>
          <w:rFonts w:ascii="Book Antiqua" w:eastAsia="Calibri" w:hAnsi="Book Antiqua" w:cs="Times New Roman"/>
          <w:caps/>
          <w:color w:val="000000"/>
          <w:sz w:val="24"/>
          <w:szCs w:val="24"/>
          <w:u w:color="000000"/>
        </w:rPr>
        <w:t>Embase</w:t>
      </w:r>
      <w:r w:rsidRPr="00E54724">
        <w:rPr>
          <w:rFonts w:ascii="Book Antiqua" w:eastAsia="Calibri" w:hAnsi="Book Antiqua" w:cs="Times New Roman"/>
          <w:color w:val="000000"/>
          <w:sz w:val="24"/>
          <w:szCs w:val="24"/>
          <w:u w:color="000000"/>
        </w:rPr>
        <w:t>, PubMed, Science Direct and The Cochrane Library were searched for relevant studies. Retrospective case-control studies were included along with randomized clinical trials.</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color w:val="000000"/>
          <w:sz w:val="24"/>
          <w:szCs w:val="24"/>
          <w:u w:color="000000"/>
        </w:rPr>
        <w:t>Meta-analysis was performed in line with recommendations from the Cochrane Collaboration software review manager. Heterogeneity was assessed using a random-effects model.</w:t>
      </w:r>
    </w:p>
    <w:p w14:paraId="7F9B3E18" w14:textId="77777777" w:rsidR="00E54724" w:rsidRPr="00E54724" w:rsidRDefault="00E54724" w:rsidP="00E54724">
      <w:pPr>
        <w:widowControl/>
        <w:spacing w:after="200" w:line="360" w:lineRule="auto"/>
        <w:rPr>
          <w:rFonts w:ascii="Book Antiqua" w:eastAsia="SimSun" w:hAnsi="Book Antiqua" w:cs="Times New Roman"/>
          <w:bCs/>
          <w:color w:val="000000"/>
          <w:sz w:val="24"/>
          <w:szCs w:val="24"/>
          <w:u w:color="000000"/>
        </w:rPr>
      </w:pPr>
    </w:p>
    <w:p w14:paraId="01AA120A" w14:textId="51F42D56" w:rsidR="00E54724" w:rsidRPr="00E54724" w:rsidRDefault="00E54724" w:rsidP="00E54724">
      <w:pPr>
        <w:widowControl/>
        <w:spacing w:after="200" w:line="360" w:lineRule="auto"/>
        <w:rPr>
          <w:rFonts w:ascii="Book Antiqua" w:eastAsia="Calibri" w:hAnsi="Book Antiqua" w:cs="Times New Roman"/>
          <w:color w:val="000000"/>
          <w:sz w:val="24"/>
          <w:szCs w:val="24"/>
          <w:u w:color="000000"/>
        </w:rPr>
      </w:pPr>
      <w:r w:rsidRPr="00E54724">
        <w:rPr>
          <w:rFonts w:ascii="Book Antiqua" w:eastAsia="Calibri" w:hAnsi="Book Antiqua" w:cs="Times New Roman"/>
          <w:b/>
          <w:color w:val="000000"/>
          <w:sz w:val="24"/>
          <w:szCs w:val="24"/>
          <w:u w:color="000000"/>
        </w:rPr>
        <w:t>RESULTS:</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Times New Roman" w:hint="eastAsia"/>
          <w:color w:val="000000"/>
          <w:sz w:val="24"/>
          <w:szCs w:val="24"/>
          <w:u w:color="000000"/>
        </w:rPr>
        <w:t xml:space="preserve">Four randomized controlled trials and four retrospective studies were included. </w:t>
      </w:r>
      <w:r w:rsidRPr="00E54724">
        <w:rPr>
          <w:rFonts w:ascii="Book Antiqua" w:eastAsia="Calibri" w:hAnsi="Book Antiqua" w:cs="Times New Roman"/>
          <w:bCs/>
          <w:color w:val="000000"/>
          <w:sz w:val="24"/>
          <w:szCs w:val="24"/>
          <w:u w:color="000000"/>
        </w:rPr>
        <w:t xml:space="preserve">Cell transplantation </w:t>
      </w:r>
      <w:r w:rsidRPr="00E54724">
        <w:rPr>
          <w:rFonts w:ascii="Book Antiqua" w:eastAsia="Calibri" w:hAnsi="Book Antiqua" w:cs="Times New Roman"/>
          <w:color w:val="000000"/>
          <w:sz w:val="24"/>
          <w:szCs w:val="24"/>
          <w:u w:color="000000"/>
        </w:rPr>
        <w:t>increased</w:t>
      </w:r>
      <w:r w:rsidRPr="00E54724">
        <w:rPr>
          <w:rFonts w:ascii="Book Antiqua" w:eastAsia="Calibri" w:hAnsi="Book Antiqua" w:cs="Times New Roman"/>
          <w:bCs/>
          <w:color w:val="000000"/>
          <w:sz w:val="24"/>
          <w:szCs w:val="24"/>
          <w:u w:color="000000"/>
        </w:rPr>
        <w:t xml:space="preserve"> serum albumin level by 1.9</w:t>
      </w:r>
      <w:r w:rsidRPr="00E54724">
        <w:rPr>
          <w:rFonts w:ascii="Book Antiqua" w:eastAsia="Calibri" w:hAnsi="Book Antiqua" w:cs="Times New Roman" w:hint="eastAsia"/>
          <w:bCs/>
          <w:color w:val="000000"/>
          <w:sz w:val="24"/>
          <w:szCs w:val="24"/>
          <w:u w:color="000000"/>
        </w:rPr>
        <w:t>6</w:t>
      </w:r>
      <w:r w:rsidRPr="00E54724">
        <w:rPr>
          <w:rFonts w:ascii="Book Antiqua" w:eastAsia="Calibri" w:hAnsi="Book Antiqua" w:cs="Times New Roman"/>
          <w:bCs/>
          <w:color w:val="000000"/>
          <w:sz w:val="24"/>
          <w:szCs w:val="24"/>
          <w:u w:color="000000"/>
        </w:rPr>
        <w:t xml:space="preserve"> g/L </w:t>
      </w:r>
      <w:r w:rsidRPr="00E54724">
        <w:rPr>
          <w:rFonts w:ascii="Book Antiqua" w:eastAsia="SimSun" w:hAnsi="Book Antiqua" w:cs="Times New Roman" w:hint="eastAsia"/>
          <w:bCs/>
          <w:color w:val="000000"/>
          <w:sz w:val="24"/>
          <w:szCs w:val="24"/>
          <w:u w:color="000000"/>
        </w:rPr>
        <w:t>(</w:t>
      </w:r>
      <w:r w:rsidRPr="00E54724">
        <w:rPr>
          <w:rFonts w:ascii="Book Antiqua" w:eastAsia="Calibri" w:hAnsi="Book Antiqua" w:cs="Times New Roman"/>
          <w:bCs/>
          <w:color w:val="000000"/>
          <w:sz w:val="24"/>
          <w:szCs w:val="24"/>
          <w:u w:color="000000"/>
        </w:rPr>
        <w:t>95%CI: 0.74-3.</w:t>
      </w:r>
      <w:r w:rsidRPr="00E54724">
        <w:rPr>
          <w:rFonts w:ascii="Book Antiqua" w:eastAsia="Calibri" w:hAnsi="Book Antiqua" w:cs="Times New Roman" w:hint="eastAsia"/>
          <w:bCs/>
          <w:color w:val="000000"/>
          <w:sz w:val="24"/>
          <w:szCs w:val="24"/>
          <w:u w:color="000000"/>
        </w:rPr>
        <w:t>17</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0.002], 2.5</w:t>
      </w:r>
      <w:r w:rsidRPr="00E54724">
        <w:rPr>
          <w:rFonts w:ascii="Book Antiqua" w:eastAsia="Calibri" w:hAnsi="Book Antiqua" w:cs="Times New Roman" w:hint="eastAsia"/>
          <w:bCs/>
          <w:color w:val="000000"/>
          <w:sz w:val="24"/>
          <w:szCs w:val="24"/>
          <w:u w:color="000000"/>
        </w:rPr>
        <w:t>5</w:t>
      </w:r>
      <w:r w:rsidRPr="00E54724">
        <w:rPr>
          <w:rFonts w:ascii="Book Antiqua" w:eastAsia="Calibri" w:hAnsi="Book Antiqua" w:cs="Times New Roman"/>
          <w:bCs/>
          <w:color w:val="000000"/>
          <w:sz w:val="24"/>
          <w:szCs w:val="24"/>
          <w:u w:color="000000"/>
        </w:rPr>
        <w:t xml:space="preserve"> g/L (95%CI: 0.3</w:t>
      </w:r>
      <w:r w:rsidRPr="00E54724">
        <w:rPr>
          <w:rFonts w:ascii="Book Antiqua" w:eastAsia="Calibri" w:hAnsi="Book Antiqua" w:cs="Times New Roman" w:hint="eastAsia"/>
          <w:bCs/>
          <w:color w:val="000000"/>
          <w:sz w:val="24"/>
          <w:szCs w:val="24"/>
          <w:u w:color="000000"/>
        </w:rPr>
        <w:t>2</w:t>
      </w:r>
      <w:r w:rsidRPr="00E54724">
        <w:rPr>
          <w:rFonts w:ascii="Book Antiqua" w:eastAsia="Calibri" w:hAnsi="Book Antiqua" w:cs="Times New Roman"/>
          <w:bCs/>
          <w:color w:val="000000"/>
          <w:sz w:val="24"/>
          <w:szCs w:val="24"/>
          <w:u w:color="000000"/>
        </w:rPr>
        <w:t xml:space="preserve">-4.79;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0.0</w:t>
      </w:r>
      <w:r w:rsidRPr="00E54724">
        <w:rPr>
          <w:rFonts w:ascii="Book Antiqua" w:eastAsia="Calibri" w:hAnsi="Book Antiqua" w:cs="Times New Roman" w:hint="eastAsia"/>
          <w:bCs/>
          <w:color w:val="000000"/>
          <w:sz w:val="24"/>
          <w:szCs w:val="24"/>
          <w:u w:color="000000"/>
        </w:rPr>
        <w:t>3</w:t>
      </w:r>
      <w:r w:rsidRPr="00E54724">
        <w:rPr>
          <w:rFonts w:ascii="Book Antiqua" w:eastAsia="Calibri" w:hAnsi="Book Antiqua" w:cs="Times New Roman"/>
          <w:bCs/>
          <w:color w:val="000000"/>
          <w:sz w:val="24"/>
          <w:szCs w:val="24"/>
          <w:u w:color="000000"/>
        </w:rPr>
        <w:t xml:space="preserve">), and 3.65 g/L (95%CI: 0.76-6.54;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0.01) after 1, 3, and 6 mo, respectively. </w:t>
      </w:r>
      <w:r w:rsidRPr="00E54724">
        <w:rPr>
          <w:rFonts w:ascii="Book Antiqua" w:eastAsia="Calibri" w:hAnsi="Book Antiqua" w:cs="Times New Roman" w:hint="eastAsia"/>
          <w:bCs/>
          <w:color w:val="000000"/>
          <w:sz w:val="24"/>
          <w:szCs w:val="24"/>
          <w:u w:color="000000"/>
        </w:rPr>
        <w:t xml:space="preserve">Patients undergone cell transplantation also had </w:t>
      </w:r>
      <w:r w:rsidRPr="00E54724">
        <w:rPr>
          <w:rFonts w:ascii="Book Antiqua" w:eastAsia="Calibri" w:hAnsi="Book Antiqua" w:cs="Times New Roman"/>
          <w:bCs/>
          <w:color w:val="000000"/>
          <w:sz w:val="24"/>
          <w:szCs w:val="24"/>
          <w:u w:color="000000"/>
        </w:rPr>
        <w:t xml:space="preserve">a lower level of total bilirubin </w:t>
      </w:r>
      <w:r w:rsidRPr="00E54724">
        <w:rPr>
          <w:rFonts w:ascii="Book Antiqua" w:eastAsia="Calibri" w:hAnsi="Book Antiqua" w:cs="Times New Roman" w:hint="eastAsia"/>
          <w:bCs/>
          <w:color w:val="000000"/>
          <w:sz w:val="24"/>
          <w:szCs w:val="24"/>
          <w:u w:color="000000"/>
        </w:rPr>
        <w:t>[</w:t>
      </w:r>
      <w:r w:rsidRPr="00E54724">
        <w:rPr>
          <w:rFonts w:ascii="Book Antiqua" w:eastAsia="Calibri" w:hAnsi="Book Antiqua" w:cs="Times New Roman"/>
          <w:bCs/>
          <w:color w:val="000000"/>
          <w:sz w:val="24"/>
          <w:szCs w:val="24"/>
          <w:u w:color="000000"/>
        </w:rPr>
        <w:t>mean difference (MD): -1.3</w:t>
      </w:r>
      <w:r w:rsidRPr="00E54724">
        <w:rPr>
          <w:rFonts w:ascii="Book Antiqua" w:eastAsia="Calibri" w:hAnsi="Book Antiqua" w:cs="Times New Roman" w:hint="eastAsia"/>
          <w:bCs/>
          <w:color w:val="000000"/>
          <w:sz w:val="24"/>
          <w:szCs w:val="24"/>
          <w:u w:color="000000"/>
        </w:rPr>
        <w:t>7</w:t>
      </w:r>
      <w:r w:rsidRPr="00E54724">
        <w:rPr>
          <w:rFonts w:ascii="Book Antiqua" w:eastAsia="Calibri" w:hAnsi="Book Antiqua" w:cs="Times New Roman"/>
          <w:bCs/>
          <w:color w:val="000000"/>
          <w:sz w:val="24"/>
          <w:szCs w:val="24"/>
          <w:u w:color="000000"/>
        </w:rPr>
        <w:t xml:space="preserve"> mg/dL; 95%CI: -</w:t>
      </w:r>
      <w:r w:rsidRPr="00E54724">
        <w:rPr>
          <w:rFonts w:ascii="Book Antiqua" w:eastAsia="Calibri" w:hAnsi="Book Antiqua" w:cs="Times New Roman" w:hint="eastAsia"/>
          <w:bCs/>
          <w:color w:val="000000"/>
          <w:sz w:val="24"/>
          <w:szCs w:val="24"/>
          <w:u w:color="000000"/>
        </w:rPr>
        <w:t>2.68</w:t>
      </w:r>
      <w:r w:rsidRPr="00E54724">
        <w:rPr>
          <w:rFonts w:ascii="Book Antiqua" w:eastAsia="SimSun" w:hAnsi="Book Antiqua" w:cs="Times New Roman" w:hint="eastAsia"/>
          <w:bCs/>
          <w:color w:val="000000"/>
          <w:sz w:val="24"/>
          <w:szCs w:val="24"/>
          <w:u w:color="000000"/>
        </w:rPr>
        <w:t>-</w:t>
      </w:r>
      <w:r w:rsidRPr="00E54724">
        <w:rPr>
          <w:rFonts w:ascii="Book Antiqua" w:eastAsia="SimSun" w:hAnsi="Book Antiqua" w:cs="Times New Roman"/>
          <w:bCs/>
          <w:color w:val="000000"/>
          <w:sz w:val="24"/>
          <w:szCs w:val="24"/>
          <w:u w:color="000000"/>
        </w:rPr>
        <w:t>(</w:t>
      </w:r>
      <w:r w:rsidRPr="00E54724">
        <w:rPr>
          <w:rFonts w:ascii="Book Antiqua" w:eastAsia="Calibri" w:hAnsi="Book Antiqua" w:cs="Times New Roman" w:hint="eastAsia"/>
          <w:bCs/>
          <w:color w:val="000000"/>
          <w:sz w:val="24"/>
          <w:szCs w:val="24"/>
          <w:u w:color="000000"/>
        </w:rPr>
        <w:t>-0.06</w:t>
      </w:r>
      <w:r w:rsidRPr="00E54724">
        <w:rPr>
          <w:rFonts w:ascii="Book Antiqua" w:eastAsia="SimSun" w:hAnsi="Book Antiqua" w:cs="Times New Roman" w:hint="eastAsia"/>
          <w:bCs/>
          <w:color w:val="000000"/>
          <w:sz w:val="24"/>
          <w:szCs w:val="24"/>
          <w:u w:color="000000"/>
        </w:rPr>
        <w:t>)</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0.04</w:t>
      </w:r>
      <w:r w:rsidRPr="00E54724">
        <w:rPr>
          <w:rFonts w:ascii="Book Antiqua" w:eastAsia="Calibri" w:hAnsi="Book Antiqua" w:cs="Times New Roman" w:hint="eastAsia"/>
          <w:bCs/>
          <w:color w:val="000000"/>
          <w:sz w:val="24"/>
          <w:szCs w:val="24"/>
          <w:u w:color="000000"/>
        </w:rPr>
        <w:t xml:space="preserve">] after 6 mo. </w:t>
      </w:r>
      <w:r w:rsidRPr="00E54724">
        <w:rPr>
          <w:rFonts w:ascii="Book Antiqua" w:eastAsia="Calibri" w:hAnsi="Book Antiqua" w:cs="Times New Roman"/>
          <w:bCs/>
          <w:color w:val="000000"/>
          <w:sz w:val="24"/>
          <w:szCs w:val="24"/>
          <w:u w:color="000000"/>
        </w:rPr>
        <w:t>The decreased after 1 year when compared to that with standard treatment (MD</w:t>
      </w:r>
      <w:r w:rsidRPr="00E54724">
        <w:rPr>
          <w:rFonts w:ascii="Book Antiqua" w:eastAsia="Calibri" w:hAnsi="Book Antiqua" w:cs="Times New Roman" w:hint="eastAsia"/>
          <w:bCs/>
          <w:color w:val="000000"/>
          <w:sz w:val="24"/>
          <w:szCs w:val="24"/>
          <w:u w:color="000000"/>
        </w:rPr>
        <w:t>:</w:t>
      </w:r>
      <w:r w:rsidRPr="00E54724">
        <w:rPr>
          <w:rFonts w:ascii="Book Antiqua" w:eastAsia="Calibri" w:hAnsi="Book Antiqua" w:cs="Times New Roman"/>
          <w:bCs/>
          <w:color w:val="000000"/>
          <w:sz w:val="24"/>
          <w:szCs w:val="24"/>
          <w:u w:color="000000"/>
        </w:rPr>
        <w:t xml:space="preserve"> -1.26; 95%CI: -2.48</w:t>
      </w:r>
      <w:r w:rsidRPr="00E54724">
        <w:rPr>
          <w:rFonts w:ascii="Book Antiqua" w:eastAsia="SimSun" w:hAnsi="Book Antiqua" w:cs="Times New Roman" w:hint="eastAsia"/>
          <w:bCs/>
          <w:color w:val="000000"/>
          <w:sz w:val="24"/>
          <w:szCs w:val="24"/>
          <w:u w:color="000000"/>
        </w:rPr>
        <w:t>-(</w:t>
      </w:r>
      <w:r w:rsidRPr="00E54724">
        <w:rPr>
          <w:rFonts w:ascii="Book Antiqua" w:eastAsia="Calibri" w:hAnsi="Book Antiqua" w:cs="Times New Roman"/>
          <w:bCs/>
          <w:color w:val="000000"/>
          <w:sz w:val="24"/>
          <w:szCs w:val="24"/>
          <w:u w:color="000000"/>
        </w:rPr>
        <w:t>-0.03</w:t>
      </w:r>
      <w:r w:rsidRPr="00E54724">
        <w:rPr>
          <w:rFonts w:ascii="Book Antiqua" w:eastAsia="SimSun" w:hAnsi="Book Antiqua" w:cs="Times New Roman" w:hint="eastAsia"/>
          <w:bCs/>
          <w:color w:val="000000"/>
          <w:sz w:val="24"/>
          <w:szCs w:val="24"/>
          <w:u w:color="000000"/>
        </w:rPr>
        <w:t>)</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0.0</w:t>
      </w:r>
      <w:r w:rsidRPr="00E54724">
        <w:rPr>
          <w:rFonts w:ascii="Book Antiqua" w:eastAsia="Calibri" w:hAnsi="Book Antiqua" w:cs="Times New Roman" w:hint="eastAsia"/>
          <w:bCs/>
          <w:color w:val="000000"/>
          <w:sz w:val="24"/>
          <w:szCs w:val="24"/>
          <w:u w:color="000000"/>
        </w:rPr>
        <w:t>4</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hint="eastAsia"/>
          <w:bCs/>
          <w:color w:val="000000"/>
          <w:sz w:val="24"/>
          <w:szCs w:val="24"/>
          <w:u w:color="000000"/>
        </w:rPr>
        <w:t xml:space="preserve">Besides, temporary decrease in </w:t>
      </w:r>
      <w:r w:rsidRPr="00E54724">
        <w:rPr>
          <w:rFonts w:ascii="Book Antiqua" w:eastAsia="Calibri" w:hAnsi="Book Antiqua" w:cs="Times New Roman"/>
          <w:color w:val="000000"/>
          <w:sz w:val="24"/>
          <w:szCs w:val="24"/>
          <w:u w:color="000000"/>
          <w:lang w:val="fr-FR"/>
        </w:rPr>
        <w:t>alanine transaminase and aspartate transaminase</w:t>
      </w:r>
      <w:r w:rsidRPr="00E54724">
        <w:rPr>
          <w:rFonts w:ascii="Book Antiqua" w:eastAsia="Calibri" w:hAnsi="Book Antiqua" w:cs="Times New Roman" w:hint="eastAsia"/>
          <w:bCs/>
          <w:color w:val="000000"/>
          <w:sz w:val="24"/>
          <w:szCs w:val="24"/>
          <w:u w:color="000000"/>
        </w:rPr>
        <w:t xml:space="preserve"> were significant in cell transplantation group. However, a</w:t>
      </w:r>
      <w:r w:rsidRPr="00E54724">
        <w:rPr>
          <w:rFonts w:ascii="Book Antiqua" w:eastAsia="Calibri" w:hAnsi="Book Antiqua" w:cs="Times New Roman"/>
          <w:bCs/>
          <w:color w:val="000000"/>
          <w:sz w:val="24"/>
          <w:szCs w:val="24"/>
          <w:u w:color="000000"/>
        </w:rPr>
        <w:t xml:space="preserve">fter 6 mo treatment, patients undergone cell transplantation had a </w:t>
      </w:r>
      <w:r w:rsidRPr="00E54724">
        <w:rPr>
          <w:rFonts w:ascii="Book Antiqua" w:eastAsia="Calibri" w:hAnsi="Book Antiqua" w:cs="Times New Roman" w:hint="eastAsia"/>
          <w:bCs/>
          <w:color w:val="000000"/>
          <w:sz w:val="24"/>
          <w:szCs w:val="24"/>
          <w:u w:color="000000"/>
        </w:rPr>
        <w:t>slightly longer prothro</w:t>
      </w:r>
      <w:r w:rsidR="00023A8B">
        <w:rPr>
          <w:rFonts w:ascii="Book Antiqua" w:eastAsia="Calibri" w:hAnsi="Book Antiqua" w:cs="Times New Roman" w:hint="eastAsia"/>
          <w:bCs/>
          <w:color w:val="000000"/>
          <w:sz w:val="24"/>
          <w:szCs w:val="24"/>
          <w:u w:color="000000"/>
        </w:rPr>
        <w:t>m</w:t>
      </w:r>
      <w:r w:rsidRPr="00E54724">
        <w:rPr>
          <w:rFonts w:ascii="Book Antiqua" w:eastAsia="Calibri" w:hAnsi="Book Antiqua" w:cs="Times New Roman" w:hint="eastAsia"/>
          <w:bCs/>
          <w:color w:val="000000"/>
          <w:sz w:val="24"/>
          <w:szCs w:val="24"/>
          <w:u w:color="000000"/>
        </w:rPr>
        <w:t>bin time</w:t>
      </w:r>
      <w:r w:rsidRPr="00E54724">
        <w:rPr>
          <w:rFonts w:ascii="Book Antiqua" w:eastAsia="Calibri" w:hAnsi="Book Antiqua" w:cs="Times New Roman"/>
          <w:bCs/>
          <w:color w:val="000000"/>
          <w:sz w:val="24"/>
          <w:szCs w:val="24"/>
          <w:u w:color="000000"/>
        </w:rPr>
        <w:t xml:space="preserve"> (MD: 5.6</w:t>
      </w:r>
      <w:r w:rsidRPr="00E54724">
        <w:rPr>
          <w:rFonts w:ascii="Book Antiqua" w:eastAsia="Calibri" w:hAnsi="Book Antiqua" w:cs="Times New Roman" w:hint="eastAsia"/>
          <w:bCs/>
          <w:color w:val="000000"/>
          <w:sz w:val="24"/>
          <w:szCs w:val="24"/>
          <w:u w:color="000000"/>
        </w:rPr>
        <w:t>6</w:t>
      </w:r>
      <w:r w:rsidRPr="00E54724">
        <w:rPr>
          <w:rFonts w:ascii="Book Antiqua" w:eastAsia="Calibri" w:hAnsi="Book Antiqua" w:cs="Times New Roman"/>
          <w:bCs/>
          <w:color w:val="000000"/>
          <w:sz w:val="24"/>
          <w:szCs w:val="24"/>
          <w:u w:color="000000"/>
        </w:rPr>
        <w:t xml:space="preserve"> s, 95%CI: 0.04-11.2</w:t>
      </w:r>
      <w:r w:rsidRPr="00E54724">
        <w:rPr>
          <w:rFonts w:ascii="Book Antiqua" w:eastAsia="Calibri" w:hAnsi="Book Antiqua" w:cs="Times New Roman" w:hint="eastAsia"/>
          <w:bCs/>
          <w:color w:val="000000"/>
          <w:sz w:val="24"/>
          <w:szCs w:val="24"/>
          <w:u w:color="000000"/>
        </w:rPr>
        <w:t>8</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hint="eastAsia"/>
          <w:bCs/>
          <w:color w:val="000000"/>
          <w:sz w:val="24"/>
          <w:szCs w:val="24"/>
          <w:u w:color="000000"/>
        </w:rPr>
        <w:t>= 0.05</w:t>
      </w:r>
      <w:r w:rsidRPr="00E54724">
        <w:rPr>
          <w:rFonts w:ascii="Book Antiqua" w:eastAsia="Calibri" w:hAnsi="Book Antiqua" w:cs="Times New Roman"/>
          <w:bCs/>
          <w:color w:val="000000"/>
          <w:sz w:val="24"/>
          <w:szCs w:val="24"/>
          <w:u w:color="000000"/>
        </w:rPr>
        <w:t>).</w:t>
      </w:r>
      <w:r w:rsidRPr="00E54724">
        <w:rPr>
          <w:rFonts w:ascii="Book Antiqua" w:eastAsia="Book Antiqua Bold" w:hAnsi="Book Antiqua" w:cs="Times New Roman"/>
          <w:bCs/>
          <w:color w:val="000000"/>
          <w:sz w:val="24"/>
          <w:szCs w:val="24"/>
          <w:u w:color="000000"/>
        </w:rPr>
        <w:t xml:space="preserve"> </w:t>
      </w:r>
      <w:r w:rsidRPr="00E54724">
        <w:rPr>
          <w:rFonts w:ascii="Book Antiqua" w:eastAsia="Calibri" w:hAnsi="Book Antiqua" w:cs="Times New Roman"/>
          <w:bCs/>
          <w:color w:val="000000"/>
          <w:sz w:val="24"/>
          <w:szCs w:val="24"/>
          <w:u w:color="000000"/>
        </w:rPr>
        <w:t>Changes in model for end-stage liver disease score</w:t>
      </w:r>
      <w:r w:rsidRPr="00E54724" w:rsidDel="001E7F5E">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hint="eastAsia"/>
          <w:bCs/>
          <w:color w:val="000000"/>
          <w:sz w:val="24"/>
          <w:szCs w:val="24"/>
          <w:u w:color="000000"/>
        </w:rPr>
        <w:t xml:space="preserve">and Child-Pugh score </w:t>
      </w:r>
      <w:r w:rsidRPr="00E54724">
        <w:rPr>
          <w:rFonts w:ascii="Book Antiqua" w:eastAsia="Calibri" w:hAnsi="Book Antiqua" w:cs="Times New Roman"/>
          <w:bCs/>
          <w:color w:val="000000"/>
          <w:sz w:val="24"/>
          <w:szCs w:val="24"/>
          <w:u w:color="000000"/>
        </w:rPr>
        <w:t>were not statistically significant</w:t>
      </w:r>
      <w:r w:rsidRPr="00E54724">
        <w:rPr>
          <w:rFonts w:ascii="Book Antiqua" w:eastAsia="Calibri" w:hAnsi="Book Antiqua" w:cs="Times New Roman"/>
          <w:color w:val="000000"/>
          <w:sz w:val="24"/>
          <w:szCs w:val="24"/>
          <w:u w:color="000000"/>
        </w:rPr>
        <w:t>.</w:t>
      </w:r>
    </w:p>
    <w:p w14:paraId="7482ABB9" w14:textId="77777777" w:rsidR="00E54724" w:rsidRPr="00E54724" w:rsidRDefault="00E54724" w:rsidP="00E54724">
      <w:pPr>
        <w:widowControl/>
        <w:spacing w:after="200" w:line="360" w:lineRule="auto"/>
        <w:rPr>
          <w:rFonts w:ascii="Book Antiqua" w:eastAsia="Calibri" w:hAnsi="Book Antiqua" w:cs="Calibri"/>
          <w:color w:val="000000"/>
          <w:sz w:val="24"/>
          <w:szCs w:val="24"/>
          <w:u w:color="000000"/>
        </w:rPr>
      </w:pPr>
      <w:r w:rsidRPr="00E54724">
        <w:rPr>
          <w:rFonts w:ascii="Book Antiqua" w:eastAsia="Calibri" w:hAnsi="Book Antiqua" w:cs="Times New Roman"/>
          <w:b/>
          <w:color w:val="000000"/>
          <w:sz w:val="24"/>
          <w:szCs w:val="24"/>
          <w:u w:color="000000"/>
        </w:rPr>
        <w:t xml:space="preserve">CONCLUSION: </w:t>
      </w:r>
      <w:r w:rsidRPr="00E54724">
        <w:rPr>
          <w:rFonts w:ascii="Book Antiqua" w:eastAsia="Calibri" w:hAnsi="Book Antiqua" w:cs="Calibri"/>
          <w:color w:val="000000"/>
          <w:sz w:val="24"/>
          <w:szCs w:val="24"/>
          <w:u w:color="000000"/>
        </w:rPr>
        <w:t>Autologous</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bone</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marrow</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transplantation</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hint="eastAsia"/>
          <w:color w:val="000000"/>
          <w:sz w:val="24"/>
          <w:szCs w:val="24"/>
          <w:u w:color="000000"/>
        </w:rPr>
        <w:t>showed some benefits</w:t>
      </w:r>
      <w:r w:rsidRPr="00E54724">
        <w:rPr>
          <w:rFonts w:ascii="Book Antiqua" w:eastAsia="Calibri" w:hAnsi="Book Antiqua" w:cs="Calibri"/>
          <w:color w:val="000000"/>
          <w:sz w:val="24"/>
          <w:szCs w:val="24"/>
          <w:u w:color="000000"/>
        </w:rPr>
        <w:t xml:space="preserve"> in</w:t>
      </w:r>
      <w:r w:rsidRPr="00E54724">
        <w:rPr>
          <w:rFonts w:ascii="Book Antiqua" w:eastAsia="Calibri" w:hAnsi="Book Antiqua" w:cs="Times New Roman"/>
          <w:color w:val="000000"/>
          <w:sz w:val="24"/>
          <w:szCs w:val="24"/>
          <w:u w:color="000000"/>
        </w:rPr>
        <w:t xml:space="preserve"> patients </w:t>
      </w:r>
      <w:r w:rsidRPr="00E54724">
        <w:rPr>
          <w:rFonts w:ascii="Book Antiqua" w:eastAsia="Calibri" w:hAnsi="Book Antiqua" w:cs="Calibri"/>
          <w:color w:val="000000"/>
          <w:sz w:val="24"/>
          <w:szCs w:val="24"/>
          <w:u w:color="000000"/>
        </w:rPr>
        <w:t>with</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decompensated</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liver</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disease.</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Times New Roman" w:hint="eastAsia"/>
          <w:color w:val="000000"/>
          <w:sz w:val="24"/>
          <w:szCs w:val="24"/>
          <w:u w:color="000000"/>
        </w:rPr>
        <w:t>However, further studies are still needed to verify its role in clinical treatment</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for</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end-stage</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liver</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Calibri"/>
          <w:color w:val="000000"/>
          <w:sz w:val="24"/>
          <w:szCs w:val="24"/>
          <w:u w:color="000000"/>
        </w:rPr>
        <w:t>disease.</w:t>
      </w:r>
    </w:p>
    <w:p w14:paraId="5402CAD9" w14:textId="77777777" w:rsidR="00E54724" w:rsidRPr="00E54724" w:rsidRDefault="00E54724" w:rsidP="00E54724">
      <w:pPr>
        <w:widowControl/>
        <w:spacing w:after="200" w:line="360" w:lineRule="auto"/>
        <w:rPr>
          <w:rFonts w:ascii="Book Antiqua" w:eastAsia="SimSun" w:hAnsi="Book Antiqua" w:cs="Calibri"/>
          <w:color w:val="000000"/>
          <w:sz w:val="24"/>
          <w:szCs w:val="24"/>
          <w:u w:color="000000"/>
        </w:rPr>
      </w:pPr>
    </w:p>
    <w:p w14:paraId="0A2CC8C4" w14:textId="77777777" w:rsidR="00E54724" w:rsidRDefault="00E54724" w:rsidP="00E54724">
      <w:pPr>
        <w:widowControl/>
        <w:spacing w:after="200" w:line="360" w:lineRule="auto"/>
        <w:rPr>
          <w:rFonts w:ascii="Book Antiqua" w:hAnsi="Book Antiqua" w:cs="Times New Roman"/>
          <w:color w:val="000000"/>
          <w:sz w:val="24"/>
          <w:szCs w:val="24"/>
          <w:u w:color="000000"/>
        </w:rPr>
      </w:pPr>
      <w:r w:rsidRPr="00E54724">
        <w:rPr>
          <w:rFonts w:ascii="Book Antiqua" w:eastAsia="SimSun" w:hAnsi="Book Antiqua" w:cs="Calibri"/>
          <w:b/>
          <w:color w:val="000000"/>
          <w:sz w:val="24"/>
          <w:szCs w:val="24"/>
          <w:u w:color="000000"/>
        </w:rPr>
        <w:t>K</w:t>
      </w:r>
      <w:r w:rsidRPr="00E54724">
        <w:rPr>
          <w:rFonts w:ascii="Book Antiqua" w:eastAsia="Times New Roman Bold" w:hAnsi="Book Antiqua" w:cs="Times New Roman"/>
          <w:b/>
          <w:color w:val="000000"/>
          <w:sz w:val="24"/>
          <w:szCs w:val="24"/>
          <w:u w:color="000000"/>
        </w:rPr>
        <w:t>ey words:</w:t>
      </w:r>
      <w:r w:rsidRPr="00E54724">
        <w:rPr>
          <w:rFonts w:ascii="Book Antiqua" w:eastAsia="Calibri" w:hAnsi="Book Antiqua" w:cs="Times New Roman"/>
          <w:color w:val="000000"/>
          <w:sz w:val="24"/>
          <w:szCs w:val="24"/>
          <w:u w:color="000000"/>
        </w:rPr>
        <w:t xml:space="preserve"> Autologous transplantation</w:t>
      </w:r>
      <w:r w:rsidRPr="00E54724">
        <w:rPr>
          <w:rFonts w:ascii="Book Antiqua" w:eastAsia="SimSun" w:hAnsi="Book Antiqua" w:cs="Times New Roman" w:hint="eastAsia"/>
          <w:color w:val="000000"/>
          <w:sz w:val="24"/>
          <w:szCs w:val="24"/>
          <w:u w:color="000000"/>
        </w:rPr>
        <w:t>;</w:t>
      </w:r>
      <w:r w:rsidRPr="00E54724">
        <w:rPr>
          <w:rFonts w:ascii="Book Antiqua" w:eastAsia="Calibri" w:hAnsi="Book Antiqua" w:cs="Times New Roman"/>
          <w:color w:val="000000"/>
          <w:sz w:val="24"/>
          <w:szCs w:val="24"/>
          <w:u w:color="000000"/>
        </w:rPr>
        <w:t xml:space="preserve"> Bone marrow</w:t>
      </w:r>
      <w:r w:rsidRPr="00E54724">
        <w:rPr>
          <w:rFonts w:ascii="Book Antiqua" w:eastAsia="SimSun" w:hAnsi="Book Antiqua" w:cs="Times New Roman" w:hint="eastAsia"/>
          <w:color w:val="000000"/>
          <w:sz w:val="24"/>
          <w:szCs w:val="24"/>
          <w:u w:color="000000"/>
        </w:rPr>
        <w:t>;</w:t>
      </w:r>
      <w:r w:rsidRPr="00E54724">
        <w:rPr>
          <w:rFonts w:ascii="Book Antiqua" w:eastAsia="Calibri" w:hAnsi="Book Antiqua" w:cs="Times New Roman"/>
          <w:color w:val="000000"/>
          <w:sz w:val="24"/>
          <w:szCs w:val="24"/>
          <w:u w:color="000000"/>
        </w:rPr>
        <w:t xml:space="preserve"> </w:t>
      </w:r>
      <w:r w:rsidRPr="00E54724">
        <w:rPr>
          <w:rFonts w:ascii="Book Antiqua" w:eastAsia="Times New Roman Bold" w:hAnsi="Book Antiqua" w:cs="Times New Roman"/>
          <w:color w:val="000000"/>
          <w:sz w:val="24"/>
          <w:szCs w:val="24"/>
          <w:u w:color="000000"/>
        </w:rPr>
        <w:t>Cirrhosis</w:t>
      </w:r>
      <w:r w:rsidRPr="00E54724">
        <w:rPr>
          <w:rFonts w:ascii="Book Antiqua" w:eastAsia="SimSun" w:hAnsi="Book Antiqua" w:cs="Times New Roman" w:hint="eastAsia"/>
          <w:color w:val="000000"/>
          <w:sz w:val="24"/>
          <w:szCs w:val="24"/>
          <w:u w:color="000000"/>
        </w:rPr>
        <w:t>;</w:t>
      </w:r>
      <w:r w:rsidRPr="00E54724">
        <w:rPr>
          <w:rFonts w:ascii="Book Antiqua" w:eastAsia="Times New Roman Bold" w:hAnsi="Book Antiqua" w:cs="Times New Roman"/>
          <w:color w:val="000000"/>
          <w:sz w:val="24"/>
          <w:szCs w:val="24"/>
          <w:u w:color="000000"/>
        </w:rPr>
        <w:t xml:space="preserve"> Decompensated liver disease</w:t>
      </w:r>
    </w:p>
    <w:p w14:paraId="731ECA30" w14:textId="77777777" w:rsidR="00E54724" w:rsidRPr="00E54724" w:rsidRDefault="00E54724" w:rsidP="00E54724">
      <w:pPr>
        <w:widowControl/>
        <w:spacing w:after="200" w:line="360" w:lineRule="auto"/>
        <w:rPr>
          <w:rFonts w:ascii="Book Antiqua" w:hAnsi="Book Antiqua" w:cs="Times New Roman"/>
          <w:b/>
          <w:color w:val="000000"/>
          <w:sz w:val="24"/>
          <w:szCs w:val="24"/>
          <w:u w:color="000000"/>
        </w:rPr>
      </w:pPr>
    </w:p>
    <w:p w14:paraId="7F3F7C1C" w14:textId="77777777" w:rsidR="00E54724" w:rsidRDefault="00E54724" w:rsidP="00E54724">
      <w:pPr>
        <w:autoSpaceDE w:val="0"/>
        <w:autoSpaceDN w:val="0"/>
        <w:adjustRightInd w:val="0"/>
        <w:snapToGrid w:val="0"/>
        <w:spacing w:line="360" w:lineRule="auto"/>
        <w:rPr>
          <w:rFonts w:ascii="Book Antiqua" w:hAnsi="Book Antiqua" w:cs="Arial Unicode MS"/>
          <w:sz w:val="24"/>
        </w:rPr>
      </w:pPr>
      <w:bookmarkStart w:id="8" w:name="OLE_LINK98"/>
      <w:bookmarkStart w:id="9" w:name="OLE_LINK156"/>
      <w:bookmarkStart w:id="10" w:name="OLE_LINK196"/>
      <w:bookmarkStart w:id="11" w:name="OLE_LINK217"/>
      <w:bookmarkStart w:id="12" w:name="OLE_LINK242"/>
      <w:bookmarkStart w:id="13" w:name="OLE_LINK247"/>
      <w:bookmarkStart w:id="14" w:name="OLE_LINK311"/>
      <w:bookmarkStart w:id="15" w:name="OLE_LINK312"/>
      <w:bookmarkStart w:id="16" w:name="OLE_LINK325"/>
      <w:bookmarkStart w:id="17" w:name="OLE_LINK330"/>
      <w:bookmarkStart w:id="18" w:name="OLE_LINK513"/>
      <w:bookmarkStart w:id="19" w:name="OLE_LINK514"/>
      <w:bookmarkStart w:id="20" w:name="OLE_LINK464"/>
      <w:bookmarkStart w:id="21" w:name="OLE_LINK465"/>
      <w:bookmarkStart w:id="22" w:name="OLE_LINK466"/>
      <w:bookmarkStart w:id="23" w:name="OLE_LINK470"/>
      <w:bookmarkStart w:id="24" w:name="OLE_LINK471"/>
      <w:bookmarkStart w:id="25" w:name="OLE_LINK472"/>
      <w:bookmarkStart w:id="26" w:name="OLE_LINK474"/>
      <w:bookmarkStart w:id="27" w:name="OLE_LINK512"/>
      <w:bookmarkStart w:id="28" w:name="OLE_LINK800"/>
      <w:bookmarkStart w:id="29" w:name="OLE_LINK982"/>
      <w:bookmarkStart w:id="30" w:name="OLE_LINK1027"/>
      <w:bookmarkStart w:id="31" w:name="OLE_LINK504"/>
      <w:bookmarkStart w:id="32" w:name="OLE_LINK546"/>
      <w:bookmarkStart w:id="33" w:name="OLE_LINK547"/>
      <w:bookmarkStart w:id="34" w:name="OLE_LINK575"/>
      <w:bookmarkStart w:id="35" w:name="OLE_LINK640"/>
      <w:bookmarkStart w:id="36" w:name="OLE_LINK672"/>
      <w:bookmarkStart w:id="37" w:name="OLE_LINK714"/>
      <w:bookmarkStart w:id="38" w:name="OLE_LINK651"/>
      <w:bookmarkStart w:id="39" w:name="OLE_LINK652"/>
      <w:bookmarkStart w:id="40" w:name="OLE_LINK744"/>
      <w:bookmarkStart w:id="41" w:name="OLE_LINK758"/>
      <w:bookmarkStart w:id="42" w:name="OLE_LINK787"/>
      <w:bookmarkStart w:id="43" w:name="OLE_LINK807"/>
      <w:bookmarkStart w:id="44" w:name="OLE_LINK820"/>
      <w:bookmarkStart w:id="45" w:name="OLE_LINK862"/>
      <w:bookmarkStart w:id="46" w:name="OLE_LINK879"/>
      <w:bookmarkStart w:id="47" w:name="OLE_LINK906"/>
      <w:bookmarkStart w:id="48" w:name="OLE_LINK928"/>
      <w:bookmarkStart w:id="49" w:name="OLE_LINK960"/>
      <w:bookmarkStart w:id="50" w:name="OLE_LINK861"/>
      <w:bookmarkStart w:id="51" w:name="OLE_LINK983"/>
      <w:bookmarkStart w:id="52" w:name="OLE_LINK1334"/>
      <w:bookmarkStart w:id="53" w:name="OLE_LINK1029"/>
      <w:bookmarkStart w:id="54" w:name="OLE_LINK1060"/>
      <w:bookmarkStart w:id="55" w:name="OLE_LINK1061"/>
      <w:bookmarkStart w:id="56" w:name="OLE_LINK1348"/>
      <w:bookmarkStart w:id="57" w:name="OLE_LINK1086"/>
      <w:bookmarkStart w:id="58" w:name="OLE_LINK1100"/>
      <w:bookmarkStart w:id="59" w:name="OLE_LINK1125"/>
      <w:bookmarkStart w:id="60" w:name="OLE_LINK1163"/>
      <w:bookmarkStart w:id="61" w:name="OLE_LINK1193"/>
      <w:bookmarkStart w:id="62" w:name="OLE_LINK1219"/>
      <w:bookmarkStart w:id="63" w:name="OLE_LINK1247"/>
      <w:bookmarkStart w:id="64" w:name="OLE_LINK1284"/>
      <w:bookmarkStart w:id="65" w:name="OLE_LINK1313"/>
      <w:bookmarkStart w:id="66" w:name="OLE_LINK1361"/>
      <w:bookmarkStart w:id="67" w:name="OLE_LINK1384"/>
      <w:bookmarkStart w:id="68" w:name="OLE_LINK1403"/>
      <w:bookmarkStart w:id="69" w:name="OLE_LINK1437"/>
      <w:bookmarkStart w:id="70" w:name="OLE_LINK1454"/>
      <w:bookmarkStart w:id="71" w:name="OLE_LINK1480"/>
      <w:bookmarkStart w:id="72" w:name="OLE_LINK1504"/>
      <w:bookmarkStart w:id="73" w:name="OLE_LINK1516"/>
      <w:bookmarkStart w:id="74" w:name="OLE_LINK135"/>
      <w:bookmarkStart w:id="75" w:name="OLE_LINK216"/>
      <w:bookmarkStart w:id="76" w:name="OLE_LINK259"/>
      <w:bookmarkStart w:id="77" w:name="OLE_LINK1186"/>
      <w:bookmarkStart w:id="78" w:name="OLE_LINK1265"/>
      <w:bookmarkStart w:id="79" w:name="OLE_LINK1373"/>
      <w:bookmarkStart w:id="80" w:name="OLE_LINK1478"/>
      <w:bookmarkStart w:id="81" w:name="OLE_LINK1644"/>
      <w:bookmarkStart w:id="82" w:name="OLE_LINK1884"/>
      <w:bookmarkStart w:id="83" w:name="OLE_LINK1885"/>
      <w:bookmarkStart w:id="84" w:name="OLE_LINK1538"/>
      <w:bookmarkStart w:id="85" w:name="OLE_LINK1539"/>
      <w:bookmarkStart w:id="86" w:name="OLE_LINK1543"/>
      <w:bookmarkStart w:id="87" w:name="OLE_LINK1549"/>
      <w:bookmarkStart w:id="88" w:name="OLE_LINK1778"/>
      <w:bookmarkStart w:id="89" w:name="OLE_LINK1756"/>
      <w:bookmarkStart w:id="90" w:name="OLE_LINK1776"/>
      <w:bookmarkStart w:id="91" w:name="OLE_LINK1777"/>
      <w:bookmarkStart w:id="92" w:name="OLE_LINK1868"/>
      <w:bookmarkStart w:id="93" w:name="OLE_LINK1744"/>
      <w:bookmarkStart w:id="94" w:name="OLE_LINK1817"/>
      <w:bookmarkStart w:id="95" w:name="OLE_LINK1835"/>
      <w:bookmarkStart w:id="96" w:name="OLE_LINK1866"/>
      <w:bookmarkStart w:id="97" w:name="OLE_LINK1882"/>
      <w:bookmarkStart w:id="98" w:name="OLE_LINK1901"/>
      <w:bookmarkStart w:id="99" w:name="OLE_LINK1902"/>
      <w:bookmarkStart w:id="100" w:name="OLE_LINK2013"/>
      <w:bookmarkStart w:id="101" w:name="OLE_LINK1894"/>
      <w:bookmarkStart w:id="102" w:name="OLE_LINK1929"/>
      <w:bookmarkStart w:id="103" w:name="OLE_LINK1941"/>
      <w:bookmarkStart w:id="104" w:name="OLE_LINK1995"/>
      <w:bookmarkStart w:id="105" w:name="OLE_LINK1938"/>
      <w:bookmarkStart w:id="106" w:name="OLE_LINK2081"/>
      <w:bookmarkStart w:id="107" w:name="OLE_LINK2082"/>
      <w:bookmarkStart w:id="108" w:name="OLE_LINK2292"/>
      <w:bookmarkStart w:id="109" w:name="OLE_LINK1931"/>
      <w:bookmarkStart w:id="110" w:name="OLE_LINK1964"/>
      <w:bookmarkStart w:id="111" w:name="OLE_LINK2020"/>
      <w:bookmarkStart w:id="112" w:name="OLE_LINK2071"/>
      <w:bookmarkStart w:id="113" w:name="OLE_LINK2134"/>
      <w:bookmarkStart w:id="114" w:name="OLE_LINK2265"/>
      <w:bookmarkStart w:id="115" w:name="OLE_LINK2562"/>
      <w:bookmarkStart w:id="116" w:name="OLE_LINK1923"/>
      <w:bookmarkStart w:id="117" w:name="OLE_LINK2192"/>
      <w:bookmarkStart w:id="118" w:name="OLE_LINK2110"/>
      <w:bookmarkStart w:id="119" w:name="OLE_LINK2445"/>
      <w:bookmarkStart w:id="120" w:name="OLE_LINK2446"/>
      <w:bookmarkStart w:id="121" w:name="OLE_LINK2169"/>
      <w:bookmarkStart w:id="122" w:name="OLE_LINK2190"/>
      <w:bookmarkStart w:id="123" w:name="OLE_LINK2331"/>
      <w:bookmarkStart w:id="124" w:name="OLE_LINK2345"/>
      <w:bookmarkStart w:id="125" w:name="OLE_LINK2467"/>
      <w:bookmarkStart w:id="126" w:name="OLE_LINK2484"/>
      <w:bookmarkStart w:id="127" w:name="OLE_LINK2157"/>
      <w:bookmarkStart w:id="128" w:name="OLE_LINK2221"/>
      <w:bookmarkStart w:id="129" w:name="OLE_LINK2252"/>
      <w:bookmarkStart w:id="130" w:name="OLE_LINK2348"/>
      <w:bookmarkStart w:id="131" w:name="OLE_LINK2451"/>
      <w:bookmarkStart w:id="132" w:name="OLE_LINK2627"/>
      <w:bookmarkStart w:id="133" w:name="OLE_LINK2482"/>
      <w:bookmarkStart w:id="134" w:name="OLE_LINK2663"/>
      <w:bookmarkStart w:id="135" w:name="OLE_LINK2761"/>
      <w:bookmarkStart w:id="136" w:name="OLE_LINK2856"/>
      <w:bookmarkStart w:id="137" w:name="OLE_LINK2993"/>
      <w:bookmarkStart w:id="138" w:name="OLE_LINK2643"/>
      <w:bookmarkStart w:id="139" w:name="OLE_LINK2583"/>
      <w:bookmarkStart w:id="140" w:name="OLE_LINK2762"/>
      <w:bookmarkStart w:id="141" w:name="OLE_LINK2962"/>
      <w:bookmarkStart w:id="142" w:name="OLE_LINK2582"/>
      <w:r w:rsidRPr="00412B34">
        <w:rPr>
          <w:rFonts w:ascii="Book Antiqua" w:hAnsi="Book Antiqua"/>
          <w:b/>
          <w:color w:val="000000"/>
          <w:sz w:val="24"/>
          <w:lang w:val="en-GB"/>
        </w:rPr>
        <w:lastRenderedPageBreak/>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418934EF" w14:textId="77777777" w:rsidR="00E54724" w:rsidRPr="00E54724" w:rsidRDefault="00E54724" w:rsidP="00E54724">
      <w:pPr>
        <w:widowControl/>
        <w:spacing w:after="200" w:line="360" w:lineRule="auto"/>
        <w:rPr>
          <w:rFonts w:ascii="Book Antiqua" w:eastAsia="SimSun" w:hAnsi="Book Antiqua" w:cs="Times New Roman"/>
          <w:b/>
          <w:color w:val="000000"/>
          <w:sz w:val="24"/>
          <w:szCs w:val="24"/>
          <w:u w:color="000000"/>
        </w:rPr>
      </w:pPr>
    </w:p>
    <w:p w14:paraId="47C08AEB" w14:textId="77777777" w:rsidR="00E54724" w:rsidRPr="00E54724" w:rsidRDefault="00E54724" w:rsidP="00E54724">
      <w:pPr>
        <w:widowControl/>
        <w:spacing w:after="200" w:line="360" w:lineRule="auto"/>
        <w:rPr>
          <w:rFonts w:ascii="Book Antiqua" w:eastAsia="SimSun" w:hAnsi="Book Antiqua" w:cs="Times New Roman"/>
          <w:color w:val="000000"/>
          <w:sz w:val="24"/>
          <w:szCs w:val="24"/>
          <w:u w:color="000000"/>
        </w:rPr>
      </w:pPr>
      <w:bookmarkStart w:id="143" w:name="OLE_LINK33"/>
      <w:bookmarkStart w:id="144" w:name="OLE_LINK34"/>
      <w:bookmarkStart w:id="145" w:name="OLE_LINK49"/>
      <w:r w:rsidRPr="00E54724">
        <w:rPr>
          <w:rFonts w:ascii="Book Antiqua" w:eastAsia="SimSun" w:hAnsi="Book Antiqua" w:cs="Calibri"/>
          <w:b/>
          <w:color w:val="000000"/>
          <w:sz w:val="24"/>
          <w:szCs w:val="24"/>
          <w:u w:color="000000"/>
        </w:rPr>
        <w:t>Core tip:</w:t>
      </w:r>
      <w:bookmarkEnd w:id="143"/>
      <w:bookmarkEnd w:id="144"/>
      <w:bookmarkEnd w:id="145"/>
      <w:r w:rsidRPr="00E54724">
        <w:rPr>
          <w:rFonts w:ascii="Book Antiqua" w:eastAsia="SimSun" w:hAnsi="Book Antiqua" w:cs="Calibri"/>
          <w:b/>
          <w:color w:val="000000"/>
          <w:sz w:val="24"/>
          <w:szCs w:val="24"/>
          <w:u w:color="000000"/>
        </w:rPr>
        <w:t xml:space="preserve"> </w:t>
      </w:r>
      <w:r w:rsidRPr="00E54724">
        <w:rPr>
          <w:rFonts w:ascii="Book Antiqua" w:eastAsia="SimSun" w:hAnsi="Book Antiqua" w:cs="Times New Roman"/>
          <w:color w:val="000000"/>
          <w:sz w:val="24"/>
          <w:szCs w:val="24"/>
          <w:u w:color="000000"/>
        </w:rPr>
        <w:t>Autologous bone marrow mononuclear cells prevent immune rejection. In this systematic review and meta-analysis, we attempted to gather evidence for the therapeutic use of autologous bone marrow mononuclear cell transplantation for decompensated liver disease and cirrhosis. We found that autologous bone marrow transplantation is satisfactory in patients with decompensated liver disease. Some important issues need to be verified by large-volume centers.</w:t>
      </w:r>
    </w:p>
    <w:p w14:paraId="409E27E5" w14:textId="77777777" w:rsidR="00E54724" w:rsidRPr="00E54724" w:rsidRDefault="00E54724" w:rsidP="00E54724">
      <w:pPr>
        <w:widowControl/>
        <w:spacing w:after="200" w:line="360" w:lineRule="auto"/>
        <w:rPr>
          <w:rFonts w:ascii="Book Antiqua" w:eastAsia="SimSun" w:hAnsi="Book Antiqua" w:cs="Times New Roman"/>
          <w:color w:val="000000"/>
          <w:sz w:val="24"/>
          <w:szCs w:val="24"/>
          <w:u w:color="000000"/>
        </w:rPr>
      </w:pPr>
    </w:p>
    <w:p w14:paraId="0E6D63D2" w14:textId="763FAB40"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0"/>
        </w:rPr>
      </w:pPr>
      <w:r w:rsidRPr="00E54724">
        <w:rPr>
          <w:rFonts w:ascii="Book Antiqua" w:eastAsia="SimSun" w:hAnsi="Book Antiqua" w:cs="Times New Roman"/>
          <w:sz w:val="24"/>
          <w:szCs w:val="24"/>
        </w:rPr>
        <w:t>Pankaj</w:t>
      </w:r>
      <w:r w:rsidRPr="00E54724">
        <w:rPr>
          <w:rFonts w:ascii="Book Antiqua" w:eastAsia="SimSun" w:hAnsi="Book Antiqua" w:cs="Times New Roman" w:hint="eastAsia"/>
          <w:sz w:val="24"/>
          <w:szCs w:val="24"/>
        </w:rPr>
        <w:t xml:space="preserve"> P</w:t>
      </w:r>
      <w:r w:rsidRPr="00E54724">
        <w:rPr>
          <w:rFonts w:ascii="Book Antiqua" w:eastAsia="SimSun" w:hAnsi="Book Antiqua" w:cs="Times New Roman"/>
          <w:sz w:val="24"/>
          <w:szCs w:val="24"/>
        </w:rPr>
        <w:t>, Zhang</w:t>
      </w:r>
      <w:r w:rsidRPr="00E54724">
        <w:rPr>
          <w:rFonts w:ascii="Book Antiqua" w:eastAsia="SimSun" w:hAnsi="Book Antiqua" w:cs="Times New Roman" w:hint="eastAsia"/>
          <w:sz w:val="24"/>
          <w:szCs w:val="24"/>
        </w:rPr>
        <w:t xml:space="preserve"> Q</w:t>
      </w:r>
      <w:r w:rsidRPr="00E54724">
        <w:rPr>
          <w:rFonts w:ascii="Book Antiqua" w:eastAsia="SimSun" w:hAnsi="Book Antiqua" w:cs="Times New Roman"/>
          <w:sz w:val="24"/>
          <w:szCs w:val="24"/>
        </w:rPr>
        <w:t xml:space="preserve">, </w:t>
      </w:r>
      <w:r w:rsidR="00650F36" w:rsidRPr="00E54724">
        <w:rPr>
          <w:rFonts w:ascii="Book Antiqua" w:eastAsia="SimSun" w:hAnsi="Book Antiqua" w:cs="Times New Roman"/>
          <w:sz w:val="24"/>
          <w:szCs w:val="24"/>
        </w:rPr>
        <w:t>Bai</w:t>
      </w:r>
      <w:r w:rsidR="00650F36" w:rsidRPr="00E54724">
        <w:rPr>
          <w:rFonts w:ascii="Book Antiqua" w:eastAsia="SimSun" w:hAnsi="Book Antiqua" w:cs="Times New Roman" w:hint="eastAsia"/>
          <w:sz w:val="24"/>
          <w:szCs w:val="24"/>
        </w:rPr>
        <w:t xml:space="preserve"> XL</w:t>
      </w:r>
      <w:r w:rsidR="00650F36" w:rsidRPr="00E54724">
        <w:rPr>
          <w:rFonts w:ascii="Book Antiqua" w:eastAsia="SimSun" w:hAnsi="Book Antiqua" w:cs="Times New Roman"/>
          <w:sz w:val="24"/>
          <w:szCs w:val="24"/>
        </w:rPr>
        <w:t>,</w:t>
      </w:r>
      <w:r w:rsidR="00650F36">
        <w:rPr>
          <w:rFonts w:ascii="Book Antiqua" w:eastAsia="SimSun" w:hAnsi="Book Antiqua" w:cs="Times New Roman" w:hint="eastAsia"/>
          <w:sz w:val="24"/>
          <w:szCs w:val="24"/>
        </w:rPr>
        <w:t xml:space="preserve"> </w:t>
      </w:r>
      <w:r w:rsidRPr="00E54724">
        <w:rPr>
          <w:rFonts w:ascii="Book Antiqua" w:eastAsia="SimSun" w:hAnsi="Book Antiqua" w:cs="Times New Roman"/>
          <w:sz w:val="24"/>
          <w:szCs w:val="24"/>
        </w:rPr>
        <w:t>Liang</w:t>
      </w:r>
      <w:r w:rsidRPr="00E54724">
        <w:rPr>
          <w:rFonts w:ascii="Book Antiqua" w:eastAsia="SimSun" w:hAnsi="Book Antiqua" w:cs="Times New Roman" w:hint="eastAsia"/>
          <w:sz w:val="24"/>
          <w:szCs w:val="24"/>
        </w:rPr>
        <w:t xml:space="preserve"> TB. </w:t>
      </w:r>
      <w:r w:rsidRPr="00E54724">
        <w:rPr>
          <w:rFonts w:ascii="Book Antiqua" w:eastAsia="SimSun" w:hAnsi="Book Antiqua" w:cs="Times New Roman"/>
          <w:sz w:val="24"/>
          <w:szCs w:val="24"/>
        </w:rPr>
        <w:t>Autologous bone marrow transplantation in decompensated liver: Systematic review and meta-analysis</w:t>
      </w:r>
      <w:r w:rsidRPr="00E54724">
        <w:rPr>
          <w:rFonts w:ascii="Book Antiqua" w:eastAsia="SimSun" w:hAnsi="Book Antiqua" w:cs="Times New Roman" w:hint="eastAsia"/>
          <w:sz w:val="24"/>
          <w:szCs w:val="24"/>
        </w:rPr>
        <w:t xml:space="preserve">. </w:t>
      </w:r>
      <w:r w:rsidRPr="00E54724">
        <w:rPr>
          <w:rFonts w:ascii="Book Antiqua" w:eastAsia="SimSun" w:hAnsi="Book Antiqua" w:cs="Times New Roman"/>
          <w:i/>
          <w:sz w:val="24"/>
          <w:szCs w:val="20"/>
        </w:rPr>
        <w:t>World J Gastroenterol</w:t>
      </w:r>
      <w:r w:rsidRPr="00E54724">
        <w:rPr>
          <w:rFonts w:ascii="Book Antiqua" w:eastAsia="SimSun" w:hAnsi="Book Antiqua" w:cs="Times New Roman"/>
          <w:sz w:val="24"/>
          <w:szCs w:val="20"/>
        </w:rPr>
        <w:t xml:space="preserve"> 201</w:t>
      </w:r>
      <w:r w:rsidRPr="00E54724">
        <w:rPr>
          <w:rFonts w:ascii="Book Antiqua" w:eastAsia="SimSun" w:hAnsi="Book Antiqua" w:cs="Times New Roman" w:hint="eastAsia"/>
          <w:sz w:val="24"/>
          <w:szCs w:val="20"/>
        </w:rPr>
        <w:t>5</w:t>
      </w:r>
      <w:r w:rsidRPr="00E54724">
        <w:rPr>
          <w:rFonts w:ascii="Book Antiqua" w:eastAsia="SimSun" w:hAnsi="Book Antiqua" w:cs="Times New Roman"/>
          <w:sz w:val="24"/>
          <w:szCs w:val="20"/>
        </w:rPr>
        <w:t>; In press</w:t>
      </w:r>
    </w:p>
    <w:p w14:paraId="159B2AC9" w14:textId="77777777" w:rsidR="00E54724" w:rsidRPr="00E54724" w:rsidRDefault="00E54724" w:rsidP="00E54724">
      <w:pPr>
        <w:widowControl/>
        <w:spacing w:after="200" w:line="360" w:lineRule="auto"/>
        <w:rPr>
          <w:rFonts w:ascii="Book Antiqua" w:eastAsia="SimSun" w:hAnsi="Book Antiqua" w:cs="Times New Roman"/>
          <w:b/>
          <w:color w:val="000000"/>
          <w:sz w:val="24"/>
          <w:szCs w:val="24"/>
          <w:u w:color="000000"/>
        </w:rPr>
      </w:pPr>
    </w:p>
    <w:p w14:paraId="7CC51D09" w14:textId="77777777" w:rsidR="00E54724" w:rsidRPr="00E54724" w:rsidRDefault="00E54724" w:rsidP="00E54724">
      <w:pPr>
        <w:widowControl/>
        <w:spacing w:after="200" w:line="360" w:lineRule="auto"/>
        <w:rPr>
          <w:rFonts w:ascii="Book Antiqua" w:eastAsia="Times New Roman Bold" w:hAnsi="Book Antiqua" w:cs="Times New Roman"/>
          <w:b/>
          <w:color w:val="000000"/>
          <w:sz w:val="24"/>
          <w:szCs w:val="24"/>
          <w:u w:color="000000"/>
        </w:rPr>
      </w:pPr>
      <w:r w:rsidRPr="00E54724">
        <w:rPr>
          <w:rFonts w:ascii="Book Antiqua" w:eastAsia="Times New Roman Bold" w:hAnsi="Book Antiqua" w:cs="Times New Roman"/>
          <w:b/>
          <w:color w:val="000000"/>
          <w:sz w:val="24"/>
          <w:szCs w:val="24"/>
          <w:u w:color="000000"/>
        </w:rPr>
        <w:t>INTRODUCTION</w:t>
      </w:r>
    </w:p>
    <w:p w14:paraId="30F7CF11" w14:textId="77777777" w:rsidR="00E54724" w:rsidRPr="00E54724" w:rsidRDefault="00E54724" w:rsidP="00E54724">
      <w:pPr>
        <w:widowControl/>
        <w:spacing w:after="200" w:line="360" w:lineRule="auto"/>
        <w:rPr>
          <w:rFonts w:ascii="Book Antiqua" w:eastAsia="Book Antiqua" w:hAnsi="Book Antiqua" w:cs="Times New Roman"/>
          <w:color w:val="231F20"/>
          <w:sz w:val="24"/>
          <w:szCs w:val="24"/>
          <w:u w:color="000000"/>
        </w:rPr>
      </w:pPr>
      <w:r w:rsidRPr="00E54724">
        <w:rPr>
          <w:rFonts w:ascii="Book Antiqua" w:eastAsia="Calibri" w:hAnsi="Book Antiqua" w:cs="Times New Roman"/>
          <w:color w:val="000000"/>
          <w:sz w:val="24"/>
          <w:szCs w:val="24"/>
          <w:u w:color="000000"/>
        </w:rPr>
        <w:t>Liver disease is a global health problem and hepatitis B and C are two of the most epidemic and serious types</w:t>
      </w:r>
      <w:r w:rsidRPr="00E54724">
        <w:rPr>
          <w:rFonts w:ascii="Book Antiqua" w:eastAsia="Calibri" w:hAnsi="Book Antiqua" w:cs="Calibri"/>
          <w:color w:val="000000"/>
          <w:sz w:val="22"/>
          <w:u w:color="000000"/>
          <w:vertAlign w:val="superscript"/>
        </w:rPr>
        <w:t>[1]</w:t>
      </w:r>
      <w:r w:rsidRPr="00E54724">
        <w:rPr>
          <w:rFonts w:ascii="Book Antiqua" w:eastAsia="Calibri" w:hAnsi="Book Antiqua" w:cs="Times New Roman"/>
          <w:color w:val="000000"/>
          <w:sz w:val="24"/>
          <w:szCs w:val="24"/>
          <w:u w:color="000000"/>
        </w:rPr>
        <w:t>. As the disease advances, the liver function may be decompensated, leading to decompensated liver diseases, mostly cirrhosis. Currently, there are few therapeutic options for decompensated liver disease, and new strategies have been explored for several decades. Regeneration of functional hepatocytes is believed to be the key for maintaining liver function in these patients. Autologous bone marrow mononuclear cells (</w:t>
      </w:r>
      <w:r w:rsidRPr="00E54724">
        <w:rPr>
          <w:rFonts w:ascii="Book Antiqua" w:eastAsia="Times New Roman Bold" w:hAnsi="Book Antiqua" w:cs="Times New Roman"/>
          <w:color w:val="000000"/>
          <w:sz w:val="24"/>
          <w:szCs w:val="24"/>
          <w:u w:color="000000"/>
        </w:rPr>
        <w:t>BM-MNCs), include mesenchymal stem cells, hematopoietic stem</w:t>
      </w:r>
      <w:r w:rsidRPr="00E54724">
        <w:rPr>
          <w:rFonts w:ascii="Book Antiqua" w:eastAsia="Calibri" w:hAnsi="Book Antiqua" w:cs="Times New Roman"/>
          <w:color w:val="000000"/>
          <w:sz w:val="24"/>
          <w:szCs w:val="24"/>
          <w:u w:color="000000"/>
        </w:rPr>
        <w:t xml:space="preserve"> cells, endothelial progenitor cells, and stromal cells, are beneficial for patients with decompensated liver disease</w:t>
      </w:r>
      <w:r w:rsidRPr="00E54724">
        <w:rPr>
          <w:rFonts w:ascii="Book Antiqua" w:eastAsia="Calibri" w:hAnsi="Book Antiqua" w:cs="Calibri"/>
          <w:color w:val="000000"/>
          <w:sz w:val="22"/>
          <w:u w:color="000000"/>
          <w:vertAlign w:val="superscript"/>
        </w:rPr>
        <w:t>[2]</w:t>
      </w:r>
      <w:r w:rsidRPr="00E54724">
        <w:rPr>
          <w:rFonts w:ascii="Book Antiqua" w:eastAsia="Calibri" w:hAnsi="Book Antiqua" w:cs="Times New Roman"/>
          <w:color w:val="000000"/>
          <w:sz w:val="24"/>
          <w:szCs w:val="24"/>
          <w:u w:color="000000"/>
        </w:rPr>
        <w:t>. Due to the contribution of non-hematopoietic stem cells, BM-MNCs can generate various types of cells in different tissues</w:t>
      </w:r>
      <w:r w:rsidRPr="00E54724">
        <w:rPr>
          <w:rFonts w:ascii="Book Antiqua" w:eastAsia="Calibri" w:hAnsi="Book Antiqua" w:cs="Times New Roman"/>
          <w:noProof/>
          <w:color w:val="000000"/>
          <w:sz w:val="24"/>
          <w:szCs w:val="24"/>
          <w:u w:color="000000"/>
          <w:vertAlign w:val="superscript"/>
        </w:rPr>
        <w:t>[3-5]</w:t>
      </w:r>
      <w:r w:rsidRPr="00E54724">
        <w:rPr>
          <w:rFonts w:ascii="Book Antiqua" w:eastAsia="SimSun" w:hAnsi="Book Antiqua" w:cs="Times New Roman"/>
          <w:color w:val="000000"/>
          <w:sz w:val="24"/>
          <w:szCs w:val="24"/>
          <w:u w:color="000000"/>
        </w:rPr>
        <w:t>. Other cell components of BM-MNCs may facilitate stem cell differentiation by secreting cytokines, modeling microenvironments, or interacting with stem cells.</w:t>
      </w:r>
    </w:p>
    <w:p w14:paraId="2DCF8F20" w14:textId="77777777" w:rsidR="00E54724" w:rsidRPr="00E54724" w:rsidRDefault="009C3C2C" w:rsidP="00E54724">
      <w:pPr>
        <w:widowControl/>
        <w:spacing w:after="200" w:line="360" w:lineRule="auto"/>
        <w:rPr>
          <w:rFonts w:ascii="Book Antiqua" w:eastAsia="Book Antiqua" w:hAnsi="Book Antiqua" w:cs="Times New Roman"/>
          <w:color w:val="231F20"/>
          <w:sz w:val="24"/>
          <w:szCs w:val="24"/>
          <w:u w:color="000000"/>
        </w:rPr>
      </w:pPr>
      <w:r>
        <w:rPr>
          <w:rFonts w:ascii="Book Antiqua" w:eastAsia="Book Antiqua" w:hAnsi="Book Antiqua" w:cs="Times New Roman"/>
          <w:color w:val="231F20"/>
          <w:sz w:val="24"/>
          <w:szCs w:val="24"/>
          <w:u w:color="000000"/>
        </w:rPr>
        <w:lastRenderedPageBreak/>
        <w:t xml:space="preserve"> </w:t>
      </w:r>
      <w:r w:rsidR="00E54724" w:rsidRPr="00E54724">
        <w:rPr>
          <w:rFonts w:ascii="Book Antiqua" w:eastAsia="Calibri" w:hAnsi="Book Antiqua" w:cs="Times New Roman"/>
          <w:color w:val="231F20"/>
          <w:sz w:val="24"/>
          <w:szCs w:val="24"/>
          <w:u w:color="000000"/>
        </w:rPr>
        <w:t>In autologous transplantation, cells are derived from the patients themselves, which theoretically can prevent the possibility of immune rejection. At present, autologous BM-MNCs have been widely applied in the treatment of</w:t>
      </w:r>
      <w:r w:rsidR="00E54724" w:rsidRPr="00E54724">
        <w:rPr>
          <w:rFonts w:ascii="Book Antiqua" w:eastAsia="Book Antiqua" w:hAnsi="Book Antiqua" w:cs="Times New Roman"/>
          <w:color w:val="231F20"/>
          <w:sz w:val="24"/>
          <w:szCs w:val="24"/>
          <w:u w:color="000000"/>
        </w:rPr>
        <w:t xml:space="preserve"> </w:t>
      </w:r>
      <w:r w:rsidR="00E54724" w:rsidRPr="00E54724">
        <w:rPr>
          <w:rFonts w:ascii="Book Antiqua" w:eastAsia="Calibri" w:hAnsi="Book Antiqua" w:cs="Times New Roman"/>
          <w:color w:val="231F20"/>
          <w:sz w:val="24"/>
          <w:szCs w:val="24"/>
          <w:u w:color="000000"/>
        </w:rPr>
        <w:t>liver diseases</w:t>
      </w:r>
      <w:r w:rsidR="00E54724" w:rsidRPr="00E54724">
        <w:rPr>
          <w:rFonts w:ascii="Book Antiqua" w:eastAsia="Calibri" w:hAnsi="Book Antiqua" w:cs="Times New Roman"/>
          <w:noProof/>
          <w:color w:val="231F20"/>
          <w:sz w:val="24"/>
          <w:szCs w:val="24"/>
          <w:u w:color="000000"/>
          <w:vertAlign w:val="superscript"/>
        </w:rPr>
        <w:t>[</w:t>
      </w:r>
      <w:r w:rsidR="00E54724" w:rsidRPr="00E54724">
        <w:rPr>
          <w:rFonts w:ascii="Book Antiqua" w:eastAsia="Calibri" w:hAnsi="Book Antiqua" w:cs="Times New Roman"/>
          <w:noProof/>
          <w:color w:val="231F20"/>
          <w:sz w:val="24"/>
          <w:szCs w:val="24"/>
          <w:u w:color="231F20"/>
          <w:vertAlign w:val="superscript"/>
        </w:rPr>
        <w:t>6-9</w:t>
      </w:r>
      <w:r w:rsidR="00E54724" w:rsidRPr="00E54724">
        <w:rPr>
          <w:rFonts w:ascii="Book Antiqua" w:eastAsia="Calibri" w:hAnsi="Book Antiqua" w:cs="Times New Roman"/>
          <w:noProof/>
          <w:color w:val="231F20"/>
          <w:sz w:val="24"/>
          <w:szCs w:val="24"/>
          <w:u w:color="000000"/>
          <w:vertAlign w:val="superscript"/>
        </w:rPr>
        <w:t>]</w:t>
      </w:r>
      <w:r w:rsidR="00E54724" w:rsidRPr="00E54724">
        <w:rPr>
          <w:rFonts w:ascii="Book Antiqua" w:eastAsia="Calibri" w:hAnsi="Book Antiqua" w:cs="Times New Roman"/>
          <w:color w:val="231F20"/>
          <w:sz w:val="24"/>
          <w:szCs w:val="24"/>
          <w:u w:color="000000"/>
        </w:rPr>
        <w:t>.</w:t>
      </w:r>
      <w:r w:rsidR="00E54724" w:rsidRPr="00E54724">
        <w:rPr>
          <w:rFonts w:ascii="Book Antiqua" w:eastAsia="AdvP49811" w:hAnsi="Book Antiqua" w:cs="Times New Roman"/>
          <w:color w:val="000000"/>
          <w:sz w:val="24"/>
          <w:szCs w:val="24"/>
          <w:u w:color="000000"/>
        </w:rPr>
        <w:t xml:space="preserve"> </w:t>
      </w:r>
      <w:r w:rsidR="00E54724" w:rsidRPr="00E54724">
        <w:rPr>
          <w:rFonts w:ascii="Book Antiqua" w:eastAsia="Calibri" w:hAnsi="Book Antiqua" w:cs="Times New Roman"/>
          <w:color w:val="000000"/>
          <w:sz w:val="24"/>
          <w:szCs w:val="24"/>
          <w:u w:color="000000"/>
        </w:rPr>
        <w:t>It is proposed that pluripotent nonhematopoietic stem cells from BM might participate in the repopulation of a damaged liver and may even improve its function</w:t>
      </w:r>
      <w:r w:rsidR="00E54724" w:rsidRPr="00E54724">
        <w:rPr>
          <w:rFonts w:ascii="Book Antiqua" w:eastAsia="Book Antiqua" w:hAnsi="Book Antiqua" w:cs="Times New Roman"/>
          <w:noProof/>
          <w:color w:val="231F20"/>
          <w:sz w:val="24"/>
          <w:szCs w:val="24"/>
          <w:u w:color="000000"/>
          <w:vertAlign w:val="superscript"/>
        </w:rPr>
        <w:t>[</w:t>
      </w:r>
      <w:r w:rsidR="00E54724" w:rsidRPr="00E54724">
        <w:rPr>
          <w:rFonts w:ascii="Book Antiqua" w:eastAsia="Book Antiqua" w:hAnsi="Book Antiqua" w:cs="Times New Roman"/>
          <w:noProof/>
          <w:color w:val="231F20"/>
          <w:sz w:val="24"/>
          <w:szCs w:val="24"/>
          <w:u w:color="231F20"/>
          <w:vertAlign w:val="superscript"/>
        </w:rPr>
        <w:t>10</w:t>
      </w:r>
      <w:r w:rsidR="00E54724" w:rsidRPr="00E54724">
        <w:rPr>
          <w:rFonts w:ascii="Book Antiqua" w:eastAsia="Book Antiqua" w:hAnsi="Book Antiqua" w:cs="Times New Roman"/>
          <w:noProof/>
          <w:color w:val="231F20"/>
          <w:sz w:val="24"/>
          <w:szCs w:val="24"/>
          <w:u w:color="000000"/>
          <w:vertAlign w:val="superscript"/>
        </w:rPr>
        <w:t>]</w:t>
      </w:r>
      <w:r w:rsidR="00E54724" w:rsidRPr="00E54724">
        <w:rPr>
          <w:rFonts w:ascii="Book Antiqua" w:eastAsia="Calibri" w:hAnsi="Book Antiqua" w:cs="Times New Roman"/>
          <w:color w:val="000000"/>
          <w:sz w:val="24"/>
          <w:szCs w:val="24"/>
          <w:u w:color="000000"/>
        </w:rPr>
        <w:t>.</w:t>
      </w:r>
      <w:r w:rsidR="00E54724" w:rsidRPr="00E54724">
        <w:rPr>
          <w:rFonts w:ascii="Book Antiqua" w:eastAsia="Book Antiqua" w:hAnsi="Book Antiqua" w:cs="Times New Roman"/>
          <w:color w:val="000000"/>
          <w:sz w:val="24"/>
          <w:szCs w:val="24"/>
          <w:u w:color="000000"/>
        </w:rPr>
        <w:t xml:space="preserve"> </w:t>
      </w:r>
      <w:r w:rsidR="00E54724" w:rsidRPr="00E54724">
        <w:rPr>
          <w:rFonts w:ascii="Book Antiqua" w:eastAsia="Calibri" w:hAnsi="Book Antiqua" w:cs="Calibri"/>
          <w:color w:val="000000"/>
          <w:sz w:val="24"/>
          <w:szCs w:val="24"/>
          <w:u w:color="000000"/>
        </w:rPr>
        <w:t>The combination of mobilization, isolation, and direct infusion of BM stem cells into the liver via the hepatic artery or portal vein, or autologous human BM stem cell transplantation, showed inconsistent improvement in liver function</w:t>
      </w:r>
      <w:r w:rsidR="00E54724" w:rsidRPr="00E54724">
        <w:rPr>
          <w:rFonts w:ascii="Book Antiqua" w:eastAsia="Calibri" w:hAnsi="Book Antiqua" w:cs="Calibri"/>
          <w:noProof/>
          <w:color w:val="000000"/>
          <w:sz w:val="24"/>
          <w:szCs w:val="24"/>
          <w:u w:color="000000"/>
          <w:vertAlign w:val="superscript"/>
        </w:rPr>
        <w:t>[10-12]</w:t>
      </w:r>
      <w:r w:rsidR="00E54724" w:rsidRPr="00E54724">
        <w:rPr>
          <w:rFonts w:ascii="Book Antiqua" w:eastAsia="Calibri" w:hAnsi="Book Antiqua" w:cs="Calibri"/>
          <w:color w:val="000000"/>
          <w:sz w:val="24"/>
          <w:szCs w:val="24"/>
          <w:u w:color="000000"/>
        </w:rPr>
        <w:t>. However, the evidence for autologous BM-MNCs transplantation for decompensated liver disease is controversial. This systematic review aimed to summarize the currently available literature on this topic.</w:t>
      </w:r>
    </w:p>
    <w:p w14:paraId="0EB29133" w14:textId="77777777" w:rsidR="00E54724" w:rsidRPr="00E54724" w:rsidRDefault="00E54724" w:rsidP="00E54724">
      <w:pPr>
        <w:widowControl/>
        <w:spacing w:line="360" w:lineRule="auto"/>
        <w:rPr>
          <w:rFonts w:ascii="Book Antiqua" w:eastAsia="Calibri" w:hAnsi="Book Antiqua" w:cs="Times New Roman"/>
          <w:b/>
          <w:bCs/>
          <w:color w:val="000000"/>
          <w:sz w:val="24"/>
          <w:szCs w:val="24"/>
          <w:u w:color="000000"/>
        </w:rPr>
      </w:pPr>
    </w:p>
    <w:p w14:paraId="73790B72" w14:textId="77777777" w:rsidR="006D2EDA" w:rsidRPr="008E267B" w:rsidRDefault="006D2EDA" w:rsidP="006D2EDA">
      <w:pPr>
        <w:spacing w:line="360" w:lineRule="auto"/>
        <w:rPr>
          <w:rFonts w:ascii="Book Antiqua" w:hAnsi="Book Antiqua"/>
          <w:b/>
          <w:sz w:val="24"/>
        </w:rPr>
      </w:pPr>
      <w:bookmarkStart w:id="146" w:name="OLE_LINK9"/>
      <w:bookmarkStart w:id="147" w:name="OLE_LINK10"/>
      <w:bookmarkStart w:id="148" w:name="OLE_LINK26"/>
      <w:r w:rsidRPr="008E267B">
        <w:rPr>
          <w:rFonts w:ascii="Book Antiqua" w:hAnsi="Book Antiqua"/>
          <w:b/>
          <w:sz w:val="24"/>
        </w:rPr>
        <w:t>MATERIALS AND METHODS</w:t>
      </w:r>
    </w:p>
    <w:bookmarkEnd w:id="146"/>
    <w:bookmarkEnd w:id="147"/>
    <w:bookmarkEnd w:id="148"/>
    <w:p w14:paraId="05B8FDEB" w14:textId="77777777" w:rsidR="00E54724" w:rsidRPr="00E54724" w:rsidRDefault="00E54724" w:rsidP="00E54724">
      <w:pPr>
        <w:widowControl/>
        <w:spacing w:line="360" w:lineRule="auto"/>
        <w:rPr>
          <w:rFonts w:ascii="Book Antiqua" w:eastAsia="Book Antiqua Bold" w:hAnsi="Book Antiqua" w:cs="Times New Roman"/>
          <w:b/>
          <w:bCs/>
          <w:i/>
          <w:color w:val="000000"/>
          <w:sz w:val="24"/>
          <w:szCs w:val="24"/>
          <w:u w:color="000000"/>
        </w:rPr>
      </w:pPr>
      <w:r w:rsidRPr="00E54724">
        <w:rPr>
          <w:rFonts w:ascii="Book Antiqua" w:eastAsia="Calibri" w:hAnsi="Book Antiqua" w:cs="Times New Roman"/>
          <w:b/>
          <w:bCs/>
          <w:i/>
          <w:color w:val="000000"/>
          <w:sz w:val="24"/>
          <w:szCs w:val="24"/>
          <w:u w:color="000000"/>
        </w:rPr>
        <w:t>Literature search strategies and selection</w:t>
      </w:r>
    </w:p>
    <w:p w14:paraId="24F1CA42" w14:textId="76884843" w:rsidR="00E54724" w:rsidRPr="00E54724" w:rsidRDefault="00E54724" w:rsidP="00E54724">
      <w:pPr>
        <w:widowControl/>
        <w:spacing w:line="360" w:lineRule="auto"/>
        <w:rPr>
          <w:rFonts w:ascii="Book Antiqua" w:eastAsia="Calibri" w:hAnsi="Book Antiqua" w:cs="Times New Roman"/>
          <w:color w:val="000000"/>
          <w:sz w:val="24"/>
          <w:szCs w:val="24"/>
          <w:u w:color="000000"/>
        </w:rPr>
      </w:pPr>
      <w:r w:rsidRPr="00E54724">
        <w:rPr>
          <w:rFonts w:ascii="Book Antiqua" w:eastAsia="Calibri" w:hAnsi="Book Antiqua" w:cs="Times New Roman"/>
          <w:color w:val="000000"/>
          <w:sz w:val="24"/>
          <w:szCs w:val="24"/>
          <w:u w:color="000000"/>
        </w:rPr>
        <w:t xml:space="preserve">Five electronic databases (Medline, </w:t>
      </w:r>
      <w:r w:rsidRPr="00E54724">
        <w:rPr>
          <w:rFonts w:ascii="Book Antiqua" w:eastAsia="Calibri" w:hAnsi="Book Antiqua" w:cs="Times New Roman"/>
          <w:caps/>
          <w:color w:val="000000"/>
          <w:sz w:val="24"/>
          <w:szCs w:val="24"/>
          <w:u w:color="000000"/>
        </w:rPr>
        <w:t>Embase</w:t>
      </w:r>
      <w:r w:rsidRPr="00E54724">
        <w:rPr>
          <w:rFonts w:ascii="Book Antiqua" w:eastAsia="Calibri" w:hAnsi="Book Antiqua" w:cs="Times New Roman"/>
          <w:color w:val="000000"/>
          <w:sz w:val="24"/>
          <w:szCs w:val="24"/>
          <w:u w:color="000000"/>
        </w:rPr>
        <w:t>, PubMed, Science Direct, and The Cochrane Library) were searched</w:t>
      </w:r>
      <w:r w:rsidR="00F83B28">
        <w:rPr>
          <w:rFonts w:ascii="Book Antiqua" w:eastAsia="Calibri" w:hAnsi="Book Antiqua" w:cs="Times New Roman" w:hint="eastAsia"/>
          <w:color w:val="000000"/>
          <w:sz w:val="24"/>
          <w:szCs w:val="24"/>
          <w:u w:color="000000"/>
        </w:rPr>
        <w:t xml:space="preserve"> from dates of inceptions up to October 2014</w:t>
      </w:r>
      <w:r w:rsidRPr="00E54724">
        <w:rPr>
          <w:rFonts w:ascii="Book Antiqua" w:eastAsia="Calibri" w:hAnsi="Book Antiqua" w:cs="Times New Roman"/>
          <w:color w:val="000000"/>
          <w:sz w:val="24"/>
          <w:szCs w:val="24"/>
          <w:u w:color="000000"/>
        </w:rPr>
        <w:t xml:space="preserve">. The following key words were used: </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bone marrow</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 xml:space="preserve">, </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autologous</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 xml:space="preserve">, </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transfusion</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 xml:space="preserve">, </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liver OR hepatic</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 xml:space="preserve">, and </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systematic review</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 xml:space="preserve">; similar headings were also searched such as </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treatment of decompensated liver disease</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 xml:space="preserve">, </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treatment option for cirrhosis</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 xml:space="preserve">, and </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meta-analysis</w:t>
      </w:r>
      <w:r w:rsidRPr="00E54724">
        <w:rPr>
          <w:rFonts w:ascii="Book Antiqua" w:eastAsia="SimSun" w:hAnsi="Book Antiqua" w:cs="Times New Roman"/>
          <w:color w:val="000000"/>
          <w:sz w:val="24"/>
          <w:szCs w:val="24"/>
          <w:u w:color="000000"/>
        </w:rPr>
        <w:t>”</w:t>
      </w:r>
      <w:r w:rsidRPr="00E54724">
        <w:rPr>
          <w:rFonts w:ascii="Book Antiqua" w:eastAsia="Calibri" w:hAnsi="Book Antiqua" w:cs="Times New Roman"/>
          <w:color w:val="000000"/>
          <w:sz w:val="24"/>
          <w:szCs w:val="24"/>
          <w:u w:color="000000"/>
        </w:rPr>
        <w:t>. Further articles were identified by a manual search of reference lists from the retrieved publications. The databases were used again to retrieve the abstracts, and if favorable, the full text was downloaded for the final review. All articles included in this study were published in English.</w:t>
      </w:r>
    </w:p>
    <w:p w14:paraId="6AE90E0E" w14:textId="77777777" w:rsidR="00E54724" w:rsidRPr="00E54724" w:rsidRDefault="009C3C2C" w:rsidP="00E54724">
      <w:pPr>
        <w:widowControl/>
        <w:spacing w:line="360" w:lineRule="auto"/>
        <w:rPr>
          <w:rFonts w:ascii="Book Antiqua" w:eastAsia="Book Antiqua" w:hAnsi="Book Antiqua" w:cs="Times New Roman"/>
          <w:color w:val="000000"/>
          <w:sz w:val="24"/>
          <w:szCs w:val="24"/>
          <w:u w:color="000000"/>
        </w:rPr>
      </w:pPr>
      <w:r>
        <w:rPr>
          <w:rFonts w:ascii="Book Antiqua" w:eastAsia="Calibri" w:hAnsi="Book Antiqua" w:cs="Times New Roman"/>
          <w:color w:val="000000"/>
          <w:sz w:val="24"/>
          <w:szCs w:val="24"/>
          <w:u w:color="000000"/>
        </w:rPr>
        <w:t xml:space="preserve"> </w:t>
      </w:r>
      <w:r w:rsidR="00E54724" w:rsidRPr="00E54724">
        <w:rPr>
          <w:rFonts w:ascii="Book Antiqua" w:eastAsia="Calibri" w:hAnsi="Book Antiqua" w:cs="Times New Roman"/>
          <w:color w:val="000000"/>
          <w:sz w:val="24"/>
          <w:szCs w:val="24"/>
          <w:u w:color="000000"/>
        </w:rPr>
        <w:t>Two reviewers independently screened the title and abstract of each identified publication. Citations with suspected compliance with our eligibility criteria underwent a full review. If either of the two reviewers identified a citation to be potentially relevant, we obtained the full text for a full review. Any disagreements were resolved through discussions with a third reviewer.</w:t>
      </w:r>
    </w:p>
    <w:p w14:paraId="09CD2540" w14:textId="77777777" w:rsidR="00E54724" w:rsidRPr="00E54724" w:rsidRDefault="00E54724" w:rsidP="00E54724">
      <w:pPr>
        <w:widowControl/>
        <w:spacing w:line="360" w:lineRule="auto"/>
        <w:rPr>
          <w:rFonts w:ascii="Book Antiqua" w:eastAsia="Calibri" w:hAnsi="Book Antiqua" w:cs="Times New Roman"/>
          <w:color w:val="000000"/>
          <w:sz w:val="24"/>
          <w:szCs w:val="24"/>
          <w:u w:color="000000"/>
        </w:rPr>
      </w:pPr>
    </w:p>
    <w:p w14:paraId="1E1ACCF6" w14:textId="77777777" w:rsidR="00E54724" w:rsidRPr="00E54724" w:rsidRDefault="00E54724" w:rsidP="00E54724">
      <w:pPr>
        <w:widowControl/>
        <w:spacing w:line="360" w:lineRule="auto"/>
        <w:rPr>
          <w:rFonts w:ascii="Book Antiqua" w:eastAsia="Times New Roman Bold" w:hAnsi="Book Antiqua" w:cs="Times New Roman"/>
          <w:b/>
          <w:i/>
          <w:color w:val="000000"/>
          <w:sz w:val="24"/>
          <w:szCs w:val="24"/>
          <w:u w:color="000000"/>
        </w:rPr>
      </w:pPr>
      <w:r w:rsidRPr="00E54724">
        <w:rPr>
          <w:rFonts w:ascii="Book Antiqua" w:eastAsia="Calibri" w:hAnsi="Book Antiqua" w:cs="Times New Roman"/>
          <w:b/>
          <w:i/>
          <w:color w:val="000000"/>
          <w:sz w:val="24"/>
          <w:szCs w:val="24"/>
          <w:u w:color="000000"/>
        </w:rPr>
        <w:t>Eligibility criteria and outcome evaluation</w:t>
      </w:r>
    </w:p>
    <w:p w14:paraId="0535C280" w14:textId="77777777" w:rsidR="00E54724" w:rsidRPr="00E54724" w:rsidRDefault="00E54724" w:rsidP="00E54724">
      <w:pPr>
        <w:widowControl/>
        <w:spacing w:line="360" w:lineRule="auto"/>
        <w:rPr>
          <w:rFonts w:ascii="Book Antiqua" w:eastAsia="Times New Roman" w:hAnsi="Book Antiqua" w:cs="Times New Roman"/>
          <w:color w:val="000000"/>
          <w:sz w:val="24"/>
          <w:szCs w:val="24"/>
          <w:u w:color="000000"/>
        </w:rPr>
      </w:pPr>
      <w:r w:rsidRPr="00E54724">
        <w:rPr>
          <w:rFonts w:ascii="Book Antiqua" w:eastAsia="Calibri" w:hAnsi="Book Antiqua" w:cs="Times New Roman"/>
          <w:color w:val="000000"/>
          <w:sz w:val="24"/>
          <w:szCs w:val="24"/>
          <w:u w:color="000000"/>
        </w:rPr>
        <w:t>This study compared autologous BM stem cell therapy in decompensated liver disease, regardless of blinding and concealment of allocation. Retrospective studies were included along with randomized clinical trails. Eligibility criteria were as follows: (1) explicitly reporting the indications for BM-MNCs; (2) comparing at least one of the following outcomes: albumin, total bilirubin, coagulation function tests (prothrombin time and</w:t>
      </w:r>
      <w:r w:rsidRPr="00E54724">
        <w:rPr>
          <w:rFonts w:ascii="Book Antiqua" w:eastAsia="Book Antiqua" w:hAnsi="Book Antiqua" w:cs="Times New Roman"/>
          <w:color w:val="000000"/>
          <w:sz w:val="24"/>
          <w:szCs w:val="24"/>
          <w:u w:color="000000"/>
        </w:rPr>
        <w:t xml:space="preserve"> </w:t>
      </w:r>
      <w:r w:rsidRPr="00E54724">
        <w:rPr>
          <w:rFonts w:ascii="Book Antiqua" w:eastAsia="Calibri" w:hAnsi="Book Antiqua" w:cs="Times New Roman"/>
          <w:color w:val="000000"/>
          <w:sz w:val="24"/>
          <w:szCs w:val="24"/>
          <w:u w:color="000000"/>
          <w:lang w:val="fr-FR"/>
        </w:rPr>
        <w:t xml:space="preserve">activity), Child-Pugh score, </w:t>
      </w:r>
      <w:r w:rsidRPr="00E54724">
        <w:rPr>
          <w:rFonts w:ascii="Book Antiqua" w:eastAsia="Calibri" w:hAnsi="Book Antiqua" w:cs="Times New Roman"/>
          <w:bCs/>
          <w:color w:val="000000"/>
          <w:sz w:val="24"/>
          <w:szCs w:val="24"/>
          <w:u w:color="000000"/>
        </w:rPr>
        <w:t>model for end-stage liver disease</w:t>
      </w:r>
      <w:r w:rsidRPr="00E54724">
        <w:rPr>
          <w:rFonts w:ascii="Book Antiqua" w:eastAsia="Calibri" w:hAnsi="Book Antiqua" w:cs="Times New Roman"/>
          <w:color w:val="000000"/>
          <w:sz w:val="24"/>
          <w:szCs w:val="24"/>
          <w:u w:color="000000"/>
          <w:lang w:val="fr-FR"/>
        </w:rPr>
        <w:t xml:space="preserve"> </w:t>
      </w:r>
      <w:r w:rsidRPr="00E54724">
        <w:rPr>
          <w:rFonts w:ascii="Book Antiqua" w:eastAsia="Calibri" w:hAnsi="Book Antiqua" w:cs="Times New Roman" w:hint="eastAsia"/>
          <w:color w:val="000000"/>
          <w:sz w:val="24"/>
          <w:szCs w:val="24"/>
          <w:u w:color="000000"/>
          <w:lang w:val="fr-FR"/>
        </w:rPr>
        <w:t>(</w:t>
      </w:r>
      <w:r w:rsidRPr="00E54724">
        <w:rPr>
          <w:rFonts w:ascii="Book Antiqua" w:eastAsia="Calibri" w:hAnsi="Book Antiqua" w:cs="Times New Roman"/>
          <w:color w:val="000000"/>
          <w:sz w:val="24"/>
          <w:szCs w:val="24"/>
          <w:u w:color="000000"/>
          <w:lang w:val="fr-FR"/>
        </w:rPr>
        <w:t>MELD</w:t>
      </w:r>
      <w:r w:rsidRPr="00E54724">
        <w:rPr>
          <w:rFonts w:ascii="Book Antiqua" w:eastAsia="Calibri" w:hAnsi="Book Antiqua" w:cs="Times New Roman" w:hint="eastAsia"/>
          <w:color w:val="000000"/>
          <w:sz w:val="24"/>
          <w:szCs w:val="24"/>
          <w:u w:color="000000"/>
          <w:lang w:val="fr-FR"/>
        </w:rPr>
        <w:t>)</w:t>
      </w:r>
      <w:r w:rsidRPr="00E54724">
        <w:rPr>
          <w:rFonts w:ascii="Book Antiqua" w:eastAsia="Calibri" w:hAnsi="Book Antiqua" w:cs="Times New Roman"/>
          <w:color w:val="000000"/>
          <w:sz w:val="24"/>
          <w:szCs w:val="24"/>
          <w:u w:color="000000"/>
          <w:lang w:val="fr-FR"/>
        </w:rPr>
        <w:t xml:space="preserve"> score, alanine transaminase (ALT), and aspartate transaminase (AST);</w:t>
      </w:r>
      <w:r w:rsidRPr="00E54724">
        <w:rPr>
          <w:rFonts w:ascii="Book Antiqua" w:eastAsia="Calibri" w:hAnsi="Book Antiqua" w:cs="Times New Roman"/>
          <w:color w:val="000000"/>
          <w:sz w:val="24"/>
          <w:szCs w:val="24"/>
          <w:u w:color="000000"/>
        </w:rPr>
        <w:t xml:space="preserve"> and (3) when two studies were published by the same institution or authors and data were repeated, the higher quality or the most recent was included. </w:t>
      </w:r>
    </w:p>
    <w:p w14:paraId="7A7366C3" w14:textId="77777777" w:rsidR="00E54724" w:rsidRPr="00E54724" w:rsidRDefault="00E54724" w:rsidP="00E54724">
      <w:pPr>
        <w:widowControl/>
        <w:spacing w:line="360" w:lineRule="auto"/>
        <w:rPr>
          <w:rFonts w:ascii="Book Antiqua" w:eastAsia="Book Antiqua" w:hAnsi="Book Antiqua" w:cs="Times New Roman"/>
          <w:color w:val="000000"/>
          <w:sz w:val="24"/>
          <w:szCs w:val="24"/>
          <w:u w:color="000000"/>
        </w:rPr>
      </w:pPr>
    </w:p>
    <w:p w14:paraId="383A44DF" w14:textId="77777777" w:rsidR="00E54724" w:rsidRPr="00E54724" w:rsidRDefault="00E54724" w:rsidP="00E54724">
      <w:pPr>
        <w:widowControl/>
        <w:spacing w:line="360" w:lineRule="auto"/>
        <w:rPr>
          <w:rFonts w:ascii="Book Antiqua" w:eastAsia="Book Antiqua Bold" w:hAnsi="Book Antiqua" w:cs="Book Antiqua Bold"/>
          <w:b/>
          <w:bCs/>
          <w:i/>
          <w:color w:val="000000"/>
          <w:sz w:val="24"/>
          <w:szCs w:val="24"/>
          <w:u w:color="000000"/>
        </w:rPr>
      </w:pPr>
      <w:r w:rsidRPr="00E54724">
        <w:rPr>
          <w:rFonts w:ascii="Book Antiqua" w:eastAsia="Arial Unicode MS" w:hAnsi="Book Antiqua" w:cs="Arial Unicode MS"/>
          <w:b/>
          <w:bCs/>
          <w:i/>
          <w:color w:val="000000"/>
          <w:sz w:val="24"/>
          <w:szCs w:val="24"/>
          <w:u w:color="000000"/>
        </w:rPr>
        <w:t>Exclusion criteria</w:t>
      </w:r>
    </w:p>
    <w:p w14:paraId="2E70E692" w14:textId="77777777" w:rsidR="00E54724" w:rsidRPr="00E54724" w:rsidRDefault="00E54724" w:rsidP="00E54724">
      <w:pPr>
        <w:widowControl/>
        <w:spacing w:line="360" w:lineRule="auto"/>
        <w:rPr>
          <w:rFonts w:ascii="Book Antiqua" w:eastAsia="Calibri" w:hAnsi="Book Antiqua" w:cs="Times New Roman"/>
          <w:color w:val="000000"/>
          <w:sz w:val="24"/>
          <w:szCs w:val="24"/>
          <w:u w:color="000000"/>
        </w:rPr>
      </w:pPr>
      <w:r w:rsidRPr="00E54724">
        <w:rPr>
          <w:rFonts w:ascii="Book Antiqua" w:eastAsia="Calibri" w:hAnsi="Book Antiqua" w:cs="Times New Roman"/>
          <w:color w:val="000000"/>
          <w:sz w:val="24"/>
          <w:szCs w:val="24"/>
          <w:u w:color="000000"/>
        </w:rPr>
        <w:t>Studies were excluded if: (1) it was impossible to extract or reasonably estimate the data from the published articles; and (2) there was considerable overlap among patients in the studies published.</w:t>
      </w:r>
    </w:p>
    <w:p w14:paraId="3C4A346C" w14:textId="77777777" w:rsidR="00E54724" w:rsidRPr="00E54724" w:rsidRDefault="00E54724" w:rsidP="00E54724">
      <w:pPr>
        <w:widowControl/>
        <w:spacing w:line="360" w:lineRule="auto"/>
        <w:rPr>
          <w:rFonts w:ascii="Book Antiqua" w:eastAsia="Book Antiqua" w:hAnsi="Book Antiqua" w:cs="Times New Roman"/>
          <w:color w:val="000000"/>
          <w:sz w:val="24"/>
          <w:szCs w:val="24"/>
          <w:u w:color="000000"/>
        </w:rPr>
      </w:pPr>
    </w:p>
    <w:p w14:paraId="05C9F4B8" w14:textId="77777777" w:rsidR="00E54724" w:rsidRPr="00E54724" w:rsidRDefault="00E54724" w:rsidP="00E54724">
      <w:pPr>
        <w:widowControl/>
        <w:spacing w:line="360" w:lineRule="auto"/>
        <w:rPr>
          <w:rFonts w:ascii="Book Antiqua" w:eastAsia="Book Antiqua Bold" w:hAnsi="Book Antiqua" w:cs="Book Antiqua Bold"/>
          <w:b/>
          <w:bCs/>
          <w:i/>
          <w:color w:val="000000"/>
          <w:sz w:val="24"/>
          <w:szCs w:val="24"/>
          <w:u w:color="000000"/>
        </w:rPr>
      </w:pPr>
      <w:r w:rsidRPr="00E54724">
        <w:rPr>
          <w:rFonts w:ascii="Book Antiqua" w:eastAsia="Calibri" w:hAnsi="Book Antiqua" w:cs="Calibri"/>
          <w:b/>
          <w:bCs/>
          <w:i/>
          <w:color w:val="000000"/>
          <w:sz w:val="24"/>
          <w:szCs w:val="24"/>
          <w:u w:color="000000"/>
        </w:rPr>
        <w:t>Data extraction and analysis</w:t>
      </w:r>
    </w:p>
    <w:p w14:paraId="2FBDF662" w14:textId="5AFEF4AB" w:rsidR="00E54724" w:rsidRPr="00E54724" w:rsidRDefault="00E54724" w:rsidP="00E54724">
      <w:pPr>
        <w:widowControl/>
        <w:spacing w:line="360" w:lineRule="auto"/>
        <w:rPr>
          <w:rFonts w:ascii="Book Antiqua" w:eastAsia="Calibri" w:hAnsi="Book Antiqua" w:cs="Times New Roman"/>
          <w:color w:val="000000"/>
          <w:sz w:val="24"/>
          <w:szCs w:val="24"/>
          <w:u w:color="000000"/>
        </w:rPr>
      </w:pPr>
      <w:r w:rsidRPr="00E54724">
        <w:rPr>
          <w:rFonts w:ascii="Book Antiqua" w:eastAsia="Calibri" w:hAnsi="Book Antiqua" w:cs="Times New Roman"/>
          <w:color w:val="000000"/>
          <w:sz w:val="24"/>
          <w:szCs w:val="24"/>
          <w:u w:color="000000"/>
        </w:rPr>
        <w:t>Data presented as changes were preferred. When changes were unavailable but could be calculated from the data before and after treatment, we calculated them using appropriate methods</w:t>
      </w:r>
      <w:r w:rsidRPr="00E54724">
        <w:rPr>
          <w:rFonts w:ascii="Book Antiqua" w:eastAsia="Calibri" w:hAnsi="Book Antiqua" w:cs="Calibri"/>
          <w:color w:val="000000"/>
          <w:sz w:val="22"/>
          <w:u w:color="000000"/>
          <w:vertAlign w:val="superscript"/>
        </w:rPr>
        <w:t>[13]</w:t>
      </w:r>
      <w:r w:rsidRPr="00E54724">
        <w:rPr>
          <w:rFonts w:ascii="Book Antiqua" w:eastAsia="Calibri" w:hAnsi="Book Antiqua" w:cs="Times New Roman"/>
          <w:color w:val="000000"/>
          <w:sz w:val="24"/>
          <w:szCs w:val="24"/>
          <w:u w:color="000000"/>
        </w:rPr>
        <w:t xml:space="preserve">. </w:t>
      </w:r>
      <w:r w:rsidRPr="00E54724">
        <w:rPr>
          <w:rFonts w:ascii="Book Antiqua" w:eastAsia="Calibri" w:hAnsi="Book Antiqua" w:cs="Times New Roman" w:hint="eastAsia"/>
          <w:color w:val="000000"/>
          <w:sz w:val="24"/>
          <w:szCs w:val="24"/>
          <w:u w:color="000000"/>
        </w:rPr>
        <w:t xml:space="preserve">In brief, we calculated a correlation coefficient from a comparable study with considerable detail using the </w:t>
      </w:r>
      <w:r w:rsidRPr="00E54724">
        <w:rPr>
          <w:rFonts w:ascii="Book Antiqua" w:eastAsia="Calibri" w:hAnsi="Book Antiqua" w:cs="Times New Roman"/>
          <w:color w:val="000000"/>
          <w:sz w:val="24"/>
          <w:szCs w:val="24"/>
          <w:u w:color="000000"/>
        </w:rPr>
        <w:t>formula</w:t>
      </w:r>
      <w:r w:rsidR="00515112">
        <w:rPr>
          <w:rFonts w:ascii="Book Antiqua" w:eastAsia="Calibri" w:hAnsi="Book Antiqua" w:cs="Times New Roman" w:hint="eastAsia"/>
          <w:color w:val="000000"/>
          <w:sz w:val="24"/>
          <w:szCs w:val="24"/>
          <w:u w:color="000000"/>
        </w:rPr>
        <w:t xml:space="preserve"> suggested by The Cochrane Collaboration</w:t>
      </w:r>
      <w:r w:rsidR="009E7FC1" w:rsidRPr="00E54724">
        <w:rPr>
          <w:rFonts w:ascii="Book Antiqua" w:eastAsia="Calibri" w:hAnsi="Book Antiqua" w:cs="Calibri"/>
          <w:color w:val="000000"/>
          <w:sz w:val="22"/>
          <w:u w:color="000000"/>
          <w:vertAlign w:val="superscript"/>
        </w:rPr>
        <w:t>[13]</w:t>
      </w:r>
      <w:r w:rsidR="00515112">
        <w:rPr>
          <w:rFonts w:ascii="Book Antiqua" w:eastAsia="Calibri" w:hAnsi="Book Antiqua" w:cs="Times New Roman" w:hint="eastAsia"/>
          <w:color w:val="000000"/>
          <w:sz w:val="24"/>
          <w:szCs w:val="24"/>
          <w:u w:color="000000"/>
        </w:rPr>
        <w:t>.</w:t>
      </w:r>
      <w:r w:rsidRPr="00E54724">
        <w:rPr>
          <w:rFonts w:ascii="Book Antiqua" w:eastAsia="Calibri" w:hAnsi="Book Antiqua" w:cs="Times New Roman" w:hint="eastAsia"/>
          <w:color w:val="000000"/>
          <w:sz w:val="24"/>
          <w:szCs w:val="24"/>
          <w:u w:color="000000"/>
        </w:rPr>
        <w:t xml:space="preserve"> The desired SD of certain study could then be calculated using</w:t>
      </w:r>
      <w:r w:rsidR="00A52638">
        <w:rPr>
          <w:rFonts w:ascii="Book Antiqua" w:eastAsia="Calibri" w:hAnsi="Book Antiqua" w:cs="Times New Roman" w:hint="eastAsia"/>
          <w:color w:val="000000"/>
          <w:sz w:val="24"/>
          <w:szCs w:val="24"/>
          <w:u w:color="000000"/>
        </w:rPr>
        <w:t xml:space="preserve"> transformation of the</w:t>
      </w:r>
      <w:r w:rsidR="0011006A">
        <w:rPr>
          <w:rFonts w:ascii="Book Antiqua" w:eastAsia="Calibri" w:hAnsi="Book Antiqua" w:cs="Times New Roman" w:hint="eastAsia"/>
          <w:color w:val="000000"/>
          <w:sz w:val="24"/>
          <w:szCs w:val="24"/>
          <w:u w:color="000000"/>
        </w:rPr>
        <w:t xml:space="preserve"> same</w:t>
      </w:r>
      <w:r w:rsidR="00A52638">
        <w:rPr>
          <w:rFonts w:ascii="Book Antiqua" w:eastAsia="Calibri" w:hAnsi="Book Antiqua" w:cs="Times New Roman" w:hint="eastAsia"/>
          <w:color w:val="000000"/>
          <w:sz w:val="24"/>
          <w:szCs w:val="24"/>
          <w:u w:color="000000"/>
        </w:rPr>
        <w:t xml:space="preserve"> formula</w:t>
      </w:r>
      <w:r w:rsidRPr="00E54724">
        <w:rPr>
          <w:rFonts w:ascii="Book Antiqua" w:eastAsia="Calibri" w:hAnsi="Book Antiqua" w:cs="Times New Roman" w:hint="eastAsia"/>
          <w:color w:val="000000"/>
          <w:sz w:val="24"/>
          <w:szCs w:val="24"/>
          <w:u w:color="000000"/>
        </w:rPr>
        <w:t xml:space="preserve">. </w:t>
      </w:r>
      <w:r w:rsidRPr="00E54724">
        <w:rPr>
          <w:rFonts w:ascii="Book Antiqua" w:eastAsia="Calibri" w:hAnsi="Book Antiqua" w:cs="Times New Roman"/>
          <w:color w:val="000000"/>
          <w:sz w:val="24"/>
          <w:szCs w:val="24"/>
          <w:u w:color="000000"/>
        </w:rPr>
        <w:t xml:space="preserve">When no correlation </w:t>
      </w:r>
      <w:r w:rsidRPr="00E54724">
        <w:rPr>
          <w:rFonts w:ascii="Book Antiqua" w:eastAsia="Calibri" w:hAnsi="Book Antiqua" w:cs="Times New Roman" w:hint="eastAsia"/>
          <w:color w:val="000000"/>
          <w:sz w:val="24"/>
          <w:szCs w:val="24"/>
          <w:u w:color="000000"/>
        </w:rPr>
        <w:t>coefficient could be acquired</w:t>
      </w:r>
      <w:r w:rsidRPr="00E54724">
        <w:rPr>
          <w:rFonts w:ascii="Book Antiqua" w:eastAsia="Calibri" w:hAnsi="Book Antiqua" w:cs="Times New Roman"/>
          <w:color w:val="000000"/>
          <w:sz w:val="24"/>
          <w:szCs w:val="24"/>
          <w:u w:color="000000"/>
        </w:rPr>
        <w:t xml:space="preserve"> from other </w:t>
      </w:r>
      <w:r w:rsidRPr="00E54724">
        <w:rPr>
          <w:rFonts w:ascii="Book Antiqua" w:eastAsia="Calibri" w:hAnsi="Book Antiqua" w:cs="Times New Roman" w:hint="eastAsia"/>
          <w:color w:val="000000"/>
          <w:sz w:val="24"/>
          <w:szCs w:val="24"/>
          <w:u w:color="000000"/>
        </w:rPr>
        <w:t>comparable</w:t>
      </w:r>
      <w:r w:rsidRPr="00E54724">
        <w:rPr>
          <w:rFonts w:ascii="Book Antiqua" w:eastAsia="Calibri" w:hAnsi="Book Antiqua" w:cs="Times New Roman"/>
          <w:color w:val="000000"/>
          <w:sz w:val="24"/>
          <w:szCs w:val="24"/>
          <w:u w:color="000000"/>
        </w:rPr>
        <w:t xml:space="preserve"> studies could be found, which meant that calculation was impossible for the missing data, we evaluated the </w:t>
      </w:r>
      <w:r w:rsidRPr="00E54724">
        <w:rPr>
          <w:rFonts w:ascii="Book Antiqua" w:eastAsia="Calibri" w:hAnsi="Book Antiqua" w:cs="Times New Roman" w:hint="eastAsia"/>
          <w:color w:val="000000"/>
          <w:sz w:val="24"/>
          <w:szCs w:val="24"/>
          <w:u w:color="000000"/>
        </w:rPr>
        <w:t>SD</w:t>
      </w:r>
      <w:r w:rsidRPr="00E54724">
        <w:rPr>
          <w:rFonts w:ascii="Book Antiqua" w:eastAsia="Calibri" w:hAnsi="Book Antiqua" w:cs="Times New Roman"/>
          <w:color w:val="000000"/>
          <w:sz w:val="24"/>
          <w:szCs w:val="24"/>
          <w:u w:color="000000"/>
        </w:rPr>
        <w:t xml:space="preserve"> using the most conservative way (assuming that the correlation</w:t>
      </w:r>
      <w:r w:rsidRPr="00E54724">
        <w:rPr>
          <w:rFonts w:ascii="Book Antiqua" w:eastAsia="Calibri" w:hAnsi="Book Antiqua" w:cs="Times New Roman" w:hint="eastAsia"/>
          <w:color w:val="000000"/>
          <w:sz w:val="24"/>
          <w:szCs w:val="24"/>
          <w:u w:color="000000"/>
        </w:rPr>
        <w:t xml:space="preserve"> coefficient</w:t>
      </w:r>
      <w:r w:rsidRPr="00E54724">
        <w:rPr>
          <w:rFonts w:ascii="Book Antiqua" w:eastAsia="Calibri" w:hAnsi="Book Antiqua" w:cs="Times New Roman"/>
          <w:color w:val="000000"/>
          <w:sz w:val="24"/>
          <w:szCs w:val="24"/>
          <w:u w:color="000000"/>
        </w:rPr>
        <w:t xml:space="preserve"> was -1). The influence of the evaluation was then discussed.</w:t>
      </w:r>
    </w:p>
    <w:p w14:paraId="25A1E8A4" w14:textId="77777777" w:rsidR="00E54724" w:rsidRPr="00E54724" w:rsidRDefault="009C3C2C" w:rsidP="00E54724">
      <w:pPr>
        <w:widowControl/>
        <w:spacing w:line="360" w:lineRule="auto"/>
        <w:rPr>
          <w:rFonts w:ascii="Book Antiqua" w:eastAsia="Book Antiqua" w:hAnsi="Book Antiqua" w:cs="Times New Roman"/>
          <w:color w:val="000000"/>
          <w:sz w:val="24"/>
          <w:szCs w:val="24"/>
          <w:u w:color="000000"/>
        </w:rPr>
      </w:pPr>
      <w:r>
        <w:rPr>
          <w:rFonts w:ascii="Book Antiqua" w:eastAsia="Calibri" w:hAnsi="Book Antiqua" w:cs="Times New Roman"/>
          <w:color w:val="000000"/>
          <w:sz w:val="24"/>
          <w:szCs w:val="24"/>
          <w:u w:color="000000"/>
        </w:rPr>
        <w:lastRenderedPageBreak/>
        <w:t xml:space="preserve"> </w:t>
      </w:r>
      <w:r w:rsidR="00E54724" w:rsidRPr="00E54724">
        <w:rPr>
          <w:rFonts w:ascii="Book Antiqua" w:eastAsia="Calibri" w:hAnsi="Book Antiqua" w:cs="Times New Roman"/>
          <w:color w:val="000000"/>
          <w:sz w:val="24"/>
          <w:szCs w:val="24"/>
          <w:u w:color="000000"/>
        </w:rPr>
        <w:t xml:space="preserve">Meta-analysis was performed using Review Manager (version 5.3) and followed the recommendations from The Cochrane Collaboration. Heterogeneity was assessed using a random-effects model, and </w:t>
      </w:r>
      <w:r w:rsidR="00E54724" w:rsidRPr="00E54724">
        <w:rPr>
          <w:rFonts w:ascii="Book Antiqua" w:eastAsia="Calibri" w:hAnsi="Book Antiqua" w:cs="Times New Roman"/>
          <w:i/>
          <w:iCs/>
          <w:color w:val="000000"/>
          <w:sz w:val="24"/>
          <w:szCs w:val="24"/>
          <w:u w:color="000000"/>
        </w:rPr>
        <w:t xml:space="preserve">P </w:t>
      </w:r>
      <w:r w:rsidR="00E54724" w:rsidRPr="00E54724">
        <w:rPr>
          <w:rFonts w:ascii="Book Antiqua" w:eastAsia="Calibri" w:hAnsi="Book Antiqua" w:cs="Times New Roman"/>
          <w:color w:val="000000"/>
          <w:sz w:val="24"/>
          <w:szCs w:val="24"/>
          <w:u w:color="000000"/>
        </w:rPr>
        <w:t xml:space="preserve">&lt; 0.10 </w:t>
      </w:r>
      <w:r w:rsidR="00E54724" w:rsidRPr="00E54724">
        <w:rPr>
          <w:rFonts w:ascii="Book Antiqua" w:eastAsia="Calibri" w:hAnsi="Book Antiqua" w:cs="Times New Roman" w:hint="eastAsia"/>
          <w:color w:val="000000"/>
          <w:sz w:val="24"/>
          <w:szCs w:val="24"/>
          <w:u w:color="000000"/>
        </w:rPr>
        <w:t xml:space="preserve">with </w:t>
      </w:r>
      <w:r w:rsidR="00E54724" w:rsidRPr="00E54724">
        <w:rPr>
          <w:rFonts w:ascii="Book Antiqua" w:eastAsia="Calibri" w:hAnsi="Book Antiqua" w:cs="Times New Roman" w:hint="eastAsia"/>
          <w:i/>
          <w:color w:val="000000"/>
          <w:sz w:val="24"/>
          <w:szCs w:val="24"/>
          <w:u w:color="000000"/>
        </w:rPr>
        <w:t>I</w:t>
      </w:r>
      <w:r w:rsidR="00E54724" w:rsidRPr="00E54724">
        <w:rPr>
          <w:rFonts w:ascii="Book Antiqua" w:eastAsia="Calibri" w:hAnsi="Book Antiqua" w:cs="Times New Roman" w:hint="eastAsia"/>
          <w:color w:val="000000"/>
          <w:sz w:val="24"/>
          <w:szCs w:val="24"/>
          <w:u w:color="000000"/>
          <w:vertAlign w:val="superscript"/>
        </w:rPr>
        <w:t>2</w:t>
      </w:r>
      <w:r w:rsidR="00E54724" w:rsidRPr="00E54724">
        <w:rPr>
          <w:rFonts w:ascii="Book Antiqua" w:eastAsia="Calibri" w:hAnsi="Book Antiqua" w:cs="Times New Roman" w:hint="eastAsia"/>
          <w:color w:val="000000"/>
          <w:sz w:val="24"/>
          <w:szCs w:val="24"/>
          <w:u w:color="000000"/>
        </w:rPr>
        <w:t xml:space="preserve"> &gt; 50% </w:t>
      </w:r>
      <w:r w:rsidR="00E54724" w:rsidRPr="00E54724">
        <w:rPr>
          <w:rFonts w:ascii="Book Antiqua" w:eastAsia="Calibri" w:hAnsi="Book Antiqua" w:cs="Times New Roman"/>
          <w:color w:val="000000"/>
          <w:sz w:val="24"/>
          <w:szCs w:val="24"/>
          <w:u w:color="000000"/>
        </w:rPr>
        <w:t xml:space="preserve">was considered statistically significant. A statistical analysis of continuous variables was carried out using the mean difference (MD) as the summary statistic by the Inverse-Variance method and was reported with a 95% confidential interval (CI). The MD was considered to be statistically significant at </w:t>
      </w:r>
      <w:r w:rsidR="00E54724" w:rsidRPr="00E54724">
        <w:rPr>
          <w:rFonts w:ascii="Book Antiqua" w:eastAsia="Calibri" w:hAnsi="Book Antiqua" w:cs="Times New Roman"/>
          <w:i/>
          <w:iCs/>
          <w:color w:val="000000"/>
          <w:sz w:val="24"/>
          <w:szCs w:val="24"/>
          <w:u w:color="000000"/>
        </w:rPr>
        <w:t xml:space="preserve">P </w:t>
      </w:r>
      <w:r w:rsidR="00E54724" w:rsidRPr="00E54724">
        <w:rPr>
          <w:rFonts w:ascii="Book Antiqua" w:eastAsia="Calibri" w:hAnsi="Book Antiqua" w:cs="Times New Roman"/>
          <w:color w:val="000000"/>
          <w:sz w:val="24"/>
          <w:szCs w:val="24"/>
          <w:u w:color="000000"/>
        </w:rPr>
        <w:t>&lt; 0.05.</w:t>
      </w:r>
    </w:p>
    <w:p w14:paraId="4F66A9A7" w14:textId="77777777" w:rsidR="00E54724" w:rsidRPr="00E54724" w:rsidRDefault="00E54724" w:rsidP="00E54724">
      <w:pPr>
        <w:widowControl/>
        <w:spacing w:line="360" w:lineRule="auto"/>
        <w:rPr>
          <w:rFonts w:ascii="Book Antiqua" w:eastAsia="Book Antiqua" w:hAnsi="Book Antiqua" w:cs="Book Antiqua"/>
          <w:color w:val="000000"/>
          <w:sz w:val="24"/>
          <w:szCs w:val="24"/>
          <w:u w:color="000000"/>
        </w:rPr>
      </w:pPr>
    </w:p>
    <w:p w14:paraId="30874FD9" w14:textId="77777777" w:rsidR="00E54724" w:rsidRPr="00E54724" w:rsidRDefault="00E54724" w:rsidP="00E54724">
      <w:pPr>
        <w:widowControl/>
        <w:spacing w:line="360" w:lineRule="auto"/>
        <w:rPr>
          <w:rFonts w:ascii="Book Antiqua" w:eastAsia="Calibri" w:hAnsi="Book Antiqua" w:cs="Calibri"/>
          <w:b/>
          <w:bCs/>
          <w:color w:val="000000"/>
          <w:sz w:val="24"/>
          <w:szCs w:val="24"/>
          <w:u w:color="000000"/>
        </w:rPr>
      </w:pPr>
      <w:r w:rsidRPr="00E54724">
        <w:rPr>
          <w:rFonts w:ascii="Book Antiqua" w:eastAsia="Calibri" w:hAnsi="Book Antiqua" w:cs="Calibri"/>
          <w:b/>
          <w:bCs/>
          <w:color w:val="000000"/>
          <w:sz w:val="24"/>
          <w:szCs w:val="24"/>
          <w:u w:color="000000"/>
        </w:rPr>
        <w:t xml:space="preserve">RESULTS </w:t>
      </w:r>
    </w:p>
    <w:p w14:paraId="520F0C0D" w14:textId="77777777" w:rsidR="00E54724" w:rsidRPr="00E54724" w:rsidRDefault="00E54724" w:rsidP="00E54724">
      <w:pPr>
        <w:widowControl/>
        <w:spacing w:line="360" w:lineRule="auto"/>
        <w:rPr>
          <w:rFonts w:ascii="Book Antiqua" w:eastAsia="Calibri" w:hAnsi="Book Antiqua" w:cs="Calibri"/>
          <w:b/>
          <w:bCs/>
          <w:i/>
          <w:color w:val="000000"/>
          <w:sz w:val="24"/>
          <w:szCs w:val="24"/>
          <w:u w:color="000000"/>
        </w:rPr>
      </w:pPr>
      <w:r w:rsidRPr="00E54724">
        <w:rPr>
          <w:rFonts w:ascii="Book Antiqua" w:eastAsia="Calibri" w:hAnsi="Book Antiqua" w:cs="Calibri"/>
          <w:b/>
          <w:bCs/>
          <w:i/>
          <w:color w:val="000000"/>
          <w:sz w:val="24"/>
          <w:szCs w:val="24"/>
          <w:u w:color="000000"/>
        </w:rPr>
        <w:t>Literature search results and general characteristics</w:t>
      </w:r>
    </w:p>
    <w:p w14:paraId="264E2EDC" w14:textId="77777777" w:rsidR="00E54724" w:rsidRPr="00E54724" w:rsidRDefault="00E54724" w:rsidP="00E54724">
      <w:pPr>
        <w:widowControl/>
        <w:spacing w:line="360" w:lineRule="auto"/>
        <w:rPr>
          <w:rFonts w:ascii="Book Antiqua" w:eastAsia="Calibri" w:hAnsi="Book Antiqua" w:cs="Times New Roman"/>
          <w:bCs/>
          <w:color w:val="000000"/>
          <w:sz w:val="24"/>
          <w:szCs w:val="24"/>
          <w:u w:color="000000"/>
        </w:rPr>
      </w:pPr>
      <w:r w:rsidRPr="00E54724">
        <w:rPr>
          <w:rFonts w:ascii="Book Antiqua" w:eastAsia="Calibri" w:hAnsi="Book Antiqua" w:cs="Times New Roman"/>
          <w:bCs/>
          <w:color w:val="000000"/>
          <w:sz w:val="24"/>
          <w:szCs w:val="24"/>
          <w:u w:color="000000"/>
        </w:rPr>
        <w:t xml:space="preserve">A totally of 610 nonduplicated publications were identified and </w:t>
      </w:r>
      <w:r w:rsidRPr="00E54724">
        <w:rPr>
          <w:rFonts w:ascii="Book Antiqua" w:eastAsia="Calibri" w:hAnsi="Book Antiqua" w:cs="Times New Roman" w:hint="eastAsia"/>
          <w:bCs/>
          <w:color w:val="000000"/>
          <w:sz w:val="24"/>
          <w:szCs w:val="24"/>
          <w:u w:color="000000"/>
        </w:rPr>
        <w:t xml:space="preserve">underwent abstract </w:t>
      </w:r>
      <w:r w:rsidRPr="00E54724">
        <w:rPr>
          <w:rFonts w:ascii="Book Antiqua" w:eastAsia="Calibri" w:hAnsi="Book Antiqua" w:cs="Times New Roman"/>
          <w:bCs/>
          <w:color w:val="000000"/>
          <w:sz w:val="24"/>
          <w:szCs w:val="24"/>
          <w:u w:color="000000"/>
        </w:rPr>
        <w:t>screen</w:t>
      </w:r>
      <w:r w:rsidRPr="00E54724">
        <w:rPr>
          <w:rFonts w:ascii="Book Antiqua" w:eastAsia="Calibri" w:hAnsi="Book Antiqua" w:cs="Times New Roman" w:hint="eastAsia"/>
          <w:bCs/>
          <w:color w:val="000000"/>
          <w:sz w:val="24"/>
          <w:szCs w:val="24"/>
          <w:u w:color="000000"/>
        </w:rPr>
        <w:t>.</w:t>
      </w:r>
      <w:r w:rsidRPr="00E54724">
        <w:rPr>
          <w:rFonts w:ascii="Book Antiqua" w:eastAsia="Calibri" w:hAnsi="Book Antiqua" w:cs="Times New Roman"/>
          <w:bCs/>
          <w:color w:val="000000"/>
          <w:sz w:val="22"/>
          <w:szCs w:val="24"/>
          <w:u w:color="000000"/>
        </w:rPr>
        <w:t xml:space="preserve"> </w:t>
      </w:r>
      <w:r w:rsidRPr="00E54724">
        <w:rPr>
          <w:rFonts w:ascii="Book Antiqua" w:eastAsia="Calibri" w:hAnsi="Book Antiqua" w:cs="Calibri"/>
          <w:color w:val="000000"/>
          <w:sz w:val="24"/>
          <w:szCs w:val="27"/>
          <w:u w:color="000000"/>
        </w:rPr>
        <w:t>For the 110 publications underwent full-text screen, 40 of them were excluded because they were irrelevant to our topic, 13 studies were not eligible due to unexpected inclusion of participants or undesired treatment, six studies did not report the interested outcomes, two studies were one-arm study, and one study was a further report of the previous one</w:t>
      </w:r>
      <w:r w:rsidRPr="00E54724">
        <w:rPr>
          <w:rFonts w:ascii="Book Antiqua" w:eastAsia="Calibri" w:hAnsi="Book Antiqua" w:cs="Calibri" w:hint="eastAsia"/>
          <w:color w:val="000000"/>
          <w:sz w:val="24"/>
          <w:szCs w:val="27"/>
          <w:u w:color="000000"/>
        </w:rPr>
        <w:t xml:space="preserve"> (Figure 1)</w:t>
      </w:r>
      <w:r w:rsidRPr="00E54724">
        <w:rPr>
          <w:rFonts w:ascii="Book Antiqua" w:eastAsia="Calibri" w:hAnsi="Book Antiqua" w:cs="Calibri"/>
          <w:color w:val="000000"/>
          <w:sz w:val="24"/>
          <w:szCs w:val="27"/>
          <w:u w:color="000000"/>
        </w:rPr>
        <w:t>.</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hint="eastAsia"/>
          <w:bCs/>
          <w:color w:val="000000"/>
          <w:sz w:val="24"/>
          <w:szCs w:val="24"/>
          <w:u w:color="000000"/>
        </w:rPr>
        <w:t>F</w:t>
      </w:r>
      <w:r w:rsidRPr="00E54724">
        <w:rPr>
          <w:rFonts w:ascii="Book Antiqua" w:eastAsia="Calibri" w:hAnsi="Book Antiqua" w:cs="Times New Roman"/>
          <w:bCs/>
          <w:color w:val="000000"/>
          <w:sz w:val="24"/>
          <w:szCs w:val="24"/>
          <w:u w:color="000000"/>
        </w:rPr>
        <w:t xml:space="preserve">inally, </w:t>
      </w:r>
      <w:r w:rsidRPr="00E54724">
        <w:rPr>
          <w:rFonts w:ascii="Book Antiqua" w:eastAsia="Calibri" w:hAnsi="Book Antiqua" w:cs="Times New Roman" w:hint="eastAsia"/>
          <w:bCs/>
          <w:color w:val="000000"/>
          <w:sz w:val="24"/>
          <w:szCs w:val="24"/>
          <w:u w:color="000000"/>
        </w:rPr>
        <w:t>eight</w:t>
      </w:r>
      <w:r w:rsidRPr="00E54724">
        <w:rPr>
          <w:rFonts w:ascii="Book Antiqua" w:eastAsia="Calibri" w:hAnsi="Book Antiqua" w:cs="Times New Roman"/>
          <w:bCs/>
          <w:color w:val="000000"/>
          <w:sz w:val="24"/>
          <w:szCs w:val="24"/>
          <w:u w:color="000000"/>
        </w:rPr>
        <w:t xml:space="preserve"> studies were included for quantitative analysis</w:t>
      </w:r>
      <w:r w:rsidRPr="00E54724">
        <w:rPr>
          <w:rFonts w:ascii="Book Antiqua" w:eastAsia="Calibri" w:hAnsi="Book Antiqua" w:cs="Calibri"/>
          <w:bCs/>
          <w:color w:val="000000"/>
          <w:sz w:val="24"/>
          <w:szCs w:val="24"/>
          <w:u w:color="000000"/>
          <w:vertAlign w:val="superscript"/>
        </w:rPr>
        <w:t>[2,1</w:t>
      </w:r>
      <w:r w:rsidRPr="00E54724">
        <w:rPr>
          <w:rFonts w:ascii="Book Antiqua" w:eastAsia="Calibri" w:hAnsi="Book Antiqua" w:cs="Calibri" w:hint="eastAsia"/>
          <w:bCs/>
          <w:color w:val="000000"/>
          <w:sz w:val="24"/>
          <w:szCs w:val="24"/>
          <w:u w:color="000000"/>
          <w:vertAlign w:val="superscript"/>
        </w:rPr>
        <w:t>4</w:t>
      </w:r>
      <w:r w:rsidRPr="00E54724">
        <w:rPr>
          <w:rFonts w:ascii="Book Antiqua" w:eastAsia="Calibri" w:hAnsi="Book Antiqua" w:cs="Calibri"/>
          <w:bCs/>
          <w:color w:val="000000"/>
          <w:sz w:val="24"/>
          <w:szCs w:val="24"/>
          <w:u w:color="000000"/>
          <w:vertAlign w:val="superscript"/>
        </w:rPr>
        <w:t>-21]</w:t>
      </w:r>
      <w:r w:rsidRPr="00E54724">
        <w:rPr>
          <w:rFonts w:ascii="Book Antiqua" w:eastAsia="Calibri" w:hAnsi="Book Antiqua" w:cs="Calibri" w:hint="eastAsia"/>
          <w:color w:val="000000"/>
          <w:sz w:val="24"/>
          <w:szCs w:val="24"/>
          <w:u w:color="000000"/>
        </w:rPr>
        <w:t xml:space="preserve">, and </w:t>
      </w:r>
      <w:r w:rsidRPr="00E54724">
        <w:rPr>
          <w:rFonts w:ascii="Book Antiqua" w:eastAsia="Calibri" w:hAnsi="Book Antiqua" w:cs="Times New Roman"/>
          <w:bCs/>
          <w:color w:val="000000"/>
          <w:sz w:val="24"/>
          <w:szCs w:val="24"/>
          <w:u w:color="000000"/>
        </w:rPr>
        <w:t xml:space="preserve">four </w:t>
      </w:r>
      <w:r w:rsidRPr="00E54724">
        <w:rPr>
          <w:rFonts w:ascii="Book Antiqua" w:eastAsia="Calibri" w:hAnsi="Book Antiqua" w:cs="Times New Roman" w:hint="eastAsia"/>
          <w:bCs/>
          <w:color w:val="000000"/>
          <w:sz w:val="24"/>
          <w:szCs w:val="24"/>
          <w:u w:color="000000"/>
        </w:rPr>
        <w:t xml:space="preserve">of them </w:t>
      </w:r>
      <w:r w:rsidRPr="00E54724">
        <w:rPr>
          <w:rFonts w:ascii="Book Antiqua" w:eastAsia="Calibri" w:hAnsi="Book Antiqua" w:cs="Times New Roman"/>
          <w:bCs/>
          <w:color w:val="000000"/>
          <w:sz w:val="24"/>
          <w:szCs w:val="24"/>
          <w:u w:color="000000"/>
        </w:rPr>
        <w:t>were randomized clinical trials</w:t>
      </w:r>
      <w:r w:rsidRPr="00E54724">
        <w:rPr>
          <w:rFonts w:ascii="Book Antiqua" w:eastAsia="Calibri" w:hAnsi="Book Antiqua" w:cs="Times New Roman"/>
          <w:bCs/>
          <w:color w:val="000000"/>
          <w:sz w:val="24"/>
          <w:szCs w:val="24"/>
          <w:u w:color="000000"/>
          <w:vertAlign w:val="superscript"/>
        </w:rPr>
        <w:t>[2,14,19,20]</w:t>
      </w:r>
      <w:r w:rsidRPr="00E54724">
        <w:rPr>
          <w:rFonts w:ascii="Book Antiqua" w:eastAsia="Calibri" w:hAnsi="Book Antiqua" w:cs="Times New Roman"/>
          <w:bCs/>
          <w:color w:val="000000"/>
          <w:sz w:val="24"/>
          <w:szCs w:val="24"/>
          <w:u w:color="000000"/>
        </w:rPr>
        <w:t>.</w:t>
      </w:r>
      <w:r w:rsidRPr="00E54724">
        <w:rPr>
          <w:rFonts w:ascii="Book Antiqua" w:eastAsia="Calibri" w:hAnsi="Book Antiqua" w:cs="Times New Roman" w:hint="eastAsia"/>
          <w:bCs/>
          <w:color w:val="000000"/>
          <w:sz w:val="24"/>
          <w:szCs w:val="24"/>
          <w:u w:color="000000"/>
        </w:rPr>
        <w:t xml:space="preserve"> </w:t>
      </w:r>
      <w:r w:rsidRPr="00E54724">
        <w:rPr>
          <w:rFonts w:ascii="Book Antiqua" w:eastAsia="Calibri" w:hAnsi="Book Antiqua" w:cs="Times New Roman"/>
          <w:bCs/>
          <w:color w:val="000000"/>
          <w:sz w:val="24"/>
          <w:szCs w:val="24"/>
          <w:u w:color="000000"/>
        </w:rPr>
        <w:t>The characteristics of the included studies are shown in Table 1.</w:t>
      </w:r>
    </w:p>
    <w:p w14:paraId="20686320" w14:textId="77777777" w:rsidR="00E54724" w:rsidRPr="00E54724" w:rsidRDefault="00E54724" w:rsidP="00E54724">
      <w:pPr>
        <w:widowControl/>
        <w:spacing w:line="360" w:lineRule="auto"/>
        <w:rPr>
          <w:rFonts w:ascii="Book Antiqua" w:eastAsia="Calibri" w:hAnsi="Book Antiqua" w:cs="Times New Roman"/>
          <w:bCs/>
          <w:color w:val="000000"/>
          <w:sz w:val="24"/>
          <w:szCs w:val="24"/>
          <w:u w:color="000000"/>
        </w:rPr>
      </w:pPr>
    </w:p>
    <w:p w14:paraId="5FAF74C0" w14:textId="77777777" w:rsidR="00E54724" w:rsidRPr="00E54724" w:rsidRDefault="00E54724" w:rsidP="00E54724">
      <w:pPr>
        <w:widowControl/>
        <w:spacing w:line="360" w:lineRule="auto"/>
        <w:rPr>
          <w:rFonts w:ascii="Book Antiqua" w:eastAsia="Calibri" w:hAnsi="Book Antiqua" w:cs="Times New Roman"/>
          <w:b/>
          <w:bCs/>
          <w:i/>
          <w:color w:val="000000"/>
          <w:sz w:val="24"/>
          <w:szCs w:val="24"/>
          <w:u w:color="000000"/>
        </w:rPr>
      </w:pPr>
      <w:r w:rsidRPr="00E54724">
        <w:rPr>
          <w:rFonts w:ascii="Book Antiqua" w:eastAsia="Calibri" w:hAnsi="Book Antiqua" w:cs="Times New Roman"/>
          <w:b/>
          <w:bCs/>
          <w:i/>
          <w:color w:val="000000"/>
          <w:sz w:val="24"/>
          <w:szCs w:val="24"/>
          <w:u w:color="000000"/>
        </w:rPr>
        <w:t>Outcome evaluation</w:t>
      </w:r>
    </w:p>
    <w:p w14:paraId="691ED771" w14:textId="77777777" w:rsidR="00E54724" w:rsidRPr="00E54724" w:rsidRDefault="00E54724" w:rsidP="00E54724">
      <w:pPr>
        <w:widowControl/>
        <w:spacing w:line="360" w:lineRule="auto"/>
        <w:rPr>
          <w:rFonts w:ascii="Book Antiqua" w:eastAsia="Calibri" w:hAnsi="Book Antiqua" w:cs="Times New Roman"/>
          <w:bCs/>
          <w:color w:val="000000"/>
          <w:sz w:val="24"/>
          <w:szCs w:val="24"/>
          <w:u w:color="000000"/>
        </w:rPr>
      </w:pPr>
      <w:r w:rsidRPr="00E54724">
        <w:rPr>
          <w:rFonts w:ascii="Book Antiqua" w:eastAsia="Calibri" w:hAnsi="Book Antiqua" w:cs="Times New Roman"/>
          <w:bCs/>
          <w:color w:val="000000"/>
          <w:sz w:val="24"/>
          <w:szCs w:val="24"/>
          <w:u w:color="000000"/>
        </w:rPr>
        <w:t>Indicators for liver function such as serum albumin, total bilirubin, ALT, and AST were assessed by most studies. MELD score</w:t>
      </w:r>
      <w:r w:rsidRPr="00E54724">
        <w:rPr>
          <w:rFonts w:ascii="Book Antiqua" w:eastAsia="Calibri" w:hAnsi="Book Antiqua" w:cs="Times New Roman"/>
          <w:bCs/>
          <w:color w:val="000000"/>
          <w:sz w:val="24"/>
          <w:szCs w:val="24"/>
          <w:u w:color="000000"/>
          <w:vertAlign w:val="superscript"/>
        </w:rPr>
        <w:t>[2,15,19,20]</w:t>
      </w:r>
      <w:r w:rsidRPr="00E54724">
        <w:rPr>
          <w:rFonts w:ascii="Book Antiqua" w:eastAsia="Calibri" w:hAnsi="Book Antiqua" w:cs="Times New Roman"/>
          <w:bCs/>
          <w:color w:val="000000"/>
          <w:sz w:val="24"/>
          <w:szCs w:val="24"/>
          <w:u w:color="000000"/>
        </w:rPr>
        <w:t xml:space="preserve"> and Child-Pugh score</w:t>
      </w:r>
      <w:r w:rsidRPr="00E54724">
        <w:rPr>
          <w:rFonts w:ascii="Book Antiqua" w:eastAsia="Calibri" w:hAnsi="Book Antiqua" w:cs="Times New Roman"/>
          <w:bCs/>
          <w:color w:val="000000"/>
          <w:sz w:val="24"/>
          <w:szCs w:val="24"/>
          <w:u w:color="000000"/>
          <w:vertAlign w:val="superscript"/>
        </w:rPr>
        <w:t>[2,19]</w:t>
      </w:r>
      <w:r w:rsidRPr="00E54724">
        <w:rPr>
          <w:rFonts w:ascii="Book Antiqua" w:eastAsia="Calibri" w:hAnsi="Book Antiqua" w:cs="Times New Roman"/>
          <w:bCs/>
          <w:color w:val="000000"/>
          <w:sz w:val="24"/>
          <w:szCs w:val="24"/>
          <w:u w:color="000000"/>
        </w:rPr>
        <w:t xml:space="preserve"> were used in some articles to evaluate the effects of cell transplantation. Meta-analysis showed that compared to the control group, the patients who had undergone cell transplantation had a higher level of serum albumin within 6 mo after treatment. The additional increase in serum albumin by cell transplantation was 1.9</w:t>
      </w:r>
      <w:r w:rsidRPr="00E54724">
        <w:rPr>
          <w:rFonts w:ascii="Book Antiqua" w:eastAsia="Calibri" w:hAnsi="Book Antiqua" w:cs="Times New Roman" w:hint="eastAsia"/>
          <w:bCs/>
          <w:color w:val="000000"/>
          <w:sz w:val="24"/>
          <w:szCs w:val="24"/>
          <w:u w:color="000000"/>
        </w:rPr>
        <w:t>6</w:t>
      </w:r>
      <w:r w:rsidRPr="00E54724">
        <w:rPr>
          <w:rFonts w:ascii="Book Antiqua" w:eastAsia="Calibri" w:hAnsi="Book Antiqua" w:cs="Times New Roman"/>
          <w:bCs/>
          <w:color w:val="000000"/>
          <w:sz w:val="24"/>
          <w:szCs w:val="24"/>
          <w:u w:color="000000"/>
        </w:rPr>
        <w:t xml:space="preserve"> g/L (95%CI: 0.74-3.</w:t>
      </w:r>
      <w:r w:rsidRPr="00E54724">
        <w:rPr>
          <w:rFonts w:ascii="Book Antiqua" w:eastAsia="Calibri" w:hAnsi="Book Antiqua" w:cs="Times New Roman" w:hint="eastAsia"/>
          <w:bCs/>
          <w:color w:val="000000"/>
          <w:sz w:val="24"/>
          <w:szCs w:val="24"/>
          <w:u w:color="000000"/>
        </w:rPr>
        <w:t>17</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0.002), 2.5</w:t>
      </w:r>
      <w:r w:rsidRPr="00E54724">
        <w:rPr>
          <w:rFonts w:ascii="Book Antiqua" w:eastAsia="Calibri" w:hAnsi="Book Antiqua" w:cs="Times New Roman" w:hint="eastAsia"/>
          <w:bCs/>
          <w:color w:val="000000"/>
          <w:sz w:val="24"/>
          <w:szCs w:val="24"/>
          <w:u w:color="000000"/>
        </w:rPr>
        <w:t>5</w:t>
      </w:r>
      <w:r w:rsidRPr="00E54724">
        <w:rPr>
          <w:rFonts w:ascii="Book Antiqua" w:eastAsia="Calibri" w:hAnsi="Book Antiqua" w:cs="Times New Roman"/>
          <w:bCs/>
          <w:color w:val="000000"/>
          <w:sz w:val="24"/>
          <w:szCs w:val="24"/>
          <w:u w:color="000000"/>
        </w:rPr>
        <w:t xml:space="preserve"> g/L (95%CI: 0.3</w:t>
      </w:r>
      <w:r w:rsidRPr="00E54724">
        <w:rPr>
          <w:rFonts w:ascii="Book Antiqua" w:eastAsia="Calibri" w:hAnsi="Book Antiqua" w:cs="Times New Roman" w:hint="eastAsia"/>
          <w:bCs/>
          <w:color w:val="000000"/>
          <w:sz w:val="24"/>
          <w:szCs w:val="24"/>
          <w:u w:color="000000"/>
        </w:rPr>
        <w:t>2</w:t>
      </w:r>
      <w:r w:rsidRPr="00E54724">
        <w:rPr>
          <w:rFonts w:ascii="Book Antiqua" w:eastAsia="Calibri" w:hAnsi="Book Antiqua" w:cs="Times New Roman"/>
          <w:bCs/>
          <w:color w:val="000000"/>
          <w:sz w:val="24"/>
          <w:szCs w:val="24"/>
          <w:u w:color="000000"/>
        </w:rPr>
        <w:t xml:space="preserve">-4.79;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0.0</w:t>
      </w:r>
      <w:r w:rsidRPr="00E54724">
        <w:rPr>
          <w:rFonts w:ascii="Book Antiqua" w:eastAsia="Calibri" w:hAnsi="Book Antiqua" w:cs="Times New Roman" w:hint="eastAsia"/>
          <w:bCs/>
          <w:color w:val="000000"/>
          <w:sz w:val="24"/>
          <w:szCs w:val="24"/>
          <w:u w:color="000000"/>
        </w:rPr>
        <w:t>3</w:t>
      </w:r>
      <w:r w:rsidRPr="00E54724">
        <w:rPr>
          <w:rFonts w:ascii="Book Antiqua" w:eastAsia="Calibri" w:hAnsi="Book Antiqua" w:cs="Times New Roman"/>
          <w:bCs/>
          <w:color w:val="000000"/>
          <w:sz w:val="24"/>
          <w:szCs w:val="24"/>
          <w:u w:color="000000"/>
        </w:rPr>
        <w:t>), and 3.65 g/L (95% CI 0.7</w:t>
      </w:r>
      <w:r w:rsidRPr="00E54724">
        <w:rPr>
          <w:rFonts w:ascii="Book Antiqua" w:eastAsia="Calibri" w:hAnsi="Book Antiqua" w:cs="Times New Roman" w:hint="eastAsia"/>
          <w:bCs/>
          <w:color w:val="000000"/>
          <w:sz w:val="24"/>
          <w:szCs w:val="24"/>
          <w:u w:color="000000"/>
        </w:rPr>
        <w:t>5</w:t>
      </w:r>
      <w:r w:rsidRPr="00E54724">
        <w:rPr>
          <w:rFonts w:ascii="Book Antiqua" w:eastAsia="Calibri" w:hAnsi="Book Antiqua" w:cs="Times New Roman"/>
          <w:bCs/>
          <w:color w:val="000000"/>
          <w:sz w:val="24"/>
          <w:szCs w:val="24"/>
          <w:u w:color="000000"/>
        </w:rPr>
        <w:t xml:space="preserve">-6.54;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0.01) g/L after 1, 3, and 6 mo</w:t>
      </w:r>
      <w:r w:rsidRPr="00E54724">
        <w:rPr>
          <w:rFonts w:ascii="Book Antiqua" w:eastAsia="Calibri" w:hAnsi="Book Antiqua" w:cs="Times New Roman"/>
          <w:bCs/>
          <w:color w:val="000000"/>
          <w:sz w:val="24"/>
          <w:szCs w:val="24"/>
          <w:u w:color="000000"/>
          <w:vertAlign w:val="superscript"/>
        </w:rPr>
        <w:t>[2,14-17,19,21]</w:t>
      </w:r>
      <w:r w:rsidRPr="00E54724">
        <w:rPr>
          <w:rFonts w:ascii="Book Antiqua" w:eastAsia="Calibri" w:hAnsi="Book Antiqua" w:cs="Times New Roman"/>
          <w:bCs/>
          <w:color w:val="000000"/>
          <w:sz w:val="24"/>
          <w:szCs w:val="24"/>
          <w:u w:color="000000"/>
        </w:rPr>
        <w:t xml:space="preserve">, respectively (Figure 2A-C). However, this effect disappeared after 1 year (Figure 2D), by which time there was no difference regarding </w:t>
      </w:r>
      <w:r w:rsidRPr="00E54724">
        <w:rPr>
          <w:rFonts w:ascii="Book Antiqua" w:eastAsia="Calibri" w:hAnsi="Book Antiqua" w:cs="Times New Roman"/>
          <w:bCs/>
          <w:color w:val="000000"/>
          <w:sz w:val="24"/>
          <w:szCs w:val="24"/>
          <w:u w:color="000000"/>
        </w:rPr>
        <w:lastRenderedPageBreak/>
        <w:t>serum albumin between the experimental and control groups (MD: 1.4</w:t>
      </w:r>
      <w:r w:rsidRPr="00E54724">
        <w:rPr>
          <w:rFonts w:ascii="Book Antiqua" w:eastAsia="Calibri" w:hAnsi="Book Antiqua" w:cs="Times New Roman" w:hint="eastAsia"/>
          <w:bCs/>
          <w:color w:val="000000"/>
          <w:sz w:val="24"/>
          <w:szCs w:val="24"/>
          <w:u w:color="000000"/>
        </w:rPr>
        <w:t>3</w:t>
      </w:r>
      <w:r w:rsidRPr="00E54724">
        <w:rPr>
          <w:rFonts w:ascii="Book Antiqua" w:eastAsia="Calibri" w:hAnsi="Book Antiqua" w:cs="Times New Roman"/>
          <w:bCs/>
          <w:color w:val="000000"/>
          <w:sz w:val="24"/>
          <w:szCs w:val="24"/>
          <w:u w:color="000000"/>
        </w:rPr>
        <w:t xml:space="preserve"> g/L; 95%CI: -2.2</w:t>
      </w:r>
      <w:r w:rsidRPr="00E54724">
        <w:rPr>
          <w:rFonts w:ascii="Book Antiqua" w:eastAsia="Calibri" w:hAnsi="Book Antiqua" w:cs="Times New Roman" w:hint="eastAsia"/>
          <w:bCs/>
          <w:color w:val="000000"/>
          <w:sz w:val="24"/>
          <w:szCs w:val="24"/>
          <w:u w:color="000000"/>
        </w:rPr>
        <w:t>7</w:t>
      </w:r>
      <w:r w:rsidRPr="00E54724">
        <w:rPr>
          <w:rFonts w:ascii="Book Antiqua" w:eastAsia="SimSun" w:hAnsi="Book Antiqua" w:cs="Times New Roman" w:hint="eastAsia"/>
          <w:bCs/>
          <w:color w:val="000000"/>
          <w:sz w:val="24"/>
          <w:szCs w:val="24"/>
          <w:u w:color="000000"/>
        </w:rPr>
        <w:t>-</w:t>
      </w:r>
      <w:r w:rsidRPr="00E54724">
        <w:rPr>
          <w:rFonts w:ascii="Book Antiqua" w:eastAsia="Calibri" w:hAnsi="Book Antiqua" w:cs="Times New Roman"/>
          <w:bCs/>
          <w:color w:val="000000"/>
          <w:sz w:val="24"/>
          <w:szCs w:val="24"/>
          <w:u w:color="000000"/>
        </w:rPr>
        <w:t>5.1</w:t>
      </w:r>
      <w:r w:rsidRPr="00E54724">
        <w:rPr>
          <w:rFonts w:ascii="Book Antiqua" w:eastAsia="Calibri" w:hAnsi="Book Antiqua" w:cs="Times New Roman" w:hint="eastAsia"/>
          <w:bCs/>
          <w:color w:val="000000"/>
          <w:sz w:val="24"/>
          <w:szCs w:val="24"/>
          <w:u w:color="000000"/>
        </w:rPr>
        <w:t>4</w:t>
      </w:r>
      <w:r w:rsidRPr="00E54724">
        <w:rPr>
          <w:rFonts w:ascii="Book Antiqua" w:eastAsia="Calibri" w:hAnsi="Book Antiqua" w:cs="Times New Roman"/>
          <w:bCs/>
          <w:color w:val="000000"/>
          <w:sz w:val="24"/>
          <w:szCs w:val="24"/>
          <w:u w:color="000000"/>
        </w:rPr>
        <w:t xml:space="preserve">; </w:t>
      </w:r>
      <w:r w:rsidRPr="00E54724">
        <w:rPr>
          <w:rFonts w:ascii="Book Antiqua" w:eastAsia="Calibri" w:hAnsi="Book Antiqua" w:cs="Times New Roman"/>
          <w:bCs/>
          <w:i/>
          <w:color w:val="000000"/>
          <w:sz w:val="24"/>
          <w:szCs w:val="24"/>
          <w:u w:color="000000"/>
        </w:rPr>
        <w:t>P</w:t>
      </w:r>
      <w:r w:rsidRPr="00E54724">
        <w:rPr>
          <w:rFonts w:ascii="Book Antiqua" w:eastAsia="Calibri" w:hAnsi="Book Antiqua" w:cs="Times New Roman"/>
          <w:bCs/>
          <w:color w:val="000000"/>
          <w:sz w:val="24"/>
          <w:szCs w:val="24"/>
          <w:u w:color="000000"/>
        </w:rPr>
        <w:t xml:space="preserve"> = 0.45). However, heterogeneity was high among these studies (</w:t>
      </w:r>
      <w:r w:rsidRPr="00E54724">
        <w:rPr>
          <w:rFonts w:ascii="Book Antiqua" w:eastAsia="Calibri" w:hAnsi="Book Antiqua" w:cs="Times New Roman"/>
          <w:bCs/>
          <w:i/>
          <w:color w:val="000000"/>
          <w:sz w:val="24"/>
          <w:szCs w:val="24"/>
          <w:u w:color="000000"/>
        </w:rPr>
        <w:t>I</w:t>
      </w:r>
      <w:r w:rsidRPr="00E54724">
        <w:rPr>
          <w:rFonts w:ascii="Book Antiqua" w:eastAsia="Calibri" w:hAnsi="Book Antiqua" w:cs="Times New Roman"/>
          <w:bCs/>
          <w:color w:val="000000"/>
          <w:sz w:val="24"/>
          <w:szCs w:val="24"/>
          <w:u w:color="000000"/>
          <w:vertAlign w:val="superscript"/>
        </w:rPr>
        <w:t>2</w:t>
      </w:r>
      <w:r w:rsidRPr="00E54724">
        <w:rPr>
          <w:rFonts w:ascii="Book Antiqua" w:eastAsia="Calibri" w:hAnsi="Book Antiqua" w:cs="Times New Roman"/>
          <w:bCs/>
          <w:color w:val="000000"/>
          <w:sz w:val="24"/>
          <w:szCs w:val="24"/>
          <w:u w:color="000000"/>
        </w:rPr>
        <w:t>: 88</w:t>
      </w:r>
      <w:r w:rsidRPr="00E54724">
        <w:rPr>
          <w:rFonts w:ascii="Book Antiqua" w:eastAsia="Calibri" w:hAnsi="Book Antiqua" w:cs="Times New Roman" w:hint="eastAsia"/>
          <w:bCs/>
          <w:color w:val="000000"/>
          <w:sz w:val="24"/>
          <w:szCs w:val="24"/>
          <w:u w:color="000000"/>
        </w:rPr>
        <w:t>%</w:t>
      </w:r>
      <w:r w:rsidRPr="00E54724">
        <w:rPr>
          <w:rFonts w:ascii="Book Antiqua" w:eastAsia="Calibri" w:hAnsi="Book Antiqua" w:cs="Times New Roman"/>
          <w:bCs/>
          <w:color w:val="000000"/>
          <w:sz w:val="24"/>
          <w:szCs w:val="24"/>
          <w:u w:color="000000"/>
        </w:rPr>
        <w:t>-97%), and could not be explained by only one or two studies.</w:t>
      </w:r>
    </w:p>
    <w:p w14:paraId="5F3C0741" w14:textId="77777777" w:rsidR="00E54724" w:rsidRPr="00E54724" w:rsidRDefault="009C3C2C" w:rsidP="00E54724">
      <w:pPr>
        <w:widowControl/>
        <w:spacing w:line="360" w:lineRule="auto"/>
        <w:rPr>
          <w:rFonts w:ascii="Book Antiqua" w:eastAsia="Calibri" w:hAnsi="Book Antiqua" w:cs="Times New Roman"/>
          <w:bCs/>
          <w:color w:val="000000"/>
          <w:sz w:val="24"/>
          <w:szCs w:val="24"/>
          <w:u w:color="000000"/>
        </w:rPr>
      </w:pPr>
      <w:r>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Times New Roman"/>
          <w:bCs/>
          <w:color w:val="000000"/>
          <w:sz w:val="24"/>
          <w:szCs w:val="24"/>
          <w:u w:color="000000"/>
        </w:rPr>
        <w:t>With regard to total bilirubin, meta-analysis of six studies</w:t>
      </w:r>
      <w:r w:rsidR="00E54724" w:rsidRPr="00E54724">
        <w:rPr>
          <w:rFonts w:ascii="Book Antiqua" w:eastAsia="Calibri" w:hAnsi="Book Antiqua" w:cs="Times New Roman"/>
          <w:bCs/>
          <w:color w:val="000000"/>
          <w:sz w:val="24"/>
          <w:szCs w:val="24"/>
          <w:u w:color="000000"/>
          <w:vertAlign w:val="superscript"/>
        </w:rPr>
        <w:t>[2,14,15,17,19,21]</w:t>
      </w:r>
      <w:r w:rsidR="00E54724" w:rsidRPr="00E54724">
        <w:rPr>
          <w:rFonts w:ascii="Book Antiqua" w:eastAsia="Calibri" w:hAnsi="Book Antiqua" w:cs="Times New Roman"/>
          <w:bCs/>
          <w:color w:val="000000"/>
          <w:sz w:val="24"/>
          <w:szCs w:val="24"/>
          <w:u w:color="000000"/>
        </w:rPr>
        <w:t xml:space="preserve"> did not show any significant difference between the two groups, except at 6 mo (Figure 3A-D). At 6 mo after cell transplantation, patients had a lower level of total bilirubin (MD: -1.3</w:t>
      </w:r>
      <w:r w:rsidR="00E54724" w:rsidRPr="00E54724">
        <w:rPr>
          <w:rFonts w:ascii="Book Antiqua" w:eastAsia="Calibri" w:hAnsi="Book Antiqua" w:cs="Times New Roman" w:hint="eastAsia"/>
          <w:bCs/>
          <w:color w:val="000000"/>
          <w:sz w:val="24"/>
          <w:szCs w:val="24"/>
          <w:u w:color="000000"/>
        </w:rPr>
        <w:t>7</w:t>
      </w:r>
      <w:r w:rsidR="00E54724" w:rsidRPr="00E54724">
        <w:rPr>
          <w:rFonts w:ascii="Book Antiqua" w:eastAsia="Calibri" w:hAnsi="Book Antiqua" w:cs="Times New Roman"/>
          <w:bCs/>
          <w:color w:val="000000"/>
          <w:sz w:val="24"/>
          <w:szCs w:val="24"/>
          <w:u w:color="000000"/>
        </w:rPr>
        <w:t xml:space="preserve"> mg/dL; 95%CI: -</w:t>
      </w:r>
      <w:r w:rsidR="00E54724" w:rsidRPr="00E54724">
        <w:rPr>
          <w:rFonts w:ascii="Book Antiqua" w:eastAsia="Calibri" w:hAnsi="Book Antiqua" w:cs="Times New Roman" w:hint="eastAsia"/>
          <w:bCs/>
          <w:color w:val="000000"/>
          <w:sz w:val="24"/>
          <w:szCs w:val="24"/>
          <w:u w:color="000000"/>
        </w:rPr>
        <w:t>2.68</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hint="eastAsia"/>
          <w:bCs/>
          <w:color w:val="000000"/>
          <w:sz w:val="24"/>
          <w:szCs w:val="24"/>
          <w:u w:color="000000"/>
        </w:rPr>
        <w:t>-0.06</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Times New Roman"/>
          <w:bCs/>
          <w:i/>
          <w:color w:val="000000"/>
          <w:sz w:val="24"/>
          <w:szCs w:val="24"/>
          <w:u w:color="000000"/>
        </w:rPr>
        <w:t>P</w:t>
      </w:r>
      <w:r w:rsidR="00E54724" w:rsidRPr="00E54724">
        <w:rPr>
          <w:rFonts w:ascii="Book Antiqua" w:eastAsia="Calibri" w:hAnsi="Book Antiqua" w:cs="Times New Roman"/>
          <w:bCs/>
          <w:color w:val="000000"/>
          <w:sz w:val="24"/>
          <w:szCs w:val="24"/>
          <w:u w:color="000000"/>
        </w:rPr>
        <w:t xml:space="preserve"> = 0.04). Heterogeneity was high (I</w:t>
      </w:r>
      <w:r w:rsidR="00E54724" w:rsidRPr="00E54724">
        <w:rPr>
          <w:rFonts w:ascii="Book Antiqua" w:eastAsia="Calibri" w:hAnsi="Book Antiqua" w:cs="Times New Roman"/>
          <w:bCs/>
          <w:color w:val="000000"/>
          <w:sz w:val="24"/>
          <w:szCs w:val="24"/>
          <w:u w:color="000000"/>
          <w:vertAlign w:val="superscript"/>
        </w:rPr>
        <w:t>2</w:t>
      </w:r>
      <w:r w:rsidR="00E54724" w:rsidRPr="00E54724">
        <w:rPr>
          <w:rFonts w:ascii="Book Antiqua" w:eastAsia="Calibri" w:hAnsi="Book Antiqua" w:cs="Times New Roman"/>
          <w:bCs/>
          <w:color w:val="000000"/>
          <w:sz w:val="24"/>
          <w:szCs w:val="24"/>
          <w:u w:color="000000"/>
        </w:rPr>
        <w:t>: 66</w:t>
      </w:r>
      <w:r w:rsidR="00E54724" w:rsidRPr="00E54724">
        <w:rPr>
          <w:rFonts w:ascii="Book Antiqua" w:eastAsia="Calibri"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-79%), and was mainly contributed by Lyra’s study</w:t>
      </w:r>
      <w:r w:rsidR="00E54724" w:rsidRPr="00E54724">
        <w:rPr>
          <w:rFonts w:ascii="Book Antiqua" w:eastAsia="Calibri" w:hAnsi="Book Antiqua" w:cs="Times New Roman"/>
          <w:bCs/>
          <w:color w:val="000000"/>
          <w:sz w:val="24"/>
          <w:szCs w:val="24"/>
          <w:u w:color="000000"/>
          <w:vertAlign w:val="superscript"/>
        </w:rPr>
        <w:t>[2]</w:t>
      </w:r>
      <w:r w:rsidR="00E54724" w:rsidRPr="00E54724">
        <w:rPr>
          <w:rFonts w:ascii="Book Antiqua" w:eastAsia="Calibri" w:hAnsi="Book Antiqua" w:cs="Times New Roman"/>
          <w:bCs/>
          <w:color w:val="000000"/>
          <w:sz w:val="24"/>
          <w:szCs w:val="24"/>
          <w:u w:color="000000"/>
        </w:rPr>
        <w:t>. Exclusion of Lyra’s study did not change the conclusions.</w:t>
      </w:r>
    </w:p>
    <w:p w14:paraId="1CEF3676" w14:textId="77777777" w:rsidR="00E54724" w:rsidRPr="00E54724" w:rsidRDefault="009C3C2C" w:rsidP="00E54724">
      <w:pPr>
        <w:widowControl/>
        <w:spacing w:line="360" w:lineRule="auto"/>
        <w:rPr>
          <w:rFonts w:ascii="Book Antiqua" w:eastAsia="Calibri" w:hAnsi="Book Antiqua" w:cs="Times New Roman"/>
          <w:bCs/>
          <w:color w:val="000000"/>
          <w:sz w:val="24"/>
          <w:szCs w:val="24"/>
          <w:u w:color="000000"/>
        </w:rPr>
      </w:pPr>
      <w:r>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Times New Roman"/>
          <w:bCs/>
          <w:color w:val="000000"/>
          <w:sz w:val="24"/>
          <w:szCs w:val="24"/>
          <w:u w:color="000000"/>
        </w:rPr>
        <w:t>Two studies reported changes in AST after treatment</w:t>
      </w:r>
      <w:r w:rsidR="00E54724" w:rsidRPr="00E54724">
        <w:rPr>
          <w:rFonts w:ascii="Book Antiqua" w:eastAsia="Calibri" w:hAnsi="Book Antiqua" w:cs="Times New Roman"/>
          <w:bCs/>
          <w:color w:val="000000"/>
          <w:sz w:val="24"/>
          <w:szCs w:val="24"/>
          <w:u w:color="000000"/>
          <w:vertAlign w:val="superscript"/>
        </w:rPr>
        <w:t>[14,17</w:t>
      </w:r>
      <w:r w:rsidR="00E54724" w:rsidRPr="00E54724">
        <w:rPr>
          <w:rFonts w:ascii="Book Antiqua" w:eastAsia="Calibri" w:hAnsi="Book Antiqua" w:cs="Calibri"/>
          <w:bCs/>
          <w:color w:val="000000"/>
          <w:sz w:val="24"/>
          <w:szCs w:val="24"/>
          <w:u w:color="000000"/>
          <w:vertAlign w:val="superscript"/>
        </w:rPr>
        <w:t>]</w:t>
      </w:r>
      <w:r w:rsidR="00E54724" w:rsidRPr="00E54724">
        <w:rPr>
          <w:rFonts w:ascii="Book Antiqua" w:eastAsia="Calibri" w:hAnsi="Book Antiqua" w:cs="Times New Roman"/>
          <w:bCs/>
          <w:color w:val="000000"/>
          <w:sz w:val="24"/>
          <w:szCs w:val="24"/>
          <w:u w:color="000000"/>
        </w:rPr>
        <w:t>. There was a decrease in AST level at 3 mo after cell transplantation (MD: -16.30 U/L; 95%CI: -22.52</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-10.08</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Calibri"/>
          <w:bCs/>
          <w:i/>
          <w:color w:val="000000"/>
          <w:sz w:val="24"/>
          <w:szCs w:val="24"/>
          <w:u w:color="000000"/>
        </w:rPr>
        <w:t>P</w:t>
      </w:r>
      <w:r w:rsidR="00E54724" w:rsidRPr="00E54724">
        <w:rPr>
          <w:rFonts w:ascii="Book Antiqua" w:eastAsia="Calibri" w:hAnsi="Book Antiqua" w:cs="Times New Roman"/>
          <w:bCs/>
          <w:color w:val="000000"/>
          <w:sz w:val="24"/>
          <w:szCs w:val="24"/>
          <w:u w:color="000000"/>
        </w:rPr>
        <w:t xml:space="preserve"> &lt; 0.00001; </w:t>
      </w:r>
      <w:r w:rsidR="00E54724" w:rsidRPr="00E54724">
        <w:rPr>
          <w:rFonts w:ascii="Book Antiqua" w:eastAsia="Calibri" w:hAnsi="Book Antiqua" w:cs="Calibri"/>
          <w:bCs/>
          <w:color w:val="000000"/>
          <w:sz w:val="24"/>
          <w:szCs w:val="24"/>
          <w:u w:color="000000"/>
        </w:rPr>
        <w:t>Figure 4A</w:t>
      </w:r>
      <w:r w:rsidR="00E54724" w:rsidRPr="00E54724">
        <w:rPr>
          <w:rFonts w:ascii="Book Antiqua" w:eastAsia="Calibri" w:hAnsi="Book Antiqua" w:cs="Times New Roman"/>
          <w:bCs/>
          <w:color w:val="000000"/>
          <w:sz w:val="24"/>
          <w:szCs w:val="24"/>
          <w:u w:color="000000"/>
        </w:rPr>
        <w:t>) and after 6 mo (MD: -13.80 U/L; 95%CI: -17.9</w:t>
      </w:r>
      <w:r w:rsidR="00E54724" w:rsidRPr="00E54724">
        <w:rPr>
          <w:rFonts w:ascii="Book Antiqua" w:eastAsia="Calibri" w:hAnsi="Book Antiqua" w:cs="Times New Roman" w:hint="eastAsia"/>
          <w:bCs/>
          <w:color w:val="000000"/>
          <w:sz w:val="24"/>
          <w:szCs w:val="24"/>
          <w:u w:color="000000"/>
        </w:rPr>
        <w:t>8</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-9.6</w:t>
      </w:r>
      <w:r w:rsidR="00E54724" w:rsidRPr="00E54724">
        <w:rPr>
          <w:rFonts w:ascii="Book Antiqua" w:eastAsia="Calibri" w:hAnsi="Book Antiqua" w:cs="Times New Roman" w:hint="eastAsia"/>
          <w:bCs/>
          <w:color w:val="000000"/>
          <w:sz w:val="24"/>
          <w:szCs w:val="24"/>
          <w:u w:color="000000"/>
        </w:rPr>
        <w:t>1</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Calibri"/>
          <w:bCs/>
          <w:i/>
          <w:color w:val="000000"/>
          <w:sz w:val="24"/>
          <w:szCs w:val="24"/>
          <w:u w:color="000000"/>
        </w:rPr>
        <w:t>P</w:t>
      </w:r>
      <w:r w:rsidR="00E54724" w:rsidRPr="00E54724">
        <w:rPr>
          <w:rFonts w:ascii="Book Antiqua" w:eastAsia="Calibri" w:hAnsi="Book Antiqua" w:cs="Times New Roman"/>
          <w:bCs/>
          <w:color w:val="000000"/>
          <w:sz w:val="24"/>
          <w:szCs w:val="24"/>
          <w:u w:color="000000"/>
        </w:rPr>
        <w:t xml:space="preserve"> &lt; 0.00001; Figure 4B). No heterogeneity was detected</w:t>
      </w:r>
      <w:r w:rsidR="00E54724" w:rsidRPr="00E54724">
        <w:rPr>
          <w:rFonts w:ascii="Book Antiqua" w:eastAsia="Calibri" w:hAnsi="Book Antiqua" w:cs="Times New Roman" w:hint="eastAsia"/>
          <w:bCs/>
          <w:color w:val="000000"/>
          <w:sz w:val="24"/>
          <w:szCs w:val="24"/>
          <w:u w:color="000000"/>
        </w:rPr>
        <w:t xml:space="preserve"> (</w:t>
      </w:r>
      <w:r w:rsidR="00E54724" w:rsidRPr="00E54724">
        <w:rPr>
          <w:rFonts w:ascii="Book Antiqua" w:eastAsia="Calibri" w:hAnsi="Book Antiqua" w:cs="Times New Roman"/>
          <w:bCs/>
          <w:i/>
          <w:color w:val="000000"/>
          <w:sz w:val="24"/>
          <w:szCs w:val="24"/>
          <w:u w:color="000000"/>
        </w:rPr>
        <w:t>P</w:t>
      </w:r>
      <w:r w:rsidR="00E54724" w:rsidRPr="00E54724">
        <w:rPr>
          <w:rFonts w:ascii="Book Antiqua" w:eastAsia="Calibri" w:hAnsi="Book Antiqua" w:cs="Times New Roman" w:hint="eastAsia"/>
          <w:bCs/>
          <w:color w:val="000000"/>
          <w:sz w:val="24"/>
          <w:szCs w:val="24"/>
          <w:u w:color="000000"/>
        </w:rPr>
        <w:t xml:space="preserve"> &gt; 0.10, with </w:t>
      </w:r>
      <w:r w:rsidR="00E54724" w:rsidRPr="00E54724">
        <w:rPr>
          <w:rFonts w:ascii="Book Antiqua" w:eastAsia="Calibri" w:hAnsi="Book Antiqua" w:cs="Times New Roman" w:hint="eastAsia"/>
          <w:bCs/>
          <w:i/>
          <w:color w:val="000000"/>
          <w:sz w:val="24"/>
          <w:szCs w:val="24"/>
          <w:u w:color="000000"/>
        </w:rPr>
        <w:t>I</w:t>
      </w:r>
      <w:r w:rsidR="00E54724" w:rsidRPr="00E54724">
        <w:rPr>
          <w:rFonts w:ascii="Book Antiqua" w:eastAsia="Calibri" w:hAnsi="Book Antiqua" w:cs="Times New Roman"/>
          <w:bCs/>
          <w:color w:val="000000"/>
          <w:sz w:val="24"/>
          <w:szCs w:val="24"/>
          <w:u w:color="000000"/>
          <w:vertAlign w:val="superscript"/>
        </w:rPr>
        <w:t>2</w:t>
      </w:r>
      <w:r w:rsidR="00E54724" w:rsidRPr="00E54724">
        <w:rPr>
          <w:rFonts w:ascii="Book Antiqua" w:eastAsia="Calibri" w:hAnsi="Book Antiqua" w:cs="Times New Roman" w:hint="eastAsia"/>
          <w:bCs/>
          <w:color w:val="000000"/>
          <w:sz w:val="24"/>
          <w:szCs w:val="24"/>
          <w:u w:color="000000"/>
        </w:rPr>
        <w:t xml:space="preserve"> = 0)</w:t>
      </w:r>
      <w:r w:rsidR="00E54724" w:rsidRPr="00E54724">
        <w:rPr>
          <w:rFonts w:ascii="Book Antiqua" w:eastAsia="Calibri" w:hAnsi="Book Antiqua" w:cs="Times New Roman"/>
          <w:bCs/>
          <w:color w:val="000000"/>
          <w:sz w:val="24"/>
          <w:szCs w:val="24"/>
          <w:u w:color="000000"/>
        </w:rPr>
        <w:t>. Three studies reported changes in ALT after cell transplantation</w:t>
      </w:r>
      <w:r w:rsidR="00E54724" w:rsidRPr="00E54724">
        <w:rPr>
          <w:rFonts w:ascii="Book Antiqua" w:eastAsia="Calibri" w:hAnsi="Book Antiqua" w:cs="Times New Roman"/>
          <w:bCs/>
          <w:color w:val="000000"/>
          <w:sz w:val="24"/>
          <w:szCs w:val="24"/>
          <w:u w:color="000000"/>
          <w:vertAlign w:val="superscript"/>
        </w:rPr>
        <w:t>[14</w:t>
      </w:r>
      <w:r w:rsidR="00E54724" w:rsidRPr="00E54724">
        <w:rPr>
          <w:rFonts w:ascii="Book Antiqua" w:eastAsia="Calibri" w:hAnsi="Book Antiqua" w:cs="Calibri"/>
          <w:bCs/>
          <w:color w:val="000000"/>
          <w:sz w:val="24"/>
          <w:szCs w:val="24"/>
          <w:u w:color="000000"/>
          <w:vertAlign w:val="superscript"/>
        </w:rPr>
        <w:t>,1</w:t>
      </w:r>
      <w:r w:rsidR="00E54724" w:rsidRPr="00E54724">
        <w:rPr>
          <w:rFonts w:ascii="Book Antiqua" w:eastAsia="Calibri" w:hAnsi="Book Antiqua" w:cs="Times New Roman"/>
          <w:bCs/>
          <w:color w:val="000000"/>
          <w:sz w:val="24"/>
          <w:szCs w:val="24"/>
          <w:u w:color="000000"/>
          <w:vertAlign w:val="superscript"/>
        </w:rPr>
        <w:t>7,19]</w:t>
      </w:r>
      <w:r w:rsidR="00E54724" w:rsidRPr="00E54724">
        <w:rPr>
          <w:rFonts w:ascii="Book Antiqua" w:eastAsia="Calibri" w:hAnsi="Book Antiqua" w:cs="Times New Roman"/>
          <w:bCs/>
          <w:color w:val="000000"/>
          <w:sz w:val="24"/>
          <w:szCs w:val="24"/>
          <w:u w:color="000000"/>
        </w:rPr>
        <w:t xml:space="preserve">. Similarly, cell transplantation showed a lower ALT level </w:t>
      </w:r>
      <w:r w:rsidR="00E54724" w:rsidRPr="00E54724">
        <w:rPr>
          <w:rFonts w:ascii="Book Antiqua" w:eastAsia="Calibri" w:hAnsi="Book Antiqua" w:cs="Times New Roman" w:hint="eastAsia"/>
          <w:bCs/>
          <w:color w:val="000000"/>
          <w:sz w:val="24"/>
          <w:szCs w:val="24"/>
          <w:u w:color="000000"/>
        </w:rPr>
        <w:t>at</w:t>
      </w:r>
      <w:r w:rsidR="00E54724" w:rsidRPr="00E54724">
        <w:rPr>
          <w:rFonts w:ascii="Book Antiqua" w:eastAsia="Calibri" w:hAnsi="Book Antiqua" w:cs="Times New Roman"/>
          <w:bCs/>
          <w:color w:val="000000"/>
          <w:sz w:val="24"/>
          <w:szCs w:val="24"/>
          <w:u w:color="000000"/>
        </w:rPr>
        <w:t xml:space="preserve"> 3 mo (MD: -9.11 U/L; 95%CI: -16.35</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-1.88</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Calibri"/>
          <w:bCs/>
          <w:i/>
          <w:color w:val="000000"/>
          <w:sz w:val="24"/>
          <w:szCs w:val="24"/>
          <w:u w:color="000000"/>
        </w:rPr>
        <w:t>P</w:t>
      </w:r>
      <w:r w:rsidR="00E54724" w:rsidRPr="00E54724">
        <w:rPr>
          <w:rFonts w:ascii="Book Antiqua" w:eastAsia="Calibri" w:hAnsi="Book Antiqua" w:cs="Times New Roman"/>
          <w:bCs/>
          <w:color w:val="000000"/>
          <w:sz w:val="24"/>
          <w:szCs w:val="24"/>
          <w:u w:color="000000"/>
        </w:rPr>
        <w:t xml:space="preserve"> = 0.01; </w:t>
      </w:r>
      <w:r w:rsidR="00E54724" w:rsidRPr="00E54724">
        <w:rPr>
          <w:rFonts w:ascii="Book Antiqua" w:eastAsia="Calibri" w:hAnsi="Book Antiqua" w:cs="Calibri"/>
          <w:bCs/>
          <w:color w:val="000000"/>
          <w:sz w:val="24"/>
          <w:szCs w:val="24"/>
          <w:u w:color="000000"/>
        </w:rPr>
        <w:t>Figure 5A</w:t>
      </w:r>
      <w:r w:rsidR="00E54724" w:rsidRPr="00E54724">
        <w:rPr>
          <w:rFonts w:ascii="Book Antiqua" w:eastAsia="Calibri" w:hAnsi="Book Antiqua" w:cs="Times New Roman"/>
          <w:bCs/>
          <w:color w:val="000000"/>
          <w:sz w:val="24"/>
          <w:szCs w:val="24"/>
          <w:u w:color="000000"/>
        </w:rPr>
        <w:t>), but it failed to show a consistent effect at 6 mo (MD: -9.60 U/L; 95%CI: -21.82</w:t>
      </w:r>
      <w:r w:rsidR="00E54724" w:rsidRPr="00E54724">
        <w:rPr>
          <w:rFonts w:ascii="Book Antiqua" w:eastAsia="SimSun" w:hAnsi="Book Antiqua" w:cs="Times New Roman" w:hint="eastAsia"/>
          <w:bCs/>
          <w:color w:val="000000"/>
          <w:sz w:val="24"/>
          <w:szCs w:val="24"/>
          <w:u w:color="000000"/>
        </w:rPr>
        <w:t>-</w:t>
      </w:r>
      <w:r w:rsidR="00E54724" w:rsidRPr="00E54724">
        <w:rPr>
          <w:rFonts w:ascii="Book Antiqua" w:eastAsia="Calibri" w:hAnsi="Book Antiqua" w:cs="Times New Roman"/>
          <w:bCs/>
          <w:color w:val="000000"/>
          <w:sz w:val="24"/>
          <w:szCs w:val="24"/>
          <w:u w:color="000000"/>
        </w:rPr>
        <w:t xml:space="preserve">2.62; </w:t>
      </w:r>
      <w:r w:rsidR="00E54724" w:rsidRPr="00E54724">
        <w:rPr>
          <w:rFonts w:ascii="Book Antiqua" w:eastAsia="Calibri" w:hAnsi="Book Antiqua" w:cs="Calibri"/>
          <w:bCs/>
          <w:i/>
          <w:color w:val="000000"/>
          <w:sz w:val="24"/>
          <w:szCs w:val="24"/>
          <w:u w:color="000000"/>
        </w:rPr>
        <w:t>P</w:t>
      </w:r>
      <w:r w:rsidR="00E54724" w:rsidRPr="00E54724">
        <w:rPr>
          <w:rFonts w:ascii="Book Antiqua" w:eastAsia="Calibri" w:hAnsi="Book Antiqua" w:cs="Times New Roman"/>
          <w:bCs/>
          <w:color w:val="000000"/>
          <w:sz w:val="24"/>
          <w:szCs w:val="24"/>
          <w:u w:color="000000"/>
        </w:rPr>
        <w:t xml:space="preserve"> = 0.12; Figure 5B).</w:t>
      </w:r>
      <w:r w:rsidR="00E54724" w:rsidRPr="00E54724">
        <w:rPr>
          <w:rFonts w:ascii="Book Antiqua" w:eastAsia="Calibri" w:hAnsi="Book Antiqua" w:cs="Times New Roman" w:hint="eastAsia"/>
          <w:bCs/>
          <w:color w:val="000000"/>
          <w:sz w:val="24"/>
          <w:szCs w:val="24"/>
          <w:u w:color="000000"/>
        </w:rPr>
        <w:t xml:space="preserve"> No heterogeneity was detected regarding ALT level at 3 mo (</w:t>
      </w:r>
      <w:r w:rsidR="00E54724" w:rsidRPr="00E54724">
        <w:rPr>
          <w:rFonts w:ascii="Book Antiqua" w:eastAsia="Calibri" w:hAnsi="Book Antiqua" w:cs="Times New Roman"/>
          <w:bCs/>
          <w:i/>
          <w:color w:val="000000"/>
          <w:sz w:val="24"/>
          <w:szCs w:val="24"/>
          <w:u w:color="000000"/>
        </w:rPr>
        <w:t>P</w:t>
      </w:r>
      <w:r w:rsidR="00E54724" w:rsidRPr="00E54724">
        <w:rPr>
          <w:rFonts w:ascii="Book Antiqua" w:eastAsia="Calibri" w:hAnsi="Book Antiqua" w:cs="Times New Roman" w:hint="eastAsia"/>
          <w:bCs/>
          <w:color w:val="000000"/>
          <w:sz w:val="24"/>
          <w:szCs w:val="24"/>
          <w:u w:color="000000"/>
        </w:rPr>
        <w:t xml:space="preserve"> = 0.22), but heterogeneity should be taken into consideration regarding ALT level at 6 mo (</w:t>
      </w:r>
      <w:r w:rsidR="00E54724" w:rsidRPr="00E54724">
        <w:rPr>
          <w:rFonts w:ascii="Book Antiqua" w:eastAsia="Calibri" w:hAnsi="Book Antiqua" w:cs="Times New Roman" w:hint="eastAsia"/>
          <w:bCs/>
          <w:i/>
          <w:color w:val="000000"/>
          <w:sz w:val="24"/>
          <w:szCs w:val="24"/>
          <w:u w:color="000000"/>
        </w:rPr>
        <w:t>P</w:t>
      </w:r>
      <w:r w:rsidR="00E54724" w:rsidRPr="00E54724">
        <w:rPr>
          <w:rFonts w:ascii="Book Antiqua" w:eastAsia="Calibri" w:hAnsi="Book Antiqua" w:cs="Times New Roman" w:hint="eastAsia"/>
          <w:bCs/>
          <w:color w:val="000000"/>
          <w:sz w:val="24"/>
          <w:szCs w:val="24"/>
          <w:u w:color="000000"/>
        </w:rPr>
        <w:t xml:space="preserve"> = 0.06, with </w:t>
      </w:r>
      <w:r w:rsidR="00E54724" w:rsidRPr="00E54724">
        <w:rPr>
          <w:rFonts w:ascii="Book Antiqua" w:eastAsia="Calibri" w:hAnsi="Book Antiqua" w:cs="Times New Roman" w:hint="eastAsia"/>
          <w:bCs/>
          <w:i/>
          <w:color w:val="000000"/>
          <w:sz w:val="24"/>
          <w:szCs w:val="24"/>
          <w:u w:color="000000"/>
        </w:rPr>
        <w:t>I</w:t>
      </w:r>
      <w:r w:rsidR="00E54724" w:rsidRPr="00E54724">
        <w:rPr>
          <w:rFonts w:ascii="Book Antiqua" w:eastAsia="Calibri" w:hAnsi="Book Antiqua" w:cs="Times New Roman"/>
          <w:bCs/>
          <w:color w:val="000000"/>
          <w:sz w:val="24"/>
          <w:szCs w:val="24"/>
          <w:u w:color="000000"/>
          <w:vertAlign w:val="superscript"/>
        </w:rPr>
        <w:t>2</w:t>
      </w:r>
      <w:r w:rsidR="00E54724" w:rsidRPr="00E54724">
        <w:rPr>
          <w:rFonts w:ascii="Book Antiqua" w:eastAsia="Calibri" w:hAnsi="Book Antiqua" w:cs="Times New Roman" w:hint="eastAsia"/>
          <w:bCs/>
          <w:color w:val="000000"/>
          <w:sz w:val="24"/>
          <w:szCs w:val="24"/>
          <w:u w:color="000000"/>
        </w:rPr>
        <w:t xml:space="preserve"> =72%)</w:t>
      </w:r>
    </w:p>
    <w:p w14:paraId="20090B49" w14:textId="77777777" w:rsidR="00E54724" w:rsidRPr="00E54724" w:rsidRDefault="009C3C2C" w:rsidP="00E54724">
      <w:pPr>
        <w:widowControl/>
        <w:spacing w:line="360" w:lineRule="auto"/>
        <w:rPr>
          <w:rFonts w:ascii="Book Antiqua" w:eastAsia="Calibri" w:hAnsi="Book Antiqua" w:cs="Calibri"/>
          <w:b/>
          <w:bCs/>
          <w:color w:val="000000"/>
          <w:sz w:val="24"/>
          <w:szCs w:val="24"/>
          <w:u w:color="000000"/>
        </w:rPr>
      </w:pPr>
      <w:r>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Times New Roman"/>
          <w:bCs/>
          <w:color w:val="000000"/>
          <w:sz w:val="24"/>
          <w:szCs w:val="24"/>
          <w:u w:color="000000"/>
        </w:rPr>
        <w:t>MELD score was reported by two to four studies, depending on the time point assessed</w:t>
      </w:r>
      <w:r w:rsidR="00E54724" w:rsidRPr="00E54724">
        <w:rPr>
          <w:rFonts w:ascii="Book Antiqua" w:eastAsia="Calibri" w:hAnsi="Book Antiqua" w:cs="Calibri"/>
          <w:b/>
          <w:bCs/>
          <w:color w:val="000000"/>
          <w:sz w:val="24"/>
          <w:szCs w:val="24"/>
          <w:u w:color="000000"/>
          <w:vertAlign w:val="superscript"/>
        </w:rPr>
        <w:t>[</w:t>
      </w:r>
      <w:r w:rsidR="00E54724" w:rsidRPr="00E54724">
        <w:rPr>
          <w:rFonts w:ascii="Book Antiqua" w:eastAsia="Calibri" w:hAnsi="Book Antiqua" w:cs="Times New Roman"/>
          <w:bCs/>
          <w:color w:val="000000"/>
          <w:sz w:val="24"/>
          <w:szCs w:val="24"/>
          <w:u w:color="000000"/>
          <w:vertAlign w:val="superscript"/>
        </w:rPr>
        <w:t>2,15,19,20</w:t>
      </w:r>
      <w:r w:rsidR="00E54724" w:rsidRPr="00E54724">
        <w:rPr>
          <w:rFonts w:ascii="Book Antiqua" w:eastAsia="Calibri" w:hAnsi="Book Antiqua" w:cs="Calibri"/>
          <w:b/>
          <w:bCs/>
          <w:color w:val="000000"/>
          <w:sz w:val="24"/>
          <w:szCs w:val="24"/>
          <w:u w:color="000000"/>
          <w:vertAlign w:val="superscript"/>
        </w:rPr>
        <w:t>]</w:t>
      </w:r>
      <w:r w:rsidR="00E54724" w:rsidRPr="00E54724">
        <w:rPr>
          <w:rFonts w:ascii="Book Antiqua" w:eastAsia="Calibri" w:hAnsi="Book Antiqua" w:cs="Times New Roman"/>
          <w:bCs/>
          <w:color w:val="000000"/>
          <w:sz w:val="24"/>
          <w:szCs w:val="24"/>
          <w:u w:color="000000"/>
        </w:rPr>
        <w:t xml:space="preserve">. Meta-analysis did not show any difference within </w:t>
      </w:r>
      <w:r w:rsidR="00E54724" w:rsidRPr="00E54724">
        <w:rPr>
          <w:rFonts w:ascii="Book Antiqua" w:eastAsia="Calibri" w:hAnsi="Book Antiqua" w:cs="Times New Roman" w:hint="eastAsia"/>
          <w:bCs/>
          <w:color w:val="000000"/>
          <w:sz w:val="24"/>
          <w:szCs w:val="24"/>
          <w:u w:color="000000"/>
        </w:rPr>
        <w:t>12</w:t>
      </w:r>
      <w:r w:rsidR="00E54724" w:rsidRPr="00E54724">
        <w:rPr>
          <w:rFonts w:ascii="Book Antiqua" w:eastAsia="Calibri" w:hAnsi="Book Antiqua" w:cs="Times New Roman"/>
          <w:bCs/>
          <w:color w:val="000000"/>
          <w:sz w:val="24"/>
          <w:szCs w:val="24"/>
          <w:u w:color="000000"/>
        </w:rPr>
        <w:t xml:space="preserve"> mo of treatment (</w:t>
      </w:r>
      <w:r w:rsidR="00E54724" w:rsidRPr="00E54724">
        <w:rPr>
          <w:rFonts w:ascii="Book Antiqua" w:eastAsia="Calibri" w:hAnsi="Book Antiqua" w:cs="Calibri"/>
          <w:bCs/>
          <w:color w:val="000000"/>
          <w:sz w:val="24"/>
          <w:szCs w:val="24"/>
          <w:u w:color="000000"/>
        </w:rPr>
        <w:t>Figure 6A-D</w:t>
      </w:r>
      <w:r w:rsidR="00E54724" w:rsidRPr="00E54724">
        <w:rPr>
          <w:rFonts w:ascii="Book Antiqua" w:eastAsia="Calibri" w:hAnsi="Book Antiqua" w:cs="Times New Roman"/>
          <w:bCs/>
          <w:color w:val="000000"/>
          <w:sz w:val="24"/>
          <w:szCs w:val="24"/>
          <w:u w:color="000000"/>
        </w:rPr>
        <w:t>). Two studies reported that Child-Pugh score could be incorporated into meta-analysis</w:t>
      </w:r>
      <w:r w:rsidR="00E54724" w:rsidRPr="00E54724">
        <w:rPr>
          <w:rFonts w:ascii="Book Antiqua" w:eastAsia="Calibri" w:hAnsi="Book Antiqua" w:cs="Times New Roman"/>
          <w:bCs/>
          <w:color w:val="000000"/>
          <w:sz w:val="24"/>
          <w:szCs w:val="24"/>
          <w:u w:color="000000"/>
          <w:vertAlign w:val="superscript"/>
        </w:rPr>
        <w:t>[2,19]</w:t>
      </w:r>
      <w:r w:rsidR="00E54724" w:rsidRPr="00E54724">
        <w:rPr>
          <w:rFonts w:ascii="Book Antiqua" w:eastAsia="Calibri" w:hAnsi="Book Antiqua" w:cs="Times New Roman"/>
          <w:bCs/>
          <w:color w:val="000000"/>
          <w:sz w:val="24"/>
          <w:szCs w:val="24"/>
          <w:u w:color="000000"/>
        </w:rPr>
        <w:t xml:space="preserve">. No significant difference was detected at up to 1 year after treatment (Figure 7A-C). </w:t>
      </w:r>
    </w:p>
    <w:p w14:paraId="1602AEC3" w14:textId="77777777" w:rsidR="00E54724" w:rsidRPr="00E54724" w:rsidRDefault="009C3C2C" w:rsidP="00E54724">
      <w:pPr>
        <w:widowControl/>
        <w:spacing w:line="360" w:lineRule="auto"/>
        <w:rPr>
          <w:rFonts w:ascii="Book Antiqua" w:eastAsia="Calibri" w:hAnsi="Book Antiqua" w:cs="Times New Roman"/>
          <w:bCs/>
          <w:color w:val="000000"/>
          <w:sz w:val="24"/>
          <w:szCs w:val="24"/>
          <w:u w:color="000000"/>
        </w:rPr>
      </w:pPr>
      <w:r>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Times New Roman"/>
          <w:bCs/>
          <w:color w:val="000000"/>
          <w:sz w:val="24"/>
          <w:szCs w:val="24"/>
          <w:u w:color="000000"/>
        </w:rPr>
        <w:t>Four studies reported changes in prothrombin time</w:t>
      </w:r>
      <w:r w:rsidR="00E54724" w:rsidRPr="00E54724">
        <w:rPr>
          <w:rFonts w:ascii="Book Antiqua" w:eastAsia="Calibri" w:hAnsi="Book Antiqua" w:cs="Times New Roman"/>
          <w:bCs/>
          <w:color w:val="000000"/>
          <w:sz w:val="24"/>
          <w:szCs w:val="24"/>
          <w:u w:color="000000"/>
          <w:vertAlign w:val="superscript"/>
        </w:rPr>
        <w:t>[14,15,17,21]</w:t>
      </w:r>
      <w:r w:rsidR="00E54724" w:rsidRPr="00E54724">
        <w:rPr>
          <w:rFonts w:ascii="Book Antiqua" w:eastAsia="Calibri" w:hAnsi="Book Antiqua" w:cs="Times New Roman"/>
          <w:bCs/>
          <w:color w:val="000000"/>
          <w:sz w:val="24"/>
          <w:szCs w:val="24"/>
          <w:u w:color="000000"/>
        </w:rPr>
        <w:t>. Changes in prothrombin time were noted only at 6 mo after therapy, when patients with cell transplantation showed a slight increase (MD: 5.6</w:t>
      </w:r>
      <w:r w:rsidR="00E54724" w:rsidRPr="00E54724">
        <w:rPr>
          <w:rFonts w:ascii="Book Antiqua" w:eastAsia="Calibri" w:hAnsi="Book Antiqua" w:cs="Times New Roman" w:hint="eastAsia"/>
          <w:bCs/>
          <w:color w:val="000000"/>
          <w:sz w:val="24"/>
          <w:szCs w:val="24"/>
          <w:u w:color="000000"/>
        </w:rPr>
        <w:t>6</w:t>
      </w:r>
      <w:r w:rsidR="00E54724" w:rsidRPr="00E54724">
        <w:rPr>
          <w:rFonts w:ascii="Book Antiqua" w:eastAsia="Calibri" w:hAnsi="Book Antiqua" w:cs="Times New Roman"/>
          <w:bCs/>
          <w:color w:val="000000"/>
          <w:sz w:val="24"/>
          <w:szCs w:val="24"/>
          <w:u w:color="000000"/>
        </w:rPr>
        <w:t xml:space="preserve"> s, 95%CI: 0.04-11.2</w:t>
      </w:r>
      <w:r w:rsidR="00E54724" w:rsidRPr="00E54724">
        <w:rPr>
          <w:rFonts w:ascii="Book Antiqua" w:eastAsia="Calibri" w:hAnsi="Book Antiqua" w:cs="Times New Roman" w:hint="eastAsia"/>
          <w:bCs/>
          <w:color w:val="000000"/>
          <w:sz w:val="24"/>
          <w:szCs w:val="24"/>
          <w:u w:color="000000"/>
        </w:rPr>
        <w:t>8</w:t>
      </w:r>
      <w:r w:rsidR="00E54724" w:rsidRPr="00E54724">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Times New Roman"/>
          <w:bCs/>
          <w:i/>
          <w:color w:val="000000"/>
          <w:sz w:val="24"/>
          <w:szCs w:val="24"/>
          <w:u w:color="000000"/>
        </w:rPr>
        <w:t>P</w:t>
      </w:r>
      <w:r w:rsidR="00E54724" w:rsidRPr="00E54724">
        <w:rPr>
          <w:rFonts w:ascii="Book Antiqua" w:eastAsia="Calibri" w:hAnsi="Book Antiqua" w:cs="Times New Roman"/>
          <w:bCs/>
          <w:color w:val="000000"/>
          <w:sz w:val="24"/>
          <w:szCs w:val="24"/>
          <w:u w:color="000000"/>
        </w:rPr>
        <w:t xml:space="preserve"> </w:t>
      </w:r>
      <w:r w:rsidR="00E54724" w:rsidRPr="00E54724">
        <w:rPr>
          <w:rFonts w:ascii="Book Antiqua" w:eastAsia="Calibri" w:hAnsi="Book Antiqua" w:cs="Times New Roman" w:hint="eastAsia"/>
          <w:bCs/>
          <w:color w:val="000000"/>
          <w:sz w:val="24"/>
          <w:szCs w:val="24"/>
          <w:u w:color="000000"/>
        </w:rPr>
        <w:t>= 0.05</w:t>
      </w:r>
      <w:r w:rsidR="00E54724" w:rsidRPr="00E54724">
        <w:rPr>
          <w:rFonts w:ascii="Book Antiqua" w:eastAsia="Calibri" w:hAnsi="Book Antiqua" w:cs="Times New Roman"/>
          <w:bCs/>
          <w:color w:val="000000"/>
          <w:sz w:val="24"/>
          <w:szCs w:val="24"/>
          <w:u w:color="000000"/>
        </w:rPr>
        <w:t>; Figure 8A-</w:t>
      </w:r>
      <w:r w:rsidR="00E54724" w:rsidRPr="00E54724">
        <w:rPr>
          <w:rFonts w:ascii="Book Antiqua" w:eastAsia="Calibri" w:hAnsi="Book Antiqua" w:cs="Times New Roman" w:hint="eastAsia"/>
          <w:bCs/>
          <w:color w:val="000000"/>
          <w:sz w:val="24"/>
          <w:szCs w:val="24"/>
          <w:u w:color="000000"/>
        </w:rPr>
        <w:t>C</w:t>
      </w:r>
      <w:r w:rsidR="00E54724" w:rsidRPr="00E54724">
        <w:rPr>
          <w:rFonts w:ascii="Book Antiqua" w:eastAsia="Calibri" w:hAnsi="Book Antiqua" w:cs="Times New Roman"/>
          <w:bCs/>
          <w:color w:val="000000"/>
          <w:sz w:val="24"/>
          <w:szCs w:val="24"/>
          <w:u w:color="000000"/>
        </w:rPr>
        <w:t>). However, the heterogeneity was high (</w:t>
      </w:r>
      <w:r w:rsidR="00E54724" w:rsidRPr="00E54724">
        <w:rPr>
          <w:rFonts w:ascii="Book Antiqua" w:eastAsia="Calibri" w:hAnsi="Book Antiqua" w:cs="Times New Roman" w:hint="eastAsia"/>
          <w:bCs/>
          <w:i/>
          <w:color w:val="000000"/>
          <w:sz w:val="24"/>
          <w:szCs w:val="24"/>
          <w:u w:color="000000"/>
        </w:rPr>
        <w:t>P</w:t>
      </w:r>
      <w:r w:rsidR="00E54724" w:rsidRPr="00E54724">
        <w:rPr>
          <w:rFonts w:ascii="Book Antiqua" w:eastAsia="Calibri" w:hAnsi="Book Antiqua" w:cs="Times New Roman" w:hint="eastAsia"/>
          <w:bCs/>
          <w:color w:val="000000"/>
          <w:sz w:val="24"/>
          <w:szCs w:val="24"/>
          <w:u w:color="000000"/>
        </w:rPr>
        <w:t xml:space="preserve"> </w:t>
      </w:r>
      <w:r w:rsidR="00E54724" w:rsidRPr="00E54724">
        <w:rPr>
          <w:rFonts w:ascii="Book Antiqua" w:eastAsia="Calibri" w:hAnsi="Book Antiqua" w:cs="Times New Roman"/>
          <w:bCs/>
          <w:color w:val="000000"/>
          <w:sz w:val="24"/>
          <w:szCs w:val="24"/>
          <w:u w:color="000000"/>
        </w:rPr>
        <w:t>&lt; 0.00001,</w:t>
      </w:r>
      <w:r w:rsidR="00E54724" w:rsidRPr="00E54724">
        <w:rPr>
          <w:rFonts w:ascii="Book Antiqua" w:eastAsia="Calibri" w:hAnsi="Book Antiqua" w:cs="Times New Roman" w:hint="eastAsia"/>
          <w:bCs/>
          <w:color w:val="000000"/>
          <w:sz w:val="24"/>
          <w:szCs w:val="24"/>
          <w:u w:color="000000"/>
        </w:rPr>
        <w:t xml:space="preserve"> with </w:t>
      </w:r>
      <w:r w:rsidR="00E54724" w:rsidRPr="00E54724">
        <w:rPr>
          <w:rFonts w:ascii="Book Antiqua" w:eastAsia="Calibri" w:hAnsi="Book Antiqua" w:cs="Times New Roman"/>
          <w:bCs/>
          <w:i/>
          <w:color w:val="000000"/>
          <w:sz w:val="24"/>
          <w:szCs w:val="24"/>
          <w:u w:color="000000"/>
        </w:rPr>
        <w:t>I</w:t>
      </w:r>
      <w:r w:rsidR="00E54724" w:rsidRPr="00E54724">
        <w:rPr>
          <w:rFonts w:ascii="Book Antiqua" w:eastAsia="Calibri" w:hAnsi="Book Antiqua" w:cs="Times New Roman"/>
          <w:bCs/>
          <w:color w:val="000000"/>
          <w:sz w:val="24"/>
          <w:szCs w:val="24"/>
          <w:u w:color="000000"/>
          <w:vertAlign w:val="superscript"/>
        </w:rPr>
        <w:t>2</w:t>
      </w:r>
      <w:r w:rsidR="00E54724" w:rsidRPr="00E54724">
        <w:rPr>
          <w:rFonts w:ascii="Book Antiqua" w:eastAsia="Calibri" w:hAnsi="Book Antiqua" w:cs="Times New Roman"/>
          <w:bCs/>
          <w:color w:val="000000"/>
          <w:sz w:val="24"/>
          <w:szCs w:val="24"/>
          <w:u w:color="000000"/>
        </w:rPr>
        <w:t xml:space="preserve"> = 95%)</w:t>
      </w:r>
      <w:r w:rsidR="00E54724" w:rsidRPr="00E54724">
        <w:rPr>
          <w:rFonts w:ascii="Book Antiqua" w:eastAsia="Calibri" w:hAnsi="Book Antiqua" w:cs="Times New Roman" w:hint="eastAsia"/>
          <w:bCs/>
          <w:color w:val="000000"/>
          <w:sz w:val="24"/>
          <w:szCs w:val="24"/>
          <w:u w:color="000000"/>
        </w:rPr>
        <w:t>. Only one study followed changes in prothrombin time up to 24 mo</w:t>
      </w:r>
      <w:r w:rsidR="00E54724" w:rsidRPr="00E54724">
        <w:rPr>
          <w:rFonts w:ascii="Book Antiqua" w:eastAsia="Calibri" w:hAnsi="Book Antiqua" w:cs="Times New Roman" w:hint="eastAsia"/>
          <w:bCs/>
          <w:color w:val="000000"/>
          <w:sz w:val="24"/>
          <w:szCs w:val="24"/>
          <w:u w:color="000000"/>
          <w:vertAlign w:val="superscript"/>
        </w:rPr>
        <w:t>[21]</w:t>
      </w:r>
      <w:r w:rsidR="00E54724" w:rsidRPr="00E54724">
        <w:rPr>
          <w:rFonts w:ascii="Book Antiqua" w:eastAsia="Calibri" w:hAnsi="Book Antiqua" w:cs="Times New Roman" w:hint="eastAsia"/>
          <w:bCs/>
          <w:color w:val="000000"/>
          <w:sz w:val="24"/>
          <w:szCs w:val="24"/>
          <w:u w:color="000000"/>
        </w:rPr>
        <w:t xml:space="preserve">, and suggested no statistically difference (MD: -1.3 s, 95%CI: -2.67-0.07; </w:t>
      </w:r>
      <w:r w:rsidR="00E54724" w:rsidRPr="00E54724">
        <w:rPr>
          <w:rFonts w:ascii="Book Antiqua" w:eastAsia="Calibri" w:hAnsi="Book Antiqua" w:cs="Times New Roman"/>
          <w:bCs/>
          <w:i/>
          <w:color w:val="000000"/>
          <w:sz w:val="24"/>
          <w:szCs w:val="24"/>
          <w:u w:color="000000"/>
        </w:rPr>
        <w:t>P</w:t>
      </w:r>
      <w:r w:rsidR="00E54724" w:rsidRPr="00E54724">
        <w:rPr>
          <w:rFonts w:ascii="Book Antiqua" w:eastAsia="Calibri" w:hAnsi="Book Antiqua" w:cs="Times New Roman" w:hint="eastAsia"/>
          <w:bCs/>
          <w:color w:val="000000"/>
          <w:sz w:val="24"/>
          <w:szCs w:val="24"/>
          <w:u w:color="000000"/>
        </w:rPr>
        <w:t xml:space="preserve"> = 0.06).</w:t>
      </w:r>
    </w:p>
    <w:p w14:paraId="7FF72E00" w14:textId="77777777" w:rsidR="00E54724" w:rsidRPr="00E54724" w:rsidRDefault="00E54724" w:rsidP="00E54724">
      <w:pPr>
        <w:widowControl/>
        <w:spacing w:line="360" w:lineRule="auto"/>
        <w:rPr>
          <w:rFonts w:ascii="Book Antiqua" w:eastAsia="Calibri" w:hAnsi="Book Antiqua" w:cs="Times New Roman"/>
          <w:bCs/>
          <w:color w:val="000000"/>
          <w:sz w:val="24"/>
          <w:szCs w:val="24"/>
          <w:highlight w:val="yellow"/>
          <w:u w:color="000000"/>
        </w:rPr>
      </w:pPr>
    </w:p>
    <w:p w14:paraId="48ACBAEC" w14:textId="77777777" w:rsidR="00E54724" w:rsidRPr="00E54724" w:rsidRDefault="00E54724" w:rsidP="00E54724">
      <w:pPr>
        <w:widowControl/>
        <w:spacing w:line="360" w:lineRule="auto"/>
        <w:rPr>
          <w:rFonts w:ascii="Book Antiqua" w:eastAsia="SimSun" w:hAnsi="Book Antiqua" w:cs="Times New Roman"/>
          <w:b/>
          <w:bCs/>
          <w:color w:val="000000"/>
          <w:sz w:val="24"/>
          <w:szCs w:val="24"/>
          <w:u w:color="000000"/>
          <w:lang w:val="it-IT"/>
        </w:rPr>
      </w:pPr>
      <w:r w:rsidRPr="00E54724">
        <w:rPr>
          <w:rFonts w:ascii="Book Antiqua" w:eastAsia="Calibri" w:hAnsi="Book Antiqua" w:cs="Times New Roman"/>
          <w:b/>
          <w:bCs/>
          <w:color w:val="000000"/>
          <w:sz w:val="24"/>
          <w:szCs w:val="24"/>
          <w:u w:color="000000"/>
          <w:lang w:val="it-IT"/>
        </w:rPr>
        <w:t>DISCUSSION</w:t>
      </w:r>
    </w:p>
    <w:p w14:paraId="258BD291"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sz w:val="24"/>
          <w:szCs w:val="24"/>
        </w:rPr>
        <w:t>In this systematic review and meta-analysis, we attempted to collect evidence for BM-MNC, or particularly, bone marrow stem cell (BMSC) transplantation as a potential therapeutic approach for patients with decompensated liver disease. It is suggested that pluripotent nonhematopoietic stem cells derived from the BM may be able to repopulate the impaired liver and improve its function</w:t>
      </w:r>
      <w:r w:rsidRPr="00E54724">
        <w:rPr>
          <w:rFonts w:ascii="Book Antiqua" w:eastAsia="SimSun" w:hAnsi="Book Antiqua" w:cs="Times New Roman"/>
          <w:sz w:val="24"/>
          <w:szCs w:val="24"/>
          <w:vertAlign w:val="superscript"/>
        </w:rPr>
        <w:t>[10]</w:t>
      </w:r>
      <w:r w:rsidRPr="00E54724">
        <w:rPr>
          <w:rFonts w:ascii="Book Antiqua" w:eastAsia="SimSun" w:hAnsi="Book Antiqua" w:cs="Times New Roman"/>
          <w:sz w:val="24"/>
          <w:szCs w:val="24"/>
        </w:rPr>
        <w:t>. Genomic plasticity is the intrinsic foundation of trans-differentiation of BMSCs</w:t>
      </w:r>
      <w:r w:rsidRPr="00E54724">
        <w:rPr>
          <w:rFonts w:ascii="Book Antiqua" w:eastAsia="SimSun" w:hAnsi="Book Antiqua" w:cs="Times New Roman"/>
          <w:sz w:val="24"/>
          <w:szCs w:val="24"/>
          <w:vertAlign w:val="superscript"/>
        </w:rPr>
        <w:t>[22]</w:t>
      </w:r>
      <w:r w:rsidRPr="00E54724">
        <w:rPr>
          <w:rFonts w:ascii="Book Antiqua" w:eastAsia="SimSun" w:hAnsi="Book Antiqua" w:cs="Times New Roman"/>
          <w:sz w:val="24"/>
          <w:szCs w:val="24"/>
        </w:rPr>
        <w:t>. Besides, BM-MNCs may facilitate differentiation of BM nonhemetopoietic stem cells into hepatoblasts and hepatocytes by remodeling the liver microenrivonment</w:t>
      </w:r>
      <w:r w:rsidRPr="00E54724">
        <w:rPr>
          <w:rFonts w:ascii="Book Antiqua" w:eastAsia="SimSun" w:hAnsi="Book Antiqua" w:cs="Times New Roman"/>
          <w:sz w:val="24"/>
          <w:szCs w:val="24"/>
          <w:vertAlign w:val="superscript"/>
        </w:rPr>
        <w:t>[23]</w:t>
      </w:r>
      <w:r w:rsidRPr="00E54724">
        <w:rPr>
          <w:rFonts w:ascii="Book Antiqua" w:eastAsia="SimSun" w:hAnsi="Book Antiqua" w:cs="Times New Roman"/>
          <w:sz w:val="24"/>
          <w:szCs w:val="24"/>
        </w:rPr>
        <w:t>. Many growth factors such as granulocyte colony-stimulating factor and hepatic growth factor were also found faciliate the effectiveness of BM-MNC transplantation by stimulating cell proliferation or suppressing liver inflammation and fibrosis</w:t>
      </w:r>
      <w:r w:rsidRPr="00E54724">
        <w:rPr>
          <w:rFonts w:ascii="Book Antiqua" w:eastAsia="SimSun" w:hAnsi="Book Antiqua" w:cs="Times New Roman"/>
          <w:sz w:val="24"/>
          <w:szCs w:val="24"/>
          <w:vertAlign w:val="superscript"/>
        </w:rPr>
        <w:t>[24,25]</w:t>
      </w:r>
      <w:r w:rsidRPr="00E54724">
        <w:rPr>
          <w:rFonts w:ascii="Book Antiqua" w:eastAsia="SimSun" w:hAnsi="Book Antiqua" w:cs="Times New Roman"/>
          <w:sz w:val="24"/>
          <w:szCs w:val="24"/>
        </w:rPr>
        <w:t>. In addition, transplanted BM-MNCs may have different roles according to the etiology of liver disease, which may influence the clinical effects of BM transplantation. Most patients in the included studies have hepatitis virus (either HBV or HCV) infection and/or alcholic explosure, and were suffer from decompensate liver cirrhosis (see Table 1). Limited evidence has shown that BM-MNC transplantation might help remove the viruses. In Salama‘s study, there was a negative correlation between HCV titer changes and changes in AST at 3 and 6 mo after cell transplantation, and a moderate negative correlation between HCV titer changes and changes in ALT at 2 mo after cell transplantation</w:t>
      </w:r>
      <w:r w:rsidRPr="00E54724">
        <w:rPr>
          <w:rFonts w:ascii="Book Antiqua" w:eastAsia="SimSun" w:hAnsi="Book Antiqua" w:cs="Times New Roman"/>
          <w:sz w:val="24"/>
          <w:szCs w:val="24"/>
          <w:vertAlign w:val="superscript"/>
        </w:rPr>
        <w:t>[13]</w:t>
      </w:r>
      <w:r w:rsidRPr="00E54724">
        <w:rPr>
          <w:rFonts w:ascii="Book Antiqua" w:eastAsia="SimSun" w:hAnsi="Book Antiqua" w:cs="Times New Roman"/>
          <w:sz w:val="24"/>
          <w:szCs w:val="24"/>
        </w:rPr>
        <w:t>. However, another study has demonstrated that the severity of liver disease is independent of serum levels of HCV</w:t>
      </w:r>
      <w:r w:rsidRPr="00E54724">
        <w:rPr>
          <w:rFonts w:ascii="Book Antiqua" w:eastAsia="SimSun" w:hAnsi="Book Antiqua" w:cs="Times New Roman"/>
          <w:sz w:val="24"/>
          <w:szCs w:val="24"/>
          <w:vertAlign w:val="superscript"/>
        </w:rPr>
        <w:t>[26]</w:t>
      </w:r>
      <w:r w:rsidRPr="00E54724">
        <w:rPr>
          <w:rFonts w:ascii="Book Antiqua" w:eastAsia="SimSun" w:hAnsi="Book Antiqua" w:cs="Times New Roman"/>
          <w:sz w:val="24"/>
          <w:szCs w:val="24"/>
        </w:rPr>
        <w:t>. To date, no direct antivirus effect of BM-MNCs has been clearly demonstrated, and this possible role, if it exists, could be due to enhancement of hepatic local immune function induced by BM-MNCs. In general, autologous BM-MNC transplantation may restore liver function from two aspects: help repair the damaged liver, and may be beneficial for hepatitis virus clearance. However, the exact process whereby BM-MNCs promote hepatocyte regeneration or liver restoration remains to be determined.</w:t>
      </w:r>
    </w:p>
    <w:p w14:paraId="0019CE8F" w14:textId="77777777" w:rsidR="00E54724" w:rsidRPr="00E54724" w:rsidRDefault="009C3C2C"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Pr>
          <w:rFonts w:ascii="Book Antiqua" w:eastAsia="SimSun" w:hAnsi="Book Antiqua" w:cs="Times New Roman"/>
          <w:sz w:val="24"/>
          <w:szCs w:val="24"/>
        </w:rPr>
        <w:lastRenderedPageBreak/>
        <w:t xml:space="preserve"> </w:t>
      </w:r>
      <w:r w:rsidR="00E54724" w:rsidRPr="00E54724">
        <w:rPr>
          <w:rFonts w:ascii="Book Antiqua" w:eastAsia="SimSun" w:hAnsi="Book Antiqua" w:cs="Times New Roman"/>
          <w:sz w:val="24"/>
          <w:szCs w:val="24"/>
        </w:rPr>
        <w:t xml:space="preserve">There usually was a gradual improvement in the hepatic functional reserve in the patients who underwent </w:t>
      </w:r>
      <w:r w:rsidR="00E54724" w:rsidRPr="00E54724">
        <w:rPr>
          <w:rFonts w:ascii="Book Antiqua" w:eastAsia="SimSun" w:hAnsi="Book Antiqua" w:cs="Times New Roman" w:hint="eastAsia"/>
          <w:sz w:val="24"/>
          <w:szCs w:val="24"/>
        </w:rPr>
        <w:t>BM-MNC</w:t>
      </w:r>
      <w:r w:rsidR="00E54724" w:rsidRPr="00E54724">
        <w:rPr>
          <w:rFonts w:ascii="Book Antiqua" w:eastAsia="SimSun" w:hAnsi="Book Antiqua" w:cs="Times New Roman"/>
          <w:sz w:val="24"/>
          <w:szCs w:val="24"/>
        </w:rPr>
        <w:t xml:space="preserve"> transplantation</w:t>
      </w:r>
      <w:r w:rsidR="00E54724" w:rsidRPr="00E54724">
        <w:rPr>
          <w:rFonts w:ascii="Book Antiqua" w:eastAsia="SimSun" w:hAnsi="Book Antiqua" w:cs="Times New Roman" w:hint="eastAsia"/>
          <w:sz w:val="24"/>
          <w:szCs w:val="24"/>
        </w:rPr>
        <w:t>. For instance, t</w:t>
      </w:r>
      <w:r w:rsidR="00E54724" w:rsidRPr="00E54724">
        <w:rPr>
          <w:rFonts w:ascii="Book Antiqua" w:eastAsia="SimSun" w:hAnsi="Book Antiqua" w:cs="Times New Roman"/>
          <w:sz w:val="24"/>
          <w:szCs w:val="24"/>
        </w:rPr>
        <w:t>he maximum improvement in Child-Pugh score occurred after 6 mo in the largest cohort of HCV-associated end-stage liver disease patients</w:t>
      </w:r>
      <w:r w:rsidR="00E54724" w:rsidRPr="00E54724">
        <w:rPr>
          <w:rFonts w:ascii="Book Antiqua" w:eastAsia="SimSun" w:hAnsi="Book Antiqua" w:cs="Times New Roman"/>
          <w:noProof/>
          <w:sz w:val="24"/>
          <w:szCs w:val="24"/>
          <w:vertAlign w:val="superscript"/>
        </w:rPr>
        <w:t>[14]</w:t>
      </w:r>
      <w:r w:rsidR="00E54724" w:rsidRPr="00E54724">
        <w:rPr>
          <w:rFonts w:ascii="Book Antiqua" w:eastAsia="SimSun" w:hAnsi="Book Antiqua" w:cs="Times New Roman"/>
          <w:sz w:val="24"/>
          <w:szCs w:val="24"/>
        </w:rPr>
        <w:t xml:space="preserve">. </w:t>
      </w:r>
      <w:r w:rsidR="00E54724" w:rsidRPr="00E54724">
        <w:rPr>
          <w:rFonts w:ascii="Book Antiqua" w:eastAsia="SimSun" w:hAnsi="Book Antiqua" w:cs="Times New Roman" w:hint="eastAsia"/>
          <w:sz w:val="24"/>
          <w:szCs w:val="24"/>
        </w:rPr>
        <w:t>On the other hand, the long-term benefits of BM-MNC transplantation were not as convincible as the short-term ones.</w:t>
      </w:r>
      <w:r w:rsidR="00E54724" w:rsidRPr="00E54724">
        <w:rPr>
          <w:rFonts w:ascii="Book Antiqua" w:eastAsia="SimSun" w:hAnsi="Book Antiqua" w:cs="Times New Roman"/>
          <w:sz w:val="24"/>
          <w:szCs w:val="24"/>
        </w:rPr>
        <w:t xml:space="preserve"> Peng </w:t>
      </w:r>
      <w:r w:rsidR="00E54724" w:rsidRPr="00E54724">
        <w:rPr>
          <w:rFonts w:ascii="Book Antiqua" w:eastAsia="SimSun" w:hAnsi="Book Antiqua" w:cs="Times New Roman"/>
          <w:i/>
          <w:sz w:val="24"/>
          <w:szCs w:val="24"/>
        </w:rPr>
        <w:t>et al</w:t>
      </w:r>
      <w:r w:rsidR="00E54724" w:rsidRPr="00E54724">
        <w:rPr>
          <w:rFonts w:ascii="Book Antiqua" w:eastAsia="Times New Roman" w:hAnsi="Book Antiqua" w:cs="Times New Roman"/>
          <w:sz w:val="24"/>
          <w:szCs w:val="24"/>
          <w:vertAlign w:val="superscript"/>
          <w:lang w:val="x-none" w:eastAsia="en-US"/>
        </w:rPr>
        <w:t>[</w:t>
      </w:r>
      <w:r w:rsidR="00E54724" w:rsidRPr="00E54724">
        <w:rPr>
          <w:rFonts w:ascii="Book Antiqua" w:eastAsia="SimSun" w:hAnsi="Book Antiqua" w:cs="Times New Roman"/>
          <w:sz w:val="24"/>
          <w:szCs w:val="24"/>
          <w:vertAlign w:val="superscript"/>
        </w:rPr>
        <w:t>15</w:t>
      </w:r>
      <w:r w:rsidR="00E54724" w:rsidRPr="00E54724">
        <w:rPr>
          <w:rFonts w:ascii="Book Antiqua" w:eastAsia="Times New Roman" w:hAnsi="Book Antiqua" w:cs="Times New Roman"/>
          <w:sz w:val="24"/>
          <w:szCs w:val="24"/>
          <w:vertAlign w:val="superscript"/>
          <w:lang w:val="x-none" w:eastAsia="en-US"/>
        </w:rPr>
        <w:t>]</w:t>
      </w:r>
      <w:r w:rsidR="00E54724" w:rsidRPr="00E54724">
        <w:rPr>
          <w:rFonts w:ascii="Book Antiqua" w:eastAsia="SimSun" w:hAnsi="Book Antiqua" w:cs="Times New Roman"/>
          <w:sz w:val="24"/>
          <w:szCs w:val="24"/>
        </w:rPr>
        <w:t xml:space="preserve"> documented the positive results of short-term analysis; however, a longer investigation revealed these beneficial effects failed to last more than 2 years. Indeed, </w:t>
      </w:r>
      <w:r w:rsidR="00E54724" w:rsidRPr="00E54724">
        <w:rPr>
          <w:rFonts w:ascii="Book Antiqua" w:eastAsia="SimSun" w:hAnsi="Book Antiqua" w:cs="Tahoma"/>
          <w:color w:val="000000"/>
          <w:sz w:val="24"/>
          <w:szCs w:val="24"/>
        </w:rPr>
        <w:t>most relevant studies only reported short-term benefits</w:t>
      </w:r>
      <w:r w:rsidR="00E54724" w:rsidRPr="00E54724">
        <w:rPr>
          <w:rFonts w:ascii="Book Antiqua" w:eastAsia="SimSun" w:hAnsi="Book Antiqua" w:cs="Tahoma" w:hint="eastAsia"/>
          <w:color w:val="000000"/>
          <w:sz w:val="24"/>
          <w:szCs w:val="24"/>
        </w:rPr>
        <w:t>, and</w:t>
      </w:r>
      <w:r w:rsidR="00E54724" w:rsidRPr="00E54724">
        <w:rPr>
          <w:rFonts w:ascii="Book Antiqua" w:eastAsia="SimSun" w:hAnsi="Book Antiqua" w:cs="Tahoma"/>
          <w:color w:val="000000"/>
          <w:sz w:val="24"/>
          <w:szCs w:val="24"/>
        </w:rPr>
        <w:t xml:space="preserve"> for the studies containing long-term results, beneficial effects failed to last for long.</w:t>
      </w:r>
      <w:r w:rsidR="00E54724" w:rsidRPr="00E54724">
        <w:rPr>
          <w:rFonts w:ascii="Book Antiqua" w:eastAsia="SimSun" w:hAnsi="Book Antiqua" w:cs="Tahoma" w:hint="eastAsia"/>
          <w:color w:val="000000"/>
          <w:sz w:val="24"/>
          <w:szCs w:val="24"/>
        </w:rPr>
        <w:t xml:space="preserve"> </w:t>
      </w:r>
      <w:r w:rsidR="00E54724" w:rsidRPr="00E54724">
        <w:rPr>
          <w:rFonts w:ascii="Book Antiqua" w:eastAsia="SimSun" w:hAnsi="Book Antiqua" w:cs="Tahoma"/>
          <w:color w:val="000000"/>
          <w:sz w:val="24"/>
          <w:szCs w:val="24"/>
        </w:rPr>
        <w:t xml:space="preserve">Many reasons involved in the ambiguous results in long-term follow up. For instance, the parameters used to assess the clinical improvement are different. These parameters have different clinical implications, and some of them are more sensible than others. Another reason is that the details of autologous </w:t>
      </w:r>
      <w:r w:rsidR="00E54724" w:rsidRPr="00E54724">
        <w:rPr>
          <w:rFonts w:ascii="Book Antiqua" w:eastAsia="SimSun" w:hAnsi="Book Antiqua" w:cs="Tahoma" w:hint="eastAsia"/>
          <w:color w:val="000000"/>
          <w:sz w:val="24"/>
          <w:szCs w:val="24"/>
        </w:rPr>
        <w:t xml:space="preserve">BM-MNC </w:t>
      </w:r>
      <w:r w:rsidR="00E54724" w:rsidRPr="00E54724">
        <w:rPr>
          <w:rFonts w:ascii="Book Antiqua" w:eastAsia="SimSun" w:hAnsi="Book Antiqua" w:cs="Tahoma"/>
          <w:color w:val="000000"/>
          <w:sz w:val="24"/>
          <w:szCs w:val="24"/>
        </w:rPr>
        <w:t>transplantation are actually distinct among the studies, causing different long-term results. Thirdly, the activity of transplanted cells and whether they have induced the process of liver repopulation are critical to preserve long-term effects of this therapy. Accordingly, two strategies are needed to verity and improve the long-term effects. On one hand, basic researchers need to understand the biological process of BMSC-induced liver repopulation, and find appropriate methods to boost it. On the other hand, clinical investigators should use more parameters to comprehensively evaluate the clinical improvement.</w:t>
      </w:r>
    </w:p>
    <w:p w14:paraId="7915FB2B" w14:textId="77777777" w:rsidR="00E54724" w:rsidRPr="00E54724" w:rsidRDefault="009C3C2C"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Pr>
          <w:rFonts w:ascii="Book Antiqua" w:eastAsia="SimSun" w:hAnsi="Book Antiqua" w:cs="Times New Roman" w:hint="eastAsia"/>
          <w:sz w:val="24"/>
          <w:szCs w:val="24"/>
        </w:rPr>
        <w:t xml:space="preserve"> </w:t>
      </w:r>
      <w:r w:rsidR="00E54724" w:rsidRPr="00E54724">
        <w:rPr>
          <w:rFonts w:ascii="Book Antiqua" w:eastAsia="SimSun" w:hAnsi="Book Antiqua" w:cs="Times New Roman"/>
          <w:sz w:val="24"/>
          <w:szCs w:val="24"/>
          <w:lang w:eastAsia="en-US"/>
        </w:rPr>
        <w:t>Given the undetermined role of BM-MNC transplantation in long-term follow-up, some investigators have tried to assess whether repetitive transplantation of autologous BM-MNCs at regular intervals could be a strategy for improving the conditions of decompensated cirrhosis</w:t>
      </w:r>
      <w:r w:rsidR="00E54724" w:rsidRPr="00E54724">
        <w:rPr>
          <w:rFonts w:ascii="Book Antiqua" w:eastAsia="SimSun" w:hAnsi="Book Antiqua" w:cs="Times New Roman"/>
          <w:sz w:val="24"/>
          <w:szCs w:val="24"/>
          <w:vertAlign w:val="superscript"/>
          <w:lang w:eastAsia="en-US"/>
        </w:rPr>
        <w:t>[21]</w:t>
      </w:r>
      <w:r w:rsidR="00E54724" w:rsidRPr="00E54724">
        <w:rPr>
          <w:rFonts w:ascii="Book Antiqua" w:eastAsia="SimSun" w:hAnsi="Book Antiqua" w:cs="Times New Roman"/>
          <w:sz w:val="24"/>
          <w:szCs w:val="24"/>
          <w:lang w:eastAsia="en-US"/>
        </w:rPr>
        <w:t>. Repeated autologous BMSC infusions or the combination of cell therapy with granulocyte colony-stimulating factor might be a promising treatment option for patients with advanced chronic liver disease</w:t>
      </w:r>
      <w:r w:rsidR="00E54724" w:rsidRPr="00E54724">
        <w:rPr>
          <w:rFonts w:ascii="Book Antiqua" w:eastAsia="SimSun" w:hAnsi="Book Antiqua" w:cs="Times New Roman"/>
          <w:noProof/>
          <w:sz w:val="24"/>
          <w:szCs w:val="24"/>
          <w:vertAlign w:val="superscript"/>
          <w:lang w:eastAsia="en-US"/>
        </w:rPr>
        <w:t>[2]</w:t>
      </w:r>
      <w:r w:rsidR="00E54724" w:rsidRPr="00E54724">
        <w:rPr>
          <w:rFonts w:ascii="Book Antiqua" w:eastAsia="SimSun" w:hAnsi="Book Antiqua" w:cs="Times New Roman"/>
          <w:sz w:val="24"/>
          <w:szCs w:val="24"/>
          <w:lang w:eastAsia="en-US"/>
        </w:rPr>
        <w:t xml:space="preserve">. </w:t>
      </w:r>
      <w:r w:rsidR="00E54724" w:rsidRPr="00E54724">
        <w:rPr>
          <w:rFonts w:ascii="Book Antiqua" w:eastAsia="SimSun" w:hAnsi="Book Antiqua" w:cs="Times New Roman"/>
          <w:sz w:val="24"/>
          <w:szCs w:val="24"/>
        </w:rPr>
        <w:t>Nevertheless, it has been shown that transfusion through peripheral veins might results in promising outcomes</w:t>
      </w:r>
      <w:r w:rsidR="00E54724" w:rsidRPr="00E54724">
        <w:rPr>
          <w:rFonts w:ascii="Book Antiqua" w:eastAsia="SimSun" w:hAnsi="Book Antiqua" w:cs="Times New Roman"/>
          <w:noProof/>
          <w:color w:val="231F20"/>
          <w:sz w:val="24"/>
          <w:szCs w:val="24"/>
          <w:vertAlign w:val="superscript"/>
        </w:rPr>
        <w:t>[</w:t>
      </w:r>
      <w:r w:rsidR="00E54724" w:rsidRPr="00E54724">
        <w:rPr>
          <w:rFonts w:ascii="Book Antiqua" w:eastAsia="SimSun" w:hAnsi="Book Antiqua" w:cs="Times New Roman"/>
          <w:noProof/>
          <w:color w:val="231F20"/>
          <w:sz w:val="24"/>
          <w:szCs w:val="24"/>
          <w:u w:color="231F20"/>
          <w:vertAlign w:val="superscript"/>
        </w:rPr>
        <w:t>6</w:t>
      </w:r>
      <w:r w:rsidR="00E54724" w:rsidRPr="00E54724">
        <w:rPr>
          <w:rFonts w:ascii="Book Antiqua" w:eastAsia="SimSun" w:hAnsi="Book Antiqua" w:cs="Times New Roman"/>
          <w:noProof/>
          <w:color w:val="231F20"/>
          <w:sz w:val="24"/>
          <w:szCs w:val="24"/>
          <w:vertAlign w:val="superscript"/>
        </w:rPr>
        <w:t>,</w:t>
      </w:r>
      <w:r w:rsidR="00E54724" w:rsidRPr="00E54724">
        <w:rPr>
          <w:rFonts w:ascii="Book Antiqua" w:eastAsia="SimSun" w:hAnsi="Book Antiqua" w:cs="Times New Roman"/>
          <w:noProof/>
          <w:color w:val="231F20"/>
          <w:sz w:val="24"/>
          <w:szCs w:val="24"/>
          <w:u w:color="231F20"/>
          <w:vertAlign w:val="superscript"/>
        </w:rPr>
        <w:t>8</w:t>
      </w:r>
      <w:r w:rsidR="00E54724" w:rsidRPr="00E54724">
        <w:rPr>
          <w:rFonts w:ascii="Book Antiqua" w:eastAsia="SimSun" w:hAnsi="Book Antiqua" w:cs="Times New Roman"/>
          <w:noProof/>
          <w:color w:val="231F20"/>
          <w:sz w:val="24"/>
          <w:szCs w:val="24"/>
          <w:vertAlign w:val="superscript"/>
        </w:rPr>
        <w:t>]</w:t>
      </w:r>
      <w:r w:rsidR="00E54724" w:rsidRPr="00E54724">
        <w:rPr>
          <w:rFonts w:ascii="Book Antiqua" w:eastAsia="SimSun" w:hAnsi="Book Antiqua" w:cs="Times New Roman"/>
          <w:color w:val="231F20"/>
          <w:sz w:val="24"/>
          <w:szCs w:val="24"/>
        </w:rPr>
        <w:t xml:space="preserve">. However, </w:t>
      </w:r>
      <w:r w:rsidR="00E54724" w:rsidRPr="00E54724">
        <w:rPr>
          <w:rFonts w:ascii="Book Antiqua" w:eastAsia="SimSun" w:hAnsi="Book Antiqua" w:cs="Times New Roman"/>
          <w:sz w:val="24"/>
          <w:szCs w:val="24"/>
          <w:lang w:val="pt-PT"/>
        </w:rPr>
        <w:t xml:space="preserve">Mohamadnejad </w:t>
      </w:r>
      <w:r w:rsidR="00E54724" w:rsidRPr="00E54724">
        <w:rPr>
          <w:rFonts w:ascii="Book Antiqua" w:eastAsia="SimSun" w:hAnsi="Book Antiqua" w:cs="Times New Roman"/>
          <w:color w:val="231F20"/>
          <w:sz w:val="24"/>
          <w:szCs w:val="24"/>
        </w:rPr>
        <w:t xml:space="preserve">and colleagues recommended that </w:t>
      </w:r>
      <w:r w:rsidR="00E54724" w:rsidRPr="00E54724">
        <w:rPr>
          <w:rFonts w:ascii="Book Antiqua" w:eastAsia="SimSun" w:hAnsi="Book Antiqua" w:cs="Times New Roman"/>
          <w:sz w:val="24"/>
          <w:szCs w:val="24"/>
        </w:rPr>
        <w:t xml:space="preserve">infusion of BMSCs through peripheral veins was probably not beneficial in decompensated </w:t>
      </w:r>
      <w:r w:rsidR="00E54724" w:rsidRPr="00E54724">
        <w:rPr>
          <w:rFonts w:ascii="Book Antiqua" w:eastAsia="SimSun" w:hAnsi="Book Antiqua" w:cs="Times New Roman"/>
          <w:sz w:val="24"/>
          <w:szCs w:val="24"/>
        </w:rPr>
        <w:lastRenderedPageBreak/>
        <w:t>cirrhosis by concluding that “liver transplantation is still considered the standard treatment for decompensated cirrhosis”</w:t>
      </w:r>
      <w:r w:rsidR="00E54724" w:rsidRPr="00E54724">
        <w:rPr>
          <w:rFonts w:ascii="Book Antiqua" w:eastAsia="SimSun" w:hAnsi="Book Antiqua" w:cs="Times New Roman"/>
          <w:noProof/>
          <w:sz w:val="24"/>
          <w:szCs w:val="24"/>
          <w:vertAlign w:val="superscript"/>
        </w:rPr>
        <w:t>[19]</w:t>
      </w:r>
      <w:r w:rsidR="00E54724" w:rsidRPr="00E54724">
        <w:rPr>
          <w:rFonts w:ascii="Book Antiqua" w:eastAsia="SimSun" w:hAnsi="Book Antiqua" w:cs="Times New Roman"/>
          <w:sz w:val="24"/>
          <w:szCs w:val="24"/>
          <w:vertAlign w:val="subscript"/>
        </w:rPr>
        <w:t>.</w:t>
      </w:r>
      <w:r w:rsidR="00E54724" w:rsidRPr="00E54724">
        <w:rPr>
          <w:rFonts w:ascii="Book Antiqua" w:eastAsia="SimSun" w:hAnsi="Book Antiqua" w:cs="Times New Roman"/>
          <w:sz w:val="24"/>
          <w:szCs w:val="24"/>
          <w:vertAlign w:val="superscript"/>
        </w:rPr>
        <w:t xml:space="preserve"> </w:t>
      </w:r>
      <w:r w:rsidR="00E54724" w:rsidRPr="00E54724">
        <w:rPr>
          <w:rFonts w:ascii="Book Antiqua" w:eastAsia="SimSun" w:hAnsi="Book Antiqua" w:cs="Times New Roman"/>
          <w:sz w:val="24"/>
          <w:szCs w:val="24"/>
        </w:rPr>
        <w:t>We needs to be reminded that the natural history of cirrhosis is often varying. How to improve the infusion method, and optimize the cell transplant type and transplantation strategy remains to be further studied</w:t>
      </w:r>
      <w:r w:rsidR="00E54724" w:rsidRPr="00E54724">
        <w:rPr>
          <w:rFonts w:ascii="Book Antiqua" w:eastAsia="SimSun" w:hAnsi="Book Antiqua" w:cs="Times New Roman"/>
          <w:sz w:val="24"/>
          <w:szCs w:val="24"/>
          <w:vertAlign w:val="superscript"/>
        </w:rPr>
        <w:t>[21]</w:t>
      </w:r>
      <w:r w:rsidR="00E54724" w:rsidRPr="00E54724">
        <w:rPr>
          <w:rFonts w:ascii="Book Antiqua" w:eastAsia="SimSun" w:hAnsi="Book Antiqua" w:cs="Times New Roman"/>
          <w:sz w:val="24"/>
          <w:szCs w:val="24"/>
        </w:rPr>
        <w:fldChar w:fldCharType="begin"/>
      </w:r>
      <w:r w:rsidR="00E54724" w:rsidRPr="00E54724">
        <w:rPr>
          <w:rFonts w:ascii="Book Antiqua" w:eastAsia="SimSun" w:hAnsi="Book Antiqua" w:cs="Times New Roman"/>
          <w:sz w:val="24"/>
          <w:szCs w:val="24"/>
        </w:rPr>
        <w:fldChar w:fldCharType="separate"/>
      </w:r>
      <w:r w:rsidR="00E54724" w:rsidRPr="00E54724">
        <w:rPr>
          <w:rFonts w:ascii="Book Antiqua" w:eastAsia="SimSun" w:hAnsi="Book Antiqua" w:cs="Times New Roman"/>
          <w:sz w:val="24"/>
          <w:szCs w:val="24"/>
        </w:rPr>
        <w:t>[Khurana, 2008 #2341;Bai, 2014 #2356]</w:t>
      </w:r>
      <w:r w:rsidR="00E54724" w:rsidRPr="00E54724">
        <w:rPr>
          <w:rFonts w:ascii="Book Antiqua" w:eastAsia="SimSun" w:hAnsi="Book Antiqua" w:cs="Times New Roman"/>
          <w:sz w:val="24"/>
          <w:szCs w:val="24"/>
        </w:rPr>
        <w:fldChar w:fldCharType="end"/>
      </w:r>
      <w:r w:rsidR="00E54724" w:rsidRPr="00E54724">
        <w:rPr>
          <w:rFonts w:ascii="Book Antiqua" w:eastAsia="SimSun" w:hAnsi="Book Antiqua" w:cs="Times New Roman"/>
          <w:sz w:val="24"/>
          <w:szCs w:val="24"/>
        </w:rPr>
        <w:t>. Long-term studies are needed to improve BM-MNC transplantation for treatment of cirrhosis.</w:t>
      </w:r>
    </w:p>
    <w:p w14:paraId="5B519BCE" w14:textId="77777777" w:rsidR="00E54724" w:rsidRPr="00E54724" w:rsidRDefault="009C3C2C" w:rsidP="00E54724">
      <w:pPr>
        <w:widowControl/>
        <w:spacing w:line="360" w:lineRule="auto"/>
        <w:rPr>
          <w:rFonts w:ascii="Book Antiqua" w:eastAsia="Calibri" w:hAnsi="Book Antiqua" w:cs="Times New Roman"/>
          <w:color w:val="000000"/>
          <w:sz w:val="24"/>
          <w:szCs w:val="24"/>
          <w:u w:color="000000"/>
        </w:rPr>
      </w:pPr>
      <w:r>
        <w:rPr>
          <w:rFonts w:ascii="Book Antiqua" w:eastAsia="Book Antiqua" w:hAnsi="Book Antiqua" w:cs="Times New Roman"/>
          <w:color w:val="000000"/>
          <w:sz w:val="24"/>
          <w:szCs w:val="24"/>
          <w:u w:color="000000"/>
        </w:rPr>
        <w:t xml:space="preserve"> </w:t>
      </w:r>
      <w:r w:rsidR="00E54724" w:rsidRPr="00E54724">
        <w:rPr>
          <w:rFonts w:ascii="Book Antiqua" w:eastAsia="Book Antiqua" w:hAnsi="Book Antiqua" w:cs="Times New Roman" w:hint="eastAsia"/>
          <w:color w:val="000000"/>
          <w:sz w:val="24"/>
          <w:szCs w:val="24"/>
          <w:u w:color="000000"/>
        </w:rPr>
        <w:t xml:space="preserve">Due </w:t>
      </w:r>
      <w:r w:rsidR="00E54724" w:rsidRPr="00E54724">
        <w:rPr>
          <w:rFonts w:ascii="Book Antiqua" w:eastAsia="Book Antiqua" w:hAnsi="Book Antiqua" w:cs="Times New Roman"/>
          <w:color w:val="000000"/>
          <w:sz w:val="24"/>
          <w:szCs w:val="24"/>
          <w:u w:color="000000"/>
        </w:rPr>
        <w:t>to the</w:t>
      </w:r>
      <w:r w:rsidR="00E54724" w:rsidRPr="00E54724">
        <w:rPr>
          <w:rFonts w:ascii="Book Antiqua" w:eastAsia="Book Antiqua" w:hAnsi="Book Antiqua" w:cs="Times New Roman" w:hint="eastAsia"/>
          <w:color w:val="000000"/>
          <w:sz w:val="24"/>
          <w:szCs w:val="24"/>
          <w:u w:color="000000"/>
        </w:rPr>
        <w:t xml:space="preserve"> considerable </w:t>
      </w:r>
      <w:r w:rsidR="00E54724" w:rsidRPr="00E54724">
        <w:rPr>
          <w:rFonts w:ascii="Book Antiqua" w:eastAsia="Book Antiqua" w:hAnsi="Book Antiqua" w:cs="Times New Roman"/>
          <w:color w:val="000000"/>
          <w:sz w:val="24"/>
          <w:szCs w:val="24"/>
          <w:u w:color="000000"/>
        </w:rPr>
        <w:t>clinical</w:t>
      </w:r>
      <w:r w:rsidR="00E54724" w:rsidRPr="00E54724">
        <w:rPr>
          <w:rFonts w:ascii="Book Antiqua" w:eastAsia="Book Antiqua" w:hAnsi="Book Antiqua" w:cs="Times New Roman" w:hint="eastAsia"/>
          <w:color w:val="000000"/>
          <w:sz w:val="24"/>
          <w:szCs w:val="24"/>
          <w:u w:color="000000"/>
        </w:rPr>
        <w:t xml:space="preserve"> and statistical heterogeneity among these studies, the results of the meta-analysis should be </w:t>
      </w:r>
      <w:r w:rsidR="00E54724" w:rsidRPr="00E54724">
        <w:rPr>
          <w:rFonts w:ascii="Book Antiqua" w:eastAsia="Book Antiqua" w:hAnsi="Book Antiqua" w:cs="Times New Roman"/>
          <w:color w:val="000000"/>
          <w:sz w:val="24"/>
          <w:szCs w:val="24"/>
          <w:u w:color="000000"/>
        </w:rPr>
        <w:t>cautiously</w:t>
      </w:r>
      <w:r w:rsidR="00E54724" w:rsidRPr="00E54724">
        <w:rPr>
          <w:rFonts w:ascii="Book Antiqua" w:eastAsia="Book Antiqua" w:hAnsi="Book Antiqua" w:cs="Times New Roman" w:hint="eastAsia"/>
          <w:color w:val="000000"/>
          <w:sz w:val="24"/>
          <w:szCs w:val="24"/>
          <w:u w:color="000000"/>
        </w:rPr>
        <w:t xml:space="preserve"> interpreted. Several reasons contributed to the heterogeneity. Firstly, only a half of the included studies were RCTs, and the </w:t>
      </w:r>
      <w:r w:rsidR="00E54724" w:rsidRPr="00E54724">
        <w:rPr>
          <w:rFonts w:ascii="Book Antiqua" w:eastAsia="Book Antiqua" w:hAnsi="Book Antiqua" w:cs="Times New Roman"/>
          <w:color w:val="000000"/>
          <w:sz w:val="24"/>
          <w:szCs w:val="24"/>
          <w:u w:color="000000"/>
        </w:rPr>
        <w:t>inclusion</w:t>
      </w:r>
      <w:r w:rsidR="00E54724" w:rsidRPr="00E54724">
        <w:rPr>
          <w:rFonts w:ascii="Book Antiqua" w:eastAsia="Book Antiqua" w:hAnsi="Book Antiqua" w:cs="Times New Roman" w:hint="eastAsia"/>
          <w:color w:val="000000"/>
          <w:sz w:val="24"/>
          <w:szCs w:val="24"/>
          <w:u w:color="000000"/>
        </w:rPr>
        <w:t xml:space="preserve"> of non-RCTs reduced the quality of evidence. Particularly, since BM transplantation is an invasive procedure and needs general </w:t>
      </w:r>
      <w:r w:rsidR="00E54724" w:rsidRPr="00E54724">
        <w:rPr>
          <w:rFonts w:ascii="Book Antiqua" w:eastAsia="Book Antiqua" w:hAnsi="Book Antiqua" w:cs="Times New Roman"/>
          <w:color w:val="000000"/>
          <w:sz w:val="24"/>
          <w:szCs w:val="24"/>
          <w:u w:color="000000"/>
        </w:rPr>
        <w:t>anesthesia</w:t>
      </w:r>
      <w:r w:rsidR="00E54724" w:rsidRPr="00E54724">
        <w:rPr>
          <w:rFonts w:ascii="Book Antiqua" w:eastAsia="Book Antiqua" w:hAnsi="Book Antiqua" w:cs="Times New Roman" w:hint="eastAsia"/>
          <w:color w:val="000000"/>
          <w:sz w:val="24"/>
          <w:szCs w:val="24"/>
          <w:u w:color="000000"/>
        </w:rPr>
        <w:t xml:space="preserve">, patients </w:t>
      </w:r>
      <w:r w:rsidR="00E54724" w:rsidRPr="00E54724">
        <w:rPr>
          <w:rFonts w:ascii="Book Antiqua" w:eastAsia="Book Antiqua" w:hAnsi="Book Antiqua" w:cs="Times New Roman"/>
          <w:color w:val="000000"/>
          <w:sz w:val="24"/>
          <w:szCs w:val="24"/>
          <w:u w:color="000000"/>
        </w:rPr>
        <w:t>underwent</w:t>
      </w:r>
      <w:r w:rsidR="00E54724" w:rsidRPr="00E54724">
        <w:rPr>
          <w:rFonts w:ascii="Book Antiqua" w:eastAsia="Book Antiqua" w:hAnsi="Book Antiqua" w:cs="Times New Roman" w:hint="eastAsia"/>
          <w:color w:val="000000"/>
          <w:sz w:val="24"/>
          <w:szCs w:val="24"/>
          <w:u w:color="000000"/>
        </w:rPr>
        <w:t xml:space="preserve"> BM transplantation were prone to be with relatively better liver function in non-RCTs. This could introduce bias. Although most results were similar with or without inclusion of non-RCTs, some results became insignificant after exclusion of non-RCTs. This was mostly because the decrease of numbers of </w:t>
      </w:r>
      <w:r w:rsidR="00E54724" w:rsidRPr="00E54724">
        <w:rPr>
          <w:rFonts w:ascii="Book Antiqua" w:eastAsia="Book Antiqua" w:hAnsi="Book Antiqua" w:cs="Times New Roman"/>
          <w:color w:val="000000"/>
          <w:sz w:val="24"/>
          <w:szCs w:val="24"/>
          <w:u w:color="000000"/>
        </w:rPr>
        <w:t>included</w:t>
      </w:r>
      <w:r w:rsidR="00E54724" w:rsidRPr="00E54724">
        <w:rPr>
          <w:rFonts w:ascii="Book Antiqua" w:eastAsia="Book Antiqua" w:hAnsi="Book Antiqua" w:cs="Times New Roman" w:hint="eastAsia"/>
          <w:color w:val="000000"/>
          <w:sz w:val="24"/>
          <w:szCs w:val="24"/>
          <w:u w:color="000000"/>
        </w:rPr>
        <w:t xml:space="preserve"> studies. Secondly, the exact type (BM-MNCs or BMSCs) and number of cells transplanted were different among studies (see Table 1), let alone the heterogeneity of etiology and severity of the diseases. Even among the RCTs, contradictory results were reported. For instance, Mohamadnejad</w:t>
      </w:r>
      <w:r w:rsidR="00E54724" w:rsidRPr="00E54724">
        <w:rPr>
          <w:rFonts w:ascii="Book Antiqua" w:eastAsia="Book Antiqua" w:hAnsi="Book Antiqua" w:cs="Times New Roman"/>
          <w:color w:val="000000"/>
          <w:sz w:val="24"/>
          <w:szCs w:val="24"/>
          <w:u w:color="000000"/>
        </w:rPr>
        <w:t>’</w:t>
      </w:r>
      <w:r w:rsidR="00E54724" w:rsidRPr="00E54724">
        <w:rPr>
          <w:rFonts w:ascii="Book Antiqua" w:eastAsia="Book Antiqua" w:hAnsi="Book Antiqua" w:cs="Times New Roman" w:hint="eastAsia"/>
          <w:color w:val="000000"/>
          <w:sz w:val="24"/>
          <w:szCs w:val="24"/>
          <w:u w:color="000000"/>
        </w:rPr>
        <w:t>s study showed relatively poor prognosis in experimental group compared to that of control group with regard to albumin and Child-Pugh score</w:t>
      </w:r>
      <w:r w:rsidR="00E54724" w:rsidRPr="00E54724">
        <w:rPr>
          <w:rFonts w:ascii="Book Antiqua" w:eastAsia="Book Antiqua" w:hAnsi="Book Antiqua" w:cs="Times New Roman"/>
          <w:color w:val="000000"/>
          <w:sz w:val="24"/>
          <w:szCs w:val="24"/>
          <w:u w:color="000000"/>
          <w:vertAlign w:val="superscript"/>
        </w:rPr>
        <w:t>[19]</w:t>
      </w:r>
      <w:r w:rsidR="00E54724" w:rsidRPr="00E54724">
        <w:rPr>
          <w:rFonts w:ascii="Book Antiqua" w:eastAsia="Book Antiqua" w:hAnsi="Book Antiqua" w:cs="Times New Roman" w:hint="eastAsia"/>
          <w:color w:val="000000"/>
          <w:sz w:val="24"/>
          <w:szCs w:val="24"/>
          <w:u w:color="000000"/>
        </w:rPr>
        <w:t xml:space="preserve">. </w:t>
      </w:r>
      <w:r w:rsidR="00E54724" w:rsidRPr="00E54724">
        <w:rPr>
          <w:rFonts w:ascii="Book Antiqua" w:eastAsia="Calibri" w:hAnsi="Book Antiqua" w:cs="Times New Roman" w:hint="eastAsia"/>
          <w:color w:val="000000"/>
          <w:sz w:val="24"/>
          <w:szCs w:val="24"/>
          <w:u w:color="000000"/>
        </w:rPr>
        <w:t xml:space="preserve">Thirdly, </w:t>
      </w:r>
      <w:r w:rsidR="00E54724" w:rsidRPr="00E54724">
        <w:rPr>
          <w:rFonts w:ascii="Book Antiqua" w:eastAsia="Calibri" w:hAnsi="Book Antiqua" w:cs="Times New Roman"/>
          <w:color w:val="000000"/>
          <w:sz w:val="24"/>
          <w:szCs w:val="24"/>
          <w:u w:color="000000"/>
        </w:rPr>
        <w:t>there was a lack of clinical follow-up details to ascertain the specific results at certain time points</w:t>
      </w:r>
      <w:r w:rsidR="00E54724" w:rsidRPr="00E54724">
        <w:rPr>
          <w:rFonts w:ascii="Book Antiqua" w:eastAsia="Calibri" w:hAnsi="Book Antiqua" w:cs="Times New Roman" w:hint="eastAsia"/>
          <w:color w:val="000000"/>
          <w:sz w:val="24"/>
          <w:szCs w:val="24"/>
          <w:u w:color="000000"/>
        </w:rPr>
        <w:t xml:space="preserve"> in some studies,</w:t>
      </w:r>
      <w:r w:rsidR="00E54724" w:rsidRPr="00E54724">
        <w:rPr>
          <w:rFonts w:ascii="Book Antiqua" w:eastAsia="Calibri" w:hAnsi="Book Antiqua" w:cs="Times New Roman"/>
          <w:color w:val="000000"/>
          <w:sz w:val="24"/>
          <w:szCs w:val="24"/>
          <w:u w:color="000000"/>
        </w:rPr>
        <w:t xml:space="preserve"> and we had to calculate or estimate these data using appropriate means. Although we carefully performed the estimation, this could make the results deviate from the actual values. Besides, some parameters were not comparable among studies, which led to a painstaking work to evaluate the particular connection in view of the numerous outcomes. To be conventional, we simulated that the correlation </w:t>
      </w:r>
      <w:r w:rsidR="00E54724" w:rsidRPr="00E54724">
        <w:rPr>
          <w:rFonts w:ascii="Book Antiqua" w:eastAsia="Calibri" w:hAnsi="Book Antiqua" w:cs="Times New Roman" w:hint="eastAsia"/>
          <w:color w:val="000000"/>
          <w:sz w:val="24"/>
          <w:szCs w:val="24"/>
          <w:u w:color="000000"/>
        </w:rPr>
        <w:t>coefficient</w:t>
      </w:r>
      <w:r w:rsidR="00E54724" w:rsidRPr="00E54724">
        <w:rPr>
          <w:rFonts w:ascii="Book Antiqua" w:eastAsia="Calibri" w:hAnsi="Book Antiqua" w:cs="Times New Roman"/>
          <w:color w:val="000000"/>
          <w:sz w:val="24"/>
          <w:szCs w:val="24"/>
          <w:u w:color="000000"/>
        </w:rPr>
        <w:t xml:space="preserve"> equaled -1 when mandatory. This assumption </w:t>
      </w:r>
      <w:r w:rsidR="00E54724" w:rsidRPr="00E54724">
        <w:rPr>
          <w:rFonts w:ascii="Book Antiqua" w:eastAsia="Calibri" w:hAnsi="Book Antiqua" w:cs="Times New Roman" w:hint="eastAsia"/>
          <w:color w:val="000000"/>
          <w:sz w:val="24"/>
          <w:szCs w:val="24"/>
          <w:u w:color="000000"/>
        </w:rPr>
        <w:t xml:space="preserve">resulted in a large SD and a wide range of 95%CI, which </w:t>
      </w:r>
      <w:r w:rsidR="00E54724" w:rsidRPr="00E54724">
        <w:rPr>
          <w:rFonts w:ascii="Book Antiqua" w:eastAsia="Calibri" w:hAnsi="Book Antiqua" w:cs="Times New Roman"/>
          <w:color w:val="000000"/>
          <w:sz w:val="24"/>
          <w:szCs w:val="24"/>
          <w:u w:color="000000"/>
        </w:rPr>
        <w:t xml:space="preserve">made the meta-analysis more </w:t>
      </w:r>
      <w:r w:rsidR="00E54724" w:rsidRPr="00E54724">
        <w:rPr>
          <w:rFonts w:ascii="Book Antiqua" w:eastAsia="Calibri" w:hAnsi="Book Antiqua" w:cs="Times New Roman"/>
          <w:color w:val="000000"/>
          <w:sz w:val="24"/>
          <w:szCs w:val="24"/>
          <w:u w:color="000000"/>
        </w:rPr>
        <w:lastRenderedPageBreak/>
        <w:t xml:space="preserve">insensitive with the minimized type II error, and </w:t>
      </w:r>
      <w:r w:rsidR="00E54724" w:rsidRPr="00E54724">
        <w:rPr>
          <w:rFonts w:ascii="Book Antiqua" w:eastAsia="Calibri" w:hAnsi="Book Antiqua" w:cs="Times New Roman" w:hint="eastAsia"/>
          <w:color w:val="000000"/>
          <w:sz w:val="24"/>
          <w:szCs w:val="24"/>
          <w:u w:color="000000"/>
        </w:rPr>
        <w:t xml:space="preserve">thus </w:t>
      </w:r>
      <w:r w:rsidR="00E54724" w:rsidRPr="00E54724">
        <w:rPr>
          <w:rFonts w:ascii="Book Antiqua" w:eastAsia="Calibri" w:hAnsi="Book Antiqua" w:cs="Times New Roman"/>
          <w:color w:val="000000"/>
          <w:sz w:val="24"/>
          <w:szCs w:val="24"/>
          <w:u w:color="000000"/>
        </w:rPr>
        <w:t>could have underestimated the efficacy of this treatment.</w:t>
      </w:r>
    </w:p>
    <w:p w14:paraId="64D306C6" w14:textId="77777777" w:rsidR="00E54724" w:rsidRPr="00E54724" w:rsidRDefault="009C3C2C" w:rsidP="00E54724">
      <w:pPr>
        <w:widowControl/>
        <w:spacing w:line="360" w:lineRule="auto"/>
        <w:rPr>
          <w:rFonts w:ascii="Book Antiqua" w:eastAsia="SimSun" w:hAnsi="Book Antiqua" w:cs="Times New Roman"/>
          <w:color w:val="000000"/>
          <w:sz w:val="24"/>
          <w:szCs w:val="24"/>
          <w:u w:color="000000"/>
        </w:rPr>
      </w:pPr>
      <w:r>
        <w:rPr>
          <w:rFonts w:ascii="Book Antiqua" w:eastAsia="Book Antiqua Bold" w:hAnsi="Book Antiqua" w:cs="Calibri"/>
          <w:bCs/>
          <w:color w:val="000000"/>
          <w:sz w:val="24"/>
          <w:szCs w:val="24"/>
          <w:u w:color="000000"/>
        </w:rPr>
        <w:t xml:space="preserve"> </w:t>
      </w:r>
      <w:r w:rsidR="00E54724" w:rsidRPr="00E54724">
        <w:rPr>
          <w:rFonts w:ascii="Book Antiqua" w:eastAsia="Book Antiqua Bold" w:hAnsi="Book Antiqua" w:cs="Calibri"/>
          <w:bCs/>
          <w:color w:val="000000"/>
          <w:sz w:val="24"/>
          <w:szCs w:val="24"/>
          <w:u w:color="000000"/>
        </w:rPr>
        <w:t>In con</w:t>
      </w:r>
      <w:r w:rsidR="00E54724" w:rsidRPr="00E54724">
        <w:rPr>
          <w:rFonts w:ascii="Book Antiqua" w:eastAsia="Book Antiqua Bold" w:hAnsi="Book Antiqua" w:cs="Times New Roman"/>
          <w:bCs/>
          <w:color w:val="000000"/>
          <w:sz w:val="24"/>
          <w:szCs w:val="24"/>
          <w:u w:color="000000"/>
        </w:rPr>
        <w:t>clusion, o</w:t>
      </w:r>
      <w:r w:rsidR="00E54724" w:rsidRPr="00E54724">
        <w:rPr>
          <w:rFonts w:ascii="Book Antiqua" w:eastAsia="Calibri" w:hAnsi="Book Antiqua" w:cs="Times New Roman"/>
          <w:color w:val="000000"/>
          <w:sz w:val="24"/>
          <w:szCs w:val="24"/>
          <w:u w:color="000000"/>
        </w:rPr>
        <w:t xml:space="preserve">ur study implies that the </w:t>
      </w:r>
      <w:r w:rsidR="00E54724" w:rsidRPr="00E54724">
        <w:rPr>
          <w:rFonts w:ascii="Book Antiqua" w:eastAsia="Calibri" w:hAnsi="Book Antiqua" w:cs="Times New Roman" w:hint="eastAsia"/>
          <w:color w:val="000000"/>
          <w:sz w:val="24"/>
          <w:szCs w:val="24"/>
          <w:u w:color="000000"/>
        </w:rPr>
        <w:t xml:space="preserve">short-term </w:t>
      </w:r>
      <w:r w:rsidR="00E54724" w:rsidRPr="00E54724">
        <w:rPr>
          <w:rFonts w:ascii="Book Antiqua" w:eastAsia="Calibri" w:hAnsi="Book Antiqua" w:cs="Times New Roman"/>
          <w:color w:val="000000"/>
          <w:sz w:val="24"/>
          <w:szCs w:val="24"/>
          <w:u w:color="000000"/>
        </w:rPr>
        <w:t>outcome</w:t>
      </w:r>
      <w:r w:rsidR="00E54724" w:rsidRPr="00E54724">
        <w:rPr>
          <w:rFonts w:ascii="Book Antiqua" w:eastAsia="Calibri" w:hAnsi="Book Antiqua" w:cs="Times New Roman" w:hint="eastAsia"/>
          <w:color w:val="000000"/>
          <w:sz w:val="24"/>
          <w:szCs w:val="24"/>
          <w:u w:color="000000"/>
        </w:rPr>
        <w:t>s</w:t>
      </w:r>
      <w:r w:rsidR="00E54724" w:rsidRPr="00E54724">
        <w:rPr>
          <w:rFonts w:ascii="Book Antiqua" w:eastAsia="Calibri" w:hAnsi="Book Antiqua" w:cs="Times New Roman"/>
          <w:color w:val="000000"/>
          <w:sz w:val="24"/>
          <w:szCs w:val="24"/>
          <w:u w:color="000000"/>
        </w:rPr>
        <w:t xml:space="preserve"> of autologous BM transplantation </w:t>
      </w:r>
      <w:r w:rsidR="00E54724" w:rsidRPr="00E54724">
        <w:rPr>
          <w:rFonts w:ascii="Book Antiqua" w:eastAsia="Calibri" w:hAnsi="Book Antiqua" w:cs="Times New Roman" w:hint="eastAsia"/>
          <w:color w:val="000000"/>
          <w:sz w:val="24"/>
          <w:szCs w:val="24"/>
          <w:u w:color="000000"/>
        </w:rPr>
        <w:t>were</w:t>
      </w:r>
      <w:r w:rsidR="00E54724" w:rsidRPr="00E54724">
        <w:rPr>
          <w:rFonts w:ascii="Book Antiqua" w:eastAsia="Calibri" w:hAnsi="Book Antiqua" w:cs="Times New Roman"/>
          <w:color w:val="000000"/>
          <w:sz w:val="24"/>
          <w:szCs w:val="24"/>
          <w:u w:color="000000"/>
        </w:rPr>
        <w:t xml:space="preserve"> satisfactory in patients with decompensated liver disease. However, </w:t>
      </w:r>
      <w:r w:rsidR="00E54724" w:rsidRPr="00E54724">
        <w:rPr>
          <w:rFonts w:ascii="Book Antiqua" w:eastAsia="Calibri" w:hAnsi="Book Antiqua" w:cs="Times New Roman" w:hint="eastAsia"/>
          <w:color w:val="000000"/>
          <w:sz w:val="24"/>
          <w:szCs w:val="24"/>
          <w:u w:color="000000"/>
        </w:rPr>
        <w:t>many</w:t>
      </w:r>
      <w:r w:rsidR="00E54724" w:rsidRPr="00E54724">
        <w:rPr>
          <w:rFonts w:ascii="Book Antiqua" w:eastAsia="Calibri" w:hAnsi="Book Antiqua" w:cs="Times New Roman"/>
          <w:color w:val="000000"/>
          <w:sz w:val="24"/>
          <w:szCs w:val="24"/>
          <w:u w:color="000000"/>
        </w:rPr>
        <w:t xml:space="preserve"> concerns need to be addressed by </w:t>
      </w:r>
      <w:r w:rsidR="00E54724" w:rsidRPr="00E54724">
        <w:rPr>
          <w:rFonts w:ascii="Book Antiqua" w:eastAsia="Calibri" w:hAnsi="Book Antiqua" w:cs="Times New Roman" w:hint="eastAsia"/>
          <w:color w:val="000000"/>
          <w:sz w:val="24"/>
          <w:szCs w:val="24"/>
          <w:u w:color="000000"/>
        </w:rPr>
        <w:t xml:space="preserve">further basic research and clinical trials in </w:t>
      </w:r>
      <w:r w:rsidR="00E54724" w:rsidRPr="00E54724">
        <w:rPr>
          <w:rFonts w:ascii="Book Antiqua" w:eastAsia="Calibri" w:hAnsi="Book Antiqua" w:cs="Times New Roman"/>
          <w:color w:val="000000"/>
          <w:sz w:val="24"/>
          <w:szCs w:val="24"/>
          <w:u w:color="000000"/>
        </w:rPr>
        <w:t>large-volume centers. For instance, the type</w:t>
      </w:r>
      <w:r w:rsidR="00E54724" w:rsidRPr="00E54724">
        <w:rPr>
          <w:rFonts w:ascii="Book Antiqua" w:eastAsia="Calibri" w:hAnsi="Book Antiqua" w:cs="Times New Roman" w:hint="eastAsia"/>
          <w:color w:val="000000"/>
          <w:sz w:val="24"/>
          <w:szCs w:val="24"/>
          <w:u w:color="000000"/>
        </w:rPr>
        <w:t xml:space="preserve"> and number </w:t>
      </w:r>
      <w:r w:rsidR="00E54724" w:rsidRPr="00E54724">
        <w:rPr>
          <w:rFonts w:ascii="Book Antiqua" w:eastAsia="Calibri" w:hAnsi="Book Antiqua" w:cs="Times New Roman"/>
          <w:color w:val="000000"/>
          <w:sz w:val="24"/>
          <w:szCs w:val="24"/>
          <w:u w:color="000000"/>
        </w:rPr>
        <w:t>of cell transplanted, the route of transplantation (</w:t>
      </w:r>
      <w:r w:rsidR="00E54724" w:rsidRPr="00E54724">
        <w:rPr>
          <w:rFonts w:ascii="Book Antiqua" w:eastAsia="Calibri" w:hAnsi="Book Antiqua" w:cs="Times New Roman"/>
          <w:i/>
          <w:color w:val="000000"/>
          <w:sz w:val="24"/>
          <w:szCs w:val="24"/>
          <w:u w:color="000000"/>
        </w:rPr>
        <w:t>e.g.</w:t>
      </w:r>
      <w:r w:rsidR="00E54724" w:rsidRPr="00E54724">
        <w:rPr>
          <w:rFonts w:ascii="Book Antiqua" w:eastAsia="Calibri" w:hAnsi="Book Antiqua" w:cs="Times New Roman"/>
          <w:color w:val="000000"/>
          <w:sz w:val="24"/>
          <w:szCs w:val="24"/>
          <w:u w:color="000000"/>
        </w:rPr>
        <w:t>, portal vein, or hepatic artery), pretreatment of cells, repeat cell transplantation, and concomitant adjuvant therapy are important to authenticate autologous BM-MNC transplantation. In addition, well-designed randomized controlled trials are required to verify and enhance the effectiveness</w:t>
      </w:r>
      <w:r w:rsidR="00E54724" w:rsidRPr="00E54724">
        <w:rPr>
          <w:rFonts w:ascii="Book Antiqua" w:eastAsia="Calibri" w:hAnsi="Book Antiqua" w:cs="Times New Roman" w:hint="eastAsia"/>
          <w:color w:val="000000"/>
          <w:sz w:val="24"/>
          <w:szCs w:val="24"/>
          <w:u w:color="000000"/>
        </w:rPr>
        <w:t>, especially for long-term outcomes,</w:t>
      </w:r>
      <w:r w:rsidR="00E54724" w:rsidRPr="00E54724">
        <w:rPr>
          <w:rFonts w:ascii="Book Antiqua" w:eastAsia="Calibri" w:hAnsi="Book Antiqua" w:cs="Times New Roman"/>
          <w:color w:val="000000"/>
          <w:sz w:val="24"/>
          <w:szCs w:val="24"/>
          <w:u w:color="000000"/>
        </w:rPr>
        <w:t xml:space="preserve"> by addressing these issues. Cell transplantation is an innovative intervention for end-stage liver disease, and we should be cautious when advocating its effectiveness in clinical practice with current evidence. </w:t>
      </w:r>
      <w:r w:rsidR="00E54724" w:rsidRPr="00E54724">
        <w:rPr>
          <w:rFonts w:ascii="Book Antiqua" w:eastAsia="Calibri" w:hAnsi="Book Antiqua" w:cs="Times New Roman"/>
          <w:color w:val="000000"/>
          <w:sz w:val="24"/>
          <w:szCs w:val="24"/>
          <w:u w:color="000000"/>
        </w:rPr>
        <w:br/>
      </w:r>
    </w:p>
    <w:p w14:paraId="0EB7CB1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r w:rsidRPr="00E54724">
        <w:rPr>
          <w:rFonts w:ascii="Book Antiqua" w:eastAsia="SimSun" w:hAnsi="Book Antiqua" w:cs="Times New Roman"/>
          <w:b/>
          <w:sz w:val="24"/>
          <w:szCs w:val="24"/>
        </w:rPr>
        <w:t>COMMENTS</w:t>
      </w:r>
    </w:p>
    <w:p w14:paraId="3BF65605"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i/>
          <w:sz w:val="24"/>
          <w:szCs w:val="24"/>
        </w:rPr>
      </w:pPr>
      <w:r w:rsidRPr="00E54724">
        <w:rPr>
          <w:rFonts w:ascii="Book Antiqua" w:eastAsia="SimSun" w:hAnsi="Book Antiqua" w:cs="Times New Roman"/>
          <w:b/>
          <w:bCs/>
          <w:i/>
          <w:sz w:val="24"/>
          <w:szCs w:val="24"/>
        </w:rPr>
        <w:t>Background</w:t>
      </w:r>
      <w:r w:rsidRPr="00E54724">
        <w:rPr>
          <w:rFonts w:ascii="Book Antiqua" w:eastAsia="SimSun" w:hAnsi="Book Antiqua" w:cs="Times New Roman"/>
          <w:b/>
          <w:i/>
          <w:sz w:val="24"/>
          <w:szCs w:val="24"/>
        </w:rPr>
        <w:t xml:space="preserve"> </w:t>
      </w:r>
    </w:p>
    <w:p w14:paraId="744EC78B"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sz w:val="24"/>
          <w:szCs w:val="24"/>
        </w:rPr>
        <w:t>Bone marrow mononuclear cells (BM-MNCs), including non-hematopoietic stem cells, were found to help liver regeneration, and BM-MNCs transplantation is a potential treatment for decompensated liver disease. However, some contradictory results existed.</w:t>
      </w:r>
    </w:p>
    <w:p w14:paraId="0D4A158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6E27F95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i/>
          <w:sz w:val="24"/>
          <w:szCs w:val="24"/>
        </w:rPr>
      </w:pPr>
      <w:r w:rsidRPr="00E54724">
        <w:rPr>
          <w:rFonts w:ascii="Book Antiqua" w:eastAsia="SimSun" w:hAnsi="Book Antiqua" w:cs="Times New Roman"/>
          <w:b/>
          <w:i/>
          <w:sz w:val="24"/>
          <w:szCs w:val="24"/>
        </w:rPr>
        <w:t>Research frontiers</w:t>
      </w:r>
    </w:p>
    <w:p w14:paraId="0E963629"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sz w:val="24"/>
          <w:szCs w:val="24"/>
        </w:rPr>
        <w:t>The cells used for treating decompensated liver disease varied from mesenchymal stem cells to BM stem cells and BM-MNCs. These types of cells can acquired from BM, however, they have different components. In addition, the purity, routes, and repeated cycles were distinct in different studies. Most studies demonstrated positive s</w:t>
      </w:r>
      <w:r>
        <w:rPr>
          <w:rFonts w:ascii="Book Antiqua" w:eastAsia="SimSun" w:hAnsi="Book Antiqua" w:cs="Times New Roman"/>
          <w:sz w:val="24"/>
          <w:szCs w:val="24"/>
        </w:rPr>
        <w:t>hort-term result</w:t>
      </w:r>
      <w:r w:rsidRPr="00E54724">
        <w:rPr>
          <w:rFonts w:ascii="Book Antiqua" w:eastAsia="SimSun" w:hAnsi="Book Antiqua" w:cs="Times New Roman"/>
          <w:sz w:val="24"/>
          <w:szCs w:val="24"/>
        </w:rPr>
        <w:t>, however, the long-term efficacy was inconclusive.</w:t>
      </w:r>
    </w:p>
    <w:p w14:paraId="33A88090"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6258DA9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i/>
          <w:sz w:val="24"/>
          <w:szCs w:val="24"/>
        </w:rPr>
      </w:pPr>
      <w:r w:rsidRPr="00E54724">
        <w:rPr>
          <w:rFonts w:ascii="Book Antiqua" w:eastAsia="SimSun" w:hAnsi="Book Antiqua" w:cs="Times New Roman"/>
          <w:b/>
          <w:i/>
          <w:sz w:val="24"/>
          <w:szCs w:val="24"/>
        </w:rPr>
        <w:t>Applications</w:t>
      </w:r>
    </w:p>
    <w:p w14:paraId="05C6E199"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sz w:val="24"/>
          <w:szCs w:val="24"/>
        </w:rPr>
        <w:lastRenderedPageBreak/>
        <w:t>BM-MNC transplantation, if proved beneficial for liver regeneration, will be a promising strategy for improving prognosis of patients with decompensated liver disease.</w:t>
      </w:r>
    </w:p>
    <w:p w14:paraId="39C95F0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7D4F9570"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i/>
          <w:sz w:val="24"/>
          <w:szCs w:val="24"/>
        </w:rPr>
      </w:pPr>
      <w:r w:rsidRPr="00E54724">
        <w:rPr>
          <w:rFonts w:ascii="Book Antiqua" w:eastAsia="SimSun" w:hAnsi="Book Antiqua" w:cs="Times New Roman"/>
          <w:b/>
          <w:i/>
          <w:sz w:val="24"/>
          <w:szCs w:val="24"/>
        </w:rPr>
        <w:t>Terminology</w:t>
      </w:r>
    </w:p>
    <w:p w14:paraId="7124DA3A"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sz w:val="24"/>
          <w:szCs w:val="24"/>
        </w:rPr>
        <w:t>BM-MNCs include mesenchymal stem cells, hematopoietic stem cells, endothelial progenitor cells, and stromal cells, are beneficial for patients with decompensated liver disease. Bone marrow stem cell transplantation is a potential therapeutic approach for patients with decompensated liver disease.</w:t>
      </w:r>
    </w:p>
    <w:p w14:paraId="2DD4DCA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p>
    <w:p w14:paraId="5A22D18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i/>
          <w:sz w:val="24"/>
          <w:szCs w:val="24"/>
        </w:rPr>
      </w:pPr>
      <w:r w:rsidRPr="00E54724">
        <w:rPr>
          <w:rFonts w:ascii="Book Antiqua" w:eastAsia="SimSun" w:hAnsi="Book Antiqua" w:cs="Times New Roman"/>
          <w:b/>
          <w:i/>
          <w:sz w:val="24"/>
          <w:szCs w:val="24"/>
        </w:rPr>
        <w:t>Peer-review</w:t>
      </w:r>
    </w:p>
    <w:p w14:paraId="04CE2655"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sz w:val="24"/>
          <w:szCs w:val="24"/>
        </w:rPr>
        <w:t>This systematic review and meta-analysis written describes the effectiveness of autologous bone marrow transplantation for the treatment of decompensated liver disease. The data showed that autologus bone marrow transplantation is an effective treatment to restore liver function in patients with advanced liver cirrhosis, but with limited duration. The data are well-analyzed and well-written.</w:t>
      </w:r>
    </w:p>
    <w:p w14:paraId="73A1340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Times New Roman" w:eastAsia="SimSun" w:hAnsi="Times New Roman" w:cs="Times New Roman"/>
          <w:sz w:val="20"/>
          <w:szCs w:val="20"/>
          <w:lang w:val="x-none" w:eastAsia="en-US"/>
        </w:rPr>
      </w:pPr>
    </w:p>
    <w:p w14:paraId="0A554C95" w14:textId="77777777" w:rsidR="00E54724" w:rsidRPr="00E54724" w:rsidRDefault="00E54724" w:rsidP="00E54724">
      <w:pPr>
        <w:widowControl/>
        <w:spacing w:after="200" w:line="360" w:lineRule="auto"/>
        <w:rPr>
          <w:rFonts w:ascii="Book Antiqua" w:eastAsia="SimSun" w:hAnsi="Book Antiqua" w:cs="Times New Roman"/>
          <w:b/>
          <w:caps/>
          <w:color w:val="000000"/>
          <w:szCs w:val="24"/>
          <w:u w:color="000000"/>
        </w:rPr>
      </w:pPr>
      <w:r w:rsidRPr="00E54724">
        <w:rPr>
          <w:rFonts w:ascii="Book Antiqua" w:eastAsia="Calibri" w:hAnsi="Book Antiqua" w:cs="Times New Roman"/>
          <w:b/>
          <w:caps/>
          <w:color w:val="000000"/>
          <w:szCs w:val="24"/>
          <w:u w:color="000000"/>
        </w:rPr>
        <w:t>References</w:t>
      </w:r>
    </w:p>
    <w:p w14:paraId="05679C6A"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1 </w:t>
      </w:r>
      <w:r w:rsidRPr="008A422E">
        <w:rPr>
          <w:rFonts w:ascii="Book Antiqua" w:eastAsia="SimSun" w:hAnsi="Book Antiqua" w:cs="SimSun"/>
          <w:b/>
          <w:bCs/>
          <w:color w:val="000000"/>
          <w:kern w:val="0"/>
          <w:szCs w:val="21"/>
        </w:rPr>
        <w:t>Lee WM</w:t>
      </w:r>
      <w:r w:rsidRPr="008A422E">
        <w:rPr>
          <w:rFonts w:ascii="Book Antiqua" w:eastAsia="SimSun" w:hAnsi="Book Antiqua" w:cs="SimSun"/>
          <w:color w:val="000000"/>
          <w:kern w:val="0"/>
          <w:szCs w:val="21"/>
        </w:rPr>
        <w:t>. Hepatitis B virus infection. </w:t>
      </w:r>
      <w:r w:rsidRPr="008A422E">
        <w:rPr>
          <w:rFonts w:ascii="Book Antiqua" w:eastAsia="SimSun" w:hAnsi="Book Antiqua" w:cs="SimSun"/>
          <w:i/>
          <w:iCs/>
          <w:color w:val="000000"/>
          <w:kern w:val="0"/>
          <w:szCs w:val="21"/>
        </w:rPr>
        <w:t>N Engl J Med</w:t>
      </w:r>
      <w:r w:rsidRPr="008A422E">
        <w:rPr>
          <w:rFonts w:ascii="Book Antiqua" w:eastAsia="SimSun" w:hAnsi="Book Antiqua" w:cs="SimSun"/>
          <w:color w:val="000000"/>
          <w:kern w:val="0"/>
          <w:szCs w:val="21"/>
        </w:rPr>
        <w:t> 1997; </w:t>
      </w:r>
      <w:r w:rsidRPr="008A422E">
        <w:rPr>
          <w:rFonts w:ascii="Book Antiqua" w:eastAsia="SimSun" w:hAnsi="Book Antiqua" w:cs="SimSun"/>
          <w:b/>
          <w:bCs/>
          <w:color w:val="000000"/>
          <w:kern w:val="0"/>
          <w:szCs w:val="21"/>
        </w:rPr>
        <w:t>337</w:t>
      </w:r>
      <w:r w:rsidRPr="008A422E">
        <w:rPr>
          <w:rFonts w:ascii="Book Antiqua" w:eastAsia="SimSun" w:hAnsi="Book Antiqua" w:cs="SimSun"/>
          <w:color w:val="000000"/>
          <w:kern w:val="0"/>
          <w:szCs w:val="21"/>
        </w:rPr>
        <w:t>: 1733-1745 [PMID: 9392700 DOI: 10.1056/NEJM199712113372406]</w:t>
      </w:r>
    </w:p>
    <w:p w14:paraId="72E84F65"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2 </w:t>
      </w:r>
      <w:r w:rsidRPr="008A422E">
        <w:rPr>
          <w:rFonts w:ascii="Book Antiqua" w:eastAsia="SimSun" w:hAnsi="Book Antiqua" w:cs="SimSun"/>
          <w:b/>
          <w:bCs/>
          <w:color w:val="000000"/>
          <w:kern w:val="0"/>
          <w:szCs w:val="21"/>
        </w:rPr>
        <w:t>Lyra AC</w:t>
      </w:r>
      <w:r w:rsidRPr="008A422E">
        <w:rPr>
          <w:rFonts w:ascii="Book Antiqua" w:eastAsia="SimSun" w:hAnsi="Book Antiqua" w:cs="SimSun"/>
          <w:color w:val="000000"/>
          <w:kern w:val="0"/>
          <w:szCs w:val="21"/>
        </w:rPr>
        <w:t>, Soares MB, da Silva LF, Braga EL, Oliveira SA, Fortes MF, Silva AG, Brustolim D, Genser B, Dos Santos RR, Lyra LG. Infusion of autologous bone marrow mononuclear cells through hepatic artery results in a short-term improvement of liver function in patients with chronic liver disease: a pilot randomized controlled study. </w:t>
      </w:r>
      <w:r w:rsidRPr="008A422E">
        <w:rPr>
          <w:rFonts w:ascii="Book Antiqua" w:eastAsia="SimSun" w:hAnsi="Book Antiqua" w:cs="SimSun"/>
          <w:i/>
          <w:iCs/>
          <w:color w:val="000000"/>
          <w:kern w:val="0"/>
          <w:szCs w:val="21"/>
        </w:rPr>
        <w:t>Eur J Gastroenterol Hepatol</w:t>
      </w:r>
      <w:r w:rsidRPr="008A422E">
        <w:rPr>
          <w:rFonts w:ascii="Book Antiqua" w:eastAsia="SimSun" w:hAnsi="Book Antiqua" w:cs="SimSun"/>
          <w:color w:val="000000"/>
          <w:kern w:val="0"/>
          <w:szCs w:val="21"/>
        </w:rPr>
        <w:t> 2010; </w:t>
      </w:r>
      <w:r w:rsidRPr="008A422E">
        <w:rPr>
          <w:rFonts w:ascii="Book Antiqua" w:eastAsia="SimSun" w:hAnsi="Book Antiqua" w:cs="SimSun"/>
          <w:b/>
          <w:bCs/>
          <w:color w:val="000000"/>
          <w:kern w:val="0"/>
          <w:szCs w:val="21"/>
        </w:rPr>
        <w:t>22</w:t>
      </w:r>
      <w:r w:rsidRPr="008A422E">
        <w:rPr>
          <w:rFonts w:ascii="Book Antiqua" w:eastAsia="SimSun" w:hAnsi="Book Antiqua" w:cs="SimSun"/>
          <w:color w:val="000000"/>
          <w:kern w:val="0"/>
          <w:szCs w:val="21"/>
        </w:rPr>
        <w:t>: 33-42 [PMID: 19654548 DOI: 10.1097/MEG.0b013e32832eb69a]</w:t>
      </w:r>
    </w:p>
    <w:p w14:paraId="553ABB12"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3 </w:t>
      </w:r>
      <w:r w:rsidRPr="008A422E">
        <w:rPr>
          <w:rFonts w:ascii="Book Antiqua" w:eastAsia="SimSun" w:hAnsi="Book Antiqua" w:cs="SimSun"/>
          <w:b/>
          <w:bCs/>
          <w:color w:val="000000"/>
          <w:kern w:val="0"/>
          <w:szCs w:val="21"/>
        </w:rPr>
        <w:t>Khurana S</w:t>
      </w:r>
      <w:r w:rsidRPr="008A422E">
        <w:rPr>
          <w:rFonts w:ascii="Book Antiqua" w:eastAsia="SimSun" w:hAnsi="Book Antiqua" w:cs="SimSun"/>
          <w:color w:val="000000"/>
          <w:kern w:val="0"/>
          <w:szCs w:val="21"/>
        </w:rPr>
        <w:t>, Mukhopadhyay A. In vitro transdifferentiation of adult hematopoietic stem cells: an alternative source of engraftable hepatocytes. </w:t>
      </w:r>
      <w:r w:rsidRPr="008A422E">
        <w:rPr>
          <w:rFonts w:ascii="Book Antiqua" w:eastAsia="SimSun" w:hAnsi="Book Antiqua" w:cs="SimSun"/>
          <w:i/>
          <w:iCs/>
          <w:color w:val="000000"/>
          <w:kern w:val="0"/>
          <w:szCs w:val="21"/>
        </w:rPr>
        <w:t>J Hepatol</w:t>
      </w:r>
      <w:r w:rsidRPr="008A422E">
        <w:rPr>
          <w:rFonts w:ascii="Book Antiqua" w:eastAsia="SimSun" w:hAnsi="Book Antiqua" w:cs="SimSun"/>
          <w:color w:val="000000"/>
          <w:kern w:val="0"/>
          <w:szCs w:val="21"/>
        </w:rPr>
        <w:t> 2008; </w:t>
      </w:r>
      <w:r w:rsidRPr="008A422E">
        <w:rPr>
          <w:rFonts w:ascii="Book Antiqua" w:eastAsia="SimSun" w:hAnsi="Book Antiqua" w:cs="SimSun"/>
          <w:b/>
          <w:bCs/>
          <w:color w:val="000000"/>
          <w:kern w:val="0"/>
          <w:szCs w:val="21"/>
        </w:rPr>
        <w:t>49</w:t>
      </w:r>
      <w:r w:rsidRPr="008A422E">
        <w:rPr>
          <w:rFonts w:ascii="Book Antiqua" w:eastAsia="SimSun" w:hAnsi="Book Antiqua" w:cs="SimSun"/>
          <w:color w:val="000000"/>
          <w:kern w:val="0"/>
          <w:szCs w:val="21"/>
        </w:rPr>
        <w:t>: 998-1007 [PMID: 18657875 DOI: 10.1016/j.jhep.2008.05.019]</w:t>
      </w:r>
    </w:p>
    <w:p w14:paraId="4927723D"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4 </w:t>
      </w:r>
      <w:r w:rsidRPr="008A422E">
        <w:rPr>
          <w:rFonts w:ascii="Book Antiqua" w:eastAsia="SimSun" w:hAnsi="Book Antiqua" w:cs="SimSun"/>
          <w:b/>
          <w:bCs/>
          <w:color w:val="000000"/>
          <w:kern w:val="0"/>
          <w:szCs w:val="21"/>
        </w:rPr>
        <w:t>Banas A</w:t>
      </w:r>
      <w:r w:rsidRPr="008A422E">
        <w:rPr>
          <w:rFonts w:ascii="Book Antiqua" w:eastAsia="SimSun" w:hAnsi="Book Antiqua" w:cs="SimSun"/>
          <w:color w:val="000000"/>
          <w:kern w:val="0"/>
          <w:szCs w:val="21"/>
        </w:rPr>
        <w:t>, Teratani T, Yamamoto Y, Tokuhara M, Takeshita F, Osaki M, Kato T, Okochi H, Ochiya T. Rapid hepatic fate specification of adipose-derived stem cells and their therapeutic potential for liver failure. </w:t>
      </w:r>
      <w:r w:rsidRPr="008A422E">
        <w:rPr>
          <w:rFonts w:ascii="Book Antiqua" w:eastAsia="SimSun" w:hAnsi="Book Antiqua" w:cs="SimSun"/>
          <w:i/>
          <w:iCs/>
          <w:color w:val="000000"/>
          <w:kern w:val="0"/>
          <w:szCs w:val="21"/>
        </w:rPr>
        <w:t>J Gastroenterol Hepatol</w:t>
      </w:r>
      <w:r w:rsidRPr="008A422E">
        <w:rPr>
          <w:rFonts w:ascii="Book Antiqua" w:eastAsia="SimSun" w:hAnsi="Book Antiqua" w:cs="SimSun"/>
          <w:color w:val="000000"/>
          <w:kern w:val="0"/>
          <w:szCs w:val="21"/>
        </w:rPr>
        <w:t> 2009; </w:t>
      </w:r>
      <w:r w:rsidRPr="008A422E">
        <w:rPr>
          <w:rFonts w:ascii="Book Antiqua" w:eastAsia="SimSun" w:hAnsi="Book Antiqua" w:cs="SimSun"/>
          <w:b/>
          <w:bCs/>
          <w:color w:val="000000"/>
          <w:kern w:val="0"/>
          <w:szCs w:val="21"/>
        </w:rPr>
        <w:t>24</w:t>
      </w:r>
      <w:r w:rsidRPr="008A422E">
        <w:rPr>
          <w:rFonts w:ascii="Book Antiqua" w:eastAsia="SimSun" w:hAnsi="Book Antiqua" w:cs="SimSun"/>
          <w:color w:val="000000"/>
          <w:kern w:val="0"/>
          <w:szCs w:val="21"/>
        </w:rPr>
        <w:t>: 70-77 [PMID: 18624899 DOI: 10.1111/j.1440-1746.2008.05496.x]</w:t>
      </w:r>
    </w:p>
    <w:p w14:paraId="095659B1"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5 </w:t>
      </w:r>
      <w:r w:rsidRPr="008A422E">
        <w:rPr>
          <w:rFonts w:ascii="Book Antiqua" w:eastAsia="SimSun" w:hAnsi="Book Antiqua" w:cs="SimSun"/>
          <w:b/>
          <w:bCs/>
          <w:color w:val="000000"/>
          <w:kern w:val="0"/>
          <w:szCs w:val="21"/>
        </w:rPr>
        <w:t>Yan Y</w:t>
      </w:r>
      <w:r w:rsidRPr="008A422E">
        <w:rPr>
          <w:rFonts w:ascii="Book Antiqua" w:eastAsia="SimSun" w:hAnsi="Book Antiqua" w:cs="SimSun"/>
          <w:color w:val="000000"/>
          <w:kern w:val="0"/>
          <w:szCs w:val="21"/>
        </w:rPr>
        <w:t>, Xu W, Qian H, Si Y, Zhu W, Cao H, Zhou H, Mao F. Mesenchymal stem cells from human umbilical cords ameliorate mouse hepatic injury in vivo. </w:t>
      </w:r>
      <w:r w:rsidRPr="008A422E">
        <w:rPr>
          <w:rFonts w:ascii="Book Antiqua" w:eastAsia="SimSun" w:hAnsi="Book Antiqua" w:cs="SimSun"/>
          <w:i/>
          <w:iCs/>
          <w:color w:val="000000"/>
          <w:kern w:val="0"/>
          <w:szCs w:val="21"/>
        </w:rPr>
        <w:t>Liver Int</w:t>
      </w:r>
      <w:r w:rsidRPr="008A422E">
        <w:rPr>
          <w:rFonts w:ascii="Book Antiqua" w:eastAsia="SimSun" w:hAnsi="Book Antiqua" w:cs="SimSun"/>
          <w:color w:val="000000"/>
          <w:kern w:val="0"/>
          <w:szCs w:val="21"/>
        </w:rPr>
        <w:t> 2009; </w:t>
      </w:r>
      <w:r w:rsidRPr="008A422E">
        <w:rPr>
          <w:rFonts w:ascii="Book Antiqua" w:eastAsia="SimSun" w:hAnsi="Book Antiqua" w:cs="SimSun"/>
          <w:b/>
          <w:bCs/>
          <w:color w:val="000000"/>
          <w:kern w:val="0"/>
          <w:szCs w:val="21"/>
        </w:rPr>
        <w:t>29</w:t>
      </w:r>
      <w:r w:rsidRPr="008A422E">
        <w:rPr>
          <w:rFonts w:ascii="Book Antiqua" w:eastAsia="SimSun" w:hAnsi="Book Antiqua" w:cs="SimSun"/>
          <w:color w:val="000000"/>
          <w:kern w:val="0"/>
          <w:szCs w:val="21"/>
        </w:rPr>
        <w:t>: 356-365 [PMID: 19141029 DOI: 10.1111/j.1478-3231.2008.01855.x]</w:t>
      </w:r>
    </w:p>
    <w:p w14:paraId="50BB925F"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lastRenderedPageBreak/>
        <w:t>6 </w:t>
      </w:r>
      <w:r w:rsidRPr="008A422E">
        <w:rPr>
          <w:rFonts w:ascii="Book Antiqua" w:eastAsia="SimSun" w:hAnsi="Book Antiqua" w:cs="SimSun"/>
          <w:b/>
          <w:bCs/>
          <w:color w:val="000000"/>
          <w:kern w:val="0"/>
          <w:szCs w:val="21"/>
        </w:rPr>
        <w:t>Terai S</w:t>
      </w:r>
      <w:r w:rsidRPr="008A422E">
        <w:rPr>
          <w:rFonts w:ascii="Book Antiqua" w:eastAsia="SimSun" w:hAnsi="Book Antiqua" w:cs="SimSun"/>
          <w:color w:val="000000"/>
          <w:kern w:val="0"/>
          <w:szCs w:val="21"/>
        </w:rPr>
        <w:t>, Ishikawa T, Omori K, Aoyama K, Marumoto Y, Urata Y, Yokoyama Y, Uchida K, Yamasaki T, Fujii Y, Okita K, Sakaida I. Improved liver function in patients with liver cirrhosis after autologous bone marrow cell infusion therapy. </w:t>
      </w:r>
      <w:r w:rsidRPr="008A422E">
        <w:rPr>
          <w:rFonts w:ascii="Book Antiqua" w:eastAsia="SimSun" w:hAnsi="Book Antiqua" w:cs="SimSun"/>
          <w:i/>
          <w:iCs/>
          <w:color w:val="000000"/>
          <w:kern w:val="0"/>
          <w:szCs w:val="21"/>
        </w:rPr>
        <w:t>Stem Cells</w:t>
      </w:r>
      <w:r w:rsidRPr="008A422E">
        <w:rPr>
          <w:rFonts w:ascii="Book Antiqua" w:eastAsia="SimSun" w:hAnsi="Book Antiqua" w:cs="SimSun"/>
          <w:color w:val="000000"/>
          <w:kern w:val="0"/>
          <w:szCs w:val="21"/>
        </w:rPr>
        <w:t> 2006; </w:t>
      </w:r>
      <w:r w:rsidRPr="008A422E">
        <w:rPr>
          <w:rFonts w:ascii="Book Antiqua" w:eastAsia="SimSun" w:hAnsi="Book Antiqua" w:cs="SimSun"/>
          <w:b/>
          <w:bCs/>
          <w:color w:val="000000"/>
          <w:kern w:val="0"/>
          <w:szCs w:val="21"/>
        </w:rPr>
        <w:t>24</w:t>
      </w:r>
      <w:r w:rsidRPr="008A422E">
        <w:rPr>
          <w:rFonts w:ascii="Book Antiqua" w:eastAsia="SimSun" w:hAnsi="Book Antiqua" w:cs="SimSun"/>
          <w:color w:val="000000"/>
          <w:kern w:val="0"/>
          <w:szCs w:val="21"/>
        </w:rPr>
        <w:t>: 2292-2298 [PMID: 16778155 DOI: 10.1634/stemcells.2005-0542]</w:t>
      </w:r>
    </w:p>
    <w:p w14:paraId="46EB33C2"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7 </w:t>
      </w:r>
      <w:r w:rsidRPr="008A422E">
        <w:rPr>
          <w:rFonts w:ascii="Book Antiqua" w:eastAsia="SimSun" w:hAnsi="Book Antiqua" w:cs="SimSun"/>
          <w:b/>
          <w:bCs/>
          <w:color w:val="000000"/>
          <w:kern w:val="0"/>
          <w:szCs w:val="21"/>
        </w:rPr>
        <w:t>Pai M</w:t>
      </w:r>
      <w:r w:rsidRPr="008A422E">
        <w:rPr>
          <w:rFonts w:ascii="Book Antiqua" w:eastAsia="SimSun" w:hAnsi="Book Antiqua" w:cs="SimSun"/>
          <w:color w:val="000000"/>
          <w:kern w:val="0"/>
          <w:szCs w:val="21"/>
        </w:rPr>
        <w:t>, Zacharoulis D, Milicevic MN, Helmy S, Jiao LR, Levicar N, Tait P, Scott M, Marley SB, Jestice K, Glibetic M, Bansi D, Khan SA, Kyriakou D, Rountas C, Thillainayagam A, Nicholls JP, Jensen S, Apperley JF, Gordon MY, Habib NA. Autologous infusion of expanded mobilized adult bone marrow-derived CD34+ cells into patients with alcoholic liver cirrhosis. </w:t>
      </w:r>
      <w:r w:rsidRPr="008A422E">
        <w:rPr>
          <w:rFonts w:ascii="Book Antiqua" w:eastAsia="SimSun" w:hAnsi="Book Antiqua" w:cs="SimSun"/>
          <w:i/>
          <w:iCs/>
          <w:color w:val="000000"/>
          <w:kern w:val="0"/>
          <w:szCs w:val="21"/>
        </w:rPr>
        <w:t>Am J Gastroenterol</w:t>
      </w:r>
      <w:r w:rsidRPr="008A422E">
        <w:rPr>
          <w:rFonts w:ascii="Book Antiqua" w:eastAsia="SimSun" w:hAnsi="Book Antiqua" w:cs="SimSun"/>
          <w:color w:val="000000"/>
          <w:kern w:val="0"/>
          <w:szCs w:val="21"/>
        </w:rPr>
        <w:t> 2008; </w:t>
      </w:r>
      <w:r w:rsidRPr="008A422E">
        <w:rPr>
          <w:rFonts w:ascii="Book Antiqua" w:eastAsia="SimSun" w:hAnsi="Book Antiqua" w:cs="SimSun"/>
          <w:b/>
          <w:bCs/>
          <w:color w:val="000000"/>
          <w:kern w:val="0"/>
          <w:szCs w:val="21"/>
        </w:rPr>
        <w:t>103</w:t>
      </w:r>
      <w:r w:rsidRPr="008A422E">
        <w:rPr>
          <w:rFonts w:ascii="Book Antiqua" w:eastAsia="SimSun" w:hAnsi="Book Antiqua" w:cs="SimSun"/>
          <w:color w:val="000000"/>
          <w:kern w:val="0"/>
          <w:szCs w:val="21"/>
        </w:rPr>
        <w:t>: 1952-1958 [PMID: 18637092 DOI: 10.1111/j.1572-0241.2008.01993.x]</w:t>
      </w:r>
    </w:p>
    <w:p w14:paraId="482D6CDF"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8 </w:t>
      </w:r>
      <w:r w:rsidRPr="008A422E">
        <w:rPr>
          <w:rFonts w:ascii="Book Antiqua" w:eastAsia="SimSun" w:hAnsi="Book Antiqua" w:cs="SimSun"/>
          <w:b/>
          <w:bCs/>
          <w:color w:val="000000"/>
          <w:kern w:val="0"/>
          <w:szCs w:val="21"/>
        </w:rPr>
        <w:t>Kharaziha P</w:t>
      </w:r>
      <w:r w:rsidRPr="008A422E">
        <w:rPr>
          <w:rFonts w:ascii="Book Antiqua" w:eastAsia="SimSun" w:hAnsi="Book Antiqua" w:cs="SimSun"/>
          <w:color w:val="000000"/>
          <w:kern w:val="0"/>
          <w:szCs w:val="21"/>
        </w:rPr>
        <w:t>, Hellström PM, Noorinayer B, Farzaneh F, Aghajani K, Jafari F, Telkabadi M, Atashi A, Honardoost M, Zali MR, Soleimani M. Improvement of liver function in liver cirrhosis patients after autologous mesenchymal stem cell injection: a phase I-II clinical trial. </w:t>
      </w:r>
      <w:r w:rsidRPr="008A422E">
        <w:rPr>
          <w:rFonts w:ascii="Book Antiqua" w:eastAsia="SimSun" w:hAnsi="Book Antiqua" w:cs="SimSun"/>
          <w:i/>
          <w:iCs/>
          <w:color w:val="000000"/>
          <w:kern w:val="0"/>
          <w:szCs w:val="21"/>
        </w:rPr>
        <w:t>Eur J Gastroenterol Hepatol</w:t>
      </w:r>
      <w:r w:rsidRPr="008A422E">
        <w:rPr>
          <w:rFonts w:ascii="Book Antiqua" w:eastAsia="SimSun" w:hAnsi="Book Antiqua" w:cs="SimSun"/>
          <w:color w:val="000000"/>
          <w:kern w:val="0"/>
          <w:szCs w:val="21"/>
        </w:rPr>
        <w:t> 2009; </w:t>
      </w:r>
      <w:r w:rsidRPr="008A422E">
        <w:rPr>
          <w:rFonts w:ascii="Book Antiqua" w:eastAsia="SimSun" w:hAnsi="Book Antiqua" w:cs="SimSun"/>
          <w:b/>
          <w:bCs/>
          <w:color w:val="000000"/>
          <w:kern w:val="0"/>
          <w:szCs w:val="21"/>
        </w:rPr>
        <w:t>21</w:t>
      </w:r>
      <w:r w:rsidRPr="008A422E">
        <w:rPr>
          <w:rFonts w:ascii="Book Antiqua" w:eastAsia="SimSun" w:hAnsi="Book Antiqua" w:cs="SimSun"/>
          <w:color w:val="000000"/>
          <w:kern w:val="0"/>
          <w:szCs w:val="21"/>
        </w:rPr>
        <w:t>: 1199-1205 [PMID: 19455046 DOI: 10.1097/MEG.0b013e32832a1f6c]</w:t>
      </w:r>
    </w:p>
    <w:p w14:paraId="11B68739"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9 </w:t>
      </w:r>
      <w:r w:rsidRPr="008A422E">
        <w:rPr>
          <w:rFonts w:ascii="Book Antiqua" w:eastAsia="SimSun" w:hAnsi="Book Antiqua" w:cs="SimSun"/>
          <w:b/>
          <w:bCs/>
          <w:color w:val="000000"/>
          <w:kern w:val="0"/>
          <w:szCs w:val="21"/>
        </w:rPr>
        <w:t>Gilchrist ES</w:t>
      </w:r>
      <w:r w:rsidRPr="008A422E">
        <w:rPr>
          <w:rFonts w:ascii="Book Antiqua" w:eastAsia="SimSun" w:hAnsi="Book Antiqua" w:cs="SimSun"/>
          <w:color w:val="000000"/>
          <w:kern w:val="0"/>
          <w:szCs w:val="21"/>
        </w:rPr>
        <w:t>, Plevris JN. Bone marrow-derived stem cells in liver repair: 10 years down the line. </w:t>
      </w:r>
      <w:r w:rsidRPr="008A422E">
        <w:rPr>
          <w:rFonts w:ascii="Book Antiqua" w:eastAsia="SimSun" w:hAnsi="Book Antiqua" w:cs="SimSun"/>
          <w:i/>
          <w:iCs/>
          <w:color w:val="000000"/>
          <w:kern w:val="0"/>
          <w:szCs w:val="21"/>
        </w:rPr>
        <w:t>Liver Transpl</w:t>
      </w:r>
      <w:r w:rsidRPr="008A422E">
        <w:rPr>
          <w:rFonts w:ascii="Book Antiqua" w:eastAsia="SimSun" w:hAnsi="Book Antiqua" w:cs="SimSun"/>
          <w:color w:val="000000"/>
          <w:kern w:val="0"/>
          <w:szCs w:val="21"/>
        </w:rPr>
        <w:t> 2010; </w:t>
      </w:r>
      <w:r w:rsidRPr="008A422E">
        <w:rPr>
          <w:rFonts w:ascii="Book Antiqua" w:eastAsia="SimSun" w:hAnsi="Book Antiqua" w:cs="SimSun"/>
          <w:b/>
          <w:bCs/>
          <w:color w:val="000000"/>
          <w:kern w:val="0"/>
          <w:szCs w:val="21"/>
        </w:rPr>
        <w:t>16</w:t>
      </w:r>
      <w:r w:rsidRPr="008A422E">
        <w:rPr>
          <w:rFonts w:ascii="Book Antiqua" w:eastAsia="SimSun" w:hAnsi="Book Antiqua" w:cs="SimSun"/>
          <w:color w:val="000000"/>
          <w:kern w:val="0"/>
          <w:szCs w:val="21"/>
        </w:rPr>
        <w:t>: 118-129 [PMID: 20104479 DOI: 10.1002/lt.21965]</w:t>
      </w:r>
    </w:p>
    <w:p w14:paraId="226E51E0"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10 </w:t>
      </w:r>
      <w:r w:rsidRPr="008A422E">
        <w:rPr>
          <w:rFonts w:ascii="Book Antiqua" w:eastAsia="SimSun" w:hAnsi="Book Antiqua" w:cs="SimSun"/>
          <w:b/>
          <w:bCs/>
          <w:color w:val="000000"/>
          <w:kern w:val="0"/>
          <w:szCs w:val="21"/>
        </w:rPr>
        <w:t>Fausto N</w:t>
      </w:r>
      <w:r w:rsidRPr="008A422E">
        <w:rPr>
          <w:rFonts w:ascii="Book Antiqua" w:eastAsia="SimSun" w:hAnsi="Book Antiqua" w:cs="SimSun"/>
          <w:color w:val="000000"/>
          <w:kern w:val="0"/>
          <w:szCs w:val="21"/>
        </w:rPr>
        <w:t>. Liver regeneration and repair: hepatocytes, progenitor cells, and stem cells. </w:t>
      </w:r>
      <w:r w:rsidRPr="008A422E">
        <w:rPr>
          <w:rFonts w:ascii="Book Antiqua" w:eastAsia="SimSun" w:hAnsi="Book Antiqua" w:cs="SimSun"/>
          <w:i/>
          <w:iCs/>
          <w:color w:val="000000"/>
          <w:kern w:val="0"/>
          <w:szCs w:val="21"/>
        </w:rPr>
        <w:t>Hepatology</w:t>
      </w:r>
      <w:r w:rsidRPr="008A422E">
        <w:rPr>
          <w:rFonts w:ascii="Book Antiqua" w:eastAsia="SimSun" w:hAnsi="Book Antiqua" w:cs="SimSun"/>
          <w:color w:val="000000"/>
          <w:kern w:val="0"/>
          <w:szCs w:val="21"/>
        </w:rPr>
        <w:t> 2004; </w:t>
      </w:r>
      <w:r w:rsidRPr="008A422E">
        <w:rPr>
          <w:rFonts w:ascii="Book Antiqua" w:eastAsia="SimSun" w:hAnsi="Book Antiqua" w:cs="SimSun"/>
          <w:b/>
          <w:bCs/>
          <w:color w:val="000000"/>
          <w:kern w:val="0"/>
          <w:szCs w:val="21"/>
        </w:rPr>
        <w:t>39</w:t>
      </w:r>
      <w:r w:rsidRPr="008A422E">
        <w:rPr>
          <w:rFonts w:ascii="Book Antiqua" w:eastAsia="SimSun" w:hAnsi="Book Antiqua" w:cs="SimSun"/>
          <w:color w:val="000000"/>
          <w:kern w:val="0"/>
          <w:szCs w:val="21"/>
        </w:rPr>
        <w:t>: 1477-1487 [PMID: 15185286 DOI: 10.1002/hep.20214]</w:t>
      </w:r>
    </w:p>
    <w:p w14:paraId="7D47D2BE"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11 </w:t>
      </w:r>
      <w:r w:rsidRPr="008A422E">
        <w:rPr>
          <w:rFonts w:ascii="Book Antiqua" w:eastAsia="SimSun" w:hAnsi="Book Antiqua" w:cs="SimSun"/>
          <w:b/>
          <w:bCs/>
          <w:color w:val="000000"/>
          <w:kern w:val="0"/>
          <w:szCs w:val="21"/>
        </w:rPr>
        <w:t>Houlihan DD</w:t>
      </w:r>
      <w:r w:rsidRPr="008A422E">
        <w:rPr>
          <w:rFonts w:ascii="Book Antiqua" w:eastAsia="SimSun" w:hAnsi="Book Antiqua" w:cs="SimSun"/>
          <w:color w:val="000000"/>
          <w:kern w:val="0"/>
          <w:szCs w:val="21"/>
        </w:rPr>
        <w:t>, Newsome PN. Critical review of clinical trials of bone marrow stem cells in liver disease. </w:t>
      </w:r>
      <w:r w:rsidRPr="008A422E">
        <w:rPr>
          <w:rFonts w:ascii="Book Antiqua" w:eastAsia="SimSun" w:hAnsi="Book Antiqua" w:cs="SimSun"/>
          <w:i/>
          <w:iCs/>
          <w:color w:val="000000"/>
          <w:kern w:val="0"/>
          <w:szCs w:val="21"/>
        </w:rPr>
        <w:t>Gastroenterology</w:t>
      </w:r>
      <w:r w:rsidRPr="008A422E">
        <w:rPr>
          <w:rFonts w:ascii="Book Antiqua" w:eastAsia="SimSun" w:hAnsi="Book Antiqua" w:cs="SimSun"/>
          <w:color w:val="000000"/>
          <w:kern w:val="0"/>
          <w:szCs w:val="21"/>
        </w:rPr>
        <w:t> 2008; </w:t>
      </w:r>
      <w:r w:rsidRPr="008A422E">
        <w:rPr>
          <w:rFonts w:ascii="Book Antiqua" w:eastAsia="SimSun" w:hAnsi="Book Antiqua" w:cs="SimSun"/>
          <w:b/>
          <w:bCs/>
          <w:color w:val="000000"/>
          <w:kern w:val="0"/>
          <w:szCs w:val="21"/>
        </w:rPr>
        <w:t>135</w:t>
      </w:r>
      <w:r w:rsidRPr="008A422E">
        <w:rPr>
          <w:rFonts w:ascii="Book Antiqua" w:eastAsia="SimSun" w:hAnsi="Book Antiqua" w:cs="SimSun"/>
          <w:color w:val="000000"/>
          <w:kern w:val="0"/>
          <w:szCs w:val="21"/>
        </w:rPr>
        <w:t>: 438-450 [PMID: 18585384 DOI: 10.1053/j.gastro.2008.05.040]</w:t>
      </w:r>
    </w:p>
    <w:p w14:paraId="476CB118"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12 </w:t>
      </w:r>
      <w:r w:rsidRPr="008A422E">
        <w:rPr>
          <w:rFonts w:ascii="Book Antiqua" w:eastAsia="SimSun" w:hAnsi="Book Antiqua" w:cs="SimSun"/>
          <w:b/>
          <w:bCs/>
          <w:color w:val="000000"/>
          <w:kern w:val="0"/>
          <w:szCs w:val="21"/>
        </w:rPr>
        <w:t>Almeida-Porada G</w:t>
      </w:r>
      <w:r w:rsidRPr="008A422E">
        <w:rPr>
          <w:rFonts w:ascii="Book Antiqua" w:eastAsia="SimSun" w:hAnsi="Book Antiqua" w:cs="SimSun"/>
          <w:color w:val="000000"/>
          <w:kern w:val="0"/>
          <w:szCs w:val="21"/>
        </w:rPr>
        <w:t>, Zanjani ED, Porada CD. Bone marrow stem cells and liver regeneration. </w:t>
      </w:r>
      <w:r w:rsidRPr="008A422E">
        <w:rPr>
          <w:rFonts w:ascii="Book Antiqua" w:eastAsia="SimSun" w:hAnsi="Book Antiqua" w:cs="SimSun"/>
          <w:i/>
          <w:iCs/>
          <w:color w:val="000000"/>
          <w:kern w:val="0"/>
          <w:szCs w:val="21"/>
        </w:rPr>
        <w:t>Exp Hematol</w:t>
      </w:r>
      <w:r w:rsidRPr="008A422E">
        <w:rPr>
          <w:rFonts w:ascii="Book Antiqua" w:eastAsia="SimSun" w:hAnsi="Book Antiqua" w:cs="SimSun"/>
          <w:color w:val="000000"/>
          <w:kern w:val="0"/>
          <w:szCs w:val="21"/>
        </w:rPr>
        <w:t> 2010; </w:t>
      </w:r>
      <w:r w:rsidRPr="008A422E">
        <w:rPr>
          <w:rFonts w:ascii="Book Antiqua" w:eastAsia="SimSun" w:hAnsi="Book Antiqua" w:cs="SimSun"/>
          <w:b/>
          <w:bCs/>
          <w:color w:val="000000"/>
          <w:kern w:val="0"/>
          <w:szCs w:val="21"/>
        </w:rPr>
        <w:t>38</w:t>
      </w:r>
      <w:r w:rsidRPr="008A422E">
        <w:rPr>
          <w:rFonts w:ascii="Book Antiqua" w:eastAsia="SimSun" w:hAnsi="Book Antiqua" w:cs="SimSun"/>
          <w:color w:val="000000"/>
          <w:kern w:val="0"/>
          <w:szCs w:val="21"/>
        </w:rPr>
        <w:t>: 574-580 [PMID: 20417684 DOI: 10.1016/j.exphem.2010.04.007]</w:t>
      </w:r>
    </w:p>
    <w:p w14:paraId="2FD2B91E"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 xml:space="preserve">13 </w:t>
      </w:r>
      <w:r w:rsidRPr="008A422E">
        <w:rPr>
          <w:rFonts w:ascii="Book Antiqua" w:eastAsia="SimSun" w:hAnsi="Book Antiqua" w:cs="SimSun"/>
          <w:b/>
          <w:color w:val="000000"/>
          <w:kern w:val="0"/>
          <w:szCs w:val="21"/>
        </w:rPr>
        <w:t>Higgins JPT</w:t>
      </w:r>
      <w:r w:rsidRPr="008A422E">
        <w:rPr>
          <w:rFonts w:ascii="Book Antiqua" w:eastAsia="SimSun" w:hAnsi="Book Antiqua" w:cs="SimSun"/>
          <w:color w:val="000000"/>
          <w:kern w:val="0"/>
          <w:szCs w:val="21"/>
        </w:rPr>
        <w:t>, Green S (editors). Cochrane Handbook for Systematic Reviews of Interventions Version 5.1.0 [updated March 2011]. The Cochrane Collaboration, 2011. Available from: URL: http:// www.cochrane-handbook.org</w:t>
      </w:r>
    </w:p>
    <w:p w14:paraId="42146DBE"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14 </w:t>
      </w:r>
      <w:r w:rsidRPr="008A422E">
        <w:rPr>
          <w:rFonts w:ascii="Book Antiqua" w:eastAsia="SimSun" w:hAnsi="Book Antiqua" w:cs="SimSun"/>
          <w:b/>
          <w:bCs/>
          <w:color w:val="000000"/>
          <w:kern w:val="0"/>
          <w:szCs w:val="21"/>
        </w:rPr>
        <w:t>Salama H</w:t>
      </w:r>
      <w:r w:rsidRPr="008A422E">
        <w:rPr>
          <w:rFonts w:ascii="Book Antiqua" w:eastAsia="SimSun" w:hAnsi="Book Antiqua" w:cs="SimSun"/>
          <w:color w:val="000000"/>
          <w:kern w:val="0"/>
          <w:szCs w:val="21"/>
        </w:rPr>
        <w:t>, Zekri AR, Bahnassy AA, Medhat E, Halim HA, Ahmed OS, Mohamed G, Al Alim SA, Sherif GM. Autologous CD34+ and CD133+ stem cells transplantation in patients with end stage liver disease. </w:t>
      </w:r>
      <w:r w:rsidRPr="008A422E">
        <w:rPr>
          <w:rFonts w:ascii="Book Antiqua" w:eastAsia="SimSun" w:hAnsi="Book Antiqua" w:cs="SimSun"/>
          <w:i/>
          <w:iCs/>
          <w:color w:val="000000"/>
          <w:kern w:val="0"/>
          <w:szCs w:val="21"/>
        </w:rPr>
        <w:t>World J Gastroenterol</w:t>
      </w:r>
      <w:r w:rsidRPr="008A422E">
        <w:rPr>
          <w:rFonts w:ascii="Book Antiqua" w:eastAsia="SimSun" w:hAnsi="Book Antiqua" w:cs="SimSun"/>
          <w:color w:val="000000"/>
          <w:kern w:val="0"/>
          <w:szCs w:val="21"/>
        </w:rPr>
        <w:t> 2010; </w:t>
      </w:r>
      <w:r w:rsidRPr="008A422E">
        <w:rPr>
          <w:rFonts w:ascii="Book Antiqua" w:eastAsia="SimSun" w:hAnsi="Book Antiqua" w:cs="SimSun"/>
          <w:b/>
          <w:bCs/>
          <w:color w:val="000000"/>
          <w:kern w:val="0"/>
          <w:szCs w:val="21"/>
        </w:rPr>
        <w:t>16</w:t>
      </w:r>
      <w:r w:rsidRPr="008A422E">
        <w:rPr>
          <w:rFonts w:ascii="Book Antiqua" w:eastAsia="SimSun" w:hAnsi="Book Antiqua" w:cs="SimSun"/>
          <w:color w:val="000000"/>
          <w:kern w:val="0"/>
          <w:szCs w:val="21"/>
        </w:rPr>
        <w:t>: 5297-5305 [PMID: 21072892 DOI: 10.3748/wjg.v16.i42.5297]</w:t>
      </w:r>
    </w:p>
    <w:p w14:paraId="24C2F48E"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15 </w:t>
      </w:r>
      <w:r w:rsidRPr="008A422E">
        <w:rPr>
          <w:rFonts w:ascii="Book Antiqua" w:eastAsia="SimSun" w:hAnsi="Book Antiqua" w:cs="SimSun"/>
          <w:b/>
          <w:bCs/>
          <w:color w:val="000000"/>
          <w:kern w:val="0"/>
          <w:szCs w:val="21"/>
        </w:rPr>
        <w:t>Peng L</w:t>
      </w:r>
      <w:r w:rsidRPr="008A422E">
        <w:rPr>
          <w:rFonts w:ascii="Book Antiqua" w:eastAsia="SimSun" w:hAnsi="Book Antiqua" w:cs="SimSun"/>
          <w:color w:val="000000"/>
          <w:kern w:val="0"/>
          <w:szCs w:val="21"/>
        </w:rPr>
        <w:t>, Xie DY, Lin BL, Liu J, Zhu HP, Xie C, Zheng YB, Gao ZL. Autologous bone marrow mesenchymal stem cell transplantation in liver failure patients caused by hepatitis B: short-term and long-term outcomes. </w:t>
      </w:r>
      <w:r w:rsidRPr="008A422E">
        <w:rPr>
          <w:rFonts w:ascii="Book Antiqua" w:eastAsia="SimSun" w:hAnsi="Book Antiqua" w:cs="SimSun"/>
          <w:i/>
          <w:iCs/>
          <w:color w:val="000000"/>
          <w:kern w:val="0"/>
          <w:szCs w:val="21"/>
        </w:rPr>
        <w:t>Hepatology</w:t>
      </w:r>
      <w:r w:rsidRPr="008A422E">
        <w:rPr>
          <w:rFonts w:ascii="Book Antiqua" w:eastAsia="SimSun" w:hAnsi="Book Antiqua" w:cs="SimSun"/>
          <w:color w:val="000000"/>
          <w:kern w:val="0"/>
          <w:szCs w:val="21"/>
        </w:rPr>
        <w:t> 2011; </w:t>
      </w:r>
      <w:r w:rsidRPr="008A422E">
        <w:rPr>
          <w:rFonts w:ascii="Book Antiqua" w:eastAsia="SimSun" w:hAnsi="Book Antiqua" w:cs="SimSun"/>
          <w:b/>
          <w:bCs/>
          <w:color w:val="000000"/>
          <w:kern w:val="0"/>
          <w:szCs w:val="21"/>
        </w:rPr>
        <w:t>54</w:t>
      </w:r>
      <w:r w:rsidRPr="008A422E">
        <w:rPr>
          <w:rFonts w:ascii="Book Antiqua" w:eastAsia="SimSun" w:hAnsi="Book Antiqua" w:cs="SimSun"/>
          <w:color w:val="000000"/>
          <w:kern w:val="0"/>
          <w:szCs w:val="21"/>
        </w:rPr>
        <w:t>: 820-828 [PMID: 21608000 DOI: 10.1002/hep.24434]</w:t>
      </w:r>
    </w:p>
    <w:p w14:paraId="662CBFF4"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16 </w:t>
      </w:r>
      <w:r w:rsidRPr="008A422E">
        <w:rPr>
          <w:rFonts w:ascii="Book Antiqua" w:eastAsia="SimSun" w:hAnsi="Book Antiqua" w:cs="SimSun"/>
          <w:b/>
          <w:bCs/>
          <w:color w:val="000000"/>
          <w:kern w:val="0"/>
          <w:szCs w:val="21"/>
        </w:rPr>
        <w:t>Saito T</w:t>
      </w:r>
      <w:r w:rsidRPr="008A422E">
        <w:rPr>
          <w:rFonts w:ascii="Book Antiqua" w:eastAsia="SimSun" w:hAnsi="Book Antiqua" w:cs="SimSun"/>
          <w:color w:val="000000"/>
          <w:kern w:val="0"/>
          <w:szCs w:val="21"/>
        </w:rPr>
        <w:t>, Okumoto K, Haga H, Nishise Y, Ishii R, Sato C, Watanabe H, Okada A, Ikeda M, Togashi H, Ishikawa T, Terai S, Sakaida I, Kawata S. Potential therapeutic application of intravenous autologous bone marrow infusion in patients with alcoholic liver cirrhosis. </w:t>
      </w:r>
      <w:r w:rsidRPr="008A422E">
        <w:rPr>
          <w:rFonts w:ascii="Book Antiqua" w:eastAsia="SimSun" w:hAnsi="Book Antiqua" w:cs="SimSun"/>
          <w:i/>
          <w:iCs/>
          <w:color w:val="000000"/>
          <w:kern w:val="0"/>
          <w:szCs w:val="21"/>
        </w:rPr>
        <w:t>Stem Cells Dev</w:t>
      </w:r>
      <w:r w:rsidRPr="008A422E">
        <w:rPr>
          <w:rFonts w:ascii="Book Antiqua" w:eastAsia="SimSun" w:hAnsi="Book Antiqua" w:cs="SimSun"/>
          <w:color w:val="000000"/>
          <w:kern w:val="0"/>
          <w:szCs w:val="21"/>
        </w:rPr>
        <w:t> 2011; </w:t>
      </w:r>
      <w:r w:rsidRPr="008A422E">
        <w:rPr>
          <w:rFonts w:ascii="Book Antiqua" w:eastAsia="SimSun" w:hAnsi="Book Antiqua" w:cs="SimSun"/>
          <w:b/>
          <w:bCs/>
          <w:color w:val="000000"/>
          <w:kern w:val="0"/>
          <w:szCs w:val="21"/>
        </w:rPr>
        <w:t>20</w:t>
      </w:r>
      <w:r w:rsidRPr="008A422E">
        <w:rPr>
          <w:rFonts w:ascii="Book Antiqua" w:eastAsia="SimSun" w:hAnsi="Book Antiqua" w:cs="SimSun"/>
          <w:color w:val="000000"/>
          <w:kern w:val="0"/>
          <w:szCs w:val="21"/>
        </w:rPr>
        <w:t>: 1503-1510 [PMID: 21417817 DOI: 10.1089/scd.2011.0074]</w:t>
      </w:r>
    </w:p>
    <w:p w14:paraId="5DCCE1B5"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17 </w:t>
      </w:r>
      <w:r w:rsidRPr="008A422E">
        <w:rPr>
          <w:rFonts w:ascii="Book Antiqua" w:eastAsia="SimSun" w:hAnsi="Book Antiqua" w:cs="SimSun"/>
          <w:b/>
          <w:bCs/>
          <w:color w:val="000000"/>
          <w:kern w:val="0"/>
          <w:szCs w:val="21"/>
        </w:rPr>
        <w:t>El-Ansary M</w:t>
      </w:r>
      <w:r w:rsidRPr="008A422E">
        <w:rPr>
          <w:rFonts w:ascii="Book Antiqua" w:eastAsia="SimSun" w:hAnsi="Book Antiqua" w:cs="SimSun"/>
          <w:color w:val="000000"/>
          <w:kern w:val="0"/>
          <w:szCs w:val="21"/>
        </w:rPr>
        <w:t>, Abdel-Aziz I, Mogawer S, Abdel-Hamid S, Hammam O, Teaema S, Wahdan M. Phase II trial: undifferentiated versus differentiated autologous mesenchymal stem cells transplantation in Egyptian patients with HCV induced liver cirrhosis. </w:t>
      </w:r>
      <w:r w:rsidRPr="008A422E">
        <w:rPr>
          <w:rFonts w:ascii="Book Antiqua" w:eastAsia="SimSun" w:hAnsi="Book Antiqua" w:cs="SimSun"/>
          <w:i/>
          <w:iCs/>
          <w:color w:val="000000"/>
          <w:kern w:val="0"/>
          <w:szCs w:val="21"/>
        </w:rPr>
        <w:t>Stem Cell Rev</w:t>
      </w:r>
      <w:r w:rsidRPr="008A422E">
        <w:rPr>
          <w:rFonts w:ascii="Book Antiqua" w:eastAsia="SimSun" w:hAnsi="Book Antiqua" w:cs="SimSun"/>
          <w:color w:val="000000"/>
          <w:kern w:val="0"/>
          <w:szCs w:val="21"/>
        </w:rPr>
        <w:t> 2012; </w:t>
      </w:r>
      <w:r w:rsidRPr="008A422E">
        <w:rPr>
          <w:rFonts w:ascii="Book Antiqua" w:eastAsia="SimSun" w:hAnsi="Book Antiqua" w:cs="SimSun"/>
          <w:b/>
          <w:bCs/>
          <w:color w:val="000000"/>
          <w:kern w:val="0"/>
          <w:szCs w:val="21"/>
        </w:rPr>
        <w:t>8</w:t>
      </w:r>
      <w:r w:rsidRPr="008A422E">
        <w:rPr>
          <w:rFonts w:ascii="Book Antiqua" w:eastAsia="SimSun" w:hAnsi="Book Antiqua" w:cs="SimSun"/>
          <w:color w:val="000000"/>
          <w:kern w:val="0"/>
          <w:szCs w:val="21"/>
        </w:rPr>
        <w:t>: 972-981 [PMID: 21989829 DOI: 10.1007/s12015-011-9322-y]</w:t>
      </w:r>
    </w:p>
    <w:p w14:paraId="17FBD671"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18 </w:t>
      </w:r>
      <w:r w:rsidRPr="008A422E">
        <w:rPr>
          <w:rFonts w:ascii="Book Antiqua" w:eastAsia="SimSun" w:hAnsi="Book Antiqua" w:cs="SimSun"/>
          <w:b/>
          <w:bCs/>
          <w:color w:val="000000"/>
          <w:kern w:val="0"/>
          <w:szCs w:val="21"/>
        </w:rPr>
        <w:t>Amin MA</w:t>
      </w:r>
      <w:r w:rsidRPr="008A422E">
        <w:rPr>
          <w:rFonts w:ascii="Book Antiqua" w:eastAsia="SimSun" w:hAnsi="Book Antiqua" w:cs="SimSun"/>
          <w:color w:val="000000"/>
          <w:kern w:val="0"/>
          <w:szCs w:val="21"/>
        </w:rPr>
        <w:t>, Sabry D, Rashed LA, Aref WM, el-Ghobary MA, Farhan MS, Fouad HA, Youssef YA. Short-term evaluation of autologous transplantation of bone marrow-derived mesenchymal stem cells in patients with cirrhosis: Egyptian study. </w:t>
      </w:r>
      <w:r w:rsidRPr="008A422E">
        <w:rPr>
          <w:rFonts w:ascii="Book Antiqua" w:eastAsia="SimSun" w:hAnsi="Book Antiqua" w:cs="SimSun"/>
          <w:i/>
          <w:iCs/>
          <w:color w:val="000000"/>
          <w:kern w:val="0"/>
          <w:szCs w:val="21"/>
        </w:rPr>
        <w:t>Clin Transplant</w:t>
      </w:r>
      <w:r w:rsidRPr="008A422E">
        <w:rPr>
          <w:rFonts w:ascii="Book Antiqua" w:eastAsia="SimSun" w:hAnsi="Book Antiqua" w:cs="SimSun"/>
          <w:color w:val="000000"/>
          <w:kern w:val="0"/>
          <w:szCs w:val="21"/>
        </w:rPr>
        <w:t> 2013; </w:t>
      </w:r>
      <w:r w:rsidRPr="008A422E">
        <w:rPr>
          <w:rFonts w:ascii="Book Antiqua" w:eastAsia="SimSun" w:hAnsi="Book Antiqua" w:cs="SimSun"/>
          <w:b/>
          <w:bCs/>
          <w:color w:val="000000"/>
          <w:kern w:val="0"/>
          <w:szCs w:val="21"/>
        </w:rPr>
        <w:t>27</w:t>
      </w:r>
      <w:r w:rsidRPr="008A422E">
        <w:rPr>
          <w:rFonts w:ascii="Book Antiqua" w:eastAsia="SimSun" w:hAnsi="Book Antiqua" w:cs="SimSun"/>
          <w:color w:val="000000"/>
          <w:kern w:val="0"/>
          <w:szCs w:val="21"/>
        </w:rPr>
        <w:t>: 607-612 [PMID: 23923970 DOI: 10.1111/ctr.12179]</w:t>
      </w:r>
    </w:p>
    <w:p w14:paraId="335E5FEE"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19 </w:t>
      </w:r>
      <w:r w:rsidRPr="008A422E">
        <w:rPr>
          <w:rFonts w:ascii="Book Antiqua" w:eastAsia="SimSun" w:hAnsi="Book Antiqua" w:cs="SimSun"/>
          <w:b/>
          <w:bCs/>
          <w:color w:val="000000"/>
          <w:kern w:val="0"/>
          <w:szCs w:val="21"/>
        </w:rPr>
        <w:t>Mohamadnejad M</w:t>
      </w:r>
      <w:r w:rsidRPr="008A422E">
        <w:rPr>
          <w:rFonts w:ascii="Book Antiqua" w:eastAsia="SimSun" w:hAnsi="Book Antiqua" w:cs="SimSun"/>
          <w:color w:val="000000"/>
          <w:kern w:val="0"/>
          <w:szCs w:val="21"/>
        </w:rPr>
        <w:t>, Alimoghaddam K, Bagheri M, Ashrafi M, Abdollahzadeh L, Akhlaghpoor S, Bashtar M, Ghavamzadeh A, Malekzadeh R. Randomized placebo-controlled trial of mesenchymal stem cell transplantation in decompensated cirrhosis. </w:t>
      </w:r>
      <w:r w:rsidRPr="008A422E">
        <w:rPr>
          <w:rFonts w:ascii="Book Antiqua" w:eastAsia="SimSun" w:hAnsi="Book Antiqua" w:cs="SimSun"/>
          <w:i/>
          <w:iCs/>
          <w:color w:val="000000"/>
          <w:kern w:val="0"/>
          <w:szCs w:val="21"/>
        </w:rPr>
        <w:t>Liver Int</w:t>
      </w:r>
      <w:r w:rsidRPr="008A422E">
        <w:rPr>
          <w:rFonts w:ascii="Book Antiqua" w:eastAsia="SimSun" w:hAnsi="Book Antiqua" w:cs="SimSun"/>
          <w:color w:val="000000"/>
          <w:kern w:val="0"/>
          <w:szCs w:val="21"/>
        </w:rPr>
        <w:t> 2013; </w:t>
      </w:r>
      <w:r w:rsidRPr="008A422E">
        <w:rPr>
          <w:rFonts w:ascii="Book Antiqua" w:eastAsia="SimSun" w:hAnsi="Book Antiqua" w:cs="SimSun"/>
          <w:b/>
          <w:bCs/>
          <w:color w:val="000000"/>
          <w:kern w:val="0"/>
          <w:szCs w:val="21"/>
        </w:rPr>
        <w:t>33</w:t>
      </w:r>
      <w:r w:rsidRPr="008A422E">
        <w:rPr>
          <w:rFonts w:ascii="Book Antiqua" w:eastAsia="SimSun" w:hAnsi="Book Antiqua" w:cs="SimSun"/>
          <w:color w:val="000000"/>
          <w:kern w:val="0"/>
          <w:szCs w:val="21"/>
        </w:rPr>
        <w:t>: 1490-1496 [PMID: 23763455 DOI: 10.1111/liv.12228]</w:t>
      </w:r>
    </w:p>
    <w:p w14:paraId="4692EDC0"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20 </w:t>
      </w:r>
      <w:r w:rsidRPr="008A422E">
        <w:rPr>
          <w:rFonts w:ascii="Book Antiqua" w:eastAsia="SimSun" w:hAnsi="Book Antiqua" w:cs="SimSun"/>
          <w:b/>
          <w:bCs/>
          <w:color w:val="000000"/>
          <w:kern w:val="0"/>
          <w:szCs w:val="21"/>
        </w:rPr>
        <w:t>Spahr L</w:t>
      </w:r>
      <w:r w:rsidRPr="008A422E">
        <w:rPr>
          <w:rFonts w:ascii="Book Antiqua" w:eastAsia="SimSun" w:hAnsi="Book Antiqua" w:cs="SimSun"/>
          <w:color w:val="000000"/>
          <w:kern w:val="0"/>
          <w:szCs w:val="21"/>
        </w:rPr>
        <w:t xml:space="preserve">, Chalandon Y, Terraz S, Kindler V, Rubbia-Brandt L, Frossard JL, Breguet R, Lanthier N, Farina A, Passweg J, Becker CD, Hadengue A. Autologous bone marrow mononuclear cell </w:t>
      </w:r>
      <w:r w:rsidRPr="008A422E">
        <w:rPr>
          <w:rFonts w:ascii="Book Antiqua" w:eastAsia="SimSun" w:hAnsi="Book Antiqua" w:cs="SimSun"/>
          <w:color w:val="000000"/>
          <w:kern w:val="0"/>
          <w:szCs w:val="21"/>
        </w:rPr>
        <w:lastRenderedPageBreak/>
        <w:t>transplantation in patients with decompensated alcoholic liver disease: a randomized controlled trial. </w:t>
      </w:r>
      <w:r w:rsidRPr="008A422E">
        <w:rPr>
          <w:rFonts w:ascii="Book Antiqua" w:eastAsia="SimSun" w:hAnsi="Book Antiqua" w:cs="SimSun"/>
          <w:i/>
          <w:iCs/>
          <w:color w:val="000000"/>
          <w:kern w:val="0"/>
          <w:szCs w:val="21"/>
        </w:rPr>
        <w:t>PLoS One</w:t>
      </w:r>
      <w:r w:rsidRPr="008A422E">
        <w:rPr>
          <w:rFonts w:ascii="Book Antiqua" w:eastAsia="SimSun" w:hAnsi="Book Antiqua" w:cs="SimSun"/>
          <w:color w:val="000000"/>
          <w:kern w:val="0"/>
          <w:szCs w:val="21"/>
        </w:rPr>
        <w:t> 2013; </w:t>
      </w:r>
      <w:r w:rsidRPr="008A422E">
        <w:rPr>
          <w:rFonts w:ascii="Book Antiqua" w:eastAsia="SimSun" w:hAnsi="Book Antiqua" w:cs="SimSun"/>
          <w:b/>
          <w:bCs/>
          <w:color w:val="000000"/>
          <w:kern w:val="0"/>
          <w:szCs w:val="21"/>
        </w:rPr>
        <w:t>8</w:t>
      </w:r>
      <w:r w:rsidRPr="008A422E">
        <w:rPr>
          <w:rFonts w:ascii="Book Antiqua" w:eastAsia="SimSun" w:hAnsi="Book Antiqua" w:cs="SimSun"/>
          <w:color w:val="000000"/>
          <w:kern w:val="0"/>
          <w:szCs w:val="21"/>
        </w:rPr>
        <w:t>: e53719 [PMID: 23341981 DOI: 10.1371/journal.pone.0053719]</w:t>
      </w:r>
    </w:p>
    <w:p w14:paraId="0DB7B2BF"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 xml:space="preserve">21 </w:t>
      </w:r>
      <w:r w:rsidRPr="008A422E">
        <w:rPr>
          <w:rFonts w:ascii="Book Antiqua" w:hAnsi="Book Antiqua"/>
          <w:b/>
          <w:bCs/>
          <w:color w:val="000000"/>
          <w:szCs w:val="21"/>
        </w:rPr>
        <w:t>Bai YQ</w:t>
      </w:r>
      <w:r w:rsidRPr="008A422E">
        <w:rPr>
          <w:rFonts w:ascii="Book Antiqua" w:hAnsi="Book Antiqua"/>
          <w:color w:val="000000"/>
          <w:szCs w:val="21"/>
        </w:rPr>
        <w:t>, Yang YX, Yang YG, Ding SZ, Jin FL, Cao MB, Zhang YR, Zhang BY. Outcomes of autologous bone marrow mononuclear cell transplantation in decompensated liver cirrhosis.</w:t>
      </w:r>
      <w:r w:rsidRPr="008A422E">
        <w:rPr>
          <w:rStyle w:val="apple-converted-space"/>
          <w:rFonts w:ascii="Book Antiqua" w:hAnsi="Book Antiqua"/>
          <w:color w:val="000000"/>
          <w:szCs w:val="21"/>
        </w:rPr>
        <w:t> </w:t>
      </w:r>
      <w:r w:rsidRPr="008A422E">
        <w:rPr>
          <w:rFonts w:ascii="Book Antiqua" w:hAnsi="Book Antiqua"/>
          <w:i/>
          <w:iCs/>
          <w:color w:val="000000"/>
          <w:szCs w:val="21"/>
        </w:rPr>
        <w:t>World J Gastroenterol</w:t>
      </w:r>
      <w:r w:rsidRPr="008A422E">
        <w:rPr>
          <w:rStyle w:val="apple-converted-space"/>
          <w:rFonts w:ascii="Book Antiqua" w:hAnsi="Book Antiqua"/>
          <w:color w:val="000000"/>
          <w:szCs w:val="21"/>
        </w:rPr>
        <w:t> </w:t>
      </w:r>
      <w:r w:rsidRPr="008A422E">
        <w:rPr>
          <w:rFonts w:ascii="Book Antiqua" w:hAnsi="Book Antiqua"/>
          <w:color w:val="000000"/>
          <w:szCs w:val="21"/>
        </w:rPr>
        <w:t>2014;</w:t>
      </w:r>
      <w:r w:rsidRPr="008A422E">
        <w:rPr>
          <w:rStyle w:val="apple-converted-space"/>
          <w:rFonts w:ascii="Book Antiqua" w:hAnsi="Book Antiqua"/>
          <w:color w:val="000000"/>
          <w:szCs w:val="21"/>
        </w:rPr>
        <w:t> </w:t>
      </w:r>
      <w:r w:rsidRPr="008A422E">
        <w:rPr>
          <w:rFonts w:ascii="Book Antiqua" w:hAnsi="Book Antiqua"/>
          <w:b/>
          <w:bCs/>
          <w:color w:val="000000"/>
          <w:szCs w:val="21"/>
        </w:rPr>
        <w:t>20</w:t>
      </w:r>
      <w:r w:rsidRPr="008A422E">
        <w:rPr>
          <w:rFonts w:ascii="Book Antiqua" w:hAnsi="Book Antiqua"/>
          <w:color w:val="000000"/>
          <w:szCs w:val="21"/>
        </w:rPr>
        <w:t>: 8660-8666 [PMID: 25024623 DOI: 10.3748/wjg.v20.i26.8660]</w:t>
      </w:r>
    </w:p>
    <w:p w14:paraId="5B51149D"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22 </w:t>
      </w:r>
      <w:r w:rsidRPr="008A422E">
        <w:rPr>
          <w:rFonts w:ascii="Book Antiqua" w:eastAsia="SimSun" w:hAnsi="Book Antiqua" w:cs="SimSun"/>
          <w:b/>
          <w:bCs/>
          <w:color w:val="000000"/>
          <w:kern w:val="0"/>
          <w:szCs w:val="21"/>
        </w:rPr>
        <w:t>Cho KA</w:t>
      </w:r>
      <w:r w:rsidRPr="008A422E">
        <w:rPr>
          <w:rFonts w:ascii="Book Antiqua" w:eastAsia="SimSun" w:hAnsi="Book Antiqua" w:cs="SimSun"/>
          <w:color w:val="000000"/>
          <w:kern w:val="0"/>
          <w:szCs w:val="21"/>
        </w:rPr>
        <w:t>, Lim GW, Joo SY, Woo SY, Seoh JY, Cho SJ, Han HS, Ryu KH. Transplantation of bone marrow cells reduces CCl4 -induced liver fibrosis in mice. </w:t>
      </w:r>
      <w:r w:rsidRPr="008A422E">
        <w:rPr>
          <w:rFonts w:ascii="Book Antiqua" w:eastAsia="SimSun" w:hAnsi="Book Antiqua" w:cs="SimSun"/>
          <w:i/>
          <w:iCs/>
          <w:color w:val="000000"/>
          <w:kern w:val="0"/>
          <w:szCs w:val="21"/>
        </w:rPr>
        <w:t>Liver Int</w:t>
      </w:r>
      <w:r w:rsidRPr="008A422E">
        <w:rPr>
          <w:rFonts w:ascii="Book Antiqua" w:eastAsia="SimSun" w:hAnsi="Book Antiqua" w:cs="SimSun"/>
          <w:color w:val="000000"/>
          <w:kern w:val="0"/>
          <w:szCs w:val="21"/>
        </w:rPr>
        <w:t> 2011; </w:t>
      </w:r>
      <w:r w:rsidRPr="008A422E">
        <w:rPr>
          <w:rFonts w:ascii="Book Antiqua" w:eastAsia="SimSun" w:hAnsi="Book Antiqua" w:cs="SimSun"/>
          <w:b/>
          <w:bCs/>
          <w:color w:val="000000"/>
          <w:kern w:val="0"/>
          <w:szCs w:val="21"/>
        </w:rPr>
        <w:t>31</w:t>
      </w:r>
      <w:r w:rsidRPr="008A422E">
        <w:rPr>
          <w:rFonts w:ascii="Book Antiqua" w:eastAsia="SimSun" w:hAnsi="Book Antiqua" w:cs="SimSun"/>
          <w:color w:val="000000"/>
          <w:kern w:val="0"/>
          <w:szCs w:val="21"/>
        </w:rPr>
        <w:t>: 932-939 [PMID: 21092070 DOI: 10.1111/j.1478-3231.2010.02364.x]</w:t>
      </w:r>
    </w:p>
    <w:p w14:paraId="5090B2F6"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23 </w:t>
      </w:r>
      <w:r w:rsidRPr="008A422E">
        <w:rPr>
          <w:rFonts w:ascii="Book Antiqua" w:eastAsia="SimSun" w:hAnsi="Book Antiqua" w:cs="SimSun"/>
          <w:b/>
          <w:bCs/>
          <w:color w:val="000000"/>
          <w:kern w:val="0"/>
          <w:szCs w:val="21"/>
        </w:rPr>
        <w:t>Terai S</w:t>
      </w:r>
      <w:r w:rsidRPr="008A422E">
        <w:rPr>
          <w:rFonts w:ascii="Book Antiqua" w:eastAsia="SimSun" w:hAnsi="Book Antiqua" w:cs="SimSun"/>
          <w:color w:val="000000"/>
          <w:kern w:val="0"/>
          <w:szCs w:val="21"/>
        </w:rPr>
        <w:t>, Sakaida I, Yamamoto N, Omori K, Watanabe T, Ohata S, Katada T, Miyamoto K, Shinoda K, Nishina H, Okita K. An in vivo model for monitoring trans-differentiation of bone marrow cells into functional hepatocytes. </w:t>
      </w:r>
      <w:r w:rsidRPr="008A422E">
        <w:rPr>
          <w:rFonts w:ascii="Book Antiqua" w:eastAsia="SimSun" w:hAnsi="Book Antiqua" w:cs="SimSun"/>
          <w:i/>
          <w:iCs/>
          <w:color w:val="000000"/>
          <w:kern w:val="0"/>
          <w:szCs w:val="21"/>
        </w:rPr>
        <w:t>J Biochem</w:t>
      </w:r>
      <w:r w:rsidRPr="008A422E">
        <w:rPr>
          <w:rFonts w:ascii="Book Antiqua" w:eastAsia="SimSun" w:hAnsi="Book Antiqua" w:cs="SimSun"/>
          <w:color w:val="000000"/>
          <w:kern w:val="0"/>
          <w:szCs w:val="21"/>
        </w:rPr>
        <w:t> 2003; </w:t>
      </w:r>
      <w:r w:rsidRPr="008A422E">
        <w:rPr>
          <w:rFonts w:ascii="Book Antiqua" w:eastAsia="SimSun" w:hAnsi="Book Antiqua" w:cs="SimSun"/>
          <w:b/>
          <w:bCs/>
          <w:color w:val="000000"/>
          <w:kern w:val="0"/>
          <w:szCs w:val="21"/>
        </w:rPr>
        <w:t>134</w:t>
      </w:r>
      <w:r w:rsidRPr="008A422E">
        <w:rPr>
          <w:rFonts w:ascii="Book Antiqua" w:eastAsia="SimSun" w:hAnsi="Book Antiqua" w:cs="SimSun"/>
          <w:color w:val="000000"/>
          <w:kern w:val="0"/>
          <w:szCs w:val="21"/>
        </w:rPr>
        <w:t>: 551-558 [PMID: 14607982 DOI: 10.1093/jb/mvg173]</w:t>
      </w:r>
    </w:p>
    <w:p w14:paraId="5A2E5EBB"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24 </w:t>
      </w:r>
      <w:r w:rsidRPr="008A422E">
        <w:rPr>
          <w:rFonts w:ascii="Book Antiqua" w:eastAsia="SimSun" w:hAnsi="Book Antiqua" w:cs="SimSun"/>
          <w:b/>
          <w:bCs/>
          <w:color w:val="000000"/>
          <w:kern w:val="0"/>
          <w:szCs w:val="21"/>
        </w:rPr>
        <w:t>Piscaglia AC</w:t>
      </w:r>
      <w:r w:rsidRPr="008A422E">
        <w:rPr>
          <w:rFonts w:ascii="Book Antiqua" w:eastAsia="SimSun" w:hAnsi="Book Antiqua" w:cs="SimSun"/>
          <w:color w:val="000000"/>
          <w:kern w:val="0"/>
          <w:szCs w:val="21"/>
        </w:rPr>
        <w:t>, Shupe TD, Oh SH, Gasbarrini A, Petersen BE. Granulocyte-colony stimulating factor promotes liver repair and induces oval cell migration and proliferation in rats. </w:t>
      </w:r>
      <w:r w:rsidRPr="008A422E">
        <w:rPr>
          <w:rFonts w:ascii="Book Antiqua" w:eastAsia="SimSun" w:hAnsi="Book Antiqua" w:cs="SimSun"/>
          <w:i/>
          <w:iCs/>
          <w:color w:val="000000"/>
          <w:kern w:val="0"/>
          <w:szCs w:val="21"/>
        </w:rPr>
        <w:t>Gastroenterology</w:t>
      </w:r>
      <w:r w:rsidRPr="008A422E">
        <w:rPr>
          <w:rFonts w:ascii="Book Antiqua" w:eastAsia="SimSun" w:hAnsi="Book Antiqua" w:cs="SimSun"/>
          <w:color w:val="000000"/>
          <w:kern w:val="0"/>
          <w:szCs w:val="21"/>
        </w:rPr>
        <w:t> 2007; </w:t>
      </w:r>
      <w:r w:rsidRPr="008A422E">
        <w:rPr>
          <w:rFonts w:ascii="Book Antiqua" w:eastAsia="SimSun" w:hAnsi="Book Antiqua" w:cs="SimSun"/>
          <w:b/>
          <w:bCs/>
          <w:color w:val="000000"/>
          <w:kern w:val="0"/>
          <w:szCs w:val="21"/>
        </w:rPr>
        <w:t>133</w:t>
      </w:r>
      <w:r w:rsidRPr="008A422E">
        <w:rPr>
          <w:rFonts w:ascii="Book Antiqua" w:eastAsia="SimSun" w:hAnsi="Book Antiqua" w:cs="SimSun"/>
          <w:color w:val="000000"/>
          <w:kern w:val="0"/>
          <w:szCs w:val="21"/>
        </w:rPr>
        <w:t>: 619-631 [PMID: 17681181 DOI: 10.1053/j.gastro.2007.05.018]</w:t>
      </w:r>
    </w:p>
    <w:p w14:paraId="3FF52432"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25 </w:t>
      </w:r>
      <w:r w:rsidRPr="008A422E">
        <w:rPr>
          <w:rFonts w:ascii="Book Antiqua" w:eastAsia="SimSun" w:hAnsi="Book Antiqua" w:cs="SimSun"/>
          <w:b/>
          <w:bCs/>
          <w:color w:val="000000"/>
          <w:kern w:val="0"/>
          <w:szCs w:val="21"/>
        </w:rPr>
        <w:t>Oyagi S</w:t>
      </w:r>
      <w:r w:rsidRPr="008A422E">
        <w:rPr>
          <w:rFonts w:ascii="Book Antiqua" w:eastAsia="SimSun" w:hAnsi="Book Antiqua" w:cs="SimSun"/>
          <w:color w:val="000000"/>
          <w:kern w:val="0"/>
          <w:szCs w:val="21"/>
        </w:rPr>
        <w:t>, Hirose M, Kojima M, Okuyama M, Kawase M, Nakamura T, Ohgushi H, Yagi K. Therapeutic effect of transplanting HGF-treated bone marrow mesenchymal cells into CCl4-injured rats. </w:t>
      </w:r>
      <w:r w:rsidRPr="008A422E">
        <w:rPr>
          <w:rFonts w:ascii="Book Antiqua" w:eastAsia="SimSun" w:hAnsi="Book Antiqua" w:cs="SimSun"/>
          <w:i/>
          <w:iCs/>
          <w:color w:val="000000"/>
          <w:kern w:val="0"/>
          <w:szCs w:val="21"/>
        </w:rPr>
        <w:t>J Hepatol</w:t>
      </w:r>
      <w:r w:rsidRPr="008A422E">
        <w:rPr>
          <w:rFonts w:ascii="Book Antiqua" w:eastAsia="SimSun" w:hAnsi="Book Antiqua" w:cs="SimSun"/>
          <w:color w:val="000000"/>
          <w:kern w:val="0"/>
          <w:szCs w:val="21"/>
        </w:rPr>
        <w:t> 2006; </w:t>
      </w:r>
      <w:r w:rsidRPr="008A422E">
        <w:rPr>
          <w:rFonts w:ascii="Book Antiqua" w:eastAsia="SimSun" w:hAnsi="Book Antiqua" w:cs="SimSun"/>
          <w:b/>
          <w:bCs/>
          <w:color w:val="000000"/>
          <w:kern w:val="0"/>
          <w:szCs w:val="21"/>
        </w:rPr>
        <w:t>44</w:t>
      </w:r>
      <w:r w:rsidRPr="008A422E">
        <w:rPr>
          <w:rFonts w:ascii="Book Antiqua" w:eastAsia="SimSun" w:hAnsi="Book Antiqua" w:cs="SimSun"/>
          <w:color w:val="000000"/>
          <w:kern w:val="0"/>
          <w:szCs w:val="21"/>
        </w:rPr>
        <w:t>: 742-748 [PMID: 16469408 DOI: 10.1016/j.jhep.2005.10.026]</w:t>
      </w:r>
    </w:p>
    <w:p w14:paraId="3A7A5A19" w14:textId="77777777" w:rsidR="007624D6" w:rsidRPr="008A422E" w:rsidRDefault="007624D6" w:rsidP="007624D6">
      <w:pPr>
        <w:widowControl/>
        <w:rPr>
          <w:rFonts w:ascii="Book Antiqua" w:eastAsia="SimSun" w:hAnsi="Book Antiqua" w:cs="SimSun"/>
          <w:color w:val="000000"/>
          <w:kern w:val="0"/>
          <w:szCs w:val="21"/>
        </w:rPr>
      </w:pPr>
      <w:r w:rsidRPr="008A422E">
        <w:rPr>
          <w:rFonts w:ascii="Book Antiqua" w:eastAsia="SimSun" w:hAnsi="Book Antiqua" w:cs="SimSun"/>
          <w:color w:val="000000"/>
          <w:kern w:val="0"/>
          <w:szCs w:val="21"/>
        </w:rPr>
        <w:t>26 </w:t>
      </w:r>
      <w:r w:rsidRPr="008A422E">
        <w:rPr>
          <w:rFonts w:ascii="Book Antiqua" w:eastAsia="SimSun" w:hAnsi="Book Antiqua" w:cs="SimSun"/>
          <w:b/>
          <w:bCs/>
          <w:color w:val="000000"/>
          <w:kern w:val="0"/>
          <w:szCs w:val="21"/>
        </w:rPr>
        <w:t>Duvoux C</w:t>
      </w:r>
      <w:r w:rsidRPr="008A422E">
        <w:rPr>
          <w:rFonts w:ascii="Book Antiqua" w:eastAsia="SimSun" w:hAnsi="Book Antiqua" w:cs="SimSun"/>
          <w:color w:val="000000"/>
          <w:kern w:val="0"/>
          <w:szCs w:val="21"/>
        </w:rPr>
        <w:t>, Pawlotsky JM, Bastie A, Cherqui D, Soussy CJ, Dhumeaux D. Low HCV replication levels in end-stage hepatitis C virus-related liver disease. </w:t>
      </w:r>
      <w:r w:rsidRPr="008A422E">
        <w:rPr>
          <w:rFonts w:ascii="Book Antiqua" w:eastAsia="SimSun" w:hAnsi="Book Antiqua" w:cs="SimSun"/>
          <w:i/>
          <w:iCs/>
          <w:color w:val="000000"/>
          <w:kern w:val="0"/>
          <w:szCs w:val="21"/>
        </w:rPr>
        <w:t>J Hepatol</w:t>
      </w:r>
      <w:r w:rsidRPr="008A422E">
        <w:rPr>
          <w:rFonts w:ascii="Book Antiqua" w:eastAsia="SimSun" w:hAnsi="Book Antiqua" w:cs="SimSun"/>
          <w:color w:val="000000"/>
          <w:kern w:val="0"/>
          <w:szCs w:val="21"/>
        </w:rPr>
        <w:t> 1999; </w:t>
      </w:r>
      <w:r w:rsidRPr="008A422E">
        <w:rPr>
          <w:rFonts w:ascii="Book Antiqua" w:eastAsia="SimSun" w:hAnsi="Book Antiqua" w:cs="SimSun"/>
          <w:b/>
          <w:bCs/>
          <w:color w:val="000000"/>
          <w:kern w:val="0"/>
          <w:szCs w:val="21"/>
        </w:rPr>
        <w:t>31</w:t>
      </w:r>
      <w:r w:rsidRPr="008A422E">
        <w:rPr>
          <w:rFonts w:ascii="Book Antiqua" w:eastAsia="SimSun" w:hAnsi="Book Antiqua" w:cs="SimSun"/>
          <w:color w:val="000000"/>
          <w:kern w:val="0"/>
          <w:szCs w:val="21"/>
        </w:rPr>
        <w:t>: 593-597 [PMID: 10551380]</w:t>
      </w:r>
    </w:p>
    <w:p w14:paraId="02DF32F3" w14:textId="77777777" w:rsidR="007624D6" w:rsidRPr="008A422E" w:rsidRDefault="007624D6" w:rsidP="007624D6">
      <w:pPr>
        <w:rPr>
          <w:rFonts w:ascii="Book Antiqua" w:hAnsi="Book Antiqua"/>
          <w:szCs w:val="21"/>
          <w:lang w:val="x-none"/>
        </w:rPr>
      </w:pPr>
    </w:p>
    <w:p w14:paraId="47B23ACA"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lang w:val="x-none"/>
        </w:rPr>
      </w:pPr>
    </w:p>
    <w:p w14:paraId="1B863F2A" w14:textId="4E67F482" w:rsidR="00E54724" w:rsidRPr="00B26344" w:rsidRDefault="00E54724" w:rsidP="00B26344">
      <w:pPr>
        <w:widowControl/>
        <w:shd w:val="clear" w:color="auto" w:fill="FFFFFF"/>
        <w:tabs>
          <w:tab w:val="left" w:pos="1020"/>
        </w:tabs>
        <w:autoSpaceDE w:val="0"/>
        <w:autoSpaceDN w:val="0"/>
        <w:adjustRightInd w:val="0"/>
        <w:spacing w:line="360" w:lineRule="auto"/>
        <w:jc w:val="right"/>
        <w:rPr>
          <w:rFonts w:ascii="Book Antiqua" w:eastAsia="SimSun" w:hAnsi="Book Antiqua" w:cs="Times New Roman"/>
          <w:b/>
          <w:szCs w:val="24"/>
        </w:rPr>
      </w:pPr>
      <w:r w:rsidRPr="00B26344">
        <w:rPr>
          <w:rFonts w:ascii="Book Antiqua" w:eastAsia="SimSun" w:hAnsi="Book Antiqua" w:cs="Times New Roman"/>
          <w:b/>
          <w:szCs w:val="24"/>
        </w:rPr>
        <w:t xml:space="preserve">P-Reviewer: </w:t>
      </w:r>
      <w:r w:rsidRPr="00B26344">
        <w:rPr>
          <w:rFonts w:ascii="Book Antiqua" w:eastAsia="SimSun" w:hAnsi="Book Antiqua" w:cs="Times New Roman"/>
          <w:szCs w:val="24"/>
        </w:rPr>
        <w:t>Akbar SMF</w:t>
      </w:r>
      <w:r w:rsidRPr="00B26344">
        <w:rPr>
          <w:rFonts w:ascii="Book Antiqua" w:eastAsia="SimSun" w:hAnsi="Book Antiqua" w:cs="Times New Roman" w:hint="eastAsia"/>
          <w:szCs w:val="24"/>
        </w:rPr>
        <w:t xml:space="preserve">, </w:t>
      </w:r>
      <w:r w:rsidRPr="00B26344">
        <w:rPr>
          <w:rFonts w:ascii="Book Antiqua" w:eastAsia="SimSun" w:hAnsi="Book Antiqua" w:cs="Times New Roman"/>
          <w:szCs w:val="24"/>
        </w:rPr>
        <w:t>Kanda T</w:t>
      </w:r>
      <w:r w:rsidRPr="00B26344">
        <w:rPr>
          <w:rFonts w:ascii="Book Antiqua" w:eastAsia="SimSun" w:hAnsi="Book Antiqua" w:cs="Times New Roman" w:hint="eastAsia"/>
          <w:szCs w:val="24"/>
        </w:rPr>
        <w:t xml:space="preserve">, </w:t>
      </w:r>
      <w:r w:rsidRPr="00B26344">
        <w:rPr>
          <w:rFonts w:ascii="Book Antiqua" w:eastAsia="SimSun" w:hAnsi="Book Antiqua" w:cs="Times New Roman"/>
          <w:szCs w:val="24"/>
        </w:rPr>
        <w:t>Larrubia</w:t>
      </w:r>
      <w:r w:rsidRPr="00B26344">
        <w:rPr>
          <w:rFonts w:ascii="Book Antiqua" w:eastAsia="SimSun" w:hAnsi="Book Antiqua" w:cs="Times New Roman" w:hint="eastAsia"/>
          <w:szCs w:val="24"/>
        </w:rPr>
        <w:t xml:space="preserve"> </w:t>
      </w:r>
      <w:r w:rsidRPr="00B26344">
        <w:rPr>
          <w:rFonts w:ascii="Book Antiqua" w:eastAsia="SimSun" w:hAnsi="Book Antiqua" w:cs="Times New Roman" w:hint="eastAsia"/>
          <w:caps/>
          <w:szCs w:val="24"/>
        </w:rPr>
        <w:t>jr</w:t>
      </w:r>
      <w:r w:rsidRPr="00B26344">
        <w:rPr>
          <w:rFonts w:ascii="Book Antiqua" w:eastAsia="SimSun" w:hAnsi="Book Antiqua" w:cs="Times New Roman" w:hint="eastAsia"/>
          <w:szCs w:val="24"/>
        </w:rPr>
        <w:t xml:space="preserve">, </w:t>
      </w:r>
      <w:r w:rsidRPr="00B26344">
        <w:rPr>
          <w:rFonts w:ascii="Book Antiqua" w:eastAsia="SimSun" w:hAnsi="Book Antiqua" w:cs="Times New Roman"/>
          <w:szCs w:val="24"/>
        </w:rPr>
        <w:t>Pompili M</w:t>
      </w:r>
      <w:r w:rsidRPr="00B26344">
        <w:rPr>
          <w:rFonts w:ascii="Book Antiqua" w:eastAsia="SimSun" w:hAnsi="Book Antiqua" w:cs="Times New Roman" w:hint="eastAsia"/>
          <w:szCs w:val="24"/>
        </w:rPr>
        <w:t xml:space="preserve">, </w:t>
      </w:r>
      <w:r w:rsidRPr="00B26344">
        <w:rPr>
          <w:rFonts w:ascii="Book Antiqua" w:eastAsia="SimSun" w:hAnsi="Book Antiqua" w:cs="Times New Roman"/>
          <w:szCs w:val="24"/>
        </w:rPr>
        <w:t>Shimizu Y</w:t>
      </w:r>
      <w:r w:rsidRPr="00B26344">
        <w:rPr>
          <w:rFonts w:ascii="Book Antiqua" w:eastAsia="SimSun" w:hAnsi="Book Antiqua" w:cs="Times New Roman" w:hint="eastAsia"/>
          <w:szCs w:val="24"/>
        </w:rPr>
        <w:t xml:space="preserve">, </w:t>
      </w:r>
      <w:r w:rsidRPr="00B26344">
        <w:rPr>
          <w:rFonts w:ascii="Book Antiqua" w:eastAsia="SimSun" w:hAnsi="Book Antiqua" w:cs="Times New Roman"/>
          <w:szCs w:val="24"/>
        </w:rPr>
        <w:t>Wang</w:t>
      </w:r>
      <w:r w:rsidRPr="00B26344">
        <w:rPr>
          <w:rFonts w:ascii="Book Antiqua" w:eastAsia="SimSun" w:hAnsi="Book Antiqua" w:cs="Times New Roman" w:hint="eastAsia"/>
          <w:szCs w:val="24"/>
        </w:rPr>
        <w:t xml:space="preserve"> </w:t>
      </w:r>
      <w:r w:rsidRPr="00B26344">
        <w:rPr>
          <w:rFonts w:ascii="Book Antiqua" w:eastAsia="SimSun" w:hAnsi="Book Antiqua" w:cs="Times New Roman" w:hint="eastAsia"/>
          <w:caps/>
          <w:szCs w:val="24"/>
        </w:rPr>
        <w:t>k</w:t>
      </w:r>
      <w:r w:rsidR="00B26344" w:rsidRPr="00B26344">
        <w:rPr>
          <w:rFonts w:ascii="Book Antiqua" w:eastAsia="SimSun" w:hAnsi="Book Antiqua" w:cs="Times New Roman" w:hint="eastAsia"/>
          <w:szCs w:val="24"/>
        </w:rPr>
        <w:t xml:space="preserve"> </w:t>
      </w:r>
      <w:r w:rsidRPr="00B26344">
        <w:rPr>
          <w:rFonts w:ascii="Book Antiqua" w:eastAsia="SimSun" w:hAnsi="Book Antiqua" w:cs="Times New Roman"/>
          <w:b/>
          <w:szCs w:val="24"/>
        </w:rPr>
        <w:t xml:space="preserve">S-Editor: </w:t>
      </w:r>
      <w:r w:rsidRPr="00B26344">
        <w:rPr>
          <w:rFonts w:ascii="Book Antiqua" w:eastAsia="SimSun" w:hAnsi="Book Antiqua" w:cs="Times New Roman" w:hint="eastAsia"/>
          <w:szCs w:val="24"/>
        </w:rPr>
        <w:t>Ma YJ</w:t>
      </w:r>
      <w:r w:rsidRPr="00B26344">
        <w:rPr>
          <w:rFonts w:ascii="Book Antiqua" w:eastAsia="SimSun" w:hAnsi="Book Antiqua" w:cs="Times New Roman" w:hint="eastAsia"/>
          <w:b/>
          <w:szCs w:val="24"/>
        </w:rPr>
        <w:t xml:space="preserve"> </w:t>
      </w:r>
      <w:r w:rsidRPr="00B26344">
        <w:rPr>
          <w:rFonts w:ascii="Book Antiqua" w:eastAsia="SimSun" w:hAnsi="Book Antiqua" w:cs="Times New Roman"/>
          <w:b/>
          <w:szCs w:val="24"/>
        </w:rPr>
        <w:t>L-Editor:</w:t>
      </w:r>
      <w:r w:rsidR="009C3C2C" w:rsidRPr="00B26344">
        <w:rPr>
          <w:rFonts w:ascii="Book Antiqua" w:eastAsia="SimSun" w:hAnsi="Book Antiqua" w:cs="Times New Roman"/>
          <w:b/>
          <w:szCs w:val="24"/>
        </w:rPr>
        <w:t xml:space="preserve"> </w:t>
      </w:r>
      <w:r w:rsidRPr="00B26344">
        <w:rPr>
          <w:rFonts w:ascii="Book Antiqua" w:eastAsia="SimSun" w:hAnsi="Book Antiqua" w:cs="Times New Roman"/>
          <w:b/>
          <w:szCs w:val="24"/>
        </w:rPr>
        <w:t xml:space="preserve"> E-Editor:</w:t>
      </w:r>
    </w:p>
    <w:p w14:paraId="0831E855" w14:textId="77777777" w:rsidR="00E54724" w:rsidRPr="00E54724" w:rsidRDefault="00E54724" w:rsidP="00E54724">
      <w:pPr>
        <w:widowControl/>
        <w:spacing w:after="200" w:line="360" w:lineRule="auto"/>
        <w:rPr>
          <w:rFonts w:ascii="Book Antiqua" w:eastAsia="SimSun" w:hAnsi="Book Antiqua" w:cs="Times New Roman"/>
          <w:b/>
          <w:caps/>
          <w:color w:val="000000"/>
          <w:szCs w:val="24"/>
          <w:u w:color="000000"/>
        </w:rPr>
      </w:pPr>
    </w:p>
    <w:p w14:paraId="7DAAAF96"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sectPr w:rsidR="00E54724" w:rsidRPr="00E54724" w:rsidSect="00A52638">
          <w:pgSz w:w="12240" w:h="15840"/>
          <w:pgMar w:top="1440" w:right="1440" w:bottom="1440" w:left="1440" w:header="720" w:footer="720" w:gutter="0"/>
          <w:cols w:space="720"/>
          <w:docGrid w:linePitch="360"/>
        </w:sectPr>
      </w:pPr>
    </w:p>
    <w:p w14:paraId="181EFBDD" w14:textId="77777777" w:rsidR="00E54724" w:rsidRPr="00E54724" w:rsidRDefault="00E54724" w:rsidP="00E54724">
      <w:pPr>
        <w:widowControl/>
        <w:tabs>
          <w:tab w:val="left" w:pos="1020"/>
        </w:tabs>
        <w:autoSpaceDE w:val="0"/>
        <w:autoSpaceDN w:val="0"/>
        <w:adjustRightInd w:val="0"/>
        <w:spacing w:line="360" w:lineRule="auto"/>
        <w:rPr>
          <w:rFonts w:ascii="Book Antiqua" w:eastAsia="SimSun" w:hAnsi="Book Antiqua" w:cs="Lucida Grande"/>
          <w:b/>
          <w:noProof/>
          <w:color w:val="000000"/>
          <w:sz w:val="24"/>
          <w:szCs w:val="24"/>
          <w:u w:color="000000"/>
        </w:rPr>
      </w:pPr>
      <w:r w:rsidRPr="00E54724">
        <w:rPr>
          <w:rFonts w:ascii="Book Antiqua" w:eastAsia="Times New Roman" w:hAnsi="Book Antiqua" w:cs="Lucida Grande"/>
          <w:b/>
          <w:noProof/>
          <w:color w:val="000000"/>
          <w:sz w:val="24"/>
          <w:szCs w:val="24"/>
          <w:u w:color="000000"/>
        </w:rPr>
        <w:lastRenderedPageBreak/>
        <w:t>Table 1</w:t>
      </w:r>
      <w:r w:rsidRPr="00E54724">
        <w:rPr>
          <w:rFonts w:ascii="Book Antiqua" w:eastAsia="SimSun" w:hAnsi="Book Antiqua" w:cs="Lucida Grande" w:hint="eastAsia"/>
          <w:b/>
          <w:noProof/>
          <w:color w:val="000000"/>
          <w:sz w:val="24"/>
          <w:szCs w:val="24"/>
          <w:u w:color="000000"/>
        </w:rPr>
        <w:t xml:space="preserve"> </w:t>
      </w:r>
      <w:r w:rsidRPr="00E54724">
        <w:rPr>
          <w:rFonts w:ascii="Book Antiqua" w:eastAsia="Times New Roman" w:hAnsi="Book Antiqua" w:cs="Lucida Grande"/>
          <w:b/>
          <w:noProof/>
          <w:color w:val="000000"/>
          <w:sz w:val="24"/>
          <w:szCs w:val="24"/>
          <w:u w:color="000000"/>
        </w:rPr>
        <w:t>Most patients in the included studies have hepatitis virus</w:t>
      </w:r>
      <w:r w:rsidRPr="00E54724">
        <w:rPr>
          <w:rFonts w:ascii="Book Antiqua" w:eastAsia="SimSun" w:hAnsi="Book Antiqua" w:cs="Lucida Grande" w:hint="eastAsia"/>
          <w:b/>
          <w:noProof/>
          <w:color w:val="000000"/>
          <w:sz w:val="24"/>
          <w:szCs w:val="24"/>
          <w:u w:color="000000"/>
        </w:rPr>
        <w:t xml:space="preserve"> </w:t>
      </w:r>
      <w:r w:rsidRPr="00E54724">
        <w:rPr>
          <w:rFonts w:ascii="Book Antiqua" w:eastAsia="Times New Roman" w:hAnsi="Book Antiqua" w:cs="Lucida Grande"/>
          <w:b/>
          <w:noProof/>
          <w:color w:val="000000"/>
          <w:sz w:val="24"/>
          <w:szCs w:val="24"/>
          <w:u w:color="000000"/>
        </w:rPr>
        <w:t>infection and/or alcholic explosure, and were suffer from decompensate liver cirrhosis</w:t>
      </w:r>
    </w:p>
    <w:tbl>
      <w:tblPr>
        <w:tblStyle w:val="TableGrid"/>
        <w:tblW w:w="1314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42"/>
        <w:gridCol w:w="1134"/>
        <w:gridCol w:w="1275"/>
        <w:gridCol w:w="993"/>
        <w:gridCol w:w="1134"/>
        <w:gridCol w:w="3118"/>
        <w:gridCol w:w="2552"/>
        <w:gridCol w:w="1275"/>
      </w:tblGrid>
      <w:tr w:rsidR="00E54724" w:rsidRPr="00E54724" w14:paraId="25948164" w14:textId="77777777" w:rsidTr="00A52638">
        <w:tc>
          <w:tcPr>
            <w:tcW w:w="1668" w:type="dxa"/>
            <w:gridSpan w:val="2"/>
            <w:tcBorders>
              <w:bottom w:val="single" w:sz="4" w:space="0" w:color="auto"/>
            </w:tcBorders>
            <w:vAlign w:val="center"/>
          </w:tcPr>
          <w:p w14:paraId="77B11630"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b/>
                <w:noProof/>
                <w:color w:val="000000"/>
                <w:u w:color="000000"/>
              </w:rPr>
            </w:pPr>
            <w:r w:rsidRPr="00E54724">
              <w:rPr>
                <w:rFonts w:ascii="Book Antiqua" w:eastAsia="Times New Roman" w:hAnsi="Book Antiqua" w:cs="Lucida Grande"/>
                <w:b/>
                <w:noProof/>
                <w:color w:val="000000"/>
                <w:u w:color="000000"/>
              </w:rPr>
              <w:t>Trials</w:t>
            </w:r>
          </w:p>
        </w:tc>
        <w:tc>
          <w:tcPr>
            <w:tcW w:w="1134" w:type="dxa"/>
            <w:tcBorders>
              <w:bottom w:val="single" w:sz="4" w:space="0" w:color="auto"/>
            </w:tcBorders>
            <w:vAlign w:val="center"/>
          </w:tcPr>
          <w:p w14:paraId="5FAD258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b/>
                <w:noProof/>
                <w:color w:val="000000"/>
                <w:u w:color="000000"/>
              </w:rPr>
            </w:pPr>
            <w:r w:rsidRPr="00E54724">
              <w:rPr>
                <w:rFonts w:ascii="Book Antiqua" w:eastAsia="Times New Roman" w:hAnsi="Book Antiqua" w:cs="Lucida Grande"/>
                <w:b/>
                <w:noProof/>
                <w:color w:val="000000"/>
                <w:u w:color="000000"/>
              </w:rPr>
              <w:t>Region</w:t>
            </w:r>
          </w:p>
        </w:tc>
        <w:tc>
          <w:tcPr>
            <w:tcW w:w="1275" w:type="dxa"/>
            <w:tcBorders>
              <w:bottom w:val="single" w:sz="4" w:space="0" w:color="auto"/>
            </w:tcBorders>
            <w:vAlign w:val="center"/>
          </w:tcPr>
          <w:p w14:paraId="108569B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b/>
                <w:noProof/>
                <w:color w:val="000000"/>
                <w:u w:color="000000"/>
              </w:rPr>
            </w:pPr>
            <w:r w:rsidRPr="00E54724">
              <w:rPr>
                <w:rFonts w:ascii="Book Antiqua" w:eastAsia="Times New Roman" w:hAnsi="Book Antiqua" w:cs="Lucida Grande"/>
                <w:b/>
                <w:noProof/>
                <w:color w:val="000000"/>
                <w:u w:color="000000"/>
              </w:rPr>
              <w:t>Design</w:t>
            </w:r>
          </w:p>
        </w:tc>
        <w:tc>
          <w:tcPr>
            <w:tcW w:w="993" w:type="dxa"/>
            <w:tcBorders>
              <w:bottom w:val="single" w:sz="4" w:space="0" w:color="auto"/>
            </w:tcBorders>
            <w:vAlign w:val="center"/>
          </w:tcPr>
          <w:p w14:paraId="6935316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b/>
                <w:noProof/>
                <w:color w:val="000000"/>
                <w:u w:color="000000"/>
              </w:rPr>
            </w:pPr>
            <w:r w:rsidRPr="00E54724">
              <w:rPr>
                <w:rFonts w:ascii="Book Antiqua" w:eastAsia="Times New Roman" w:hAnsi="Book Antiqua" w:cs="Lucida Grande"/>
                <w:b/>
                <w:noProof/>
                <w:color w:val="000000"/>
                <w:u w:color="000000"/>
              </w:rPr>
              <w:t>Duration</w:t>
            </w:r>
          </w:p>
        </w:tc>
        <w:tc>
          <w:tcPr>
            <w:tcW w:w="1134" w:type="dxa"/>
            <w:tcBorders>
              <w:bottom w:val="single" w:sz="4" w:space="0" w:color="auto"/>
            </w:tcBorders>
            <w:vAlign w:val="center"/>
          </w:tcPr>
          <w:p w14:paraId="38B4FE6E"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b/>
                <w:noProof/>
                <w:color w:val="000000"/>
                <w:u w:color="000000"/>
              </w:rPr>
            </w:pPr>
            <w:r w:rsidRPr="00E54724">
              <w:rPr>
                <w:rFonts w:ascii="Book Antiqua" w:eastAsia="Times New Roman" w:hAnsi="Book Antiqua" w:cs="Lucida Grande"/>
                <w:b/>
                <w:noProof/>
                <w:color w:val="000000"/>
                <w:u w:color="000000"/>
              </w:rPr>
              <w:t>No. of patients</w:t>
            </w:r>
          </w:p>
        </w:tc>
        <w:tc>
          <w:tcPr>
            <w:tcW w:w="3118" w:type="dxa"/>
            <w:tcBorders>
              <w:bottom w:val="single" w:sz="4" w:space="0" w:color="auto"/>
            </w:tcBorders>
            <w:vAlign w:val="center"/>
          </w:tcPr>
          <w:p w14:paraId="12919CC7"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b/>
                <w:noProof/>
                <w:color w:val="000000"/>
                <w:u w:color="000000"/>
              </w:rPr>
            </w:pPr>
            <w:r w:rsidRPr="00E54724">
              <w:rPr>
                <w:rFonts w:ascii="Book Antiqua" w:eastAsia="Times New Roman" w:hAnsi="Book Antiqua" w:cs="Lucida Grande"/>
                <w:b/>
                <w:noProof/>
                <w:color w:val="000000"/>
                <w:u w:color="000000"/>
              </w:rPr>
              <w:t>Etiology of liver disease</w:t>
            </w:r>
          </w:p>
        </w:tc>
        <w:tc>
          <w:tcPr>
            <w:tcW w:w="2552" w:type="dxa"/>
            <w:tcBorders>
              <w:bottom w:val="single" w:sz="4" w:space="0" w:color="auto"/>
            </w:tcBorders>
            <w:vAlign w:val="center"/>
          </w:tcPr>
          <w:p w14:paraId="7738377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b/>
                <w:noProof/>
                <w:color w:val="000000"/>
                <w:u w:color="000000"/>
              </w:rPr>
            </w:pPr>
            <w:r w:rsidRPr="00E54724">
              <w:rPr>
                <w:rFonts w:ascii="Book Antiqua" w:eastAsia="Times New Roman" w:hAnsi="Book Antiqua" w:cs="Lucida Grande"/>
                <w:b/>
                <w:noProof/>
                <w:color w:val="000000"/>
                <w:u w:color="000000"/>
              </w:rPr>
              <w:t>Intervention</w:t>
            </w:r>
          </w:p>
        </w:tc>
        <w:tc>
          <w:tcPr>
            <w:tcW w:w="1275" w:type="dxa"/>
            <w:tcBorders>
              <w:bottom w:val="single" w:sz="4" w:space="0" w:color="auto"/>
            </w:tcBorders>
            <w:vAlign w:val="center"/>
          </w:tcPr>
          <w:p w14:paraId="42B49A69"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b/>
                <w:noProof/>
                <w:color w:val="000000"/>
                <w:u w:color="000000"/>
              </w:rPr>
            </w:pPr>
            <w:r w:rsidRPr="00E54724">
              <w:rPr>
                <w:rFonts w:ascii="Book Antiqua" w:eastAsia="Times New Roman" w:hAnsi="Book Antiqua" w:cs="Lucida Grande"/>
                <w:b/>
                <w:noProof/>
                <w:color w:val="000000"/>
                <w:u w:color="000000"/>
              </w:rPr>
              <w:t>Follow-up</w:t>
            </w:r>
          </w:p>
        </w:tc>
      </w:tr>
      <w:tr w:rsidR="00E54724" w:rsidRPr="00E54724" w14:paraId="2B9CACA8" w14:textId="77777777" w:rsidTr="00A52638">
        <w:tc>
          <w:tcPr>
            <w:tcW w:w="1668" w:type="dxa"/>
            <w:gridSpan w:val="2"/>
            <w:tcBorders>
              <w:top w:val="single" w:sz="4" w:space="0" w:color="auto"/>
              <w:bottom w:val="nil"/>
            </w:tcBorders>
            <w:vAlign w:val="center"/>
          </w:tcPr>
          <w:p w14:paraId="4D34AB99"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Lyra</w:t>
            </w:r>
          </w:p>
          <w:p w14:paraId="78A7F75A"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2010</w:t>
            </w:r>
          </w:p>
        </w:tc>
        <w:tc>
          <w:tcPr>
            <w:tcW w:w="1134" w:type="dxa"/>
            <w:tcBorders>
              <w:top w:val="single" w:sz="4" w:space="0" w:color="auto"/>
              <w:bottom w:val="nil"/>
            </w:tcBorders>
            <w:vAlign w:val="center"/>
          </w:tcPr>
          <w:p w14:paraId="5EC931AD"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Brazil</w:t>
            </w:r>
          </w:p>
        </w:tc>
        <w:tc>
          <w:tcPr>
            <w:tcW w:w="1275" w:type="dxa"/>
            <w:tcBorders>
              <w:top w:val="single" w:sz="4" w:space="0" w:color="auto"/>
              <w:bottom w:val="nil"/>
            </w:tcBorders>
            <w:vAlign w:val="center"/>
          </w:tcPr>
          <w:p w14:paraId="6783AEF5"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RCT</w:t>
            </w:r>
          </w:p>
        </w:tc>
        <w:tc>
          <w:tcPr>
            <w:tcW w:w="993" w:type="dxa"/>
            <w:tcBorders>
              <w:top w:val="single" w:sz="4" w:space="0" w:color="auto"/>
              <w:bottom w:val="nil"/>
            </w:tcBorders>
            <w:vAlign w:val="center"/>
          </w:tcPr>
          <w:p w14:paraId="41DBE989"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2006.1-2006.4</w:t>
            </w:r>
          </w:p>
        </w:tc>
        <w:tc>
          <w:tcPr>
            <w:tcW w:w="1134" w:type="dxa"/>
            <w:tcBorders>
              <w:top w:val="single" w:sz="4" w:space="0" w:color="auto"/>
              <w:bottom w:val="nil"/>
            </w:tcBorders>
            <w:vAlign w:val="center"/>
          </w:tcPr>
          <w:p w14:paraId="2C9B0244"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 xml:space="preserve">15 </w:t>
            </w:r>
            <w:r w:rsidRPr="00E54724">
              <w:rPr>
                <w:rFonts w:ascii="Book Antiqua" w:eastAsia="Times New Roman" w:hAnsi="Book Antiqua" w:cs="Lucida Grande"/>
                <w:i/>
                <w:noProof/>
                <w:color w:val="000000"/>
                <w:u w:color="000000"/>
              </w:rPr>
              <w:t>vs</w:t>
            </w:r>
            <w:r w:rsidRPr="00E54724">
              <w:rPr>
                <w:rFonts w:ascii="Book Antiqua" w:eastAsia="Times New Roman" w:hAnsi="Book Antiqua" w:cs="Lucida Grande"/>
                <w:noProof/>
                <w:color w:val="000000"/>
                <w:u w:color="000000"/>
              </w:rPr>
              <w:t xml:space="preserve"> 15</w:t>
            </w:r>
          </w:p>
        </w:tc>
        <w:tc>
          <w:tcPr>
            <w:tcW w:w="3118" w:type="dxa"/>
            <w:tcBorders>
              <w:top w:val="single" w:sz="4" w:space="0" w:color="auto"/>
              <w:bottom w:val="nil"/>
            </w:tcBorders>
            <w:vAlign w:val="center"/>
          </w:tcPr>
          <w:p w14:paraId="51B2A7D8"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Chronic liver disease waiting for liver transplantation</w:t>
            </w:r>
            <w:r w:rsidRPr="00E54724">
              <w:rPr>
                <w:rFonts w:ascii="Book Antiqua" w:eastAsia="仿宋" w:hAnsi="Book Antiqua" w:cs="仿宋"/>
                <w:noProof/>
                <w:color w:val="000000"/>
                <w:u w:color="000000"/>
              </w:rPr>
              <w:t>, mainly alcoholic and/or hepatitis C</w:t>
            </w:r>
          </w:p>
        </w:tc>
        <w:tc>
          <w:tcPr>
            <w:tcW w:w="2552" w:type="dxa"/>
            <w:tcBorders>
              <w:top w:val="single" w:sz="4" w:space="0" w:color="auto"/>
              <w:bottom w:val="nil"/>
            </w:tcBorders>
            <w:vAlign w:val="center"/>
          </w:tcPr>
          <w:p w14:paraId="4DDDEBB3"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hAnsi="Book Antiqua" w:cs="Lucida Grande" w:hint="eastAsia"/>
                <w:noProof/>
                <w:color w:val="000000"/>
                <w:u w:color="000000"/>
              </w:rPr>
              <w:t xml:space="preserve">About </w:t>
            </w:r>
            <w:r w:rsidRPr="00E54724">
              <w:rPr>
                <w:rFonts w:ascii="Book Antiqua" w:eastAsia="Times New Roman" w:hAnsi="Book Antiqua" w:cs="Lucida Grande"/>
                <w:noProof/>
                <w:color w:val="000000"/>
                <w:u w:color="000000"/>
              </w:rPr>
              <w:t xml:space="preserve">3.78 </w:t>
            </w:r>
            <w:r w:rsidRPr="00E54724">
              <w:rPr>
                <w:rFonts w:ascii="Book Antiqua" w:eastAsia="Times New Roman" w:hAnsi="Book Antiqua" w:cs="Lucida Grande" w:hint="eastAsia"/>
                <w:noProof/>
                <w:color w:val="000000"/>
                <w:u w:color="000000"/>
              </w:rPr>
              <w:t>×</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noProof/>
                <w:color w:val="000000"/>
                <w:u w:color="000000"/>
              </w:rPr>
              <w:t>10</w:t>
            </w:r>
            <w:r w:rsidRPr="00E54724">
              <w:rPr>
                <w:rFonts w:ascii="Book Antiqua" w:eastAsia="Times New Roman" w:hAnsi="Book Antiqua" w:cs="Lucida Grande"/>
                <w:noProof/>
                <w:color w:val="000000"/>
                <w:u w:color="000000"/>
                <w:vertAlign w:val="superscript"/>
              </w:rPr>
              <w:t xml:space="preserve">8 </w:t>
            </w:r>
            <w:r w:rsidRPr="00E54724">
              <w:rPr>
                <w:rFonts w:ascii="Book Antiqua" w:eastAsia="Times New Roman" w:hAnsi="Book Antiqua" w:cs="Lucida Grande"/>
                <w:noProof/>
                <w:color w:val="000000"/>
                <w:u w:color="000000"/>
              </w:rPr>
              <w:t>BM-MNCs, through hepatic artery</w:t>
            </w:r>
          </w:p>
        </w:tc>
        <w:tc>
          <w:tcPr>
            <w:tcW w:w="1275" w:type="dxa"/>
            <w:tcBorders>
              <w:top w:val="single" w:sz="4" w:space="0" w:color="auto"/>
              <w:bottom w:val="nil"/>
            </w:tcBorders>
            <w:vAlign w:val="center"/>
          </w:tcPr>
          <w:p w14:paraId="55A810E3"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Up to 12 mo</w:t>
            </w:r>
          </w:p>
        </w:tc>
      </w:tr>
      <w:tr w:rsidR="00E54724" w:rsidRPr="00E54724" w14:paraId="5B440C91" w14:textId="77777777" w:rsidTr="00A52638">
        <w:tc>
          <w:tcPr>
            <w:tcW w:w="1668" w:type="dxa"/>
            <w:gridSpan w:val="2"/>
            <w:tcBorders>
              <w:top w:val="nil"/>
            </w:tcBorders>
            <w:vAlign w:val="center"/>
          </w:tcPr>
          <w:p w14:paraId="34987ADB"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Salama</w:t>
            </w:r>
          </w:p>
          <w:p w14:paraId="58ADE485"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2010</w:t>
            </w:r>
          </w:p>
        </w:tc>
        <w:tc>
          <w:tcPr>
            <w:tcW w:w="1134" w:type="dxa"/>
            <w:tcBorders>
              <w:top w:val="nil"/>
            </w:tcBorders>
            <w:vAlign w:val="center"/>
          </w:tcPr>
          <w:p w14:paraId="2224AEAA"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Egypt</w:t>
            </w:r>
          </w:p>
        </w:tc>
        <w:tc>
          <w:tcPr>
            <w:tcW w:w="1275" w:type="dxa"/>
            <w:tcBorders>
              <w:top w:val="nil"/>
            </w:tcBorders>
            <w:vAlign w:val="center"/>
          </w:tcPr>
          <w:p w14:paraId="744D7C42"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RCT</w:t>
            </w:r>
          </w:p>
        </w:tc>
        <w:tc>
          <w:tcPr>
            <w:tcW w:w="993" w:type="dxa"/>
            <w:tcBorders>
              <w:top w:val="nil"/>
            </w:tcBorders>
            <w:vAlign w:val="center"/>
          </w:tcPr>
          <w:p w14:paraId="5BA4DB4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2008.6-2009.5</w:t>
            </w:r>
          </w:p>
        </w:tc>
        <w:tc>
          <w:tcPr>
            <w:tcW w:w="1134" w:type="dxa"/>
            <w:tcBorders>
              <w:top w:val="nil"/>
            </w:tcBorders>
            <w:vAlign w:val="center"/>
          </w:tcPr>
          <w:p w14:paraId="5E7CEA77"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 xml:space="preserve">90 </w:t>
            </w:r>
            <w:r w:rsidRPr="00E54724">
              <w:rPr>
                <w:rFonts w:ascii="Book Antiqua" w:eastAsia="Times New Roman" w:hAnsi="Book Antiqua" w:cs="Lucida Grande"/>
                <w:i/>
                <w:noProof/>
                <w:color w:val="000000"/>
                <w:u w:color="000000"/>
              </w:rPr>
              <w:t>vs</w:t>
            </w:r>
            <w:r w:rsidRPr="00E54724">
              <w:rPr>
                <w:rFonts w:ascii="Book Antiqua" w:eastAsia="Times New Roman" w:hAnsi="Book Antiqua" w:cs="Lucida Grande"/>
                <w:noProof/>
                <w:color w:val="000000"/>
                <w:u w:color="000000"/>
              </w:rPr>
              <w:t xml:space="preserve"> 50</w:t>
            </w:r>
          </w:p>
        </w:tc>
        <w:tc>
          <w:tcPr>
            <w:tcW w:w="3118" w:type="dxa"/>
            <w:tcBorders>
              <w:top w:val="nil"/>
            </w:tcBorders>
            <w:vAlign w:val="center"/>
          </w:tcPr>
          <w:p w14:paraId="793BAF7E"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Post HCV liver cirrhosis</w:t>
            </w:r>
          </w:p>
        </w:tc>
        <w:tc>
          <w:tcPr>
            <w:tcW w:w="2552" w:type="dxa"/>
            <w:tcBorders>
              <w:top w:val="nil"/>
            </w:tcBorders>
            <w:vAlign w:val="center"/>
          </w:tcPr>
          <w:p w14:paraId="01C873EE"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Autologous BM-derived CD34</w:t>
            </w:r>
            <w:r w:rsidRPr="00E54724">
              <w:rPr>
                <w:rFonts w:ascii="Book Antiqua" w:eastAsia="Times New Roman" w:hAnsi="Book Antiqua" w:cs="Lucida Grande"/>
                <w:noProof/>
                <w:color w:val="000000"/>
                <w:u w:color="000000"/>
                <w:vertAlign w:val="superscript"/>
              </w:rPr>
              <w:t>+</w:t>
            </w:r>
            <w:r w:rsidRPr="00E54724">
              <w:rPr>
                <w:rFonts w:ascii="Book Antiqua" w:eastAsia="Times New Roman" w:hAnsi="Book Antiqua" w:cs="Lucida Grande"/>
                <w:noProof/>
                <w:color w:val="000000"/>
                <w:u w:color="000000"/>
              </w:rPr>
              <w:t xml:space="preserve"> and CD133</w:t>
            </w:r>
            <w:r w:rsidRPr="00E54724">
              <w:rPr>
                <w:rFonts w:ascii="Book Antiqua" w:eastAsia="Times New Roman" w:hAnsi="Book Antiqua" w:cs="Lucida Grande"/>
                <w:noProof/>
                <w:color w:val="000000"/>
                <w:u w:color="000000"/>
                <w:vertAlign w:val="superscript"/>
              </w:rPr>
              <w:t>+</w:t>
            </w:r>
            <w:r w:rsidRPr="00E54724">
              <w:rPr>
                <w:rFonts w:ascii="Book Antiqua" w:eastAsia="Times New Roman" w:hAnsi="Book Antiqua" w:cs="Lucida Grande"/>
                <w:noProof/>
                <w:color w:val="000000"/>
                <w:u w:color="000000"/>
              </w:rPr>
              <w:t xml:space="preserve"> stem cell infusion in the portal vein</w:t>
            </w:r>
          </w:p>
        </w:tc>
        <w:tc>
          <w:tcPr>
            <w:tcW w:w="1275" w:type="dxa"/>
            <w:tcBorders>
              <w:top w:val="nil"/>
            </w:tcBorders>
            <w:vAlign w:val="center"/>
          </w:tcPr>
          <w:p w14:paraId="02142E62"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Up to 6 mo</w:t>
            </w:r>
          </w:p>
        </w:tc>
      </w:tr>
      <w:tr w:rsidR="00E54724" w:rsidRPr="00E54724" w14:paraId="5D175150" w14:textId="77777777" w:rsidTr="00A52638">
        <w:tc>
          <w:tcPr>
            <w:tcW w:w="1668" w:type="dxa"/>
            <w:gridSpan w:val="2"/>
            <w:tcBorders>
              <w:bottom w:val="nil"/>
            </w:tcBorders>
            <w:vAlign w:val="center"/>
          </w:tcPr>
          <w:p w14:paraId="5CA2F288"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Spahr</w:t>
            </w:r>
          </w:p>
          <w:p w14:paraId="723F3820"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2012</w:t>
            </w:r>
          </w:p>
        </w:tc>
        <w:tc>
          <w:tcPr>
            <w:tcW w:w="1134" w:type="dxa"/>
            <w:tcBorders>
              <w:bottom w:val="nil"/>
            </w:tcBorders>
            <w:vAlign w:val="center"/>
          </w:tcPr>
          <w:p w14:paraId="7E5912F7"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Switzerland</w:t>
            </w:r>
          </w:p>
        </w:tc>
        <w:tc>
          <w:tcPr>
            <w:tcW w:w="1275" w:type="dxa"/>
            <w:tcBorders>
              <w:bottom w:val="nil"/>
            </w:tcBorders>
            <w:vAlign w:val="center"/>
          </w:tcPr>
          <w:p w14:paraId="3A398AF0"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RCT</w:t>
            </w:r>
          </w:p>
        </w:tc>
        <w:tc>
          <w:tcPr>
            <w:tcW w:w="993" w:type="dxa"/>
            <w:tcBorders>
              <w:bottom w:val="nil"/>
            </w:tcBorders>
            <w:vAlign w:val="center"/>
          </w:tcPr>
          <w:p w14:paraId="4C93E0BE"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2008.2-2011.3</w:t>
            </w:r>
          </w:p>
        </w:tc>
        <w:tc>
          <w:tcPr>
            <w:tcW w:w="1134" w:type="dxa"/>
            <w:tcBorders>
              <w:bottom w:val="nil"/>
            </w:tcBorders>
            <w:vAlign w:val="center"/>
          </w:tcPr>
          <w:p w14:paraId="6021C4C5"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 xml:space="preserve">28 </w:t>
            </w:r>
            <w:r w:rsidRPr="00E54724">
              <w:rPr>
                <w:rFonts w:ascii="Book Antiqua" w:eastAsia="Times New Roman" w:hAnsi="Book Antiqua" w:cs="Lucida Grande"/>
                <w:i/>
                <w:noProof/>
                <w:color w:val="000000"/>
                <w:u w:color="000000"/>
              </w:rPr>
              <w:t>vs</w:t>
            </w:r>
            <w:r w:rsidRPr="00E54724">
              <w:rPr>
                <w:rFonts w:ascii="Book Antiqua" w:eastAsia="Times New Roman" w:hAnsi="Book Antiqua" w:cs="Lucida Grande"/>
                <w:noProof/>
                <w:color w:val="000000"/>
                <w:u w:color="000000"/>
              </w:rPr>
              <w:t xml:space="preserve"> 30</w:t>
            </w:r>
          </w:p>
        </w:tc>
        <w:tc>
          <w:tcPr>
            <w:tcW w:w="3118" w:type="dxa"/>
            <w:tcBorders>
              <w:bottom w:val="nil"/>
            </w:tcBorders>
            <w:vAlign w:val="center"/>
          </w:tcPr>
          <w:p w14:paraId="0A869B0D"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Decompensated alcoholic liver disease</w:t>
            </w:r>
          </w:p>
        </w:tc>
        <w:tc>
          <w:tcPr>
            <w:tcW w:w="2552" w:type="dxa"/>
            <w:tcBorders>
              <w:bottom w:val="nil"/>
            </w:tcBorders>
            <w:vAlign w:val="center"/>
          </w:tcPr>
          <w:p w14:paraId="68F70142"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hAnsi="Book Antiqua" w:cs="Lucida Grande" w:hint="eastAsia"/>
                <w:noProof/>
                <w:color w:val="000000"/>
                <w:u w:color="000000"/>
              </w:rPr>
              <w:t xml:space="preserve">About </w:t>
            </w:r>
            <w:r w:rsidRPr="00E54724">
              <w:rPr>
                <w:rFonts w:ascii="Book Antiqua" w:eastAsia="Times New Roman" w:hAnsi="Book Antiqua" w:cs="Lucida Grande"/>
                <w:noProof/>
                <w:color w:val="000000"/>
                <w:u w:color="000000"/>
              </w:rPr>
              <w:t>4.7</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noProof/>
                <w:color w:val="000000"/>
                <w:u w:color="000000"/>
              </w:rPr>
              <w:t>×</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noProof/>
                <w:color w:val="000000"/>
                <w:u w:color="000000"/>
              </w:rPr>
              <w:t>10</w:t>
            </w:r>
            <w:r w:rsidRPr="00E54724">
              <w:rPr>
                <w:rFonts w:ascii="Book Antiqua" w:eastAsia="Times New Roman" w:hAnsi="Book Antiqua" w:cs="Lucida Grande"/>
                <w:noProof/>
                <w:color w:val="000000"/>
                <w:u w:color="000000"/>
                <w:vertAlign w:val="superscript"/>
              </w:rPr>
              <w:t>7</w:t>
            </w:r>
            <w:r w:rsidRPr="00E54724">
              <w:rPr>
                <w:rFonts w:ascii="Book Antiqua" w:eastAsia="仿宋" w:hAnsi="Book Antiqua" w:cs="仿宋"/>
                <w:noProof/>
                <w:color w:val="000000"/>
                <w:u w:color="000000"/>
              </w:rPr>
              <w:t>/kg</w:t>
            </w:r>
            <w:r w:rsidRPr="00E54724">
              <w:rPr>
                <w:rFonts w:ascii="Book Antiqua" w:eastAsia="Times New Roman" w:hAnsi="Book Antiqua" w:cs="Lucida Grande"/>
                <w:noProof/>
                <w:color w:val="000000"/>
                <w:u w:color="000000"/>
              </w:rPr>
              <w:t xml:space="preserve"> BM-MNCs, including CD34</w:t>
            </w:r>
            <w:r w:rsidRPr="00E54724">
              <w:rPr>
                <w:rFonts w:ascii="Book Antiqua" w:eastAsia="Times New Roman" w:hAnsi="Book Antiqua" w:cs="Lucida Grande"/>
                <w:noProof/>
                <w:color w:val="000000"/>
                <w:u w:color="000000"/>
                <w:vertAlign w:val="superscript"/>
              </w:rPr>
              <w:t>+</w:t>
            </w:r>
            <w:r w:rsidRPr="00E54724">
              <w:rPr>
                <w:rFonts w:ascii="Book Antiqua" w:eastAsia="Times New Roman" w:hAnsi="Book Antiqua" w:cs="Lucida Grande"/>
                <w:noProof/>
                <w:color w:val="000000"/>
                <w:u w:color="000000"/>
              </w:rPr>
              <w:t xml:space="preserve"> cells and MSCs</w:t>
            </w:r>
          </w:p>
        </w:tc>
        <w:tc>
          <w:tcPr>
            <w:tcW w:w="1275" w:type="dxa"/>
            <w:tcBorders>
              <w:bottom w:val="nil"/>
            </w:tcBorders>
            <w:vAlign w:val="center"/>
          </w:tcPr>
          <w:p w14:paraId="66F84260"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Up to 3 mo</w:t>
            </w:r>
          </w:p>
        </w:tc>
      </w:tr>
      <w:tr w:rsidR="00E54724" w:rsidRPr="00E54724" w14:paraId="32790C53" w14:textId="77777777" w:rsidTr="00A52638">
        <w:trPr>
          <w:trHeight w:val="722"/>
        </w:trPr>
        <w:tc>
          <w:tcPr>
            <w:tcW w:w="1668" w:type="dxa"/>
            <w:gridSpan w:val="2"/>
            <w:tcBorders>
              <w:top w:val="nil"/>
              <w:bottom w:val="nil"/>
            </w:tcBorders>
            <w:vAlign w:val="center"/>
          </w:tcPr>
          <w:p w14:paraId="62974E3D"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Mohanmadnejad</w:t>
            </w:r>
          </w:p>
          <w:p w14:paraId="61A174BE"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lastRenderedPageBreak/>
              <w:t>2013</w:t>
            </w:r>
          </w:p>
        </w:tc>
        <w:tc>
          <w:tcPr>
            <w:tcW w:w="1134" w:type="dxa"/>
            <w:tcBorders>
              <w:top w:val="nil"/>
              <w:bottom w:val="nil"/>
            </w:tcBorders>
            <w:vAlign w:val="center"/>
          </w:tcPr>
          <w:p w14:paraId="0A087D29"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lastRenderedPageBreak/>
              <w:t>Iran</w:t>
            </w:r>
          </w:p>
        </w:tc>
        <w:tc>
          <w:tcPr>
            <w:tcW w:w="1275" w:type="dxa"/>
            <w:tcBorders>
              <w:top w:val="nil"/>
              <w:bottom w:val="nil"/>
            </w:tcBorders>
            <w:vAlign w:val="center"/>
          </w:tcPr>
          <w:p w14:paraId="02B64319"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RCT</w:t>
            </w:r>
          </w:p>
        </w:tc>
        <w:tc>
          <w:tcPr>
            <w:tcW w:w="993" w:type="dxa"/>
            <w:tcBorders>
              <w:top w:val="nil"/>
              <w:bottom w:val="nil"/>
            </w:tcBorders>
            <w:vAlign w:val="center"/>
          </w:tcPr>
          <w:p w14:paraId="2538C83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2007.7-2010.8</w:t>
            </w:r>
          </w:p>
        </w:tc>
        <w:tc>
          <w:tcPr>
            <w:tcW w:w="1134" w:type="dxa"/>
            <w:tcBorders>
              <w:top w:val="nil"/>
              <w:bottom w:val="nil"/>
            </w:tcBorders>
            <w:vAlign w:val="center"/>
          </w:tcPr>
          <w:p w14:paraId="0E6586F4"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 xml:space="preserve">15 </w:t>
            </w:r>
            <w:r w:rsidRPr="00E54724">
              <w:rPr>
                <w:rFonts w:ascii="Book Antiqua" w:eastAsia="Times New Roman" w:hAnsi="Book Antiqua" w:cs="Lucida Grande"/>
                <w:i/>
                <w:noProof/>
                <w:color w:val="000000"/>
                <w:u w:color="000000"/>
              </w:rPr>
              <w:t>vs</w:t>
            </w:r>
            <w:r w:rsidRPr="00E54724">
              <w:rPr>
                <w:rFonts w:ascii="Book Antiqua" w:eastAsia="Times New Roman" w:hAnsi="Book Antiqua" w:cs="Lucida Grande"/>
                <w:noProof/>
                <w:color w:val="000000"/>
                <w:u w:color="000000"/>
              </w:rPr>
              <w:t xml:space="preserve"> 12</w:t>
            </w:r>
          </w:p>
        </w:tc>
        <w:tc>
          <w:tcPr>
            <w:tcW w:w="3118" w:type="dxa"/>
            <w:tcBorders>
              <w:top w:val="nil"/>
              <w:bottom w:val="nil"/>
            </w:tcBorders>
            <w:vAlign w:val="center"/>
          </w:tcPr>
          <w:p w14:paraId="67F7061F"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 PBC, 2 HBV, 1 HCV, 9 AIH, 11 unknown</w:t>
            </w:r>
          </w:p>
        </w:tc>
        <w:tc>
          <w:tcPr>
            <w:tcW w:w="2552" w:type="dxa"/>
            <w:tcBorders>
              <w:top w:val="nil"/>
              <w:bottom w:val="nil"/>
            </w:tcBorders>
            <w:vAlign w:val="center"/>
          </w:tcPr>
          <w:p w14:paraId="0AB2B80B"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hAnsi="Book Antiqua" w:cs="Lucida Grande" w:hint="eastAsia"/>
                <w:noProof/>
                <w:color w:val="000000"/>
                <w:u w:color="000000"/>
              </w:rPr>
              <w:t xml:space="preserve">About </w:t>
            </w:r>
            <w:r w:rsidRPr="00E54724">
              <w:rPr>
                <w:rFonts w:ascii="Book Antiqua" w:eastAsia="Times New Roman" w:hAnsi="Book Antiqua" w:cs="Lucida Grande"/>
                <w:noProof/>
                <w:color w:val="000000"/>
                <w:u w:color="000000"/>
              </w:rPr>
              <w:t>1.95</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hint="eastAsia"/>
                <w:noProof/>
                <w:color w:val="000000"/>
                <w:u w:color="000000"/>
              </w:rPr>
              <w:t>×</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noProof/>
                <w:color w:val="000000"/>
                <w:u w:color="000000"/>
              </w:rPr>
              <w:t>10</w:t>
            </w:r>
            <w:r w:rsidRPr="00E54724">
              <w:rPr>
                <w:rFonts w:ascii="Book Antiqua" w:eastAsia="Times New Roman" w:hAnsi="Book Antiqua" w:cs="Lucida Grande"/>
                <w:noProof/>
                <w:color w:val="000000"/>
                <w:u w:color="000000"/>
                <w:vertAlign w:val="superscript"/>
              </w:rPr>
              <w:t>8</w:t>
            </w:r>
            <w:r w:rsidRPr="00E54724">
              <w:rPr>
                <w:rFonts w:ascii="Book Antiqua" w:eastAsia="Times New Roman" w:hAnsi="Book Antiqua" w:cs="Lucida Grande"/>
                <w:noProof/>
                <w:color w:val="000000"/>
                <w:u w:color="000000"/>
              </w:rPr>
              <w:t xml:space="preserve"> MSCs through cubital </w:t>
            </w:r>
            <w:r w:rsidRPr="00E54724">
              <w:rPr>
                <w:rFonts w:ascii="Book Antiqua" w:eastAsia="Times New Roman" w:hAnsi="Book Antiqua" w:cs="Lucida Grande"/>
                <w:noProof/>
                <w:color w:val="000000"/>
                <w:u w:color="000000"/>
              </w:rPr>
              <w:lastRenderedPageBreak/>
              <w:t>vein</w:t>
            </w:r>
          </w:p>
        </w:tc>
        <w:tc>
          <w:tcPr>
            <w:tcW w:w="1275" w:type="dxa"/>
            <w:tcBorders>
              <w:top w:val="nil"/>
              <w:bottom w:val="nil"/>
            </w:tcBorders>
            <w:vAlign w:val="center"/>
          </w:tcPr>
          <w:p w14:paraId="054B3D3D"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lastRenderedPageBreak/>
              <w:t>Up to 12 mo</w:t>
            </w:r>
          </w:p>
        </w:tc>
      </w:tr>
      <w:tr w:rsidR="00E54724" w:rsidRPr="00E54724" w14:paraId="34F46386" w14:textId="77777777" w:rsidTr="00A52638">
        <w:tc>
          <w:tcPr>
            <w:tcW w:w="1526" w:type="dxa"/>
            <w:tcBorders>
              <w:top w:val="nil"/>
              <w:bottom w:val="nil"/>
            </w:tcBorders>
            <w:vAlign w:val="center"/>
          </w:tcPr>
          <w:p w14:paraId="68DAAAB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lastRenderedPageBreak/>
              <w:t>Bai</w:t>
            </w:r>
          </w:p>
          <w:p w14:paraId="27D3EACD"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2004</w:t>
            </w:r>
          </w:p>
        </w:tc>
        <w:tc>
          <w:tcPr>
            <w:tcW w:w="1276" w:type="dxa"/>
            <w:gridSpan w:val="2"/>
            <w:tcBorders>
              <w:top w:val="nil"/>
              <w:bottom w:val="nil"/>
            </w:tcBorders>
            <w:vAlign w:val="center"/>
          </w:tcPr>
          <w:p w14:paraId="07E3766B"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China</w:t>
            </w:r>
          </w:p>
        </w:tc>
        <w:tc>
          <w:tcPr>
            <w:tcW w:w="1275" w:type="dxa"/>
            <w:tcBorders>
              <w:top w:val="nil"/>
              <w:bottom w:val="nil"/>
            </w:tcBorders>
            <w:vAlign w:val="center"/>
          </w:tcPr>
          <w:p w14:paraId="3C42A65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Case-control</w:t>
            </w:r>
          </w:p>
        </w:tc>
        <w:tc>
          <w:tcPr>
            <w:tcW w:w="993" w:type="dxa"/>
            <w:tcBorders>
              <w:top w:val="nil"/>
              <w:bottom w:val="nil"/>
            </w:tcBorders>
            <w:vAlign w:val="center"/>
          </w:tcPr>
          <w:p w14:paraId="63F4054F"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2009.3-2011.3</w:t>
            </w:r>
          </w:p>
        </w:tc>
        <w:tc>
          <w:tcPr>
            <w:tcW w:w="1134" w:type="dxa"/>
            <w:tcBorders>
              <w:top w:val="nil"/>
              <w:bottom w:val="nil"/>
            </w:tcBorders>
            <w:vAlign w:val="center"/>
          </w:tcPr>
          <w:p w14:paraId="237CA043"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 xml:space="preserve">32 </w:t>
            </w:r>
            <w:r w:rsidRPr="00E54724">
              <w:rPr>
                <w:rFonts w:ascii="Book Antiqua" w:eastAsia="Times New Roman" w:hAnsi="Book Antiqua" w:cs="Lucida Grande"/>
                <w:i/>
                <w:noProof/>
                <w:color w:val="000000"/>
                <w:u w:color="000000"/>
              </w:rPr>
              <w:t>vs</w:t>
            </w:r>
            <w:r w:rsidRPr="00E54724">
              <w:rPr>
                <w:rFonts w:ascii="Book Antiqua" w:eastAsia="Times New Roman" w:hAnsi="Book Antiqua" w:cs="Lucida Grande"/>
                <w:noProof/>
                <w:color w:val="000000"/>
                <w:u w:color="000000"/>
              </w:rPr>
              <w:t xml:space="preserve"> 15</w:t>
            </w:r>
          </w:p>
        </w:tc>
        <w:tc>
          <w:tcPr>
            <w:tcW w:w="3118" w:type="dxa"/>
            <w:tcBorders>
              <w:top w:val="nil"/>
              <w:bottom w:val="nil"/>
            </w:tcBorders>
            <w:vAlign w:val="center"/>
          </w:tcPr>
          <w:p w14:paraId="7F1CE7C7"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Decompensated liver cirrohsis</w:t>
            </w:r>
            <w:r w:rsidRPr="00E54724">
              <w:rPr>
                <w:rFonts w:ascii="Book Antiqua" w:eastAsia="仿宋" w:hAnsi="Book Antiqua" w:cs="仿宋"/>
                <w:noProof/>
                <w:color w:val="000000"/>
                <w:u w:color="000000"/>
              </w:rPr>
              <w:t>,</w:t>
            </w:r>
            <w:r w:rsidRPr="00E54724">
              <w:rPr>
                <w:rFonts w:ascii="Book Antiqua" w:eastAsia="Times New Roman" w:hAnsi="Book Antiqua" w:cs="Lucida Grande"/>
                <w:noProof/>
                <w:color w:val="000000"/>
                <w:u w:color="000000"/>
              </w:rPr>
              <w:t xml:space="preserve"> 91.5% with HBV infection</w:t>
            </w:r>
          </w:p>
        </w:tc>
        <w:tc>
          <w:tcPr>
            <w:tcW w:w="2552" w:type="dxa"/>
            <w:tcBorders>
              <w:top w:val="nil"/>
              <w:bottom w:val="nil"/>
            </w:tcBorders>
            <w:vAlign w:val="center"/>
          </w:tcPr>
          <w:p w14:paraId="12F4BB6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BM-MNCs through hepatic artery</w:t>
            </w:r>
          </w:p>
        </w:tc>
        <w:tc>
          <w:tcPr>
            <w:tcW w:w="1275" w:type="dxa"/>
            <w:tcBorders>
              <w:top w:val="nil"/>
              <w:bottom w:val="nil"/>
            </w:tcBorders>
            <w:vAlign w:val="center"/>
          </w:tcPr>
          <w:p w14:paraId="51C60681"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Up to 24 mo</w:t>
            </w:r>
          </w:p>
        </w:tc>
      </w:tr>
      <w:tr w:rsidR="00E54724" w:rsidRPr="00E54724" w14:paraId="2F028FF7" w14:textId="77777777" w:rsidTr="00A52638">
        <w:tc>
          <w:tcPr>
            <w:tcW w:w="1526" w:type="dxa"/>
            <w:tcBorders>
              <w:top w:val="nil"/>
            </w:tcBorders>
            <w:vAlign w:val="center"/>
          </w:tcPr>
          <w:p w14:paraId="1E9ACB4C"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Peng</w:t>
            </w:r>
          </w:p>
          <w:p w14:paraId="3375DE41"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2011</w:t>
            </w:r>
          </w:p>
        </w:tc>
        <w:tc>
          <w:tcPr>
            <w:tcW w:w="1276" w:type="dxa"/>
            <w:gridSpan w:val="2"/>
            <w:tcBorders>
              <w:top w:val="nil"/>
            </w:tcBorders>
            <w:vAlign w:val="center"/>
          </w:tcPr>
          <w:p w14:paraId="4BDC2D91"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China</w:t>
            </w:r>
          </w:p>
        </w:tc>
        <w:tc>
          <w:tcPr>
            <w:tcW w:w="1275" w:type="dxa"/>
            <w:tcBorders>
              <w:top w:val="nil"/>
            </w:tcBorders>
            <w:vAlign w:val="center"/>
          </w:tcPr>
          <w:p w14:paraId="58CCF83A"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Case-control</w:t>
            </w:r>
          </w:p>
        </w:tc>
        <w:tc>
          <w:tcPr>
            <w:tcW w:w="993" w:type="dxa"/>
            <w:tcBorders>
              <w:top w:val="nil"/>
            </w:tcBorders>
            <w:vAlign w:val="center"/>
          </w:tcPr>
          <w:p w14:paraId="4A5BC022"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2005.5-2009.6</w:t>
            </w:r>
          </w:p>
        </w:tc>
        <w:tc>
          <w:tcPr>
            <w:tcW w:w="1134" w:type="dxa"/>
            <w:tcBorders>
              <w:top w:val="nil"/>
            </w:tcBorders>
            <w:vAlign w:val="center"/>
          </w:tcPr>
          <w:p w14:paraId="3CE6A3E1"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 xml:space="preserve">53 </w:t>
            </w:r>
            <w:r w:rsidRPr="00E54724">
              <w:rPr>
                <w:rFonts w:ascii="Book Antiqua" w:eastAsia="Times New Roman" w:hAnsi="Book Antiqua" w:cs="Lucida Grande"/>
                <w:i/>
                <w:noProof/>
                <w:color w:val="000000"/>
                <w:u w:color="000000"/>
              </w:rPr>
              <w:t>vs</w:t>
            </w:r>
            <w:r w:rsidRPr="00E54724">
              <w:rPr>
                <w:rFonts w:ascii="Book Antiqua" w:eastAsia="Times New Roman" w:hAnsi="Book Antiqua" w:cs="Lucida Grande"/>
                <w:noProof/>
                <w:color w:val="000000"/>
                <w:u w:color="000000"/>
              </w:rPr>
              <w:t xml:space="preserve"> 105</w:t>
            </w:r>
          </w:p>
        </w:tc>
        <w:tc>
          <w:tcPr>
            <w:tcW w:w="3118" w:type="dxa"/>
            <w:tcBorders>
              <w:top w:val="nil"/>
            </w:tcBorders>
            <w:vAlign w:val="center"/>
          </w:tcPr>
          <w:p w14:paraId="7729CC2C"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Chronic hepatitis B induced liver disease</w:t>
            </w:r>
            <w:r w:rsidRPr="00E54724">
              <w:rPr>
                <w:rFonts w:ascii="Book Antiqua" w:eastAsia="仿宋" w:hAnsi="Book Antiqua" w:cs="仿宋"/>
                <w:noProof/>
                <w:color w:val="000000"/>
                <w:u w:color="000000"/>
              </w:rPr>
              <w:t>, 73% with cirrhosis</w:t>
            </w:r>
          </w:p>
        </w:tc>
        <w:tc>
          <w:tcPr>
            <w:tcW w:w="2552" w:type="dxa"/>
            <w:tcBorders>
              <w:top w:val="nil"/>
            </w:tcBorders>
            <w:vAlign w:val="center"/>
          </w:tcPr>
          <w:p w14:paraId="198AA13C"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hAnsi="Book Antiqua" w:cs="Lucida Grande"/>
                <w:noProof/>
                <w:color w:val="000000"/>
                <w:u w:color="000000"/>
              </w:rPr>
              <w:t>BM-derived MSCs through proper hepatic artery</w:t>
            </w:r>
          </w:p>
        </w:tc>
        <w:tc>
          <w:tcPr>
            <w:tcW w:w="1275" w:type="dxa"/>
            <w:tcBorders>
              <w:top w:val="nil"/>
            </w:tcBorders>
            <w:vAlign w:val="center"/>
          </w:tcPr>
          <w:p w14:paraId="765827FA"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Up to 192 wk</w:t>
            </w:r>
          </w:p>
        </w:tc>
      </w:tr>
      <w:tr w:rsidR="00E54724" w:rsidRPr="00E54724" w14:paraId="02743FD9" w14:textId="77777777" w:rsidTr="00A52638">
        <w:tc>
          <w:tcPr>
            <w:tcW w:w="1526" w:type="dxa"/>
            <w:vAlign w:val="center"/>
          </w:tcPr>
          <w:p w14:paraId="1059D12C"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Saito</w:t>
            </w:r>
          </w:p>
          <w:p w14:paraId="60BA41AD"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2011</w:t>
            </w:r>
          </w:p>
        </w:tc>
        <w:tc>
          <w:tcPr>
            <w:tcW w:w="1276" w:type="dxa"/>
            <w:gridSpan w:val="2"/>
            <w:vAlign w:val="center"/>
          </w:tcPr>
          <w:p w14:paraId="647668A1"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Japan</w:t>
            </w:r>
          </w:p>
        </w:tc>
        <w:tc>
          <w:tcPr>
            <w:tcW w:w="1275" w:type="dxa"/>
            <w:vAlign w:val="center"/>
          </w:tcPr>
          <w:p w14:paraId="2D98E013"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Case-control</w:t>
            </w:r>
          </w:p>
        </w:tc>
        <w:tc>
          <w:tcPr>
            <w:tcW w:w="993" w:type="dxa"/>
            <w:vAlign w:val="center"/>
          </w:tcPr>
          <w:p w14:paraId="5CD90ED8"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NA</w:t>
            </w:r>
          </w:p>
        </w:tc>
        <w:tc>
          <w:tcPr>
            <w:tcW w:w="1134" w:type="dxa"/>
            <w:vAlign w:val="center"/>
          </w:tcPr>
          <w:p w14:paraId="0E1B5B6C"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 xml:space="preserve">5 </w:t>
            </w:r>
            <w:r w:rsidRPr="00E54724">
              <w:rPr>
                <w:rFonts w:ascii="Book Antiqua" w:eastAsia="Times New Roman" w:hAnsi="Book Antiqua" w:cs="Lucida Grande"/>
                <w:i/>
                <w:noProof/>
                <w:color w:val="000000"/>
                <w:u w:color="000000"/>
              </w:rPr>
              <w:t>vs</w:t>
            </w:r>
            <w:r w:rsidRPr="00E54724">
              <w:rPr>
                <w:rFonts w:ascii="Book Antiqua" w:eastAsia="Times New Roman" w:hAnsi="Book Antiqua" w:cs="Lucida Grande"/>
                <w:noProof/>
                <w:color w:val="000000"/>
                <w:u w:color="000000"/>
              </w:rPr>
              <w:t xml:space="preserve"> 5</w:t>
            </w:r>
          </w:p>
        </w:tc>
        <w:tc>
          <w:tcPr>
            <w:tcW w:w="3118" w:type="dxa"/>
            <w:vAlign w:val="center"/>
          </w:tcPr>
          <w:p w14:paraId="4A8F07BD"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Alcoholic liver cirrhosis</w:t>
            </w:r>
          </w:p>
        </w:tc>
        <w:tc>
          <w:tcPr>
            <w:tcW w:w="2552" w:type="dxa"/>
            <w:vAlign w:val="center"/>
          </w:tcPr>
          <w:p w14:paraId="6C28BEC4"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hAnsi="Book Antiqua" w:cs="Lucida Grande" w:hint="eastAsia"/>
                <w:noProof/>
                <w:color w:val="000000"/>
                <w:u w:color="000000"/>
              </w:rPr>
              <w:t xml:space="preserve">About </w:t>
            </w:r>
            <w:r w:rsidRPr="00E54724">
              <w:rPr>
                <w:rFonts w:ascii="Book Antiqua" w:eastAsia="Times New Roman" w:hAnsi="Book Antiqua" w:cs="Lucida Grande"/>
                <w:noProof/>
                <w:color w:val="000000"/>
                <w:u w:color="000000"/>
              </w:rPr>
              <w:t>8</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noProof/>
                <w:color w:val="000000"/>
                <w:u w:color="000000"/>
              </w:rPr>
              <w:t>×</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noProof/>
                <w:color w:val="000000"/>
                <w:u w:color="000000"/>
              </w:rPr>
              <w:t>10</w:t>
            </w:r>
            <w:r w:rsidRPr="00E54724">
              <w:rPr>
                <w:rFonts w:ascii="Book Antiqua" w:eastAsia="Times New Roman" w:hAnsi="Book Antiqua" w:cs="Lucida Grande"/>
                <w:noProof/>
                <w:color w:val="000000"/>
                <w:u w:color="000000"/>
                <w:vertAlign w:val="superscript"/>
              </w:rPr>
              <w:t>9</w:t>
            </w:r>
            <w:r w:rsidRPr="00E54724">
              <w:rPr>
                <w:rFonts w:ascii="Book Antiqua" w:eastAsia="Times New Roman" w:hAnsi="Book Antiqua" w:cs="Lucida Grande"/>
                <w:noProof/>
                <w:color w:val="000000"/>
                <w:u w:color="000000"/>
              </w:rPr>
              <w:t xml:space="preserve"> BM-MNCs through cubital vein</w:t>
            </w:r>
          </w:p>
        </w:tc>
        <w:tc>
          <w:tcPr>
            <w:tcW w:w="1275" w:type="dxa"/>
            <w:vAlign w:val="center"/>
          </w:tcPr>
          <w:p w14:paraId="722B4EA0"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Up to 48 wk</w:t>
            </w:r>
          </w:p>
        </w:tc>
      </w:tr>
      <w:tr w:rsidR="00E54724" w:rsidRPr="00E54724" w14:paraId="4465EAB7" w14:textId="77777777" w:rsidTr="00A52638">
        <w:tc>
          <w:tcPr>
            <w:tcW w:w="1526" w:type="dxa"/>
            <w:vAlign w:val="center"/>
          </w:tcPr>
          <w:p w14:paraId="40C214B7"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El-Ansary</w:t>
            </w:r>
          </w:p>
          <w:p w14:paraId="70A182C0"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2012</w:t>
            </w:r>
          </w:p>
        </w:tc>
        <w:tc>
          <w:tcPr>
            <w:tcW w:w="1276" w:type="dxa"/>
            <w:gridSpan w:val="2"/>
            <w:vAlign w:val="center"/>
          </w:tcPr>
          <w:p w14:paraId="7F220186"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Egypt</w:t>
            </w:r>
          </w:p>
        </w:tc>
        <w:tc>
          <w:tcPr>
            <w:tcW w:w="1275" w:type="dxa"/>
            <w:vAlign w:val="center"/>
          </w:tcPr>
          <w:p w14:paraId="56A16298"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Prospetive cohort study</w:t>
            </w:r>
          </w:p>
        </w:tc>
        <w:tc>
          <w:tcPr>
            <w:tcW w:w="993" w:type="dxa"/>
            <w:vAlign w:val="center"/>
          </w:tcPr>
          <w:p w14:paraId="0850573C"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NA</w:t>
            </w:r>
          </w:p>
        </w:tc>
        <w:tc>
          <w:tcPr>
            <w:tcW w:w="1134" w:type="dxa"/>
            <w:vAlign w:val="center"/>
          </w:tcPr>
          <w:p w14:paraId="0D2F4F7F"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 xml:space="preserve">15 </w:t>
            </w:r>
            <w:r w:rsidRPr="00E54724">
              <w:rPr>
                <w:rFonts w:ascii="Book Antiqua" w:eastAsia="Times New Roman" w:hAnsi="Book Antiqua" w:cs="Lucida Grande"/>
                <w:i/>
                <w:noProof/>
                <w:color w:val="000000"/>
                <w:u w:color="000000"/>
              </w:rPr>
              <w:t>vs</w:t>
            </w:r>
            <w:r w:rsidRPr="00E54724">
              <w:rPr>
                <w:rFonts w:ascii="Book Antiqua" w:eastAsia="Times New Roman" w:hAnsi="Book Antiqua" w:cs="Lucida Grande"/>
                <w:noProof/>
                <w:color w:val="000000"/>
                <w:u w:color="000000"/>
              </w:rPr>
              <w:t xml:space="preserve"> 10</w:t>
            </w:r>
          </w:p>
        </w:tc>
        <w:tc>
          <w:tcPr>
            <w:tcW w:w="3118" w:type="dxa"/>
            <w:vAlign w:val="center"/>
          </w:tcPr>
          <w:p w14:paraId="6B09858A"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HCV induced liver cirrhosis</w:t>
            </w:r>
          </w:p>
        </w:tc>
        <w:tc>
          <w:tcPr>
            <w:tcW w:w="2552" w:type="dxa"/>
            <w:vAlign w:val="center"/>
          </w:tcPr>
          <w:p w14:paraId="6754E722" w14:textId="77777777" w:rsidR="00E54724" w:rsidRPr="00E54724" w:rsidRDefault="00E54724" w:rsidP="00E54724">
            <w:pPr>
              <w:widowControl/>
              <w:tabs>
                <w:tab w:val="left" w:pos="1020"/>
              </w:tabs>
              <w:autoSpaceDE w:val="0"/>
              <w:autoSpaceDN w:val="0"/>
              <w:adjustRightInd w:val="0"/>
              <w:spacing w:line="360" w:lineRule="auto"/>
              <w:rPr>
                <w:rFonts w:ascii="Book Antiqua" w:eastAsia="ヒラギノ角ゴ ProN W3" w:hAnsi="Book Antiqua" w:cs="Lucida Grande"/>
                <w:noProof/>
                <w:color w:val="000000"/>
                <w:u w:color="000000"/>
              </w:rPr>
            </w:pPr>
            <w:r w:rsidRPr="00E54724">
              <w:rPr>
                <w:rFonts w:ascii="Book Antiqua" w:hAnsi="Book Antiqua" w:cs="Lucida Grande" w:hint="eastAsia"/>
                <w:noProof/>
                <w:color w:val="000000"/>
                <w:u w:color="000000"/>
              </w:rPr>
              <w:t xml:space="preserve">About </w:t>
            </w:r>
            <w:r w:rsidRPr="00E54724">
              <w:rPr>
                <w:rFonts w:ascii="Book Antiqua" w:eastAsia="Times New Roman" w:hAnsi="Book Antiqua" w:cs="Lucida Grande"/>
                <w:noProof/>
                <w:color w:val="000000"/>
                <w:u w:color="000000"/>
              </w:rPr>
              <w:t>1</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noProof/>
                <w:color w:val="000000"/>
                <w:u w:color="000000"/>
              </w:rPr>
              <w:t>×</w:t>
            </w:r>
            <w:r w:rsidRPr="00E54724">
              <w:rPr>
                <w:rFonts w:ascii="Book Antiqua" w:hAnsi="Book Antiqua" w:cs="Lucida Grande" w:hint="eastAsia"/>
                <w:noProof/>
                <w:color w:val="000000"/>
                <w:u w:color="000000"/>
              </w:rPr>
              <w:t xml:space="preserve"> </w:t>
            </w:r>
            <w:r w:rsidRPr="00E54724">
              <w:rPr>
                <w:rFonts w:ascii="Book Antiqua" w:eastAsia="Times New Roman" w:hAnsi="Book Antiqua" w:cs="Lucida Grande"/>
                <w:noProof/>
                <w:color w:val="000000"/>
                <w:u w:color="000000"/>
              </w:rPr>
              <w:t>10</w:t>
            </w:r>
            <w:r w:rsidRPr="00E54724">
              <w:rPr>
                <w:rFonts w:ascii="Book Antiqua" w:eastAsia="Times New Roman" w:hAnsi="Book Antiqua" w:cs="Lucida Grande"/>
                <w:noProof/>
                <w:color w:val="000000"/>
                <w:u w:color="000000"/>
                <w:vertAlign w:val="superscript"/>
              </w:rPr>
              <w:t>6</w:t>
            </w:r>
            <w:r w:rsidRPr="00E54724">
              <w:rPr>
                <w:rFonts w:ascii="Book Antiqua" w:eastAsia="Times New Roman" w:hAnsi="Book Antiqua" w:cs="Lucida Grande"/>
                <w:noProof/>
                <w:color w:val="000000"/>
                <w:u w:color="000000"/>
              </w:rPr>
              <w:t xml:space="preserve"> MSCs/kg, intravenosly</w:t>
            </w:r>
          </w:p>
        </w:tc>
        <w:tc>
          <w:tcPr>
            <w:tcW w:w="1275" w:type="dxa"/>
            <w:vAlign w:val="center"/>
          </w:tcPr>
          <w:p w14:paraId="3F33E1B0"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u w:color="000000"/>
              </w:rPr>
            </w:pPr>
            <w:r w:rsidRPr="00E54724">
              <w:rPr>
                <w:rFonts w:ascii="Book Antiqua" w:eastAsia="Times New Roman" w:hAnsi="Book Antiqua" w:cs="Lucida Grande"/>
                <w:noProof/>
                <w:color w:val="000000"/>
                <w:u w:color="000000"/>
              </w:rPr>
              <w:t>Up to 6 mo</w:t>
            </w:r>
          </w:p>
        </w:tc>
      </w:tr>
    </w:tbl>
    <w:p w14:paraId="14EA36CA" w14:textId="77777777" w:rsidR="00E54724" w:rsidRPr="00E54724" w:rsidRDefault="00E54724" w:rsidP="00E54724">
      <w:pPr>
        <w:widowControl/>
        <w:tabs>
          <w:tab w:val="left" w:pos="1020"/>
        </w:tabs>
        <w:autoSpaceDE w:val="0"/>
        <w:autoSpaceDN w:val="0"/>
        <w:adjustRightInd w:val="0"/>
        <w:spacing w:line="360" w:lineRule="auto"/>
        <w:rPr>
          <w:rFonts w:ascii="Book Antiqua" w:eastAsia="Times New Roman" w:hAnsi="Book Antiqua" w:cs="Lucida Grande"/>
          <w:noProof/>
          <w:color w:val="000000"/>
          <w:sz w:val="24"/>
          <w:szCs w:val="24"/>
          <w:u w:color="000000"/>
        </w:rPr>
      </w:pPr>
    </w:p>
    <w:p w14:paraId="7844A1B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sz w:val="24"/>
          <w:szCs w:val="24"/>
        </w:rPr>
      </w:pPr>
      <w:r w:rsidRPr="00E54724">
        <w:rPr>
          <w:rFonts w:ascii="Book Antiqua" w:eastAsia="SimSun" w:hAnsi="Book Antiqua" w:cs="Times New Roman"/>
          <w:sz w:val="24"/>
          <w:szCs w:val="24"/>
        </w:rPr>
        <w:t>PBC</w:t>
      </w:r>
      <w:r w:rsidRPr="00E54724">
        <w:rPr>
          <w:rFonts w:ascii="Book Antiqua" w:eastAsia="SimSun" w:hAnsi="Book Antiqua" w:cs="Times New Roman" w:hint="eastAsia"/>
          <w:sz w:val="24"/>
          <w:szCs w:val="24"/>
        </w:rPr>
        <w:t>:</w:t>
      </w:r>
      <w:r w:rsidRPr="00E54724">
        <w:rPr>
          <w:rFonts w:ascii="Book Antiqua" w:eastAsia="SimSun" w:hAnsi="Book Antiqua" w:cs="Times New Roman"/>
          <w:sz w:val="24"/>
          <w:szCs w:val="24"/>
        </w:rPr>
        <w:t xml:space="preserve"> Primary biliary cirrhosis; HBV</w:t>
      </w:r>
      <w:r w:rsidRPr="00E54724">
        <w:rPr>
          <w:rFonts w:ascii="Book Antiqua" w:eastAsia="SimSun" w:hAnsi="Book Antiqua" w:cs="Times New Roman" w:hint="eastAsia"/>
          <w:sz w:val="24"/>
          <w:szCs w:val="24"/>
        </w:rPr>
        <w:t>:</w:t>
      </w:r>
      <w:r w:rsidRPr="00E54724">
        <w:rPr>
          <w:rFonts w:ascii="Book Antiqua" w:eastAsia="SimSun" w:hAnsi="Book Antiqua" w:cs="Times New Roman"/>
          <w:sz w:val="24"/>
          <w:szCs w:val="24"/>
        </w:rPr>
        <w:t xml:space="preserve"> Hepatitis B virus; HCV</w:t>
      </w:r>
      <w:r w:rsidRPr="00E54724">
        <w:rPr>
          <w:rFonts w:ascii="Book Antiqua" w:eastAsia="SimSun" w:hAnsi="Book Antiqua" w:cs="Times New Roman" w:hint="eastAsia"/>
          <w:sz w:val="24"/>
          <w:szCs w:val="24"/>
        </w:rPr>
        <w:t>:</w:t>
      </w:r>
      <w:r w:rsidRPr="00E54724">
        <w:rPr>
          <w:rFonts w:ascii="Book Antiqua" w:eastAsia="SimSun" w:hAnsi="Book Antiqua" w:cs="Times New Roman"/>
          <w:sz w:val="24"/>
          <w:szCs w:val="24"/>
        </w:rPr>
        <w:t xml:space="preserve"> Hepatitis C virus; AIH</w:t>
      </w:r>
      <w:r w:rsidRPr="00E54724">
        <w:rPr>
          <w:rFonts w:ascii="Book Antiqua" w:eastAsia="SimSun" w:hAnsi="Book Antiqua" w:cs="Times New Roman" w:hint="eastAsia"/>
          <w:sz w:val="24"/>
          <w:szCs w:val="24"/>
        </w:rPr>
        <w:t>:</w:t>
      </w:r>
      <w:r w:rsidRPr="00E54724">
        <w:rPr>
          <w:rFonts w:ascii="Book Antiqua" w:eastAsia="SimSun" w:hAnsi="Book Antiqua" w:cs="Times New Roman"/>
          <w:sz w:val="24"/>
          <w:szCs w:val="24"/>
        </w:rPr>
        <w:t xml:space="preserve"> Autoimmune hepatitis; BM</w:t>
      </w:r>
      <w:r w:rsidRPr="00E54724">
        <w:rPr>
          <w:rFonts w:ascii="Book Antiqua" w:eastAsia="SimSun" w:hAnsi="Book Antiqua" w:cs="Times New Roman" w:hint="eastAsia"/>
          <w:sz w:val="24"/>
          <w:szCs w:val="24"/>
        </w:rPr>
        <w:t>-MNCs:</w:t>
      </w:r>
      <w:r w:rsidRPr="00E54724">
        <w:rPr>
          <w:rFonts w:ascii="Book Antiqua" w:eastAsia="SimSun" w:hAnsi="Book Antiqua" w:cs="Times New Roman"/>
          <w:sz w:val="24"/>
          <w:szCs w:val="24"/>
        </w:rPr>
        <w:t xml:space="preserve"> Bone marrow</w:t>
      </w:r>
      <w:r w:rsidRPr="00E54724">
        <w:rPr>
          <w:rFonts w:ascii="Book Antiqua" w:eastAsia="SimSun" w:hAnsi="Book Antiqua" w:cs="Times New Roman" w:hint="eastAsia"/>
          <w:sz w:val="24"/>
          <w:szCs w:val="24"/>
        </w:rPr>
        <w:t xml:space="preserve"> mononuclear cells</w:t>
      </w:r>
      <w:r w:rsidRPr="00E54724">
        <w:rPr>
          <w:rFonts w:ascii="Book Antiqua" w:eastAsia="SimSun" w:hAnsi="Book Antiqua" w:cs="Times New Roman"/>
          <w:sz w:val="24"/>
          <w:szCs w:val="24"/>
        </w:rPr>
        <w:t xml:space="preserve">; </w:t>
      </w:r>
      <w:r w:rsidRPr="00E54724">
        <w:rPr>
          <w:rFonts w:ascii="Book Antiqua" w:eastAsia="SimSun" w:hAnsi="Book Antiqua" w:cs="Times New Roman" w:hint="eastAsia"/>
          <w:sz w:val="24"/>
          <w:szCs w:val="24"/>
        </w:rPr>
        <w:t xml:space="preserve">MSC: </w:t>
      </w:r>
      <w:r w:rsidRPr="00E54724">
        <w:rPr>
          <w:rFonts w:ascii="Book Antiqua" w:eastAsia="SimSun" w:hAnsi="Book Antiqua" w:cs="Times New Roman"/>
          <w:sz w:val="24"/>
          <w:szCs w:val="24"/>
        </w:rPr>
        <w:t xml:space="preserve">Mesenchyme </w:t>
      </w:r>
      <w:r w:rsidRPr="00E54724">
        <w:rPr>
          <w:rFonts w:ascii="Book Antiqua" w:eastAsia="SimSun" w:hAnsi="Book Antiqua" w:cs="Times New Roman" w:hint="eastAsia"/>
          <w:sz w:val="24"/>
          <w:szCs w:val="24"/>
        </w:rPr>
        <w:t xml:space="preserve">stem cell; </w:t>
      </w:r>
      <w:r w:rsidRPr="00E54724">
        <w:rPr>
          <w:rFonts w:ascii="Book Antiqua" w:eastAsia="SimSun" w:hAnsi="Book Antiqua" w:cs="Times New Roman"/>
          <w:sz w:val="24"/>
          <w:szCs w:val="24"/>
        </w:rPr>
        <w:t>RCT</w:t>
      </w:r>
      <w:r w:rsidRPr="00E54724">
        <w:rPr>
          <w:rFonts w:ascii="Book Antiqua" w:eastAsia="SimSun" w:hAnsi="Book Antiqua" w:cs="Times New Roman" w:hint="eastAsia"/>
          <w:sz w:val="24"/>
          <w:szCs w:val="24"/>
        </w:rPr>
        <w:t>:</w:t>
      </w:r>
      <w:r w:rsidRPr="00E54724">
        <w:rPr>
          <w:rFonts w:ascii="Book Antiqua" w:eastAsia="SimSun" w:hAnsi="Book Antiqua" w:cs="Times New Roman"/>
          <w:sz w:val="24"/>
          <w:szCs w:val="24"/>
        </w:rPr>
        <w:t xml:space="preserve"> Randomized controlled trial</w:t>
      </w:r>
      <w:r w:rsidRPr="00E54724">
        <w:rPr>
          <w:rFonts w:ascii="Book Antiqua" w:eastAsia="SimSun" w:hAnsi="Book Antiqua" w:cs="Times New Roman" w:hint="eastAsia"/>
          <w:sz w:val="24"/>
          <w:szCs w:val="24"/>
        </w:rPr>
        <w:t>; NA: Not available.</w:t>
      </w:r>
    </w:p>
    <w:p w14:paraId="7BFD14D7"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p>
    <w:p w14:paraId="371565D5"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sectPr w:rsidR="00E54724" w:rsidRPr="00E54724" w:rsidSect="00A52638">
          <w:pgSz w:w="15840" w:h="12240" w:orient="landscape"/>
          <w:pgMar w:top="1440" w:right="1440" w:bottom="1440" w:left="1440" w:header="720" w:footer="720" w:gutter="0"/>
          <w:pgBorders>
            <w:right w:val="single" w:sz="4" w:space="4" w:color="auto"/>
          </w:pgBorders>
          <w:cols w:space="720"/>
          <w:docGrid w:linePitch="360"/>
        </w:sectPr>
      </w:pPr>
    </w:p>
    <w:p w14:paraId="4AF05B3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r w:rsidRPr="00E54724">
        <w:rPr>
          <w:rFonts w:ascii="Book Antiqua" w:eastAsia="SimSun" w:hAnsi="Book Antiqua" w:cs="Times New Roman"/>
          <w:b/>
          <w:noProof/>
          <w:sz w:val="24"/>
          <w:szCs w:val="24"/>
        </w:rPr>
        <w:lastRenderedPageBreak/>
        <w:drawing>
          <wp:inline distT="0" distB="0" distL="0" distR="0" wp14:anchorId="5AEEC59E" wp14:editId="15202F9E">
            <wp:extent cx="4349094" cy="7196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_Flow char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9600" cy="7197504"/>
                    </a:xfrm>
                    <a:prstGeom prst="rect">
                      <a:avLst/>
                    </a:prstGeom>
                  </pic:spPr>
                </pic:pic>
              </a:graphicData>
            </a:graphic>
          </wp:inline>
        </w:drawing>
      </w:r>
    </w:p>
    <w:p w14:paraId="01E94294"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r w:rsidRPr="00E54724">
        <w:rPr>
          <w:rFonts w:ascii="Book Antiqua" w:eastAsia="SimSun" w:hAnsi="Book Antiqua" w:cs="Times New Roman"/>
          <w:b/>
          <w:sz w:val="24"/>
          <w:szCs w:val="24"/>
        </w:rPr>
        <w:t>Figure 1 Study flow diagram.</w:t>
      </w:r>
    </w:p>
    <w:p w14:paraId="6CABCE34"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r w:rsidRPr="00E54724">
        <w:rPr>
          <w:rFonts w:ascii="Book Antiqua" w:eastAsia="SimSun" w:hAnsi="Book Antiqua" w:cs="Times New Roman"/>
          <w:b/>
          <w:noProof/>
          <w:sz w:val="24"/>
          <w:szCs w:val="24"/>
        </w:rPr>
        <w:lastRenderedPageBreak/>
        <w:drawing>
          <wp:inline distT="0" distB="0" distL="0" distR="0" wp14:anchorId="0ECF857C" wp14:editId="4A40ABA8">
            <wp:extent cx="4710867" cy="76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Alb.tif"/>
                    <pic:cNvPicPr/>
                  </pic:nvPicPr>
                  <pic:blipFill>
                    <a:blip r:embed="rId9">
                      <a:extLst>
                        <a:ext uri="{28A0092B-C50C-407E-A947-70E740481C1C}">
                          <a14:useLocalDpi xmlns:a14="http://schemas.microsoft.com/office/drawing/2010/main" val="0"/>
                        </a:ext>
                      </a:extLst>
                    </a:blip>
                    <a:stretch>
                      <a:fillRect/>
                    </a:stretch>
                  </pic:blipFill>
                  <pic:spPr>
                    <a:xfrm>
                      <a:off x="0" y="0"/>
                      <a:ext cx="4713462" cy="7624197"/>
                    </a:xfrm>
                    <a:prstGeom prst="rect">
                      <a:avLst/>
                    </a:prstGeom>
                  </pic:spPr>
                </pic:pic>
              </a:graphicData>
            </a:graphic>
          </wp:inline>
        </w:drawing>
      </w:r>
    </w:p>
    <w:p w14:paraId="161281B4"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noProof/>
          <w:sz w:val="24"/>
          <w:szCs w:val="24"/>
        </w:rPr>
        <w:t>Figure 2</w:t>
      </w:r>
      <w:r w:rsidRPr="00E54724">
        <w:rPr>
          <w:rFonts w:ascii="Book Antiqua" w:eastAsia="SimSun" w:hAnsi="Book Antiqua" w:cs="Times New Roman" w:hint="eastAsia"/>
          <w:b/>
          <w:noProof/>
          <w:sz w:val="24"/>
          <w:szCs w:val="24"/>
        </w:rPr>
        <w:t xml:space="preserve"> </w:t>
      </w:r>
      <w:r w:rsidRPr="00E54724">
        <w:rPr>
          <w:rFonts w:ascii="Book Antiqua" w:eastAsia="SimSun" w:hAnsi="Book Antiqua" w:cs="Times New Roman"/>
          <w:b/>
          <w:sz w:val="24"/>
          <w:szCs w:val="24"/>
          <w:highlight w:val="white"/>
        </w:rPr>
        <w:t>Changes in albumin level at 1 mo</w:t>
      </w:r>
      <w:r w:rsidRPr="00E54724">
        <w:rPr>
          <w:rFonts w:ascii="Book Antiqua" w:eastAsia="SimSun" w:hAnsi="Book Antiqua" w:cs="Times New Roman" w:hint="eastAsia"/>
          <w:b/>
          <w:sz w:val="24"/>
          <w:szCs w:val="24"/>
          <w:highlight w:val="white"/>
        </w:rPr>
        <w:t xml:space="preserve"> (A),</w:t>
      </w:r>
      <w:r w:rsidRPr="00E54724">
        <w:rPr>
          <w:rFonts w:ascii="Book Antiqua" w:eastAsia="SimSun" w:hAnsi="Book Antiqua" w:cs="Times New Roman"/>
          <w:b/>
          <w:sz w:val="24"/>
          <w:szCs w:val="24"/>
          <w:highlight w:val="white"/>
        </w:rPr>
        <w:t xml:space="preserve"> </w:t>
      </w:r>
      <w:r w:rsidRPr="00E54724">
        <w:rPr>
          <w:rFonts w:ascii="Book Antiqua" w:eastAsia="SimSun" w:hAnsi="Book Antiqua" w:cs="Times New Roman" w:hint="eastAsia"/>
          <w:b/>
          <w:sz w:val="24"/>
          <w:szCs w:val="24"/>
          <w:highlight w:val="white"/>
        </w:rPr>
        <w:t xml:space="preserve">3 mo (B), 6 mo (C), and 12 mo (D) </w:t>
      </w:r>
      <w:r w:rsidRPr="00E54724">
        <w:rPr>
          <w:rFonts w:ascii="Book Antiqua" w:eastAsia="SimSun" w:hAnsi="Book Antiqua" w:cs="Times New Roman"/>
          <w:b/>
          <w:sz w:val="24"/>
          <w:szCs w:val="24"/>
          <w:highlight w:val="white"/>
        </w:rPr>
        <w:t xml:space="preserve">after autologous </w:t>
      </w:r>
      <w:r w:rsidRPr="00E54724">
        <w:rPr>
          <w:rFonts w:ascii="Book Antiqua" w:eastAsia="SimSun" w:hAnsi="Book Antiqua" w:cs="Times New Roman"/>
          <w:b/>
          <w:sz w:val="24"/>
          <w:szCs w:val="24"/>
        </w:rPr>
        <w:t>bone marrow</w:t>
      </w:r>
      <w:r w:rsidRPr="00E54724">
        <w:rPr>
          <w:rFonts w:ascii="Book Antiqua" w:eastAsia="SimSun" w:hAnsi="Book Antiqua" w:cs="Times New Roman"/>
          <w:b/>
          <w:sz w:val="24"/>
          <w:szCs w:val="24"/>
          <w:highlight w:val="white"/>
        </w:rPr>
        <w:t xml:space="preserve"> transplantation.</w:t>
      </w:r>
    </w:p>
    <w:p w14:paraId="5F0694A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1A81C8B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r w:rsidRPr="00E54724">
        <w:rPr>
          <w:rFonts w:ascii="Book Antiqua" w:eastAsia="SimSun" w:hAnsi="Book Antiqua" w:cs="Times New Roman"/>
          <w:b/>
          <w:noProof/>
          <w:sz w:val="24"/>
          <w:szCs w:val="24"/>
        </w:rPr>
        <w:drawing>
          <wp:inline distT="0" distB="0" distL="0" distR="0" wp14:anchorId="2E061C0E" wp14:editId="3B6F1EA0">
            <wp:extent cx="4371461" cy="7340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_Bi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1850" cy="7341254"/>
                    </a:xfrm>
                    <a:prstGeom prst="rect">
                      <a:avLst/>
                    </a:prstGeom>
                  </pic:spPr>
                </pic:pic>
              </a:graphicData>
            </a:graphic>
          </wp:inline>
        </w:drawing>
      </w:r>
    </w:p>
    <w:p w14:paraId="7FFD426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sz w:val="24"/>
          <w:szCs w:val="24"/>
          <w:highlight w:val="white"/>
        </w:rPr>
        <w:t>Figure 3</w:t>
      </w:r>
      <w:r w:rsidRPr="00E54724">
        <w:rPr>
          <w:rFonts w:ascii="Book Antiqua" w:eastAsia="SimSun" w:hAnsi="Book Antiqua" w:cs="Times New Roman" w:hint="eastAsia"/>
          <w:b/>
          <w:sz w:val="24"/>
          <w:szCs w:val="24"/>
          <w:highlight w:val="white"/>
        </w:rPr>
        <w:t xml:space="preserve"> </w:t>
      </w:r>
      <w:r w:rsidRPr="00E54724">
        <w:rPr>
          <w:rFonts w:ascii="Book Antiqua" w:eastAsia="SimSun" w:hAnsi="Book Antiqua" w:cs="Times New Roman"/>
          <w:b/>
          <w:sz w:val="24"/>
          <w:szCs w:val="24"/>
          <w:highlight w:val="white"/>
        </w:rPr>
        <w:t>Changes in total bilirubin level at</w:t>
      </w:r>
      <w:r w:rsidRPr="00E54724">
        <w:rPr>
          <w:rFonts w:ascii="Book Antiqua" w:eastAsia="SimSun" w:hAnsi="Book Antiqua" w:cs="Times New Roman" w:hint="eastAsia"/>
          <w:b/>
          <w:sz w:val="24"/>
          <w:szCs w:val="24"/>
          <w:highlight w:val="white"/>
        </w:rPr>
        <w:t xml:space="preserve"> </w:t>
      </w:r>
      <w:r w:rsidRPr="00E54724">
        <w:rPr>
          <w:rFonts w:ascii="Book Antiqua" w:eastAsia="SimSun" w:hAnsi="Book Antiqua" w:cs="Times New Roman"/>
          <w:b/>
          <w:sz w:val="24"/>
          <w:szCs w:val="24"/>
          <w:highlight w:val="white"/>
        </w:rPr>
        <w:t>1 mo</w:t>
      </w:r>
      <w:r w:rsidRPr="00E54724">
        <w:rPr>
          <w:rFonts w:ascii="Book Antiqua" w:eastAsia="SimSun" w:hAnsi="Book Antiqua" w:cs="Times New Roman" w:hint="eastAsia"/>
          <w:b/>
          <w:sz w:val="24"/>
          <w:szCs w:val="24"/>
          <w:highlight w:val="white"/>
        </w:rPr>
        <w:t xml:space="preserve"> (A), 3 mo (B), 6 mo (C), and 12 mo (D) </w:t>
      </w:r>
      <w:r w:rsidRPr="00E54724">
        <w:rPr>
          <w:rFonts w:ascii="Book Antiqua" w:eastAsia="SimSun" w:hAnsi="Book Antiqua" w:cs="Times New Roman"/>
          <w:b/>
          <w:sz w:val="24"/>
          <w:szCs w:val="24"/>
          <w:highlight w:val="white"/>
        </w:rPr>
        <w:t xml:space="preserve">after autologous </w:t>
      </w:r>
      <w:r w:rsidRPr="00E54724">
        <w:rPr>
          <w:rFonts w:ascii="Book Antiqua" w:eastAsia="SimSun" w:hAnsi="Book Antiqua" w:cs="Times New Roman"/>
          <w:b/>
          <w:sz w:val="24"/>
          <w:szCs w:val="24"/>
        </w:rPr>
        <w:t>bone marrow</w:t>
      </w:r>
      <w:r w:rsidRPr="00E54724">
        <w:rPr>
          <w:rFonts w:ascii="Book Antiqua" w:eastAsia="SimSun" w:hAnsi="Book Antiqua" w:cs="Times New Roman" w:hint="eastAsia"/>
          <w:b/>
          <w:sz w:val="24"/>
          <w:szCs w:val="24"/>
          <w:highlight w:val="white"/>
        </w:rPr>
        <w:t xml:space="preserve"> transplantation</w:t>
      </w:r>
      <w:r w:rsidRPr="00E54724">
        <w:rPr>
          <w:rFonts w:ascii="Book Antiqua" w:eastAsia="SimSun" w:hAnsi="Book Antiqua" w:cs="Times New Roman"/>
          <w:b/>
          <w:sz w:val="24"/>
          <w:szCs w:val="24"/>
          <w:highlight w:val="white"/>
        </w:rPr>
        <w:t>.</w:t>
      </w:r>
    </w:p>
    <w:p w14:paraId="31EA7A2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noProof/>
          <w:sz w:val="24"/>
          <w:szCs w:val="24"/>
        </w:rPr>
        <w:lastRenderedPageBreak/>
        <w:drawing>
          <wp:inline distT="0" distB="0" distL="0" distR="0" wp14:anchorId="30F6BC4A" wp14:editId="04A22666">
            <wp:extent cx="5833533" cy="4362802"/>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_AST.tif"/>
                    <pic:cNvPicPr/>
                  </pic:nvPicPr>
                  <pic:blipFill>
                    <a:blip r:embed="rId11">
                      <a:extLst>
                        <a:ext uri="{28A0092B-C50C-407E-A947-70E740481C1C}">
                          <a14:useLocalDpi xmlns:a14="http://schemas.microsoft.com/office/drawing/2010/main" val="0"/>
                        </a:ext>
                      </a:extLst>
                    </a:blip>
                    <a:stretch>
                      <a:fillRect/>
                    </a:stretch>
                  </pic:blipFill>
                  <pic:spPr>
                    <a:xfrm>
                      <a:off x="0" y="0"/>
                      <a:ext cx="5835714" cy="4364433"/>
                    </a:xfrm>
                    <a:prstGeom prst="rect">
                      <a:avLst/>
                    </a:prstGeom>
                  </pic:spPr>
                </pic:pic>
              </a:graphicData>
            </a:graphic>
          </wp:inline>
        </w:drawing>
      </w:r>
    </w:p>
    <w:p w14:paraId="0B5C5414"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sz w:val="24"/>
          <w:szCs w:val="24"/>
          <w:highlight w:val="white"/>
        </w:rPr>
        <w:t xml:space="preserve">Figure 4 Changes in </w:t>
      </w:r>
      <w:r w:rsidRPr="00E54724">
        <w:rPr>
          <w:rFonts w:ascii="Book Antiqua" w:eastAsia="SimSun" w:hAnsi="Book Antiqua" w:cs="Times New Roman"/>
          <w:b/>
          <w:sz w:val="24"/>
          <w:szCs w:val="24"/>
        </w:rPr>
        <w:t>aspartate transaminase</w:t>
      </w:r>
      <w:r w:rsidRPr="00E54724">
        <w:rPr>
          <w:rFonts w:ascii="Book Antiqua" w:eastAsia="SimSun" w:hAnsi="Book Antiqua" w:cs="Times New Roman"/>
          <w:b/>
          <w:sz w:val="24"/>
          <w:szCs w:val="24"/>
          <w:highlight w:val="white"/>
        </w:rPr>
        <w:t xml:space="preserve"> level at</w:t>
      </w:r>
      <w:r w:rsidRPr="00E54724">
        <w:rPr>
          <w:rFonts w:ascii="Book Antiqua" w:eastAsia="SimSun" w:hAnsi="Book Antiqua" w:cs="Times New Roman" w:hint="eastAsia"/>
          <w:b/>
          <w:sz w:val="24"/>
          <w:szCs w:val="24"/>
          <w:highlight w:val="white"/>
        </w:rPr>
        <w:t xml:space="preserve"> </w:t>
      </w:r>
      <w:r w:rsidRPr="00E54724">
        <w:rPr>
          <w:rFonts w:ascii="Book Antiqua" w:eastAsia="SimSun" w:hAnsi="Book Antiqua" w:cs="Times New Roman"/>
          <w:b/>
          <w:sz w:val="24"/>
          <w:szCs w:val="24"/>
          <w:highlight w:val="white"/>
        </w:rPr>
        <w:t>3 mo</w:t>
      </w:r>
      <w:r w:rsidRPr="00E54724">
        <w:rPr>
          <w:rFonts w:ascii="Book Antiqua" w:eastAsia="SimSun" w:hAnsi="Book Antiqua" w:cs="Times New Roman" w:hint="eastAsia"/>
          <w:b/>
          <w:sz w:val="24"/>
          <w:szCs w:val="24"/>
          <w:highlight w:val="white"/>
        </w:rPr>
        <w:t xml:space="preserve"> (A) and 6 mo (B)</w:t>
      </w:r>
      <w:r w:rsidRPr="00E54724">
        <w:rPr>
          <w:rFonts w:ascii="Book Antiqua" w:eastAsia="SimSun" w:hAnsi="Book Antiqua" w:cs="Times New Roman"/>
          <w:b/>
          <w:sz w:val="24"/>
          <w:szCs w:val="24"/>
          <w:highlight w:val="white"/>
        </w:rPr>
        <w:t xml:space="preserve"> after autologous </w:t>
      </w:r>
      <w:r w:rsidRPr="00E54724">
        <w:rPr>
          <w:rFonts w:ascii="Book Antiqua" w:eastAsia="SimSun" w:hAnsi="Book Antiqua" w:cs="Times New Roman"/>
          <w:b/>
          <w:sz w:val="24"/>
          <w:szCs w:val="24"/>
        </w:rPr>
        <w:t>bone marrow</w:t>
      </w:r>
      <w:r w:rsidRPr="00E54724">
        <w:rPr>
          <w:rFonts w:ascii="Book Antiqua" w:eastAsia="SimSun" w:hAnsi="Book Antiqua" w:cs="Times New Roman" w:hint="eastAsia"/>
          <w:b/>
          <w:sz w:val="24"/>
          <w:szCs w:val="24"/>
          <w:highlight w:val="white"/>
        </w:rPr>
        <w:t xml:space="preserve"> transplant</w:t>
      </w:r>
      <w:r w:rsidRPr="00E54724">
        <w:rPr>
          <w:rFonts w:ascii="Book Antiqua" w:eastAsia="SimSun" w:hAnsi="Book Antiqua" w:cs="Times New Roman"/>
          <w:b/>
          <w:sz w:val="24"/>
          <w:szCs w:val="24"/>
          <w:highlight w:val="white"/>
        </w:rPr>
        <w:t>.</w:t>
      </w:r>
    </w:p>
    <w:p w14:paraId="7012420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077CF52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5FD6439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39ECEBCD"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511EE46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292DF1FB"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62A8EF7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05F88F4A"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2B9DCD8B"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5FE3282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28887E7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17697A3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noProof/>
          <w:sz w:val="24"/>
          <w:szCs w:val="24"/>
        </w:rPr>
      </w:pPr>
    </w:p>
    <w:p w14:paraId="4481A28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noProof/>
          <w:sz w:val="24"/>
          <w:szCs w:val="24"/>
        </w:rPr>
        <w:lastRenderedPageBreak/>
        <w:drawing>
          <wp:inline distT="0" distB="0" distL="0" distR="0" wp14:anchorId="5BA7BD6B" wp14:editId="4D1A8BB6">
            <wp:extent cx="5833378" cy="44450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_ALT.tif"/>
                    <pic:cNvPicPr/>
                  </pic:nvPicPr>
                  <pic:blipFill>
                    <a:blip r:embed="rId12">
                      <a:extLst>
                        <a:ext uri="{28A0092B-C50C-407E-A947-70E740481C1C}">
                          <a14:useLocalDpi xmlns:a14="http://schemas.microsoft.com/office/drawing/2010/main" val="0"/>
                        </a:ext>
                      </a:extLst>
                    </a:blip>
                    <a:stretch>
                      <a:fillRect/>
                    </a:stretch>
                  </pic:blipFill>
                  <pic:spPr>
                    <a:xfrm>
                      <a:off x="0" y="0"/>
                      <a:ext cx="5835037" cy="4446264"/>
                    </a:xfrm>
                    <a:prstGeom prst="rect">
                      <a:avLst/>
                    </a:prstGeom>
                  </pic:spPr>
                </pic:pic>
              </a:graphicData>
            </a:graphic>
          </wp:inline>
        </w:drawing>
      </w:r>
    </w:p>
    <w:p w14:paraId="3C4446F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sz w:val="24"/>
          <w:szCs w:val="24"/>
          <w:highlight w:val="white"/>
        </w:rPr>
        <w:t xml:space="preserve">Figure 5 Changes in </w:t>
      </w:r>
      <w:r w:rsidRPr="00E54724">
        <w:rPr>
          <w:rFonts w:ascii="Book Antiqua" w:eastAsia="SimSun" w:hAnsi="Book Antiqua" w:cs="Times New Roman"/>
          <w:b/>
          <w:sz w:val="24"/>
          <w:szCs w:val="24"/>
          <w:lang w:val="fr-FR"/>
        </w:rPr>
        <w:t>alanine transaminase</w:t>
      </w:r>
      <w:r w:rsidRPr="00E54724">
        <w:rPr>
          <w:rFonts w:ascii="Book Antiqua" w:eastAsia="SimSun" w:hAnsi="Book Antiqua" w:cs="Times New Roman"/>
          <w:b/>
          <w:sz w:val="24"/>
          <w:szCs w:val="24"/>
          <w:highlight w:val="white"/>
        </w:rPr>
        <w:t xml:space="preserve"> level at</w:t>
      </w:r>
      <w:r w:rsidRPr="00E54724">
        <w:rPr>
          <w:rFonts w:ascii="Book Antiqua" w:eastAsia="SimSun" w:hAnsi="Book Antiqua" w:cs="Times New Roman" w:hint="eastAsia"/>
          <w:b/>
          <w:sz w:val="24"/>
          <w:szCs w:val="24"/>
          <w:highlight w:val="white"/>
        </w:rPr>
        <w:t xml:space="preserve"> </w:t>
      </w:r>
      <w:r w:rsidRPr="00E54724">
        <w:rPr>
          <w:rFonts w:ascii="Book Antiqua" w:eastAsia="SimSun" w:hAnsi="Book Antiqua" w:cs="Times New Roman"/>
          <w:b/>
          <w:sz w:val="24"/>
          <w:szCs w:val="24"/>
          <w:highlight w:val="white"/>
        </w:rPr>
        <w:t>3 mo</w:t>
      </w:r>
      <w:r w:rsidRPr="00E54724">
        <w:rPr>
          <w:rFonts w:ascii="Book Antiqua" w:eastAsia="SimSun" w:hAnsi="Book Antiqua" w:cs="Times New Roman" w:hint="eastAsia"/>
          <w:b/>
          <w:sz w:val="24"/>
          <w:szCs w:val="24"/>
          <w:highlight w:val="white"/>
        </w:rPr>
        <w:t xml:space="preserve"> (A)</w:t>
      </w:r>
      <w:r w:rsidRPr="00E54724">
        <w:rPr>
          <w:rFonts w:ascii="Book Antiqua" w:eastAsia="SimSun" w:hAnsi="Book Antiqua" w:cs="Times New Roman"/>
          <w:b/>
          <w:sz w:val="24"/>
          <w:szCs w:val="24"/>
          <w:highlight w:val="white"/>
        </w:rPr>
        <w:t xml:space="preserve"> </w:t>
      </w:r>
      <w:r w:rsidRPr="00E54724">
        <w:rPr>
          <w:rFonts w:ascii="Book Antiqua" w:eastAsia="SimSun" w:hAnsi="Book Antiqua" w:cs="Times New Roman" w:hint="eastAsia"/>
          <w:b/>
          <w:sz w:val="24"/>
          <w:szCs w:val="24"/>
          <w:highlight w:val="white"/>
        </w:rPr>
        <w:t xml:space="preserve">and 6 mo (B) </w:t>
      </w:r>
      <w:r w:rsidRPr="00E54724">
        <w:rPr>
          <w:rFonts w:ascii="Book Antiqua" w:eastAsia="SimSun" w:hAnsi="Book Antiqua" w:cs="Times New Roman"/>
          <w:b/>
          <w:sz w:val="24"/>
          <w:szCs w:val="24"/>
          <w:highlight w:val="white"/>
        </w:rPr>
        <w:t xml:space="preserve">after autologous </w:t>
      </w:r>
      <w:r w:rsidRPr="00E54724">
        <w:rPr>
          <w:rFonts w:ascii="Book Antiqua" w:eastAsia="SimSun" w:hAnsi="Book Antiqua" w:cs="Times New Roman"/>
          <w:b/>
          <w:sz w:val="24"/>
          <w:szCs w:val="24"/>
        </w:rPr>
        <w:t>bone marrow</w:t>
      </w:r>
      <w:r w:rsidRPr="00E54724">
        <w:rPr>
          <w:rFonts w:ascii="Book Antiqua" w:eastAsia="SimSun" w:hAnsi="Book Antiqua" w:cs="Times New Roman" w:hint="eastAsia"/>
          <w:b/>
          <w:sz w:val="24"/>
          <w:szCs w:val="24"/>
          <w:highlight w:val="white"/>
        </w:rPr>
        <w:t xml:space="preserve"> transplantation</w:t>
      </w:r>
      <w:r w:rsidRPr="00E54724">
        <w:rPr>
          <w:rFonts w:ascii="Book Antiqua" w:eastAsia="SimSun" w:hAnsi="Book Antiqua" w:cs="Times New Roman"/>
          <w:b/>
          <w:sz w:val="24"/>
          <w:szCs w:val="24"/>
          <w:highlight w:val="white"/>
        </w:rPr>
        <w:t>.</w:t>
      </w:r>
    </w:p>
    <w:p w14:paraId="2263679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5A8A0157"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7B625F9D"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07FAF14A"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4107630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536FA1EB"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7CA3970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2AE6B00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6EFBE25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50282A95"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2FF6687A"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1B12DBB3"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noProof/>
          <w:sz w:val="24"/>
          <w:szCs w:val="24"/>
        </w:rPr>
        <w:lastRenderedPageBreak/>
        <w:drawing>
          <wp:inline distT="0" distB="0" distL="0" distR="0" wp14:anchorId="0E6E96CB" wp14:editId="439B9CC6">
            <wp:extent cx="4456492" cy="7366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_MELD.tif"/>
                    <pic:cNvPicPr/>
                  </pic:nvPicPr>
                  <pic:blipFill>
                    <a:blip r:embed="rId13">
                      <a:extLst>
                        <a:ext uri="{28A0092B-C50C-407E-A947-70E740481C1C}">
                          <a14:useLocalDpi xmlns:a14="http://schemas.microsoft.com/office/drawing/2010/main" val="0"/>
                        </a:ext>
                      </a:extLst>
                    </a:blip>
                    <a:stretch>
                      <a:fillRect/>
                    </a:stretch>
                  </pic:blipFill>
                  <pic:spPr>
                    <a:xfrm>
                      <a:off x="0" y="0"/>
                      <a:ext cx="4456947" cy="7366752"/>
                    </a:xfrm>
                    <a:prstGeom prst="rect">
                      <a:avLst/>
                    </a:prstGeom>
                  </pic:spPr>
                </pic:pic>
              </a:graphicData>
            </a:graphic>
          </wp:inline>
        </w:drawing>
      </w:r>
    </w:p>
    <w:p w14:paraId="3D833187"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sz w:val="24"/>
          <w:szCs w:val="24"/>
          <w:highlight w:val="white"/>
        </w:rPr>
        <w:t xml:space="preserve">Figure 6 Changes in </w:t>
      </w:r>
      <w:r w:rsidRPr="00E54724">
        <w:rPr>
          <w:rFonts w:ascii="Book Antiqua" w:eastAsia="SimSun" w:hAnsi="Book Antiqua" w:cs="Times New Roman"/>
          <w:b/>
          <w:bCs/>
          <w:sz w:val="24"/>
          <w:szCs w:val="24"/>
        </w:rPr>
        <w:t>model for end-stage liver disease</w:t>
      </w:r>
      <w:r w:rsidRPr="00E54724">
        <w:rPr>
          <w:rFonts w:ascii="Book Antiqua" w:eastAsia="SimSun" w:hAnsi="Book Antiqua" w:cs="Times New Roman"/>
          <w:b/>
          <w:sz w:val="24"/>
          <w:szCs w:val="24"/>
          <w:highlight w:val="white"/>
        </w:rPr>
        <w:t xml:space="preserve"> score at 1 mo</w:t>
      </w:r>
      <w:r w:rsidRPr="00E54724">
        <w:rPr>
          <w:rFonts w:ascii="Book Antiqua" w:eastAsia="SimSun" w:hAnsi="Book Antiqua" w:cs="Times New Roman" w:hint="eastAsia"/>
          <w:b/>
          <w:sz w:val="24"/>
          <w:szCs w:val="24"/>
          <w:highlight w:val="white"/>
        </w:rPr>
        <w:t xml:space="preserve"> (A), 3 mo (B), 6 mo (C), and 12 mo</w:t>
      </w:r>
      <w:r w:rsidRPr="00E54724">
        <w:rPr>
          <w:rFonts w:ascii="Book Antiqua" w:eastAsia="SimSun" w:hAnsi="Book Antiqua" w:cs="Times New Roman"/>
          <w:b/>
          <w:sz w:val="24"/>
          <w:szCs w:val="24"/>
          <w:highlight w:val="white"/>
        </w:rPr>
        <w:t xml:space="preserve"> </w:t>
      </w:r>
      <w:r w:rsidRPr="00E54724">
        <w:rPr>
          <w:rFonts w:ascii="Book Antiqua" w:eastAsia="SimSun" w:hAnsi="Book Antiqua" w:cs="Times New Roman" w:hint="eastAsia"/>
          <w:b/>
          <w:sz w:val="24"/>
          <w:szCs w:val="24"/>
          <w:highlight w:val="white"/>
        </w:rPr>
        <w:t xml:space="preserve">(D) </w:t>
      </w:r>
      <w:r w:rsidRPr="00E54724">
        <w:rPr>
          <w:rFonts w:ascii="Book Antiqua" w:eastAsia="SimSun" w:hAnsi="Book Antiqua" w:cs="Times New Roman"/>
          <w:b/>
          <w:sz w:val="24"/>
          <w:szCs w:val="24"/>
          <w:highlight w:val="white"/>
        </w:rPr>
        <w:t xml:space="preserve">after autologous </w:t>
      </w:r>
      <w:r w:rsidRPr="00E54724">
        <w:rPr>
          <w:rFonts w:ascii="Book Antiqua" w:eastAsia="SimSun" w:hAnsi="Book Antiqua" w:cs="Times New Roman"/>
          <w:b/>
          <w:sz w:val="24"/>
          <w:szCs w:val="24"/>
        </w:rPr>
        <w:t>bone marrow</w:t>
      </w:r>
      <w:r w:rsidRPr="00E54724">
        <w:rPr>
          <w:rFonts w:ascii="Book Antiqua" w:eastAsia="SimSun" w:hAnsi="Book Antiqua" w:cs="Times New Roman" w:hint="eastAsia"/>
          <w:b/>
          <w:sz w:val="24"/>
          <w:szCs w:val="24"/>
          <w:highlight w:val="white"/>
        </w:rPr>
        <w:t xml:space="preserve"> transplantation</w:t>
      </w:r>
      <w:r w:rsidRPr="00E54724">
        <w:rPr>
          <w:rFonts w:ascii="Book Antiqua" w:eastAsia="SimSun" w:hAnsi="Book Antiqua" w:cs="Times New Roman"/>
          <w:b/>
          <w:sz w:val="24"/>
          <w:szCs w:val="24"/>
          <w:highlight w:val="white"/>
        </w:rPr>
        <w:t>.</w:t>
      </w:r>
    </w:p>
    <w:p w14:paraId="6D0FD72A"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noProof/>
          <w:sz w:val="24"/>
          <w:szCs w:val="24"/>
        </w:rPr>
        <w:lastRenderedPageBreak/>
        <w:drawing>
          <wp:inline distT="0" distB="0" distL="0" distR="0" wp14:anchorId="43DA2628" wp14:editId="22F69849">
            <wp:extent cx="6041710" cy="36830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_Child.tif"/>
                    <pic:cNvPicPr/>
                  </pic:nvPicPr>
                  <pic:blipFill>
                    <a:blip r:embed="rId14">
                      <a:extLst>
                        <a:ext uri="{28A0092B-C50C-407E-A947-70E740481C1C}">
                          <a14:useLocalDpi xmlns:a14="http://schemas.microsoft.com/office/drawing/2010/main" val="0"/>
                        </a:ext>
                      </a:extLst>
                    </a:blip>
                    <a:stretch>
                      <a:fillRect/>
                    </a:stretch>
                  </pic:blipFill>
                  <pic:spPr>
                    <a:xfrm>
                      <a:off x="0" y="0"/>
                      <a:ext cx="6044034" cy="3684417"/>
                    </a:xfrm>
                    <a:prstGeom prst="rect">
                      <a:avLst/>
                    </a:prstGeom>
                  </pic:spPr>
                </pic:pic>
              </a:graphicData>
            </a:graphic>
          </wp:inline>
        </w:drawing>
      </w:r>
    </w:p>
    <w:p w14:paraId="13BE5F45" w14:textId="1EBC692A"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sz w:val="24"/>
          <w:szCs w:val="24"/>
          <w:highlight w:val="white"/>
        </w:rPr>
        <w:t>Figure 7 Changes in Child–Pugh score at</w:t>
      </w:r>
      <w:r w:rsidRPr="00E54724">
        <w:rPr>
          <w:rFonts w:ascii="Book Antiqua" w:eastAsia="SimSun" w:hAnsi="Book Antiqua" w:cs="Times New Roman" w:hint="eastAsia"/>
          <w:b/>
          <w:sz w:val="24"/>
          <w:szCs w:val="24"/>
          <w:highlight w:val="white"/>
        </w:rPr>
        <w:t xml:space="preserve"> </w:t>
      </w:r>
      <w:r w:rsidRPr="00E54724">
        <w:rPr>
          <w:rFonts w:ascii="Book Antiqua" w:eastAsia="SimSun" w:hAnsi="Book Antiqua" w:cs="Times New Roman"/>
          <w:b/>
          <w:sz w:val="24"/>
          <w:szCs w:val="24"/>
          <w:highlight w:val="white"/>
        </w:rPr>
        <w:t>3 mo</w:t>
      </w:r>
      <w:r w:rsidRPr="00E54724">
        <w:rPr>
          <w:rFonts w:ascii="Book Antiqua" w:eastAsia="SimSun" w:hAnsi="Book Antiqua" w:cs="Times New Roman" w:hint="eastAsia"/>
          <w:b/>
          <w:sz w:val="24"/>
          <w:szCs w:val="24"/>
          <w:highlight w:val="white"/>
        </w:rPr>
        <w:t xml:space="preserve"> (A), 6 mo (B), 12 mo</w:t>
      </w:r>
      <w:r w:rsidRPr="00E54724">
        <w:rPr>
          <w:rFonts w:ascii="Book Antiqua" w:eastAsia="SimSun" w:hAnsi="Book Antiqua" w:cs="Times New Roman"/>
          <w:b/>
          <w:sz w:val="24"/>
          <w:szCs w:val="24"/>
          <w:highlight w:val="white"/>
        </w:rPr>
        <w:t xml:space="preserve"> </w:t>
      </w:r>
      <w:r w:rsidRPr="00E54724">
        <w:rPr>
          <w:rFonts w:ascii="Book Antiqua" w:eastAsia="SimSun" w:hAnsi="Book Antiqua" w:cs="Times New Roman" w:hint="eastAsia"/>
          <w:b/>
          <w:sz w:val="24"/>
          <w:szCs w:val="24"/>
          <w:highlight w:val="white"/>
        </w:rPr>
        <w:t>(C)</w:t>
      </w:r>
      <w:r w:rsidR="004B68C5">
        <w:rPr>
          <w:rFonts w:ascii="Book Antiqua" w:eastAsia="SimSun" w:hAnsi="Book Antiqua" w:cs="Times New Roman" w:hint="eastAsia"/>
          <w:b/>
          <w:sz w:val="24"/>
          <w:szCs w:val="24"/>
          <w:highlight w:val="white"/>
        </w:rPr>
        <w:t xml:space="preserve"> </w:t>
      </w:r>
      <w:r w:rsidRPr="00E54724">
        <w:rPr>
          <w:rFonts w:ascii="Book Antiqua" w:eastAsia="SimSun" w:hAnsi="Book Antiqua" w:cs="Times New Roman"/>
          <w:b/>
          <w:sz w:val="24"/>
          <w:szCs w:val="24"/>
          <w:highlight w:val="white"/>
        </w:rPr>
        <w:t xml:space="preserve">after autologous </w:t>
      </w:r>
      <w:r w:rsidRPr="00E54724">
        <w:rPr>
          <w:rFonts w:ascii="Book Antiqua" w:eastAsia="SimSun" w:hAnsi="Book Antiqua" w:cs="Times New Roman"/>
          <w:b/>
          <w:sz w:val="24"/>
          <w:szCs w:val="24"/>
        </w:rPr>
        <w:t>bone marrow</w:t>
      </w:r>
      <w:r w:rsidRPr="00E54724">
        <w:rPr>
          <w:rFonts w:ascii="Book Antiqua" w:eastAsia="SimSun" w:hAnsi="Book Antiqua" w:cs="Times New Roman" w:hint="eastAsia"/>
          <w:b/>
          <w:sz w:val="24"/>
          <w:szCs w:val="24"/>
          <w:highlight w:val="white"/>
        </w:rPr>
        <w:t xml:space="preserve"> transplantation</w:t>
      </w:r>
      <w:r w:rsidRPr="00E54724">
        <w:rPr>
          <w:rFonts w:ascii="Book Antiqua" w:eastAsia="SimSun" w:hAnsi="Book Antiqua" w:cs="Times New Roman"/>
          <w:b/>
          <w:sz w:val="24"/>
          <w:szCs w:val="24"/>
          <w:highlight w:val="white"/>
        </w:rPr>
        <w:t>.</w:t>
      </w:r>
    </w:p>
    <w:p w14:paraId="09599B0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4D9D47E4"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25DBC255"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7ABAFBCF"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725B3898"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30971DE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3063C692"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7EC58EB9"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7C015E8B"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5B94E6C4"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7A65D92C"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3049635F"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0A760D0E"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6DDF87E2"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p>
    <w:p w14:paraId="336CD2FA"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highlight w:val="white"/>
        </w:rPr>
      </w:pPr>
      <w:r w:rsidRPr="00E54724">
        <w:rPr>
          <w:rFonts w:ascii="Book Antiqua" w:eastAsia="SimSun" w:hAnsi="Book Antiqua" w:cs="Times New Roman"/>
          <w:b/>
          <w:noProof/>
          <w:sz w:val="24"/>
          <w:szCs w:val="24"/>
        </w:rPr>
        <w:lastRenderedPageBreak/>
        <w:drawing>
          <wp:inline distT="0" distB="0" distL="0" distR="0" wp14:anchorId="693CF47F" wp14:editId="627C8D04">
            <wp:extent cx="5888567" cy="707403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_Prothrombin.tif"/>
                    <pic:cNvPicPr/>
                  </pic:nvPicPr>
                  <pic:blipFill>
                    <a:blip r:embed="rId15">
                      <a:extLst>
                        <a:ext uri="{28A0092B-C50C-407E-A947-70E740481C1C}">
                          <a14:useLocalDpi xmlns:a14="http://schemas.microsoft.com/office/drawing/2010/main" val="0"/>
                        </a:ext>
                      </a:extLst>
                    </a:blip>
                    <a:stretch>
                      <a:fillRect/>
                    </a:stretch>
                  </pic:blipFill>
                  <pic:spPr>
                    <a:xfrm>
                      <a:off x="0" y="0"/>
                      <a:ext cx="5890217" cy="7076017"/>
                    </a:xfrm>
                    <a:prstGeom prst="rect">
                      <a:avLst/>
                    </a:prstGeom>
                  </pic:spPr>
                </pic:pic>
              </a:graphicData>
            </a:graphic>
          </wp:inline>
        </w:drawing>
      </w:r>
    </w:p>
    <w:p w14:paraId="70E68D9F"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r w:rsidRPr="00E54724">
        <w:rPr>
          <w:rFonts w:ascii="Book Antiqua" w:eastAsia="SimSun" w:hAnsi="Book Antiqua" w:cs="Times New Roman"/>
          <w:b/>
          <w:sz w:val="24"/>
          <w:szCs w:val="24"/>
          <w:highlight w:val="white"/>
        </w:rPr>
        <w:t>Figure 8 Changes in prothrombin time at</w:t>
      </w:r>
      <w:r w:rsidRPr="00E54724">
        <w:rPr>
          <w:rFonts w:ascii="Book Antiqua" w:eastAsia="SimSun" w:hAnsi="Book Antiqua" w:cs="Times New Roman" w:hint="eastAsia"/>
          <w:b/>
          <w:sz w:val="24"/>
          <w:szCs w:val="24"/>
          <w:highlight w:val="white"/>
        </w:rPr>
        <w:t xml:space="preserve"> </w:t>
      </w:r>
      <w:r w:rsidRPr="00E54724">
        <w:rPr>
          <w:rFonts w:ascii="Book Antiqua" w:eastAsia="SimSun" w:hAnsi="Book Antiqua" w:cs="Times New Roman"/>
          <w:b/>
          <w:sz w:val="24"/>
          <w:szCs w:val="24"/>
          <w:highlight w:val="white"/>
        </w:rPr>
        <w:t>1 mo</w:t>
      </w:r>
      <w:r w:rsidRPr="00E54724">
        <w:rPr>
          <w:rFonts w:ascii="Book Antiqua" w:eastAsia="SimSun" w:hAnsi="Book Antiqua" w:cs="Times New Roman" w:hint="eastAsia"/>
          <w:b/>
          <w:sz w:val="24"/>
          <w:szCs w:val="24"/>
          <w:highlight w:val="white"/>
        </w:rPr>
        <w:t xml:space="preserve"> (A), 6 mo (B), and 12 mo</w:t>
      </w:r>
      <w:r w:rsidRPr="00E54724">
        <w:rPr>
          <w:rFonts w:ascii="Book Antiqua" w:eastAsia="SimSun" w:hAnsi="Book Antiqua" w:cs="Times New Roman"/>
          <w:b/>
          <w:sz w:val="24"/>
          <w:szCs w:val="24"/>
          <w:highlight w:val="white"/>
        </w:rPr>
        <w:t xml:space="preserve"> </w:t>
      </w:r>
      <w:r w:rsidRPr="00E54724">
        <w:rPr>
          <w:rFonts w:ascii="Book Antiqua" w:eastAsia="SimSun" w:hAnsi="Book Antiqua" w:cs="Times New Roman" w:hint="eastAsia"/>
          <w:b/>
          <w:sz w:val="24"/>
          <w:szCs w:val="24"/>
          <w:highlight w:val="white"/>
        </w:rPr>
        <w:t xml:space="preserve">(C) </w:t>
      </w:r>
      <w:r w:rsidRPr="00E54724">
        <w:rPr>
          <w:rFonts w:ascii="Book Antiqua" w:eastAsia="SimSun" w:hAnsi="Book Antiqua" w:cs="Times New Roman"/>
          <w:b/>
          <w:sz w:val="24"/>
          <w:szCs w:val="24"/>
          <w:highlight w:val="white"/>
        </w:rPr>
        <w:t xml:space="preserve">after autologous </w:t>
      </w:r>
      <w:r w:rsidRPr="00E54724">
        <w:rPr>
          <w:rFonts w:ascii="Book Antiqua" w:eastAsia="SimSun" w:hAnsi="Book Antiqua" w:cs="Times New Roman"/>
          <w:b/>
          <w:sz w:val="24"/>
          <w:szCs w:val="24"/>
        </w:rPr>
        <w:t>bone marrow</w:t>
      </w:r>
      <w:r w:rsidRPr="00E54724">
        <w:rPr>
          <w:rFonts w:ascii="Book Antiqua" w:eastAsia="SimSun" w:hAnsi="Book Antiqua" w:cs="Times New Roman" w:hint="eastAsia"/>
          <w:b/>
          <w:sz w:val="24"/>
          <w:szCs w:val="24"/>
          <w:highlight w:val="white"/>
        </w:rPr>
        <w:t xml:space="preserve"> transplantation</w:t>
      </w:r>
      <w:r w:rsidRPr="00E54724">
        <w:rPr>
          <w:rFonts w:ascii="Book Antiqua" w:eastAsia="SimSun" w:hAnsi="Book Antiqua" w:cs="Times New Roman"/>
          <w:b/>
          <w:sz w:val="24"/>
          <w:szCs w:val="24"/>
          <w:highlight w:val="white"/>
        </w:rPr>
        <w:t>.</w:t>
      </w:r>
    </w:p>
    <w:p w14:paraId="57D3ED91" w14:textId="77777777" w:rsidR="00E54724" w:rsidRPr="00E54724" w:rsidRDefault="00E54724" w:rsidP="00E54724">
      <w:pPr>
        <w:widowControl/>
        <w:shd w:val="clear" w:color="auto" w:fill="FFFFFF"/>
        <w:tabs>
          <w:tab w:val="left" w:pos="1020"/>
        </w:tabs>
        <w:autoSpaceDE w:val="0"/>
        <w:autoSpaceDN w:val="0"/>
        <w:adjustRightInd w:val="0"/>
        <w:spacing w:line="360" w:lineRule="auto"/>
        <w:rPr>
          <w:rFonts w:ascii="Book Antiqua" w:eastAsia="SimSun" w:hAnsi="Book Antiqua" w:cs="Times New Roman"/>
          <w:b/>
          <w:sz w:val="24"/>
          <w:szCs w:val="24"/>
        </w:rPr>
      </w:pPr>
    </w:p>
    <w:p w14:paraId="784DC796" w14:textId="77777777" w:rsidR="008D2DA6" w:rsidRPr="00E54724" w:rsidRDefault="008D2DA6"/>
    <w:sectPr w:rsidR="008D2DA6" w:rsidRPr="00E54724" w:rsidSect="00A52638">
      <w:pgSz w:w="12240" w:h="15840"/>
      <w:pgMar w:top="1440" w:right="1440" w:bottom="1440" w:left="1440" w:header="720" w:footer="720" w:gutter="0"/>
      <w:pgBorders>
        <w:right w:val="single" w:sz="4"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BD439" w14:textId="77777777" w:rsidR="00BD1AAD" w:rsidRDefault="00BD1AAD" w:rsidP="00E54724">
      <w:r>
        <w:separator/>
      </w:r>
    </w:p>
  </w:endnote>
  <w:endnote w:type="continuationSeparator" w:id="0">
    <w:p w14:paraId="1115F6FE" w14:textId="77777777" w:rsidR="00BD1AAD" w:rsidRDefault="00BD1AAD" w:rsidP="00E54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Bold">
    <w:altName w:val="Book Antiqua"/>
    <w:panose1 w:val="02040702050305030304"/>
    <w:charset w:val="00"/>
    <w:family w:val="roman"/>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E1002AEF" w:usb1="D000A1FF" w:usb2="00000038"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AdvTimes">
    <w:altName w:val="SimSun"/>
    <w:charset w:val="86"/>
    <w:family w:val="auto"/>
    <w:pitch w:val="default"/>
    <w:sig w:usb0="00000000" w:usb1="00000000" w:usb2="00000000" w:usb3="00000000" w:csb0="00040000" w:csb1="00000000"/>
  </w:font>
  <w:font w:name="AdvP49811">
    <w:altName w:val="Adobe Garamond Pro"/>
    <w:charset w:val="00"/>
    <w:family w:val="roman"/>
    <w:pitch w:val="default"/>
    <w:sig w:usb0="00000003" w:usb1="00000000" w:usb2="00000000" w:usb3="00000000" w:csb0="00000001" w:csb1="00000000"/>
  </w:font>
  <w:font w:name="仿宋">
    <w:altName w:val="Arial Unicode MS"/>
    <w:charset w:val="86"/>
    <w:family w:val="modern"/>
    <w:pitch w:val="fixed"/>
    <w:sig w:usb0="00000000" w:usb1="38CF7CFA" w:usb2="00000016" w:usb3="00000000" w:csb0="00040001" w:csb1="00000000"/>
  </w:font>
  <w:font w:name="ヒラギノ角ゴ ProN W3">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607F9" w14:textId="77777777" w:rsidR="00BD1AAD" w:rsidRDefault="00BD1AAD" w:rsidP="00E54724">
      <w:r>
        <w:separator/>
      </w:r>
    </w:p>
  </w:footnote>
  <w:footnote w:type="continuationSeparator" w:id="0">
    <w:p w14:paraId="6293EBE0" w14:textId="77777777" w:rsidR="00BD1AAD" w:rsidRDefault="00BD1AAD" w:rsidP="00E547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C8C4E3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decimal"/>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2">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3C46B6"/>
    <w:multiLevelType w:val="multilevel"/>
    <w:tmpl w:val="894EE872"/>
    <w:lvl w:ilvl="0">
      <w:start w:val="1"/>
      <w:numFmt w:val="decimal"/>
      <w:lvlText w:val="%1."/>
      <w:lvlJc w:val="left"/>
      <w:pPr>
        <w:tabs>
          <w:tab w:val="num" w:pos="1440"/>
        </w:tabs>
        <w:ind w:left="1440" w:hanging="360"/>
      </w:pPr>
      <w:rPr>
        <w:rFonts w:ascii="Book Antiqua Bold" w:eastAsia="Book Antiqua Bold" w:hAnsi="Book Antiqua Bold" w:cs="Book Antiqua Bold" w:hint="default"/>
        <w:b/>
        <w:bCs/>
        <w:position w:val="0"/>
        <w:sz w:val="28"/>
        <w:szCs w:val="28"/>
      </w:rPr>
    </w:lvl>
    <w:lvl w:ilvl="1">
      <w:start w:val="1"/>
      <w:numFmt w:val="lowerLetter"/>
      <w:lvlText w:val="%2."/>
      <w:lvlJc w:val="left"/>
      <w:pPr>
        <w:tabs>
          <w:tab w:val="num" w:pos="1500"/>
        </w:tabs>
        <w:ind w:left="1500" w:hanging="420"/>
      </w:pPr>
      <w:rPr>
        <w:rFonts w:ascii="Book Antiqua Bold" w:eastAsia="Book Antiqua Bold" w:hAnsi="Book Antiqua Bold" w:cs="Book Antiqua Bold" w:hint="default"/>
        <w:b/>
        <w:bCs/>
        <w:position w:val="0"/>
        <w:sz w:val="28"/>
        <w:szCs w:val="28"/>
      </w:rPr>
    </w:lvl>
    <w:lvl w:ilvl="2">
      <w:start w:val="1"/>
      <w:numFmt w:val="lowerRoman"/>
      <w:lvlText w:val="%3."/>
      <w:lvlJc w:val="left"/>
      <w:pPr>
        <w:tabs>
          <w:tab w:val="num" w:pos="2209"/>
        </w:tabs>
        <w:ind w:left="2209" w:hanging="345"/>
      </w:pPr>
      <w:rPr>
        <w:rFonts w:ascii="Book Antiqua Bold" w:eastAsia="Book Antiqua Bold" w:hAnsi="Book Antiqua Bold" w:cs="Book Antiqua Bold" w:hint="default"/>
        <w:b/>
        <w:bCs/>
        <w:position w:val="0"/>
        <w:sz w:val="28"/>
        <w:szCs w:val="28"/>
      </w:rPr>
    </w:lvl>
    <w:lvl w:ilvl="3">
      <w:start w:val="1"/>
      <w:numFmt w:val="decimal"/>
      <w:lvlText w:val="%4."/>
      <w:lvlJc w:val="left"/>
      <w:pPr>
        <w:tabs>
          <w:tab w:val="num" w:pos="2940"/>
        </w:tabs>
        <w:ind w:left="2940" w:hanging="420"/>
      </w:pPr>
      <w:rPr>
        <w:rFonts w:ascii="Book Antiqua Bold" w:eastAsia="Book Antiqua Bold" w:hAnsi="Book Antiqua Bold" w:cs="Book Antiqua Bold" w:hint="default"/>
        <w:b/>
        <w:bCs/>
        <w:position w:val="0"/>
        <w:sz w:val="28"/>
        <w:szCs w:val="28"/>
      </w:rPr>
    </w:lvl>
    <w:lvl w:ilvl="4">
      <w:start w:val="1"/>
      <w:numFmt w:val="lowerLetter"/>
      <w:lvlText w:val="%5."/>
      <w:lvlJc w:val="left"/>
      <w:pPr>
        <w:tabs>
          <w:tab w:val="num" w:pos="3660"/>
        </w:tabs>
        <w:ind w:left="3660" w:hanging="420"/>
      </w:pPr>
      <w:rPr>
        <w:rFonts w:ascii="Book Antiqua Bold" w:eastAsia="Book Antiqua Bold" w:hAnsi="Book Antiqua Bold" w:cs="Book Antiqua Bold" w:hint="default"/>
        <w:b/>
        <w:bCs/>
        <w:position w:val="0"/>
        <w:sz w:val="28"/>
        <w:szCs w:val="28"/>
      </w:rPr>
    </w:lvl>
    <w:lvl w:ilvl="5">
      <w:start w:val="1"/>
      <w:numFmt w:val="lowerRoman"/>
      <w:lvlText w:val="%6."/>
      <w:lvlJc w:val="left"/>
      <w:pPr>
        <w:tabs>
          <w:tab w:val="num" w:pos="4369"/>
        </w:tabs>
        <w:ind w:left="4369" w:hanging="345"/>
      </w:pPr>
      <w:rPr>
        <w:rFonts w:ascii="Book Antiqua Bold" w:eastAsia="Book Antiqua Bold" w:hAnsi="Book Antiqua Bold" w:cs="Book Antiqua Bold" w:hint="default"/>
        <w:b/>
        <w:bCs/>
        <w:position w:val="0"/>
        <w:sz w:val="28"/>
        <w:szCs w:val="28"/>
      </w:rPr>
    </w:lvl>
    <w:lvl w:ilvl="6">
      <w:start w:val="1"/>
      <w:numFmt w:val="decimal"/>
      <w:lvlText w:val="%7."/>
      <w:lvlJc w:val="left"/>
      <w:pPr>
        <w:tabs>
          <w:tab w:val="num" w:pos="5100"/>
        </w:tabs>
        <w:ind w:left="5100" w:hanging="420"/>
      </w:pPr>
      <w:rPr>
        <w:rFonts w:ascii="Book Antiqua Bold" w:eastAsia="Book Antiqua Bold" w:hAnsi="Book Antiqua Bold" w:cs="Book Antiqua Bold" w:hint="default"/>
        <w:b/>
        <w:bCs/>
        <w:position w:val="0"/>
        <w:sz w:val="28"/>
        <w:szCs w:val="28"/>
      </w:rPr>
    </w:lvl>
    <w:lvl w:ilvl="7">
      <w:start w:val="1"/>
      <w:numFmt w:val="lowerLetter"/>
      <w:lvlText w:val="%8."/>
      <w:lvlJc w:val="left"/>
      <w:pPr>
        <w:tabs>
          <w:tab w:val="num" w:pos="5820"/>
        </w:tabs>
        <w:ind w:left="5820" w:hanging="420"/>
      </w:pPr>
      <w:rPr>
        <w:rFonts w:ascii="Book Antiqua Bold" w:eastAsia="Book Antiqua Bold" w:hAnsi="Book Antiqua Bold" w:cs="Book Antiqua Bold" w:hint="default"/>
        <w:b/>
        <w:bCs/>
        <w:position w:val="0"/>
        <w:sz w:val="28"/>
        <w:szCs w:val="28"/>
      </w:rPr>
    </w:lvl>
    <w:lvl w:ilvl="8">
      <w:start w:val="1"/>
      <w:numFmt w:val="lowerRoman"/>
      <w:lvlText w:val="%9."/>
      <w:lvlJc w:val="left"/>
      <w:pPr>
        <w:tabs>
          <w:tab w:val="num" w:pos="6529"/>
        </w:tabs>
        <w:ind w:left="6529" w:hanging="345"/>
      </w:pPr>
      <w:rPr>
        <w:rFonts w:ascii="Book Antiqua Bold" w:eastAsia="Book Antiqua Bold" w:hAnsi="Book Antiqua Bold" w:cs="Book Antiqua Bold" w:hint="default"/>
        <w:b/>
        <w:bCs/>
        <w:position w:val="0"/>
        <w:sz w:val="28"/>
        <w:szCs w:val="28"/>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6A8"/>
    <w:rsid w:val="00023A8B"/>
    <w:rsid w:val="00044340"/>
    <w:rsid w:val="000C3A62"/>
    <w:rsid w:val="000D75E6"/>
    <w:rsid w:val="0011006A"/>
    <w:rsid w:val="001666A8"/>
    <w:rsid w:val="001B4EBA"/>
    <w:rsid w:val="001D51C6"/>
    <w:rsid w:val="001F7770"/>
    <w:rsid w:val="003460D4"/>
    <w:rsid w:val="00467D05"/>
    <w:rsid w:val="004B68C5"/>
    <w:rsid w:val="00515112"/>
    <w:rsid w:val="00593730"/>
    <w:rsid w:val="00643684"/>
    <w:rsid w:val="00650F36"/>
    <w:rsid w:val="006B1095"/>
    <w:rsid w:val="006D2EDA"/>
    <w:rsid w:val="007624D6"/>
    <w:rsid w:val="007A49BC"/>
    <w:rsid w:val="0080150C"/>
    <w:rsid w:val="00843306"/>
    <w:rsid w:val="008D2DA6"/>
    <w:rsid w:val="009C3C2C"/>
    <w:rsid w:val="009E7FC1"/>
    <w:rsid w:val="00A24C49"/>
    <w:rsid w:val="00A52638"/>
    <w:rsid w:val="00A81929"/>
    <w:rsid w:val="00B26344"/>
    <w:rsid w:val="00B354B1"/>
    <w:rsid w:val="00BD1AAD"/>
    <w:rsid w:val="00D5122B"/>
    <w:rsid w:val="00DF4C3E"/>
    <w:rsid w:val="00E045BC"/>
    <w:rsid w:val="00E54724"/>
    <w:rsid w:val="00EA71DC"/>
    <w:rsid w:val="00ED5F1D"/>
    <w:rsid w:val="00F70AE4"/>
    <w:rsid w:val="00F83B28"/>
    <w:rsid w:val="00FB1469"/>
    <w:rsid w:val="00FB7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A13E0C"/>
  <w15:docId w15:val="{2D886FFE-5016-4397-881F-8E2749165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2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54724"/>
    <w:rPr>
      <w:sz w:val="18"/>
      <w:szCs w:val="18"/>
    </w:rPr>
  </w:style>
  <w:style w:type="paragraph" w:styleId="Footer">
    <w:name w:val="footer"/>
    <w:basedOn w:val="Normal"/>
    <w:link w:val="FooterChar"/>
    <w:uiPriority w:val="99"/>
    <w:unhideWhenUsed/>
    <w:rsid w:val="00E5472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54724"/>
    <w:rPr>
      <w:sz w:val="18"/>
      <w:szCs w:val="18"/>
    </w:rPr>
  </w:style>
  <w:style w:type="numbering" w:customStyle="1" w:styleId="1">
    <w:name w:val="无列表1"/>
    <w:next w:val="NoList"/>
    <w:uiPriority w:val="99"/>
    <w:semiHidden/>
    <w:unhideWhenUsed/>
    <w:rsid w:val="00E54724"/>
  </w:style>
  <w:style w:type="character" w:styleId="Hyperlink">
    <w:name w:val="Hyperlink"/>
    <w:rsid w:val="00E54724"/>
    <w:rPr>
      <w:u w:val="single"/>
    </w:rPr>
  </w:style>
  <w:style w:type="paragraph" w:customStyle="1" w:styleId="a">
    <w:name w:val="页眉与页脚"/>
    <w:rsid w:val="00E54724"/>
    <w:pPr>
      <w:tabs>
        <w:tab w:val="right" w:pos="9020"/>
      </w:tabs>
    </w:pPr>
    <w:rPr>
      <w:rFonts w:ascii="Helvetica" w:eastAsia="Arial Unicode MS" w:hAnsi="Arial Unicode MS" w:cs="Arial Unicode MS"/>
      <w:color w:val="000000"/>
      <w:sz w:val="24"/>
      <w:szCs w:val="24"/>
    </w:rPr>
  </w:style>
  <w:style w:type="paragraph" w:customStyle="1" w:styleId="10">
    <w:name w:val="正文1"/>
    <w:link w:val="Char"/>
    <w:rsid w:val="00E54724"/>
    <w:pPr>
      <w:spacing w:after="200" w:line="276" w:lineRule="auto"/>
    </w:pPr>
    <w:rPr>
      <w:rFonts w:ascii="Calibri" w:eastAsia="Calibri" w:hAnsi="Calibri" w:cs="Calibri"/>
      <w:color w:val="000000"/>
      <w:sz w:val="22"/>
      <w:u w:color="000000"/>
    </w:rPr>
  </w:style>
  <w:style w:type="paragraph" w:customStyle="1" w:styleId="Pa13">
    <w:name w:val="Pa13"/>
    <w:next w:val="10"/>
    <w:rsid w:val="00E54724"/>
    <w:pPr>
      <w:spacing w:line="211" w:lineRule="atLeast"/>
    </w:pPr>
    <w:rPr>
      <w:rFonts w:ascii="Arial Narrow" w:eastAsia="Arial Unicode MS" w:hAnsi="Arial Unicode MS" w:cs="Arial Unicode MS"/>
      <w:color w:val="000000"/>
      <w:sz w:val="24"/>
      <w:szCs w:val="24"/>
      <w:u w:color="000000"/>
    </w:rPr>
  </w:style>
  <w:style w:type="paragraph" w:styleId="ListParagraph">
    <w:name w:val="List Paragraph"/>
    <w:qFormat/>
    <w:rsid w:val="00E54724"/>
    <w:pPr>
      <w:spacing w:after="200" w:line="276" w:lineRule="auto"/>
      <w:ind w:left="720"/>
    </w:pPr>
    <w:rPr>
      <w:rFonts w:ascii="Calibri" w:eastAsia="Calibri" w:hAnsi="Calibri" w:cs="Calibri"/>
      <w:color w:val="000000"/>
      <w:sz w:val="22"/>
      <w:u w:color="000000"/>
    </w:rPr>
  </w:style>
  <w:style w:type="numbering" w:customStyle="1" w:styleId="List0">
    <w:name w:val="List 0"/>
    <w:basedOn w:val="11"/>
    <w:semiHidden/>
    <w:rsid w:val="00E54724"/>
  </w:style>
  <w:style w:type="numbering" w:customStyle="1" w:styleId="11">
    <w:name w:val="已导入的样式“1”"/>
    <w:rsid w:val="00E54724"/>
  </w:style>
  <w:style w:type="paragraph" w:customStyle="1" w:styleId="EndNoteBibliographyTitle">
    <w:name w:val="EndNote Bibliography Title"/>
    <w:basedOn w:val="Normal"/>
    <w:link w:val="EndNoteBibliographyTitleChar"/>
    <w:autoRedefine/>
    <w:rsid w:val="00E54724"/>
    <w:pPr>
      <w:widowControl/>
      <w:shd w:val="clear" w:color="auto" w:fill="FFFFFF"/>
      <w:tabs>
        <w:tab w:val="left" w:pos="1020"/>
      </w:tabs>
      <w:autoSpaceDE w:val="0"/>
      <w:autoSpaceDN w:val="0"/>
      <w:adjustRightInd w:val="0"/>
      <w:spacing w:line="360" w:lineRule="auto"/>
      <w:jc w:val="center"/>
    </w:pPr>
    <w:rPr>
      <w:rFonts w:ascii="Calibri" w:eastAsia="Times New Roman" w:hAnsi="Calibri" w:cs="Times New Roman"/>
      <w:noProof/>
      <w:color w:val="000000"/>
      <w:sz w:val="22"/>
      <w:szCs w:val="24"/>
      <w:u w:color="000000"/>
      <w:lang w:eastAsia="en-US"/>
    </w:rPr>
  </w:style>
  <w:style w:type="character" w:customStyle="1" w:styleId="Char">
    <w:name w:val="正文 Char"/>
    <w:link w:val="10"/>
    <w:rsid w:val="00E54724"/>
    <w:rPr>
      <w:rFonts w:ascii="Calibri" w:eastAsia="Calibri" w:hAnsi="Calibri" w:cs="Calibri"/>
      <w:color w:val="000000"/>
      <w:sz w:val="22"/>
      <w:u w:color="000000"/>
    </w:rPr>
  </w:style>
  <w:style w:type="character" w:customStyle="1" w:styleId="EndNoteBibliographyTitleChar">
    <w:name w:val="EndNote Bibliography Title Char"/>
    <w:link w:val="EndNoteBibliographyTitle"/>
    <w:rsid w:val="00E54724"/>
    <w:rPr>
      <w:rFonts w:ascii="Calibri" w:eastAsia="Times New Roman" w:hAnsi="Calibri" w:cs="Times New Roman"/>
      <w:noProof/>
      <w:color w:val="000000"/>
      <w:sz w:val="22"/>
      <w:szCs w:val="24"/>
      <w:u w:color="000000"/>
      <w:shd w:val="clear" w:color="auto" w:fill="FFFFFF"/>
      <w:lang w:eastAsia="en-US"/>
    </w:rPr>
  </w:style>
  <w:style w:type="paragraph" w:customStyle="1" w:styleId="EndNoteBibliography">
    <w:name w:val="EndNote Bibliography"/>
    <w:basedOn w:val="Normal"/>
    <w:link w:val="EndNoteBibliographyChar"/>
    <w:autoRedefine/>
    <w:rsid w:val="00E54724"/>
    <w:pPr>
      <w:widowControl/>
      <w:tabs>
        <w:tab w:val="left" w:pos="1020"/>
      </w:tabs>
      <w:autoSpaceDE w:val="0"/>
      <w:autoSpaceDN w:val="0"/>
      <w:adjustRightInd w:val="0"/>
      <w:spacing w:line="360" w:lineRule="auto"/>
    </w:pPr>
    <w:rPr>
      <w:rFonts w:ascii="Book Antiqua" w:eastAsia="Times New Roman" w:hAnsi="Book Antiqua" w:cs="Lucida Grande"/>
      <w:noProof/>
      <w:color w:val="000000"/>
      <w:sz w:val="24"/>
      <w:szCs w:val="24"/>
      <w:u w:color="000000"/>
    </w:rPr>
  </w:style>
  <w:style w:type="character" w:customStyle="1" w:styleId="EndNoteBibliographyChar">
    <w:name w:val="EndNote Bibliography Char"/>
    <w:link w:val="EndNoteBibliography"/>
    <w:rsid w:val="00E54724"/>
    <w:rPr>
      <w:rFonts w:ascii="Book Antiqua" w:eastAsia="Times New Roman" w:hAnsi="Book Antiqua" w:cs="Lucida Grande"/>
      <w:noProof/>
      <w:color w:val="000000"/>
      <w:sz w:val="24"/>
      <w:szCs w:val="24"/>
      <w:u w:color="000000"/>
    </w:rPr>
  </w:style>
  <w:style w:type="character" w:customStyle="1" w:styleId="blackclass1">
    <w:name w:val="blackclass1"/>
    <w:rsid w:val="00E54724"/>
    <w:rPr>
      <w:color w:val="000000"/>
    </w:rPr>
  </w:style>
  <w:style w:type="character" w:styleId="CommentReference">
    <w:name w:val="annotation reference"/>
    <w:uiPriority w:val="99"/>
    <w:rsid w:val="00E54724"/>
    <w:rPr>
      <w:sz w:val="16"/>
      <w:szCs w:val="16"/>
    </w:rPr>
  </w:style>
  <w:style w:type="paragraph" w:styleId="CommentText">
    <w:name w:val="annotation text"/>
    <w:basedOn w:val="Normal"/>
    <w:link w:val="CommentTextChar"/>
    <w:uiPriority w:val="99"/>
    <w:rsid w:val="00E54724"/>
    <w:pPr>
      <w:widowControl/>
      <w:shd w:val="clear" w:color="auto" w:fill="FFFFFF"/>
      <w:tabs>
        <w:tab w:val="left" w:pos="1020"/>
      </w:tabs>
      <w:autoSpaceDE w:val="0"/>
      <w:autoSpaceDN w:val="0"/>
      <w:adjustRightInd w:val="0"/>
      <w:spacing w:line="360" w:lineRule="auto"/>
    </w:pPr>
    <w:rPr>
      <w:rFonts w:ascii="Times New Roman" w:eastAsia="Times New Roman" w:hAnsi="Times New Roman" w:cs="Times New Roman"/>
      <w:sz w:val="20"/>
      <w:szCs w:val="20"/>
      <w:lang w:val="x-none" w:eastAsia="en-US"/>
    </w:rPr>
  </w:style>
  <w:style w:type="character" w:customStyle="1" w:styleId="CommentTextChar">
    <w:name w:val="Comment Text Char"/>
    <w:basedOn w:val="DefaultParagraphFont"/>
    <w:link w:val="CommentText"/>
    <w:uiPriority w:val="99"/>
    <w:rsid w:val="00E54724"/>
    <w:rPr>
      <w:rFonts w:ascii="Times New Roman" w:eastAsia="Times New Roman" w:hAnsi="Times New Roman" w:cs="Times New Roman"/>
      <w:sz w:val="20"/>
      <w:szCs w:val="20"/>
      <w:shd w:val="clear" w:color="auto" w:fill="FFFFFF"/>
      <w:lang w:val="x-none" w:eastAsia="en-US"/>
    </w:rPr>
  </w:style>
  <w:style w:type="paragraph" w:styleId="CommentSubject">
    <w:name w:val="annotation subject"/>
    <w:basedOn w:val="CommentText"/>
    <w:next w:val="CommentText"/>
    <w:link w:val="CommentSubjectChar"/>
    <w:rsid w:val="00E54724"/>
    <w:rPr>
      <w:b/>
      <w:bCs/>
    </w:rPr>
  </w:style>
  <w:style w:type="character" w:customStyle="1" w:styleId="CommentSubjectChar">
    <w:name w:val="Comment Subject Char"/>
    <w:basedOn w:val="CommentTextChar"/>
    <w:link w:val="CommentSubject"/>
    <w:rsid w:val="00E54724"/>
    <w:rPr>
      <w:rFonts w:ascii="Times New Roman" w:eastAsia="Times New Roman" w:hAnsi="Times New Roman" w:cs="Times New Roman"/>
      <w:b/>
      <w:bCs/>
      <w:sz w:val="20"/>
      <w:szCs w:val="20"/>
      <w:shd w:val="clear" w:color="auto" w:fill="FFFFFF"/>
      <w:lang w:val="x-none" w:eastAsia="en-US"/>
    </w:rPr>
  </w:style>
  <w:style w:type="paragraph" w:styleId="BalloonText">
    <w:name w:val="Balloon Text"/>
    <w:basedOn w:val="Normal"/>
    <w:link w:val="BalloonTextChar"/>
    <w:rsid w:val="00E54724"/>
    <w:pPr>
      <w:widowControl/>
      <w:shd w:val="clear" w:color="auto" w:fill="FFFFFF"/>
      <w:tabs>
        <w:tab w:val="left" w:pos="1020"/>
      </w:tabs>
      <w:autoSpaceDE w:val="0"/>
      <w:autoSpaceDN w:val="0"/>
      <w:adjustRightInd w:val="0"/>
      <w:spacing w:line="360" w:lineRule="auto"/>
    </w:pPr>
    <w:rPr>
      <w:rFonts w:ascii="Tahoma" w:eastAsia="Times New Roman" w:hAnsi="Tahoma" w:cs="Times New Roman"/>
      <w:sz w:val="16"/>
      <w:szCs w:val="16"/>
      <w:lang w:val="x-none" w:eastAsia="en-US"/>
    </w:rPr>
  </w:style>
  <w:style w:type="character" w:customStyle="1" w:styleId="BalloonTextChar">
    <w:name w:val="Balloon Text Char"/>
    <w:basedOn w:val="DefaultParagraphFont"/>
    <w:link w:val="BalloonText"/>
    <w:rsid w:val="00E54724"/>
    <w:rPr>
      <w:rFonts w:ascii="Tahoma" w:eastAsia="Times New Roman" w:hAnsi="Tahoma" w:cs="Times New Roman"/>
      <w:sz w:val="16"/>
      <w:szCs w:val="16"/>
      <w:shd w:val="clear" w:color="auto" w:fill="FFFFFF"/>
      <w:lang w:val="x-none" w:eastAsia="en-US"/>
    </w:rPr>
  </w:style>
  <w:style w:type="character" w:customStyle="1" w:styleId="redclass1">
    <w:name w:val="redclass1"/>
    <w:rsid w:val="00E54724"/>
    <w:rPr>
      <w:color w:val="000000"/>
    </w:rPr>
  </w:style>
  <w:style w:type="character" w:customStyle="1" w:styleId="phraseanchor">
    <w:name w:val="phrase_anchor"/>
    <w:basedOn w:val="DefaultParagraphFont"/>
    <w:rsid w:val="00E54724"/>
  </w:style>
  <w:style w:type="character" w:customStyle="1" w:styleId="apple-converted-space">
    <w:name w:val="apple-converted-space"/>
    <w:basedOn w:val="DefaultParagraphFont"/>
    <w:rsid w:val="00E54724"/>
  </w:style>
  <w:style w:type="character" w:customStyle="1" w:styleId="highlight">
    <w:name w:val="highlight"/>
    <w:basedOn w:val="DefaultParagraphFont"/>
    <w:rsid w:val="00E54724"/>
  </w:style>
  <w:style w:type="paragraph" w:styleId="NormalWeb">
    <w:name w:val="Normal (Web)"/>
    <w:basedOn w:val="Normal"/>
    <w:uiPriority w:val="99"/>
    <w:unhideWhenUsed/>
    <w:rsid w:val="00E54724"/>
    <w:pPr>
      <w:widowControl/>
      <w:spacing w:before="100" w:beforeAutospacing="1" w:after="100" w:afterAutospacing="1"/>
      <w:jc w:val="left"/>
    </w:pPr>
    <w:rPr>
      <w:rFonts w:ascii="Times" w:eastAsia="SimSun" w:hAnsi="Times" w:cs="Times New Roman"/>
      <w:kern w:val="0"/>
      <w:sz w:val="20"/>
      <w:szCs w:val="20"/>
    </w:rPr>
  </w:style>
  <w:style w:type="paragraph" w:styleId="Revision">
    <w:name w:val="Revision"/>
    <w:hidden/>
    <w:uiPriority w:val="71"/>
    <w:rsid w:val="00E54724"/>
    <w:rPr>
      <w:rFonts w:ascii="Book Antiqua" w:eastAsia="SimSun" w:hAnsi="Book Antiqua" w:cs="Times New Roman"/>
      <w:b/>
      <w:sz w:val="24"/>
      <w:szCs w:val="24"/>
    </w:rPr>
  </w:style>
  <w:style w:type="character" w:customStyle="1" w:styleId="12">
    <w:name w:val="访问过的超链接1"/>
    <w:basedOn w:val="DefaultParagraphFont"/>
    <w:uiPriority w:val="99"/>
    <w:semiHidden/>
    <w:unhideWhenUsed/>
    <w:rsid w:val="00E54724"/>
    <w:rPr>
      <w:color w:val="800080"/>
      <w:u w:val="single"/>
    </w:rPr>
  </w:style>
  <w:style w:type="table" w:styleId="TableGrid">
    <w:name w:val="Table Grid"/>
    <w:basedOn w:val="TableNormal"/>
    <w:uiPriority w:val="59"/>
    <w:rsid w:val="00E54724"/>
    <w:rPr>
      <w:rFonts w:ascii="Calibri" w:eastAsia="SimSu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4724"/>
    <w:rPr>
      <w:color w:val="808080"/>
    </w:rPr>
  </w:style>
  <w:style w:type="character" w:styleId="FollowedHyperlink">
    <w:name w:val="FollowedHyperlink"/>
    <w:basedOn w:val="DefaultParagraphFont"/>
    <w:uiPriority w:val="99"/>
    <w:semiHidden/>
    <w:unhideWhenUsed/>
    <w:rsid w:val="00E547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EBE29-2CE3-42EB-87B1-BF339FD7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4987</Words>
  <Characters>28432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LS Ma</cp:lastModifiedBy>
  <cp:revision>2</cp:revision>
  <dcterms:created xsi:type="dcterms:W3CDTF">2015-04-28T05:28:00Z</dcterms:created>
  <dcterms:modified xsi:type="dcterms:W3CDTF">2015-04-28T05:28:00Z</dcterms:modified>
</cp:coreProperties>
</file>