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 xml:space="preserve">Name of journal: </w:t>
      </w:r>
      <w:r w:rsidRPr="00EB00D9">
        <w:rPr>
          <w:rFonts w:ascii="Book Antiqua" w:hAnsi="Book Antiqua"/>
          <w:i/>
          <w:sz w:val="24"/>
          <w:szCs w:val="24"/>
        </w:rPr>
        <w:t>World Journal of Neurology</w:t>
      </w:r>
    </w:p>
    <w:p w:rsidR="00120E34" w:rsidRPr="00EB00D9" w:rsidRDefault="00120E34" w:rsidP="000F62D6">
      <w:pPr>
        <w:spacing w:after="0" w:line="360" w:lineRule="auto"/>
        <w:jc w:val="both"/>
        <w:rPr>
          <w:rFonts w:ascii="Book Antiqua" w:hAnsi="Book Antiqua"/>
          <w:sz w:val="24"/>
          <w:szCs w:val="24"/>
          <w:lang w:eastAsia="zh-CN"/>
        </w:rPr>
      </w:pPr>
      <w:r w:rsidRPr="00EB00D9">
        <w:rPr>
          <w:rFonts w:ascii="Book Antiqua" w:hAnsi="Book Antiqua"/>
          <w:sz w:val="24"/>
          <w:szCs w:val="24"/>
        </w:rPr>
        <w:t xml:space="preserve">ESPS Manuscript NO: </w:t>
      </w:r>
      <w:r w:rsidRPr="00EB00D9">
        <w:rPr>
          <w:rFonts w:ascii="Book Antiqua" w:hAnsi="Book Antiqua"/>
          <w:sz w:val="24"/>
          <w:szCs w:val="24"/>
          <w:lang w:eastAsia="zh-CN"/>
        </w:rPr>
        <w:t>15133</w:t>
      </w:r>
    </w:p>
    <w:p w:rsidR="00120E34" w:rsidRPr="00EB00D9" w:rsidRDefault="00120E34" w:rsidP="000F62D6">
      <w:pPr>
        <w:spacing w:after="0" w:line="360" w:lineRule="auto"/>
        <w:jc w:val="both"/>
        <w:rPr>
          <w:rFonts w:ascii="Book Antiqua" w:hAnsi="Book Antiqua"/>
          <w:sz w:val="24"/>
          <w:szCs w:val="24"/>
          <w:lang w:eastAsia="zh-CN"/>
        </w:rPr>
      </w:pPr>
      <w:r w:rsidRPr="00EB00D9">
        <w:rPr>
          <w:rFonts w:ascii="Book Antiqua" w:hAnsi="Book Antiqua"/>
          <w:sz w:val="24"/>
          <w:szCs w:val="24"/>
        </w:rPr>
        <w:t>Columns:</w:t>
      </w:r>
      <w:r w:rsidRPr="00EB00D9">
        <w:rPr>
          <w:rFonts w:ascii="Book Antiqua" w:hAnsi="Book Antiqua"/>
          <w:sz w:val="24"/>
          <w:szCs w:val="24"/>
          <w:lang w:eastAsia="zh-CN"/>
        </w:rPr>
        <w:t xml:space="preserve"> MINIREVIEW</w:t>
      </w:r>
    </w:p>
    <w:p w:rsidR="00120E34" w:rsidRPr="00EB00D9" w:rsidRDefault="00120E34" w:rsidP="000F62D6">
      <w:pPr>
        <w:spacing w:after="0" w:line="360" w:lineRule="auto"/>
        <w:jc w:val="both"/>
        <w:rPr>
          <w:rFonts w:ascii="Book Antiqua" w:hAnsi="Book Antiqua" w:cs="Arial"/>
          <w:b/>
          <w:sz w:val="24"/>
          <w:szCs w:val="24"/>
          <w:lang w:eastAsia="zh-CN"/>
        </w:rPr>
      </w:pPr>
    </w:p>
    <w:p w:rsidR="00120E34" w:rsidRPr="00EB00D9" w:rsidRDefault="00120E34" w:rsidP="000F62D6">
      <w:pPr>
        <w:spacing w:after="0" w:line="360" w:lineRule="auto"/>
        <w:jc w:val="both"/>
        <w:rPr>
          <w:rFonts w:ascii="Book Antiqua" w:hAnsi="Book Antiqua" w:cs="Arial"/>
          <w:b/>
          <w:sz w:val="24"/>
          <w:szCs w:val="24"/>
          <w:lang w:eastAsia="zh-CN"/>
        </w:rPr>
      </w:pPr>
      <w:r w:rsidRPr="00EB00D9">
        <w:rPr>
          <w:rFonts w:ascii="Book Antiqua" w:hAnsi="Book Antiqua" w:cs="Arial"/>
          <w:b/>
          <w:sz w:val="24"/>
          <w:szCs w:val="24"/>
        </w:rPr>
        <w:t xml:space="preserve">Rituximab in </w:t>
      </w:r>
      <w:r w:rsidR="001B7541" w:rsidRPr="00EB00D9">
        <w:rPr>
          <w:rFonts w:ascii="Book Antiqua" w:hAnsi="Book Antiqua" w:cs="Arial"/>
          <w:b/>
          <w:sz w:val="24"/>
          <w:szCs w:val="24"/>
        </w:rPr>
        <w:t>neuromyelitis op</w:t>
      </w:r>
      <w:r w:rsidRPr="00EB00D9">
        <w:rPr>
          <w:rFonts w:ascii="Book Antiqua" w:hAnsi="Book Antiqua" w:cs="Arial"/>
          <w:b/>
          <w:sz w:val="24"/>
          <w:szCs w:val="24"/>
        </w:rPr>
        <w:t>tica:</w:t>
      </w:r>
      <w:r w:rsidR="001B7541" w:rsidRPr="00EB00D9">
        <w:rPr>
          <w:rFonts w:ascii="Book Antiqua" w:hAnsi="Book Antiqua" w:cs="Arial"/>
          <w:b/>
          <w:sz w:val="24"/>
          <w:szCs w:val="24"/>
        </w:rPr>
        <w:t xml:space="preserve"> A</w:t>
      </w:r>
      <w:r w:rsidRPr="00EB00D9">
        <w:rPr>
          <w:rFonts w:ascii="Book Antiqua" w:hAnsi="Book Antiqua" w:cs="Arial"/>
          <w:b/>
          <w:sz w:val="24"/>
          <w:szCs w:val="24"/>
        </w:rPr>
        <w:t xml:space="preserve"> review of literature</w:t>
      </w:r>
    </w:p>
    <w:p w:rsidR="00120E34" w:rsidRPr="00EB00D9" w:rsidRDefault="00120E34" w:rsidP="000F62D6">
      <w:pPr>
        <w:spacing w:after="0" w:line="360" w:lineRule="auto"/>
        <w:jc w:val="both"/>
        <w:rPr>
          <w:rFonts w:ascii="Book Antiqua" w:hAnsi="Book Antiqua" w:cs="Arial"/>
          <w:b/>
          <w:sz w:val="24"/>
          <w:szCs w:val="24"/>
          <w:lang w:eastAsia="zh-CN"/>
        </w:rPr>
      </w:pPr>
    </w:p>
    <w:p w:rsidR="00120E34" w:rsidRPr="00EB00D9" w:rsidRDefault="00CD483A" w:rsidP="000F62D6">
      <w:pPr>
        <w:spacing w:after="0" w:line="360" w:lineRule="auto"/>
        <w:jc w:val="both"/>
        <w:rPr>
          <w:rFonts w:ascii="Book Antiqua" w:hAnsi="Book Antiqua" w:cs="Arial"/>
          <w:sz w:val="24"/>
          <w:szCs w:val="24"/>
        </w:rPr>
      </w:pPr>
      <w:r w:rsidRPr="00EB00D9">
        <w:rPr>
          <w:rFonts w:ascii="Book Antiqua" w:hAnsi="Book Antiqua" w:cs="Arial"/>
          <w:sz w:val="24"/>
          <w:szCs w:val="24"/>
        </w:rPr>
        <w:t xml:space="preserve">Wong </w:t>
      </w:r>
      <w:r w:rsidRPr="00EB00D9">
        <w:rPr>
          <w:rFonts w:ascii="Book Antiqua" w:hAnsi="Book Antiqua" w:cs="Arial"/>
          <w:sz w:val="24"/>
          <w:szCs w:val="24"/>
          <w:lang w:eastAsia="zh-CN"/>
        </w:rPr>
        <w:t xml:space="preserve">E </w:t>
      </w:r>
      <w:r w:rsidRPr="00EB00D9">
        <w:rPr>
          <w:rFonts w:ascii="Book Antiqua" w:hAnsi="Book Antiqua" w:cs="Arial"/>
          <w:i/>
          <w:sz w:val="24"/>
          <w:szCs w:val="24"/>
          <w:lang w:eastAsia="zh-CN"/>
        </w:rPr>
        <w:t xml:space="preserve">et al. </w:t>
      </w:r>
      <w:r w:rsidR="00120E34" w:rsidRPr="00EB00D9">
        <w:rPr>
          <w:rFonts w:ascii="Book Antiqua" w:hAnsi="Book Antiqua" w:cs="Arial"/>
          <w:sz w:val="24"/>
          <w:szCs w:val="24"/>
        </w:rPr>
        <w:t xml:space="preserve">Rituximab in </w:t>
      </w:r>
      <w:r w:rsidRPr="00EB00D9">
        <w:rPr>
          <w:rFonts w:ascii="Book Antiqua" w:hAnsi="Book Antiqua" w:cs="Arial"/>
          <w:sz w:val="24"/>
          <w:szCs w:val="24"/>
        </w:rPr>
        <w:t>neuromyelitis optic</w:t>
      </w:r>
      <w:r w:rsidR="00120E34" w:rsidRPr="00EB00D9">
        <w:rPr>
          <w:rFonts w:ascii="Book Antiqua" w:hAnsi="Book Antiqua" w:cs="Arial"/>
          <w:sz w:val="24"/>
          <w:szCs w:val="24"/>
        </w:rPr>
        <w:t>a</w:t>
      </w:r>
    </w:p>
    <w:p w:rsidR="00120E34" w:rsidRPr="00EB00D9" w:rsidRDefault="00120E34" w:rsidP="000F62D6">
      <w:pPr>
        <w:spacing w:after="0" w:line="360" w:lineRule="auto"/>
        <w:jc w:val="both"/>
        <w:rPr>
          <w:rFonts w:ascii="Book Antiqua" w:hAnsi="Book Antiqua" w:cs="Arial"/>
          <w:sz w:val="24"/>
          <w:szCs w:val="24"/>
          <w:lang w:eastAsia="zh-CN"/>
        </w:rPr>
      </w:pPr>
    </w:p>
    <w:p w:rsidR="001B7541" w:rsidRPr="00EB00D9" w:rsidRDefault="001B7541" w:rsidP="000F62D6">
      <w:pPr>
        <w:spacing w:after="0" w:line="360" w:lineRule="auto"/>
        <w:jc w:val="both"/>
        <w:rPr>
          <w:rFonts w:ascii="Book Antiqua" w:hAnsi="Book Antiqua" w:cs="Arial"/>
          <w:sz w:val="24"/>
          <w:szCs w:val="24"/>
        </w:rPr>
      </w:pPr>
      <w:r w:rsidRPr="00EB00D9">
        <w:rPr>
          <w:rFonts w:ascii="Book Antiqua" w:hAnsi="Book Antiqua" w:cs="Arial"/>
          <w:sz w:val="24"/>
          <w:szCs w:val="24"/>
        </w:rPr>
        <w:t xml:space="preserve">Ericka Wong, Vijay </w:t>
      </w:r>
      <w:r w:rsidRPr="00EB00D9">
        <w:rPr>
          <w:rFonts w:ascii="Book Antiqua" w:hAnsi="Book Antiqua" w:cs="Arial"/>
          <w:sz w:val="24"/>
          <w:szCs w:val="24"/>
          <w:lang w:eastAsia="zh-CN"/>
        </w:rPr>
        <w:t xml:space="preserve">A </w:t>
      </w:r>
      <w:r w:rsidRPr="00EB00D9">
        <w:rPr>
          <w:rFonts w:ascii="Book Antiqua" w:hAnsi="Book Antiqua" w:cs="Arial"/>
          <w:sz w:val="24"/>
          <w:szCs w:val="24"/>
        </w:rPr>
        <w:t xml:space="preserve">Vishwanath, Ilya Kister </w:t>
      </w:r>
    </w:p>
    <w:p w:rsidR="00CD483A" w:rsidRPr="00EB00D9" w:rsidRDefault="00CD483A" w:rsidP="000F62D6">
      <w:pPr>
        <w:spacing w:after="0" w:line="360" w:lineRule="auto"/>
        <w:jc w:val="both"/>
        <w:rPr>
          <w:rFonts w:ascii="Book Antiqua" w:hAnsi="Book Antiqua" w:cs="Arial"/>
          <w:sz w:val="24"/>
          <w:szCs w:val="24"/>
          <w:lang w:eastAsia="zh-CN"/>
        </w:rPr>
      </w:pPr>
    </w:p>
    <w:p w:rsidR="00CD483A" w:rsidRPr="00EB00D9" w:rsidRDefault="00CD483A" w:rsidP="000F62D6">
      <w:pPr>
        <w:spacing w:after="0" w:line="360" w:lineRule="auto"/>
        <w:jc w:val="both"/>
        <w:rPr>
          <w:rFonts w:ascii="Book Antiqua" w:hAnsi="Book Antiqua" w:cs="Arial"/>
          <w:sz w:val="24"/>
          <w:szCs w:val="24"/>
          <w:lang w:eastAsia="zh-CN"/>
        </w:rPr>
      </w:pPr>
      <w:r w:rsidRPr="00EB00D9">
        <w:rPr>
          <w:rFonts w:ascii="Book Antiqua" w:hAnsi="Book Antiqua" w:cs="Arial"/>
          <w:b/>
          <w:sz w:val="24"/>
          <w:szCs w:val="24"/>
        </w:rPr>
        <w:t xml:space="preserve">Ericka Wong, Vijay </w:t>
      </w:r>
      <w:r w:rsidRPr="00EB00D9">
        <w:rPr>
          <w:rFonts w:ascii="Book Antiqua" w:hAnsi="Book Antiqua" w:cs="Arial"/>
          <w:b/>
          <w:sz w:val="24"/>
          <w:szCs w:val="24"/>
          <w:lang w:eastAsia="zh-CN"/>
        </w:rPr>
        <w:t xml:space="preserve">A </w:t>
      </w:r>
      <w:r w:rsidRPr="00EB00D9">
        <w:rPr>
          <w:rFonts w:ascii="Book Antiqua" w:hAnsi="Book Antiqua" w:cs="Arial"/>
          <w:b/>
          <w:sz w:val="24"/>
          <w:szCs w:val="24"/>
        </w:rPr>
        <w:t>Vishwanath, Ilya Kister</w:t>
      </w:r>
      <w:r w:rsidRPr="00EB00D9">
        <w:rPr>
          <w:rFonts w:ascii="Book Antiqua" w:hAnsi="Book Antiqua" w:cs="Arial"/>
          <w:b/>
          <w:sz w:val="24"/>
          <w:szCs w:val="24"/>
          <w:lang w:eastAsia="zh-CN"/>
        </w:rPr>
        <w:t>,</w:t>
      </w:r>
      <w:r w:rsidRPr="00EB00D9">
        <w:rPr>
          <w:rFonts w:ascii="Book Antiqua" w:hAnsi="Book Antiqua" w:cs="Arial"/>
          <w:sz w:val="24"/>
          <w:szCs w:val="24"/>
          <w:lang w:eastAsia="zh-CN"/>
        </w:rPr>
        <w:t xml:space="preserve"> </w:t>
      </w:r>
      <w:r w:rsidR="00120E34" w:rsidRPr="00EB00D9">
        <w:rPr>
          <w:rFonts w:ascii="Book Antiqua" w:hAnsi="Book Antiqua" w:cs="Arial"/>
          <w:sz w:val="24"/>
          <w:szCs w:val="24"/>
        </w:rPr>
        <w:t xml:space="preserve">Department of Neurology, NYU School of Medicine, </w:t>
      </w:r>
      <w:r w:rsidRPr="00EB00D9">
        <w:rPr>
          <w:rFonts w:ascii="Book Antiqua" w:hAnsi="Book Antiqua" w:cs="Arial"/>
          <w:sz w:val="24"/>
          <w:szCs w:val="24"/>
        </w:rPr>
        <w:t>New York, NY 10026</w:t>
      </w:r>
      <w:r w:rsidRPr="00EB00D9">
        <w:rPr>
          <w:rFonts w:ascii="Book Antiqua" w:hAnsi="Book Antiqua" w:cs="Arial"/>
          <w:sz w:val="24"/>
          <w:szCs w:val="24"/>
          <w:lang w:eastAsia="zh-CN"/>
        </w:rPr>
        <w:t>, United States</w:t>
      </w:r>
    </w:p>
    <w:p w:rsidR="00120E34" w:rsidRPr="00EB00D9" w:rsidRDefault="00120E34" w:rsidP="000F62D6">
      <w:pPr>
        <w:spacing w:after="0" w:line="360" w:lineRule="auto"/>
        <w:jc w:val="both"/>
        <w:rPr>
          <w:rFonts w:ascii="Book Antiqua" w:hAnsi="Book Antiqua" w:cs="Arial"/>
          <w:sz w:val="24"/>
          <w:szCs w:val="24"/>
        </w:rPr>
      </w:pPr>
    </w:p>
    <w:p w:rsidR="00120E34" w:rsidRPr="00EB00D9" w:rsidRDefault="00FE7F1C" w:rsidP="000F62D6">
      <w:pPr>
        <w:spacing w:after="0" w:line="360" w:lineRule="auto"/>
        <w:jc w:val="both"/>
        <w:rPr>
          <w:rFonts w:ascii="Book Antiqua" w:hAnsi="Book Antiqua"/>
          <w:sz w:val="24"/>
          <w:szCs w:val="24"/>
          <w:lang w:eastAsia="zh-CN"/>
        </w:rPr>
      </w:pPr>
      <w:r w:rsidRPr="00EB00D9">
        <w:rPr>
          <w:rFonts w:ascii="Book Antiqua" w:hAnsi="Book Antiqua"/>
          <w:b/>
          <w:sz w:val="24"/>
          <w:szCs w:val="24"/>
        </w:rPr>
        <w:t>Author contributions:</w:t>
      </w:r>
      <w:r w:rsidRPr="00EB00D9">
        <w:rPr>
          <w:rFonts w:ascii="Book Antiqua" w:hAnsi="Book Antiqua"/>
          <w:sz w:val="24"/>
          <w:szCs w:val="24"/>
        </w:rPr>
        <w:t xml:space="preserve"> All</w:t>
      </w:r>
      <w:r w:rsidRPr="00EB00D9">
        <w:rPr>
          <w:rFonts w:ascii="Book Antiqua" w:hAnsi="Book Antiqua"/>
          <w:sz w:val="24"/>
          <w:szCs w:val="24"/>
          <w:lang w:eastAsia="zh-CN"/>
        </w:rPr>
        <w:t xml:space="preserve"> authors contributed to this manuscript; </w:t>
      </w:r>
      <w:r w:rsidRPr="00EB00D9">
        <w:rPr>
          <w:rFonts w:ascii="Book Antiqua" w:hAnsi="Book Antiqua" w:cs="Arial"/>
          <w:sz w:val="24"/>
          <w:szCs w:val="24"/>
        </w:rPr>
        <w:t>Wong</w:t>
      </w:r>
      <w:r w:rsidRPr="00EB00D9">
        <w:rPr>
          <w:rFonts w:ascii="Book Antiqua" w:hAnsi="Book Antiqua" w:cs="Arial"/>
          <w:sz w:val="24"/>
          <w:szCs w:val="24"/>
          <w:lang w:eastAsia="zh-CN"/>
        </w:rPr>
        <w:t xml:space="preserve"> E </w:t>
      </w:r>
      <w:r w:rsidRPr="00EB00D9">
        <w:rPr>
          <w:rFonts w:ascii="Book Antiqua" w:hAnsi="Book Antiqua" w:cs="Arial"/>
          <w:sz w:val="24"/>
          <w:szCs w:val="24"/>
        </w:rPr>
        <w:t>and Vishwanath</w:t>
      </w:r>
      <w:r w:rsidRPr="00EB00D9">
        <w:rPr>
          <w:rFonts w:ascii="Book Antiqua" w:hAnsi="Book Antiqua" w:cs="Arial"/>
          <w:sz w:val="24"/>
          <w:szCs w:val="24"/>
          <w:lang w:eastAsia="zh-CN"/>
        </w:rPr>
        <w:t xml:space="preserve"> VA</w:t>
      </w:r>
      <w:r w:rsidRPr="00EB00D9">
        <w:rPr>
          <w:rFonts w:ascii="Book Antiqua" w:hAnsi="Book Antiqua" w:cs="Arial"/>
          <w:sz w:val="24"/>
          <w:szCs w:val="24"/>
        </w:rPr>
        <w:t xml:space="preserve"> contributed equally to this work.</w:t>
      </w:r>
    </w:p>
    <w:p w:rsidR="00FE7F1C" w:rsidRPr="00EB00D9" w:rsidRDefault="00FE7F1C" w:rsidP="000F62D6">
      <w:pPr>
        <w:spacing w:after="0" w:line="360" w:lineRule="auto"/>
        <w:jc w:val="both"/>
        <w:rPr>
          <w:rFonts w:ascii="Book Antiqua" w:hAnsi="Book Antiqua" w:cs="Arial"/>
          <w:sz w:val="24"/>
          <w:szCs w:val="24"/>
          <w:lang w:eastAsia="zh-CN"/>
        </w:rPr>
      </w:pPr>
    </w:p>
    <w:p w:rsidR="00FE7F1C" w:rsidRPr="00EB00D9" w:rsidRDefault="00FE7F1C" w:rsidP="000F62D6">
      <w:pPr>
        <w:pStyle w:val="CommentText"/>
        <w:spacing w:after="0" w:line="360" w:lineRule="auto"/>
        <w:jc w:val="both"/>
        <w:rPr>
          <w:rFonts w:ascii="Book Antiqua" w:hAnsi="Book Antiqua" w:cs="Arial"/>
          <w:sz w:val="24"/>
          <w:szCs w:val="24"/>
        </w:rPr>
      </w:pPr>
      <w:r w:rsidRPr="00EB00D9">
        <w:rPr>
          <w:rFonts w:ascii="Book Antiqua" w:hAnsi="Book Antiqua" w:cs="TimesNewRomanPS-BoldItalicMT"/>
          <w:b/>
          <w:bCs/>
          <w:iCs/>
          <w:sz w:val="24"/>
          <w:szCs w:val="24"/>
        </w:rPr>
        <w:t xml:space="preserve">Conflict-of-interest: </w:t>
      </w:r>
      <w:r w:rsidRPr="00EB00D9">
        <w:rPr>
          <w:rFonts w:ascii="Book Antiqua" w:hAnsi="Book Antiqua" w:cs="Arial"/>
          <w:sz w:val="24"/>
          <w:szCs w:val="24"/>
        </w:rPr>
        <w:t>Dr. Kister received research support from the National Multiple Sclerosis Society (NMSS), Guthy-Jackson Charitable Foundation, EMD-Serono/Pfizer, Biogen Idec, Serono and Novartis, and served on advisory board for Biogen Idec. Dr. Wong and Dr. Vishwanath have nothing to disclose.</w:t>
      </w:r>
      <w:r w:rsidR="003066E2" w:rsidRPr="00EB00D9">
        <w:rPr>
          <w:rFonts w:ascii="Book Antiqua" w:hAnsi="Book Antiqua" w:cs="Arial"/>
          <w:sz w:val="24"/>
          <w:szCs w:val="24"/>
        </w:rPr>
        <w:t xml:space="preserve"> </w:t>
      </w:r>
    </w:p>
    <w:p w:rsidR="00FE7F1C" w:rsidRPr="00EB00D9" w:rsidRDefault="00FE7F1C" w:rsidP="000F62D6">
      <w:pPr>
        <w:spacing w:after="0" w:line="360" w:lineRule="auto"/>
        <w:jc w:val="both"/>
        <w:rPr>
          <w:rFonts w:ascii="Book Antiqua" w:hAnsi="Book Antiqua" w:cs="Garamond"/>
          <w:sz w:val="24"/>
          <w:szCs w:val="24"/>
          <w:lang w:eastAsia="zh-CN"/>
        </w:rPr>
      </w:pPr>
    </w:p>
    <w:p w:rsidR="00FE7F1C" w:rsidRPr="00EB00D9" w:rsidRDefault="00FE7F1C" w:rsidP="000F62D6">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EB00D9">
        <w:rPr>
          <w:rFonts w:ascii="Book Antiqua" w:hAnsi="Book Antiqua"/>
          <w:b/>
          <w:sz w:val="24"/>
          <w:szCs w:val="24"/>
        </w:rPr>
        <w:t xml:space="preserve">Open-Access: </w:t>
      </w:r>
      <w:r w:rsidRPr="00EB00D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B00D9">
          <w:rPr>
            <w:rStyle w:val="Hyperlink"/>
            <w:rFonts w:ascii="Book Antiqua" w:hAnsi="Book Antiqua"/>
            <w:color w:val="auto"/>
            <w:sz w:val="24"/>
            <w:szCs w:val="24"/>
          </w:rPr>
          <w:t>http://creativecommons.org/licenses/by-nc/4.0/</w:t>
        </w:r>
      </w:hyperlink>
      <w:bookmarkEnd w:id="0"/>
      <w:bookmarkEnd w:id="1"/>
      <w:bookmarkEnd w:id="2"/>
      <w:bookmarkEnd w:id="3"/>
    </w:p>
    <w:p w:rsidR="00FE7F1C" w:rsidRPr="00EB00D9" w:rsidRDefault="00FE7F1C" w:rsidP="000F62D6">
      <w:pPr>
        <w:spacing w:after="0" w:line="360" w:lineRule="auto"/>
        <w:jc w:val="both"/>
        <w:rPr>
          <w:rFonts w:ascii="Book Antiqua" w:hAnsi="Book Antiqua" w:cs="Arial"/>
          <w:sz w:val="24"/>
          <w:szCs w:val="24"/>
          <w:lang w:eastAsia="zh-CN"/>
        </w:rPr>
      </w:pPr>
    </w:p>
    <w:p w:rsidR="00120E34" w:rsidRPr="00EB00D9" w:rsidRDefault="00FE7F1C" w:rsidP="000F62D6">
      <w:pPr>
        <w:spacing w:after="0" w:line="360" w:lineRule="auto"/>
        <w:jc w:val="both"/>
        <w:rPr>
          <w:rFonts w:ascii="Book Antiqua" w:hAnsi="Book Antiqua" w:cs="Arial"/>
          <w:sz w:val="24"/>
          <w:szCs w:val="24"/>
          <w:lang w:eastAsia="zh-CN"/>
        </w:rPr>
      </w:pPr>
      <w:r w:rsidRPr="00EB00D9">
        <w:rPr>
          <w:rFonts w:ascii="Book Antiqua" w:hAnsi="Book Antiqua"/>
          <w:b/>
          <w:sz w:val="24"/>
          <w:szCs w:val="24"/>
        </w:rPr>
        <w:lastRenderedPageBreak/>
        <w:t>Correspondence to:</w:t>
      </w:r>
      <w:r w:rsidR="00120E34" w:rsidRPr="00E943A7">
        <w:rPr>
          <w:rFonts w:ascii="Book Antiqua" w:hAnsi="Book Antiqua" w:cs="Arial"/>
          <w:b/>
          <w:sz w:val="24"/>
          <w:szCs w:val="24"/>
        </w:rPr>
        <w:t xml:space="preserve"> Dr. Ilya Kister</w:t>
      </w:r>
      <w:r w:rsidRPr="00E943A7">
        <w:rPr>
          <w:rFonts w:ascii="Book Antiqua" w:hAnsi="Book Antiqua" w:cs="Arial"/>
          <w:b/>
          <w:sz w:val="24"/>
          <w:szCs w:val="24"/>
          <w:lang w:eastAsia="zh-CN"/>
        </w:rPr>
        <w:t>,</w:t>
      </w:r>
      <w:r w:rsidRPr="00E943A7">
        <w:rPr>
          <w:rFonts w:ascii="Book Antiqua" w:hAnsi="Book Antiqua" w:cs="Arial"/>
          <w:b/>
          <w:sz w:val="24"/>
          <w:szCs w:val="24"/>
        </w:rPr>
        <w:t xml:space="preserve"> MD</w:t>
      </w:r>
      <w:r w:rsidRPr="00E943A7">
        <w:rPr>
          <w:rFonts w:ascii="Book Antiqua" w:hAnsi="Book Antiqua" w:cs="Arial"/>
          <w:b/>
          <w:sz w:val="24"/>
          <w:szCs w:val="24"/>
          <w:lang w:eastAsia="zh-CN"/>
        </w:rPr>
        <w:t>,</w:t>
      </w:r>
      <w:r w:rsidRPr="00EB00D9">
        <w:rPr>
          <w:rFonts w:ascii="Book Antiqua" w:hAnsi="Book Antiqua" w:cs="Arial"/>
          <w:sz w:val="24"/>
          <w:szCs w:val="24"/>
          <w:lang w:eastAsia="zh-CN"/>
        </w:rPr>
        <w:t xml:space="preserve"> </w:t>
      </w:r>
      <w:r w:rsidRPr="00EB00D9">
        <w:rPr>
          <w:rFonts w:ascii="Book Antiqua" w:hAnsi="Book Antiqua" w:cs="Arial"/>
          <w:sz w:val="24"/>
          <w:szCs w:val="24"/>
        </w:rPr>
        <w:t>Department of Neurology,</w:t>
      </w:r>
      <w:r w:rsidRPr="00EB00D9">
        <w:rPr>
          <w:rFonts w:ascii="Book Antiqua" w:hAnsi="Book Antiqua" w:cs="Arial"/>
          <w:sz w:val="24"/>
          <w:szCs w:val="24"/>
          <w:lang w:eastAsia="zh-CN"/>
        </w:rPr>
        <w:t xml:space="preserve"> </w:t>
      </w:r>
      <w:r w:rsidR="00120E34" w:rsidRPr="00EB00D9">
        <w:rPr>
          <w:rFonts w:ascii="Book Antiqua" w:hAnsi="Book Antiqua" w:cs="Arial"/>
          <w:sz w:val="24"/>
          <w:szCs w:val="24"/>
        </w:rPr>
        <w:t>NYU Multiple Sclerosis Care Center</w:t>
      </w:r>
      <w:r w:rsidRPr="00EB00D9">
        <w:rPr>
          <w:rFonts w:ascii="Book Antiqua" w:hAnsi="Book Antiqua" w:cs="Arial"/>
          <w:sz w:val="24"/>
          <w:szCs w:val="24"/>
          <w:lang w:eastAsia="zh-CN"/>
        </w:rPr>
        <w:t xml:space="preserve">, </w:t>
      </w:r>
      <w:r w:rsidR="00120E34" w:rsidRPr="00EB00D9">
        <w:rPr>
          <w:rFonts w:ascii="Book Antiqua" w:hAnsi="Book Antiqua" w:cs="Arial"/>
          <w:sz w:val="24"/>
          <w:szCs w:val="24"/>
        </w:rPr>
        <w:t>240 E 38</w:t>
      </w:r>
      <w:r w:rsidR="00120E34" w:rsidRPr="00EB00D9">
        <w:rPr>
          <w:rFonts w:ascii="Book Antiqua" w:hAnsi="Book Antiqua" w:cs="Arial"/>
          <w:sz w:val="24"/>
          <w:szCs w:val="24"/>
          <w:vertAlign w:val="superscript"/>
        </w:rPr>
        <w:t>th</w:t>
      </w:r>
      <w:r w:rsidR="00120E34" w:rsidRPr="00EB00D9">
        <w:rPr>
          <w:rFonts w:ascii="Book Antiqua" w:hAnsi="Book Antiqua" w:cs="Arial"/>
          <w:sz w:val="24"/>
          <w:szCs w:val="24"/>
        </w:rPr>
        <w:t xml:space="preserve"> St</w:t>
      </w:r>
      <w:r w:rsidRPr="00EB00D9">
        <w:rPr>
          <w:rFonts w:ascii="Book Antiqua" w:hAnsi="Book Antiqua" w:cs="Arial"/>
          <w:sz w:val="24"/>
          <w:szCs w:val="24"/>
          <w:lang w:eastAsia="zh-CN"/>
        </w:rPr>
        <w:t>,</w:t>
      </w:r>
      <w:r w:rsidR="00120E34" w:rsidRPr="00EB00D9">
        <w:rPr>
          <w:rFonts w:ascii="Book Antiqua" w:hAnsi="Book Antiqua" w:cs="Arial"/>
          <w:sz w:val="24"/>
          <w:szCs w:val="24"/>
        </w:rPr>
        <w:t xml:space="preserve"> New York, NY 10026</w:t>
      </w:r>
      <w:r w:rsidRPr="00EB00D9">
        <w:rPr>
          <w:rFonts w:ascii="Book Antiqua" w:hAnsi="Book Antiqua" w:cs="Arial"/>
          <w:sz w:val="24"/>
          <w:szCs w:val="24"/>
          <w:lang w:eastAsia="zh-CN"/>
        </w:rPr>
        <w:t>, United States.</w:t>
      </w:r>
      <w:r w:rsidRPr="00EB00D9">
        <w:rPr>
          <w:rFonts w:ascii="Book Antiqua" w:hAnsi="Book Antiqua"/>
          <w:sz w:val="24"/>
          <w:szCs w:val="24"/>
        </w:rPr>
        <w:t xml:space="preserve"> </w:t>
      </w:r>
      <w:hyperlink r:id="rId9" w:history="1">
        <w:r w:rsidRPr="00EB00D9">
          <w:rPr>
            <w:rStyle w:val="Hyperlink"/>
            <w:rFonts w:ascii="Book Antiqua" w:hAnsi="Book Antiqua" w:cs="Arial"/>
            <w:color w:val="auto"/>
            <w:sz w:val="24"/>
            <w:szCs w:val="24"/>
            <w:u w:val="none"/>
          </w:rPr>
          <w:t>ilya.kister@nyumc.org</w:t>
        </w:r>
      </w:hyperlink>
    </w:p>
    <w:p w:rsidR="00FE7F1C" w:rsidRPr="00EB00D9" w:rsidRDefault="00FE7F1C" w:rsidP="000F62D6">
      <w:pPr>
        <w:spacing w:after="0" w:line="360" w:lineRule="auto"/>
        <w:jc w:val="both"/>
        <w:rPr>
          <w:rFonts w:ascii="Book Antiqua" w:hAnsi="Book Antiqua" w:cs="Arial"/>
          <w:sz w:val="24"/>
          <w:szCs w:val="24"/>
          <w:lang w:eastAsia="zh-CN"/>
        </w:rPr>
      </w:pPr>
    </w:p>
    <w:p w:rsidR="00FE7F1C" w:rsidRPr="00EB00D9" w:rsidRDefault="00FE7F1C" w:rsidP="000F62D6">
      <w:pPr>
        <w:spacing w:after="0" w:line="360" w:lineRule="auto"/>
        <w:jc w:val="both"/>
        <w:rPr>
          <w:rFonts w:ascii="Book Antiqua" w:hAnsi="Book Antiqua" w:cs="Arial"/>
          <w:sz w:val="24"/>
          <w:szCs w:val="24"/>
          <w:lang w:eastAsia="zh-CN"/>
        </w:rPr>
      </w:pPr>
      <w:r w:rsidRPr="00EB00D9">
        <w:rPr>
          <w:rFonts w:ascii="Book Antiqua" w:hAnsi="Book Antiqua"/>
          <w:b/>
          <w:sz w:val="24"/>
          <w:szCs w:val="24"/>
        </w:rPr>
        <w:t xml:space="preserve">Telephone: </w:t>
      </w:r>
      <w:r w:rsidRPr="00EB00D9">
        <w:rPr>
          <w:rFonts w:ascii="Book Antiqua" w:hAnsi="Book Antiqua" w:cs="Arial"/>
          <w:sz w:val="24"/>
          <w:szCs w:val="24"/>
          <w:lang w:eastAsia="zh-CN"/>
        </w:rPr>
        <w:t>+1-</w:t>
      </w:r>
      <w:r w:rsidRPr="00EB00D9">
        <w:rPr>
          <w:rFonts w:ascii="Book Antiqua" w:hAnsi="Book Antiqua" w:cs="Arial"/>
          <w:sz w:val="24"/>
          <w:szCs w:val="24"/>
        </w:rPr>
        <w:t>212</w:t>
      </w:r>
      <w:r w:rsidRPr="00EB00D9">
        <w:rPr>
          <w:rFonts w:ascii="Book Antiqua" w:hAnsi="Book Antiqua" w:cs="Arial"/>
          <w:sz w:val="24"/>
          <w:szCs w:val="24"/>
          <w:lang w:eastAsia="zh-CN"/>
        </w:rPr>
        <w:t>-</w:t>
      </w:r>
      <w:r w:rsidRPr="00EB00D9">
        <w:rPr>
          <w:rFonts w:ascii="Book Antiqua" w:hAnsi="Book Antiqua" w:cs="Arial"/>
          <w:sz w:val="24"/>
          <w:szCs w:val="24"/>
        </w:rPr>
        <w:t>5986305</w:t>
      </w:r>
    </w:p>
    <w:p w:rsidR="00FE7F1C" w:rsidRPr="00EB00D9" w:rsidRDefault="00FE7F1C" w:rsidP="000F62D6">
      <w:pPr>
        <w:spacing w:after="0" w:line="360" w:lineRule="auto"/>
        <w:jc w:val="both"/>
        <w:rPr>
          <w:rFonts w:ascii="Book Antiqua" w:hAnsi="Book Antiqua" w:cs="Arial"/>
          <w:sz w:val="24"/>
          <w:szCs w:val="24"/>
          <w:lang w:eastAsia="zh-CN"/>
        </w:rPr>
      </w:pPr>
    </w:p>
    <w:p w:rsidR="00FE7F1C" w:rsidRPr="00EB00D9" w:rsidRDefault="00FE7F1C" w:rsidP="000F62D6">
      <w:pPr>
        <w:spacing w:after="0" w:line="360" w:lineRule="auto"/>
        <w:jc w:val="both"/>
        <w:rPr>
          <w:rFonts w:ascii="Book Antiqua" w:hAnsi="Book Antiqua"/>
          <w:b/>
          <w:sz w:val="24"/>
          <w:szCs w:val="24"/>
        </w:rPr>
      </w:pPr>
      <w:r w:rsidRPr="00EB00D9">
        <w:rPr>
          <w:rFonts w:ascii="Book Antiqua" w:hAnsi="Book Antiqua"/>
          <w:b/>
          <w:sz w:val="24"/>
          <w:szCs w:val="24"/>
        </w:rPr>
        <w:t xml:space="preserve">Received: </w:t>
      </w:r>
      <w:r w:rsidRPr="00EB00D9">
        <w:rPr>
          <w:rFonts w:ascii="Book Antiqua" w:hAnsi="Book Antiqua"/>
          <w:sz w:val="24"/>
          <w:szCs w:val="24"/>
          <w:lang w:eastAsia="zh-CN"/>
        </w:rPr>
        <w:t>November 10, 2014</w:t>
      </w:r>
      <w:r w:rsidR="003066E2" w:rsidRPr="00EB00D9">
        <w:rPr>
          <w:rFonts w:ascii="Book Antiqua" w:hAnsi="Book Antiqua"/>
          <w:sz w:val="24"/>
          <w:szCs w:val="24"/>
        </w:rPr>
        <w:t xml:space="preserve"> </w:t>
      </w:r>
    </w:p>
    <w:p w:rsidR="00FE7F1C" w:rsidRPr="00EB00D9" w:rsidRDefault="00FE7F1C" w:rsidP="000F62D6">
      <w:pPr>
        <w:spacing w:after="0" w:line="360" w:lineRule="auto"/>
        <w:jc w:val="both"/>
        <w:rPr>
          <w:rFonts w:ascii="Book Antiqua" w:hAnsi="Book Antiqua"/>
          <w:b/>
          <w:sz w:val="24"/>
          <w:szCs w:val="24"/>
        </w:rPr>
      </w:pPr>
      <w:r w:rsidRPr="00EB00D9">
        <w:rPr>
          <w:rFonts w:ascii="Book Antiqua" w:hAnsi="Book Antiqua"/>
          <w:b/>
          <w:sz w:val="24"/>
          <w:szCs w:val="24"/>
        </w:rPr>
        <w:t>Peer-review started:</w:t>
      </w:r>
      <w:r w:rsidRPr="00EB00D9">
        <w:rPr>
          <w:rFonts w:ascii="Book Antiqua" w:hAnsi="Book Antiqua"/>
          <w:sz w:val="24"/>
          <w:szCs w:val="24"/>
          <w:lang w:eastAsia="zh-CN"/>
        </w:rPr>
        <w:t xml:space="preserve"> November 11, 2014</w:t>
      </w:r>
      <w:r w:rsidR="003066E2" w:rsidRPr="00EB00D9">
        <w:rPr>
          <w:rFonts w:ascii="Book Antiqua" w:hAnsi="Book Antiqua"/>
          <w:sz w:val="24"/>
          <w:szCs w:val="24"/>
        </w:rPr>
        <w:t xml:space="preserve"> </w:t>
      </w:r>
    </w:p>
    <w:p w:rsidR="00FE7F1C" w:rsidRPr="00EB00D9" w:rsidRDefault="00FE7F1C" w:rsidP="000F62D6">
      <w:pPr>
        <w:spacing w:after="0" w:line="360" w:lineRule="auto"/>
        <w:jc w:val="both"/>
        <w:rPr>
          <w:rFonts w:ascii="Book Antiqua" w:hAnsi="Book Antiqua"/>
          <w:b/>
          <w:sz w:val="24"/>
          <w:szCs w:val="24"/>
          <w:lang w:eastAsia="zh-CN"/>
        </w:rPr>
      </w:pPr>
      <w:r w:rsidRPr="00EB00D9">
        <w:rPr>
          <w:rFonts w:ascii="Book Antiqua" w:hAnsi="Book Antiqua"/>
          <w:b/>
          <w:sz w:val="24"/>
          <w:szCs w:val="24"/>
        </w:rPr>
        <w:t>First decision:</w:t>
      </w:r>
      <w:r w:rsidRPr="00EB00D9">
        <w:rPr>
          <w:rFonts w:ascii="Book Antiqua" w:hAnsi="Book Antiqua"/>
          <w:sz w:val="24"/>
          <w:szCs w:val="24"/>
          <w:lang w:eastAsia="zh-CN"/>
        </w:rPr>
        <w:t xml:space="preserve"> December 26, 2014</w:t>
      </w:r>
    </w:p>
    <w:p w:rsidR="00FE7F1C" w:rsidRPr="00EB00D9" w:rsidRDefault="00FE7F1C" w:rsidP="000F62D6">
      <w:pPr>
        <w:spacing w:after="0" w:line="360" w:lineRule="auto"/>
        <w:jc w:val="both"/>
        <w:rPr>
          <w:rFonts w:ascii="Book Antiqua" w:hAnsi="Book Antiqua"/>
          <w:b/>
          <w:sz w:val="24"/>
          <w:szCs w:val="24"/>
        </w:rPr>
      </w:pPr>
      <w:r w:rsidRPr="00EB00D9">
        <w:rPr>
          <w:rFonts w:ascii="Book Antiqua" w:hAnsi="Book Antiqua"/>
          <w:b/>
          <w:sz w:val="24"/>
          <w:szCs w:val="24"/>
        </w:rPr>
        <w:t xml:space="preserve">Revised: </w:t>
      </w:r>
      <w:r w:rsidRPr="00EB00D9">
        <w:rPr>
          <w:rFonts w:ascii="Book Antiqua" w:hAnsi="Book Antiqua"/>
          <w:sz w:val="24"/>
          <w:szCs w:val="24"/>
          <w:lang w:eastAsia="zh-CN"/>
        </w:rPr>
        <w:t>January 12, 2015</w:t>
      </w:r>
      <w:r w:rsidRPr="00EB00D9">
        <w:rPr>
          <w:rFonts w:ascii="Book Antiqua" w:hAnsi="Book Antiqua"/>
          <w:sz w:val="24"/>
          <w:szCs w:val="24"/>
        </w:rPr>
        <w:t xml:space="preserve"> </w:t>
      </w:r>
    </w:p>
    <w:p w:rsidR="00FE7F1C" w:rsidRPr="00EB00D9" w:rsidRDefault="00FE7F1C" w:rsidP="000F62D6">
      <w:pPr>
        <w:spacing w:after="0" w:line="360" w:lineRule="auto"/>
        <w:jc w:val="both"/>
        <w:rPr>
          <w:rFonts w:ascii="Book Antiqua" w:hAnsi="Book Antiqua"/>
          <w:b/>
          <w:sz w:val="24"/>
          <w:szCs w:val="24"/>
        </w:rPr>
      </w:pPr>
      <w:r w:rsidRPr="00EB00D9">
        <w:rPr>
          <w:rFonts w:ascii="Book Antiqua" w:hAnsi="Book Antiqua"/>
          <w:b/>
          <w:sz w:val="24"/>
          <w:szCs w:val="24"/>
        </w:rPr>
        <w:t>Accepted:</w:t>
      </w:r>
      <w:r w:rsidR="003066E2" w:rsidRPr="00EB00D9">
        <w:rPr>
          <w:rFonts w:ascii="Book Antiqua" w:hAnsi="Book Antiqua"/>
          <w:b/>
          <w:sz w:val="24"/>
          <w:szCs w:val="24"/>
        </w:rPr>
        <w:t xml:space="preserve"> </w:t>
      </w:r>
      <w:r w:rsidR="004E41CA" w:rsidRPr="004E41CA">
        <w:rPr>
          <w:rFonts w:ascii="Book Antiqua" w:hAnsi="Book Antiqua"/>
          <w:sz w:val="24"/>
          <w:szCs w:val="24"/>
        </w:rPr>
        <w:t>February 4, 2015</w:t>
      </w:r>
    </w:p>
    <w:p w:rsidR="00FE7F1C" w:rsidRPr="00EB00D9" w:rsidRDefault="00FE7F1C" w:rsidP="000F62D6">
      <w:pPr>
        <w:spacing w:after="0" w:line="360" w:lineRule="auto"/>
        <w:jc w:val="both"/>
        <w:rPr>
          <w:rFonts w:ascii="Book Antiqua" w:hAnsi="Book Antiqua"/>
          <w:b/>
          <w:sz w:val="24"/>
          <w:szCs w:val="24"/>
        </w:rPr>
      </w:pPr>
      <w:r w:rsidRPr="00EB00D9">
        <w:rPr>
          <w:rFonts w:ascii="Book Antiqua" w:hAnsi="Book Antiqua"/>
          <w:b/>
          <w:sz w:val="24"/>
          <w:szCs w:val="24"/>
        </w:rPr>
        <w:t>Article in press:</w:t>
      </w:r>
    </w:p>
    <w:p w:rsidR="00FE7F1C" w:rsidRPr="00EB00D9" w:rsidRDefault="00FE7F1C" w:rsidP="000F62D6">
      <w:pPr>
        <w:spacing w:after="0" w:line="360" w:lineRule="auto"/>
        <w:jc w:val="both"/>
        <w:rPr>
          <w:rFonts w:ascii="Book Antiqua" w:hAnsi="Book Antiqua"/>
          <w:b/>
          <w:sz w:val="24"/>
          <w:szCs w:val="24"/>
        </w:rPr>
      </w:pPr>
      <w:r w:rsidRPr="00EB00D9">
        <w:rPr>
          <w:rFonts w:ascii="Book Antiqua" w:hAnsi="Book Antiqua"/>
          <w:b/>
          <w:sz w:val="24"/>
          <w:szCs w:val="24"/>
        </w:rPr>
        <w:t xml:space="preserve">Published online: </w:t>
      </w:r>
    </w:p>
    <w:p w:rsidR="00FE7F1C" w:rsidRPr="00EB00D9" w:rsidRDefault="00FE7F1C" w:rsidP="000F62D6">
      <w:pPr>
        <w:spacing w:after="0" w:line="360" w:lineRule="auto"/>
        <w:jc w:val="both"/>
        <w:rPr>
          <w:rFonts w:ascii="Book Antiqua" w:hAnsi="Book Antiqua"/>
          <w:b/>
          <w:sz w:val="24"/>
          <w:szCs w:val="24"/>
          <w:lang w:eastAsia="zh-CN"/>
        </w:rPr>
      </w:pPr>
    </w:p>
    <w:p w:rsidR="00120E34" w:rsidRPr="00EB00D9" w:rsidRDefault="001B7541" w:rsidP="000F62D6">
      <w:pPr>
        <w:tabs>
          <w:tab w:val="left" w:pos="6845"/>
        </w:tabs>
        <w:spacing w:after="0" w:line="360" w:lineRule="auto"/>
        <w:jc w:val="both"/>
        <w:rPr>
          <w:rFonts w:ascii="Book Antiqua" w:hAnsi="Book Antiqua"/>
          <w:b/>
          <w:sz w:val="24"/>
          <w:szCs w:val="24"/>
        </w:rPr>
      </w:pPr>
      <w:r w:rsidRPr="00EB00D9">
        <w:rPr>
          <w:rFonts w:ascii="Book Antiqua" w:hAnsi="Book Antiqua"/>
          <w:b/>
          <w:sz w:val="24"/>
          <w:szCs w:val="24"/>
        </w:rPr>
        <w:t>Abstract</w:t>
      </w:r>
      <w:r w:rsidR="00120E34" w:rsidRPr="00EB00D9">
        <w:rPr>
          <w:rFonts w:ascii="Book Antiqua" w:hAnsi="Book Antiqua"/>
          <w:b/>
          <w:sz w:val="24"/>
          <w:szCs w:val="24"/>
        </w:rPr>
        <w:tab/>
      </w:r>
    </w:p>
    <w:p w:rsidR="00120E34" w:rsidRPr="00EB00D9" w:rsidRDefault="00120E34" w:rsidP="000F62D6">
      <w:pPr>
        <w:spacing w:after="0" w:line="360" w:lineRule="auto"/>
        <w:jc w:val="both"/>
        <w:rPr>
          <w:rFonts w:ascii="Book Antiqua" w:hAnsi="Book Antiqua"/>
          <w:sz w:val="24"/>
          <w:szCs w:val="24"/>
          <w:lang w:eastAsia="zh-CN"/>
        </w:rPr>
      </w:pPr>
      <w:r w:rsidRPr="00EB00D9">
        <w:rPr>
          <w:rFonts w:ascii="Book Antiqua" w:hAnsi="Book Antiqua"/>
          <w:sz w:val="24"/>
          <w:szCs w:val="24"/>
        </w:rPr>
        <w:t xml:space="preserve">Neuromyelitis </w:t>
      </w:r>
      <w:r w:rsidR="00FE7F1C" w:rsidRPr="00EB00D9">
        <w:rPr>
          <w:rFonts w:ascii="Book Antiqua" w:hAnsi="Book Antiqua"/>
          <w:sz w:val="24"/>
          <w:szCs w:val="24"/>
        </w:rPr>
        <w:t>optica spectrum disorde</w:t>
      </w:r>
      <w:r w:rsidRPr="00EB00D9">
        <w:rPr>
          <w:rFonts w:ascii="Book Antiqua" w:hAnsi="Book Antiqua"/>
          <w:sz w:val="24"/>
          <w:szCs w:val="24"/>
        </w:rPr>
        <w:t xml:space="preserve">rs, or </w:t>
      </w:r>
      <w:r w:rsidR="00FE7F1C" w:rsidRPr="00EB00D9">
        <w:rPr>
          <w:rFonts w:ascii="Book Antiqua" w:hAnsi="Book Antiqua"/>
          <w:bCs/>
          <w:sz w:val="24"/>
          <w:szCs w:val="24"/>
        </w:rPr>
        <w:t>Neuromyelitis optica (NMO)</w:t>
      </w:r>
      <w:r w:rsidRPr="00EB00D9">
        <w:rPr>
          <w:rFonts w:ascii="Book Antiqua" w:hAnsi="Book Antiqua"/>
          <w:sz w:val="24"/>
          <w:szCs w:val="24"/>
        </w:rPr>
        <w:t>, is an autoimmune disease of the central nervous system that must be distinguished from multiple sclerosis. Therapeutic approaches to relapse prevention in NMO include immunosupressants and monoclonal antibodies. Rituximab, an antibody that targets CD20 antigen expressed on the surface of pre-B, mature B-lymphocytes and a small subset of T-lymphocytes, has been the most widely used monoclonal for the treatment of NMO. In this review, we aim to summarize global experience with Rituximab in NMO. We identified 13 observational studies that involved a total of 209 NMO patients treated with Rituximab. Majority of Rituximab-treated patients evidenced stabilization or improvements in their disability scores compared to pre-treatment period and 66% of patients remained relapse-free during treatment period. Monitoring Rituximab treatment response with CD19+ or CD27+ cell counts appears to improve treatment outcomes. We offer clini</w:t>
      </w:r>
      <w:r w:rsidR="007D09D1" w:rsidRPr="00EB00D9">
        <w:rPr>
          <w:rFonts w:ascii="Book Antiqua" w:hAnsi="Book Antiqua"/>
          <w:sz w:val="24"/>
          <w:szCs w:val="24"/>
        </w:rPr>
        <w:t>cal pointers on Rituximab use for</w:t>
      </w:r>
      <w:r w:rsidRPr="00EB00D9">
        <w:rPr>
          <w:rFonts w:ascii="Book Antiqua" w:hAnsi="Book Antiqua"/>
          <w:sz w:val="24"/>
          <w:szCs w:val="24"/>
        </w:rPr>
        <w:t xml:space="preserve"> NMO based on the literature and authors’ experience</w:t>
      </w:r>
      <w:r w:rsidR="007D09D1" w:rsidRPr="00EB00D9">
        <w:rPr>
          <w:rFonts w:ascii="Book Antiqua" w:hAnsi="Book Antiqua"/>
          <w:sz w:val="24"/>
          <w:szCs w:val="24"/>
        </w:rPr>
        <w:t>,</w:t>
      </w:r>
      <w:r w:rsidRPr="00EB00D9">
        <w:rPr>
          <w:rFonts w:ascii="Book Antiqua" w:hAnsi="Book Antiqua"/>
          <w:sz w:val="24"/>
          <w:szCs w:val="24"/>
        </w:rPr>
        <w:t xml:space="preserve"> and pose questions that would need to be addressed in future studies. </w:t>
      </w:r>
    </w:p>
    <w:p w:rsidR="00FE7F1C" w:rsidRPr="00EB00D9" w:rsidRDefault="00FE7F1C" w:rsidP="000F62D6">
      <w:pPr>
        <w:spacing w:after="0" w:line="360" w:lineRule="auto"/>
        <w:jc w:val="both"/>
        <w:rPr>
          <w:rFonts w:ascii="Book Antiqua" w:hAnsi="Book Antiqua"/>
          <w:sz w:val="24"/>
          <w:szCs w:val="24"/>
          <w:lang w:eastAsia="zh-CN"/>
        </w:rPr>
      </w:pPr>
    </w:p>
    <w:p w:rsidR="00FE7F1C" w:rsidRPr="00EB00D9" w:rsidRDefault="00FE7F1C" w:rsidP="000F62D6">
      <w:pPr>
        <w:spacing w:after="0" w:line="360" w:lineRule="auto"/>
        <w:jc w:val="both"/>
        <w:rPr>
          <w:rFonts w:ascii="Book Antiqua" w:hAnsi="Book Antiqua" w:cs="Arial"/>
          <w:sz w:val="24"/>
          <w:szCs w:val="24"/>
          <w:lang w:eastAsia="zh-CN"/>
        </w:rPr>
      </w:pPr>
      <w:r w:rsidRPr="00EB00D9">
        <w:rPr>
          <w:rFonts w:ascii="Book Antiqua" w:hAnsi="Book Antiqua" w:cs="Arial"/>
          <w:b/>
          <w:sz w:val="24"/>
          <w:szCs w:val="24"/>
        </w:rPr>
        <w:t>Key</w:t>
      </w:r>
      <w:r w:rsidR="003578AB">
        <w:rPr>
          <w:rFonts w:ascii="Book Antiqua" w:hAnsi="Book Antiqua" w:cs="Arial" w:hint="eastAsia"/>
          <w:b/>
          <w:sz w:val="24"/>
          <w:szCs w:val="24"/>
          <w:lang w:eastAsia="zh-CN"/>
        </w:rPr>
        <w:t xml:space="preserve"> </w:t>
      </w:r>
      <w:r w:rsidRPr="00EB00D9">
        <w:rPr>
          <w:rFonts w:ascii="Book Antiqua" w:hAnsi="Book Antiqua" w:cs="Arial"/>
          <w:b/>
          <w:sz w:val="24"/>
          <w:szCs w:val="24"/>
        </w:rPr>
        <w:t>words:</w:t>
      </w:r>
      <w:r w:rsidRPr="00EB00D9">
        <w:rPr>
          <w:rFonts w:ascii="Book Antiqua" w:hAnsi="Book Antiqua" w:cs="Arial"/>
          <w:sz w:val="24"/>
          <w:szCs w:val="24"/>
        </w:rPr>
        <w:t xml:space="preserve"> Neuromyelitis optica; Rituximab; Longitudinally extensive transverse myelitis; Optic neuritis; CD19+</w:t>
      </w:r>
      <w:r w:rsidR="003578AB">
        <w:rPr>
          <w:rFonts w:ascii="Book Antiqua" w:hAnsi="Book Antiqua" w:cs="Arial" w:hint="eastAsia"/>
          <w:sz w:val="24"/>
          <w:szCs w:val="24"/>
          <w:lang w:eastAsia="zh-CN"/>
        </w:rPr>
        <w:t>;</w:t>
      </w:r>
      <w:r w:rsidRPr="00EB00D9">
        <w:rPr>
          <w:rFonts w:ascii="Book Antiqua" w:hAnsi="Book Antiqua" w:cs="Arial"/>
          <w:sz w:val="24"/>
          <w:szCs w:val="24"/>
        </w:rPr>
        <w:t xml:space="preserve"> CD27+</w:t>
      </w:r>
    </w:p>
    <w:p w:rsidR="00120E34" w:rsidRPr="00EB00D9" w:rsidRDefault="00120E34" w:rsidP="000F62D6">
      <w:pPr>
        <w:spacing w:after="0" w:line="360" w:lineRule="auto"/>
        <w:jc w:val="both"/>
        <w:rPr>
          <w:rFonts w:ascii="Book Antiqua" w:hAnsi="Book Antiqua"/>
          <w:b/>
          <w:bCs/>
          <w:sz w:val="24"/>
          <w:szCs w:val="24"/>
          <w:u w:val="single"/>
          <w:lang w:eastAsia="zh-CN"/>
        </w:rPr>
      </w:pPr>
    </w:p>
    <w:p w:rsidR="00FE7F1C" w:rsidRPr="00EB00D9" w:rsidRDefault="00FE7F1C" w:rsidP="000F62D6">
      <w:pPr>
        <w:spacing w:after="0" w:line="360" w:lineRule="auto"/>
        <w:jc w:val="both"/>
        <w:rPr>
          <w:rFonts w:ascii="Book Antiqua" w:hAnsi="Book Antiqua" w:cs="Arial"/>
          <w:sz w:val="24"/>
          <w:szCs w:val="24"/>
        </w:rPr>
      </w:pPr>
      <w:r w:rsidRPr="00EB00D9">
        <w:rPr>
          <w:rFonts w:ascii="Book Antiqua" w:hAnsi="Book Antiqua"/>
          <w:b/>
          <w:sz w:val="24"/>
          <w:szCs w:val="24"/>
        </w:rPr>
        <w:t xml:space="preserve">© </w:t>
      </w:r>
      <w:r w:rsidRPr="00EB00D9">
        <w:rPr>
          <w:rFonts w:ascii="Book Antiqua" w:hAnsi="Book Antiqua" w:cs="Arial"/>
          <w:b/>
          <w:sz w:val="24"/>
          <w:szCs w:val="24"/>
        </w:rPr>
        <w:t>The Author(s) 2015.</w:t>
      </w:r>
      <w:r w:rsidRPr="00EB00D9">
        <w:rPr>
          <w:rFonts w:ascii="Book Antiqua" w:hAnsi="Book Antiqua" w:cs="Arial"/>
          <w:sz w:val="24"/>
          <w:szCs w:val="24"/>
        </w:rPr>
        <w:t xml:space="preserve"> Published by Baishideng Publishing Group Inc. All rights reserved.</w:t>
      </w:r>
    </w:p>
    <w:p w:rsidR="00FE7F1C" w:rsidRPr="00EB00D9" w:rsidRDefault="00FE7F1C" w:rsidP="000F62D6">
      <w:pPr>
        <w:spacing w:after="0" w:line="360" w:lineRule="auto"/>
        <w:jc w:val="both"/>
        <w:rPr>
          <w:rFonts w:ascii="Book Antiqua" w:hAnsi="Book Antiqua"/>
          <w:b/>
          <w:bCs/>
          <w:sz w:val="24"/>
          <w:szCs w:val="24"/>
          <w:u w:val="single"/>
          <w:lang w:eastAsia="zh-CN"/>
        </w:rPr>
      </w:pPr>
    </w:p>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b/>
          <w:sz w:val="24"/>
          <w:szCs w:val="24"/>
        </w:rPr>
        <w:t>Core tip:</w:t>
      </w:r>
      <w:r w:rsidRPr="00EB00D9">
        <w:rPr>
          <w:rFonts w:ascii="Book Antiqua" w:hAnsi="Book Antiqua"/>
          <w:sz w:val="24"/>
          <w:szCs w:val="24"/>
        </w:rPr>
        <w:t xml:space="preserve"> </w:t>
      </w:r>
      <w:r w:rsidRPr="00EB00D9">
        <w:rPr>
          <w:rFonts w:ascii="Book Antiqua" w:hAnsi="Book Antiqua"/>
          <w:bCs/>
          <w:sz w:val="24"/>
          <w:szCs w:val="24"/>
        </w:rPr>
        <w:t>Relapsing Neuromyelitis optica (NMO) is an autoimmune disorder of the central nervous system that often results in severe disability and death if untreated. Rituximab, an anti-CD20 monoc</w:t>
      </w:r>
      <w:r w:rsidR="007D09D1" w:rsidRPr="00EB00D9">
        <w:rPr>
          <w:rFonts w:ascii="Book Antiqua" w:hAnsi="Book Antiqua"/>
          <w:bCs/>
          <w:sz w:val="24"/>
          <w:szCs w:val="24"/>
        </w:rPr>
        <w:t>lonal antibody, appears to be a</w:t>
      </w:r>
      <w:r w:rsidRPr="00EB00D9">
        <w:rPr>
          <w:rFonts w:ascii="Book Antiqua" w:hAnsi="Book Antiqua"/>
          <w:bCs/>
          <w:sz w:val="24"/>
          <w:szCs w:val="24"/>
        </w:rPr>
        <w:t xml:space="preserve"> promising </w:t>
      </w:r>
      <w:r w:rsidR="007D09D1" w:rsidRPr="00EB00D9">
        <w:rPr>
          <w:rFonts w:ascii="Book Antiqua" w:hAnsi="Book Antiqua"/>
          <w:bCs/>
          <w:sz w:val="24"/>
          <w:szCs w:val="24"/>
        </w:rPr>
        <w:t>treatment option for</w:t>
      </w:r>
      <w:r w:rsidRPr="00EB00D9">
        <w:rPr>
          <w:rFonts w:ascii="Book Antiqua" w:hAnsi="Book Antiqua"/>
          <w:bCs/>
          <w:sz w:val="24"/>
          <w:szCs w:val="24"/>
        </w:rPr>
        <w:t xml:space="preserve"> NMO.</w:t>
      </w:r>
      <w:r w:rsidR="003066E2" w:rsidRPr="00EB00D9">
        <w:rPr>
          <w:rFonts w:ascii="Book Antiqua" w:hAnsi="Book Antiqua"/>
          <w:bCs/>
          <w:sz w:val="24"/>
          <w:szCs w:val="24"/>
        </w:rPr>
        <w:t xml:space="preserve"> </w:t>
      </w:r>
      <w:r w:rsidRPr="00EB00D9">
        <w:rPr>
          <w:rFonts w:ascii="Book Antiqua" w:hAnsi="Book Antiqua"/>
          <w:bCs/>
          <w:sz w:val="24"/>
          <w:szCs w:val="24"/>
        </w:rPr>
        <w:t>In this review, we summarize the results of 13 observational studies that assess</w:t>
      </w:r>
      <w:r w:rsidR="007D09D1" w:rsidRPr="00EB00D9">
        <w:rPr>
          <w:rFonts w:ascii="Book Antiqua" w:hAnsi="Book Antiqua"/>
          <w:bCs/>
          <w:sz w:val="24"/>
          <w:szCs w:val="24"/>
        </w:rPr>
        <w:t>ed</w:t>
      </w:r>
      <w:r w:rsidRPr="00EB00D9">
        <w:rPr>
          <w:rFonts w:ascii="Book Antiqua" w:hAnsi="Book Antiqua"/>
          <w:bCs/>
          <w:sz w:val="24"/>
          <w:szCs w:val="24"/>
        </w:rPr>
        <w:t xml:space="preserve"> efficacy of Rituximab in Neuromyelitis Optica. On average, 66% of patients remained relapse-free during treatment period</w:t>
      </w:r>
      <w:r w:rsidR="007D09D1" w:rsidRPr="00EB00D9">
        <w:rPr>
          <w:rFonts w:ascii="Book Antiqua" w:hAnsi="Book Antiqua"/>
          <w:bCs/>
          <w:sz w:val="24"/>
          <w:szCs w:val="24"/>
        </w:rPr>
        <w:t xml:space="preserve"> and in the majority of patients</w:t>
      </w:r>
      <w:r w:rsidRPr="00EB00D9">
        <w:rPr>
          <w:rFonts w:ascii="Book Antiqua" w:hAnsi="Book Antiqua"/>
          <w:bCs/>
          <w:sz w:val="24"/>
          <w:szCs w:val="24"/>
        </w:rPr>
        <w:t xml:space="preserve"> disability scores have stabilized or improved. Monitoring response to Rituximab with CD19+ and CD 27+ cell counts appears to improve outcomes. </w:t>
      </w:r>
    </w:p>
    <w:p w:rsidR="00FE7F1C" w:rsidRPr="00EB00D9" w:rsidRDefault="00FE7F1C" w:rsidP="000F62D6">
      <w:pPr>
        <w:spacing w:after="0" w:line="360" w:lineRule="auto"/>
        <w:jc w:val="both"/>
        <w:rPr>
          <w:rFonts w:ascii="Book Antiqua" w:hAnsi="Book Antiqua" w:cs="Arial"/>
          <w:sz w:val="24"/>
          <w:szCs w:val="24"/>
          <w:lang w:eastAsia="zh-CN"/>
        </w:rPr>
      </w:pPr>
    </w:p>
    <w:p w:rsidR="00FE7F1C" w:rsidRPr="00EB00D9" w:rsidRDefault="00FE7F1C" w:rsidP="000F62D6">
      <w:pPr>
        <w:spacing w:after="0" w:line="360" w:lineRule="auto"/>
        <w:jc w:val="both"/>
        <w:rPr>
          <w:rFonts w:ascii="Book Antiqua" w:hAnsi="Book Antiqua" w:cs="Arial"/>
          <w:sz w:val="24"/>
          <w:szCs w:val="24"/>
          <w:lang w:eastAsia="zh-CN"/>
        </w:rPr>
      </w:pPr>
      <w:r w:rsidRPr="00EB00D9">
        <w:rPr>
          <w:rFonts w:ascii="Book Antiqua" w:hAnsi="Book Antiqua" w:cs="Arial"/>
          <w:sz w:val="24"/>
          <w:szCs w:val="24"/>
        </w:rPr>
        <w:t>Wong</w:t>
      </w:r>
      <w:r w:rsidRPr="00EB00D9">
        <w:rPr>
          <w:rFonts w:ascii="Book Antiqua" w:hAnsi="Book Antiqua" w:cs="Arial"/>
          <w:sz w:val="24"/>
          <w:szCs w:val="24"/>
          <w:lang w:eastAsia="zh-CN"/>
        </w:rPr>
        <w:t xml:space="preserve"> E</w:t>
      </w:r>
      <w:r w:rsidRPr="00EB00D9">
        <w:rPr>
          <w:rFonts w:ascii="Book Antiqua" w:hAnsi="Book Antiqua" w:cs="Arial"/>
          <w:sz w:val="24"/>
          <w:szCs w:val="24"/>
        </w:rPr>
        <w:t>, Vishwanath</w:t>
      </w:r>
      <w:r w:rsidRPr="00EB00D9">
        <w:rPr>
          <w:rFonts w:ascii="Book Antiqua" w:hAnsi="Book Antiqua" w:cs="Arial"/>
          <w:sz w:val="24"/>
          <w:szCs w:val="24"/>
          <w:lang w:eastAsia="zh-CN"/>
        </w:rPr>
        <w:t xml:space="preserve"> VA</w:t>
      </w:r>
      <w:r w:rsidRPr="00EB00D9">
        <w:rPr>
          <w:rFonts w:ascii="Book Antiqua" w:hAnsi="Book Antiqua" w:cs="Arial"/>
          <w:sz w:val="24"/>
          <w:szCs w:val="24"/>
        </w:rPr>
        <w:t xml:space="preserve">, Kister </w:t>
      </w:r>
      <w:r w:rsidRPr="00EB00D9">
        <w:rPr>
          <w:rFonts w:ascii="Book Antiqua" w:hAnsi="Book Antiqua" w:cs="Arial"/>
          <w:sz w:val="24"/>
          <w:szCs w:val="24"/>
          <w:lang w:eastAsia="zh-CN"/>
        </w:rPr>
        <w:t>I.</w:t>
      </w:r>
      <w:r w:rsidRPr="00EB00D9">
        <w:rPr>
          <w:rFonts w:ascii="Book Antiqua" w:hAnsi="Book Antiqua" w:cs="Arial"/>
          <w:sz w:val="24"/>
          <w:szCs w:val="24"/>
        </w:rPr>
        <w:t xml:space="preserve"> Rituximab in neuromyelitis optica: A review of literature</w:t>
      </w:r>
      <w:r w:rsidRPr="00EB00D9">
        <w:rPr>
          <w:rFonts w:ascii="Book Antiqua" w:hAnsi="Book Antiqua" w:cs="Arial"/>
          <w:sz w:val="24"/>
          <w:szCs w:val="24"/>
          <w:lang w:eastAsia="zh-CN"/>
        </w:rPr>
        <w:t xml:space="preserve">. </w:t>
      </w:r>
      <w:r w:rsidR="000F62D6" w:rsidRPr="00EB00D9">
        <w:rPr>
          <w:rFonts w:ascii="Book Antiqua" w:hAnsi="Book Antiqua"/>
          <w:i/>
          <w:iCs/>
          <w:sz w:val="24"/>
          <w:szCs w:val="24"/>
        </w:rPr>
        <w:t>World J Neurol</w:t>
      </w:r>
      <w:r w:rsidR="000F62D6" w:rsidRPr="00EB00D9">
        <w:rPr>
          <w:rFonts w:ascii="Book Antiqua" w:hAnsi="Book Antiqua"/>
          <w:i/>
          <w:iCs/>
          <w:sz w:val="24"/>
          <w:szCs w:val="24"/>
          <w:lang w:eastAsia="zh-CN"/>
        </w:rPr>
        <w:t xml:space="preserve"> </w:t>
      </w:r>
      <w:r w:rsidR="000F62D6" w:rsidRPr="00EB00D9">
        <w:rPr>
          <w:rFonts w:ascii="Book Antiqua" w:hAnsi="Book Antiqua"/>
          <w:iCs/>
          <w:sz w:val="24"/>
          <w:szCs w:val="24"/>
          <w:lang w:eastAsia="zh-CN"/>
        </w:rPr>
        <w:t>2015; In press</w:t>
      </w:r>
    </w:p>
    <w:p w:rsidR="000F62D6" w:rsidRPr="00EB00D9" w:rsidRDefault="000F62D6" w:rsidP="000F62D6">
      <w:pPr>
        <w:spacing w:after="0" w:line="360" w:lineRule="auto"/>
        <w:jc w:val="both"/>
        <w:rPr>
          <w:rFonts w:ascii="Book Antiqua" w:hAnsi="Book Antiqua" w:cs="Arial"/>
          <w:sz w:val="24"/>
          <w:szCs w:val="24"/>
          <w:lang w:eastAsia="zh-CN"/>
        </w:rPr>
      </w:pPr>
    </w:p>
    <w:p w:rsidR="00120E34" w:rsidRPr="00EB00D9" w:rsidRDefault="000F62D6" w:rsidP="000F62D6">
      <w:pPr>
        <w:spacing w:after="0" w:line="360" w:lineRule="auto"/>
        <w:jc w:val="both"/>
        <w:rPr>
          <w:rFonts w:ascii="Book Antiqua" w:hAnsi="Book Antiqua"/>
          <w:b/>
          <w:bCs/>
          <w:sz w:val="24"/>
          <w:szCs w:val="24"/>
          <w:u w:val="single"/>
        </w:rPr>
      </w:pPr>
      <w:r w:rsidRPr="00EB00D9">
        <w:rPr>
          <w:rFonts w:ascii="Book Antiqua" w:hAnsi="Book Antiqua" w:cs="Arial"/>
          <w:b/>
          <w:sz w:val="24"/>
          <w:szCs w:val="24"/>
        </w:rPr>
        <w:t>INTRODUCTION</w:t>
      </w:r>
    </w:p>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cs="Arial"/>
          <w:sz w:val="24"/>
          <w:szCs w:val="24"/>
        </w:rPr>
        <w:t xml:space="preserve">Neuromyelitis </w:t>
      </w:r>
      <w:r w:rsidR="000F62D6" w:rsidRPr="00EB00D9">
        <w:rPr>
          <w:rFonts w:ascii="Book Antiqua" w:hAnsi="Book Antiqua" w:cs="Arial"/>
          <w:sz w:val="24"/>
          <w:szCs w:val="24"/>
        </w:rPr>
        <w:t>optica spectrum disorders</w:t>
      </w:r>
      <w:r w:rsidRPr="00EB00D9">
        <w:rPr>
          <w:rFonts w:ascii="Book Antiqua" w:hAnsi="Book Antiqua" w:cs="Arial"/>
          <w:sz w:val="24"/>
          <w:szCs w:val="24"/>
        </w:rPr>
        <w:t xml:space="preserve">, hereafter referred to as </w:t>
      </w:r>
      <w:r w:rsidR="000F62D6" w:rsidRPr="00EB00D9">
        <w:rPr>
          <w:rFonts w:ascii="Book Antiqua" w:hAnsi="Book Antiqua" w:cs="Arial"/>
          <w:sz w:val="24"/>
          <w:szCs w:val="24"/>
          <w:lang w:eastAsia="zh-CN"/>
        </w:rPr>
        <w:t>“</w:t>
      </w:r>
      <w:r w:rsidR="000F62D6" w:rsidRPr="00EB00D9">
        <w:rPr>
          <w:rFonts w:ascii="Book Antiqua" w:hAnsi="Book Antiqua"/>
          <w:bCs/>
          <w:sz w:val="24"/>
          <w:szCs w:val="24"/>
        </w:rPr>
        <w:t>Neuromyelitis optica (NMO)</w:t>
      </w:r>
      <w:r w:rsidR="000F62D6" w:rsidRPr="00EB00D9">
        <w:rPr>
          <w:rFonts w:ascii="Book Antiqua" w:hAnsi="Book Antiqua" w:cs="Arial"/>
          <w:sz w:val="24"/>
          <w:szCs w:val="24"/>
          <w:lang w:eastAsia="zh-CN"/>
        </w:rPr>
        <w:t>”</w:t>
      </w:r>
      <w:r w:rsidRPr="00EB00D9">
        <w:rPr>
          <w:rFonts w:ascii="Book Antiqua" w:hAnsi="Book Antiqua" w:cs="Arial"/>
          <w:sz w:val="24"/>
          <w:szCs w:val="24"/>
        </w:rPr>
        <w:t>, is an autoimmune disease of t</w:t>
      </w:r>
      <w:r w:rsidR="000F62D6" w:rsidRPr="00EB00D9">
        <w:rPr>
          <w:rFonts w:ascii="Book Antiqua" w:hAnsi="Book Antiqua" w:cs="Arial"/>
          <w:sz w:val="24"/>
          <w:szCs w:val="24"/>
        </w:rPr>
        <w:t>he central nervous system (CNS)</w:t>
      </w:r>
      <w:r w:rsidRPr="00EB00D9">
        <w:rPr>
          <w:rFonts w:ascii="Book Antiqua" w:hAnsi="Book Antiqua" w:cs="Arial"/>
          <w:sz w:val="24"/>
          <w:szCs w:val="24"/>
          <w:vertAlign w:val="superscript"/>
        </w:rPr>
        <w:t>[1]</w:t>
      </w:r>
      <w:r w:rsidRPr="00EB00D9">
        <w:rPr>
          <w:rFonts w:ascii="Book Antiqua" w:hAnsi="Book Antiqua" w:cs="Arial"/>
          <w:sz w:val="24"/>
          <w:szCs w:val="24"/>
        </w:rPr>
        <w:t>. Diagnostic criteria for NMO have undergone several revisions in recent years, but core clinical syndromes</w:t>
      </w:r>
      <w:r w:rsidR="000F62D6" w:rsidRPr="00EB00D9">
        <w:rPr>
          <w:rFonts w:ascii="Book Antiqua" w:hAnsi="Book Antiqua" w:cs="Arial" w:hint="eastAsia"/>
          <w:sz w:val="24"/>
          <w:szCs w:val="24"/>
          <w:lang w:eastAsia="zh-CN"/>
        </w:rPr>
        <w:t xml:space="preserve"> </w:t>
      </w:r>
      <w:r w:rsidRPr="00EB00D9">
        <w:rPr>
          <w:rFonts w:ascii="Book Antiqua" w:hAnsi="Book Antiqua" w:cs="Arial"/>
          <w:sz w:val="24"/>
          <w:szCs w:val="24"/>
        </w:rPr>
        <w:t xml:space="preserve">- longitudinally extensive transverse myelitis (LETM) and optic neuritis (ON), have been retained. The most recent iteration of the diagnostic criteria for NMO is based on </w:t>
      </w:r>
      <w:r w:rsidRPr="00EB00D9">
        <w:rPr>
          <w:rFonts w:ascii="Book Antiqua" w:hAnsi="Book Antiqua"/>
          <w:sz w:val="24"/>
          <w:szCs w:val="24"/>
        </w:rPr>
        <w:t>International Panel for NMO Diagnosis consensus paper</w:t>
      </w:r>
      <w:r w:rsidRPr="00EB00D9">
        <w:rPr>
          <w:rFonts w:ascii="Book Antiqua" w:hAnsi="Book Antiqua"/>
          <w:sz w:val="24"/>
          <w:szCs w:val="24"/>
          <w:vertAlign w:val="superscript"/>
        </w:rPr>
        <w:t>[2]</w:t>
      </w:r>
      <w:r w:rsidRPr="00EB00D9">
        <w:rPr>
          <w:rFonts w:ascii="Book Antiqua" w:hAnsi="Book Antiqua" w:cs="Arial"/>
          <w:sz w:val="24"/>
          <w:szCs w:val="24"/>
        </w:rPr>
        <w:t>. In AQP4-IgG seropos</w:t>
      </w:r>
      <w:r w:rsidR="00812415" w:rsidRPr="00EB00D9">
        <w:rPr>
          <w:rFonts w:ascii="Book Antiqua" w:hAnsi="Book Antiqua" w:cs="Arial"/>
          <w:sz w:val="24"/>
          <w:szCs w:val="24"/>
        </w:rPr>
        <w:t>i</w:t>
      </w:r>
      <w:r w:rsidRPr="00EB00D9">
        <w:rPr>
          <w:rFonts w:ascii="Book Antiqua" w:hAnsi="Book Antiqua" w:cs="Arial"/>
          <w:sz w:val="24"/>
          <w:szCs w:val="24"/>
        </w:rPr>
        <w:t xml:space="preserve">tive patients, diagnosis can be made after a single NMO-compatible relapse. </w:t>
      </w:r>
      <w:r w:rsidRPr="00EB00D9">
        <w:rPr>
          <w:rFonts w:ascii="Book Antiqua" w:hAnsi="Book Antiqua"/>
          <w:sz w:val="24"/>
          <w:szCs w:val="24"/>
        </w:rPr>
        <w:t>AQP4-IgG seronegative NMOSD criteria include evidence of dissemination in space as well as at least one well-recognized syndrome of NMO</w:t>
      </w:r>
      <w:r w:rsidR="00812415" w:rsidRPr="00EB00D9">
        <w:rPr>
          <w:rFonts w:ascii="Book Antiqua" w:hAnsi="Book Antiqua"/>
          <w:sz w:val="24"/>
          <w:szCs w:val="24"/>
        </w:rPr>
        <w:t>, such as</w:t>
      </w:r>
      <w:r w:rsidRPr="00EB00D9">
        <w:rPr>
          <w:rFonts w:ascii="Book Antiqua" w:hAnsi="Book Antiqua"/>
          <w:sz w:val="24"/>
          <w:szCs w:val="24"/>
        </w:rPr>
        <w:t xml:space="preserve"> optic neuritis, longitudinally extensive myelitis or intractable vomiting/hiccups</w:t>
      </w:r>
      <w:r w:rsidRPr="00EB00D9">
        <w:rPr>
          <w:rFonts w:ascii="Book Antiqua" w:hAnsi="Book Antiqua" w:cs="Arial"/>
          <w:sz w:val="24"/>
          <w:szCs w:val="24"/>
          <w:vertAlign w:val="superscript"/>
        </w:rPr>
        <w:t>[2]</w:t>
      </w:r>
      <w:r w:rsidRPr="00EB00D9">
        <w:rPr>
          <w:rFonts w:ascii="Book Antiqua" w:hAnsi="Book Antiqua" w:cs="Arial"/>
          <w:sz w:val="24"/>
          <w:szCs w:val="24"/>
        </w:rPr>
        <w:t>.</w:t>
      </w:r>
    </w:p>
    <w:p w:rsidR="00120E34" w:rsidRPr="00EB00D9" w:rsidRDefault="00120E34" w:rsidP="000F62D6">
      <w:pPr>
        <w:spacing w:after="0" w:line="360" w:lineRule="auto"/>
        <w:ind w:firstLineChars="100" w:firstLine="240"/>
        <w:jc w:val="both"/>
        <w:rPr>
          <w:rFonts w:ascii="Book Antiqua" w:hAnsi="Book Antiqua" w:cs="Arial"/>
          <w:sz w:val="24"/>
          <w:szCs w:val="24"/>
        </w:rPr>
      </w:pPr>
      <w:r w:rsidRPr="00EB00D9">
        <w:rPr>
          <w:rFonts w:ascii="Book Antiqua" w:hAnsi="Book Antiqua" w:cs="Arial"/>
          <w:sz w:val="24"/>
          <w:szCs w:val="24"/>
        </w:rPr>
        <w:t>NMO has been reported worldwide with preva</w:t>
      </w:r>
      <w:r w:rsidR="000F62D6" w:rsidRPr="00EB00D9">
        <w:rPr>
          <w:rFonts w:ascii="Book Antiqua" w:hAnsi="Book Antiqua" w:cs="Arial"/>
          <w:sz w:val="24"/>
          <w:szCs w:val="24"/>
        </w:rPr>
        <w:t>lence ranging from 0.52-4.4/100</w:t>
      </w:r>
      <w:r w:rsidRPr="00EB00D9">
        <w:rPr>
          <w:rFonts w:ascii="Book Antiqua" w:hAnsi="Book Antiqua" w:cs="Arial"/>
          <w:sz w:val="24"/>
          <w:szCs w:val="24"/>
        </w:rPr>
        <w:t>000</w:t>
      </w:r>
      <w:r w:rsidRPr="00EB00D9">
        <w:rPr>
          <w:rFonts w:ascii="Book Antiqua" w:hAnsi="Book Antiqua" w:cs="Arial"/>
          <w:sz w:val="24"/>
          <w:szCs w:val="24"/>
          <w:vertAlign w:val="superscript"/>
        </w:rPr>
        <w:t>[3]</w:t>
      </w:r>
      <w:r w:rsidRPr="00EB00D9">
        <w:rPr>
          <w:rFonts w:ascii="Book Antiqua" w:hAnsi="Book Antiqua" w:cs="Arial"/>
          <w:sz w:val="24"/>
          <w:szCs w:val="24"/>
        </w:rPr>
        <w:t>. In Western counties, NMO is rare relative to multiple scl</w:t>
      </w:r>
      <w:r w:rsidR="000F62D6" w:rsidRPr="00EB00D9">
        <w:rPr>
          <w:rFonts w:ascii="Book Antiqua" w:hAnsi="Book Antiqua" w:cs="Arial"/>
          <w:sz w:val="24"/>
          <w:szCs w:val="24"/>
        </w:rPr>
        <w:t>erosis (MS) - ratio of 1:50-100</w:t>
      </w:r>
      <w:r w:rsidRPr="00EB00D9">
        <w:rPr>
          <w:rFonts w:ascii="Book Antiqua" w:hAnsi="Book Antiqua" w:cs="Arial"/>
          <w:sz w:val="24"/>
          <w:szCs w:val="24"/>
          <w:vertAlign w:val="superscript"/>
        </w:rPr>
        <w:t>[4-6]</w:t>
      </w:r>
      <w:r w:rsidRPr="00EB00D9">
        <w:rPr>
          <w:rFonts w:ascii="Book Antiqua" w:hAnsi="Book Antiqua" w:cs="Arial"/>
          <w:sz w:val="24"/>
          <w:szCs w:val="24"/>
        </w:rPr>
        <w:t>, but in the developing counties, NMO may constitute up to 40%</w:t>
      </w:r>
      <w:r w:rsidR="000F62D6" w:rsidRPr="00EB00D9">
        <w:rPr>
          <w:rFonts w:ascii="Book Antiqua" w:hAnsi="Book Antiqua" w:cs="Arial"/>
          <w:sz w:val="24"/>
          <w:szCs w:val="24"/>
        </w:rPr>
        <w:t xml:space="preserve"> of all CNS autoimmune diseases</w:t>
      </w:r>
      <w:r w:rsidRPr="00EB00D9">
        <w:rPr>
          <w:rFonts w:ascii="Book Antiqua" w:hAnsi="Book Antiqua" w:cs="Arial"/>
          <w:sz w:val="24"/>
          <w:szCs w:val="24"/>
          <w:vertAlign w:val="superscript"/>
        </w:rPr>
        <w:t>[7]</w:t>
      </w:r>
      <w:r w:rsidRPr="00EB00D9">
        <w:rPr>
          <w:rFonts w:ascii="Book Antiqua" w:hAnsi="Book Antiqua" w:cs="Arial"/>
          <w:sz w:val="24"/>
          <w:szCs w:val="24"/>
        </w:rPr>
        <w:t>. Prognosis and treatment in NMO and MS are different. Five</w:t>
      </w:r>
      <w:r w:rsidR="00812415" w:rsidRPr="00EB00D9">
        <w:rPr>
          <w:rFonts w:ascii="Book Antiqua" w:hAnsi="Book Antiqua" w:cs="Arial"/>
          <w:sz w:val="24"/>
          <w:szCs w:val="24"/>
        </w:rPr>
        <w:t>-</w:t>
      </w:r>
      <w:r w:rsidRPr="00EB00D9">
        <w:rPr>
          <w:rFonts w:ascii="Book Antiqua" w:hAnsi="Book Antiqua" w:cs="Arial"/>
          <w:sz w:val="24"/>
          <w:szCs w:val="24"/>
        </w:rPr>
        <w:t>year mortality of untreated relapsing NMO was 68% - a much higher rate than in MS - and half of the surviving patients had per</w:t>
      </w:r>
      <w:r w:rsidR="000F62D6" w:rsidRPr="00EB00D9">
        <w:rPr>
          <w:rFonts w:ascii="Book Antiqua" w:hAnsi="Book Antiqua" w:cs="Arial"/>
          <w:sz w:val="24"/>
          <w:szCs w:val="24"/>
        </w:rPr>
        <w:t>manent monoplegia or paraplegia</w:t>
      </w:r>
      <w:r w:rsidRPr="00EB00D9">
        <w:rPr>
          <w:rFonts w:ascii="Book Antiqua" w:hAnsi="Book Antiqua" w:cs="Arial"/>
          <w:sz w:val="24"/>
          <w:szCs w:val="24"/>
          <w:vertAlign w:val="superscript"/>
        </w:rPr>
        <w:t>[8]</w:t>
      </w:r>
      <w:r w:rsidRPr="00EB00D9">
        <w:rPr>
          <w:rFonts w:ascii="Book Antiqua" w:hAnsi="Book Antiqua" w:cs="Arial"/>
          <w:sz w:val="24"/>
          <w:szCs w:val="24"/>
        </w:rPr>
        <w:t xml:space="preserve">. Disease modifying therapies for </w:t>
      </w:r>
      <w:r w:rsidR="006B4C2F" w:rsidRPr="00EB00D9">
        <w:rPr>
          <w:rFonts w:ascii="Book Antiqua" w:hAnsi="Book Antiqua" w:cs="Arial"/>
          <w:sz w:val="24"/>
          <w:szCs w:val="24"/>
        </w:rPr>
        <w:t xml:space="preserve">relapsing </w:t>
      </w:r>
      <w:r w:rsidR="000F62D6" w:rsidRPr="00EB00D9">
        <w:rPr>
          <w:rFonts w:ascii="Book Antiqua" w:hAnsi="Book Antiqua" w:cs="Arial"/>
          <w:sz w:val="24"/>
          <w:szCs w:val="24"/>
        </w:rPr>
        <w:t>MS, such as Interferon</w:t>
      </w:r>
      <w:r w:rsidRPr="00EB00D9">
        <w:rPr>
          <w:rFonts w:ascii="Book Antiqua" w:hAnsi="Book Antiqua" w:cs="Arial"/>
          <w:sz w:val="24"/>
          <w:szCs w:val="24"/>
        </w:rPr>
        <w:t xml:space="preserve"> and the remarkably effective Natalizumab, fail to prevent, and may ev</w:t>
      </w:r>
      <w:r w:rsidR="000F62D6" w:rsidRPr="00EB00D9">
        <w:rPr>
          <w:rFonts w:ascii="Book Antiqua" w:hAnsi="Book Antiqua" w:cs="Arial"/>
          <w:sz w:val="24"/>
          <w:szCs w:val="24"/>
        </w:rPr>
        <w:t>en precipitate, relapses of NMO</w:t>
      </w:r>
      <w:r w:rsidR="000F62D6" w:rsidRPr="00EB00D9">
        <w:rPr>
          <w:rFonts w:ascii="Book Antiqua" w:hAnsi="Book Antiqua" w:cs="Arial"/>
          <w:sz w:val="24"/>
          <w:szCs w:val="24"/>
          <w:vertAlign w:val="superscript"/>
        </w:rPr>
        <w:t>[9,</w:t>
      </w:r>
      <w:r w:rsidRPr="00EB00D9">
        <w:rPr>
          <w:rFonts w:ascii="Book Antiqua" w:hAnsi="Book Antiqua" w:cs="Arial"/>
          <w:sz w:val="24"/>
          <w:szCs w:val="24"/>
          <w:vertAlign w:val="superscript"/>
        </w:rPr>
        <w:t>10]</w:t>
      </w:r>
      <w:r w:rsidRPr="00EB00D9">
        <w:rPr>
          <w:rFonts w:ascii="Book Antiqua" w:hAnsi="Book Antiqua" w:cs="Arial"/>
          <w:sz w:val="24"/>
          <w:szCs w:val="24"/>
        </w:rPr>
        <w:t xml:space="preserve">. Current strategies for relapse prevention </w:t>
      </w:r>
      <w:r w:rsidR="006B4C2F" w:rsidRPr="00EB00D9">
        <w:rPr>
          <w:rFonts w:ascii="Book Antiqua" w:hAnsi="Book Antiqua" w:cs="Arial"/>
          <w:sz w:val="24"/>
          <w:szCs w:val="24"/>
        </w:rPr>
        <w:t xml:space="preserve">in </w:t>
      </w:r>
      <w:r w:rsidRPr="00EB00D9">
        <w:rPr>
          <w:rFonts w:ascii="Book Antiqua" w:hAnsi="Book Antiqua" w:cs="Arial"/>
          <w:sz w:val="24"/>
          <w:szCs w:val="24"/>
        </w:rPr>
        <w:t>NMO include immunosuppres</w:t>
      </w:r>
      <w:r w:rsidR="000F62D6" w:rsidRPr="00EB00D9">
        <w:rPr>
          <w:rFonts w:ascii="Book Antiqua" w:hAnsi="Book Antiqua" w:cs="Arial"/>
          <w:sz w:val="24"/>
          <w:szCs w:val="24"/>
        </w:rPr>
        <w:t>sants and monoclonal antibodies</w:t>
      </w:r>
      <w:r w:rsidR="000F62D6" w:rsidRPr="00EB00D9">
        <w:rPr>
          <w:rFonts w:ascii="Book Antiqua" w:hAnsi="Book Antiqua" w:cs="Arial"/>
          <w:sz w:val="24"/>
          <w:szCs w:val="24"/>
          <w:vertAlign w:val="superscript"/>
        </w:rPr>
        <w:t>[11,</w:t>
      </w:r>
      <w:r w:rsidRPr="00EB00D9">
        <w:rPr>
          <w:rFonts w:ascii="Book Antiqua" w:hAnsi="Book Antiqua" w:cs="Arial"/>
          <w:sz w:val="24"/>
          <w:szCs w:val="24"/>
          <w:vertAlign w:val="superscript"/>
        </w:rPr>
        <w:t>12]</w:t>
      </w:r>
      <w:r w:rsidRPr="00EB00D9">
        <w:rPr>
          <w:rFonts w:ascii="Book Antiqua" w:hAnsi="Book Antiqua" w:cs="Arial"/>
          <w:sz w:val="24"/>
          <w:szCs w:val="24"/>
        </w:rPr>
        <w:t>, but efficacy of these approaches has not been tested in randomized clinical tri</w:t>
      </w:r>
      <w:r w:rsidR="006B4C2F" w:rsidRPr="00EB00D9">
        <w:rPr>
          <w:rFonts w:ascii="Book Antiqua" w:hAnsi="Book Antiqua" w:cs="Arial"/>
          <w:sz w:val="24"/>
          <w:szCs w:val="24"/>
        </w:rPr>
        <w:t>als. One of the most promising</w:t>
      </w:r>
      <w:r w:rsidRPr="00EB00D9">
        <w:rPr>
          <w:rFonts w:ascii="Book Antiqua" w:hAnsi="Book Antiqua" w:cs="Arial"/>
          <w:sz w:val="24"/>
          <w:szCs w:val="24"/>
        </w:rPr>
        <w:t xml:space="preserve"> agents in NMO is Rituximab (RTX), a monoclonal antibody that targets CD20 antigen expressed on the surface of pre-B, mature B-lymphocyte</w:t>
      </w:r>
      <w:r w:rsidR="000F62D6" w:rsidRPr="00EB00D9">
        <w:rPr>
          <w:rFonts w:ascii="Book Antiqua" w:hAnsi="Book Antiqua" w:cs="Arial"/>
          <w:sz w:val="24"/>
          <w:szCs w:val="24"/>
        </w:rPr>
        <w:t>s (but not normal plasma cells)</w:t>
      </w:r>
      <w:r w:rsidRPr="00EB00D9">
        <w:rPr>
          <w:rFonts w:ascii="Book Antiqua" w:hAnsi="Book Antiqua" w:cs="Arial"/>
          <w:sz w:val="24"/>
          <w:szCs w:val="24"/>
          <w:vertAlign w:val="superscript"/>
        </w:rPr>
        <w:t>[13]</w:t>
      </w:r>
      <w:r w:rsidRPr="00EB00D9">
        <w:rPr>
          <w:rFonts w:ascii="Book Antiqua" w:hAnsi="Book Antiqua" w:cs="Arial"/>
          <w:sz w:val="24"/>
          <w:szCs w:val="24"/>
        </w:rPr>
        <w:t xml:space="preserve"> and a small subset of T-lymphocyt</w:t>
      </w:r>
      <w:r w:rsidR="000F62D6" w:rsidRPr="00EB00D9">
        <w:rPr>
          <w:rFonts w:ascii="Book Antiqua" w:hAnsi="Book Antiqua" w:cs="Arial"/>
          <w:sz w:val="24"/>
          <w:szCs w:val="24"/>
        </w:rPr>
        <w:t>es</w:t>
      </w:r>
      <w:r w:rsidRPr="00EB00D9">
        <w:rPr>
          <w:rFonts w:ascii="Book Antiqua" w:hAnsi="Book Antiqua" w:cs="Arial"/>
          <w:sz w:val="24"/>
          <w:szCs w:val="24"/>
          <w:vertAlign w:val="superscript"/>
        </w:rPr>
        <w:t>[14]</w:t>
      </w:r>
      <w:r w:rsidRPr="00EB00D9">
        <w:rPr>
          <w:rFonts w:ascii="Book Antiqua" w:hAnsi="Book Antiqua" w:cs="Arial"/>
          <w:sz w:val="24"/>
          <w:szCs w:val="24"/>
        </w:rPr>
        <w:t>.</w:t>
      </w:r>
      <w:r w:rsidRPr="00EB00D9">
        <w:rPr>
          <w:rFonts w:ascii="Book Antiqua" w:hAnsi="Book Antiqua" w:cs="Arial"/>
          <w:sz w:val="24"/>
          <w:szCs w:val="24"/>
          <w:vertAlign w:val="superscript"/>
        </w:rPr>
        <w:t xml:space="preserve"> </w:t>
      </w:r>
      <w:r w:rsidRPr="00EB00D9">
        <w:rPr>
          <w:rFonts w:ascii="Book Antiqua" w:hAnsi="Book Antiqua" w:cs="Arial"/>
          <w:sz w:val="24"/>
          <w:szCs w:val="24"/>
        </w:rPr>
        <w:t>Our review aims to summarize global experience with RTX for the treatment of NMO and offer clinical pointers based on the literature and authors’ experience.</w:t>
      </w:r>
    </w:p>
    <w:p w:rsidR="00120E34" w:rsidRPr="00EB00D9" w:rsidRDefault="00120E34" w:rsidP="000F62D6">
      <w:pPr>
        <w:spacing w:after="0" w:line="360" w:lineRule="auto"/>
        <w:jc w:val="both"/>
        <w:rPr>
          <w:rFonts w:ascii="Book Antiqua" w:hAnsi="Book Antiqua" w:cs="Arial"/>
          <w:sz w:val="24"/>
          <w:szCs w:val="24"/>
        </w:rPr>
      </w:pPr>
      <w:r w:rsidRPr="00EB00D9">
        <w:rPr>
          <w:rFonts w:ascii="Book Antiqua" w:hAnsi="Book Antiqua" w:cs="Arial"/>
          <w:sz w:val="24"/>
          <w:szCs w:val="24"/>
        </w:rPr>
        <w:t xml:space="preserve"> </w:t>
      </w:r>
    </w:p>
    <w:p w:rsidR="00120E34" w:rsidRPr="00EB00D9" w:rsidRDefault="000F62D6" w:rsidP="000F62D6">
      <w:pPr>
        <w:spacing w:after="0" w:line="360" w:lineRule="auto"/>
        <w:jc w:val="both"/>
        <w:rPr>
          <w:rFonts w:ascii="Book Antiqua" w:hAnsi="Book Antiqua" w:cs="Arial"/>
          <w:b/>
          <w:sz w:val="24"/>
          <w:szCs w:val="24"/>
        </w:rPr>
      </w:pPr>
      <w:r w:rsidRPr="00EB00D9">
        <w:rPr>
          <w:rFonts w:ascii="Book Antiqua" w:hAnsi="Book Antiqua" w:cs="Arial"/>
          <w:b/>
          <w:sz w:val="24"/>
          <w:szCs w:val="24"/>
        </w:rPr>
        <w:t>RATIONALE FOR B-CELL DEPLETING THERAPY IN NEUROMYELITIS OPTICA</w:t>
      </w:r>
    </w:p>
    <w:p w:rsidR="00120E34" w:rsidRPr="00EB00D9" w:rsidRDefault="00120E34" w:rsidP="000F62D6">
      <w:pPr>
        <w:spacing w:after="0" w:line="360" w:lineRule="auto"/>
        <w:jc w:val="both"/>
        <w:rPr>
          <w:rFonts w:ascii="Book Antiqua" w:hAnsi="Book Antiqua" w:cs="Arial"/>
          <w:i/>
          <w:sz w:val="24"/>
          <w:szCs w:val="24"/>
        </w:rPr>
      </w:pPr>
      <w:r w:rsidRPr="00EB00D9">
        <w:rPr>
          <w:rFonts w:ascii="Book Antiqua" w:hAnsi="Book Antiqua" w:cs="Arial"/>
          <w:sz w:val="24"/>
          <w:szCs w:val="24"/>
        </w:rPr>
        <w:t>Landmark patho</w:t>
      </w:r>
      <w:r w:rsidR="00CA2267" w:rsidRPr="00EB00D9">
        <w:rPr>
          <w:rFonts w:ascii="Book Antiqua" w:hAnsi="Book Antiqua" w:cs="Arial"/>
          <w:sz w:val="24"/>
          <w:szCs w:val="24"/>
        </w:rPr>
        <w:t xml:space="preserve">logic study by Lucchinetti </w:t>
      </w:r>
      <w:r w:rsidR="00CA2267" w:rsidRPr="00EB00D9">
        <w:rPr>
          <w:rFonts w:ascii="Book Antiqua" w:hAnsi="Book Antiqua" w:cs="Arial"/>
          <w:i/>
          <w:sz w:val="24"/>
          <w:szCs w:val="24"/>
        </w:rPr>
        <w:t>et al</w:t>
      </w:r>
      <w:r w:rsidR="00CA2267" w:rsidRPr="00EB00D9">
        <w:rPr>
          <w:rFonts w:ascii="Book Antiqua" w:hAnsi="Book Antiqua" w:cs="Arial" w:hint="eastAsia"/>
          <w:sz w:val="24"/>
          <w:szCs w:val="24"/>
          <w:vertAlign w:val="superscript"/>
          <w:lang w:eastAsia="zh-CN"/>
        </w:rPr>
        <w:t>[15]</w:t>
      </w:r>
      <w:r w:rsidRPr="00EB00D9">
        <w:rPr>
          <w:rFonts w:ascii="Book Antiqua" w:hAnsi="Book Antiqua" w:cs="Arial"/>
          <w:sz w:val="24"/>
          <w:szCs w:val="24"/>
        </w:rPr>
        <w:t xml:space="preserve"> concluded that “the pronounced Ig reactivity co-localizing with complement activat</w:t>
      </w:r>
      <w:r w:rsidR="000F62D6" w:rsidRPr="00EB00D9">
        <w:rPr>
          <w:rFonts w:ascii="Book Antiqua" w:hAnsi="Book Antiqua" w:cs="Arial"/>
          <w:sz w:val="24"/>
          <w:szCs w:val="24"/>
        </w:rPr>
        <w:t xml:space="preserve">ion at sites of vessel damage… </w:t>
      </w:r>
      <w:r w:rsidRPr="00EB00D9">
        <w:rPr>
          <w:rFonts w:ascii="Book Antiqua" w:hAnsi="Book Antiqua" w:cs="Arial"/>
          <w:sz w:val="24"/>
          <w:szCs w:val="24"/>
        </w:rPr>
        <w:t>may be due to a specific antibody targeted to a vascular antigen”</w:t>
      </w:r>
      <w:r w:rsidRPr="00EB00D9">
        <w:rPr>
          <w:rFonts w:ascii="Book Antiqua" w:hAnsi="Book Antiqua" w:cs="Arial"/>
          <w:sz w:val="24"/>
          <w:szCs w:val="24"/>
          <w:vertAlign w:val="superscript"/>
        </w:rPr>
        <w:t>[15]</w:t>
      </w:r>
      <w:r w:rsidRPr="00EB00D9">
        <w:rPr>
          <w:rFonts w:ascii="Book Antiqua" w:hAnsi="Book Antiqua" w:cs="Arial"/>
          <w:sz w:val="24"/>
          <w:szCs w:val="24"/>
        </w:rPr>
        <w:t>. This prediction was borne out two years later w</w:t>
      </w:r>
      <w:r w:rsidR="000F62D6" w:rsidRPr="00EB00D9">
        <w:rPr>
          <w:rFonts w:ascii="Book Antiqua" w:hAnsi="Book Antiqua" w:cs="Arial"/>
          <w:sz w:val="24"/>
          <w:szCs w:val="24"/>
        </w:rPr>
        <w:t xml:space="preserve">hen Lennon </w:t>
      </w:r>
      <w:r w:rsidR="000F62D6" w:rsidRPr="00EB00D9">
        <w:rPr>
          <w:rFonts w:ascii="Book Antiqua" w:hAnsi="Book Antiqua" w:cs="Arial"/>
          <w:i/>
          <w:sz w:val="24"/>
          <w:szCs w:val="24"/>
        </w:rPr>
        <w:t>et al</w:t>
      </w:r>
      <w:r w:rsidR="000F62D6" w:rsidRPr="00EB00D9">
        <w:rPr>
          <w:rFonts w:ascii="Book Antiqua" w:hAnsi="Book Antiqua" w:cs="Arial"/>
          <w:sz w:val="24"/>
          <w:szCs w:val="24"/>
          <w:vertAlign w:val="superscript"/>
        </w:rPr>
        <w:t>[16]</w:t>
      </w:r>
      <w:r w:rsidRPr="00EB00D9">
        <w:rPr>
          <w:rFonts w:ascii="Book Antiqua" w:hAnsi="Book Antiqua" w:cs="Arial"/>
          <w:sz w:val="24"/>
          <w:szCs w:val="24"/>
        </w:rPr>
        <w:t xml:space="preserve"> discovered an exquisitely NMO-specific autoantibody directed against Aquaporin-4 (AQP-4), a water chann</w:t>
      </w:r>
      <w:r w:rsidR="000F62D6" w:rsidRPr="00EB00D9">
        <w:rPr>
          <w:rFonts w:ascii="Book Antiqua" w:hAnsi="Book Antiqua" w:cs="Arial"/>
          <w:sz w:val="24"/>
          <w:szCs w:val="24"/>
        </w:rPr>
        <w:t>el found in astrocytic end-feet</w:t>
      </w:r>
      <w:r w:rsidRPr="00EB00D9">
        <w:rPr>
          <w:rFonts w:ascii="Book Antiqua" w:hAnsi="Book Antiqua" w:cs="Arial"/>
          <w:sz w:val="24"/>
          <w:szCs w:val="24"/>
          <w:vertAlign w:val="superscript"/>
        </w:rPr>
        <w:t>[16]</w:t>
      </w:r>
      <w:r w:rsidRPr="00EB00D9">
        <w:rPr>
          <w:rFonts w:ascii="Book Antiqua" w:hAnsi="Book Antiqua" w:cs="Arial"/>
          <w:sz w:val="24"/>
          <w:szCs w:val="24"/>
        </w:rPr>
        <w:t>.</w:t>
      </w:r>
      <w:r w:rsidR="003066E2" w:rsidRPr="00EB00D9">
        <w:rPr>
          <w:rFonts w:ascii="Book Antiqua" w:hAnsi="Book Antiqua" w:cs="Arial"/>
          <w:sz w:val="24"/>
          <w:szCs w:val="24"/>
        </w:rPr>
        <w:t xml:space="preserve"> </w:t>
      </w:r>
      <w:r w:rsidRPr="00EB00D9">
        <w:rPr>
          <w:rFonts w:ascii="Book Antiqua" w:hAnsi="Book Antiqua" w:cs="Arial"/>
          <w:sz w:val="24"/>
          <w:szCs w:val="24"/>
        </w:rPr>
        <w:t>Current conceptualization of NMO pathogenesis postulates that anti-AQP4 auto-antibody binds to A</w:t>
      </w:r>
      <w:r w:rsidR="000F62D6" w:rsidRPr="00EB00D9">
        <w:rPr>
          <w:rFonts w:ascii="Book Antiqua" w:hAnsi="Book Antiqua" w:cs="Arial"/>
          <w:sz w:val="24"/>
          <w:szCs w:val="24"/>
        </w:rPr>
        <w:t>QP-4</w:t>
      </w:r>
      <w:r w:rsidRPr="00EB00D9">
        <w:rPr>
          <w:rFonts w:ascii="Book Antiqua" w:hAnsi="Book Antiqua" w:cs="Arial"/>
          <w:sz w:val="24"/>
          <w:szCs w:val="24"/>
          <w:vertAlign w:val="superscript"/>
        </w:rPr>
        <w:t>[17]</w:t>
      </w:r>
      <w:r w:rsidRPr="00EB00D9">
        <w:rPr>
          <w:rFonts w:ascii="Book Antiqua" w:hAnsi="Book Antiqua" w:cs="Arial"/>
          <w:sz w:val="24"/>
          <w:szCs w:val="24"/>
        </w:rPr>
        <w:t xml:space="preserve"> and initiates complement-mediated astrocyte injury and inflammatory reaction that secondarily affects oligodendrocytes and leads to </w:t>
      </w:r>
      <w:r w:rsidR="000F62D6" w:rsidRPr="00EB00D9">
        <w:rPr>
          <w:rFonts w:ascii="Book Antiqua" w:hAnsi="Book Antiqua" w:cs="Arial"/>
          <w:sz w:val="24"/>
          <w:szCs w:val="24"/>
        </w:rPr>
        <w:t>demyelination and neuronal loss</w:t>
      </w:r>
      <w:r w:rsidRPr="00EB00D9">
        <w:rPr>
          <w:rFonts w:ascii="Book Antiqua" w:hAnsi="Book Antiqua" w:cs="Arial"/>
          <w:sz w:val="24"/>
          <w:szCs w:val="24"/>
          <w:vertAlign w:val="superscript"/>
        </w:rPr>
        <w:t>[18]</w:t>
      </w:r>
      <w:r w:rsidRPr="00EB00D9">
        <w:rPr>
          <w:rFonts w:ascii="Book Antiqua" w:hAnsi="Book Antiqua" w:cs="Arial"/>
          <w:sz w:val="24"/>
          <w:szCs w:val="24"/>
        </w:rPr>
        <w:t xml:space="preserve">. This hypothesis successfully explains many features of NMO, but does not account for the diversity </w:t>
      </w:r>
      <w:r w:rsidR="000F62D6" w:rsidRPr="00EB00D9">
        <w:rPr>
          <w:rFonts w:ascii="Book Antiqua" w:hAnsi="Book Antiqua" w:cs="Arial"/>
          <w:sz w:val="24"/>
          <w:szCs w:val="24"/>
        </w:rPr>
        <w:t>of observed pathologic findings</w:t>
      </w:r>
      <w:r w:rsidRPr="00EB00D9">
        <w:rPr>
          <w:rFonts w:ascii="Book Antiqua" w:hAnsi="Book Antiqua" w:cs="Arial"/>
          <w:sz w:val="24"/>
          <w:szCs w:val="24"/>
          <w:vertAlign w:val="superscript"/>
        </w:rPr>
        <w:t>[19]</w:t>
      </w:r>
      <w:r w:rsidR="001A79BD" w:rsidRPr="00EB00D9">
        <w:rPr>
          <w:rFonts w:ascii="Book Antiqua" w:hAnsi="Book Antiqua" w:cs="Arial"/>
          <w:sz w:val="24"/>
          <w:szCs w:val="24"/>
        </w:rPr>
        <w:t>, nor for</w:t>
      </w:r>
      <w:r w:rsidRPr="00EB00D9">
        <w:rPr>
          <w:rFonts w:ascii="Book Antiqua" w:hAnsi="Book Antiqua" w:cs="Arial"/>
          <w:sz w:val="24"/>
          <w:szCs w:val="24"/>
        </w:rPr>
        <w:t xml:space="preserve"> disease pathogenesis in anti-AQP4- Ab seronegative NMO patients, who compr</w:t>
      </w:r>
      <w:r w:rsidR="000F62D6" w:rsidRPr="00EB00D9">
        <w:rPr>
          <w:rFonts w:ascii="Book Antiqua" w:hAnsi="Book Antiqua" w:cs="Arial"/>
          <w:sz w:val="24"/>
          <w:szCs w:val="24"/>
        </w:rPr>
        <w:t xml:space="preserve">ise </w:t>
      </w:r>
      <w:r w:rsidR="000F62D6" w:rsidRPr="00EB00D9">
        <w:rPr>
          <w:rFonts w:ascii="Book Antiqua" w:hAnsi="Book Antiqua" w:cs="Arial" w:hint="eastAsia"/>
          <w:sz w:val="24"/>
          <w:szCs w:val="24"/>
          <w:lang w:eastAsia="zh-CN"/>
        </w:rPr>
        <w:t xml:space="preserve">approximately </w:t>
      </w:r>
      <w:r w:rsidR="000F62D6" w:rsidRPr="00EB00D9">
        <w:rPr>
          <w:rFonts w:ascii="Book Antiqua" w:hAnsi="Book Antiqua" w:cs="Arial"/>
          <w:sz w:val="24"/>
          <w:szCs w:val="24"/>
        </w:rPr>
        <w:t>30% of NMO cases in the U</w:t>
      </w:r>
      <w:r w:rsidR="000F62D6" w:rsidRPr="00EB00D9">
        <w:rPr>
          <w:rFonts w:ascii="Book Antiqua" w:hAnsi="Book Antiqua" w:cs="Arial" w:hint="eastAsia"/>
          <w:sz w:val="24"/>
          <w:szCs w:val="24"/>
          <w:lang w:eastAsia="zh-CN"/>
        </w:rPr>
        <w:t xml:space="preserve">nited </w:t>
      </w:r>
      <w:r w:rsidR="000F62D6" w:rsidRPr="00EB00D9">
        <w:rPr>
          <w:rFonts w:ascii="Book Antiqua" w:hAnsi="Book Antiqua" w:cs="Arial"/>
          <w:sz w:val="24"/>
          <w:szCs w:val="24"/>
        </w:rPr>
        <w:t>S</w:t>
      </w:r>
      <w:r w:rsidR="000F62D6" w:rsidRPr="00EB00D9">
        <w:rPr>
          <w:rFonts w:ascii="Book Antiqua" w:hAnsi="Book Antiqua" w:cs="Arial" w:hint="eastAsia"/>
          <w:sz w:val="24"/>
          <w:szCs w:val="24"/>
          <w:lang w:eastAsia="zh-CN"/>
        </w:rPr>
        <w:t>tates</w:t>
      </w:r>
      <w:r w:rsidRPr="00EB00D9">
        <w:rPr>
          <w:rFonts w:ascii="Book Antiqua" w:hAnsi="Book Antiqua" w:cs="Arial"/>
          <w:sz w:val="24"/>
          <w:szCs w:val="24"/>
          <w:vertAlign w:val="superscript"/>
        </w:rPr>
        <w:t>[5]</w:t>
      </w:r>
      <w:r w:rsidRPr="00EB00D9">
        <w:rPr>
          <w:rFonts w:ascii="Book Antiqua" w:hAnsi="Book Antiqua" w:cs="Arial"/>
          <w:sz w:val="24"/>
          <w:szCs w:val="24"/>
        </w:rPr>
        <w:t>.</w:t>
      </w:r>
    </w:p>
    <w:p w:rsidR="00120E34" w:rsidRPr="00EB00D9" w:rsidRDefault="00120E34" w:rsidP="000F62D6">
      <w:pPr>
        <w:spacing w:after="0" w:line="360" w:lineRule="auto"/>
        <w:ind w:firstLineChars="100" w:firstLine="240"/>
        <w:jc w:val="both"/>
        <w:rPr>
          <w:rFonts w:ascii="Book Antiqua" w:hAnsi="Book Antiqua" w:cs="Arial"/>
          <w:sz w:val="24"/>
          <w:szCs w:val="24"/>
        </w:rPr>
      </w:pPr>
      <w:r w:rsidRPr="00EB00D9">
        <w:rPr>
          <w:rFonts w:ascii="Book Antiqua" w:hAnsi="Book Antiqua" w:cs="Arial"/>
          <w:sz w:val="24"/>
          <w:szCs w:val="24"/>
        </w:rPr>
        <w:t>In view of the central role of humoral autoimmunity to NMO pathogenesis, it is not surprising that B-cell lineage depletion would be proposed as a rational therapeutic strategy. Indeed, shortly after discove</w:t>
      </w:r>
      <w:r w:rsidR="00CA2267" w:rsidRPr="00EB00D9">
        <w:rPr>
          <w:rFonts w:ascii="Book Antiqua" w:hAnsi="Book Antiqua" w:cs="Arial"/>
          <w:sz w:val="24"/>
          <w:szCs w:val="24"/>
        </w:rPr>
        <w:t xml:space="preserve">ry of anti-AQP-4 Ab, Cree </w:t>
      </w:r>
      <w:r w:rsidR="00CA2267" w:rsidRPr="00EB00D9">
        <w:rPr>
          <w:rFonts w:ascii="Book Antiqua" w:hAnsi="Book Antiqua" w:cs="Arial"/>
          <w:i/>
          <w:sz w:val="24"/>
          <w:szCs w:val="24"/>
        </w:rPr>
        <w:t>et al</w:t>
      </w:r>
      <w:r w:rsidR="00CA2267" w:rsidRPr="00EB00D9">
        <w:rPr>
          <w:rFonts w:ascii="Book Antiqua" w:hAnsi="Book Antiqua" w:cs="Arial" w:hint="eastAsia"/>
          <w:sz w:val="24"/>
          <w:szCs w:val="24"/>
          <w:vertAlign w:val="superscript"/>
          <w:lang w:eastAsia="zh-CN"/>
        </w:rPr>
        <w:t>[20]</w:t>
      </w:r>
      <w:r w:rsidRPr="00EB00D9">
        <w:rPr>
          <w:rFonts w:ascii="Book Antiqua" w:hAnsi="Book Antiqua" w:cs="Arial"/>
          <w:sz w:val="24"/>
          <w:szCs w:val="24"/>
        </w:rPr>
        <w:t xml:space="preserve"> reported an open label study of RTX in NMO that demonstrated high efficacy of the drug i</w:t>
      </w:r>
      <w:r w:rsidR="000F62D6" w:rsidRPr="00EB00D9">
        <w:rPr>
          <w:rFonts w:ascii="Book Antiqua" w:hAnsi="Book Antiqua" w:cs="Arial"/>
          <w:sz w:val="24"/>
          <w:szCs w:val="24"/>
        </w:rPr>
        <w:t>n all but one of their patients</w:t>
      </w:r>
      <w:r w:rsidRPr="00EB00D9">
        <w:rPr>
          <w:rFonts w:ascii="Book Antiqua" w:hAnsi="Book Antiqua" w:cs="Arial"/>
          <w:sz w:val="24"/>
          <w:szCs w:val="24"/>
          <w:vertAlign w:val="superscript"/>
        </w:rPr>
        <w:t>[20]</w:t>
      </w:r>
      <w:r w:rsidRPr="00EB00D9">
        <w:rPr>
          <w:rFonts w:ascii="Book Antiqua" w:hAnsi="Book Antiqua" w:cs="Arial"/>
          <w:sz w:val="24"/>
          <w:szCs w:val="24"/>
        </w:rPr>
        <w:t>. A number of reports on RTX efficacy in NMO from different parts of the globe have since appeared since. This review included all English-language studies that involved 5 or more RTX-treated NMO patients an</w:t>
      </w:r>
      <w:r w:rsidR="001A79BD" w:rsidRPr="00EB00D9">
        <w:rPr>
          <w:rFonts w:ascii="Book Antiqua" w:hAnsi="Book Antiqua" w:cs="Arial"/>
          <w:sz w:val="24"/>
          <w:szCs w:val="24"/>
        </w:rPr>
        <w:t>d recorded either</w:t>
      </w:r>
      <w:r w:rsidRPr="00EB00D9">
        <w:rPr>
          <w:rFonts w:ascii="Book Antiqua" w:hAnsi="Book Antiqua" w:cs="Arial"/>
          <w:sz w:val="24"/>
          <w:szCs w:val="24"/>
        </w:rPr>
        <w:t xml:space="preserve"> relapse rate/number before </w:t>
      </w:r>
      <w:r w:rsidR="001A79BD" w:rsidRPr="00EB00D9">
        <w:rPr>
          <w:rFonts w:ascii="Book Antiqua" w:hAnsi="Book Antiqua" w:cs="Arial"/>
          <w:sz w:val="24"/>
          <w:szCs w:val="24"/>
        </w:rPr>
        <w:t>and after treatment with RTX, or</w:t>
      </w:r>
      <w:r w:rsidRPr="00EB00D9">
        <w:rPr>
          <w:rFonts w:ascii="Book Antiqua" w:hAnsi="Book Antiqua" w:cs="Arial"/>
          <w:sz w:val="24"/>
          <w:szCs w:val="24"/>
        </w:rPr>
        <w:t xml:space="preserve"> expanded disability status scale (EDSS) scores before and after treatment with RTX</w:t>
      </w:r>
      <w:r w:rsidR="001A79BD" w:rsidRPr="00EB00D9">
        <w:rPr>
          <w:rFonts w:ascii="Book Antiqua" w:hAnsi="Book Antiqua" w:cs="Arial"/>
          <w:sz w:val="24"/>
          <w:szCs w:val="24"/>
        </w:rPr>
        <w:t>, or both outcome measures</w:t>
      </w:r>
      <w:r w:rsidRPr="00EB00D9">
        <w:rPr>
          <w:rFonts w:ascii="Book Antiqua" w:hAnsi="Book Antiqua" w:cs="Arial"/>
          <w:sz w:val="24"/>
          <w:szCs w:val="24"/>
        </w:rPr>
        <w:t xml:space="preserve">. We searched PubMed search for </w:t>
      </w:r>
      <w:r w:rsidR="000F62D6" w:rsidRPr="00EB00D9">
        <w:rPr>
          <w:rFonts w:ascii="Book Antiqua" w:hAnsi="Book Antiqua" w:cs="Arial"/>
          <w:sz w:val="24"/>
          <w:szCs w:val="24"/>
          <w:lang w:eastAsia="zh-CN"/>
        </w:rPr>
        <w:t>“</w:t>
      </w:r>
      <w:r w:rsidRPr="00EB00D9">
        <w:rPr>
          <w:rFonts w:ascii="Book Antiqua" w:hAnsi="Book Antiqua" w:cs="Arial"/>
          <w:sz w:val="24"/>
          <w:szCs w:val="24"/>
        </w:rPr>
        <w:t>Neuromyelitis Optica</w:t>
      </w:r>
      <w:r w:rsidR="000F62D6" w:rsidRPr="00EB00D9">
        <w:rPr>
          <w:rFonts w:ascii="Book Antiqua" w:hAnsi="Book Antiqua" w:cs="Arial"/>
          <w:sz w:val="24"/>
          <w:szCs w:val="24"/>
          <w:lang w:eastAsia="zh-CN"/>
        </w:rPr>
        <w:t>”</w:t>
      </w:r>
      <w:r w:rsidRPr="00EB00D9">
        <w:rPr>
          <w:rFonts w:ascii="Book Antiqua" w:hAnsi="Book Antiqua" w:cs="Arial"/>
          <w:sz w:val="24"/>
          <w:szCs w:val="24"/>
        </w:rPr>
        <w:t xml:space="preserve"> an</w:t>
      </w:r>
      <w:r w:rsidR="001A79BD" w:rsidRPr="00EB00D9">
        <w:rPr>
          <w:rFonts w:ascii="Book Antiqua" w:hAnsi="Book Antiqua" w:cs="Arial"/>
          <w:sz w:val="24"/>
          <w:szCs w:val="24"/>
        </w:rPr>
        <w:t xml:space="preserve">d </w:t>
      </w:r>
      <w:r w:rsidR="000F62D6" w:rsidRPr="00EB00D9">
        <w:rPr>
          <w:rFonts w:ascii="Book Antiqua" w:hAnsi="Book Antiqua" w:cs="Arial"/>
          <w:sz w:val="24"/>
          <w:szCs w:val="24"/>
          <w:lang w:eastAsia="zh-CN"/>
        </w:rPr>
        <w:t>“</w:t>
      </w:r>
      <w:r w:rsidR="001A79BD" w:rsidRPr="00EB00D9">
        <w:rPr>
          <w:rFonts w:ascii="Book Antiqua" w:hAnsi="Book Antiqua" w:cs="Arial"/>
          <w:sz w:val="24"/>
          <w:szCs w:val="24"/>
        </w:rPr>
        <w:t>Rituximab</w:t>
      </w:r>
      <w:r w:rsidR="000F62D6" w:rsidRPr="00EB00D9">
        <w:rPr>
          <w:rFonts w:ascii="Book Antiqua" w:hAnsi="Book Antiqua" w:cs="Arial"/>
          <w:sz w:val="24"/>
          <w:szCs w:val="24"/>
          <w:lang w:eastAsia="zh-CN"/>
        </w:rPr>
        <w:t>”</w:t>
      </w:r>
      <w:r w:rsidR="000F62D6" w:rsidRPr="00EB00D9">
        <w:rPr>
          <w:rFonts w:ascii="Book Antiqua" w:hAnsi="Book Antiqua" w:cs="Arial" w:hint="eastAsia"/>
          <w:sz w:val="24"/>
          <w:szCs w:val="24"/>
          <w:lang w:eastAsia="zh-CN"/>
        </w:rPr>
        <w:t xml:space="preserve"> </w:t>
      </w:r>
      <w:r w:rsidR="001A79BD" w:rsidRPr="00EB00D9">
        <w:rPr>
          <w:rFonts w:ascii="Book Antiqua" w:hAnsi="Book Antiqua" w:cs="Arial"/>
          <w:sz w:val="24"/>
          <w:szCs w:val="24"/>
        </w:rPr>
        <w:t>and cross-checked</w:t>
      </w:r>
      <w:r w:rsidRPr="00EB00D9">
        <w:rPr>
          <w:rFonts w:ascii="Book Antiqua" w:hAnsi="Book Antiqua" w:cs="Arial"/>
          <w:sz w:val="24"/>
          <w:szCs w:val="24"/>
        </w:rPr>
        <w:t xml:space="preserve"> references. We identified 25 articles and finally 13 articles were included in this study, which met our inclusion criteria. Two articles were exclud</w:t>
      </w:r>
      <w:r w:rsidR="001A79BD" w:rsidRPr="00EB00D9">
        <w:rPr>
          <w:rFonts w:ascii="Book Antiqua" w:hAnsi="Book Antiqua" w:cs="Arial"/>
          <w:sz w:val="24"/>
          <w:szCs w:val="24"/>
        </w:rPr>
        <w:t>ed for multiple treatments used;</w:t>
      </w:r>
      <w:r w:rsidRPr="00EB00D9">
        <w:rPr>
          <w:rFonts w:ascii="Book Antiqua" w:hAnsi="Book Antiqua" w:cs="Arial"/>
          <w:sz w:val="24"/>
          <w:szCs w:val="24"/>
        </w:rPr>
        <w:t xml:space="preserve"> four were excluded f</w:t>
      </w:r>
      <w:r w:rsidR="001A79BD" w:rsidRPr="00EB00D9">
        <w:rPr>
          <w:rFonts w:ascii="Book Antiqua" w:hAnsi="Book Antiqua" w:cs="Arial"/>
          <w:sz w:val="24"/>
          <w:szCs w:val="24"/>
        </w:rPr>
        <w:t>or other diseases included;</w:t>
      </w:r>
      <w:r w:rsidRPr="00EB00D9">
        <w:rPr>
          <w:rFonts w:ascii="Book Antiqua" w:hAnsi="Book Antiqua" w:cs="Arial"/>
          <w:sz w:val="24"/>
          <w:szCs w:val="24"/>
        </w:rPr>
        <w:t xml:space="preserve"> four were excluded </w:t>
      </w:r>
      <w:r w:rsidR="001A79BD" w:rsidRPr="00EB00D9">
        <w:rPr>
          <w:rFonts w:ascii="Book Antiqua" w:hAnsi="Book Antiqua" w:cs="Arial"/>
          <w:sz w:val="24"/>
          <w:szCs w:val="24"/>
        </w:rPr>
        <w:t>for having less than 5 patients;</w:t>
      </w:r>
      <w:r w:rsidRPr="00EB00D9">
        <w:rPr>
          <w:rFonts w:ascii="Book Antiqua" w:hAnsi="Book Antiqua" w:cs="Arial"/>
          <w:sz w:val="24"/>
          <w:szCs w:val="24"/>
        </w:rPr>
        <w:t xml:space="preserve"> and another two articles were excluded for not documenting treatment effect. Two unpublished case series of RTX-treated NMO that were presented at recent international neurologic conferences were also included in this review; additional dat</w:t>
      </w:r>
      <w:r w:rsidR="00CA2267" w:rsidRPr="00EB00D9">
        <w:rPr>
          <w:rFonts w:ascii="Book Antiqua" w:hAnsi="Book Antiqua" w:cs="Arial"/>
          <w:sz w:val="24"/>
          <w:szCs w:val="24"/>
        </w:rPr>
        <w:t>a was obtained from the authors</w:t>
      </w:r>
      <w:r w:rsidRPr="00EB00D9">
        <w:rPr>
          <w:rFonts w:ascii="Book Antiqua" w:hAnsi="Book Antiqua" w:cs="Arial"/>
          <w:sz w:val="24"/>
          <w:szCs w:val="24"/>
          <w:vertAlign w:val="superscript"/>
        </w:rPr>
        <w:t>[21</w:t>
      </w:r>
      <w:r w:rsidR="00CA2267" w:rsidRPr="00EB00D9">
        <w:rPr>
          <w:rFonts w:ascii="Book Antiqua" w:hAnsi="Book Antiqua" w:cs="Arial" w:hint="eastAsia"/>
          <w:sz w:val="24"/>
          <w:szCs w:val="24"/>
          <w:vertAlign w:val="superscript"/>
          <w:lang w:eastAsia="zh-CN"/>
        </w:rPr>
        <w:t>,</w:t>
      </w:r>
      <w:r w:rsidRPr="00EB00D9">
        <w:rPr>
          <w:rFonts w:ascii="Book Antiqua" w:hAnsi="Book Antiqua" w:cs="Arial"/>
          <w:sz w:val="24"/>
          <w:szCs w:val="24"/>
          <w:vertAlign w:val="superscript"/>
        </w:rPr>
        <w:t>22]</w:t>
      </w:r>
      <w:r w:rsidRPr="00EB00D9">
        <w:rPr>
          <w:rFonts w:ascii="Book Antiqua" w:hAnsi="Book Antiqua" w:cs="Arial"/>
          <w:sz w:val="24"/>
          <w:szCs w:val="24"/>
        </w:rPr>
        <w:t>.</w:t>
      </w:r>
    </w:p>
    <w:p w:rsidR="00120E34" w:rsidRPr="00EB00D9" w:rsidRDefault="00120E34" w:rsidP="000F62D6">
      <w:pPr>
        <w:spacing w:after="0" w:line="360" w:lineRule="auto"/>
        <w:jc w:val="both"/>
        <w:rPr>
          <w:rFonts w:ascii="Book Antiqua" w:hAnsi="Book Antiqua" w:cs="Arial"/>
          <w:sz w:val="24"/>
          <w:szCs w:val="24"/>
          <w:vertAlign w:val="superscript"/>
        </w:rPr>
      </w:pPr>
    </w:p>
    <w:p w:rsidR="000F62D6" w:rsidRPr="00EB00D9" w:rsidRDefault="000F62D6" w:rsidP="000F62D6">
      <w:pPr>
        <w:spacing w:after="0" w:line="360" w:lineRule="auto"/>
        <w:jc w:val="both"/>
        <w:rPr>
          <w:rFonts w:ascii="Book Antiqua" w:hAnsi="Book Antiqua" w:cs="Arial"/>
          <w:i/>
          <w:sz w:val="24"/>
          <w:szCs w:val="24"/>
          <w:u w:val="single"/>
          <w:lang w:eastAsia="zh-CN"/>
        </w:rPr>
      </w:pPr>
      <w:r w:rsidRPr="00EB00D9">
        <w:rPr>
          <w:rFonts w:ascii="Book Antiqua" w:hAnsi="Book Antiqua" w:cs="Arial"/>
          <w:b/>
          <w:sz w:val="24"/>
          <w:szCs w:val="24"/>
        </w:rPr>
        <w:t>EFFICACY OF RTX IN NMO</w:t>
      </w:r>
    </w:p>
    <w:p w:rsidR="00120E34" w:rsidRPr="00EB00D9" w:rsidRDefault="00120E34" w:rsidP="000F62D6">
      <w:pPr>
        <w:spacing w:after="0" w:line="360" w:lineRule="auto"/>
        <w:jc w:val="both"/>
        <w:rPr>
          <w:rFonts w:ascii="Book Antiqua" w:hAnsi="Book Antiqua" w:cs="Arial"/>
          <w:i/>
          <w:sz w:val="24"/>
          <w:szCs w:val="24"/>
          <w:u w:val="single"/>
          <w:lang w:eastAsia="zh-CN"/>
        </w:rPr>
      </w:pPr>
      <w:r w:rsidRPr="00EB00D9">
        <w:rPr>
          <w:rFonts w:ascii="Book Antiqua" w:hAnsi="Book Antiqua" w:cs="Arial"/>
          <w:sz w:val="24"/>
          <w:szCs w:val="24"/>
        </w:rPr>
        <w:t xml:space="preserve">Thirteen studies met our inclusion criteria. The total number of treated patients was 209, </w:t>
      </w:r>
      <w:r w:rsidR="00E31E16" w:rsidRPr="00EB00D9">
        <w:rPr>
          <w:rFonts w:ascii="Book Antiqua" w:hAnsi="Book Antiqua" w:cs="Arial"/>
          <w:sz w:val="24"/>
          <w:szCs w:val="24"/>
        </w:rPr>
        <w:t>of whom an overwhelming majority</w:t>
      </w:r>
      <w:r w:rsidR="000F62D6" w:rsidRPr="00EB00D9">
        <w:rPr>
          <w:rFonts w:ascii="Book Antiqua" w:hAnsi="Book Antiqua" w:cs="Arial" w:hint="eastAsia"/>
          <w:sz w:val="24"/>
          <w:szCs w:val="24"/>
          <w:lang w:eastAsia="zh-CN"/>
        </w:rPr>
        <w:t xml:space="preserve"> </w:t>
      </w:r>
      <w:r w:rsidRPr="00EB00D9">
        <w:rPr>
          <w:rFonts w:ascii="Book Antiqua" w:hAnsi="Book Antiqua" w:cs="Arial"/>
          <w:sz w:val="24"/>
          <w:szCs w:val="24"/>
        </w:rPr>
        <w:t>w</w:t>
      </w:r>
      <w:r w:rsidR="000F62D6" w:rsidRPr="00EB00D9">
        <w:rPr>
          <w:rFonts w:ascii="Book Antiqua" w:hAnsi="Book Antiqua" w:cs="Arial" w:hint="eastAsia"/>
          <w:sz w:val="24"/>
          <w:szCs w:val="24"/>
          <w:lang w:eastAsia="zh-CN"/>
        </w:rPr>
        <w:t>as</w:t>
      </w:r>
      <w:r w:rsidRPr="00EB00D9">
        <w:rPr>
          <w:rFonts w:ascii="Book Antiqua" w:hAnsi="Book Antiqua" w:cs="Arial"/>
          <w:sz w:val="24"/>
          <w:szCs w:val="24"/>
        </w:rPr>
        <w:t xml:space="preserve"> women (</w:t>
      </w:r>
      <w:r w:rsidR="000F62D6" w:rsidRPr="00EB00D9">
        <w:rPr>
          <w:rFonts w:ascii="Book Antiqua" w:hAnsi="Book Antiqua" w:cs="Arial" w:hint="eastAsia"/>
          <w:sz w:val="24"/>
          <w:szCs w:val="24"/>
          <w:lang w:eastAsia="zh-CN"/>
        </w:rPr>
        <w:t xml:space="preserve">approximately </w:t>
      </w:r>
      <w:r w:rsidRPr="00EB00D9">
        <w:rPr>
          <w:rFonts w:ascii="Book Antiqua" w:hAnsi="Book Antiqua" w:cs="Arial"/>
          <w:sz w:val="24"/>
          <w:szCs w:val="24"/>
        </w:rPr>
        <w:t>90%). Table 1 summarizes demograp</w:t>
      </w:r>
      <w:r w:rsidR="00E31E16" w:rsidRPr="00EB00D9">
        <w:rPr>
          <w:rFonts w:ascii="Book Antiqua" w:hAnsi="Book Antiqua" w:cs="Arial"/>
          <w:sz w:val="24"/>
          <w:szCs w:val="24"/>
        </w:rPr>
        <w:t>hic and clinical data from the 13</w:t>
      </w:r>
      <w:r w:rsidRPr="00EB00D9">
        <w:rPr>
          <w:rFonts w:ascii="Book Antiqua" w:hAnsi="Book Antiqua" w:cs="Arial"/>
          <w:sz w:val="24"/>
          <w:szCs w:val="24"/>
        </w:rPr>
        <w:t xml:space="preserve"> studies. Four out of the thirteen studies reported median annualized relapse rate (ARR) before and after RTX</w:t>
      </w:r>
      <w:r w:rsidR="000F62D6" w:rsidRPr="00EB00D9">
        <w:rPr>
          <w:rFonts w:ascii="Book Antiqua" w:hAnsi="Book Antiqua" w:cs="Arial"/>
          <w:sz w:val="24"/>
          <w:szCs w:val="24"/>
          <w:vertAlign w:val="superscript"/>
        </w:rPr>
        <w:t>[20,23-25]</w:t>
      </w:r>
      <w:r w:rsidRPr="00EB00D9">
        <w:rPr>
          <w:rFonts w:ascii="Book Antiqua" w:hAnsi="Book Antiqua" w:cs="Arial"/>
          <w:sz w:val="24"/>
          <w:szCs w:val="24"/>
        </w:rPr>
        <w:t>. Median ARR prior t</w:t>
      </w:r>
      <w:r w:rsidR="00E31E16" w:rsidRPr="00EB00D9">
        <w:rPr>
          <w:rFonts w:ascii="Book Antiqua" w:hAnsi="Book Antiqua" w:cs="Arial"/>
          <w:sz w:val="24"/>
          <w:szCs w:val="24"/>
        </w:rPr>
        <w:t>o treatment ranged from 1.7-2.6 and it decreased to 0-0.4</w:t>
      </w:r>
      <w:r w:rsidRPr="00EB00D9">
        <w:rPr>
          <w:rFonts w:ascii="Book Antiqua" w:hAnsi="Book Antiqua" w:cs="Arial"/>
          <w:sz w:val="24"/>
          <w:szCs w:val="24"/>
        </w:rPr>
        <w:t xml:space="preserve"> during the treatment period, which was usually 1-2 years. Two studies reported change in mean </w:t>
      </w:r>
      <w:r w:rsidR="000F62D6" w:rsidRPr="00EB00D9">
        <w:rPr>
          <w:rFonts w:ascii="Book Antiqua" w:hAnsi="Book Antiqua" w:cs="Arial"/>
          <w:sz w:val="24"/>
          <w:szCs w:val="24"/>
        </w:rPr>
        <w:t>ARR</w:t>
      </w:r>
      <w:r w:rsidR="000F62D6" w:rsidRPr="00EB00D9">
        <w:rPr>
          <w:rFonts w:ascii="Book Antiqua" w:hAnsi="Book Antiqua" w:cs="Arial"/>
          <w:sz w:val="24"/>
          <w:szCs w:val="24"/>
          <w:vertAlign w:val="superscript"/>
        </w:rPr>
        <w:t>[2</w:t>
      </w:r>
      <w:r w:rsidR="00CA2267" w:rsidRPr="00EB00D9">
        <w:rPr>
          <w:rFonts w:ascii="Book Antiqua" w:hAnsi="Book Antiqua" w:cs="Arial" w:hint="eastAsia"/>
          <w:sz w:val="24"/>
          <w:szCs w:val="24"/>
          <w:vertAlign w:val="superscript"/>
          <w:lang w:eastAsia="zh-CN"/>
        </w:rPr>
        <w:t>6</w:t>
      </w:r>
      <w:r w:rsidR="000F62D6" w:rsidRPr="00EB00D9">
        <w:rPr>
          <w:rFonts w:ascii="Book Antiqua" w:hAnsi="Book Antiqua" w:cs="Arial"/>
          <w:sz w:val="24"/>
          <w:szCs w:val="24"/>
          <w:vertAlign w:val="superscript"/>
        </w:rPr>
        <w:t>,2</w:t>
      </w:r>
      <w:r w:rsidR="00CA2267" w:rsidRPr="00EB00D9">
        <w:rPr>
          <w:rFonts w:ascii="Book Antiqua" w:hAnsi="Book Antiqua" w:cs="Arial" w:hint="eastAsia"/>
          <w:sz w:val="24"/>
          <w:szCs w:val="24"/>
          <w:vertAlign w:val="superscript"/>
          <w:lang w:eastAsia="zh-CN"/>
        </w:rPr>
        <w:t>7</w:t>
      </w:r>
      <w:r w:rsidRPr="00EB00D9">
        <w:rPr>
          <w:rFonts w:ascii="Book Antiqua" w:hAnsi="Book Antiqua" w:cs="Arial"/>
          <w:sz w:val="24"/>
          <w:szCs w:val="24"/>
          <w:vertAlign w:val="superscript"/>
        </w:rPr>
        <w:t>]</w:t>
      </w:r>
      <w:r w:rsidR="003D7548" w:rsidRPr="00EB00D9">
        <w:rPr>
          <w:rFonts w:ascii="Book Antiqua" w:hAnsi="Book Antiqua" w:cs="Arial"/>
          <w:sz w:val="24"/>
          <w:szCs w:val="24"/>
        </w:rPr>
        <w:t>, which decreased from 1.2</w:t>
      </w:r>
      <w:r w:rsidR="000F62D6" w:rsidRPr="00EB00D9">
        <w:rPr>
          <w:rFonts w:ascii="Book Antiqua" w:hAnsi="Book Antiqua" w:cs="Arial"/>
          <w:sz w:val="24"/>
          <w:szCs w:val="24"/>
        </w:rPr>
        <w:t>-</w:t>
      </w:r>
      <w:r w:rsidRPr="00EB00D9">
        <w:rPr>
          <w:rFonts w:ascii="Book Antiqua" w:hAnsi="Book Antiqua" w:cs="Arial"/>
          <w:sz w:val="24"/>
          <w:szCs w:val="24"/>
        </w:rPr>
        <w:t xml:space="preserve">2.4 </w:t>
      </w:r>
      <w:r w:rsidR="003D7548" w:rsidRPr="00EB00D9">
        <w:rPr>
          <w:rFonts w:ascii="Book Antiqua" w:hAnsi="Book Antiqua" w:cs="Arial"/>
          <w:sz w:val="24"/>
          <w:szCs w:val="24"/>
        </w:rPr>
        <w:t xml:space="preserve">pre-treatment to </w:t>
      </w:r>
      <w:r w:rsidRPr="00EB00D9">
        <w:rPr>
          <w:rFonts w:ascii="Book Antiqua" w:hAnsi="Book Antiqua" w:cs="Arial"/>
          <w:sz w:val="24"/>
          <w:szCs w:val="24"/>
        </w:rPr>
        <w:t>0-0.3</w:t>
      </w:r>
      <w:r w:rsidR="003D7548" w:rsidRPr="00EB00D9">
        <w:rPr>
          <w:rFonts w:ascii="Book Antiqua" w:hAnsi="Book Antiqua" w:cs="Arial"/>
          <w:sz w:val="24"/>
          <w:szCs w:val="24"/>
        </w:rPr>
        <w:t xml:space="preserve"> after treatment was started</w:t>
      </w:r>
      <w:r w:rsidRPr="00EB00D9">
        <w:rPr>
          <w:rFonts w:ascii="Book Antiqua" w:hAnsi="Book Antiqua" w:cs="Arial"/>
          <w:sz w:val="24"/>
          <w:szCs w:val="24"/>
        </w:rPr>
        <w:t xml:space="preserve">. The remaining seven studies specified total number of relapses before and </w:t>
      </w:r>
      <w:r w:rsidR="00CA2267" w:rsidRPr="00EB00D9">
        <w:rPr>
          <w:rFonts w:ascii="Book Antiqua" w:hAnsi="Book Antiqua" w:cs="Arial"/>
          <w:sz w:val="24"/>
          <w:szCs w:val="24"/>
        </w:rPr>
        <w:t xml:space="preserve">after RTX as detailed in Table </w:t>
      </w:r>
      <w:r w:rsidR="00CA2267" w:rsidRPr="00EB00D9">
        <w:rPr>
          <w:rFonts w:ascii="Book Antiqua" w:hAnsi="Book Antiqua" w:cs="Arial" w:hint="eastAsia"/>
          <w:sz w:val="24"/>
          <w:szCs w:val="24"/>
          <w:lang w:eastAsia="zh-CN"/>
        </w:rPr>
        <w:t>1</w:t>
      </w:r>
      <w:r w:rsidR="00CA2267" w:rsidRPr="00EB00D9">
        <w:rPr>
          <w:rFonts w:ascii="Book Antiqua" w:hAnsi="Book Antiqua" w:cs="Arial"/>
          <w:sz w:val="24"/>
          <w:szCs w:val="24"/>
          <w:vertAlign w:val="superscript"/>
        </w:rPr>
        <w:t>[21-22,</w:t>
      </w:r>
      <w:r w:rsidR="000F62D6" w:rsidRPr="00EB00D9">
        <w:rPr>
          <w:rFonts w:ascii="Book Antiqua" w:hAnsi="Book Antiqua" w:cs="Arial"/>
          <w:sz w:val="24"/>
          <w:szCs w:val="24"/>
          <w:vertAlign w:val="superscript"/>
        </w:rPr>
        <w:t>2</w:t>
      </w:r>
      <w:r w:rsidR="00CA2267" w:rsidRPr="00EB00D9">
        <w:rPr>
          <w:rFonts w:ascii="Book Antiqua" w:hAnsi="Book Antiqua" w:cs="Arial" w:hint="eastAsia"/>
          <w:sz w:val="24"/>
          <w:szCs w:val="24"/>
          <w:vertAlign w:val="superscript"/>
          <w:lang w:eastAsia="zh-CN"/>
        </w:rPr>
        <w:t>8</w:t>
      </w:r>
      <w:r w:rsidR="000F62D6" w:rsidRPr="00EB00D9">
        <w:rPr>
          <w:rFonts w:ascii="Book Antiqua" w:hAnsi="Book Antiqua" w:cs="Arial"/>
          <w:sz w:val="24"/>
          <w:szCs w:val="24"/>
          <w:vertAlign w:val="superscript"/>
        </w:rPr>
        <w:t>-</w:t>
      </w:r>
      <w:r w:rsidRPr="00EB00D9">
        <w:rPr>
          <w:rFonts w:ascii="Book Antiqua" w:hAnsi="Book Antiqua" w:cs="Arial"/>
          <w:sz w:val="24"/>
          <w:szCs w:val="24"/>
          <w:vertAlign w:val="superscript"/>
        </w:rPr>
        <w:t>32]</w:t>
      </w:r>
      <w:r w:rsidRPr="00EB00D9">
        <w:rPr>
          <w:rFonts w:ascii="Book Antiqua" w:hAnsi="Book Antiqua" w:cs="Arial"/>
          <w:sz w:val="24"/>
          <w:szCs w:val="24"/>
        </w:rPr>
        <w:t>.</w:t>
      </w:r>
      <w:r w:rsidR="003D7548" w:rsidRPr="00EB00D9">
        <w:rPr>
          <w:rFonts w:ascii="Book Antiqua" w:hAnsi="Book Antiqua" w:cs="Arial"/>
          <w:sz w:val="24"/>
          <w:szCs w:val="24"/>
        </w:rPr>
        <w:t xml:space="preserve"> </w:t>
      </w:r>
      <w:r w:rsidRPr="00EB00D9">
        <w:rPr>
          <w:rFonts w:ascii="Book Antiqua" w:hAnsi="Book Antiqua" w:cs="Quattrocento"/>
          <w:sz w:val="24"/>
          <w:szCs w:val="24"/>
        </w:rPr>
        <w:t>In 11 out of 13 studies, 48</w:t>
      </w:r>
      <w:r w:rsidR="000F62D6" w:rsidRPr="00EB00D9">
        <w:rPr>
          <w:rFonts w:ascii="Book Antiqua" w:hAnsi="Book Antiqua" w:cs="Quattrocento" w:hint="eastAsia"/>
          <w:sz w:val="24"/>
          <w:szCs w:val="24"/>
          <w:lang w:eastAsia="zh-CN"/>
        </w:rPr>
        <w:t>%</w:t>
      </w:r>
      <w:r w:rsidRPr="00EB00D9">
        <w:rPr>
          <w:rFonts w:ascii="Book Antiqua" w:hAnsi="Book Antiqua" w:cs="Quattrocento"/>
          <w:sz w:val="24"/>
          <w:szCs w:val="24"/>
        </w:rPr>
        <w:t>-75% of patients were relapse-free during treatment period. There were two exceptions</w:t>
      </w:r>
      <w:r w:rsidR="000F62D6" w:rsidRPr="00EB00D9">
        <w:rPr>
          <w:rFonts w:ascii="Book Antiqua" w:hAnsi="Book Antiqua" w:cs="Quattrocento"/>
          <w:sz w:val="24"/>
          <w:szCs w:val="24"/>
        </w:rPr>
        <w:t xml:space="preserve">: in the study by Lindsey </w:t>
      </w:r>
      <w:r w:rsidR="000F62D6" w:rsidRPr="00EB00D9">
        <w:rPr>
          <w:rFonts w:ascii="Book Antiqua" w:hAnsi="Book Antiqua" w:cs="Quattrocento"/>
          <w:i/>
          <w:sz w:val="24"/>
          <w:szCs w:val="24"/>
        </w:rPr>
        <w:t>et al</w:t>
      </w:r>
      <w:r w:rsidR="000F62D6" w:rsidRPr="00EB00D9">
        <w:rPr>
          <w:rFonts w:ascii="Book Antiqua" w:hAnsi="Book Antiqua" w:cs="Quattrocento" w:hint="eastAsia"/>
          <w:sz w:val="24"/>
          <w:szCs w:val="24"/>
          <w:vertAlign w:val="superscript"/>
          <w:lang w:eastAsia="zh-CN"/>
        </w:rPr>
        <w:t>[32]</w:t>
      </w:r>
      <w:r w:rsidRPr="00EB00D9">
        <w:rPr>
          <w:rFonts w:ascii="Book Antiqua" w:hAnsi="Book Antiqua" w:cs="Quattrocento"/>
          <w:sz w:val="24"/>
          <w:szCs w:val="24"/>
        </w:rPr>
        <w:t xml:space="preserve"> only 3 out of 9 patients (33%) were relapse-free</w:t>
      </w:r>
      <w:r w:rsidRPr="00EB00D9">
        <w:rPr>
          <w:rFonts w:ascii="Book Antiqua" w:hAnsi="Book Antiqua" w:cs="Quattrocento"/>
          <w:sz w:val="24"/>
          <w:szCs w:val="24"/>
          <w:vertAlign w:val="superscript"/>
        </w:rPr>
        <w:t>[32]</w:t>
      </w:r>
      <w:r w:rsidRPr="00EB00D9">
        <w:rPr>
          <w:rFonts w:ascii="Book Antiqua" w:hAnsi="Book Antiqua" w:cs="Quattrocento"/>
          <w:sz w:val="24"/>
          <w:szCs w:val="24"/>
        </w:rPr>
        <w:t>; this study was critiqued f</w:t>
      </w:r>
      <w:r w:rsidR="000F62D6" w:rsidRPr="00EB00D9">
        <w:rPr>
          <w:rFonts w:ascii="Book Antiqua" w:hAnsi="Book Antiqua" w:cs="Quattrocento"/>
          <w:sz w:val="24"/>
          <w:szCs w:val="24"/>
        </w:rPr>
        <w:t>or possible under-dosing of RTX</w:t>
      </w:r>
      <w:r w:rsidRPr="00EB00D9">
        <w:rPr>
          <w:rFonts w:ascii="Book Antiqua" w:hAnsi="Book Antiqua" w:cs="Quattrocento"/>
          <w:sz w:val="24"/>
          <w:szCs w:val="24"/>
          <w:vertAlign w:val="superscript"/>
        </w:rPr>
        <w:t>[33]</w:t>
      </w:r>
      <w:r w:rsidR="000F62D6" w:rsidRPr="00EB00D9">
        <w:rPr>
          <w:rFonts w:ascii="Book Antiqua" w:hAnsi="Book Antiqua" w:cs="Quattrocento"/>
          <w:sz w:val="24"/>
          <w:szCs w:val="24"/>
        </w:rPr>
        <w:t xml:space="preserve">. In the study of Yang </w:t>
      </w:r>
      <w:r w:rsidR="000F62D6" w:rsidRPr="00EB00D9">
        <w:rPr>
          <w:rFonts w:ascii="Book Antiqua" w:hAnsi="Book Antiqua" w:cs="Quattrocento"/>
          <w:i/>
          <w:sz w:val="24"/>
          <w:szCs w:val="24"/>
        </w:rPr>
        <w:t>et al</w:t>
      </w:r>
      <w:r w:rsidR="003D7548" w:rsidRPr="00EB00D9">
        <w:rPr>
          <w:rFonts w:ascii="Book Antiqua" w:hAnsi="Book Antiqua" w:cs="Quattrocento"/>
          <w:sz w:val="24"/>
          <w:szCs w:val="24"/>
          <w:vertAlign w:val="superscript"/>
        </w:rPr>
        <w:t>[2</w:t>
      </w:r>
      <w:r w:rsidR="00CA2267" w:rsidRPr="00EB00D9">
        <w:rPr>
          <w:rFonts w:ascii="Book Antiqua" w:hAnsi="Book Antiqua" w:cs="Quattrocento" w:hint="eastAsia"/>
          <w:sz w:val="24"/>
          <w:szCs w:val="24"/>
          <w:vertAlign w:val="superscript"/>
          <w:lang w:eastAsia="zh-CN"/>
        </w:rPr>
        <w:t>7</w:t>
      </w:r>
      <w:r w:rsidR="003D7548" w:rsidRPr="00EB00D9">
        <w:rPr>
          <w:rFonts w:ascii="Book Antiqua" w:hAnsi="Book Antiqua" w:cs="Quattrocento"/>
          <w:sz w:val="24"/>
          <w:szCs w:val="24"/>
          <w:vertAlign w:val="superscript"/>
        </w:rPr>
        <w:t>]</w:t>
      </w:r>
      <w:r w:rsidRPr="00EB00D9">
        <w:rPr>
          <w:rFonts w:ascii="Book Antiqua" w:hAnsi="Book Antiqua" w:cs="Quattrocento"/>
          <w:sz w:val="24"/>
          <w:szCs w:val="24"/>
        </w:rPr>
        <w:t xml:space="preserve"> none of the 5 patients experienced any further relapses</w:t>
      </w:r>
      <w:r w:rsidR="003D7548" w:rsidRPr="00EB00D9">
        <w:rPr>
          <w:rFonts w:ascii="Book Antiqua" w:hAnsi="Book Antiqua" w:cs="Quattrocento"/>
          <w:sz w:val="24"/>
          <w:szCs w:val="24"/>
        </w:rPr>
        <w:t xml:space="preserve"> </w:t>
      </w:r>
      <w:r w:rsidRPr="00EB00D9">
        <w:rPr>
          <w:rFonts w:ascii="Book Antiqua" w:hAnsi="Book Antiqua" w:cs="Quattrocento"/>
          <w:sz w:val="24"/>
          <w:szCs w:val="24"/>
        </w:rPr>
        <w:t>while on RTX.</w:t>
      </w:r>
    </w:p>
    <w:p w:rsidR="00120E34" w:rsidRPr="00EB00D9" w:rsidRDefault="00120E34" w:rsidP="000F62D6">
      <w:pPr>
        <w:spacing w:after="0" w:line="360" w:lineRule="auto"/>
        <w:ind w:firstLineChars="100" w:firstLine="240"/>
        <w:jc w:val="both"/>
        <w:rPr>
          <w:rFonts w:ascii="Book Antiqua" w:hAnsi="Book Antiqua" w:cs="Quattrocento"/>
          <w:sz w:val="24"/>
          <w:szCs w:val="24"/>
        </w:rPr>
      </w:pPr>
      <w:r w:rsidRPr="00EB00D9">
        <w:rPr>
          <w:rFonts w:ascii="Book Antiqua" w:hAnsi="Book Antiqua" w:cs="Quattrocento"/>
          <w:sz w:val="24"/>
          <w:szCs w:val="24"/>
        </w:rPr>
        <w:t xml:space="preserve">In all but one study, some patients </w:t>
      </w:r>
      <w:r w:rsidR="000F62D6" w:rsidRPr="00EB00D9">
        <w:rPr>
          <w:rFonts w:ascii="Book Antiqua" w:hAnsi="Book Antiqua" w:cs="Quattrocento"/>
          <w:sz w:val="24"/>
          <w:szCs w:val="24"/>
          <w:lang w:eastAsia="zh-CN"/>
        </w:rPr>
        <w:t>“</w:t>
      </w:r>
      <w:r w:rsidRPr="00EB00D9">
        <w:rPr>
          <w:rFonts w:ascii="Book Antiqua" w:hAnsi="Book Antiqua" w:cs="Quattrocento"/>
          <w:sz w:val="24"/>
          <w:szCs w:val="24"/>
        </w:rPr>
        <w:t>failed to respond</w:t>
      </w:r>
      <w:r w:rsidR="000F62D6" w:rsidRPr="00EB00D9">
        <w:rPr>
          <w:rFonts w:ascii="Book Antiqua" w:hAnsi="Book Antiqua" w:cs="Quattrocento"/>
          <w:sz w:val="24"/>
          <w:szCs w:val="24"/>
          <w:lang w:eastAsia="zh-CN"/>
        </w:rPr>
        <w:t>”</w:t>
      </w:r>
      <w:r w:rsidRPr="00EB00D9">
        <w:rPr>
          <w:rFonts w:ascii="Book Antiqua" w:hAnsi="Book Antiqua" w:cs="Quattrocento"/>
          <w:sz w:val="24"/>
          <w:szCs w:val="24"/>
        </w:rPr>
        <w:t xml:space="preserve"> to treatment. Javed </w:t>
      </w:r>
      <w:r w:rsidRPr="00EB00D9">
        <w:rPr>
          <w:rFonts w:ascii="Book Antiqua" w:hAnsi="Book Antiqua" w:cs="Quattrocento"/>
          <w:i/>
          <w:sz w:val="24"/>
          <w:szCs w:val="24"/>
        </w:rPr>
        <w:t>et al</w:t>
      </w:r>
      <w:r w:rsidR="000F62D6" w:rsidRPr="00EB00D9">
        <w:rPr>
          <w:rFonts w:ascii="Book Antiqua" w:hAnsi="Book Antiqua" w:cs="Quattrocento" w:hint="eastAsia"/>
          <w:sz w:val="24"/>
          <w:szCs w:val="24"/>
          <w:vertAlign w:val="superscript"/>
          <w:lang w:eastAsia="zh-CN"/>
        </w:rPr>
        <w:t>[22]</w:t>
      </w:r>
      <w:r w:rsidRPr="00EB00D9">
        <w:rPr>
          <w:rFonts w:ascii="Book Antiqua" w:hAnsi="Book Antiqua" w:cs="Quattrocento"/>
          <w:sz w:val="24"/>
          <w:szCs w:val="24"/>
        </w:rPr>
        <w:t xml:space="preserve"> characterized nearly 33% of their NMO patients as </w:t>
      </w:r>
      <w:r w:rsidR="000F62D6" w:rsidRPr="00EB00D9">
        <w:rPr>
          <w:rFonts w:ascii="Book Antiqua" w:hAnsi="Book Antiqua" w:cs="Quattrocento"/>
          <w:sz w:val="24"/>
          <w:szCs w:val="24"/>
          <w:lang w:eastAsia="zh-CN"/>
        </w:rPr>
        <w:t>“</w:t>
      </w:r>
      <w:r w:rsidRPr="00EB00D9">
        <w:rPr>
          <w:rFonts w:ascii="Book Antiqua" w:hAnsi="Book Antiqua" w:cs="Quattrocento"/>
          <w:sz w:val="24"/>
          <w:szCs w:val="24"/>
        </w:rPr>
        <w:t>non-responders</w:t>
      </w:r>
      <w:r w:rsidR="000F62D6" w:rsidRPr="00EB00D9">
        <w:rPr>
          <w:rFonts w:ascii="Book Antiqua" w:hAnsi="Book Antiqua" w:cs="Quattrocento"/>
          <w:sz w:val="24"/>
          <w:szCs w:val="24"/>
          <w:lang w:eastAsia="zh-CN"/>
        </w:rPr>
        <w:t>”</w:t>
      </w:r>
      <w:r w:rsidRPr="00EB00D9">
        <w:rPr>
          <w:rFonts w:ascii="Book Antiqua" w:hAnsi="Book Antiqua" w:cs="Quattrocento"/>
          <w:sz w:val="24"/>
          <w:szCs w:val="24"/>
        </w:rPr>
        <w:t xml:space="preserve"> based on the fact that RTX failed to delay further relapses, which occurred within 2.5 mo post treatment</w:t>
      </w:r>
      <w:r w:rsidRPr="00EB00D9">
        <w:rPr>
          <w:rFonts w:ascii="Book Antiqua" w:hAnsi="Book Antiqua" w:cs="Quattrocento"/>
          <w:sz w:val="24"/>
          <w:szCs w:val="24"/>
          <w:vertAlign w:val="superscript"/>
        </w:rPr>
        <w:t xml:space="preserve">[22] </w:t>
      </w:r>
      <w:r w:rsidRPr="00EB00D9">
        <w:rPr>
          <w:rFonts w:ascii="Book Antiqua" w:hAnsi="Book Antiqua" w:cs="Quattrocento"/>
          <w:sz w:val="24"/>
          <w:szCs w:val="24"/>
        </w:rPr>
        <w:t>(</w:t>
      </w:r>
      <w:r w:rsidR="000F62D6" w:rsidRPr="00EB00D9">
        <w:rPr>
          <w:rFonts w:ascii="Book Antiqua" w:hAnsi="Book Antiqua" w:cs="Quattrocento"/>
          <w:sz w:val="24"/>
          <w:szCs w:val="24"/>
        </w:rPr>
        <w:t>T</w:t>
      </w:r>
      <w:r w:rsidRPr="00EB00D9">
        <w:rPr>
          <w:rFonts w:ascii="Book Antiqua" w:hAnsi="Book Antiqua" w:cs="Quattrocento"/>
          <w:sz w:val="24"/>
          <w:szCs w:val="24"/>
        </w:rPr>
        <w:t xml:space="preserve">able 1). Phenomenon of </w:t>
      </w:r>
      <w:r w:rsidR="003D7548" w:rsidRPr="00EB00D9">
        <w:rPr>
          <w:rFonts w:ascii="Book Antiqua" w:hAnsi="Book Antiqua" w:cs="Quattrocento"/>
          <w:sz w:val="24"/>
          <w:szCs w:val="24"/>
        </w:rPr>
        <w:t xml:space="preserve">disease rebound in the immediate </w:t>
      </w:r>
      <w:r w:rsidRPr="00EB00D9">
        <w:rPr>
          <w:rFonts w:ascii="Book Antiqua" w:hAnsi="Book Antiqua" w:cs="Quattrocento"/>
          <w:sz w:val="24"/>
          <w:szCs w:val="24"/>
        </w:rPr>
        <w:t>p</w:t>
      </w:r>
      <w:r w:rsidR="003D7548" w:rsidRPr="00EB00D9">
        <w:rPr>
          <w:rFonts w:ascii="Book Antiqua" w:hAnsi="Book Antiqua" w:cs="Quattrocento"/>
          <w:sz w:val="24"/>
          <w:szCs w:val="24"/>
        </w:rPr>
        <w:t>ost-induction period</w:t>
      </w:r>
      <w:r w:rsidRPr="00EB00D9">
        <w:rPr>
          <w:rFonts w:ascii="Book Antiqua" w:hAnsi="Book Antiqua" w:cs="Quattrocento"/>
          <w:sz w:val="24"/>
          <w:szCs w:val="24"/>
        </w:rPr>
        <w:t xml:space="preserve"> was documented by Perumal </w:t>
      </w:r>
      <w:r w:rsidRPr="00EB00D9">
        <w:rPr>
          <w:rFonts w:ascii="Book Antiqua" w:hAnsi="Book Antiqua" w:cs="Quattrocento"/>
          <w:i/>
          <w:sz w:val="24"/>
          <w:szCs w:val="24"/>
        </w:rPr>
        <w:t>et al</w:t>
      </w:r>
      <w:r w:rsidRPr="00EB00D9">
        <w:rPr>
          <w:rFonts w:ascii="Book Antiqua" w:hAnsi="Book Antiqua" w:cs="Quattrocento"/>
          <w:sz w:val="24"/>
          <w:szCs w:val="24"/>
          <w:vertAlign w:val="superscript"/>
        </w:rPr>
        <w:t>[34]</w:t>
      </w:r>
      <w:r w:rsidR="003066E2" w:rsidRPr="00EB00D9">
        <w:rPr>
          <w:rFonts w:ascii="Book Antiqua" w:hAnsi="Book Antiqua" w:cs="Quattrocento"/>
          <w:sz w:val="24"/>
          <w:szCs w:val="24"/>
          <w:vertAlign w:val="superscript"/>
        </w:rPr>
        <w:t xml:space="preserve"> </w:t>
      </w:r>
      <w:r w:rsidR="003D7548" w:rsidRPr="00EB00D9">
        <w:rPr>
          <w:rFonts w:ascii="Book Antiqua" w:hAnsi="Book Antiqua" w:cs="Quattrocento"/>
          <w:sz w:val="24"/>
          <w:szCs w:val="24"/>
        </w:rPr>
        <w:t>in 6 out of their 17 patients;</w:t>
      </w:r>
      <w:r w:rsidRPr="00EB00D9">
        <w:rPr>
          <w:rFonts w:ascii="Book Antiqua" w:hAnsi="Book Antiqua" w:cs="Quattrocento"/>
          <w:sz w:val="24"/>
          <w:szCs w:val="24"/>
        </w:rPr>
        <w:t xml:space="preserve"> however most patients </w:t>
      </w:r>
      <w:r w:rsidR="003D7548" w:rsidRPr="00EB00D9">
        <w:rPr>
          <w:rFonts w:ascii="Book Antiqua" w:hAnsi="Book Antiqua" w:cs="Quattrocento"/>
          <w:sz w:val="24"/>
          <w:szCs w:val="24"/>
        </w:rPr>
        <w:t>with post-induction relapses evidenced disease stabilization</w:t>
      </w:r>
      <w:r w:rsidRPr="00EB00D9">
        <w:rPr>
          <w:rFonts w:ascii="Book Antiqua" w:hAnsi="Book Antiqua" w:cs="Quattrocento"/>
          <w:sz w:val="24"/>
          <w:szCs w:val="24"/>
        </w:rPr>
        <w:t xml:space="preserve"> with further RTX dosing and so need not be necessarily classified as </w:t>
      </w:r>
      <w:r w:rsidR="000F62D6" w:rsidRPr="00EB00D9">
        <w:rPr>
          <w:rFonts w:ascii="Book Antiqua" w:hAnsi="Book Antiqua" w:cs="Quattrocento"/>
          <w:sz w:val="24"/>
          <w:szCs w:val="24"/>
          <w:lang w:eastAsia="zh-CN"/>
        </w:rPr>
        <w:t>“</w:t>
      </w:r>
      <w:r w:rsidRPr="00EB00D9">
        <w:rPr>
          <w:rFonts w:ascii="Book Antiqua" w:hAnsi="Book Antiqua" w:cs="Quattrocento"/>
          <w:sz w:val="24"/>
          <w:szCs w:val="24"/>
        </w:rPr>
        <w:t>true non-responders</w:t>
      </w:r>
      <w:r w:rsidR="000F62D6" w:rsidRPr="00EB00D9">
        <w:rPr>
          <w:rFonts w:ascii="Book Antiqua" w:hAnsi="Book Antiqua" w:cs="Quattrocento"/>
          <w:sz w:val="24"/>
          <w:szCs w:val="24"/>
          <w:lang w:eastAsia="zh-CN"/>
        </w:rPr>
        <w:t>”</w:t>
      </w:r>
      <w:r w:rsidRPr="00EB00D9">
        <w:rPr>
          <w:rFonts w:ascii="Book Antiqua" w:hAnsi="Book Antiqua" w:cs="Quattrocento"/>
          <w:sz w:val="24"/>
          <w:szCs w:val="24"/>
        </w:rPr>
        <w:t xml:space="preserve">. </w:t>
      </w:r>
      <w:r w:rsidR="000F62D6" w:rsidRPr="00EB00D9">
        <w:rPr>
          <w:rFonts w:ascii="Book Antiqua" w:hAnsi="Book Antiqua" w:cs="Quattrocento"/>
          <w:sz w:val="24"/>
          <w:szCs w:val="24"/>
        </w:rPr>
        <w:t>Perumal</w:t>
      </w:r>
      <w:r w:rsidR="000F62D6" w:rsidRPr="00EB00D9">
        <w:rPr>
          <w:rFonts w:ascii="Book Antiqua" w:hAnsi="Book Antiqua" w:cs="Quattrocento"/>
          <w:i/>
          <w:sz w:val="24"/>
          <w:szCs w:val="24"/>
        </w:rPr>
        <w:t xml:space="preserve"> et al</w:t>
      </w:r>
      <w:r w:rsidR="000F62D6" w:rsidRPr="00EB00D9">
        <w:rPr>
          <w:rFonts w:ascii="Book Antiqua" w:hAnsi="Book Antiqua" w:cs="Quattrocento"/>
          <w:sz w:val="24"/>
          <w:szCs w:val="24"/>
          <w:vertAlign w:val="superscript"/>
        </w:rPr>
        <w:t>[35]</w:t>
      </w:r>
      <w:r w:rsidR="003D7548" w:rsidRPr="00EB00D9">
        <w:rPr>
          <w:rFonts w:ascii="Book Antiqua" w:hAnsi="Book Antiqua" w:cs="Quattrocento"/>
          <w:sz w:val="24"/>
          <w:szCs w:val="24"/>
        </w:rPr>
        <w:t xml:space="preserve"> hypothesized </w:t>
      </w:r>
      <w:r w:rsidRPr="00EB00D9">
        <w:rPr>
          <w:rFonts w:ascii="Book Antiqua" w:hAnsi="Book Antiqua" w:cs="Quattrocento"/>
          <w:sz w:val="24"/>
          <w:szCs w:val="24"/>
        </w:rPr>
        <w:t xml:space="preserve">that cytokine release and increases in BAFF and AQP4 levels that </w:t>
      </w:r>
      <w:r w:rsidR="000F62D6" w:rsidRPr="00EB00D9">
        <w:rPr>
          <w:rFonts w:ascii="Book Antiqua" w:hAnsi="Book Antiqua" w:cs="Quattrocento"/>
          <w:sz w:val="24"/>
          <w:szCs w:val="24"/>
        </w:rPr>
        <w:t>immediately follow RTX infusion</w:t>
      </w:r>
      <w:r w:rsidRPr="00EB00D9">
        <w:rPr>
          <w:rFonts w:ascii="Book Antiqua" w:hAnsi="Book Antiqua" w:cs="Quattrocento"/>
          <w:sz w:val="24"/>
          <w:szCs w:val="24"/>
          <w:vertAlign w:val="superscript"/>
        </w:rPr>
        <w:t>[35]</w:t>
      </w:r>
      <w:r w:rsidRPr="00EB00D9">
        <w:rPr>
          <w:rFonts w:ascii="Book Antiqua" w:hAnsi="Book Antiqua" w:cs="Quattrocento"/>
          <w:sz w:val="24"/>
          <w:szCs w:val="24"/>
        </w:rPr>
        <w:t xml:space="preserve"> may precipitate a post-infusion relapse in highly active NMO patients. </w:t>
      </w:r>
    </w:p>
    <w:p w:rsidR="00120E34" w:rsidRPr="00EB00D9" w:rsidRDefault="00F32B3D" w:rsidP="000F62D6">
      <w:pPr>
        <w:spacing w:after="0" w:line="360" w:lineRule="auto"/>
        <w:ind w:firstLineChars="100" w:firstLine="240"/>
        <w:jc w:val="both"/>
        <w:rPr>
          <w:rFonts w:ascii="Book Antiqua" w:hAnsi="Book Antiqua" w:cs="Quattrocento"/>
          <w:sz w:val="24"/>
          <w:szCs w:val="24"/>
        </w:rPr>
      </w:pPr>
      <w:r w:rsidRPr="00EB00D9">
        <w:rPr>
          <w:rFonts w:ascii="Book Antiqua" w:hAnsi="Book Antiqua" w:cs="Quattrocento"/>
          <w:sz w:val="24"/>
          <w:szCs w:val="24"/>
        </w:rPr>
        <w:t xml:space="preserve">Continual disease activity </w:t>
      </w:r>
      <w:r w:rsidR="00F965DD" w:rsidRPr="00EB00D9">
        <w:rPr>
          <w:rFonts w:ascii="Book Antiqua" w:hAnsi="Book Antiqua" w:cs="Quattrocento"/>
          <w:sz w:val="24"/>
          <w:szCs w:val="24"/>
        </w:rPr>
        <w:t xml:space="preserve">can occur </w:t>
      </w:r>
      <w:r w:rsidRPr="00EB00D9">
        <w:rPr>
          <w:rFonts w:ascii="Book Antiqua" w:hAnsi="Book Antiqua" w:cs="Quattrocento"/>
          <w:sz w:val="24"/>
          <w:szCs w:val="24"/>
        </w:rPr>
        <w:t>in RTX</w:t>
      </w:r>
      <w:r w:rsidR="00120E34" w:rsidRPr="00EB00D9">
        <w:rPr>
          <w:rFonts w:ascii="Book Antiqua" w:hAnsi="Book Antiqua" w:cs="Quattrocento"/>
          <w:sz w:val="24"/>
          <w:szCs w:val="24"/>
        </w:rPr>
        <w:t>-treated NMO patients with complete depletion o</w:t>
      </w:r>
      <w:r w:rsidR="00F965DD" w:rsidRPr="00EB00D9">
        <w:rPr>
          <w:rFonts w:ascii="Book Antiqua" w:hAnsi="Book Antiqua" w:cs="Quattrocento"/>
          <w:sz w:val="24"/>
          <w:szCs w:val="24"/>
        </w:rPr>
        <w:t>f B-cells continued</w:t>
      </w:r>
      <w:r w:rsidR="00120E34" w:rsidRPr="00EB00D9">
        <w:rPr>
          <w:rFonts w:ascii="Book Antiqua" w:hAnsi="Book Antiqua" w:cs="Quattrocento"/>
          <w:sz w:val="24"/>
          <w:szCs w:val="24"/>
          <w:vertAlign w:val="superscript"/>
        </w:rPr>
        <w:t>[29,30,32,36]</w:t>
      </w:r>
      <w:r w:rsidR="00120E34" w:rsidRPr="00EB00D9">
        <w:rPr>
          <w:rFonts w:ascii="Book Antiqua" w:hAnsi="Book Antiqua" w:cs="Quattrocento"/>
          <w:sz w:val="24"/>
          <w:szCs w:val="24"/>
        </w:rPr>
        <w:t>. Risk factors that would predict non-responsiveness to RTX are presently unknown. It was suggested that RTX non-responders may require not only B-lymphocyt</w:t>
      </w:r>
      <w:r w:rsidR="00F965DD" w:rsidRPr="00EB00D9">
        <w:rPr>
          <w:rFonts w:ascii="Book Antiqua" w:hAnsi="Book Antiqua" w:cs="Quattrocento"/>
          <w:sz w:val="24"/>
          <w:szCs w:val="24"/>
        </w:rPr>
        <w:t>e elimination</w:t>
      </w:r>
      <w:r w:rsidR="00120E34" w:rsidRPr="00EB00D9">
        <w:rPr>
          <w:rFonts w:ascii="Book Antiqua" w:hAnsi="Book Antiqua" w:cs="Quattrocento"/>
          <w:sz w:val="24"/>
          <w:szCs w:val="24"/>
        </w:rPr>
        <w:t xml:space="preserve"> with RTX, but an additional, </w:t>
      </w:r>
      <w:r w:rsidR="000F62D6" w:rsidRPr="00EB00D9">
        <w:rPr>
          <w:rFonts w:ascii="Book Antiqua" w:hAnsi="Book Antiqua" w:cs="Quattrocento"/>
          <w:sz w:val="24"/>
          <w:szCs w:val="24"/>
          <w:lang w:eastAsia="zh-CN"/>
        </w:rPr>
        <w:t>“</w:t>
      </w:r>
      <w:r w:rsidR="00120E34" w:rsidRPr="00EB00D9">
        <w:rPr>
          <w:rFonts w:ascii="Book Antiqua" w:hAnsi="Book Antiqua" w:cs="Quattrocento"/>
          <w:sz w:val="24"/>
          <w:szCs w:val="24"/>
        </w:rPr>
        <w:t>broad-spectrum immunosuppressant</w:t>
      </w:r>
      <w:r w:rsidR="000F62D6" w:rsidRPr="00EB00D9">
        <w:rPr>
          <w:rFonts w:ascii="Book Antiqua" w:hAnsi="Book Antiqua" w:cs="Quattrocento"/>
          <w:sz w:val="24"/>
          <w:szCs w:val="24"/>
          <w:lang w:eastAsia="zh-CN"/>
        </w:rPr>
        <w:t>”</w:t>
      </w:r>
      <w:r w:rsidR="000F62D6" w:rsidRPr="00EB00D9">
        <w:rPr>
          <w:rFonts w:ascii="Book Antiqua" w:hAnsi="Book Antiqua" w:cs="Quattrocento"/>
          <w:sz w:val="24"/>
          <w:szCs w:val="24"/>
        </w:rPr>
        <w:t xml:space="preserve"> to achieve disease suppression</w:t>
      </w:r>
      <w:r w:rsidR="00120E34" w:rsidRPr="00EB00D9">
        <w:rPr>
          <w:rFonts w:ascii="Book Antiqua" w:hAnsi="Book Antiqua" w:cs="Quattrocento"/>
          <w:sz w:val="24"/>
          <w:szCs w:val="24"/>
          <w:vertAlign w:val="superscript"/>
        </w:rPr>
        <w:t>[31]</w:t>
      </w:r>
      <w:r w:rsidR="00120E34" w:rsidRPr="00EB00D9">
        <w:rPr>
          <w:rFonts w:ascii="Book Antiqua" w:hAnsi="Book Antiqua" w:cs="Quattrocento"/>
          <w:sz w:val="24"/>
          <w:szCs w:val="24"/>
        </w:rPr>
        <w:t>. This strategy has been successfully adopted in the treatment of Rheumatoid Arthritis, where RTX is combined with Methotrexate or Cyclophosphami</w:t>
      </w:r>
      <w:r w:rsidR="000F62D6" w:rsidRPr="00EB00D9">
        <w:rPr>
          <w:rFonts w:ascii="Book Antiqua" w:hAnsi="Book Antiqua" w:cs="Quattrocento"/>
          <w:sz w:val="24"/>
          <w:szCs w:val="24"/>
        </w:rPr>
        <w:t>de to achieve disease remission</w:t>
      </w:r>
      <w:r w:rsidR="00120E34" w:rsidRPr="00EB00D9">
        <w:rPr>
          <w:rFonts w:ascii="Book Antiqua" w:hAnsi="Book Antiqua" w:cs="Quattrocento"/>
          <w:sz w:val="24"/>
          <w:szCs w:val="24"/>
          <w:vertAlign w:val="superscript"/>
        </w:rPr>
        <w:t>[13]</w:t>
      </w:r>
      <w:r w:rsidR="00120E34" w:rsidRPr="00EB00D9">
        <w:rPr>
          <w:rFonts w:ascii="Book Antiqua" w:hAnsi="Book Antiqua" w:cs="Quattrocento"/>
          <w:sz w:val="24"/>
          <w:szCs w:val="24"/>
        </w:rPr>
        <w:t>. We discuss potential mechanisms that may explain lack of response</w:t>
      </w:r>
      <w:r w:rsidR="00F965DD" w:rsidRPr="00EB00D9">
        <w:rPr>
          <w:rFonts w:ascii="Book Antiqua" w:hAnsi="Book Antiqua" w:cs="Quattrocento"/>
          <w:sz w:val="24"/>
          <w:szCs w:val="24"/>
        </w:rPr>
        <w:t xml:space="preserve"> to RTX in </w:t>
      </w:r>
      <w:r w:rsidR="000F62D6" w:rsidRPr="00EB00D9">
        <w:rPr>
          <w:rFonts w:ascii="Book Antiqua" w:hAnsi="Book Antiqua" w:cs="Quattrocento"/>
          <w:sz w:val="24"/>
          <w:szCs w:val="24"/>
          <w:lang w:eastAsia="zh-CN"/>
        </w:rPr>
        <w:t>“</w:t>
      </w:r>
      <w:r w:rsidR="00F965DD" w:rsidRPr="00EB00D9">
        <w:rPr>
          <w:rFonts w:ascii="Book Antiqua" w:hAnsi="Book Antiqua" w:cs="Quattrocento"/>
          <w:sz w:val="24"/>
          <w:szCs w:val="24"/>
        </w:rPr>
        <w:t xml:space="preserve">Variability </w:t>
      </w:r>
      <w:r w:rsidR="00646413" w:rsidRPr="00EB00D9">
        <w:rPr>
          <w:rFonts w:ascii="Book Antiqua" w:hAnsi="Book Antiqua" w:cs="Quattrocento"/>
          <w:sz w:val="24"/>
          <w:szCs w:val="24"/>
        </w:rPr>
        <w:t>in responses to RTX treatment</w:t>
      </w:r>
      <w:r w:rsidR="000F62D6" w:rsidRPr="00EB00D9">
        <w:rPr>
          <w:rFonts w:ascii="Book Antiqua" w:hAnsi="Book Antiqua" w:cs="Quattrocento"/>
          <w:sz w:val="24"/>
          <w:szCs w:val="24"/>
          <w:lang w:eastAsia="zh-CN"/>
        </w:rPr>
        <w:t>”</w:t>
      </w:r>
      <w:r w:rsidR="00120E34" w:rsidRPr="00EB00D9">
        <w:rPr>
          <w:rFonts w:ascii="Book Antiqua" w:hAnsi="Book Antiqua" w:cs="Quattrocento"/>
          <w:sz w:val="24"/>
          <w:szCs w:val="24"/>
        </w:rPr>
        <w:t xml:space="preserve"> section below. </w:t>
      </w:r>
    </w:p>
    <w:p w:rsidR="00120E34" w:rsidRPr="00EB00D9" w:rsidRDefault="00120E34" w:rsidP="000F62D6">
      <w:pPr>
        <w:spacing w:after="0" w:line="360" w:lineRule="auto"/>
        <w:ind w:firstLineChars="100" w:firstLine="240"/>
        <w:jc w:val="both"/>
        <w:rPr>
          <w:rFonts w:ascii="Book Antiqua" w:hAnsi="Book Antiqua" w:cs="Quattrocento"/>
          <w:sz w:val="24"/>
          <w:szCs w:val="24"/>
        </w:rPr>
      </w:pPr>
      <w:r w:rsidRPr="00EB00D9">
        <w:rPr>
          <w:rFonts w:ascii="Book Antiqua" w:hAnsi="Book Antiqua" w:cs="Quattrocento"/>
          <w:sz w:val="24"/>
          <w:szCs w:val="24"/>
        </w:rPr>
        <w:t>Expanded Disability Severity Score (EDSS) scores before and after RTX were reported in 9 out of 13 studies. In 7 of the 9 studies, EDSS at last follow-up was lower than prior to RTX initiation. Exceptions we</w:t>
      </w:r>
      <w:r w:rsidR="000F62D6" w:rsidRPr="00EB00D9">
        <w:rPr>
          <w:rFonts w:ascii="Book Antiqua" w:hAnsi="Book Antiqua" w:cs="Quattrocento"/>
          <w:sz w:val="24"/>
          <w:szCs w:val="24"/>
        </w:rPr>
        <w:t xml:space="preserve">re the studies by Lindsey </w:t>
      </w:r>
      <w:r w:rsidR="000F62D6" w:rsidRPr="00EB00D9">
        <w:rPr>
          <w:rFonts w:ascii="Book Antiqua" w:hAnsi="Book Antiqua" w:cs="Quattrocento"/>
          <w:i/>
          <w:sz w:val="24"/>
          <w:szCs w:val="24"/>
        </w:rPr>
        <w:t>et al</w:t>
      </w:r>
      <w:r w:rsidR="000F62D6" w:rsidRPr="00EB00D9">
        <w:rPr>
          <w:rFonts w:ascii="Book Antiqua" w:hAnsi="Book Antiqua" w:cs="Quattrocento" w:hint="eastAsia"/>
          <w:sz w:val="24"/>
          <w:szCs w:val="24"/>
          <w:vertAlign w:val="superscript"/>
          <w:lang w:eastAsia="zh-CN"/>
        </w:rPr>
        <w:t>[32]</w:t>
      </w:r>
      <w:r w:rsidRPr="00EB00D9">
        <w:rPr>
          <w:rFonts w:ascii="Book Antiqua" w:hAnsi="Book Antiqua" w:cs="Quattrocento"/>
          <w:sz w:val="24"/>
          <w:szCs w:val="24"/>
        </w:rPr>
        <w:t xml:space="preserve"> and Pellkofer </w:t>
      </w:r>
      <w:r w:rsidRPr="00EB00D9">
        <w:rPr>
          <w:rFonts w:ascii="Book Antiqua" w:hAnsi="Book Antiqua" w:cs="Quattrocento"/>
          <w:i/>
          <w:sz w:val="24"/>
          <w:szCs w:val="24"/>
        </w:rPr>
        <w:t>et al</w:t>
      </w:r>
      <w:r w:rsidR="000F62D6" w:rsidRPr="00EB00D9">
        <w:rPr>
          <w:rFonts w:ascii="Book Antiqua" w:hAnsi="Book Antiqua" w:cs="Quattrocento" w:hint="eastAsia"/>
          <w:sz w:val="24"/>
          <w:szCs w:val="24"/>
          <w:vertAlign w:val="superscript"/>
          <w:lang w:eastAsia="zh-CN"/>
        </w:rPr>
        <w:t>[30]</w:t>
      </w:r>
      <w:r w:rsidRPr="00EB00D9">
        <w:rPr>
          <w:rFonts w:ascii="Book Antiqua" w:hAnsi="Book Antiqua" w:cs="Quattrocento"/>
          <w:sz w:val="24"/>
          <w:szCs w:val="24"/>
        </w:rPr>
        <w:t>, in which EDSS at last follow-up increased by 0.8 and 0.5, respectively,</w:t>
      </w:r>
      <w:r w:rsidR="00CA2267" w:rsidRPr="00EB00D9">
        <w:rPr>
          <w:rFonts w:ascii="Book Antiqua" w:hAnsi="Book Antiqua" w:cs="Quattrocento"/>
          <w:sz w:val="24"/>
          <w:szCs w:val="24"/>
        </w:rPr>
        <w:t xml:space="preserve"> compared to pre-treatment EDSS</w:t>
      </w:r>
      <w:r w:rsidRPr="00EB00D9">
        <w:rPr>
          <w:rFonts w:ascii="Book Antiqua" w:hAnsi="Book Antiqua" w:cs="Quattrocento"/>
          <w:sz w:val="24"/>
          <w:szCs w:val="24"/>
          <w:vertAlign w:val="superscript"/>
        </w:rPr>
        <w:t>[30,32]</w:t>
      </w:r>
      <w:r w:rsidRPr="00EB00D9">
        <w:rPr>
          <w:rFonts w:ascii="Book Antiqua" w:hAnsi="Book Antiqua" w:cs="Quattrocento"/>
          <w:sz w:val="24"/>
          <w:szCs w:val="24"/>
        </w:rPr>
        <w:t>.</w:t>
      </w:r>
    </w:p>
    <w:p w:rsidR="00120E34" w:rsidRPr="00EB00D9" w:rsidRDefault="00120E34" w:rsidP="000F62D6">
      <w:pPr>
        <w:spacing w:after="0" w:line="360" w:lineRule="auto"/>
        <w:jc w:val="both"/>
        <w:rPr>
          <w:rFonts w:ascii="Book Antiqua" w:hAnsi="Book Antiqua" w:cs="Quattrocento"/>
          <w:sz w:val="24"/>
          <w:szCs w:val="24"/>
          <w:vertAlign w:val="superscript"/>
        </w:rPr>
      </w:pPr>
      <w:r w:rsidRPr="00EB00D9">
        <w:rPr>
          <w:rFonts w:ascii="Book Antiqua" w:hAnsi="Book Antiqua" w:cs="Quattrocento"/>
          <w:sz w:val="24"/>
          <w:szCs w:val="24"/>
          <w:vertAlign w:val="superscript"/>
        </w:rPr>
        <w:t xml:space="preserve"> </w:t>
      </w:r>
    </w:p>
    <w:p w:rsidR="00120E34" w:rsidRPr="00EB00D9" w:rsidRDefault="000F62D6" w:rsidP="000F62D6">
      <w:pPr>
        <w:spacing w:after="0" w:line="360" w:lineRule="auto"/>
        <w:jc w:val="both"/>
        <w:rPr>
          <w:rFonts w:ascii="Book Antiqua" w:hAnsi="Book Antiqua" w:cs="Quattrocento"/>
          <w:b/>
          <w:sz w:val="24"/>
          <w:szCs w:val="24"/>
        </w:rPr>
      </w:pPr>
      <w:r w:rsidRPr="00EB00D9">
        <w:rPr>
          <w:rFonts w:ascii="Book Antiqua" w:hAnsi="Book Antiqua" w:cs="Quattrocento"/>
          <w:b/>
          <w:sz w:val="24"/>
          <w:szCs w:val="24"/>
        </w:rPr>
        <w:t>ADVERSE EVENTS</w:t>
      </w:r>
    </w:p>
    <w:p w:rsidR="00120E34" w:rsidRPr="00EB00D9" w:rsidRDefault="00120E34" w:rsidP="000F62D6">
      <w:pPr>
        <w:spacing w:after="0" w:line="360" w:lineRule="auto"/>
        <w:jc w:val="both"/>
        <w:rPr>
          <w:rFonts w:ascii="Book Antiqua" w:hAnsi="Book Antiqua" w:cs="Arial"/>
          <w:sz w:val="24"/>
          <w:szCs w:val="24"/>
          <w:vertAlign w:val="superscript"/>
        </w:rPr>
      </w:pPr>
      <w:r w:rsidRPr="00EB00D9">
        <w:rPr>
          <w:rFonts w:ascii="Book Antiqua" w:hAnsi="Book Antiqua" w:cs="Quattrocento"/>
          <w:sz w:val="24"/>
          <w:szCs w:val="24"/>
        </w:rPr>
        <w:t>Two studies</w:t>
      </w:r>
      <w:r w:rsidRPr="00EB00D9">
        <w:rPr>
          <w:rFonts w:ascii="Book Antiqua" w:hAnsi="Book Antiqua" w:cs="Arial"/>
          <w:sz w:val="24"/>
          <w:szCs w:val="24"/>
        </w:rPr>
        <w:t xml:space="preserve"> recorded fatal outcomes in RTX-treated NMO patient</w:t>
      </w:r>
      <w:r w:rsidR="00CA2267" w:rsidRPr="00EB00D9">
        <w:rPr>
          <w:rFonts w:ascii="Book Antiqua" w:hAnsi="Book Antiqua" w:cs="Arial"/>
          <w:sz w:val="24"/>
          <w:szCs w:val="24"/>
        </w:rPr>
        <w:t>s.</w:t>
      </w:r>
      <w:r w:rsidR="003066E2" w:rsidRPr="00EB00D9">
        <w:rPr>
          <w:rFonts w:ascii="Book Antiqua" w:hAnsi="Book Antiqua" w:cs="Arial"/>
          <w:sz w:val="24"/>
          <w:szCs w:val="24"/>
        </w:rPr>
        <w:t xml:space="preserve"> </w:t>
      </w:r>
      <w:r w:rsidR="00CA2267" w:rsidRPr="00EB00D9">
        <w:rPr>
          <w:rFonts w:ascii="Book Antiqua" w:hAnsi="Book Antiqua" w:cs="Arial"/>
          <w:sz w:val="24"/>
          <w:szCs w:val="24"/>
        </w:rPr>
        <w:t xml:space="preserve">In the study of Jacob </w:t>
      </w:r>
      <w:r w:rsidR="00CA2267" w:rsidRPr="00EB00D9">
        <w:rPr>
          <w:rFonts w:ascii="Book Antiqua" w:hAnsi="Book Antiqua" w:cs="Arial"/>
          <w:i/>
          <w:sz w:val="24"/>
          <w:szCs w:val="24"/>
        </w:rPr>
        <w:t>et al</w:t>
      </w:r>
      <w:r w:rsidR="00CA2267" w:rsidRPr="00EB00D9">
        <w:rPr>
          <w:rFonts w:ascii="Book Antiqua" w:hAnsi="Book Antiqua" w:cs="Arial" w:hint="eastAsia"/>
          <w:sz w:val="24"/>
          <w:szCs w:val="24"/>
          <w:vertAlign w:val="superscript"/>
          <w:lang w:eastAsia="zh-CN"/>
        </w:rPr>
        <w:t>[23]</w:t>
      </w:r>
      <w:r w:rsidRPr="00EB00D9">
        <w:rPr>
          <w:rFonts w:ascii="Book Antiqua" w:hAnsi="Book Antiqua" w:cs="Arial"/>
          <w:sz w:val="24"/>
          <w:szCs w:val="24"/>
        </w:rPr>
        <w:t>, one patient died from a brainstem NMO relapse and another succumbed to suspected septicemia</w:t>
      </w:r>
      <w:r w:rsidRPr="00EB00D9">
        <w:rPr>
          <w:rFonts w:ascii="Book Antiqua" w:hAnsi="Book Antiqua" w:cs="Arial"/>
          <w:sz w:val="24"/>
          <w:szCs w:val="24"/>
          <w:vertAlign w:val="superscript"/>
        </w:rPr>
        <w:t>[23]</w:t>
      </w:r>
      <w:r w:rsidR="00503379" w:rsidRPr="00EB00D9">
        <w:rPr>
          <w:rFonts w:ascii="Book Antiqua" w:hAnsi="Book Antiqua" w:cs="Arial"/>
          <w:sz w:val="24"/>
          <w:szCs w:val="24"/>
        </w:rPr>
        <w:t>.</w:t>
      </w:r>
      <w:r w:rsidRPr="00EB00D9">
        <w:rPr>
          <w:rFonts w:ascii="Book Antiqua" w:hAnsi="Book Antiqua" w:cs="Arial"/>
          <w:sz w:val="24"/>
          <w:szCs w:val="24"/>
        </w:rPr>
        <w:t xml:space="preserve"> Pellkofer </w:t>
      </w:r>
      <w:r w:rsidRPr="00EB00D9">
        <w:rPr>
          <w:rFonts w:ascii="Book Antiqua" w:hAnsi="Book Antiqua" w:cs="Arial"/>
          <w:i/>
          <w:sz w:val="24"/>
          <w:szCs w:val="24"/>
        </w:rPr>
        <w:t>et al</w:t>
      </w:r>
      <w:r w:rsidR="000F62D6" w:rsidRPr="00EB00D9">
        <w:rPr>
          <w:rFonts w:ascii="Book Antiqua" w:hAnsi="Book Antiqua" w:cs="Arial" w:hint="eastAsia"/>
          <w:sz w:val="24"/>
          <w:szCs w:val="24"/>
          <w:vertAlign w:val="superscript"/>
          <w:lang w:eastAsia="zh-CN"/>
        </w:rPr>
        <w:t>[30]</w:t>
      </w:r>
      <w:r w:rsidRPr="00EB00D9">
        <w:rPr>
          <w:rFonts w:ascii="Book Antiqua" w:hAnsi="Book Antiqua" w:cs="Arial"/>
          <w:sz w:val="24"/>
          <w:szCs w:val="24"/>
        </w:rPr>
        <w:t xml:space="preserve"> reported one death due to presumed cardiovascular failure that occurred 3 d after a rituximab infusion</w:t>
      </w:r>
      <w:r w:rsidRPr="00EB00D9">
        <w:rPr>
          <w:rFonts w:ascii="Book Antiqua" w:hAnsi="Book Antiqua" w:cs="Arial"/>
          <w:sz w:val="24"/>
          <w:szCs w:val="24"/>
          <w:vertAlign w:val="superscript"/>
        </w:rPr>
        <w:t>[30]</w:t>
      </w:r>
      <w:r w:rsidRPr="00EB00D9">
        <w:rPr>
          <w:rFonts w:ascii="Book Antiqua" w:hAnsi="Book Antiqua" w:cs="Arial"/>
          <w:sz w:val="24"/>
          <w:szCs w:val="24"/>
        </w:rPr>
        <w:t>.</w:t>
      </w:r>
      <w:r w:rsidRPr="00EB00D9">
        <w:rPr>
          <w:rFonts w:ascii="Book Antiqua" w:hAnsi="Book Antiqua" w:cs="Arial"/>
          <w:sz w:val="24"/>
          <w:szCs w:val="24"/>
          <w:vertAlign w:val="superscript"/>
        </w:rPr>
        <w:t xml:space="preserve"> </w:t>
      </w:r>
    </w:p>
    <w:p w:rsidR="00120E34" w:rsidRPr="00EB00D9" w:rsidRDefault="00120E34" w:rsidP="000F62D6">
      <w:pPr>
        <w:spacing w:after="0" w:line="360" w:lineRule="auto"/>
        <w:ind w:firstLineChars="100" w:firstLine="240"/>
        <w:jc w:val="both"/>
        <w:rPr>
          <w:rFonts w:ascii="Book Antiqua" w:hAnsi="Book Antiqua" w:cs="Quattrocento"/>
          <w:sz w:val="24"/>
          <w:szCs w:val="24"/>
          <w:vertAlign w:val="superscript"/>
        </w:rPr>
      </w:pPr>
      <w:r w:rsidRPr="00EB00D9">
        <w:rPr>
          <w:rFonts w:ascii="Book Antiqua" w:hAnsi="Book Antiqua" w:cs="Arial"/>
          <w:sz w:val="24"/>
          <w:szCs w:val="24"/>
        </w:rPr>
        <w:t xml:space="preserve">Adverse events were not systematically documented across the studies, so estimates of their prevalence are not possible. A number of infections have been observed </w:t>
      </w:r>
      <w:r w:rsidR="00503379" w:rsidRPr="00EB00D9">
        <w:rPr>
          <w:rFonts w:ascii="Book Antiqua" w:hAnsi="Book Antiqua" w:cs="Arial"/>
          <w:sz w:val="24"/>
          <w:szCs w:val="24"/>
        </w:rPr>
        <w:t>– mostly, herpetic rashes and tuberculosis</w:t>
      </w:r>
      <w:r w:rsidRPr="00EB00D9">
        <w:rPr>
          <w:rFonts w:ascii="Book Antiqua" w:hAnsi="Book Antiqua" w:cs="Arial"/>
          <w:sz w:val="24"/>
          <w:szCs w:val="24"/>
        </w:rPr>
        <w:t xml:space="preserve"> reactivation. RTX tre</w:t>
      </w:r>
      <w:r w:rsidR="00503379" w:rsidRPr="00EB00D9">
        <w:rPr>
          <w:rFonts w:ascii="Book Antiqua" w:hAnsi="Book Antiqua" w:cs="Arial"/>
          <w:sz w:val="24"/>
          <w:szCs w:val="24"/>
        </w:rPr>
        <w:t>atment carries a small risk of p</w:t>
      </w:r>
      <w:r w:rsidRPr="00EB00D9">
        <w:rPr>
          <w:rFonts w:ascii="Book Antiqua" w:hAnsi="Book Antiqua" w:cs="Arial"/>
          <w:sz w:val="24"/>
          <w:szCs w:val="24"/>
        </w:rPr>
        <w:t>rogressive multifocal leukoencephalopathy (PM</w:t>
      </w:r>
      <w:r w:rsidR="00503379" w:rsidRPr="00EB00D9">
        <w:rPr>
          <w:rFonts w:ascii="Book Antiqua" w:hAnsi="Book Antiqua" w:cs="Arial"/>
          <w:sz w:val="24"/>
          <w:szCs w:val="24"/>
        </w:rPr>
        <w:t xml:space="preserve">L) </w:t>
      </w:r>
      <w:r w:rsidRPr="00EB00D9">
        <w:rPr>
          <w:rFonts w:ascii="Book Antiqua" w:hAnsi="Book Antiqua" w:cs="Arial"/>
          <w:sz w:val="24"/>
          <w:szCs w:val="24"/>
        </w:rPr>
        <w:t>- 1 ca</w:t>
      </w:r>
      <w:r w:rsidR="000F62D6" w:rsidRPr="00EB00D9">
        <w:rPr>
          <w:rFonts w:ascii="Book Antiqua" w:hAnsi="Book Antiqua" w:cs="Arial"/>
          <w:sz w:val="24"/>
          <w:szCs w:val="24"/>
        </w:rPr>
        <w:t>se per 25</w:t>
      </w:r>
      <w:r w:rsidRPr="00EB00D9">
        <w:rPr>
          <w:rFonts w:ascii="Book Antiqua" w:hAnsi="Book Antiqua" w:cs="Arial"/>
          <w:sz w:val="24"/>
          <w:szCs w:val="24"/>
        </w:rPr>
        <w:t>000 individuals in one large cohort of patients with rheumatoid arthritis</w:t>
      </w:r>
      <w:r w:rsidRPr="00EB00D9">
        <w:rPr>
          <w:rFonts w:ascii="Book Antiqua" w:hAnsi="Book Antiqua" w:cs="Arial"/>
          <w:sz w:val="24"/>
          <w:szCs w:val="24"/>
          <w:vertAlign w:val="superscript"/>
        </w:rPr>
        <w:t>[</w:t>
      </w:r>
      <w:r w:rsidR="009C692E" w:rsidRPr="00EB00D9">
        <w:rPr>
          <w:rFonts w:ascii="Book Antiqua" w:hAnsi="Book Antiqua" w:cs="Arial" w:hint="eastAsia"/>
          <w:sz w:val="24"/>
          <w:szCs w:val="24"/>
          <w:vertAlign w:val="superscript"/>
          <w:lang w:eastAsia="zh-CN"/>
        </w:rPr>
        <w:t>37</w:t>
      </w:r>
      <w:r w:rsidRPr="00EB00D9">
        <w:rPr>
          <w:rFonts w:ascii="Book Antiqua" w:hAnsi="Book Antiqua" w:cs="Arial"/>
          <w:sz w:val="24"/>
          <w:szCs w:val="24"/>
          <w:vertAlign w:val="superscript"/>
        </w:rPr>
        <w:t>]</w:t>
      </w:r>
      <w:r w:rsidRPr="00EB00D9">
        <w:rPr>
          <w:rFonts w:ascii="Book Antiqua" w:hAnsi="Book Antiqua" w:cs="Arial"/>
          <w:sz w:val="24"/>
          <w:szCs w:val="24"/>
        </w:rPr>
        <w:t>. No cases of PML in RTX-treated NMO patient</w:t>
      </w:r>
      <w:r w:rsidR="00503379" w:rsidRPr="00EB00D9">
        <w:rPr>
          <w:rFonts w:ascii="Book Antiqua" w:hAnsi="Book Antiqua" w:cs="Arial"/>
          <w:sz w:val="24"/>
          <w:szCs w:val="24"/>
        </w:rPr>
        <w:t>s has been reported to date, though</w:t>
      </w:r>
      <w:r w:rsidRPr="00EB00D9">
        <w:rPr>
          <w:rFonts w:ascii="Book Antiqua" w:hAnsi="Book Antiqua" w:cs="Arial"/>
          <w:sz w:val="24"/>
          <w:szCs w:val="24"/>
        </w:rPr>
        <w:t xml:space="preserve"> there was a single case report of PML in NMO pat</w:t>
      </w:r>
      <w:r w:rsidR="000F62D6" w:rsidRPr="00EB00D9">
        <w:rPr>
          <w:rFonts w:ascii="Book Antiqua" w:hAnsi="Book Antiqua" w:cs="Arial"/>
          <w:sz w:val="24"/>
          <w:szCs w:val="24"/>
        </w:rPr>
        <w:t>ients treated with azathioprine</w:t>
      </w:r>
      <w:r w:rsidRPr="00EB00D9">
        <w:rPr>
          <w:rFonts w:ascii="Book Antiqua" w:hAnsi="Book Antiqua" w:cs="Arial"/>
          <w:sz w:val="24"/>
          <w:szCs w:val="24"/>
          <w:vertAlign w:val="superscript"/>
        </w:rPr>
        <w:t>[</w:t>
      </w:r>
      <w:r w:rsidR="009C692E" w:rsidRPr="00EB00D9">
        <w:rPr>
          <w:rFonts w:ascii="Book Antiqua" w:hAnsi="Book Antiqua" w:cs="Arial" w:hint="eastAsia"/>
          <w:sz w:val="24"/>
          <w:szCs w:val="24"/>
          <w:vertAlign w:val="superscript"/>
          <w:lang w:eastAsia="zh-CN"/>
        </w:rPr>
        <w:t>3</w:t>
      </w:r>
      <w:r w:rsidRPr="00EB00D9">
        <w:rPr>
          <w:rFonts w:ascii="Book Antiqua" w:hAnsi="Book Antiqua" w:cs="Arial"/>
          <w:sz w:val="24"/>
          <w:szCs w:val="24"/>
          <w:vertAlign w:val="superscript"/>
        </w:rPr>
        <w:t>8]</w:t>
      </w:r>
      <w:r w:rsidR="00503379" w:rsidRPr="00EB00D9">
        <w:rPr>
          <w:rFonts w:ascii="Book Antiqua" w:hAnsi="Book Antiqua" w:cs="Arial"/>
          <w:sz w:val="24"/>
          <w:szCs w:val="24"/>
        </w:rPr>
        <w:t xml:space="preserve">. </w:t>
      </w:r>
      <w:r w:rsidRPr="00EB00D9">
        <w:rPr>
          <w:rFonts w:ascii="Book Antiqua" w:hAnsi="Book Antiqua" w:cs="Arial"/>
          <w:sz w:val="24"/>
          <w:szCs w:val="24"/>
        </w:rPr>
        <w:t>Overall, adverse events profile of RTX in NMO appears to be consistent with known safety profile of the drug</w:t>
      </w:r>
      <w:r w:rsidRPr="00EB00D9">
        <w:rPr>
          <w:rFonts w:ascii="Book Antiqua" w:hAnsi="Book Antiqua" w:cs="Arial"/>
          <w:sz w:val="24"/>
          <w:szCs w:val="24"/>
          <w:vertAlign w:val="superscript"/>
        </w:rPr>
        <w:t>[13]</w:t>
      </w:r>
      <w:r w:rsidRPr="00EB00D9">
        <w:rPr>
          <w:rFonts w:ascii="Book Antiqua" w:hAnsi="Book Antiqua" w:cs="Arial"/>
          <w:sz w:val="24"/>
          <w:szCs w:val="24"/>
        </w:rPr>
        <w:t xml:space="preserve">. Infusion reaction to RTX are very common, but can usually be </w:t>
      </w:r>
      <w:r w:rsidR="00177861" w:rsidRPr="00EB00D9">
        <w:rPr>
          <w:rFonts w:ascii="Book Antiqua" w:hAnsi="Book Antiqua" w:cs="Arial"/>
          <w:sz w:val="24"/>
          <w:szCs w:val="24"/>
        </w:rPr>
        <w:t>mitigated</w:t>
      </w:r>
      <w:r w:rsidRPr="00EB00D9">
        <w:rPr>
          <w:rFonts w:ascii="Book Antiqua" w:hAnsi="Book Antiqua" w:cs="Arial"/>
          <w:sz w:val="24"/>
          <w:szCs w:val="24"/>
        </w:rPr>
        <w:t xml:space="preserve"> by pre-treatment with intravenous steroids and anti-histamine and slow titration of RTX.</w:t>
      </w:r>
    </w:p>
    <w:p w:rsidR="00120E34" w:rsidRPr="00EB00D9" w:rsidRDefault="00120E34" w:rsidP="000F62D6">
      <w:pPr>
        <w:spacing w:after="0" w:line="360" w:lineRule="auto"/>
        <w:jc w:val="both"/>
        <w:rPr>
          <w:rFonts w:ascii="Book Antiqua" w:hAnsi="Book Antiqua" w:cs="Arial"/>
          <w:sz w:val="24"/>
          <w:szCs w:val="24"/>
        </w:rPr>
      </w:pPr>
    </w:p>
    <w:p w:rsidR="00120E34" w:rsidRPr="00EB00D9" w:rsidRDefault="000F62D6" w:rsidP="000F62D6">
      <w:pPr>
        <w:spacing w:after="0" w:line="360" w:lineRule="auto"/>
        <w:jc w:val="both"/>
        <w:rPr>
          <w:rFonts w:ascii="Book Antiqua" w:hAnsi="Book Antiqua" w:cs="Arial"/>
          <w:b/>
          <w:sz w:val="24"/>
          <w:szCs w:val="24"/>
        </w:rPr>
      </w:pPr>
      <w:r w:rsidRPr="00EB00D9">
        <w:rPr>
          <w:rFonts w:ascii="Book Antiqua" w:hAnsi="Book Antiqua" w:cs="Arial"/>
          <w:b/>
          <w:sz w:val="24"/>
          <w:szCs w:val="24"/>
        </w:rPr>
        <w:t xml:space="preserve">DOSING OF RTX AND BIOMARKERS OF TREATMENT RESPONSE </w:t>
      </w:r>
    </w:p>
    <w:p w:rsidR="00120E34" w:rsidRPr="00EB00D9" w:rsidRDefault="00120E34" w:rsidP="000F62D6">
      <w:pPr>
        <w:spacing w:after="0" w:line="360" w:lineRule="auto"/>
        <w:jc w:val="both"/>
        <w:rPr>
          <w:rFonts w:ascii="Book Antiqua" w:hAnsi="Book Antiqua" w:cs="Quattrocento"/>
          <w:sz w:val="24"/>
          <w:szCs w:val="24"/>
        </w:rPr>
      </w:pPr>
      <w:r w:rsidRPr="00EB00D9">
        <w:rPr>
          <w:rFonts w:ascii="Book Antiqua" w:hAnsi="Book Antiqua" w:cs="Arial"/>
          <w:sz w:val="24"/>
          <w:szCs w:val="24"/>
        </w:rPr>
        <w:t xml:space="preserve">The majority of studies used one of two </w:t>
      </w:r>
      <w:r w:rsidR="000F62D6" w:rsidRPr="00EB00D9">
        <w:rPr>
          <w:rFonts w:ascii="Book Antiqua" w:hAnsi="Book Antiqua" w:cs="Arial"/>
          <w:sz w:val="24"/>
          <w:szCs w:val="24"/>
          <w:lang w:eastAsia="zh-CN"/>
        </w:rPr>
        <w:t>“</w:t>
      </w:r>
      <w:r w:rsidRPr="00EB00D9">
        <w:rPr>
          <w:rFonts w:ascii="Book Antiqua" w:hAnsi="Book Antiqua" w:cs="Arial"/>
          <w:sz w:val="24"/>
          <w:szCs w:val="24"/>
        </w:rPr>
        <w:t>induction protocols</w:t>
      </w:r>
      <w:r w:rsidR="000F62D6" w:rsidRPr="00EB00D9">
        <w:rPr>
          <w:rFonts w:ascii="Book Antiqua" w:hAnsi="Book Antiqua" w:cs="Arial"/>
          <w:sz w:val="24"/>
          <w:szCs w:val="24"/>
          <w:lang w:eastAsia="zh-CN"/>
        </w:rPr>
        <w:t>”</w:t>
      </w:r>
      <w:r w:rsidRPr="00EB00D9">
        <w:rPr>
          <w:rFonts w:ascii="Book Antiqua" w:hAnsi="Book Antiqua" w:cs="Arial"/>
          <w:sz w:val="24"/>
          <w:szCs w:val="24"/>
        </w:rPr>
        <w:t>: 375</w:t>
      </w:r>
      <w:r w:rsidR="000F62D6" w:rsidRPr="00EB00D9">
        <w:rPr>
          <w:rFonts w:ascii="Book Antiqua" w:hAnsi="Book Antiqua" w:cs="Arial" w:hint="eastAsia"/>
          <w:sz w:val="24"/>
          <w:szCs w:val="24"/>
          <w:lang w:eastAsia="zh-CN"/>
        </w:rPr>
        <w:t xml:space="preserve"> </w:t>
      </w:r>
      <w:r w:rsidRPr="00EB00D9">
        <w:rPr>
          <w:rFonts w:ascii="Book Antiqua" w:hAnsi="Book Antiqua" w:cs="Arial"/>
          <w:sz w:val="24"/>
          <w:szCs w:val="24"/>
        </w:rPr>
        <w:t>mg/m</w:t>
      </w:r>
      <w:r w:rsidRPr="00EB00D9">
        <w:rPr>
          <w:rFonts w:ascii="Book Antiqua" w:hAnsi="Book Antiqua" w:cs="Arial"/>
          <w:sz w:val="24"/>
          <w:szCs w:val="24"/>
          <w:vertAlign w:val="superscript"/>
        </w:rPr>
        <w:t>2</w:t>
      </w:r>
      <w:r w:rsidRPr="00EB00D9">
        <w:rPr>
          <w:rFonts w:ascii="Book Antiqua" w:hAnsi="Book Antiqua" w:cs="Arial"/>
          <w:sz w:val="24"/>
          <w:szCs w:val="24"/>
        </w:rPr>
        <w:t xml:space="preserve"> IV once a week for four consecutive weeks (</w:t>
      </w:r>
      <w:r w:rsidR="000F62D6" w:rsidRPr="00EB00D9">
        <w:rPr>
          <w:rFonts w:ascii="Book Antiqua" w:hAnsi="Book Antiqua" w:cs="Arial"/>
          <w:sz w:val="24"/>
          <w:szCs w:val="24"/>
          <w:lang w:eastAsia="zh-CN"/>
        </w:rPr>
        <w:t>“</w:t>
      </w:r>
      <w:r w:rsidRPr="00EB00D9">
        <w:rPr>
          <w:rFonts w:ascii="Book Antiqua" w:hAnsi="Book Antiqua" w:cs="Arial"/>
          <w:sz w:val="24"/>
          <w:szCs w:val="24"/>
        </w:rPr>
        <w:t>protocol A</w:t>
      </w:r>
      <w:r w:rsidR="000F62D6" w:rsidRPr="00EB00D9">
        <w:rPr>
          <w:rFonts w:ascii="Book Antiqua" w:hAnsi="Book Antiqua" w:cs="Arial"/>
          <w:sz w:val="24"/>
          <w:szCs w:val="24"/>
          <w:lang w:eastAsia="zh-CN"/>
        </w:rPr>
        <w:t>”</w:t>
      </w:r>
      <w:r w:rsidRPr="00EB00D9">
        <w:rPr>
          <w:rFonts w:ascii="Book Antiqua" w:hAnsi="Book Antiqua" w:cs="Arial"/>
          <w:sz w:val="24"/>
          <w:szCs w:val="24"/>
        </w:rPr>
        <w:t xml:space="preserve"> in Table 1), or 1000</w:t>
      </w:r>
      <w:r w:rsidR="000F62D6" w:rsidRPr="00EB00D9">
        <w:rPr>
          <w:rFonts w:ascii="Book Antiqua" w:hAnsi="Book Antiqua" w:cs="Arial" w:hint="eastAsia"/>
          <w:sz w:val="24"/>
          <w:szCs w:val="24"/>
          <w:lang w:eastAsia="zh-CN"/>
        </w:rPr>
        <w:t xml:space="preserve"> </w:t>
      </w:r>
      <w:r w:rsidRPr="00EB00D9">
        <w:rPr>
          <w:rFonts w:ascii="Book Antiqua" w:hAnsi="Book Antiqua" w:cs="Arial"/>
          <w:sz w:val="24"/>
          <w:szCs w:val="24"/>
        </w:rPr>
        <w:t>mg IV infused two weeks apart (</w:t>
      </w:r>
      <w:r w:rsidR="000F62D6" w:rsidRPr="00EB00D9">
        <w:rPr>
          <w:rFonts w:ascii="Book Antiqua" w:hAnsi="Book Antiqua" w:cs="Arial"/>
          <w:sz w:val="24"/>
          <w:szCs w:val="24"/>
          <w:lang w:eastAsia="zh-CN"/>
        </w:rPr>
        <w:t>“</w:t>
      </w:r>
      <w:r w:rsidRPr="00EB00D9">
        <w:rPr>
          <w:rFonts w:ascii="Book Antiqua" w:hAnsi="Book Antiqua" w:cs="Arial"/>
          <w:sz w:val="24"/>
          <w:szCs w:val="24"/>
        </w:rPr>
        <w:t>protocol B</w:t>
      </w:r>
      <w:r w:rsidR="000F62D6" w:rsidRPr="00EB00D9">
        <w:rPr>
          <w:rFonts w:ascii="Book Antiqua" w:hAnsi="Book Antiqua" w:cs="Arial"/>
          <w:sz w:val="24"/>
          <w:szCs w:val="24"/>
          <w:lang w:eastAsia="zh-CN"/>
        </w:rPr>
        <w:t>”</w:t>
      </w:r>
      <w:r w:rsidRPr="00EB00D9">
        <w:rPr>
          <w:rFonts w:ascii="Book Antiqua" w:hAnsi="Book Antiqua" w:cs="Arial"/>
          <w:sz w:val="24"/>
          <w:szCs w:val="24"/>
        </w:rPr>
        <w:t xml:space="preserve">). </w:t>
      </w:r>
      <w:r w:rsidRPr="00EB00D9">
        <w:rPr>
          <w:rFonts w:ascii="Book Antiqua" w:hAnsi="Book Antiqua" w:cs="Quattrocento"/>
          <w:sz w:val="24"/>
          <w:szCs w:val="24"/>
        </w:rPr>
        <w:t xml:space="preserve">Timing of subsequent doses either followed a fixed schedule – with typical time to the next infusion cycle of 6-9 mo –or was </w:t>
      </w:r>
      <w:r w:rsidR="002B4A29" w:rsidRPr="00EB00D9">
        <w:rPr>
          <w:rFonts w:ascii="Book Antiqua" w:hAnsi="Book Antiqua" w:cs="Quattrocento"/>
          <w:sz w:val="24"/>
          <w:szCs w:val="24"/>
        </w:rPr>
        <w:t>based on monitoring parameters.</w:t>
      </w:r>
      <w:r w:rsidRPr="00EB00D9">
        <w:rPr>
          <w:rFonts w:ascii="Book Antiqua" w:hAnsi="Book Antiqua" w:cs="Quattrocento"/>
          <w:sz w:val="24"/>
          <w:szCs w:val="24"/>
        </w:rPr>
        <w:t xml:space="preserve"> The most commonly used test for monitoring B-cell suppression was CD19+ count assessed by flow cytometry.</w:t>
      </w:r>
      <w:r w:rsidR="003066E2" w:rsidRPr="00EB00D9">
        <w:rPr>
          <w:rFonts w:ascii="Book Antiqua" w:hAnsi="Book Antiqua" w:cs="Quattrocento"/>
          <w:sz w:val="24"/>
          <w:szCs w:val="24"/>
        </w:rPr>
        <w:t xml:space="preserve"> </w:t>
      </w:r>
      <w:r w:rsidRPr="00EB00D9">
        <w:rPr>
          <w:rFonts w:ascii="Book Antiqua" w:hAnsi="Book Antiqua" w:cs="Quattrocento"/>
          <w:sz w:val="24"/>
          <w:szCs w:val="24"/>
        </w:rPr>
        <w:t xml:space="preserve">Since RTX interferes with the direct analysis of CD20 cell surface antigen </w:t>
      </w:r>
      <w:r w:rsidRPr="00EB00D9">
        <w:rPr>
          <w:rFonts w:ascii="Book Antiqua" w:hAnsi="Book Antiqua" w:cs="Quattrocento"/>
          <w:i/>
          <w:sz w:val="24"/>
          <w:szCs w:val="24"/>
        </w:rPr>
        <w:t>via</w:t>
      </w:r>
      <w:r w:rsidRPr="00EB00D9">
        <w:rPr>
          <w:rFonts w:ascii="Book Antiqua" w:hAnsi="Book Antiqua" w:cs="Quattrocento"/>
          <w:sz w:val="24"/>
          <w:szCs w:val="24"/>
        </w:rPr>
        <w:t xml:space="preserve"> flow cytometry due to its mechanism of action, CD19+ antigen, which is largely co-expressed with CD20, is used as a surrogate marker to as</w:t>
      </w:r>
      <w:r w:rsidR="000F62D6" w:rsidRPr="00EB00D9">
        <w:rPr>
          <w:rFonts w:ascii="Book Antiqua" w:hAnsi="Book Antiqua" w:cs="Quattrocento"/>
          <w:sz w:val="24"/>
          <w:szCs w:val="24"/>
        </w:rPr>
        <w:t>sess extent of B-cell depletion</w:t>
      </w:r>
      <w:r w:rsidRPr="00EB00D9">
        <w:rPr>
          <w:rFonts w:ascii="Book Antiqua" w:hAnsi="Book Antiqua" w:cs="Quattrocento"/>
          <w:sz w:val="24"/>
          <w:szCs w:val="24"/>
          <w:vertAlign w:val="superscript"/>
        </w:rPr>
        <w:t>[26]</w:t>
      </w:r>
      <w:r w:rsidRPr="00EB00D9">
        <w:rPr>
          <w:rFonts w:ascii="Book Antiqua" w:hAnsi="Book Antiqua" w:cs="Quattrocento"/>
          <w:sz w:val="24"/>
          <w:szCs w:val="24"/>
        </w:rPr>
        <w:t>.</w:t>
      </w:r>
      <w:r w:rsidR="003066E2" w:rsidRPr="00EB00D9">
        <w:rPr>
          <w:rFonts w:ascii="Book Antiqua" w:hAnsi="Book Antiqua" w:cs="Quattrocento"/>
          <w:sz w:val="24"/>
          <w:szCs w:val="24"/>
        </w:rPr>
        <w:t xml:space="preserve"> </w:t>
      </w:r>
      <w:r w:rsidRPr="00EB00D9">
        <w:rPr>
          <w:rFonts w:ascii="Book Antiqua" w:hAnsi="Book Antiqua" w:cs="Quattrocento"/>
          <w:sz w:val="24"/>
          <w:szCs w:val="24"/>
        </w:rPr>
        <w:t>However, CD19+ count may also overesti</w:t>
      </w:r>
      <w:r w:rsidR="000F62D6" w:rsidRPr="00EB00D9">
        <w:rPr>
          <w:rFonts w:ascii="Book Antiqua" w:hAnsi="Book Antiqua" w:cs="Quattrocento"/>
          <w:sz w:val="24"/>
          <w:szCs w:val="24"/>
        </w:rPr>
        <w:t>mate degree of B-cell depletion</w:t>
      </w:r>
      <w:r w:rsidRPr="00EB00D9">
        <w:rPr>
          <w:rFonts w:ascii="Book Antiqua" w:hAnsi="Book Antiqua" w:cs="Quattrocento"/>
          <w:sz w:val="24"/>
          <w:szCs w:val="24"/>
          <w:vertAlign w:val="superscript"/>
        </w:rPr>
        <w:t>[</w:t>
      </w:r>
      <w:r w:rsidR="009C692E" w:rsidRPr="00EB00D9">
        <w:rPr>
          <w:rFonts w:ascii="Book Antiqua" w:hAnsi="Book Antiqua" w:cs="Quattrocento" w:hint="eastAsia"/>
          <w:sz w:val="24"/>
          <w:szCs w:val="24"/>
          <w:vertAlign w:val="superscript"/>
          <w:lang w:eastAsia="zh-CN"/>
        </w:rPr>
        <w:t>39</w:t>
      </w:r>
      <w:r w:rsidRPr="00EB00D9">
        <w:rPr>
          <w:rFonts w:ascii="Book Antiqua" w:hAnsi="Book Antiqua" w:cs="Quattrocento"/>
          <w:sz w:val="24"/>
          <w:szCs w:val="24"/>
          <w:vertAlign w:val="superscript"/>
        </w:rPr>
        <w:t>]</w:t>
      </w:r>
      <w:r w:rsidRPr="00EB00D9">
        <w:rPr>
          <w:rFonts w:ascii="Book Antiqua" w:hAnsi="Book Antiqua" w:cs="Quattrocento"/>
          <w:sz w:val="24"/>
          <w:szCs w:val="24"/>
        </w:rPr>
        <w:t>.</w:t>
      </w:r>
      <w:r w:rsidR="003066E2" w:rsidRPr="00EB00D9">
        <w:rPr>
          <w:rFonts w:ascii="Book Antiqua" w:hAnsi="Book Antiqua" w:cs="Quattrocento"/>
          <w:sz w:val="24"/>
          <w:szCs w:val="24"/>
        </w:rPr>
        <w:t xml:space="preserve"> </w:t>
      </w:r>
      <w:r w:rsidRPr="00EB00D9">
        <w:rPr>
          <w:rFonts w:ascii="Book Antiqua" w:hAnsi="Book Antiqua" w:cs="Quattrocento"/>
          <w:sz w:val="24"/>
          <w:szCs w:val="24"/>
        </w:rPr>
        <w:t>RTX typically depletes CD 19+ counts to undetectable levels (&lt;</w:t>
      </w:r>
      <w:r w:rsidR="000F62D6" w:rsidRPr="00EB00D9">
        <w:rPr>
          <w:rFonts w:ascii="Book Antiqua" w:hAnsi="Book Antiqua" w:cs="Quattrocento" w:hint="eastAsia"/>
          <w:sz w:val="24"/>
          <w:szCs w:val="24"/>
          <w:lang w:eastAsia="zh-CN"/>
        </w:rPr>
        <w:t xml:space="preserve"> </w:t>
      </w:r>
      <w:r w:rsidRPr="00EB00D9">
        <w:rPr>
          <w:rFonts w:ascii="Book Antiqua" w:hAnsi="Book Antiqua" w:cs="Quattrocento"/>
          <w:sz w:val="24"/>
          <w:szCs w:val="24"/>
        </w:rPr>
        <w:t xml:space="preserve">10 cells per </w:t>
      </w:r>
      <w:r w:rsidRPr="00EB00D9">
        <w:rPr>
          <w:rFonts w:ascii="Book Antiqua" w:hAnsi="Book Antiqua" w:cs="Book Antiqua"/>
          <w:sz w:val="24"/>
          <w:szCs w:val="24"/>
        </w:rPr>
        <w:t>u</w:t>
      </w:r>
      <w:r w:rsidR="000F62D6" w:rsidRPr="00EB00D9">
        <w:rPr>
          <w:rFonts w:ascii="Book Antiqua" w:hAnsi="Book Antiqua" w:cs="Quattrocento"/>
          <w:sz w:val="24"/>
          <w:szCs w:val="24"/>
        </w:rPr>
        <w:t>L</w:t>
      </w:r>
      <w:r w:rsidRPr="00EB00D9">
        <w:rPr>
          <w:rFonts w:ascii="Book Antiqua" w:hAnsi="Book Antiqua" w:cs="Quattrocento"/>
          <w:sz w:val="24"/>
          <w:szCs w:val="24"/>
        </w:rPr>
        <w:t xml:space="preserve">) within </w:t>
      </w:r>
      <w:r w:rsidR="000F62D6" w:rsidRPr="00EB00D9">
        <w:rPr>
          <w:rFonts w:ascii="Book Antiqua" w:hAnsi="Book Antiqua" w:cs="Quattrocento"/>
          <w:sz w:val="24"/>
          <w:szCs w:val="24"/>
        </w:rPr>
        <w:t>2-4 wk of infusion</w:t>
      </w:r>
      <w:r w:rsidRPr="00EB00D9">
        <w:rPr>
          <w:rFonts w:ascii="Book Antiqua" w:hAnsi="Book Antiqua" w:cs="Quattrocento"/>
          <w:sz w:val="24"/>
          <w:szCs w:val="24"/>
          <w:vertAlign w:val="superscript"/>
        </w:rPr>
        <w:t>[13]</w:t>
      </w:r>
      <w:r w:rsidRPr="00EB00D9">
        <w:rPr>
          <w:rFonts w:ascii="Book Antiqua" w:hAnsi="Book Antiqua" w:cs="Quattrocento"/>
          <w:sz w:val="24"/>
          <w:szCs w:val="24"/>
        </w:rPr>
        <w:t>.</w:t>
      </w:r>
      <w:r w:rsidR="003066E2" w:rsidRPr="00EB00D9">
        <w:rPr>
          <w:rFonts w:ascii="Book Antiqua" w:hAnsi="Book Antiqua" w:cs="Quattrocento"/>
          <w:sz w:val="24"/>
          <w:szCs w:val="24"/>
          <w:vertAlign w:val="superscript"/>
        </w:rPr>
        <w:t xml:space="preserve"> </w:t>
      </w:r>
    </w:p>
    <w:p w:rsidR="00120E34" w:rsidRPr="00EB00D9" w:rsidRDefault="00120E34" w:rsidP="000F62D6">
      <w:pPr>
        <w:spacing w:after="0" w:line="360" w:lineRule="auto"/>
        <w:ind w:firstLineChars="100" w:firstLine="240"/>
        <w:jc w:val="both"/>
        <w:rPr>
          <w:rFonts w:ascii="Book Antiqua" w:hAnsi="Book Antiqua" w:cs="Quattrocento"/>
          <w:b/>
          <w:sz w:val="24"/>
          <w:szCs w:val="24"/>
        </w:rPr>
      </w:pPr>
      <w:r w:rsidRPr="00EB00D9">
        <w:rPr>
          <w:rFonts w:ascii="Book Antiqua" w:hAnsi="Book Antiqua" w:cs="Quattrocento"/>
          <w:sz w:val="24"/>
          <w:szCs w:val="24"/>
        </w:rPr>
        <w:t>Table 2 summarizes the use of biomarkers to monitor treatment response to RTX in NMO. Several studies showed that CD19+ B cell population greater than 1% of lymphocyte total is a risk fac</w:t>
      </w:r>
      <w:r w:rsidR="00CA2267" w:rsidRPr="00EB00D9">
        <w:rPr>
          <w:rFonts w:ascii="Book Antiqua" w:hAnsi="Book Antiqua" w:cs="Quattrocento"/>
          <w:sz w:val="24"/>
          <w:szCs w:val="24"/>
        </w:rPr>
        <w:t xml:space="preserve">tor of a relapse. Farber </w:t>
      </w:r>
      <w:r w:rsidR="00CA2267" w:rsidRPr="00EB00D9">
        <w:rPr>
          <w:rFonts w:ascii="Book Antiqua" w:hAnsi="Book Antiqua" w:cs="Quattrocento"/>
          <w:i/>
          <w:sz w:val="24"/>
          <w:szCs w:val="24"/>
        </w:rPr>
        <w:t>et al</w:t>
      </w:r>
      <w:r w:rsidR="00CA2267" w:rsidRPr="00EB00D9">
        <w:rPr>
          <w:rFonts w:ascii="Book Antiqua" w:hAnsi="Book Antiqua" w:cs="Quattrocento" w:hint="eastAsia"/>
          <w:sz w:val="24"/>
          <w:szCs w:val="24"/>
          <w:vertAlign w:val="superscript"/>
          <w:lang w:eastAsia="zh-CN"/>
        </w:rPr>
        <w:t>[22]</w:t>
      </w:r>
      <w:r w:rsidRPr="00EB00D9">
        <w:rPr>
          <w:rFonts w:ascii="Book Antiqua" w:hAnsi="Book Antiqua" w:cs="Quattrocento"/>
          <w:sz w:val="24"/>
          <w:szCs w:val="24"/>
        </w:rPr>
        <w:t xml:space="preserve"> measured CD19 counts post-relapse and during periods of stability, and noted higher B cell counts in the immediate post-relapse period</w:t>
      </w:r>
      <w:r w:rsidRPr="00EB00D9">
        <w:rPr>
          <w:rFonts w:ascii="Book Antiqua" w:hAnsi="Book Antiqua" w:cs="Quattrocento"/>
          <w:sz w:val="24"/>
          <w:szCs w:val="24"/>
          <w:vertAlign w:val="superscript"/>
        </w:rPr>
        <w:t>[22]</w:t>
      </w:r>
      <w:r w:rsidRPr="00EB00D9">
        <w:rPr>
          <w:rFonts w:ascii="Book Antiqua" w:hAnsi="Book Antiqua" w:cs="Quattrocento"/>
          <w:sz w:val="24"/>
          <w:szCs w:val="24"/>
        </w:rPr>
        <w:t xml:space="preserve">. Yang </w:t>
      </w:r>
      <w:r w:rsidRPr="00EB00D9">
        <w:rPr>
          <w:rFonts w:ascii="Book Antiqua" w:hAnsi="Book Antiqua" w:cs="Quattrocento"/>
          <w:i/>
          <w:sz w:val="24"/>
          <w:szCs w:val="24"/>
        </w:rPr>
        <w:t>et al</w:t>
      </w:r>
      <w:r w:rsidR="000F62D6" w:rsidRPr="00EB00D9">
        <w:rPr>
          <w:rFonts w:ascii="Book Antiqua" w:hAnsi="Book Antiqua" w:cs="Quattrocento" w:hint="eastAsia"/>
          <w:sz w:val="24"/>
          <w:szCs w:val="24"/>
          <w:vertAlign w:val="superscript"/>
          <w:lang w:eastAsia="zh-CN"/>
        </w:rPr>
        <w:t>[2</w:t>
      </w:r>
      <w:r w:rsidR="00CA2267" w:rsidRPr="00EB00D9">
        <w:rPr>
          <w:rFonts w:ascii="Book Antiqua" w:hAnsi="Book Antiqua" w:cs="Quattrocento" w:hint="eastAsia"/>
          <w:sz w:val="24"/>
          <w:szCs w:val="24"/>
          <w:vertAlign w:val="superscript"/>
          <w:lang w:eastAsia="zh-CN"/>
        </w:rPr>
        <w:t>7</w:t>
      </w:r>
      <w:r w:rsidR="000F62D6" w:rsidRPr="00EB00D9">
        <w:rPr>
          <w:rFonts w:ascii="Book Antiqua" w:hAnsi="Book Antiqua" w:cs="Quattrocento" w:hint="eastAsia"/>
          <w:sz w:val="24"/>
          <w:szCs w:val="24"/>
          <w:vertAlign w:val="superscript"/>
          <w:lang w:eastAsia="zh-CN"/>
        </w:rPr>
        <w:t>]</w:t>
      </w:r>
      <w:r w:rsidRPr="00EB00D9">
        <w:rPr>
          <w:rFonts w:ascii="Book Antiqua" w:hAnsi="Book Antiqua" w:cs="Quattrocento"/>
          <w:sz w:val="24"/>
          <w:szCs w:val="24"/>
        </w:rPr>
        <w:t xml:space="preserve"> suppressed CD19+ count to less than 1% in all their patients and were able to achieved complete eradication of relapses, despite lower doses of RTX used</w:t>
      </w:r>
      <w:r w:rsidRPr="00EB00D9">
        <w:rPr>
          <w:rFonts w:ascii="Book Antiqua" w:hAnsi="Book Antiqua" w:cs="Quattrocento"/>
          <w:sz w:val="24"/>
          <w:szCs w:val="24"/>
          <w:vertAlign w:val="superscript"/>
        </w:rPr>
        <w:t>[2</w:t>
      </w:r>
      <w:r w:rsidR="00CA2267" w:rsidRPr="00EB00D9">
        <w:rPr>
          <w:rFonts w:ascii="Book Antiqua" w:hAnsi="Book Antiqua" w:cs="Quattrocento" w:hint="eastAsia"/>
          <w:sz w:val="24"/>
          <w:szCs w:val="24"/>
          <w:vertAlign w:val="superscript"/>
          <w:lang w:eastAsia="zh-CN"/>
        </w:rPr>
        <w:t>7</w:t>
      </w:r>
      <w:r w:rsidRPr="00EB00D9">
        <w:rPr>
          <w:rFonts w:ascii="Book Antiqua" w:hAnsi="Book Antiqua" w:cs="Quattrocento"/>
          <w:sz w:val="24"/>
          <w:szCs w:val="24"/>
          <w:vertAlign w:val="superscript"/>
        </w:rPr>
        <w:t>]</w:t>
      </w:r>
      <w:r w:rsidRPr="00EB00D9">
        <w:rPr>
          <w:rFonts w:ascii="Book Antiqua" w:hAnsi="Book Antiqua" w:cs="Quattrocento"/>
          <w:sz w:val="24"/>
          <w:szCs w:val="24"/>
        </w:rPr>
        <w:t xml:space="preserve">. Pellkofer </w:t>
      </w:r>
      <w:r w:rsidRPr="00EB00D9">
        <w:rPr>
          <w:rFonts w:ascii="Book Antiqua" w:hAnsi="Book Antiqua" w:cs="Quattrocento"/>
          <w:i/>
          <w:sz w:val="24"/>
          <w:szCs w:val="24"/>
        </w:rPr>
        <w:t>et al</w:t>
      </w:r>
      <w:r w:rsidRPr="00EB00D9">
        <w:rPr>
          <w:rFonts w:ascii="Book Antiqua" w:hAnsi="Book Antiqua" w:cs="Quattrocento"/>
          <w:sz w:val="24"/>
          <w:szCs w:val="24"/>
          <w:vertAlign w:val="superscript"/>
        </w:rPr>
        <w:t>[30]</w:t>
      </w:r>
      <w:r w:rsidRPr="00EB00D9">
        <w:rPr>
          <w:rFonts w:ascii="Book Antiqua" w:hAnsi="Book Antiqua" w:cs="Quattrocento"/>
          <w:sz w:val="24"/>
          <w:szCs w:val="24"/>
        </w:rPr>
        <w:t xml:space="preserve"> used monthly, highly sensitive flow cytometry measurements to demonstrate that complete B-cell suppression led to sustained clinical stabilization in most patients. Bomprezzi </w:t>
      </w:r>
      <w:r w:rsidRPr="00EB00D9">
        <w:rPr>
          <w:rFonts w:ascii="Book Antiqua" w:hAnsi="Book Antiqua" w:cs="Quattrocento"/>
          <w:i/>
          <w:sz w:val="24"/>
          <w:szCs w:val="24"/>
        </w:rPr>
        <w:t>et al</w:t>
      </w:r>
      <w:r w:rsidR="00CA2267" w:rsidRPr="00EB00D9">
        <w:rPr>
          <w:rFonts w:ascii="Book Antiqua" w:hAnsi="Book Antiqua" w:cs="Quattrocento" w:hint="eastAsia"/>
          <w:sz w:val="24"/>
          <w:szCs w:val="24"/>
          <w:vertAlign w:val="superscript"/>
          <w:lang w:eastAsia="zh-CN"/>
        </w:rPr>
        <w:t>[31]</w:t>
      </w:r>
      <w:r w:rsidRPr="00EB00D9">
        <w:rPr>
          <w:rFonts w:ascii="Book Antiqua" w:hAnsi="Book Antiqua" w:cs="Quattrocento"/>
          <w:sz w:val="24"/>
          <w:szCs w:val="24"/>
        </w:rPr>
        <w:t xml:space="preserve"> showed that B-cells be</w:t>
      </w:r>
      <w:r w:rsidR="000F62D6" w:rsidRPr="00EB00D9">
        <w:rPr>
          <w:rFonts w:ascii="Book Antiqua" w:hAnsi="Book Antiqua" w:cs="Quattrocento"/>
          <w:sz w:val="24"/>
          <w:szCs w:val="24"/>
        </w:rPr>
        <w:t>come undetectable within 2 wk</w:t>
      </w:r>
      <w:r w:rsidRPr="00EB00D9">
        <w:rPr>
          <w:rFonts w:ascii="Book Antiqua" w:hAnsi="Book Antiqua" w:cs="Quattrocento"/>
          <w:sz w:val="24"/>
          <w:szCs w:val="24"/>
        </w:rPr>
        <w:t xml:space="preserve"> of the first dose of RTX, but rise to 2</w:t>
      </w:r>
      <w:r w:rsidR="000F62D6" w:rsidRPr="00EB00D9">
        <w:rPr>
          <w:rFonts w:ascii="Book Antiqua" w:hAnsi="Book Antiqua" w:cs="Quattrocento" w:hint="eastAsia"/>
          <w:sz w:val="24"/>
          <w:szCs w:val="24"/>
          <w:lang w:eastAsia="zh-CN"/>
        </w:rPr>
        <w:t>%</w:t>
      </w:r>
      <w:r w:rsidRPr="00EB00D9">
        <w:rPr>
          <w:rFonts w:ascii="Book Antiqua" w:hAnsi="Book Antiqua" w:cs="Quattrocento"/>
          <w:sz w:val="24"/>
          <w:szCs w:val="24"/>
        </w:rPr>
        <w:t>-12% at the time of a relapse</w:t>
      </w:r>
      <w:r w:rsidRPr="00EB00D9">
        <w:rPr>
          <w:rFonts w:ascii="Book Antiqua" w:hAnsi="Book Antiqua" w:cs="Quattrocento"/>
          <w:sz w:val="24"/>
          <w:szCs w:val="24"/>
          <w:vertAlign w:val="superscript"/>
        </w:rPr>
        <w:t>[31]</w:t>
      </w:r>
      <w:r w:rsidRPr="00EB00D9">
        <w:rPr>
          <w:rFonts w:ascii="Book Antiqua" w:hAnsi="Book Antiqua" w:cs="Quattrocento"/>
          <w:sz w:val="24"/>
          <w:szCs w:val="24"/>
        </w:rPr>
        <w:t>.</w:t>
      </w:r>
      <w:r w:rsidRPr="00EB00D9">
        <w:rPr>
          <w:rFonts w:ascii="Book Antiqua" w:hAnsi="Book Antiqua" w:cs="Quattrocento"/>
          <w:sz w:val="24"/>
          <w:szCs w:val="24"/>
          <w:vertAlign w:val="superscript"/>
        </w:rPr>
        <w:t xml:space="preserve"> </w:t>
      </w:r>
      <w:r w:rsidRPr="00EB00D9">
        <w:rPr>
          <w:rFonts w:ascii="Book Antiqua" w:hAnsi="Book Antiqua" w:cs="Quattrocento"/>
          <w:sz w:val="24"/>
          <w:szCs w:val="24"/>
        </w:rPr>
        <w:t>The early rise in CD19+ cells correlated with radiologically proven relapses</w:t>
      </w:r>
      <w:r w:rsidR="00860BE6" w:rsidRPr="00EB00D9">
        <w:rPr>
          <w:rFonts w:ascii="Book Antiqua" w:hAnsi="Book Antiqua" w:cs="Quattrocento"/>
          <w:sz w:val="24"/>
          <w:szCs w:val="24"/>
        </w:rPr>
        <w:t>,</w:t>
      </w:r>
      <w:r w:rsidRPr="00EB00D9">
        <w:rPr>
          <w:rFonts w:ascii="Book Antiqua" w:hAnsi="Book Antiqua" w:cs="Quattrocento"/>
          <w:sz w:val="24"/>
          <w:szCs w:val="24"/>
        </w:rPr>
        <w:t xml:space="preserve"> and 5 out of 7 patients experienced a relapse when CD19+ B cell population exceeded the 1% threshold</w:t>
      </w:r>
      <w:r w:rsidRPr="00EB00D9">
        <w:rPr>
          <w:rFonts w:ascii="Book Antiqua" w:hAnsi="Book Antiqua" w:cs="Quattrocento"/>
          <w:sz w:val="24"/>
          <w:szCs w:val="24"/>
          <w:vertAlign w:val="superscript"/>
        </w:rPr>
        <w:t xml:space="preserve"> [31]</w:t>
      </w:r>
      <w:r w:rsidRPr="00EB00D9">
        <w:rPr>
          <w:rFonts w:ascii="Book Antiqua" w:hAnsi="Book Antiqua" w:cs="Quattrocento"/>
          <w:sz w:val="24"/>
          <w:szCs w:val="24"/>
        </w:rPr>
        <w:t>.</w:t>
      </w:r>
      <w:r w:rsidR="003066E2" w:rsidRPr="00EB00D9">
        <w:rPr>
          <w:rFonts w:ascii="Book Antiqua" w:hAnsi="Book Antiqua" w:cs="Quattrocento"/>
          <w:sz w:val="24"/>
          <w:szCs w:val="24"/>
        </w:rPr>
        <w:t xml:space="preserve"> </w:t>
      </w:r>
      <w:r w:rsidRPr="00EB00D9">
        <w:rPr>
          <w:rFonts w:ascii="Book Antiqua" w:hAnsi="Book Antiqua" w:cs="Quattrocento"/>
          <w:sz w:val="24"/>
          <w:szCs w:val="24"/>
        </w:rPr>
        <w:t>In summary, preponderance of evidence favors suppressing CD19+ B cell to ≤</w:t>
      </w:r>
      <w:r w:rsidR="000F62D6" w:rsidRPr="00EB00D9">
        <w:rPr>
          <w:rFonts w:ascii="Book Antiqua" w:hAnsi="Book Antiqua" w:cs="Quattrocento" w:hint="eastAsia"/>
          <w:sz w:val="24"/>
          <w:szCs w:val="24"/>
          <w:lang w:eastAsia="zh-CN"/>
        </w:rPr>
        <w:t xml:space="preserve"> </w:t>
      </w:r>
      <w:r w:rsidRPr="00EB00D9">
        <w:rPr>
          <w:rFonts w:ascii="Book Antiqua" w:hAnsi="Book Antiqua" w:cs="Quattrocento"/>
          <w:sz w:val="24"/>
          <w:szCs w:val="24"/>
        </w:rPr>
        <w:t>1% of the total lymphocyte count in NMO patients for maximal efficacy.</w:t>
      </w:r>
    </w:p>
    <w:p w:rsidR="00120E34" w:rsidRPr="00EB00D9" w:rsidRDefault="00860BE6" w:rsidP="000F62D6">
      <w:pPr>
        <w:spacing w:after="0" w:line="360" w:lineRule="auto"/>
        <w:ind w:firstLineChars="100" w:firstLine="240"/>
        <w:jc w:val="both"/>
        <w:rPr>
          <w:rFonts w:ascii="Book Antiqua" w:hAnsi="Book Antiqua"/>
          <w:sz w:val="24"/>
          <w:szCs w:val="24"/>
        </w:rPr>
      </w:pPr>
      <w:r w:rsidRPr="00EB00D9">
        <w:rPr>
          <w:rFonts w:ascii="Book Antiqua" w:hAnsi="Book Antiqua" w:cs="Quattrocento"/>
          <w:sz w:val="24"/>
          <w:szCs w:val="24"/>
        </w:rPr>
        <w:t>Efficacy</w:t>
      </w:r>
      <w:r w:rsidR="00120E34" w:rsidRPr="00EB00D9">
        <w:rPr>
          <w:rFonts w:ascii="Book Antiqua" w:hAnsi="Book Antiqua" w:cs="Quattrocento"/>
          <w:sz w:val="24"/>
          <w:szCs w:val="24"/>
        </w:rPr>
        <w:t xml:space="preserve"> of </w:t>
      </w:r>
      <w:r w:rsidR="000F62D6" w:rsidRPr="00EB00D9">
        <w:rPr>
          <w:rFonts w:ascii="Book Antiqua" w:hAnsi="Book Antiqua" w:cs="Quattrocento"/>
          <w:sz w:val="24"/>
          <w:szCs w:val="24"/>
          <w:lang w:eastAsia="zh-CN"/>
        </w:rPr>
        <w:t>“</w:t>
      </w:r>
      <w:r w:rsidR="00120E34" w:rsidRPr="00EB00D9">
        <w:rPr>
          <w:rFonts w:ascii="Book Antiqua" w:hAnsi="Book Antiqua" w:cs="Quattrocento"/>
          <w:sz w:val="24"/>
          <w:szCs w:val="24"/>
        </w:rPr>
        <w:t>low dose</w:t>
      </w:r>
      <w:r w:rsidR="000F62D6" w:rsidRPr="00EB00D9">
        <w:rPr>
          <w:rFonts w:ascii="Book Antiqua" w:hAnsi="Book Antiqua" w:cs="Quattrocento"/>
          <w:sz w:val="24"/>
          <w:szCs w:val="24"/>
          <w:lang w:eastAsia="zh-CN"/>
        </w:rPr>
        <w:t>”</w:t>
      </w:r>
      <w:r w:rsidR="00120E34" w:rsidRPr="00EB00D9">
        <w:rPr>
          <w:rFonts w:ascii="Book Antiqua" w:hAnsi="Book Antiqua" w:cs="Quattrocento"/>
          <w:sz w:val="24"/>
          <w:szCs w:val="24"/>
        </w:rPr>
        <w:t xml:space="preserve"> RTX on CD19 counts was assessed in two studies. Yang </w:t>
      </w:r>
      <w:r w:rsidR="00120E34" w:rsidRPr="00EB00D9">
        <w:rPr>
          <w:rFonts w:ascii="Book Antiqua" w:hAnsi="Book Antiqua" w:cs="Quattrocento"/>
          <w:i/>
          <w:sz w:val="24"/>
          <w:szCs w:val="24"/>
        </w:rPr>
        <w:t>et al</w:t>
      </w:r>
      <w:r w:rsidR="00CA2267" w:rsidRPr="00EB00D9">
        <w:rPr>
          <w:rFonts w:ascii="Book Antiqua" w:hAnsi="Book Antiqua" w:cs="Quattrocento" w:hint="eastAsia"/>
          <w:sz w:val="24"/>
          <w:szCs w:val="24"/>
          <w:vertAlign w:val="superscript"/>
          <w:lang w:eastAsia="zh-CN"/>
        </w:rPr>
        <w:t>[27]</w:t>
      </w:r>
      <w:r w:rsidR="00120E34" w:rsidRPr="00EB00D9">
        <w:rPr>
          <w:rFonts w:ascii="Book Antiqua" w:hAnsi="Book Antiqua" w:cs="Quattrocento"/>
          <w:sz w:val="24"/>
          <w:szCs w:val="24"/>
        </w:rPr>
        <w:t xml:space="preserve"> used</w:t>
      </w:r>
      <w:r w:rsidR="003066E2" w:rsidRPr="00EB00D9">
        <w:rPr>
          <w:rFonts w:ascii="Book Antiqua" w:hAnsi="Book Antiqua" w:cs="Quattrocento"/>
          <w:sz w:val="24"/>
          <w:szCs w:val="24"/>
        </w:rPr>
        <w:t xml:space="preserve"> </w:t>
      </w:r>
      <w:r w:rsidR="00120E34" w:rsidRPr="00EB00D9">
        <w:rPr>
          <w:rFonts w:ascii="Book Antiqua" w:hAnsi="Book Antiqua" w:cs="Quattrocento"/>
          <w:sz w:val="24"/>
          <w:szCs w:val="24"/>
        </w:rPr>
        <w:t>RTX 100 mg infusion once a week for 3 consecutive weeks, which was followed by the next RTX 100 mg dose when CD19+ cells were &gt;</w:t>
      </w:r>
      <w:r w:rsidR="000F62D6" w:rsidRPr="00EB00D9">
        <w:rPr>
          <w:rFonts w:ascii="Book Antiqua" w:hAnsi="Book Antiqua" w:cs="Quattrocento" w:hint="eastAsia"/>
          <w:sz w:val="24"/>
          <w:szCs w:val="24"/>
          <w:lang w:eastAsia="zh-CN"/>
        </w:rPr>
        <w:t xml:space="preserve"> </w:t>
      </w:r>
      <w:r w:rsidR="00120E34" w:rsidRPr="00EB00D9">
        <w:rPr>
          <w:rFonts w:ascii="Book Antiqua" w:hAnsi="Book Antiqua" w:cs="Quattrocento"/>
          <w:sz w:val="24"/>
          <w:szCs w:val="24"/>
        </w:rPr>
        <w:t>1% and the memory CD19+ CD27+</w:t>
      </w:r>
      <w:r w:rsidR="003066E2" w:rsidRPr="00EB00D9">
        <w:rPr>
          <w:rFonts w:ascii="Book Antiqua" w:hAnsi="Book Antiqua" w:cs="Quattrocento"/>
          <w:sz w:val="24"/>
          <w:szCs w:val="24"/>
        </w:rPr>
        <w:t xml:space="preserve"> </w:t>
      </w:r>
      <w:r w:rsidR="00120E34" w:rsidRPr="00EB00D9">
        <w:rPr>
          <w:rFonts w:ascii="Book Antiqua" w:hAnsi="Book Antiqua" w:cs="Quattrocento"/>
          <w:sz w:val="24"/>
          <w:szCs w:val="24"/>
        </w:rPr>
        <w:t xml:space="preserve">B </w:t>
      </w:r>
      <w:r w:rsidRPr="00EB00D9">
        <w:rPr>
          <w:rFonts w:ascii="Book Antiqua" w:hAnsi="Book Antiqua" w:cs="Quattrocento"/>
          <w:sz w:val="24"/>
          <w:szCs w:val="24"/>
        </w:rPr>
        <w:t>cells were</w:t>
      </w:r>
      <w:r w:rsidR="00120E34" w:rsidRPr="00EB00D9">
        <w:rPr>
          <w:rFonts w:ascii="Book Antiqua" w:hAnsi="Book Antiqua" w:cs="Quattrocento"/>
          <w:sz w:val="24"/>
          <w:szCs w:val="24"/>
        </w:rPr>
        <w:t xml:space="preserve"> &gt;</w:t>
      </w:r>
      <w:r w:rsidR="000F62D6" w:rsidRPr="00EB00D9">
        <w:rPr>
          <w:rFonts w:ascii="Book Antiqua" w:hAnsi="Book Antiqua" w:cs="Quattrocento" w:hint="eastAsia"/>
          <w:sz w:val="24"/>
          <w:szCs w:val="24"/>
          <w:lang w:eastAsia="zh-CN"/>
        </w:rPr>
        <w:t xml:space="preserve"> </w:t>
      </w:r>
      <w:r w:rsidR="00120E34" w:rsidRPr="00EB00D9">
        <w:rPr>
          <w:rFonts w:ascii="Book Antiqua" w:hAnsi="Book Antiqua" w:cs="Quattrocento"/>
          <w:sz w:val="24"/>
          <w:szCs w:val="24"/>
        </w:rPr>
        <w:t>0.05%. In this regimen, CD19+ cells started to increase in 4 of the 5 patients approximately 140 d after the initial RTX infusi</w:t>
      </w:r>
      <w:r w:rsidR="000F62D6" w:rsidRPr="00EB00D9">
        <w:rPr>
          <w:rFonts w:ascii="Book Antiqua" w:hAnsi="Book Antiqua" w:cs="Quattrocento"/>
          <w:sz w:val="24"/>
          <w:szCs w:val="24"/>
        </w:rPr>
        <w:t>on, necessitating a re-infusion</w:t>
      </w:r>
      <w:r w:rsidR="00120E34" w:rsidRPr="00EB00D9">
        <w:rPr>
          <w:rFonts w:ascii="Book Antiqua" w:hAnsi="Book Antiqua" w:cs="Quattrocento"/>
          <w:sz w:val="24"/>
          <w:szCs w:val="24"/>
          <w:vertAlign w:val="superscript"/>
        </w:rPr>
        <w:t>[2</w:t>
      </w:r>
      <w:r w:rsidR="00CA2267" w:rsidRPr="00EB00D9">
        <w:rPr>
          <w:rFonts w:ascii="Book Antiqua" w:hAnsi="Book Antiqua" w:cs="Quattrocento" w:hint="eastAsia"/>
          <w:sz w:val="24"/>
          <w:szCs w:val="24"/>
          <w:vertAlign w:val="superscript"/>
          <w:lang w:eastAsia="zh-CN"/>
        </w:rPr>
        <w:t>7</w:t>
      </w:r>
      <w:r w:rsidR="00120E34" w:rsidRPr="00EB00D9">
        <w:rPr>
          <w:rFonts w:ascii="Book Antiqua" w:hAnsi="Book Antiqua" w:cs="Quattrocento"/>
          <w:sz w:val="24"/>
          <w:szCs w:val="24"/>
          <w:vertAlign w:val="superscript"/>
        </w:rPr>
        <w:t>]</w:t>
      </w:r>
      <w:r w:rsidR="00120E34" w:rsidRPr="00EB00D9">
        <w:rPr>
          <w:rFonts w:ascii="Book Antiqua" w:hAnsi="Book Antiqua" w:cs="Quattrocento"/>
          <w:sz w:val="24"/>
          <w:szCs w:val="24"/>
        </w:rPr>
        <w:t xml:space="preserve">. In the Greenberg </w:t>
      </w:r>
      <w:r w:rsidR="00120E34" w:rsidRPr="00EB00D9">
        <w:rPr>
          <w:rFonts w:ascii="Book Antiqua" w:hAnsi="Book Antiqua" w:cs="Quattrocento"/>
          <w:i/>
          <w:sz w:val="24"/>
          <w:szCs w:val="24"/>
        </w:rPr>
        <w:t>et al</w:t>
      </w:r>
      <w:r w:rsidR="000F62D6" w:rsidRPr="00EB00D9">
        <w:rPr>
          <w:rFonts w:ascii="Book Antiqua" w:hAnsi="Book Antiqua" w:cs="Quattrocento"/>
          <w:sz w:val="24"/>
          <w:szCs w:val="24"/>
          <w:vertAlign w:val="superscript"/>
        </w:rPr>
        <w:t>[</w:t>
      </w:r>
      <w:r w:rsidR="009C692E" w:rsidRPr="00EB00D9">
        <w:rPr>
          <w:rFonts w:ascii="Book Antiqua" w:hAnsi="Book Antiqua" w:cs="Quattrocento" w:hint="eastAsia"/>
          <w:sz w:val="24"/>
          <w:szCs w:val="24"/>
          <w:vertAlign w:val="superscript"/>
          <w:lang w:eastAsia="zh-CN"/>
        </w:rPr>
        <w:t>40</w:t>
      </w:r>
      <w:r w:rsidR="000F62D6" w:rsidRPr="00EB00D9">
        <w:rPr>
          <w:rFonts w:ascii="Book Antiqua" w:hAnsi="Book Antiqua" w:cs="Quattrocento"/>
          <w:sz w:val="24"/>
          <w:szCs w:val="24"/>
          <w:vertAlign w:val="superscript"/>
        </w:rPr>
        <w:t>]</w:t>
      </w:r>
      <w:r w:rsidR="00120E34" w:rsidRPr="00EB00D9">
        <w:rPr>
          <w:rFonts w:ascii="Book Antiqua" w:hAnsi="Book Antiqua" w:cs="Quattrocento"/>
          <w:sz w:val="24"/>
          <w:szCs w:val="24"/>
        </w:rPr>
        <w:t xml:space="preserve"> study, RTX 100 mg dose resulted in early re-population of B cells com</w:t>
      </w:r>
      <w:r w:rsidR="000F62D6" w:rsidRPr="00EB00D9">
        <w:rPr>
          <w:rFonts w:ascii="Book Antiqua" w:hAnsi="Book Antiqua" w:cs="Quattrocento"/>
          <w:sz w:val="24"/>
          <w:szCs w:val="24"/>
        </w:rPr>
        <w:t>pared to the 1000 mg dose</w:t>
      </w:r>
      <w:r w:rsidR="00120E34" w:rsidRPr="00EB00D9">
        <w:rPr>
          <w:rFonts w:ascii="Book Antiqua" w:hAnsi="Book Antiqua" w:cs="Quattrocento"/>
          <w:sz w:val="24"/>
          <w:szCs w:val="24"/>
          <w:vertAlign w:val="superscript"/>
        </w:rPr>
        <w:t>[</w:t>
      </w:r>
      <w:r w:rsidR="009C692E" w:rsidRPr="00EB00D9">
        <w:rPr>
          <w:rFonts w:ascii="Book Antiqua" w:hAnsi="Book Antiqua" w:cs="Quattrocento" w:hint="eastAsia"/>
          <w:sz w:val="24"/>
          <w:szCs w:val="24"/>
          <w:vertAlign w:val="superscript"/>
          <w:lang w:eastAsia="zh-CN"/>
        </w:rPr>
        <w:t>40]</w:t>
      </w:r>
      <w:r w:rsidR="00120E34" w:rsidRPr="00EB00D9">
        <w:rPr>
          <w:rFonts w:ascii="Book Antiqua" w:hAnsi="Book Antiqua" w:cs="Quattrocento"/>
          <w:sz w:val="24"/>
          <w:szCs w:val="24"/>
        </w:rPr>
        <w:t xml:space="preserve">. The median number of days for CD19 population to reach threshold of 2% was 133 d in the 100-mg per dose arm </w:t>
      </w:r>
      <w:r w:rsidR="00120E34" w:rsidRPr="00EB00D9">
        <w:rPr>
          <w:rFonts w:ascii="Book Antiqua" w:hAnsi="Book Antiqua" w:cs="Quattrocento"/>
          <w:i/>
          <w:sz w:val="24"/>
          <w:szCs w:val="24"/>
        </w:rPr>
        <w:t xml:space="preserve">vs </w:t>
      </w:r>
      <w:r w:rsidR="00120E34" w:rsidRPr="00EB00D9">
        <w:rPr>
          <w:rFonts w:ascii="Book Antiqua" w:hAnsi="Book Antiqua" w:cs="Quattrocento"/>
          <w:sz w:val="24"/>
          <w:szCs w:val="24"/>
        </w:rPr>
        <w:t>259 d</w:t>
      </w:r>
      <w:r w:rsidR="000F62D6" w:rsidRPr="00EB00D9">
        <w:rPr>
          <w:rFonts w:ascii="Book Antiqua" w:hAnsi="Book Antiqua" w:cs="Quattrocento"/>
          <w:sz w:val="24"/>
          <w:szCs w:val="24"/>
        </w:rPr>
        <w:t xml:space="preserve"> in the 1000-mg per dose arm</w:t>
      </w:r>
      <w:r w:rsidR="00120E34" w:rsidRPr="00EB00D9">
        <w:rPr>
          <w:rFonts w:ascii="Book Antiqua" w:hAnsi="Book Antiqua" w:cs="Quattrocento"/>
          <w:sz w:val="24"/>
          <w:szCs w:val="24"/>
          <w:vertAlign w:val="superscript"/>
        </w:rPr>
        <w:t>[</w:t>
      </w:r>
      <w:r w:rsidR="009C692E" w:rsidRPr="00EB00D9">
        <w:rPr>
          <w:rFonts w:ascii="Book Antiqua" w:hAnsi="Book Antiqua" w:cs="Quattrocento" w:hint="eastAsia"/>
          <w:sz w:val="24"/>
          <w:szCs w:val="24"/>
          <w:vertAlign w:val="superscript"/>
          <w:lang w:eastAsia="zh-CN"/>
        </w:rPr>
        <w:t>40</w:t>
      </w:r>
      <w:r w:rsidR="00120E34" w:rsidRPr="00EB00D9">
        <w:rPr>
          <w:rFonts w:ascii="Book Antiqua" w:hAnsi="Book Antiqua" w:cs="Quattrocento"/>
          <w:sz w:val="24"/>
          <w:szCs w:val="24"/>
          <w:vertAlign w:val="superscript"/>
        </w:rPr>
        <w:t>]</w:t>
      </w:r>
      <w:r w:rsidR="00120E34" w:rsidRPr="00EB00D9">
        <w:rPr>
          <w:rFonts w:ascii="Book Antiqua" w:hAnsi="Book Antiqua" w:cs="Quattrocento"/>
          <w:sz w:val="24"/>
          <w:szCs w:val="24"/>
        </w:rPr>
        <w:t xml:space="preserve">. </w:t>
      </w:r>
    </w:p>
    <w:p w:rsidR="00120E34" w:rsidRPr="00EB00D9" w:rsidRDefault="00120E34" w:rsidP="000F62D6">
      <w:pPr>
        <w:spacing w:after="0" w:line="360" w:lineRule="auto"/>
        <w:ind w:firstLineChars="100" w:firstLine="240"/>
        <w:jc w:val="both"/>
        <w:rPr>
          <w:rFonts w:ascii="Book Antiqua" w:hAnsi="Book Antiqua" w:cs="Quattrocento"/>
          <w:sz w:val="24"/>
          <w:szCs w:val="24"/>
        </w:rPr>
      </w:pPr>
      <w:r w:rsidRPr="00EB00D9">
        <w:rPr>
          <w:rFonts w:ascii="Book Antiqua" w:hAnsi="Book Antiqua" w:cs="Quattrocento"/>
          <w:sz w:val="24"/>
          <w:szCs w:val="24"/>
        </w:rPr>
        <w:t xml:space="preserve">Kim </w:t>
      </w:r>
      <w:r w:rsidRPr="00EB00D9">
        <w:rPr>
          <w:rFonts w:ascii="Book Antiqua" w:hAnsi="Book Antiqua" w:cs="Quattrocento"/>
          <w:i/>
          <w:sz w:val="24"/>
          <w:szCs w:val="24"/>
        </w:rPr>
        <w:t>et al</w:t>
      </w:r>
      <w:r w:rsidR="000F62D6" w:rsidRPr="00EB00D9">
        <w:rPr>
          <w:rFonts w:ascii="Book Antiqua" w:hAnsi="Book Antiqua" w:cs="Quattrocento"/>
          <w:sz w:val="24"/>
          <w:szCs w:val="24"/>
          <w:vertAlign w:val="superscript"/>
        </w:rPr>
        <w:t>[2</w:t>
      </w:r>
      <w:r w:rsidR="00CA2267" w:rsidRPr="00EB00D9">
        <w:rPr>
          <w:rFonts w:ascii="Book Antiqua" w:hAnsi="Book Antiqua" w:cs="Quattrocento" w:hint="eastAsia"/>
          <w:sz w:val="24"/>
          <w:szCs w:val="24"/>
          <w:vertAlign w:val="superscript"/>
          <w:lang w:eastAsia="zh-CN"/>
        </w:rPr>
        <w:t>6</w:t>
      </w:r>
      <w:r w:rsidR="000F62D6" w:rsidRPr="00EB00D9">
        <w:rPr>
          <w:rFonts w:ascii="Book Antiqua" w:hAnsi="Book Antiqua" w:cs="Quattrocento"/>
          <w:sz w:val="24"/>
          <w:szCs w:val="24"/>
          <w:vertAlign w:val="superscript"/>
        </w:rPr>
        <w:t>]</w:t>
      </w:r>
      <w:r w:rsidRPr="00EB00D9">
        <w:rPr>
          <w:rFonts w:ascii="Book Antiqua" w:hAnsi="Book Antiqua" w:cs="Quattrocento"/>
          <w:sz w:val="24"/>
          <w:szCs w:val="24"/>
        </w:rPr>
        <w:t xml:space="preserve"> proposed that CD27</w:t>
      </w:r>
      <w:r w:rsidRPr="00EB00D9">
        <w:rPr>
          <w:rFonts w:ascii="Book Antiqua" w:hAnsi="Book Antiqua" w:cs="Quattrocento"/>
          <w:sz w:val="24"/>
          <w:szCs w:val="24"/>
          <w:vertAlign w:val="superscript"/>
        </w:rPr>
        <w:t xml:space="preserve">+ </w:t>
      </w:r>
      <w:r w:rsidRPr="00EB00D9">
        <w:rPr>
          <w:rFonts w:ascii="Book Antiqua" w:hAnsi="Book Antiqua" w:cs="Quattrocento"/>
          <w:sz w:val="24"/>
          <w:szCs w:val="24"/>
        </w:rPr>
        <w:t>memory B cells may be a more relevant biomarker of pathogenic B-cells depletion in NMO than CD19+ B cells</w:t>
      </w:r>
      <w:r w:rsidR="00167341" w:rsidRPr="00EB00D9">
        <w:rPr>
          <w:rFonts w:ascii="Book Antiqua" w:hAnsi="Book Antiqua" w:cs="Quattrocento"/>
          <w:sz w:val="24"/>
          <w:szCs w:val="24"/>
          <w:vertAlign w:val="superscript"/>
        </w:rPr>
        <w:t>[2</w:t>
      </w:r>
      <w:r w:rsidR="00CA2267" w:rsidRPr="00EB00D9">
        <w:rPr>
          <w:rFonts w:ascii="Book Antiqua" w:hAnsi="Book Antiqua" w:cs="Quattrocento" w:hint="eastAsia"/>
          <w:sz w:val="24"/>
          <w:szCs w:val="24"/>
          <w:vertAlign w:val="superscript"/>
          <w:lang w:eastAsia="zh-CN"/>
        </w:rPr>
        <w:t>6</w:t>
      </w:r>
      <w:r w:rsidR="00167341" w:rsidRPr="00EB00D9">
        <w:rPr>
          <w:rFonts w:ascii="Book Antiqua" w:hAnsi="Book Antiqua" w:cs="Quattrocento"/>
          <w:sz w:val="24"/>
          <w:szCs w:val="24"/>
          <w:vertAlign w:val="superscript"/>
        </w:rPr>
        <w:t>]</w:t>
      </w:r>
      <w:r w:rsidR="00167341" w:rsidRPr="00EB00D9">
        <w:rPr>
          <w:rFonts w:ascii="Book Antiqua" w:hAnsi="Book Antiqua" w:cs="Quattrocento"/>
          <w:sz w:val="24"/>
          <w:szCs w:val="24"/>
        </w:rPr>
        <w:t xml:space="preserve">. </w:t>
      </w:r>
      <w:r w:rsidRPr="00EB00D9">
        <w:rPr>
          <w:rFonts w:ascii="Book Antiqua" w:hAnsi="Book Antiqua" w:cs="Quattrocento"/>
          <w:sz w:val="24"/>
          <w:szCs w:val="24"/>
        </w:rPr>
        <w:t>Memory B cells can elicit larger and faster responses to antigen than naive B cells, and so may be more relevant to disease pathogenesis. Re-emergence of CD27+ memory B cells above the therapeutic target (&lt;</w:t>
      </w:r>
      <w:r w:rsidR="000F62D6" w:rsidRPr="00EB00D9">
        <w:rPr>
          <w:rFonts w:ascii="Book Antiqua" w:hAnsi="Book Antiqua" w:cs="Quattrocento" w:hint="eastAsia"/>
          <w:sz w:val="24"/>
          <w:szCs w:val="24"/>
          <w:lang w:eastAsia="zh-CN"/>
        </w:rPr>
        <w:t xml:space="preserve"> </w:t>
      </w:r>
      <w:r w:rsidRPr="00EB00D9">
        <w:rPr>
          <w:rFonts w:ascii="Book Antiqua" w:hAnsi="Book Antiqua" w:cs="Quattrocento"/>
          <w:sz w:val="24"/>
          <w:szCs w:val="24"/>
        </w:rPr>
        <w:t>0.05% of PBMCs) may occur even when CD19+ B cells levels were &lt;</w:t>
      </w:r>
      <w:r w:rsidR="000F62D6" w:rsidRPr="00EB00D9">
        <w:rPr>
          <w:rFonts w:ascii="Book Antiqua" w:hAnsi="Book Antiqua" w:cs="Quattrocento" w:hint="eastAsia"/>
          <w:sz w:val="24"/>
          <w:szCs w:val="24"/>
          <w:lang w:eastAsia="zh-CN"/>
        </w:rPr>
        <w:t xml:space="preserve"> </w:t>
      </w:r>
      <w:r w:rsidRPr="00EB00D9">
        <w:rPr>
          <w:rFonts w:ascii="Book Antiqua" w:hAnsi="Book Antiqua" w:cs="Quattrocento"/>
          <w:sz w:val="24"/>
          <w:szCs w:val="24"/>
        </w:rPr>
        <w:t xml:space="preserve">0.5% of PBMCs. Perhaps, </w:t>
      </w:r>
      <w:r w:rsidR="00841638" w:rsidRPr="00EB00D9">
        <w:rPr>
          <w:rFonts w:ascii="Book Antiqua" w:hAnsi="Book Antiqua" w:cs="Quattrocento"/>
          <w:sz w:val="24"/>
          <w:szCs w:val="24"/>
        </w:rPr>
        <w:t>presence of memory cells in p</w:t>
      </w:r>
      <w:r w:rsidR="00646413" w:rsidRPr="00EB00D9">
        <w:rPr>
          <w:rFonts w:ascii="Book Antiqua" w:hAnsi="Book Antiqua" w:cs="Quattrocento"/>
          <w:sz w:val="24"/>
          <w:szCs w:val="24"/>
        </w:rPr>
        <w:t>atients with ostensible absence of</w:t>
      </w:r>
      <w:r w:rsidR="00841638" w:rsidRPr="00EB00D9">
        <w:rPr>
          <w:rFonts w:ascii="Book Antiqua" w:hAnsi="Book Antiqua" w:cs="Quattrocento"/>
          <w:sz w:val="24"/>
          <w:szCs w:val="24"/>
        </w:rPr>
        <w:t xml:space="preserve"> CD19</w:t>
      </w:r>
      <w:r w:rsidR="00646413" w:rsidRPr="00EB00D9">
        <w:rPr>
          <w:rFonts w:ascii="Book Antiqua" w:hAnsi="Book Antiqua" w:cs="Quattrocento"/>
          <w:sz w:val="24"/>
          <w:szCs w:val="24"/>
        </w:rPr>
        <w:t>+</w:t>
      </w:r>
      <w:r w:rsidR="00841638" w:rsidRPr="00EB00D9">
        <w:rPr>
          <w:rFonts w:ascii="Book Antiqua" w:hAnsi="Book Antiqua" w:cs="Quattrocento"/>
          <w:sz w:val="24"/>
          <w:szCs w:val="24"/>
        </w:rPr>
        <w:t xml:space="preserve"> cells </w:t>
      </w:r>
      <w:r w:rsidRPr="00EB00D9">
        <w:rPr>
          <w:rFonts w:ascii="Book Antiqua" w:hAnsi="Book Antiqua" w:cs="Quattrocento"/>
          <w:sz w:val="24"/>
          <w:szCs w:val="24"/>
        </w:rPr>
        <w:t>can be explained by a recent study in which loss of CD19 surface antigen from healthy donor B cells exposed to rituximab </w:t>
      </w:r>
      <w:r w:rsidRPr="00EB00D9">
        <w:rPr>
          <w:rFonts w:ascii="Book Antiqua" w:hAnsi="Book Antiqua" w:cs="Quattrocento"/>
          <w:i/>
          <w:iCs/>
          <w:sz w:val="24"/>
          <w:szCs w:val="24"/>
        </w:rPr>
        <w:t xml:space="preserve">in vitro </w:t>
      </w:r>
      <w:r w:rsidRPr="00EB00D9">
        <w:rPr>
          <w:rFonts w:ascii="Book Antiqua" w:hAnsi="Book Antiqua" w:cs="Quattrocento"/>
          <w:iCs/>
          <w:sz w:val="24"/>
          <w:szCs w:val="24"/>
        </w:rPr>
        <w:t>was not necessari</w:t>
      </w:r>
      <w:r w:rsidR="000F62D6" w:rsidRPr="00EB00D9">
        <w:rPr>
          <w:rFonts w:ascii="Book Antiqua" w:hAnsi="Book Antiqua" w:cs="Quattrocento"/>
          <w:iCs/>
          <w:sz w:val="24"/>
          <w:szCs w:val="24"/>
        </w:rPr>
        <w:t>ly associated with B cell death</w:t>
      </w:r>
      <w:r w:rsidRPr="00EB00D9">
        <w:rPr>
          <w:rFonts w:ascii="Book Antiqua" w:hAnsi="Book Antiqua" w:cs="Quattrocento"/>
          <w:sz w:val="24"/>
          <w:szCs w:val="24"/>
          <w:vertAlign w:val="superscript"/>
        </w:rPr>
        <w:t>[</w:t>
      </w:r>
      <w:r w:rsidR="009C692E" w:rsidRPr="00EB00D9">
        <w:rPr>
          <w:rFonts w:ascii="Book Antiqua" w:hAnsi="Book Antiqua" w:cs="Quattrocento" w:hint="eastAsia"/>
          <w:sz w:val="24"/>
          <w:szCs w:val="24"/>
          <w:vertAlign w:val="superscript"/>
          <w:lang w:eastAsia="zh-CN"/>
        </w:rPr>
        <w:t>39</w:t>
      </w:r>
      <w:r w:rsidRPr="00EB00D9">
        <w:rPr>
          <w:rFonts w:ascii="Book Antiqua" w:hAnsi="Book Antiqua" w:cs="Quattrocento"/>
          <w:sz w:val="24"/>
          <w:szCs w:val="24"/>
          <w:vertAlign w:val="superscript"/>
        </w:rPr>
        <w:t>]</w:t>
      </w:r>
      <w:r w:rsidRPr="00EB00D9">
        <w:rPr>
          <w:rFonts w:ascii="Book Antiqua" w:hAnsi="Book Antiqua" w:cs="Quattrocento"/>
          <w:sz w:val="24"/>
          <w:szCs w:val="24"/>
        </w:rPr>
        <w:t xml:space="preserve">. In the study of Kim </w:t>
      </w:r>
      <w:r w:rsidRPr="00EB00D9">
        <w:rPr>
          <w:rFonts w:ascii="Book Antiqua" w:hAnsi="Book Antiqua" w:cs="Quattrocento"/>
          <w:i/>
          <w:sz w:val="24"/>
          <w:szCs w:val="24"/>
        </w:rPr>
        <w:t>et al</w:t>
      </w:r>
      <w:r w:rsidR="000F62D6" w:rsidRPr="00EB00D9">
        <w:rPr>
          <w:rFonts w:ascii="Book Antiqua" w:hAnsi="Book Antiqua" w:cs="Quattrocento"/>
          <w:sz w:val="24"/>
          <w:szCs w:val="24"/>
          <w:vertAlign w:val="superscript"/>
        </w:rPr>
        <w:t>[2</w:t>
      </w:r>
      <w:r w:rsidR="00CA2267" w:rsidRPr="00EB00D9">
        <w:rPr>
          <w:rFonts w:ascii="Book Antiqua" w:hAnsi="Book Antiqua" w:cs="Quattrocento" w:hint="eastAsia"/>
          <w:sz w:val="24"/>
          <w:szCs w:val="24"/>
          <w:vertAlign w:val="superscript"/>
          <w:lang w:eastAsia="zh-CN"/>
        </w:rPr>
        <w:t>6</w:t>
      </w:r>
      <w:r w:rsidR="000F62D6" w:rsidRPr="00EB00D9">
        <w:rPr>
          <w:rFonts w:ascii="Book Antiqua" w:hAnsi="Book Antiqua" w:cs="Quattrocento"/>
          <w:sz w:val="24"/>
          <w:szCs w:val="24"/>
          <w:vertAlign w:val="superscript"/>
        </w:rPr>
        <w:t>]</w:t>
      </w:r>
      <w:r w:rsidRPr="00EB00D9">
        <w:rPr>
          <w:rFonts w:ascii="Book Antiqua" w:hAnsi="Book Antiqua" w:cs="Quattrocento"/>
          <w:sz w:val="24"/>
          <w:szCs w:val="24"/>
        </w:rPr>
        <w:t>, no relapses were observed in 29 out of 30 patients in whom CD27+ memory B-cell fraction was below the thera</w:t>
      </w:r>
      <w:r w:rsidR="000F62D6" w:rsidRPr="00EB00D9">
        <w:rPr>
          <w:rFonts w:ascii="Book Antiqua" w:hAnsi="Book Antiqua" w:cs="Quattrocento"/>
          <w:sz w:val="24"/>
          <w:szCs w:val="24"/>
        </w:rPr>
        <w:t>peutic target</w:t>
      </w:r>
      <w:r w:rsidRPr="00EB00D9">
        <w:rPr>
          <w:rFonts w:ascii="Book Antiqua" w:hAnsi="Book Antiqua" w:cs="Quattrocento"/>
          <w:sz w:val="24"/>
          <w:szCs w:val="24"/>
          <w:vertAlign w:val="superscript"/>
        </w:rPr>
        <w:t>[2</w:t>
      </w:r>
      <w:r w:rsidR="00CA2267" w:rsidRPr="00EB00D9">
        <w:rPr>
          <w:rFonts w:ascii="Book Antiqua" w:hAnsi="Book Antiqua" w:cs="Quattrocento" w:hint="eastAsia"/>
          <w:sz w:val="24"/>
          <w:szCs w:val="24"/>
          <w:vertAlign w:val="superscript"/>
          <w:lang w:eastAsia="zh-CN"/>
        </w:rPr>
        <w:t>6</w:t>
      </w:r>
      <w:r w:rsidRPr="00EB00D9">
        <w:rPr>
          <w:rFonts w:ascii="Book Antiqua" w:hAnsi="Book Antiqua" w:cs="Quattrocento"/>
          <w:sz w:val="24"/>
          <w:szCs w:val="24"/>
          <w:vertAlign w:val="superscript"/>
        </w:rPr>
        <w:t>]</w:t>
      </w:r>
      <w:r w:rsidRPr="00EB00D9">
        <w:rPr>
          <w:rFonts w:ascii="Book Antiqua" w:hAnsi="Book Antiqua" w:cs="Quattrocento"/>
          <w:sz w:val="24"/>
          <w:szCs w:val="24"/>
        </w:rPr>
        <w:t>. This important finding is corroborated by</w:t>
      </w:r>
      <w:r w:rsidR="000F62D6" w:rsidRPr="00EB00D9">
        <w:rPr>
          <w:rFonts w:ascii="Book Antiqua" w:hAnsi="Book Antiqua" w:cs="Quattrocento"/>
          <w:sz w:val="24"/>
          <w:szCs w:val="24"/>
        </w:rPr>
        <w:t xml:space="preserve"> the small series of Yang </w:t>
      </w:r>
      <w:r w:rsidR="000F62D6" w:rsidRPr="00EB00D9">
        <w:rPr>
          <w:rFonts w:ascii="Book Antiqua" w:hAnsi="Book Antiqua" w:cs="Quattrocento"/>
          <w:i/>
          <w:sz w:val="24"/>
          <w:szCs w:val="24"/>
        </w:rPr>
        <w:t>et al</w:t>
      </w:r>
      <w:r w:rsidR="000F62D6" w:rsidRPr="00EB00D9">
        <w:rPr>
          <w:rFonts w:ascii="Book Antiqua" w:hAnsi="Book Antiqua" w:cs="Quattrocento"/>
          <w:sz w:val="24"/>
          <w:szCs w:val="24"/>
          <w:vertAlign w:val="superscript"/>
        </w:rPr>
        <w:t>[2</w:t>
      </w:r>
      <w:r w:rsidR="00CA2267" w:rsidRPr="00EB00D9">
        <w:rPr>
          <w:rFonts w:ascii="Book Antiqua" w:hAnsi="Book Antiqua" w:cs="Quattrocento" w:hint="eastAsia"/>
          <w:sz w:val="24"/>
          <w:szCs w:val="24"/>
          <w:vertAlign w:val="superscript"/>
          <w:lang w:eastAsia="zh-CN"/>
        </w:rPr>
        <w:t>7</w:t>
      </w:r>
      <w:r w:rsidR="000F62D6" w:rsidRPr="00EB00D9">
        <w:rPr>
          <w:rFonts w:ascii="Book Antiqua" w:hAnsi="Book Antiqua" w:cs="Quattrocento"/>
          <w:sz w:val="24"/>
          <w:szCs w:val="24"/>
          <w:vertAlign w:val="superscript"/>
        </w:rPr>
        <w:t>]</w:t>
      </w:r>
      <w:r w:rsidR="000F62D6" w:rsidRPr="00EB00D9">
        <w:rPr>
          <w:rFonts w:ascii="Book Antiqua" w:hAnsi="Book Antiqua" w:cs="Quattrocento"/>
          <w:sz w:val="24"/>
          <w:szCs w:val="24"/>
        </w:rPr>
        <w:t>, cited above</w:t>
      </w:r>
      <w:r w:rsidR="0095492E" w:rsidRPr="00EB00D9">
        <w:rPr>
          <w:rFonts w:ascii="Book Antiqua" w:hAnsi="Book Antiqua" w:cs="Quattrocento" w:hint="eastAsia"/>
          <w:sz w:val="24"/>
          <w:szCs w:val="24"/>
          <w:lang w:eastAsia="zh-CN"/>
        </w:rPr>
        <w:t>.</w:t>
      </w:r>
      <w:r w:rsidRPr="00EB00D9">
        <w:rPr>
          <w:rFonts w:ascii="Book Antiqua" w:hAnsi="Book Antiqua" w:cs="Quattrocento"/>
          <w:sz w:val="24"/>
          <w:szCs w:val="24"/>
        </w:rPr>
        <w:t xml:space="preserve"> More studies are needed to determine if CD27+ should replace CD19+ as the biomarker of choice in monitoring response to RTX in NMO. </w:t>
      </w:r>
    </w:p>
    <w:p w:rsidR="00120E34" w:rsidRPr="00EB00D9" w:rsidRDefault="00120E34" w:rsidP="0095492E">
      <w:pPr>
        <w:spacing w:after="0" w:line="360" w:lineRule="auto"/>
        <w:ind w:firstLineChars="100" w:firstLine="240"/>
        <w:jc w:val="both"/>
        <w:rPr>
          <w:rFonts w:ascii="Book Antiqua" w:hAnsi="Book Antiqua" w:cs="Quattrocento"/>
          <w:sz w:val="24"/>
          <w:szCs w:val="24"/>
        </w:rPr>
      </w:pPr>
      <w:r w:rsidRPr="00EB00D9">
        <w:rPr>
          <w:rFonts w:ascii="Book Antiqua" w:hAnsi="Book Antiqua" w:cs="Quattrocento"/>
          <w:sz w:val="24"/>
          <w:szCs w:val="24"/>
        </w:rPr>
        <w:t>Pellkofer</w:t>
      </w:r>
      <w:r w:rsidRPr="00EB00D9">
        <w:rPr>
          <w:rFonts w:ascii="Book Antiqua" w:hAnsi="Book Antiqua" w:cs="Quattrocento"/>
          <w:i/>
          <w:sz w:val="24"/>
          <w:szCs w:val="24"/>
        </w:rPr>
        <w:t xml:space="preserve"> et al</w:t>
      </w:r>
      <w:r w:rsidR="0095492E" w:rsidRPr="00EB00D9">
        <w:rPr>
          <w:rFonts w:ascii="Book Antiqua" w:hAnsi="Book Antiqua" w:cs="Quattrocento" w:hint="eastAsia"/>
          <w:sz w:val="24"/>
          <w:szCs w:val="24"/>
          <w:vertAlign w:val="superscript"/>
          <w:lang w:eastAsia="zh-CN"/>
        </w:rPr>
        <w:t>[30]</w:t>
      </w:r>
      <w:r w:rsidRPr="00EB00D9">
        <w:rPr>
          <w:rFonts w:ascii="Book Antiqua" w:hAnsi="Book Antiqua" w:cs="Quattrocento"/>
          <w:sz w:val="24"/>
          <w:szCs w:val="24"/>
        </w:rPr>
        <w:t xml:space="preserve"> studied utility of AQP4-Ab, total B-cell counts and B-cell fostering cytokines, such as BAFF (B-cell activating factor) or APRIL (a proliferation-inducing ligand) as biomarkers in NMO. They found that disease activity correlated with B-cell depletion, but not with AQP4-Ab or APRIL levels</w:t>
      </w:r>
      <w:r w:rsidRPr="00EB00D9">
        <w:rPr>
          <w:rFonts w:ascii="Book Antiqua" w:hAnsi="Book Antiqua" w:cs="Quattrocento"/>
          <w:sz w:val="24"/>
          <w:szCs w:val="24"/>
          <w:vertAlign w:val="superscript"/>
        </w:rPr>
        <w:t>[31]</w:t>
      </w:r>
      <w:r w:rsidRPr="00EB00D9">
        <w:rPr>
          <w:rFonts w:ascii="Book Antiqua" w:hAnsi="Book Antiqua" w:cs="Quattrocento"/>
          <w:sz w:val="24"/>
          <w:szCs w:val="24"/>
        </w:rPr>
        <w:t>. Relationship between CD19 counts and Anti-AQP4 titers was</w:t>
      </w:r>
      <w:r w:rsidR="0095492E" w:rsidRPr="00EB00D9">
        <w:rPr>
          <w:rFonts w:ascii="Book Antiqua" w:hAnsi="Book Antiqua" w:cs="Quattrocento"/>
          <w:sz w:val="24"/>
          <w:szCs w:val="24"/>
        </w:rPr>
        <w:t xml:space="preserve"> analyzed by Jarius </w:t>
      </w:r>
      <w:r w:rsidR="0095492E" w:rsidRPr="00EB00D9">
        <w:rPr>
          <w:rFonts w:ascii="Book Antiqua" w:hAnsi="Book Antiqua" w:cs="Quattrocento"/>
          <w:i/>
          <w:sz w:val="24"/>
          <w:szCs w:val="24"/>
        </w:rPr>
        <w:t>et al</w:t>
      </w:r>
      <w:r w:rsidR="0095492E" w:rsidRPr="00EB00D9">
        <w:rPr>
          <w:rFonts w:ascii="Book Antiqua" w:hAnsi="Book Antiqua" w:cs="Quattrocento"/>
          <w:sz w:val="24"/>
          <w:szCs w:val="24"/>
          <w:vertAlign w:val="superscript"/>
        </w:rPr>
        <w:t>[17]</w:t>
      </w:r>
      <w:r w:rsidRPr="00EB00D9">
        <w:rPr>
          <w:rFonts w:ascii="Book Antiqua" w:hAnsi="Book Antiqua" w:cs="Quattrocento"/>
          <w:sz w:val="24"/>
          <w:szCs w:val="24"/>
        </w:rPr>
        <w:t>, who concluded that administration of RTX was followed by a “prompt and marked decline” in AQP-4 Ab, though the auto-antibody remained detectable in nearly all patients</w:t>
      </w:r>
      <w:r w:rsidRPr="00EB00D9">
        <w:rPr>
          <w:rFonts w:ascii="Book Antiqua" w:hAnsi="Book Antiqua" w:cs="Quattrocento"/>
          <w:sz w:val="24"/>
          <w:szCs w:val="24"/>
          <w:vertAlign w:val="superscript"/>
        </w:rPr>
        <w:t>[17]</w:t>
      </w:r>
      <w:r w:rsidRPr="00EB00D9">
        <w:rPr>
          <w:rFonts w:ascii="Book Antiqua" w:hAnsi="Book Antiqua" w:cs="Quattrocento"/>
          <w:sz w:val="24"/>
          <w:szCs w:val="24"/>
        </w:rPr>
        <w:t>.</w:t>
      </w:r>
    </w:p>
    <w:p w:rsidR="00120E34" w:rsidRPr="00EB00D9" w:rsidRDefault="00120E34" w:rsidP="000F62D6">
      <w:pPr>
        <w:spacing w:after="0" w:line="360" w:lineRule="auto"/>
        <w:jc w:val="both"/>
        <w:rPr>
          <w:rFonts w:ascii="Book Antiqua" w:hAnsi="Book Antiqua" w:cs="Quattrocento"/>
          <w:sz w:val="24"/>
          <w:szCs w:val="24"/>
          <w:vertAlign w:val="superscript"/>
        </w:rPr>
      </w:pPr>
    </w:p>
    <w:p w:rsidR="00120E34" w:rsidRPr="00EB00D9" w:rsidRDefault="0095492E" w:rsidP="000F62D6">
      <w:pPr>
        <w:spacing w:after="0" w:line="360" w:lineRule="auto"/>
        <w:jc w:val="both"/>
        <w:rPr>
          <w:rFonts w:ascii="Book Antiqua" w:hAnsi="Book Antiqua" w:cs="Arial"/>
          <w:b/>
          <w:sz w:val="24"/>
          <w:szCs w:val="24"/>
        </w:rPr>
      </w:pPr>
      <w:r w:rsidRPr="00EB00D9">
        <w:rPr>
          <w:rFonts w:ascii="Book Antiqua" w:hAnsi="Book Antiqua" w:cs="Arial"/>
          <w:b/>
          <w:sz w:val="24"/>
          <w:szCs w:val="24"/>
        </w:rPr>
        <w:t>VARIABILITY IN RESPONSES TO RTX TREATMENT</w:t>
      </w:r>
    </w:p>
    <w:p w:rsidR="00120E34" w:rsidRPr="00EB00D9" w:rsidRDefault="00120E34" w:rsidP="000F62D6">
      <w:pPr>
        <w:spacing w:after="0" w:line="360" w:lineRule="auto"/>
        <w:jc w:val="both"/>
        <w:rPr>
          <w:rFonts w:ascii="Book Antiqua" w:hAnsi="Book Antiqua" w:cs="Quattrocento"/>
          <w:sz w:val="24"/>
          <w:szCs w:val="24"/>
        </w:rPr>
      </w:pPr>
      <w:r w:rsidRPr="00EB00D9">
        <w:rPr>
          <w:rFonts w:ascii="Book Antiqua" w:hAnsi="Book Antiqua" w:cs="Quattrocento"/>
          <w:sz w:val="24"/>
          <w:szCs w:val="24"/>
        </w:rPr>
        <w:t>The mechanisms responsible for variability in RTX treatment responses are unclear. An early, post-infusion relapse may be related to incomplete elimination of pathologic B cells as well as transient increase in B-cell activating factor, anti-AQP4 Ab titers and other cyt</w:t>
      </w:r>
      <w:r w:rsidR="00646413" w:rsidRPr="00EB00D9">
        <w:rPr>
          <w:rFonts w:ascii="Book Antiqua" w:hAnsi="Book Antiqua" w:cs="Quattrocento"/>
          <w:sz w:val="24"/>
          <w:szCs w:val="24"/>
        </w:rPr>
        <w:t>okines following</w:t>
      </w:r>
      <w:r w:rsidRPr="00EB00D9">
        <w:rPr>
          <w:rFonts w:ascii="Book Antiqua" w:hAnsi="Book Antiqua" w:cs="Quattrocento"/>
          <w:sz w:val="24"/>
          <w:szCs w:val="24"/>
        </w:rPr>
        <w:t xml:space="preserve"> infusion</w:t>
      </w:r>
      <w:r w:rsidRPr="00EB00D9">
        <w:rPr>
          <w:rFonts w:ascii="Book Antiqua" w:hAnsi="Book Antiqua" w:cs="Quattrocento"/>
          <w:sz w:val="24"/>
          <w:szCs w:val="24"/>
          <w:vertAlign w:val="superscript"/>
        </w:rPr>
        <w:t>[34]</w:t>
      </w:r>
      <w:r w:rsidR="0095492E" w:rsidRPr="00EB00D9">
        <w:rPr>
          <w:rFonts w:ascii="Book Antiqua" w:hAnsi="Book Antiqua" w:cs="Quattrocento"/>
          <w:sz w:val="24"/>
          <w:szCs w:val="24"/>
        </w:rPr>
        <w:t>.</w:t>
      </w:r>
      <w:r w:rsidR="003066E2" w:rsidRPr="00EB00D9">
        <w:rPr>
          <w:rFonts w:ascii="Book Antiqua" w:hAnsi="Book Antiqua" w:cs="Quattrocento"/>
          <w:sz w:val="24"/>
          <w:szCs w:val="24"/>
        </w:rPr>
        <w:t xml:space="preserve"> </w:t>
      </w:r>
      <w:r w:rsidR="0095492E" w:rsidRPr="00EB00D9">
        <w:rPr>
          <w:rFonts w:ascii="Book Antiqua" w:hAnsi="Book Antiqua" w:cs="Quattrocento"/>
          <w:sz w:val="24"/>
          <w:szCs w:val="24"/>
        </w:rPr>
        <w:t xml:space="preserve">Greenberg </w:t>
      </w:r>
      <w:r w:rsidR="0095492E" w:rsidRPr="00EB00D9">
        <w:rPr>
          <w:rFonts w:ascii="Book Antiqua" w:hAnsi="Book Antiqua" w:cs="Quattrocento"/>
          <w:i/>
          <w:sz w:val="24"/>
          <w:szCs w:val="24"/>
        </w:rPr>
        <w:t>et al</w:t>
      </w:r>
      <w:r w:rsidR="0095492E" w:rsidRPr="00EB00D9">
        <w:rPr>
          <w:rFonts w:ascii="Book Antiqua" w:hAnsi="Book Antiqua" w:cs="Quattrocento"/>
          <w:sz w:val="24"/>
          <w:szCs w:val="24"/>
          <w:vertAlign w:val="superscript"/>
        </w:rPr>
        <w:t>[</w:t>
      </w:r>
      <w:r w:rsidR="009C692E" w:rsidRPr="00EB00D9">
        <w:rPr>
          <w:rFonts w:ascii="Book Antiqua" w:hAnsi="Book Antiqua" w:cs="Quattrocento" w:hint="eastAsia"/>
          <w:sz w:val="24"/>
          <w:szCs w:val="24"/>
          <w:vertAlign w:val="superscript"/>
          <w:lang w:eastAsia="zh-CN"/>
        </w:rPr>
        <w:t>40</w:t>
      </w:r>
      <w:r w:rsidR="0095492E" w:rsidRPr="00EB00D9">
        <w:rPr>
          <w:rFonts w:ascii="Book Antiqua" w:hAnsi="Book Antiqua" w:cs="Quattrocento"/>
          <w:sz w:val="24"/>
          <w:szCs w:val="24"/>
          <w:vertAlign w:val="superscript"/>
        </w:rPr>
        <w:t>]</w:t>
      </w:r>
      <w:r w:rsidRPr="00EB00D9">
        <w:rPr>
          <w:rFonts w:ascii="Book Antiqua" w:hAnsi="Book Antiqua" w:cs="Quattrocento"/>
          <w:sz w:val="24"/>
          <w:szCs w:val="24"/>
        </w:rPr>
        <w:t xml:space="preserve"> reported an NMO patient who was </w:t>
      </w:r>
      <w:r w:rsidR="0095492E" w:rsidRPr="00EB00D9">
        <w:rPr>
          <w:rFonts w:ascii="Book Antiqua" w:hAnsi="Book Antiqua" w:cs="Quattrocento"/>
          <w:sz w:val="24"/>
          <w:szCs w:val="24"/>
          <w:lang w:eastAsia="zh-CN"/>
        </w:rPr>
        <w:t>“</w:t>
      </w:r>
      <w:r w:rsidRPr="00EB00D9">
        <w:rPr>
          <w:rFonts w:ascii="Book Antiqua" w:hAnsi="Book Antiqua" w:cs="Quattrocento"/>
          <w:sz w:val="24"/>
          <w:szCs w:val="24"/>
        </w:rPr>
        <w:t>resistant</w:t>
      </w:r>
      <w:r w:rsidR="0095492E" w:rsidRPr="00EB00D9">
        <w:rPr>
          <w:rFonts w:ascii="Book Antiqua" w:hAnsi="Book Antiqua" w:cs="Quattrocento"/>
          <w:sz w:val="24"/>
          <w:szCs w:val="24"/>
          <w:lang w:eastAsia="zh-CN"/>
        </w:rPr>
        <w:t>”</w:t>
      </w:r>
      <w:r w:rsidRPr="00EB00D9">
        <w:rPr>
          <w:rFonts w:ascii="Book Antiqua" w:hAnsi="Book Antiqua" w:cs="Quattrocento"/>
          <w:sz w:val="24"/>
          <w:szCs w:val="24"/>
        </w:rPr>
        <w:t xml:space="preserve"> to RTX: after an initial fall of CD19 cell count to 0, patient continued to experienced clini</w:t>
      </w:r>
      <w:r w:rsidR="00646413" w:rsidRPr="00EB00D9">
        <w:rPr>
          <w:rFonts w:ascii="Book Antiqua" w:hAnsi="Book Antiqua" w:cs="Quattrocento"/>
          <w:sz w:val="24"/>
          <w:szCs w:val="24"/>
        </w:rPr>
        <w:t>cal relapses and</w:t>
      </w:r>
      <w:r w:rsidRPr="00EB00D9">
        <w:rPr>
          <w:rFonts w:ascii="Book Antiqua" w:hAnsi="Book Antiqua" w:cs="Quattrocento"/>
          <w:sz w:val="24"/>
          <w:szCs w:val="24"/>
        </w:rPr>
        <w:t xml:space="preserve"> marked early return of B cells at 91 d after RTX, which could not be suppressed by further doses of RTX.</w:t>
      </w:r>
      <w:r w:rsidR="003066E2" w:rsidRPr="00EB00D9">
        <w:rPr>
          <w:rFonts w:ascii="Book Antiqua" w:hAnsi="Book Antiqua" w:cs="Quattrocento"/>
          <w:sz w:val="24"/>
          <w:szCs w:val="24"/>
        </w:rPr>
        <w:t xml:space="preserve"> </w:t>
      </w:r>
      <w:r w:rsidRPr="00EB00D9">
        <w:rPr>
          <w:rFonts w:ascii="Book Antiqua" w:hAnsi="Book Antiqua" w:cs="Quattrocento"/>
          <w:sz w:val="24"/>
          <w:szCs w:val="24"/>
        </w:rPr>
        <w:t xml:space="preserve">This appears to be an exceptional case, as most </w:t>
      </w:r>
      <w:r w:rsidR="0095492E" w:rsidRPr="00EB00D9">
        <w:rPr>
          <w:rFonts w:ascii="Book Antiqua" w:hAnsi="Book Antiqua" w:cs="Quattrocento"/>
          <w:sz w:val="24"/>
          <w:szCs w:val="24"/>
          <w:lang w:eastAsia="zh-CN"/>
        </w:rPr>
        <w:t>“</w:t>
      </w:r>
      <w:r w:rsidRPr="00EB00D9">
        <w:rPr>
          <w:rFonts w:ascii="Book Antiqua" w:hAnsi="Book Antiqua" w:cs="Quattrocento"/>
          <w:sz w:val="24"/>
          <w:szCs w:val="24"/>
        </w:rPr>
        <w:t>true</w:t>
      </w:r>
      <w:r w:rsidR="0095492E" w:rsidRPr="00EB00D9">
        <w:rPr>
          <w:rFonts w:ascii="Book Antiqua" w:hAnsi="Book Antiqua" w:cs="Quattrocento"/>
          <w:sz w:val="24"/>
          <w:szCs w:val="24"/>
          <w:lang w:eastAsia="zh-CN"/>
        </w:rPr>
        <w:t>”</w:t>
      </w:r>
      <w:r w:rsidRPr="00EB00D9">
        <w:rPr>
          <w:rFonts w:ascii="Book Antiqua" w:hAnsi="Book Antiqua" w:cs="Quattrocento"/>
          <w:sz w:val="24"/>
          <w:szCs w:val="24"/>
        </w:rPr>
        <w:t xml:space="preserve"> non-responders in the Greenberg </w:t>
      </w:r>
      <w:r w:rsidR="0095492E" w:rsidRPr="00EB00D9">
        <w:rPr>
          <w:rFonts w:ascii="Book Antiqua" w:hAnsi="Book Antiqua" w:cs="Quattrocento"/>
          <w:i/>
          <w:sz w:val="24"/>
          <w:szCs w:val="24"/>
        </w:rPr>
        <w:t>et al</w:t>
      </w:r>
      <w:r w:rsidR="0095492E" w:rsidRPr="00EB00D9">
        <w:rPr>
          <w:rFonts w:ascii="Book Antiqua" w:hAnsi="Book Antiqua" w:cs="Quattrocento"/>
          <w:sz w:val="24"/>
          <w:szCs w:val="24"/>
          <w:vertAlign w:val="superscript"/>
        </w:rPr>
        <w:t>[</w:t>
      </w:r>
      <w:r w:rsidR="009C692E" w:rsidRPr="00EB00D9">
        <w:rPr>
          <w:rFonts w:ascii="Book Antiqua" w:hAnsi="Book Antiqua" w:cs="Quattrocento" w:hint="eastAsia"/>
          <w:sz w:val="24"/>
          <w:szCs w:val="24"/>
          <w:vertAlign w:val="superscript"/>
          <w:lang w:eastAsia="zh-CN"/>
        </w:rPr>
        <w:t>40</w:t>
      </w:r>
      <w:r w:rsidR="0095492E" w:rsidRPr="00EB00D9">
        <w:rPr>
          <w:rFonts w:ascii="Book Antiqua" w:hAnsi="Book Antiqua" w:cs="Quattrocento"/>
          <w:sz w:val="24"/>
          <w:szCs w:val="24"/>
          <w:vertAlign w:val="superscript"/>
        </w:rPr>
        <w:t>]</w:t>
      </w:r>
      <w:r w:rsidRPr="00EB00D9">
        <w:rPr>
          <w:rFonts w:ascii="Book Antiqua" w:hAnsi="Book Antiqua" w:cs="Quattrocento"/>
          <w:sz w:val="24"/>
          <w:szCs w:val="24"/>
        </w:rPr>
        <w:t xml:space="preserve"> study – 6 out of 8 - had CD19 count below 2% at the time of relapse</w:t>
      </w:r>
      <w:r w:rsidRPr="00EB00D9">
        <w:rPr>
          <w:rFonts w:ascii="Book Antiqua" w:hAnsi="Book Antiqua" w:cs="Quattrocento"/>
          <w:sz w:val="24"/>
          <w:szCs w:val="24"/>
          <w:vertAlign w:val="superscript"/>
        </w:rPr>
        <w:t>[</w:t>
      </w:r>
      <w:r w:rsidR="009C692E" w:rsidRPr="00EB00D9">
        <w:rPr>
          <w:rFonts w:ascii="Book Antiqua" w:hAnsi="Book Antiqua" w:cs="Quattrocento" w:hint="eastAsia"/>
          <w:sz w:val="24"/>
          <w:szCs w:val="24"/>
          <w:vertAlign w:val="superscript"/>
          <w:lang w:eastAsia="zh-CN"/>
        </w:rPr>
        <w:t>40</w:t>
      </w:r>
      <w:r w:rsidRPr="00EB00D9">
        <w:rPr>
          <w:rFonts w:ascii="Book Antiqua" w:hAnsi="Book Antiqua" w:cs="Quattrocento"/>
          <w:sz w:val="24"/>
          <w:szCs w:val="24"/>
          <w:vertAlign w:val="superscript"/>
        </w:rPr>
        <w:t>]</w:t>
      </w:r>
      <w:r w:rsidRPr="00EB00D9">
        <w:rPr>
          <w:rFonts w:ascii="Book Antiqua" w:hAnsi="Book Antiqua" w:cs="Quattrocento"/>
          <w:sz w:val="24"/>
          <w:szCs w:val="24"/>
        </w:rPr>
        <w:t xml:space="preserve">. Kim </w:t>
      </w:r>
      <w:r w:rsidRPr="00EB00D9">
        <w:rPr>
          <w:rFonts w:ascii="Book Antiqua" w:hAnsi="Book Antiqua" w:cs="Quattrocento"/>
          <w:i/>
          <w:sz w:val="24"/>
          <w:szCs w:val="24"/>
        </w:rPr>
        <w:t>et al</w:t>
      </w:r>
      <w:r w:rsidR="0095492E" w:rsidRPr="00EB00D9">
        <w:rPr>
          <w:rFonts w:ascii="Book Antiqua" w:hAnsi="Book Antiqua" w:cs="Quattrocento"/>
          <w:sz w:val="24"/>
          <w:szCs w:val="24"/>
          <w:vertAlign w:val="superscript"/>
        </w:rPr>
        <w:t>[2</w:t>
      </w:r>
      <w:r w:rsidR="00CA2267" w:rsidRPr="00EB00D9">
        <w:rPr>
          <w:rFonts w:ascii="Book Antiqua" w:hAnsi="Book Antiqua" w:cs="Quattrocento" w:hint="eastAsia"/>
          <w:sz w:val="24"/>
          <w:szCs w:val="24"/>
          <w:vertAlign w:val="superscript"/>
          <w:lang w:eastAsia="zh-CN"/>
        </w:rPr>
        <w:t>6</w:t>
      </w:r>
      <w:r w:rsidR="0095492E" w:rsidRPr="00EB00D9">
        <w:rPr>
          <w:rFonts w:ascii="Book Antiqua" w:hAnsi="Book Antiqua" w:cs="Quattrocento"/>
          <w:sz w:val="24"/>
          <w:szCs w:val="24"/>
          <w:vertAlign w:val="superscript"/>
        </w:rPr>
        <w:t>]</w:t>
      </w:r>
      <w:r w:rsidRPr="00EB00D9">
        <w:rPr>
          <w:rFonts w:ascii="Book Antiqua" w:hAnsi="Book Antiqua" w:cs="Quattrocento"/>
          <w:sz w:val="24"/>
          <w:szCs w:val="24"/>
        </w:rPr>
        <w:t xml:space="preserve"> also noted that 13 out of 20 relapses (65%) occurred even when CD19 B-cell fraction was less than 0.5% PBMCs</w:t>
      </w:r>
      <w:r w:rsidRPr="00EB00D9">
        <w:rPr>
          <w:rFonts w:ascii="Book Antiqua" w:hAnsi="Book Antiqua" w:cs="Quattrocento"/>
          <w:sz w:val="24"/>
          <w:szCs w:val="24"/>
          <w:vertAlign w:val="superscript"/>
        </w:rPr>
        <w:t>[2</w:t>
      </w:r>
      <w:r w:rsidR="00CA2267" w:rsidRPr="00EB00D9">
        <w:rPr>
          <w:rFonts w:ascii="Book Antiqua" w:hAnsi="Book Antiqua" w:cs="Quattrocento" w:hint="eastAsia"/>
          <w:sz w:val="24"/>
          <w:szCs w:val="24"/>
          <w:vertAlign w:val="superscript"/>
          <w:lang w:eastAsia="zh-CN"/>
        </w:rPr>
        <w:t>6</w:t>
      </w:r>
      <w:r w:rsidRPr="00EB00D9">
        <w:rPr>
          <w:rFonts w:ascii="Book Antiqua" w:hAnsi="Book Antiqua" w:cs="Quattrocento"/>
          <w:sz w:val="24"/>
          <w:szCs w:val="24"/>
          <w:vertAlign w:val="superscript"/>
        </w:rPr>
        <w:t>]</w:t>
      </w:r>
      <w:r w:rsidR="0095492E" w:rsidRPr="00EB00D9">
        <w:rPr>
          <w:rFonts w:ascii="Book Antiqua" w:hAnsi="Book Antiqua" w:cs="Quattrocento"/>
          <w:sz w:val="24"/>
          <w:szCs w:val="24"/>
        </w:rPr>
        <w:t xml:space="preserve">. Lindsey </w:t>
      </w:r>
      <w:r w:rsidR="0095492E" w:rsidRPr="00EB00D9">
        <w:rPr>
          <w:rFonts w:ascii="Book Antiqua" w:hAnsi="Book Antiqua" w:cs="Quattrocento"/>
          <w:i/>
          <w:sz w:val="24"/>
          <w:szCs w:val="24"/>
        </w:rPr>
        <w:t>et al</w:t>
      </w:r>
      <w:r w:rsidR="0095492E" w:rsidRPr="00EB00D9">
        <w:rPr>
          <w:rFonts w:ascii="Book Antiqua" w:hAnsi="Book Antiqua" w:cs="Quattrocento" w:hint="eastAsia"/>
          <w:sz w:val="24"/>
          <w:szCs w:val="24"/>
          <w:vertAlign w:val="superscript"/>
          <w:lang w:eastAsia="zh-CN"/>
        </w:rPr>
        <w:t>[32]</w:t>
      </w:r>
      <w:r w:rsidRPr="00EB00D9">
        <w:rPr>
          <w:rFonts w:ascii="Book Antiqua" w:hAnsi="Book Antiqua" w:cs="Quattrocento"/>
          <w:sz w:val="24"/>
          <w:szCs w:val="24"/>
        </w:rPr>
        <w:t xml:space="preserve"> ask whether in patients with continued relapses despite complete B-cell suppression, pathogenic T-cell may play a relatively more prominent role in pathogenesis</w:t>
      </w:r>
      <w:r w:rsidRPr="00EB00D9">
        <w:rPr>
          <w:rFonts w:ascii="Book Antiqua" w:hAnsi="Book Antiqua" w:cs="Quattrocento"/>
          <w:sz w:val="24"/>
          <w:szCs w:val="24"/>
          <w:vertAlign w:val="superscript"/>
        </w:rPr>
        <w:t>[32]</w:t>
      </w:r>
      <w:r w:rsidRPr="00EB00D9">
        <w:rPr>
          <w:rFonts w:ascii="Book Antiqua" w:hAnsi="Book Antiqua" w:cs="Quattrocento"/>
          <w:sz w:val="24"/>
          <w:szCs w:val="24"/>
        </w:rPr>
        <w:t>. It is also possible RTX does not completely eliminate pathogenic clones in the periphery or that CD19+ count overestimates the degree</w:t>
      </w:r>
      <w:r w:rsidR="0095492E" w:rsidRPr="00EB00D9">
        <w:rPr>
          <w:rFonts w:ascii="Book Antiqua" w:hAnsi="Book Antiqua" w:cs="Quattrocento"/>
          <w:sz w:val="24"/>
          <w:szCs w:val="24"/>
        </w:rPr>
        <w:t xml:space="preserve"> of peripheral B-cell depletion</w:t>
      </w:r>
      <w:r w:rsidRPr="00EB00D9">
        <w:rPr>
          <w:rFonts w:ascii="Book Antiqua" w:hAnsi="Book Antiqua" w:cs="Quattrocento"/>
          <w:sz w:val="24"/>
          <w:szCs w:val="24"/>
          <w:vertAlign w:val="superscript"/>
        </w:rPr>
        <w:t>[</w:t>
      </w:r>
      <w:r w:rsidR="009C692E" w:rsidRPr="00EB00D9">
        <w:rPr>
          <w:rFonts w:ascii="Book Antiqua" w:hAnsi="Book Antiqua" w:cs="Quattrocento" w:hint="eastAsia"/>
          <w:sz w:val="24"/>
          <w:szCs w:val="24"/>
          <w:vertAlign w:val="superscript"/>
          <w:lang w:eastAsia="zh-CN"/>
        </w:rPr>
        <w:t>39</w:t>
      </w:r>
      <w:r w:rsidRPr="00EB00D9">
        <w:rPr>
          <w:rFonts w:ascii="Book Antiqua" w:hAnsi="Book Antiqua" w:cs="Quattrocento"/>
          <w:sz w:val="24"/>
          <w:szCs w:val="24"/>
          <w:vertAlign w:val="superscript"/>
        </w:rPr>
        <w:t>]</w:t>
      </w:r>
      <w:r w:rsidRPr="00EB00D9">
        <w:rPr>
          <w:rFonts w:ascii="Book Antiqua" w:hAnsi="Book Antiqua" w:cs="Quattrocento"/>
          <w:sz w:val="24"/>
          <w:szCs w:val="24"/>
        </w:rPr>
        <w:t>. Furthermore, peripherally administered monoclonal antibodies have limited penetration across the blood brain barrier – typically CSF concentration is &lt;</w:t>
      </w:r>
      <w:r w:rsidR="0095492E" w:rsidRPr="00EB00D9">
        <w:rPr>
          <w:rFonts w:ascii="Book Antiqua" w:hAnsi="Book Antiqua" w:cs="Quattrocento" w:hint="eastAsia"/>
          <w:sz w:val="24"/>
          <w:szCs w:val="24"/>
          <w:lang w:eastAsia="zh-CN"/>
        </w:rPr>
        <w:t xml:space="preserve"> </w:t>
      </w:r>
      <w:r w:rsidRPr="00EB00D9">
        <w:rPr>
          <w:rFonts w:ascii="Book Antiqua" w:hAnsi="Book Antiqua" w:cs="Quattrocento"/>
          <w:sz w:val="24"/>
          <w:szCs w:val="24"/>
        </w:rPr>
        <w:t>0.1% of serum antibody concentration</w:t>
      </w:r>
      <w:r w:rsidRPr="00EB00D9">
        <w:rPr>
          <w:rFonts w:ascii="Book Antiqua" w:hAnsi="Book Antiqua" w:cs="Quattrocento"/>
          <w:sz w:val="24"/>
          <w:szCs w:val="24"/>
          <w:vertAlign w:val="superscript"/>
        </w:rPr>
        <w:t>[</w:t>
      </w:r>
      <w:r w:rsidR="009C692E" w:rsidRPr="00EB00D9">
        <w:rPr>
          <w:rFonts w:ascii="Book Antiqua" w:hAnsi="Book Antiqua" w:cs="Quattrocento" w:hint="eastAsia"/>
          <w:sz w:val="24"/>
          <w:szCs w:val="24"/>
          <w:vertAlign w:val="superscript"/>
          <w:lang w:eastAsia="zh-CN"/>
        </w:rPr>
        <w:t>41</w:t>
      </w:r>
      <w:r w:rsidRPr="00EB00D9">
        <w:rPr>
          <w:rFonts w:ascii="Book Antiqua" w:hAnsi="Book Antiqua" w:cs="Quattrocento"/>
          <w:sz w:val="24"/>
          <w:szCs w:val="24"/>
          <w:vertAlign w:val="superscript"/>
        </w:rPr>
        <w:t>]</w:t>
      </w:r>
      <w:r w:rsidRPr="00EB00D9">
        <w:rPr>
          <w:rFonts w:ascii="Book Antiqua" w:hAnsi="Book Antiqua" w:cs="Quattrocento"/>
          <w:sz w:val="24"/>
          <w:szCs w:val="24"/>
        </w:rPr>
        <w:t>. Although CSF Rituximab concentration may be considerably higher if blood-brain barrier is perturbed</w:t>
      </w:r>
      <w:r w:rsidRPr="00EB00D9">
        <w:rPr>
          <w:rFonts w:ascii="Book Antiqua" w:hAnsi="Book Antiqua" w:cs="Quattrocento"/>
          <w:sz w:val="24"/>
          <w:szCs w:val="24"/>
          <w:vertAlign w:val="superscript"/>
        </w:rPr>
        <w:t>[</w:t>
      </w:r>
      <w:r w:rsidR="009C692E" w:rsidRPr="00EB00D9">
        <w:rPr>
          <w:rFonts w:ascii="Book Antiqua" w:hAnsi="Book Antiqua" w:cs="Quattrocento" w:hint="eastAsia"/>
          <w:sz w:val="24"/>
          <w:szCs w:val="24"/>
          <w:vertAlign w:val="superscript"/>
          <w:lang w:eastAsia="zh-CN"/>
        </w:rPr>
        <w:t>42</w:t>
      </w:r>
      <w:r w:rsidRPr="00EB00D9">
        <w:rPr>
          <w:rFonts w:ascii="Book Antiqua" w:hAnsi="Book Antiqua" w:cs="Quattrocento"/>
          <w:sz w:val="24"/>
          <w:szCs w:val="24"/>
          <w:vertAlign w:val="superscript"/>
        </w:rPr>
        <w:t>]</w:t>
      </w:r>
      <w:r w:rsidR="00646413" w:rsidRPr="00EB00D9">
        <w:rPr>
          <w:rFonts w:ascii="Book Antiqua" w:hAnsi="Book Antiqua" w:cs="Quattrocento"/>
          <w:sz w:val="24"/>
          <w:szCs w:val="24"/>
        </w:rPr>
        <w:t>, its concentration may</w:t>
      </w:r>
      <w:r w:rsidRPr="00EB00D9">
        <w:rPr>
          <w:rFonts w:ascii="Book Antiqua" w:hAnsi="Book Antiqua" w:cs="Quattrocento"/>
          <w:sz w:val="24"/>
          <w:szCs w:val="24"/>
        </w:rPr>
        <w:t xml:space="preserve"> be insufficient for elimination of B-cells from CSF.</w:t>
      </w:r>
    </w:p>
    <w:p w:rsidR="00120E34" w:rsidRPr="00EB00D9" w:rsidRDefault="00120E34" w:rsidP="000F62D6">
      <w:pPr>
        <w:spacing w:after="0" w:line="360" w:lineRule="auto"/>
        <w:jc w:val="both"/>
        <w:rPr>
          <w:rFonts w:ascii="Book Antiqua" w:hAnsi="Book Antiqua" w:cs="Quattrocento"/>
          <w:sz w:val="24"/>
          <w:szCs w:val="24"/>
        </w:rPr>
      </w:pPr>
    </w:p>
    <w:p w:rsidR="00120E34" w:rsidRPr="00EB00D9" w:rsidRDefault="0095492E" w:rsidP="000F62D6">
      <w:pPr>
        <w:spacing w:after="0" w:line="360" w:lineRule="auto"/>
        <w:jc w:val="both"/>
        <w:rPr>
          <w:rFonts w:ascii="Book Antiqua" w:hAnsi="Book Antiqua" w:cs="Arial"/>
          <w:b/>
          <w:sz w:val="24"/>
          <w:szCs w:val="24"/>
        </w:rPr>
      </w:pPr>
      <w:r w:rsidRPr="00EB00D9">
        <w:rPr>
          <w:rFonts w:ascii="Book Antiqua" w:hAnsi="Book Antiqua" w:cs="Arial"/>
          <w:b/>
          <w:sz w:val="24"/>
          <w:szCs w:val="24"/>
        </w:rPr>
        <w:t>CONCLUSION AND QUESTIONS FOR FUTURE STUDIES</w:t>
      </w:r>
    </w:p>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Thirteen observational studies from across the world (Table 1) have documented stabilization or improvement in disability scores in a majority of NMO patients upon initiation of RTX. Pooling data across the stud</w:t>
      </w:r>
      <w:r w:rsidR="00A80FB7" w:rsidRPr="00EB00D9">
        <w:rPr>
          <w:rFonts w:ascii="Book Antiqua" w:hAnsi="Book Antiqua"/>
          <w:sz w:val="24"/>
          <w:szCs w:val="24"/>
        </w:rPr>
        <w:t>ies shows that 66% of patients we</w:t>
      </w:r>
      <w:r w:rsidRPr="00EB00D9">
        <w:rPr>
          <w:rFonts w:ascii="Book Antiqua" w:hAnsi="Book Antiqua"/>
          <w:sz w:val="24"/>
          <w:szCs w:val="24"/>
        </w:rPr>
        <w:t>re relapse-free throughout the treatment period (typicall</w:t>
      </w:r>
      <w:r w:rsidR="00A80FB7" w:rsidRPr="00EB00D9">
        <w:rPr>
          <w:rFonts w:ascii="Book Antiqua" w:hAnsi="Book Antiqua"/>
          <w:sz w:val="24"/>
          <w:szCs w:val="24"/>
        </w:rPr>
        <w:t>y 1-2 years). It is possible</w:t>
      </w:r>
      <w:r w:rsidRPr="00EB00D9">
        <w:rPr>
          <w:rFonts w:ascii="Book Antiqua" w:hAnsi="Book Antiqua"/>
          <w:sz w:val="24"/>
          <w:szCs w:val="24"/>
        </w:rPr>
        <w:t xml:space="preserve"> that with a more rigorous monitoring </w:t>
      </w:r>
      <w:r w:rsidR="00A80FB7" w:rsidRPr="00EB00D9">
        <w:rPr>
          <w:rFonts w:ascii="Book Antiqua" w:hAnsi="Book Antiqua"/>
          <w:sz w:val="24"/>
          <w:szCs w:val="24"/>
        </w:rPr>
        <w:t xml:space="preserve">of response </w:t>
      </w:r>
      <w:r w:rsidRPr="00EB00D9">
        <w:rPr>
          <w:rFonts w:ascii="Book Antiqua" w:hAnsi="Book Antiqua"/>
          <w:sz w:val="24"/>
          <w:szCs w:val="24"/>
        </w:rPr>
        <w:t>with CD19+ or CD27+ biomarkers and improved strategies to avoid relapses in the post-induction</w:t>
      </w:r>
      <w:r w:rsidR="00A80FB7" w:rsidRPr="00EB00D9">
        <w:rPr>
          <w:rFonts w:ascii="Book Antiqua" w:hAnsi="Book Antiqua"/>
          <w:sz w:val="24"/>
          <w:szCs w:val="24"/>
        </w:rPr>
        <w:t xml:space="preserve"> period</w:t>
      </w:r>
      <w:r w:rsidRPr="00EB00D9">
        <w:rPr>
          <w:rFonts w:ascii="Book Antiqua" w:hAnsi="Book Antiqua"/>
          <w:sz w:val="24"/>
          <w:szCs w:val="24"/>
        </w:rPr>
        <w:t xml:space="preserve"> even more impressive results could be achieved. Although the studies in our review have been unc</w:t>
      </w:r>
      <w:r w:rsidR="00A80FB7" w:rsidRPr="00EB00D9">
        <w:rPr>
          <w:rFonts w:ascii="Book Antiqua" w:hAnsi="Book Antiqua"/>
          <w:sz w:val="24"/>
          <w:szCs w:val="24"/>
        </w:rPr>
        <w:t>ontrolled and mostly retrospective</w:t>
      </w:r>
      <w:r w:rsidRPr="00EB00D9">
        <w:rPr>
          <w:rFonts w:ascii="Book Antiqua" w:hAnsi="Book Antiqua"/>
          <w:sz w:val="24"/>
          <w:szCs w:val="24"/>
        </w:rPr>
        <w:t xml:space="preserve"> and </w:t>
      </w:r>
      <w:r w:rsidR="00A80FB7" w:rsidRPr="00EB00D9">
        <w:rPr>
          <w:rFonts w:ascii="Book Antiqua" w:hAnsi="Book Antiqua"/>
          <w:sz w:val="24"/>
          <w:szCs w:val="24"/>
        </w:rPr>
        <w:t xml:space="preserve">so </w:t>
      </w:r>
      <w:r w:rsidRPr="00EB00D9">
        <w:rPr>
          <w:rFonts w:ascii="Book Antiqua" w:hAnsi="Book Antiqua"/>
          <w:sz w:val="24"/>
          <w:szCs w:val="24"/>
        </w:rPr>
        <w:t>subject to various biases (</w:t>
      </w:r>
      <w:r w:rsidRPr="00EB00D9">
        <w:rPr>
          <w:rFonts w:ascii="Book Antiqua" w:hAnsi="Book Antiqua"/>
          <w:i/>
          <w:sz w:val="24"/>
          <w:szCs w:val="24"/>
        </w:rPr>
        <w:t>e.g</w:t>
      </w:r>
      <w:r w:rsidRPr="00EB00D9">
        <w:rPr>
          <w:rFonts w:ascii="Book Antiqua" w:hAnsi="Book Antiqua"/>
          <w:sz w:val="24"/>
          <w:szCs w:val="24"/>
        </w:rPr>
        <w:t>.</w:t>
      </w:r>
      <w:r w:rsidR="0095492E" w:rsidRPr="00EB00D9">
        <w:rPr>
          <w:rFonts w:ascii="Book Antiqua" w:hAnsi="Book Antiqua" w:hint="eastAsia"/>
          <w:sz w:val="24"/>
          <w:szCs w:val="24"/>
          <w:lang w:eastAsia="zh-CN"/>
        </w:rPr>
        <w:t>,</w:t>
      </w:r>
      <w:r w:rsidRPr="00EB00D9">
        <w:rPr>
          <w:rFonts w:ascii="Book Antiqua" w:hAnsi="Book Antiqua"/>
          <w:sz w:val="24"/>
          <w:szCs w:val="24"/>
        </w:rPr>
        <w:t xml:space="preserve"> ascertainment bias, selection bias, publication bias), they </w:t>
      </w:r>
      <w:r w:rsidR="00A80FB7" w:rsidRPr="00EB00D9">
        <w:rPr>
          <w:rFonts w:ascii="Book Antiqua" w:hAnsi="Book Antiqua"/>
          <w:sz w:val="24"/>
          <w:szCs w:val="24"/>
        </w:rPr>
        <w:t>are</w:t>
      </w:r>
      <w:r w:rsidRPr="00EB00D9">
        <w:rPr>
          <w:rFonts w:ascii="Book Antiqua" w:hAnsi="Book Antiqua"/>
          <w:sz w:val="24"/>
          <w:szCs w:val="24"/>
        </w:rPr>
        <w:t xml:space="preserve"> consistent in demonstrating robust treatment response. Considering the natural history of untreated NMO</w:t>
      </w:r>
      <w:r w:rsidRPr="00EB00D9">
        <w:rPr>
          <w:rFonts w:ascii="Book Antiqua" w:hAnsi="Book Antiqua"/>
          <w:sz w:val="24"/>
          <w:szCs w:val="24"/>
          <w:vertAlign w:val="superscript"/>
        </w:rPr>
        <w:t>[8]</w:t>
      </w:r>
      <w:r w:rsidR="00A80FB7" w:rsidRPr="00EB00D9">
        <w:rPr>
          <w:rFonts w:ascii="Book Antiqua" w:hAnsi="Book Antiqua"/>
          <w:sz w:val="24"/>
          <w:szCs w:val="24"/>
        </w:rPr>
        <w:t>, it would seem</w:t>
      </w:r>
      <w:r w:rsidRPr="00EB00D9">
        <w:rPr>
          <w:rFonts w:ascii="Book Antiqua" w:hAnsi="Book Antiqua"/>
          <w:sz w:val="24"/>
          <w:szCs w:val="24"/>
        </w:rPr>
        <w:t xml:space="preserve"> highly unlikely that the observed reduction of relapses and improved disability scores in RTX-treated patients is accounted for solely by artifacts of data collection or </w:t>
      </w:r>
      <w:r w:rsidR="0095492E" w:rsidRPr="00EB00D9">
        <w:rPr>
          <w:rFonts w:ascii="Book Antiqua" w:hAnsi="Book Antiqua"/>
          <w:sz w:val="24"/>
          <w:szCs w:val="24"/>
          <w:lang w:eastAsia="zh-CN"/>
        </w:rPr>
        <w:t>“</w:t>
      </w:r>
      <w:r w:rsidRPr="00EB00D9">
        <w:rPr>
          <w:rFonts w:ascii="Book Antiqua" w:hAnsi="Book Antiqua"/>
          <w:sz w:val="24"/>
          <w:szCs w:val="24"/>
        </w:rPr>
        <w:t>regression to the mean</w:t>
      </w:r>
      <w:r w:rsidR="0095492E" w:rsidRPr="00EB00D9">
        <w:rPr>
          <w:rFonts w:ascii="Book Antiqua" w:hAnsi="Book Antiqua"/>
          <w:sz w:val="24"/>
          <w:szCs w:val="24"/>
          <w:lang w:eastAsia="zh-CN"/>
        </w:rPr>
        <w:t>”</w:t>
      </w:r>
      <w:r w:rsidRPr="00EB00D9">
        <w:rPr>
          <w:rFonts w:ascii="Book Antiqua" w:hAnsi="Book Antiqua"/>
          <w:sz w:val="24"/>
          <w:szCs w:val="24"/>
        </w:rPr>
        <w:t xml:space="preserve"> phenomenon. The accumulated weight of evidence, in authors’ opinion, casts serious doubt with regard to possibility of genuine clinical equipoise in NMO at the present time.</w:t>
      </w:r>
      <w:r w:rsidR="003066E2" w:rsidRPr="00EB00D9">
        <w:rPr>
          <w:rFonts w:ascii="Book Antiqua" w:hAnsi="Book Antiqua"/>
          <w:sz w:val="24"/>
          <w:szCs w:val="24"/>
        </w:rPr>
        <w:t xml:space="preserve"> </w:t>
      </w:r>
    </w:p>
    <w:p w:rsidR="0067064C" w:rsidRPr="00EB00D9" w:rsidRDefault="00120E34" w:rsidP="0095492E">
      <w:pPr>
        <w:spacing w:after="0" w:line="360" w:lineRule="auto"/>
        <w:ind w:firstLineChars="100" w:firstLine="240"/>
        <w:jc w:val="both"/>
        <w:rPr>
          <w:rFonts w:ascii="Book Antiqua" w:hAnsi="Book Antiqua" w:cs="Arial"/>
          <w:sz w:val="24"/>
          <w:szCs w:val="24"/>
        </w:rPr>
      </w:pPr>
      <w:r w:rsidRPr="00EB00D9">
        <w:rPr>
          <w:rFonts w:ascii="Book Antiqua" w:hAnsi="Book Antiqua" w:cs="Arial"/>
          <w:sz w:val="24"/>
          <w:szCs w:val="24"/>
        </w:rPr>
        <w:t xml:space="preserve">Important questions remain with regard to place of RTX in the treatment algorithm of NMO. </w:t>
      </w:r>
      <w:r w:rsidR="00A80FB7" w:rsidRPr="00EB00D9">
        <w:rPr>
          <w:rFonts w:ascii="Book Antiqua" w:hAnsi="Book Antiqua" w:cs="Arial"/>
          <w:sz w:val="24"/>
          <w:szCs w:val="24"/>
        </w:rPr>
        <w:t>A</w:t>
      </w:r>
      <w:r w:rsidRPr="00EB00D9">
        <w:rPr>
          <w:rFonts w:ascii="Book Antiqua" w:hAnsi="Book Antiqua" w:cs="Arial"/>
          <w:sz w:val="24"/>
          <w:szCs w:val="24"/>
        </w:rPr>
        <w:t xml:space="preserve"> recent retrospective review concluded that RTX had the lowest failure rate compared to the common</w:t>
      </w:r>
      <w:r w:rsidR="0095492E" w:rsidRPr="00EB00D9">
        <w:rPr>
          <w:rFonts w:ascii="Book Antiqua" w:hAnsi="Book Antiqua" w:cs="Arial"/>
          <w:sz w:val="24"/>
          <w:szCs w:val="24"/>
        </w:rPr>
        <w:t>ly used oral immunosuppressants</w:t>
      </w:r>
      <w:r w:rsidRPr="00EB00D9">
        <w:rPr>
          <w:rFonts w:ascii="Book Antiqua" w:hAnsi="Book Antiqua" w:cs="Arial"/>
          <w:sz w:val="24"/>
          <w:szCs w:val="24"/>
          <w:vertAlign w:val="superscript"/>
        </w:rPr>
        <w:t>[5]</w:t>
      </w:r>
      <w:r w:rsidRPr="00EB00D9">
        <w:rPr>
          <w:rFonts w:ascii="Book Antiqua" w:hAnsi="Book Antiqua" w:cs="Arial"/>
          <w:sz w:val="24"/>
          <w:szCs w:val="24"/>
        </w:rPr>
        <w:t xml:space="preserve">. Based on this data, and overall efficacy of RTX in the published studies, RTX should be strongly considered </w:t>
      </w:r>
      <w:r w:rsidR="00A80FB7" w:rsidRPr="00EB00D9">
        <w:rPr>
          <w:rFonts w:ascii="Book Antiqua" w:hAnsi="Book Antiqua" w:cs="Arial"/>
          <w:sz w:val="24"/>
          <w:szCs w:val="24"/>
        </w:rPr>
        <w:t xml:space="preserve">in </w:t>
      </w:r>
      <w:r w:rsidRPr="00EB00D9">
        <w:rPr>
          <w:rFonts w:ascii="Book Antiqua" w:hAnsi="Book Antiqua" w:cs="Arial"/>
          <w:sz w:val="24"/>
          <w:szCs w:val="24"/>
        </w:rPr>
        <w:t xml:space="preserve">any NMO patient who continues to relapse on </w:t>
      </w:r>
      <w:r w:rsidR="00A80FB7" w:rsidRPr="00EB00D9">
        <w:rPr>
          <w:rFonts w:ascii="Book Antiqua" w:hAnsi="Book Antiqua" w:cs="Arial"/>
          <w:sz w:val="24"/>
          <w:szCs w:val="24"/>
        </w:rPr>
        <w:t>oral immunosuppressants</w:t>
      </w:r>
      <w:r w:rsidRPr="00EB00D9">
        <w:rPr>
          <w:rFonts w:ascii="Book Antiqua" w:hAnsi="Book Antiqua" w:cs="Arial"/>
          <w:sz w:val="24"/>
          <w:szCs w:val="24"/>
          <w:vertAlign w:val="superscript"/>
        </w:rPr>
        <w:t>[13]</w:t>
      </w:r>
      <w:r w:rsidRPr="00EB00D9">
        <w:rPr>
          <w:rFonts w:ascii="Book Antiqua" w:hAnsi="Book Antiqua" w:cs="Arial"/>
          <w:sz w:val="24"/>
          <w:szCs w:val="24"/>
        </w:rPr>
        <w:t>. The question of whether RTX should replace prior treatment or be combined with it remains unresolved. Combination therapies, in wide use for rheumatologic diseases, have not received sufficient attention in neuro-immunology and will need to be studied in the future. An acute treatment often used for NMO is plasma exchange</w:t>
      </w:r>
      <w:r w:rsidR="00A80FB7" w:rsidRPr="00EB00D9">
        <w:rPr>
          <w:rFonts w:ascii="Book Antiqua" w:hAnsi="Book Antiqua" w:cs="Arial"/>
          <w:sz w:val="24"/>
          <w:szCs w:val="24"/>
        </w:rPr>
        <w:t xml:space="preserve"> (PLE</w:t>
      </w:r>
      <w:r w:rsidR="0095492E" w:rsidRPr="00EB00D9">
        <w:rPr>
          <w:rFonts w:ascii="Book Antiqua" w:hAnsi="Book Antiqua" w:cs="Arial"/>
          <w:sz w:val="24"/>
          <w:szCs w:val="24"/>
        </w:rPr>
        <w:t>X)</w:t>
      </w:r>
      <w:r w:rsidRPr="00EB00D9">
        <w:rPr>
          <w:rFonts w:ascii="Book Antiqua" w:hAnsi="Book Antiqua" w:cs="Arial"/>
          <w:sz w:val="24"/>
          <w:szCs w:val="24"/>
          <w:vertAlign w:val="superscript"/>
        </w:rPr>
        <w:t>[4</w:t>
      </w:r>
      <w:r w:rsidR="009C692E" w:rsidRPr="00EB00D9">
        <w:rPr>
          <w:rFonts w:ascii="Book Antiqua" w:hAnsi="Book Antiqua" w:cs="Arial" w:hint="eastAsia"/>
          <w:sz w:val="24"/>
          <w:szCs w:val="24"/>
          <w:vertAlign w:val="superscript"/>
          <w:lang w:eastAsia="zh-CN"/>
        </w:rPr>
        <w:t>3</w:t>
      </w:r>
      <w:r w:rsidRPr="00EB00D9">
        <w:rPr>
          <w:rFonts w:ascii="Book Antiqua" w:hAnsi="Book Antiqua" w:cs="Arial"/>
          <w:sz w:val="24"/>
          <w:szCs w:val="24"/>
          <w:vertAlign w:val="superscript"/>
        </w:rPr>
        <w:t>]</w:t>
      </w:r>
      <w:r w:rsidRPr="00EB00D9">
        <w:rPr>
          <w:rFonts w:ascii="Book Antiqua" w:hAnsi="Book Antiqua" w:cs="Arial"/>
          <w:sz w:val="24"/>
          <w:szCs w:val="24"/>
        </w:rPr>
        <w:t>.</w:t>
      </w:r>
      <w:r w:rsidR="00A80FB7" w:rsidRPr="00EB00D9">
        <w:rPr>
          <w:rFonts w:ascii="Book Antiqua" w:hAnsi="Book Antiqua" w:cs="Arial"/>
          <w:sz w:val="24"/>
          <w:szCs w:val="24"/>
        </w:rPr>
        <w:t xml:space="preserve"> E</w:t>
      </w:r>
      <w:r w:rsidRPr="00EB00D9">
        <w:rPr>
          <w:rFonts w:ascii="Book Antiqua" w:hAnsi="Book Antiqua" w:cs="Arial"/>
          <w:sz w:val="24"/>
          <w:szCs w:val="24"/>
        </w:rPr>
        <w:t xml:space="preserve">fficacy and safety </w:t>
      </w:r>
      <w:r w:rsidR="00A80FB7" w:rsidRPr="00EB00D9">
        <w:rPr>
          <w:rFonts w:ascii="Book Antiqua" w:hAnsi="Book Antiqua" w:cs="Arial"/>
          <w:sz w:val="24"/>
          <w:szCs w:val="24"/>
        </w:rPr>
        <w:t xml:space="preserve">of PLEX </w:t>
      </w:r>
      <w:r w:rsidRPr="00EB00D9">
        <w:rPr>
          <w:rFonts w:ascii="Book Antiqua" w:hAnsi="Book Antiqua" w:cs="Arial"/>
          <w:sz w:val="24"/>
          <w:szCs w:val="24"/>
        </w:rPr>
        <w:t xml:space="preserve">in other refractory systemic autoimmune disease have </w:t>
      </w:r>
      <w:r w:rsidR="00A80FB7" w:rsidRPr="00EB00D9">
        <w:rPr>
          <w:rFonts w:ascii="Book Antiqua" w:hAnsi="Book Antiqua" w:cs="Arial"/>
          <w:sz w:val="24"/>
          <w:szCs w:val="24"/>
        </w:rPr>
        <w:t>been shown in several studies</w:t>
      </w:r>
      <w:r w:rsidRPr="00EB00D9">
        <w:rPr>
          <w:rFonts w:ascii="Book Antiqua" w:hAnsi="Book Antiqua" w:cs="Arial"/>
          <w:sz w:val="24"/>
          <w:szCs w:val="24"/>
          <w:vertAlign w:val="superscript"/>
        </w:rPr>
        <w:t>[4</w:t>
      </w:r>
      <w:r w:rsidR="009C692E" w:rsidRPr="00EB00D9">
        <w:rPr>
          <w:rFonts w:ascii="Book Antiqua" w:hAnsi="Book Antiqua" w:cs="Arial" w:hint="eastAsia"/>
          <w:sz w:val="24"/>
          <w:szCs w:val="24"/>
          <w:vertAlign w:val="superscript"/>
          <w:lang w:eastAsia="zh-CN"/>
        </w:rPr>
        <w:t>4</w:t>
      </w:r>
      <w:r w:rsidRPr="00EB00D9">
        <w:rPr>
          <w:rFonts w:ascii="Book Antiqua" w:hAnsi="Book Antiqua" w:cs="Arial"/>
          <w:sz w:val="24"/>
          <w:szCs w:val="24"/>
          <w:vertAlign w:val="superscript"/>
        </w:rPr>
        <w:t>,4</w:t>
      </w:r>
      <w:r w:rsidR="009C692E" w:rsidRPr="00EB00D9">
        <w:rPr>
          <w:rFonts w:ascii="Book Antiqua" w:hAnsi="Book Antiqua" w:cs="Arial" w:hint="eastAsia"/>
          <w:sz w:val="24"/>
          <w:szCs w:val="24"/>
          <w:vertAlign w:val="superscript"/>
          <w:lang w:eastAsia="zh-CN"/>
        </w:rPr>
        <w:t>5</w:t>
      </w:r>
      <w:r w:rsidRPr="00EB00D9">
        <w:rPr>
          <w:rFonts w:ascii="Book Antiqua" w:hAnsi="Book Antiqua" w:cs="Arial"/>
          <w:sz w:val="24"/>
          <w:szCs w:val="24"/>
          <w:vertAlign w:val="superscript"/>
        </w:rPr>
        <w:t>]</w:t>
      </w:r>
      <w:r w:rsidR="003066E2" w:rsidRPr="00EB00D9">
        <w:rPr>
          <w:rFonts w:ascii="Book Antiqua" w:hAnsi="Book Antiqua" w:cs="Arial"/>
          <w:sz w:val="24"/>
          <w:szCs w:val="24"/>
        </w:rPr>
        <w:t xml:space="preserve"> </w:t>
      </w:r>
      <w:r w:rsidR="00A80FB7" w:rsidRPr="00EB00D9">
        <w:rPr>
          <w:rFonts w:ascii="Book Antiqua" w:hAnsi="Book Antiqua" w:cs="Arial"/>
          <w:sz w:val="24"/>
          <w:szCs w:val="24"/>
        </w:rPr>
        <w:t>and its role as maintenance therapy</w:t>
      </w:r>
      <w:r w:rsidR="0095492E" w:rsidRPr="00EB00D9">
        <w:rPr>
          <w:rFonts w:ascii="Book Antiqua" w:hAnsi="Book Antiqua" w:cs="Arial"/>
          <w:sz w:val="24"/>
          <w:szCs w:val="24"/>
        </w:rPr>
        <w:t xml:space="preserve"> of NMO is currently being test</w:t>
      </w:r>
      <w:r w:rsidR="00A80FB7" w:rsidRPr="00EB00D9">
        <w:rPr>
          <w:rFonts w:ascii="Book Antiqua" w:hAnsi="Book Antiqua" w:cs="Arial"/>
          <w:sz w:val="24"/>
          <w:szCs w:val="24"/>
          <w:vertAlign w:val="superscript"/>
        </w:rPr>
        <w:t>[</w:t>
      </w:r>
      <w:r w:rsidR="009C692E" w:rsidRPr="00EB00D9">
        <w:rPr>
          <w:rFonts w:ascii="Book Antiqua" w:hAnsi="Book Antiqua" w:cs="Arial" w:hint="eastAsia"/>
          <w:sz w:val="24"/>
          <w:szCs w:val="24"/>
          <w:vertAlign w:val="superscript"/>
          <w:lang w:eastAsia="zh-CN"/>
        </w:rPr>
        <w:t>46</w:t>
      </w:r>
      <w:r w:rsidR="00A80FB7" w:rsidRPr="00EB00D9">
        <w:rPr>
          <w:rFonts w:ascii="Book Antiqua" w:hAnsi="Book Antiqua" w:cs="Arial"/>
          <w:sz w:val="24"/>
          <w:szCs w:val="24"/>
          <w:vertAlign w:val="superscript"/>
        </w:rPr>
        <w:t>]</w:t>
      </w:r>
      <w:r w:rsidR="00A80FB7" w:rsidRPr="00EB00D9">
        <w:rPr>
          <w:rFonts w:ascii="Book Antiqua" w:hAnsi="Book Antiqua" w:cs="Arial"/>
          <w:sz w:val="24"/>
          <w:szCs w:val="24"/>
        </w:rPr>
        <w:t xml:space="preserve">. </w:t>
      </w:r>
    </w:p>
    <w:p w:rsidR="00120E34" w:rsidRPr="00EB00D9" w:rsidRDefault="00120E34" w:rsidP="0095492E">
      <w:pPr>
        <w:spacing w:after="0" w:line="360" w:lineRule="auto"/>
        <w:ind w:firstLineChars="100" w:firstLine="240"/>
        <w:jc w:val="both"/>
        <w:rPr>
          <w:rFonts w:ascii="Book Antiqua" w:hAnsi="Book Antiqua" w:cs="Arial"/>
          <w:sz w:val="24"/>
          <w:szCs w:val="24"/>
        </w:rPr>
      </w:pPr>
      <w:r w:rsidRPr="00EB00D9">
        <w:rPr>
          <w:rFonts w:ascii="Book Antiqua" w:hAnsi="Book Antiqua" w:cs="Arial"/>
          <w:sz w:val="24"/>
          <w:szCs w:val="24"/>
        </w:rPr>
        <w:t xml:space="preserve">Should RTX be the agent of choice for all previously untreated patients with NMO? The authors would consider RTX as a first-line therapy in a patient with aggressive disease course as well as in the older NMO patients, </w:t>
      </w:r>
      <w:r w:rsidR="0095492E" w:rsidRPr="00EB00D9">
        <w:rPr>
          <w:rFonts w:ascii="Book Antiqua" w:hAnsi="Book Antiqua" w:cs="Arial"/>
          <w:sz w:val="24"/>
          <w:szCs w:val="24"/>
        </w:rPr>
        <w:t>who tend to have worse outcomes</w:t>
      </w:r>
      <w:r w:rsidRPr="00EB00D9">
        <w:rPr>
          <w:rFonts w:ascii="Book Antiqua" w:hAnsi="Book Antiqua" w:cs="Arial"/>
          <w:sz w:val="24"/>
          <w:szCs w:val="24"/>
          <w:vertAlign w:val="superscript"/>
        </w:rPr>
        <w:t>[4</w:t>
      </w:r>
      <w:r w:rsidR="009C692E" w:rsidRPr="00EB00D9">
        <w:rPr>
          <w:rFonts w:ascii="Book Antiqua" w:hAnsi="Book Antiqua" w:cs="Arial" w:hint="eastAsia"/>
          <w:sz w:val="24"/>
          <w:szCs w:val="24"/>
          <w:vertAlign w:val="superscript"/>
          <w:lang w:eastAsia="zh-CN"/>
        </w:rPr>
        <w:t>7</w:t>
      </w:r>
      <w:r w:rsidRPr="00EB00D9">
        <w:rPr>
          <w:rFonts w:ascii="Book Antiqua" w:hAnsi="Book Antiqua" w:cs="Arial"/>
          <w:sz w:val="24"/>
          <w:szCs w:val="24"/>
          <w:vertAlign w:val="superscript"/>
        </w:rPr>
        <w:t>]</w:t>
      </w:r>
      <w:r w:rsidRPr="00EB00D9">
        <w:rPr>
          <w:rFonts w:ascii="Book Antiqua" w:hAnsi="Book Antiqua" w:cs="Arial"/>
          <w:sz w:val="24"/>
          <w:szCs w:val="24"/>
        </w:rPr>
        <w:t xml:space="preserve">. It is less clear whether risk-to-benefit ratio calculation would favor RTX in milder and earlier cases, </w:t>
      </w:r>
      <w:r w:rsidRPr="00EB00D9">
        <w:rPr>
          <w:rFonts w:ascii="Book Antiqua" w:hAnsi="Book Antiqua" w:cs="Arial"/>
          <w:i/>
          <w:sz w:val="24"/>
          <w:szCs w:val="24"/>
        </w:rPr>
        <w:t>e.g.</w:t>
      </w:r>
      <w:r w:rsidR="0095492E" w:rsidRPr="00EB00D9">
        <w:rPr>
          <w:rFonts w:ascii="Book Antiqua" w:hAnsi="Book Antiqua" w:cs="Arial" w:hint="eastAsia"/>
          <w:sz w:val="24"/>
          <w:szCs w:val="24"/>
          <w:lang w:eastAsia="zh-CN"/>
        </w:rPr>
        <w:t>,</w:t>
      </w:r>
      <w:r w:rsidRPr="00EB00D9">
        <w:rPr>
          <w:rFonts w:ascii="Book Antiqua" w:hAnsi="Book Antiqua" w:cs="Arial"/>
          <w:sz w:val="24"/>
          <w:szCs w:val="24"/>
        </w:rPr>
        <w:t xml:space="preserve"> in an AQP4-Ab seropositive patient after single relapse.</w:t>
      </w:r>
      <w:r w:rsidR="003066E2" w:rsidRPr="00EB00D9">
        <w:rPr>
          <w:rFonts w:ascii="Book Antiqua" w:hAnsi="Book Antiqua" w:cs="Arial"/>
          <w:sz w:val="24"/>
          <w:szCs w:val="24"/>
        </w:rPr>
        <w:t xml:space="preserve"> </w:t>
      </w:r>
    </w:p>
    <w:p w:rsidR="00120E34" w:rsidRPr="00EB00D9" w:rsidRDefault="00120E34" w:rsidP="0095492E">
      <w:pPr>
        <w:spacing w:after="0" w:line="360" w:lineRule="auto"/>
        <w:ind w:firstLineChars="100" w:firstLine="240"/>
        <w:jc w:val="both"/>
        <w:rPr>
          <w:rFonts w:ascii="Book Antiqua" w:hAnsi="Book Antiqua" w:cs="Arial"/>
          <w:sz w:val="24"/>
          <w:szCs w:val="24"/>
        </w:rPr>
      </w:pPr>
      <w:r w:rsidRPr="00EB00D9">
        <w:rPr>
          <w:rFonts w:ascii="Book Antiqua" w:hAnsi="Book Antiqua" w:cs="Arial"/>
          <w:sz w:val="24"/>
          <w:szCs w:val="24"/>
        </w:rPr>
        <w:t>What would be the optimal timing for initiating RTX? If, as suggested by some studies</w:t>
      </w:r>
      <w:r w:rsidR="00C611DD" w:rsidRPr="00EB00D9">
        <w:rPr>
          <w:rFonts w:ascii="Book Antiqua" w:hAnsi="Book Antiqua" w:cs="Arial"/>
          <w:sz w:val="24"/>
          <w:szCs w:val="24"/>
          <w:vertAlign w:val="superscript"/>
        </w:rPr>
        <w:t>[22,32,34]</w:t>
      </w:r>
      <w:r w:rsidR="00C611DD" w:rsidRPr="00EB00D9">
        <w:rPr>
          <w:rFonts w:ascii="Book Antiqua" w:hAnsi="Book Antiqua" w:cs="Arial"/>
          <w:sz w:val="24"/>
          <w:szCs w:val="24"/>
        </w:rPr>
        <w:t>, RTX could exacerbate NMO</w:t>
      </w:r>
      <w:r w:rsidRPr="00EB00D9">
        <w:rPr>
          <w:rFonts w:ascii="Book Antiqua" w:hAnsi="Book Antiqua" w:cs="Arial"/>
          <w:sz w:val="24"/>
          <w:szCs w:val="24"/>
        </w:rPr>
        <w:t xml:space="preserve"> in the immediate post-infusion period, it would probably be safer to initiate RTX after a period of stability rather than during an acute exacerbation. This question requires further study as </w:t>
      </w:r>
      <w:r w:rsidR="00C611DD" w:rsidRPr="00EB00D9">
        <w:rPr>
          <w:rFonts w:ascii="Book Antiqua" w:hAnsi="Book Antiqua" w:cs="Arial"/>
          <w:sz w:val="24"/>
          <w:szCs w:val="24"/>
        </w:rPr>
        <w:t xml:space="preserve">the data is conflicting. </w:t>
      </w:r>
      <w:r w:rsidR="00977E9C" w:rsidRPr="00EB00D9">
        <w:rPr>
          <w:rFonts w:ascii="Book Antiqua" w:hAnsi="Book Antiqua" w:cs="Arial"/>
          <w:sz w:val="24"/>
          <w:szCs w:val="24"/>
        </w:rPr>
        <w:t>When switching a patient to RTX, a</w:t>
      </w:r>
      <w:r w:rsidR="00C611DD" w:rsidRPr="00EB00D9">
        <w:rPr>
          <w:rFonts w:ascii="Book Antiqua" w:hAnsi="Book Antiqua" w:cs="Arial"/>
          <w:sz w:val="24"/>
          <w:szCs w:val="24"/>
        </w:rPr>
        <w:t xml:space="preserve"> prudent recommendation is to avoid </w:t>
      </w:r>
      <w:r w:rsidR="00977E9C" w:rsidRPr="00EB00D9">
        <w:rPr>
          <w:rFonts w:ascii="Book Antiqua" w:hAnsi="Book Antiqua" w:cs="Arial"/>
          <w:sz w:val="24"/>
          <w:szCs w:val="24"/>
        </w:rPr>
        <w:t>discontinuing</w:t>
      </w:r>
      <w:r w:rsidRPr="00EB00D9">
        <w:rPr>
          <w:rFonts w:ascii="Book Antiqua" w:hAnsi="Book Antiqua" w:cs="Arial"/>
          <w:sz w:val="24"/>
          <w:szCs w:val="24"/>
        </w:rPr>
        <w:t xml:space="preserve"> prior </w:t>
      </w:r>
      <w:r w:rsidR="00977E9C" w:rsidRPr="00EB00D9">
        <w:rPr>
          <w:rFonts w:ascii="Book Antiqua" w:hAnsi="Book Antiqua" w:cs="Arial"/>
          <w:sz w:val="24"/>
          <w:szCs w:val="24"/>
        </w:rPr>
        <w:t xml:space="preserve">therapy prematurely, as </w:t>
      </w:r>
      <w:r w:rsidRPr="00EB00D9">
        <w:rPr>
          <w:rFonts w:ascii="Book Antiqua" w:hAnsi="Book Antiqua" w:cs="Arial"/>
          <w:sz w:val="24"/>
          <w:szCs w:val="24"/>
        </w:rPr>
        <w:t>delay in starting RTX could put</w:t>
      </w:r>
      <w:r w:rsidR="0095492E" w:rsidRPr="00EB00D9">
        <w:rPr>
          <w:rFonts w:ascii="Book Antiqua" w:hAnsi="Book Antiqua" w:cs="Arial"/>
          <w:sz w:val="24"/>
          <w:szCs w:val="24"/>
        </w:rPr>
        <w:t xml:space="preserve"> the patient at risk of relapse</w:t>
      </w:r>
      <w:r w:rsidRPr="00EB00D9">
        <w:rPr>
          <w:rFonts w:ascii="Book Antiqua" w:hAnsi="Book Antiqua" w:cs="Arial"/>
          <w:sz w:val="24"/>
          <w:szCs w:val="24"/>
          <w:vertAlign w:val="superscript"/>
        </w:rPr>
        <w:t>[24]</w:t>
      </w:r>
      <w:r w:rsidRPr="00EB00D9">
        <w:rPr>
          <w:rFonts w:ascii="Book Antiqua" w:hAnsi="Book Antiqua" w:cs="Arial"/>
          <w:sz w:val="24"/>
          <w:szCs w:val="24"/>
        </w:rPr>
        <w:t xml:space="preserve">. In our practice, we routinely continue treatment with oral immunosuppressant for at least one month after RTX is started. With regard to timing of repeat </w:t>
      </w:r>
      <w:r w:rsidR="00977E9C" w:rsidRPr="00EB00D9">
        <w:rPr>
          <w:rFonts w:ascii="Book Antiqua" w:hAnsi="Book Antiqua" w:cs="Arial"/>
          <w:sz w:val="24"/>
          <w:szCs w:val="24"/>
        </w:rPr>
        <w:t>RTX cycles</w:t>
      </w:r>
      <w:r w:rsidRPr="00EB00D9">
        <w:rPr>
          <w:rFonts w:ascii="Book Antiqua" w:hAnsi="Book Antiqua" w:cs="Arial"/>
          <w:sz w:val="24"/>
          <w:szCs w:val="24"/>
        </w:rPr>
        <w:t xml:space="preserve">, the literature supports use of CD19+ and, possibly, CD27+ cell count, to monitor treatment response (Table 2). One goal of treatment should be to keep these counts below threshold levels. </w:t>
      </w:r>
    </w:p>
    <w:p w:rsidR="00120E34" w:rsidRPr="00EB00D9" w:rsidRDefault="00120E34" w:rsidP="0095492E">
      <w:pPr>
        <w:spacing w:after="0" w:line="360" w:lineRule="auto"/>
        <w:ind w:firstLineChars="100" w:firstLine="240"/>
        <w:jc w:val="both"/>
        <w:rPr>
          <w:rFonts w:ascii="Book Antiqua" w:hAnsi="Book Antiqua" w:cs="Arial"/>
          <w:sz w:val="24"/>
          <w:szCs w:val="24"/>
        </w:rPr>
      </w:pPr>
      <w:r w:rsidRPr="00EB00D9">
        <w:rPr>
          <w:rFonts w:ascii="Book Antiqua" w:hAnsi="Book Antiqua" w:cs="Arial"/>
          <w:sz w:val="24"/>
          <w:szCs w:val="24"/>
        </w:rPr>
        <w:t>Important questions remain regarding long term safety and efficacy of RTX, and duration of therapy. There is little data with regard to long-term safety of RTX in NMO, but the long-term safety record of RTX in rheumatoid arthritis is reassuring</w:t>
      </w:r>
      <w:r w:rsidRPr="00EB00D9">
        <w:rPr>
          <w:rFonts w:ascii="Book Antiqua" w:hAnsi="Book Antiqua" w:cs="Arial"/>
          <w:sz w:val="24"/>
          <w:szCs w:val="24"/>
          <w:vertAlign w:val="superscript"/>
        </w:rPr>
        <w:t>[4</w:t>
      </w:r>
      <w:r w:rsidR="009C692E" w:rsidRPr="00EB00D9">
        <w:rPr>
          <w:rFonts w:ascii="Book Antiqua" w:hAnsi="Book Antiqua" w:cs="Arial" w:hint="eastAsia"/>
          <w:sz w:val="24"/>
          <w:szCs w:val="24"/>
          <w:vertAlign w:val="superscript"/>
          <w:lang w:eastAsia="zh-CN"/>
        </w:rPr>
        <w:t>8</w:t>
      </w:r>
      <w:r w:rsidRPr="00EB00D9">
        <w:rPr>
          <w:rFonts w:ascii="Book Antiqua" w:hAnsi="Book Antiqua" w:cs="Arial"/>
          <w:sz w:val="24"/>
          <w:szCs w:val="24"/>
          <w:vertAlign w:val="superscript"/>
        </w:rPr>
        <w:t>]</w:t>
      </w:r>
      <w:r w:rsidRPr="00EB00D9">
        <w:rPr>
          <w:rFonts w:ascii="Book Antiqua" w:hAnsi="Book Antiqua" w:cs="Arial"/>
          <w:sz w:val="24"/>
          <w:szCs w:val="24"/>
        </w:rPr>
        <w:t xml:space="preserve">. Would it be safe, from NMO standpoint, to discontinue treatment with RTX after a (prolonged) period of stability? A recent study documented that </w:t>
      </w:r>
      <w:r w:rsidR="00977E9C" w:rsidRPr="00EB00D9">
        <w:rPr>
          <w:rFonts w:ascii="Book Antiqua" w:hAnsi="Book Antiqua" w:cs="Arial"/>
          <w:sz w:val="24"/>
          <w:szCs w:val="24"/>
        </w:rPr>
        <w:t xml:space="preserve">a period of </w:t>
      </w:r>
      <w:r w:rsidRPr="00EB00D9">
        <w:rPr>
          <w:rFonts w:ascii="Book Antiqua" w:hAnsi="Book Antiqua" w:cs="Arial"/>
          <w:sz w:val="24"/>
          <w:szCs w:val="24"/>
        </w:rPr>
        <w:t>several years of no disease activity after RTX is discontinued is possible in some patients, though 2 out of 4 patients in that series experienced rel</w:t>
      </w:r>
      <w:r w:rsidR="0095492E" w:rsidRPr="00EB00D9">
        <w:rPr>
          <w:rFonts w:ascii="Book Antiqua" w:hAnsi="Book Antiqua" w:cs="Arial"/>
          <w:sz w:val="24"/>
          <w:szCs w:val="24"/>
        </w:rPr>
        <w:t>apses after years of quiescence</w:t>
      </w:r>
      <w:r w:rsidRPr="00EB00D9">
        <w:rPr>
          <w:rFonts w:ascii="Book Antiqua" w:hAnsi="Book Antiqua" w:cs="Arial"/>
          <w:sz w:val="24"/>
          <w:szCs w:val="24"/>
          <w:vertAlign w:val="superscript"/>
        </w:rPr>
        <w:t>[49]</w:t>
      </w:r>
      <w:r w:rsidRPr="00EB00D9">
        <w:rPr>
          <w:rFonts w:ascii="Book Antiqua" w:hAnsi="Book Antiqua" w:cs="Arial"/>
          <w:sz w:val="24"/>
          <w:szCs w:val="24"/>
        </w:rPr>
        <w:t>. Considering the potentially devastating c</w:t>
      </w:r>
      <w:r w:rsidR="00977E9C" w:rsidRPr="00EB00D9">
        <w:rPr>
          <w:rFonts w:ascii="Book Antiqua" w:hAnsi="Book Antiqua" w:cs="Arial"/>
          <w:sz w:val="24"/>
          <w:szCs w:val="24"/>
        </w:rPr>
        <w:t xml:space="preserve">onsequences of </w:t>
      </w:r>
      <w:r w:rsidR="00086F6E" w:rsidRPr="00EB00D9">
        <w:rPr>
          <w:rFonts w:ascii="Book Antiqua" w:hAnsi="Book Antiqua" w:cs="Arial"/>
          <w:sz w:val="24"/>
          <w:szCs w:val="24"/>
        </w:rPr>
        <w:t>an NMO relapse</w:t>
      </w:r>
      <w:r w:rsidR="00977E9C" w:rsidRPr="00EB00D9">
        <w:rPr>
          <w:rFonts w:ascii="Book Antiqua" w:hAnsi="Book Antiqua" w:cs="Arial"/>
          <w:sz w:val="24"/>
          <w:szCs w:val="24"/>
        </w:rPr>
        <w:t>, routine</w:t>
      </w:r>
      <w:r w:rsidRPr="00EB00D9">
        <w:rPr>
          <w:rFonts w:ascii="Book Antiqua" w:hAnsi="Book Antiqua" w:cs="Arial"/>
          <w:sz w:val="24"/>
          <w:szCs w:val="24"/>
        </w:rPr>
        <w:t xml:space="preserve"> discontinuation </w:t>
      </w:r>
      <w:r w:rsidR="00977E9C" w:rsidRPr="00EB00D9">
        <w:rPr>
          <w:rFonts w:ascii="Book Antiqua" w:hAnsi="Book Antiqua" w:cs="Arial"/>
          <w:sz w:val="24"/>
          <w:szCs w:val="24"/>
        </w:rPr>
        <w:t xml:space="preserve">of RTX </w:t>
      </w:r>
      <w:r w:rsidR="0095492E" w:rsidRPr="00EB00D9">
        <w:rPr>
          <w:rFonts w:ascii="Book Antiqua" w:hAnsi="Book Antiqua" w:cs="Arial"/>
          <w:sz w:val="24"/>
          <w:szCs w:val="24"/>
        </w:rPr>
        <w:t>–</w:t>
      </w:r>
      <w:r w:rsidR="00977E9C" w:rsidRPr="00EB00D9">
        <w:rPr>
          <w:rFonts w:ascii="Book Antiqua" w:hAnsi="Book Antiqua" w:cs="Arial"/>
          <w:sz w:val="24"/>
          <w:szCs w:val="24"/>
        </w:rPr>
        <w:t xml:space="preserve"> </w:t>
      </w:r>
      <w:r w:rsidR="0095492E" w:rsidRPr="00EB00D9">
        <w:rPr>
          <w:rFonts w:ascii="Book Antiqua" w:hAnsi="Book Antiqua" w:cs="Arial"/>
          <w:sz w:val="24"/>
          <w:szCs w:val="24"/>
          <w:lang w:eastAsia="zh-CN"/>
        </w:rPr>
        <w:t>“</w:t>
      </w:r>
      <w:r w:rsidR="00977E9C" w:rsidRPr="00EB00D9">
        <w:rPr>
          <w:rFonts w:ascii="Book Antiqua" w:hAnsi="Book Antiqua" w:cs="Arial"/>
          <w:sz w:val="24"/>
          <w:szCs w:val="24"/>
        </w:rPr>
        <w:t>watchful waiting</w:t>
      </w:r>
      <w:r w:rsidR="0095492E" w:rsidRPr="00EB00D9">
        <w:rPr>
          <w:rFonts w:ascii="Book Antiqua" w:hAnsi="Book Antiqua" w:cs="Arial"/>
          <w:sz w:val="24"/>
          <w:szCs w:val="24"/>
          <w:lang w:eastAsia="zh-CN"/>
        </w:rPr>
        <w:t>”</w:t>
      </w:r>
      <w:r w:rsidR="00977E9C" w:rsidRPr="00EB00D9">
        <w:rPr>
          <w:rFonts w:ascii="Book Antiqua" w:hAnsi="Book Antiqua" w:cs="Arial"/>
          <w:sz w:val="24"/>
          <w:szCs w:val="24"/>
        </w:rPr>
        <w:t xml:space="preserve"> - </w:t>
      </w:r>
      <w:r w:rsidRPr="00EB00D9">
        <w:rPr>
          <w:rFonts w:ascii="Book Antiqua" w:hAnsi="Book Antiqua" w:cs="Arial"/>
          <w:sz w:val="24"/>
          <w:szCs w:val="24"/>
        </w:rPr>
        <w:t>is probably not advisable.</w:t>
      </w:r>
      <w:r w:rsidR="003066E2" w:rsidRPr="00EB00D9">
        <w:rPr>
          <w:rFonts w:ascii="Book Antiqua" w:hAnsi="Book Antiqua" w:cs="Arial"/>
          <w:sz w:val="24"/>
          <w:szCs w:val="24"/>
        </w:rPr>
        <w:t xml:space="preserve"> </w:t>
      </w:r>
    </w:p>
    <w:p w:rsidR="00120E34" w:rsidRPr="00EB00D9" w:rsidRDefault="00120E34" w:rsidP="0095492E">
      <w:pPr>
        <w:spacing w:after="0" w:line="360" w:lineRule="auto"/>
        <w:ind w:firstLineChars="100" w:firstLine="240"/>
        <w:jc w:val="both"/>
        <w:rPr>
          <w:rFonts w:ascii="Book Antiqua" w:hAnsi="Book Antiqua" w:cs="Arial"/>
          <w:sz w:val="24"/>
          <w:szCs w:val="24"/>
        </w:rPr>
      </w:pPr>
      <w:r w:rsidRPr="00EB00D9">
        <w:rPr>
          <w:rFonts w:ascii="Book Antiqua" w:hAnsi="Book Antiqua" w:cs="Arial"/>
          <w:sz w:val="24"/>
          <w:szCs w:val="24"/>
        </w:rPr>
        <w:t>It is hoped that randomized clinical trials</w:t>
      </w:r>
      <w:r w:rsidR="00977E9C" w:rsidRPr="00EB00D9">
        <w:rPr>
          <w:rFonts w:ascii="Book Antiqua" w:hAnsi="Book Antiqua" w:cs="Arial"/>
          <w:sz w:val="24"/>
          <w:szCs w:val="24"/>
        </w:rPr>
        <w:t xml:space="preserve">, </w:t>
      </w:r>
      <w:r w:rsidR="00086F6E" w:rsidRPr="00EB00D9">
        <w:rPr>
          <w:rFonts w:ascii="Book Antiqua" w:hAnsi="Book Antiqua" w:cs="Arial"/>
          <w:sz w:val="24"/>
          <w:szCs w:val="24"/>
        </w:rPr>
        <w:t>several of which are under way now (</w:t>
      </w:r>
      <w:r w:rsidR="00086F6E" w:rsidRPr="00EB00D9">
        <w:rPr>
          <w:rFonts w:ascii="Book Antiqua" w:hAnsi="Book Antiqua" w:cs="Arial"/>
          <w:i/>
          <w:sz w:val="24"/>
          <w:szCs w:val="24"/>
        </w:rPr>
        <w:t>e.g.</w:t>
      </w:r>
      <w:r w:rsidR="0095492E" w:rsidRPr="00EB00D9">
        <w:rPr>
          <w:rFonts w:ascii="Book Antiqua" w:hAnsi="Book Antiqua" w:cs="Arial" w:hint="eastAsia"/>
          <w:sz w:val="24"/>
          <w:szCs w:val="24"/>
          <w:lang w:eastAsia="zh-CN"/>
        </w:rPr>
        <w:t>,</w:t>
      </w:r>
      <w:r w:rsidR="00977E9C" w:rsidRPr="00EB00D9">
        <w:rPr>
          <w:rFonts w:ascii="Book Antiqua" w:hAnsi="Book Antiqua" w:cs="Arial"/>
          <w:sz w:val="24"/>
          <w:szCs w:val="24"/>
        </w:rPr>
        <w:t xml:space="preserve"> </w:t>
      </w:r>
      <w:r w:rsidRPr="00EB00D9">
        <w:rPr>
          <w:rFonts w:ascii="Book Antiqua" w:hAnsi="Book Antiqua" w:cs="Arial"/>
          <w:sz w:val="24"/>
          <w:szCs w:val="24"/>
          <w:vertAlign w:val="superscript"/>
        </w:rPr>
        <w:t>[50]</w:t>
      </w:r>
      <w:r w:rsidR="00086F6E" w:rsidRPr="00EB00D9">
        <w:rPr>
          <w:rFonts w:ascii="Book Antiqua" w:hAnsi="Book Antiqua" w:cs="Arial"/>
          <w:sz w:val="24"/>
          <w:szCs w:val="24"/>
        </w:rPr>
        <w:t xml:space="preserve">) </w:t>
      </w:r>
      <w:r w:rsidRPr="00EB00D9">
        <w:rPr>
          <w:rFonts w:ascii="Book Antiqua" w:hAnsi="Book Antiqua" w:cs="Arial"/>
          <w:sz w:val="24"/>
          <w:szCs w:val="24"/>
        </w:rPr>
        <w:t>as well as multi-center collaborative observational studie</w:t>
      </w:r>
      <w:r w:rsidR="00086F6E" w:rsidRPr="00EB00D9">
        <w:rPr>
          <w:rFonts w:ascii="Book Antiqua" w:hAnsi="Book Antiqua" w:cs="Arial"/>
          <w:sz w:val="24"/>
          <w:szCs w:val="24"/>
        </w:rPr>
        <w:t>s based on NMO registries, such as online</w:t>
      </w:r>
      <w:r w:rsidRPr="00EB00D9">
        <w:rPr>
          <w:rFonts w:ascii="Book Antiqua" w:hAnsi="Book Antiqua" w:cs="Arial"/>
          <w:sz w:val="24"/>
          <w:szCs w:val="24"/>
        </w:rPr>
        <w:t xml:space="preserve"> </w:t>
      </w:r>
      <w:r w:rsidR="00086F6E" w:rsidRPr="00EB00D9">
        <w:rPr>
          <w:rFonts w:ascii="Book Antiqua" w:hAnsi="Book Antiqua" w:cs="Arial"/>
          <w:sz w:val="24"/>
          <w:szCs w:val="24"/>
        </w:rPr>
        <w:t>NMO</w:t>
      </w:r>
      <w:r w:rsidRPr="00EB00D9">
        <w:rPr>
          <w:rFonts w:ascii="Book Antiqua" w:hAnsi="Book Antiqua" w:cs="Arial"/>
          <w:sz w:val="24"/>
          <w:szCs w:val="24"/>
        </w:rPr>
        <w:t xml:space="preserve">Base registry (www.msbase.org), could provide data on long-term safety and efficacy of RTX in NMO and help resolve the unanswered questions raised </w:t>
      </w:r>
      <w:r w:rsidR="00086F6E" w:rsidRPr="00EB00D9">
        <w:rPr>
          <w:rFonts w:ascii="Book Antiqua" w:hAnsi="Book Antiqua" w:cs="Arial"/>
          <w:sz w:val="24"/>
          <w:szCs w:val="24"/>
        </w:rPr>
        <w:t>in our review. Quality of</w:t>
      </w:r>
      <w:r w:rsidRPr="00EB00D9">
        <w:rPr>
          <w:rFonts w:ascii="Book Antiqua" w:hAnsi="Book Antiqua" w:cs="Arial"/>
          <w:sz w:val="24"/>
          <w:szCs w:val="24"/>
        </w:rPr>
        <w:t xml:space="preserve"> observational studies </w:t>
      </w:r>
      <w:r w:rsidR="00086F6E" w:rsidRPr="00EB00D9">
        <w:rPr>
          <w:rFonts w:ascii="Book Antiqua" w:hAnsi="Book Antiqua" w:cs="Arial"/>
          <w:sz w:val="24"/>
          <w:szCs w:val="24"/>
        </w:rPr>
        <w:t xml:space="preserve">in NMO </w:t>
      </w:r>
      <w:r w:rsidRPr="00EB00D9">
        <w:rPr>
          <w:rFonts w:ascii="Book Antiqua" w:hAnsi="Book Antiqua" w:cs="Arial"/>
          <w:sz w:val="24"/>
          <w:szCs w:val="24"/>
        </w:rPr>
        <w:t>could be improved by a</w:t>
      </w:r>
      <w:r w:rsidR="0095492E" w:rsidRPr="00EB00D9">
        <w:rPr>
          <w:rFonts w:ascii="Book Antiqua" w:hAnsi="Book Antiqua" w:cs="Arial"/>
          <w:sz w:val="24"/>
          <w:szCs w:val="24"/>
        </w:rPr>
        <w:t>dherence to accepted guidelines</w:t>
      </w:r>
      <w:r w:rsidRPr="00EB00D9">
        <w:rPr>
          <w:rFonts w:ascii="Book Antiqua" w:hAnsi="Book Antiqua" w:cs="Arial"/>
          <w:sz w:val="24"/>
          <w:szCs w:val="24"/>
          <w:vertAlign w:val="superscript"/>
        </w:rPr>
        <w:t>[</w:t>
      </w:r>
      <w:r w:rsidR="009C692E" w:rsidRPr="00EB00D9">
        <w:rPr>
          <w:rFonts w:ascii="Book Antiqua" w:hAnsi="Book Antiqua" w:cs="Arial" w:hint="eastAsia"/>
          <w:sz w:val="24"/>
          <w:szCs w:val="24"/>
          <w:vertAlign w:val="superscript"/>
          <w:lang w:eastAsia="zh-CN"/>
        </w:rPr>
        <w:t>51</w:t>
      </w:r>
      <w:r w:rsidRPr="00EB00D9">
        <w:rPr>
          <w:rFonts w:ascii="Book Antiqua" w:hAnsi="Book Antiqua" w:cs="Arial"/>
          <w:sz w:val="24"/>
          <w:szCs w:val="24"/>
          <w:vertAlign w:val="superscript"/>
        </w:rPr>
        <w:t>]</w:t>
      </w:r>
      <w:r w:rsidRPr="00EB00D9">
        <w:rPr>
          <w:rFonts w:ascii="Book Antiqua" w:hAnsi="Book Antiqua" w:cs="Arial"/>
          <w:sz w:val="24"/>
          <w:szCs w:val="24"/>
        </w:rPr>
        <w:t>, especially with respect to reporting outcomes (relapse rates and disability scores).</w:t>
      </w:r>
    </w:p>
    <w:p w:rsidR="00120E34" w:rsidRPr="00EB00D9" w:rsidRDefault="00120E34" w:rsidP="000F62D6">
      <w:pPr>
        <w:spacing w:after="0" w:line="360" w:lineRule="auto"/>
        <w:jc w:val="both"/>
        <w:rPr>
          <w:rFonts w:ascii="Book Antiqua" w:hAnsi="Book Antiqua" w:cs="Arial"/>
          <w:sz w:val="24"/>
          <w:szCs w:val="24"/>
        </w:rPr>
      </w:pPr>
    </w:p>
    <w:p w:rsidR="0095492E" w:rsidRPr="00EB00D9" w:rsidRDefault="0095492E" w:rsidP="000F62D6">
      <w:pPr>
        <w:spacing w:after="0" w:line="360" w:lineRule="auto"/>
        <w:jc w:val="both"/>
        <w:rPr>
          <w:rFonts w:ascii="Book Antiqua" w:hAnsi="Book Antiqua" w:cs="Arial"/>
          <w:b/>
          <w:sz w:val="24"/>
          <w:szCs w:val="24"/>
          <w:lang w:eastAsia="zh-CN"/>
        </w:rPr>
      </w:pPr>
      <w:r w:rsidRPr="00EB00D9">
        <w:rPr>
          <w:rFonts w:ascii="Book Antiqua" w:hAnsi="Book Antiqua" w:cs="Arial"/>
          <w:b/>
          <w:sz w:val="24"/>
          <w:szCs w:val="24"/>
        </w:rPr>
        <w:t xml:space="preserve">ACKNOWLEDGMENTS </w:t>
      </w:r>
    </w:p>
    <w:p w:rsidR="00120E34" w:rsidRPr="00EB00D9" w:rsidRDefault="00120E34" w:rsidP="000F62D6">
      <w:pPr>
        <w:spacing w:after="0" w:line="360" w:lineRule="auto"/>
        <w:jc w:val="both"/>
        <w:rPr>
          <w:rFonts w:ascii="Book Antiqua" w:hAnsi="Book Antiqua" w:cs="Arial"/>
          <w:sz w:val="24"/>
          <w:szCs w:val="24"/>
        </w:rPr>
      </w:pPr>
      <w:r w:rsidRPr="00EB00D9">
        <w:rPr>
          <w:rFonts w:ascii="Book Antiqua" w:hAnsi="Book Antiqua" w:cs="Arial"/>
          <w:sz w:val="24"/>
          <w:szCs w:val="24"/>
        </w:rPr>
        <w:t>The authors are grateful to Drs</w:t>
      </w:r>
      <w:r w:rsidR="0095492E" w:rsidRPr="00EB00D9">
        <w:rPr>
          <w:rFonts w:ascii="Book Antiqua" w:hAnsi="Book Antiqua" w:cs="Arial" w:hint="eastAsia"/>
          <w:sz w:val="24"/>
          <w:szCs w:val="24"/>
          <w:lang w:eastAsia="zh-CN"/>
        </w:rPr>
        <w:t>.</w:t>
      </w:r>
      <w:r w:rsidRPr="00EB00D9">
        <w:rPr>
          <w:rFonts w:ascii="Book Antiqua" w:hAnsi="Book Antiqua" w:cs="Arial"/>
          <w:sz w:val="24"/>
          <w:szCs w:val="24"/>
        </w:rPr>
        <w:t xml:space="preserve"> Javed </w:t>
      </w:r>
      <w:r w:rsidR="0095492E" w:rsidRPr="00EB00D9">
        <w:rPr>
          <w:rFonts w:ascii="Book Antiqua" w:hAnsi="Book Antiqua" w:cs="Arial" w:hint="eastAsia"/>
          <w:sz w:val="24"/>
          <w:szCs w:val="24"/>
          <w:lang w:eastAsia="zh-CN"/>
        </w:rPr>
        <w:t xml:space="preserve">A </w:t>
      </w:r>
      <w:r w:rsidRPr="00EB00D9">
        <w:rPr>
          <w:rFonts w:ascii="Book Antiqua" w:hAnsi="Book Antiqua" w:cs="Arial"/>
          <w:sz w:val="24"/>
          <w:szCs w:val="24"/>
        </w:rPr>
        <w:t xml:space="preserve">and Farber </w:t>
      </w:r>
      <w:r w:rsidR="0095492E" w:rsidRPr="00EB00D9">
        <w:rPr>
          <w:rFonts w:ascii="Book Antiqua" w:hAnsi="Book Antiqua" w:cs="Arial" w:hint="eastAsia"/>
          <w:sz w:val="24"/>
          <w:szCs w:val="24"/>
          <w:lang w:eastAsia="zh-CN"/>
        </w:rPr>
        <w:t xml:space="preserve">R </w:t>
      </w:r>
      <w:r w:rsidRPr="00EB00D9">
        <w:rPr>
          <w:rFonts w:ascii="Book Antiqua" w:hAnsi="Book Antiqua" w:cs="Arial"/>
          <w:sz w:val="24"/>
          <w:szCs w:val="24"/>
        </w:rPr>
        <w:t>for sharing their data.</w:t>
      </w:r>
    </w:p>
    <w:p w:rsidR="00977E9C" w:rsidRPr="00EB00D9" w:rsidRDefault="00977E9C" w:rsidP="000F62D6">
      <w:pPr>
        <w:spacing w:after="0" w:line="360" w:lineRule="auto"/>
        <w:jc w:val="both"/>
        <w:rPr>
          <w:rFonts w:ascii="Book Antiqua" w:hAnsi="Book Antiqua" w:cs="Arial"/>
          <w:sz w:val="24"/>
          <w:szCs w:val="24"/>
        </w:rPr>
      </w:pPr>
    </w:p>
    <w:p w:rsidR="0067064C" w:rsidRPr="00EB00D9" w:rsidRDefault="0095492E" w:rsidP="003066E2">
      <w:pPr>
        <w:spacing w:after="0" w:line="360" w:lineRule="auto"/>
        <w:jc w:val="both"/>
        <w:rPr>
          <w:rFonts w:ascii="Book Antiqua" w:hAnsi="Book Antiqua" w:cs="Arial"/>
          <w:b/>
          <w:sz w:val="24"/>
          <w:szCs w:val="24"/>
          <w:lang w:eastAsia="zh-CN"/>
        </w:rPr>
      </w:pPr>
      <w:r w:rsidRPr="00EB00D9">
        <w:rPr>
          <w:rFonts w:ascii="Book Antiqua" w:hAnsi="Book Antiqua" w:cs="Arial"/>
          <w:b/>
          <w:sz w:val="24"/>
          <w:szCs w:val="24"/>
        </w:rPr>
        <w:t>REFERENCES</w:t>
      </w:r>
    </w:p>
    <w:p w:rsidR="003066E2" w:rsidRPr="00EB00D9" w:rsidRDefault="003066E2" w:rsidP="003066E2">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1 </w:t>
      </w:r>
      <w:r w:rsidRPr="00EB00D9">
        <w:rPr>
          <w:rFonts w:ascii="Book Antiqua" w:eastAsia="宋体" w:hAnsi="Book Antiqua" w:cs="宋体"/>
          <w:b/>
          <w:bCs/>
          <w:sz w:val="24"/>
          <w:szCs w:val="24"/>
          <w:lang w:eastAsia="zh-CN"/>
        </w:rPr>
        <w:t>Bergamaschi R</w:t>
      </w:r>
      <w:r w:rsidRPr="00EB00D9">
        <w:rPr>
          <w:rFonts w:ascii="Book Antiqua" w:eastAsia="宋体" w:hAnsi="Book Antiqua" w:cs="宋体"/>
          <w:sz w:val="24"/>
          <w:szCs w:val="24"/>
          <w:lang w:eastAsia="zh-CN"/>
        </w:rPr>
        <w:t>, Ghezzi A. Devic's neuromyelitis optica: clinical features and prognostic factors. </w:t>
      </w:r>
      <w:r w:rsidRPr="00EB00D9">
        <w:rPr>
          <w:rFonts w:ascii="Book Antiqua" w:eastAsia="宋体" w:hAnsi="Book Antiqua" w:cs="宋体"/>
          <w:i/>
          <w:iCs/>
          <w:sz w:val="24"/>
          <w:szCs w:val="24"/>
          <w:lang w:eastAsia="zh-CN"/>
        </w:rPr>
        <w:t>Neurol Sci</w:t>
      </w:r>
      <w:r w:rsidRPr="00EB00D9">
        <w:rPr>
          <w:rFonts w:ascii="Book Antiqua" w:eastAsia="宋体" w:hAnsi="Book Antiqua" w:cs="宋体"/>
          <w:sz w:val="24"/>
          <w:szCs w:val="24"/>
          <w:lang w:eastAsia="zh-CN"/>
        </w:rPr>
        <w:t> 2004; </w:t>
      </w:r>
      <w:r w:rsidRPr="00EB00D9">
        <w:rPr>
          <w:rFonts w:ascii="Book Antiqua" w:eastAsia="宋体" w:hAnsi="Book Antiqua" w:cs="宋体"/>
          <w:b/>
          <w:bCs/>
          <w:sz w:val="24"/>
          <w:szCs w:val="24"/>
          <w:lang w:eastAsia="zh-CN"/>
        </w:rPr>
        <w:t>25 Suppl 4</w:t>
      </w:r>
      <w:r w:rsidRPr="00EB00D9">
        <w:rPr>
          <w:rFonts w:ascii="Book Antiqua" w:eastAsia="宋体" w:hAnsi="Book Antiqua" w:cs="宋体"/>
          <w:sz w:val="24"/>
          <w:szCs w:val="24"/>
          <w:lang w:eastAsia="zh-CN"/>
        </w:rPr>
        <w:t>: S364-S367 [PMID: 15727235]</w:t>
      </w:r>
    </w:p>
    <w:p w:rsidR="003066E2" w:rsidRPr="00EB00D9" w:rsidRDefault="003066E2" w:rsidP="003066E2">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2</w:t>
      </w:r>
      <w:r w:rsidR="003527F0" w:rsidRPr="00EB00D9">
        <w:rPr>
          <w:rFonts w:ascii="Book Antiqua" w:eastAsia="宋体" w:hAnsi="Book Antiqua" w:cs="宋体" w:hint="eastAsia"/>
          <w:b/>
          <w:sz w:val="24"/>
          <w:szCs w:val="24"/>
          <w:lang w:eastAsia="zh-CN"/>
        </w:rPr>
        <w:t xml:space="preserve"> </w:t>
      </w:r>
      <w:r w:rsidRPr="00EB00D9">
        <w:rPr>
          <w:rFonts w:ascii="Book Antiqua" w:eastAsia="宋体" w:hAnsi="Book Antiqua" w:cs="宋体"/>
          <w:b/>
          <w:sz w:val="24"/>
          <w:szCs w:val="24"/>
          <w:lang w:eastAsia="zh-CN"/>
        </w:rPr>
        <w:t>Weinshenker BG</w:t>
      </w:r>
      <w:r w:rsidRPr="00EB00D9">
        <w:rPr>
          <w:rFonts w:ascii="Book Antiqua" w:eastAsia="宋体" w:hAnsi="Book Antiqua" w:cs="宋体"/>
          <w:sz w:val="24"/>
          <w:szCs w:val="24"/>
          <w:lang w:eastAsia="zh-CN"/>
        </w:rPr>
        <w:t>. NMO diagnostic criteria: an update. Paper presented at:</w:t>
      </w:r>
      <w:r w:rsidR="003527F0" w:rsidRPr="00EB00D9">
        <w:rPr>
          <w:rFonts w:ascii="Book Antiqua" w:eastAsia="宋体" w:hAnsi="Book Antiqua" w:cs="宋体"/>
          <w:sz w:val="24"/>
          <w:szCs w:val="24"/>
          <w:lang w:eastAsia="zh-CN"/>
        </w:rPr>
        <w:t xml:space="preserve"> ACTRIMS/ECTRIMS Annual meeting</w:t>
      </w:r>
      <w:r w:rsidR="003527F0" w:rsidRPr="00EB00D9">
        <w:rPr>
          <w:rFonts w:ascii="Book Antiqua" w:eastAsia="宋体" w:hAnsi="Book Antiqua" w:cs="宋体" w:hint="eastAsia"/>
          <w:sz w:val="24"/>
          <w:szCs w:val="24"/>
          <w:lang w:eastAsia="zh-CN"/>
        </w:rPr>
        <w:t>.</w:t>
      </w:r>
      <w:r w:rsidR="003527F0" w:rsidRPr="00EB00D9">
        <w:rPr>
          <w:rFonts w:ascii="Book Antiqua" w:eastAsia="宋体" w:hAnsi="Book Antiqua" w:cs="宋体"/>
          <w:sz w:val="24"/>
          <w:szCs w:val="24"/>
          <w:lang w:eastAsia="zh-CN"/>
        </w:rPr>
        <w:t xml:space="preserve"> Boston, MA</w:t>
      </w:r>
      <w:r w:rsidR="003527F0" w:rsidRPr="00EB00D9">
        <w:rPr>
          <w:rFonts w:ascii="Book Antiqua" w:eastAsia="宋体" w:hAnsi="Book Antiqua" w:cs="宋体" w:hint="eastAsia"/>
          <w:sz w:val="24"/>
          <w:szCs w:val="24"/>
          <w:lang w:eastAsia="zh-CN"/>
        </w:rPr>
        <w:t xml:space="preserve">, </w:t>
      </w:r>
      <w:r w:rsidR="003527F0" w:rsidRPr="00EB00D9">
        <w:rPr>
          <w:rFonts w:ascii="Book Antiqua" w:eastAsia="宋体" w:hAnsi="Book Antiqua" w:cs="宋体"/>
          <w:sz w:val="24"/>
          <w:szCs w:val="24"/>
          <w:lang w:eastAsia="zh-CN"/>
        </w:rPr>
        <w:t>2014, September 10-13</w:t>
      </w:r>
    </w:p>
    <w:p w:rsidR="003066E2" w:rsidRPr="00EB00D9" w:rsidRDefault="003066E2" w:rsidP="003066E2">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3 </w:t>
      </w:r>
      <w:r w:rsidRPr="00EB00D9">
        <w:rPr>
          <w:rFonts w:ascii="Book Antiqua" w:eastAsia="宋体" w:hAnsi="Book Antiqua" w:cs="宋体"/>
          <w:b/>
          <w:bCs/>
          <w:sz w:val="24"/>
          <w:szCs w:val="24"/>
          <w:lang w:eastAsia="zh-CN"/>
        </w:rPr>
        <w:t>Marrie RA</w:t>
      </w:r>
      <w:r w:rsidRPr="00EB00D9">
        <w:rPr>
          <w:rFonts w:ascii="Book Antiqua" w:eastAsia="宋体" w:hAnsi="Book Antiqua" w:cs="宋体"/>
          <w:sz w:val="24"/>
          <w:szCs w:val="24"/>
          <w:lang w:eastAsia="zh-CN"/>
        </w:rPr>
        <w:t>, Gryba C. The incidence and prevalence of neuromyelitis optica: a systematic review. </w:t>
      </w:r>
      <w:r w:rsidRPr="00EB00D9">
        <w:rPr>
          <w:rFonts w:ascii="Book Antiqua" w:eastAsia="宋体" w:hAnsi="Book Antiqua" w:cs="宋体"/>
          <w:i/>
          <w:iCs/>
          <w:sz w:val="24"/>
          <w:szCs w:val="24"/>
          <w:lang w:eastAsia="zh-CN"/>
        </w:rPr>
        <w:t>Int J MS Care</w:t>
      </w:r>
      <w:r w:rsidRPr="00EB00D9">
        <w:rPr>
          <w:rFonts w:ascii="Book Antiqua" w:eastAsia="宋体" w:hAnsi="Book Antiqua" w:cs="宋体"/>
          <w:sz w:val="24"/>
          <w:szCs w:val="24"/>
          <w:lang w:eastAsia="zh-CN"/>
        </w:rPr>
        <w:t> 2013; </w:t>
      </w:r>
      <w:r w:rsidRPr="00EB00D9">
        <w:rPr>
          <w:rFonts w:ascii="Book Antiqua" w:eastAsia="宋体" w:hAnsi="Book Antiqua" w:cs="宋体"/>
          <w:b/>
          <w:bCs/>
          <w:sz w:val="24"/>
          <w:szCs w:val="24"/>
          <w:lang w:eastAsia="zh-CN"/>
        </w:rPr>
        <w:t>15</w:t>
      </w:r>
      <w:r w:rsidRPr="00EB00D9">
        <w:rPr>
          <w:rFonts w:ascii="Book Antiqua" w:eastAsia="宋体" w:hAnsi="Book Antiqua" w:cs="宋体"/>
          <w:sz w:val="24"/>
          <w:szCs w:val="24"/>
          <w:lang w:eastAsia="zh-CN"/>
        </w:rPr>
        <w:t>: 113-118 [PMID: 24453773 D</w:t>
      </w:r>
      <w:r w:rsidR="003527F0" w:rsidRPr="00EB00D9">
        <w:rPr>
          <w:rFonts w:ascii="Book Antiqua" w:eastAsia="宋体" w:hAnsi="Book Antiqua" w:cs="宋体"/>
          <w:sz w:val="24"/>
          <w:szCs w:val="24"/>
          <w:lang w:eastAsia="zh-CN"/>
        </w:rPr>
        <w:t>OI: 10.7224/1537-2073.2012-048</w:t>
      </w:r>
      <w:r w:rsidRPr="00EB00D9">
        <w:rPr>
          <w:rFonts w:ascii="Book Antiqua" w:eastAsia="宋体" w:hAnsi="Book Antiqua" w:cs="宋体"/>
          <w:sz w:val="24"/>
          <w:szCs w:val="24"/>
          <w:lang w:eastAsia="zh-CN"/>
        </w:rPr>
        <w:t>]</w:t>
      </w:r>
    </w:p>
    <w:p w:rsidR="003066E2" w:rsidRPr="00EB00D9" w:rsidRDefault="003066E2" w:rsidP="003066E2">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4 </w:t>
      </w:r>
      <w:r w:rsidRPr="00EB00D9">
        <w:rPr>
          <w:rFonts w:ascii="Book Antiqua" w:eastAsia="宋体" w:hAnsi="Book Antiqua" w:cs="宋体"/>
          <w:b/>
          <w:bCs/>
          <w:sz w:val="24"/>
          <w:szCs w:val="24"/>
          <w:lang w:eastAsia="zh-CN"/>
        </w:rPr>
        <w:t>Bizzoco E</w:t>
      </w:r>
      <w:r w:rsidRPr="00EB00D9">
        <w:rPr>
          <w:rFonts w:ascii="Book Antiqua" w:eastAsia="宋体" w:hAnsi="Book Antiqua" w:cs="宋体"/>
          <w:sz w:val="24"/>
          <w:szCs w:val="24"/>
          <w:lang w:eastAsia="zh-CN"/>
        </w:rPr>
        <w:t>, Lolli F, Repice AM, Hakiki B, Falcini M, Barilaro A, Taiuti R, Siracusa G, Amato MP, Biagioli T, Lori S, Moretti M, Vinattieri A, Nencini P, Massacesi L, Matà S. Prevalence of neuromyelitis optica spectrum disorder and phenotype distribution. </w:t>
      </w:r>
      <w:r w:rsidRPr="00EB00D9">
        <w:rPr>
          <w:rFonts w:ascii="Book Antiqua" w:eastAsia="宋体" w:hAnsi="Book Antiqua" w:cs="宋体"/>
          <w:i/>
          <w:iCs/>
          <w:sz w:val="24"/>
          <w:szCs w:val="24"/>
          <w:lang w:eastAsia="zh-CN"/>
        </w:rPr>
        <w:t>J Neurol</w:t>
      </w:r>
      <w:r w:rsidRPr="00EB00D9">
        <w:rPr>
          <w:rFonts w:ascii="Book Antiqua" w:eastAsia="宋体" w:hAnsi="Book Antiqua" w:cs="宋体"/>
          <w:sz w:val="24"/>
          <w:szCs w:val="24"/>
          <w:lang w:eastAsia="zh-CN"/>
        </w:rPr>
        <w:t> 2009; </w:t>
      </w:r>
      <w:r w:rsidRPr="00EB00D9">
        <w:rPr>
          <w:rFonts w:ascii="Book Antiqua" w:eastAsia="宋体" w:hAnsi="Book Antiqua" w:cs="宋体"/>
          <w:b/>
          <w:bCs/>
          <w:sz w:val="24"/>
          <w:szCs w:val="24"/>
          <w:lang w:eastAsia="zh-CN"/>
        </w:rPr>
        <w:t>256</w:t>
      </w:r>
      <w:r w:rsidRPr="00EB00D9">
        <w:rPr>
          <w:rFonts w:ascii="Book Antiqua" w:eastAsia="宋体" w:hAnsi="Book Antiqua" w:cs="宋体"/>
          <w:sz w:val="24"/>
          <w:szCs w:val="24"/>
          <w:lang w:eastAsia="zh-CN"/>
        </w:rPr>
        <w:t xml:space="preserve">: 1891-1898 [PMID: 19479168 </w:t>
      </w:r>
      <w:r w:rsidR="003527F0" w:rsidRPr="00EB00D9">
        <w:rPr>
          <w:rFonts w:ascii="Book Antiqua" w:eastAsia="宋体" w:hAnsi="Book Antiqua" w:cs="宋体"/>
          <w:sz w:val="24"/>
          <w:szCs w:val="24"/>
          <w:lang w:eastAsia="zh-CN"/>
        </w:rPr>
        <w:t>DOI: 10.1007/s00415-009-5171-x</w:t>
      </w:r>
      <w:r w:rsidRPr="00EB00D9">
        <w:rPr>
          <w:rFonts w:ascii="Book Antiqua" w:eastAsia="宋体" w:hAnsi="Book Antiqua" w:cs="宋体"/>
          <w:sz w:val="24"/>
          <w:szCs w:val="24"/>
          <w:lang w:eastAsia="zh-CN"/>
        </w:rPr>
        <w:t>]</w:t>
      </w:r>
    </w:p>
    <w:p w:rsidR="003066E2" w:rsidRPr="00EB00D9" w:rsidRDefault="003066E2" w:rsidP="003066E2">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5 </w:t>
      </w:r>
      <w:r w:rsidRPr="00EB00D9">
        <w:rPr>
          <w:rFonts w:ascii="Book Antiqua" w:eastAsia="宋体" w:hAnsi="Book Antiqua" w:cs="宋体"/>
          <w:b/>
          <w:bCs/>
          <w:sz w:val="24"/>
          <w:szCs w:val="24"/>
          <w:lang w:eastAsia="zh-CN"/>
        </w:rPr>
        <w:t>Mealy MA</w:t>
      </w:r>
      <w:r w:rsidRPr="00EB00D9">
        <w:rPr>
          <w:rFonts w:ascii="Book Antiqua" w:eastAsia="宋体" w:hAnsi="Book Antiqua" w:cs="宋体"/>
          <w:sz w:val="24"/>
          <w:szCs w:val="24"/>
          <w:lang w:eastAsia="zh-CN"/>
        </w:rPr>
        <w:t>, Wingerchuk DM, Greenberg BM, Levy M. Epidemiology of neuromyelitis optica in the United States: a multicenter analysis. </w:t>
      </w:r>
      <w:r w:rsidRPr="00EB00D9">
        <w:rPr>
          <w:rFonts w:ascii="Book Antiqua" w:eastAsia="宋体" w:hAnsi="Book Antiqua" w:cs="宋体"/>
          <w:i/>
          <w:iCs/>
          <w:sz w:val="24"/>
          <w:szCs w:val="24"/>
          <w:lang w:eastAsia="zh-CN"/>
        </w:rPr>
        <w:t>Arch Neurol</w:t>
      </w:r>
      <w:r w:rsidRPr="00EB00D9">
        <w:rPr>
          <w:rFonts w:ascii="Book Antiqua" w:eastAsia="宋体" w:hAnsi="Book Antiqua" w:cs="宋体"/>
          <w:sz w:val="24"/>
          <w:szCs w:val="24"/>
          <w:lang w:eastAsia="zh-CN"/>
        </w:rPr>
        <w:t> 2012; </w:t>
      </w:r>
      <w:r w:rsidRPr="00EB00D9">
        <w:rPr>
          <w:rFonts w:ascii="Book Antiqua" w:eastAsia="宋体" w:hAnsi="Book Antiqua" w:cs="宋体"/>
          <w:b/>
          <w:bCs/>
          <w:sz w:val="24"/>
          <w:szCs w:val="24"/>
          <w:lang w:eastAsia="zh-CN"/>
        </w:rPr>
        <w:t>69</w:t>
      </w:r>
      <w:r w:rsidRPr="00EB00D9">
        <w:rPr>
          <w:rFonts w:ascii="Book Antiqua" w:eastAsia="宋体" w:hAnsi="Book Antiqua" w:cs="宋体"/>
          <w:sz w:val="24"/>
          <w:szCs w:val="24"/>
          <w:lang w:eastAsia="zh-CN"/>
        </w:rPr>
        <w:t>: 1176-1180 [PMID: 22733096 DO</w:t>
      </w:r>
      <w:r w:rsidR="003527F0" w:rsidRPr="00EB00D9">
        <w:rPr>
          <w:rFonts w:ascii="Book Antiqua" w:eastAsia="宋体" w:hAnsi="Book Antiqua" w:cs="宋体"/>
          <w:sz w:val="24"/>
          <w:szCs w:val="24"/>
          <w:lang w:eastAsia="zh-CN"/>
        </w:rPr>
        <w:t>I: 10.1001/archneurol.2012.314</w:t>
      </w:r>
      <w:r w:rsidRPr="00EB00D9">
        <w:rPr>
          <w:rFonts w:ascii="Book Antiqua" w:eastAsia="宋体" w:hAnsi="Book Antiqua" w:cs="宋体"/>
          <w:sz w:val="24"/>
          <w:szCs w:val="24"/>
          <w:lang w:eastAsia="zh-CN"/>
        </w:rPr>
        <w:t>]</w:t>
      </w:r>
    </w:p>
    <w:p w:rsidR="003066E2" w:rsidRPr="00EB00D9" w:rsidRDefault="003066E2" w:rsidP="003066E2">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6 </w:t>
      </w:r>
      <w:r w:rsidRPr="00EB00D9">
        <w:rPr>
          <w:rFonts w:ascii="Book Antiqua" w:eastAsia="宋体" w:hAnsi="Book Antiqua" w:cs="宋体"/>
          <w:b/>
          <w:bCs/>
          <w:sz w:val="24"/>
          <w:szCs w:val="24"/>
          <w:lang w:eastAsia="zh-CN"/>
        </w:rPr>
        <w:t>Collongues N</w:t>
      </w:r>
      <w:r w:rsidRPr="00EB00D9">
        <w:rPr>
          <w:rFonts w:ascii="Book Antiqua" w:eastAsia="宋体" w:hAnsi="Book Antiqua" w:cs="宋体"/>
          <w:sz w:val="24"/>
          <w:szCs w:val="24"/>
          <w:lang w:eastAsia="zh-CN"/>
        </w:rPr>
        <w:t>, Marignier R, Zéphir H, Papeix C, Blanc F, Ritleng C, Tchikviladzé M, Outteryck O, Vukusic S, Fleury M, Fontaine B, Brassat D, Clanet M, Milh M, Pelletier J, Audoin B, Ruet A, Lebrun-Frenay C, Thouvenot E, Camu W, Debouverie M, Créange A, Moreau T, Labauge P, Castelnovo G, Edan G, Le Page E, Defer G, Barroso B, Heinzlef O, Gout O, Rodriguez D, Wiertlewski S, Laplaud D, Borgel F, Tourniaire P, Grimaud J, Brochet B, Vermersch P, Confavreux C, de Seze J. Neuromyelitis optica in France: a multicenter study of 125 patients. </w:t>
      </w:r>
      <w:r w:rsidRPr="00EB00D9">
        <w:rPr>
          <w:rFonts w:ascii="Book Antiqua" w:eastAsia="宋体" w:hAnsi="Book Antiqua" w:cs="宋体"/>
          <w:i/>
          <w:iCs/>
          <w:sz w:val="24"/>
          <w:szCs w:val="24"/>
          <w:lang w:eastAsia="zh-CN"/>
        </w:rPr>
        <w:t>Neurology</w:t>
      </w:r>
      <w:r w:rsidRPr="00EB00D9">
        <w:rPr>
          <w:rFonts w:ascii="Book Antiqua" w:eastAsia="宋体" w:hAnsi="Book Antiqua" w:cs="宋体"/>
          <w:sz w:val="24"/>
          <w:szCs w:val="24"/>
          <w:lang w:eastAsia="zh-CN"/>
        </w:rPr>
        <w:t> 2010; </w:t>
      </w:r>
      <w:r w:rsidRPr="00EB00D9">
        <w:rPr>
          <w:rFonts w:ascii="Book Antiqua" w:eastAsia="宋体" w:hAnsi="Book Antiqua" w:cs="宋体"/>
          <w:b/>
          <w:bCs/>
          <w:sz w:val="24"/>
          <w:szCs w:val="24"/>
          <w:lang w:eastAsia="zh-CN"/>
        </w:rPr>
        <w:t>74</w:t>
      </w:r>
      <w:r w:rsidRPr="00EB00D9">
        <w:rPr>
          <w:rFonts w:ascii="Book Antiqua" w:eastAsia="宋体" w:hAnsi="Book Antiqua" w:cs="宋体"/>
          <w:sz w:val="24"/>
          <w:szCs w:val="24"/>
          <w:lang w:eastAsia="zh-CN"/>
        </w:rPr>
        <w:t>: 736-742 [PMID: 20194912 DOI</w:t>
      </w:r>
      <w:r w:rsidR="003527F0" w:rsidRPr="00EB00D9">
        <w:rPr>
          <w:rFonts w:ascii="Book Antiqua" w:eastAsia="宋体" w:hAnsi="Book Antiqua" w:cs="宋体"/>
          <w:sz w:val="24"/>
          <w:szCs w:val="24"/>
          <w:lang w:eastAsia="zh-CN"/>
        </w:rPr>
        <w:t>: 10.1212/WNL.0b013e3181d31e35</w:t>
      </w:r>
      <w:r w:rsidRPr="00EB00D9">
        <w:rPr>
          <w:rFonts w:ascii="Book Antiqua" w:eastAsia="宋体" w:hAnsi="Book Antiqua" w:cs="宋体"/>
          <w:sz w:val="24"/>
          <w:szCs w:val="24"/>
          <w:lang w:eastAsia="zh-CN"/>
        </w:rPr>
        <w:t>]</w:t>
      </w:r>
    </w:p>
    <w:p w:rsidR="003066E2" w:rsidRPr="00EB00D9" w:rsidRDefault="003066E2" w:rsidP="003066E2">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7 </w:t>
      </w:r>
      <w:r w:rsidRPr="00EB00D9">
        <w:rPr>
          <w:rFonts w:ascii="Book Antiqua" w:eastAsia="宋体" w:hAnsi="Book Antiqua" w:cs="宋体"/>
          <w:b/>
          <w:bCs/>
          <w:sz w:val="24"/>
          <w:szCs w:val="24"/>
          <w:lang w:eastAsia="zh-CN"/>
        </w:rPr>
        <w:t>Siritho S</w:t>
      </w:r>
      <w:r w:rsidRPr="00EB00D9">
        <w:rPr>
          <w:rFonts w:ascii="Book Antiqua" w:eastAsia="宋体" w:hAnsi="Book Antiqua" w:cs="宋体"/>
          <w:sz w:val="24"/>
          <w:szCs w:val="24"/>
          <w:lang w:eastAsia="zh-CN"/>
        </w:rPr>
        <w:t>, Nakashima I, Takahashi T, Fujihara K, Prayoonwiwat N. AQP4 antibody-positive Thai cases: clinical features and diagnostic problems. </w:t>
      </w:r>
      <w:r w:rsidRPr="00EB00D9">
        <w:rPr>
          <w:rFonts w:ascii="Book Antiqua" w:eastAsia="宋体" w:hAnsi="Book Antiqua" w:cs="宋体"/>
          <w:i/>
          <w:iCs/>
          <w:sz w:val="24"/>
          <w:szCs w:val="24"/>
          <w:lang w:eastAsia="zh-CN"/>
        </w:rPr>
        <w:t>Neurology</w:t>
      </w:r>
      <w:r w:rsidRPr="00EB00D9">
        <w:rPr>
          <w:rFonts w:ascii="Book Antiqua" w:eastAsia="宋体" w:hAnsi="Book Antiqua" w:cs="宋体"/>
          <w:sz w:val="24"/>
          <w:szCs w:val="24"/>
          <w:lang w:eastAsia="zh-CN"/>
        </w:rPr>
        <w:t> 2011; </w:t>
      </w:r>
      <w:r w:rsidRPr="00EB00D9">
        <w:rPr>
          <w:rFonts w:ascii="Book Antiqua" w:eastAsia="宋体" w:hAnsi="Book Antiqua" w:cs="宋体"/>
          <w:b/>
          <w:bCs/>
          <w:sz w:val="24"/>
          <w:szCs w:val="24"/>
          <w:lang w:eastAsia="zh-CN"/>
        </w:rPr>
        <w:t>77</w:t>
      </w:r>
      <w:r w:rsidRPr="00EB00D9">
        <w:rPr>
          <w:rFonts w:ascii="Book Antiqua" w:eastAsia="宋体" w:hAnsi="Book Antiqua" w:cs="宋体"/>
          <w:sz w:val="24"/>
          <w:szCs w:val="24"/>
          <w:lang w:eastAsia="zh-CN"/>
        </w:rPr>
        <w:t>: 827-834 [PMID: 21813785 DOI</w:t>
      </w:r>
      <w:r w:rsidR="003527F0" w:rsidRPr="00EB00D9">
        <w:rPr>
          <w:rFonts w:ascii="Book Antiqua" w:eastAsia="宋体" w:hAnsi="Book Antiqua" w:cs="宋体"/>
          <w:sz w:val="24"/>
          <w:szCs w:val="24"/>
          <w:lang w:eastAsia="zh-CN"/>
        </w:rPr>
        <w:t>: 10.1212/WNL.0b013e31822c61b1</w:t>
      </w:r>
      <w:r w:rsidRPr="00EB00D9">
        <w:rPr>
          <w:rFonts w:ascii="Book Antiqua" w:eastAsia="宋体" w:hAnsi="Book Antiqua" w:cs="宋体"/>
          <w:sz w:val="24"/>
          <w:szCs w:val="24"/>
          <w:lang w:eastAsia="zh-CN"/>
        </w:rPr>
        <w:t>]</w:t>
      </w:r>
    </w:p>
    <w:p w:rsidR="003066E2" w:rsidRPr="00EB00D9" w:rsidRDefault="003066E2" w:rsidP="003066E2">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8 </w:t>
      </w:r>
      <w:r w:rsidRPr="00EB00D9">
        <w:rPr>
          <w:rFonts w:ascii="Book Antiqua" w:eastAsia="宋体" w:hAnsi="Book Antiqua" w:cs="宋体"/>
          <w:b/>
          <w:bCs/>
          <w:sz w:val="24"/>
          <w:szCs w:val="24"/>
          <w:lang w:eastAsia="zh-CN"/>
        </w:rPr>
        <w:t>Wingerchuk DM</w:t>
      </w:r>
      <w:r w:rsidRPr="00EB00D9">
        <w:rPr>
          <w:rFonts w:ascii="Book Antiqua" w:eastAsia="宋体" w:hAnsi="Book Antiqua" w:cs="宋体"/>
          <w:sz w:val="24"/>
          <w:szCs w:val="24"/>
          <w:lang w:eastAsia="zh-CN"/>
        </w:rPr>
        <w:t>, Hogancamp WF, O'Brien PC, Weinshenker BG. The clinical course of neuromyelitis optica (Devic's syndrome). </w:t>
      </w:r>
      <w:r w:rsidRPr="00EB00D9">
        <w:rPr>
          <w:rFonts w:ascii="Book Antiqua" w:eastAsia="宋体" w:hAnsi="Book Antiqua" w:cs="宋体"/>
          <w:i/>
          <w:iCs/>
          <w:sz w:val="24"/>
          <w:szCs w:val="24"/>
          <w:lang w:eastAsia="zh-CN"/>
        </w:rPr>
        <w:t>Neurology</w:t>
      </w:r>
      <w:r w:rsidRPr="00EB00D9">
        <w:rPr>
          <w:rFonts w:ascii="Book Antiqua" w:eastAsia="宋体" w:hAnsi="Book Antiqua" w:cs="宋体"/>
          <w:sz w:val="24"/>
          <w:szCs w:val="24"/>
          <w:lang w:eastAsia="zh-CN"/>
        </w:rPr>
        <w:t> 1999; </w:t>
      </w:r>
      <w:r w:rsidRPr="00EB00D9">
        <w:rPr>
          <w:rFonts w:ascii="Book Antiqua" w:eastAsia="宋体" w:hAnsi="Book Antiqua" w:cs="宋体"/>
          <w:b/>
          <w:bCs/>
          <w:sz w:val="24"/>
          <w:szCs w:val="24"/>
          <w:lang w:eastAsia="zh-CN"/>
        </w:rPr>
        <w:t>53</w:t>
      </w:r>
      <w:r w:rsidRPr="00EB00D9">
        <w:rPr>
          <w:rFonts w:ascii="Book Antiqua" w:eastAsia="宋体" w:hAnsi="Book Antiqua" w:cs="宋体"/>
          <w:sz w:val="24"/>
          <w:szCs w:val="24"/>
          <w:lang w:eastAsia="zh-CN"/>
        </w:rPr>
        <w:t>: 1107-1114 [PMID: 10496</w:t>
      </w:r>
      <w:r w:rsidR="003527F0" w:rsidRPr="00EB00D9">
        <w:rPr>
          <w:rFonts w:ascii="Book Antiqua" w:eastAsia="宋体" w:hAnsi="Book Antiqua" w:cs="宋体"/>
          <w:sz w:val="24"/>
          <w:szCs w:val="24"/>
          <w:lang w:eastAsia="zh-CN"/>
        </w:rPr>
        <w:t>275 DOI: 10.1212/WNL.53.5.1107</w:t>
      </w:r>
      <w:r w:rsidRPr="00EB00D9">
        <w:rPr>
          <w:rFonts w:ascii="Book Antiqua" w:eastAsia="宋体" w:hAnsi="Book Antiqua" w:cs="宋体"/>
          <w:sz w:val="24"/>
          <w:szCs w:val="24"/>
          <w:lang w:eastAsia="zh-CN"/>
        </w:rPr>
        <w:t>]</w:t>
      </w:r>
    </w:p>
    <w:p w:rsidR="003066E2" w:rsidRPr="00EB00D9" w:rsidRDefault="003066E2" w:rsidP="003066E2">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9 </w:t>
      </w:r>
      <w:r w:rsidRPr="00EB00D9">
        <w:rPr>
          <w:rFonts w:ascii="Book Antiqua" w:eastAsia="宋体" w:hAnsi="Book Antiqua" w:cs="宋体"/>
          <w:b/>
          <w:bCs/>
          <w:sz w:val="24"/>
          <w:szCs w:val="24"/>
          <w:lang w:eastAsia="zh-CN"/>
        </w:rPr>
        <w:t>Kleiter I</w:t>
      </w:r>
      <w:r w:rsidRPr="00EB00D9">
        <w:rPr>
          <w:rFonts w:ascii="Book Antiqua" w:eastAsia="宋体" w:hAnsi="Book Antiqua" w:cs="宋体"/>
          <w:sz w:val="24"/>
          <w:szCs w:val="24"/>
          <w:lang w:eastAsia="zh-CN"/>
        </w:rPr>
        <w:t>, Hellwig K, Berthele A, Kümpfel T, Linker RA, Hartung HP, Paul F, Aktas O. Failure of natalizumab to prevent relapses in neuromyelitis optica. </w:t>
      </w:r>
      <w:r w:rsidRPr="00EB00D9">
        <w:rPr>
          <w:rFonts w:ascii="Book Antiqua" w:eastAsia="宋体" w:hAnsi="Book Antiqua" w:cs="宋体"/>
          <w:i/>
          <w:iCs/>
          <w:sz w:val="24"/>
          <w:szCs w:val="24"/>
          <w:lang w:eastAsia="zh-CN"/>
        </w:rPr>
        <w:t>Arch Neurol</w:t>
      </w:r>
      <w:r w:rsidRPr="00EB00D9">
        <w:rPr>
          <w:rFonts w:ascii="Book Antiqua" w:eastAsia="宋体" w:hAnsi="Book Antiqua" w:cs="宋体"/>
          <w:sz w:val="24"/>
          <w:szCs w:val="24"/>
          <w:lang w:eastAsia="zh-CN"/>
        </w:rPr>
        <w:t> 2012; </w:t>
      </w:r>
      <w:r w:rsidRPr="00EB00D9">
        <w:rPr>
          <w:rFonts w:ascii="Book Antiqua" w:eastAsia="宋体" w:hAnsi="Book Antiqua" w:cs="宋体"/>
          <w:b/>
          <w:bCs/>
          <w:sz w:val="24"/>
          <w:szCs w:val="24"/>
          <w:lang w:eastAsia="zh-CN"/>
        </w:rPr>
        <w:t>69</w:t>
      </w:r>
      <w:r w:rsidRPr="00EB00D9">
        <w:rPr>
          <w:rFonts w:ascii="Book Antiqua" w:eastAsia="宋体" w:hAnsi="Book Antiqua" w:cs="宋体"/>
          <w:sz w:val="24"/>
          <w:szCs w:val="24"/>
          <w:lang w:eastAsia="zh-CN"/>
        </w:rPr>
        <w:t>: 239-245 [PMID: 22332191 DO</w:t>
      </w:r>
      <w:r w:rsidR="003527F0" w:rsidRPr="00EB00D9">
        <w:rPr>
          <w:rFonts w:ascii="Book Antiqua" w:eastAsia="宋体" w:hAnsi="Book Antiqua" w:cs="宋体"/>
          <w:sz w:val="24"/>
          <w:szCs w:val="24"/>
          <w:lang w:eastAsia="zh-CN"/>
        </w:rPr>
        <w:t>I: 10.1001/archneurol.2011.216</w:t>
      </w:r>
      <w:r w:rsidRPr="00EB00D9">
        <w:rPr>
          <w:rFonts w:ascii="Book Antiqua" w:eastAsia="宋体" w:hAnsi="Book Antiqua" w:cs="宋体"/>
          <w:sz w:val="24"/>
          <w:szCs w:val="24"/>
          <w:lang w:eastAsia="zh-CN"/>
        </w:rPr>
        <w:t>]</w:t>
      </w:r>
    </w:p>
    <w:p w:rsidR="003066E2" w:rsidRPr="00EB00D9" w:rsidRDefault="003066E2" w:rsidP="003066E2">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10 </w:t>
      </w:r>
      <w:r w:rsidRPr="00EB00D9">
        <w:rPr>
          <w:rFonts w:ascii="Book Antiqua" w:eastAsia="宋体" w:hAnsi="Book Antiqua" w:cs="宋体"/>
          <w:b/>
          <w:bCs/>
          <w:sz w:val="24"/>
          <w:szCs w:val="24"/>
          <w:lang w:eastAsia="zh-CN"/>
        </w:rPr>
        <w:t>Palace J</w:t>
      </w:r>
      <w:r w:rsidRPr="00EB00D9">
        <w:rPr>
          <w:rFonts w:ascii="Book Antiqua" w:eastAsia="宋体" w:hAnsi="Book Antiqua" w:cs="宋体"/>
          <w:sz w:val="24"/>
          <w:szCs w:val="24"/>
          <w:lang w:eastAsia="zh-CN"/>
        </w:rPr>
        <w:t>, Leite MI, Nairne A, Vincent A. Interferon Beta treatment in neuromyelitis optica: increase in relapses and aquaporin 4 antibody titers. </w:t>
      </w:r>
      <w:r w:rsidRPr="00EB00D9">
        <w:rPr>
          <w:rFonts w:ascii="Book Antiqua" w:eastAsia="宋体" w:hAnsi="Book Antiqua" w:cs="宋体"/>
          <w:i/>
          <w:iCs/>
          <w:sz w:val="24"/>
          <w:szCs w:val="24"/>
          <w:lang w:eastAsia="zh-CN"/>
        </w:rPr>
        <w:t>Arch Neurol</w:t>
      </w:r>
      <w:r w:rsidRPr="00EB00D9">
        <w:rPr>
          <w:rFonts w:ascii="Book Antiqua" w:eastAsia="宋体" w:hAnsi="Book Antiqua" w:cs="宋体"/>
          <w:sz w:val="24"/>
          <w:szCs w:val="24"/>
          <w:lang w:eastAsia="zh-CN"/>
        </w:rPr>
        <w:t> 2010; </w:t>
      </w:r>
      <w:r w:rsidRPr="00EB00D9">
        <w:rPr>
          <w:rFonts w:ascii="Book Antiqua" w:eastAsia="宋体" w:hAnsi="Book Antiqua" w:cs="宋体"/>
          <w:b/>
          <w:bCs/>
          <w:sz w:val="24"/>
          <w:szCs w:val="24"/>
          <w:lang w:eastAsia="zh-CN"/>
        </w:rPr>
        <w:t>67</w:t>
      </w:r>
      <w:r w:rsidRPr="00EB00D9">
        <w:rPr>
          <w:rFonts w:ascii="Book Antiqua" w:eastAsia="宋体" w:hAnsi="Book Antiqua" w:cs="宋体"/>
          <w:sz w:val="24"/>
          <w:szCs w:val="24"/>
          <w:lang w:eastAsia="zh-CN"/>
        </w:rPr>
        <w:t>: 1016-1017 [PMID: 20697055 D</w:t>
      </w:r>
      <w:r w:rsidR="003527F0" w:rsidRPr="00EB00D9">
        <w:rPr>
          <w:rFonts w:ascii="Book Antiqua" w:eastAsia="宋体" w:hAnsi="Book Antiqua" w:cs="宋体"/>
          <w:sz w:val="24"/>
          <w:szCs w:val="24"/>
          <w:lang w:eastAsia="zh-CN"/>
        </w:rPr>
        <w:t>OI: 10.1001/archneurol.2010.188</w:t>
      </w:r>
      <w:r w:rsidRPr="00EB00D9">
        <w:rPr>
          <w:rFonts w:ascii="Book Antiqua" w:eastAsia="宋体" w:hAnsi="Book Antiqua" w:cs="宋体"/>
          <w:sz w:val="24"/>
          <w:szCs w:val="24"/>
          <w:lang w:eastAsia="zh-CN"/>
        </w:rPr>
        <w:t>]</w:t>
      </w:r>
    </w:p>
    <w:p w:rsidR="003066E2" w:rsidRPr="00EB00D9" w:rsidRDefault="003066E2" w:rsidP="003066E2">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11 </w:t>
      </w:r>
      <w:r w:rsidRPr="00EB00D9">
        <w:rPr>
          <w:rFonts w:ascii="Book Antiqua" w:eastAsia="宋体" w:hAnsi="Book Antiqua" w:cs="宋体"/>
          <w:b/>
          <w:bCs/>
          <w:sz w:val="24"/>
          <w:szCs w:val="24"/>
          <w:lang w:eastAsia="zh-CN"/>
        </w:rPr>
        <w:t>Papadopoulos MC</w:t>
      </w:r>
      <w:r w:rsidRPr="00EB00D9">
        <w:rPr>
          <w:rFonts w:ascii="Book Antiqua" w:eastAsia="宋体" w:hAnsi="Book Antiqua" w:cs="宋体"/>
          <w:sz w:val="24"/>
          <w:szCs w:val="24"/>
          <w:lang w:eastAsia="zh-CN"/>
        </w:rPr>
        <w:t>, Bennett JL, Verkman AS. Treatment of neuromyelitis optica: state-of-the-art and emerging therapies. </w:t>
      </w:r>
      <w:r w:rsidRPr="00EB00D9">
        <w:rPr>
          <w:rFonts w:ascii="Book Antiqua" w:eastAsia="宋体" w:hAnsi="Book Antiqua" w:cs="宋体"/>
          <w:i/>
          <w:iCs/>
          <w:sz w:val="24"/>
          <w:szCs w:val="24"/>
          <w:lang w:eastAsia="zh-CN"/>
        </w:rPr>
        <w:t>Nat Rev Neurol</w:t>
      </w:r>
      <w:r w:rsidRPr="00EB00D9">
        <w:rPr>
          <w:rFonts w:ascii="Book Antiqua" w:eastAsia="宋体" w:hAnsi="Book Antiqua" w:cs="宋体"/>
          <w:sz w:val="24"/>
          <w:szCs w:val="24"/>
          <w:lang w:eastAsia="zh-CN"/>
        </w:rPr>
        <w:t> 2014; </w:t>
      </w:r>
      <w:r w:rsidRPr="00EB00D9">
        <w:rPr>
          <w:rFonts w:ascii="Book Antiqua" w:eastAsia="宋体" w:hAnsi="Book Antiqua" w:cs="宋体"/>
          <w:b/>
          <w:bCs/>
          <w:sz w:val="24"/>
          <w:szCs w:val="24"/>
          <w:lang w:eastAsia="zh-CN"/>
        </w:rPr>
        <w:t>10</w:t>
      </w:r>
      <w:r w:rsidRPr="00EB00D9">
        <w:rPr>
          <w:rFonts w:ascii="Book Antiqua" w:eastAsia="宋体" w:hAnsi="Book Antiqua" w:cs="宋体"/>
          <w:sz w:val="24"/>
          <w:szCs w:val="24"/>
          <w:lang w:eastAsia="zh-CN"/>
        </w:rPr>
        <w:t>: 493-506 [PMID: 25112508 DOI: 10.1038/nrneu</w:t>
      </w:r>
      <w:r w:rsidR="003527F0" w:rsidRPr="00EB00D9">
        <w:rPr>
          <w:rFonts w:ascii="Book Antiqua" w:eastAsia="宋体" w:hAnsi="Book Antiqua" w:cs="宋体"/>
          <w:sz w:val="24"/>
          <w:szCs w:val="24"/>
          <w:lang w:eastAsia="zh-CN"/>
        </w:rPr>
        <w:t>rol.2014.141</w:t>
      </w:r>
      <w:r w:rsidRPr="00EB00D9">
        <w:rPr>
          <w:rFonts w:ascii="Book Antiqua" w:eastAsia="宋体" w:hAnsi="Book Antiqua" w:cs="宋体"/>
          <w:sz w:val="24"/>
          <w:szCs w:val="24"/>
          <w:lang w:eastAsia="zh-CN"/>
        </w:rPr>
        <w:t>]</w:t>
      </w:r>
    </w:p>
    <w:p w:rsidR="003066E2" w:rsidRPr="00EB00D9" w:rsidRDefault="003066E2" w:rsidP="003066E2">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12 </w:t>
      </w:r>
      <w:r w:rsidRPr="00EB00D9">
        <w:rPr>
          <w:rFonts w:ascii="Book Antiqua" w:eastAsia="宋体" w:hAnsi="Book Antiqua" w:cs="宋体"/>
          <w:b/>
          <w:bCs/>
          <w:sz w:val="24"/>
          <w:szCs w:val="24"/>
          <w:lang w:eastAsia="zh-CN"/>
        </w:rPr>
        <w:t>Trebst C</w:t>
      </w:r>
      <w:r w:rsidRPr="00EB00D9">
        <w:rPr>
          <w:rFonts w:ascii="Book Antiqua" w:eastAsia="宋体" w:hAnsi="Book Antiqua" w:cs="宋体"/>
          <w:sz w:val="24"/>
          <w:szCs w:val="24"/>
          <w:lang w:eastAsia="zh-CN"/>
        </w:rPr>
        <w:t>, Jarius S, Berthele A, Paul F, Schippling S, Wildemann B, Borisow N, Kleiter I, Aktas O, Kümpfel T. Update on the diagnosis and treatment of neuromyelitis optica: recommendations of the Neuromyelitis Optica Study Group (NEMOS). </w:t>
      </w:r>
      <w:r w:rsidRPr="00EB00D9">
        <w:rPr>
          <w:rFonts w:ascii="Book Antiqua" w:eastAsia="宋体" w:hAnsi="Book Antiqua" w:cs="宋体"/>
          <w:i/>
          <w:iCs/>
          <w:sz w:val="24"/>
          <w:szCs w:val="24"/>
          <w:lang w:eastAsia="zh-CN"/>
        </w:rPr>
        <w:t>J Neurol</w:t>
      </w:r>
      <w:r w:rsidRPr="00EB00D9">
        <w:rPr>
          <w:rFonts w:ascii="Book Antiqua" w:eastAsia="宋体" w:hAnsi="Book Antiqua" w:cs="宋体"/>
          <w:sz w:val="24"/>
          <w:szCs w:val="24"/>
          <w:lang w:eastAsia="zh-CN"/>
        </w:rPr>
        <w:t> 2014; </w:t>
      </w:r>
      <w:r w:rsidRPr="00EB00D9">
        <w:rPr>
          <w:rFonts w:ascii="Book Antiqua" w:eastAsia="宋体" w:hAnsi="Book Antiqua" w:cs="宋体"/>
          <w:b/>
          <w:bCs/>
          <w:sz w:val="24"/>
          <w:szCs w:val="24"/>
          <w:lang w:eastAsia="zh-CN"/>
        </w:rPr>
        <w:t>261</w:t>
      </w:r>
      <w:r w:rsidRPr="00EB00D9">
        <w:rPr>
          <w:rFonts w:ascii="Book Antiqua" w:eastAsia="宋体" w:hAnsi="Book Antiqua" w:cs="宋体"/>
          <w:sz w:val="24"/>
          <w:szCs w:val="24"/>
          <w:lang w:eastAsia="zh-CN"/>
        </w:rPr>
        <w:t xml:space="preserve">: 1-16 [PMID: 24272588 </w:t>
      </w:r>
      <w:r w:rsidR="003527F0" w:rsidRPr="00EB00D9">
        <w:rPr>
          <w:rFonts w:ascii="Book Antiqua" w:eastAsia="宋体" w:hAnsi="Book Antiqua" w:cs="宋体"/>
          <w:sz w:val="24"/>
          <w:szCs w:val="24"/>
          <w:lang w:eastAsia="zh-CN"/>
        </w:rPr>
        <w:t>DOI: 10.1007/s00415-013-7169-7</w:t>
      </w:r>
      <w:r w:rsidRPr="00EB00D9">
        <w:rPr>
          <w:rFonts w:ascii="Book Antiqua" w:eastAsia="宋体" w:hAnsi="Book Antiqua" w:cs="宋体"/>
          <w:sz w:val="24"/>
          <w:szCs w:val="24"/>
          <w:lang w:eastAsia="zh-CN"/>
        </w:rPr>
        <w:t>]</w:t>
      </w:r>
    </w:p>
    <w:p w:rsidR="003066E2" w:rsidRPr="00EB00D9" w:rsidRDefault="003527F0" w:rsidP="003066E2">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 xml:space="preserve">13 </w:t>
      </w:r>
      <w:r w:rsidR="003066E2" w:rsidRPr="00EB00D9">
        <w:rPr>
          <w:rFonts w:ascii="Book Antiqua" w:eastAsia="宋体" w:hAnsi="Book Antiqua" w:cs="宋体"/>
          <w:sz w:val="24"/>
          <w:szCs w:val="24"/>
          <w:lang w:eastAsia="zh-CN"/>
        </w:rPr>
        <w:t>Rituximab prescribing information,</w:t>
      </w:r>
      <w:r w:rsidRPr="00EB00D9">
        <w:rPr>
          <w:rFonts w:ascii="Book Antiqua" w:eastAsia="宋体" w:hAnsi="Book Antiqua" w:cs="宋体"/>
          <w:sz w:val="24"/>
          <w:szCs w:val="24"/>
          <w:lang w:eastAsia="zh-CN"/>
        </w:rPr>
        <w:t xml:space="preserve"> on October, 12, 2014.</w:t>
      </w:r>
      <w:r w:rsidR="003066E2" w:rsidRPr="00EB00D9">
        <w:rPr>
          <w:rFonts w:ascii="Book Antiqua" w:eastAsia="宋体" w:hAnsi="Book Antiqua" w:cs="宋体"/>
          <w:sz w:val="24"/>
          <w:szCs w:val="24"/>
          <w:lang w:eastAsia="zh-CN"/>
        </w:rPr>
        <w:t xml:space="preserve"> </w:t>
      </w:r>
      <w:r w:rsidRPr="00EB00D9">
        <w:rPr>
          <w:rFonts w:ascii="Book Antiqua" w:hAnsi="Book Antiqua"/>
          <w:sz w:val="24"/>
          <w:szCs w:val="24"/>
        </w:rPr>
        <w:t>Available from: URL:</w:t>
      </w:r>
      <w:r w:rsidR="003066E2" w:rsidRPr="00EB00D9">
        <w:rPr>
          <w:rFonts w:ascii="Book Antiqua" w:eastAsia="宋体" w:hAnsi="Book Antiqua" w:cs="宋体"/>
          <w:sz w:val="24"/>
          <w:szCs w:val="24"/>
          <w:lang w:eastAsia="zh-CN"/>
        </w:rPr>
        <w:t xml:space="preserve"> http: //www.gene.com/download/pdf/rituxan_prescribing.pdf </w:t>
      </w:r>
    </w:p>
    <w:p w:rsidR="003066E2" w:rsidRPr="00EB00D9" w:rsidRDefault="003066E2" w:rsidP="003066E2">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14 </w:t>
      </w:r>
      <w:r w:rsidRPr="00EB00D9">
        <w:rPr>
          <w:rFonts w:ascii="Book Antiqua" w:eastAsia="宋体" w:hAnsi="Book Antiqua" w:cs="宋体"/>
          <w:b/>
          <w:bCs/>
          <w:sz w:val="24"/>
          <w:szCs w:val="24"/>
          <w:lang w:eastAsia="zh-CN"/>
        </w:rPr>
        <w:t>Palanichamy A</w:t>
      </w:r>
      <w:r w:rsidRPr="00EB00D9">
        <w:rPr>
          <w:rFonts w:ascii="Book Antiqua" w:eastAsia="宋体" w:hAnsi="Book Antiqua" w:cs="宋体"/>
          <w:sz w:val="24"/>
          <w:szCs w:val="24"/>
          <w:lang w:eastAsia="zh-CN"/>
        </w:rPr>
        <w:t>, Jahn S, Nickles D, Derstine M, Abounasr A, Hauser SL, Baranzini SE, Leppert D, von Büdingen HC. Rituximab efficiently depletes increased CD20-expressing T cells in multiple sclerosis patients. </w:t>
      </w:r>
      <w:r w:rsidRPr="00EB00D9">
        <w:rPr>
          <w:rFonts w:ascii="Book Antiqua" w:eastAsia="宋体" w:hAnsi="Book Antiqua" w:cs="宋体"/>
          <w:i/>
          <w:iCs/>
          <w:sz w:val="24"/>
          <w:szCs w:val="24"/>
          <w:lang w:eastAsia="zh-CN"/>
        </w:rPr>
        <w:t>J Immunol</w:t>
      </w:r>
      <w:r w:rsidRPr="00EB00D9">
        <w:rPr>
          <w:rFonts w:ascii="Book Antiqua" w:eastAsia="宋体" w:hAnsi="Book Antiqua" w:cs="宋体"/>
          <w:sz w:val="24"/>
          <w:szCs w:val="24"/>
          <w:lang w:eastAsia="zh-CN"/>
        </w:rPr>
        <w:t> 2014; </w:t>
      </w:r>
      <w:r w:rsidRPr="00EB00D9">
        <w:rPr>
          <w:rFonts w:ascii="Book Antiqua" w:eastAsia="宋体" w:hAnsi="Book Antiqua" w:cs="宋体"/>
          <w:b/>
          <w:bCs/>
          <w:sz w:val="24"/>
          <w:szCs w:val="24"/>
          <w:lang w:eastAsia="zh-CN"/>
        </w:rPr>
        <w:t>193</w:t>
      </w:r>
      <w:r w:rsidRPr="00EB00D9">
        <w:rPr>
          <w:rFonts w:ascii="Book Antiqua" w:eastAsia="宋体" w:hAnsi="Book Antiqua" w:cs="宋体"/>
          <w:sz w:val="24"/>
          <w:szCs w:val="24"/>
          <w:lang w:eastAsia="zh-CN"/>
        </w:rPr>
        <w:t>: 580-586 [PMID: 24928997 DOI: 10.4049/jimmunol.1400118]</w:t>
      </w:r>
    </w:p>
    <w:p w:rsidR="003066E2" w:rsidRPr="00EB00D9" w:rsidRDefault="003066E2" w:rsidP="003066E2">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15 </w:t>
      </w:r>
      <w:r w:rsidRPr="00EB00D9">
        <w:rPr>
          <w:rFonts w:ascii="Book Antiqua" w:eastAsia="宋体" w:hAnsi="Book Antiqua" w:cs="宋体"/>
          <w:b/>
          <w:bCs/>
          <w:sz w:val="24"/>
          <w:szCs w:val="24"/>
          <w:lang w:eastAsia="zh-CN"/>
        </w:rPr>
        <w:t>Lucchinetti CF</w:t>
      </w:r>
      <w:r w:rsidRPr="00EB00D9">
        <w:rPr>
          <w:rFonts w:ascii="Book Antiqua" w:eastAsia="宋体" w:hAnsi="Book Antiqua" w:cs="宋体"/>
          <w:sz w:val="24"/>
          <w:szCs w:val="24"/>
          <w:lang w:eastAsia="zh-CN"/>
        </w:rPr>
        <w:t>, Mandler RN, McGavern D, Bruck W, Gleich G, Ransohoff RM, Trebst C, Weinshenker B, Wingerchuk D, Parisi JE, Lassmann H. A role for humoral mechanisms in the pathogenesis of Devic's neuromyelitis optica. </w:t>
      </w:r>
      <w:r w:rsidRPr="00EB00D9">
        <w:rPr>
          <w:rFonts w:ascii="Book Antiqua" w:eastAsia="宋体" w:hAnsi="Book Antiqua" w:cs="宋体"/>
          <w:i/>
          <w:iCs/>
          <w:sz w:val="24"/>
          <w:szCs w:val="24"/>
          <w:lang w:eastAsia="zh-CN"/>
        </w:rPr>
        <w:t>Brain</w:t>
      </w:r>
      <w:r w:rsidRPr="00EB00D9">
        <w:rPr>
          <w:rFonts w:ascii="Book Antiqua" w:eastAsia="宋体" w:hAnsi="Book Antiqua" w:cs="宋体"/>
          <w:sz w:val="24"/>
          <w:szCs w:val="24"/>
          <w:lang w:eastAsia="zh-CN"/>
        </w:rPr>
        <w:t> 2002; </w:t>
      </w:r>
      <w:r w:rsidRPr="00EB00D9">
        <w:rPr>
          <w:rFonts w:ascii="Book Antiqua" w:eastAsia="宋体" w:hAnsi="Book Antiqua" w:cs="宋体"/>
          <w:b/>
          <w:bCs/>
          <w:sz w:val="24"/>
          <w:szCs w:val="24"/>
          <w:lang w:eastAsia="zh-CN"/>
        </w:rPr>
        <w:t>125</w:t>
      </w:r>
      <w:r w:rsidRPr="00EB00D9">
        <w:rPr>
          <w:rFonts w:ascii="Book Antiqua" w:eastAsia="宋体" w:hAnsi="Book Antiqua" w:cs="宋体"/>
          <w:sz w:val="24"/>
          <w:szCs w:val="24"/>
          <w:lang w:eastAsia="zh-CN"/>
        </w:rPr>
        <w:t>: 1450-1461 [PMID: 12076996 DOI: 10.10</w:t>
      </w:r>
      <w:r w:rsidR="003527F0" w:rsidRPr="00EB00D9">
        <w:rPr>
          <w:rFonts w:ascii="Book Antiqua" w:eastAsia="宋体" w:hAnsi="Book Antiqua" w:cs="宋体"/>
          <w:sz w:val="24"/>
          <w:szCs w:val="24"/>
          <w:lang w:eastAsia="zh-CN"/>
        </w:rPr>
        <w:t>93/brain/awf151</w:t>
      </w:r>
      <w:r w:rsidRPr="00EB00D9">
        <w:rPr>
          <w:rFonts w:ascii="Book Antiqua" w:eastAsia="宋体" w:hAnsi="Book Antiqua" w:cs="宋体"/>
          <w:sz w:val="24"/>
          <w:szCs w:val="24"/>
          <w:lang w:eastAsia="zh-CN"/>
        </w:rPr>
        <w:t>]</w:t>
      </w:r>
    </w:p>
    <w:p w:rsidR="003066E2" w:rsidRPr="00EB00D9" w:rsidRDefault="003066E2" w:rsidP="003066E2">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16 </w:t>
      </w:r>
      <w:r w:rsidRPr="00EB00D9">
        <w:rPr>
          <w:rFonts w:ascii="Book Antiqua" w:eastAsia="宋体" w:hAnsi="Book Antiqua" w:cs="宋体"/>
          <w:b/>
          <w:bCs/>
          <w:sz w:val="24"/>
          <w:szCs w:val="24"/>
          <w:lang w:eastAsia="zh-CN"/>
        </w:rPr>
        <w:t>Lennon VA</w:t>
      </w:r>
      <w:r w:rsidRPr="00EB00D9">
        <w:rPr>
          <w:rFonts w:ascii="Book Antiqua" w:eastAsia="宋体" w:hAnsi="Book Antiqua" w:cs="宋体"/>
          <w:sz w:val="24"/>
          <w:szCs w:val="24"/>
          <w:lang w:eastAsia="zh-CN"/>
        </w:rPr>
        <w:t>, Wingerchuk DM, Kryzer TJ, Pittock SJ, Lucchinetti CF, Fujihara K, Nakashima I, Weinshenker BG. A serum autoantibody marker of neuromyelitis optica: distinction from multiple sclerosis. </w:t>
      </w:r>
      <w:r w:rsidRPr="00EB00D9">
        <w:rPr>
          <w:rFonts w:ascii="Book Antiqua" w:eastAsia="宋体" w:hAnsi="Book Antiqua" w:cs="宋体"/>
          <w:i/>
          <w:iCs/>
          <w:sz w:val="24"/>
          <w:szCs w:val="24"/>
          <w:lang w:eastAsia="zh-CN"/>
        </w:rPr>
        <w:t>Lancet</w:t>
      </w:r>
      <w:r w:rsidRPr="00EB00D9">
        <w:rPr>
          <w:rFonts w:ascii="Book Antiqua" w:eastAsia="宋体" w:hAnsi="Book Antiqua" w:cs="宋体"/>
          <w:sz w:val="24"/>
          <w:szCs w:val="24"/>
          <w:lang w:eastAsia="zh-CN"/>
        </w:rPr>
        <w:t> </w:t>
      </w:r>
      <w:r w:rsidR="003527F0" w:rsidRPr="00EB00D9">
        <w:rPr>
          <w:rFonts w:ascii="Book Antiqua" w:eastAsia="宋体" w:hAnsi="Book Antiqua" w:cs="宋体" w:hint="eastAsia"/>
          <w:sz w:val="24"/>
          <w:szCs w:val="24"/>
          <w:lang w:eastAsia="zh-CN"/>
        </w:rPr>
        <w:t>2004</w:t>
      </w:r>
      <w:r w:rsidRPr="00EB00D9">
        <w:rPr>
          <w:rFonts w:ascii="Book Antiqua" w:eastAsia="宋体" w:hAnsi="Book Antiqua" w:cs="宋体"/>
          <w:sz w:val="24"/>
          <w:szCs w:val="24"/>
          <w:lang w:eastAsia="zh-CN"/>
        </w:rPr>
        <w:t>; </w:t>
      </w:r>
      <w:r w:rsidRPr="00EB00D9">
        <w:rPr>
          <w:rFonts w:ascii="Book Antiqua" w:eastAsia="宋体" w:hAnsi="Book Antiqua" w:cs="宋体"/>
          <w:b/>
          <w:bCs/>
          <w:sz w:val="24"/>
          <w:szCs w:val="24"/>
          <w:lang w:eastAsia="zh-CN"/>
        </w:rPr>
        <w:t>364</w:t>
      </w:r>
      <w:r w:rsidRPr="00EB00D9">
        <w:rPr>
          <w:rFonts w:ascii="Book Antiqua" w:eastAsia="宋体" w:hAnsi="Book Antiqua" w:cs="宋体"/>
          <w:sz w:val="24"/>
          <w:szCs w:val="24"/>
          <w:lang w:eastAsia="zh-CN"/>
        </w:rPr>
        <w:t>: 2106-2112 [PMID: 15589308 DOI: 10.1016/S0140-6736(04)17551-X]</w:t>
      </w:r>
    </w:p>
    <w:p w:rsidR="003066E2" w:rsidRPr="00EB00D9" w:rsidRDefault="003066E2" w:rsidP="003066E2">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17 </w:t>
      </w:r>
      <w:r w:rsidRPr="00EB00D9">
        <w:rPr>
          <w:rFonts w:ascii="Book Antiqua" w:eastAsia="宋体" w:hAnsi="Book Antiqua" w:cs="宋体"/>
          <w:b/>
          <w:bCs/>
          <w:sz w:val="24"/>
          <w:szCs w:val="24"/>
          <w:lang w:eastAsia="zh-CN"/>
        </w:rPr>
        <w:t>Jarius S</w:t>
      </w:r>
      <w:r w:rsidRPr="00EB00D9">
        <w:rPr>
          <w:rFonts w:ascii="Book Antiqua" w:eastAsia="宋体" w:hAnsi="Book Antiqua" w:cs="宋体"/>
          <w:sz w:val="24"/>
          <w:szCs w:val="24"/>
          <w:lang w:eastAsia="zh-CN"/>
        </w:rPr>
        <w:t>, Aboul-Enein F, Waters P, Kuenz B, Hauser A, Berger T, Lang W, Reindl M, Vincent A, Kristoferitsch W. Antibody to aquaporin-4 in the long-term course of neuromyelitis optica. </w:t>
      </w:r>
      <w:r w:rsidRPr="00EB00D9">
        <w:rPr>
          <w:rFonts w:ascii="Book Antiqua" w:eastAsia="宋体" w:hAnsi="Book Antiqua" w:cs="宋体"/>
          <w:i/>
          <w:iCs/>
          <w:sz w:val="24"/>
          <w:szCs w:val="24"/>
          <w:lang w:eastAsia="zh-CN"/>
        </w:rPr>
        <w:t>Brain</w:t>
      </w:r>
      <w:r w:rsidRPr="00EB00D9">
        <w:rPr>
          <w:rFonts w:ascii="Book Antiqua" w:eastAsia="宋体" w:hAnsi="Book Antiqua" w:cs="宋体"/>
          <w:sz w:val="24"/>
          <w:szCs w:val="24"/>
          <w:lang w:eastAsia="zh-CN"/>
        </w:rPr>
        <w:t> 2008; </w:t>
      </w:r>
      <w:r w:rsidRPr="00EB00D9">
        <w:rPr>
          <w:rFonts w:ascii="Book Antiqua" w:eastAsia="宋体" w:hAnsi="Book Antiqua" w:cs="宋体"/>
          <w:b/>
          <w:bCs/>
          <w:sz w:val="24"/>
          <w:szCs w:val="24"/>
          <w:lang w:eastAsia="zh-CN"/>
        </w:rPr>
        <w:t>131</w:t>
      </w:r>
      <w:r w:rsidRPr="00EB00D9">
        <w:rPr>
          <w:rFonts w:ascii="Book Antiqua" w:eastAsia="宋体" w:hAnsi="Book Antiqua" w:cs="宋体"/>
          <w:sz w:val="24"/>
          <w:szCs w:val="24"/>
          <w:lang w:eastAsia="zh-CN"/>
        </w:rPr>
        <w:t>: 3072-3080 [PMID: 18945724 DOI: 10.1093/brain/awn240]</w:t>
      </w:r>
    </w:p>
    <w:p w:rsidR="003066E2" w:rsidRPr="00EB00D9" w:rsidRDefault="003066E2" w:rsidP="003066E2">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18 </w:t>
      </w:r>
      <w:r w:rsidRPr="00EB00D9">
        <w:rPr>
          <w:rFonts w:ascii="Book Antiqua" w:eastAsia="宋体" w:hAnsi="Book Antiqua" w:cs="宋体"/>
          <w:b/>
          <w:bCs/>
          <w:sz w:val="24"/>
          <w:szCs w:val="24"/>
          <w:lang w:eastAsia="zh-CN"/>
        </w:rPr>
        <w:t>Verkman AS</w:t>
      </w:r>
      <w:r w:rsidRPr="00EB00D9">
        <w:rPr>
          <w:rFonts w:ascii="Book Antiqua" w:eastAsia="宋体" w:hAnsi="Book Antiqua" w:cs="宋体"/>
          <w:sz w:val="24"/>
          <w:szCs w:val="24"/>
          <w:lang w:eastAsia="zh-CN"/>
        </w:rPr>
        <w:t>, Phuan PW, Asavapanumas N, Tradtrantip L. Biology of AQP4 and anti-AQP4 antibody: therapeutic implications for NMO. </w:t>
      </w:r>
      <w:r w:rsidRPr="00EB00D9">
        <w:rPr>
          <w:rFonts w:ascii="Book Antiqua" w:eastAsia="宋体" w:hAnsi="Book Antiqua" w:cs="宋体"/>
          <w:i/>
          <w:iCs/>
          <w:sz w:val="24"/>
          <w:szCs w:val="24"/>
          <w:lang w:eastAsia="zh-CN"/>
        </w:rPr>
        <w:t>Brain Pathol</w:t>
      </w:r>
      <w:r w:rsidRPr="00EB00D9">
        <w:rPr>
          <w:rFonts w:ascii="Book Antiqua" w:eastAsia="宋体" w:hAnsi="Book Antiqua" w:cs="宋体"/>
          <w:sz w:val="24"/>
          <w:szCs w:val="24"/>
          <w:lang w:eastAsia="zh-CN"/>
        </w:rPr>
        <w:t> 2013; </w:t>
      </w:r>
      <w:r w:rsidRPr="00EB00D9">
        <w:rPr>
          <w:rFonts w:ascii="Book Antiqua" w:eastAsia="宋体" w:hAnsi="Book Antiqua" w:cs="宋体"/>
          <w:b/>
          <w:bCs/>
          <w:sz w:val="24"/>
          <w:szCs w:val="24"/>
          <w:lang w:eastAsia="zh-CN"/>
        </w:rPr>
        <w:t>23</w:t>
      </w:r>
      <w:r w:rsidRPr="00EB00D9">
        <w:rPr>
          <w:rFonts w:ascii="Book Antiqua" w:eastAsia="宋体" w:hAnsi="Book Antiqua" w:cs="宋体"/>
          <w:sz w:val="24"/>
          <w:szCs w:val="24"/>
          <w:lang w:eastAsia="zh-CN"/>
        </w:rPr>
        <w:t>: 684-695 [PMID: 2</w:t>
      </w:r>
      <w:r w:rsidR="003527F0" w:rsidRPr="00EB00D9">
        <w:rPr>
          <w:rFonts w:ascii="Book Antiqua" w:eastAsia="宋体" w:hAnsi="Book Antiqua" w:cs="宋体"/>
          <w:sz w:val="24"/>
          <w:szCs w:val="24"/>
          <w:lang w:eastAsia="zh-CN"/>
        </w:rPr>
        <w:t>4118484 DOI: 10.1111/bpa.12085</w:t>
      </w:r>
      <w:r w:rsidRPr="00EB00D9">
        <w:rPr>
          <w:rFonts w:ascii="Book Antiqua" w:eastAsia="宋体" w:hAnsi="Book Antiqua" w:cs="宋体"/>
          <w:sz w:val="24"/>
          <w:szCs w:val="24"/>
          <w:lang w:eastAsia="zh-CN"/>
        </w:rPr>
        <w:t>]</w:t>
      </w:r>
    </w:p>
    <w:p w:rsidR="003066E2" w:rsidRPr="00EB00D9" w:rsidRDefault="003066E2" w:rsidP="003066E2">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19 </w:t>
      </w:r>
      <w:r w:rsidRPr="00EB00D9">
        <w:rPr>
          <w:rFonts w:ascii="Book Antiqua" w:eastAsia="宋体" w:hAnsi="Book Antiqua" w:cs="宋体"/>
          <w:b/>
          <w:bCs/>
          <w:sz w:val="24"/>
          <w:szCs w:val="24"/>
          <w:lang w:eastAsia="zh-CN"/>
        </w:rPr>
        <w:t>Misu T</w:t>
      </w:r>
      <w:r w:rsidRPr="00EB00D9">
        <w:rPr>
          <w:rFonts w:ascii="Book Antiqua" w:eastAsia="宋体" w:hAnsi="Book Antiqua" w:cs="宋体"/>
          <w:sz w:val="24"/>
          <w:szCs w:val="24"/>
          <w:lang w:eastAsia="zh-CN"/>
        </w:rPr>
        <w:t>, Höftberger R, Fujihara K, Wimmer I, Takai Y, Nishiyama S, Nakashima I, Konno H, Bradl M, Garzuly F, Itoyama Y, Aoki M, Lassmann H. Presence of six different lesion types suggests diverse mechanisms of tissue injury in neuromyelitis optica. </w:t>
      </w:r>
      <w:r w:rsidRPr="00EB00D9">
        <w:rPr>
          <w:rFonts w:ascii="Book Antiqua" w:eastAsia="宋体" w:hAnsi="Book Antiqua" w:cs="宋体"/>
          <w:i/>
          <w:iCs/>
          <w:sz w:val="24"/>
          <w:szCs w:val="24"/>
          <w:lang w:eastAsia="zh-CN"/>
        </w:rPr>
        <w:t>Acta Neuropathol</w:t>
      </w:r>
      <w:r w:rsidRPr="00EB00D9">
        <w:rPr>
          <w:rFonts w:ascii="Book Antiqua" w:eastAsia="宋体" w:hAnsi="Book Antiqua" w:cs="宋体"/>
          <w:sz w:val="24"/>
          <w:szCs w:val="24"/>
          <w:lang w:eastAsia="zh-CN"/>
        </w:rPr>
        <w:t> 2013; </w:t>
      </w:r>
      <w:r w:rsidRPr="00EB00D9">
        <w:rPr>
          <w:rFonts w:ascii="Book Antiqua" w:eastAsia="宋体" w:hAnsi="Book Antiqua" w:cs="宋体"/>
          <w:b/>
          <w:bCs/>
          <w:sz w:val="24"/>
          <w:szCs w:val="24"/>
          <w:lang w:eastAsia="zh-CN"/>
        </w:rPr>
        <w:t>125</w:t>
      </w:r>
      <w:r w:rsidRPr="00EB00D9">
        <w:rPr>
          <w:rFonts w:ascii="Book Antiqua" w:eastAsia="宋体" w:hAnsi="Book Antiqua" w:cs="宋体"/>
          <w:sz w:val="24"/>
          <w:szCs w:val="24"/>
          <w:lang w:eastAsia="zh-CN"/>
        </w:rPr>
        <w:t xml:space="preserve">: 815-827 [PMID: 23579868 </w:t>
      </w:r>
      <w:r w:rsidR="003527F0" w:rsidRPr="00EB00D9">
        <w:rPr>
          <w:rFonts w:ascii="Book Antiqua" w:eastAsia="宋体" w:hAnsi="Book Antiqua" w:cs="宋体"/>
          <w:sz w:val="24"/>
          <w:szCs w:val="24"/>
          <w:lang w:eastAsia="zh-CN"/>
        </w:rPr>
        <w:t>DOI: 10.1007/s00401-013-1116-7</w:t>
      </w:r>
      <w:r w:rsidRPr="00EB00D9">
        <w:rPr>
          <w:rFonts w:ascii="Book Antiqua" w:eastAsia="宋体" w:hAnsi="Book Antiqua" w:cs="宋体"/>
          <w:sz w:val="24"/>
          <w:szCs w:val="24"/>
          <w:lang w:eastAsia="zh-CN"/>
        </w:rPr>
        <w:t>]</w:t>
      </w:r>
    </w:p>
    <w:p w:rsidR="003066E2" w:rsidRPr="00EB00D9" w:rsidRDefault="003066E2" w:rsidP="003066E2">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20 </w:t>
      </w:r>
      <w:r w:rsidRPr="00EB00D9">
        <w:rPr>
          <w:rFonts w:ascii="Book Antiqua" w:eastAsia="宋体" w:hAnsi="Book Antiqua" w:cs="宋体"/>
          <w:b/>
          <w:bCs/>
          <w:sz w:val="24"/>
          <w:szCs w:val="24"/>
          <w:lang w:eastAsia="zh-CN"/>
        </w:rPr>
        <w:t>Cree BA</w:t>
      </w:r>
      <w:r w:rsidRPr="00EB00D9">
        <w:rPr>
          <w:rFonts w:ascii="Book Antiqua" w:eastAsia="宋体" w:hAnsi="Book Antiqua" w:cs="宋体"/>
          <w:sz w:val="24"/>
          <w:szCs w:val="24"/>
          <w:lang w:eastAsia="zh-CN"/>
        </w:rPr>
        <w:t>, Lamb S, Morgan K, Chen A, Waubant E, Genain C. An open label study of the effects of rituximab in neuromyelitis optica. </w:t>
      </w:r>
      <w:r w:rsidRPr="00EB00D9">
        <w:rPr>
          <w:rFonts w:ascii="Book Antiqua" w:eastAsia="宋体" w:hAnsi="Book Antiqua" w:cs="宋体"/>
          <w:i/>
          <w:iCs/>
          <w:sz w:val="24"/>
          <w:szCs w:val="24"/>
          <w:lang w:eastAsia="zh-CN"/>
        </w:rPr>
        <w:t>Neurology</w:t>
      </w:r>
      <w:r w:rsidRPr="00EB00D9">
        <w:rPr>
          <w:rFonts w:ascii="Book Antiqua" w:eastAsia="宋体" w:hAnsi="Book Antiqua" w:cs="宋体"/>
          <w:sz w:val="24"/>
          <w:szCs w:val="24"/>
          <w:lang w:eastAsia="zh-CN"/>
        </w:rPr>
        <w:t> 2005; </w:t>
      </w:r>
      <w:r w:rsidRPr="00EB00D9">
        <w:rPr>
          <w:rFonts w:ascii="Book Antiqua" w:eastAsia="宋体" w:hAnsi="Book Antiqua" w:cs="宋体"/>
          <w:b/>
          <w:bCs/>
          <w:sz w:val="24"/>
          <w:szCs w:val="24"/>
          <w:lang w:eastAsia="zh-CN"/>
        </w:rPr>
        <w:t>64</w:t>
      </w:r>
      <w:r w:rsidRPr="00EB00D9">
        <w:rPr>
          <w:rFonts w:ascii="Book Antiqua" w:eastAsia="宋体" w:hAnsi="Book Antiqua" w:cs="宋体"/>
          <w:sz w:val="24"/>
          <w:szCs w:val="24"/>
          <w:lang w:eastAsia="zh-CN"/>
        </w:rPr>
        <w:t>: 1270-1272 [PMID: 15824362 DOI: 10.121</w:t>
      </w:r>
      <w:r w:rsidR="003527F0" w:rsidRPr="00EB00D9">
        <w:rPr>
          <w:rFonts w:ascii="Book Antiqua" w:eastAsia="宋体" w:hAnsi="Book Antiqua" w:cs="宋体"/>
          <w:sz w:val="24"/>
          <w:szCs w:val="24"/>
          <w:lang w:eastAsia="zh-CN"/>
        </w:rPr>
        <w:t>2/01.WNL.0000159399.81861.D5</w:t>
      </w:r>
      <w:r w:rsidRPr="00EB00D9">
        <w:rPr>
          <w:rFonts w:ascii="Book Antiqua" w:eastAsia="宋体" w:hAnsi="Book Antiqua" w:cs="宋体"/>
          <w:sz w:val="24"/>
          <w:szCs w:val="24"/>
          <w:lang w:eastAsia="zh-CN"/>
        </w:rPr>
        <w:t>]</w:t>
      </w:r>
    </w:p>
    <w:p w:rsidR="003066E2" w:rsidRPr="00EB00D9" w:rsidRDefault="003527F0" w:rsidP="003066E2">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 xml:space="preserve">21 </w:t>
      </w:r>
      <w:r w:rsidR="003066E2" w:rsidRPr="00EB00D9">
        <w:rPr>
          <w:rFonts w:ascii="Book Antiqua" w:eastAsia="宋体" w:hAnsi="Book Antiqua" w:cs="宋体"/>
          <w:b/>
          <w:sz w:val="24"/>
          <w:szCs w:val="24"/>
          <w:lang w:eastAsia="zh-CN"/>
        </w:rPr>
        <w:t>Farber R</w:t>
      </w:r>
      <w:r w:rsidR="003066E2" w:rsidRPr="00EB00D9">
        <w:rPr>
          <w:rFonts w:ascii="Book Antiqua" w:eastAsia="宋体" w:hAnsi="Book Antiqua" w:cs="宋体"/>
          <w:sz w:val="24"/>
          <w:szCs w:val="24"/>
          <w:lang w:eastAsia="zh-CN"/>
        </w:rPr>
        <w:t xml:space="preserve">, Klineova S, Katz-Sand I, Fabian M, Krieger S, Lublin F. Neuromyelitis optica patients on rituximab: predicting response to therapy. </w:t>
      </w:r>
      <w:r w:rsidR="003066E2" w:rsidRPr="00EB00D9">
        <w:rPr>
          <w:rFonts w:ascii="Book Antiqua" w:eastAsia="宋体" w:hAnsi="Book Antiqua" w:cs="宋体"/>
          <w:i/>
          <w:sz w:val="24"/>
          <w:szCs w:val="24"/>
          <w:lang w:eastAsia="zh-CN"/>
        </w:rPr>
        <w:t>Mul Scler</w:t>
      </w:r>
      <w:r w:rsidR="003066E2" w:rsidRPr="00EB00D9">
        <w:rPr>
          <w:rFonts w:ascii="Book Antiqua" w:eastAsia="宋体" w:hAnsi="Book Antiqua" w:cs="宋体"/>
          <w:sz w:val="24"/>
          <w:szCs w:val="24"/>
          <w:lang w:eastAsia="zh-CN"/>
        </w:rPr>
        <w:t xml:space="preserve"> 2014; </w:t>
      </w:r>
      <w:r w:rsidR="003066E2" w:rsidRPr="00EB00D9">
        <w:rPr>
          <w:rFonts w:ascii="Book Antiqua" w:eastAsia="宋体" w:hAnsi="Book Antiqua" w:cs="宋体"/>
          <w:b/>
          <w:sz w:val="24"/>
          <w:szCs w:val="24"/>
          <w:lang w:eastAsia="zh-CN"/>
        </w:rPr>
        <w:t>20:</w:t>
      </w:r>
      <w:r w:rsidR="003066E2" w:rsidRPr="00EB00D9">
        <w:rPr>
          <w:rFonts w:ascii="Book Antiqua" w:eastAsia="宋体" w:hAnsi="Book Antiqua" w:cs="宋体"/>
          <w:sz w:val="24"/>
          <w:szCs w:val="24"/>
          <w:lang w:eastAsia="zh-CN"/>
        </w:rPr>
        <w:t xml:space="preserve"> (S1) 501–510</w:t>
      </w:r>
    </w:p>
    <w:p w:rsidR="003066E2" w:rsidRPr="00EB00D9" w:rsidRDefault="003527F0" w:rsidP="003066E2">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 xml:space="preserve">22 </w:t>
      </w:r>
      <w:r w:rsidR="003066E2" w:rsidRPr="00EB00D9">
        <w:rPr>
          <w:rFonts w:ascii="Book Antiqua" w:eastAsia="宋体" w:hAnsi="Book Antiqua" w:cs="宋体"/>
          <w:b/>
          <w:sz w:val="24"/>
          <w:szCs w:val="24"/>
          <w:lang w:eastAsia="zh-CN"/>
        </w:rPr>
        <w:t>Javed A</w:t>
      </w:r>
      <w:r w:rsidR="003066E2" w:rsidRPr="00EB00D9">
        <w:rPr>
          <w:rFonts w:ascii="Book Antiqua" w:eastAsia="宋体" w:hAnsi="Book Antiqua" w:cs="宋体"/>
          <w:sz w:val="24"/>
          <w:szCs w:val="24"/>
          <w:lang w:eastAsia="zh-CN"/>
        </w:rPr>
        <w:t xml:space="preserve">, Arnason B, Reder AT. Breakthrough relapses after rituximab in NMO patients: incidence and other treatment options. </w:t>
      </w:r>
      <w:r w:rsidR="003066E2" w:rsidRPr="00EB00D9">
        <w:rPr>
          <w:rFonts w:ascii="Book Antiqua" w:eastAsia="宋体" w:hAnsi="Book Antiqua" w:cs="宋体"/>
          <w:i/>
          <w:sz w:val="24"/>
          <w:szCs w:val="24"/>
          <w:lang w:eastAsia="zh-CN"/>
        </w:rPr>
        <w:t>Mult Scler</w:t>
      </w:r>
      <w:r w:rsidR="003066E2" w:rsidRPr="00EB00D9">
        <w:rPr>
          <w:rFonts w:ascii="Book Antiqua" w:eastAsia="宋体" w:hAnsi="Book Antiqua" w:cs="宋体"/>
          <w:sz w:val="24"/>
          <w:szCs w:val="24"/>
          <w:lang w:eastAsia="zh-CN"/>
        </w:rPr>
        <w:t xml:space="preserve"> 2008; </w:t>
      </w:r>
      <w:r w:rsidR="003066E2" w:rsidRPr="00EB00D9">
        <w:rPr>
          <w:rFonts w:ascii="Book Antiqua" w:eastAsia="宋体" w:hAnsi="Book Antiqua" w:cs="宋体"/>
          <w:b/>
          <w:sz w:val="24"/>
          <w:szCs w:val="24"/>
          <w:lang w:eastAsia="zh-CN"/>
        </w:rPr>
        <w:t>14</w:t>
      </w:r>
      <w:r w:rsidR="003066E2" w:rsidRPr="00EB00D9">
        <w:rPr>
          <w:rFonts w:ascii="Book Antiqua" w:eastAsia="宋体" w:hAnsi="Book Antiqua" w:cs="宋体"/>
          <w:sz w:val="24"/>
          <w:szCs w:val="24"/>
          <w:lang w:eastAsia="zh-CN"/>
        </w:rPr>
        <w:t>: S49</w:t>
      </w:r>
    </w:p>
    <w:p w:rsidR="003066E2" w:rsidRPr="00EB00D9" w:rsidRDefault="003066E2" w:rsidP="003066E2">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23 </w:t>
      </w:r>
      <w:r w:rsidRPr="00EB00D9">
        <w:rPr>
          <w:rFonts w:ascii="Book Antiqua" w:eastAsia="宋体" w:hAnsi="Book Antiqua" w:cs="宋体"/>
          <w:b/>
          <w:bCs/>
          <w:sz w:val="24"/>
          <w:szCs w:val="24"/>
          <w:lang w:eastAsia="zh-CN"/>
        </w:rPr>
        <w:t>Jacob A</w:t>
      </w:r>
      <w:r w:rsidRPr="00EB00D9">
        <w:rPr>
          <w:rFonts w:ascii="Book Antiqua" w:eastAsia="宋体" w:hAnsi="Book Antiqua" w:cs="宋体"/>
          <w:sz w:val="24"/>
          <w:szCs w:val="24"/>
          <w:lang w:eastAsia="zh-CN"/>
        </w:rPr>
        <w:t>, Weinshenker BG, Violich I, McLinskey N, Krupp L, Fox RJ, Wingerchuk DM, Boggild M, Constantinescu CS, Miller A, De Angelis T, Matiello M, Cree BA. Treatment of neuromyelitis optica with rituximab: retrospective analysis of 25 patients. </w:t>
      </w:r>
      <w:r w:rsidRPr="00EB00D9">
        <w:rPr>
          <w:rFonts w:ascii="Book Antiqua" w:eastAsia="宋体" w:hAnsi="Book Antiqua" w:cs="宋体"/>
          <w:i/>
          <w:iCs/>
          <w:sz w:val="24"/>
          <w:szCs w:val="24"/>
          <w:lang w:eastAsia="zh-CN"/>
        </w:rPr>
        <w:t>Arch Neurol</w:t>
      </w:r>
      <w:r w:rsidRPr="00EB00D9">
        <w:rPr>
          <w:rFonts w:ascii="Book Antiqua" w:eastAsia="宋体" w:hAnsi="Book Antiqua" w:cs="宋体"/>
          <w:sz w:val="24"/>
          <w:szCs w:val="24"/>
          <w:lang w:eastAsia="zh-CN"/>
        </w:rPr>
        <w:t> 2008; </w:t>
      </w:r>
      <w:r w:rsidRPr="00EB00D9">
        <w:rPr>
          <w:rFonts w:ascii="Book Antiqua" w:eastAsia="宋体" w:hAnsi="Book Antiqua" w:cs="宋体"/>
          <w:b/>
          <w:bCs/>
          <w:sz w:val="24"/>
          <w:szCs w:val="24"/>
          <w:lang w:eastAsia="zh-CN"/>
        </w:rPr>
        <w:t>65</w:t>
      </w:r>
      <w:r w:rsidRPr="00EB00D9">
        <w:rPr>
          <w:rFonts w:ascii="Book Antiqua" w:eastAsia="宋体" w:hAnsi="Book Antiqua" w:cs="宋体"/>
          <w:sz w:val="24"/>
          <w:szCs w:val="24"/>
          <w:lang w:eastAsia="zh-CN"/>
        </w:rPr>
        <w:t>: 1443-1448 [PMID: 18779415 DOI: 10.1001/archneur.65.11.noc80069]</w:t>
      </w:r>
    </w:p>
    <w:p w:rsidR="003066E2" w:rsidRPr="00EB00D9" w:rsidRDefault="003527F0" w:rsidP="003066E2">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 xml:space="preserve">24 </w:t>
      </w:r>
      <w:r w:rsidRPr="00EB00D9">
        <w:rPr>
          <w:rFonts w:ascii="Book Antiqua" w:hAnsi="Book Antiqua"/>
          <w:b/>
          <w:bCs/>
          <w:sz w:val="24"/>
          <w:szCs w:val="24"/>
        </w:rPr>
        <w:t>Bedi GS</w:t>
      </w:r>
      <w:r w:rsidRPr="00EB00D9">
        <w:rPr>
          <w:rFonts w:ascii="Book Antiqua" w:hAnsi="Book Antiqua"/>
          <w:sz w:val="24"/>
          <w:szCs w:val="24"/>
        </w:rPr>
        <w:t>, Brown AD, Delgado SR, Usmani N, Lam BL, Sheremata WA. Impact of rituximab on relapse rate and disability in neuromyelitis optica.</w:t>
      </w:r>
      <w:r w:rsidRPr="00EB00D9">
        <w:rPr>
          <w:rStyle w:val="apple-converted-space"/>
          <w:rFonts w:ascii="Book Antiqua" w:hAnsi="Book Antiqua"/>
          <w:sz w:val="24"/>
          <w:szCs w:val="24"/>
        </w:rPr>
        <w:t> </w:t>
      </w:r>
      <w:r w:rsidRPr="00EB00D9">
        <w:rPr>
          <w:rFonts w:ascii="Book Antiqua" w:hAnsi="Book Antiqua"/>
          <w:i/>
          <w:iCs/>
          <w:sz w:val="24"/>
          <w:szCs w:val="24"/>
        </w:rPr>
        <w:t>Mult Scler</w:t>
      </w:r>
      <w:r w:rsidRPr="00EB00D9">
        <w:rPr>
          <w:rStyle w:val="apple-converted-space"/>
          <w:rFonts w:ascii="Book Antiqua" w:hAnsi="Book Antiqua"/>
          <w:sz w:val="24"/>
          <w:szCs w:val="24"/>
        </w:rPr>
        <w:t> </w:t>
      </w:r>
      <w:r w:rsidRPr="00EB00D9">
        <w:rPr>
          <w:rFonts w:ascii="Book Antiqua" w:hAnsi="Book Antiqua"/>
          <w:sz w:val="24"/>
          <w:szCs w:val="24"/>
        </w:rPr>
        <w:t>2011;</w:t>
      </w:r>
      <w:r w:rsidRPr="00EB00D9">
        <w:rPr>
          <w:rStyle w:val="apple-converted-space"/>
          <w:rFonts w:ascii="Book Antiqua" w:hAnsi="Book Antiqua"/>
          <w:sz w:val="24"/>
          <w:szCs w:val="24"/>
        </w:rPr>
        <w:t> </w:t>
      </w:r>
      <w:r w:rsidRPr="00EB00D9">
        <w:rPr>
          <w:rFonts w:ascii="Book Antiqua" w:hAnsi="Book Antiqua"/>
          <w:b/>
          <w:bCs/>
          <w:sz w:val="24"/>
          <w:szCs w:val="24"/>
        </w:rPr>
        <w:t>17</w:t>
      </w:r>
      <w:r w:rsidRPr="00EB00D9">
        <w:rPr>
          <w:rFonts w:ascii="Book Antiqua" w:hAnsi="Book Antiqua"/>
          <w:sz w:val="24"/>
          <w:szCs w:val="24"/>
        </w:rPr>
        <w:t>: 1225-1230 [PMID: 21622594 DOI: 10.1177/1352458511404586]</w:t>
      </w:r>
    </w:p>
    <w:p w:rsidR="003066E2" w:rsidRPr="00EB00D9" w:rsidRDefault="003066E2" w:rsidP="003066E2">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25 </w:t>
      </w:r>
      <w:r w:rsidRPr="00EB00D9">
        <w:rPr>
          <w:rFonts w:ascii="Book Antiqua" w:eastAsia="宋体" w:hAnsi="Book Antiqua" w:cs="宋体"/>
          <w:b/>
          <w:bCs/>
          <w:sz w:val="24"/>
          <w:szCs w:val="24"/>
          <w:lang w:eastAsia="zh-CN"/>
        </w:rPr>
        <w:t>Ip VH</w:t>
      </w:r>
      <w:r w:rsidRPr="00EB00D9">
        <w:rPr>
          <w:rFonts w:ascii="Book Antiqua" w:eastAsia="宋体" w:hAnsi="Book Antiqua" w:cs="宋体"/>
          <w:sz w:val="24"/>
          <w:szCs w:val="24"/>
          <w:lang w:eastAsia="zh-CN"/>
        </w:rPr>
        <w:t>, Lau AY, Au LW, Fan FS, Chan AY, Mok VC, Wong KS. Rituximab reduces attacks in Chinese patients with neuromyelitis optica spectrum disorders. </w:t>
      </w:r>
      <w:r w:rsidRPr="00EB00D9">
        <w:rPr>
          <w:rFonts w:ascii="Book Antiqua" w:eastAsia="宋体" w:hAnsi="Book Antiqua" w:cs="宋体"/>
          <w:i/>
          <w:iCs/>
          <w:sz w:val="24"/>
          <w:szCs w:val="24"/>
          <w:lang w:eastAsia="zh-CN"/>
        </w:rPr>
        <w:t>J Neurol Sci</w:t>
      </w:r>
      <w:r w:rsidRPr="00EB00D9">
        <w:rPr>
          <w:rFonts w:ascii="Book Antiqua" w:eastAsia="宋体" w:hAnsi="Book Antiqua" w:cs="宋体"/>
          <w:sz w:val="24"/>
          <w:szCs w:val="24"/>
          <w:lang w:eastAsia="zh-CN"/>
        </w:rPr>
        <w:t> 2013; </w:t>
      </w:r>
      <w:r w:rsidRPr="00EB00D9">
        <w:rPr>
          <w:rFonts w:ascii="Book Antiqua" w:eastAsia="宋体" w:hAnsi="Book Antiqua" w:cs="宋体"/>
          <w:b/>
          <w:bCs/>
          <w:sz w:val="24"/>
          <w:szCs w:val="24"/>
          <w:lang w:eastAsia="zh-CN"/>
        </w:rPr>
        <w:t>324</w:t>
      </w:r>
      <w:r w:rsidRPr="00EB00D9">
        <w:rPr>
          <w:rFonts w:ascii="Book Antiqua" w:eastAsia="宋体" w:hAnsi="Book Antiqua" w:cs="宋体"/>
          <w:sz w:val="24"/>
          <w:szCs w:val="24"/>
          <w:lang w:eastAsia="zh-CN"/>
        </w:rPr>
        <w:t xml:space="preserve">: 38-39 [PMID: 23040959 </w:t>
      </w:r>
      <w:r w:rsidR="003527F0" w:rsidRPr="00EB00D9">
        <w:rPr>
          <w:rFonts w:ascii="Book Antiqua" w:eastAsia="宋体" w:hAnsi="Book Antiqua" w:cs="宋体"/>
          <w:sz w:val="24"/>
          <w:szCs w:val="24"/>
          <w:lang w:eastAsia="zh-CN"/>
        </w:rPr>
        <w:t>DOI: 10.1016/j.jns.2012.09.024</w:t>
      </w:r>
      <w:r w:rsidRPr="00EB00D9">
        <w:rPr>
          <w:rFonts w:ascii="Book Antiqua" w:eastAsia="宋体" w:hAnsi="Book Antiqua" w:cs="宋体"/>
          <w:sz w:val="24"/>
          <w:szCs w:val="24"/>
          <w:lang w:eastAsia="zh-CN"/>
        </w:rPr>
        <w:t>]</w:t>
      </w:r>
    </w:p>
    <w:p w:rsidR="003066E2" w:rsidRPr="00EB00D9" w:rsidRDefault="003066E2" w:rsidP="003066E2">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2</w:t>
      </w:r>
      <w:r w:rsidR="00AF0787">
        <w:rPr>
          <w:rFonts w:ascii="Book Antiqua" w:eastAsia="宋体" w:hAnsi="Book Antiqua" w:cs="宋体" w:hint="eastAsia"/>
          <w:sz w:val="24"/>
          <w:szCs w:val="24"/>
          <w:lang w:eastAsia="zh-CN"/>
        </w:rPr>
        <w:t>6</w:t>
      </w:r>
      <w:r w:rsidRPr="00EB00D9">
        <w:rPr>
          <w:rFonts w:ascii="Book Antiqua" w:eastAsia="宋体" w:hAnsi="Book Antiqua" w:cs="宋体"/>
          <w:sz w:val="24"/>
          <w:szCs w:val="24"/>
          <w:lang w:eastAsia="zh-CN"/>
        </w:rPr>
        <w:t> </w:t>
      </w:r>
      <w:r w:rsidRPr="00EB00D9">
        <w:rPr>
          <w:rFonts w:ascii="Book Antiqua" w:eastAsia="宋体" w:hAnsi="Book Antiqua" w:cs="宋体"/>
          <w:b/>
          <w:bCs/>
          <w:sz w:val="24"/>
          <w:szCs w:val="24"/>
          <w:lang w:eastAsia="zh-CN"/>
        </w:rPr>
        <w:t>Kim SH</w:t>
      </w:r>
      <w:r w:rsidRPr="00EB00D9">
        <w:rPr>
          <w:rFonts w:ascii="Book Antiqua" w:eastAsia="宋体" w:hAnsi="Book Antiqua" w:cs="宋体"/>
          <w:sz w:val="24"/>
          <w:szCs w:val="24"/>
          <w:lang w:eastAsia="zh-CN"/>
        </w:rPr>
        <w:t>, Huh SY, Lee SJ, Joung A, Kim HJ. A 5-year follow-up of rituximab treatment in patients with neuromyelitis optica spectrum disorder. </w:t>
      </w:r>
      <w:r w:rsidRPr="00EB00D9">
        <w:rPr>
          <w:rFonts w:ascii="Book Antiqua" w:eastAsia="宋体" w:hAnsi="Book Antiqua" w:cs="宋体"/>
          <w:i/>
          <w:iCs/>
          <w:sz w:val="24"/>
          <w:szCs w:val="24"/>
          <w:lang w:eastAsia="zh-CN"/>
        </w:rPr>
        <w:t>JAMA Neurol</w:t>
      </w:r>
      <w:r w:rsidRPr="00EB00D9">
        <w:rPr>
          <w:rFonts w:ascii="Book Antiqua" w:eastAsia="宋体" w:hAnsi="Book Antiqua" w:cs="宋体"/>
          <w:sz w:val="24"/>
          <w:szCs w:val="24"/>
          <w:lang w:eastAsia="zh-CN"/>
        </w:rPr>
        <w:t> 2013; </w:t>
      </w:r>
      <w:r w:rsidRPr="00EB00D9">
        <w:rPr>
          <w:rFonts w:ascii="Book Antiqua" w:eastAsia="宋体" w:hAnsi="Book Antiqua" w:cs="宋体"/>
          <w:b/>
          <w:bCs/>
          <w:sz w:val="24"/>
          <w:szCs w:val="24"/>
          <w:lang w:eastAsia="zh-CN"/>
        </w:rPr>
        <w:t>70</w:t>
      </w:r>
      <w:r w:rsidRPr="00EB00D9">
        <w:rPr>
          <w:rFonts w:ascii="Book Antiqua" w:eastAsia="宋体" w:hAnsi="Book Antiqua" w:cs="宋体"/>
          <w:sz w:val="24"/>
          <w:szCs w:val="24"/>
          <w:lang w:eastAsia="zh-CN"/>
        </w:rPr>
        <w:t>: 1110-1117 [PMID: 23897062 DOI</w:t>
      </w:r>
      <w:r w:rsidR="003527F0" w:rsidRPr="00EB00D9">
        <w:rPr>
          <w:rFonts w:ascii="Book Antiqua" w:eastAsia="宋体" w:hAnsi="Book Antiqua" w:cs="宋体"/>
          <w:sz w:val="24"/>
          <w:szCs w:val="24"/>
          <w:lang w:eastAsia="zh-CN"/>
        </w:rPr>
        <w:t>: 10.1001/jamaneurol.2013.3071</w:t>
      </w:r>
      <w:r w:rsidRPr="00EB00D9">
        <w:rPr>
          <w:rFonts w:ascii="Book Antiqua" w:eastAsia="宋体" w:hAnsi="Book Antiqua" w:cs="宋体"/>
          <w:sz w:val="24"/>
          <w:szCs w:val="24"/>
          <w:lang w:eastAsia="zh-CN"/>
        </w:rPr>
        <w:t>]</w:t>
      </w:r>
    </w:p>
    <w:p w:rsidR="003066E2" w:rsidRDefault="003066E2" w:rsidP="003066E2">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2</w:t>
      </w:r>
      <w:r w:rsidR="00AF0787">
        <w:rPr>
          <w:rFonts w:ascii="Book Antiqua" w:eastAsia="宋体" w:hAnsi="Book Antiqua" w:cs="宋体" w:hint="eastAsia"/>
          <w:sz w:val="24"/>
          <w:szCs w:val="24"/>
          <w:lang w:eastAsia="zh-CN"/>
        </w:rPr>
        <w:t>7</w:t>
      </w:r>
      <w:r w:rsidRPr="00EB00D9">
        <w:rPr>
          <w:rFonts w:ascii="Book Antiqua" w:eastAsia="宋体" w:hAnsi="Book Antiqua" w:cs="宋体"/>
          <w:sz w:val="24"/>
          <w:szCs w:val="24"/>
          <w:lang w:eastAsia="zh-CN"/>
        </w:rPr>
        <w:t> </w:t>
      </w:r>
      <w:r w:rsidRPr="00EB00D9">
        <w:rPr>
          <w:rFonts w:ascii="Book Antiqua" w:eastAsia="宋体" w:hAnsi="Book Antiqua" w:cs="宋体"/>
          <w:b/>
          <w:bCs/>
          <w:sz w:val="24"/>
          <w:szCs w:val="24"/>
          <w:lang w:eastAsia="zh-CN"/>
        </w:rPr>
        <w:t>Yang CS</w:t>
      </w:r>
      <w:r w:rsidRPr="00EB00D9">
        <w:rPr>
          <w:rFonts w:ascii="Book Antiqua" w:eastAsia="宋体" w:hAnsi="Book Antiqua" w:cs="宋体"/>
          <w:sz w:val="24"/>
          <w:szCs w:val="24"/>
          <w:lang w:eastAsia="zh-CN"/>
        </w:rPr>
        <w:t>, Yang L, Li T, Zhang DQ, Jin WN, Li MS, Su N, Zhangning N, Liu Q, Shao ZH, Yu C, Shi FD. Responsiveness to reduced dosage of rituximab in Chinese patients with neuromyelitis optica. </w:t>
      </w:r>
      <w:r w:rsidRPr="00EB00D9">
        <w:rPr>
          <w:rFonts w:ascii="Book Antiqua" w:eastAsia="宋体" w:hAnsi="Book Antiqua" w:cs="宋体"/>
          <w:i/>
          <w:iCs/>
          <w:sz w:val="24"/>
          <w:szCs w:val="24"/>
          <w:lang w:eastAsia="zh-CN"/>
        </w:rPr>
        <w:t>Neurology</w:t>
      </w:r>
      <w:r w:rsidRPr="00EB00D9">
        <w:rPr>
          <w:rFonts w:ascii="Book Antiqua" w:eastAsia="宋体" w:hAnsi="Book Antiqua" w:cs="宋体"/>
          <w:sz w:val="24"/>
          <w:szCs w:val="24"/>
          <w:lang w:eastAsia="zh-CN"/>
        </w:rPr>
        <w:t> 2013; </w:t>
      </w:r>
      <w:r w:rsidRPr="00EB00D9">
        <w:rPr>
          <w:rFonts w:ascii="Book Antiqua" w:eastAsia="宋体" w:hAnsi="Book Antiqua" w:cs="宋体"/>
          <w:b/>
          <w:bCs/>
          <w:sz w:val="24"/>
          <w:szCs w:val="24"/>
          <w:lang w:eastAsia="zh-CN"/>
        </w:rPr>
        <w:t>81</w:t>
      </w:r>
      <w:r w:rsidRPr="00EB00D9">
        <w:rPr>
          <w:rFonts w:ascii="Book Antiqua" w:eastAsia="宋体" w:hAnsi="Book Antiqua" w:cs="宋体"/>
          <w:sz w:val="24"/>
          <w:szCs w:val="24"/>
          <w:lang w:eastAsia="zh-CN"/>
        </w:rPr>
        <w:t>: 710-713 [PMID: 23884041 DOI</w:t>
      </w:r>
      <w:r w:rsidR="003527F0" w:rsidRPr="00EB00D9">
        <w:rPr>
          <w:rFonts w:ascii="Book Antiqua" w:eastAsia="宋体" w:hAnsi="Book Antiqua" w:cs="宋体"/>
          <w:sz w:val="24"/>
          <w:szCs w:val="24"/>
          <w:lang w:eastAsia="zh-CN"/>
        </w:rPr>
        <w:t>: 10.1212/WNL.0b013e3182a1aac7</w:t>
      </w:r>
      <w:r w:rsidRPr="00EB00D9">
        <w:rPr>
          <w:rFonts w:ascii="Book Antiqua" w:eastAsia="宋体" w:hAnsi="Book Antiqua" w:cs="宋体"/>
          <w:sz w:val="24"/>
          <w:szCs w:val="24"/>
          <w:lang w:eastAsia="zh-CN"/>
        </w:rPr>
        <w:t>]</w:t>
      </w:r>
    </w:p>
    <w:p w:rsidR="00AF0787" w:rsidRPr="00EB00D9" w:rsidRDefault="00AF0787" w:rsidP="00AF0787">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2</w:t>
      </w:r>
      <w:r>
        <w:rPr>
          <w:rFonts w:ascii="Book Antiqua" w:eastAsia="宋体" w:hAnsi="Book Antiqua" w:cs="宋体" w:hint="eastAsia"/>
          <w:sz w:val="24"/>
          <w:szCs w:val="24"/>
          <w:lang w:eastAsia="zh-CN"/>
        </w:rPr>
        <w:t>8</w:t>
      </w:r>
      <w:r w:rsidRPr="00EB00D9">
        <w:rPr>
          <w:rFonts w:ascii="Book Antiqua" w:eastAsia="宋体" w:hAnsi="Book Antiqua" w:cs="宋体"/>
          <w:sz w:val="24"/>
          <w:szCs w:val="24"/>
          <w:lang w:eastAsia="zh-CN"/>
        </w:rPr>
        <w:t> </w:t>
      </w:r>
      <w:r w:rsidRPr="00EB00D9">
        <w:rPr>
          <w:rFonts w:ascii="Book Antiqua" w:eastAsia="宋体" w:hAnsi="Book Antiqua" w:cs="宋体"/>
          <w:b/>
          <w:bCs/>
          <w:sz w:val="24"/>
          <w:szCs w:val="24"/>
          <w:lang w:eastAsia="zh-CN"/>
        </w:rPr>
        <w:t>Gredler V</w:t>
      </w:r>
      <w:r w:rsidRPr="00EB00D9">
        <w:rPr>
          <w:rFonts w:ascii="Book Antiqua" w:eastAsia="宋体" w:hAnsi="Book Antiqua" w:cs="宋体"/>
          <w:sz w:val="24"/>
          <w:szCs w:val="24"/>
          <w:lang w:eastAsia="zh-CN"/>
        </w:rPr>
        <w:t>, Mader S, Schanda K, Hegen H, Di Pauli F, Kuenz B, Deisenhammer F, Berger T, Reindl M, Lutterotti A. Clinical and immunological follow-up of B-cell depleting therapy in CNS demyelinating diseases. </w:t>
      </w:r>
      <w:r w:rsidRPr="00EB00D9">
        <w:rPr>
          <w:rFonts w:ascii="Book Antiqua" w:eastAsia="宋体" w:hAnsi="Book Antiqua" w:cs="宋体"/>
          <w:i/>
          <w:iCs/>
          <w:sz w:val="24"/>
          <w:szCs w:val="24"/>
          <w:lang w:eastAsia="zh-CN"/>
        </w:rPr>
        <w:t>J Neurol Sci</w:t>
      </w:r>
      <w:r w:rsidRPr="00EB00D9">
        <w:rPr>
          <w:rFonts w:ascii="Book Antiqua" w:eastAsia="宋体" w:hAnsi="Book Antiqua" w:cs="宋体"/>
          <w:sz w:val="24"/>
          <w:szCs w:val="24"/>
          <w:lang w:eastAsia="zh-CN"/>
        </w:rPr>
        <w:t> 2013; </w:t>
      </w:r>
      <w:r w:rsidRPr="00EB00D9">
        <w:rPr>
          <w:rFonts w:ascii="Book Antiqua" w:eastAsia="宋体" w:hAnsi="Book Antiqua" w:cs="宋体"/>
          <w:b/>
          <w:bCs/>
          <w:sz w:val="24"/>
          <w:szCs w:val="24"/>
          <w:lang w:eastAsia="zh-CN"/>
        </w:rPr>
        <w:t>328</w:t>
      </w:r>
      <w:r w:rsidRPr="00EB00D9">
        <w:rPr>
          <w:rFonts w:ascii="Book Antiqua" w:eastAsia="宋体" w:hAnsi="Book Antiqua" w:cs="宋体"/>
          <w:sz w:val="24"/>
          <w:szCs w:val="24"/>
          <w:lang w:eastAsia="zh-CN"/>
        </w:rPr>
        <w:t>: 77-82 [PMID: 23522498 DOI: 10.1016/j.jns.2013.02.024]</w:t>
      </w:r>
    </w:p>
    <w:p w:rsidR="003066E2" w:rsidRPr="00EB00D9" w:rsidRDefault="003066E2" w:rsidP="003066E2">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29 </w:t>
      </w:r>
      <w:r w:rsidRPr="00EB00D9">
        <w:rPr>
          <w:rFonts w:ascii="Book Antiqua" w:eastAsia="宋体" w:hAnsi="Book Antiqua" w:cs="宋体"/>
          <w:b/>
          <w:bCs/>
          <w:sz w:val="24"/>
          <w:szCs w:val="24"/>
          <w:lang w:eastAsia="zh-CN"/>
        </w:rPr>
        <w:t>Mealy MA</w:t>
      </w:r>
      <w:r w:rsidRPr="00EB00D9">
        <w:rPr>
          <w:rFonts w:ascii="Book Antiqua" w:eastAsia="宋体" w:hAnsi="Book Antiqua" w:cs="宋体"/>
          <w:sz w:val="24"/>
          <w:szCs w:val="24"/>
          <w:lang w:eastAsia="zh-CN"/>
        </w:rPr>
        <w:t>, Wingerchuk DM, Palace J, Greenberg BM, Levy M. Comparison of relapse and treatment failure rates among patients with neuromyelitis optica: multicenter study of treatment efficacy. </w:t>
      </w:r>
      <w:r w:rsidRPr="00EB00D9">
        <w:rPr>
          <w:rFonts w:ascii="Book Antiqua" w:eastAsia="宋体" w:hAnsi="Book Antiqua" w:cs="宋体"/>
          <w:i/>
          <w:iCs/>
          <w:sz w:val="24"/>
          <w:szCs w:val="24"/>
          <w:lang w:eastAsia="zh-CN"/>
        </w:rPr>
        <w:t>JAMA Neurol</w:t>
      </w:r>
      <w:r w:rsidRPr="00EB00D9">
        <w:rPr>
          <w:rFonts w:ascii="Book Antiqua" w:eastAsia="宋体" w:hAnsi="Book Antiqua" w:cs="宋体"/>
          <w:sz w:val="24"/>
          <w:szCs w:val="24"/>
          <w:lang w:eastAsia="zh-CN"/>
        </w:rPr>
        <w:t> 2014; </w:t>
      </w:r>
      <w:r w:rsidRPr="00EB00D9">
        <w:rPr>
          <w:rFonts w:ascii="Book Antiqua" w:eastAsia="宋体" w:hAnsi="Book Antiqua" w:cs="宋体"/>
          <w:b/>
          <w:bCs/>
          <w:sz w:val="24"/>
          <w:szCs w:val="24"/>
          <w:lang w:eastAsia="zh-CN"/>
        </w:rPr>
        <w:t>71</w:t>
      </w:r>
      <w:r w:rsidRPr="00EB00D9">
        <w:rPr>
          <w:rFonts w:ascii="Book Antiqua" w:eastAsia="宋体" w:hAnsi="Book Antiqua" w:cs="宋体"/>
          <w:sz w:val="24"/>
          <w:szCs w:val="24"/>
          <w:lang w:eastAsia="zh-CN"/>
        </w:rPr>
        <w:t>: 324-330 [PMID: 24445513 DOI</w:t>
      </w:r>
      <w:r w:rsidR="003527F0" w:rsidRPr="00EB00D9">
        <w:rPr>
          <w:rFonts w:ascii="Book Antiqua" w:eastAsia="宋体" w:hAnsi="Book Antiqua" w:cs="宋体"/>
          <w:sz w:val="24"/>
          <w:szCs w:val="24"/>
          <w:lang w:eastAsia="zh-CN"/>
        </w:rPr>
        <w:t>: 10.1001/jamaneurol.2013.5699</w:t>
      </w:r>
      <w:r w:rsidRPr="00EB00D9">
        <w:rPr>
          <w:rFonts w:ascii="Book Antiqua" w:eastAsia="宋体" w:hAnsi="Book Antiqua" w:cs="宋体"/>
          <w:sz w:val="24"/>
          <w:szCs w:val="24"/>
          <w:lang w:eastAsia="zh-CN"/>
        </w:rPr>
        <w:t>]</w:t>
      </w:r>
    </w:p>
    <w:p w:rsidR="003066E2" w:rsidRPr="00EB00D9" w:rsidRDefault="003066E2" w:rsidP="003066E2">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30 </w:t>
      </w:r>
      <w:r w:rsidRPr="00EB00D9">
        <w:rPr>
          <w:rFonts w:ascii="Book Antiqua" w:eastAsia="宋体" w:hAnsi="Book Antiqua" w:cs="宋体"/>
          <w:b/>
          <w:bCs/>
          <w:sz w:val="24"/>
          <w:szCs w:val="24"/>
          <w:lang w:eastAsia="zh-CN"/>
        </w:rPr>
        <w:t>Pellkofer HL</w:t>
      </w:r>
      <w:r w:rsidRPr="00EB00D9">
        <w:rPr>
          <w:rFonts w:ascii="Book Antiqua" w:eastAsia="宋体" w:hAnsi="Book Antiqua" w:cs="宋体"/>
          <w:sz w:val="24"/>
          <w:szCs w:val="24"/>
          <w:lang w:eastAsia="zh-CN"/>
        </w:rPr>
        <w:t>, Krumbholz M, Berthele A, Hemmer B, Gerdes LA, Havla J, Bittner R, Canis M, Meinl E, Hohlfeld R, Kuempfel T. Long-term follow-up of patients with neuromyelitis optica after repeated therapy with rituximab. </w:t>
      </w:r>
      <w:r w:rsidRPr="00EB00D9">
        <w:rPr>
          <w:rFonts w:ascii="Book Antiqua" w:eastAsia="宋体" w:hAnsi="Book Antiqua" w:cs="宋体"/>
          <w:i/>
          <w:iCs/>
          <w:sz w:val="24"/>
          <w:szCs w:val="24"/>
          <w:lang w:eastAsia="zh-CN"/>
        </w:rPr>
        <w:t>Neurology</w:t>
      </w:r>
      <w:r w:rsidRPr="00EB00D9">
        <w:rPr>
          <w:rFonts w:ascii="Book Antiqua" w:eastAsia="宋体" w:hAnsi="Book Antiqua" w:cs="宋体"/>
          <w:sz w:val="24"/>
          <w:szCs w:val="24"/>
          <w:lang w:eastAsia="zh-CN"/>
        </w:rPr>
        <w:t> 2011; </w:t>
      </w:r>
      <w:r w:rsidRPr="00EB00D9">
        <w:rPr>
          <w:rFonts w:ascii="Book Antiqua" w:eastAsia="宋体" w:hAnsi="Book Antiqua" w:cs="宋体"/>
          <w:b/>
          <w:bCs/>
          <w:sz w:val="24"/>
          <w:szCs w:val="24"/>
          <w:lang w:eastAsia="zh-CN"/>
        </w:rPr>
        <w:t>76</w:t>
      </w:r>
      <w:r w:rsidRPr="00EB00D9">
        <w:rPr>
          <w:rFonts w:ascii="Book Antiqua" w:eastAsia="宋体" w:hAnsi="Book Antiqua" w:cs="宋体"/>
          <w:sz w:val="24"/>
          <w:szCs w:val="24"/>
          <w:lang w:eastAsia="zh-CN"/>
        </w:rPr>
        <w:t>: 1310-1315 [PMID: 21482945 DOI: 10.1212/WNL.0b013e</w:t>
      </w:r>
      <w:r w:rsidR="003527F0" w:rsidRPr="00EB00D9">
        <w:rPr>
          <w:rFonts w:ascii="Book Antiqua" w:eastAsia="宋体" w:hAnsi="Book Antiqua" w:cs="宋体"/>
          <w:sz w:val="24"/>
          <w:szCs w:val="24"/>
          <w:lang w:eastAsia="zh-CN"/>
        </w:rPr>
        <w:t>3182152881</w:t>
      </w:r>
      <w:r w:rsidRPr="00EB00D9">
        <w:rPr>
          <w:rFonts w:ascii="Book Antiqua" w:eastAsia="宋体" w:hAnsi="Book Antiqua" w:cs="宋体"/>
          <w:sz w:val="24"/>
          <w:szCs w:val="24"/>
          <w:lang w:eastAsia="zh-CN"/>
        </w:rPr>
        <w:t>]</w:t>
      </w:r>
    </w:p>
    <w:p w:rsidR="003066E2" w:rsidRPr="00EB00D9" w:rsidRDefault="003066E2" w:rsidP="003066E2">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31 </w:t>
      </w:r>
      <w:r w:rsidRPr="00EB00D9">
        <w:rPr>
          <w:rFonts w:ascii="Book Antiqua" w:eastAsia="宋体" w:hAnsi="Book Antiqua" w:cs="宋体"/>
          <w:b/>
          <w:bCs/>
          <w:sz w:val="24"/>
          <w:szCs w:val="24"/>
          <w:lang w:eastAsia="zh-CN"/>
        </w:rPr>
        <w:t>Bomprezzi R</w:t>
      </w:r>
      <w:r w:rsidRPr="00EB00D9">
        <w:rPr>
          <w:rFonts w:ascii="Book Antiqua" w:eastAsia="宋体" w:hAnsi="Book Antiqua" w:cs="宋体"/>
          <w:sz w:val="24"/>
          <w:szCs w:val="24"/>
          <w:lang w:eastAsia="zh-CN"/>
        </w:rPr>
        <w:t>, Postevka E, Campagnolo D, Vollmer TL. A review of cases of neuromyelitis optica. </w:t>
      </w:r>
      <w:r w:rsidRPr="00EB00D9">
        <w:rPr>
          <w:rFonts w:ascii="Book Antiqua" w:eastAsia="宋体" w:hAnsi="Book Antiqua" w:cs="宋体"/>
          <w:i/>
          <w:iCs/>
          <w:sz w:val="24"/>
          <w:szCs w:val="24"/>
          <w:lang w:eastAsia="zh-CN"/>
        </w:rPr>
        <w:t>Neurologist</w:t>
      </w:r>
      <w:r w:rsidRPr="00EB00D9">
        <w:rPr>
          <w:rFonts w:ascii="Book Antiqua" w:eastAsia="宋体" w:hAnsi="Book Antiqua" w:cs="宋体"/>
          <w:sz w:val="24"/>
          <w:szCs w:val="24"/>
          <w:lang w:eastAsia="zh-CN"/>
        </w:rPr>
        <w:t> 2011; </w:t>
      </w:r>
      <w:r w:rsidRPr="00EB00D9">
        <w:rPr>
          <w:rFonts w:ascii="Book Antiqua" w:eastAsia="宋体" w:hAnsi="Book Antiqua" w:cs="宋体"/>
          <w:b/>
          <w:bCs/>
          <w:sz w:val="24"/>
          <w:szCs w:val="24"/>
          <w:lang w:eastAsia="zh-CN"/>
        </w:rPr>
        <w:t>17</w:t>
      </w:r>
      <w:r w:rsidRPr="00EB00D9">
        <w:rPr>
          <w:rFonts w:ascii="Book Antiqua" w:eastAsia="宋体" w:hAnsi="Book Antiqua" w:cs="宋体"/>
          <w:sz w:val="24"/>
          <w:szCs w:val="24"/>
          <w:lang w:eastAsia="zh-CN"/>
        </w:rPr>
        <w:t>: 98-104 [PMID: 21364364 DOI</w:t>
      </w:r>
      <w:r w:rsidR="003527F0" w:rsidRPr="00EB00D9">
        <w:rPr>
          <w:rFonts w:ascii="Book Antiqua" w:eastAsia="宋体" w:hAnsi="Book Antiqua" w:cs="宋体"/>
          <w:sz w:val="24"/>
          <w:szCs w:val="24"/>
          <w:lang w:eastAsia="zh-CN"/>
        </w:rPr>
        <w:t>: 10.1097/NRL.0b013e31820a9d35</w:t>
      </w:r>
      <w:r w:rsidRPr="00EB00D9">
        <w:rPr>
          <w:rFonts w:ascii="Book Antiqua" w:eastAsia="宋体" w:hAnsi="Book Antiqua" w:cs="宋体"/>
          <w:sz w:val="24"/>
          <w:szCs w:val="24"/>
          <w:lang w:eastAsia="zh-CN"/>
        </w:rPr>
        <w:t>]</w:t>
      </w:r>
    </w:p>
    <w:p w:rsidR="003066E2" w:rsidRPr="00EB00D9" w:rsidRDefault="003066E2" w:rsidP="003066E2">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32 </w:t>
      </w:r>
      <w:r w:rsidRPr="00EB00D9">
        <w:rPr>
          <w:rFonts w:ascii="Book Antiqua" w:eastAsia="宋体" w:hAnsi="Book Antiqua" w:cs="宋体"/>
          <w:b/>
          <w:bCs/>
          <w:sz w:val="24"/>
          <w:szCs w:val="24"/>
          <w:lang w:eastAsia="zh-CN"/>
        </w:rPr>
        <w:t>Lindsey JW</w:t>
      </w:r>
      <w:r w:rsidRPr="00EB00D9">
        <w:rPr>
          <w:rFonts w:ascii="Book Antiqua" w:eastAsia="宋体" w:hAnsi="Book Antiqua" w:cs="宋体"/>
          <w:sz w:val="24"/>
          <w:szCs w:val="24"/>
          <w:lang w:eastAsia="zh-CN"/>
        </w:rPr>
        <w:t>, Meulmester KM, Brod SA, Nelson F, Wolinsky JS. Variable results after rituximab in neuromyelitis optica. </w:t>
      </w:r>
      <w:r w:rsidRPr="00EB00D9">
        <w:rPr>
          <w:rFonts w:ascii="Book Antiqua" w:eastAsia="宋体" w:hAnsi="Book Antiqua" w:cs="宋体"/>
          <w:i/>
          <w:iCs/>
          <w:sz w:val="24"/>
          <w:szCs w:val="24"/>
          <w:lang w:eastAsia="zh-CN"/>
        </w:rPr>
        <w:t>J Neurol Sci</w:t>
      </w:r>
      <w:r w:rsidRPr="00EB00D9">
        <w:rPr>
          <w:rFonts w:ascii="Book Antiqua" w:eastAsia="宋体" w:hAnsi="Book Antiqua" w:cs="宋体"/>
          <w:sz w:val="24"/>
          <w:szCs w:val="24"/>
          <w:lang w:eastAsia="zh-CN"/>
        </w:rPr>
        <w:t> 2012; </w:t>
      </w:r>
      <w:r w:rsidRPr="00EB00D9">
        <w:rPr>
          <w:rFonts w:ascii="Book Antiqua" w:eastAsia="宋体" w:hAnsi="Book Antiqua" w:cs="宋体"/>
          <w:b/>
          <w:bCs/>
          <w:sz w:val="24"/>
          <w:szCs w:val="24"/>
          <w:lang w:eastAsia="zh-CN"/>
        </w:rPr>
        <w:t>317</w:t>
      </w:r>
      <w:r w:rsidRPr="00EB00D9">
        <w:rPr>
          <w:rFonts w:ascii="Book Antiqua" w:eastAsia="宋体" w:hAnsi="Book Antiqua" w:cs="宋体"/>
          <w:sz w:val="24"/>
          <w:szCs w:val="24"/>
          <w:lang w:eastAsia="zh-CN"/>
        </w:rPr>
        <w:t xml:space="preserve">: 103-105 [PMID: 22405926 </w:t>
      </w:r>
      <w:r w:rsidR="003527F0" w:rsidRPr="00EB00D9">
        <w:rPr>
          <w:rFonts w:ascii="Book Antiqua" w:eastAsia="宋体" w:hAnsi="Book Antiqua" w:cs="宋体"/>
          <w:sz w:val="24"/>
          <w:szCs w:val="24"/>
          <w:lang w:eastAsia="zh-CN"/>
        </w:rPr>
        <w:t>DOI: 10.1016/j.jns.2012.02.017</w:t>
      </w:r>
      <w:r w:rsidRPr="00EB00D9">
        <w:rPr>
          <w:rFonts w:ascii="Book Antiqua" w:eastAsia="宋体" w:hAnsi="Book Antiqua" w:cs="宋体"/>
          <w:sz w:val="24"/>
          <w:szCs w:val="24"/>
          <w:lang w:eastAsia="zh-CN"/>
        </w:rPr>
        <w:t>]</w:t>
      </w:r>
    </w:p>
    <w:p w:rsidR="003066E2" w:rsidRPr="00EB00D9" w:rsidRDefault="003066E2" w:rsidP="003066E2">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33 </w:t>
      </w:r>
      <w:r w:rsidRPr="00EB00D9">
        <w:rPr>
          <w:rFonts w:ascii="Book Antiqua" w:eastAsia="宋体" w:hAnsi="Book Antiqua" w:cs="宋体"/>
          <w:b/>
          <w:bCs/>
          <w:sz w:val="24"/>
          <w:szCs w:val="24"/>
          <w:lang w:eastAsia="zh-CN"/>
        </w:rPr>
        <w:t>Kim SH</w:t>
      </w:r>
      <w:r w:rsidRPr="00EB00D9">
        <w:rPr>
          <w:rFonts w:ascii="Book Antiqua" w:eastAsia="宋体" w:hAnsi="Book Antiqua" w:cs="宋体"/>
          <w:sz w:val="24"/>
          <w:szCs w:val="24"/>
          <w:lang w:eastAsia="zh-CN"/>
        </w:rPr>
        <w:t>, Kim HJ. Lack of response to rituximab therapy in patients with neuromyelitis optica: true non-responders or insufficient treatment? </w:t>
      </w:r>
      <w:r w:rsidRPr="00EB00D9">
        <w:rPr>
          <w:rFonts w:ascii="Book Antiqua" w:eastAsia="宋体" w:hAnsi="Book Antiqua" w:cs="宋体"/>
          <w:i/>
          <w:iCs/>
          <w:sz w:val="24"/>
          <w:szCs w:val="24"/>
          <w:lang w:eastAsia="zh-CN"/>
        </w:rPr>
        <w:t>J Neurol Sci</w:t>
      </w:r>
      <w:r w:rsidRPr="00EB00D9">
        <w:rPr>
          <w:rFonts w:ascii="Book Antiqua" w:eastAsia="宋体" w:hAnsi="Book Antiqua" w:cs="宋体"/>
          <w:sz w:val="24"/>
          <w:szCs w:val="24"/>
          <w:lang w:eastAsia="zh-CN"/>
        </w:rPr>
        <w:t> 2012; </w:t>
      </w:r>
      <w:r w:rsidRPr="00EB00D9">
        <w:rPr>
          <w:rFonts w:ascii="Book Antiqua" w:eastAsia="宋体" w:hAnsi="Book Antiqua" w:cs="宋体"/>
          <w:b/>
          <w:bCs/>
          <w:sz w:val="24"/>
          <w:szCs w:val="24"/>
          <w:lang w:eastAsia="zh-CN"/>
        </w:rPr>
        <w:t>319</w:t>
      </w:r>
      <w:r w:rsidRPr="00EB00D9">
        <w:rPr>
          <w:rFonts w:ascii="Book Antiqua" w:eastAsia="宋体" w:hAnsi="Book Antiqua" w:cs="宋体"/>
          <w:sz w:val="24"/>
          <w:szCs w:val="24"/>
          <w:lang w:eastAsia="zh-CN"/>
        </w:rPr>
        <w:t>: 171; author reply 172 [PMID: 22633442]</w:t>
      </w:r>
    </w:p>
    <w:p w:rsidR="003066E2" w:rsidRPr="00EB00D9" w:rsidRDefault="003527F0" w:rsidP="003066E2">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 xml:space="preserve">34 </w:t>
      </w:r>
      <w:r w:rsidR="003066E2" w:rsidRPr="00EB00D9">
        <w:rPr>
          <w:rFonts w:ascii="Book Antiqua" w:eastAsia="宋体" w:hAnsi="Book Antiqua" w:cs="宋体"/>
          <w:b/>
          <w:sz w:val="24"/>
          <w:szCs w:val="24"/>
          <w:lang w:eastAsia="zh-CN"/>
        </w:rPr>
        <w:t>Perumal J,</w:t>
      </w:r>
      <w:r w:rsidR="003066E2" w:rsidRPr="00EB00D9">
        <w:rPr>
          <w:rFonts w:ascii="Book Antiqua" w:eastAsia="宋体" w:hAnsi="Book Antiqua" w:cs="宋体"/>
          <w:sz w:val="24"/>
          <w:szCs w:val="24"/>
          <w:lang w:eastAsia="zh-CN"/>
        </w:rPr>
        <w:t xml:space="preserve"> Kister I, Howard J, Herbert J. Disease exacerbation after Rituximab induction in Neuromyelitis Optica. </w:t>
      </w:r>
      <w:r w:rsidR="003066E2" w:rsidRPr="00EB00D9">
        <w:rPr>
          <w:rFonts w:ascii="Book Antiqua" w:eastAsia="宋体" w:hAnsi="Book Antiqua" w:cs="宋体"/>
          <w:i/>
          <w:sz w:val="24"/>
          <w:szCs w:val="24"/>
          <w:lang w:eastAsia="zh-CN"/>
        </w:rPr>
        <w:t>Neurol Neuroimmunol Neuroinflamm</w:t>
      </w:r>
      <w:r w:rsidR="003066E2" w:rsidRPr="00EB00D9">
        <w:rPr>
          <w:rFonts w:ascii="Book Antiqua" w:eastAsia="宋体" w:hAnsi="Book Antiqua" w:cs="宋体"/>
          <w:sz w:val="24"/>
          <w:szCs w:val="24"/>
          <w:lang w:eastAsia="zh-CN"/>
        </w:rPr>
        <w:t xml:space="preserve"> 2014; In press</w:t>
      </w:r>
    </w:p>
    <w:p w:rsidR="003066E2" w:rsidRPr="00EB00D9" w:rsidRDefault="003066E2" w:rsidP="003066E2">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35 </w:t>
      </w:r>
      <w:r w:rsidRPr="00EB00D9">
        <w:rPr>
          <w:rFonts w:ascii="Book Antiqua" w:eastAsia="宋体" w:hAnsi="Book Antiqua" w:cs="宋体"/>
          <w:b/>
          <w:bCs/>
          <w:sz w:val="24"/>
          <w:szCs w:val="24"/>
          <w:lang w:eastAsia="zh-CN"/>
        </w:rPr>
        <w:t>Nakashima I</w:t>
      </w:r>
      <w:r w:rsidRPr="00EB00D9">
        <w:rPr>
          <w:rFonts w:ascii="Book Antiqua" w:eastAsia="宋体" w:hAnsi="Book Antiqua" w:cs="宋体"/>
          <w:sz w:val="24"/>
          <w:szCs w:val="24"/>
          <w:lang w:eastAsia="zh-CN"/>
        </w:rPr>
        <w:t>, Takahashi T, Cree BA, Kim HJ, Suzuki C, Genain CP, Vincent T, Fujihara K, Itoyama Y, Bar-Or A. Transient increases in anti-aquaporin-4 antibody titers following rituximab treatment in neuromyelitis optica, in association with elevated serum BAFF levels. </w:t>
      </w:r>
      <w:r w:rsidRPr="00EB00D9">
        <w:rPr>
          <w:rFonts w:ascii="Book Antiqua" w:eastAsia="宋体" w:hAnsi="Book Antiqua" w:cs="宋体"/>
          <w:i/>
          <w:iCs/>
          <w:sz w:val="24"/>
          <w:szCs w:val="24"/>
          <w:lang w:eastAsia="zh-CN"/>
        </w:rPr>
        <w:t>J Clin Neurosci</w:t>
      </w:r>
      <w:r w:rsidRPr="00EB00D9">
        <w:rPr>
          <w:rFonts w:ascii="Book Antiqua" w:eastAsia="宋体" w:hAnsi="Book Antiqua" w:cs="宋体"/>
          <w:sz w:val="24"/>
          <w:szCs w:val="24"/>
          <w:lang w:eastAsia="zh-CN"/>
        </w:rPr>
        <w:t> 2011; </w:t>
      </w:r>
      <w:r w:rsidRPr="00EB00D9">
        <w:rPr>
          <w:rFonts w:ascii="Book Antiqua" w:eastAsia="宋体" w:hAnsi="Book Antiqua" w:cs="宋体"/>
          <w:b/>
          <w:bCs/>
          <w:sz w:val="24"/>
          <w:szCs w:val="24"/>
          <w:lang w:eastAsia="zh-CN"/>
        </w:rPr>
        <w:t>18</w:t>
      </w:r>
      <w:r w:rsidRPr="00EB00D9">
        <w:rPr>
          <w:rFonts w:ascii="Book Antiqua" w:eastAsia="宋体" w:hAnsi="Book Antiqua" w:cs="宋体"/>
          <w:sz w:val="24"/>
          <w:szCs w:val="24"/>
          <w:lang w:eastAsia="zh-CN"/>
        </w:rPr>
        <w:t>: 997-998 [PMID: 21565508 D</w:t>
      </w:r>
      <w:r w:rsidR="003527F0" w:rsidRPr="00EB00D9">
        <w:rPr>
          <w:rFonts w:ascii="Book Antiqua" w:eastAsia="宋体" w:hAnsi="Book Antiqua" w:cs="宋体"/>
          <w:sz w:val="24"/>
          <w:szCs w:val="24"/>
          <w:lang w:eastAsia="zh-CN"/>
        </w:rPr>
        <w:t>OI: 10.1016/j.jocn.2010.12.011</w:t>
      </w:r>
      <w:r w:rsidRPr="00EB00D9">
        <w:rPr>
          <w:rFonts w:ascii="Book Antiqua" w:eastAsia="宋体" w:hAnsi="Book Antiqua" w:cs="宋体"/>
          <w:sz w:val="24"/>
          <w:szCs w:val="24"/>
          <w:lang w:eastAsia="zh-CN"/>
        </w:rPr>
        <w:t>]</w:t>
      </w:r>
    </w:p>
    <w:p w:rsidR="003066E2" w:rsidRDefault="003066E2" w:rsidP="003066E2">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36 </w:t>
      </w:r>
      <w:r w:rsidRPr="00EB00D9">
        <w:rPr>
          <w:rFonts w:ascii="Book Antiqua" w:eastAsia="宋体" w:hAnsi="Book Antiqua" w:cs="宋体"/>
          <w:b/>
          <w:bCs/>
          <w:sz w:val="24"/>
          <w:szCs w:val="24"/>
          <w:lang w:eastAsia="zh-CN"/>
        </w:rPr>
        <w:t>Capobianco M</w:t>
      </w:r>
      <w:r w:rsidRPr="00EB00D9">
        <w:rPr>
          <w:rFonts w:ascii="Book Antiqua" w:eastAsia="宋体" w:hAnsi="Book Antiqua" w:cs="宋体"/>
          <w:sz w:val="24"/>
          <w:szCs w:val="24"/>
          <w:lang w:eastAsia="zh-CN"/>
        </w:rPr>
        <w:t>, Malucchi S, di Sapio A, Gilli F, Sala A, Bottero R, Marnetto F, Doriguzzi Bozzo C, Bertolotto A. Variable responses to rituximab treatment in neuromyelitis optica (Devic's disease). </w:t>
      </w:r>
      <w:r w:rsidRPr="00EB00D9">
        <w:rPr>
          <w:rFonts w:ascii="Book Antiqua" w:eastAsia="宋体" w:hAnsi="Book Antiqua" w:cs="宋体"/>
          <w:i/>
          <w:iCs/>
          <w:sz w:val="24"/>
          <w:szCs w:val="24"/>
          <w:lang w:eastAsia="zh-CN"/>
        </w:rPr>
        <w:t>Neurol Sci</w:t>
      </w:r>
      <w:r w:rsidRPr="00EB00D9">
        <w:rPr>
          <w:rFonts w:ascii="Book Antiqua" w:eastAsia="宋体" w:hAnsi="Book Antiqua" w:cs="宋体"/>
          <w:sz w:val="24"/>
          <w:szCs w:val="24"/>
          <w:lang w:eastAsia="zh-CN"/>
        </w:rPr>
        <w:t> 2007; </w:t>
      </w:r>
      <w:r w:rsidRPr="00EB00D9">
        <w:rPr>
          <w:rFonts w:ascii="Book Antiqua" w:eastAsia="宋体" w:hAnsi="Book Antiqua" w:cs="宋体"/>
          <w:b/>
          <w:bCs/>
          <w:sz w:val="24"/>
          <w:szCs w:val="24"/>
          <w:lang w:eastAsia="zh-CN"/>
        </w:rPr>
        <w:t>28</w:t>
      </w:r>
      <w:r w:rsidRPr="00EB00D9">
        <w:rPr>
          <w:rFonts w:ascii="Book Antiqua" w:eastAsia="宋体" w:hAnsi="Book Antiqua" w:cs="宋体"/>
          <w:sz w:val="24"/>
          <w:szCs w:val="24"/>
          <w:lang w:eastAsia="zh-CN"/>
        </w:rPr>
        <w:t xml:space="preserve">: 209-211 [PMID: 17690854 </w:t>
      </w:r>
      <w:r w:rsidR="003527F0" w:rsidRPr="00EB00D9">
        <w:rPr>
          <w:rFonts w:ascii="Book Antiqua" w:eastAsia="宋体" w:hAnsi="Book Antiqua" w:cs="宋体"/>
          <w:sz w:val="24"/>
          <w:szCs w:val="24"/>
          <w:lang w:eastAsia="zh-CN"/>
        </w:rPr>
        <w:t>DOI: 10.1007/s10072-007-0823-z</w:t>
      </w:r>
      <w:r w:rsidRPr="00EB00D9">
        <w:rPr>
          <w:rFonts w:ascii="Book Antiqua" w:eastAsia="宋体" w:hAnsi="Book Antiqua" w:cs="宋体"/>
          <w:sz w:val="24"/>
          <w:szCs w:val="24"/>
          <w:lang w:eastAsia="zh-CN"/>
        </w:rPr>
        <w:t>]</w:t>
      </w:r>
    </w:p>
    <w:p w:rsidR="00AF0787" w:rsidRPr="00EB00D9" w:rsidRDefault="00AF0787" w:rsidP="00AF0787">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37</w:t>
      </w:r>
      <w:r w:rsidRPr="00EB00D9">
        <w:rPr>
          <w:rFonts w:ascii="Book Antiqua" w:eastAsia="宋体" w:hAnsi="Book Antiqua" w:cs="宋体"/>
          <w:sz w:val="24"/>
          <w:szCs w:val="24"/>
          <w:lang w:eastAsia="zh-CN"/>
        </w:rPr>
        <w:t> </w:t>
      </w:r>
      <w:r w:rsidRPr="00EB00D9">
        <w:rPr>
          <w:rFonts w:ascii="Book Antiqua" w:eastAsia="宋体" w:hAnsi="Book Antiqua" w:cs="宋体"/>
          <w:b/>
          <w:bCs/>
          <w:sz w:val="24"/>
          <w:szCs w:val="24"/>
          <w:lang w:eastAsia="zh-CN"/>
        </w:rPr>
        <w:t>Clifford DB</w:t>
      </w:r>
      <w:r w:rsidRPr="00EB00D9">
        <w:rPr>
          <w:rFonts w:ascii="Book Antiqua" w:eastAsia="宋体" w:hAnsi="Book Antiqua" w:cs="宋体"/>
          <w:sz w:val="24"/>
          <w:szCs w:val="24"/>
          <w:lang w:eastAsia="zh-CN"/>
        </w:rPr>
        <w:t>, Ances B, Costello C, Rosen-Schmidt S, Andersson M, Parks D, Perry A, Yerra R, Schmidt R, Alvarez E, Tyler KL. Rituximab-associated progressive multifocal leukoencephalopathy in rheumatoid arthritis. </w:t>
      </w:r>
      <w:r w:rsidRPr="00EB00D9">
        <w:rPr>
          <w:rFonts w:ascii="Book Antiqua" w:eastAsia="宋体" w:hAnsi="Book Antiqua" w:cs="宋体"/>
          <w:i/>
          <w:iCs/>
          <w:sz w:val="24"/>
          <w:szCs w:val="24"/>
          <w:lang w:eastAsia="zh-CN"/>
        </w:rPr>
        <w:t>Arch Neurol</w:t>
      </w:r>
      <w:r w:rsidRPr="00EB00D9">
        <w:rPr>
          <w:rFonts w:ascii="Book Antiqua" w:eastAsia="宋体" w:hAnsi="Book Antiqua" w:cs="宋体"/>
          <w:sz w:val="24"/>
          <w:szCs w:val="24"/>
          <w:lang w:eastAsia="zh-CN"/>
        </w:rPr>
        <w:t> 2011; </w:t>
      </w:r>
      <w:r w:rsidRPr="00EB00D9">
        <w:rPr>
          <w:rFonts w:ascii="Book Antiqua" w:eastAsia="宋体" w:hAnsi="Book Antiqua" w:cs="宋体"/>
          <w:b/>
          <w:bCs/>
          <w:sz w:val="24"/>
          <w:szCs w:val="24"/>
          <w:lang w:eastAsia="zh-CN"/>
        </w:rPr>
        <w:t>68</w:t>
      </w:r>
      <w:r w:rsidRPr="00EB00D9">
        <w:rPr>
          <w:rFonts w:ascii="Book Antiqua" w:eastAsia="宋体" w:hAnsi="Book Antiqua" w:cs="宋体"/>
          <w:sz w:val="24"/>
          <w:szCs w:val="24"/>
          <w:lang w:eastAsia="zh-CN"/>
        </w:rPr>
        <w:t>: 1156-1164 [PMID: 21555606 DOI: 10.1001/archneurol.2011.103]</w:t>
      </w:r>
    </w:p>
    <w:p w:rsidR="00AF0787" w:rsidRPr="00EB00D9" w:rsidRDefault="00AF0787" w:rsidP="00AF0787">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3</w:t>
      </w:r>
      <w:r w:rsidRPr="00EB00D9">
        <w:rPr>
          <w:rFonts w:ascii="Book Antiqua" w:eastAsia="宋体" w:hAnsi="Book Antiqua" w:cs="宋体"/>
          <w:sz w:val="24"/>
          <w:szCs w:val="24"/>
          <w:lang w:eastAsia="zh-CN"/>
        </w:rPr>
        <w:t xml:space="preserve">8 </w:t>
      </w:r>
      <w:r w:rsidRPr="00EB00D9">
        <w:rPr>
          <w:rFonts w:ascii="Book Antiqua" w:eastAsia="宋体" w:hAnsi="Book Antiqua" w:cs="宋体"/>
          <w:b/>
          <w:sz w:val="24"/>
          <w:szCs w:val="24"/>
          <w:lang w:eastAsia="zh-CN"/>
        </w:rPr>
        <w:t>Flanagan EP,</w:t>
      </w:r>
      <w:r w:rsidRPr="00EB00D9">
        <w:rPr>
          <w:rFonts w:ascii="Book Antiqua" w:eastAsia="宋体" w:hAnsi="Book Antiqua" w:cs="宋体"/>
          <w:sz w:val="24"/>
          <w:szCs w:val="24"/>
          <w:lang w:eastAsia="zh-CN"/>
        </w:rPr>
        <w:t xml:space="preserve"> Aksamit AJ, Kumar N, Morparia NP, Keegan BM, Weinshenker, BG. Simultaneous PML-IRIS and myelitis in a patient with neuromyelitis optica spectrum disorder. Neurology: Clinical Practice 3.5</w:t>
      </w:r>
      <w:r w:rsidRPr="00EB00D9">
        <w:rPr>
          <w:rFonts w:ascii="Book Antiqua" w:eastAsia="宋体" w:hAnsi="Book Antiqua" w:cs="宋体" w:hint="eastAsia"/>
          <w:sz w:val="24"/>
          <w:szCs w:val="24"/>
          <w:lang w:eastAsia="zh-CN"/>
        </w:rPr>
        <w:t xml:space="preserve">, </w:t>
      </w:r>
      <w:r w:rsidRPr="00EB00D9">
        <w:rPr>
          <w:rFonts w:ascii="Book Antiqua" w:eastAsia="宋体" w:hAnsi="Book Antiqua" w:cs="宋体"/>
          <w:sz w:val="24"/>
          <w:szCs w:val="24"/>
          <w:lang w:eastAsia="zh-CN"/>
        </w:rPr>
        <w:t>2013: 448-451</w:t>
      </w:r>
    </w:p>
    <w:p w:rsidR="00AF0787" w:rsidRPr="00EB00D9" w:rsidRDefault="00AF0787" w:rsidP="00AF0787">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39</w:t>
      </w:r>
      <w:r w:rsidRPr="00EB00D9">
        <w:rPr>
          <w:rFonts w:ascii="Book Antiqua" w:eastAsia="宋体" w:hAnsi="Book Antiqua" w:cs="宋体"/>
          <w:sz w:val="24"/>
          <w:szCs w:val="24"/>
          <w:lang w:eastAsia="zh-CN"/>
        </w:rPr>
        <w:t> </w:t>
      </w:r>
      <w:r w:rsidRPr="00EB00D9">
        <w:rPr>
          <w:rFonts w:ascii="Book Antiqua" w:eastAsia="宋体" w:hAnsi="Book Antiqua" w:cs="宋体"/>
          <w:b/>
          <w:bCs/>
          <w:sz w:val="24"/>
          <w:szCs w:val="24"/>
          <w:lang w:eastAsia="zh-CN"/>
        </w:rPr>
        <w:t>Jones JD</w:t>
      </w:r>
      <w:r w:rsidRPr="00EB00D9">
        <w:rPr>
          <w:rFonts w:ascii="Book Antiqua" w:eastAsia="宋体" w:hAnsi="Book Antiqua" w:cs="宋体"/>
          <w:sz w:val="24"/>
          <w:szCs w:val="24"/>
          <w:lang w:eastAsia="zh-CN"/>
        </w:rPr>
        <w:t>, Hamilton BJ, Rigby WF. Rituximab mediates loss of CD19 on B cells in the absence of cell death. </w:t>
      </w:r>
      <w:r w:rsidRPr="00EB00D9">
        <w:rPr>
          <w:rFonts w:ascii="Book Antiqua" w:eastAsia="宋体" w:hAnsi="Book Antiqua" w:cs="宋体"/>
          <w:i/>
          <w:iCs/>
          <w:sz w:val="24"/>
          <w:szCs w:val="24"/>
          <w:lang w:eastAsia="zh-CN"/>
        </w:rPr>
        <w:t>Arthritis Rheum</w:t>
      </w:r>
      <w:r w:rsidRPr="00EB00D9">
        <w:rPr>
          <w:rFonts w:ascii="Book Antiqua" w:eastAsia="宋体" w:hAnsi="Book Antiqua" w:cs="宋体"/>
          <w:sz w:val="24"/>
          <w:szCs w:val="24"/>
          <w:lang w:eastAsia="zh-CN"/>
        </w:rPr>
        <w:t> 2012; </w:t>
      </w:r>
      <w:r w:rsidRPr="00EB00D9">
        <w:rPr>
          <w:rFonts w:ascii="Book Antiqua" w:eastAsia="宋体" w:hAnsi="Book Antiqua" w:cs="宋体"/>
          <w:b/>
          <w:bCs/>
          <w:sz w:val="24"/>
          <w:szCs w:val="24"/>
          <w:lang w:eastAsia="zh-CN"/>
        </w:rPr>
        <w:t>64</w:t>
      </w:r>
      <w:r w:rsidRPr="00EB00D9">
        <w:rPr>
          <w:rFonts w:ascii="Book Antiqua" w:eastAsia="宋体" w:hAnsi="Book Antiqua" w:cs="宋体"/>
          <w:sz w:val="24"/>
          <w:szCs w:val="24"/>
          <w:lang w:eastAsia="zh-CN"/>
        </w:rPr>
        <w:t>: 3111-3118 [PMID: 22674374 DOI: 10.1002/art.34560]</w:t>
      </w:r>
    </w:p>
    <w:p w:rsidR="003066E2" w:rsidRPr="00EB00D9" w:rsidRDefault="00AF0787" w:rsidP="003066E2">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40</w:t>
      </w:r>
      <w:r w:rsidR="003066E2" w:rsidRPr="00EB00D9">
        <w:rPr>
          <w:rFonts w:ascii="Book Antiqua" w:eastAsia="宋体" w:hAnsi="Book Antiqua" w:cs="宋体"/>
          <w:sz w:val="24"/>
          <w:szCs w:val="24"/>
          <w:lang w:eastAsia="zh-CN"/>
        </w:rPr>
        <w:t> </w:t>
      </w:r>
      <w:r w:rsidR="003066E2" w:rsidRPr="00EB00D9">
        <w:rPr>
          <w:rFonts w:ascii="Book Antiqua" w:eastAsia="宋体" w:hAnsi="Book Antiqua" w:cs="宋体"/>
          <w:b/>
          <w:bCs/>
          <w:sz w:val="24"/>
          <w:szCs w:val="24"/>
          <w:lang w:eastAsia="zh-CN"/>
        </w:rPr>
        <w:t>Greenberg BM</w:t>
      </w:r>
      <w:r w:rsidR="003066E2" w:rsidRPr="00EB00D9">
        <w:rPr>
          <w:rFonts w:ascii="Book Antiqua" w:eastAsia="宋体" w:hAnsi="Book Antiqua" w:cs="宋体"/>
          <w:sz w:val="24"/>
          <w:szCs w:val="24"/>
          <w:lang w:eastAsia="zh-CN"/>
        </w:rPr>
        <w:t>, Graves D, Remington G, Hardeman P, Mann M, Karandikar N, Stuve O, Monson N, Frohman E. Rituximab dosing and monitoring strategies in neuromyelitis optica patients: creating strategies for therapeutic success. </w:t>
      </w:r>
      <w:r w:rsidR="003066E2" w:rsidRPr="00EB00D9">
        <w:rPr>
          <w:rFonts w:ascii="Book Antiqua" w:eastAsia="宋体" w:hAnsi="Book Antiqua" w:cs="宋体"/>
          <w:i/>
          <w:iCs/>
          <w:sz w:val="24"/>
          <w:szCs w:val="24"/>
          <w:lang w:eastAsia="zh-CN"/>
        </w:rPr>
        <w:t>Mult Scler</w:t>
      </w:r>
      <w:r w:rsidR="003066E2" w:rsidRPr="00EB00D9">
        <w:rPr>
          <w:rFonts w:ascii="Book Antiqua" w:eastAsia="宋体" w:hAnsi="Book Antiqua" w:cs="宋体"/>
          <w:sz w:val="24"/>
          <w:szCs w:val="24"/>
          <w:lang w:eastAsia="zh-CN"/>
        </w:rPr>
        <w:t> 2012; </w:t>
      </w:r>
      <w:r w:rsidR="003066E2" w:rsidRPr="00EB00D9">
        <w:rPr>
          <w:rFonts w:ascii="Book Antiqua" w:eastAsia="宋体" w:hAnsi="Book Antiqua" w:cs="宋体"/>
          <w:b/>
          <w:bCs/>
          <w:sz w:val="24"/>
          <w:szCs w:val="24"/>
          <w:lang w:eastAsia="zh-CN"/>
        </w:rPr>
        <w:t>18</w:t>
      </w:r>
      <w:r w:rsidR="003066E2" w:rsidRPr="00EB00D9">
        <w:rPr>
          <w:rFonts w:ascii="Book Antiqua" w:eastAsia="宋体" w:hAnsi="Book Antiqua" w:cs="宋体"/>
          <w:sz w:val="24"/>
          <w:szCs w:val="24"/>
          <w:lang w:eastAsia="zh-CN"/>
        </w:rPr>
        <w:t>: 1022-1026 [PMID: 22261118</w:t>
      </w:r>
      <w:r w:rsidR="003527F0" w:rsidRPr="00EB00D9">
        <w:rPr>
          <w:rFonts w:ascii="Book Antiqua" w:eastAsia="宋体" w:hAnsi="Book Antiqua" w:cs="宋体"/>
          <w:sz w:val="24"/>
          <w:szCs w:val="24"/>
          <w:lang w:eastAsia="zh-CN"/>
        </w:rPr>
        <w:t xml:space="preserve"> DOI: 10.1177/1352458511432896</w:t>
      </w:r>
      <w:r w:rsidR="003066E2" w:rsidRPr="00EB00D9">
        <w:rPr>
          <w:rFonts w:ascii="Book Antiqua" w:eastAsia="宋体" w:hAnsi="Book Antiqua" w:cs="宋体"/>
          <w:sz w:val="24"/>
          <w:szCs w:val="24"/>
          <w:lang w:eastAsia="zh-CN"/>
        </w:rPr>
        <w:t>]</w:t>
      </w:r>
    </w:p>
    <w:p w:rsidR="003066E2" w:rsidRPr="00EB00D9" w:rsidRDefault="00AF0787" w:rsidP="003066E2">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41</w:t>
      </w:r>
      <w:r w:rsidR="003066E2" w:rsidRPr="00EB00D9">
        <w:rPr>
          <w:rFonts w:ascii="Book Antiqua" w:eastAsia="宋体" w:hAnsi="Book Antiqua" w:cs="宋体"/>
          <w:sz w:val="24"/>
          <w:szCs w:val="24"/>
          <w:lang w:eastAsia="zh-CN"/>
        </w:rPr>
        <w:t> </w:t>
      </w:r>
      <w:r w:rsidR="003066E2" w:rsidRPr="00EB00D9">
        <w:rPr>
          <w:rFonts w:ascii="Book Antiqua" w:eastAsia="宋体" w:hAnsi="Book Antiqua" w:cs="宋体"/>
          <w:b/>
          <w:bCs/>
          <w:sz w:val="24"/>
          <w:szCs w:val="24"/>
          <w:lang w:eastAsia="zh-CN"/>
        </w:rPr>
        <w:t>Tran JQ</w:t>
      </w:r>
      <w:r w:rsidR="003066E2" w:rsidRPr="00EB00D9">
        <w:rPr>
          <w:rFonts w:ascii="Book Antiqua" w:eastAsia="宋体" w:hAnsi="Book Antiqua" w:cs="宋体"/>
          <w:sz w:val="24"/>
          <w:szCs w:val="24"/>
          <w:lang w:eastAsia="zh-CN"/>
        </w:rPr>
        <w:t>, Rana J, Barkhof F, Melamed I, Gevorkyan H, Wattjes MP, de Jong R, Brosofsky K, Ray S, Xu L, Zhao J, Parr E, Cadavid D. Randomized phase I trials of the safety/tolerability of anti-LINGO-1 monoclonal antibody BIIB033. </w:t>
      </w:r>
      <w:r w:rsidR="003066E2" w:rsidRPr="00EB00D9">
        <w:rPr>
          <w:rFonts w:ascii="Book Antiqua" w:eastAsia="宋体" w:hAnsi="Book Antiqua" w:cs="宋体"/>
          <w:i/>
          <w:iCs/>
          <w:sz w:val="24"/>
          <w:szCs w:val="24"/>
          <w:lang w:eastAsia="zh-CN"/>
        </w:rPr>
        <w:t>Neurol Neuroimmunol Neuroinflamm</w:t>
      </w:r>
      <w:r w:rsidR="003066E2" w:rsidRPr="00EB00D9">
        <w:rPr>
          <w:rFonts w:ascii="Book Antiqua" w:eastAsia="宋体" w:hAnsi="Book Antiqua" w:cs="宋体"/>
          <w:sz w:val="24"/>
          <w:szCs w:val="24"/>
          <w:lang w:eastAsia="zh-CN"/>
        </w:rPr>
        <w:t> 2014; </w:t>
      </w:r>
      <w:r w:rsidR="003066E2" w:rsidRPr="00EB00D9">
        <w:rPr>
          <w:rFonts w:ascii="Book Antiqua" w:eastAsia="宋体" w:hAnsi="Book Antiqua" w:cs="宋体"/>
          <w:b/>
          <w:bCs/>
          <w:sz w:val="24"/>
          <w:szCs w:val="24"/>
          <w:lang w:eastAsia="zh-CN"/>
        </w:rPr>
        <w:t>1</w:t>
      </w:r>
      <w:r w:rsidR="003066E2" w:rsidRPr="00EB00D9">
        <w:rPr>
          <w:rFonts w:ascii="Book Antiqua" w:eastAsia="宋体" w:hAnsi="Book Antiqua" w:cs="宋体"/>
          <w:sz w:val="24"/>
          <w:szCs w:val="24"/>
          <w:lang w:eastAsia="zh-CN"/>
        </w:rPr>
        <w:t>: e18 [PMID: 25340070]</w:t>
      </w:r>
    </w:p>
    <w:p w:rsidR="003066E2" w:rsidRDefault="00AF0787" w:rsidP="003066E2">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42</w:t>
      </w:r>
      <w:r w:rsidR="003066E2" w:rsidRPr="00EB00D9">
        <w:rPr>
          <w:rFonts w:ascii="Book Antiqua" w:eastAsia="宋体" w:hAnsi="Book Antiqua" w:cs="宋体"/>
          <w:sz w:val="24"/>
          <w:szCs w:val="24"/>
          <w:lang w:eastAsia="zh-CN"/>
        </w:rPr>
        <w:t> </w:t>
      </w:r>
      <w:r w:rsidR="003066E2" w:rsidRPr="00EB00D9">
        <w:rPr>
          <w:rFonts w:ascii="Book Antiqua" w:eastAsia="宋体" w:hAnsi="Book Antiqua" w:cs="宋体"/>
          <w:b/>
          <w:bCs/>
          <w:sz w:val="24"/>
          <w:szCs w:val="24"/>
          <w:lang w:eastAsia="zh-CN"/>
        </w:rPr>
        <w:t>Petereit HF</w:t>
      </w:r>
      <w:r w:rsidR="003066E2" w:rsidRPr="00EB00D9">
        <w:rPr>
          <w:rFonts w:ascii="Book Antiqua" w:eastAsia="宋体" w:hAnsi="Book Antiqua" w:cs="宋体"/>
          <w:sz w:val="24"/>
          <w:szCs w:val="24"/>
          <w:lang w:eastAsia="zh-CN"/>
        </w:rPr>
        <w:t>, Rubbert-Roth A. Rituximab levels in cerebrospinal fluid of patients with neurological autoimmune disorders. </w:t>
      </w:r>
      <w:r w:rsidR="003066E2" w:rsidRPr="00EB00D9">
        <w:rPr>
          <w:rFonts w:ascii="Book Antiqua" w:eastAsia="宋体" w:hAnsi="Book Antiqua" w:cs="宋体"/>
          <w:i/>
          <w:iCs/>
          <w:sz w:val="24"/>
          <w:szCs w:val="24"/>
          <w:lang w:eastAsia="zh-CN"/>
        </w:rPr>
        <w:t>Mult Scler</w:t>
      </w:r>
      <w:r w:rsidR="003066E2" w:rsidRPr="00EB00D9">
        <w:rPr>
          <w:rFonts w:ascii="Book Antiqua" w:eastAsia="宋体" w:hAnsi="Book Antiqua" w:cs="宋体"/>
          <w:sz w:val="24"/>
          <w:szCs w:val="24"/>
          <w:lang w:eastAsia="zh-CN"/>
        </w:rPr>
        <w:t> 2009; </w:t>
      </w:r>
      <w:r w:rsidR="003066E2" w:rsidRPr="00EB00D9">
        <w:rPr>
          <w:rFonts w:ascii="Book Antiqua" w:eastAsia="宋体" w:hAnsi="Book Antiqua" w:cs="宋体"/>
          <w:b/>
          <w:bCs/>
          <w:sz w:val="24"/>
          <w:szCs w:val="24"/>
          <w:lang w:eastAsia="zh-CN"/>
        </w:rPr>
        <w:t>15</w:t>
      </w:r>
      <w:r w:rsidR="003066E2" w:rsidRPr="00EB00D9">
        <w:rPr>
          <w:rFonts w:ascii="Book Antiqua" w:eastAsia="宋体" w:hAnsi="Book Antiqua" w:cs="宋体"/>
          <w:sz w:val="24"/>
          <w:szCs w:val="24"/>
          <w:lang w:eastAsia="zh-CN"/>
        </w:rPr>
        <w:t>: 189-192 [PMID: 18971221 DOI: 10.1177/1352458508098268]</w:t>
      </w:r>
    </w:p>
    <w:p w:rsidR="00AF0787" w:rsidRPr="00EB00D9" w:rsidRDefault="00AF0787" w:rsidP="00AF0787">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4</w:t>
      </w:r>
      <w:r>
        <w:rPr>
          <w:rFonts w:ascii="Book Antiqua" w:eastAsia="宋体" w:hAnsi="Book Antiqua" w:cs="宋体" w:hint="eastAsia"/>
          <w:sz w:val="24"/>
          <w:szCs w:val="24"/>
          <w:lang w:eastAsia="zh-CN"/>
        </w:rPr>
        <w:t>3</w:t>
      </w:r>
      <w:r w:rsidRPr="00EB00D9">
        <w:rPr>
          <w:rFonts w:ascii="Book Antiqua" w:eastAsia="宋体" w:hAnsi="Book Antiqua" w:cs="宋体"/>
          <w:sz w:val="24"/>
          <w:szCs w:val="24"/>
          <w:lang w:eastAsia="zh-CN"/>
        </w:rPr>
        <w:t> </w:t>
      </w:r>
      <w:r w:rsidRPr="00EB00D9">
        <w:rPr>
          <w:rFonts w:ascii="Book Antiqua" w:eastAsia="宋体" w:hAnsi="Book Antiqua" w:cs="宋体"/>
          <w:b/>
          <w:bCs/>
          <w:sz w:val="24"/>
          <w:szCs w:val="24"/>
          <w:lang w:eastAsia="zh-CN"/>
        </w:rPr>
        <w:t>Schwartz J</w:t>
      </w:r>
      <w:r w:rsidRPr="00EB00D9">
        <w:rPr>
          <w:rFonts w:ascii="Book Antiqua" w:eastAsia="宋体" w:hAnsi="Book Antiqua" w:cs="宋体"/>
          <w:sz w:val="24"/>
          <w:szCs w:val="24"/>
          <w:lang w:eastAsia="zh-CN"/>
        </w:rPr>
        <w:t>, Winters JL, Padmanabhan A, Balogun RA, Delaney M, Linenberger ML, Szczepiorkowski ZM, Williams ME, Wu Y, Shaz BH. Guidelines on the use of therapeutic apheresis in clinical practice-evidence-based approach from the Writing Committee of the American Society for Apheresis: the sixth special issue. </w:t>
      </w:r>
      <w:r w:rsidRPr="00EB00D9">
        <w:rPr>
          <w:rFonts w:ascii="Book Antiqua" w:eastAsia="宋体" w:hAnsi="Book Antiqua" w:cs="宋体"/>
          <w:i/>
          <w:iCs/>
          <w:sz w:val="24"/>
          <w:szCs w:val="24"/>
          <w:lang w:eastAsia="zh-CN"/>
        </w:rPr>
        <w:t>J Clin Apher</w:t>
      </w:r>
      <w:r w:rsidRPr="00EB00D9">
        <w:rPr>
          <w:rFonts w:ascii="Book Antiqua" w:eastAsia="宋体" w:hAnsi="Book Antiqua" w:cs="宋体"/>
          <w:sz w:val="24"/>
          <w:szCs w:val="24"/>
          <w:lang w:eastAsia="zh-CN"/>
        </w:rPr>
        <w:t> 2013; </w:t>
      </w:r>
      <w:r w:rsidRPr="00EB00D9">
        <w:rPr>
          <w:rFonts w:ascii="Book Antiqua" w:eastAsia="宋体" w:hAnsi="Book Antiqua" w:cs="宋体"/>
          <w:b/>
          <w:bCs/>
          <w:sz w:val="24"/>
          <w:szCs w:val="24"/>
          <w:lang w:eastAsia="zh-CN"/>
        </w:rPr>
        <w:t>28</w:t>
      </w:r>
      <w:r w:rsidRPr="00EB00D9">
        <w:rPr>
          <w:rFonts w:ascii="Book Antiqua" w:eastAsia="宋体" w:hAnsi="Book Antiqua" w:cs="宋体"/>
          <w:sz w:val="24"/>
          <w:szCs w:val="24"/>
          <w:lang w:eastAsia="zh-CN"/>
        </w:rPr>
        <w:t>: 145-284 [PMID: 23868759 DOI: 10.1002/jca.21276]</w:t>
      </w:r>
    </w:p>
    <w:p w:rsidR="00AF0787" w:rsidRPr="00EB00D9" w:rsidRDefault="00AF0787" w:rsidP="00AF0787">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4</w:t>
      </w:r>
      <w:r>
        <w:rPr>
          <w:rFonts w:ascii="Book Antiqua" w:eastAsia="宋体" w:hAnsi="Book Antiqua" w:cs="宋体" w:hint="eastAsia"/>
          <w:sz w:val="24"/>
          <w:szCs w:val="24"/>
          <w:lang w:eastAsia="zh-CN"/>
        </w:rPr>
        <w:t>4</w:t>
      </w:r>
      <w:r w:rsidRPr="00EB00D9">
        <w:rPr>
          <w:rFonts w:ascii="Book Antiqua" w:eastAsia="宋体" w:hAnsi="Book Antiqua" w:cs="宋体"/>
          <w:sz w:val="24"/>
          <w:szCs w:val="24"/>
          <w:lang w:eastAsia="zh-CN"/>
        </w:rPr>
        <w:t> </w:t>
      </w:r>
      <w:r w:rsidRPr="00EB00D9">
        <w:rPr>
          <w:rFonts w:ascii="Book Antiqua" w:eastAsia="宋体" w:hAnsi="Book Antiqua" w:cs="宋体"/>
          <w:b/>
          <w:bCs/>
          <w:sz w:val="24"/>
          <w:szCs w:val="24"/>
          <w:lang w:eastAsia="zh-CN"/>
        </w:rPr>
        <w:t>Cid J</w:t>
      </w:r>
      <w:r w:rsidRPr="00EB00D9">
        <w:rPr>
          <w:rFonts w:ascii="Book Antiqua" w:eastAsia="宋体" w:hAnsi="Book Antiqua" w:cs="宋体"/>
          <w:sz w:val="24"/>
          <w:szCs w:val="24"/>
          <w:lang w:eastAsia="zh-CN"/>
        </w:rPr>
        <w:t>, Carbassé G, Andreu B, Baltanás A, Garcia-Carulla A, Lozano M. Efficacy and safety of plasma exchange: ann 11-year single-center experience of 2730 procedures in 317 patients. </w:t>
      </w:r>
      <w:r w:rsidRPr="00EB00D9">
        <w:rPr>
          <w:rFonts w:ascii="Book Antiqua" w:eastAsia="宋体" w:hAnsi="Book Antiqua" w:cs="宋体"/>
          <w:i/>
          <w:iCs/>
          <w:sz w:val="24"/>
          <w:szCs w:val="24"/>
          <w:lang w:eastAsia="zh-CN"/>
        </w:rPr>
        <w:t>Transfus Apher Sci</w:t>
      </w:r>
      <w:r w:rsidRPr="00EB00D9">
        <w:rPr>
          <w:rFonts w:ascii="Book Antiqua" w:eastAsia="宋体" w:hAnsi="Book Antiqua" w:cs="宋体"/>
          <w:sz w:val="24"/>
          <w:szCs w:val="24"/>
          <w:lang w:eastAsia="zh-CN"/>
        </w:rPr>
        <w:t> 2014; </w:t>
      </w:r>
      <w:r w:rsidRPr="00EB00D9">
        <w:rPr>
          <w:rFonts w:ascii="Book Antiqua" w:eastAsia="宋体" w:hAnsi="Book Antiqua" w:cs="宋体"/>
          <w:b/>
          <w:bCs/>
          <w:sz w:val="24"/>
          <w:szCs w:val="24"/>
          <w:lang w:eastAsia="zh-CN"/>
        </w:rPr>
        <w:t>51</w:t>
      </w:r>
      <w:r w:rsidRPr="00EB00D9">
        <w:rPr>
          <w:rFonts w:ascii="Book Antiqua" w:eastAsia="宋体" w:hAnsi="Book Antiqua" w:cs="宋体"/>
          <w:sz w:val="24"/>
          <w:szCs w:val="24"/>
          <w:lang w:eastAsia="zh-CN"/>
        </w:rPr>
        <w:t>: 209-214 [PMID: 25217991]</w:t>
      </w:r>
    </w:p>
    <w:p w:rsidR="00AF0787" w:rsidRPr="00EB00D9" w:rsidRDefault="00AF0787" w:rsidP="00AF0787">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4</w:t>
      </w:r>
      <w:r>
        <w:rPr>
          <w:rFonts w:ascii="Book Antiqua" w:eastAsia="宋体" w:hAnsi="Book Antiqua" w:cs="宋体" w:hint="eastAsia"/>
          <w:sz w:val="24"/>
          <w:szCs w:val="24"/>
          <w:lang w:eastAsia="zh-CN"/>
        </w:rPr>
        <w:t>5</w:t>
      </w:r>
      <w:r w:rsidRPr="00EB00D9">
        <w:rPr>
          <w:rFonts w:ascii="Book Antiqua" w:eastAsia="宋体" w:hAnsi="Book Antiqua" w:cs="宋体"/>
          <w:sz w:val="24"/>
          <w:szCs w:val="24"/>
          <w:lang w:eastAsia="zh-CN"/>
        </w:rPr>
        <w:t> </w:t>
      </w:r>
      <w:r w:rsidRPr="00EB00D9">
        <w:rPr>
          <w:rFonts w:ascii="Book Antiqua" w:eastAsia="宋体" w:hAnsi="Book Antiqua" w:cs="宋体"/>
          <w:b/>
          <w:bCs/>
          <w:sz w:val="24"/>
          <w:szCs w:val="24"/>
          <w:lang w:eastAsia="zh-CN"/>
        </w:rPr>
        <w:t>Pons-Estel GJ</w:t>
      </w:r>
      <w:r w:rsidRPr="00EB00D9">
        <w:rPr>
          <w:rFonts w:ascii="Book Antiqua" w:eastAsia="宋体" w:hAnsi="Book Antiqua" w:cs="宋体"/>
          <w:sz w:val="24"/>
          <w:szCs w:val="24"/>
          <w:lang w:eastAsia="zh-CN"/>
        </w:rPr>
        <w:t>, Salerni GE, Serrano RM, Gomez-Puerta JA, Plasin MA, Aldasoro E, Lozano M, Cid J, Cervera R, Espinosa G. Therapeutic plasma exchange for the management of refractory systemic autoimmune diseases: report of 31 cases and review of the literature. </w:t>
      </w:r>
      <w:r w:rsidRPr="00EB00D9">
        <w:rPr>
          <w:rFonts w:ascii="Book Antiqua" w:eastAsia="宋体" w:hAnsi="Book Antiqua" w:cs="宋体"/>
          <w:i/>
          <w:iCs/>
          <w:sz w:val="24"/>
          <w:szCs w:val="24"/>
          <w:lang w:eastAsia="zh-CN"/>
        </w:rPr>
        <w:t>Autoimmun Rev</w:t>
      </w:r>
      <w:r w:rsidRPr="00EB00D9">
        <w:rPr>
          <w:rFonts w:ascii="Book Antiqua" w:eastAsia="宋体" w:hAnsi="Book Antiqua" w:cs="宋体"/>
          <w:sz w:val="24"/>
          <w:szCs w:val="24"/>
          <w:lang w:eastAsia="zh-CN"/>
        </w:rPr>
        <w:t> 2011; </w:t>
      </w:r>
      <w:r w:rsidRPr="00EB00D9">
        <w:rPr>
          <w:rFonts w:ascii="Book Antiqua" w:eastAsia="宋体" w:hAnsi="Book Antiqua" w:cs="宋体"/>
          <w:b/>
          <w:bCs/>
          <w:sz w:val="24"/>
          <w:szCs w:val="24"/>
          <w:lang w:eastAsia="zh-CN"/>
        </w:rPr>
        <w:t>10</w:t>
      </w:r>
      <w:r w:rsidRPr="00EB00D9">
        <w:rPr>
          <w:rFonts w:ascii="Book Antiqua" w:eastAsia="宋体" w:hAnsi="Book Antiqua" w:cs="宋体"/>
          <w:sz w:val="24"/>
          <w:szCs w:val="24"/>
          <w:lang w:eastAsia="zh-CN"/>
        </w:rPr>
        <w:t>: 679-684 [PMID: 21569864]</w:t>
      </w:r>
    </w:p>
    <w:p w:rsidR="00AF0787" w:rsidRPr="00EB00D9" w:rsidRDefault="00AF0787" w:rsidP="00AF0787">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46</w:t>
      </w:r>
      <w:r w:rsidRPr="00EB00D9">
        <w:rPr>
          <w:rFonts w:ascii="Book Antiqua" w:eastAsia="宋体" w:hAnsi="Book Antiqua" w:cs="宋体"/>
          <w:sz w:val="24"/>
          <w:szCs w:val="24"/>
          <w:lang w:eastAsia="zh-CN"/>
        </w:rPr>
        <w:t xml:space="preserve"> </w:t>
      </w:r>
      <w:r w:rsidRPr="00EB00D9">
        <w:rPr>
          <w:rFonts w:ascii="Book Antiqua" w:eastAsia="宋体" w:hAnsi="Book Antiqua" w:cs="宋体"/>
          <w:b/>
          <w:sz w:val="24"/>
          <w:szCs w:val="24"/>
          <w:lang w:eastAsia="zh-CN"/>
        </w:rPr>
        <w:t>ClinicalTrials.gov.</w:t>
      </w:r>
      <w:r w:rsidRPr="00EB00D9">
        <w:rPr>
          <w:rFonts w:ascii="Book Antiqua" w:eastAsia="宋体" w:hAnsi="Book Antiqua" w:cs="宋体"/>
          <w:sz w:val="24"/>
          <w:szCs w:val="24"/>
          <w:lang w:eastAsia="zh-CN"/>
        </w:rPr>
        <w:t xml:space="preserve"> Maintenance Plasma Exchange for Neuromyelitis Optica (MultiPLEX) [Accessed 2015</w:t>
      </w:r>
      <w:r w:rsidR="004E41CA">
        <w:rPr>
          <w:rFonts w:ascii="Book Antiqua" w:eastAsia="宋体" w:hAnsi="Book Antiqua" w:cs="宋体"/>
          <w:sz w:val="24"/>
          <w:szCs w:val="24"/>
          <w:lang w:eastAsia="zh-CN"/>
        </w:rPr>
        <w:t xml:space="preserve"> January 6</w:t>
      </w:r>
      <w:r w:rsidRPr="00EB00D9">
        <w:rPr>
          <w:rFonts w:ascii="Book Antiqua" w:eastAsia="宋体" w:hAnsi="Book Antiqua" w:cs="宋体"/>
          <w:sz w:val="24"/>
          <w:szCs w:val="24"/>
          <w:lang w:eastAsia="zh-CN"/>
        </w:rPr>
        <w:t>]</w:t>
      </w:r>
      <w:r w:rsidRPr="00EB00D9">
        <w:rPr>
          <w:rFonts w:ascii="Book Antiqua" w:eastAsia="宋体" w:hAnsi="Book Antiqua" w:cs="宋体" w:hint="eastAsia"/>
          <w:sz w:val="24"/>
          <w:szCs w:val="24"/>
          <w:lang w:eastAsia="zh-CN"/>
        </w:rPr>
        <w:t>.</w:t>
      </w:r>
      <w:r w:rsidRPr="00EB00D9">
        <w:rPr>
          <w:rFonts w:ascii="Book Antiqua" w:eastAsia="宋体" w:hAnsi="Book Antiqua" w:cs="宋体"/>
          <w:sz w:val="24"/>
          <w:szCs w:val="24"/>
          <w:lang w:eastAsia="zh-CN"/>
        </w:rPr>
        <w:t xml:space="preserve"> </w:t>
      </w:r>
      <w:r w:rsidRPr="00EB00D9">
        <w:rPr>
          <w:rFonts w:ascii="Book Antiqua" w:hAnsi="Book Antiqua"/>
          <w:sz w:val="24"/>
          <w:szCs w:val="24"/>
        </w:rPr>
        <w:t>Available from: URL:</w:t>
      </w:r>
      <w:r w:rsidRPr="00EB00D9">
        <w:rPr>
          <w:rFonts w:ascii="Book Antiqua" w:hAnsi="Book Antiqua" w:hint="eastAsia"/>
          <w:sz w:val="24"/>
          <w:szCs w:val="24"/>
          <w:lang w:eastAsia="zh-CN"/>
        </w:rPr>
        <w:t xml:space="preserve"> </w:t>
      </w:r>
      <w:r w:rsidRPr="00EB00D9">
        <w:rPr>
          <w:rFonts w:ascii="Book Antiqua" w:eastAsia="宋体" w:hAnsi="Book Antiqua" w:cs="宋体"/>
          <w:sz w:val="24"/>
          <w:szCs w:val="24"/>
          <w:lang w:eastAsia="zh-CN"/>
        </w:rPr>
        <w:t>https: //clinicaltrials.gov/ct2/show/NCT01500681</w:t>
      </w:r>
    </w:p>
    <w:p w:rsidR="003066E2" w:rsidRPr="00EB00D9" w:rsidRDefault="00AF0787" w:rsidP="003066E2">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47</w:t>
      </w:r>
      <w:r w:rsidR="003066E2" w:rsidRPr="00EB00D9">
        <w:rPr>
          <w:rFonts w:ascii="Book Antiqua" w:eastAsia="宋体" w:hAnsi="Book Antiqua" w:cs="宋体"/>
          <w:sz w:val="24"/>
          <w:szCs w:val="24"/>
          <w:lang w:eastAsia="zh-CN"/>
        </w:rPr>
        <w:t xml:space="preserve"> </w:t>
      </w:r>
      <w:hyperlink r:id="rId10" w:history="1">
        <w:r w:rsidR="003527F0" w:rsidRPr="00EB00D9">
          <w:rPr>
            <w:rFonts w:ascii="Book Antiqua" w:eastAsia="宋体" w:hAnsi="Book Antiqua" w:cs="宋体"/>
            <w:b/>
            <w:sz w:val="24"/>
            <w:szCs w:val="24"/>
            <w:lang w:eastAsia="zh-CN"/>
          </w:rPr>
          <w:t>Collongues N</w:t>
        </w:r>
      </w:hyperlink>
      <w:r w:rsidR="003527F0" w:rsidRPr="00EB00D9">
        <w:rPr>
          <w:rFonts w:ascii="Book Antiqua" w:eastAsia="宋体" w:hAnsi="Book Antiqua" w:cs="宋体"/>
          <w:b/>
          <w:sz w:val="24"/>
          <w:szCs w:val="24"/>
          <w:lang w:eastAsia="zh-CN"/>
        </w:rPr>
        <w:t>,</w:t>
      </w:r>
      <w:r w:rsidR="003527F0" w:rsidRPr="00EB00D9">
        <w:rPr>
          <w:rFonts w:ascii="Book Antiqua" w:eastAsia="宋体" w:hAnsi="Book Antiqua" w:cs="宋体"/>
          <w:sz w:val="24"/>
          <w:szCs w:val="24"/>
          <w:lang w:eastAsia="zh-CN"/>
        </w:rPr>
        <w:t> </w:t>
      </w:r>
      <w:hyperlink r:id="rId11" w:history="1">
        <w:r w:rsidR="003527F0" w:rsidRPr="00EB00D9">
          <w:rPr>
            <w:rFonts w:ascii="Book Antiqua" w:eastAsia="宋体" w:hAnsi="Book Antiqua" w:cs="宋体"/>
            <w:sz w:val="24"/>
            <w:szCs w:val="24"/>
            <w:lang w:eastAsia="zh-CN"/>
          </w:rPr>
          <w:t>Marignier R</w:t>
        </w:r>
      </w:hyperlink>
      <w:r w:rsidR="003527F0" w:rsidRPr="00EB00D9">
        <w:rPr>
          <w:rFonts w:ascii="Book Antiqua" w:eastAsia="宋体" w:hAnsi="Book Antiqua" w:cs="宋体"/>
          <w:sz w:val="24"/>
          <w:szCs w:val="24"/>
          <w:lang w:eastAsia="zh-CN"/>
        </w:rPr>
        <w:t>, </w:t>
      </w:r>
      <w:hyperlink r:id="rId12" w:history="1">
        <w:r w:rsidR="003527F0" w:rsidRPr="00EB00D9">
          <w:rPr>
            <w:rFonts w:ascii="Book Antiqua" w:eastAsia="宋体" w:hAnsi="Book Antiqua" w:cs="宋体"/>
            <w:sz w:val="24"/>
            <w:szCs w:val="24"/>
            <w:lang w:eastAsia="zh-CN"/>
          </w:rPr>
          <w:t>Jacob A</w:t>
        </w:r>
      </w:hyperlink>
      <w:r w:rsidR="003527F0" w:rsidRPr="00EB00D9">
        <w:rPr>
          <w:rFonts w:ascii="Book Antiqua" w:eastAsia="宋体" w:hAnsi="Book Antiqua" w:cs="宋体"/>
          <w:sz w:val="24"/>
          <w:szCs w:val="24"/>
          <w:lang w:eastAsia="zh-CN"/>
        </w:rPr>
        <w:t>, </w:t>
      </w:r>
      <w:hyperlink r:id="rId13" w:history="1">
        <w:r w:rsidR="003527F0" w:rsidRPr="00EB00D9">
          <w:rPr>
            <w:rFonts w:ascii="Book Antiqua" w:eastAsia="宋体" w:hAnsi="Book Antiqua" w:cs="宋体"/>
            <w:sz w:val="24"/>
            <w:szCs w:val="24"/>
            <w:lang w:eastAsia="zh-CN"/>
          </w:rPr>
          <w:t>Leite M</w:t>
        </w:r>
      </w:hyperlink>
      <w:r w:rsidR="003527F0" w:rsidRPr="00EB00D9">
        <w:rPr>
          <w:rFonts w:ascii="Book Antiqua" w:eastAsia="宋体" w:hAnsi="Book Antiqua" w:cs="宋体"/>
          <w:sz w:val="24"/>
          <w:szCs w:val="24"/>
          <w:lang w:eastAsia="zh-CN"/>
        </w:rPr>
        <w:t>, </w:t>
      </w:r>
      <w:hyperlink r:id="rId14" w:history="1">
        <w:r w:rsidR="003527F0" w:rsidRPr="00EB00D9">
          <w:rPr>
            <w:rFonts w:ascii="Book Antiqua" w:eastAsia="宋体" w:hAnsi="Book Antiqua" w:cs="宋体"/>
            <w:sz w:val="24"/>
            <w:szCs w:val="24"/>
            <w:lang w:eastAsia="zh-CN"/>
          </w:rPr>
          <w:t>Siva A</w:t>
        </w:r>
      </w:hyperlink>
      <w:r w:rsidR="003527F0" w:rsidRPr="00EB00D9">
        <w:rPr>
          <w:rFonts w:ascii="Book Antiqua" w:eastAsia="宋体" w:hAnsi="Book Antiqua" w:cs="宋体"/>
          <w:sz w:val="24"/>
          <w:szCs w:val="24"/>
          <w:lang w:eastAsia="zh-CN"/>
        </w:rPr>
        <w:t>, </w:t>
      </w:r>
      <w:hyperlink r:id="rId15" w:history="1">
        <w:r w:rsidR="003527F0" w:rsidRPr="00EB00D9">
          <w:rPr>
            <w:rFonts w:ascii="Book Antiqua" w:eastAsia="宋体" w:hAnsi="Book Antiqua" w:cs="宋体"/>
            <w:sz w:val="24"/>
            <w:szCs w:val="24"/>
            <w:lang w:eastAsia="zh-CN"/>
          </w:rPr>
          <w:t>Paul F</w:t>
        </w:r>
      </w:hyperlink>
      <w:r w:rsidR="003527F0" w:rsidRPr="00EB00D9">
        <w:rPr>
          <w:rFonts w:ascii="Book Antiqua" w:eastAsia="宋体" w:hAnsi="Book Antiqua" w:cs="宋体"/>
          <w:sz w:val="24"/>
          <w:szCs w:val="24"/>
          <w:lang w:eastAsia="zh-CN"/>
        </w:rPr>
        <w:t>, </w:t>
      </w:r>
      <w:hyperlink r:id="rId16" w:history="1">
        <w:r w:rsidR="003527F0" w:rsidRPr="00EB00D9">
          <w:rPr>
            <w:rFonts w:ascii="Book Antiqua" w:eastAsia="宋体" w:hAnsi="Book Antiqua" w:cs="宋体"/>
            <w:sz w:val="24"/>
            <w:szCs w:val="24"/>
            <w:lang w:eastAsia="zh-CN"/>
          </w:rPr>
          <w:t>Zephir H</w:t>
        </w:r>
      </w:hyperlink>
      <w:r w:rsidR="003527F0" w:rsidRPr="00EB00D9">
        <w:rPr>
          <w:rFonts w:ascii="Book Antiqua" w:eastAsia="宋体" w:hAnsi="Book Antiqua" w:cs="宋体"/>
          <w:sz w:val="24"/>
          <w:szCs w:val="24"/>
          <w:lang w:eastAsia="zh-CN"/>
        </w:rPr>
        <w:t>, </w:t>
      </w:r>
      <w:hyperlink r:id="rId17" w:history="1">
        <w:r w:rsidR="003527F0" w:rsidRPr="00EB00D9">
          <w:rPr>
            <w:rFonts w:ascii="Book Antiqua" w:eastAsia="宋体" w:hAnsi="Book Antiqua" w:cs="宋体"/>
            <w:sz w:val="24"/>
            <w:szCs w:val="24"/>
            <w:lang w:eastAsia="zh-CN"/>
          </w:rPr>
          <w:t>Akman-Demir G</w:t>
        </w:r>
      </w:hyperlink>
      <w:r w:rsidR="003527F0" w:rsidRPr="00EB00D9">
        <w:rPr>
          <w:rFonts w:ascii="Book Antiqua" w:eastAsia="宋体" w:hAnsi="Book Antiqua" w:cs="宋体"/>
          <w:sz w:val="24"/>
          <w:szCs w:val="24"/>
          <w:lang w:eastAsia="zh-CN"/>
        </w:rPr>
        <w:t>, </w:t>
      </w:r>
      <w:hyperlink r:id="rId18" w:history="1">
        <w:r w:rsidR="003527F0" w:rsidRPr="00EB00D9">
          <w:rPr>
            <w:rFonts w:ascii="Book Antiqua" w:eastAsia="宋体" w:hAnsi="Book Antiqua" w:cs="宋体"/>
            <w:sz w:val="24"/>
            <w:szCs w:val="24"/>
            <w:lang w:eastAsia="zh-CN"/>
          </w:rPr>
          <w:t>Elsone L</w:t>
        </w:r>
      </w:hyperlink>
      <w:r w:rsidR="003527F0" w:rsidRPr="00EB00D9">
        <w:rPr>
          <w:rFonts w:ascii="Book Antiqua" w:eastAsia="宋体" w:hAnsi="Book Antiqua" w:cs="宋体"/>
          <w:sz w:val="24"/>
          <w:szCs w:val="24"/>
          <w:lang w:eastAsia="zh-CN"/>
        </w:rPr>
        <w:t>, </w:t>
      </w:r>
      <w:hyperlink r:id="rId19" w:history="1">
        <w:r w:rsidR="003527F0" w:rsidRPr="00EB00D9">
          <w:rPr>
            <w:rFonts w:ascii="Book Antiqua" w:eastAsia="宋体" w:hAnsi="Book Antiqua" w:cs="宋体"/>
            <w:sz w:val="24"/>
            <w:szCs w:val="24"/>
            <w:lang w:eastAsia="zh-CN"/>
          </w:rPr>
          <w:t>Jarius S</w:t>
        </w:r>
      </w:hyperlink>
      <w:r w:rsidR="003527F0" w:rsidRPr="00EB00D9">
        <w:rPr>
          <w:rFonts w:ascii="Book Antiqua" w:eastAsia="宋体" w:hAnsi="Book Antiqua" w:cs="宋体"/>
          <w:sz w:val="24"/>
          <w:szCs w:val="24"/>
          <w:lang w:eastAsia="zh-CN"/>
        </w:rPr>
        <w:t>, </w:t>
      </w:r>
      <w:hyperlink r:id="rId20" w:history="1">
        <w:r w:rsidR="003527F0" w:rsidRPr="00EB00D9">
          <w:rPr>
            <w:rFonts w:ascii="Book Antiqua" w:eastAsia="宋体" w:hAnsi="Book Antiqua" w:cs="宋体"/>
            <w:sz w:val="24"/>
            <w:szCs w:val="24"/>
            <w:lang w:eastAsia="zh-CN"/>
          </w:rPr>
          <w:t>Papeix C</w:t>
        </w:r>
      </w:hyperlink>
      <w:r w:rsidR="003527F0" w:rsidRPr="00EB00D9">
        <w:rPr>
          <w:rFonts w:ascii="Book Antiqua" w:eastAsia="宋体" w:hAnsi="Book Antiqua" w:cs="宋体"/>
          <w:sz w:val="24"/>
          <w:szCs w:val="24"/>
          <w:lang w:eastAsia="zh-CN"/>
        </w:rPr>
        <w:t>, </w:t>
      </w:r>
      <w:hyperlink r:id="rId21" w:history="1">
        <w:r w:rsidR="003527F0" w:rsidRPr="00EB00D9">
          <w:rPr>
            <w:rFonts w:ascii="Book Antiqua" w:eastAsia="宋体" w:hAnsi="Book Antiqua" w:cs="宋体"/>
            <w:sz w:val="24"/>
            <w:szCs w:val="24"/>
            <w:lang w:eastAsia="zh-CN"/>
          </w:rPr>
          <w:t>Mutch K</w:t>
        </w:r>
      </w:hyperlink>
      <w:r w:rsidR="003527F0" w:rsidRPr="00EB00D9">
        <w:rPr>
          <w:rFonts w:ascii="Book Antiqua" w:eastAsia="宋体" w:hAnsi="Book Antiqua" w:cs="宋体"/>
          <w:sz w:val="24"/>
          <w:szCs w:val="24"/>
          <w:lang w:eastAsia="zh-CN"/>
        </w:rPr>
        <w:t>, </w:t>
      </w:r>
      <w:hyperlink r:id="rId22" w:history="1">
        <w:r w:rsidR="003527F0" w:rsidRPr="00EB00D9">
          <w:rPr>
            <w:rFonts w:ascii="Book Antiqua" w:eastAsia="宋体" w:hAnsi="Book Antiqua" w:cs="宋体"/>
            <w:sz w:val="24"/>
            <w:szCs w:val="24"/>
            <w:lang w:eastAsia="zh-CN"/>
          </w:rPr>
          <w:t>Saip S</w:t>
        </w:r>
      </w:hyperlink>
      <w:r w:rsidR="003527F0" w:rsidRPr="00EB00D9">
        <w:rPr>
          <w:rFonts w:ascii="Book Antiqua" w:eastAsia="宋体" w:hAnsi="Book Antiqua" w:cs="宋体"/>
          <w:sz w:val="24"/>
          <w:szCs w:val="24"/>
          <w:lang w:eastAsia="zh-CN"/>
        </w:rPr>
        <w:t>,</w:t>
      </w:r>
      <w:r w:rsidR="003527F0" w:rsidRPr="00EB00D9">
        <w:rPr>
          <w:rFonts w:ascii="Book Antiqua" w:eastAsia="宋体" w:hAnsi="Book Antiqua" w:cs="宋体" w:hint="eastAsia"/>
          <w:sz w:val="24"/>
          <w:szCs w:val="24"/>
          <w:lang w:eastAsia="zh-CN"/>
        </w:rPr>
        <w:t xml:space="preserve"> </w:t>
      </w:r>
      <w:hyperlink r:id="rId23" w:history="1">
        <w:r w:rsidR="003527F0" w:rsidRPr="00EB00D9">
          <w:rPr>
            <w:rFonts w:ascii="Book Antiqua" w:eastAsia="宋体" w:hAnsi="Book Antiqua" w:cs="宋体"/>
            <w:sz w:val="24"/>
            <w:szCs w:val="24"/>
            <w:lang w:eastAsia="zh-CN"/>
          </w:rPr>
          <w:t>Wildemann B</w:t>
        </w:r>
      </w:hyperlink>
      <w:r w:rsidR="003527F0" w:rsidRPr="00EB00D9">
        <w:rPr>
          <w:rFonts w:ascii="Book Antiqua" w:eastAsia="宋体" w:hAnsi="Book Antiqua" w:cs="宋体"/>
          <w:sz w:val="24"/>
          <w:szCs w:val="24"/>
          <w:lang w:eastAsia="zh-CN"/>
        </w:rPr>
        <w:t>, </w:t>
      </w:r>
      <w:hyperlink r:id="rId24" w:history="1">
        <w:r w:rsidR="003527F0" w:rsidRPr="00EB00D9">
          <w:rPr>
            <w:rFonts w:ascii="Book Antiqua" w:eastAsia="宋体" w:hAnsi="Book Antiqua" w:cs="宋体"/>
            <w:sz w:val="24"/>
            <w:szCs w:val="24"/>
            <w:lang w:eastAsia="zh-CN"/>
          </w:rPr>
          <w:t>Kitley J</w:t>
        </w:r>
      </w:hyperlink>
      <w:r w:rsidR="003527F0" w:rsidRPr="00EB00D9">
        <w:rPr>
          <w:rFonts w:ascii="Book Antiqua" w:eastAsia="宋体" w:hAnsi="Book Antiqua" w:cs="宋体"/>
          <w:sz w:val="24"/>
          <w:szCs w:val="24"/>
          <w:lang w:eastAsia="zh-CN"/>
        </w:rPr>
        <w:t>, </w:t>
      </w:r>
      <w:hyperlink r:id="rId25" w:history="1">
        <w:r w:rsidR="003527F0" w:rsidRPr="00EB00D9">
          <w:rPr>
            <w:rFonts w:ascii="Book Antiqua" w:eastAsia="宋体" w:hAnsi="Book Antiqua" w:cs="宋体"/>
            <w:sz w:val="24"/>
            <w:szCs w:val="24"/>
            <w:lang w:eastAsia="zh-CN"/>
          </w:rPr>
          <w:t>Karabudak R</w:t>
        </w:r>
      </w:hyperlink>
      <w:r w:rsidR="003527F0" w:rsidRPr="00EB00D9">
        <w:rPr>
          <w:rFonts w:ascii="Book Antiqua" w:eastAsia="宋体" w:hAnsi="Book Antiqua" w:cs="宋体"/>
          <w:sz w:val="24"/>
          <w:szCs w:val="24"/>
          <w:lang w:eastAsia="zh-CN"/>
        </w:rPr>
        <w:t>, </w:t>
      </w:r>
      <w:hyperlink r:id="rId26" w:history="1">
        <w:r w:rsidR="003527F0" w:rsidRPr="00EB00D9">
          <w:rPr>
            <w:rFonts w:ascii="Book Antiqua" w:eastAsia="宋体" w:hAnsi="Book Antiqua" w:cs="宋体"/>
            <w:sz w:val="24"/>
            <w:szCs w:val="24"/>
            <w:lang w:eastAsia="zh-CN"/>
          </w:rPr>
          <w:t>Aktas O</w:t>
        </w:r>
      </w:hyperlink>
      <w:r w:rsidR="003527F0" w:rsidRPr="00EB00D9">
        <w:rPr>
          <w:rFonts w:ascii="Book Antiqua" w:eastAsia="宋体" w:hAnsi="Book Antiqua" w:cs="宋体"/>
          <w:sz w:val="24"/>
          <w:szCs w:val="24"/>
          <w:lang w:eastAsia="zh-CN"/>
        </w:rPr>
        <w:t>, </w:t>
      </w:r>
      <w:hyperlink r:id="rId27" w:history="1">
        <w:r w:rsidR="003527F0" w:rsidRPr="00EB00D9">
          <w:rPr>
            <w:rFonts w:ascii="Book Antiqua" w:eastAsia="宋体" w:hAnsi="Book Antiqua" w:cs="宋体"/>
            <w:sz w:val="24"/>
            <w:szCs w:val="24"/>
            <w:lang w:eastAsia="zh-CN"/>
          </w:rPr>
          <w:t>Kuscu D</w:t>
        </w:r>
      </w:hyperlink>
      <w:r w:rsidR="003527F0" w:rsidRPr="00EB00D9">
        <w:rPr>
          <w:rFonts w:ascii="Book Antiqua" w:eastAsia="宋体" w:hAnsi="Book Antiqua" w:cs="宋体"/>
          <w:sz w:val="24"/>
          <w:szCs w:val="24"/>
          <w:lang w:eastAsia="zh-CN"/>
        </w:rPr>
        <w:t>, </w:t>
      </w:r>
      <w:hyperlink r:id="rId28" w:history="1">
        <w:r w:rsidR="003527F0" w:rsidRPr="00EB00D9">
          <w:rPr>
            <w:rFonts w:ascii="Book Antiqua" w:eastAsia="宋体" w:hAnsi="Book Antiqua" w:cs="宋体"/>
            <w:sz w:val="24"/>
            <w:szCs w:val="24"/>
            <w:lang w:eastAsia="zh-CN"/>
          </w:rPr>
          <w:t>Altintas A</w:t>
        </w:r>
      </w:hyperlink>
      <w:r w:rsidR="003527F0" w:rsidRPr="00EB00D9">
        <w:rPr>
          <w:rFonts w:ascii="Book Antiqua" w:eastAsia="宋体" w:hAnsi="Book Antiqua" w:cs="宋体"/>
          <w:sz w:val="24"/>
          <w:szCs w:val="24"/>
          <w:lang w:eastAsia="zh-CN"/>
        </w:rPr>
        <w:t>, </w:t>
      </w:r>
      <w:hyperlink r:id="rId29" w:history="1">
        <w:r w:rsidR="003527F0" w:rsidRPr="00EB00D9">
          <w:rPr>
            <w:rFonts w:ascii="Book Antiqua" w:eastAsia="宋体" w:hAnsi="Book Antiqua" w:cs="宋体"/>
            <w:sz w:val="24"/>
            <w:szCs w:val="24"/>
            <w:lang w:eastAsia="zh-CN"/>
          </w:rPr>
          <w:t>Palace J</w:t>
        </w:r>
      </w:hyperlink>
      <w:r w:rsidR="003527F0" w:rsidRPr="00EB00D9">
        <w:rPr>
          <w:rFonts w:ascii="Book Antiqua" w:eastAsia="宋体" w:hAnsi="Book Antiqua" w:cs="宋体"/>
          <w:sz w:val="24"/>
          <w:szCs w:val="24"/>
          <w:lang w:eastAsia="zh-CN"/>
        </w:rPr>
        <w:t>, </w:t>
      </w:r>
      <w:hyperlink r:id="rId30" w:history="1">
        <w:r w:rsidR="003527F0" w:rsidRPr="00EB00D9">
          <w:rPr>
            <w:rFonts w:ascii="Book Antiqua" w:eastAsia="宋体" w:hAnsi="Book Antiqua" w:cs="宋体"/>
            <w:sz w:val="24"/>
            <w:szCs w:val="24"/>
            <w:lang w:eastAsia="zh-CN"/>
          </w:rPr>
          <w:t>Confavreux C</w:t>
        </w:r>
      </w:hyperlink>
      <w:r w:rsidR="003527F0" w:rsidRPr="00EB00D9">
        <w:rPr>
          <w:rFonts w:ascii="Book Antiqua" w:eastAsia="宋体" w:hAnsi="Book Antiqua" w:cs="宋体"/>
          <w:sz w:val="24"/>
          <w:szCs w:val="24"/>
          <w:lang w:eastAsia="zh-CN"/>
        </w:rPr>
        <w:t>, </w:t>
      </w:r>
      <w:hyperlink r:id="rId31" w:history="1">
        <w:r w:rsidR="003527F0" w:rsidRPr="00EB00D9">
          <w:rPr>
            <w:rFonts w:ascii="Book Antiqua" w:eastAsia="宋体" w:hAnsi="Book Antiqua" w:cs="宋体"/>
            <w:sz w:val="24"/>
            <w:szCs w:val="24"/>
            <w:lang w:eastAsia="zh-CN"/>
          </w:rPr>
          <w:t>De Seze J</w:t>
        </w:r>
      </w:hyperlink>
      <w:r w:rsidR="003527F0" w:rsidRPr="00EB00D9">
        <w:rPr>
          <w:rFonts w:ascii="Book Antiqua" w:eastAsia="宋体" w:hAnsi="Book Antiqua" w:cs="宋体"/>
          <w:sz w:val="24"/>
          <w:szCs w:val="24"/>
          <w:lang w:eastAsia="zh-CN"/>
        </w:rPr>
        <w:t>.</w:t>
      </w:r>
      <w:r w:rsidR="003066E2" w:rsidRPr="00EB00D9">
        <w:rPr>
          <w:rFonts w:ascii="Book Antiqua" w:eastAsia="宋体" w:hAnsi="Book Antiqua" w:cs="宋体"/>
          <w:sz w:val="24"/>
          <w:szCs w:val="24"/>
          <w:lang w:eastAsia="zh-CN"/>
        </w:rPr>
        <w:t xml:space="preserve"> Characterization of neuromyelitis optica and neuromyelitis optica spectrum disorder patients with a late onset. </w:t>
      </w:r>
      <w:r w:rsidR="003066E2" w:rsidRPr="00EB00D9">
        <w:rPr>
          <w:rFonts w:ascii="Book Antiqua" w:eastAsia="宋体" w:hAnsi="Book Antiqua" w:cs="宋体"/>
          <w:i/>
          <w:iCs/>
          <w:sz w:val="24"/>
          <w:szCs w:val="24"/>
          <w:lang w:eastAsia="zh-CN"/>
        </w:rPr>
        <w:t>Mult Scler</w:t>
      </w:r>
      <w:r w:rsidR="003066E2" w:rsidRPr="00EB00D9">
        <w:rPr>
          <w:rFonts w:ascii="Book Antiqua" w:eastAsia="宋体" w:hAnsi="Book Antiqua" w:cs="宋体"/>
          <w:sz w:val="24"/>
          <w:szCs w:val="24"/>
          <w:lang w:eastAsia="zh-CN"/>
        </w:rPr>
        <w:t> 2013; </w:t>
      </w:r>
      <w:r w:rsidR="003066E2" w:rsidRPr="00EB00D9">
        <w:rPr>
          <w:rFonts w:ascii="Book Antiqua" w:eastAsia="宋体" w:hAnsi="Book Antiqua" w:cs="宋体"/>
          <w:b/>
          <w:bCs/>
          <w:sz w:val="24"/>
          <w:szCs w:val="24"/>
          <w:lang w:eastAsia="zh-CN"/>
        </w:rPr>
        <w:t>20</w:t>
      </w:r>
      <w:r w:rsidR="003066E2" w:rsidRPr="00EB00D9">
        <w:rPr>
          <w:rFonts w:ascii="Book Antiqua" w:eastAsia="宋体" w:hAnsi="Book Antiqua" w:cs="宋体"/>
          <w:sz w:val="24"/>
          <w:szCs w:val="24"/>
          <w:lang w:eastAsia="zh-CN"/>
        </w:rPr>
        <w:t>: 1086-1094 [PMID: 24323817</w:t>
      </w:r>
      <w:r w:rsidR="003527F0" w:rsidRPr="00EB00D9">
        <w:rPr>
          <w:rFonts w:ascii="Book Antiqua" w:eastAsia="宋体" w:hAnsi="Book Antiqua" w:cs="宋体"/>
          <w:sz w:val="24"/>
          <w:szCs w:val="24"/>
          <w:lang w:eastAsia="zh-CN"/>
        </w:rPr>
        <w:t xml:space="preserve"> DOI: 10.1177/1352458513515085</w:t>
      </w:r>
      <w:r w:rsidR="003066E2" w:rsidRPr="00EB00D9">
        <w:rPr>
          <w:rFonts w:ascii="Book Antiqua" w:eastAsia="宋体" w:hAnsi="Book Antiqua" w:cs="宋体"/>
          <w:sz w:val="24"/>
          <w:szCs w:val="24"/>
          <w:lang w:eastAsia="zh-CN"/>
        </w:rPr>
        <w:t>]</w:t>
      </w:r>
    </w:p>
    <w:p w:rsidR="003066E2" w:rsidRDefault="003066E2" w:rsidP="003066E2">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4</w:t>
      </w:r>
      <w:r w:rsidR="00AF0787">
        <w:rPr>
          <w:rFonts w:ascii="Book Antiqua" w:eastAsia="宋体" w:hAnsi="Book Antiqua" w:cs="宋体" w:hint="eastAsia"/>
          <w:sz w:val="24"/>
          <w:szCs w:val="24"/>
          <w:lang w:eastAsia="zh-CN"/>
        </w:rPr>
        <w:t>8</w:t>
      </w:r>
      <w:r w:rsidRPr="00EB00D9">
        <w:rPr>
          <w:rFonts w:ascii="Book Antiqua" w:eastAsia="宋体" w:hAnsi="Book Antiqua" w:cs="宋体"/>
          <w:sz w:val="24"/>
          <w:szCs w:val="24"/>
          <w:lang w:eastAsia="zh-CN"/>
        </w:rPr>
        <w:t> </w:t>
      </w:r>
      <w:r w:rsidRPr="00EB00D9">
        <w:rPr>
          <w:rFonts w:ascii="Book Antiqua" w:eastAsia="宋体" w:hAnsi="Book Antiqua" w:cs="宋体"/>
          <w:b/>
          <w:bCs/>
          <w:sz w:val="24"/>
          <w:szCs w:val="24"/>
          <w:lang w:eastAsia="zh-CN"/>
        </w:rPr>
        <w:t>van Vollenhoven RF</w:t>
      </w:r>
      <w:r w:rsidRPr="00EB00D9">
        <w:rPr>
          <w:rFonts w:ascii="Book Antiqua" w:eastAsia="宋体" w:hAnsi="Book Antiqua" w:cs="宋体"/>
          <w:sz w:val="24"/>
          <w:szCs w:val="24"/>
          <w:lang w:eastAsia="zh-CN"/>
        </w:rPr>
        <w:t>, Emery P, Bingham CO, Keystone EC, Fleischmann RM, Furst DE, Tyson N, Collinson N, Lehane PB. Long-term safety of rituximab in rheumatoid arthritis: 9.5-year follow-up of the global clinical trial programme with a focus on adverse events of interest in RA patients. </w:t>
      </w:r>
      <w:r w:rsidRPr="00EB00D9">
        <w:rPr>
          <w:rFonts w:ascii="Book Antiqua" w:eastAsia="宋体" w:hAnsi="Book Antiqua" w:cs="宋体"/>
          <w:i/>
          <w:iCs/>
          <w:sz w:val="24"/>
          <w:szCs w:val="24"/>
          <w:lang w:eastAsia="zh-CN"/>
        </w:rPr>
        <w:t>Ann Rheum Dis</w:t>
      </w:r>
      <w:r w:rsidRPr="00EB00D9">
        <w:rPr>
          <w:rFonts w:ascii="Book Antiqua" w:eastAsia="宋体" w:hAnsi="Book Antiqua" w:cs="宋体"/>
          <w:sz w:val="24"/>
          <w:szCs w:val="24"/>
          <w:lang w:eastAsia="zh-CN"/>
        </w:rPr>
        <w:t> 2013; </w:t>
      </w:r>
      <w:r w:rsidRPr="00EB00D9">
        <w:rPr>
          <w:rFonts w:ascii="Book Antiqua" w:eastAsia="宋体" w:hAnsi="Book Antiqua" w:cs="宋体"/>
          <w:b/>
          <w:bCs/>
          <w:sz w:val="24"/>
          <w:szCs w:val="24"/>
          <w:lang w:eastAsia="zh-CN"/>
        </w:rPr>
        <w:t>72</w:t>
      </w:r>
      <w:r w:rsidRPr="00EB00D9">
        <w:rPr>
          <w:rFonts w:ascii="Book Antiqua" w:eastAsia="宋体" w:hAnsi="Book Antiqua" w:cs="宋体"/>
          <w:sz w:val="24"/>
          <w:szCs w:val="24"/>
          <w:lang w:eastAsia="zh-CN"/>
        </w:rPr>
        <w:t>: 1496-1502 [PMID: 23136242]</w:t>
      </w:r>
    </w:p>
    <w:p w:rsidR="00AF0787" w:rsidRPr="00EB00D9" w:rsidRDefault="00AF0787" w:rsidP="00AF0787">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 xml:space="preserve">49 </w:t>
      </w:r>
      <w:r w:rsidRPr="00EB00D9">
        <w:rPr>
          <w:rFonts w:ascii="Book Antiqua" w:hAnsi="Book Antiqua" w:cs="Arial"/>
          <w:b/>
          <w:sz w:val="24"/>
          <w:szCs w:val="24"/>
        </w:rPr>
        <w:t xml:space="preserve">Weinfurtner K, </w:t>
      </w:r>
      <w:r w:rsidRPr="00EB00D9">
        <w:rPr>
          <w:rFonts w:ascii="Book Antiqua" w:hAnsi="Book Antiqua" w:cs="Arial"/>
          <w:sz w:val="24"/>
          <w:szCs w:val="24"/>
        </w:rPr>
        <w:t>Graves J, Ness J, Krupp L, Milazzo M, Waubant E.</w:t>
      </w:r>
      <w:r w:rsidRPr="00EB00D9">
        <w:rPr>
          <w:rFonts w:ascii="Book Antiqua" w:eastAsia="宋体" w:hAnsi="Book Antiqua" w:cs="宋体"/>
          <w:sz w:val="24"/>
          <w:szCs w:val="24"/>
          <w:lang w:eastAsia="zh-CN"/>
        </w:rPr>
        <w:t xml:space="preserve"> Prolonged Remission in Neuromyelitis Optica Following Cessation of Rituximab Treatment. </w:t>
      </w:r>
      <w:r w:rsidRPr="00EB00D9">
        <w:rPr>
          <w:rFonts w:ascii="Book Antiqua" w:eastAsia="宋体" w:hAnsi="Book Antiqua" w:cs="宋体"/>
          <w:i/>
          <w:iCs/>
          <w:sz w:val="24"/>
          <w:szCs w:val="24"/>
          <w:lang w:eastAsia="zh-CN"/>
        </w:rPr>
        <w:t>J Child Neurol</w:t>
      </w:r>
      <w:r w:rsidRPr="00EB00D9">
        <w:rPr>
          <w:rFonts w:ascii="Book Antiqua" w:eastAsia="宋体" w:hAnsi="Book Antiqua" w:cs="宋体"/>
          <w:sz w:val="24"/>
          <w:szCs w:val="24"/>
          <w:lang w:eastAsia="zh-CN"/>
        </w:rPr>
        <w:t> 2014;</w:t>
      </w:r>
      <w:r w:rsidRPr="00EB00D9">
        <w:rPr>
          <w:rFonts w:ascii="Book Antiqua" w:hAnsi="Book Antiqua" w:cs="Arial"/>
          <w:sz w:val="24"/>
          <w:szCs w:val="24"/>
        </w:rPr>
        <w:t xml:space="preserve"> pii: 088307381455397 </w:t>
      </w:r>
      <w:r w:rsidRPr="00EB00D9">
        <w:rPr>
          <w:rFonts w:ascii="Book Antiqua" w:eastAsia="宋体" w:hAnsi="Book Antiqua" w:cs="宋体"/>
          <w:sz w:val="24"/>
          <w:szCs w:val="24"/>
          <w:lang w:eastAsia="zh-CN"/>
        </w:rPr>
        <w:t>[PMID: 25387545]</w:t>
      </w:r>
    </w:p>
    <w:p w:rsidR="00AF0787" w:rsidRPr="00EB00D9" w:rsidRDefault="00AF0787" w:rsidP="00AF0787">
      <w:pPr>
        <w:spacing w:after="0" w:line="360" w:lineRule="auto"/>
        <w:jc w:val="both"/>
        <w:rPr>
          <w:rFonts w:ascii="Book Antiqua" w:eastAsia="宋体" w:hAnsi="Book Antiqua" w:cs="宋体"/>
          <w:sz w:val="24"/>
          <w:szCs w:val="24"/>
          <w:lang w:eastAsia="zh-CN"/>
        </w:rPr>
      </w:pPr>
      <w:r w:rsidRPr="00EB00D9">
        <w:rPr>
          <w:rFonts w:ascii="Book Antiqua" w:eastAsia="宋体" w:hAnsi="Book Antiqua" w:cs="宋体"/>
          <w:sz w:val="24"/>
          <w:szCs w:val="24"/>
          <w:lang w:eastAsia="zh-CN"/>
        </w:rPr>
        <w:t>50</w:t>
      </w:r>
      <w:r w:rsidRPr="00EB00D9">
        <w:rPr>
          <w:rFonts w:ascii="Book Antiqua" w:eastAsia="宋体" w:hAnsi="Book Antiqua" w:cs="宋体"/>
          <w:b/>
          <w:sz w:val="24"/>
          <w:szCs w:val="24"/>
          <w:lang w:eastAsia="zh-CN"/>
        </w:rPr>
        <w:t xml:space="preserve"> ClinicalTrials.gov.</w:t>
      </w:r>
      <w:r w:rsidRPr="00EB00D9">
        <w:rPr>
          <w:rFonts w:ascii="Book Antiqua" w:eastAsia="宋体" w:hAnsi="Book Antiqua" w:cs="宋体"/>
          <w:sz w:val="24"/>
          <w:szCs w:val="24"/>
          <w:lang w:eastAsia="zh-CN"/>
        </w:rPr>
        <w:t xml:space="preserve"> A Double-masked, Placebo-controlled Study With Open Label Period to Evaluate MEDI-551 in Neuromyelitis Optica and Neuromyelitis Optica Spectrum Disorders</w:t>
      </w:r>
      <w:r w:rsidR="004E41CA">
        <w:rPr>
          <w:rFonts w:ascii="Book Antiqua" w:eastAsia="宋体" w:hAnsi="Book Antiqua" w:cs="宋体"/>
          <w:sz w:val="24"/>
          <w:szCs w:val="24"/>
          <w:lang w:eastAsia="zh-CN"/>
        </w:rPr>
        <w:t>.</w:t>
      </w:r>
      <w:r w:rsidRPr="00EB00D9">
        <w:rPr>
          <w:rFonts w:ascii="Book Antiqua" w:eastAsia="宋体" w:hAnsi="Book Antiqua" w:cs="宋体" w:hint="eastAsia"/>
          <w:sz w:val="24"/>
          <w:szCs w:val="24"/>
          <w:lang w:eastAsia="zh-CN"/>
        </w:rPr>
        <w:t xml:space="preserve"> </w:t>
      </w:r>
      <w:r w:rsidRPr="00EB00D9">
        <w:rPr>
          <w:rFonts w:ascii="Book Antiqua" w:eastAsia="宋体" w:hAnsi="Book Antiqua" w:cs="宋体"/>
          <w:sz w:val="24"/>
          <w:szCs w:val="24"/>
          <w:lang w:eastAsia="zh-CN"/>
        </w:rPr>
        <w:t>[Accessed 2015</w:t>
      </w:r>
      <w:r w:rsidR="004E41CA">
        <w:rPr>
          <w:rFonts w:ascii="Book Antiqua" w:eastAsia="宋体" w:hAnsi="Book Antiqua" w:cs="宋体"/>
          <w:sz w:val="24"/>
          <w:szCs w:val="24"/>
          <w:lang w:eastAsia="zh-CN"/>
        </w:rPr>
        <w:t xml:space="preserve"> </w:t>
      </w:r>
      <w:r w:rsidR="004E41CA">
        <w:rPr>
          <w:rFonts w:ascii="Book Antiqua" w:eastAsia="宋体" w:hAnsi="Book Antiqua" w:cs="宋体"/>
          <w:sz w:val="24"/>
          <w:szCs w:val="24"/>
          <w:lang w:eastAsia="zh-CN"/>
        </w:rPr>
        <w:t>January</w:t>
      </w:r>
      <w:r w:rsidR="004E41CA">
        <w:rPr>
          <w:rFonts w:ascii="Book Antiqua" w:eastAsia="宋体" w:hAnsi="Book Antiqua" w:cs="宋体"/>
          <w:sz w:val="24"/>
          <w:szCs w:val="24"/>
          <w:lang w:eastAsia="zh-CN"/>
        </w:rPr>
        <w:t xml:space="preserve"> 6</w:t>
      </w:r>
      <w:bookmarkStart w:id="4" w:name="_GoBack"/>
      <w:bookmarkEnd w:id="4"/>
      <w:r w:rsidRPr="00EB00D9">
        <w:rPr>
          <w:rFonts w:ascii="Book Antiqua" w:eastAsia="宋体" w:hAnsi="Book Antiqua" w:cs="宋体"/>
          <w:sz w:val="24"/>
          <w:szCs w:val="24"/>
          <w:lang w:eastAsia="zh-CN"/>
        </w:rPr>
        <w:t xml:space="preserve">]. </w:t>
      </w:r>
      <w:r w:rsidRPr="00EB00D9">
        <w:rPr>
          <w:rFonts w:ascii="Book Antiqua" w:hAnsi="Book Antiqua"/>
          <w:sz w:val="24"/>
          <w:szCs w:val="24"/>
        </w:rPr>
        <w:t>Available from: URL:</w:t>
      </w:r>
      <w:r w:rsidRPr="00EB00D9">
        <w:rPr>
          <w:rFonts w:ascii="Book Antiqua" w:hAnsi="Book Antiqua" w:hint="eastAsia"/>
          <w:sz w:val="24"/>
          <w:szCs w:val="24"/>
          <w:lang w:eastAsia="zh-CN"/>
        </w:rPr>
        <w:t xml:space="preserve"> </w:t>
      </w:r>
      <w:r w:rsidRPr="00EB00D9">
        <w:rPr>
          <w:rFonts w:ascii="Book Antiqua" w:eastAsia="宋体" w:hAnsi="Book Antiqua" w:cs="宋体"/>
          <w:sz w:val="24"/>
          <w:szCs w:val="24"/>
          <w:lang w:eastAsia="zh-CN"/>
        </w:rPr>
        <w:t>https: //clinicaltrials.gov/ct2/show/NCT02200770.</w:t>
      </w:r>
    </w:p>
    <w:p w:rsidR="003066E2" w:rsidRPr="00EB00D9" w:rsidRDefault="00AF0787" w:rsidP="003066E2">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51</w:t>
      </w:r>
      <w:r w:rsidR="003066E2" w:rsidRPr="00EB00D9">
        <w:rPr>
          <w:rFonts w:ascii="Book Antiqua" w:eastAsia="宋体" w:hAnsi="Book Antiqua" w:cs="宋体"/>
          <w:sz w:val="24"/>
          <w:szCs w:val="24"/>
          <w:lang w:eastAsia="zh-CN"/>
        </w:rPr>
        <w:t> </w:t>
      </w:r>
      <w:r w:rsidR="003066E2" w:rsidRPr="00EB00D9">
        <w:rPr>
          <w:rFonts w:ascii="Book Antiqua" w:eastAsia="宋体" w:hAnsi="Book Antiqua" w:cs="宋体"/>
          <w:b/>
          <w:bCs/>
          <w:sz w:val="24"/>
          <w:szCs w:val="24"/>
          <w:lang w:eastAsia="zh-CN"/>
        </w:rPr>
        <w:t>von Elm E</w:t>
      </w:r>
      <w:r w:rsidR="003066E2" w:rsidRPr="00EB00D9">
        <w:rPr>
          <w:rFonts w:ascii="Book Antiqua" w:eastAsia="宋体" w:hAnsi="Book Antiqua" w:cs="宋体"/>
          <w:sz w:val="24"/>
          <w:szCs w:val="24"/>
          <w:lang w:eastAsia="zh-CN"/>
        </w:rPr>
        <w:t>, Altman DG, Egger M, Pocock SJ, Gøtzsche PC, Vandenbroucke JP. The Strengthening the Reporting of Observational Studies in Epidemiology (STROBE) statement: guidelines for reporting observational studies. </w:t>
      </w:r>
      <w:r w:rsidR="003066E2" w:rsidRPr="00EB00D9">
        <w:rPr>
          <w:rFonts w:ascii="Book Antiqua" w:eastAsia="宋体" w:hAnsi="Book Antiqua" w:cs="宋体"/>
          <w:i/>
          <w:iCs/>
          <w:sz w:val="24"/>
          <w:szCs w:val="24"/>
          <w:lang w:eastAsia="zh-CN"/>
        </w:rPr>
        <w:t>Prev Med</w:t>
      </w:r>
      <w:r w:rsidR="003066E2" w:rsidRPr="00EB00D9">
        <w:rPr>
          <w:rFonts w:ascii="Book Antiqua" w:eastAsia="宋体" w:hAnsi="Book Antiqua" w:cs="宋体"/>
          <w:sz w:val="24"/>
          <w:szCs w:val="24"/>
          <w:lang w:eastAsia="zh-CN"/>
        </w:rPr>
        <w:t> 2007; </w:t>
      </w:r>
      <w:r w:rsidR="003066E2" w:rsidRPr="00EB00D9">
        <w:rPr>
          <w:rFonts w:ascii="Book Antiqua" w:eastAsia="宋体" w:hAnsi="Book Antiqua" w:cs="宋体"/>
          <w:b/>
          <w:bCs/>
          <w:sz w:val="24"/>
          <w:szCs w:val="24"/>
          <w:lang w:eastAsia="zh-CN"/>
        </w:rPr>
        <w:t>45</w:t>
      </w:r>
      <w:r w:rsidR="003066E2" w:rsidRPr="00EB00D9">
        <w:rPr>
          <w:rFonts w:ascii="Book Antiqua" w:eastAsia="宋体" w:hAnsi="Book Antiqua" w:cs="宋体"/>
          <w:sz w:val="24"/>
          <w:szCs w:val="24"/>
          <w:lang w:eastAsia="zh-CN"/>
        </w:rPr>
        <w:t>: 247-251 [PMID: 17950122 DOI: 10.1016/j.ypmed.2007.08.012]</w:t>
      </w:r>
    </w:p>
    <w:p w:rsidR="0095492E" w:rsidRPr="00EB00D9" w:rsidRDefault="0095492E" w:rsidP="003066E2">
      <w:pPr>
        <w:spacing w:after="0" w:line="360" w:lineRule="auto"/>
        <w:jc w:val="both"/>
        <w:rPr>
          <w:rFonts w:ascii="Book Antiqua" w:hAnsi="Book Antiqua" w:cs="Arial"/>
          <w:b/>
          <w:sz w:val="24"/>
          <w:szCs w:val="24"/>
          <w:lang w:eastAsia="zh-CN"/>
        </w:rPr>
      </w:pPr>
    </w:p>
    <w:p w:rsidR="0095492E" w:rsidRPr="00EB00D9" w:rsidRDefault="0095492E" w:rsidP="003527F0">
      <w:pPr>
        <w:pStyle w:val="PlainText"/>
        <w:spacing w:line="360" w:lineRule="auto"/>
        <w:jc w:val="right"/>
        <w:rPr>
          <w:rFonts w:ascii="Book Antiqua" w:hAnsi="Book Antiqua"/>
          <w:b/>
          <w:sz w:val="24"/>
          <w:szCs w:val="24"/>
        </w:rPr>
      </w:pPr>
      <w:r w:rsidRPr="00EB00D9">
        <w:rPr>
          <w:rFonts w:ascii="Book Antiqua" w:hAnsi="Book Antiqua"/>
          <w:b/>
          <w:sz w:val="24"/>
          <w:szCs w:val="24"/>
        </w:rPr>
        <w:t xml:space="preserve">P-Reviewer: </w:t>
      </w:r>
      <w:r w:rsidRPr="00EB00D9">
        <w:rPr>
          <w:rFonts w:ascii="Book Antiqua" w:hAnsi="Book Antiqua" w:cs="Tahoma"/>
          <w:sz w:val="24"/>
          <w:szCs w:val="24"/>
        </w:rPr>
        <w:t xml:space="preserve">Cid J, Prakash N, Yang L </w:t>
      </w:r>
      <w:r w:rsidRPr="00EB00D9">
        <w:rPr>
          <w:rFonts w:ascii="Book Antiqua" w:hAnsi="Book Antiqua"/>
          <w:b/>
          <w:sz w:val="24"/>
          <w:szCs w:val="24"/>
        </w:rPr>
        <w:t xml:space="preserve">S-Editor: </w:t>
      </w:r>
      <w:r w:rsidRPr="00EB00D9">
        <w:rPr>
          <w:rFonts w:ascii="Book Antiqua" w:hAnsi="Book Antiqua"/>
          <w:sz w:val="24"/>
          <w:szCs w:val="24"/>
        </w:rPr>
        <w:t>Ji FF</w:t>
      </w:r>
      <w:r w:rsidRPr="00EB00D9">
        <w:rPr>
          <w:rFonts w:ascii="Book Antiqua" w:hAnsi="Book Antiqua"/>
          <w:b/>
          <w:sz w:val="24"/>
          <w:szCs w:val="24"/>
        </w:rPr>
        <w:t xml:space="preserve"> L-Editor: E-Editor:</w:t>
      </w:r>
    </w:p>
    <w:p w:rsidR="0095492E" w:rsidRPr="00EB00D9" w:rsidRDefault="0095492E" w:rsidP="000F62D6">
      <w:pPr>
        <w:spacing w:after="0" w:line="360" w:lineRule="auto"/>
        <w:jc w:val="both"/>
        <w:rPr>
          <w:rFonts w:ascii="Book Antiqua" w:hAnsi="Book Antiqua"/>
          <w:sz w:val="24"/>
          <w:szCs w:val="24"/>
          <w:lang w:eastAsia="zh-CN"/>
        </w:rPr>
      </w:pPr>
    </w:p>
    <w:p w:rsidR="0095492E" w:rsidRPr="00EB00D9" w:rsidRDefault="0095492E" w:rsidP="000F62D6">
      <w:pPr>
        <w:spacing w:after="0" w:line="360" w:lineRule="auto"/>
        <w:jc w:val="both"/>
        <w:rPr>
          <w:rFonts w:ascii="Book Antiqua" w:hAnsi="Book Antiqua"/>
          <w:b/>
          <w:sz w:val="24"/>
          <w:szCs w:val="24"/>
          <w:lang w:eastAsia="zh-CN"/>
        </w:rPr>
      </w:pPr>
      <w:r w:rsidRPr="00EB00D9">
        <w:rPr>
          <w:rFonts w:ascii="Book Antiqua" w:hAnsi="Book Antiqua"/>
          <w:b/>
          <w:sz w:val="24"/>
          <w:szCs w:val="24"/>
        </w:rPr>
        <w:t>Table 1</w:t>
      </w:r>
      <w:r w:rsidR="00120E34" w:rsidRPr="00EB00D9">
        <w:rPr>
          <w:rFonts w:ascii="Book Antiqua" w:hAnsi="Book Antiqua"/>
          <w:b/>
          <w:sz w:val="24"/>
          <w:szCs w:val="24"/>
        </w:rPr>
        <w:t xml:space="preserve"> </w:t>
      </w:r>
      <w:r w:rsidRPr="00EB00D9">
        <w:rPr>
          <w:rFonts w:ascii="Book Antiqua" w:hAnsi="Book Antiqua"/>
          <w:b/>
          <w:sz w:val="24"/>
          <w:szCs w:val="24"/>
        </w:rPr>
        <w:t xml:space="preserve">Case series of Rituximab in </w:t>
      </w:r>
      <w:r w:rsidRPr="00EB00D9">
        <w:rPr>
          <w:rFonts w:ascii="Book Antiqua" w:hAnsi="Book Antiqua"/>
          <w:b/>
          <w:bCs/>
          <w:sz w:val="24"/>
          <w:szCs w:val="24"/>
        </w:rPr>
        <w:t>Neuromyelitis optica</w:t>
      </w:r>
    </w:p>
    <w:p w:rsidR="00120E34" w:rsidRPr="00EB00D9" w:rsidRDefault="00120E34" w:rsidP="000F62D6">
      <w:pPr>
        <w:spacing w:after="0" w:line="360" w:lineRule="auto"/>
        <w:jc w:val="both"/>
        <w:rPr>
          <w:rFonts w:ascii="Book Antiqua" w:hAnsi="Book Antiqua"/>
          <w:sz w:val="24"/>
          <w:szCs w:val="24"/>
        </w:rPr>
        <w:sectPr w:rsidR="00120E34" w:rsidRPr="00EB00D9" w:rsidSect="003578AB">
          <w:footerReference w:type="even" r:id="rId32"/>
          <w:footerReference w:type="default" r:id="rId33"/>
          <w:pgSz w:w="12240" w:h="15840"/>
          <w:pgMar w:top="1440" w:right="1440" w:bottom="1440" w:left="1440" w:header="720" w:footer="720" w:gutter="0"/>
          <w:cols w:space="720"/>
          <w:docGrid w:linePitch="360"/>
        </w:sectPr>
      </w:pPr>
    </w:p>
    <w:tbl>
      <w:tblPr>
        <w:tblW w:w="13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267"/>
        <w:gridCol w:w="1783"/>
        <w:gridCol w:w="988"/>
        <w:gridCol w:w="937"/>
        <w:gridCol w:w="1390"/>
        <w:gridCol w:w="1346"/>
        <w:gridCol w:w="1478"/>
        <w:gridCol w:w="1156"/>
        <w:gridCol w:w="1233"/>
        <w:gridCol w:w="1120"/>
      </w:tblGrid>
      <w:tr w:rsidR="00EB00D9" w:rsidRPr="00EB00D9">
        <w:trPr>
          <w:trHeight w:val="865"/>
        </w:trPr>
        <w:tc>
          <w:tcPr>
            <w:tcW w:w="781" w:type="dxa"/>
          </w:tcPr>
          <w:p w:rsidR="00120E34" w:rsidRPr="00EB00D9" w:rsidRDefault="003066E2" w:rsidP="000F62D6">
            <w:pPr>
              <w:spacing w:after="0" w:line="360" w:lineRule="auto"/>
              <w:jc w:val="both"/>
              <w:rPr>
                <w:rFonts w:ascii="Book Antiqua" w:hAnsi="Book Antiqua"/>
                <w:sz w:val="24"/>
                <w:szCs w:val="24"/>
              </w:rPr>
            </w:pPr>
            <w:r w:rsidRPr="00EB00D9">
              <w:rPr>
                <w:rFonts w:ascii="Book Antiqua" w:hAnsi="Book Antiqua"/>
                <w:sz w:val="24"/>
                <w:szCs w:val="24"/>
              </w:rPr>
              <w:t xml:space="preserve">  </w:t>
            </w:r>
            <w:r w:rsidR="00120E34" w:rsidRPr="00EB00D9">
              <w:rPr>
                <w:rFonts w:ascii="Book Antiqua" w:hAnsi="Book Antiqua"/>
                <w:sz w:val="24"/>
                <w:szCs w:val="24"/>
              </w:rPr>
              <w:t xml:space="preserve"> Year</w:t>
            </w:r>
          </w:p>
          <w:p w:rsidR="00120E34" w:rsidRPr="00EB00D9" w:rsidRDefault="00120E34" w:rsidP="000F62D6">
            <w:pPr>
              <w:spacing w:after="0" w:line="360" w:lineRule="auto"/>
              <w:jc w:val="both"/>
              <w:rPr>
                <w:rFonts w:ascii="Book Antiqua" w:hAnsi="Book Antiqua"/>
                <w:sz w:val="24"/>
                <w:szCs w:val="24"/>
              </w:rPr>
            </w:pPr>
          </w:p>
          <w:p w:rsidR="00120E34" w:rsidRPr="00EB00D9" w:rsidRDefault="00120E34" w:rsidP="000F62D6">
            <w:pPr>
              <w:spacing w:after="0" w:line="360" w:lineRule="auto"/>
              <w:jc w:val="both"/>
              <w:rPr>
                <w:rFonts w:ascii="Book Antiqua" w:hAnsi="Book Antiqua"/>
                <w:sz w:val="24"/>
                <w:szCs w:val="24"/>
              </w:rPr>
            </w:pPr>
          </w:p>
        </w:tc>
        <w:tc>
          <w:tcPr>
            <w:tcW w:w="1076" w:type="dxa"/>
          </w:tcPr>
          <w:p w:rsidR="00120E34" w:rsidRPr="00EB00D9" w:rsidRDefault="00983DFD" w:rsidP="000F62D6">
            <w:pPr>
              <w:spacing w:after="0" w:line="360" w:lineRule="auto"/>
              <w:jc w:val="both"/>
              <w:rPr>
                <w:rFonts w:ascii="Book Antiqua" w:hAnsi="Book Antiqua"/>
                <w:sz w:val="24"/>
                <w:szCs w:val="24"/>
                <w:lang w:eastAsia="zh-CN"/>
              </w:rPr>
            </w:pPr>
            <w:r w:rsidRPr="00EB00D9">
              <w:rPr>
                <w:rFonts w:ascii="Book Antiqua" w:hAnsi="Book Antiqua"/>
                <w:sz w:val="24"/>
                <w:szCs w:val="24"/>
                <w:lang w:eastAsia="zh-CN"/>
              </w:rPr>
              <w:t>Ref</w:t>
            </w:r>
            <w:r w:rsidRPr="00EB00D9">
              <w:rPr>
                <w:rFonts w:ascii="Book Antiqua" w:hAnsi="Book Antiqua" w:hint="eastAsia"/>
                <w:sz w:val="24"/>
                <w:szCs w:val="24"/>
                <w:lang w:eastAsia="zh-CN"/>
              </w:rPr>
              <w:t>.</w:t>
            </w:r>
          </w:p>
        </w:tc>
        <w:tc>
          <w:tcPr>
            <w:tcW w:w="1276"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 xml:space="preserve">Country; Type of </w:t>
            </w:r>
            <w:r w:rsidR="00983DFD" w:rsidRPr="00EB00D9">
              <w:rPr>
                <w:rFonts w:ascii="Book Antiqua" w:hAnsi="Book Antiqua"/>
                <w:sz w:val="24"/>
                <w:szCs w:val="24"/>
              </w:rPr>
              <w:t>s</w:t>
            </w:r>
            <w:r w:rsidRPr="00EB00D9">
              <w:rPr>
                <w:rFonts w:ascii="Book Antiqua" w:hAnsi="Book Antiqua"/>
                <w:sz w:val="24"/>
                <w:szCs w:val="24"/>
              </w:rPr>
              <w:t>tudy</w:t>
            </w:r>
          </w:p>
        </w:tc>
        <w:tc>
          <w:tcPr>
            <w:tcW w:w="1008" w:type="dxa"/>
          </w:tcPr>
          <w:p w:rsidR="00120E34" w:rsidRPr="00EB00D9" w:rsidRDefault="00120E34" w:rsidP="00983DFD">
            <w:pPr>
              <w:spacing w:after="0" w:line="360" w:lineRule="auto"/>
              <w:jc w:val="both"/>
              <w:rPr>
                <w:rFonts w:ascii="Book Antiqua" w:hAnsi="Book Antiqua"/>
                <w:sz w:val="24"/>
                <w:szCs w:val="24"/>
              </w:rPr>
            </w:pPr>
            <w:r w:rsidRPr="00EB00D9">
              <w:rPr>
                <w:rFonts w:ascii="Book Antiqua" w:hAnsi="Book Antiqua"/>
                <w:sz w:val="24"/>
                <w:szCs w:val="24"/>
              </w:rPr>
              <w:t>N</w:t>
            </w:r>
            <w:r w:rsidR="00983DFD" w:rsidRPr="00EB00D9">
              <w:rPr>
                <w:rFonts w:ascii="Book Antiqua" w:hAnsi="Book Antiqua" w:hint="eastAsia"/>
                <w:sz w:val="24"/>
                <w:szCs w:val="24"/>
                <w:lang w:eastAsia="zh-CN"/>
              </w:rPr>
              <w:t>o.</w:t>
            </w:r>
            <w:r w:rsidRPr="00EB00D9">
              <w:rPr>
                <w:rFonts w:ascii="Book Antiqua" w:hAnsi="Book Antiqua"/>
                <w:sz w:val="24"/>
                <w:szCs w:val="24"/>
              </w:rPr>
              <w:t xml:space="preserve"> of patients</w:t>
            </w:r>
            <w:r w:rsidR="003066E2" w:rsidRPr="00EB00D9">
              <w:rPr>
                <w:rFonts w:ascii="Book Antiqua" w:hAnsi="Book Antiqua"/>
                <w:sz w:val="24"/>
                <w:szCs w:val="24"/>
              </w:rPr>
              <w:t xml:space="preserve">       </w:t>
            </w:r>
            <w:r w:rsidRPr="00EB00D9">
              <w:rPr>
                <w:rFonts w:ascii="Book Antiqua" w:hAnsi="Book Antiqua"/>
                <w:sz w:val="24"/>
                <w:szCs w:val="24"/>
              </w:rPr>
              <w:t>(Total =</w:t>
            </w:r>
            <w:r w:rsidR="00983DFD" w:rsidRPr="00EB00D9">
              <w:rPr>
                <w:rFonts w:ascii="Book Antiqua" w:hAnsi="Book Antiqua" w:hint="eastAsia"/>
                <w:sz w:val="24"/>
                <w:szCs w:val="24"/>
                <w:lang w:eastAsia="zh-CN"/>
              </w:rPr>
              <w:t xml:space="preserve"> </w:t>
            </w:r>
            <w:r w:rsidRPr="00EB00D9">
              <w:rPr>
                <w:rFonts w:ascii="Book Antiqua" w:hAnsi="Book Antiqua"/>
                <w:sz w:val="24"/>
                <w:szCs w:val="24"/>
              </w:rPr>
              <w:t>209)</w:t>
            </w:r>
          </w:p>
        </w:tc>
        <w:tc>
          <w:tcPr>
            <w:tcW w:w="1008"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Mean age at RTX;</w:t>
            </w:r>
            <w:r w:rsidR="003066E2" w:rsidRPr="00EB00D9">
              <w:rPr>
                <w:rFonts w:ascii="Book Antiqua" w:hAnsi="Book Antiqua"/>
                <w:sz w:val="24"/>
                <w:szCs w:val="24"/>
              </w:rPr>
              <w:t xml:space="preserve">   </w:t>
            </w:r>
            <w:r w:rsidRPr="00EB00D9">
              <w:rPr>
                <w:rFonts w:ascii="Book Antiqua" w:hAnsi="Book Antiqua"/>
                <w:sz w:val="24"/>
                <w:szCs w:val="24"/>
              </w:rPr>
              <w:t xml:space="preserve"> % Female</w:t>
            </w:r>
          </w:p>
        </w:tc>
        <w:tc>
          <w:tcPr>
            <w:tcW w:w="1205"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 Anti-AQP4 Ab seropositive</w:t>
            </w:r>
          </w:p>
        </w:tc>
        <w:tc>
          <w:tcPr>
            <w:tcW w:w="1203"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RTX Protocol /</w:t>
            </w:r>
            <w:r w:rsidR="003066E2" w:rsidRPr="00EB00D9">
              <w:rPr>
                <w:rFonts w:ascii="Book Antiqua" w:hAnsi="Book Antiqua"/>
                <w:sz w:val="24"/>
                <w:szCs w:val="24"/>
              </w:rPr>
              <w:t xml:space="preserve">         </w:t>
            </w:r>
            <w:r w:rsidRPr="00EB00D9">
              <w:rPr>
                <w:rFonts w:ascii="Book Antiqua" w:hAnsi="Book Antiqua"/>
                <w:sz w:val="24"/>
                <w:szCs w:val="24"/>
              </w:rPr>
              <w:t>treatment duration</w:t>
            </w:r>
          </w:p>
        </w:tc>
        <w:tc>
          <w:tcPr>
            <w:tcW w:w="1443"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 xml:space="preserve">ARR before RTX </w:t>
            </w:r>
          </w:p>
        </w:tc>
        <w:tc>
          <w:tcPr>
            <w:tcW w:w="1260"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ARR after RTX</w:t>
            </w:r>
          </w:p>
        </w:tc>
        <w:tc>
          <w:tcPr>
            <w:tcW w:w="1559"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 Relapse-free</w:t>
            </w:r>
          </w:p>
        </w:tc>
        <w:tc>
          <w:tcPr>
            <w:tcW w:w="1501"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EDSS (median) before --&gt; after RTX</w:t>
            </w:r>
          </w:p>
        </w:tc>
      </w:tr>
      <w:tr w:rsidR="00EB00D9" w:rsidRPr="00EB00D9">
        <w:trPr>
          <w:trHeight w:val="549"/>
        </w:trPr>
        <w:tc>
          <w:tcPr>
            <w:tcW w:w="781" w:type="dxa"/>
            <w:noWrap/>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2005</w:t>
            </w:r>
          </w:p>
        </w:tc>
        <w:tc>
          <w:tcPr>
            <w:tcW w:w="1076" w:type="dxa"/>
          </w:tcPr>
          <w:p w:rsidR="00120E34" w:rsidRPr="00EB00D9" w:rsidRDefault="00120E34" w:rsidP="000F62D6">
            <w:pPr>
              <w:spacing w:after="0" w:line="360" w:lineRule="auto"/>
              <w:jc w:val="both"/>
              <w:rPr>
                <w:rFonts w:ascii="Book Antiqua" w:hAnsi="Book Antiqua"/>
                <w:sz w:val="24"/>
                <w:szCs w:val="24"/>
                <w:vertAlign w:val="superscript"/>
              </w:rPr>
            </w:pPr>
            <w:r w:rsidRPr="00EB00D9">
              <w:rPr>
                <w:rFonts w:ascii="Book Antiqua" w:hAnsi="Book Antiqua"/>
                <w:sz w:val="24"/>
                <w:szCs w:val="24"/>
              </w:rPr>
              <w:t>Cree</w:t>
            </w:r>
            <w:r w:rsidR="00983DFD" w:rsidRPr="00EB00D9">
              <w:rPr>
                <w:rFonts w:ascii="Book Antiqua" w:hAnsi="Book Antiqua" w:hint="eastAsia"/>
                <w:sz w:val="24"/>
                <w:szCs w:val="24"/>
                <w:lang w:eastAsia="zh-CN"/>
              </w:rPr>
              <w:t xml:space="preserve"> </w:t>
            </w:r>
            <w:r w:rsidR="00983DFD" w:rsidRPr="00EB00D9">
              <w:rPr>
                <w:rFonts w:ascii="Book Antiqua" w:hAnsi="Book Antiqua" w:hint="eastAsia"/>
                <w:i/>
                <w:sz w:val="24"/>
                <w:szCs w:val="24"/>
                <w:lang w:eastAsia="zh-CN"/>
              </w:rPr>
              <w:t>et al</w:t>
            </w:r>
            <w:r w:rsidRPr="00EB00D9">
              <w:rPr>
                <w:rFonts w:ascii="Book Antiqua" w:hAnsi="Book Antiqua"/>
                <w:sz w:val="24"/>
                <w:szCs w:val="24"/>
                <w:vertAlign w:val="superscript"/>
              </w:rPr>
              <w:t>[20]</w:t>
            </w:r>
          </w:p>
        </w:tc>
        <w:tc>
          <w:tcPr>
            <w:tcW w:w="1276" w:type="dxa"/>
          </w:tcPr>
          <w:p w:rsidR="00120E34" w:rsidRPr="00EB00D9" w:rsidRDefault="00983DFD" w:rsidP="000F62D6">
            <w:pPr>
              <w:spacing w:after="0" w:line="360" w:lineRule="auto"/>
              <w:jc w:val="both"/>
              <w:rPr>
                <w:rFonts w:ascii="Book Antiqua" w:hAnsi="Book Antiqua"/>
                <w:sz w:val="24"/>
                <w:szCs w:val="24"/>
              </w:rPr>
            </w:pPr>
            <w:r w:rsidRPr="00EB00D9">
              <w:rPr>
                <w:rFonts w:ascii="Book Antiqua" w:hAnsi="Book Antiqua"/>
                <w:sz w:val="24"/>
                <w:szCs w:val="24"/>
              </w:rPr>
              <w:t>U</w:t>
            </w:r>
            <w:r w:rsidRPr="00EB00D9">
              <w:rPr>
                <w:rFonts w:ascii="Book Antiqua" w:hAnsi="Book Antiqua" w:hint="eastAsia"/>
                <w:sz w:val="24"/>
                <w:szCs w:val="24"/>
                <w:lang w:eastAsia="zh-CN"/>
              </w:rPr>
              <w:t xml:space="preserve">nited </w:t>
            </w:r>
            <w:r w:rsidRPr="00EB00D9">
              <w:rPr>
                <w:rFonts w:ascii="Book Antiqua" w:hAnsi="Book Antiqua"/>
                <w:sz w:val="24"/>
                <w:szCs w:val="24"/>
              </w:rPr>
              <w:t>S</w:t>
            </w:r>
            <w:r w:rsidRPr="00EB00D9">
              <w:rPr>
                <w:rFonts w:ascii="Book Antiqua" w:hAnsi="Book Antiqua" w:hint="eastAsia"/>
                <w:sz w:val="24"/>
                <w:szCs w:val="24"/>
                <w:lang w:eastAsia="zh-CN"/>
              </w:rPr>
              <w:t>tates</w:t>
            </w:r>
            <w:r w:rsidR="00120E34" w:rsidRPr="00EB00D9">
              <w:rPr>
                <w:rFonts w:ascii="Book Antiqua" w:hAnsi="Book Antiqua"/>
                <w:sz w:val="24"/>
                <w:szCs w:val="24"/>
              </w:rPr>
              <w:t>; Retrospective</w:t>
            </w:r>
          </w:p>
        </w:tc>
        <w:tc>
          <w:tcPr>
            <w:tcW w:w="1008" w:type="dxa"/>
            <w:noWrap/>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8</w:t>
            </w:r>
          </w:p>
        </w:tc>
        <w:tc>
          <w:tcPr>
            <w:tcW w:w="1008" w:type="dxa"/>
            <w:noWrap/>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37</w:t>
            </w:r>
            <w:r w:rsidR="00983DFD" w:rsidRPr="00EB00D9">
              <w:rPr>
                <w:rFonts w:ascii="Book Antiqua" w:hAnsi="Book Antiqua"/>
                <w:sz w:val="24"/>
                <w:szCs w:val="24"/>
                <w:vertAlign w:val="superscript"/>
              </w:rPr>
              <w:t>a</w:t>
            </w:r>
            <w:r w:rsidRPr="00EB00D9">
              <w:rPr>
                <w:rFonts w:ascii="Book Antiqua" w:hAnsi="Book Antiqua"/>
                <w:sz w:val="24"/>
                <w:szCs w:val="24"/>
              </w:rPr>
              <w:t xml:space="preserve">; 88% </w:t>
            </w:r>
          </w:p>
        </w:tc>
        <w:tc>
          <w:tcPr>
            <w:tcW w:w="1205"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n/a</w:t>
            </w:r>
          </w:p>
        </w:tc>
        <w:tc>
          <w:tcPr>
            <w:tcW w:w="1203"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A- treatment B- retreatment</w:t>
            </w:r>
          </w:p>
        </w:tc>
        <w:tc>
          <w:tcPr>
            <w:tcW w:w="1443"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 xml:space="preserve"> 2.6 (median)</w:t>
            </w:r>
          </w:p>
        </w:tc>
        <w:tc>
          <w:tcPr>
            <w:tcW w:w="1260"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0 (median)</w:t>
            </w:r>
          </w:p>
        </w:tc>
        <w:tc>
          <w:tcPr>
            <w:tcW w:w="1559"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75% (6/8 pts at 12 mo f/u)</w:t>
            </w:r>
          </w:p>
        </w:tc>
        <w:tc>
          <w:tcPr>
            <w:tcW w:w="1501"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7.5--&gt;</w:t>
            </w:r>
            <w:r w:rsidR="00983DFD" w:rsidRPr="00EB00D9">
              <w:rPr>
                <w:rFonts w:ascii="Book Antiqua" w:hAnsi="Book Antiqua" w:hint="eastAsia"/>
                <w:sz w:val="24"/>
                <w:szCs w:val="24"/>
                <w:lang w:eastAsia="zh-CN"/>
              </w:rPr>
              <w:t xml:space="preserve"> </w:t>
            </w:r>
            <w:r w:rsidRPr="00EB00D9">
              <w:rPr>
                <w:rFonts w:ascii="Book Antiqua" w:hAnsi="Book Antiqua"/>
                <w:sz w:val="24"/>
                <w:szCs w:val="24"/>
              </w:rPr>
              <w:t>5.5</w:t>
            </w:r>
            <w:r w:rsidR="003066E2" w:rsidRPr="00EB00D9">
              <w:rPr>
                <w:rFonts w:ascii="Book Antiqua" w:hAnsi="Book Antiqua"/>
                <w:sz w:val="24"/>
                <w:szCs w:val="24"/>
              </w:rPr>
              <w:t xml:space="preserve">  </w:t>
            </w:r>
          </w:p>
        </w:tc>
      </w:tr>
      <w:tr w:rsidR="00EB00D9" w:rsidRPr="00EB00D9">
        <w:trPr>
          <w:trHeight w:val="865"/>
        </w:trPr>
        <w:tc>
          <w:tcPr>
            <w:tcW w:w="781" w:type="dxa"/>
            <w:noWrap/>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2008</w:t>
            </w:r>
          </w:p>
        </w:tc>
        <w:tc>
          <w:tcPr>
            <w:tcW w:w="1076"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Jacob</w:t>
            </w:r>
            <w:r w:rsidR="00983DFD" w:rsidRPr="00EB00D9">
              <w:rPr>
                <w:rFonts w:ascii="Book Antiqua" w:hAnsi="Book Antiqua" w:hint="eastAsia"/>
                <w:i/>
                <w:sz w:val="24"/>
                <w:szCs w:val="24"/>
                <w:lang w:eastAsia="zh-CN"/>
              </w:rPr>
              <w:t xml:space="preserve"> et al</w:t>
            </w:r>
            <w:r w:rsidRPr="00EB00D9">
              <w:rPr>
                <w:rFonts w:ascii="Book Antiqua" w:hAnsi="Book Antiqua"/>
                <w:sz w:val="24"/>
                <w:szCs w:val="24"/>
                <w:vertAlign w:val="superscript"/>
              </w:rPr>
              <w:t>[23]</w:t>
            </w:r>
            <w:r w:rsidRPr="00EB00D9">
              <w:rPr>
                <w:rFonts w:ascii="Book Antiqua" w:hAnsi="Book Antiqua"/>
                <w:sz w:val="24"/>
                <w:szCs w:val="24"/>
              </w:rPr>
              <w:t xml:space="preserve"> </w:t>
            </w:r>
          </w:p>
        </w:tc>
        <w:tc>
          <w:tcPr>
            <w:tcW w:w="1276" w:type="dxa"/>
          </w:tcPr>
          <w:p w:rsidR="00120E34" w:rsidRPr="00EB00D9" w:rsidRDefault="00983DFD" w:rsidP="000F62D6">
            <w:pPr>
              <w:spacing w:after="0" w:line="360" w:lineRule="auto"/>
              <w:jc w:val="both"/>
              <w:rPr>
                <w:rFonts w:ascii="Book Antiqua" w:hAnsi="Book Antiqua"/>
                <w:sz w:val="24"/>
                <w:szCs w:val="24"/>
              </w:rPr>
            </w:pPr>
            <w:r w:rsidRPr="00EB00D9">
              <w:rPr>
                <w:rFonts w:ascii="Book Antiqua" w:hAnsi="Book Antiqua"/>
                <w:sz w:val="24"/>
                <w:szCs w:val="24"/>
              </w:rPr>
              <w:t>U</w:t>
            </w:r>
            <w:r w:rsidRPr="00EB00D9">
              <w:rPr>
                <w:rFonts w:ascii="Book Antiqua" w:hAnsi="Book Antiqua" w:hint="eastAsia"/>
                <w:sz w:val="24"/>
                <w:szCs w:val="24"/>
                <w:lang w:eastAsia="zh-CN"/>
              </w:rPr>
              <w:t xml:space="preserve">nited </w:t>
            </w:r>
            <w:r w:rsidRPr="00EB00D9">
              <w:rPr>
                <w:rFonts w:ascii="Book Antiqua" w:hAnsi="Book Antiqua"/>
                <w:sz w:val="24"/>
                <w:szCs w:val="24"/>
              </w:rPr>
              <w:t>S</w:t>
            </w:r>
            <w:r w:rsidRPr="00EB00D9">
              <w:rPr>
                <w:rFonts w:ascii="Book Antiqua" w:hAnsi="Book Antiqua" w:hint="eastAsia"/>
                <w:sz w:val="24"/>
                <w:szCs w:val="24"/>
                <w:lang w:eastAsia="zh-CN"/>
              </w:rPr>
              <w:t>tates</w:t>
            </w:r>
            <w:r w:rsidR="00120E34" w:rsidRPr="00EB00D9">
              <w:rPr>
                <w:rFonts w:ascii="Book Antiqua" w:hAnsi="Book Antiqua"/>
                <w:sz w:val="24"/>
                <w:szCs w:val="24"/>
              </w:rPr>
              <w:t>/England; Retrospective</w:t>
            </w:r>
          </w:p>
        </w:tc>
        <w:tc>
          <w:tcPr>
            <w:tcW w:w="1008" w:type="dxa"/>
            <w:noWrap/>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25</w:t>
            </w:r>
          </w:p>
        </w:tc>
        <w:tc>
          <w:tcPr>
            <w:tcW w:w="1008" w:type="dxa"/>
            <w:noWrap/>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43</w:t>
            </w:r>
            <w:r w:rsidR="00983DFD" w:rsidRPr="00EB00D9">
              <w:rPr>
                <w:rFonts w:ascii="Book Antiqua" w:hAnsi="Book Antiqua"/>
                <w:sz w:val="24"/>
                <w:szCs w:val="24"/>
                <w:vertAlign w:val="superscript"/>
              </w:rPr>
              <w:t>a</w:t>
            </w:r>
            <w:r w:rsidRPr="00EB00D9">
              <w:rPr>
                <w:rFonts w:ascii="Book Antiqua" w:hAnsi="Book Antiqua"/>
                <w:sz w:val="24"/>
                <w:szCs w:val="24"/>
              </w:rPr>
              <w:t xml:space="preserve">; 88% </w:t>
            </w:r>
          </w:p>
        </w:tc>
        <w:tc>
          <w:tcPr>
            <w:tcW w:w="1205"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70%</w:t>
            </w:r>
          </w:p>
        </w:tc>
        <w:tc>
          <w:tcPr>
            <w:tcW w:w="1203"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A or B; median interval between cycles-8 mo</w:t>
            </w:r>
            <w:r w:rsidR="003066E2" w:rsidRPr="00EB00D9">
              <w:rPr>
                <w:rFonts w:ascii="Book Antiqua" w:hAnsi="Book Antiqua"/>
                <w:sz w:val="24"/>
                <w:szCs w:val="24"/>
              </w:rPr>
              <w:t xml:space="preserve"> </w:t>
            </w:r>
            <w:r w:rsidRPr="00EB00D9">
              <w:rPr>
                <w:rFonts w:ascii="Book Antiqua" w:hAnsi="Book Antiqua"/>
                <w:sz w:val="24"/>
                <w:szCs w:val="24"/>
              </w:rPr>
              <w:t>19 mo follow up</w:t>
            </w:r>
          </w:p>
        </w:tc>
        <w:tc>
          <w:tcPr>
            <w:tcW w:w="1443"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1.7 (median)</w:t>
            </w:r>
            <w:r w:rsidR="003066E2" w:rsidRPr="00EB00D9">
              <w:rPr>
                <w:rFonts w:ascii="Book Antiqua" w:hAnsi="Book Antiqua"/>
                <w:sz w:val="24"/>
                <w:szCs w:val="24"/>
              </w:rPr>
              <w:t xml:space="preserve">                                       </w:t>
            </w:r>
          </w:p>
        </w:tc>
        <w:tc>
          <w:tcPr>
            <w:tcW w:w="1260"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0</w:t>
            </w:r>
            <w:r w:rsidR="003066E2" w:rsidRPr="00EB00D9">
              <w:rPr>
                <w:rFonts w:ascii="Book Antiqua" w:hAnsi="Book Antiqua"/>
                <w:sz w:val="24"/>
                <w:szCs w:val="24"/>
              </w:rPr>
              <w:t xml:space="preserve"> </w:t>
            </w:r>
            <w:r w:rsidRPr="00EB00D9">
              <w:rPr>
                <w:rFonts w:ascii="Book Antiqua" w:hAnsi="Book Antiqua"/>
                <w:sz w:val="24"/>
                <w:szCs w:val="24"/>
              </w:rPr>
              <w:t>(median)</w:t>
            </w:r>
            <w:r w:rsidR="003066E2" w:rsidRPr="00EB00D9">
              <w:rPr>
                <w:rFonts w:ascii="Book Antiqua" w:hAnsi="Book Antiqua"/>
                <w:sz w:val="24"/>
                <w:szCs w:val="24"/>
              </w:rPr>
              <w:t xml:space="preserve">                                       </w:t>
            </w:r>
          </w:p>
        </w:tc>
        <w:tc>
          <w:tcPr>
            <w:tcW w:w="1559"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72% (17/25 at 12 mo estimated)</w:t>
            </w:r>
          </w:p>
        </w:tc>
        <w:tc>
          <w:tcPr>
            <w:tcW w:w="1501"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7--&gt;</w:t>
            </w:r>
            <w:r w:rsidR="00983DFD" w:rsidRPr="00EB00D9">
              <w:rPr>
                <w:rFonts w:ascii="Book Antiqua" w:hAnsi="Book Antiqua" w:hint="eastAsia"/>
                <w:sz w:val="24"/>
                <w:szCs w:val="24"/>
                <w:lang w:eastAsia="zh-CN"/>
              </w:rPr>
              <w:t xml:space="preserve"> </w:t>
            </w:r>
            <w:r w:rsidRPr="00EB00D9">
              <w:rPr>
                <w:rFonts w:ascii="Book Antiqua" w:hAnsi="Book Antiqua"/>
                <w:sz w:val="24"/>
                <w:szCs w:val="24"/>
              </w:rPr>
              <w:t>5</w:t>
            </w:r>
            <w:r w:rsidR="003066E2" w:rsidRPr="00EB00D9">
              <w:rPr>
                <w:rFonts w:ascii="Book Antiqua" w:hAnsi="Book Antiqua"/>
                <w:sz w:val="24"/>
                <w:szCs w:val="24"/>
              </w:rPr>
              <w:t xml:space="preserve">                </w:t>
            </w:r>
            <w:r w:rsidRPr="00EB00D9">
              <w:rPr>
                <w:rFonts w:ascii="Book Antiqua" w:hAnsi="Book Antiqua"/>
                <w:sz w:val="24"/>
                <w:szCs w:val="24"/>
              </w:rPr>
              <w:t>2 patients deceased</w:t>
            </w:r>
          </w:p>
        </w:tc>
      </w:tr>
      <w:tr w:rsidR="00EB00D9" w:rsidRPr="00EB00D9">
        <w:trPr>
          <w:trHeight w:val="1263"/>
        </w:trPr>
        <w:tc>
          <w:tcPr>
            <w:tcW w:w="781" w:type="dxa"/>
            <w:noWrap/>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2011</w:t>
            </w:r>
          </w:p>
        </w:tc>
        <w:tc>
          <w:tcPr>
            <w:tcW w:w="1076" w:type="dxa"/>
          </w:tcPr>
          <w:p w:rsidR="00120E34" w:rsidRPr="00EB00D9" w:rsidRDefault="00120E34" w:rsidP="000F62D6">
            <w:pPr>
              <w:spacing w:after="0" w:line="360" w:lineRule="auto"/>
              <w:jc w:val="both"/>
              <w:rPr>
                <w:rFonts w:ascii="Book Antiqua" w:hAnsi="Book Antiqua"/>
                <w:sz w:val="24"/>
                <w:szCs w:val="24"/>
                <w:vertAlign w:val="superscript"/>
              </w:rPr>
            </w:pPr>
            <w:r w:rsidRPr="00EB00D9">
              <w:rPr>
                <w:rFonts w:ascii="Book Antiqua" w:hAnsi="Book Antiqua"/>
                <w:sz w:val="24"/>
                <w:szCs w:val="24"/>
              </w:rPr>
              <w:t>Bomprezzi</w:t>
            </w:r>
            <w:r w:rsidR="00983DFD" w:rsidRPr="00EB00D9">
              <w:rPr>
                <w:rFonts w:ascii="Book Antiqua" w:hAnsi="Book Antiqua" w:hint="eastAsia"/>
                <w:i/>
                <w:sz w:val="24"/>
                <w:szCs w:val="24"/>
                <w:lang w:eastAsia="zh-CN"/>
              </w:rPr>
              <w:t xml:space="preserve"> et al</w:t>
            </w:r>
            <w:r w:rsidR="00983DFD" w:rsidRPr="00EB00D9">
              <w:rPr>
                <w:rFonts w:ascii="Book Antiqua" w:hAnsi="Book Antiqua"/>
                <w:sz w:val="24"/>
                <w:szCs w:val="24"/>
                <w:vertAlign w:val="superscript"/>
              </w:rPr>
              <w:t>[</w:t>
            </w:r>
            <w:r w:rsidRPr="00EB00D9">
              <w:rPr>
                <w:rFonts w:ascii="Book Antiqua" w:hAnsi="Book Antiqua"/>
                <w:sz w:val="24"/>
                <w:szCs w:val="24"/>
                <w:vertAlign w:val="superscript"/>
              </w:rPr>
              <w:t>31]</w:t>
            </w:r>
          </w:p>
        </w:tc>
        <w:tc>
          <w:tcPr>
            <w:tcW w:w="1276" w:type="dxa"/>
          </w:tcPr>
          <w:p w:rsidR="00120E34" w:rsidRPr="00EB00D9" w:rsidRDefault="00983DFD" w:rsidP="000F62D6">
            <w:pPr>
              <w:spacing w:after="0" w:line="360" w:lineRule="auto"/>
              <w:jc w:val="both"/>
              <w:rPr>
                <w:rFonts w:ascii="Book Antiqua" w:hAnsi="Book Antiqua"/>
                <w:sz w:val="24"/>
                <w:szCs w:val="24"/>
              </w:rPr>
            </w:pPr>
            <w:r w:rsidRPr="00EB00D9">
              <w:rPr>
                <w:rFonts w:ascii="Book Antiqua" w:hAnsi="Book Antiqua"/>
                <w:sz w:val="24"/>
                <w:szCs w:val="24"/>
              </w:rPr>
              <w:t>U</w:t>
            </w:r>
            <w:r w:rsidRPr="00EB00D9">
              <w:rPr>
                <w:rFonts w:ascii="Book Antiqua" w:hAnsi="Book Antiqua" w:hint="eastAsia"/>
                <w:sz w:val="24"/>
                <w:szCs w:val="24"/>
                <w:lang w:eastAsia="zh-CN"/>
              </w:rPr>
              <w:t xml:space="preserve">nited </w:t>
            </w:r>
            <w:r w:rsidRPr="00EB00D9">
              <w:rPr>
                <w:rFonts w:ascii="Book Antiqua" w:hAnsi="Book Antiqua"/>
                <w:sz w:val="24"/>
                <w:szCs w:val="24"/>
              </w:rPr>
              <w:t>S</w:t>
            </w:r>
            <w:r w:rsidRPr="00EB00D9">
              <w:rPr>
                <w:rFonts w:ascii="Book Antiqua" w:hAnsi="Book Antiqua" w:hint="eastAsia"/>
                <w:sz w:val="24"/>
                <w:szCs w:val="24"/>
                <w:lang w:eastAsia="zh-CN"/>
              </w:rPr>
              <w:t>tates</w:t>
            </w:r>
            <w:r w:rsidR="00120E34" w:rsidRPr="00EB00D9">
              <w:rPr>
                <w:rFonts w:ascii="Book Antiqua" w:hAnsi="Book Antiqua"/>
                <w:sz w:val="24"/>
                <w:szCs w:val="24"/>
              </w:rPr>
              <w:t>; Retrospective</w:t>
            </w:r>
          </w:p>
        </w:tc>
        <w:tc>
          <w:tcPr>
            <w:tcW w:w="1008" w:type="dxa"/>
            <w:noWrap/>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18</w:t>
            </w:r>
          </w:p>
        </w:tc>
        <w:tc>
          <w:tcPr>
            <w:tcW w:w="1008" w:type="dxa"/>
            <w:noWrap/>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 xml:space="preserve">46 (+/-12); 83% </w:t>
            </w:r>
          </w:p>
        </w:tc>
        <w:tc>
          <w:tcPr>
            <w:tcW w:w="1205"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67%</w:t>
            </w:r>
          </w:p>
        </w:tc>
        <w:tc>
          <w:tcPr>
            <w:tcW w:w="1203"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B</w:t>
            </w:r>
          </w:p>
        </w:tc>
        <w:tc>
          <w:tcPr>
            <w:tcW w:w="1443" w:type="dxa"/>
          </w:tcPr>
          <w:p w:rsidR="00120E34" w:rsidRPr="00EB00D9" w:rsidRDefault="00120E34" w:rsidP="00983DFD">
            <w:pPr>
              <w:spacing w:after="0" w:line="360" w:lineRule="auto"/>
              <w:jc w:val="both"/>
              <w:rPr>
                <w:rFonts w:ascii="Book Antiqua" w:hAnsi="Book Antiqua"/>
                <w:sz w:val="24"/>
                <w:szCs w:val="24"/>
              </w:rPr>
            </w:pPr>
            <w:r w:rsidRPr="00EB00D9">
              <w:rPr>
                <w:rFonts w:ascii="Book Antiqua" w:hAnsi="Book Antiqua"/>
                <w:sz w:val="24"/>
                <w:szCs w:val="24"/>
              </w:rPr>
              <w:t xml:space="preserve">15 pts-RTX tx and 7 had relapses. 42% (5/12) showed </w:t>
            </w:r>
            <w:r w:rsidR="00983DFD" w:rsidRPr="00EB00D9">
              <w:rPr>
                <w:rFonts w:ascii="Book Antiqua" w:hAnsi="Book Antiqua"/>
                <w:sz w:val="24"/>
                <w:szCs w:val="24"/>
                <w:lang w:eastAsia="zh-CN"/>
              </w:rPr>
              <w:t>“</w:t>
            </w:r>
            <w:r w:rsidRPr="00EB00D9">
              <w:rPr>
                <w:rFonts w:ascii="Book Antiqua" w:hAnsi="Book Antiqua"/>
                <w:sz w:val="24"/>
                <w:szCs w:val="24"/>
              </w:rPr>
              <w:t>positive treatment effects</w:t>
            </w:r>
            <w:r w:rsidR="00983DFD" w:rsidRPr="00EB00D9">
              <w:rPr>
                <w:rFonts w:ascii="Book Antiqua" w:hAnsi="Book Antiqua"/>
                <w:sz w:val="24"/>
                <w:szCs w:val="24"/>
                <w:lang w:eastAsia="zh-CN"/>
              </w:rPr>
              <w:t>”</w:t>
            </w:r>
            <w:r w:rsidRPr="00EB00D9">
              <w:rPr>
                <w:rFonts w:ascii="Book Antiqua" w:hAnsi="Book Antiqua"/>
                <w:sz w:val="24"/>
                <w:szCs w:val="24"/>
              </w:rPr>
              <w:t>,</w:t>
            </w:r>
            <w:r w:rsidR="00983DFD" w:rsidRPr="00EB00D9">
              <w:rPr>
                <w:rFonts w:ascii="Book Antiqua" w:hAnsi="Book Antiqua" w:hint="eastAsia"/>
                <w:sz w:val="24"/>
                <w:szCs w:val="24"/>
                <w:lang w:eastAsia="zh-CN"/>
              </w:rPr>
              <w:t xml:space="preserve"> </w:t>
            </w:r>
            <w:r w:rsidRPr="00EB00D9">
              <w:rPr>
                <w:rFonts w:ascii="Book Antiqua" w:hAnsi="Book Antiqua"/>
                <w:sz w:val="24"/>
                <w:szCs w:val="24"/>
              </w:rPr>
              <w:t xml:space="preserve">the other 7 continued to relapse despite RTX therapy </w:t>
            </w:r>
          </w:p>
        </w:tc>
        <w:tc>
          <w:tcPr>
            <w:tcW w:w="1260" w:type="dxa"/>
          </w:tcPr>
          <w:p w:rsidR="00120E34" w:rsidRPr="00EB00D9" w:rsidRDefault="00120E34" w:rsidP="000F62D6">
            <w:pPr>
              <w:spacing w:after="0" w:line="360" w:lineRule="auto"/>
              <w:jc w:val="both"/>
              <w:rPr>
                <w:rFonts w:ascii="Book Antiqua" w:hAnsi="Book Antiqua"/>
                <w:sz w:val="24"/>
                <w:szCs w:val="24"/>
              </w:rPr>
            </w:pPr>
          </w:p>
        </w:tc>
        <w:tc>
          <w:tcPr>
            <w:tcW w:w="1559"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53% (8/15)</w:t>
            </w:r>
          </w:p>
        </w:tc>
        <w:tc>
          <w:tcPr>
            <w:tcW w:w="1501" w:type="dxa"/>
          </w:tcPr>
          <w:p w:rsidR="00120E34" w:rsidRPr="00EB00D9" w:rsidRDefault="00120E34" w:rsidP="00983DFD">
            <w:pPr>
              <w:spacing w:after="0" w:line="360" w:lineRule="auto"/>
              <w:jc w:val="both"/>
              <w:rPr>
                <w:rFonts w:ascii="Book Antiqua" w:hAnsi="Book Antiqua"/>
                <w:sz w:val="24"/>
                <w:szCs w:val="24"/>
              </w:rPr>
            </w:pPr>
            <w:r w:rsidRPr="00EB00D9">
              <w:rPr>
                <w:rFonts w:ascii="Book Antiqua" w:hAnsi="Book Antiqua"/>
                <w:sz w:val="24"/>
                <w:szCs w:val="24"/>
              </w:rPr>
              <w:t>Severe disability from NMO</w:t>
            </w:r>
            <w:r w:rsidR="00983DFD" w:rsidRPr="00EB00D9">
              <w:rPr>
                <w:rFonts w:ascii="Book Antiqua" w:hAnsi="Book Antiqua"/>
                <w:sz w:val="24"/>
                <w:szCs w:val="24"/>
                <w:lang w:eastAsia="zh-CN"/>
              </w:rPr>
              <w:t>’</w:t>
            </w:r>
            <w:r w:rsidRPr="00EB00D9">
              <w:rPr>
                <w:rFonts w:ascii="Book Antiqua" w:hAnsi="Book Antiqua"/>
                <w:sz w:val="24"/>
                <w:szCs w:val="24"/>
              </w:rPr>
              <w:t xml:space="preserve"> - 10 patients</w:t>
            </w:r>
          </w:p>
        </w:tc>
      </w:tr>
      <w:tr w:rsidR="00EB00D9" w:rsidRPr="00EB00D9">
        <w:trPr>
          <w:trHeight w:val="848"/>
        </w:trPr>
        <w:tc>
          <w:tcPr>
            <w:tcW w:w="781" w:type="dxa"/>
            <w:noWrap/>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2011</w:t>
            </w:r>
          </w:p>
        </w:tc>
        <w:tc>
          <w:tcPr>
            <w:tcW w:w="1076" w:type="dxa"/>
          </w:tcPr>
          <w:p w:rsidR="00120E34" w:rsidRPr="00EB00D9" w:rsidRDefault="00120E34" w:rsidP="000F62D6">
            <w:pPr>
              <w:spacing w:after="0" w:line="360" w:lineRule="auto"/>
              <w:jc w:val="both"/>
              <w:rPr>
                <w:rFonts w:ascii="Book Antiqua" w:hAnsi="Book Antiqua"/>
                <w:sz w:val="24"/>
                <w:szCs w:val="24"/>
                <w:vertAlign w:val="superscript"/>
              </w:rPr>
            </w:pPr>
            <w:r w:rsidRPr="00EB00D9">
              <w:rPr>
                <w:rFonts w:ascii="Book Antiqua" w:hAnsi="Book Antiqua"/>
                <w:sz w:val="24"/>
                <w:szCs w:val="24"/>
              </w:rPr>
              <w:t>Bedi</w:t>
            </w:r>
            <w:r w:rsidR="00983DFD" w:rsidRPr="00EB00D9">
              <w:rPr>
                <w:rFonts w:ascii="Book Antiqua" w:hAnsi="Book Antiqua" w:hint="eastAsia"/>
                <w:i/>
                <w:sz w:val="24"/>
                <w:szCs w:val="24"/>
                <w:lang w:eastAsia="zh-CN"/>
              </w:rPr>
              <w:t xml:space="preserve"> et al</w:t>
            </w:r>
            <w:r w:rsidRPr="00EB00D9">
              <w:rPr>
                <w:rFonts w:ascii="Book Antiqua" w:hAnsi="Book Antiqua"/>
                <w:sz w:val="24"/>
                <w:szCs w:val="24"/>
                <w:vertAlign w:val="superscript"/>
              </w:rPr>
              <w:t>[24]</w:t>
            </w:r>
          </w:p>
        </w:tc>
        <w:tc>
          <w:tcPr>
            <w:tcW w:w="1276" w:type="dxa"/>
          </w:tcPr>
          <w:p w:rsidR="00120E34" w:rsidRPr="00EB00D9" w:rsidRDefault="00983DFD" w:rsidP="000F62D6">
            <w:pPr>
              <w:spacing w:after="0" w:line="360" w:lineRule="auto"/>
              <w:jc w:val="both"/>
              <w:rPr>
                <w:rFonts w:ascii="Book Antiqua" w:hAnsi="Book Antiqua"/>
                <w:sz w:val="24"/>
                <w:szCs w:val="24"/>
              </w:rPr>
            </w:pPr>
            <w:r w:rsidRPr="00EB00D9">
              <w:rPr>
                <w:rFonts w:ascii="Book Antiqua" w:hAnsi="Book Antiqua"/>
                <w:sz w:val="24"/>
                <w:szCs w:val="24"/>
              </w:rPr>
              <w:t>U</w:t>
            </w:r>
            <w:r w:rsidRPr="00EB00D9">
              <w:rPr>
                <w:rFonts w:ascii="Book Antiqua" w:hAnsi="Book Antiqua" w:hint="eastAsia"/>
                <w:sz w:val="24"/>
                <w:szCs w:val="24"/>
                <w:lang w:eastAsia="zh-CN"/>
              </w:rPr>
              <w:t xml:space="preserve">nited </w:t>
            </w:r>
            <w:r w:rsidRPr="00EB00D9">
              <w:rPr>
                <w:rFonts w:ascii="Book Antiqua" w:hAnsi="Book Antiqua"/>
                <w:sz w:val="24"/>
                <w:szCs w:val="24"/>
              </w:rPr>
              <w:t>S</w:t>
            </w:r>
            <w:r w:rsidRPr="00EB00D9">
              <w:rPr>
                <w:rFonts w:ascii="Book Antiqua" w:hAnsi="Book Antiqua" w:hint="eastAsia"/>
                <w:sz w:val="24"/>
                <w:szCs w:val="24"/>
                <w:lang w:eastAsia="zh-CN"/>
              </w:rPr>
              <w:t>tates;</w:t>
            </w:r>
            <w:r w:rsidR="00120E34" w:rsidRPr="00EB00D9">
              <w:rPr>
                <w:rFonts w:ascii="Book Antiqua" w:hAnsi="Book Antiqua"/>
                <w:sz w:val="24"/>
                <w:szCs w:val="24"/>
              </w:rPr>
              <w:t xml:space="preserve"> Retrospective</w:t>
            </w:r>
          </w:p>
        </w:tc>
        <w:tc>
          <w:tcPr>
            <w:tcW w:w="1008" w:type="dxa"/>
            <w:noWrap/>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23</w:t>
            </w:r>
          </w:p>
        </w:tc>
        <w:tc>
          <w:tcPr>
            <w:tcW w:w="1008" w:type="dxa"/>
            <w:noWrap/>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46</w:t>
            </w:r>
            <w:r w:rsidR="00983DFD" w:rsidRPr="00EB00D9">
              <w:rPr>
                <w:rFonts w:ascii="Book Antiqua" w:hAnsi="Book Antiqua"/>
                <w:sz w:val="24"/>
                <w:szCs w:val="24"/>
                <w:vertAlign w:val="superscript"/>
              </w:rPr>
              <w:t>a</w:t>
            </w:r>
            <w:r w:rsidRPr="00EB00D9">
              <w:rPr>
                <w:rFonts w:ascii="Book Antiqua" w:hAnsi="Book Antiqua"/>
                <w:sz w:val="24"/>
                <w:szCs w:val="24"/>
              </w:rPr>
              <w:t xml:space="preserve">; 91% </w:t>
            </w:r>
          </w:p>
        </w:tc>
        <w:tc>
          <w:tcPr>
            <w:tcW w:w="1205"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72%</w:t>
            </w:r>
          </w:p>
        </w:tc>
        <w:tc>
          <w:tcPr>
            <w:tcW w:w="1203"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A or B; 32.5 mo</w:t>
            </w:r>
          </w:p>
        </w:tc>
        <w:tc>
          <w:tcPr>
            <w:tcW w:w="1443"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1.87 (median)</w:t>
            </w:r>
          </w:p>
        </w:tc>
        <w:tc>
          <w:tcPr>
            <w:tcW w:w="1260"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0</w:t>
            </w:r>
            <w:r w:rsidR="003066E2" w:rsidRPr="00EB00D9">
              <w:rPr>
                <w:rFonts w:ascii="Book Antiqua" w:hAnsi="Book Antiqua"/>
                <w:sz w:val="24"/>
                <w:szCs w:val="24"/>
              </w:rPr>
              <w:t xml:space="preserve"> </w:t>
            </w:r>
            <w:r w:rsidRPr="00EB00D9">
              <w:rPr>
                <w:rFonts w:ascii="Book Antiqua" w:hAnsi="Book Antiqua"/>
                <w:sz w:val="24"/>
                <w:szCs w:val="24"/>
              </w:rPr>
              <w:t>(median)</w:t>
            </w:r>
            <w:r w:rsidR="003066E2" w:rsidRPr="00EB00D9">
              <w:rPr>
                <w:rFonts w:ascii="Book Antiqua" w:hAnsi="Book Antiqua"/>
                <w:sz w:val="24"/>
                <w:szCs w:val="24"/>
              </w:rPr>
              <w:t xml:space="preserve">                                       </w:t>
            </w:r>
          </w:p>
        </w:tc>
        <w:tc>
          <w:tcPr>
            <w:tcW w:w="1559"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74 % (17/23 pts)</w:t>
            </w:r>
          </w:p>
        </w:tc>
        <w:tc>
          <w:tcPr>
            <w:tcW w:w="1501"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7--&gt;</w:t>
            </w:r>
            <w:r w:rsidR="00983DFD" w:rsidRPr="00EB00D9">
              <w:rPr>
                <w:rFonts w:ascii="Book Antiqua" w:hAnsi="Book Antiqua" w:hint="eastAsia"/>
                <w:sz w:val="24"/>
                <w:szCs w:val="24"/>
                <w:lang w:eastAsia="zh-CN"/>
              </w:rPr>
              <w:t xml:space="preserve"> </w:t>
            </w:r>
            <w:r w:rsidRPr="00EB00D9">
              <w:rPr>
                <w:rFonts w:ascii="Book Antiqua" w:hAnsi="Book Antiqua"/>
                <w:sz w:val="24"/>
                <w:szCs w:val="24"/>
              </w:rPr>
              <w:t>5.5</w:t>
            </w:r>
          </w:p>
        </w:tc>
      </w:tr>
      <w:tr w:rsidR="00EB00D9" w:rsidRPr="00EB00D9">
        <w:trPr>
          <w:trHeight w:val="648"/>
        </w:trPr>
        <w:tc>
          <w:tcPr>
            <w:tcW w:w="781" w:type="dxa"/>
            <w:noWrap/>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2011</w:t>
            </w:r>
          </w:p>
        </w:tc>
        <w:tc>
          <w:tcPr>
            <w:tcW w:w="1076" w:type="dxa"/>
          </w:tcPr>
          <w:p w:rsidR="00120E34" w:rsidRPr="00EB00D9" w:rsidRDefault="00120E34" w:rsidP="000F62D6">
            <w:pPr>
              <w:spacing w:after="0" w:line="360" w:lineRule="auto"/>
              <w:jc w:val="both"/>
              <w:rPr>
                <w:rFonts w:ascii="Book Antiqua" w:hAnsi="Book Antiqua"/>
                <w:sz w:val="24"/>
                <w:szCs w:val="24"/>
                <w:vertAlign w:val="superscript"/>
              </w:rPr>
            </w:pPr>
            <w:r w:rsidRPr="00EB00D9">
              <w:rPr>
                <w:rFonts w:ascii="Book Antiqua" w:hAnsi="Book Antiqua"/>
                <w:sz w:val="24"/>
                <w:szCs w:val="24"/>
              </w:rPr>
              <w:t>Pellkofer</w:t>
            </w:r>
            <w:r w:rsidR="00983DFD" w:rsidRPr="00EB00D9">
              <w:rPr>
                <w:rFonts w:ascii="Book Antiqua" w:hAnsi="Book Antiqua" w:hint="eastAsia"/>
                <w:i/>
                <w:sz w:val="24"/>
                <w:szCs w:val="24"/>
                <w:lang w:eastAsia="zh-CN"/>
              </w:rPr>
              <w:t xml:space="preserve"> et al</w:t>
            </w:r>
            <w:r w:rsidRPr="00EB00D9">
              <w:rPr>
                <w:rFonts w:ascii="Book Antiqua" w:hAnsi="Book Antiqua"/>
                <w:sz w:val="24"/>
                <w:szCs w:val="24"/>
                <w:vertAlign w:val="superscript"/>
              </w:rPr>
              <w:t>[30]</w:t>
            </w:r>
          </w:p>
        </w:tc>
        <w:tc>
          <w:tcPr>
            <w:tcW w:w="1276"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Germany; Prospective</w:t>
            </w:r>
          </w:p>
        </w:tc>
        <w:tc>
          <w:tcPr>
            <w:tcW w:w="1008" w:type="dxa"/>
            <w:noWrap/>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10</w:t>
            </w:r>
          </w:p>
        </w:tc>
        <w:tc>
          <w:tcPr>
            <w:tcW w:w="1008" w:type="dxa"/>
            <w:noWrap/>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47</w:t>
            </w:r>
            <w:r w:rsidR="00983DFD" w:rsidRPr="00EB00D9">
              <w:rPr>
                <w:rFonts w:ascii="Book Antiqua" w:hAnsi="Book Antiqua"/>
                <w:sz w:val="24"/>
                <w:szCs w:val="24"/>
                <w:vertAlign w:val="superscript"/>
              </w:rPr>
              <w:t>a</w:t>
            </w:r>
            <w:r w:rsidRPr="00EB00D9">
              <w:rPr>
                <w:rFonts w:ascii="Book Antiqua" w:hAnsi="Book Antiqua"/>
                <w:sz w:val="24"/>
                <w:szCs w:val="24"/>
              </w:rPr>
              <w:t xml:space="preserve">; 90% </w:t>
            </w:r>
          </w:p>
        </w:tc>
        <w:tc>
          <w:tcPr>
            <w:tcW w:w="1205"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100%</w:t>
            </w:r>
          </w:p>
        </w:tc>
        <w:tc>
          <w:tcPr>
            <w:tcW w:w="1203"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B; number of cycles of RTX 1-5</w:t>
            </w:r>
          </w:p>
        </w:tc>
        <w:tc>
          <w:tcPr>
            <w:tcW w:w="1443"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Ever before RTX: 1.3 mo, 12 m before RTX: 2.4 mo, 24 m before RTX: 1.72mo, With RTX: 0.93mo</w:t>
            </w:r>
          </w:p>
        </w:tc>
        <w:tc>
          <w:tcPr>
            <w:tcW w:w="1260" w:type="dxa"/>
          </w:tcPr>
          <w:p w:rsidR="00120E34" w:rsidRPr="00EB00D9" w:rsidRDefault="00120E34" w:rsidP="000F62D6">
            <w:pPr>
              <w:spacing w:after="0" w:line="360" w:lineRule="auto"/>
              <w:jc w:val="both"/>
              <w:rPr>
                <w:rFonts w:ascii="Book Antiqua" w:hAnsi="Book Antiqua"/>
                <w:sz w:val="24"/>
                <w:szCs w:val="24"/>
              </w:rPr>
            </w:pPr>
          </w:p>
        </w:tc>
        <w:tc>
          <w:tcPr>
            <w:tcW w:w="1559"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50% (5/10 at 12 mo estimated)</w:t>
            </w:r>
          </w:p>
        </w:tc>
        <w:tc>
          <w:tcPr>
            <w:tcW w:w="1501"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6--&gt;</w:t>
            </w:r>
            <w:r w:rsidR="00983DFD" w:rsidRPr="00EB00D9">
              <w:rPr>
                <w:rFonts w:ascii="Book Antiqua" w:hAnsi="Book Antiqua" w:hint="eastAsia"/>
                <w:sz w:val="24"/>
                <w:szCs w:val="24"/>
                <w:lang w:eastAsia="zh-CN"/>
              </w:rPr>
              <w:t xml:space="preserve"> </w:t>
            </w:r>
            <w:r w:rsidRPr="00EB00D9">
              <w:rPr>
                <w:rFonts w:ascii="Book Antiqua" w:hAnsi="Book Antiqua"/>
                <w:sz w:val="24"/>
                <w:szCs w:val="24"/>
              </w:rPr>
              <w:t>6.5</w:t>
            </w:r>
            <w:r w:rsidR="00983DFD" w:rsidRPr="00EB00D9">
              <w:rPr>
                <w:rFonts w:ascii="Book Antiqua" w:hAnsi="Book Antiqua"/>
                <w:sz w:val="24"/>
                <w:szCs w:val="24"/>
                <w:vertAlign w:val="superscript"/>
              </w:rPr>
              <w:t>a</w:t>
            </w:r>
            <w:r w:rsidR="003066E2" w:rsidRPr="00EB00D9">
              <w:rPr>
                <w:rFonts w:ascii="Book Antiqua" w:hAnsi="Book Antiqua"/>
                <w:sz w:val="24"/>
                <w:szCs w:val="24"/>
              </w:rPr>
              <w:t xml:space="preserve">                  </w:t>
            </w:r>
            <w:r w:rsidRPr="00EB00D9">
              <w:rPr>
                <w:rFonts w:ascii="Book Antiqua" w:hAnsi="Book Antiqua"/>
                <w:sz w:val="24"/>
                <w:szCs w:val="24"/>
              </w:rPr>
              <w:t>1 patient deceased</w:t>
            </w:r>
          </w:p>
        </w:tc>
      </w:tr>
      <w:tr w:rsidR="00EB00D9" w:rsidRPr="00EB00D9">
        <w:trPr>
          <w:trHeight w:val="1097"/>
        </w:trPr>
        <w:tc>
          <w:tcPr>
            <w:tcW w:w="781"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2011</w:t>
            </w:r>
          </w:p>
        </w:tc>
        <w:tc>
          <w:tcPr>
            <w:tcW w:w="1076" w:type="dxa"/>
          </w:tcPr>
          <w:p w:rsidR="00120E34" w:rsidRPr="00EB00D9" w:rsidRDefault="00120E34" w:rsidP="000F62D6">
            <w:pPr>
              <w:spacing w:after="0" w:line="360" w:lineRule="auto"/>
              <w:jc w:val="both"/>
              <w:rPr>
                <w:rFonts w:ascii="Book Antiqua" w:hAnsi="Book Antiqua"/>
                <w:sz w:val="24"/>
                <w:szCs w:val="24"/>
                <w:vertAlign w:val="superscript"/>
              </w:rPr>
            </w:pPr>
            <w:r w:rsidRPr="00EB00D9">
              <w:rPr>
                <w:rFonts w:ascii="Book Antiqua" w:hAnsi="Book Antiqua"/>
                <w:sz w:val="24"/>
                <w:szCs w:val="24"/>
              </w:rPr>
              <w:t>Javed</w:t>
            </w:r>
            <w:r w:rsidR="00983DFD" w:rsidRPr="00EB00D9">
              <w:rPr>
                <w:rFonts w:ascii="Book Antiqua" w:hAnsi="Book Antiqua" w:hint="eastAsia"/>
                <w:i/>
                <w:sz w:val="24"/>
                <w:szCs w:val="24"/>
                <w:lang w:eastAsia="zh-CN"/>
              </w:rPr>
              <w:t xml:space="preserve"> et al</w:t>
            </w:r>
            <w:r w:rsidRPr="00EB00D9">
              <w:rPr>
                <w:rFonts w:ascii="Book Antiqua" w:hAnsi="Book Antiqua"/>
                <w:sz w:val="24"/>
                <w:szCs w:val="24"/>
                <w:vertAlign w:val="superscript"/>
              </w:rPr>
              <w:t>[22]</w:t>
            </w:r>
          </w:p>
        </w:tc>
        <w:tc>
          <w:tcPr>
            <w:tcW w:w="1276" w:type="dxa"/>
          </w:tcPr>
          <w:p w:rsidR="00120E34" w:rsidRPr="00EB00D9" w:rsidRDefault="00983DFD" w:rsidP="000F62D6">
            <w:pPr>
              <w:spacing w:after="0" w:line="360" w:lineRule="auto"/>
              <w:jc w:val="both"/>
              <w:rPr>
                <w:rFonts w:ascii="Book Antiqua" w:hAnsi="Book Antiqua"/>
                <w:sz w:val="24"/>
                <w:szCs w:val="24"/>
              </w:rPr>
            </w:pPr>
            <w:r w:rsidRPr="00EB00D9">
              <w:rPr>
                <w:rFonts w:ascii="Book Antiqua" w:hAnsi="Book Antiqua"/>
                <w:sz w:val="24"/>
                <w:szCs w:val="24"/>
              </w:rPr>
              <w:t>U</w:t>
            </w:r>
            <w:r w:rsidRPr="00EB00D9">
              <w:rPr>
                <w:rFonts w:ascii="Book Antiqua" w:hAnsi="Book Antiqua" w:hint="eastAsia"/>
                <w:sz w:val="24"/>
                <w:szCs w:val="24"/>
                <w:lang w:eastAsia="zh-CN"/>
              </w:rPr>
              <w:t xml:space="preserve">nited </w:t>
            </w:r>
            <w:r w:rsidRPr="00EB00D9">
              <w:rPr>
                <w:rFonts w:ascii="Book Antiqua" w:hAnsi="Book Antiqua"/>
                <w:sz w:val="24"/>
                <w:szCs w:val="24"/>
              </w:rPr>
              <w:t>S</w:t>
            </w:r>
            <w:r w:rsidRPr="00EB00D9">
              <w:rPr>
                <w:rFonts w:ascii="Book Antiqua" w:hAnsi="Book Antiqua" w:hint="eastAsia"/>
                <w:sz w:val="24"/>
                <w:szCs w:val="24"/>
                <w:lang w:eastAsia="zh-CN"/>
              </w:rPr>
              <w:t>tates</w:t>
            </w:r>
            <w:r w:rsidR="00120E34" w:rsidRPr="00EB00D9">
              <w:rPr>
                <w:rFonts w:ascii="Book Antiqua" w:hAnsi="Book Antiqua"/>
                <w:sz w:val="24"/>
                <w:szCs w:val="24"/>
              </w:rPr>
              <w:t>; Retrospective</w:t>
            </w:r>
          </w:p>
        </w:tc>
        <w:tc>
          <w:tcPr>
            <w:tcW w:w="1008"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15</w:t>
            </w:r>
          </w:p>
        </w:tc>
        <w:tc>
          <w:tcPr>
            <w:tcW w:w="1008" w:type="dxa"/>
          </w:tcPr>
          <w:p w:rsidR="00120E34" w:rsidRPr="00EB00D9" w:rsidRDefault="00983DFD" w:rsidP="000F62D6">
            <w:pPr>
              <w:spacing w:after="0" w:line="360" w:lineRule="auto"/>
              <w:jc w:val="both"/>
              <w:rPr>
                <w:rFonts w:ascii="Book Antiqua" w:hAnsi="Book Antiqua"/>
                <w:sz w:val="24"/>
                <w:szCs w:val="24"/>
              </w:rPr>
            </w:pPr>
            <w:r w:rsidRPr="00EB00D9">
              <w:rPr>
                <w:rFonts w:ascii="Book Antiqua" w:hAnsi="Book Antiqua"/>
                <w:sz w:val="24"/>
                <w:szCs w:val="24"/>
              </w:rPr>
              <w:t>34; N/A</w:t>
            </w:r>
          </w:p>
        </w:tc>
        <w:tc>
          <w:tcPr>
            <w:tcW w:w="1205" w:type="dxa"/>
          </w:tcPr>
          <w:p w:rsidR="00120E34" w:rsidRPr="00EB00D9" w:rsidRDefault="00983DFD" w:rsidP="000F62D6">
            <w:pPr>
              <w:spacing w:after="0" w:line="360" w:lineRule="auto"/>
              <w:jc w:val="both"/>
              <w:rPr>
                <w:rFonts w:ascii="Book Antiqua" w:hAnsi="Book Antiqua"/>
                <w:sz w:val="24"/>
                <w:szCs w:val="24"/>
              </w:rPr>
            </w:pPr>
            <w:r w:rsidRPr="00EB00D9">
              <w:rPr>
                <w:rFonts w:ascii="Book Antiqua" w:hAnsi="Book Antiqua"/>
                <w:sz w:val="24"/>
                <w:szCs w:val="24"/>
              </w:rPr>
              <w:t>N/A</w:t>
            </w:r>
          </w:p>
        </w:tc>
        <w:tc>
          <w:tcPr>
            <w:tcW w:w="1203"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B; patients were given RTX 1g x1 usually 6-9 mo after the initial dose</w:t>
            </w:r>
          </w:p>
        </w:tc>
        <w:tc>
          <w:tcPr>
            <w:tcW w:w="1443" w:type="dxa"/>
          </w:tcPr>
          <w:p w:rsidR="00120E34" w:rsidRPr="00EB00D9" w:rsidRDefault="00120E34" w:rsidP="003066E2">
            <w:pPr>
              <w:spacing w:after="0" w:line="360" w:lineRule="auto"/>
              <w:jc w:val="both"/>
              <w:rPr>
                <w:rFonts w:ascii="Book Antiqua" w:hAnsi="Book Antiqua"/>
                <w:sz w:val="24"/>
                <w:szCs w:val="24"/>
                <w:lang w:eastAsia="zh-CN"/>
              </w:rPr>
            </w:pPr>
            <w:r w:rsidRPr="00EB00D9">
              <w:rPr>
                <w:rFonts w:ascii="Book Antiqua" w:hAnsi="Book Antiqua"/>
                <w:sz w:val="24"/>
                <w:szCs w:val="24"/>
              </w:rPr>
              <w:t>2/10 had 2 relapses in 6 mo post RX. 5 non-responders had mean of 1.45 (median 1) relapses in mean 12.2 (median 10) mo</w:t>
            </w:r>
          </w:p>
        </w:tc>
        <w:tc>
          <w:tcPr>
            <w:tcW w:w="1260" w:type="dxa"/>
          </w:tcPr>
          <w:p w:rsidR="00120E34" w:rsidRPr="00EB00D9" w:rsidRDefault="00120E34" w:rsidP="000F62D6">
            <w:pPr>
              <w:spacing w:after="0" w:line="360" w:lineRule="auto"/>
              <w:jc w:val="both"/>
              <w:rPr>
                <w:rFonts w:ascii="Book Antiqua" w:hAnsi="Book Antiqua"/>
                <w:sz w:val="24"/>
                <w:szCs w:val="24"/>
              </w:rPr>
            </w:pPr>
          </w:p>
        </w:tc>
        <w:tc>
          <w:tcPr>
            <w:tcW w:w="1559"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67% (RTX delayed further relapses for 9 mo or more)</w:t>
            </w:r>
            <w:r w:rsidR="003066E2" w:rsidRPr="00EB00D9">
              <w:rPr>
                <w:rFonts w:ascii="Book Antiqua" w:hAnsi="Book Antiqua"/>
                <w:sz w:val="24"/>
                <w:szCs w:val="24"/>
              </w:rPr>
              <w:t xml:space="preserve"> </w:t>
            </w:r>
          </w:p>
        </w:tc>
        <w:tc>
          <w:tcPr>
            <w:tcW w:w="1501"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N/A</w:t>
            </w:r>
          </w:p>
        </w:tc>
      </w:tr>
      <w:tr w:rsidR="00EB00D9" w:rsidRPr="00EB00D9">
        <w:trPr>
          <w:trHeight w:val="1180"/>
        </w:trPr>
        <w:tc>
          <w:tcPr>
            <w:tcW w:w="781" w:type="dxa"/>
            <w:noWrap/>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2012</w:t>
            </w:r>
          </w:p>
        </w:tc>
        <w:tc>
          <w:tcPr>
            <w:tcW w:w="1076" w:type="dxa"/>
          </w:tcPr>
          <w:p w:rsidR="00120E34" w:rsidRPr="00EB00D9" w:rsidRDefault="00120E34" w:rsidP="00CA2267">
            <w:pPr>
              <w:spacing w:after="0" w:line="360" w:lineRule="auto"/>
              <w:jc w:val="both"/>
              <w:rPr>
                <w:rFonts w:ascii="Book Antiqua" w:hAnsi="Book Antiqua"/>
                <w:sz w:val="24"/>
                <w:szCs w:val="24"/>
                <w:vertAlign w:val="superscript"/>
              </w:rPr>
            </w:pPr>
            <w:r w:rsidRPr="00EB00D9">
              <w:rPr>
                <w:rFonts w:ascii="Book Antiqua" w:hAnsi="Book Antiqua"/>
                <w:sz w:val="24"/>
                <w:szCs w:val="24"/>
              </w:rPr>
              <w:t>Gredler</w:t>
            </w:r>
            <w:r w:rsidR="00983DFD" w:rsidRPr="00EB00D9">
              <w:rPr>
                <w:rFonts w:ascii="Book Antiqua" w:hAnsi="Book Antiqua" w:hint="eastAsia"/>
                <w:i/>
                <w:sz w:val="24"/>
                <w:szCs w:val="24"/>
                <w:lang w:eastAsia="zh-CN"/>
              </w:rPr>
              <w:t xml:space="preserve"> et al</w:t>
            </w:r>
            <w:r w:rsidRPr="00EB00D9">
              <w:rPr>
                <w:rFonts w:ascii="Book Antiqua" w:hAnsi="Book Antiqua"/>
                <w:sz w:val="24"/>
                <w:szCs w:val="24"/>
                <w:vertAlign w:val="superscript"/>
              </w:rPr>
              <w:t>[2</w:t>
            </w:r>
            <w:r w:rsidR="00CA2267" w:rsidRPr="00EB00D9">
              <w:rPr>
                <w:rFonts w:ascii="Book Antiqua" w:hAnsi="Book Antiqua" w:hint="eastAsia"/>
                <w:sz w:val="24"/>
                <w:szCs w:val="24"/>
                <w:vertAlign w:val="superscript"/>
                <w:lang w:eastAsia="zh-CN"/>
              </w:rPr>
              <w:t>8</w:t>
            </w:r>
            <w:r w:rsidRPr="00EB00D9">
              <w:rPr>
                <w:rFonts w:ascii="Book Antiqua" w:hAnsi="Book Antiqua"/>
                <w:sz w:val="24"/>
                <w:szCs w:val="24"/>
                <w:vertAlign w:val="superscript"/>
              </w:rPr>
              <w:t>]</w:t>
            </w:r>
          </w:p>
        </w:tc>
        <w:tc>
          <w:tcPr>
            <w:tcW w:w="1276"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Austria; Retrospective</w:t>
            </w:r>
          </w:p>
        </w:tc>
        <w:tc>
          <w:tcPr>
            <w:tcW w:w="1008" w:type="dxa"/>
            <w:noWrap/>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6</w:t>
            </w:r>
          </w:p>
        </w:tc>
        <w:tc>
          <w:tcPr>
            <w:tcW w:w="1008" w:type="dxa"/>
            <w:noWrap/>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38; 83%</w:t>
            </w:r>
          </w:p>
        </w:tc>
        <w:tc>
          <w:tcPr>
            <w:tcW w:w="1205"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66%</w:t>
            </w:r>
          </w:p>
        </w:tc>
        <w:tc>
          <w:tcPr>
            <w:tcW w:w="1203"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375 mg/m</w:t>
            </w:r>
            <w:r w:rsidRPr="00EB00D9">
              <w:rPr>
                <w:rFonts w:ascii="Book Antiqua" w:hAnsi="Book Antiqua"/>
                <w:sz w:val="24"/>
                <w:szCs w:val="24"/>
                <w:vertAlign w:val="superscript"/>
              </w:rPr>
              <w:t>2</w:t>
            </w:r>
            <w:r w:rsidRPr="00EB00D9">
              <w:rPr>
                <w:rFonts w:ascii="Book Antiqua" w:hAnsi="Book Antiqua"/>
                <w:sz w:val="24"/>
                <w:szCs w:val="24"/>
              </w:rPr>
              <w:t>; no of infusions 3-16 (mean =</w:t>
            </w:r>
            <w:r w:rsidR="00983DFD" w:rsidRPr="00EB00D9">
              <w:rPr>
                <w:rFonts w:ascii="Book Antiqua" w:hAnsi="Book Antiqua" w:hint="eastAsia"/>
                <w:sz w:val="24"/>
                <w:szCs w:val="24"/>
                <w:lang w:eastAsia="zh-CN"/>
              </w:rPr>
              <w:t xml:space="preserve"> </w:t>
            </w:r>
            <w:r w:rsidRPr="00EB00D9">
              <w:rPr>
                <w:rFonts w:ascii="Book Antiqua" w:hAnsi="Book Antiqua"/>
                <w:sz w:val="24"/>
                <w:szCs w:val="24"/>
              </w:rPr>
              <w:t>6.67), interval between infusions 3.3-11 mo</w:t>
            </w:r>
          </w:p>
        </w:tc>
        <w:tc>
          <w:tcPr>
            <w:tcW w:w="1443"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2.5 (mean)</w:t>
            </w:r>
            <w:r w:rsidR="00983DFD" w:rsidRPr="00EB00D9">
              <w:rPr>
                <w:rFonts w:ascii="Book Antiqua" w:hAnsi="Book Antiqua"/>
                <w:sz w:val="24"/>
                <w:szCs w:val="24"/>
                <w:vertAlign w:val="superscript"/>
              </w:rPr>
              <w:t>a</w:t>
            </w:r>
          </w:p>
        </w:tc>
        <w:tc>
          <w:tcPr>
            <w:tcW w:w="1260"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0.4 (mean)</w:t>
            </w:r>
            <w:r w:rsidR="00983DFD" w:rsidRPr="00EB00D9">
              <w:rPr>
                <w:rFonts w:ascii="Book Antiqua" w:hAnsi="Book Antiqua"/>
                <w:sz w:val="24"/>
                <w:szCs w:val="24"/>
                <w:vertAlign w:val="superscript"/>
              </w:rPr>
              <w:t>a</w:t>
            </w:r>
          </w:p>
        </w:tc>
        <w:tc>
          <w:tcPr>
            <w:tcW w:w="1559"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67% (4/6)</w:t>
            </w:r>
          </w:p>
        </w:tc>
        <w:tc>
          <w:tcPr>
            <w:tcW w:w="1501"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5.25--&gt; 2.25</w:t>
            </w:r>
            <w:r w:rsidR="00983DFD" w:rsidRPr="00EB00D9">
              <w:rPr>
                <w:rFonts w:ascii="Book Antiqua" w:hAnsi="Book Antiqua"/>
                <w:sz w:val="24"/>
                <w:szCs w:val="24"/>
                <w:vertAlign w:val="superscript"/>
              </w:rPr>
              <w:t>a</w:t>
            </w:r>
          </w:p>
        </w:tc>
      </w:tr>
      <w:tr w:rsidR="00EB00D9" w:rsidRPr="00EB00D9">
        <w:trPr>
          <w:trHeight w:val="715"/>
        </w:trPr>
        <w:tc>
          <w:tcPr>
            <w:tcW w:w="781" w:type="dxa"/>
            <w:noWrap/>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2012</w:t>
            </w:r>
          </w:p>
        </w:tc>
        <w:tc>
          <w:tcPr>
            <w:tcW w:w="1076" w:type="dxa"/>
          </w:tcPr>
          <w:p w:rsidR="00120E34" w:rsidRPr="00EB00D9" w:rsidRDefault="00120E34" w:rsidP="000F62D6">
            <w:pPr>
              <w:spacing w:after="0" w:line="360" w:lineRule="auto"/>
              <w:jc w:val="both"/>
              <w:rPr>
                <w:rFonts w:ascii="Book Antiqua" w:hAnsi="Book Antiqua"/>
                <w:sz w:val="24"/>
                <w:szCs w:val="24"/>
                <w:vertAlign w:val="superscript"/>
              </w:rPr>
            </w:pPr>
            <w:r w:rsidRPr="00EB00D9">
              <w:rPr>
                <w:rFonts w:ascii="Book Antiqua" w:hAnsi="Book Antiqua"/>
                <w:sz w:val="24"/>
                <w:szCs w:val="24"/>
              </w:rPr>
              <w:t>Ip</w:t>
            </w:r>
            <w:r w:rsidR="00983DFD" w:rsidRPr="00EB00D9">
              <w:rPr>
                <w:rFonts w:ascii="Book Antiqua" w:hAnsi="Book Antiqua" w:hint="eastAsia"/>
                <w:i/>
                <w:sz w:val="24"/>
                <w:szCs w:val="24"/>
                <w:lang w:eastAsia="zh-CN"/>
              </w:rPr>
              <w:t xml:space="preserve"> et al</w:t>
            </w:r>
            <w:r w:rsidRPr="00EB00D9">
              <w:rPr>
                <w:rFonts w:ascii="Book Antiqua" w:hAnsi="Book Antiqua"/>
                <w:sz w:val="24"/>
                <w:szCs w:val="24"/>
                <w:vertAlign w:val="superscript"/>
              </w:rPr>
              <w:t>[25]</w:t>
            </w:r>
          </w:p>
        </w:tc>
        <w:tc>
          <w:tcPr>
            <w:tcW w:w="1276"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China; Prospective</w:t>
            </w:r>
          </w:p>
        </w:tc>
        <w:tc>
          <w:tcPr>
            <w:tcW w:w="1008" w:type="dxa"/>
            <w:noWrap/>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7</w:t>
            </w:r>
          </w:p>
        </w:tc>
        <w:tc>
          <w:tcPr>
            <w:tcW w:w="1008"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52; 85%</w:t>
            </w:r>
          </w:p>
        </w:tc>
        <w:tc>
          <w:tcPr>
            <w:tcW w:w="1205"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66%</w:t>
            </w:r>
          </w:p>
        </w:tc>
        <w:tc>
          <w:tcPr>
            <w:tcW w:w="1203" w:type="dxa"/>
          </w:tcPr>
          <w:p w:rsidR="00120E34" w:rsidRPr="00EB00D9" w:rsidRDefault="00120E34" w:rsidP="000F62D6">
            <w:pPr>
              <w:spacing w:after="0" w:line="360" w:lineRule="auto"/>
              <w:jc w:val="both"/>
              <w:rPr>
                <w:rFonts w:ascii="Book Antiqua" w:hAnsi="Book Antiqua"/>
                <w:sz w:val="24"/>
                <w:szCs w:val="24"/>
                <w:lang w:eastAsia="zh-CN"/>
              </w:rPr>
            </w:pPr>
            <w:r w:rsidRPr="00EB00D9">
              <w:rPr>
                <w:rFonts w:ascii="Book Antiqua" w:hAnsi="Book Antiqua"/>
                <w:sz w:val="24"/>
                <w:szCs w:val="24"/>
              </w:rPr>
              <w:t>A or B: Mean # trx courses: 2.85. median 2.</w:t>
            </w:r>
          </w:p>
        </w:tc>
        <w:tc>
          <w:tcPr>
            <w:tcW w:w="1443" w:type="dxa"/>
          </w:tcPr>
          <w:p w:rsidR="00120E34" w:rsidRPr="00EB00D9" w:rsidRDefault="00120E34" w:rsidP="003066E2">
            <w:pPr>
              <w:spacing w:after="0" w:line="360" w:lineRule="auto"/>
              <w:jc w:val="both"/>
              <w:rPr>
                <w:rFonts w:ascii="Book Antiqua" w:hAnsi="Book Antiqua"/>
                <w:sz w:val="24"/>
                <w:szCs w:val="24"/>
              </w:rPr>
            </w:pPr>
            <w:r w:rsidRPr="00EB00D9">
              <w:rPr>
                <w:rFonts w:ascii="Book Antiqua" w:hAnsi="Book Antiqua"/>
                <w:sz w:val="24"/>
                <w:szCs w:val="24"/>
              </w:rPr>
              <w:t>Mean ARR</w:t>
            </w:r>
            <w:r w:rsidR="003527F0" w:rsidRPr="00EB00D9">
              <w:rPr>
                <w:rFonts w:ascii="Book Antiqua" w:hAnsi="Book Antiqua" w:hint="eastAsia"/>
                <w:sz w:val="24"/>
                <w:szCs w:val="24"/>
                <w:lang w:eastAsia="zh-CN"/>
              </w:rPr>
              <w:t xml:space="preserve"> </w:t>
            </w:r>
            <w:r w:rsidRPr="00EB00D9">
              <w:rPr>
                <w:rFonts w:ascii="Book Antiqua" w:hAnsi="Book Antiqua"/>
                <w:sz w:val="24"/>
                <w:szCs w:val="24"/>
              </w:rPr>
              <w:t>=</w:t>
            </w:r>
            <w:r w:rsidR="003527F0" w:rsidRPr="00EB00D9">
              <w:rPr>
                <w:rFonts w:ascii="Book Antiqua" w:hAnsi="Book Antiqua" w:hint="eastAsia"/>
                <w:sz w:val="24"/>
                <w:szCs w:val="24"/>
                <w:lang w:eastAsia="zh-CN"/>
              </w:rPr>
              <w:t xml:space="preserve"> </w:t>
            </w:r>
            <w:r w:rsidR="003527F0" w:rsidRPr="00EB00D9">
              <w:rPr>
                <w:rFonts w:ascii="Book Antiqua" w:hAnsi="Book Antiqua"/>
                <w:sz w:val="24"/>
                <w:szCs w:val="24"/>
              </w:rPr>
              <w:t xml:space="preserve">2.4 </w:t>
            </w:r>
            <w:r w:rsidRPr="00EB00D9">
              <w:rPr>
                <w:rFonts w:ascii="Book Antiqua" w:hAnsi="Book Antiqua"/>
                <w:sz w:val="24"/>
                <w:szCs w:val="24"/>
              </w:rPr>
              <w:t>median ARR</w:t>
            </w:r>
            <w:r w:rsidR="003527F0" w:rsidRPr="00EB00D9">
              <w:rPr>
                <w:rFonts w:ascii="Book Antiqua" w:hAnsi="Book Antiqua" w:hint="eastAsia"/>
                <w:sz w:val="24"/>
                <w:szCs w:val="24"/>
                <w:lang w:eastAsia="zh-CN"/>
              </w:rPr>
              <w:t xml:space="preserve"> </w:t>
            </w:r>
            <w:r w:rsidR="003527F0" w:rsidRPr="00EB00D9">
              <w:rPr>
                <w:rFonts w:ascii="Book Antiqua" w:hAnsi="Book Antiqua"/>
                <w:sz w:val="24"/>
                <w:szCs w:val="24"/>
              </w:rPr>
              <w:t>= 2</w:t>
            </w:r>
            <w:r w:rsidR="00983DFD" w:rsidRPr="00EB00D9">
              <w:rPr>
                <w:rFonts w:ascii="Book Antiqua" w:hAnsi="Book Antiqua"/>
                <w:sz w:val="24"/>
                <w:szCs w:val="24"/>
                <w:vertAlign w:val="superscript"/>
              </w:rPr>
              <w:t>a</w:t>
            </w:r>
            <w:r w:rsidR="003066E2" w:rsidRPr="00EB00D9">
              <w:rPr>
                <w:rFonts w:ascii="Book Antiqua" w:hAnsi="Book Antiqua"/>
                <w:sz w:val="24"/>
                <w:szCs w:val="24"/>
              </w:rPr>
              <w:t xml:space="preserve"> </w:t>
            </w:r>
            <w:r w:rsidRPr="00EB00D9">
              <w:rPr>
                <w:rFonts w:ascii="Book Antiqua" w:hAnsi="Book Antiqua"/>
                <w:sz w:val="24"/>
                <w:szCs w:val="24"/>
              </w:rPr>
              <w:t>5 became relapse free. 2 had 50% reduction over median 24 mo</w:t>
            </w:r>
          </w:p>
        </w:tc>
        <w:tc>
          <w:tcPr>
            <w:tcW w:w="1260" w:type="dxa"/>
          </w:tcPr>
          <w:p w:rsidR="00120E34" w:rsidRPr="00EB00D9" w:rsidRDefault="00120E34" w:rsidP="000F62D6">
            <w:pPr>
              <w:spacing w:after="0" w:line="360" w:lineRule="auto"/>
              <w:jc w:val="both"/>
              <w:rPr>
                <w:rFonts w:ascii="Book Antiqua" w:hAnsi="Book Antiqua"/>
                <w:sz w:val="24"/>
                <w:szCs w:val="24"/>
              </w:rPr>
            </w:pPr>
          </w:p>
        </w:tc>
        <w:tc>
          <w:tcPr>
            <w:tcW w:w="1559"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71 % (5/7)</w:t>
            </w:r>
          </w:p>
        </w:tc>
        <w:tc>
          <w:tcPr>
            <w:tcW w:w="1501"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8--&gt;</w:t>
            </w:r>
            <w:r w:rsidR="00983DFD" w:rsidRPr="00EB00D9">
              <w:rPr>
                <w:rFonts w:ascii="Book Antiqua" w:hAnsi="Book Antiqua" w:hint="eastAsia"/>
                <w:sz w:val="24"/>
                <w:szCs w:val="24"/>
                <w:lang w:eastAsia="zh-CN"/>
              </w:rPr>
              <w:t xml:space="preserve"> </w:t>
            </w:r>
            <w:r w:rsidRPr="00EB00D9">
              <w:rPr>
                <w:rFonts w:ascii="Book Antiqua" w:hAnsi="Book Antiqua"/>
                <w:sz w:val="24"/>
                <w:szCs w:val="24"/>
              </w:rPr>
              <w:t>7</w:t>
            </w:r>
          </w:p>
        </w:tc>
      </w:tr>
      <w:tr w:rsidR="00EB00D9" w:rsidRPr="00EB00D9">
        <w:trPr>
          <w:trHeight w:val="565"/>
        </w:trPr>
        <w:tc>
          <w:tcPr>
            <w:tcW w:w="781" w:type="dxa"/>
            <w:noWrap/>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2012</w:t>
            </w:r>
          </w:p>
        </w:tc>
        <w:tc>
          <w:tcPr>
            <w:tcW w:w="1076" w:type="dxa"/>
          </w:tcPr>
          <w:p w:rsidR="00120E34" w:rsidRPr="00EB00D9" w:rsidRDefault="00120E34" w:rsidP="000F62D6">
            <w:pPr>
              <w:spacing w:after="0" w:line="360" w:lineRule="auto"/>
              <w:jc w:val="both"/>
              <w:rPr>
                <w:rFonts w:ascii="Book Antiqua" w:hAnsi="Book Antiqua"/>
                <w:sz w:val="24"/>
                <w:szCs w:val="24"/>
                <w:vertAlign w:val="superscript"/>
              </w:rPr>
            </w:pPr>
            <w:r w:rsidRPr="00EB00D9">
              <w:rPr>
                <w:rFonts w:ascii="Book Antiqua" w:hAnsi="Book Antiqua"/>
                <w:sz w:val="24"/>
                <w:szCs w:val="24"/>
              </w:rPr>
              <w:t>Lindsey</w:t>
            </w:r>
            <w:r w:rsidR="00983DFD" w:rsidRPr="00EB00D9">
              <w:rPr>
                <w:rFonts w:ascii="Book Antiqua" w:hAnsi="Book Antiqua" w:hint="eastAsia"/>
                <w:i/>
                <w:sz w:val="24"/>
                <w:szCs w:val="24"/>
                <w:lang w:eastAsia="zh-CN"/>
              </w:rPr>
              <w:t xml:space="preserve"> et al</w:t>
            </w:r>
            <w:r w:rsidRPr="00EB00D9">
              <w:rPr>
                <w:rFonts w:ascii="Book Antiqua" w:hAnsi="Book Antiqua"/>
                <w:sz w:val="24"/>
                <w:szCs w:val="24"/>
                <w:vertAlign w:val="superscript"/>
              </w:rPr>
              <w:t>[32]</w:t>
            </w:r>
          </w:p>
        </w:tc>
        <w:tc>
          <w:tcPr>
            <w:tcW w:w="1276" w:type="dxa"/>
          </w:tcPr>
          <w:p w:rsidR="00120E34" w:rsidRPr="00EB00D9" w:rsidRDefault="00983DFD" w:rsidP="000F62D6">
            <w:pPr>
              <w:spacing w:after="0" w:line="360" w:lineRule="auto"/>
              <w:jc w:val="both"/>
              <w:rPr>
                <w:rFonts w:ascii="Book Antiqua" w:hAnsi="Book Antiqua"/>
                <w:sz w:val="24"/>
                <w:szCs w:val="24"/>
              </w:rPr>
            </w:pPr>
            <w:r w:rsidRPr="00EB00D9">
              <w:rPr>
                <w:rFonts w:ascii="Book Antiqua" w:hAnsi="Book Antiqua"/>
                <w:sz w:val="24"/>
                <w:szCs w:val="24"/>
              </w:rPr>
              <w:t>U</w:t>
            </w:r>
            <w:r w:rsidRPr="00EB00D9">
              <w:rPr>
                <w:rFonts w:ascii="Book Antiqua" w:hAnsi="Book Antiqua" w:hint="eastAsia"/>
                <w:sz w:val="24"/>
                <w:szCs w:val="24"/>
                <w:lang w:eastAsia="zh-CN"/>
              </w:rPr>
              <w:t xml:space="preserve">nited </w:t>
            </w:r>
            <w:r w:rsidRPr="00EB00D9">
              <w:rPr>
                <w:rFonts w:ascii="Book Antiqua" w:hAnsi="Book Antiqua"/>
                <w:sz w:val="24"/>
                <w:szCs w:val="24"/>
              </w:rPr>
              <w:t>S</w:t>
            </w:r>
            <w:r w:rsidRPr="00EB00D9">
              <w:rPr>
                <w:rFonts w:ascii="Book Antiqua" w:hAnsi="Book Antiqua" w:hint="eastAsia"/>
                <w:sz w:val="24"/>
                <w:szCs w:val="24"/>
                <w:lang w:eastAsia="zh-CN"/>
              </w:rPr>
              <w:t>tates</w:t>
            </w:r>
            <w:r w:rsidR="00120E34" w:rsidRPr="00EB00D9">
              <w:rPr>
                <w:rFonts w:ascii="Book Antiqua" w:hAnsi="Book Antiqua"/>
                <w:sz w:val="24"/>
                <w:szCs w:val="24"/>
              </w:rPr>
              <w:t>; Retrospective</w:t>
            </w:r>
          </w:p>
        </w:tc>
        <w:tc>
          <w:tcPr>
            <w:tcW w:w="1008" w:type="dxa"/>
            <w:noWrap/>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9</w:t>
            </w:r>
          </w:p>
        </w:tc>
        <w:tc>
          <w:tcPr>
            <w:tcW w:w="1008" w:type="dxa"/>
            <w:noWrap/>
          </w:tcPr>
          <w:p w:rsidR="00120E34" w:rsidRPr="00EB00D9" w:rsidRDefault="00983DFD" w:rsidP="000F62D6">
            <w:pPr>
              <w:spacing w:after="0" w:line="360" w:lineRule="auto"/>
              <w:jc w:val="both"/>
              <w:rPr>
                <w:rFonts w:ascii="Book Antiqua" w:hAnsi="Book Antiqua"/>
                <w:sz w:val="24"/>
                <w:szCs w:val="24"/>
              </w:rPr>
            </w:pPr>
            <w:r w:rsidRPr="00EB00D9">
              <w:rPr>
                <w:rFonts w:ascii="Book Antiqua" w:hAnsi="Book Antiqua"/>
                <w:sz w:val="24"/>
                <w:szCs w:val="24"/>
              </w:rPr>
              <w:t>N/A</w:t>
            </w:r>
            <w:r w:rsidR="00120E34" w:rsidRPr="00EB00D9">
              <w:rPr>
                <w:rFonts w:ascii="Book Antiqua" w:hAnsi="Book Antiqua"/>
                <w:sz w:val="24"/>
                <w:szCs w:val="24"/>
              </w:rPr>
              <w:t>; 89%</w:t>
            </w:r>
          </w:p>
        </w:tc>
        <w:tc>
          <w:tcPr>
            <w:tcW w:w="1205"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60%</w:t>
            </w:r>
          </w:p>
        </w:tc>
        <w:tc>
          <w:tcPr>
            <w:tcW w:w="1203"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A or B: Mean duration: 74.2 mo</w:t>
            </w:r>
          </w:p>
        </w:tc>
        <w:tc>
          <w:tcPr>
            <w:tcW w:w="1443"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3 pts with early relapses in first month after RTX, 4 pts (including 1 pt with early relapse) with later relapses</w:t>
            </w:r>
          </w:p>
        </w:tc>
        <w:tc>
          <w:tcPr>
            <w:tcW w:w="1260" w:type="dxa"/>
          </w:tcPr>
          <w:p w:rsidR="00120E34" w:rsidRPr="00EB00D9" w:rsidRDefault="00120E34" w:rsidP="000F62D6">
            <w:pPr>
              <w:spacing w:after="0" w:line="360" w:lineRule="auto"/>
              <w:jc w:val="both"/>
              <w:rPr>
                <w:rFonts w:ascii="Book Antiqua" w:hAnsi="Book Antiqua"/>
                <w:sz w:val="24"/>
                <w:szCs w:val="24"/>
              </w:rPr>
            </w:pPr>
          </w:p>
        </w:tc>
        <w:tc>
          <w:tcPr>
            <w:tcW w:w="1559"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33% (3/9)</w:t>
            </w:r>
          </w:p>
        </w:tc>
        <w:tc>
          <w:tcPr>
            <w:tcW w:w="1501"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3.5--&gt;</w:t>
            </w:r>
            <w:r w:rsidR="00983DFD" w:rsidRPr="00EB00D9">
              <w:rPr>
                <w:rFonts w:ascii="Book Antiqua" w:hAnsi="Book Antiqua" w:hint="eastAsia"/>
                <w:sz w:val="24"/>
                <w:szCs w:val="24"/>
                <w:lang w:eastAsia="zh-CN"/>
              </w:rPr>
              <w:t xml:space="preserve"> </w:t>
            </w:r>
            <w:r w:rsidRPr="00EB00D9">
              <w:rPr>
                <w:rFonts w:ascii="Book Antiqua" w:hAnsi="Book Antiqua"/>
                <w:sz w:val="24"/>
                <w:szCs w:val="24"/>
              </w:rPr>
              <w:t>4.3</w:t>
            </w:r>
            <w:r w:rsidR="00983DFD" w:rsidRPr="00EB00D9">
              <w:rPr>
                <w:rFonts w:ascii="Book Antiqua" w:hAnsi="Book Antiqua"/>
                <w:sz w:val="24"/>
                <w:szCs w:val="24"/>
                <w:vertAlign w:val="superscript"/>
              </w:rPr>
              <w:t>a</w:t>
            </w:r>
          </w:p>
        </w:tc>
      </w:tr>
      <w:tr w:rsidR="00EB00D9" w:rsidRPr="00EB00D9">
        <w:trPr>
          <w:trHeight w:val="898"/>
        </w:trPr>
        <w:tc>
          <w:tcPr>
            <w:tcW w:w="781" w:type="dxa"/>
            <w:noWrap/>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2013</w:t>
            </w:r>
          </w:p>
        </w:tc>
        <w:tc>
          <w:tcPr>
            <w:tcW w:w="1076" w:type="dxa"/>
          </w:tcPr>
          <w:p w:rsidR="00120E34" w:rsidRPr="00EB00D9" w:rsidRDefault="00120E34" w:rsidP="00CA2267">
            <w:pPr>
              <w:spacing w:after="0" w:line="360" w:lineRule="auto"/>
              <w:jc w:val="both"/>
              <w:rPr>
                <w:rFonts w:ascii="Book Antiqua" w:hAnsi="Book Antiqua"/>
                <w:sz w:val="24"/>
                <w:szCs w:val="24"/>
                <w:vertAlign w:val="superscript"/>
              </w:rPr>
            </w:pPr>
            <w:r w:rsidRPr="00EB00D9">
              <w:rPr>
                <w:rFonts w:ascii="Book Antiqua" w:hAnsi="Book Antiqua"/>
                <w:sz w:val="24"/>
                <w:szCs w:val="24"/>
              </w:rPr>
              <w:t>Kim</w:t>
            </w:r>
            <w:r w:rsidR="00983DFD" w:rsidRPr="00EB00D9">
              <w:rPr>
                <w:rFonts w:ascii="Book Antiqua" w:hAnsi="Book Antiqua" w:hint="eastAsia"/>
                <w:i/>
                <w:sz w:val="24"/>
                <w:szCs w:val="24"/>
                <w:lang w:eastAsia="zh-CN"/>
              </w:rPr>
              <w:t xml:space="preserve"> et al</w:t>
            </w:r>
            <w:r w:rsidRPr="00EB00D9">
              <w:rPr>
                <w:rFonts w:ascii="Book Antiqua" w:hAnsi="Book Antiqua"/>
                <w:sz w:val="24"/>
                <w:szCs w:val="24"/>
                <w:vertAlign w:val="superscript"/>
              </w:rPr>
              <w:t>[2</w:t>
            </w:r>
            <w:r w:rsidR="00CA2267" w:rsidRPr="00EB00D9">
              <w:rPr>
                <w:rFonts w:ascii="Book Antiqua" w:hAnsi="Book Antiqua" w:hint="eastAsia"/>
                <w:sz w:val="24"/>
                <w:szCs w:val="24"/>
                <w:vertAlign w:val="superscript"/>
                <w:lang w:eastAsia="zh-CN"/>
              </w:rPr>
              <w:t>6</w:t>
            </w:r>
            <w:r w:rsidRPr="00EB00D9">
              <w:rPr>
                <w:rFonts w:ascii="Book Antiqua" w:hAnsi="Book Antiqua"/>
                <w:sz w:val="24"/>
                <w:szCs w:val="24"/>
                <w:vertAlign w:val="superscript"/>
              </w:rPr>
              <w:t>]</w:t>
            </w:r>
          </w:p>
        </w:tc>
        <w:tc>
          <w:tcPr>
            <w:tcW w:w="1276" w:type="dxa"/>
          </w:tcPr>
          <w:p w:rsidR="00120E34" w:rsidRPr="00EB00D9" w:rsidRDefault="00983DFD" w:rsidP="000F62D6">
            <w:pPr>
              <w:spacing w:after="0" w:line="360" w:lineRule="auto"/>
              <w:jc w:val="both"/>
              <w:rPr>
                <w:rFonts w:ascii="Book Antiqua" w:hAnsi="Book Antiqua"/>
                <w:sz w:val="24"/>
                <w:szCs w:val="24"/>
              </w:rPr>
            </w:pPr>
            <w:r w:rsidRPr="00EB00D9">
              <w:rPr>
                <w:rFonts w:ascii="Book Antiqua" w:hAnsi="Book Antiqua" w:hint="eastAsia"/>
                <w:sz w:val="24"/>
                <w:szCs w:val="24"/>
                <w:lang w:eastAsia="zh-CN"/>
              </w:rPr>
              <w:t xml:space="preserve">South </w:t>
            </w:r>
            <w:r w:rsidR="00120E34" w:rsidRPr="00EB00D9">
              <w:rPr>
                <w:rFonts w:ascii="Book Antiqua" w:hAnsi="Book Antiqua"/>
                <w:sz w:val="24"/>
                <w:szCs w:val="24"/>
              </w:rPr>
              <w:t>Korea; Retrospective</w:t>
            </w:r>
          </w:p>
        </w:tc>
        <w:tc>
          <w:tcPr>
            <w:tcW w:w="1008" w:type="dxa"/>
            <w:noWrap/>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30</w:t>
            </w:r>
          </w:p>
        </w:tc>
        <w:tc>
          <w:tcPr>
            <w:tcW w:w="1008" w:type="dxa"/>
            <w:noWrap/>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38.4 (</w:t>
            </w:r>
            <w:r w:rsidR="00983DFD" w:rsidRPr="00EB00D9">
              <w:rPr>
                <w:rFonts w:ascii="Book Antiqua" w:hAnsi="Book Antiqua" w:cs="Arial"/>
                <w:sz w:val="24"/>
                <w:szCs w:val="24"/>
              </w:rPr>
              <w:t>±</w:t>
            </w:r>
            <w:r w:rsidR="00983DFD" w:rsidRPr="00EB00D9">
              <w:rPr>
                <w:rFonts w:ascii="Book Antiqua" w:hAnsi="Book Antiqua" w:cs="Arial" w:hint="eastAsia"/>
                <w:sz w:val="24"/>
                <w:szCs w:val="24"/>
                <w:lang w:eastAsia="zh-CN"/>
              </w:rPr>
              <w:t xml:space="preserve"> </w:t>
            </w:r>
            <w:r w:rsidRPr="00EB00D9">
              <w:rPr>
                <w:rFonts w:ascii="Book Antiqua" w:hAnsi="Book Antiqua"/>
                <w:sz w:val="24"/>
                <w:szCs w:val="24"/>
              </w:rPr>
              <w:t>10.5); 90%</w:t>
            </w:r>
          </w:p>
        </w:tc>
        <w:tc>
          <w:tcPr>
            <w:tcW w:w="1205"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77% seropositive</w:t>
            </w:r>
          </w:p>
        </w:tc>
        <w:tc>
          <w:tcPr>
            <w:tcW w:w="1203"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A or B; mean 61 mo (range 49-82 mo), median 60 mo</w:t>
            </w:r>
          </w:p>
        </w:tc>
        <w:tc>
          <w:tcPr>
            <w:tcW w:w="1443"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 xml:space="preserve"> 2.4 (mean)</w:t>
            </w:r>
          </w:p>
        </w:tc>
        <w:tc>
          <w:tcPr>
            <w:tcW w:w="1260"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0.3 (mean)</w:t>
            </w:r>
          </w:p>
        </w:tc>
        <w:tc>
          <w:tcPr>
            <w:tcW w:w="1559"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70% (21/30 at 2 yr f/u)</w:t>
            </w:r>
          </w:p>
        </w:tc>
        <w:tc>
          <w:tcPr>
            <w:tcW w:w="1501"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4--&gt;</w:t>
            </w:r>
            <w:r w:rsidR="00983DFD" w:rsidRPr="00EB00D9">
              <w:rPr>
                <w:rFonts w:ascii="Book Antiqua" w:hAnsi="Book Antiqua" w:hint="eastAsia"/>
                <w:sz w:val="24"/>
                <w:szCs w:val="24"/>
                <w:lang w:eastAsia="zh-CN"/>
              </w:rPr>
              <w:t xml:space="preserve"> </w:t>
            </w:r>
            <w:r w:rsidRPr="00EB00D9">
              <w:rPr>
                <w:rFonts w:ascii="Book Antiqua" w:hAnsi="Book Antiqua"/>
                <w:sz w:val="24"/>
                <w:szCs w:val="24"/>
              </w:rPr>
              <w:t>3</w:t>
            </w:r>
          </w:p>
        </w:tc>
      </w:tr>
      <w:tr w:rsidR="00EB00D9" w:rsidRPr="00EB00D9">
        <w:trPr>
          <w:trHeight w:val="1131"/>
        </w:trPr>
        <w:tc>
          <w:tcPr>
            <w:tcW w:w="781" w:type="dxa"/>
            <w:noWrap/>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2013</w:t>
            </w:r>
          </w:p>
        </w:tc>
        <w:tc>
          <w:tcPr>
            <w:tcW w:w="1076" w:type="dxa"/>
          </w:tcPr>
          <w:p w:rsidR="00120E34" w:rsidRPr="00EB00D9" w:rsidRDefault="00120E34" w:rsidP="00CA2267">
            <w:pPr>
              <w:spacing w:after="0" w:line="360" w:lineRule="auto"/>
              <w:jc w:val="both"/>
              <w:rPr>
                <w:rFonts w:ascii="Book Antiqua" w:hAnsi="Book Antiqua"/>
                <w:sz w:val="24"/>
                <w:szCs w:val="24"/>
                <w:vertAlign w:val="superscript"/>
              </w:rPr>
            </w:pPr>
            <w:r w:rsidRPr="00EB00D9">
              <w:rPr>
                <w:rFonts w:ascii="Book Antiqua" w:hAnsi="Book Antiqua"/>
                <w:sz w:val="24"/>
                <w:szCs w:val="24"/>
              </w:rPr>
              <w:t>Yang</w:t>
            </w:r>
            <w:r w:rsidR="00983DFD" w:rsidRPr="00EB00D9">
              <w:rPr>
                <w:rFonts w:ascii="Book Antiqua" w:hAnsi="Book Antiqua" w:hint="eastAsia"/>
                <w:i/>
                <w:sz w:val="24"/>
                <w:szCs w:val="24"/>
                <w:lang w:eastAsia="zh-CN"/>
              </w:rPr>
              <w:t xml:space="preserve"> et al</w:t>
            </w:r>
            <w:r w:rsidRPr="00EB00D9">
              <w:rPr>
                <w:rFonts w:ascii="Book Antiqua" w:hAnsi="Book Antiqua"/>
                <w:sz w:val="24"/>
                <w:szCs w:val="24"/>
                <w:vertAlign w:val="superscript"/>
              </w:rPr>
              <w:t>[2</w:t>
            </w:r>
            <w:r w:rsidR="00CA2267" w:rsidRPr="00EB00D9">
              <w:rPr>
                <w:rFonts w:ascii="Book Antiqua" w:hAnsi="Book Antiqua" w:hint="eastAsia"/>
                <w:sz w:val="24"/>
                <w:szCs w:val="24"/>
                <w:vertAlign w:val="superscript"/>
                <w:lang w:eastAsia="zh-CN"/>
              </w:rPr>
              <w:t>7</w:t>
            </w:r>
            <w:r w:rsidRPr="00EB00D9">
              <w:rPr>
                <w:rFonts w:ascii="Book Antiqua" w:hAnsi="Book Antiqua"/>
                <w:sz w:val="24"/>
                <w:szCs w:val="24"/>
                <w:vertAlign w:val="superscript"/>
              </w:rPr>
              <w:t>]</w:t>
            </w:r>
          </w:p>
        </w:tc>
        <w:tc>
          <w:tcPr>
            <w:tcW w:w="1276"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China; Prospective</w:t>
            </w:r>
          </w:p>
        </w:tc>
        <w:tc>
          <w:tcPr>
            <w:tcW w:w="1008" w:type="dxa"/>
            <w:noWrap/>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5</w:t>
            </w:r>
          </w:p>
        </w:tc>
        <w:tc>
          <w:tcPr>
            <w:tcW w:w="1008" w:type="dxa"/>
            <w:noWrap/>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42</w:t>
            </w:r>
            <w:r w:rsidR="00983DFD" w:rsidRPr="00EB00D9">
              <w:rPr>
                <w:rFonts w:ascii="Book Antiqua" w:hAnsi="Book Antiqua"/>
                <w:sz w:val="24"/>
                <w:szCs w:val="24"/>
                <w:vertAlign w:val="superscript"/>
              </w:rPr>
              <w:t>a</w:t>
            </w:r>
            <w:r w:rsidRPr="00EB00D9">
              <w:rPr>
                <w:rFonts w:ascii="Book Antiqua" w:hAnsi="Book Antiqua"/>
                <w:sz w:val="24"/>
                <w:szCs w:val="24"/>
              </w:rPr>
              <w:t xml:space="preserve">; </w:t>
            </w:r>
            <w:r w:rsidR="00983DFD" w:rsidRPr="00EB00D9">
              <w:rPr>
                <w:rFonts w:ascii="Book Antiqua" w:hAnsi="Book Antiqua"/>
                <w:sz w:val="24"/>
                <w:szCs w:val="24"/>
              </w:rPr>
              <w:t>N/A</w:t>
            </w:r>
          </w:p>
        </w:tc>
        <w:tc>
          <w:tcPr>
            <w:tcW w:w="1205"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80%</w:t>
            </w:r>
          </w:p>
        </w:tc>
        <w:tc>
          <w:tcPr>
            <w:tcW w:w="1203"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100 mg (50-59 mg/m</w:t>
            </w:r>
            <w:r w:rsidRPr="00EB00D9">
              <w:rPr>
                <w:rFonts w:ascii="Book Antiqua" w:hAnsi="Book Antiqua"/>
                <w:sz w:val="24"/>
                <w:szCs w:val="24"/>
                <w:vertAlign w:val="superscript"/>
              </w:rPr>
              <w:t>2</w:t>
            </w:r>
            <w:r w:rsidRPr="00EB00D9">
              <w:rPr>
                <w:rFonts w:ascii="Book Antiqua" w:hAnsi="Book Antiqua"/>
                <w:sz w:val="24"/>
                <w:szCs w:val="24"/>
              </w:rPr>
              <w:t>) R</w:t>
            </w:r>
            <w:r w:rsidR="003066E2" w:rsidRPr="00EB00D9">
              <w:rPr>
                <w:rFonts w:ascii="Book Antiqua" w:hAnsi="Book Antiqua"/>
                <w:sz w:val="24"/>
                <w:szCs w:val="24"/>
              </w:rPr>
              <w:t>TX IV 1 dose/w</w:t>
            </w:r>
            <w:r w:rsidR="00983DFD" w:rsidRPr="00EB00D9">
              <w:rPr>
                <w:rFonts w:ascii="Book Antiqua" w:hAnsi="Book Antiqua"/>
                <w:sz w:val="24"/>
                <w:szCs w:val="24"/>
              </w:rPr>
              <w:t>k for 3 cons wk</w:t>
            </w:r>
            <w:r w:rsidRPr="00EB00D9">
              <w:rPr>
                <w:rFonts w:ascii="Book Antiqua" w:hAnsi="Book Antiqua"/>
                <w:sz w:val="24"/>
                <w:szCs w:val="24"/>
              </w:rPr>
              <w:t>; mean duration: 12.2 mo</w:t>
            </w:r>
          </w:p>
        </w:tc>
        <w:tc>
          <w:tcPr>
            <w:tcW w:w="1443"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1.16</w:t>
            </w:r>
            <w:r w:rsidR="00983DFD" w:rsidRPr="00EB00D9">
              <w:rPr>
                <w:rFonts w:ascii="Book Antiqua" w:hAnsi="Book Antiqua"/>
                <w:sz w:val="24"/>
                <w:szCs w:val="24"/>
                <w:vertAlign w:val="superscript"/>
              </w:rPr>
              <w:t>a</w:t>
            </w:r>
            <w:r w:rsidRPr="00EB00D9">
              <w:rPr>
                <w:rFonts w:ascii="Book Antiqua" w:hAnsi="Book Antiqua"/>
                <w:sz w:val="24"/>
                <w:szCs w:val="24"/>
              </w:rPr>
              <w:t xml:space="preserve"> (mean)</w:t>
            </w:r>
          </w:p>
        </w:tc>
        <w:tc>
          <w:tcPr>
            <w:tcW w:w="1260"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0</w:t>
            </w:r>
            <w:r w:rsidR="00983DFD" w:rsidRPr="00EB00D9">
              <w:rPr>
                <w:rFonts w:ascii="Book Antiqua" w:hAnsi="Book Antiqua"/>
                <w:sz w:val="24"/>
                <w:szCs w:val="24"/>
                <w:vertAlign w:val="superscript"/>
              </w:rPr>
              <w:t>a</w:t>
            </w:r>
            <w:r w:rsidRPr="00EB00D9">
              <w:rPr>
                <w:rFonts w:ascii="Book Antiqua" w:hAnsi="Book Antiqua"/>
                <w:sz w:val="24"/>
                <w:szCs w:val="24"/>
              </w:rPr>
              <w:t xml:space="preserve"> (mean)</w:t>
            </w:r>
          </w:p>
        </w:tc>
        <w:tc>
          <w:tcPr>
            <w:tcW w:w="1559"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100%</w:t>
            </w:r>
          </w:p>
        </w:tc>
        <w:tc>
          <w:tcPr>
            <w:tcW w:w="1501"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4.5--&gt;</w:t>
            </w:r>
            <w:r w:rsidR="00983DFD" w:rsidRPr="00EB00D9">
              <w:rPr>
                <w:rFonts w:ascii="Book Antiqua" w:hAnsi="Book Antiqua" w:hint="eastAsia"/>
                <w:sz w:val="24"/>
                <w:szCs w:val="24"/>
                <w:lang w:eastAsia="zh-CN"/>
              </w:rPr>
              <w:t xml:space="preserve"> </w:t>
            </w:r>
            <w:r w:rsidRPr="00EB00D9">
              <w:rPr>
                <w:rFonts w:ascii="Book Antiqua" w:hAnsi="Book Antiqua"/>
                <w:sz w:val="24"/>
                <w:szCs w:val="24"/>
              </w:rPr>
              <w:t>4</w:t>
            </w:r>
          </w:p>
        </w:tc>
      </w:tr>
      <w:tr w:rsidR="00EB00D9" w:rsidRPr="00EB00D9">
        <w:trPr>
          <w:trHeight w:val="682"/>
        </w:trPr>
        <w:tc>
          <w:tcPr>
            <w:tcW w:w="781" w:type="dxa"/>
            <w:noWrap/>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2014</w:t>
            </w:r>
          </w:p>
        </w:tc>
        <w:tc>
          <w:tcPr>
            <w:tcW w:w="1076" w:type="dxa"/>
          </w:tcPr>
          <w:p w:rsidR="00120E34" w:rsidRPr="00EB00D9" w:rsidRDefault="00120E34" w:rsidP="000F62D6">
            <w:pPr>
              <w:spacing w:after="0" w:line="360" w:lineRule="auto"/>
              <w:jc w:val="both"/>
              <w:rPr>
                <w:rFonts w:ascii="Book Antiqua" w:hAnsi="Book Antiqua"/>
                <w:sz w:val="24"/>
                <w:szCs w:val="24"/>
                <w:vertAlign w:val="superscript"/>
              </w:rPr>
            </w:pPr>
            <w:r w:rsidRPr="00EB00D9">
              <w:rPr>
                <w:rFonts w:ascii="Book Antiqua" w:hAnsi="Book Antiqua"/>
                <w:sz w:val="24"/>
                <w:szCs w:val="24"/>
              </w:rPr>
              <w:t>Mealy</w:t>
            </w:r>
            <w:r w:rsidR="00983DFD" w:rsidRPr="00EB00D9">
              <w:rPr>
                <w:rFonts w:ascii="Book Antiqua" w:hAnsi="Book Antiqua" w:hint="eastAsia"/>
                <w:i/>
                <w:sz w:val="24"/>
                <w:szCs w:val="24"/>
                <w:lang w:eastAsia="zh-CN"/>
              </w:rPr>
              <w:t xml:space="preserve"> et al</w:t>
            </w:r>
            <w:r w:rsidRPr="00EB00D9">
              <w:rPr>
                <w:rFonts w:ascii="Book Antiqua" w:hAnsi="Book Antiqua"/>
                <w:sz w:val="24"/>
                <w:szCs w:val="24"/>
                <w:vertAlign w:val="superscript"/>
              </w:rPr>
              <w:t>[29]</w:t>
            </w:r>
          </w:p>
        </w:tc>
        <w:tc>
          <w:tcPr>
            <w:tcW w:w="1276" w:type="dxa"/>
          </w:tcPr>
          <w:p w:rsidR="00120E34" w:rsidRPr="00EB00D9" w:rsidRDefault="00983DFD" w:rsidP="000F62D6">
            <w:pPr>
              <w:spacing w:after="0" w:line="360" w:lineRule="auto"/>
              <w:jc w:val="both"/>
              <w:rPr>
                <w:rFonts w:ascii="Book Antiqua" w:hAnsi="Book Antiqua"/>
                <w:sz w:val="24"/>
                <w:szCs w:val="24"/>
              </w:rPr>
            </w:pPr>
            <w:r w:rsidRPr="00EB00D9">
              <w:rPr>
                <w:rFonts w:ascii="Book Antiqua" w:hAnsi="Book Antiqua"/>
                <w:sz w:val="24"/>
                <w:szCs w:val="24"/>
              </w:rPr>
              <w:t>U</w:t>
            </w:r>
            <w:r w:rsidRPr="00EB00D9">
              <w:rPr>
                <w:rFonts w:ascii="Book Antiqua" w:hAnsi="Book Antiqua" w:hint="eastAsia"/>
                <w:sz w:val="24"/>
                <w:szCs w:val="24"/>
                <w:lang w:eastAsia="zh-CN"/>
              </w:rPr>
              <w:t xml:space="preserve">nited </w:t>
            </w:r>
            <w:r w:rsidRPr="00EB00D9">
              <w:rPr>
                <w:rFonts w:ascii="Book Antiqua" w:hAnsi="Book Antiqua"/>
                <w:sz w:val="24"/>
                <w:szCs w:val="24"/>
              </w:rPr>
              <w:t>S</w:t>
            </w:r>
            <w:r w:rsidRPr="00EB00D9">
              <w:rPr>
                <w:rFonts w:ascii="Book Antiqua" w:hAnsi="Book Antiqua" w:hint="eastAsia"/>
                <w:sz w:val="24"/>
                <w:szCs w:val="24"/>
                <w:lang w:eastAsia="zh-CN"/>
              </w:rPr>
              <w:t>tates</w:t>
            </w:r>
            <w:r w:rsidR="00120E34" w:rsidRPr="00EB00D9">
              <w:rPr>
                <w:rFonts w:ascii="Book Antiqua" w:hAnsi="Book Antiqua"/>
                <w:sz w:val="24"/>
                <w:szCs w:val="24"/>
              </w:rPr>
              <w:t>; Retrospective</w:t>
            </w:r>
          </w:p>
        </w:tc>
        <w:tc>
          <w:tcPr>
            <w:tcW w:w="1008" w:type="dxa"/>
            <w:noWrap/>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30</w:t>
            </w:r>
          </w:p>
        </w:tc>
        <w:tc>
          <w:tcPr>
            <w:tcW w:w="1008" w:type="dxa"/>
            <w:noWrap/>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45</w:t>
            </w:r>
            <w:r w:rsidR="00983DFD" w:rsidRPr="00EB00D9">
              <w:rPr>
                <w:rFonts w:ascii="Book Antiqua" w:hAnsi="Book Antiqua"/>
                <w:sz w:val="24"/>
                <w:szCs w:val="24"/>
                <w:vertAlign w:val="superscript"/>
              </w:rPr>
              <w:t>a</w:t>
            </w:r>
            <w:r w:rsidRPr="00EB00D9">
              <w:rPr>
                <w:rFonts w:ascii="Book Antiqua" w:hAnsi="Book Antiqua"/>
                <w:sz w:val="24"/>
                <w:szCs w:val="24"/>
              </w:rPr>
              <w:t>; 83%</w:t>
            </w:r>
          </w:p>
        </w:tc>
        <w:tc>
          <w:tcPr>
            <w:tcW w:w="1205"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50%</w:t>
            </w:r>
          </w:p>
        </w:tc>
        <w:tc>
          <w:tcPr>
            <w:tcW w:w="1203"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B; median of 20 mo (range 5-83 mo)</w:t>
            </w:r>
          </w:p>
        </w:tc>
        <w:tc>
          <w:tcPr>
            <w:tcW w:w="1443"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Total pretreatment ARR- 2.89</w:t>
            </w:r>
          </w:p>
        </w:tc>
        <w:tc>
          <w:tcPr>
            <w:tcW w:w="1260"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Total post-treatment ARR- 0.33</w:t>
            </w:r>
          </w:p>
        </w:tc>
        <w:tc>
          <w:tcPr>
            <w:tcW w:w="1559"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67% (20/30)</w:t>
            </w:r>
          </w:p>
        </w:tc>
        <w:tc>
          <w:tcPr>
            <w:tcW w:w="1501"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N/A</w:t>
            </w:r>
          </w:p>
        </w:tc>
      </w:tr>
      <w:tr w:rsidR="00EB00D9" w:rsidRPr="00EB00D9">
        <w:trPr>
          <w:trHeight w:val="682"/>
        </w:trPr>
        <w:tc>
          <w:tcPr>
            <w:tcW w:w="781"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2014</w:t>
            </w:r>
          </w:p>
        </w:tc>
        <w:tc>
          <w:tcPr>
            <w:tcW w:w="1076" w:type="dxa"/>
          </w:tcPr>
          <w:p w:rsidR="00120E34" w:rsidRPr="00EB00D9" w:rsidRDefault="00120E34" w:rsidP="000F62D6">
            <w:pPr>
              <w:spacing w:after="0" w:line="360" w:lineRule="auto"/>
              <w:jc w:val="both"/>
              <w:rPr>
                <w:rFonts w:ascii="Book Antiqua" w:hAnsi="Book Antiqua"/>
                <w:sz w:val="24"/>
                <w:szCs w:val="24"/>
                <w:vertAlign w:val="superscript"/>
              </w:rPr>
            </w:pPr>
            <w:r w:rsidRPr="00EB00D9">
              <w:rPr>
                <w:rFonts w:ascii="Book Antiqua" w:hAnsi="Book Antiqua"/>
                <w:sz w:val="24"/>
                <w:szCs w:val="24"/>
              </w:rPr>
              <w:t>Farber</w:t>
            </w:r>
            <w:r w:rsidR="00983DFD" w:rsidRPr="00EB00D9">
              <w:rPr>
                <w:rFonts w:ascii="Book Antiqua" w:hAnsi="Book Antiqua" w:hint="eastAsia"/>
                <w:i/>
                <w:sz w:val="24"/>
                <w:szCs w:val="24"/>
                <w:lang w:eastAsia="zh-CN"/>
              </w:rPr>
              <w:t xml:space="preserve"> et al</w:t>
            </w:r>
            <w:r w:rsidRPr="00EB00D9">
              <w:rPr>
                <w:rFonts w:ascii="Book Antiqua" w:hAnsi="Book Antiqua"/>
                <w:sz w:val="24"/>
                <w:szCs w:val="24"/>
                <w:vertAlign w:val="superscript"/>
              </w:rPr>
              <w:t>[21]</w:t>
            </w:r>
          </w:p>
        </w:tc>
        <w:tc>
          <w:tcPr>
            <w:tcW w:w="1276"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U</w:t>
            </w:r>
            <w:r w:rsidR="00983DFD" w:rsidRPr="00EB00D9">
              <w:rPr>
                <w:rFonts w:ascii="Book Antiqua" w:hAnsi="Book Antiqua" w:hint="eastAsia"/>
                <w:sz w:val="24"/>
                <w:szCs w:val="24"/>
                <w:lang w:eastAsia="zh-CN"/>
              </w:rPr>
              <w:t xml:space="preserve">nited </w:t>
            </w:r>
            <w:r w:rsidRPr="00EB00D9">
              <w:rPr>
                <w:rFonts w:ascii="Book Antiqua" w:hAnsi="Book Antiqua"/>
                <w:sz w:val="24"/>
                <w:szCs w:val="24"/>
              </w:rPr>
              <w:t>S</w:t>
            </w:r>
            <w:r w:rsidR="00983DFD" w:rsidRPr="00EB00D9">
              <w:rPr>
                <w:rFonts w:ascii="Book Antiqua" w:hAnsi="Book Antiqua" w:hint="eastAsia"/>
                <w:sz w:val="24"/>
                <w:szCs w:val="24"/>
                <w:lang w:eastAsia="zh-CN"/>
              </w:rPr>
              <w:t>tates</w:t>
            </w:r>
            <w:r w:rsidRPr="00EB00D9">
              <w:rPr>
                <w:rFonts w:ascii="Book Antiqua" w:hAnsi="Book Antiqua"/>
                <w:sz w:val="24"/>
                <w:szCs w:val="24"/>
              </w:rPr>
              <w:t>; Retrospective</w:t>
            </w:r>
          </w:p>
        </w:tc>
        <w:tc>
          <w:tcPr>
            <w:tcW w:w="1008"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23</w:t>
            </w:r>
          </w:p>
        </w:tc>
        <w:tc>
          <w:tcPr>
            <w:tcW w:w="1008"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38; 100%</w:t>
            </w:r>
          </w:p>
        </w:tc>
        <w:tc>
          <w:tcPr>
            <w:tcW w:w="1205"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74%</w:t>
            </w:r>
          </w:p>
        </w:tc>
        <w:tc>
          <w:tcPr>
            <w:tcW w:w="1203"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Mean of 22 mo (range 2-96 mo)</w:t>
            </w:r>
          </w:p>
        </w:tc>
        <w:tc>
          <w:tcPr>
            <w:tcW w:w="1443" w:type="dxa"/>
          </w:tcPr>
          <w:p w:rsidR="00120E34" w:rsidRPr="00EB00D9" w:rsidRDefault="00120E34" w:rsidP="000F62D6">
            <w:pPr>
              <w:spacing w:after="0" w:line="360" w:lineRule="auto"/>
              <w:jc w:val="both"/>
              <w:rPr>
                <w:rFonts w:ascii="Book Antiqua" w:hAnsi="Book Antiqua"/>
                <w:sz w:val="24"/>
                <w:szCs w:val="24"/>
              </w:rPr>
            </w:pPr>
          </w:p>
        </w:tc>
        <w:tc>
          <w:tcPr>
            <w:tcW w:w="1260"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 xml:space="preserve"> Median ARR was 0.24; mean was 1.02 (SD 1.36)</w:t>
            </w:r>
          </w:p>
        </w:tc>
        <w:tc>
          <w:tcPr>
            <w:tcW w:w="1559"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 xml:space="preserve">48% (11/23) </w:t>
            </w:r>
          </w:p>
        </w:tc>
        <w:tc>
          <w:tcPr>
            <w:tcW w:w="1501" w:type="dxa"/>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N/A</w:t>
            </w:r>
          </w:p>
        </w:tc>
      </w:tr>
    </w:tbl>
    <w:p w:rsidR="00120E34" w:rsidRPr="00EB00D9" w:rsidRDefault="00120E34" w:rsidP="000F62D6">
      <w:pPr>
        <w:spacing w:after="0" w:line="360" w:lineRule="auto"/>
        <w:jc w:val="both"/>
        <w:rPr>
          <w:rFonts w:ascii="Book Antiqua" w:hAnsi="Book Antiqua"/>
          <w:sz w:val="24"/>
          <w:szCs w:val="24"/>
        </w:rPr>
      </w:pPr>
    </w:p>
    <w:p w:rsidR="00120E34" w:rsidRPr="00EB00D9" w:rsidRDefault="00120E34" w:rsidP="000F62D6">
      <w:pPr>
        <w:spacing w:after="0" w:line="360" w:lineRule="auto"/>
        <w:jc w:val="both"/>
        <w:rPr>
          <w:rFonts w:ascii="Book Antiqua" w:hAnsi="Book Antiqua"/>
          <w:sz w:val="24"/>
          <w:szCs w:val="24"/>
        </w:rPr>
      </w:pPr>
    </w:p>
    <w:p w:rsidR="00120E34" w:rsidRPr="00EB00D9" w:rsidRDefault="00983DFD" w:rsidP="000F62D6">
      <w:pPr>
        <w:spacing w:after="0" w:line="360" w:lineRule="auto"/>
        <w:jc w:val="both"/>
        <w:rPr>
          <w:rFonts w:ascii="Book Antiqua" w:hAnsi="Book Antiqua"/>
          <w:sz w:val="24"/>
          <w:szCs w:val="24"/>
        </w:rPr>
      </w:pPr>
      <w:r w:rsidRPr="00EB00D9">
        <w:rPr>
          <w:rFonts w:ascii="Book Antiqua" w:hAnsi="Book Antiqua"/>
          <w:sz w:val="24"/>
          <w:szCs w:val="24"/>
          <w:vertAlign w:val="superscript"/>
        </w:rPr>
        <w:t>a</w:t>
      </w:r>
      <w:r w:rsidRPr="00EB00D9">
        <w:rPr>
          <w:rFonts w:ascii="Book Antiqua" w:hAnsi="Book Antiqua"/>
          <w:sz w:val="24"/>
          <w:szCs w:val="24"/>
        </w:rPr>
        <w:t>Estimated based on results table or manuscript when possible</w:t>
      </w:r>
      <w:r w:rsidRPr="00EB00D9">
        <w:rPr>
          <w:rFonts w:ascii="Book Antiqua" w:hAnsi="Book Antiqua" w:hint="eastAsia"/>
          <w:sz w:val="24"/>
          <w:szCs w:val="24"/>
          <w:lang w:eastAsia="zh-CN"/>
        </w:rPr>
        <w:t>.</w:t>
      </w:r>
      <w:r w:rsidRPr="00EB00D9">
        <w:rPr>
          <w:rFonts w:ascii="Book Antiqua" w:hAnsi="Book Antiqua"/>
          <w:sz w:val="24"/>
          <w:szCs w:val="24"/>
        </w:rPr>
        <w:t xml:space="preserve"> A or B (in RTX protocol column): There were two treatment protocols used- Protocol A with 4 doses RTX 375 mg/m</w:t>
      </w:r>
      <w:r w:rsidRPr="00EB00D9">
        <w:rPr>
          <w:rFonts w:ascii="Book Antiqua" w:hAnsi="Book Antiqua"/>
          <w:sz w:val="24"/>
          <w:szCs w:val="24"/>
          <w:vertAlign w:val="superscript"/>
        </w:rPr>
        <w:t>2</w:t>
      </w:r>
      <w:r w:rsidR="003066E2" w:rsidRPr="00EB00D9">
        <w:rPr>
          <w:rFonts w:ascii="Book Antiqua" w:hAnsi="Book Antiqua"/>
          <w:sz w:val="24"/>
          <w:szCs w:val="24"/>
        </w:rPr>
        <w:t xml:space="preserve"> </w:t>
      </w:r>
      <w:r w:rsidRPr="00EB00D9">
        <w:rPr>
          <w:rFonts w:ascii="Book Antiqua" w:hAnsi="Book Antiqua"/>
          <w:sz w:val="24"/>
          <w:szCs w:val="24"/>
        </w:rPr>
        <w:t>IV weekly for 4 weeks;</w:t>
      </w:r>
      <w:r w:rsidR="003066E2" w:rsidRPr="00EB00D9">
        <w:rPr>
          <w:rFonts w:ascii="Book Antiqua" w:hAnsi="Book Antiqua"/>
          <w:sz w:val="24"/>
          <w:szCs w:val="24"/>
        </w:rPr>
        <w:t xml:space="preserve"> </w:t>
      </w:r>
      <w:r w:rsidRPr="00EB00D9">
        <w:rPr>
          <w:rFonts w:ascii="Book Antiqua" w:hAnsi="Book Antiqua"/>
          <w:sz w:val="24"/>
          <w:szCs w:val="24"/>
        </w:rPr>
        <w:t xml:space="preserve">Protocol B with 2 doses of RTX 1000mg IV 2 wk apart. </w:t>
      </w:r>
      <w:r w:rsidR="00120E34" w:rsidRPr="00EB00D9">
        <w:rPr>
          <w:rFonts w:ascii="Book Antiqua" w:hAnsi="Book Antiqua"/>
          <w:sz w:val="24"/>
          <w:szCs w:val="24"/>
        </w:rPr>
        <w:t>NMO</w:t>
      </w:r>
      <w:r w:rsidRPr="00EB00D9">
        <w:rPr>
          <w:rFonts w:ascii="Book Antiqua" w:hAnsi="Book Antiqua" w:hint="eastAsia"/>
          <w:sz w:val="24"/>
          <w:szCs w:val="24"/>
          <w:lang w:eastAsia="zh-CN"/>
        </w:rPr>
        <w:t>:</w:t>
      </w:r>
      <w:r w:rsidR="00120E34" w:rsidRPr="00EB00D9">
        <w:rPr>
          <w:rFonts w:ascii="Book Antiqua" w:hAnsi="Book Antiqua"/>
          <w:sz w:val="24"/>
          <w:szCs w:val="24"/>
        </w:rPr>
        <w:t xml:space="preserve"> Neuromyelitis </w:t>
      </w:r>
      <w:r w:rsidRPr="00EB00D9">
        <w:rPr>
          <w:rFonts w:ascii="Book Antiqua" w:hAnsi="Book Antiqua"/>
          <w:sz w:val="24"/>
          <w:szCs w:val="24"/>
        </w:rPr>
        <w:t>o</w:t>
      </w:r>
      <w:r w:rsidR="00120E34" w:rsidRPr="00EB00D9">
        <w:rPr>
          <w:rFonts w:ascii="Book Antiqua" w:hAnsi="Book Antiqua"/>
          <w:sz w:val="24"/>
          <w:szCs w:val="24"/>
        </w:rPr>
        <w:t>ptica</w:t>
      </w:r>
      <w:r w:rsidRPr="00EB00D9">
        <w:rPr>
          <w:rFonts w:ascii="Book Antiqua" w:hAnsi="Book Antiqua" w:hint="eastAsia"/>
          <w:sz w:val="24"/>
          <w:szCs w:val="24"/>
          <w:lang w:eastAsia="zh-CN"/>
        </w:rPr>
        <w:t>;</w:t>
      </w:r>
      <w:r w:rsidR="00120E34" w:rsidRPr="00EB00D9">
        <w:rPr>
          <w:rFonts w:ascii="Book Antiqua" w:hAnsi="Book Antiqua"/>
          <w:sz w:val="24"/>
          <w:szCs w:val="24"/>
        </w:rPr>
        <w:t xml:space="preserve"> ARR</w:t>
      </w:r>
      <w:r w:rsidRPr="00EB00D9">
        <w:rPr>
          <w:rFonts w:ascii="Book Antiqua" w:hAnsi="Book Antiqua" w:hint="eastAsia"/>
          <w:sz w:val="24"/>
          <w:szCs w:val="24"/>
          <w:lang w:eastAsia="zh-CN"/>
        </w:rPr>
        <w:t xml:space="preserve">: </w:t>
      </w:r>
      <w:r w:rsidR="00120E34" w:rsidRPr="00EB00D9">
        <w:rPr>
          <w:rFonts w:ascii="Book Antiqua" w:hAnsi="Book Antiqua"/>
          <w:sz w:val="24"/>
          <w:szCs w:val="24"/>
        </w:rPr>
        <w:t>Annual relapse rate</w:t>
      </w:r>
      <w:r w:rsidRPr="00EB00D9">
        <w:rPr>
          <w:rFonts w:ascii="Book Antiqua" w:hAnsi="Book Antiqua" w:hint="eastAsia"/>
          <w:sz w:val="24"/>
          <w:szCs w:val="24"/>
          <w:lang w:eastAsia="zh-CN"/>
        </w:rPr>
        <w:t>;</w:t>
      </w:r>
      <w:r w:rsidR="00120E34" w:rsidRPr="00EB00D9">
        <w:rPr>
          <w:rFonts w:ascii="Book Antiqua" w:hAnsi="Book Antiqua"/>
          <w:sz w:val="24"/>
          <w:szCs w:val="24"/>
        </w:rPr>
        <w:t xml:space="preserve"> EDSS</w:t>
      </w:r>
      <w:r w:rsidRPr="00EB00D9">
        <w:rPr>
          <w:rFonts w:ascii="Book Antiqua" w:hAnsi="Book Antiqua" w:hint="eastAsia"/>
          <w:sz w:val="24"/>
          <w:szCs w:val="24"/>
          <w:lang w:eastAsia="zh-CN"/>
        </w:rPr>
        <w:t xml:space="preserve">: </w:t>
      </w:r>
      <w:r w:rsidR="00120E34" w:rsidRPr="00EB00D9">
        <w:rPr>
          <w:rFonts w:ascii="Book Antiqua" w:hAnsi="Book Antiqua"/>
          <w:sz w:val="24"/>
          <w:szCs w:val="24"/>
        </w:rPr>
        <w:t xml:space="preserve">Expanded </w:t>
      </w:r>
      <w:r w:rsidRPr="00EB00D9">
        <w:rPr>
          <w:rFonts w:ascii="Book Antiqua" w:hAnsi="Book Antiqua"/>
          <w:sz w:val="24"/>
          <w:szCs w:val="24"/>
        </w:rPr>
        <w:t>disability status sca</w:t>
      </w:r>
      <w:r w:rsidR="00120E34" w:rsidRPr="00EB00D9">
        <w:rPr>
          <w:rFonts w:ascii="Book Antiqua" w:hAnsi="Book Antiqua"/>
          <w:sz w:val="24"/>
          <w:szCs w:val="24"/>
        </w:rPr>
        <w:t>le</w:t>
      </w:r>
      <w:r w:rsidRPr="00EB00D9">
        <w:rPr>
          <w:rFonts w:ascii="Book Antiqua" w:hAnsi="Book Antiqua" w:hint="eastAsia"/>
          <w:sz w:val="24"/>
          <w:szCs w:val="24"/>
          <w:lang w:eastAsia="zh-CN"/>
        </w:rPr>
        <w:t xml:space="preserve">; </w:t>
      </w:r>
      <w:r w:rsidR="00120E34" w:rsidRPr="00EB00D9">
        <w:rPr>
          <w:rFonts w:ascii="Book Antiqua" w:hAnsi="Book Antiqua"/>
          <w:sz w:val="24"/>
          <w:szCs w:val="24"/>
        </w:rPr>
        <w:t>RTX</w:t>
      </w:r>
      <w:r w:rsidRPr="00EB00D9">
        <w:rPr>
          <w:rFonts w:ascii="Book Antiqua" w:hAnsi="Book Antiqua" w:hint="eastAsia"/>
          <w:sz w:val="24"/>
          <w:szCs w:val="24"/>
          <w:lang w:eastAsia="zh-CN"/>
        </w:rPr>
        <w:t>:</w:t>
      </w:r>
      <w:r w:rsidR="00120E34" w:rsidRPr="00EB00D9">
        <w:rPr>
          <w:rFonts w:ascii="Book Antiqua" w:hAnsi="Book Antiqua"/>
          <w:sz w:val="24"/>
          <w:szCs w:val="24"/>
        </w:rPr>
        <w:t xml:space="preserve"> Rituximab</w:t>
      </w:r>
      <w:r w:rsidRPr="00EB00D9">
        <w:rPr>
          <w:rFonts w:ascii="Book Antiqua" w:hAnsi="Book Antiqua" w:hint="eastAsia"/>
          <w:sz w:val="24"/>
          <w:szCs w:val="24"/>
          <w:lang w:eastAsia="zh-CN"/>
        </w:rPr>
        <w:t>;</w:t>
      </w:r>
      <w:r w:rsidR="00120E34" w:rsidRPr="00EB00D9">
        <w:rPr>
          <w:rFonts w:ascii="Book Antiqua" w:hAnsi="Book Antiqua"/>
          <w:sz w:val="24"/>
          <w:szCs w:val="24"/>
        </w:rPr>
        <w:t xml:space="preserve"> AQP4</w:t>
      </w:r>
      <w:r w:rsidRPr="00EB00D9">
        <w:rPr>
          <w:rFonts w:ascii="Book Antiqua" w:hAnsi="Book Antiqua" w:hint="eastAsia"/>
          <w:sz w:val="24"/>
          <w:szCs w:val="24"/>
          <w:lang w:eastAsia="zh-CN"/>
        </w:rPr>
        <w:t>:</w:t>
      </w:r>
      <w:r w:rsidR="00120E34" w:rsidRPr="00EB00D9">
        <w:rPr>
          <w:rFonts w:ascii="Book Antiqua" w:hAnsi="Book Antiqua"/>
          <w:sz w:val="24"/>
          <w:szCs w:val="24"/>
        </w:rPr>
        <w:t xml:space="preserve"> Ab – aquaporin 4 antibody</w:t>
      </w:r>
      <w:r w:rsidRPr="00EB00D9">
        <w:rPr>
          <w:rFonts w:ascii="Book Antiqua" w:hAnsi="Book Antiqua" w:hint="eastAsia"/>
          <w:sz w:val="24"/>
          <w:szCs w:val="24"/>
          <w:lang w:eastAsia="zh-CN"/>
        </w:rPr>
        <w:t>;</w:t>
      </w:r>
      <w:r w:rsidR="00120E34" w:rsidRPr="00EB00D9">
        <w:rPr>
          <w:rFonts w:ascii="Book Antiqua" w:hAnsi="Book Antiqua"/>
          <w:sz w:val="24"/>
          <w:szCs w:val="24"/>
        </w:rPr>
        <w:t xml:space="preserve"> N/A</w:t>
      </w:r>
      <w:r w:rsidRPr="00EB00D9">
        <w:rPr>
          <w:rFonts w:ascii="Book Antiqua" w:hAnsi="Book Antiqua" w:hint="eastAsia"/>
          <w:sz w:val="24"/>
          <w:szCs w:val="24"/>
          <w:lang w:eastAsia="zh-CN"/>
        </w:rPr>
        <w:t xml:space="preserve">: </w:t>
      </w:r>
      <w:r w:rsidRPr="00EB00D9">
        <w:rPr>
          <w:rFonts w:ascii="Book Antiqua" w:hAnsi="Book Antiqua"/>
          <w:sz w:val="24"/>
          <w:szCs w:val="24"/>
        </w:rPr>
        <w:t>N</w:t>
      </w:r>
      <w:r w:rsidR="00120E34" w:rsidRPr="00EB00D9">
        <w:rPr>
          <w:rFonts w:ascii="Book Antiqua" w:hAnsi="Book Antiqua"/>
          <w:sz w:val="24"/>
          <w:szCs w:val="24"/>
        </w:rPr>
        <w:t>ot available</w:t>
      </w:r>
      <w:r w:rsidRPr="00EB00D9">
        <w:rPr>
          <w:rFonts w:ascii="Book Antiqua" w:hAnsi="Book Antiqua" w:hint="eastAsia"/>
          <w:sz w:val="24"/>
          <w:szCs w:val="24"/>
          <w:lang w:eastAsia="zh-CN"/>
        </w:rPr>
        <w:t>.</w:t>
      </w:r>
    </w:p>
    <w:p w:rsidR="00CA2267" w:rsidRPr="00EB00D9" w:rsidRDefault="00CA2267" w:rsidP="000F62D6">
      <w:pPr>
        <w:spacing w:after="0" w:line="360" w:lineRule="auto"/>
        <w:jc w:val="both"/>
        <w:rPr>
          <w:rFonts w:ascii="Book Antiqua" w:hAnsi="Book Antiqua"/>
          <w:b/>
          <w:sz w:val="24"/>
          <w:szCs w:val="24"/>
          <w:lang w:eastAsia="zh-CN"/>
        </w:rPr>
      </w:pPr>
    </w:p>
    <w:p w:rsidR="00120E34" w:rsidRPr="00EB00D9" w:rsidRDefault="00983DFD" w:rsidP="000F62D6">
      <w:pPr>
        <w:spacing w:after="0" w:line="360" w:lineRule="auto"/>
        <w:jc w:val="both"/>
        <w:rPr>
          <w:rFonts w:ascii="Book Antiqua" w:hAnsi="Book Antiqua"/>
          <w:b/>
          <w:sz w:val="24"/>
          <w:szCs w:val="24"/>
        </w:rPr>
      </w:pPr>
      <w:r w:rsidRPr="00EB00D9">
        <w:rPr>
          <w:rFonts w:ascii="Book Antiqua" w:hAnsi="Book Antiqua"/>
          <w:b/>
          <w:sz w:val="24"/>
          <w:szCs w:val="24"/>
        </w:rPr>
        <w:t>Table 2</w:t>
      </w:r>
      <w:r w:rsidR="00120E34" w:rsidRPr="00EB00D9">
        <w:rPr>
          <w:rFonts w:ascii="Book Antiqua" w:hAnsi="Book Antiqua"/>
          <w:b/>
          <w:sz w:val="24"/>
          <w:szCs w:val="24"/>
        </w:rPr>
        <w:t xml:space="preserve"> Monitoring parameters in </w:t>
      </w:r>
      <w:r w:rsidR="0095492E" w:rsidRPr="00EB00D9">
        <w:rPr>
          <w:rFonts w:ascii="Book Antiqua" w:hAnsi="Book Antiqua"/>
          <w:b/>
          <w:bCs/>
          <w:sz w:val="24"/>
          <w:szCs w:val="24"/>
        </w:rPr>
        <w:t>Neuromyelitis optica</w:t>
      </w:r>
      <w:r w:rsidR="00120E34" w:rsidRPr="00EB00D9">
        <w:rPr>
          <w:rFonts w:ascii="Book Antiqua" w:hAnsi="Book Antiqua"/>
          <w:b/>
          <w:sz w:val="24"/>
          <w:szCs w:val="24"/>
        </w:rPr>
        <w:t xml:space="preserve"> patients treated with </w:t>
      </w:r>
      <w:r w:rsidRPr="00EB00D9">
        <w:rPr>
          <w:rFonts w:ascii="Book Antiqua" w:hAnsi="Book Antiqua"/>
          <w:b/>
          <w:sz w:val="24"/>
          <w:szCs w:val="24"/>
        </w:rPr>
        <w:t>Rituximab</w:t>
      </w:r>
    </w:p>
    <w:tbl>
      <w:tblPr>
        <w:tblW w:w="14868" w:type="dxa"/>
        <w:tblInd w:w="-900" w:type="dxa"/>
        <w:tblBorders>
          <w:top w:val="single" w:sz="4" w:space="0" w:color="auto"/>
          <w:bottom w:val="single" w:sz="4" w:space="0" w:color="auto"/>
        </w:tblBorders>
        <w:tblLook w:val="01E0" w:firstRow="1" w:lastRow="1" w:firstColumn="1" w:lastColumn="1" w:noHBand="0" w:noVBand="0"/>
      </w:tblPr>
      <w:tblGrid>
        <w:gridCol w:w="2088"/>
        <w:gridCol w:w="12780"/>
      </w:tblGrid>
      <w:tr w:rsidR="001B7541" w:rsidRPr="00EB00D9" w:rsidTr="00CA2267">
        <w:trPr>
          <w:trHeight w:val="350"/>
        </w:trPr>
        <w:tc>
          <w:tcPr>
            <w:tcW w:w="2088" w:type="dxa"/>
            <w:tcBorders>
              <w:top w:val="single" w:sz="4" w:space="0" w:color="auto"/>
              <w:bottom w:val="single" w:sz="4" w:space="0" w:color="auto"/>
            </w:tcBorders>
          </w:tcPr>
          <w:p w:rsidR="00120E34" w:rsidRPr="00EB00D9" w:rsidRDefault="00983DFD" w:rsidP="000F62D6">
            <w:pPr>
              <w:spacing w:after="0" w:line="360" w:lineRule="auto"/>
              <w:jc w:val="both"/>
              <w:rPr>
                <w:rFonts w:ascii="Book Antiqua" w:hAnsi="Book Antiqua"/>
                <w:sz w:val="24"/>
                <w:szCs w:val="24"/>
                <w:lang w:eastAsia="zh-CN"/>
              </w:rPr>
            </w:pPr>
            <w:r w:rsidRPr="00EB00D9">
              <w:rPr>
                <w:rFonts w:ascii="Book Antiqua" w:hAnsi="Book Antiqua"/>
                <w:sz w:val="24"/>
                <w:szCs w:val="24"/>
                <w:lang w:eastAsia="zh-CN"/>
              </w:rPr>
              <w:t>Ref</w:t>
            </w:r>
            <w:r w:rsidRPr="00EB00D9">
              <w:rPr>
                <w:rFonts w:ascii="Book Antiqua" w:hAnsi="Book Antiqua" w:hint="eastAsia"/>
                <w:sz w:val="24"/>
                <w:szCs w:val="24"/>
                <w:lang w:eastAsia="zh-CN"/>
              </w:rPr>
              <w:t>.</w:t>
            </w:r>
          </w:p>
        </w:tc>
        <w:tc>
          <w:tcPr>
            <w:tcW w:w="12780" w:type="dxa"/>
            <w:tcBorders>
              <w:top w:val="single" w:sz="4" w:space="0" w:color="auto"/>
              <w:bottom w:val="single" w:sz="4" w:space="0" w:color="auto"/>
            </w:tcBorders>
          </w:tcPr>
          <w:p w:rsidR="00120E34" w:rsidRPr="00EB00D9" w:rsidRDefault="00120E34" w:rsidP="000F62D6">
            <w:pPr>
              <w:spacing w:after="0" w:line="360" w:lineRule="auto"/>
              <w:jc w:val="both"/>
              <w:rPr>
                <w:rFonts w:ascii="Book Antiqua" w:hAnsi="Book Antiqua"/>
                <w:sz w:val="24"/>
                <w:szCs w:val="24"/>
              </w:rPr>
            </w:pPr>
            <w:r w:rsidRPr="00EB00D9">
              <w:rPr>
                <w:rFonts w:ascii="Book Antiqua" w:hAnsi="Book Antiqua"/>
                <w:sz w:val="24"/>
                <w:szCs w:val="24"/>
              </w:rPr>
              <w:t xml:space="preserve">Monitoring </w:t>
            </w:r>
            <w:r w:rsidR="00CA2267" w:rsidRPr="00EB00D9">
              <w:rPr>
                <w:rFonts w:ascii="Book Antiqua" w:hAnsi="Book Antiqua"/>
                <w:sz w:val="24"/>
                <w:szCs w:val="24"/>
              </w:rPr>
              <w:t>p</w:t>
            </w:r>
            <w:r w:rsidRPr="00EB00D9">
              <w:rPr>
                <w:rFonts w:ascii="Book Antiqua" w:hAnsi="Book Antiqua"/>
                <w:sz w:val="24"/>
                <w:szCs w:val="24"/>
              </w:rPr>
              <w:t>arameter/Comments</w:t>
            </w:r>
          </w:p>
        </w:tc>
      </w:tr>
      <w:tr w:rsidR="001B7541" w:rsidRPr="00EB00D9" w:rsidTr="00CA2267">
        <w:tc>
          <w:tcPr>
            <w:tcW w:w="2088" w:type="dxa"/>
            <w:tcBorders>
              <w:top w:val="single" w:sz="4" w:space="0" w:color="auto"/>
            </w:tcBorders>
          </w:tcPr>
          <w:p w:rsidR="00120E34" w:rsidRPr="00EB00D9" w:rsidRDefault="00120E34" w:rsidP="000F62D6">
            <w:pPr>
              <w:spacing w:after="0" w:line="360" w:lineRule="auto"/>
              <w:jc w:val="both"/>
              <w:rPr>
                <w:rFonts w:ascii="Book Antiqua" w:hAnsi="Book Antiqua"/>
                <w:sz w:val="24"/>
                <w:szCs w:val="24"/>
                <w:vertAlign w:val="superscript"/>
              </w:rPr>
            </w:pPr>
            <w:r w:rsidRPr="00EB00D9">
              <w:rPr>
                <w:rFonts w:ascii="Book Antiqua" w:hAnsi="Book Antiqua"/>
                <w:sz w:val="24"/>
                <w:szCs w:val="24"/>
              </w:rPr>
              <w:t xml:space="preserve">Cree </w:t>
            </w:r>
            <w:r w:rsidRPr="00EB00D9">
              <w:rPr>
                <w:rFonts w:ascii="Book Antiqua" w:hAnsi="Book Antiqua"/>
                <w:i/>
                <w:sz w:val="24"/>
                <w:szCs w:val="24"/>
              </w:rPr>
              <w:t>et al</w:t>
            </w:r>
            <w:r w:rsidRPr="00EB00D9">
              <w:rPr>
                <w:rFonts w:ascii="Book Antiqua" w:hAnsi="Book Antiqua"/>
                <w:sz w:val="24"/>
                <w:szCs w:val="24"/>
                <w:vertAlign w:val="superscript"/>
              </w:rPr>
              <w:t>[20]</w:t>
            </w:r>
          </w:p>
        </w:tc>
        <w:tc>
          <w:tcPr>
            <w:tcW w:w="12780" w:type="dxa"/>
            <w:tcBorders>
              <w:top w:val="single" w:sz="4" w:space="0" w:color="auto"/>
            </w:tcBorders>
          </w:tcPr>
          <w:p w:rsidR="00120E34" w:rsidRPr="00EB00D9" w:rsidRDefault="00120E34" w:rsidP="00CA2267">
            <w:pPr>
              <w:spacing w:after="0" w:line="360" w:lineRule="auto"/>
              <w:jc w:val="both"/>
              <w:rPr>
                <w:rFonts w:ascii="Book Antiqua" w:hAnsi="Book Antiqua"/>
                <w:sz w:val="24"/>
                <w:szCs w:val="24"/>
                <w:lang w:eastAsia="zh-CN"/>
              </w:rPr>
            </w:pPr>
            <w:r w:rsidRPr="00EB00D9">
              <w:rPr>
                <w:rFonts w:ascii="Book Antiqua" w:hAnsi="Book Antiqua"/>
                <w:sz w:val="24"/>
                <w:szCs w:val="24"/>
              </w:rPr>
              <w:t>CD19 levels- when detectable, patients were re-treated. CD 19 followe</w:t>
            </w:r>
            <w:r w:rsidR="00CA2267" w:rsidRPr="00EB00D9">
              <w:rPr>
                <w:rFonts w:ascii="Book Antiqua" w:hAnsi="Book Antiqua"/>
                <w:sz w:val="24"/>
                <w:szCs w:val="24"/>
              </w:rPr>
              <w:t>d bimonthly. 2 protocols</w:t>
            </w:r>
            <w:r w:rsidR="00CA2267" w:rsidRPr="00EB00D9">
              <w:rPr>
                <w:rFonts w:ascii="Book Antiqua" w:hAnsi="Book Antiqua" w:hint="eastAsia"/>
                <w:sz w:val="24"/>
                <w:szCs w:val="24"/>
                <w:lang w:eastAsia="zh-CN"/>
              </w:rPr>
              <w:t>-</w:t>
            </w:r>
            <w:r w:rsidRPr="00EB00D9">
              <w:rPr>
                <w:rFonts w:ascii="Book Antiqua" w:hAnsi="Book Antiqua"/>
                <w:sz w:val="24"/>
                <w:szCs w:val="24"/>
              </w:rPr>
              <w:t>planne</w:t>
            </w:r>
            <w:r w:rsidR="00CA2267" w:rsidRPr="00EB00D9">
              <w:rPr>
                <w:rFonts w:ascii="Book Antiqua" w:hAnsi="Book Antiqua"/>
                <w:sz w:val="24"/>
                <w:szCs w:val="24"/>
              </w:rPr>
              <w:t>d infusions every 6 mo or 12 mo</w:t>
            </w:r>
          </w:p>
        </w:tc>
      </w:tr>
      <w:tr w:rsidR="001B7541" w:rsidRPr="00EB00D9" w:rsidTr="00CA2267">
        <w:tc>
          <w:tcPr>
            <w:tcW w:w="2088" w:type="dxa"/>
          </w:tcPr>
          <w:p w:rsidR="00120E34" w:rsidRPr="00EB00D9" w:rsidRDefault="00120E34" w:rsidP="000F62D6">
            <w:pPr>
              <w:spacing w:after="0" w:line="360" w:lineRule="auto"/>
              <w:jc w:val="both"/>
              <w:rPr>
                <w:rFonts w:ascii="Book Antiqua" w:hAnsi="Book Antiqua"/>
                <w:sz w:val="24"/>
                <w:szCs w:val="24"/>
                <w:vertAlign w:val="superscript"/>
              </w:rPr>
            </w:pPr>
            <w:r w:rsidRPr="00EB00D9">
              <w:rPr>
                <w:rFonts w:ascii="Book Antiqua" w:hAnsi="Book Antiqua"/>
                <w:sz w:val="24"/>
                <w:szCs w:val="24"/>
              </w:rPr>
              <w:t xml:space="preserve">Jacob </w:t>
            </w:r>
            <w:r w:rsidRPr="00EB00D9">
              <w:rPr>
                <w:rFonts w:ascii="Book Antiqua" w:hAnsi="Book Antiqua"/>
                <w:i/>
                <w:sz w:val="24"/>
                <w:szCs w:val="24"/>
              </w:rPr>
              <w:t>et al</w:t>
            </w:r>
            <w:r w:rsidRPr="00EB00D9">
              <w:rPr>
                <w:rFonts w:ascii="Book Antiqua" w:hAnsi="Book Antiqua"/>
                <w:sz w:val="24"/>
                <w:szCs w:val="24"/>
                <w:vertAlign w:val="superscript"/>
              </w:rPr>
              <w:t>[23]</w:t>
            </w:r>
          </w:p>
        </w:tc>
        <w:tc>
          <w:tcPr>
            <w:tcW w:w="12780" w:type="dxa"/>
          </w:tcPr>
          <w:p w:rsidR="00120E34" w:rsidRPr="00EB00D9" w:rsidRDefault="00120E34" w:rsidP="00CA2267">
            <w:pPr>
              <w:spacing w:after="0" w:line="360" w:lineRule="auto"/>
              <w:jc w:val="both"/>
              <w:rPr>
                <w:rFonts w:ascii="Book Antiqua" w:hAnsi="Book Antiqua"/>
                <w:sz w:val="24"/>
                <w:szCs w:val="24"/>
                <w:lang w:eastAsia="zh-CN"/>
              </w:rPr>
            </w:pPr>
            <w:r w:rsidRPr="00EB00D9">
              <w:rPr>
                <w:rFonts w:ascii="Book Antiqua" w:hAnsi="Book Antiqua"/>
                <w:sz w:val="24"/>
                <w:szCs w:val="24"/>
              </w:rPr>
              <w:t xml:space="preserve">CD19 not routinely monitored. Some RTX given when B-cell counts detectable either 6 or 12 mo in intervals </w:t>
            </w:r>
            <w:r w:rsidR="00CA2267" w:rsidRPr="00EB00D9">
              <w:rPr>
                <w:rFonts w:ascii="Book Antiqua" w:hAnsi="Book Antiqua"/>
                <w:sz w:val="24"/>
                <w:szCs w:val="24"/>
              </w:rPr>
              <w:t>or when CD19+ became detectable</w:t>
            </w:r>
          </w:p>
        </w:tc>
      </w:tr>
      <w:tr w:rsidR="001B7541" w:rsidRPr="00EB00D9" w:rsidTr="00CA2267">
        <w:tc>
          <w:tcPr>
            <w:tcW w:w="2088" w:type="dxa"/>
          </w:tcPr>
          <w:p w:rsidR="00120E34" w:rsidRPr="00EB00D9" w:rsidRDefault="00120E34" w:rsidP="000F62D6">
            <w:pPr>
              <w:spacing w:after="0" w:line="360" w:lineRule="auto"/>
              <w:jc w:val="both"/>
              <w:rPr>
                <w:rFonts w:ascii="Book Antiqua" w:hAnsi="Book Antiqua"/>
                <w:sz w:val="24"/>
                <w:szCs w:val="24"/>
                <w:vertAlign w:val="superscript"/>
              </w:rPr>
            </w:pPr>
            <w:r w:rsidRPr="00EB00D9">
              <w:rPr>
                <w:rFonts w:ascii="Book Antiqua" w:hAnsi="Book Antiqua"/>
                <w:sz w:val="24"/>
                <w:szCs w:val="24"/>
              </w:rPr>
              <w:t xml:space="preserve">Bomprezzi </w:t>
            </w:r>
            <w:r w:rsidRPr="00EB00D9">
              <w:rPr>
                <w:rFonts w:ascii="Book Antiqua" w:hAnsi="Book Antiqua"/>
                <w:i/>
                <w:sz w:val="24"/>
                <w:szCs w:val="24"/>
              </w:rPr>
              <w:t>et al</w:t>
            </w:r>
            <w:r w:rsidR="003527F0" w:rsidRPr="00EB00D9">
              <w:rPr>
                <w:rFonts w:ascii="Book Antiqua" w:hAnsi="Book Antiqua"/>
                <w:sz w:val="24"/>
                <w:szCs w:val="24"/>
                <w:vertAlign w:val="superscript"/>
              </w:rPr>
              <w:t>[31</w:t>
            </w:r>
            <w:r w:rsidRPr="00EB00D9">
              <w:rPr>
                <w:rFonts w:ascii="Book Antiqua" w:hAnsi="Book Antiqua"/>
                <w:sz w:val="24"/>
                <w:szCs w:val="24"/>
                <w:vertAlign w:val="superscript"/>
              </w:rPr>
              <w:t>]</w:t>
            </w:r>
          </w:p>
        </w:tc>
        <w:tc>
          <w:tcPr>
            <w:tcW w:w="12780" w:type="dxa"/>
          </w:tcPr>
          <w:p w:rsidR="00120E34" w:rsidRPr="00EB00D9" w:rsidRDefault="00120E34" w:rsidP="00CA2267">
            <w:pPr>
              <w:spacing w:after="0" w:line="360" w:lineRule="auto"/>
              <w:jc w:val="both"/>
              <w:rPr>
                <w:rFonts w:ascii="Book Antiqua" w:hAnsi="Book Antiqua"/>
                <w:sz w:val="24"/>
                <w:szCs w:val="24"/>
              </w:rPr>
            </w:pPr>
            <w:r w:rsidRPr="00EB00D9">
              <w:rPr>
                <w:rFonts w:ascii="Book Antiqua" w:hAnsi="Book Antiqua"/>
                <w:sz w:val="24"/>
                <w:szCs w:val="24"/>
              </w:rPr>
              <w:t>Flow cytometry u</w:t>
            </w:r>
            <w:r w:rsidR="00CA2267" w:rsidRPr="00EB00D9">
              <w:rPr>
                <w:rFonts w:ascii="Book Antiqua" w:hAnsi="Book Antiqua"/>
                <w:sz w:val="24"/>
                <w:szCs w:val="24"/>
              </w:rPr>
              <w:t>sed to test circulating B cells</w:t>
            </w:r>
            <w:r w:rsidRPr="00EB00D9">
              <w:rPr>
                <w:rFonts w:ascii="Book Antiqua" w:hAnsi="Book Antiqua"/>
                <w:sz w:val="24"/>
                <w:szCs w:val="24"/>
              </w:rPr>
              <w:t>.</w:t>
            </w:r>
            <w:r w:rsidR="00CA2267" w:rsidRPr="00EB00D9">
              <w:rPr>
                <w:rFonts w:ascii="Book Antiqua" w:hAnsi="Book Antiqua" w:hint="eastAsia"/>
                <w:sz w:val="24"/>
                <w:szCs w:val="24"/>
                <w:lang w:eastAsia="zh-CN"/>
              </w:rPr>
              <w:t xml:space="preserve"> </w:t>
            </w:r>
            <w:r w:rsidRPr="00EB00D9">
              <w:rPr>
                <w:rFonts w:ascii="Book Antiqua" w:hAnsi="Book Antiqua"/>
                <w:sz w:val="24"/>
                <w:szCs w:val="24"/>
              </w:rPr>
              <w:t>Suggest clinical relapses occurring while on RTX therapy correlate with reconstitution of circulating B cells. Correlated that even early rise in CD20+ cells correlated with radiologically proven relapses. B cells had re-sent between 2 and 12% at time of new attack. Total of 7 patients relapsed after RTX</w:t>
            </w:r>
            <w:r w:rsidR="00CA2267" w:rsidRPr="00EB00D9">
              <w:rPr>
                <w:rFonts w:ascii="Book Antiqua" w:hAnsi="Book Antiqua" w:hint="eastAsia"/>
                <w:sz w:val="24"/>
                <w:szCs w:val="24"/>
                <w:lang w:eastAsia="zh-CN"/>
              </w:rPr>
              <w:t>-</w:t>
            </w:r>
            <w:r w:rsidRPr="00EB00D9">
              <w:rPr>
                <w:rFonts w:ascii="Book Antiqua" w:hAnsi="Book Antiqua"/>
                <w:sz w:val="24"/>
                <w:szCs w:val="24"/>
              </w:rPr>
              <w:t>5 had acute event when B cell counts j</w:t>
            </w:r>
            <w:r w:rsidR="00CA2267" w:rsidRPr="00EB00D9">
              <w:rPr>
                <w:rFonts w:ascii="Book Antiqua" w:hAnsi="Book Antiqua"/>
                <w:sz w:val="24"/>
                <w:szCs w:val="24"/>
              </w:rPr>
              <w:t>ust returned to greater than 1%</w:t>
            </w:r>
            <w:r w:rsidRPr="00EB00D9">
              <w:rPr>
                <w:rFonts w:ascii="Book Antiqua" w:hAnsi="Book Antiqua"/>
                <w:sz w:val="24"/>
                <w:szCs w:val="24"/>
              </w:rPr>
              <w:t>, whereas 2 patients continued to relapse despite B cells being undetectable.</w:t>
            </w:r>
            <w:r w:rsidR="003066E2" w:rsidRPr="00EB00D9">
              <w:rPr>
                <w:rFonts w:ascii="Book Antiqua" w:hAnsi="Book Antiqua"/>
                <w:sz w:val="24"/>
                <w:szCs w:val="24"/>
              </w:rPr>
              <w:t xml:space="preserve"> </w:t>
            </w:r>
            <w:r w:rsidRPr="00EB00D9">
              <w:rPr>
                <w:rFonts w:ascii="Book Antiqua" w:hAnsi="Book Antiqua"/>
                <w:sz w:val="24"/>
                <w:szCs w:val="24"/>
              </w:rPr>
              <w:t>Detected significant variability in timing of reconstitution of normal values, which implies that scheduling of doses of RTX can be adjusted accordingly.</w:t>
            </w:r>
          </w:p>
        </w:tc>
      </w:tr>
      <w:tr w:rsidR="001B7541" w:rsidRPr="00EB00D9" w:rsidTr="00CA2267">
        <w:tc>
          <w:tcPr>
            <w:tcW w:w="2088" w:type="dxa"/>
          </w:tcPr>
          <w:p w:rsidR="00120E34" w:rsidRPr="00EB00D9" w:rsidRDefault="00120E34" w:rsidP="000F62D6">
            <w:pPr>
              <w:spacing w:after="0" w:line="360" w:lineRule="auto"/>
              <w:jc w:val="both"/>
              <w:rPr>
                <w:rFonts w:ascii="Book Antiqua" w:hAnsi="Book Antiqua"/>
                <w:sz w:val="24"/>
                <w:szCs w:val="24"/>
                <w:vertAlign w:val="superscript"/>
              </w:rPr>
            </w:pPr>
            <w:r w:rsidRPr="00EB00D9">
              <w:rPr>
                <w:rFonts w:ascii="Book Antiqua" w:hAnsi="Book Antiqua"/>
                <w:sz w:val="24"/>
                <w:szCs w:val="24"/>
              </w:rPr>
              <w:t xml:space="preserve">Bedi </w:t>
            </w:r>
            <w:r w:rsidRPr="00EB00D9">
              <w:rPr>
                <w:rFonts w:ascii="Book Antiqua" w:hAnsi="Book Antiqua"/>
                <w:i/>
                <w:sz w:val="24"/>
                <w:szCs w:val="24"/>
              </w:rPr>
              <w:t>et al</w:t>
            </w:r>
            <w:r w:rsidR="009C692E" w:rsidRPr="00EB00D9">
              <w:rPr>
                <w:rFonts w:ascii="Book Antiqua" w:hAnsi="Book Antiqua"/>
                <w:sz w:val="24"/>
                <w:szCs w:val="24"/>
                <w:vertAlign w:val="superscript"/>
              </w:rPr>
              <w:t>[24</w:t>
            </w:r>
            <w:r w:rsidRPr="00EB00D9">
              <w:rPr>
                <w:rFonts w:ascii="Book Antiqua" w:hAnsi="Book Antiqua"/>
                <w:sz w:val="24"/>
                <w:szCs w:val="24"/>
                <w:vertAlign w:val="superscript"/>
              </w:rPr>
              <w:t>]</w:t>
            </w:r>
          </w:p>
        </w:tc>
        <w:tc>
          <w:tcPr>
            <w:tcW w:w="12780" w:type="dxa"/>
          </w:tcPr>
          <w:p w:rsidR="00120E34" w:rsidRPr="00EB00D9" w:rsidRDefault="00120E34" w:rsidP="00CA2267">
            <w:pPr>
              <w:spacing w:after="0" w:line="360" w:lineRule="auto"/>
              <w:jc w:val="both"/>
              <w:rPr>
                <w:rFonts w:ascii="Book Antiqua" w:hAnsi="Book Antiqua"/>
                <w:sz w:val="24"/>
                <w:szCs w:val="24"/>
              </w:rPr>
            </w:pPr>
            <w:r w:rsidRPr="00EB00D9">
              <w:rPr>
                <w:rFonts w:ascii="Book Antiqua" w:hAnsi="Book Antiqua"/>
                <w:sz w:val="24"/>
                <w:szCs w:val="24"/>
              </w:rPr>
              <w:t xml:space="preserve">CD19 cell counts planned every 2-3 mo, but not collected systematically for report. </w:t>
            </w:r>
          </w:p>
        </w:tc>
      </w:tr>
      <w:tr w:rsidR="001B7541" w:rsidRPr="00EB00D9" w:rsidTr="00CA2267">
        <w:tc>
          <w:tcPr>
            <w:tcW w:w="2088" w:type="dxa"/>
          </w:tcPr>
          <w:p w:rsidR="00120E34" w:rsidRPr="00EB00D9" w:rsidRDefault="00120E34" w:rsidP="000F62D6">
            <w:pPr>
              <w:spacing w:after="0" w:line="360" w:lineRule="auto"/>
              <w:jc w:val="both"/>
              <w:rPr>
                <w:rFonts w:ascii="Book Antiqua" w:hAnsi="Book Antiqua"/>
                <w:sz w:val="24"/>
                <w:szCs w:val="24"/>
                <w:vertAlign w:val="superscript"/>
              </w:rPr>
            </w:pPr>
            <w:r w:rsidRPr="00EB00D9">
              <w:rPr>
                <w:rFonts w:ascii="Book Antiqua" w:hAnsi="Book Antiqua"/>
                <w:sz w:val="24"/>
                <w:szCs w:val="24"/>
              </w:rPr>
              <w:t xml:space="preserve">Pellkofer </w:t>
            </w:r>
            <w:r w:rsidRPr="00EB00D9">
              <w:rPr>
                <w:rFonts w:ascii="Book Antiqua" w:hAnsi="Book Antiqua"/>
                <w:i/>
                <w:sz w:val="24"/>
                <w:szCs w:val="24"/>
              </w:rPr>
              <w:t>et al</w:t>
            </w:r>
            <w:r w:rsidR="009C692E" w:rsidRPr="00EB00D9">
              <w:rPr>
                <w:rFonts w:ascii="Book Antiqua" w:hAnsi="Book Antiqua"/>
                <w:sz w:val="24"/>
                <w:szCs w:val="24"/>
                <w:vertAlign w:val="superscript"/>
              </w:rPr>
              <w:t>[30</w:t>
            </w:r>
            <w:r w:rsidRPr="00EB00D9">
              <w:rPr>
                <w:rFonts w:ascii="Book Antiqua" w:hAnsi="Book Antiqua"/>
                <w:sz w:val="24"/>
                <w:szCs w:val="24"/>
                <w:vertAlign w:val="superscript"/>
              </w:rPr>
              <w:t>]</w:t>
            </w:r>
          </w:p>
        </w:tc>
        <w:tc>
          <w:tcPr>
            <w:tcW w:w="12780" w:type="dxa"/>
          </w:tcPr>
          <w:p w:rsidR="00120E34" w:rsidRPr="00EB00D9" w:rsidRDefault="00120E34" w:rsidP="003066E2">
            <w:pPr>
              <w:spacing w:after="0" w:line="360" w:lineRule="auto"/>
              <w:jc w:val="both"/>
              <w:rPr>
                <w:rFonts w:ascii="Book Antiqua" w:hAnsi="Book Antiqua"/>
                <w:sz w:val="24"/>
                <w:szCs w:val="24"/>
                <w:lang w:eastAsia="zh-CN"/>
              </w:rPr>
            </w:pPr>
            <w:r w:rsidRPr="00EB00D9">
              <w:rPr>
                <w:rFonts w:ascii="Book Antiqua" w:hAnsi="Book Antiqua"/>
                <w:sz w:val="24"/>
                <w:szCs w:val="24"/>
              </w:rPr>
              <w:t xml:space="preserve">Measured lymphocyte subsets by flow cytometry; B cell depletion defined as counts below 0.01 </w:t>
            </w:r>
            <w:r w:rsidR="00CA2267" w:rsidRPr="00EB00D9">
              <w:rPr>
                <w:rFonts w:ascii="Book Antiqua" w:hAnsi="Book Antiqua"/>
                <w:sz w:val="24"/>
                <w:szCs w:val="24"/>
              </w:rPr>
              <w:t>×</w:t>
            </w:r>
            <w:r w:rsidRPr="00EB00D9">
              <w:rPr>
                <w:rFonts w:ascii="Book Antiqua" w:hAnsi="Book Antiqua"/>
                <w:sz w:val="24"/>
                <w:szCs w:val="24"/>
              </w:rPr>
              <w:t xml:space="preserve"> 10</w:t>
            </w:r>
            <w:r w:rsidRPr="00EB00D9">
              <w:rPr>
                <w:rFonts w:ascii="Book Antiqua" w:hAnsi="Book Antiqua"/>
                <w:sz w:val="24"/>
                <w:szCs w:val="24"/>
                <w:vertAlign w:val="superscript"/>
              </w:rPr>
              <w:t>9</w:t>
            </w:r>
            <w:r w:rsidRPr="00EB00D9">
              <w:rPr>
                <w:rFonts w:ascii="Book Antiqua" w:hAnsi="Book Antiqua"/>
                <w:sz w:val="24"/>
                <w:szCs w:val="24"/>
              </w:rPr>
              <w:t xml:space="preserve"> /L. B cells became undetectable in 9 out of 10 patients within 14 d after 1</w:t>
            </w:r>
            <w:r w:rsidRPr="00EB00D9">
              <w:rPr>
                <w:rFonts w:ascii="Book Antiqua" w:hAnsi="Book Antiqua"/>
                <w:sz w:val="24"/>
                <w:szCs w:val="24"/>
                <w:vertAlign w:val="superscript"/>
              </w:rPr>
              <w:t>st</w:t>
            </w:r>
            <w:r w:rsidRPr="00EB00D9">
              <w:rPr>
                <w:rFonts w:ascii="Book Antiqua" w:hAnsi="Book Antiqua"/>
                <w:sz w:val="24"/>
                <w:szCs w:val="24"/>
              </w:rPr>
              <w:t xml:space="preserve"> dose. Time of B-cell repopulation varied. After 3 patients experienced a relapse shortly after reappearance of B cells, RTX given at fixed interval every 6 to 9 mo, whic</w:t>
            </w:r>
            <w:r w:rsidR="00CA2267" w:rsidRPr="00EB00D9">
              <w:rPr>
                <w:rFonts w:ascii="Book Antiqua" w:hAnsi="Book Antiqua"/>
                <w:sz w:val="24"/>
                <w:szCs w:val="24"/>
              </w:rPr>
              <w:t>h this led to improved outcomes</w:t>
            </w:r>
          </w:p>
        </w:tc>
      </w:tr>
      <w:tr w:rsidR="001B7541" w:rsidRPr="00EB00D9" w:rsidTr="00CA2267">
        <w:tc>
          <w:tcPr>
            <w:tcW w:w="2088" w:type="dxa"/>
          </w:tcPr>
          <w:p w:rsidR="00120E34" w:rsidRPr="00EB00D9" w:rsidRDefault="00120E34" w:rsidP="000F62D6">
            <w:pPr>
              <w:spacing w:after="0" w:line="360" w:lineRule="auto"/>
              <w:jc w:val="both"/>
              <w:rPr>
                <w:rFonts w:ascii="Book Antiqua" w:hAnsi="Book Antiqua"/>
                <w:sz w:val="24"/>
                <w:szCs w:val="24"/>
                <w:vertAlign w:val="superscript"/>
              </w:rPr>
            </w:pPr>
            <w:r w:rsidRPr="00EB00D9">
              <w:rPr>
                <w:rFonts w:ascii="Book Antiqua" w:hAnsi="Book Antiqua"/>
                <w:sz w:val="24"/>
                <w:szCs w:val="24"/>
              </w:rPr>
              <w:t xml:space="preserve">Javed </w:t>
            </w:r>
            <w:r w:rsidRPr="00EB00D9">
              <w:rPr>
                <w:rFonts w:ascii="Book Antiqua" w:hAnsi="Book Antiqua"/>
                <w:i/>
                <w:sz w:val="24"/>
                <w:szCs w:val="24"/>
              </w:rPr>
              <w:t>et al</w:t>
            </w:r>
            <w:r w:rsidRPr="00EB00D9">
              <w:rPr>
                <w:rFonts w:ascii="Book Antiqua" w:hAnsi="Book Antiqua"/>
                <w:sz w:val="24"/>
                <w:szCs w:val="24"/>
                <w:vertAlign w:val="superscript"/>
              </w:rPr>
              <w:t>[22]</w:t>
            </w:r>
          </w:p>
        </w:tc>
        <w:tc>
          <w:tcPr>
            <w:tcW w:w="12780" w:type="dxa"/>
          </w:tcPr>
          <w:p w:rsidR="00120E34" w:rsidRPr="00EB00D9" w:rsidRDefault="00CA2267" w:rsidP="003066E2">
            <w:pPr>
              <w:spacing w:after="0" w:line="360" w:lineRule="auto"/>
              <w:jc w:val="both"/>
              <w:rPr>
                <w:rFonts w:ascii="Book Antiqua" w:hAnsi="Book Antiqua"/>
                <w:sz w:val="24"/>
                <w:szCs w:val="24"/>
              </w:rPr>
            </w:pPr>
            <w:r w:rsidRPr="00EB00D9">
              <w:rPr>
                <w:rFonts w:ascii="Book Antiqua" w:hAnsi="Book Antiqua"/>
                <w:sz w:val="24"/>
                <w:szCs w:val="24"/>
                <w:lang w:eastAsia="zh-CN"/>
              </w:rPr>
              <w:t>“</w:t>
            </w:r>
            <w:r w:rsidR="00120E34" w:rsidRPr="00EB00D9">
              <w:rPr>
                <w:rFonts w:ascii="Book Antiqua" w:hAnsi="Book Antiqua"/>
                <w:sz w:val="24"/>
                <w:szCs w:val="24"/>
              </w:rPr>
              <w:t>Non-responders</w:t>
            </w:r>
            <w:r w:rsidRPr="00EB00D9">
              <w:rPr>
                <w:rFonts w:ascii="Book Antiqua" w:hAnsi="Book Antiqua"/>
                <w:sz w:val="24"/>
                <w:szCs w:val="24"/>
                <w:lang w:eastAsia="zh-CN"/>
              </w:rPr>
              <w:t>”</w:t>
            </w:r>
            <w:r w:rsidR="00120E34" w:rsidRPr="00EB00D9">
              <w:rPr>
                <w:rFonts w:ascii="Book Antiqua" w:hAnsi="Book Antiqua"/>
                <w:sz w:val="24"/>
                <w:szCs w:val="24"/>
              </w:rPr>
              <w:t xml:space="preserve"> were defined as clinical attack &lt; 6 mo post rituximab treatment, when B cell count was still undetectable</w:t>
            </w:r>
          </w:p>
        </w:tc>
      </w:tr>
      <w:tr w:rsidR="001B7541" w:rsidRPr="00EB00D9" w:rsidTr="00CA2267">
        <w:tc>
          <w:tcPr>
            <w:tcW w:w="2088" w:type="dxa"/>
          </w:tcPr>
          <w:p w:rsidR="00120E34" w:rsidRPr="00EB00D9" w:rsidRDefault="00120E34" w:rsidP="00CA2267">
            <w:pPr>
              <w:spacing w:after="0" w:line="360" w:lineRule="auto"/>
              <w:jc w:val="both"/>
              <w:rPr>
                <w:rFonts w:ascii="Book Antiqua" w:hAnsi="Book Antiqua"/>
                <w:sz w:val="24"/>
                <w:szCs w:val="24"/>
                <w:vertAlign w:val="superscript"/>
              </w:rPr>
            </w:pPr>
            <w:r w:rsidRPr="00EB00D9">
              <w:rPr>
                <w:rFonts w:ascii="Book Antiqua" w:hAnsi="Book Antiqua"/>
                <w:sz w:val="24"/>
                <w:szCs w:val="24"/>
              </w:rPr>
              <w:t xml:space="preserve">Gredler </w:t>
            </w:r>
            <w:r w:rsidRPr="00EB00D9">
              <w:rPr>
                <w:rFonts w:ascii="Book Antiqua" w:hAnsi="Book Antiqua"/>
                <w:i/>
                <w:sz w:val="24"/>
                <w:szCs w:val="24"/>
              </w:rPr>
              <w:t>et al</w:t>
            </w:r>
            <w:r w:rsidRPr="00EB00D9">
              <w:rPr>
                <w:rFonts w:ascii="Book Antiqua" w:hAnsi="Book Antiqua"/>
                <w:sz w:val="24"/>
                <w:szCs w:val="24"/>
                <w:vertAlign w:val="superscript"/>
              </w:rPr>
              <w:t>[2</w:t>
            </w:r>
            <w:r w:rsidR="00CA2267" w:rsidRPr="00EB00D9">
              <w:rPr>
                <w:rFonts w:ascii="Book Antiqua" w:hAnsi="Book Antiqua" w:hint="eastAsia"/>
                <w:sz w:val="24"/>
                <w:szCs w:val="24"/>
                <w:vertAlign w:val="superscript"/>
                <w:lang w:eastAsia="zh-CN"/>
              </w:rPr>
              <w:t>8</w:t>
            </w:r>
            <w:r w:rsidRPr="00EB00D9">
              <w:rPr>
                <w:rFonts w:ascii="Book Antiqua" w:hAnsi="Book Antiqua"/>
                <w:sz w:val="24"/>
                <w:szCs w:val="24"/>
                <w:vertAlign w:val="superscript"/>
              </w:rPr>
              <w:t>]</w:t>
            </w:r>
          </w:p>
        </w:tc>
        <w:tc>
          <w:tcPr>
            <w:tcW w:w="12780" w:type="dxa"/>
          </w:tcPr>
          <w:p w:rsidR="00120E34" w:rsidRPr="00EB00D9" w:rsidRDefault="00120E34" w:rsidP="00CA2267">
            <w:pPr>
              <w:spacing w:after="0" w:line="360" w:lineRule="auto"/>
              <w:jc w:val="both"/>
              <w:rPr>
                <w:rFonts w:ascii="Book Antiqua" w:hAnsi="Book Antiqua"/>
                <w:sz w:val="24"/>
                <w:szCs w:val="24"/>
                <w:lang w:eastAsia="zh-CN"/>
              </w:rPr>
            </w:pPr>
            <w:r w:rsidRPr="00EB00D9">
              <w:rPr>
                <w:rFonts w:ascii="Book Antiqua" w:hAnsi="Book Antiqua"/>
                <w:sz w:val="24"/>
                <w:szCs w:val="24"/>
              </w:rPr>
              <w:t>Flow cytometry used; B cells quantified using following combinations of monoclonal antibodies: CD3/19/45, 19/27/45, 19/38/45. Two patients out of 6 had rel</w:t>
            </w:r>
            <w:r w:rsidR="00CA2267" w:rsidRPr="00EB00D9">
              <w:rPr>
                <w:rFonts w:ascii="Book Antiqua" w:hAnsi="Book Antiqua"/>
                <w:sz w:val="24"/>
                <w:szCs w:val="24"/>
              </w:rPr>
              <w:t>apses while B-cells were absent</w:t>
            </w:r>
          </w:p>
        </w:tc>
      </w:tr>
      <w:tr w:rsidR="001B7541" w:rsidRPr="00EB00D9" w:rsidTr="00CA2267">
        <w:tc>
          <w:tcPr>
            <w:tcW w:w="2088" w:type="dxa"/>
          </w:tcPr>
          <w:p w:rsidR="00120E34" w:rsidRPr="00EB00D9" w:rsidRDefault="00120E34" w:rsidP="000F62D6">
            <w:pPr>
              <w:spacing w:after="0" w:line="360" w:lineRule="auto"/>
              <w:jc w:val="both"/>
              <w:rPr>
                <w:rFonts w:ascii="Book Antiqua" w:hAnsi="Book Antiqua"/>
                <w:sz w:val="24"/>
                <w:szCs w:val="24"/>
                <w:vertAlign w:val="superscript"/>
              </w:rPr>
            </w:pPr>
            <w:r w:rsidRPr="00EB00D9">
              <w:rPr>
                <w:rFonts w:ascii="Book Antiqua" w:hAnsi="Book Antiqua"/>
                <w:sz w:val="24"/>
                <w:szCs w:val="24"/>
              </w:rPr>
              <w:t>Lindsey</w:t>
            </w:r>
            <w:r w:rsidRPr="00EB00D9">
              <w:rPr>
                <w:rFonts w:ascii="Book Antiqua" w:hAnsi="Book Antiqua"/>
                <w:i/>
                <w:sz w:val="24"/>
                <w:szCs w:val="24"/>
              </w:rPr>
              <w:t xml:space="preserve"> et al</w:t>
            </w:r>
            <w:r w:rsidRPr="00EB00D9">
              <w:rPr>
                <w:rFonts w:ascii="Book Antiqua" w:hAnsi="Book Antiqua"/>
                <w:sz w:val="24"/>
                <w:szCs w:val="24"/>
                <w:vertAlign w:val="superscript"/>
              </w:rPr>
              <w:t>[32]</w:t>
            </w:r>
          </w:p>
        </w:tc>
        <w:tc>
          <w:tcPr>
            <w:tcW w:w="12780" w:type="dxa"/>
          </w:tcPr>
          <w:p w:rsidR="00120E34" w:rsidRPr="00EB00D9" w:rsidRDefault="00120E34" w:rsidP="003066E2">
            <w:pPr>
              <w:spacing w:after="0" w:line="360" w:lineRule="auto"/>
              <w:jc w:val="both"/>
              <w:rPr>
                <w:rFonts w:ascii="Book Antiqua" w:hAnsi="Book Antiqua"/>
                <w:sz w:val="24"/>
                <w:szCs w:val="24"/>
                <w:lang w:eastAsia="zh-CN"/>
              </w:rPr>
            </w:pPr>
            <w:r w:rsidRPr="00EB00D9">
              <w:rPr>
                <w:rFonts w:ascii="Book Antiqua" w:hAnsi="Book Antiqua"/>
                <w:sz w:val="24"/>
                <w:szCs w:val="24"/>
              </w:rPr>
              <w:t>4 patients had relapses after more than 1 mo when peripheral B cell count “very low”.</w:t>
            </w:r>
            <w:r w:rsidR="003066E2" w:rsidRPr="00EB00D9">
              <w:rPr>
                <w:rFonts w:ascii="Book Antiqua" w:hAnsi="Book Antiqua"/>
                <w:sz w:val="24"/>
                <w:szCs w:val="24"/>
              </w:rPr>
              <w:t xml:space="preserve"> </w:t>
            </w:r>
            <w:r w:rsidRPr="00EB00D9">
              <w:rPr>
                <w:rFonts w:ascii="Book Antiqua" w:hAnsi="Book Antiqua"/>
                <w:sz w:val="24"/>
                <w:szCs w:val="24"/>
              </w:rPr>
              <w:t>Case 1: CD19 increased to 250 cells/µL had sensory relapse, no further symptoms for 18 mo. Case 2. Had relapses with CD19 count of 0. Case 3, 4, 6 no further relapses. Case 5: CD19 1 cells/µL at 10 mo, 12 cells/µL at 13 mo and subsequent relapses. Case 7--continued to have relapses with 1 cell/µL at 7 mo, 4 cells/µL at 12 mo.</w:t>
            </w:r>
            <w:r w:rsidR="003066E2" w:rsidRPr="00EB00D9">
              <w:rPr>
                <w:rFonts w:ascii="Book Antiqua" w:hAnsi="Book Antiqua"/>
                <w:sz w:val="24"/>
                <w:szCs w:val="24"/>
              </w:rPr>
              <w:t xml:space="preserve"> </w:t>
            </w:r>
            <w:r w:rsidR="00CA2267" w:rsidRPr="00EB00D9">
              <w:rPr>
                <w:rFonts w:ascii="Book Antiqua" w:hAnsi="Book Antiqua"/>
                <w:sz w:val="24"/>
                <w:szCs w:val="24"/>
              </w:rPr>
              <w:t>Case 8. CD19 count 3 cells/µL,</w:t>
            </w:r>
            <w:r w:rsidR="00CA2267" w:rsidRPr="00EB00D9">
              <w:rPr>
                <w:rFonts w:ascii="Book Antiqua" w:hAnsi="Book Antiqua" w:hint="eastAsia"/>
                <w:sz w:val="24"/>
                <w:szCs w:val="24"/>
                <w:lang w:eastAsia="zh-CN"/>
              </w:rPr>
              <w:t xml:space="preserve"> </w:t>
            </w:r>
            <w:r w:rsidRPr="00EB00D9">
              <w:rPr>
                <w:rFonts w:ascii="Book Antiqua" w:hAnsi="Book Antiqua"/>
                <w:sz w:val="24"/>
                <w:szCs w:val="24"/>
              </w:rPr>
              <w:t>with continued relapses. Case 9: continue</w:t>
            </w:r>
            <w:r w:rsidR="00CA2267" w:rsidRPr="00EB00D9">
              <w:rPr>
                <w:rFonts w:ascii="Book Antiqua" w:hAnsi="Book Antiqua"/>
                <w:sz w:val="24"/>
                <w:szCs w:val="24"/>
              </w:rPr>
              <w:t>d relapses with CD19 1 cells/µL</w:t>
            </w:r>
          </w:p>
        </w:tc>
      </w:tr>
      <w:tr w:rsidR="001B7541" w:rsidRPr="00EB00D9" w:rsidTr="00CA2267">
        <w:tc>
          <w:tcPr>
            <w:tcW w:w="2088" w:type="dxa"/>
          </w:tcPr>
          <w:p w:rsidR="00120E34" w:rsidRPr="00EB00D9" w:rsidRDefault="00120E34" w:rsidP="00CA2267">
            <w:pPr>
              <w:spacing w:after="0" w:line="360" w:lineRule="auto"/>
              <w:jc w:val="both"/>
              <w:rPr>
                <w:rFonts w:ascii="Book Antiqua" w:hAnsi="Book Antiqua"/>
                <w:sz w:val="24"/>
                <w:szCs w:val="24"/>
                <w:vertAlign w:val="superscript"/>
              </w:rPr>
            </w:pPr>
            <w:r w:rsidRPr="00EB00D9">
              <w:rPr>
                <w:rFonts w:ascii="Book Antiqua" w:hAnsi="Book Antiqua"/>
                <w:sz w:val="24"/>
                <w:szCs w:val="24"/>
              </w:rPr>
              <w:t xml:space="preserve">Kim </w:t>
            </w:r>
            <w:r w:rsidRPr="00EB00D9">
              <w:rPr>
                <w:rFonts w:ascii="Book Antiqua" w:hAnsi="Book Antiqua"/>
                <w:i/>
                <w:sz w:val="24"/>
                <w:szCs w:val="24"/>
              </w:rPr>
              <w:t>et al</w:t>
            </w:r>
            <w:r w:rsidR="00983DFD" w:rsidRPr="00EB00D9">
              <w:rPr>
                <w:rFonts w:ascii="Book Antiqua" w:hAnsi="Book Antiqua" w:hint="eastAsia"/>
                <w:sz w:val="24"/>
                <w:szCs w:val="24"/>
                <w:vertAlign w:val="superscript"/>
                <w:lang w:eastAsia="zh-CN"/>
              </w:rPr>
              <w:t>[</w:t>
            </w:r>
            <w:r w:rsidRPr="00EB00D9">
              <w:rPr>
                <w:rFonts w:ascii="Book Antiqua" w:hAnsi="Book Antiqua"/>
                <w:sz w:val="24"/>
                <w:szCs w:val="24"/>
                <w:vertAlign w:val="superscript"/>
              </w:rPr>
              <w:t>2</w:t>
            </w:r>
            <w:r w:rsidR="00CA2267" w:rsidRPr="00EB00D9">
              <w:rPr>
                <w:rFonts w:ascii="Book Antiqua" w:hAnsi="Book Antiqua" w:hint="eastAsia"/>
                <w:sz w:val="24"/>
                <w:szCs w:val="24"/>
                <w:vertAlign w:val="superscript"/>
                <w:lang w:eastAsia="zh-CN"/>
              </w:rPr>
              <w:t>6</w:t>
            </w:r>
            <w:r w:rsidRPr="00EB00D9">
              <w:rPr>
                <w:rFonts w:ascii="Book Antiqua" w:hAnsi="Book Antiqua"/>
                <w:sz w:val="24"/>
                <w:szCs w:val="24"/>
                <w:vertAlign w:val="superscript"/>
              </w:rPr>
              <w:t>]</w:t>
            </w:r>
          </w:p>
        </w:tc>
        <w:tc>
          <w:tcPr>
            <w:tcW w:w="12780" w:type="dxa"/>
          </w:tcPr>
          <w:p w:rsidR="00120E34" w:rsidRPr="00EB00D9" w:rsidRDefault="00120E34" w:rsidP="000F62D6">
            <w:pPr>
              <w:spacing w:after="0" w:line="360" w:lineRule="auto"/>
              <w:jc w:val="both"/>
              <w:rPr>
                <w:rFonts w:ascii="Book Antiqua" w:hAnsi="Book Antiqua"/>
                <w:sz w:val="24"/>
                <w:szCs w:val="24"/>
                <w:lang w:eastAsia="zh-CN"/>
              </w:rPr>
            </w:pPr>
            <w:r w:rsidRPr="00EB00D9">
              <w:rPr>
                <w:rFonts w:ascii="Book Antiqua" w:hAnsi="Book Antiqua"/>
                <w:sz w:val="24"/>
                <w:szCs w:val="24"/>
              </w:rPr>
              <w:t>Bloo</w:t>
            </w:r>
            <w:r w:rsidR="00CA2267" w:rsidRPr="00EB00D9">
              <w:rPr>
                <w:rFonts w:ascii="Book Antiqua" w:hAnsi="Book Antiqua"/>
                <w:sz w:val="24"/>
                <w:szCs w:val="24"/>
              </w:rPr>
              <w:t>d samples obtained every 6 wk</w:t>
            </w:r>
            <w:r w:rsidRPr="00EB00D9">
              <w:rPr>
                <w:rFonts w:ascii="Book Antiqua" w:hAnsi="Book Antiqua"/>
                <w:sz w:val="24"/>
                <w:szCs w:val="24"/>
              </w:rPr>
              <w:t xml:space="preserve"> in 1</w:t>
            </w:r>
            <w:r w:rsidRPr="00EB00D9">
              <w:rPr>
                <w:rFonts w:ascii="Book Antiqua" w:hAnsi="Book Antiqua"/>
                <w:sz w:val="24"/>
                <w:szCs w:val="24"/>
                <w:vertAlign w:val="superscript"/>
              </w:rPr>
              <w:t>st</w:t>
            </w:r>
            <w:r w:rsidRPr="00EB00D9">
              <w:rPr>
                <w:rFonts w:ascii="Book Antiqua" w:hAnsi="Book Antiqua"/>
                <w:sz w:val="24"/>
                <w:szCs w:val="24"/>
              </w:rPr>
              <w:t xml:space="preserve"> yea</w:t>
            </w:r>
            <w:r w:rsidR="00CA2267" w:rsidRPr="00EB00D9">
              <w:rPr>
                <w:rFonts w:ascii="Book Antiqua" w:hAnsi="Book Antiqua"/>
                <w:sz w:val="24"/>
                <w:szCs w:val="24"/>
              </w:rPr>
              <w:t>r, every 8 wk</w:t>
            </w:r>
            <w:r w:rsidRPr="00EB00D9">
              <w:rPr>
                <w:rFonts w:ascii="Book Antiqua" w:hAnsi="Book Antiqua"/>
                <w:sz w:val="24"/>
                <w:szCs w:val="24"/>
              </w:rPr>
              <w:t xml:space="preserve"> in second year. Therapeutic target for CD 27+ memory B cell depletion was less than 0.05% of PBMCs. Patients received additional infusion of 375</w:t>
            </w:r>
            <w:r w:rsidR="00CA2267" w:rsidRPr="00EB00D9">
              <w:rPr>
                <w:rFonts w:ascii="Book Antiqua" w:hAnsi="Book Antiqua" w:hint="eastAsia"/>
                <w:sz w:val="24"/>
                <w:szCs w:val="24"/>
                <w:lang w:eastAsia="zh-CN"/>
              </w:rPr>
              <w:t xml:space="preserve"> </w:t>
            </w:r>
            <w:r w:rsidRPr="00EB00D9">
              <w:rPr>
                <w:rFonts w:ascii="Book Antiqua" w:hAnsi="Book Antiqua"/>
                <w:sz w:val="24"/>
                <w:szCs w:val="24"/>
              </w:rPr>
              <w:t>mg/m</w:t>
            </w:r>
            <w:r w:rsidRPr="00EB00D9">
              <w:rPr>
                <w:rFonts w:ascii="Book Antiqua" w:hAnsi="Book Antiqua"/>
                <w:sz w:val="24"/>
                <w:szCs w:val="24"/>
                <w:vertAlign w:val="superscript"/>
              </w:rPr>
              <w:t>2</w:t>
            </w:r>
            <w:r w:rsidRPr="00EB00D9">
              <w:rPr>
                <w:rFonts w:ascii="Book Antiqua" w:hAnsi="Book Antiqua"/>
                <w:sz w:val="24"/>
                <w:szCs w:val="24"/>
              </w:rPr>
              <w:t xml:space="preserve"> if frequency of re-emerging memory CD27+ B cells in PBMCs exceeded 0.1% by flow cytometry</w:t>
            </w:r>
            <w:r w:rsidR="00CA2267" w:rsidRPr="00EB00D9">
              <w:rPr>
                <w:rFonts w:ascii="Book Antiqua" w:hAnsi="Book Antiqua"/>
                <w:sz w:val="24"/>
                <w:szCs w:val="24"/>
              </w:rPr>
              <w:t>. CD 19 B cells counts measure-</w:t>
            </w:r>
            <w:r w:rsidRPr="00EB00D9">
              <w:rPr>
                <w:rFonts w:ascii="Book Antiqua" w:hAnsi="Book Antiqua"/>
                <w:sz w:val="24"/>
                <w:szCs w:val="24"/>
              </w:rPr>
              <w:t xml:space="preserve"> less than 0.01 </w:t>
            </w:r>
            <w:r w:rsidR="00CA2267" w:rsidRPr="00EB00D9">
              <w:rPr>
                <w:rFonts w:ascii="Book Antiqua" w:hAnsi="Book Antiqua"/>
                <w:sz w:val="24"/>
                <w:szCs w:val="24"/>
              </w:rPr>
              <w:t>×</w:t>
            </w:r>
            <w:r w:rsidRPr="00EB00D9">
              <w:rPr>
                <w:rFonts w:ascii="Book Antiqua" w:hAnsi="Book Antiqua"/>
                <w:sz w:val="24"/>
                <w:szCs w:val="24"/>
              </w:rPr>
              <w:t xml:space="preserve"> 10</w:t>
            </w:r>
            <w:r w:rsidRPr="00EB00D9">
              <w:rPr>
                <w:rFonts w:ascii="Book Antiqua" w:hAnsi="Book Antiqua"/>
                <w:sz w:val="24"/>
                <w:szCs w:val="24"/>
                <w:vertAlign w:val="superscript"/>
              </w:rPr>
              <w:t xml:space="preserve">9 </w:t>
            </w:r>
            <w:r w:rsidRPr="00EB00D9">
              <w:rPr>
                <w:rFonts w:ascii="Book Antiqua" w:hAnsi="Book Antiqua"/>
                <w:sz w:val="24"/>
                <w:szCs w:val="24"/>
              </w:rPr>
              <w:t>/L or less than 0.5% of PBMCs (considered B cell depletion in prior studies. 60</w:t>
            </w:r>
            <w:r w:rsidR="00CA2267" w:rsidRPr="00EB00D9">
              <w:rPr>
                <w:rFonts w:ascii="Book Antiqua" w:hAnsi="Book Antiqua" w:hint="eastAsia"/>
                <w:sz w:val="24"/>
                <w:szCs w:val="24"/>
                <w:lang w:eastAsia="zh-CN"/>
              </w:rPr>
              <w:t>%</w:t>
            </w:r>
            <w:r w:rsidRPr="00EB00D9">
              <w:rPr>
                <w:rFonts w:ascii="Book Antiqua" w:hAnsi="Book Antiqua"/>
                <w:sz w:val="24"/>
                <w:szCs w:val="24"/>
              </w:rPr>
              <w:t xml:space="preserve">-65% relapses occurred when CD19 were depleted. Authors argue CD27+ more </w:t>
            </w:r>
            <w:r w:rsidR="00CA2267" w:rsidRPr="00EB00D9">
              <w:rPr>
                <w:rFonts w:ascii="Book Antiqua" w:hAnsi="Book Antiqua"/>
                <w:sz w:val="24"/>
                <w:szCs w:val="24"/>
              </w:rPr>
              <w:t>informative biomarker than CD19</w:t>
            </w:r>
          </w:p>
        </w:tc>
      </w:tr>
      <w:tr w:rsidR="001B7541" w:rsidRPr="00EB00D9" w:rsidTr="00CA2267">
        <w:tc>
          <w:tcPr>
            <w:tcW w:w="2088" w:type="dxa"/>
          </w:tcPr>
          <w:p w:rsidR="00120E34" w:rsidRPr="00EB00D9" w:rsidRDefault="00120E34" w:rsidP="00CA2267">
            <w:pPr>
              <w:spacing w:after="0" w:line="360" w:lineRule="auto"/>
              <w:jc w:val="both"/>
              <w:rPr>
                <w:rFonts w:ascii="Book Antiqua" w:hAnsi="Book Antiqua"/>
                <w:sz w:val="24"/>
                <w:szCs w:val="24"/>
                <w:vertAlign w:val="superscript"/>
              </w:rPr>
            </w:pPr>
            <w:r w:rsidRPr="00EB00D9">
              <w:rPr>
                <w:rFonts w:ascii="Book Antiqua" w:hAnsi="Book Antiqua"/>
                <w:sz w:val="24"/>
                <w:szCs w:val="24"/>
              </w:rPr>
              <w:t xml:space="preserve">Yang </w:t>
            </w:r>
            <w:r w:rsidRPr="00EB00D9">
              <w:rPr>
                <w:rFonts w:ascii="Book Antiqua" w:hAnsi="Book Antiqua"/>
                <w:i/>
                <w:sz w:val="24"/>
                <w:szCs w:val="24"/>
              </w:rPr>
              <w:t>et al</w:t>
            </w:r>
            <w:r w:rsidR="00CA2267" w:rsidRPr="00EB00D9">
              <w:rPr>
                <w:rFonts w:ascii="Book Antiqua" w:hAnsi="Book Antiqua" w:hint="eastAsia"/>
                <w:sz w:val="24"/>
                <w:szCs w:val="24"/>
                <w:vertAlign w:val="superscript"/>
                <w:lang w:eastAsia="zh-CN"/>
              </w:rPr>
              <w:t>[</w:t>
            </w:r>
            <w:r w:rsidRPr="00EB00D9">
              <w:rPr>
                <w:rFonts w:ascii="Book Antiqua" w:hAnsi="Book Antiqua"/>
                <w:sz w:val="24"/>
                <w:szCs w:val="24"/>
                <w:vertAlign w:val="superscript"/>
              </w:rPr>
              <w:t>2</w:t>
            </w:r>
            <w:r w:rsidR="00CA2267" w:rsidRPr="00EB00D9">
              <w:rPr>
                <w:rFonts w:ascii="Book Antiqua" w:hAnsi="Book Antiqua" w:hint="eastAsia"/>
                <w:sz w:val="24"/>
                <w:szCs w:val="24"/>
                <w:vertAlign w:val="superscript"/>
                <w:lang w:eastAsia="zh-CN"/>
              </w:rPr>
              <w:t>7</w:t>
            </w:r>
            <w:r w:rsidRPr="00EB00D9">
              <w:rPr>
                <w:rFonts w:ascii="Book Antiqua" w:hAnsi="Book Antiqua"/>
                <w:sz w:val="24"/>
                <w:szCs w:val="24"/>
                <w:vertAlign w:val="superscript"/>
              </w:rPr>
              <w:t>]</w:t>
            </w:r>
          </w:p>
        </w:tc>
        <w:tc>
          <w:tcPr>
            <w:tcW w:w="12780" w:type="dxa"/>
          </w:tcPr>
          <w:p w:rsidR="00120E34" w:rsidRPr="00EB00D9" w:rsidRDefault="00120E34" w:rsidP="000F62D6">
            <w:pPr>
              <w:pStyle w:val="Normal1"/>
              <w:spacing w:line="360" w:lineRule="auto"/>
              <w:jc w:val="both"/>
              <w:rPr>
                <w:rFonts w:ascii="Book Antiqua" w:hAnsi="Book Antiqua"/>
                <w:color w:val="auto"/>
                <w:sz w:val="24"/>
                <w:szCs w:val="24"/>
                <w:lang w:eastAsia="zh-CN"/>
              </w:rPr>
            </w:pPr>
            <w:r w:rsidRPr="00EB00D9">
              <w:rPr>
                <w:rFonts w:ascii="Book Antiqua" w:hAnsi="Book Antiqua"/>
                <w:color w:val="auto"/>
                <w:sz w:val="24"/>
                <w:szCs w:val="24"/>
              </w:rPr>
              <w:t>Goal of CD19+ B cells to less than or equal to 1%, as well as CD19 CD27 B cells to less than or equal to 0.05% of PBMCs. All with no relapses despite low doses of RTX (100</w:t>
            </w:r>
            <w:r w:rsidR="00CA2267" w:rsidRPr="00EB00D9">
              <w:rPr>
                <w:rFonts w:ascii="Book Antiqua" w:hAnsi="Book Antiqua" w:hint="eastAsia"/>
                <w:color w:val="auto"/>
                <w:sz w:val="24"/>
                <w:szCs w:val="24"/>
                <w:lang w:eastAsia="zh-CN"/>
              </w:rPr>
              <w:t xml:space="preserve"> </w:t>
            </w:r>
            <w:r w:rsidRPr="00EB00D9">
              <w:rPr>
                <w:rFonts w:ascii="Book Antiqua" w:hAnsi="Book Antiqua"/>
                <w:color w:val="auto"/>
                <w:sz w:val="24"/>
                <w:szCs w:val="24"/>
              </w:rPr>
              <w:t>mg single infusion and follow</w:t>
            </w:r>
            <w:r w:rsidR="00CA2267" w:rsidRPr="00EB00D9">
              <w:rPr>
                <w:rFonts w:ascii="Book Antiqua" w:hAnsi="Book Antiqua"/>
                <w:color w:val="auto"/>
                <w:sz w:val="24"/>
                <w:szCs w:val="24"/>
              </w:rPr>
              <w:t xml:space="preserve"> up infusion at mean of 35 wk)</w:t>
            </w:r>
          </w:p>
        </w:tc>
      </w:tr>
      <w:tr w:rsidR="001B7541" w:rsidRPr="00EB00D9" w:rsidTr="00CA2267">
        <w:tc>
          <w:tcPr>
            <w:tcW w:w="2088" w:type="dxa"/>
          </w:tcPr>
          <w:p w:rsidR="00120E34" w:rsidRPr="00EB00D9" w:rsidRDefault="00120E34" w:rsidP="00CA2267">
            <w:pPr>
              <w:spacing w:after="0" w:line="360" w:lineRule="auto"/>
              <w:jc w:val="both"/>
              <w:rPr>
                <w:rFonts w:ascii="Book Antiqua" w:hAnsi="Book Antiqua"/>
                <w:sz w:val="24"/>
                <w:szCs w:val="24"/>
                <w:vertAlign w:val="superscript"/>
              </w:rPr>
            </w:pPr>
            <w:r w:rsidRPr="00EB00D9">
              <w:rPr>
                <w:rFonts w:ascii="Book Antiqua" w:hAnsi="Book Antiqua"/>
                <w:sz w:val="24"/>
                <w:szCs w:val="24"/>
              </w:rPr>
              <w:t xml:space="preserve">Mealy </w:t>
            </w:r>
            <w:r w:rsidRPr="00EB00D9">
              <w:rPr>
                <w:rFonts w:ascii="Book Antiqua" w:hAnsi="Book Antiqua"/>
                <w:i/>
                <w:sz w:val="24"/>
                <w:szCs w:val="24"/>
              </w:rPr>
              <w:t>et al</w:t>
            </w:r>
            <w:r w:rsidR="00CA2267" w:rsidRPr="00EB00D9">
              <w:rPr>
                <w:rFonts w:ascii="Book Antiqua" w:hAnsi="Book Antiqua" w:hint="eastAsia"/>
                <w:sz w:val="24"/>
                <w:szCs w:val="24"/>
                <w:vertAlign w:val="superscript"/>
                <w:lang w:eastAsia="zh-CN"/>
              </w:rPr>
              <w:t>[</w:t>
            </w:r>
            <w:r w:rsidRPr="00EB00D9">
              <w:rPr>
                <w:rFonts w:ascii="Book Antiqua" w:hAnsi="Book Antiqua"/>
                <w:sz w:val="24"/>
                <w:szCs w:val="24"/>
                <w:vertAlign w:val="superscript"/>
              </w:rPr>
              <w:t>29]</w:t>
            </w:r>
          </w:p>
        </w:tc>
        <w:tc>
          <w:tcPr>
            <w:tcW w:w="12780" w:type="dxa"/>
          </w:tcPr>
          <w:p w:rsidR="00120E34" w:rsidRPr="00EB00D9" w:rsidRDefault="00120E34" w:rsidP="000F62D6">
            <w:pPr>
              <w:pStyle w:val="Normal1"/>
              <w:spacing w:line="360" w:lineRule="auto"/>
              <w:jc w:val="both"/>
              <w:rPr>
                <w:rFonts w:ascii="Book Antiqua" w:hAnsi="Book Antiqua"/>
                <w:color w:val="auto"/>
                <w:sz w:val="24"/>
                <w:szCs w:val="24"/>
                <w:lang w:eastAsia="zh-CN"/>
              </w:rPr>
            </w:pPr>
            <w:r w:rsidRPr="00EB00D9">
              <w:rPr>
                <w:rFonts w:ascii="Book Antiqua" w:hAnsi="Book Antiqua"/>
                <w:color w:val="auto"/>
                <w:sz w:val="24"/>
                <w:szCs w:val="24"/>
              </w:rPr>
              <w:t>CD19 cell counts tested monthly, repeated dosing scheduled on detection of CD19 greater than 1% of total lymphocyte population or at regular 6 mo inte</w:t>
            </w:r>
            <w:r w:rsidR="00CA2267" w:rsidRPr="00EB00D9">
              <w:rPr>
                <w:rFonts w:ascii="Book Antiqua" w:hAnsi="Book Antiqua"/>
                <w:color w:val="auto"/>
                <w:sz w:val="24"/>
                <w:szCs w:val="24"/>
              </w:rPr>
              <w:t>rvals</w:t>
            </w:r>
          </w:p>
          <w:p w:rsidR="00120E34" w:rsidRPr="00EB00D9" w:rsidRDefault="00120E34" w:rsidP="000F62D6">
            <w:pPr>
              <w:pStyle w:val="Normal1"/>
              <w:spacing w:line="360" w:lineRule="auto"/>
              <w:jc w:val="both"/>
              <w:rPr>
                <w:rFonts w:ascii="Book Antiqua" w:hAnsi="Book Antiqua"/>
                <w:color w:val="auto"/>
                <w:sz w:val="24"/>
                <w:szCs w:val="24"/>
              </w:rPr>
            </w:pPr>
          </w:p>
        </w:tc>
      </w:tr>
      <w:tr w:rsidR="001B7541" w:rsidRPr="00EB00D9" w:rsidTr="00CA2267">
        <w:tc>
          <w:tcPr>
            <w:tcW w:w="2088" w:type="dxa"/>
          </w:tcPr>
          <w:p w:rsidR="00120E34" w:rsidRPr="00EB00D9" w:rsidRDefault="00120E34" w:rsidP="000F62D6">
            <w:pPr>
              <w:spacing w:after="0" w:line="360" w:lineRule="auto"/>
              <w:jc w:val="both"/>
              <w:rPr>
                <w:rFonts w:ascii="Book Antiqua" w:hAnsi="Book Antiqua"/>
                <w:sz w:val="24"/>
                <w:szCs w:val="24"/>
                <w:vertAlign w:val="superscript"/>
              </w:rPr>
            </w:pPr>
            <w:r w:rsidRPr="00EB00D9">
              <w:rPr>
                <w:rFonts w:ascii="Book Antiqua" w:hAnsi="Book Antiqua"/>
                <w:sz w:val="24"/>
                <w:szCs w:val="24"/>
              </w:rPr>
              <w:t xml:space="preserve">Farber </w:t>
            </w:r>
            <w:r w:rsidRPr="00EB00D9">
              <w:rPr>
                <w:rFonts w:ascii="Book Antiqua" w:hAnsi="Book Antiqua"/>
                <w:i/>
                <w:sz w:val="24"/>
                <w:szCs w:val="24"/>
              </w:rPr>
              <w:t>et al</w:t>
            </w:r>
            <w:r w:rsidRPr="00EB00D9">
              <w:rPr>
                <w:rFonts w:ascii="Book Antiqua" w:hAnsi="Book Antiqua"/>
                <w:sz w:val="24"/>
                <w:szCs w:val="24"/>
                <w:vertAlign w:val="superscript"/>
              </w:rPr>
              <w:t>[21]</w:t>
            </w:r>
          </w:p>
        </w:tc>
        <w:tc>
          <w:tcPr>
            <w:tcW w:w="12780" w:type="dxa"/>
          </w:tcPr>
          <w:p w:rsidR="00120E34" w:rsidRPr="00EB00D9" w:rsidRDefault="00120E34" w:rsidP="000F62D6">
            <w:pPr>
              <w:pStyle w:val="Normal1"/>
              <w:spacing w:line="360" w:lineRule="auto"/>
              <w:jc w:val="both"/>
              <w:rPr>
                <w:rFonts w:ascii="Book Antiqua" w:hAnsi="Book Antiqua"/>
                <w:color w:val="auto"/>
                <w:sz w:val="24"/>
                <w:szCs w:val="24"/>
                <w:lang w:eastAsia="zh-CN"/>
              </w:rPr>
            </w:pPr>
            <w:r w:rsidRPr="00EB00D9">
              <w:rPr>
                <w:rFonts w:ascii="Book Antiqua" w:hAnsi="Book Antiqua"/>
                <w:color w:val="auto"/>
                <w:sz w:val="24"/>
                <w:szCs w:val="24"/>
              </w:rPr>
              <w:t>Total of 23 relapses, of which 70% occurred when B cells &lt;</w:t>
            </w:r>
            <w:r w:rsidR="00CA2267" w:rsidRPr="00EB00D9">
              <w:rPr>
                <w:rFonts w:ascii="Book Antiqua" w:hAnsi="Book Antiqua" w:hint="eastAsia"/>
                <w:color w:val="auto"/>
                <w:sz w:val="24"/>
                <w:szCs w:val="24"/>
                <w:lang w:eastAsia="zh-CN"/>
              </w:rPr>
              <w:t xml:space="preserve"> </w:t>
            </w:r>
            <w:r w:rsidRPr="00EB00D9">
              <w:rPr>
                <w:rFonts w:ascii="Book Antiqua" w:hAnsi="Book Antiqua"/>
                <w:color w:val="auto"/>
                <w:sz w:val="24"/>
                <w:szCs w:val="24"/>
              </w:rPr>
              <w:t>1% of lymphocytes. 7 relapses (30%) occurred when B cells greater or equal to 1% of lymphocytes. CD19</w:t>
            </w:r>
            <w:r w:rsidR="00CA2267" w:rsidRPr="00EB00D9">
              <w:rPr>
                <w:rFonts w:ascii="Book Antiqua" w:hAnsi="Book Antiqua" w:hint="eastAsia"/>
                <w:color w:val="auto"/>
                <w:sz w:val="24"/>
                <w:szCs w:val="24"/>
                <w:lang w:eastAsia="zh-CN"/>
              </w:rPr>
              <w:t xml:space="preserve"> </w:t>
            </w:r>
            <w:r w:rsidRPr="00EB00D9">
              <w:rPr>
                <w:rFonts w:ascii="Book Antiqua" w:hAnsi="Book Antiqua"/>
                <w:color w:val="auto"/>
                <w:sz w:val="24"/>
                <w:szCs w:val="24"/>
              </w:rPr>
              <w:t>&gt;</w:t>
            </w:r>
            <w:r w:rsidR="00CA2267" w:rsidRPr="00EB00D9">
              <w:rPr>
                <w:rFonts w:ascii="Book Antiqua" w:hAnsi="Book Antiqua" w:hint="eastAsia"/>
                <w:color w:val="auto"/>
                <w:sz w:val="24"/>
                <w:szCs w:val="24"/>
                <w:lang w:eastAsia="zh-CN"/>
              </w:rPr>
              <w:t xml:space="preserve"> </w:t>
            </w:r>
            <w:r w:rsidRPr="00EB00D9">
              <w:rPr>
                <w:rFonts w:ascii="Book Antiqua" w:hAnsi="Book Antiqua"/>
                <w:color w:val="auto"/>
                <w:sz w:val="24"/>
                <w:szCs w:val="24"/>
              </w:rPr>
              <w:t>1% was associate</w:t>
            </w:r>
            <w:r w:rsidR="00CA2267" w:rsidRPr="00EB00D9">
              <w:rPr>
                <w:rFonts w:ascii="Book Antiqua" w:hAnsi="Book Antiqua"/>
                <w:color w:val="auto"/>
                <w:sz w:val="24"/>
                <w:szCs w:val="24"/>
              </w:rPr>
              <w:t>d with higher rate of relapses</w:t>
            </w:r>
          </w:p>
        </w:tc>
      </w:tr>
    </w:tbl>
    <w:p w:rsidR="00120E34" w:rsidRPr="00EB00D9" w:rsidRDefault="00120E34" w:rsidP="000F62D6">
      <w:pPr>
        <w:spacing w:after="0" w:line="360" w:lineRule="auto"/>
        <w:jc w:val="both"/>
        <w:rPr>
          <w:rFonts w:ascii="Book Antiqua" w:hAnsi="Book Antiqua"/>
          <w:sz w:val="24"/>
          <w:szCs w:val="24"/>
          <w:lang w:eastAsia="zh-CN"/>
        </w:rPr>
        <w:sectPr w:rsidR="00120E34" w:rsidRPr="00EB00D9">
          <w:pgSz w:w="15840" w:h="12240" w:orient="landscape"/>
          <w:pgMar w:top="1440" w:right="1440" w:bottom="1440" w:left="1440" w:header="720" w:footer="720" w:gutter="0"/>
          <w:cols w:space="720"/>
          <w:docGrid w:linePitch="360"/>
        </w:sectPr>
      </w:pPr>
    </w:p>
    <w:p w:rsidR="00120E34" w:rsidRPr="00EB00D9" w:rsidRDefault="00CA2267" w:rsidP="000F62D6">
      <w:pPr>
        <w:spacing w:after="0" w:line="360" w:lineRule="auto"/>
        <w:jc w:val="both"/>
        <w:rPr>
          <w:rFonts w:ascii="Book Antiqua" w:hAnsi="Book Antiqua"/>
          <w:sz w:val="24"/>
          <w:szCs w:val="24"/>
          <w:lang w:eastAsia="zh-CN"/>
        </w:rPr>
      </w:pPr>
      <w:r w:rsidRPr="00EB00D9">
        <w:rPr>
          <w:rFonts w:ascii="Book Antiqua" w:hAnsi="Book Antiqua"/>
          <w:sz w:val="24"/>
          <w:szCs w:val="24"/>
        </w:rPr>
        <w:t>RTX</w:t>
      </w:r>
      <w:r w:rsidRPr="00EB00D9">
        <w:rPr>
          <w:rFonts w:ascii="Book Antiqua" w:hAnsi="Book Antiqua" w:hint="eastAsia"/>
          <w:sz w:val="24"/>
          <w:szCs w:val="24"/>
          <w:lang w:eastAsia="zh-CN"/>
        </w:rPr>
        <w:t>:</w:t>
      </w:r>
      <w:r w:rsidRPr="00EB00D9">
        <w:rPr>
          <w:rFonts w:ascii="Book Antiqua" w:hAnsi="Book Antiqua"/>
          <w:sz w:val="24"/>
          <w:szCs w:val="24"/>
        </w:rPr>
        <w:t xml:space="preserve"> Rituximab</w:t>
      </w:r>
      <w:r w:rsidRPr="00EB00D9">
        <w:rPr>
          <w:rFonts w:ascii="Book Antiqua" w:hAnsi="Book Antiqua" w:hint="eastAsia"/>
          <w:sz w:val="24"/>
          <w:szCs w:val="24"/>
          <w:lang w:eastAsia="zh-CN"/>
        </w:rPr>
        <w:t>.</w:t>
      </w:r>
    </w:p>
    <w:sectPr w:rsidR="00120E34" w:rsidRPr="00EB00D9" w:rsidSect="00BE15D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60A" w:rsidRDefault="004A760A" w:rsidP="00D41CFF">
      <w:pPr>
        <w:spacing w:after="0" w:line="240" w:lineRule="auto"/>
      </w:pPr>
      <w:r>
        <w:separator/>
      </w:r>
    </w:p>
  </w:endnote>
  <w:endnote w:type="continuationSeparator" w:id="0">
    <w:p w:rsidR="004A760A" w:rsidRDefault="004A760A" w:rsidP="00D4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
    <w:altName w:val="Times New Roman"/>
    <w:panose1 w:val="00000000000000000000"/>
    <w:charset w:val="50"/>
    <w:family w:val="auto"/>
    <w:notTrueType/>
    <w:pitch w:val="variable"/>
    <w:sig w:usb0="00000001"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Quattrocento">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E2" w:rsidRDefault="003066E2" w:rsidP="005449ED">
    <w:pPr>
      <w:pStyle w:val="Footer"/>
      <w:framePr w:wrap="around" w:vAnchor="text" w:hAnchor="margin" w:xAlign="right" w:y="1"/>
      <w:rPr>
        <w:rStyle w:val="PageNumber"/>
        <w:sz w:val="22"/>
        <w:szCs w:val="22"/>
      </w:rPr>
    </w:pPr>
    <w:r>
      <w:rPr>
        <w:rStyle w:val="PageNumber"/>
      </w:rPr>
      <w:fldChar w:fldCharType="begin"/>
    </w:r>
    <w:r>
      <w:rPr>
        <w:rStyle w:val="PageNumber"/>
      </w:rPr>
      <w:instrText xml:space="preserve">PAGE  </w:instrText>
    </w:r>
    <w:r>
      <w:rPr>
        <w:rStyle w:val="PageNumber"/>
      </w:rPr>
      <w:fldChar w:fldCharType="end"/>
    </w:r>
  </w:p>
  <w:p w:rsidR="003066E2" w:rsidRDefault="003066E2" w:rsidP="005449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E2" w:rsidRDefault="003066E2" w:rsidP="005449ED">
    <w:pPr>
      <w:pStyle w:val="Footer"/>
      <w:framePr w:wrap="around" w:vAnchor="text" w:hAnchor="margin" w:xAlign="right" w:y="1"/>
      <w:rPr>
        <w:rStyle w:val="PageNumber"/>
        <w:sz w:val="22"/>
        <w:szCs w:val="22"/>
      </w:rPr>
    </w:pPr>
    <w:r>
      <w:rPr>
        <w:rStyle w:val="PageNumber"/>
      </w:rPr>
      <w:fldChar w:fldCharType="begin"/>
    </w:r>
    <w:r>
      <w:rPr>
        <w:rStyle w:val="PageNumber"/>
      </w:rPr>
      <w:instrText xml:space="preserve">PAGE  </w:instrText>
    </w:r>
    <w:r>
      <w:rPr>
        <w:rStyle w:val="PageNumber"/>
      </w:rPr>
      <w:fldChar w:fldCharType="separate"/>
    </w:r>
    <w:r w:rsidR="004E41CA">
      <w:rPr>
        <w:rStyle w:val="PageNumber"/>
        <w:noProof/>
      </w:rPr>
      <w:t>1</w:t>
    </w:r>
    <w:r>
      <w:rPr>
        <w:rStyle w:val="PageNumber"/>
      </w:rPr>
      <w:fldChar w:fldCharType="end"/>
    </w:r>
  </w:p>
  <w:p w:rsidR="003066E2" w:rsidRDefault="003066E2" w:rsidP="005449E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60A" w:rsidRDefault="004A760A" w:rsidP="00D41CFF">
      <w:pPr>
        <w:spacing w:after="0" w:line="240" w:lineRule="auto"/>
      </w:pPr>
      <w:r>
        <w:separator/>
      </w:r>
    </w:p>
  </w:footnote>
  <w:footnote w:type="continuationSeparator" w:id="0">
    <w:p w:rsidR="004A760A" w:rsidRDefault="004A760A" w:rsidP="00D41CF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23E1"/>
    <w:multiLevelType w:val="hybridMultilevel"/>
    <w:tmpl w:val="DDD61F0E"/>
    <w:lvl w:ilvl="0" w:tplc="FCC46E0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11E50"/>
    <w:multiLevelType w:val="hybridMultilevel"/>
    <w:tmpl w:val="893424B2"/>
    <w:lvl w:ilvl="0" w:tplc="CA12919C">
      <w:numFmt w:val="bullet"/>
      <w:lvlText w:val=""/>
      <w:lvlJc w:val="left"/>
      <w:pPr>
        <w:ind w:left="-540" w:hanging="360"/>
      </w:pPr>
      <w:rPr>
        <w:rFonts w:ascii="Symbol" w:eastAsia="Times New Roman" w:hAnsi="Symbol"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
    <w:nsid w:val="1F4A207E"/>
    <w:multiLevelType w:val="hybridMultilevel"/>
    <w:tmpl w:val="6CC0589C"/>
    <w:lvl w:ilvl="0" w:tplc="CD9E9DD0">
      <w:start w:val="1"/>
      <w:numFmt w:val="decimal"/>
      <w:lvlText w:val="%1."/>
      <w:lvlJc w:val="left"/>
      <w:pPr>
        <w:ind w:left="990" w:hanging="360"/>
      </w:pPr>
      <w:rPr>
        <w:rFonts w:ascii="Arial" w:hAnsi="Arial" w:cs="Arial" w:hint="default"/>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06C0F2B"/>
    <w:multiLevelType w:val="hybridMultilevel"/>
    <w:tmpl w:val="A4889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D1D43"/>
    <w:multiLevelType w:val="hybridMultilevel"/>
    <w:tmpl w:val="8A2A18C4"/>
    <w:lvl w:ilvl="0" w:tplc="76B81428">
      <w:start w:val="1"/>
      <w:numFmt w:val="bullet"/>
      <w:lvlText w:val="•"/>
      <w:lvlJc w:val="left"/>
      <w:pPr>
        <w:tabs>
          <w:tab w:val="num" w:pos="720"/>
        </w:tabs>
        <w:ind w:left="720" w:hanging="360"/>
      </w:pPr>
      <w:rPr>
        <w:rFonts w:ascii="Times New Roman" w:hAnsi="Times New Roman" w:hint="default"/>
      </w:rPr>
    </w:lvl>
    <w:lvl w:ilvl="1" w:tplc="8E1A0CF0" w:tentative="1">
      <w:start w:val="1"/>
      <w:numFmt w:val="bullet"/>
      <w:lvlText w:val="•"/>
      <w:lvlJc w:val="left"/>
      <w:pPr>
        <w:tabs>
          <w:tab w:val="num" w:pos="1440"/>
        </w:tabs>
        <w:ind w:left="1440" w:hanging="360"/>
      </w:pPr>
      <w:rPr>
        <w:rFonts w:ascii="Times New Roman" w:hAnsi="Times New Roman" w:hint="default"/>
      </w:rPr>
    </w:lvl>
    <w:lvl w:ilvl="2" w:tplc="CE169AFC" w:tentative="1">
      <w:start w:val="1"/>
      <w:numFmt w:val="bullet"/>
      <w:lvlText w:val="•"/>
      <w:lvlJc w:val="left"/>
      <w:pPr>
        <w:tabs>
          <w:tab w:val="num" w:pos="2160"/>
        </w:tabs>
        <w:ind w:left="2160" w:hanging="360"/>
      </w:pPr>
      <w:rPr>
        <w:rFonts w:ascii="Times New Roman" w:hAnsi="Times New Roman" w:hint="default"/>
      </w:rPr>
    </w:lvl>
    <w:lvl w:ilvl="3" w:tplc="4170E582" w:tentative="1">
      <w:start w:val="1"/>
      <w:numFmt w:val="bullet"/>
      <w:lvlText w:val="•"/>
      <w:lvlJc w:val="left"/>
      <w:pPr>
        <w:tabs>
          <w:tab w:val="num" w:pos="2880"/>
        </w:tabs>
        <w:ind w:left="2880" w:hanging="360"/>
      </w:pPr>
      <w:rPr>
        <w:rFonts w:ascii="Times New Roman" w:hAnsi="Times New Roman" w:hint="default"/>
      </w:rPr>
    </w:lvl>
    <w:lvl w:ilvl="4" w:tplc="62D05A14" w:tentative="1">
      <w:start w:val="1"/>
      <w:numFmt w:val="bullet"/>
      <w:lvlText w:val="•"/>
      <w:lvlJc w:val="left"/>
      <w:pPr>
        <w:tabs>
          <w:tab w:val="num" w:pos="3600"/>
        </w:tabs>
        <w:ind w:left="3600" w:hanging="360"/>
      </w:pPr>
      <w:rPr>
        <w:rFonts w:ascii="Times New Roman" w:hAnsi="Times New Roman" w:hint="default"/>
      </w:rPr>
    </w:lvl>
    <w:lvl w:ilvl="5" w:tplc="05B688D0" w:tentative="1">
      <w:start w:val="1"/>
      <w:numFmt w:val="bullet"/>
      <w:lvlText w:val="•"/>
      <w:lvlJc w:val="left"/>
      <w:pPr>
        <w:tabs>
          <w:tab w:val="num" w:pos="4320"/>
        </w:tabs>
        <w:ind w:left="4320" w:hanging="360"/>
      </w:pPr>
      <w:rPr>
        <w:rFonts w:ascii="Times New Roman" w:hAnsi="Times New Roman" w:hint="default"/>
      </w:rPr>
    </w:lvl>
    <w:lvl w:ilvl="6" w:tplc="FA183120" w:tentative="1">
      <w:start w:val="1"/>
      <w:numFmt w:val="bullet"/>
      <w:lvlText w:val="•"/>
      <w:lvlJc w:val="left"/>
      <w:pPr>
        <w:tabs>
          <w:tab w:val="num" w:pos="5040"/>
        </w:tabs>
        <w:ind w:left="5040" w:hanging="360"/>
      </w:pPr>
      <w:rPr>
        <w:rFonts w:ascii="Times New Roman" w:hAnsi="Times New Roman" w:hint="default"/>
      </w:rPr>
    </w:lvl>
    <w:lvl w:ilvl="7" w:tplc="12BC2D88" w:tentative="1">
      <w:start w:val="1"/>
      <w:numFmt w:val="bullet"/>
      <w:lvlText w:val="•"/>
      <w:lvlJc w:val="left"/>
      <w:pPr>
        <w:tabs>
          <w:tab w:val="num" w:pos="5760"/>
        </w:tabs>
        <w:ind w:left="5760" w:hanging="360"/>
      </w:pPr>
      <w:rPr>
        <w:rFonts w:ascii="Times New Roman" w:hAnsi="Times New Roman" w:hint="default"/>
      </w:rPr>
    </w:lvl>
    <w:lvl w:ilvl="8" w:tplc="325C5A2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7175943"/>
    <w:multiLevelType w:val="hybridMultilevel"/>
    <w:tmpl w:val="E76A769E"/>
    <w:lvl w:ilvl="0" w:tplc="958C94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0E25878"/>
    <w:multiLevelType w:val="multilevel"/>
    <w:tmpl w:val="96502AD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B8E3C09"/>
    <w:multiLevelType w:val="hybridMultilevel"/>
    <w:tmpl w:val="DDEE7EF0"/>
    <w:lvl w:ilvl="0" w:tplc="0409000F">
      <w:start w:val="1"/>
      <w:numFmt w:val="decimal"/>
      <w:lvlText w:val="%1."/>
      <w:lvlJc w:val="left"/>
      <w:pPr>
        <w:ind w:left="540" w:hanging="360"/>
      </w:pPr>
      <w:rPr>
        <w:rFonts w:cs="Times New Roman"/>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8">
    <w:nsid w:val="4F2C0AEA"/>
    <w:multiLevelType w:val="multilevel"/>
    <w:tmpl w:val="C430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AA6674"/>
    <w:multiLevelType w:val="hybridMultilevel"/>
    <w:tmpl w:val="FBFA42C8"/>
    <w:lvl w:ilvl="0" w:tplc="FCC46E0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AE70B3"/>
    <w:multiLevelType w:val="multilevel"/>
    <w:tmpl w:val="8E84E9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85778B2"/>
    <w:multiLevelType w:val="multilevel"/>
    <w:tmpl w:val="2620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9"/>
  </w:num>
  <w:num w:numId="4">
    <w:abstractNumId w:val="0"/>
  </w:num>
  <w:num w:numId="5">
    <w:abstractNumId w:val="8"/>
  </w:num>
  <w:num w:numId="6">
    <w:abstractNumId w:val="11"/>
  </w:num>
  <w:num w:numId="7">
    <w:abstractNumId w:val="10"/>
  </w:num>
  <w:num w:numId="8">
    <w:abstractNumId w:val="6"/>
    <w:lvlOverride w:ilvl="0">
      <w:lvl w:ilvl="0">
        <w:numFmt w:val="decimal"/>
        <w:lvlText w:val="%1."/>
        <w:lvlJc w:val="left"/>
        <w:rPr>
          <w:rFonts w:cs="Times New Roman"/>
        </w:rPr>
      </w:lvl>
    </w:lvlOverride>
  </w:num>
  <w:num w:numId="9">
    <w:abstractNumId w:val="6"/>
    <w:lvlOverride w:ilvl="0">
      <w:lvl w:ilvl="0">
        <w:numFmt w:val="decimal"/>
        <w:lvlText w:val="%1."/>
        <w:lvlJc w:val="left"/>
        <w:rPr>
          <w:rFonts w:cs="Times New Roman"/>
        </w:rPr>
      </w:lvl>
    </w:lvlOverride>
  </w:num>
  <w:num w:numId="10">
    <w:abstractNumId w:val="6"/>
    <w:lvlOverride w:ilvl="0">
      <w:lvl w:ilvl="0">
        <w:numFmt w:val="decimal"/>
        <w:lvlText w:val="%1."/>
        <w:lvlJc w:val="left"/>
        <w:rPr>
          <w:rFonts w:cs="Times New Roman"/>
        </w:rPr>
      </w:lvl>
    </w:lvlOverride>
  </w:num>
  <w:num w:numId="11">
    <w:abstractNumId w:val="6"/>
    <w:lvlOverride w:ilvl="0">
      <w:lvl w:ilvl="0">
        <w:numFmt w:val="decimal"/>
        <w:lvlText w:val="%1."/>
        <w:lvlJc w:val="left"/>
        <w:rPr>
          <w:rFonts w:cs="Times New Roman"/>
        </w:rPr>
      </w:lvl>
    </w:lvlOverride>
  </w:num>
  <w:num w:numId="12">
    <w:abstractNumId w:val="6"/>
    <w:lvlOverride w:ilvl="0">
      <w:lvl w:ilvl="0">
        <w:numFmt w:val="decimal"/>
        <w:lvlText w:val="%1."/>
        <w:lvlJc w:val="left"/>
        <w:rPr>
          <w:rFonts w:cs="Times New Roman"/>
        </w:rPr>
      </w:lvl>
    </w:lvlOverride>
  </w:num>
  <w:num w:numId="13">
    <w:abstractNumId w:val="4"/>
  </w:num>
  <w:num w:numId="14">
    <w:abstractNumId w:val="1"/>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gutterAtTop/>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eu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zees9sf9ws2wde2w9svrpaae59twt0pp5we&quot;&gt;My EndNote Library1&lt;record-ids&gt;&lt;item&gt;4&lt;/item&gt;&lt;item&gt;5&lt;/item&gt;&lt;/record-ids&gt;&lt;/item&gt;&lt;/Libraries&gt;"/>
  </w:docVars>
  <w:rsids>
    <w:rsidRoot w:val="000F3536"/>
    <w:rsid w:val="000032E6"/>
    <w:rsid w:val="00004F02"/>
    <w:rsid w:val="00006E97"/>
    <w:rsid w:val="0001770A"/>
    <w:rsid w:val="00017CD5"/>
    <w:rsid w:val="00027A82"/>
    <w:rsid w:val="00030561"/>
    <w:rsid w:val="00031B35"/>
    <w:rsid w:val="00040B36"/>
    <w:rsid w:val="00040E1D"/>
    <w:rsid w:val="00042F52"/>
    <w:rsid w:val="000461A7"/>
    <w:rsid w:val="000541DC"/>
    <w:rsid w:val="00066313"/>
    <w:rsid w:val="00067654"/>
    <w:rsid w:val="0007327A"/>
    <w:rsid w:val="00074175"/>
    <w:rsid w:val="00074BE6"/>
    <w:rsid w:val="00077836"/>
    <w:rsid w:val="00086F6E"/>
    <w:rsid w:val="00094A9E"/>
    <w:rsid w:val="00096E6D"/>
    <w:rsid w:val="000B5C25"/>
    <w:rsid w:val="000B5CF0"/>
    <w:rsid w:val="000D341B"/>
    <w:rsid w:val="000E0181"/>
    <w:rsid w:val="000E253B"/>
    <w:rsid w:val="000F3536"/>
    <w:rsid w:val="000F45B3"/>
    <w:rsid w:val="000F4A2A"/>
    <w:rsid w:val="000F4E0D"/>
    <w:rsid w:val="000F62D6"/>
    <w:rsid w:val="000F6310"/>
    <w:rsid w:val="000F6311"/>
    <w:rsid w:val="000F6668"/>
    <w:rsid w:val="00100EC6"/>
    <w:rsid w:val="00100FCA"/>
    <w:rsid w:val="00102EC0"/>
    <w:rsid w:val="00106CC1"/>
    <w:rsid w:val="001078FB"/>
    <w:rsid w:val="00107945"/>
    <w:rsid w:val="00113941"/>
    <w:rsid w:val="001159C6"/>
    <w:rsid w:val="00117C00"/>
    <w:rsid w:val="00120E34"/>
    <w:rsid w:val="00124167"/>
    <w:rsid w:val="00124416"/>
    <w:rsid w:val="0012768B"/>
    <w:rsid w:val="00131203"/>
    <w:rsid w:val="0013686D"/>
    <w:rsid w:val="00141B0B"/>
    <w:rsid w:val="00142D19"/>
    <w:rsid w:val="00143FB8"/>
    <w:rsid w:val="00151D2D"/>
    <w:rsid w:val="00152B01"/>
    <w:rsid w:val="00161DE9"/>
    <w:rsid w:val="001663FB"/>
    <w:rsid w:val="00166CEB"/>
    <w:rsid w:val="00167341"/>
    <w:rsid w:val="001725B2"/>
    <w:rsid w:val="00174342"/>
    <w:rsid w:val="00177861"/>
    <w:rsid w:val="001823CF"/>
    <w:rsid w:val="00193F66"/>
    <w:rsid w:val="00194F30"/>
    <w:rsid w:val="0019593C"/>
    <w:rsid w:val="001A49E4"/>
    <w:rsid w:val="001A6499"/>
    <w:rsid w:val="001A79BD"/>
    <w:rsid w:val="001B33FF"/>
    <w:rsid w:val="001B5EEA"/>
    <w:rsid w:val="001B7541"/>
    <w:rsid w:val="001C3492"/>
    <w:rsid w:val="001C4C0E"/>
    <w:rsid w:val="001D0F1A"/>
    <w:rsid w:val="001D64B0"/>
    <w:rsid w:val="001D6F66"/>
    <w:rsid w:val="001E4DF0"/>
    <w:rsid w:val="001E5B09"/>
    <w:rsid w:val="001F1AC5"/>
    <w:rsid w:val="001F5885"/>
    <w:rsid w:val="002139FE"/>
    <w:rsid w:val="002151FB"/>
    <w:rsid w:val="00223840"/>
    <w:rsid w:val="00225D2E"/>
    <w:rsid w:val="00225F0F"/>
    <w:rsid w:val="00226397"/>
    <w:rsid w:val="002309C1"/>
    <w:rsid w:val="00241BA3"/>
    <w:rsid w:val="00244C2D"/>
    <w:rsid w:val="002504C2"/>
    <w:rsid w:val="0025190B"/>
    <w:rsid w:val="00263117"/>
    <w:rsid w:val="00266E7E"/>
    <w:rsid w:val="00270C49"/>
    <w:rsid w:val="00283251"/>
    <w:rsid w:val="0029030B"/>
    <w:rsid w:val="00292B83"/>
    <w:rsid w:val="002A6480"/>
    <w:rsid w:val="002B2BFB"/>
    <w:rsid w:val="002B4A29"/>
    <w:rsid w:val="002D5FDC"/>
    <w:rsid w:val="002E0830"/>
    <w:rsid w:val="002E3408"/>
    <w:rsid w:val="002E4B47"/>
    <w:rsid w:val="002F00B7"/>
    <w:rsid w:val="002F073E"/>
    <w:rsid w:val="002F14E1"/>
    <w:rsid w:val="002F2503"/>
    <w:rsid w:val="002F55E1"/>
    <w:rsid w:val="002F6FE0"/>
    <w:rsid w:val="0030034B"/>
    <w:rsid w:val="00300426"/>
    <w:rsid w:val="0030400E"/>
    <w:rsid w:val="0030442D"/>
    <w:rsid w:val="003066E2"/>
    <w:rsid w:val="003079DA"/>
    <w:rsid w:val="0032752C"/>
    <w:rsid w:val="003344DC"/>
    <w:rsid w:val="00336BBA"/>
    <w:rsid w:val="00337B74"/>
    <w:rsid w:val="003407FD"/>
    <w:rsid w:val="00342DFB"/>
    <w:rsid w:val="00344A6D"/>
    <w:rsid w:val="00346845"/>
    <w:rsid w:val="00347395"/>
    <w:rsid w:val="00350EA0"/>
    <w:rsid w:val="00351630"/>
    <w:rsid w:val="003527F0"/>
    <w:rsid w:val="003578AB"/>
    <w:rsid w:val="003603F2"/>
    <w:rsid w:val="003633AD"/>
    <w:rsid w:val="00363655"/>
    <w:rsid w:val="00365007"/>
    <w:rsid w:val="00365FF8"/>
    <w:rsid w:val="003747B3"/>
    <w:rsid w:val="0038344D"/>
    <w:rsid w:val="00384829"/>
    <w:rsid w:val="00387379"/>
    <w:rsid w:val="00392D23"/>
    <w:rsid w:val="00395B25"/>
    <w:rsid w:val="00396058"/>
    <w:rsid w:val="003A1382"/>
    <w:rsid w:val="003A4CBE"/>
    <w:rsid w:val="003A652A"/>
    <w:rsid w:val="003A767C"/>
    <w:rsid w:val="003A7CC5"/>
    <w:rsid w:val="003B0F93"/>
    <w:rsid w:val="003B2F2B"/>
    <w:rsid w:val="003B3327"/>
    <w:rsid w:val="003B5423"/>
    <w:rsid w:val="003C045F"/>
    <w:rsid w:val="003C41DC"/>
    <w:rsid w:val="003C4CFE"/>
    <w:rsid w:val="003C69C9"/>
    <w:rsid w:val="003D00A5"/>
    <w:rsid w:val="003D41D5"/>
    <w:rsid w:val="003D7548"/>
    <w:rsid w:val="003E00A5"/>
    <w:rsid w:val="003E4432"/>
    <w:rsid w:val="003E6F69"/>
    <w:rsid w:val="003F02E9"/>
    <w:rsid w:val="003F29D1"/>
    <w:rsid w:val="003F3D96"/>
    <w:rsid w:val="00407E00"/>
    <w:rsid w:val="00410B96"/>
    <w:rsid w:val="00417343"/>
    <w:rsid w:val="0042721F"/>
    <w:rsid w:val="004410BF"/>
    <w:rsid w:val="00441367"/>
    <w:rsid w:val="004413B9"/>
    <w:rsid w:val="00442AD0"/>
    <w:rsid w:val="0044321A"/>
    <w:rsid w:val="00444F8C"/>
    <w:rsid w:val="00445FEB"/>
    <w:rsid w:val="004478B9"/>
    <w:rsid w:val="00462EA1"/>
    <w:rsid w:val="004659E1"/>
    <w:rsid w:val="00467B19"/>
    <w:rsid w:val="00480E9F"/>
    <w:rsid w:val="004930DC"/>
    <w:rsid w:val="00493224"/>
    <w:rsid w:val="004963F4"/>
    <w:rsid w:val="004A1721"/>
    <w:rsid w:val="004A485C"/>
    <w:rsid w:val="004A4A99"/>
    <w:rsid w:val="004A50B4"/>
    <w:rsid w:val="004A6821"/>
    <w:rsid w:val="004A760A"/>
    <w:rsid w:val="004A7D44"/>
    <w:rsid w:val="004B2C82"/>
    <w:rsid w:val="004B5D68"/>
    <w:rsid w:val="004B7388"/>
    <w:rsid w:val="004B7A10"/>
    <w:rsid w:val="004C102F"/>
    <w:rsid w:val="004C51E0"/>
    <w:rsid w:val="004C533D"/>
    <w:rsid w:val="004D1AB8"/>
    <w:rsid w:val="004E1F0C"/>
    <w:rsid w:val="004E41CA"/>
    <w:rsid w:val="004E74B9"/>
    <w:rsid w:val="004E7CD9"/>
    <w:rsid w:val="004F64CC"/>
    <w:rsid w:val="0050022F"/>
    <w:rsid w:val="00502F50"/>
    <w:rsid w:val="00503379"/>
    <w:rsid w:val="00503843"/>
    <w:rsid w:val="00505FC8"/>
    <w:rsid w:val="005074ED"/>
    <w:rsid w:val="00513342"/>
    <w:rsid w:val="00513D37"/>
    <w:rsid w:val="00514AD5"/>
    <w:rsid w:val="0051598A"/>
    <w:rsid w:val="005170CC"/>
    <w:rsid w:val="00521D03"/>
    <w:rsid w:val="00525050"/>
    <w:rsid w:val="00527015"/>
    <w:rsid w:val="0053345D"/>
    <w:rsid w:val="005418ED"/>
    <w:rsid w:val="005430DD"/>
    <w:rsid w:val="00544428"/>
    <w:rsid w:val="005449ED"/>
    <w:rsid w:val="005530AE"/>
    <w:rsid w:val="00553391"/>
    <w:rsid w:val="005534AF"/>
    <w:rsid w:val="005536A2"/>
    <w:rsid w:val="00554C15"/>
    <w:rsid w:val="00560BD6"/>
    <w:rsid w:val="00562B9A"/>
    <w:rsid w:val="00562D57"/>
    <w:rsid w:val="00565E6D"/>
    <w:rsid w:val="005731BC"/>
    <w:rsid w:val="00575E75"/>
    <w:rsid w:val="00580427"/>
    <w:rsid w:val="005848B3"/>
    <w:rsid w:val="005858E2"/>
    <w:rsid w:val="00585946"/>
    <w:rsid w:val="00591000"/>
    <w:rsid w:val="0059251B"/>
    <w:rsid w:val="005A352F"/>
    <w:rsid w:val="005A559A"/>
    <w:rsid w:val="005A56EC"/>
    <w:rsid w:val="005A618E"/>
    <w:rsid w:val="005B2F09"/>
    <w:rsid w:val="005B5D0F"/>
    <w:rsid w:val="005C0176"/>
    <w:rsid w:val="005C261F"/>
    <w:rsid w:val="005C2ED1"/>
    <w:rsid w:val="005C5006"/>
    <w:rsid w:val="005C61AF"/>
    <w:rsid w:val="005C7FE5"/>
    <w:rsid w:val="005D227F"/>
    <w:rsid w:val="005D241A"/>
    <w:rsid w:val="005D4212"/>
    <w:rsid w:val="005E36B8"/>
    <w:rsid w:val="005F7684"/>
    <w:rsid w:val="0061048E"/>
    <w:rsid w:val="00612D2E"/>
    <w:rsid w:val="006152ED"/>
    <w:rsid w:val="0062071F"/>
    <w:rsid w:val="00624C63"/>
    <w:rsid w:val="00630846"/>
    <w:rsid w:val="00646413"/>
    <w:rsid w:val="00647BEF"/>
    <w:rsid w:val="00663D03"/>
    <w:rsid w:val="0067064C"/>
    <w:rsid w:val="006708AC"/>
    <w:rsid w:val="006710C6"/>
    <w:rsid w:val="00675E87"/>
    <w:rsid w:val="00676774"/>
    <w:rsid w:val="00683C0B"/>
    <w:rsid w:val="00685AC8"/>
    <w:rsid w:val="00690956"/>
    <w:rsid w:val="00691B83"/>
    <w:rsid w:val="00692CDC"/>
    <w:rsid w:val="006949BF"/>
    <w:rsid w:val="00695EC2"/>
    <w:rsid w:val="00696040"/>
    <w:rsid w:val="006974C0"/>
    <w:rsid w:val="006A206B"/>
    <w:rsid w:val="006A3476"/>
    <w:rsid w:val="006A3A1D"/>
    <w:rsid w:val="006B4C2F"/>
    <w:rsid w:val="006C0937"/>
    <w:rsid w:val="006C1642"/>
    <w:rsid w:val="006D3819"/>
    <w:rsid w:val="006F1BEA"/>
    <w:rsid w:val="006F1FAA"/>
    <w:rsid w:val="006F3055"/>
    <w:rsid w:val="00701422"/>
    <w:rsid w:val="0070509D"/>
    <w:rsid w:val="007103F6"/>
    <w:rsid w:val="00712229"/>
    <w:rsid w:val="0071427A"/>
    <w:rsid w:val="007157AE"/>
    <w:rsid w:val="007201BF"/>
    <w:rsid w:val="00733DF1"/>
    <w:rsid w:val="00736B4E"/>
    <w:rsid w:val="0074377F"/>
    <w:rsid w:val="0074586D"/>
    <w:rsid w:val="00747134"/>
    <w:rsid w:val="00754CCA"/>
    <w:rsid w:val="007561E6"/>
    <w:rsid w:val="00760A81"/>
    <w:rsid w:val="0076742B"/>
    <w:rsid w:val="0076776A"/>
    <w:rsid w:val="00767FB2"/>
    <w:rsid w:val="007727AD"/>
    <w:rsid w:val="007732B2"/>
    <w:rsid w:val="00775D3F"/>
    <w:rsid w:val="00791565"/>
    <w:rsid w:val="00796AB2"/>
    <w:rsid w:val="007A0701"/>
    <w:rsid w:val="007A0F8F"/>
    <w:rsid w:val="007A2D74"/>
    <w:rsid w:val="007A2F61"/>
    <w:rsid w:val="007A7AB5"/>
    <w:rsid w:val="007A7C3E"/>
    <w:rsid w:val="007B6381"/>
    <w:rsid w:val="007B6FB2"/>
    <w:rsid w:val="007C3CAE"/>
    <w:rsid w:val="007D09D1"/>
    <w:rsid w:val="007D27EA"/>
    <w:rsid w:val="007D3B7F"/>
    <w:rsid w:val="007D4FA8"/>
    <w:rsid w:val="007E2408"/>
    <w:rsid w:val="007E74D8"/>
    <w:rsid w:val="007F0384"/>
    <w:rsid w:val="007F13EA"/>
    <w:rsid w:val="007F1F28"/>
    <w:rsid w:val="007F6A20"/>
    <w:rsid w:val="00800D6F"/>
    <w:rsid w:val="00800E69"/>
    <w:rsid w:val="00802869"/>
    <w:rsid w:val="00803FEE"/>
    <w:rsid w:val="008071BA"/>
    <w:rsid w:val="00811715"/>
    <w:rsid w:val="008123BE"/>
    <w:rsid w:val="00812415"/>
    <w:rsid w:val="0081626F"/>
    <w:rsid w:val="0082094C"/>
    <w:rsid w:val="00832809"/>
    <w:rsid w:val="008343BC"/>
    <w:rsid w:val="00836991"/>
    <w:rsid w:val="0084109A"/>
    <w:rsid w:val="00841638"/>
    <w:rsid w:val="00842F82"/>
    <w:rsid w:val="008462F4"/>
    <w:rsid w:val="00847DD6"/>
    <w:rsid w:val="00852313"/>
    <w:rsid w:val="00852364"/>
    <w:rsid w:val="00852600"/>
    <w:rsid w:val="008565CC"/>
    <w:rsid w:val="00860BE6"/>
    <w:rsid w:val="00860E9A"/>
    <w:rsid w:val="008640AC"/>
    <w:rsid w:val="00866F9A"/>
    <w:rsid w:val="008674B9"/>
    <w:rsid w:val="00871824"/>
    <w:rsid w:val="008721A4"/>
    <w:rsid w:val="00873B73"/>
    <w:rsid w:val="00876255"/>
    <w:rsid w:val="0088437F"/>
    <w:rsid w:val="00895118"/>
    <w:rsid w:val="008A195E"/>
    <w:rsid w:val="008A1F89"/>
    <w:rsid w:val="008A4F63"/>
    <w:rsid w:val="008A7E67"/>
    <w:rsid w:val="008B6088"/>
    <w:rsid w:val="008B7588"/>
    <w:rsid w:val="008C068C"/>
    <w:rsid w:val="008C1D70"/>
    <w:rsid w:val="008C2746"/>
    <w:rsid w:val="008C2B12"/>
    <w:rsid w:val="008D20B7"/>
    <w:rsid w:val="008D3B87"/>
    <w:rsid w:val="008D6B92"/>
    <w:rsid w:val="008E13DF"/>
    <w:rsid w:val="008E270C"/>
    <w:rsid w:val="008E2A9E"/>
    <w:rsid w:val="008F0B49"/>
    <w:rsid w:val="008F4C52"/>
    <w:rsid w:val="00902766"/>
    <w:rsid w:val="0090280D"/>
    <w:rsid w:val="00903EFD"/>
    <w:rsid w:val="0090400A"/>
    <w:rsid w:val="0090462A"/>
    <w:rsid w:val="00905714"/>
    <w:rsid w:val="00907775"/>
    <w:rsid w:val="009134B1"/>
    <w:rsid w:val="00913BF0"/>
    <w:rsid w:val="00915911"/>
    <w:rsid w:val="00916931"/>
    <w:rsid w:val="00920149"/>
    <w:rsid w:val="00920D2A"/>
    <w:rsid w:val="00924900"/>
    <w:rsid w:val="00925530"/>
    <w:rsid w:val="00926444"/>
    <w:rsid w:val="00926537"/>
    <w:rsid w:val="00930A32"/>
    <w:rsid w:val="009363FE"/>
    <w:rsid w:val="0093674D"/>
    <w:rsid w:val="00943C31"/>
    <w:rsid w:val="009466A0"/>
    <w:rsid w:val="0095492E"/>
    <w:rsid w:val="00957E51"/>
    <w:rsid w:val="00964309"/>
    <w:rsid w:val="00965A7B"/>
    <w:rsid w:val="00973915"/>
    <w:rsid w:val="00977E9C"/>
    <w:rsid w:val="00983DFD"/>
    <w:rsid w:val="009940AF"/>
    <w:rsid w:val="00994425"/>
    <w:rsid w:val="009947CB"/>
    <w:rsid w:val="009A12DD"/>
    <w:rsid w:val="009A5696"/>
    <w:rsid w:val="009A57F9"/>
    <w:rsid w:val="009B0785"/>
    <w:rsid w:val="009B1C1F"/>
    <w:rsid w:val="009B20B3"/>
    <w:rsid w:val="009B20DD"/>
    <w:rsid w:val="009B360A"/>
    <w:rsid w:val="009B5EE9"/>
    <w:rsid w:val="009B6B8D"/>
    <w:rsid w:val="009C3AF5"/>
    <w:rsid w:val="009C46F5"/>
    <w:rsid w:val="009C5DCF"/>
    <w:rsid w:val="009C692E"/>
    <w:rsid w:val="009E5FEF"/>
    <w:rsid w:val="009F1354"/>
    <w:rsid w:val="009F13CC"/>
    <w:rsid w:val="009F3487"/>
    <w:rsid w:val="009F4382"/>
    <w:rsid w:val="009F59F9"/>
    <w:rsid w:val="009F601D"/>
    <w:rsid w:val="00A004DB"/>
    <w:rsid w:val="00A04968"/>
    <w:rsid w:val="00A104FB"/>
    <w:rsid w:val="00A145F7"/>
    <w:rsid w:val="00A1616D"/>
    <w:rsid w:val="00A164B6"/>
    <w:rsid w:val="00A168D1"/>
    <w:rsid w:val="00A2168D"/>
    <w:rsid w:val="00A24B16"/>
    <w:rsid w:val="00A2542A"/>
    <w:rsid w:val="00A27FDD"/>
    <w:rsid w:val="00A34449"/>
    <w:rsid w:val="00A36C87"/>
    <w:rsid w:val="00A37093"/>
    <w:rsid w:val="00A41B49"/>
    <w:rsid w:val="00A43A72"/>
    <w:rsid w:val="00A445BF"/>
    <w:rsid w:val="00A469D9"/>
    <w:rsid w:val="00A542AE"/>
    <w:rsid w:val="00A5602F"/>
    <w:rsid w:val="00A56EBA"/>
    <w:rsid w:val="00A62B72"/>
    <w:rsid w:val="00A64593"/>
    <w:rsid w:val="00A6630C"/>
    <w:rsid w:val="00A672A5"/>
    <w:rsid w:val="00A73092"/>
    <w:rsid w:val="00A767C3"/>
    <w:rsid w:val="00A76FF3"/>
    <w:rsid w:val="00A80A47"/>
    <w:rsid w:val="00A80FB7"/>
    <w:rsid w:val="00A81432"/>
    <w:rsid w:val="00A900B9"/>
    <w:rsid w:val="00AA152F"/>
    <w:rsid w:val="00AA3000"/>
    <w:rsid w:val="00AA51A5"/>
    <w:rsid w:val="00AA62B5"/>
    <w:rsid w:val="00AA6A04"/>
    <w:rsid w:val="00AA78DE"/>
    <w:rsid w:val="00AB5464"/>
    <w:rsid w:val="00AC1763"/>
    <w:rsid w:val="00AC2E1E"/>
    <w:rsid w:val="00AC5060"/>
    <w:rsid w:val="00AC758A"/>
    <w:rsid w:val="00AD26E3"/>
    <w:rsid w:val="00AD3340"/>
    <w:rsid w:val="00AD439C"/>
    <w:rsid w:val="00AD6285"/>
    <w:rsid w:val="00AD62B1"/>
    <w:rsid w:val="00AE1073"/>
    <w:rsid w:val="00AE1646"/>
    <w:rsid w:val="00AE5EF7"/>
    <w:rsid w:val="00AE5FE7"/>
    <w:rsid w:val="00AF0787"/>
    <w:rsid w:val="00AF1674"/>
    <w:rsid w:val="00AF33CA"/>
    <w:rsid w:val="00AF3B7F"/>
    <w:rsid w:val="00AF62E5"/>
    <w:rsid w:val="00B02ACF"/>
    <w:rsid w:val="00B02E3C"/>
    <w:rsid w:val="00B1165D"/>
    <w:rsid w:val="00B14813"/>
    <w:rsid w:val="00B21482"/>
    <w:rsid w:val="00B2236C"/>
    <w:rsid w:val="00B27EA6"/>
    <w:rsid w:val="00B37687"/>
    <w:rsid w:val="00B4062C"/>
    <w:rsid w:val="00B41171"/>
    <w:rsid w:val="00B43542"/>
    <w:rsid w:val="00B44171"/>
    <w:rsid w:val="00B532E6"/>
    <w:rsid w:val="00B574FB"/>
    <w:rsid w:val="00B61D3B"/>
    <w:rsid w:val="00B7227E"/>
    <w:rsid w:val="00B7408D"/>
    <w:rsid w:val="00B75BEB"/>
    <w:rsid w:val="00B804AD"/>
    <w:rsid w:val="00B85D0C"/>
    <w:rsid w:val="00B873AB"/>
    <w:rsid w:val="00B90C4F"/>
    <w:rsid w:val="00B922A8"/>
    <w:rsid w:val="00B92629"/>
    <w:rsid w:val="00B9513C"/>
    <w:rsid w:val="00B96B79"/>
    <w:rsid w:val="00BA517B"/>
    <w:rsid w:val="00BA6AE5"/>
    <w:rsid w:val="00BA6CBA"/>
    <w:rsid w:val="00BB6BD5"/>
    <w:rsid w:val="00BB7772"/>
    <w:rsid w:val="00BC14D8"/>
    <w:rsid w:val="00BC7D21"/>
    <w:rsid w:val="00BD75CE"/>
    <w:rsid w:val="00BE0469"/>
    <w:rsid w:val="00BE15DA"/>
    <w:rsid w:val="00BE60FB"/>
    <w:rsid w:val="00BE6100"/>
    <w:rsid w:val="00BF066A"/>
    <w:rsid w:val="00BF6036"/>
    <w:rsid w:val="00C001F0"/>
    <w:rsid w:val="00C11387"/>
    <w:rsid w:val="00C14FB4"/>
    <w:rsid w:val="00C1500C"/>
    <w:rsid w:val="00C175F1"/>
    <w:rsid w:val="00C24BF6"/>
    <w:rsid w:val="00C273F8"/>
    <w:rsid w:val="00C32F05"/>
    <w:rsid w:val="00C34C1F"/>
    <w:rsid w:val="00C43425"/>
    <w:rsid w:val="00C4559C"/>
    <w:rsid w:val="00C45DBD"/>
    <w:rsid w:val="00C519C5"/>
    <w:rsid w:val="00C54ED5"/>
    <w:rsid w:val="00C562E5"/>
    <w:rsid w:val="00C611DD"/>
    <w:rsid w:val="00C63E68"/>
    <w:rsid w:val="00C70D18"/>
    <w:rsid w:val="00C7394A"/>
    <w:rsid w:val="00C75C92"/>
    <w:rsid w:val="00C819CC"/>
    <w:rsid w:val="00C87895"/>
    <w:rsid w:val="00C87E05"/>
    <w:rsid w:val="00C91353"/>
    <w:rsid w:val="00C914CA"/>
    <w:rsid w:val="00C93137"/>
    <w:rsid w:val="00C947DE"/>
    <w:rsid w:val="00C94F78"/>
    <w:rsid w:val="00C95B1B"/>
    <w:rsid w:val="00C966BB"/>
    <w:rsid w:val="00C9754C"/>
    <w:rsid w:val="00CA2267"/>
    <w:rsid w:val="00CA48DF"/>
    <w:rsid w:val="00CA59BA"/>
    <w:rsid w:val="00CB0A17"/>
    <w:rsid w:val="00CB2324"/>
    <w:rsid w:val="00CB384E"/>
    <w:rsid w:val="00CB64B5"/>
    <w:rsid w:val="00CB78D7"/>
    <w:rsid w:val="00CC3C75"/>
    <w:rsid w:val="00CD01CD"/>
    <w:rsid w:val="00CD05CD"/>
    <w:rsid w:val="00CD299B"/>
    <w:rsid w:val="00CD483A"/>
    <w:rsid w:val="00CD7E2C"/>
    <w:rsid w:val="00CE1254"/>
    <w:rsid w:val="00CE12F9"/>
    <w:rsid w:val="00CE30B8"/>
    <w:rsid w:val="00CE3C2C"/>
    <w:rsid w:val="00CE509B"/>
    <w:rsid w:val="00CE661F"/>
    <w:rsid w:val="00CE7210"/>
    <w:rsid w:val="00CF11BA"/>
    <w:rsid w:val="00CF76EC"/>
    <w:rsid w:val="00D00208"/>
    <w:rsid w:val="00D0249D"/>
    <w:rsid w:val="00D047EF"/>
    <w:rsid w:val="00D10946"/>
    <w:rsid w:val="00D13456"/>
    <w:rsid w:val="00D22D24"/>
    <w:rsid w:val="00D31923"/>
    <w:rsid w:val="00D41CD4"/>
    <w:rsid w:val="00D41CFF"/>
    <w:rsid w:val="00D44015"/>
    <w:rsid w:val="00D47553"/>
    <w:rsid w:val="00D47ED1"/>
    <w:rsid w:val="00D51E3A"/>
    <w:rsid w:val="00D6339E"/>
    <w:rsid w:val="00D65634"/>
    <w:rsid w:val="00D65E1C"/>
    <w:rsid w:val="00D67366"/>
    <w:rsid w:val="00D7129D"/>
    <w:rsid w:val="00D94972"/>
    <w:rsid w:val="00DA2AF6"/>
    <w:rsid w:val="00DA3BB9"/>
    <w:rsid w:val="00DA581C"/>
    <w:rsid w:val="00DA6E17"/>
    <w:rsid w:val="00DB01FC"/>
    <w:rsid w:val="00DB510E"/>
    <w:rsid w:val="00DB588E"/>
    <w:rsid w:val="00DB6934"/>
    <w:rsid w:val="00DB6F64"/>
    <w:rsid w:val="00DC114A"/>
    <w:rsid w:val="00DC53D5"/>
    <w:rsid w:val="00DC68DC"/>
    <w:rsid w:val="00DD30FA"/>
    <w:rsid w:val="00DD7F98"/>
    <w:rsid w:val="00DE0872"/>
    <w:rsid w:val="00DE17D0"/>
    <w:rsid w:val="00DE5C7F"/>
    <w:rsid w:val="00DF00E2"/>
    <w:rsid w:val="00DF2417"/>
    <w:rsid w:val="00DF6433"/>
    <w:rsid w:val="00E040D7"/>
    <w:rsid w:val="00E16582"/>
    <w:rsid w:val="00E17EE6"/>
    <w:rsid w:val="00E2035F"/>
    <w:rsid w:val="00E205DD"/>
    <w:rsid w:val="00E206DC"/>
    <w:rsid w:val="00E26F69"/>
    <w:rsid w:val="00E31E16"/>
    <w:rsid w:val="00E32BFA"/>
    <w:rsid w:val="00E335F2"/>
    <w:rsid w:val="00E33D8C"/>
    <w:rsid w:val="00E40DDA"/>
    <w:rsid w:val="00E41F8C"/>
    <w:rsid w:val="00E420EF"/>
    <w:rsid w:val="00E45F91"/>
    <w:rsid w:val="00E46B42"/>
    <w:rsid w:val="00E46EEB"/>
    <w:rsid w:val="00E50C42"/>
    <w:rsid w:val="00E53110"/>
    <w:rsid w:val="00E62087"/>
    <w:rsid w:val="00E655F5"/>
    <w:rsid w:val="00E65EE6"/>
    <w:rsid w:val="00E6665D"/>
    <w:rsid w:val="00E730FC"/>
    <w:rsid w:val="00E74BE4"/>
    <w:rsid w:val="00E77EF4"/>
    <w:rsid w:val="00E82961"/>
    <w:rsid w:val="00E82A8B"/>
    <w:rsid w:val="00E83D0F"/>
    <w:rsid w:val="00E87D8E"/>
    <w:rsid w:val="00E9194B"/>
    <w:rsid w:val="00E92C91"/>
    <w:rsid w:val="00E943A7"/>
    <w:rsid w:val="00EA036C"/>
    <w:rsid w:val="00EA0431"/>
    <w:rsid w:val="00EA0CFD"/>
    <w:rsid w:val="00EA5D5C"/>
    <w:rsid w:val="00EA6BCB"/>
    <w:rsid w:val="00EA7F52"/>
    <w:rsid w:val="00EB00D9"/>
    <w:rsid w:val="00EB03F7"/>
    <w:rsid w:val="00EB4627"/>
    <w:rsid w:val="00EB4F06"/>
    <w:rsid w:val="00EB556C"/>
    <w:rsid w:val="00EC1033"/>
    <w:rsid w:val="00EC7A9C"/>
    <w:rsid w:val="00ED40CA"/>
    <w:rsid w:val="00EE3B2B"/>
    <w:rsid w:val="00EE3C2C"/>
    <w:rsid w:val="00EE6BD6"/>
    <w:rsid w:val="00EE702D"/>
    <w:rsid w:val="00EE7985"/>
    <w:rsid w:val="00EF40E1"/>
    <w:rsid w:val="00EF4866"/>
    <w:rsid w:val="00EF7304"/>
    <w:rsid w:val="00F02DCF"/>
    <w:rsid w:val="00F037AE"/>
    <w:rsid w:val="00F050C2"/>
    <w:rsid w:val="00F058C8"/>
    <w:rsid w:val="00F05F01"/>
    <w:rsid w:val="00F10D28"/>
    <w:rsid w:val="00F1153D"/>
    <w:rsid w:val="00F123B3"/>
    <w:rsid w:val="00F174C9"/>
    <w:rsid w:val="00F300B2"/>
    <w:rsid w:val="00F30951"/>
    <w:rsid w:val="00F32B3D"/>
    <w:rsid w:val="00F37596"/>
    <w:rsid w:val="00F454D8"/>
    <w:rsid w:val="00F4694D"/>
    <w:rsid w:val="00F50DA1"/>
    <w:rsid w:val="00F5109B"/>
    <w:rsid w:val="00F5374A"/>
    <w:rsid w:val="00F543EB"/>
    <w:rsid w:val="00F612A8"/>
    <w:rsid w:val="00F613CD"/>
    <w:rsid w:val="00F62F3A"/>
    <w:rsid w:val="00F650F9"/>
    <w:rsid w:val="00F66076"/>
    <w:rsid w:val="00F700CE"/>
    <w:rsid w:val="00F769CC"/>
    <w:rsid w:val="00F823AC"/>
    <w:rsid w:val="00F82D3E"/>
    <w:rsid w:val="00F831BD"/>
    <w:rsid w:val="00F83E1E"/>
    <w:rsid w:val="00F85174"/>
    <w:rsid w:val="00F86851"/>
    <w:rsid w:val="00F868BA"/>
    <w:rsid w:val="00F9126C"/>
    <w:rsid w:val="00F914C7"/>
    <w:rsid w:val="00F965DD"/>
    <w:rsid w:val="00FA0060"/>
    <w:rsid w:val="00FA32F1"/>
    <w:rsid w:val="00FB19C2"/>
    <w:rsid w:val="00FB2AB4"/>
    <w:rsid w:val="00FB2C5C"/>
    <w:rsid w:val="00FB50A7"/>
    <w:rsid w:val="00FB5BAA"/>
    <w:rsid w:val="00FB605F"/>
    <w:rsid w:val="00FC3311"/>
    <w:rsid w:val="00FD3AD9"/>
    <w:rsid w:val="00FE1597"/>
    <w:rsid w:val="00FE38DC"/>
    <w:rsid w:val="00FE7F1C"/>
    <w:rsid w:val="00FF0CDE"/>
    <w:rsid w:val="00FF5DD0"/>
    <w:rsid w:val="00FF7217"/>
    <w:rsid w:val="00FF74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60A81"/>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C54ED5"/>
    <w:pPr>
      <w:ind w:left="720"/>
      <w:contextualSpacing/>
    </w:pPr>
  </w:style>
  <w:style w:type="character" w:styleId="Hyperlink">
    <w:name w:val="Hyperlink"/>
    <w:basedOn w:val="DefaultParagraphFont"/>
    <w:uiPriority w:val="99"/>
    <w:rsid w:val="00C54ED5"/>
    <w:rPr>
      <w:rFonts w:cs="Times New Roman"/>
      <w:color w:val="0000FF"/>
      <w:u w:val="single"/>
    </w:rPr>
  </w:style>
  <w:style w:type="character" w:styleId="FollowedHyperlink">
    <w:name w:val="FollowedHyperlink"/>
    <w:basedOn w:val="DefaultParagraphFont"/>
    <w:uiPriority w:val="99"/>
    <w:semiHidden/>
    <w:rsid w:val="008C1D70"/>
    <w:rPr>
      <w:rFonts w:cs="Times New Roman"/>
      <w:color w:val="800080"/>
      <w:u w:val="single"/>
    </w:rPr>
  </w:style>
  <w:style w:type="paragraph" w:customStyle="1" w:styleId="EndNoteBibliographyTitle">
    <w:name w:val="EndNote Bibliography Title"/>
    <w:basedOn w:val="Normal"/>
    <w:uiPriority w:val="99"/>
    <w:rsid w:val="00C519C5"/>
    <w:pPr>
      <w:spacing w:after="0"/>
      <w:jc w:val="center"/>
    </w:pPr>
    <w:rPr>
      <w:rFonts w:ascii="Book Antiqua" w:hAnsi="Book Antiqua"/>
      <w:noProof/>
      <w:sz w:val="24"/>
    </w:rPr>
  </w:style>
  <w:style w:type="paragraph" w:customStyle="1" w:styleId="EndNoteBibliography">
    <w:name w:val="EndNote Bibliography"/>
    <w:basedOn w:val="Normal"/>
    <w:uiPriority w:val="99"/>
    <w:rsid w:val="00C519C5"/>
    <w:pPr>
      <w:spacing w:line="240" w:lineRule="auto"/>
    </w:pPr>
    <w:rPr>
      <w:rFonts w:ascii="Book Antiqua" w:hAnsi="Book Antiqua"/>
      <w:noProof/>
      <w:sz w:val="24"/>
    </w:rPr>
  </w:style>
  <w:style w:type="paragraph" w:styleId="BalloonText">
    <w:name w:val="Balloon Text"/>
    <w:basedOn w:val="Normal"/>
    <w:link w:val="BalloonTextChar"/>
    <w:uiPriority w:val="99"/>
    <w:semiHidden/>
    <w:rsid w:val="00117C00"/>
    <w:pPr>
      <w:spacing w:after="0" w:line="240" w:lineRule="auto"/>
    </w:pPr>
    <w:rPr>
      <w:rFonts w:ascii="Segoe UI" w:hAnsi="Segoe UI"/>
      <w:sz w:val="18"/>
      <w:szCs w:val="20"/>
    </w:rPr>
  </w:style>
  <w:style w:type="character" w:customStyle="1" w:styleId="BalloonTextChar">
    <w:name w:val="Balloon Text Char"/>
    <w:basedOn w:val="DefaultParagraphFont"/>
    <w:link w:val="BalloonText"/>
    <w:uiPriority w:val="99"/>
    <w:semiHidden/>
    <w:locked/>
    <w:rsid w:val="00117C00"/>
    <w:rPr>
      <w:rFonts w:ascii="Segoe UI" w:hAnsi="Segoe UI" w:cs="Times New Roman"/>
      <w:sz w:val="18"/>
    </w:rPr>
  </w:style>
  <w:style w:type="table" w:styleId="TableGrid">
    <w:name w:val="Table Grid"/>
    <w:basedOn w:val="TableNormal"/>
    <w:uiPriority w:val="99"/>
    <w:locked/>
    <w:rsid w:val="00FF0CDE"/>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A36C87"/>
    <w:pPr>
      <w:spacing w:line="276" w:lineRule="auto"/>
    </w:pPr>
    <w:rPr>
      <w:rFonts w:ascii="Arial" w:hAnsi="Arial" w:cs="Arial"/>
      <w:color w:val="000000"/>
      <w:szCs w:val="20"/>
    </w:rPr>
  </w:style>
  <w:style w:type="character" w:customStyle="1" w:styleId="il">
    <w:name w:val="il"/>
    <w:uiPriority w:val="99"/>
    <w:rsid w:val="00AE1073"/>
  </w:style>
  <w:style w:type="character" w:customStyle="1" w:styleId="apple-converted-space">
    <w:name w:val="apple-converted-space"/>
    <w:rsid w:val="00AE1073"/>
  </w:style>
  <w:style w:type="character" w:customStyle="1" w:styleId="fulltext-it">
    <w:name w:val="fulltext-it"/>
    <w:uiPriority w:val="99"/>
    <w:rsid w:val="00AE1073"/>
  </w:style>
  <w:style w:type="character" w:styleId="CommentReference">
    <w:name w:val="annotation reference"/>
    <w:basedOn w:val="DefaultParagraphFont"/>
    <w:uiPriority w:val="99"/>
    <w:semiHidden/>
    <w:rsid w:val="0042721F"/>
    <w:rPr>
      <w:rFonts w:cs="Times New Roman"/>
      <w:sz w:val="16"/>
    </w:rPr>
  </w:style>
  <w:style w:type="paragraph" w:styleId="CommentText">
    <w:name w:val="annotation text"/>
    <w:basedOn w:val="Normal"/>
    <w:link w:val="CommentTextChar"/>
    <w:uiPriority w:val="99"/>
    <w:semiHidden/>
    <w:rsid w:val="0042721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2721F"/>
    <w:rPr>
      <w:rFonts w:cs="Times New Roman"/>
      <w:sz w:val="20"/>
    </w:rPr>
  </w:style>
  <w:style w:type="paragraph" w:styleId="CommentSubject">
    <w:name w:val="annotation subject"/>
    <w:basedOn w:val="CommentText"/>
    <w:next w:val="CommentText"/>
    <w:link w:val="CommentSubjectChar"/>
    <w:uiPriority w:val="99"/>
    <w:semiHidden/>
    <w:rsid w:val="0042721F"/>
    <w:rPr>
      <w:b/>
    </w:rPr>
  </w:style>
  <w:style w:type="character" w:customStyle="1" w:styleId="CommentSubjectChar">
    <w:name w:val="Comment Subject Char"/>
    <w:basedOn w:val="CommentTextChar"/>
    <w:link w:val="CommentSubject"/>
    <w:uiPriority w:val="99"/>
    <w:semiHidden/>
    <w:locked/>
    <w:rsid w:val="0042721F"/>
    <w:rPr>
      <w:rFonts w:cs="Times New Roman"/>
      <w:b/>
      <w:sz w:val="20"/>
    </w:rPr>
  </w:style>
  <w:style w:type="character" w:styleId="PlaceholderText">
    <w:name w:val="Placeholder Text"/>
    <w:basedOn w:val="DefaultParagraphFont"/>
    <w:uiPriority w:val="99"/>
    <w:semiHidden/>
    <w:rsid w:val="009A57F9"/>
    <w:rPr>
      <w:rFonts w:cs="Times New Roman"/>
      <w:color w:val="808080"/>
    </w:rPr>
  </w:style>
  <w:style w:type="character" w:styleId="Emphasis">
    <w:name w:val="Emphasis"/>
    <w:basedOn w:val="DefaultParagraphFont"/>
    <w:uiPriority w:val="99"/>
    <w:qFormat/>
    <w:locked/>
    <w:rsid w:val="00F9126C"/>
    <w:rPr>
      <w:rFonts w:cs="Times New Roman"/>
      <w:i/>
    </w:rPr>
  </w:style>
  <w:style w:type="paragraph" w:styleId="Header">
    <w:name w:val="header"/>
    <w:basedOn w:val="Normal"/>
    <w:link w:val="HeaderChar"/>
    <w:uiPriority w:val="99"/>
    <w:rsid w:val="00D41CF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locked/>
    <w:rsid w:val="00D41CFF"/>
    <w:rPr>
      <w:rFonts w:cs="Times New Roman"/>
      <w:sz w:val="18"/>
    </w:rPr>
  </w:style>
  <w:style w:type="paragraph" w:styleId="Footer">
    <w:name w:val="footer"/>
    <w:basedOn w:val="Normal"/>
    <w:link w:val="FooterChar"/>
    <w:uiPriority w:val="99"/>
    <w:rsid w:val="00D41CF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locked/>
    <w:rsid w:val="00D41CFF"/>
    <w:rPr>
      <w:rFonts w:cs="Times New Roman"/>
      <w:sz w:val="18"/>
    </w:rPr>
  </w:style>
  <w:style w:type="character" w:styleId="PageNumber">
    <w:name w:val="page number"/>
    <w:basedOn w:val="DefaultParagraphFont"/>
    <w:uiPriority w:val="99"/>
    <w:semiHidden/>
    <w:rsid w:val="005449ED"/>
    <w:rPr>
      <w:rFonts w:cs="Times New Roman"/>
    </w:rPr>
  </w:style>
  <w:style w:type="table" w:customStyle="1" w:styleId="TableGrid1">
    <w:name w:val="Table Grid1"/>
    <w:uiPriority w:val="99"/>
    <w:rsid w:val="008A7E6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4062C"/>
  </w:style>
  <w:style w:type="paragraph" w:styleId="PlainText">
    <w:name w:val="Plain Text"/>
    <w:basedOn w:val="Normal"/>
    <w:link w:val="PlainTextChar"/>
    <w:rsid w:val="0095492E"/>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95492E"/>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60A81"/>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C54ED5"/>
    <w:pPr>
      <w:ind w:left="720"/>
      <w:contextualSpacing/>
    </w:pPr>
  </w:style>
  <w:style w:type="character" w:styleId="Hyperlink">
    <w:name w:val="Hyperlink"/>
    <w:basedOn w:val="DefaultParagraphFont"/>
    <w:uiPriority w:val="99"/>
    <w:rsid w:val="00C54ED5"/>
    <w:rPr>
      <w:rFonts w:cs="Times New Roman"/>
      <w:color w:val="0000FF"/>
      <w:u w:val="single"/>
    </w:rPr>
  </w:style>
  <w:style w:type="character" w:styleId="FollowedHyperlink">
    <w:name w:val="FollowedHyperlink"/>
    <w:basedOn w:val="DefaultParagraphFont"/>
    <w:uiPriority w:val="99"/>
    <w:semiHidden/>
    <w:rsid w:val="008C1D70"/>
    <w:rPr>
      <w:rFonts w:cs="Times New Roman"/>
      <w:color w:val="800080"/>
      <w:u w:val="single"/>
    </w:rPr>
  </w:style>
  <w:style w:type="paragraph" w:customStyle="1" w:styleId="EndNoteBibliographyTitle">
    <w:name w:val="EndNote Bibliography Title"/>
    <w:basedOn w:val="Normal"/>
    <w:uiPriority w:val="99"/>
    <w:rsid w:val="00C519C5"/>
    <w:pPr>
      <w:spacing w:after="0"/>
      <w:jc w:val="center"/>
    </w:pPr>
    <w:rPr>
      <w:rFonts w:ascii="Book Antiqua" w:hAnsi="Book Antiqua"/>
      <w:noProof/>
      <w:sz w:val="24"/>
    </w:rPr>
  </w:style>
  <w:style w:type="paragraph" w:customStyle="1" w:styleId="EndNoteBibliography">
    <w:name w:val="EndNote Bibliography"/>
    <w:basedOn w:val="Normal"/>
    <w:uiPriority w:val="99"/>
    <w:rsid w:val="00C519C5"/>
    <w:pPr>
      <w:spacing w:line="240" w:lineRule="auto"/>
    </w:pPr>
    <w:rPr>
      <w:rFonts w:ascii="Book Antiqua" w:hAnsi="Book Antiqua"/>
      <w:noProof/>
      <w:sz w:val="24"/>
    </w:rPr>
  </w:style>
  <w:style w:type="paragraph" w:styleId="BalloonText">
    <w:name w:val="Balloon Text"/>
    <w:basedOn w:val="Normal"/>
    <w:link w:val="BalloonTextChar"/>
    <w:uiPriority w:val="99"/>
    <w:semiHidden/>
    <w:rsid w:val="00117C00"/>
    <w:pPr>
      <w:spacing w:after="0" w:line="240" w:lineRule="auto"/>
    </w:pPr>
    <w:rPr>
      <w:rFonts w:ascii="Segoe UI" w:hAnsi="Segoe UI"/>
      <w:sz w:val="18"/>
      <w:szCs w:val="20"/>
    </w:rPr>
  </w:style>
  <w:style w:type="character" w:customStyle="1" w:styleId="BalloonTextChar">
    <w:name w:val="Balloon Text Char"/>
    <w:basedOn w:val="DefaultParagraphFont"/>
    <w:link w:val="BalloonText"/>
    <w:uiPriority w:val="99"/>
    <w:semiHidden/>
    <w:locked/>
    <w:rsid w:val="00117C00"/>
    <w:rPr>
      <w:rFonts w:ascii="Segoe UI" w:hAnsi="Segoe UI" w:cs="Times New Roman"/>
      <w:sz w:val="18"/>
    </w:rPr>
  </w:style>
  <w:style w:type="table" w:styleId="TableGrid">
    <w:name w:val="Table Grid"/>
    <w:basedOn w:val="TableNormal"/>
    <w:uiPriority w:val="99"/>
    <w:locked/>
    <w:rsid w:val="00FF0CDE"/>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A36C87"/>
    <w:pPr>
      <w:spacing w:line="276" w:lineRule="auto"/>
    </w:pPr>
    <w:rPr>
      <w:rFonts w:ascii="Arial" w:hAnsi="Arial" w:cs="Arial"/>
      <w:color w:val="000000"/>
      <w:szCs w:val="20"/>
    </w:rPr>
  </w:style>
  <w:style w:type="character" w:customStyle="1" w:styleId="il">
    <w:name w:val="il"/>
    <w:uiPriority w:val="99"/>
    <w:rsid w:val="00AE1073"/>
  </w:style>
  <w:style w:type="character" w:customStyle="1" w:styleId="apple-converted-space">
    <w:name w:val="apple-converted-space"/>
    <w:rsid w:val="00AE1073"/>
  </w:style>
  <w:style w:type="character" w:customStyle="1" w:styleId="fulltext-it">
    <w:name w:val="fulltext-it"/>
    <w:uiPriority w:val="99"/>
    <w:rsid w:val="00AE1073"/>
  </w:style>
  <w:style w:type="character" w:styleId="CommentReference">
    <w:name w:val="annotation reference"/>
    <w:basedOn w:val="DefaultParagraphFont"/>
    <w:uiPriority w:val="99"/>
    <w:semiHidden/>
    <w:rsid w:val="0042721F"/>
    <w:rPr>
      <w:rFonts w:cs="Times New Roman"/>
      <w:sz w:val="16"/>
    </w:rPr>
  </w:style>
  <w:style w:type="paragraph" w:styleId="CommentText">
    <w:name w:val="annotation text"/>
    <w:basedOn w:val="Normal"/>
    <w:link w:val="CommentTextChar"/>
    <w:uiPriority w:val="99"/>
    <w:semiHidden/>
    <w:rsid w:val="0042721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2721F"/>
    <w:rPr>
      <w:rFonts w:cs="Times New Roman"/>
      <w:sz w:val="20"/>
    </w:rPr>
  </w:style>
  <w:style w:type="paragraph" w:styleId="CommentSubject">
    <w:name w:val="annotation subject"/>
    <w:basedOn w:val="CommentText"/>
    <w:next w:val="CommentText"/>
    <w:link w:val="CommentSubjectChar"/>
    <w:uiPriority w:val="99"/>
    <w:semiHidden/>
    <w:rsid w:val="0042721F"/>
    <w:rPr>
      <w:b/>
    </w:rPr>
  </w:style>
  <w:style w:type="character" w:customStyle="1" w:styleId="CommentSubjectChar">
    <w:name w:val="Comment Subject Char"/>
    <w:basedOn w:val="CommentTextChar"/>
    <w:link w:val="CommentSubject"/>
    <w:uiPriority w:val="99"/>
    <w:semiHidden/>
    <w:locked/>
    <w:rsid w:val="0042721F"/>
    <w:rPr>
      <w:rFonts w:cs="Times New Roman"/>
      <w:b/>
      <w:sz w:val="20"/>
    </w:rPr>
  </w:style>
  <w:style w:type="character" w:styleId="PlaceholderText">
    <w:name w:val="Placeholder Text"/>
    <w:basedOn w:val="DefaultParagraphFont"/>
    <w:uiPriority w:val="99"/>
    <w:semiHidden/>
    <w:rsid w:val="009A57F9"/>
    <w:rPr>
      <w:rFonts w:cs="Times New Roman"/>
      <w:color w:val="808080"/>
    </w:rPr>
  </w:style>
  <w:style w:type="character" w:styleId="Emphasis">
    <w:name w:val="Emphasis"/>
    <w:basedOn w:val="DefaultParagraphFont"/>
    <w:uiPriority w:val="99"/>
    <w:qFormat/>
    <w:locked/>
    <w:rsid w:val="00F9126C"/>
    <w:rPr>
      <w:rFonts w:cs="Times New Roman"/>
      <w:i/>
    </w:rPr>
  </w:style>
  <w:style w:type="paragraph" w:styleId="Header">
    <w:name w:val="header"/>
    <w:basedOn w:val="Normal"/>
    <w:link w:val="HeaderChar"/>
    <w:uiPriority w:val="99"/>
    <w:rsid w:val="00D41CF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locked/>
    <w:rsid w:val="00D41CFF"/>
    <w:rPr>
      <w:rFonts w:cs="Times New Roman"/>
      <w:sz w:val="18"/>
    </w:rPr>
  </w:style>
  <w:style w:type="paragraph" w:styleId="Footer">
    <w:name w:val="footer"/>
    <w:basedOn w:val="Normal"/>
    <w:link w:val="FooterChar"/>
    <w:uiPriority w:val="99"/>
    <w:rsid w:val="00D41CF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locked/>
    <w:rsid w:val="00D41CFF"/>
    <w:rPr>
      <w:rFonts w:cs="Times New Roman"/>
      <w:sz w:val="18"/>
    </w:rPr>
  </w:style>
  <w:style w:type="character" w:styleId="PageNumber">
    <w:name w:val="page number"/>
    <w:basedOn w:val="DefaultParagraphFont"/>
    <w:uiPriority w:val="99"/>
    <w:semiHidden/>
    <w:rsid w:val="005449ED"/>
    <w:rPr>
      <w:rFonts w:cs="Times New Roman"/>
    </w:rPr>
  </w:style>
  <w:style w:type="table" w:customStyle="1" w:styleId="TableGrid1">
    <w:name w:val="Table Grid1"/>
    <w:uiPriority w:val="99"/>
    <w:rsid w:val="008A7E6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4062C"/>
  </w:style>
  <w:style w:type="paragraph" w:styleId="PlainText">
    <w:name w:val="Plain Text"/>
    <w:basedOn w:val="Normal"/>
    <w:link w:val="PlainTextChar"/>
    <w:rsid w:val="0095492E"/>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95492E"/>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952020">
      <w:bodyDiv w:val="1"/>
      <w:marLeft w:val="0"/>
      <w:marRight w:val="0"/>
      <w:marTop w:val="0"/>
      <w:marBottom w:val="0"/>
      <w:divBdr>
        <w:top w:val="none" w:sz="0" w:space="0" w:color="auto"/>
        <w:left w:val="none" w:sz="0" w:space="0" w:color="auto"/>
        <w:bottom w:val="none" w:sz="0" w:space="0" w:color="auto"/>
        <w:right w:val="none" w:sz="0" w:space="0" w:color="auto"/>
      </w:divBdr>
      <w:divsChild>
        <w:div w:id="2119525597">
          <w:marLeft w:val="0"/>
          <w:marRight w:val="0"/>
          <w:marTop w:val="0"/>
          <w:marBottom w:val="0"/>
          <w:divBdr>
            <w:top w:val="none" w:sz="0" w:space="0" w:color="auto"/>
            <w:left w:val="none" w:sz="0" w:space="0" w:color="auto"/>
            <w:bottom w:val="none" w:sz="0" w:space="0" w:color="auto"/>
            <w:right w:val="none" w:sz="0" w:space="0" w:color="auto"/>
          </w:divBdr>
        </w:div>
        <w:div w:id="611014795">
          <w:marLeft w:val="0"/>
          <w:marRight w:val="0"/>
          <w:marTop w:val="0"/>
          <w:marBottom w:val="0"/>
          <w:divBdr>
            <w:top w:val="none" w:sz="0" w:space="0" w:color="auto"/>
            <w:left w:val="none" w:sz="0" w:space="0" w:color="auto"/>
            <w:bottom w:val="none" w:sz="0" w:space="0" w:color="auto"/>
            <w:right w:val="none" w:sz="0" w:space="0" w:color="auto"/>
          </w:divBdr>
        </w:div>
        <w:div w:id="1730032578">
          <w:marLeft w:val="0"/>
          <w:marRight w:val="0"/>
          <w:marTop w:val="0"/>
          <w:marBottom w:val="0"/>
          <w:divBdr>
            <w:top w:val="none" w:sz="0" w:space="0" w:color="auto"/>
            <w:left w:val="none" w:sz="0" w:space="0" w:color="auto"/>
            <w:bottom w:val="none" w:sz="0" w:space="0" w:color="auto"/>
            <w:right w:val="none" w:sz="0" w:space="0" w:color="auto"/>
          </w:divBdr>
        </w:div>
        <w:div w:id="795224968">
          <w:marLeft w:val="0"/>
          <w:marRight w:val="0"/>
          <w:marTop w:val="0"/>
          <w:marBottom w:val="0"/>
          <w:divBdr>
            <w:top w:val="none" w:sz="0" w:space="0" w:color="auto"/>
            <w:left w:val="none" w:sz="0" w:space="0" w:color="auto"/>
            <w:bottom w:val="none" w:sz="0" w:space="0" w:color="auto"/>
            <w:right w:val="none" w:sz="0" w:space="0" w:color="auto"/>
          </w:divBdr>
        </w:div>
        <w:div w:id="290788032">
          <w:marLeft w:val="0"/>
          <w:marRight w:val="0"/>
          <w:marTop w:val="0"/>
          <w:marBottom w:val="0"/>
          <w:divBdr>
            <w:top w:val="none" w:sz="0" w:space="0" w:color="auto"/>
            <w:left w:val="none" w:sz="0" w:space="0" w:color="auto"/>
            <w:bottom w:val="none" w:sz="0" w:space="0" w:color="auto"/>
            <w:right w:val="none" w:sz="0" w:space="0" w:color="auto"/>
          </w:divBdr>
        </w:div>
        <w:div w:id="1644384479">
          <w:marLeft w:val="0"/>
          <w:marRight w:val="0"/>
          <w:marTop w:val="0"/>
          <w:marBottom w:val="0"/>
          <w:divBdr>
            <w:top w:val="none" w:sz="0" w:space="0" w:color="auto"/>
            <w:left w:val="none" w:sz="0" w:space="0" w:color="auto"/>
            <w:bottom w:val="none" w:sz="0" w:space="0" w:color="auto"/>
            <w:right w:val="none" w:sz="0" w:space="0" w:color="auto"/>
          </w:divBdr>
        </w:div>
        <w:div w:id="382875577">
          <w:marLeft w:val="0"/>
          <w:marRight w:val="0"/>
          <w:marTop w:val="0"/>
          <w:marBottom w:val="0"/>
          <w:divBdr>
            <w:top w:val="none" w:sz="0" w:space="0" w:color="auto"/>
            <w:left w:val="none" w:sz="0" w:space="0" w:color="auto"/>
            <w:bottom w:val="none" w:sz="0" w:space="0" w:color="auto"/>
            <w:right w:val="none" w:sz="0" w:space="0" w:color="auto"/>
          </w:divBdr>
        </w:div>
        <w:div w:id="1035542441">
          <w:marLeft w:val="0"/>
          <w:marRight w:val="0"/>
          <w:marTop w:val="0"/>
          <w:marBottom w:val="0"/>
          <w:divBdr>
            <w:top w:val="none" w:sz="0" w:space="0" w:color="auto"/>
            <w:left w:val="none" w:sz="0" w:space="0" w:color="auto"/>
            <w:bottom w:val="none" w:sz="0" w:space="0" w:color="auto"/>
            <w:right w:val="none" w:sz="0" w:space="0" w:color="auto"/>
          </w:divBdr>
        </w:div>
        <w:div w:id="384259901">
          <w:marLeft w:val="0"/>
          <w:marRight w:val="0"/>
          <w:marTop w:val="0"/>
          <w:marBottom w:val="0"/>
          <w:divBdr>
            <w:top w:val="none" w:sz="0" w:space="0" w:color="auto"/>
            <w:left w:val="none" w:sz="0" w:space="0" w:color="auto"/>
            <w:bottom w:val="none" w:sz="0" w:space="0" w:color="auto"/>
            <w:right w:val="none" w:sz="0" w:space="0" w:color="auto"/>
          </w:divBdr>
        </w:div>
        <w:div w:id="1705981570">
          <w:marLeft w:val="0"/>
          <w:marRight w:val="0"/>
          <w:marTop w:val="0"/>
          <w:marBottom w:val="0"/>
          <w:divBdr>
            <w:top w:val="none" w:sz="0" w:space="0" w:color="auto"/>
            <w:left w:val="none" w:sz="0" w:space="0" w:color="auto"/>
            <w:bottom w:val="none" w:sz="0" w:space="0" w:color="auto"/>
            <w:right w:val="none" w:sz="0" w:space="0" w:color="auto"/>
          </w:divBdr>
        </w:div>
        <w:div w:id="822549518">
          <w:marLeft w:val="0"/>
          <w:marRight w:val="0"/>
          <w:marTop w:val="0"/>
          <w:marBottom w:val="0"/>
          <w:divBdr>
            <w:top w:val="none" w:sz="0" w:space="0" w:color="auto"/>
            <w:left w:val="none" w:sz="0" w:space="0" w:color="auto"/>
            <w:bottom w:val="none" w:sz="0" w:space="0" w:color="auto"/>
            <w:right w:val="none" w:sz="0" w:space="0" w:color="auto"/>
          </w:divBdr>
        </w:div>
        <w:div w:id="1204633161">
          <w:marLeft w:val="0"/>
          <w:marRight w:val="0"/>
          <w:marTop w:val="0"/>
          <w:marBottom w:val="0"/>
          <w:divBdr>
            <w:top w:val="none" w:sz="0" w:space="0" w:color="auto"/>
            <w:left w:val="none" w:sz="0" w:space="0" w:color="auto"/>
            <w:bottom w:val="none" w:sz="0" w:space="0" w:color="auto"/>
            <w:right w:val="none" w:sz="0" w:space="0" w:color="auto"/>
          </w:divBdr>
        </w:div>
        <w:div w:id="542328885">
          <w:marLeft w:val="0"/>
          <w:marRight w:val="0"/>
          <w:marTop w:val="0"/>
          <w:marBottom w:val="0"/>
          <w:divBdr>
            <w:top w:val="none" w:sz="0" w:space="0" w:color="auto"/>
            <w:left w:val="none" w:sz="0" w:space="0" w:color="auto"/>
            <w:bottom w:val="none" w:sz="0" w:space="0" w:color="auto"/>
            <w:right w:val="none" w:sz="0" w:space="0" w:color="auto"/>
          </w:divBdr>
        </w:div>
        <w:div w:id="1021399569">
          <w:marLeft w:val="0"/>
          <w:marRight w:val="0"/>
          <w:marTop w:val="0"/>
          <w:marBottom w:val="0"/>
          <w:divBdr>
            <w:top w:val="none" w:sz="0" w:space="0" w:color="auto"/>
            <w:left w:val="none" w:sz="0" w:space="0" w:color="auto"/>
            <w:bottom w:val="none" w:sz="0" w:space="0" w:color="auto"/>
            <w:right w:val="none" w:sz="0" w:space="0" w:color="auto"/>
          </w:divBdr>
        </w:div>
        <w:div w:id="71398064">
          <w:marLeft w:val="0"/>
          <w:marRight w:val="0"/>
          <w:marTop w:val="0"/>
          <w:marBottom w:val="0"/>
          <w:divBdr>
            <w:top w:val="none" w:sz="0" w:space="0" w:color="auto"/>
            <w:left w:val="none" w:sz="0" w:space="0" w:color="auto"/>
            <w:bottom w:val="none" w:sz="0" w:space="0" w:color="auto"/>
            <w:right w:val="none" w:sz="0" w:space="0" w:color="auto"/>
          </w:divBdr>
        </w:div>
        <w:div w:id="1745033672">
          <w:marLeft w:val="0"/>
          <w:marRight w:val="0"/>
          <w:marTop w:val="0"/>
          <w:marBottom w:val="0"/>
          <w:divBdr>
            <w:top w:val="none" w:sz="0" w:space="0" w:color="auto"/>
            <w:left w:val="none" w:sz="0" w:space="0" w:color="auto"/>
            <w:bottom w:val="none" w:sz="0" w:space="0" w:color="auto"/>
            <w:right w:val="none" w:sz="0" w:space="0" w:color="auto"/>
          </w:divBdr>
        </w:div>
        <w:div w:id="618268757">
          <w:marLeft w:val="0"/>
          <w:marRight w:val="0"/>
          <w:marTop w:val="0"/>
          <w:marBottom w:val="0"/>
          <w:divBdr>
            <w:top w:val="none" w:sz="0" w:space="0" w:color="auto"/>
            <w:left w:val="none" w:sz="0" w:space="0" w:color="auto"/>
            <w:bottom w:val="none" w:sz="0" w:space="0" w:color="auto"/>
            <w:right w:val="none" w:sz="0" w:space="0" w:color="auto"/>
          </w:divBdr>
        </w:div>
        <w:div w:id="732657213">
          <w:marLeft w:val="0"/>
          <w:marRight w:val="0"/>
          <w:marTop w:val="0"/>
          <w:marBottom w:val="0"/>
          <w:divBdr>
            <w:top w:val="none" w:sz="0" w:space="0" w:color="auto"/>
            <w:left w:val="none" w:sz="0" w:space="0" w:color="auto"/>
            <w:bottom w:val="none" w:sz="0" w:space="0" w:color="auto"/>
            <w:right w:val="none" w:sz="0" w:space="0" w:color="auto"/>
          </w:divBdr>
        </w:div>
        <w:div w:id="627013461">
          <w:marLeft w:val="0"/>
          <w:marRight w:val="0"/>
          <w:marTop w:val="0"/>
          <w:marBottom w:val="0"/>
          <w:divBdr>
            <w:top w:val="none" w:sz="0" w:space="0" w:color="auto"/>
            <w:left w:val="none" w:sz="0" w:space="0" w:color="auto"/>
            <w:bottom w:val="none" w:sz="0" w:space="0" w:color="auto"/>
            <w:right w:val="none" w:sz="0" w:space="0" w:color="auto"/>
          </w:divBdr>
        </w:div>
        <w:div w:id="819154232">
          <w:marLeft w:val="0"/>
          <w:marRight w:val="0"/>
          <w:marTop w:val="0"/>
          <w:marBottom w:val="0"/>
          <w:divBdr>
            <w:top w:val="none" w:sz="0" w:space="0" w:color="auto"/>
            <w:left w:val="none" w:sz="0" w:space="0" w:color="auto"/>
            <w:bottom w:val="none" w:sz="0" w:space="0" w:color="auto"/>
            <w:right w:val="none" w:sz="0" w:space="0" w:color="auto"/>
          </w:divBdr>
        </w:div>
        <w:div w:id="257102982">
          <w:marLeft w:val="0"/>
          <w:marRight w:val="0"/>
          <w:marTop w:val="0"/>
          <w:marBottom w:val="0"/>
          <w:divBdr>
            <w:top w:val="none" w:sz="0" w:space="0" w:color="auto"/>
            <w:left w:val="none" w:sz="0" w:space="0" w:color="auto"/>
            <w:bottom w:val="none" w:sz="0" w:space="0" w:color="auto"/>
            <w:right w:val="none" w:sz="0" w:space="0" w:color="auto"/>
          </w:divBdr>
        </w:div>
        <w:div w:id="1549797792">
          <w:marLeft w:val="0"/>
          <w:marRight w:val="0"/>
          <w:marTop w:val="0"/>
          <w:marBottom w:val="0"/>
          <w:divBdr>
            <w:top w:val="none" w:sz="0" w:space="0" w:color="auto"/>
            <w:left w:val="none" w:sz="0" w:space="0" w:color="auto"/>
            <w:bottom w:val="none" w:sz="0" w:space="0" w:color="auto"/>
            <w:right w:val="none" w:sz="0" w:space="0" w:color="auto"/>
          </w:divBdr>
        </w:div>
        <w:div w:id="1537084181">
          <w:marLeft w:val="0"/>
          <w:marRight w:val="0"/>
          <w:marTop w:val="0"/>
          <w:marBottom w:val="0"/>
          <w:divBdr>
            <w:top w:val="none" w:sz="0" w:space="0" w:color="auto"/>
            <w:left w:val="none" w:sz="0" w:space="0" w:color="auto"/>
            <w:bottom w:val="none" w:sz="0" w:space="0" w:color="auto"/>
            <w:right w:val="none" w:sz="0" w:space="0" w:color="auto"/>
          </w:divBdr>
        </w:div>
        <w:div w:id="600260030">
          <w:marLeft w:val="0"/>
          <w:marRight w:val="0"/>
          <w:marTop w:val="0"/>
          <w:marBottom w:val="0"/>
          <w:divBdr>
            <w:top w:val="none" w:sz="0" w:space="0" w:color="auto"/>
            <w:left w:val="none" w:sz="0" w:space="0" w:color="auto"/>
            <w:bottom w:val="none" w:sz="0" w:space="0" w:color="auto"/>
            <w:right w:val="none" w:sz="0" w:space="0" w:color="auto"/>
          </w:divBdr>
        </w:div>
        <w:div w:id="947201953">
          <w:marLeft w:val="0"/>
          <w:marRight w:val="0"/>
          <w:marTop w:val="0"/>
          <w:marBottom w:val="0"/>
          <w:divBdr>
            <w:top w:val="none" w:sz="0" w:space="0" w:color="auto"/>
            <w:left w:val="none" w:sz="0" w:space="0" w:color="auto"/>
            <w:bottom w:val="none" w:sz="0" w:space="0" w:color="auto"/>
            <w:right w:val="none" w:sz="0" w:space="0" w:color="auto"/>
          </w:divBdr>
        </w:div>
        <w:div w:id="1804810820">
          <w:marLeft w:val="0"/>
          <w:marRight w:val="0"/>
          <w:marTop w:val="0"/>
          <w:marBottom w:val="0"/>
          <w:divBdr>
            <w:top w:val="none" w:sz="0" w:space="0" w:color="auto"/>
            <w:left w:val="none" w:sz="0" w:space="0" w:color="auto"/>
            <w:bottom w:val="none" w:sz="0" w:space="0" w:color="auto"/>
            <w:right w:val="none" w:sz="0" w:space="0" w:color="auto"/>
          </w:divBdr>
        </w:div>
        <w:div w:id="1813478628">
          <w:marLeft w:val="0"/>
          <w:marRight w:val="0"/>
          <w:marTop w:val="0"/>
          <w:marBottom w:val="0"/>
          <w:divBdr>
            <w:top w:val="none" w:sz="0" w:space="0" w:color="auto"/>
            <w:left w:val="none" w:sz="0" w:space="0" w:color="auto"/>
            <w:bottom w:val="none" w:sz="0" w:space="0" w:color="auto"/>
            <w:right w:val="none" w:sz="0" w:space="0" w:color="auto"/>
          </w:divBdr>
        </w:div>
        <w:div w:id="1787889668">
          <w:marLeft w:val="0"/>
          <w:marRight w:val="0"/>
          <w:marTop w:val="0"/>
          <w:marBottom w:val="0"/>
          <w:divBdr>
            <w:top w:val="none" w:sz="0" w:space="0" w:color="auto"/>
            <w:left w:val="none" w:sz="0" w:space="0" w:color="auto"/>
            <w:bottom w:val="none" w:sz="0" w:space="0" w:color="auto"/>
            <w:right w:val="none" w:sz="0" w:space="0" w:color="auto"/>
          </w:divBdr>
        </w:div>
        <w:div w:id="253127624">
          <w:marLeft w:val="0"/>
          <w:marRight w:val="0"/>
          <w:marTop w:val="0"/>
          <w:marBottom w:val="0"/>
          <w:divBdr>
            <w:top w:val="none" w:sz="0" w:space="0" w:color="auto"/>
            <w:left w:val="none" w:sz="0" w:space="0" w:color="auto"/>
            <w:bottom w:val="none" w:sz="0" w:space="0" w:color="auto"/>
            <w:right w:val="none" w:sz="0" w:space="0" w:color="auto"/>
          </w:divBdr>
        </w:div>
        <w:div w:id="2074810567">
          <w:marLeft w:val="0"/>
          <w:marRight w:val="0"/>
          <w:marTop w:val="0"/>
          <w:marBottom w:val="0"/>
          <w:divBdr>
            <w:top w:val="none" w:sz="0" w:space="0" w:color="auto"/>
            <w:left w:val="none" w:sz="0" w:space="0" w:color="auto"/>
            <w:bottom w:val="none" w:sz="0" w:space="0" w:color="auto"/>
            <w:right w:val="none" w:sz="0" w:space="0" w:color="auto"/>
          </w:divBdr>
        </w:div>
        <w:div w:id="277638536">
          <w:marLeft w:val="0"/>
          <w:marRight w:val="0"/>
          <w:marTop w:val="0"/>
          <w:marBottom w:val="0"/>
          <w:divBdr>
            <w:top w:val="none" w:sz="0" w:space="0" w:color="auto"/>
            <w:left w:val="none" w:sz="0" w:space="0" w:color="auto"/>
            <w:bottom w:val="none" w:sz="0" w:space="0" w:color="auto"/>
            <w:right w:val="none" w:sz="0" w:space="0" w:color="auto"/>
          </w:divBdr>
        </w:div>
        <w:div w:id="661783110">
          <w:marLeft w:val="0"/>
          <w:marRight w:val="0"/>
          <w:marTop w:val="0"/>
          <w:marBottom w:val="0"/>
          <w:divBdr>
            <w:top w:val="none" w:sz="0" w:space="0" w:color="auto"/>
            <w:left w:val="none" w:sz="0" w:space="0" w:color="auto"/>
            <w:bottom w:val="none" w:sz="0" w:space="0" w:color="auto"/>
            <w:right w:val="none" w:sz="0" w:space="0" w:color="auto"/>
          </w:divBdr>
        </w:div>
        <w:div w:id="1003243294">
          <w:marLeft w:val="0"/>
          <w:marRight w:val="0"/>
          <w:marTop w:val="0"/>
          <w:marBottom w:val="0"/>
          <w:divBdr>
            <w:top w:val="none" w:sz="0" w:space="0" w:color="auto"/>
            <w:left w:val="none" w:sz="0" w:space="0" w:color="auto"/>
            <w:bottom w:val="none" w:sz="0" w:space="0" w:color="auto"/>
            <w:right w:val="none" w:sz="0" w:space="0" w:color="auto"/>
          </w:divBdr>
        </w:div>
        <w:div w:id="1957442693">
          <w:marLeft w:val="0"/>
          <w:marRight w:val="0"/>
          <w:marTop w:val="0"/>
          <w:marBottom w:val="0"/>
          <w:divBdr>
            <w:top w:val="none" w:sz="0" w:space="0" w:color="auto"/>
            <w:left w:val="none" w:sz="0" w:space="0" w:color="auto"/>
            <w:bottom w:val="none" w:sz="0" w:space="0" w:color="auto"/>
            <w:right w:val="none" w:sz="0" w:space="0" w:color="auto"/>
          </w:divBdr>
        </w:div>
        <w:div w:id="1588920934">
          <w:marLeft w:val="0"/>
          <w:marRight w:val="0"/>
          <w:marTop w:val="0"/>
          <w:marBottom w:val="0"/>
          <w:divBdr>
            <w:top w:val="none" w:sz="0" w:space="0" w:color="auto"/>
            <w:left w:val="none" w:sz="0" w:space="0" w:color="auto"/>
            <w:bottom w:val="none" w:sz="0" w:space="0" w:color="auto"/>
            <w:right w:val="none" w:sz="0" w:space="0" w:color="auto"/>
          </w:divBdr>
        </w:div>
        <w:div w:id="351810285">
          <w:marLeft w:val="0"/>
          <w:marRight w:val="0"/>
          <w:marTop w:val="0"/>
          <w:marBottom w:val="0"/>
          <w:divBdr>
            <w:top w:val="none" w:sz="0" w:space="0" w:color="auto"/>
            <w:left w:val="none" w:sz="0" w:space="0" w:color="auto"/>
            <w:bottom w:val="none" w:sz="0" w:space="0" w:color="auto"/>
            <w:right w:val="none" w:sz="0" w:space="0" w:color="auto"/>
          </w:divBdr>
        </w:div>
        <w:div w:id="960914029">
          <w:marLeft w:val="0"/>
          <w:marRight w:val="0"/>
          <w:marTop w:val="0"/>
          <w:marBottom w:val="0"/>
          <w:divBdr>
            <w:top w:val="none" w:sz="0" w:space="0" w:color="auto"/>
            <w:left w:val="none" w:sz="0" w:space="0" w:color="auto"/>
            <w:bottom w:val="none" w:sz="0" w:space="0" w:color="auto"/>
            <w:right w:val="none" w:sz="0" w:space="0" w:color="auto"/>
          </w:divBdr>
        </w:div>
        <w:div w:id="333383276">
          <w:marLeft w:val="0"/>
          <w:marRight w:val="0"/>
          <w:marTop w:val="0"/>
          <w:marBottom w:val="0"/>
          <w:divBdr>
            <w:top w:val="none" w:sz="0" w:space="0" w:color="auto"/>
            <w:left w:val="none" w:sz="0" w:space="0" w:color="auto"/>
            <w:bottom w:val="none" w:sz="0" w:space="0" w:color="auto"/>
            <w:right w:val="none" w:sz="0" w:space="0" w:color="auto"/>
          </w:divBdr>
        </w:div>
        <w:div w:id="1549495198">
          <w:marLeft w:val="0"/>
          <w:marRight w:val="0"/>
          <w:marTop w:val="0"/>
          <w:marBottom w:val="0"/>
          <w:divBdr>
            <w:top w:val="none" w:sz="0" w:space="0" w:color="auto"/>
            <w:left w:val="none" w:sz="0" w:space="0" w:color="auto"/>
            <w:bottom w:val="none" w:sz="0" w:space="0" w:color="auto"/>
            <w:right w:val="none" w:sz="0" w:space="0" w:color="auto"/>
          </w:divBdr>
        </w:div>
        <w:div w:id="762921507">
          <w:marLeft w:val="0"/>
          <w:marRight w:val="0"/>
          <w:marTop w:val="0"/>
          <w:marBottom w:val="0"/>
          <w:divBdr>
            <w:top w:val="none" w:sz="0" w:space="0" w:color="auto"/>
            <w:left w:val="none" w:sz="0" w:space="0" w:color="auto"/>
            <w:bottom w:val="none" w:sz="0" w:space="0" w:color="auto"/>
            <w:right w:val="none" w:sz="0" w:space="0" w:color="auto"/>
          </w:divBdr>
        </w:div>
        <w:div w:id="1094940462">
          <w:marLeft w:val="0"/>
          <w:marRight w:val="0"/>
          <w:marTop w:val="0"/>
          <w:marBottom w:val="0"/>
          <w:divBdr>
            <w:top w:val="none" w:sz="0" w:space="0" w:color="auto"/>
            <w:left w:val="none" w:sz="0" w:space="0" w:color="auto"/>
            <w:bottom w:val="none" w:sz="0" w:space="0" w:color="auto"/>
            <w:right w:val="none" w:sz="0" w:space="0" w:color="auto"/>
          </w:divBdr>
        </w:div>
        <w:div w:id="1244950754">
          <w:marLeft w:val="0"/>
          <w:marRight w:val="0"/>
          <w:marTop w:val="0"/>
          <w:marBottom w:val="0"/>
          <w:divBdr>
            <w:top w:val="none" w:sz="0" w:space="0" w:color="auto"/>
            <w:left w:val="none" w:sz="0" w:space="0" w:color="auto"/>
            <w:bottom w:val="none" w:sz="0" w:space="0" w:color="auto"/>
            <w:right w:val="none" w:sz="0" w:space="0" w:color="auto"/>
          </w:divBdr>
        </w:div>
        <w:div w:id="1196428613">
          <w:marLeft w:val="0"/>
          <w:marRight w:val="0"/>
          <w:marTop w:val="0"/>
          <w:marBottom w:val="0"/>
          <w:divBdr>
            <w:top w:val="none" w:sz="0" w:space="0" w:color="auto"/>
            <w:left w:val="none" w:sz="0" w:space="0" w:color="auto"/>
            <w:bottom w:val="none" w:sz="0" w:space="0" w:color="auto"/>
            <w:right w:val="none" w:sz="0" w:space="0" w:color="auto"/>
          </w:divBdr>
        </w:div>
        <w:div w:id="679234766">
          <w:marLeft w:val="0"/>
          <w:marRight w:val="0"/>
          <w:marTop w:val="0"/>
          <w:marBottom w:val="0"/>
          <w:divBdr>
            <w:top w:val="none" w:sz="0" w:space="0" w:color="auto"/>
            <w:left w:val="none" w:sz="0" w:space="0" w:color="auto"/>
            <w:bottom w:val="none" w:sz="0" w:space="0" w:color="auto"/>
            <w:right w:val="none" w:sz="0" w:space="0" w:color="auto"/>
          </w:divBdr>
        </w:div>
        <w:div w:id="609823296">
          <w:marLeft w:val="0"/>
          <w:marRight w:val="0"/>
          <w:marTop w:val="0"/>
          <w:marBottom w:val="0"/>
          <w:divBdr>
            <w:top w:val="none" w:sz="0" w:space="0" w:color="auto"/>
            <w:left w:val="none" w:sz="0" w:space="0" w:color="auto"/>
            <w:bottom w:val="none" w:sz="0" w:space="0" w:color="auto"/>
            <w:right w:val="none" w:sz="0" w:space="0" w:color="auto"/>
          </w:divBdr>
        </w:div>
        <w:div w:id="1593733886">
          <w:marLeft w:val="0"/>
          <w:marRight w:val="0"/>
          <w:marTop w:val="0"/>
          <w:marBottom w:val="0"/>
          <w:divBdr>
            <w:top w:val="none" w:sz="0" w:space="0" w:color="auto"/>
            <w:left w:val="none" w:sz="0" w:space="0" w:color="auto"/>
            <w:bottom w:val="none" w:sz="0" w:space="0" w:color="auto"/>
            <w:right w:val="none" w:sz="0" w:space="0" w:color="auto"/>
          </w:divBdr>
        </w:div>
        <w:div w:id="536356372">
          <w:marLeft w:val="0"/>
          <w:marRight w:val="0"/>
          <w:marTop w:val="0"/>
          <w:marBottom w:val="0"/>
          <w:divBdr>
            <w:top w:val="none" w:sz="0" w:space="0" w:color="auto"/>
            <w:left w:val="none" w:sz="0" w:space="0" w:color="auto"/>
            <w:bottom w:val="none" w:sz="0" w:space="0" w:color="auto"/>
            <w:right w:val="none" w:sz="0" w:space="0" w:color="auto"/>
          </w:divBdr>
        </w:div>
        <w:div w:id="1463034062">
          <w:marLeft w:val="0"/>
          <w:marRight w:val="0"/>
          <w:marTop w:val="0"/>
          <w:marBottom w:val="0"/>
          <w:divBdr>
            <w:top w:val="none" w:sz="0" w:space="0" w:color="auto"/>
            <w:left w:val="none" w:sz="0" w:space="0" w:color="auto"/>
            <w:bottom w:val="none" w:sz="0" w:space="0" w:color="auto"/>
            <w:right w:val="none" w:sz="0" w:space="0" w:color="auto"/>
          </w:divBdr>
        </w:div>
        <w:div w:id="524251784">
          <w:marLeft w:val="0"/>
          <w:marRight w:val="0"/>
          <w:marTop w:val="0"/>
          <w:marBottom w:val="0"/>
          <w:divBdr>
            <w:top w:val="none" w:sz="0" w:space="0" w:color="auto"/>
            <w:left w:val="none" w:sz="0" w:space="0" w:color="auto"/>
            <w:bottom w:val="none" w:sz="0" w:space="0" w:color="auto"/>
            <w:right w:val="none" w:sz="0" w:space="0" w:color="auto"/>
          </w:divBdr>
        </w:div>
        <w:div w:id="1764495482">
          <w:marLeft w:val="0"/>
          <w:marRight w:val="0"/>
          <w:marTop w:val="0"/>
          <w:marBottom w:val="0"/>
          <w:divBdr>
            <w:top w:val="none" w:sz="0" w:space="0" w:color="auto"/>
            <w:left w:val="none" w:sz="0" w:space="0" w:color="auto"/>
            <w:bottom w:val="none" w:sz="0" w:space="0" w:color="auto"/>
            <w:right w:val="none" w:sz="0" w:space="0" w:color="auto"/>
          </w:divBdr>
        </w:div>
        <w:div w:id="464008385">
          <w:marLeft w:val="0"/>
          <w:marRight w:val="0"/>
          <w:marTop w:val="0"/>
          <w:marBottom w:val="0"/>
          <w:divBdr>
            <w:top w:val="none" w:sz="0" w:space="0" w:color="auto"/>
            <w:left w:val="none" w:sz="0" w:space="0" w:color="auto"/>
            <w:bottom w:val="none" w:sz="0" w:space="0" w:color="auto"/>
            <w:right w:val="none" w:sz="0" w:space="0" w:color="auto"/>
          </w:divBdr>
        </w:div>
      </w:divsChild>
    </w:div>
    <w:div w:id="1477718164">
      <w:marLeft w:val="0"/>
      <w:marRight w:val="0"/>
      <w:marTop w:val="0"/>
      <w:marBottom w:val="0"/>
      <w:divBdr>
        <w:top w:val="none" w:sz="0" w:space="0" w:color="auto"/>
        <w:left w:val="none" w:sz="0" w:space="0" w:color="auto"/>
        <w:bottom w:val="none" w:sz="0" w:space="0" w:color="auto"/>
        <w:right w:val="none" w:sz="0" w:space="0" w:color="auto"/>
      </w:divBdr>
    </w:div>
    <w:div w:id="1477718165">
      <w:marLeft w:val="0"/>
      <w:marRight w:val="0"/>
      <w:marTop w:val="0"/>
      <w:marBottom w:val="0"/>
      <w:divBdr>
        <w:top w:val="none" w:sz="0" w:space="0" w:color="auto"/>
        <w:left w:val="none" w:sz="0" w:space="0" w:color="auto"/>
        <w:bottom w:val="none" w:sz="0" w:space="0" w:color="auto"/>
        <w:right w:val="none" w:sz="0" w:space="0" w:color="auto"/>
      </w:divBdr>
      <w:divsChild>
        <w:div w:id="1477718166">
          <w:marLeft w:val="0"/>
          <w:marRight w:val="0"/>
          <w:marTop w:val="0"/>
          <w:marBottom w:val="0"/>
          <w:divBdr>
            <w:top w:val="none" w:sz="0" w:space="0" w:color="auto"/>
            <w:left w:val="none" w:sz="0" w:space="0" w:color="auto"/>
            <w:bottom w:val="none" w:sz="0" w:space="0" w:color="auto"/>
            <w:right w:val="none" w:sz="0" w:space="0" w:color="auto"/>
          </w:divBdr>
        </w:div>
      </w:divsChild>
    </w:div>
    <w:div w:id="1477718167">
      <w:marLeft w:val="0"/>
      <w:marRight w:val="0"/>
      <w:marTop w:val="0"/>
      <w:marBottom w:val="0"/>
      <w:divBdr>
        <w:top w:val="none" w:sz="0" w:space="0" w:color="auto"/>
        <w:left w:val="none" w:sz="0" w:space="0" w:color="auto"/>
        <w:bottom w:val="none" w:sz="0" w:space="0" w:color="auto"/>
        <w:right w:val="none" w:sz="0" w:space="0" w:color="auto"/>
      </w:divBdr>
    </w:div>
    <w:div w:id="1477718168">
      <w:marLeft w:val="0"/>
      <w:marRight w:val="0"/>
      <w:marTop w:val="0"/>
      <w:marBottom w:val="0"/>
      <w:divBdr>
        <w:top w:val="none" w:sz="0" w:space="0" w:color="auto"/>
        <w:left w:val="none" w:sz="0" w:space="0" w:color="auto"/>
        <w:bottom w:val="none" w:sz="0" w:space="0" w:color="auto"/>
        <w:right w:val="none" w:sz="0" w:space="0" w:color="auto"/>
      </w:divBdr>
    </w:div>
    <w:div w:id="1477718169">
      <w:marLeft w:val="0"/>
      <w:marRight w:val="0"/>
      <w:marTop w:val="0"/>
      <w:marBottom w:val="0"/>
      <w:divBdr>
        <w:top w:val="none" w:sz="0" w:space="0" w:color="auto"/>
        <w:left w:val="none" w:sz="0" w:space="0" w:color="auto"/>
        <w:bottom w:val="none" w:sz="0" w:space="0" w:color="auto"/>
        <w:right w:val="none" w:sz="0" w:space="0" w:color="auto"/>
      </w:divBdr>
    </w:div>
    <w:div w:id="1477718170">
      <w:marLeft w:val="0"/>
      <w:marRight w:val="0"/>
      <w:marTop w:val="0"/>
      <w:marBottom w:val="0"/>
      <w:divBdr>
        <w:top w:val="none" w:sz="0" w:space="0" w:color="auto"/>
        <w:left w:val="none" w:sz="0" w:space="0" w:color="auto"/>
        <w:bottom w:val="none" w:sz="0" w:space="0" w:color="auto"/>
        <w:right w:val="none" w:sz="0" w:space="0" w:color="auto"/>
      </w:divBdr>
    </w:div>
    <w:div w:id="1477718171">
      <w:marLeft w:val="0"/>
      <w:marRight w:val="0"/>
      <w:marTop w:val="0"/>
      <w:marBottom w:val="0"/>
      <w:divBdr>
        <w:top w:val="none" w:sz="0" w:space="0" w:color="auto"/>
        <w:left w:val="none" w:sz="0" w:space="0" w:color="auto"/>
        <w:bottom w:val="none" w:sz="0" w:space="0" w:color="auto"/>
        <w:right w:val="none" w:sz="0" w:space="0" w:color="auto"/>
      </w:divBdr>
      <w:divsChild>
        <w:div w:id="1477718177">
          <w:marLeft w:val="0"/>
          <w:marRight w:val="0"/>
          <w:marTop w:val="0"/>
          <w:marBottom w:val="0"/>
          <w:divBdr>
            <w:top w:val="none" w:sz="0" w:space="0" w:color="auto"/>
            <w:left w:val="none" w:sz="0" w:space="0" w:color="auto"/>
            <w:bottom w:val="none" w:sz="0" w:space="0" w:color="auto"/>
            <w:right w:val="none" w:sz="0" w:space="0" w:color="auto"/>
          </w:divBdr>
          <w:divsChild>
            <w:div w:id="147771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18172">
      <w:marLeft w:val="0"/>
      <w:marRight w:val="0"/>
      <w:marTop w:val="0"/>
      <w:marBottom w:val="0"/>
      <w:divBdr>
        <w:top w:val="none" w:sz="0" w:space="0" w:color="auto"/>
        <w:left w:val="none" w:sz="0" w:space="0" w:color="auto"/>
        <w:bottom w:val="none" w:sz="0" w:space="0" w:color="auto"/>
        <w:right w:val="none" w:sz="0" w:space="0" w:color="auto"/>
      </w:divBdr>
    </w:div>
    <w:div w:id="1477718173">
      <w:marLeft w:val="0"/>
      <w:marRight w:val="0"/>
      <w:marTop w:val="0"/>
      <w:marBottom w:val="0"/>
      <w:divBdr>
        <w:top w:val="none" w:sz="0" w:space="0" w:color="auto"/>
        <w:left w:val="none" w:sz="0" w:space="0" w:color="auto"/>
        <w:bottom w:val="none" w:sz="0" w:space="0" w:color="auto"/>
        <w:right w:val="none" w:sz="0" w:space="0" w:color="auto"/>
      </w:divBdr>
    </w:div>
    <w:div w:id="1477718174">
      <w:marLeft w:val="0"/>
      <w:marRight w:val="0"/>
      <w:marTop w:val="0"/>
      <w:marBottom w:val="0"/>
      <w:divBdr>
        <w:top w:val="none" w:sz="0" w:space="0" w:color="auto"/>
        <w:left w:val="none" w:sz="0" w:space="0" w:color="auto"/>
        <w:bottom w:val="none" w:sz="0" w:space="0" w:color="auto"/>
        <w:right w:val="none" w:sz="0" w:space="0" w:color="auto"/>
      </w:divBdr>
    </w:div>
    <w:div w:id="1477718175">
      <w:marLeft w:val="0"/>
      <w:marRight w:val="0"/>
      <w:marTop w:val="0"/>
      <w:marBottom w:val="0"/>
      <w:divBdr>
        <w:top w:val="none" w:sz="0" w:space="0" w:color="auto"/>
        <w:left w:val="none" w:sz="0" w:space="0" w:color="auto"/>
        <w:bottom w:val="none" w:sz="0" w:space="0" w:color="auto"/>
        <w:right w:val="none" w:sz="0" w:space="0" w:color="auto"/>
      </w:divBdr>
    </w:div>
    <w:div w:id="1477718178">
      <w:marLeft w:val="0"/>
      <w:marRight w:val="0"/>
      <w:marTop w:val="0"/>
      <w:marBottom w:val="0"/>
      <w:divBdr>
        <w:top w:val="none" w:sz="0" w:space="0" w:color="auto"/>
        <w:left w:val="none" w:sz="0" w:space="0" w:color="auto"/>
        <w:bottom w:val="none" w:sz="0" w:space="0" w:color="auto"/>
        <w:right w:val="none" w:sz="0" w:space="0" w:color="auto"/>
      </w:divBdr>
    </w:div>
    <w:div w:id="1477718179">
      <w:marLeft w:val="0"/>
      <w:marRight w:val="0"/>
      <w:marTop w:val="0"/>
      <w:marBottom w:val="0"/>
      <w:divBdr>
        <w:top w:val="none" w:sz="0" w:space="0" w:color="auto"/>
        <w:left w:val="none" w:sz="0" w:space="0" w:color="auto"/>
        <w:bottom w:val="none" w:sz="0" w:space="0" w:color="auto"/>
        <w:right w:val="none" w:sz="0" w:space="0" w:color="auto"/>
      </w:divBdr>
    </w:div>
    <w:div w:id="1477718180">
      <w:marLeft w:val="0"/>
      <w:marRight w:val="0"/>
      <w:marTop w:val="0"/>
      <w:marBottom w:val="0"/>
      <w:divBdr>
        <w:top w:val="none" w:sz="0" w:space="0" w:color="auto"/>
        <w:left w:val="none" w:sz="0" w:space="0" w:color="auto"/>
        <w:bottom w:val="none" w:sz="0" w:space="0" w:color="auto"/>
        <w:right w:val="none" w:sz="0" w:space="0" w:color="auto"/>
      </w:divBdr>
      <w:divsChild>
        <w:div w:id="1477718181">
          <w:marLeft w:val="0"/>
          <w:marRight w:val="0"/>
          <w:marTop w:val="0"/>
          <w:marBottom w:val="0"/>
          <w:divBdr>
            <w:top w:val="none" w:sz="0" w:space="0" w:color="auto"/>
            <w:left w:val="none" w:sz="0" w:space="0" w:color="auto"/>
            <w:bottom w:val="none" w:sz="0" w:space="0" w:color="auto"/>
            <w:right w:val="none" w:sz="0" w:space="0" w:color="auto"/>
          </w:divBdr>
        </w:div>
      </w:divsChild>
    </w:div>
    <w:div w:id="1477718182">
      <w:marLeft w:val="0"/>
      <w:marRight w:val="0"/>
      <w:marTop w:val="0"/>
      <w:marBottom w:val="0"/>
      <w:divBdr>
        <w:top w:val="none" w:sz="0" w:space="0" w:color="auto"/>
        <w:left w:val="none" w:sz="0" w:space="0" w:color="auto"/>
        <w:bottom w:val="none" w:sz="0" w:space="0" w:color="auto"/>
        <w:right w:val="none" w:sz="0" w:space="0" w:color="auto"/>
      </w:divBdr>
    </w:div>
    <w:div w:id="1477718183">
      <w:marLeft w:val="0"/>
      <w:marRight w:val="0"/>
      <w:marTop w:val="0"/>
      <w:marBottom w:val="0"/>
      <w:divBdr>
        <w:top w:val="none" w:sz="0" w:space="0" w:color="auto"/>
        <w:left w:val="none" w:sz="0" w:space="0" w:color="auto"/>
        <w:bottom w:val="none" w:sz="0" w:space="0" w:color="auto"/>
        <w:right w:val="none" w:sz="0" w:space="0" w:color="auto"/>
      </w:divBdr>
    </w:div>
    <w:div w:id="1477718184">
      <w:marLeft w:val="0"/>
      <w:marRight w:val="0"/>
      <w:marTop w:val="0"/>
      <w:marBottom w:val="0"/>
      <w:divBdr>
        <w:top w:val="none" w:sz="0" w:space="0" w:color="auto"/>
        <w:left w:val="none" w:sz="0" w:space="0" w:color="auto"/>
        <w:bottom w:val="none" w:sz="0" w:space="0" w:color="auto"/>
        <w:right w:val="none" w:sz="0" w:space="0" w:color="auto"/>
      </w:divBdr>
    </w:div>
    <w:div w:id="1477718185">
      <w:marLeft w:val="0"/>
      <w:marRight w:val="0"/>
      <w:marTop w:val="0"/>
      <w:marBottom w:val="0"/>
      <w:divBdr>
        <w:top w:val="none" w:sz="0" w:space="0" w:color="auto"/>
        <w:left w:val="none" w:sz="0" w:space="0" w:color="auto"/>
        <w:bottom w:val="none" w:sz="0" w:space="0" w:color="auto"/>
        <w:right w:val="none" w:sz="0" w:space="0" w:color="auto"/>
      </w:divBdr>
    </w:div>
    <w:div w:id="1477718186">
      <w:marLeft w:val="0"/>
      <w:marRight w:val="0"/>
      <w:marTop w:val="0"/>
      <w:marBottom w:val="0"/>
      <w:divBdr>
        <w:top w:val="none" w:sz="0" w:space="0" w:color="auto"/>
        <w:left w:val="none" w:sz="0" w:space="0" w:color="auto"/>
        <w:bottom w:val="none" w:sz="0" w:space="0" w:color="auto"/>
        <w:right w:val="none" w:sz="0" w:space="0" w:color="auto"/>
      </w:divBdr>
    </w:div>
    <w:div w:id="147771818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cbi.nlm.nih.gov/pubmed/?term=Papeix%20C%5BAuthor%5D&amp;cauthor=true&amp;cauthor_uid=24323817" TargetMode="External"/><Relationship Id="rId21" Type="http://schemas.openxmlformats.org/officeDocument/2006/relationships/hyperlink" Target="http://www.ncbi.nlm.nih.gov/pubmed/?term=Mutch%20K%5BAuthor%5D&amp;cauthor=true&amp;cauthor_uid=24323817" TargetMode="External"/><Relationship Id="rId22" Type="http://schemas.openxmlformats.org/officeDocument/2006/relationships/hyperlink" Target="http://www.ncbi.nlm.nih.gov/pubmed/?term=Saip%20S%5BAuthor%5D&amp;cauthor=true&amp;cauthor_uid=24323817" TargetMode="External"/><Relationship Id="rId23" Type="http://schemas.openxmlformats.org/officeDocument/2006/relationships/hyperlink" Target="http://www.ncbi.nlm.nih.gov/pubmed/?term=Wildemann%20B%5BAuthor%5D&amp;cauthor=true&amp;cauthor_uid=24323817" TargetMode="External"/><Relationship Id="rId24" Type="http://schemas.openxmlformats.org/officeDocument/2006/relationships/hyperlink" Target="http://www.ncbi.nlm.nih.gov/pubmed/?term=Kitley%20J%5BAuthor%5D&amp;cauthor=true&amp;cauthor_uid=24323817" TargetMode="External"/><Relationship Id="rId25" Type="http://schemas.openxmlformats.org/officeDocument/2006/relationships/hyperlink" Target="http://www.ncbi.nlm.nih.gov/pubmed/?term=Karabudak%20R%5BAuthor%5D&amp;cauthor=true&amp;cauthor_uid=24323817" TargetMode="External"/><Relationship Id="rId26" Type="http://schemas.openxmlformats.org/officeDocument/2006/relationships/hyperlink" Target="http://www.ncbi.nlm.nih.gov/pubmed/?term=Aktas%20O%5BAuthor%5D&amp;cauthor=true&amp;cauthor_uid=24323817" TargetMode="External"/><Relationship Id="rId27" Type="http://schemas.openxmlformats.org/officeDocument/2006/relationships/hyperlink" Target="http://www.ncbi.nlm.nih.gov/pubmed/?term=Kuscu%20D%5BAuthor%5D&amp;cauthor=true&amp;cauthor_uid=24323817" TargetMode="External"/><Relationship Id="rId28" Type="http://schemas.openxmlformats.org/officeDocument/2006/relationships/hyperlink" Target="http://www.ncbi.nlm.nih.gov/pubmed/?term=Altintas%20A%5BAuthor%5D&amp;cauthor=true&amp;cauthor_uid=24323817" TargetMode="External"/><Relationship Id="rId29" Type="http://schemas.openxmlformats.org/officeDocument/2006/relationships/hyperlink" Target="http://www.ncbi.nlm.nih.gov/pubmed/?term=Palace%20J%5BAuthor%5D&amp;cauthor=true&amp;cauthor_uid=24323817"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ncbi.nlm.nih.gov/pubmed/?term=Confavreux%20C%5BAuthor%5D&amp;cauthor=true&amp;cauthor_uid=24323817" TargetMode="External"/><Relationship Id="rId31" Type="http://schemas.openxmlformats.org/officeDocument/2006/relationships/hyperlink" Target="http://www.ncbi.nlm.nih.gov/pubmed/?term=De%20Seze%20J%5BAuthor%5D&amp;cauthor=true&amp;cauthor_uid=24323817" TargetMode="External"/><Relationship Id="rId32" Type="http://schemas.openxmlformats.org/officeDocument/2006/relationships/footer" Target="footer1.xml"/><Relationship Id="rId9" Type="http://schemas.openxmlformats.org/officeDocument/2006/relationships/hyperlink" Target="mailto:ilya.kister@nyumc.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ncbi.nlm.nih.gov/pubmed/?term=Collongues%20N%5BAuthor%5D&amp;cauthor=true&amp;cauthor_uid=24323817" TargetMode="External"/><Relationship Id="rId11" Type="http://schemas.openxmlformats.org/officeDocument/2006/relationships/hyperlink" Target="http://www.ncbi.nlm.nih.gov/pubmed/?term=Marignier%20R%5BAuthor%5D&amp;cauthor=true&amp;cauthor_uid=24323817" TargetMode="External"/><Relationship Id="rId12" Type="http://schemas.openxmlformats.org/officeDocument/2006/relationships/hyperlink" Target="http://www.ncbi.nlm.nih.gov/pubmed/?term=Jacob%20A%5BAuthor%5D&amp;cauthor=true&amp;cauthor_uid=24323817" TargetMode="External"/><Relationship Id="rId13" Type="http://schemas.openxmlformats.org/officeDocument/2006/relationships/hyperlink" Target="http://www.ncbi.nlm.nih.gov/pubmed/?term=Leite%20M%5BAuthor%5D&amp;cauthor=true&amp;cauthor_uid=24323817" TargetMode="External"/><Relationship Id="rId14" Type="http://schemas.openxmlformats.org/officeDocument/2006/relationships/hyperlink" Target="http://www.ncbi.nlm.nih.gov/pubmed/?term=Siva%20A%5BAuthor%5D&amp;cauthor=true&amp;cauthor_uid=24323817" TargetMode="External"/><Relationship Id="rId15" Type="http://schemas.openxmlformats.org/officeDocument/2006/relationships/hyperlink" Target="http://www.ncbi.nlm.nih.gov/pubmed/?term=Paul%20F%5BAuthor%5D&amp;cauthor=true&amp;cauthor_uid=24323817" TargetMode="External"/><Relationship Id="rId16" Type="http://schemas.openxmlformats.org/officeDocument/2006/relationships/hyperlink" Target="http://www.ncbi.nlm.nih.gov/pubmed/?term=Zephir%20H%5BAuthor%5D&amp;cauthor=true&amp;cauthor_uid=24323817" TargetMode="External"/><Relationship Id="rId17" Type="http://schemas.openxmlformats.org/officeDocument/2006/relationships/hyperlink" Target="http://www.ncbi.nlm.nih.gov/pubmed/?term=Akman-Demir%20G%5BAuthor%5D&amp;cauthor=true&amp;cauthor_uid=24323817" TargetMode="External"/><Relationship Id="rId18" Type="http://schemas.openxmlformats.org/officeDocument/2006/relationships/hyperlink" Target="http://www.ncbi.nlm.nih.gov/pubmed/?term=Elsone%20L%5BAuthor%5D&amp;cauthor=true&amp;cauthor_uid=24323817" TargetMode="External"/><Relationship Id="rId19" Type="http://schemas.openxmlformats.org/officeDocument/2006/relationships/hyperlink" Target="http://www.ncbi.nlm.nih.gov/pubmed/?term=Jarius%20S%5BAuthor%5D&amp;cauthor=true&amp;cauthor_uid=243238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6968</Words>
  <Characters>39720</Characters>
  <Application>Microsoft Macintosh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Introduction</vt:lpstr>
    </vt:vector>
  </TitlesOfParts>
  <Company>NYU Langone Medical Center</Company>
  <LinksUpToDate>false</LinksUpToDate>
  <CharactersWithSpaces>46595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admin</dc:creator>
  <cp:lastModifiedBy>NA MA</cp:lastModifiedBy>
  <cp:revision>2</cp:revision>
  <cp:lastPrinted>2015-01-04T18:01:00Z</cp:lastPrinted>
  <dcterms:created xsi:type="dcterms:W3CDTF">2015-02-06T19:52:00Z</dcterms:created>
  <dcterms:modified xsi:type="dcterms:W3CDTF">2015-02-06T19:52:00Z</dcterms:modified>
</cp:coreProperties>
</file>