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441" w:rsidRPr="005D33A7" w:rsidRDefault="00004441" w:rsidP="007D5F41">
      <w:pPr>
        <w:pStyle w:val="p0"/>
        <w:adjustRightInd w:val="0"/>
        <w:snapToGrid w:val="0"/>
        <w:spacing w:line="360" w:lineRule="auto"/>
        <w:jc w:val="both"/>
        <w:rPr>
          <w:rFonts w:ascii="Book Antiqua" w:hAnsi="Book Antiqua"/>
          <w:sz w:val="24"/>
          <w:szCs w:val="24"/>
        </w:rPr>
      </w:pPr>
      <w:r w:rsidRPr="005D33A7">
        <w:rPr>
          <w:rFonts w:ascii="Book Antiqua" w:eastAsia="Times New Roman" w:hAnsi="Book Antiqua"/>
          <w:b/>
          <w:sz w:val="24"/>
          <w:szCs w:val="24"/>
        </w:rPr>
        <w:t xml:space="preserve">Name of journal: </w:t>
      </w:r>
      <w:bookmarkStart w:id="0" w:name="OLE_LINK718"/>
      <w:bookmarkStart w:id="1" w:name="OLE_LINK719"/>
      <w:bookmarkStart w:id="2" w:name="OLE_LINK645"/>
      <w:bookmarkStart w:id="3" w:name="OLE_LINK661"/>
      <w:bookmarkStart w:id="4" w:name="OLE_LINK696"/>
      <w:r w:rsidRPr="005D33A7">
        <w:rPr>
          <w:rFonts w:ascii="Book Antiqua" w:eastAsia="Times New Roman" w:hAnsi="Book Antiqua"/>
          <w:i/>
          <w:sz w:val="24"/>
          <w:szCs w:val="24"/>
        </w:rPr>
        <w:t>World Journal of Gastroenterology</w:t>
      </w:r>
      <w:bookmarkEnd w:id="0"/>
      <w:bookmarkEnd w:id="1"/>
      <w:bookmarkEnd w:id="2"/>
      <w:bookmarkEnd w:id="3"/>
      <w:bookmarkEnd w:id="4"/>
    </w:p>
    <w:p w:rsidR="00004441" w:rsidRPr="005D33A7" w:rsidRDefault="00004441" w:rsidP="007D5F41">
      <w:pPr>
        <w:adjustRightInd w:val="0"/>
        <w:snapToGrid w:val="0"/>
        <w:spacing w:line="360" w:lineRule="auto"/>
        <w:rPr>
          <w:rFonts w:ascii="Book Antiqua" w:hAnsi="Book Antiqua" w:cs="Arial"/>
          <w:b/>
          <w:sz w:val="24"/>
        </w:rPr>
      </w:pPr>
      <w:r w:rsidRPr="005D33A7">
        <w:rPr>
          <w:rFonts w:ascii="Book Antiqua" w:hAnsi="Book Antiqua" w:cs="Arial"/>
          <w:b/>
          <w:sz w:val="24"/>
        </w:rPr>
        <w:t>ESPS Manuscript NO: 15224</w:t>
      </w:r>
    </w:p>
    <w:p w:rsidR="00004441" w:rsidRPr="005D33A7" w:rsidRDefault="00004441" w:rsidP="007D5F41">
      <w:pPr>
        <w:autoSpaceDE w:val="0"/>
        <w:autoSpaceDN w:val="0"/>
        <w:adjustRightInd w:val="0"/>
        <w:snapToGrid w:val="0"/>
        <w:spacing w:line="360" w:lineRule="auto"/>
        <w:rPr>
          <w:rFonts w:ascii="Book Antiqua" w:hAnsi="Book Antiqua"/>
          <w:b/>
          <w:kern w:val="0"/>
          <w:sz w:val="24"/>
        </w:rPr>
      </w:pPr>
      <w:bookmarkStart w:id="5" w:name="OLE_LINK3"/>
      <w:bookmarkStart w:id="6" w:name="OLE_LINK4"/>
      <w:bookmarkStart w:id="7" w:name="OLE_LINK5"/>
      <w:r w:rsidRPr="005D33A7">
        <w:rPr>
          <w:rFonts w:ascii="Book Antiqua" w:hAnsi="Book Antiqua"/>
          <w:b/>
          <w:kern w:val="0"/>
          <w:sz w:val="24"/>
        </w:rPr>
        <w:t xml:space="preserve">Columns: </w:t>
      </w:r>
      <w:bookmarkEnd w:id="5"/>
      <w:bookmarkEnd w:id="6"/>
      <w:r w:rsidRPr="005D33A7">
        <w:rPr>
          <w:rFonts w:ascii="Book Antiqua" w:hAnsi="Book Antiqua"/>
          <w:b/>
          <w:kern w:val="0"/>
          <w:sz w:val="24"/>
        </w:rPr>
        <w:t>ORIGINAL ARTICLE</w:t>
      </w:r>
    </w:p>
    <w:bookmarkEnd w:id="7"/>
    <w:p w:rsidR="00004441" w:rsidRPr="005D33A7" w:rsidRDefault="00004441" w:rsidP="007D5F41">
      <w:pPr>
        <w:adjustRightInd w:val="0"/>
        <w:snapToGrid w:val="0"/>
        <w:spacing w:line="360" w:lineRule="auto"/>
        <w:rPr>
          <w:rFonts w:ascii="Book Antiqua" w:eastAsia="Times New Roman" w:hAnsi="Book Antiqua" w:cs="宋体"/>
          <w:b/>
          <w:i/>
          <w:sz w:val="24"/>
        </w:rPr>
      </w:pPr>
    </w:p>
    <w:p w:rsidR="00004441" w:rsidRPr="005D33A7" w:rsidRDefault="00004441" w:rsidP="007D5F41">
      <w:pPr>
        <w:adjustRightInd w:val="0"/>
        <w:snapToGrid w:val="0"/>
        <w:spacing w:line="360" w:lineRule="auto"/>
        <w:rPr>
          <w:rFonts w:ascii="Book Antiqua" w:eastAsia="幼圆" w:hAnsi="Book Antiqua"/>
          <w:b/>
          <w:i/>
          <w:sz w:val="24"/>
        </w:rPr>
      </w:pPr>
      <w:r w:rsidRPr="005D33A7">
        <w:rPr>
          <w:rFonts w:ascii="Book Antiqua" w:eastAsia="幼圆" w:hAnsi="Book Antiqua"/>
          <w:b/>
          <w:i/>
          <w:sz w:val="24"/>
        </w:rPr>
        <w:t>Retrospective Study</w:t>
      </w:r>
    </w:p>
    <w:p w:rsidR="00004441" w:rsidRPr="005D33A7" w:rsidRDefault="00004441" w:rsidP="007D5F41">
      <w:pPr>
        <w:autoSpaceDE w:val="0"/>
        <w:autoSpaceDN w:val="0"/>
        <w:adjustRightInd w:val="0"/>
        <w:snapToGrid w:val="0"/>
        <w:spacing w:line="360" w:lineRule="auto"/>
        <w:rPr>
          <w:rFonts w:ascii="Book Antiqua" w:hAnsi="Book Antiqua"/>
          <w:b/>
          <w:bCs/>
          <w:sz w:val="24"/>
        </w:rPr>
      </w:pPr>
      <w:bookmarkStart w:id="8" w:name="OLE_LINK409"/>
      <w:bookmarkStart w:id="9" w:name="OLE_LINK410"/>
      <w:bookmarkStart w:id="10" w:name="OLE_LINK175"/>
      <w:r w:rsidRPr="005D33A7">
        <w:rPr>
          <w:rFonts w:ascii="Book Antiqua" w:hAnsi="Book Antiqua"/>
          <w:b/>
          <w:bCs/>
          <w:sz w:val="24"/>
        </w:rPr>
        <w:t>Developing a lymph node ratio-based staging system for esophageal squamous cell carcinoma</w:t>
      </w:r>
    </w:p>
    <w:bookmarkEnd w:id="8"/>
    <w:bookmarkEnd w:id="9"/>
    <w:bookmarkEnd w:id="10"/>
    <w:p w:rsidR="007D5F41" w:rsidRPr="005D33A7" w:rsidRDefault="007D5F41" w:rsidP="007D5F41">
      <w:pPr>
        <w:autoSpaceDE w:val="0"/>
        <w:autoSpaceDN w:val="0"/>
        <w:adjustRightInd w:val="0"/>
        <w:snapToGrid w:val="0"/>
        <w:spacing w:line="360" w:lineRule="auto"/>
        <w:rPr>
          <w:rFonts w:ascii="Book Antiqua" w:hAnsi="Book Antiqua"/>
          <w:b/>
          <w:bCs/>
          <w:sz w:val="24"/>
        </w:rPr>
      </w:pPr>
    </w:p>
    <w:p w:rsidR="007D5F41" w:rsidRPr="005D33A7" w:rsidRDefault="007D5F41" w:rsidP="007D5F41">
      <w:pPr>
        <w:autoSpaceDE w:val="0"/>
        <w:autoSpaceDN w:val="0"/>
        <w:adjustRightInd w:val="0"/>
        <w:snapToGrid w:val="0"/>
        <w:spacing w:line="360" w:lineRule="auto"/>
        <w:rPr>
          <w:rFonts w:ascii="Book Antiqua" w:hAnsi="Book Antiqua"/>
          <w:bCs/>
          <w:iCs/>
          <w:sz w:val="24"/>
        </w:rPr>
      </w:pPr>
      <w:r w:rsidRPr="005D33A7">
        <w:rPr>
          <w:rFonts w:ascii="Book Antiqua" w:hAnsi="Book Antiqua"/>
          <w:bCs/>
          <w:iCs/>
          <w:sz w:val="24"/>
        </w:rPr>
        <w:t xml:space="preserve">Chen SB </w:t>
      </w:r>
      <w:r w:rsidRPr="005D33A7">
        <w:rPr>
          <w:rFonts w:ascii="Book Antiqua" w:hAnsi="Book Antiqua"/>
          <w:bCs/>
          <w:i/>
          <w:iCs/>
          <w:sz w:val="24"/>
        </w:rPr>
        <w:t>et al</w:t>
      </w:r>
      <w:r w:rsidRPr="005D33A7">
        <w:rPr>
          <w:rFonts w:ascii="Book Antiqua" w:hAnsi="Book Antiqua"/>
          <w:bCs/>
          <w:iCs/>
          <w:sz w:val="24"/>
        </w:rPr>
        <w:t xml:space="preserve">. </w:t>
      </w:r>
      <w:r w:rsidR="009B5FD6" w:rsidRPr="005D33A7">
        <w:rPr>
          <w:rFonts w:ascii="Book Antiqua" w:hAnsi="Book Antiqua"/>
          <w:bCs/>
          <w:iCs/>
          <w:sz w:val="24"/>
        </w:rPr>
        <w:t>LNR based staging system in ESCC</w:t>
      </w:r>
    </w:p>
    <w:p w:rsidR="00004441" w:rsidRPr="005D33A7" w:rsidRDefault="00004441" w:rsidP="007D5F41">
      <w:pPr>
        <w:autoSpaceDE w:val="0"/>
        <w:autoSpaceDN w:val="0"/>
        <w:adjustRightInd w:val="0"/>
        <w:snapToGrid w:val="0"/>
        <w:spacing w:line="360" w:lineRule="auto"/>
        <w:rPr>
          <w:rFonts w:ascii="Book Antiqua" w:hAnsi="Book Antiqua"/>
          <w:b/>
          <w:bCs/>
          <w:sz w:val="24"/>
        </w:rPr>
      </w:pPr>
    </w:p>
    <w:p w:rsidR="00004441" w:rsidRPr="005D33A7" w:rsidRDefault="00004441" w:rsidP="007D5F41">
      <w:pPr>
        <w:autoSpaceDE w:val="0"/>
        <w:autoSpaceDN w:val="0"/>
        <w:adjustRightInd w:val="0"/>
        <w:snapToGrid w:val="0"/>
        <w:spacing w:line="360" w:lineRule="auto"/>
        <w:rPr>
          <w:rFonts w:ascii="Book Antiqua" w:hAnsi="Book Antiqua"/>
          <w:iCs/>
          <w:sz w:val="24"/>
        </w:rPr>
      </w:pPr>
      <w:bookmarkStart w:id="11" w:name="OLE_LINK135"/>
      <w:bookmarkStart w:id="12" w:name="OLE_LINK136"/>
      <w:bookmarkStart w:id="13" w:name="OLE_LINK411"/>
      <w:bookmarkStart w:id="14" w:name="OLE_LINK176"/>
      <w:bookmarkStart w:id="15" w:name="OLE_LINK177"/>
      <w:r w:rsidRPr="005D33A7">
        <w:rPr>
          <w:rFonts w:ascii="Book Antiqua" w:hAnsi="Book Antiqua"/>
          <w:iCs/>
          <w:sz w:val="24"/>
        </w:rPr>
        <w:t>Shao-</w:t>
      </w:r>
      <w:r w:rsidR="009B5FD6" w:rsidRPr="005D33A7">
        <w:rPr>
          <w:rFonts w:ascii="Book Antiqua" w:hAnsi="Book Antiqua"/>
          <w:iCs/>
          <w:sz w:val="24"/>
        </w:rPr>
        <w:t xml:space="preserve">Bin </w:t>
      </w:r>
      <w:r w:rsidRPr="005D33A7">
        <w:rPr>
          <w:rFonts w:ascii="Book Antiqua" w:hAnsi="Book Antiqua"/>
          <w:iCs/>
          <w:sz w:val="24"/>
        </w:rPr>
        <w:t>Chen</w:t>
      </w:r>
      <w:bookmarkEnd w:id="11"/>
      <w:bookmarkEnd w:id="12"/>
      <w:bookmarkEnd w:id="13"/>
      <w:r w:rsidRPr="005D33A7">
        <w:rPr>
          <w:rFonts w:ascii="Book Antiqua" w:hAnsi="Book Antiqua"/>
          <w:iCs/>
          <w:sz w:val="24"/>
        </w:rPr>
        <w:t>, Hong-</w:t>
      </w:r>
      <w:r w:rsidR="009B5FD6" w:rsidRPr="005D33A7">
        <w:rPr>
          <w:rFonts w:ascii="Book Antiqua" w:hAnsi="Book Antiqua"/>
          <w:iCs/>
          <w:sz w:val="24"/>
        </w:rPr>
        <w:t xml:space="preserve">Rui </w:t>
      </w:r>
      <w:r w:rsidRPr="005D33A7">
        <w:rPr>
          <w:rFonts w:ascii="Book Antiqua" w:hAnsi="Book Antiqua"/>
          <w:iCs/>
          <w:sz w:val="24"/>
        </w:rPr>
        <w:t xml:space="preserve">Weng, Geng Wang, </w:t>
      </w:r>
      <w:r w:rsidRPr="005D33A7">
        <w:rPr>
          <w:rFonts w:ascii="Book Antiqua" w:hAnsi="Book Antiqua"/>
          <w:sz w:val="24"/>
          <w:shd w:val="clear" w:color="auto" w:fill="FFFFFF"/>
        </w:rPr>
        <w:t>Xiao-</w:t>
      </w:r>
      <w:r w:rsidR="009B5FD6" w:rsidRPr="005D33A7">
        <w:rPr>
          <w:rFonts w:ascii="Book Antiqua" w:hAnsi="Book Antiqua"/>
          <w:sz w:val="24"/>
          <w:shd w:val="clear" w:color="auto" w:fill="FFFFFF"/>
        </w:rPr>
        <w:t xml:space="preserve">Fang </w:t>
      </w:r>
      <w:r w:rsidRPr="005D33A7">
        <w:rPr>
          <w:rFonts w:ascii="Book Antiqua" w:hAnsi="Book Antiqua"/>
          <w:sz w:val="24"/>
          <w:shd w:val="clear" w:color="auto" w:fill="FFFFFF"/>
        </w:rPr>
        <w:t>Zou</w:t>
      </w:r>
      <w:r w:rsidRPr="005D33A7">
        <w:rPr>
          <w:rFonts w:ascii="Book Antiqua" w:hAnsi="Book Antiqua"/>
          <w:iCs/>
          <w:sz w:val="24"/>
        </w:rPr>
        <w:t xml:space="preserve">, </w:t>
      </w:r>
      <w:bookmarkStart w:id="16" w:name="OLE_LINK118"/>
      <w:bookmarkStart w:id="17" w:name="OLE_LINK119"/>
      <w:r w:rsidRPr="005D33A7">
        <w:rPr>
          <w:rFonts w:ascii="Book Antiqua" w:hAnsi="Book Antiqua"/>
          <w:iCs/>
          <w:sz w:val="24"/>
        </w:rPr>
        <w:t>Di-</w:t>
      </w:r>
      <w:r w:rsidR="009B5FD6" w:rsidRPr="005D33A7">
        <w:rPr>
          <w:rFonts w:ascii="Book Antiqua" w:hAnsi="Book Antiqua"/>
          <w:iCs/>
          <w:sz w:val="24"/>
        </w:rPr>
        <w:t xml:space="preserve">Tian </w:t>
      </w:r>
      <w:r w:rsidRPr="005D33A7">
        <w:rPr>
          <w:rFonts w:ascii="Book Antiqua" w:hAnsi="Book Antiqua"/>
          <w:iCs/>
          <w:sz w:val="24"/>
        </w:rPr>
        <w:t>Liu, Yu-</w:t>
      </w:r>
      <w:r w:rsidR="009B5FD6" w:rsidRPr="005D33A7">
        <w:rPr>
          <w:rFonts w:ascii="Book Antiqua" w:hAnsi="Book Antiqua"/>
          <w:iCs/>
          <w:sz w:val="24"/>
        </w:rPr>
        <w:t xml:space="preserve">Ping </w:t>
      </w:r>
      <w:r w:rsidRPr="005D33A7">
        <w:rPr>
          <w:rFonts w:ascii="Book Antiqua" w:hAnsi="Book Antiqua"/>
          <w:iCs/>
          <w:sz w:val="24"/>
        </w:rPr>
        <w:t xml:space="preserve">Chen, </w:t>
      </w:r>
      <w:bookmarkEnd w:id="16"/>
      <w:bookmarkEnd w:id="17"/>
      <w:r w:rsidRPr="005D33A7">
        <w:rPr>
          <w:rFonts w:ascii="Book Antiqua" w:hAnsi="Book Antiqua"/>
          <w:iCs/>
          <w:sz w:val="24"/>
        </w:rPr>
        <w:t>Hao Zhang</w:t>
      </w:r>
    </w:p>
    <w:bookmarkEnd w:id="14"/>
    <w:bookmarkEnd w:id="15"/>
    <w:p w:rsidR="009B5FD6" w:rsidRPr="005D33A7" w:rsidRDefault="009B5FD6" w:rsidP="007D5F41">
      <w:pPr>
        <w:autoSpaceDE w:val="0"/>
        <w:autoSpaceDN w:val="0"/>
        <w:adjustRightInd w:val="0"/>
        <w:snapToGrid w:val="0"/>
        <w:spacing w:line="360" w:lineRule="auto"/>
        <w:rPr>
          <w:rFonts w:ascii="Book Antiqua" w:hAnsi="Book Antiqua"/>
          <w:sz w:val="24"/>
        </w:rPr>
      </w:pPr>
    </w:p>
    <w:p w:rsidR="00004441" w:rsidRPr="005D33A7" w:rsidRDefault="009B5FD6" w:rsidP="009B5FD6">
      <w:pPr>
        <w:autoSpaceDE w:val="0"/>
        <w:autoSpaceDN w:val="0"/>
        <w:adjustRightInd w:val="0"/>
        <w:snapToGrid w:val="0"/>
        <w:spacing w:line="360" w:lineRule="auto"/>
        <w:rPr>
          <w:rFonts w:ascii="Book Antiqua" w:hAnsi="Book Antiqua"/>
          <w:sz w:val="24"/>
        </w:rPr>
      </w:pPr>
      <w:r w:rsidRPr="005D33A7">
        <w:rPr>
          <w:rFonts w:ascii="Book Antiqua" w:hAnsi="Book Antiqua"/>
          <w:b/>
          <w:iCs/>
          <w:sz w:val="24"/>
        </w:rPr>
        <w:t>Shao-Bin Chen, Hong-Rui Weng,</w:t>
      </w:r>
      <w:r w:rsidRPr="005D33A7">
        <w:rPr>
          <w:rFonts w:ascii="Book Antiqua" w:hAnsi="Book Antiqua"/>
          <w:b/>
          <w:iCs/>
          <w:kern w:val="0"/>
          <w:sz w:val="24"/>
        </w:rPr>
        <w:t xml:space="preserve"> Di-Tian Liu, Yu-Ping Chen,</w:t>
      </w:r>
      <w:r w:rsidRPr="005D33A7">
        <w:rPr>
          <w:rFonts w:ascii="Book Antiqua" w:hAnsi="Book Antiqua"/>
          <w:b/>
          <w:iCs/>
          <w:sz w:val="24"/>
        </w:rPr>
        <w:t xml:space="preserve"> Geng Wang, </w:t>
      </w:r>
      <w:r w:rsidR="00004441" w:rsidRPr="005D33A7">
        <w:rPr>
          <w:rFonts w:ascii="Book Antiqua" w:hAnsi="Book Antiqua"/>
          <w:sz w:val="24"/>
        </w:rPr>
        <w:t>Department of Thoracic Surgery, Cancer Hospital of Shantou University Medical College,</w:t>
      </w:r>
      <w:bookmarkStart w:id="18" w:name="OLE_LINK120"/>
      <w:bookmarkStart w:id="19" w:name="OLE_LINK121"/>
      <w:r w:rsidR="00004441" w:rsidRPr="005D33A7">
        <w:rPr>
          <w:rFonts w:ascii="Book Antiqua" w:hAnsi="Book Antiqua"/>
          <w:sz w:val="24"/>
        </w:rPr>
        <w:t xml:space="preserve"> Shantou</w:t>
      </w:r>
      <w:r w:rsidR="004906FD" w:rsidRPr="005D33A7">
        <w:rPr>
          <w:rFonts w:ascii="Book Antiqua" w:hAnsi="Book Antiqua"/>
          <w:sz w:val="24"/>
        </w:rPr>
        <w:t xml:space="preserve"> </w:t>
      </w:r>
      <w:r w:rsidR="004906FD" w:rsidRPr="005D33A7">
        <w:rPr>
          <w:rFonts w:ascii="Book Antiqua" w:hAnsi="Book Antiqua" w:hint="eastAsia"/>
          <w:sz w:val="24"/>
        </w:rPr>
        <w:t>515031</w:t>
      </w:r>
      <w:r w:rsidR="00004441" w:rsidRPr="005D33A7">
        <w:rPr>
          <w:rFonts w:ascii="Book Antiqua" w:hAnsi="Book Antiqua"/>
          <w:sz w:val="24"/>
        </w:rPr>
        <w:t>, Guangdong</w:t>
      </w:r>
      <w:r w:rsidR="004906FD" w:rsidRPr="005D33A7">
        <w:rPr>
          <w:rFonts w:ascii="Book Antiqua" w:hAnsi="Book Antiqua" w:hint="eastAsia"/>
          <w:sz w:val="24"/>
        </w:rPr>
        <w:t xml:space="preserve"> Province</w:t>
      </w:r>
      <w:r w:rsidR="00004441" w:rsidRPr="005D33A7">
        <w:rPr>
          <w:rFonts w:ascii="Book Antiqua" w:hAnsi="Book Antiqua"/>
          <w:sz w:val="24"/>
        </w:rPr>
        <w:t xml:space="preserve">, </w:t>
      </w:r>
      <w:bookmarkEnd w:id="18"/>
      <w:bookmarkEnd w:id="19"/>
      <w:r w:rsidRPr="005D33A7">
        <w:rPr>
          <w:rFonts w:ascii="Book Antiqua" w:hAnsi="Book Antiqua"/>
          <w:sz w:val="24"/>
        </w:rPr>
        <w:t>China</w:t>
      </w:r>
    </w:p>
    <w:p w:rsidR="009B5FD6" w:rsidRPr="005D33A7" w:rsidRDefault="009B5FD6" w:rsidP="009B5FD6">
      <w:pPr>
        <w:autoSpaceDE w:val="0"/>
        <w:autoSpaceDN w:val="0"/>
        <w:adjustRightInd w:val="0"/>
        <w:snapToGrid w:val="0"/>
        <w:spacing w:line="360" w:lineRule="auto"/>
        <w:rPr>
          <w:rFonts w:ascii="Book Antiqua" w:hAnsi="Book Antiqua"/>
          <w:sz w:val="24"/>
        </w:rPr>
      </w:pPr>
    </w:p>
    <w:p w:rsidR="00004441" w:rsidRPr="005D33A7" w:rsidRDefault="009B5FD6" w:rsidP="009B5FD6">
      <w:pPr>
        <w:autoSpaceDE w:val="0"/>
        <w:autoSpaceDN w:val="0"/>
        <w:adjustRightInd w:val="0"/>
        <w:snapToGrid w:val="0"/>
        <w:spacing w:line="360" w:lineRule="auto"/>
        <w:rPr>
          <w:rFonts w:ascii="Book Antiqua" w:hAnsi="Book Antiqua"/>
          <w:sz w:val="24"/>
        </w:rPr>
      </w:pPr>
      <w:r w:rsidRPr="005D33A7">
        <w:rPr>
          <w:rFonts w:ascii="Book Antiqua" w:hAnsi="Book Antiqua"/>
          <w:b/>
          <w:sz w:val="24"/>
        </w:rPr>
        <w:t>Xiao</w:t>
      </w:r>
      <w:r w:rsidRPr="005D33A7">
        <w:rPr>
          <w:rFonts w:ascii="Book Antiqua" w:hAnsi="Book Antiqua" w:hint="eastAsia"/>
          <w:b/>
          <w:sz w:val="24"/>
        </w:rPr>
        <w:t>-</w:t>
      </w:r>
      <w:r w:rsidRPr="005D33A7">
        <w:rPr>
          <w:rFonts w:ascii="Book Antiqua" w:hAnsi="Book Antiqua"/>
          <w:b/>
          <w:sz w:val="24"/>
        </w:rPr>
        <w:t>Fang Zou</w:t>
      </w:r>
      <w:r w:rsidRPr="005D33A7">
        <w:rPr>
          <w:rFonts w:ascii="Book Antiqua" w:hAnsi="Book Antiqua"/>
          <w:b/>
          <w:iCs/>
          <w:sz w:val="24"/>
        </w:rPr>
        <w:t>,</w:t>
      </w:r>
      <w:r w:rsidRPr="005D33A7">
        <w:rPr>
          <w:rFonts w:ascii="Book Antiqua" w:hAnsi="Book Antiqua" w:hint="eastAsia"/>
          <w:b/>
          <w:iCs/>
          <w:sz w:val="24"/>
        </w:rPr>
        <w:t xml:space="preserve"> </w:t>
      </w:r>
      <w:r w:rsidRPr="005D33A7">
        <w:rPr>
          <w:rFonts w:ascii="Book Antiqua" w:hAnsi="Book Antiqua"/>
          <w:b/>
          <w:iCs/>
          <w:sz w:val="24"/>
        </w:rPr>
        <w:t>Hao Zhang,</w:t>
      </w:r>
      <w:r w:rsidRPr="005D33A7">
        <w:rPr>
          <w:rFonts w:ascii="Book Antiqua" w:hAnsi="Book Antiqua" w:hint="eastAsia"/>
          <w:iCs/>
          <w:sz w:val="24"/>
        </w:rPr>
        <w:t xml:space="preserve"> </w:t>
      </w:r>
      <w:r w:rsidR="00004441" w:rsidRPr="005D33A7">
        <w:rPr>
          <w:rFonts w:ascii="Book Antiqua" w:hAnsi="Book Antiqua"/>
          <w:sz w:val="24"/>
        </w:rPr>
        <w:t>Cancer Research Centre, Shantou University Medical Col</w:t>
      </w:r>
      <w:r w:rsidRPr="005D33A7">
        <w:rPr>
          <w:rFonts w:ascii="Book Antiqua" w:hAnsi="Book Antiqua"/>
          <w:sz w:val="24"/>
        </w:rPr>
        <w:t xml:space="preserve">lege, </w:t>
      </w:r>
      <w:r w:rsidR="004906FD" w:rsidRPr="005D33A7">
        <w:rPr>
          <w:rFonts w:ascii="Book Antiqua" w:hAnsi="Book Antiqua"/>
          <w:sz w:val="24"/>
        </w:rPr>
        <w:t xml:space="preserve">Shantou </w:t>
      </w:r>
      <w:r w:rsidR="004906FD" w:rsidRPr="005D33A7">
        <w:rPr>
          <w:rFonts w:ascii="Book Antiqua" w:hAnsi="Book Antiqua" w:hint="eastAsia"/>
          <w:sz w:val="24"/>
        </w:rPr>
        <w:t>515031</w:t>
      </w:r>
      <w:r w:rsidR="004906FD" w:rsidRPr="005D33A7">
        <w:rPr>
          <w:rFonts w:ascii="Book Antiqua" w:hAnsi="Book Antiqua"/>
          <w:sz w:val="24"/>
        </w:rPr>
        <w:t>, Guangdong</w:t>
      </w:r>
      <w:r w:rsidR="004906FD" w:rsidRPr="005D33A7">
        <w:rPr>
          <w:rFonts w:ascii="Book Antiqua" w:hAnsi="Book Antiqua" w:hint="eastAsia"/>
          <w:sz w:val="24"/>
        </w:rPr>
        <w:t xml:space="preserve"> Province</w:t>
      </w:r>
      <w:r w:rsidR="004906FD" w:rsidRPr="005D33A7">
        <w:rPr>
          <w:rFonts w:ascii="Book Antiqua" w:hAnsi="Book Antiqua"/>
          <w:sz w:val="24"/>
        </w:rPr>
        <w:t>,</w:t>
      </w:r>
      <w:r w:rsidRPr="005D33A7">
        <w:rPr>
          <w:rFonts w:ascii="Book Antiqua" w:hAnsi="Book Antiqua"/>
          <w:sz w:val="24"/>
        </w:rPr>
        <w:t xml:space="preserve"> China</w:t>
      </w:r>
    </w:p>
    <w:p w:rsidR="009B5FD6" w:rsidRPr="005D33A7" w:rsidRDefault="009B5FD6" w:rsidP="009B5FD6">
      <w:pPr>
        <w:autoSpaceDE w:val="0"/>
        <w:autoSpaceDN w:val="0"/>
        <w:adjustRightInd w:val="0"/>
        <w:snapToGrid w:val="0"/>
        <w:spacing w:line="360" w:lineRule="auto"/>
        <w:rPr>
          <w:rFonts w:ascii="Book Antiqua" w:hAnsi="Book Antiqua"/>
          <w:sz w:val="24"/>
        </w:rPr>
      </w:pPr>
    </w:p>
    <w:p w:rsidR="00004441" w:rsidRPr="005D33A7" w:rsidRDefault="009B5FD6" w:rsidP="009B5FD6">
      <w:pPr>
        <w:autoSpaceDE w:val="0"/>
        <w:autoSpaceDN w:val="0"/>
        <w:adjustRightInd w:val="0"/>
        <w:snapToGrid w:val="0"/>
        <w:spacing w:line="360" w:lineRule="auto"/>
        <w:rPr>
          <w:rFonts w:ascii="Book Antiqua" w:hAnsi="Book Antiqua"/>
          <w:sz w:val="24"/>
          <w:shd w:val="clear" w:color="auto" w:fill="FFFFFF"/>
        </w:rPr>
      </w:pPr>
      <w:r w:rsidRPr="005D33A7">
        <w:rPr>
          <w:rFonts w:ascii="Book Antiqua" w:hAnsi="Book Antiqua"/>
          <w:b/>
          <w:sz w:val="24"/>
          <w:shd w:val="clear" w:color="auto" w:fill="FFFFFF"/>
        </w:rPr>
        <w:t>Xiao</w:t>
      </w:r>
      <w:r w:rsidRPr="005D33A7">
        <w:rPr>
          <w:rFonts w:ascii="Book Antiqua" w:hAnsi="Book Antiqua" w:hint="eastAsia"/>
          <w:b/>
          <w:sz w:val="24"/>
          <w:shd w:val="clear" w:color="auto" w:fill="FFFFFF"/>
        </w:rPr>
        <w:t>-</w:t>
      </w:r>
      <w:r w:rsidRPr="005D33A7">
        <w:rPr>
          <w:rFonts w:ascii="Book Antiqua" w:hAnsi="Book Antiqua"/>
          <w:b/>
          <w:sz w:val="24"/>
          <w:shd w:val="clear" w:color="auto" w:fill="FFFFFF"/>
        </w:rPr>
        <w:t>Fang Zou</w:t>
      </w:r>
      <w:r w:rsidRPr="005D33A7">
        <w:rPr>
          <w:rFonts w:ascii="Book Antiqua" w:hAnsi="Book Antiqua"/>
          <w:b/>
          <w:iCs/>
          <w:sz w:val="24"/>
          <w:shd w:val="clear" w:color="auto" w:fill="FFFFFF"/>
        </w:rPr>
        <w:t xml:space="preserve">, </w:t>
      </w:r>
      <w:r w:rsidR="00004441" w:rsidRPr="005D33A7">
        <w:rPr>
          <w:rFonts w:ascii="Book Antiqua" w:hAnsi="Book Antiqua"/>
          <w:sz w:val="24"/>
          <w:shd w:val="clear" w:color="auto" w:fill="FFFFFF"/>
        </w:rPr>
        <w:t>Department of Medical Oncology, People's Hospital of Meizhou City , Affiliated Meizhou Hospital of Sun Yat-sen Univer</w:t>
      </w:r>
      <w:r w:rsidRPr="005D33A7">
        <w:rPr>
          <w:rFonts w:ascii="Book Antiqua" w:hAnsi="Book Antiqua"/>
          <w:sz w:val="24"/>
          <w:shd w:val="clear" w:color="auto" w:fill="FFFFFF"/>
        </w:rPr>
        <w:t>sity, Meizhou</w:t>
      </w:r>
      <w:r w:rsidR="004906FD" w:rsidRPr="005D33A7">
        <w:rPr>
          <w:rFonts w:ascii="Book Antiqua" w:hAnsi="Book Antiqua" w:hint="eastAsia"/>
          <w:sz w:val="24"/>
          <w:shd w:val="clear" w:color="auto" w:fill="FFFFFF"/>
        </w:rPr>
        <w:t xml:space="preserve"> 514000</w:t>
      </w:r>
      <w:r w:rsidRPr="005D33A7">
        <w:rPr>
          <w:rFonts w:ascii="Book Antiqua" w:hAnsi="Book Antiqua"/>
          <w:sz w:val="24"/>
          <w:shd w:val="clear" w:color="auto" w:fill="FFFFFF"/>
        </w:rPr>
        <w:t>, Guangdong</w:t>
      </w:r>
      <w:r w:rsidR="004906FD" w:rsidRPr="005D33A7">
        <w:rPr>
          <w:rFonts w:ascii="Book Antiqua" w:hAnsi="Book Antiqua" w:hint="eastAsia"/>
          <w:sz w:val="24"/>
          <w:shd w:val="clear" w:color="auto" w:fill="FFFFFF"/>
        </w:rPr>
        <w:t xml:space="preserve"> Province</w:t>
      </w:r>
      <w:r w:rsidRPr="005D33A7">
        <w:rPr>
          <w:rFonts w:ascii="Book Antiqua" w:hAnsi="Book Antiqua"/>
          <w:sz w:val="24"/>
          <w:shd w:val="clear" w:color="auto" w:fill="FFFFFF"/>
        </w:rPr>
        <w:t>, China</w:t>
      </w:r>
    </w:p>
    <w:p w:rsidR="009B5FD6" w:rsidRPr="005D33A7" w:rsidRDefault="009B5FD6" w:rsidP="009B5FD6">
      <w:pPr>
        <w:autoSpaceDE w:val="0"/>
        <w:autoSpaceDN w:val="0"/>
        <w:adjustRightInd w:val="0"/>
        <w:snapToGrid w:val="0"/>
        <w:spacing w:line="360" w:lineRule="auto"/>
        <w:rPr>
          <w:rFonts w:ascii="Book Antiqua" w:hAnsi="Book Antiqua"/>
          <w:sz w:val="24"/>
        </w:rPr>
      </w:pPr>
    </w:p>
    <w:p w:rsidR="00004441" w:rsidRPr="005D33A7" w:rsidRDefault="009B5FD6" w:rsidP="009B5FD6">
      <w:pPr>
        <w:autoSpaceDE w:val="0"/>
        <w:autoSpaceDN w:val="0"/>
        <w:adjustRightInd w:val="0"/>
        <w:snapToGrid w:val="0"/>
        <w:spacing w:line="360" w:lineRule="auto"/>
        <w:rPr>
          <w:rFonts w:ascii="Book Antiqua" w:hAnsi="Book Antiqua"/>
          <w:sz w:val="24"/>
        </w:rPr>
      </w:pPr>
      <w:r w:rsidRPr="005D33A7">
        <w:rPr>
          <w:rFonts w:ascii="Book Antiqua" w:hAnsi="Book Antiqua"/>
          <w:b/>
          <w:iCs/>
          <w:sz w:val="24"/>
        </w:rPr>
        <w:t>Hao Zhang,</w:t>
      </w:r>
      <w:r w:rsidRPr="005D33A7">
        <w:rPr>
          <w:rFonts w:ascii="Book Antiqua" w:hAnsi="Book Antiqua" w:hint="eastAsia"/>
          <w:iCs/>
          <w:sz w:val="24"/>
        </w:rPr>
        <w:t xml:space="preserve"> </w:t>
      </w:r>
      <w:r w:rsidR="00004441" w:rsidRPr="005D33A7">
        <w:rPr>
          <w:rFonts w:ascii="Book Antiqua" w:hAnsi="Book Antiqua"/>
          <w:sz w:val="24"/>
        </w:rPr>
        <w:t>Departments of Integrative Oncology, Cancer Hospital of Shantou University Medical Col</w:t>
      </w:r>
      <w:r w:rsidRPr="005D33A7">
        <w:rPr>
          <w:rFonts w:ascii="Book Antiqua" w:hAnsi="Book Antiqua"/>
          <w:sz w:val="24"/>
        </w:rPr>
        <w:t xml:space="preserve">lege, </w:t>
      </w:r>
      <w:r w:rsidR="004906FD" w:rsidRPr="005D33A7">
        <w:rPr>
          <w:rFonts w:ascii="Book Antiqua" w:hAnsi="Book Antiqua"/>
          <w:sz w:val="24"/>
        </w:rPr>
        <w:t xml:space="preserve">Shantou </w:t>
      </w:r>
      <w:r w:rsidR="004906FD" w:rsidRPr="005D33A7">
        <w:rPr>
          <w:rFonts w:ascii="Book Antiqua" w:hAnsi="Book Antiqua" w:hint="eastAsia"/>
          <w:sz w:val="24"/>
        </w:rPr>
        <w:t>515031</w:t>
      </w:r>
      <w:r w:rsidR="004906FD" w:rsidRPr="005D33A7">
        <w:rPr>
          <w:rFonts w:ascii="Book Antiqua" w:hAnsi="Book Antiqua"/>
          <w:sz w:val="24"/>
        </w:rPr>
        <w:t>, Guangdong</w:t>
      </w:r>
      <w:r w:rsidR="004906FD" w:rsidRPr="005D33A7">
        <w:rPr>
          <w:rFonts w:ascii="Book Antiqua" w:hAnsi="Book Antiqua" w:hint="eastAsia"/>
          <w:sz w:val="24"/>
        </w:rPr>
        <w:t xml:space="preserve"> Province</w:t>
      </w:r>
      <w:r w:rsidR="004906FD" w:rsidRPr="005D33A7">
        <w:rPr>
          <w:rFonts w:ascii="Book Antiqua" w:hAnsi="Book Antiqua"/>
          <w:sz w:val="24"/>
        </w:rPr>
        <w:t>,</w:t>
      </w:r>
      <w:r w:rsidR="004906FD" w:rsidRPr="005D33A7">
        <w:rPr>
          <w:rFonts w:ascii="Book Antiqua" w:hAnsi="Book Antiqua" w:hint="eastAsia"/>
          <w:sz w:val="24"/>
        </w:rPr>
        <w:t xml:space="preserve"> </w:t>
      </w:r>
      <w:r w:rsidRPr="005D33A7">
        <w:rPr>
          <w:rFonts w:ascii="Book Antiqua" w:hAnsi="Book Antiqua"/>
          <w:sz w:val="24"/>
        </w:rPr>
        <w:t>China</w:t>
      </w:r>
    </w:p>
    <w:p w:rsidR="00004441" w:rsidRPr="005D33A7" w:rsidRDefault="00004441" w:rsidP="007D5F41">
      <w:pPr>
        <w:autoSpaceDE w:val="0"/>
        <w:autoSpaceDN w:val="0"/>
        <w:adjustRightInd w:val="0"/>
        <w:snapToGrid w:val="0"/>
        <w:spacing w:line="360" w:lineRule="auto"/>
        <w:rPr>
          <w:rFonts w:ascii="Book Antiqua" w:hAnsi="Book Antiqua"/>
          <w:i/>
          <w:sz w:val="24"/>
        </w:rPr>
      </w:pP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b/>
          <w:sz w:val="24"/>
        </w:rPr>
        <w:t>Author contributions:</w:t>
      </w:r>
      <w:r w:rsidRPr="005D33A7">
        <w:rPr>
          <w:rFonts w:ascii="Book Antiqua" w:hAnsi="Book Antiqua"/>
          <w:sz w:val="24"/>
        </w:rPr>
        <w:t xml:space="preserve"> Chen SB and Weng HR contributed equally to this work; Chen YP designed the research;</w:t>
      </w:r>
      <w:r w:rsidR="004906FD" w:rsidRPr="005D33A7">
        <w:rPr>
          <w:rFonts w:ascii="Book Antiqua" w:hAnsi="Book Antiqua" w:hint="eastAsia"/>
          <w:sz w:val="24"/>
        </w:rPr>
        <w:t xml:space="preserve"> </w:t>
      </w:r>
      <w:r w:rsidRPr="005D33A7">
        <w:rPr>
          <w:rFonts w:ascii="Book Antiqua" w:hAnsi="Book Antiqua"/>
          <w:sz w:val="24"/>
        </w:rPr>
        <w:t xml:space="preserve">Chen SB, Weng HR, Wang G, Yang JS, Yang WP, </w:t>
      </w:r>
      <w:r w:rsidRPr="005D33A7">
        <w:rPr>
          <w:rFonts w:ascii="Book Antiqua" w:hAnsi="Book Antiqua"/>
          <w:sz w:val="24"/>
        </w:rPr>
        <w:lastRenderedPageBreak/>
        <w:t>Liu DT and Zhang H performed the research; Chen SB and Zou XF</w:t>
      </w:r>
      <w:r w:rsidR="00ED3454" w:rsidRPr="005D33A7">
        <w:rPr>
          <w:rFonts w:ascii="Book Antiqua" w:hAnsi="Book Antiqua" w:hint="eastAsia"/>
          <w:sz w:val="24"/>
        </w:rPr>
        <w:t xml:space="preserve"> </w:t>
      </w:r>
      <w:r w:rsidRPr="005D33A7">
        <w:rPr>
          <w:rFonts w:ascii="Book Antiqua" w:hAnsi="Book Antiqua"/>
          <w:sz w:val="24"/>
        </w:rPr>
        <w:t>analyzed the data;</w:t>
      </w:r>
      <w:r w:rsidR="004906FD" w:rsidRPr="005D33A7">
        <w:rPr>
          <w:rFonts w:ascii="Book Antiqua" w:hAnsi="Book Antiqua" w:hint="eastAsia"/>
          <w:sz w:val="24"/>
        </w:rPr>
        <w:t xml:space="preserve"> </w:t>
      </w:r>
      <w:r w:rsidRPr="005D33A7">
        <w:rPr>
          <w:rFonts w:ascii="Book Antiqua" w:hAnsi="Book Antiqua"/>
          <w:sz w:val="24"/>
        </w:rPr>
        <w:t>Chen SB</w:t>
      </w:r>
      <w:r w:rsidR="004906FD" w:rsidRPr="005D33A7">
        <w:rPr>
          <w:rFonts w:ascii="Book Antiqua" w:hAnsi="Book Antiqua" w:hint="eastAsia"/>
          <w:sz w:val="24"/>
        </w:rPr>
        <w:t xml:space="preserve"> </w:t>
      </w:r>
      <w:r w:rsidRPr="005D33A7">
        <w:rPr>
          <w:rFonts w:ascii="Book Antiqua" w:hAnsi="Book Antiqua"/>
          <w:sz w:val="24"/>
        </w:rPr>
        <w:t>and Weng HR wrote the paper.</w:t>
      </w:r>
    </w:p>
    <w:p w:rsidR="00004441" w:rsidRPr="005D33A7" w:rsidRDefault="00004441" w:rsidP="007D5F41">
      <w:pPr>
        <w:autoSpaceDE w:val="0"/>
        <w:autoSpaceDN w:val="0"/>
        <w:adjustRightInd w:val="0"/>
        <w:snapToGrid w:val="0"/>
        <w:spacing w:line="360" w:lineRule="auto"/>
        <w:rPr>
          <w:rFonts w:ascii="Book Antiqua" w:hAnsi="Book Antiqua"/>
          <w:i/>
          <w:iCs/>
          <w:sz w:val="24"/>
        </w:rPr>
      </w:pPr>
    </w:p>
    <w:p w:rsidR="00004441" w:rsidRPr="005D33A7" w:rsidRDefault="00004441" w:rsidP="007D5F41">
      <w:pPr>
        <w:autoSpaceDE w:val="0"/>
        <w:autoSpaceDN w:val="0"/>
        <w:adjustRightInd w:val="0"/>
        <w:snapToGrid w:val="0"/>
        <w:spacing w:line="360" w:lineRule="auto"/>
        <w:rPr>
          <w:rFonts w:ascii="Book Antiqua" w:hAnsi="Book Antiqua"/>
          <w:b/>
          <w:bCs/>
          <w:iCs/>
          <w:kern w:val="0"/>
          <w:sz w:val="24"/>
        </w:rPr>
      </w:pPr>
      <w:bookmarkStart w:id="20" w:name="OLE_LINK753"/>
      <w:bookmarkStart w:id="21" w:name="OLE_LINK754"/>
      <w:bookmarkStart w:id="22" w:name="OLE_LINK722"/>
      <w:bookmarkStart w:id="23" w:name="OLE_LINK723"/>
      <w:r w:rsidRPr="005D33A7">
        <w:rPr>
          <w:rFonts w:ascii="Book Antiqua" w:hAnsi="Book Antiqua"/>
          <w:b/>
          <w:bCs/>
          <w:iCs/>
          <w:kern w:val="0"/>
          <w:sz w:val="24"/>
        </w:rPr>
        <w:t>Ethics approval:</w:t>
      </w:r>
      <w:r w:rsidRPr="005D33A7">
        <w:rPr>
          <w:rFonts w:ascii="Book Antiqua" w:hAnsi="Book Antiqua" w:cs="TimesNewRomanPS-BoldItalicMT"/>
          <w:bCs/>
          <w:iCs/>
          <w:sz w:val="24"/>
        </w:rPr>
        <w:t xml:space="preserve"> </w:t>
      </w:r>
      <w:r w:rsidRPr="005D33A7">
        <w:rPr>
          <w:rFonts w:ascii="Book Antiqua" w:hAnsi="Book Antiqua"/>
          <w:sz w:val="24"/>
        </w:rPr>
        <w:t>The study was reviewed and approved by the Cancer Hospital of Shantou University Medical College Institutional Review Board.</w:t>
      </w:r>
    </w:p>
    <w:p w:rsidR="00004441" w:rsidRPr="005D33A7" w:rsidRDefault="00004441" w:rsidP="007D5F41">
      <w:pPr>
        <w:autoSpaceDE w:val="0"/>
        <w:autoSpaceDN w:val="0"/>
        <w:adjustRightInd w:val="0"/>
        <w:snapToGrid w:val="0"/>
        <w:spacing w:line="360" w:lineRule="auto"/>
        <w:rPr>
          <w:rFonts w:ascii="Book Antiqua" w:hAnsi="Book Antiqua" w:cs="TimesNewRomanPS-BoldItalicMT"/>
          <w:b/>
          <w:bCs/>
          <w:iCs/>
          <w:kern w:val="0"/>
          <w:sz w:val="24"/>
        </w:rPr>
      </w:pPr>
    </w:p>
    <w:p w:rsidR="00004441" w:rsidRPr="005D33A7" w:rsidRDefault="00004441" w:rsidP="007D5F41">
      <w:pPr>
        <w:autoSpaceDE w:val="0"/>
        <w:autoSpaceDN w:val="0"/>
        <w:adjustRightInd w:val="0"/>
        <w:snapToGrid w:val="0"/>
        <w:spacing w:line="360" w:lineRule="auto"/>
        <w:rPr>
          <w:rFonts w:ascii="Book Antiqua" w:hAnsi="Book Antiqua" w:cs="TimesNewRomanPS-BoldItalicMT"/>
          <w:b/>
          <w:bCs/>
          <w:iCs/>
          <w:kern w:val="0"/>
          <w:sz w:val="24"/>
        </w:rPr>
      </w:pPr>
      <w:r w:rsidRPr="005D33A7">
        <w:rPr>
          <w:rFonts w:ascii="Book Antiqua" w:hAnsi="Book Antiqua" w:cs="TimesNewRomanPS-BoldItalicMT"/>
          <w:b/>
          <w:bCs/>
          <w:iCs/>
          <w:kern w:val="0"/>
          <w:sz w:val="24"/>
        </w:rPr>
        <w:t>Conflict-of-interest</w:t>
      </w:r>
      <w:r w:rsidRPr="005D33A7">
        <w:rPr>
          <w:rFonts w:ascii="Book Antiqua" w:hAnsi="Book Antiqua" w:cs="TimesNewRomanPS-BoldItalicMT"/>
          <w:b/>
          <w:bCs/>
          <w:iCs/>
          <w:sz w:val="24"/>
        </w:rPr>
        <w:t xml:space="preserve">: </w:t>
      </w:r>
      <w:r w:rsidRPr="005D33A7">
        <w:rPr>
          <w:rFonts w:ascii="Book Antiqua" w:hAnsi="Book Antiqua"/>
          <w:sz w:val="24"/>
        </w:rPr>
        <w:t>All authors declare no conflicts of interest.</w:t>
      </w:r>
    </w:p>
    <w:p w:rsidR="00004441" w:rsidRPr="005D33A7" w:rsidRDefault="00004441" w:rsidP="007D5F41">
      <w:pPr>
        <w:autoSpaceDE w:val="0"/>
        <w:autoSpaceDN w:val="0"/>
        <w:adjustRightInd w:val="0"/>
        <w:snapToGrid w:val="0"/>
        <w:spacing w:line="360" w:lineRule="auto"/>
        <w:rPr>
          <w:rFonts w:ascii="Book Antiqua" w:hAnsi="Book Antiqua" w:cs="TimesNewRomanPS-BoldItalicMT"/>
          <w:b/>
          <w:bCs/>
          <w:iCs/>
          <w:sz w:val="24"/>
        </w:rPr>
      </w:pPr>
    </w:p>
    <w:p w:rsidR="00004441" w:rsidRPr="005D33A7" w:rsidRDefault="00004441" w:rsidP="007D5F41">
      <w:pPr>
        <w:autoSpaceDE w:val="0"/>
        <w:autoSpaceDN w:val="0"/>
        <w:adjustRightInd w:val="0"/>
        <w:snapToGrid w:val="0"/>
        <w:spacing w:line="360" w:lineRule="auto"/>
        <w:rPr>
          <w:rFonts w:ascii="Book Antiqua" w:hAnsi="Book Antiqua" w:cs="TimesNewRomanPS-BoldItalicMT"/>
          <w:bCs/>
          <w:iCs/>
          <w:kern w:val="0"/>
          <w:sz w:val="24"/>
        </w:rPr>
      </w:pPr>
      <w:r w:rsidRPr="005D33A7">
        <w:rPr>
          <w:rFonts w:ascii="Book Antiqua" w:hAnsi="Book Antiqua" w:cs="TimesNewRomanPS-BoldItalicMT"/>
          <w:b/>
          <w:bCs/>
          <w:iCs/>
          <w:kern w:val="0"/>
          <w:sz w:val="24"/>
        </w:rPr>
        <w:t>Data sharing</w:t>
      </w:r>
      <w:r w:rsidRPr="005D33A7">
        <w:rPr>
          <w:rFonts w:ascii="Book Antiqua" w:hAnsi="Book Antiqua" w:cs="TimesNewRomanPS-BoldItalicMT"/>
          <w:b/>
          <w:bCs/>
          <w:iCs/>
          <w:sz w:val="24"/>
        </w:rPr>
        <w:t>:</w:t>
      </w:r>
      <w:r w:rsidRPr="005D33A7">
        <w:rPr>
          <w:rFonts w:ascii="Book Antiqua" w:eastAsia="Times New Roman" w:hAnsi="Book Antiqua"/>
          <w:sz w:val="24"/>
        </w:rPr>
        <w:t xml:space="preserve"> </w:t>
      </w:r>
      <w:r w:rsidRPr="005D33A7">
        <w:rPr>
          <w:rFonts w:ascii="Book Antiqua" w:hAnsi="Book Antiqua"/>
          <w:sz w:val="24"/>
        </w:rPr>
        <w:t xml:space="preserve">Technical appendix, statistical code, and dataset available from the corresponding author at </w:t>
      </w:r>
      <w:hyperlink r:id="rId9" w:history="1">
        <w:r w:rsidRPr="005D33A7">
          <w:rPr>
            <w:rFonts w:ascii="Book Antiqua" w:hAnsi="Book Antiqua"/>
            <w:sz w:val="24"/>
          </w:rPr>
          <w:t>stchenyp@hotmail.com</w:t>
        </w:r>
      </w:hyperlink>
    </w:p>
    <w:p w:rsidR="00004441" w:rsidRPr="005D33A7" w:rsidRDefault="00004441" w:rsidP="007D5F41">
      <w:pPr>
        <w:adjustRightInd w:val="0"/>
        <w:snapToGrid w:val="0"/>
        <w:spacing w:line="360" w:lineRule="auto"/>
        <w:rPr>
          <w:rFonts w:ascii="Book Antiqua" w:hAnsi="Book Antiqua"/>
          <w:b/>
          <w:sz w:val="24"/>
        </w:rPr>
      </w:pPr>
    </w:p>
    <w:bookmarkEnd w:id="20"/>
    <w:bookmarkEnd w:id="21"/>
    <w:bookmarkEnd w:id="22"/>
    <w:bookmarkEnd w:id="23"/>
    <w:p w:rsidR="004906FD" w:rsidRPr="005D33A7" w:rsidRDefault="004906FD" w:rsidP="004906FD">
      <w:pPr>
        <w:widowControl/>
        <w:spacing w:line="360" w:lineRule="auto"/>
        <w:rPr>
          <w:rFonts w:ascii="Book Antiqua" w:hAnsi="Book Antiqua" w:cs="宋体"/>
          <w:kern w:val="0"/>
          <w:sz w:val="24"/>
          <w:szCs w:val="22"/>
          <w:lang w:val="it-IT" w:eastAsia="en-US"/>
        </w:rPr>
      </w:pPr>
      <w:r w:rsidRPr="005D33A7">
        <w:rPr>
          <w:rFonts w:ascii="Book Antiqua" w:hAnsi="Book Antiqua"/>
          <w:b/>
          <w:kern w:val="0"/>
          <w:sz w:val="24"/>
          <w:szCs w:val="22"/>
          <w:lang w:val="it-IT" w:eastAsia="en-US"/>
        </w:rPr>
        <w:t xml:space="preserve">Open-Access: </w:t>
      </w:r>
      <w:bookmarkStart w:id="24" w:name="OLE_LINK479"/>
      <w:bookmarkStart w:id="25" w:name="OLE_LINK496"/>
      <w:bookmarkStart w:id="26" w:name="OLE_LINK506"/>
      <w:bookmarkStart w:id="27" w:name="OLE_LINK507"/>
      <w:bookmarkStart w:id="28" w:name="OLE_LINK178"/>
      <w:bookmarkStart w:id="29" w:name="OLE_LINK179"/>
      <w:r w:rsidRPr="005D33A7">
        <w:rPr>
          <w:rFonts w:ascii="Book Antiqua" w:hAnsi="Book Antiqua"/>
          <w:kern w:val="0"/>
          <w:sz w:val="24"/>
          <w:szCs w:val="22"/>
          <w:lang w:val="it-IT" w:eastAsia="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5D33A7">
          <w:rPr>
            <w:rFonts w:ascii="Book Antiqua" w:hAnsi="Book Antiqua"/>
            <w:kern w:val="0"/>
            <w:sz w:val="24"/>
            <w:szCs w:val="22"/>
            <w:u w:val="single"/>
            <w:lang w:val="it-IT" w:eastAsia="en-US"/>
          </w:rPr>
          <w:t>http://creativecommons.org/licenses/by-nc/4.0/</w:t>
        </w:r>
      </w:hyperlink>
      <w:bookmarkEnd w:id="24"/>
      <w:bookmarkEnd w:id="25"/>
      <w:bookmarkEnd w:id="26"/>
      <w:bookmarkEnd w:id="27"/>
    </w:p>
    <w:bookmarkEnd w:id="28"/>
    <w:bookmarkEnd w:id="29"/>
    <w:p w:rsidR="00004441" w:rsidRPr="005D33A7" w:rsidRDefault="00004441" w:rsidP="007D5F41">
      <w:pPr>
        <w:autoSpaceDE w:val="0"/>
        <w:autoSpaceDN w:val="0"/>
        <w:adjustRightInd w:val="0"/>
        <w:snapToGrid w:val="0"/>
        <w:spacing w:line="360" w:lineRule="auto"/>
        <w:rPr>
          <w:rFonts w:ascii="Book Antiqua" w:hAnsi="Book Antiqua"/>
          <w:i/>
          <w:iCs/>
          <w:sz w:val="24"/>
        </w:rPr>
      </w:pPr>
    </w:p>
    <w:p w:rsidR="004906FD" w:rsidRPr="005D33A7" w:rsidRDefault="004906FD" w:rsidP="007D5F41">
      <w:pPr>
        <w:autoSpaceDE w:val="0"/>
        <w:autoSpaceDN w:val="0"/>
        <w:adjustRightInd w:val="0"/>
        <w:snapToGrid w:val="0"/>
        <w:spacing w:line="360" w:lineRule="auto"/>
        <w:rPr>
          <w:rFonts w:ascii="Book Antiqua" w:hAnsi="Book Antiqua"/>
          <w:sz w:val="24"/>
        </w:rPr>
      </w:pPr>
      <w:r w:rsidRPr="005D33A7">
        <w:rPr>
          <w:rFonts w:ascii="Book Antiqua" w:hAnsi="Book Antiqua" w:cs="Arial"/>
          <w:b/>
          <w:sz w:val="24"/>
        </w:rPr>
        <w:t>Correspondence to:</w:t>
      </w:r>
      <w:bookmarkStart w:id="30" w:name="OLE_LINK180"/>
      <w:bookmarkStart w:id="31" w:name="OLE_LINK181"/>
      <w:r w:rsidRPr="005D33A7">
        <w:rPr>
          <w:rFonts w:ascii="Book Antiqua" w:hAnsi="Book Antiqua" w:cs="Arial" w:hint="eastAsia"/>
          <w:b/>
          <w:sz w:val="24"/>
        </w:rPr>
        <w:t xml:space="preserve"> </w:t>
      </w:r>
      <w:bookmarkStart w:id="32" w:name="OLE_LINK182"/>
      <w:r w:rsidR="00004441" w:rsidRPr="005D33A7">
        <w:rPr>
          <w:rFonts w:ascii="Book Antiqua" w:hAnsi="Book Antiqua"/>
          <w:b/>
          <w:iCs/>
          <w:sz w:val="24"/>
        </w:rPr>
        <w:t>Yu-</w:t>
      </w:r>
      <w:r w:rsidRPr="005D33A7">
        <w:rPr>
          <w:rFonts w:ascii="Book Antiqua" w:hAnsi="Book Antiqua"/>
          <w:b/>
          <w:iCs/>
          <w:sz w:val="24"/>
        </w:rPr>
        <w:t xml:space="preserve">Ping </w:t>
      </w:r>
      <w:r w:rsidR="00004441" w:rsidRPr="005D33A7">
        <w:rPr>
          <w:rFonts w:ascii="Book Antiqua" w:hAnsi="Book Antiqua"/>
          <w:b/>
          <w:iCs/>
          <w:sz w:val="24"/>
        </w:rPr>
        <w:t>Chen</w:t>
      </w:r>
      <w:r w:rsidRPr="005D33A7">
        <w:rPr>
          <w:rFonts w:ascii="Book Antiqua" w:hAnsi="Book Antiqua" w:hint="eastAsia"/>
          <w:b/>
          <w:iCs/>
          <w:sz w:val="24"/>
        </w:rPr>
        <w:t>,</w:t>
      </w:r>
      <w:r w:rsidR="00004441" w:rsidRPr="005D33A7">
        <w:rPr>
          <w:rFonts w:ascii="Book Antiqua" w:hAnsi="Book Antiqua"/>
          <w:i/>
          <w:iCs/>
          <w:sz w:val="24"/>
        </w:rPr>
        <w:t xml:space="preserve"> </w:t>
      </w:r>
      <w:r w:rsidR="001D7C0E" w:rsidRPr="005D33A7">
        <w:rPr>
          <w:rFonts w:ascii="Book Antiqua" w:hAnsi="Book Antiqua"/>
          <w:b/>
          <w:sz w:val="24"/>
        </w:rPr>
        <w:t>Professor</w:t>
      </w:r>
      <w:r w:rsidR="001D7C0E">
        <w:rPr>
          <w:rFonts w:ascii="Book Antiqua" w:hAnsi="Book Antiqua" w:hint="eastAsia"/>
          <w:b/>
          <w:sz w:val="24"/>
        </w:rPr>
        <w:t>,</w:t>
      </w:r>
      <w:r w:rsidR="001D7C0E" w:rsidRPr="005D33A7">
        <w:rPr>
          <w:rFonts w:ascii="Book Antiqua" w:hAnsi="Book Antiqua"/>
          <w:b/>
          <w:iCs/>
          <w:sz w:val="24"/>
        </w:rPr>
        <w:t xml:space="preserve"> </w:t>
      </w:r>
      <w:r w:rsidR="00004441" w:rsidRPr="005D33A7">
        <w:rPr>
          <w:rFonts w:ascii="Book Antiqua" w:hAnsi="Book Antiqua"/>
          <w:sz w:val="24"/>
        </w:rPr>
        <w:t xml:space="preserve">Department of Thoracic Surgery, Cancer Hospital of Shantou University Medical College, </w:t>
      </w:r>
      <w:r w:rsidRPr="005D33A7">
        <w:rPr>
          <w:rFonts w:ascii="Book Antiqua" w:hAnsi="Book Antiqua" w:hint="eastAsia"/>
          <w:sz w:val="24"/>
        </w:rPr>
        <w:t xml:space="preserve">No. </w:t>
      </w:r>
      <w:r w:rsidR="00004441" w:rsidRPr="005D33A7">
        <w:rPr>
          <w:rFonts w:ascii="Book Antiqua" w:hAnsi="Book Antiqua"/>
          <w:sz w:val="24"/>
        </w:rPr>
        <w:t>7 Raoping Road, Shantou</w:t>
      </w:r>
      <w:r w:rsidRPr="005D33A7">
        <w:rPr>
          <w:rFonts w:ascii="Book Antiqua" w:hAnsi="Book Antiqua" w:hint="eastAsia"/>
          <w:sz w:val="24"/>
        </w:rPr>
        <w:t xml:space="preserve"> </w:t>
      </w:r>
      <w:r w:rsidRPr="005D33A7">
        <w:rPr>
          <w:rFonts w:ascii="Book Antiqua" w:hAnsi="Book Antiqua"/>
          <w:sz w:val="24"/>
        </w:rPr>
        <w:t>515000, Guangdong</w:t>
      </w:r>
      <w:r w:rsidRPr="005D33A7">
        <w:rPr>
          <w:rFonts w:ascii="Book Antiqua" w:hAnsi="Book Antiqua" w:hint="eastAsia"/>
          <w:sz w:val="24"/>
        </w:rPr>
        <w:t xml:space="preserve"> Province</w:t>
      </w:r>
      <w:r w:rsidR="00004441" w:rsidRPr="005D33A7">
        <w:rPr>
          <w:rFonts w:ascii="Book Antiqua" w:hAnsi="Book Antiqua"/>
          <w:sz w:val="24"/>
        </w:rPr>
        <w:t>, China.</w:t>
      </w:r>
      <w:r w:rsidRPr="005D33A7">
        <w:rPr>
          <w:rFonts w:ascii="Book Antiqua" w:hAnsi="Book Antiqua" w:hint="eastAsia"/>
          <w:sz w:val="24"/>
        </w:rPr>
        <w:t xml:space="preserve"> </w:t>
      </w:r>
      <w:hyperlink r:id="rId11" w:history="1">
        <w:r w:rsidRPr="005D33A7">
          <w:rPr>
            <w:rStyle w:val="a9"/>
            <w:rFonts w:ascii="Book Antiqua" w:hAnsi="Book Antiqua"/>
            <w:iCs/>
            <w:color w:val="auto"/>
            <w:sz w:val="24"/>
          </w:rPr>
          <w:t>stchenyp@hotmail.com</w:t>
        </w:r>
      </w:hyperlink>
    </w:p>
    <w:p w:rsidR="004906FD" w:rsidRPr="005D33A7" w:rsidRDefault="00004441" w:rsidP="007D5F41">
      <w:pPr>
        <w:autoSpaceDE w:val="0"/>
        <w:autoSpaceDN w:val="0"/>
        <w:adjustRightInd w:val="0"/>
        <w:snapToGrid w:val="0"/>
        <w:spacing w:line="360" w:lineRule="auto"/>
        <w:rPr>
          <w:rFonts w:ascii="Book Antiqua" w:hAnsi="Book Antiqua"/>
          <w:sz w:val="24"/>
        </w:rPr>
      </w:pPr>
      <w:bookmarkStart w:id="33" w:name="OLE_LINK726"/>
      <w:bookmarkStart w:id="34" w:name="OLE_LINK727"/>
      <w:bookmarkStart w:id="35" w:name="OLE_LINK1102"/>
      <w:bookmarkStart w:id="36" w:name="OLE_LINK1103"/>
      <w:bookmarkStart w:id="37" w:name="OLE_LINK1049"/>
      <w:bookmarkStart w:id="38" w:name="OLE_LINK1057"/>
      <w:bookmarkEnd w:id="30"/>
      <w:bookmarkEnd w:id="31"/>
      <w:bookmarkEnd w:id="32"/>
      <w:r w:rsidRPr="005D33A7">
        <w:rPr>
          <w:rFonts w:ascii="Book Antiqua" w:hAnsi="Book Antiqua"/>
          <w:b/>
          <w:bCs/>
          <w:kern w:val="0"/>
          <w:sz w:val="24"/>
        </w:rPr>
        <w:t xml:space="preserve">Telephone: </w:t>
      </w:r>
      <w:bookmarkStart w:id="39" w:name="OLE_LINK1415"/>
      <w:bookmarkStart w:id="40" w:name="OLE_LINK1416"/>
      <w:bookmarkStart w:id="41" w:name="OLE_LINK1417"/>
      <w:r w:rsidRPr="005D33A7">
        <w:rPr>
          <w:rFonts w:ascii="Book Antiqua" w:hAnsi="Book Antiqua"/>
          <w:kern w:val="0"/>
          <w:sz w:val="24"/>
        </w:rPr>
        <w:t>+</w:t>
      </w:r>
      <w:bookmarkStart w:id="42" w:name="OLE_LINK42"/>
      <w:bookmarkStart w:id="43" w:name="OLE_LINK128"/>
      <w:bookmarkStart w:id="44" w:name="OLE_LINK951"/>
      <w:bookmarkStart w:id="45" w:name="OLE_LINK955"/>
      <w:bookmarkEnd w:id="39"/>
      <w:bookmarkEnd w:id="40"/>
      <w:bookmarkEnd w:id="41"/>
      <w:r w:rsidRPr="005D33A7">
        <w:rPr>
          <w:rFonts w:ascii="Book Antiqua" w:hAnsi="Book Antiqua"/>
          <w:sz w:val="24"/>
        </w:rPr>
        <w:t>86-754-88555844</w:t>
      </w:r>
      <w:bookmarkStart w:id="46" w:name="OLE_LINK440"/>
    </w:p>
    <w:p w:rsidR="00004441" w:rsidRPr="005D33A7" w:rsidRDefault="00004441" w:rsidP="007D5F41">
      <w:pPr>
        <w:autoSpaceDE w:val="0"/>
        <w:autoSpaceDN w:val="0"/>
        <w:adjustRightInd w:val="0"/>
        <w:snapToGrid w:val="0"/>
        <w:spacing w:line="360" w:lineRule="auto"/>
        <w:rPr>
          <w:rFonts w:ascii="Book Antiqua" w:hAnsi="Book Antiqua"/>
          <w:kern w:val="0"/>
          <w:sz w:val="24"/>
        </w:rPr>
      </w:pPr>
      <w:r w:rsidRPr="005D33A7">
        <w:rPr>
          <w:rFonts w:ascii="Book Antiqua" w:hAnsi="Book Antiqua"/>
          <w:b/>
          <w:bCs/>
          <w:kern w:val="0"/>
          <w:sz w:val="24"/>
        </w:rPr>
        <w:t>Fax:</w:t>
      </w:r>
      <w:r w:rsidRPr="005D33A7">
        <w:rPr>
          <w:rFonts w:ascii="Book Antiqua" w:hAnsi="Book Antiqua"/>
          <w:kern w:val="0"/>
          <w:sz w:val="24"/>
        </w:rPr>
        <w:t xml:space="preserve"> +</w:t>
      </w:r>
      <w:bookmarkEnd w:id="42"/>
      <w:bookmarkEnd w:id="43"/>
      <w:bookmarkEnd w:id="46"/>
      <w:r w:rsidRPr="005D33A7">
        <w:rPr>
          <w:rFonts w:ascii="Book Antiqua" w:hAnsi="Book Antiqua"/>
          <w:kern w:val="0"/>
          <w:sz w:val="24"/>
        </w:rPr>
        <w:t>86-754-88560352</w:t>
      </w:r>
    </w:p>
    <w:bookmarkEnd w:id="33"/>
    <w:bookmarkEnd w:id="34"/>
    <w:bookmarkEnd w:id="44"/>
    <w:bookmarkEnd w:id="45"/>
    <w:p w:rsidR="00004441" w:rsidRPr="005D33A7" w:rsidRDefault="00004441" w:rsidP="007D5F41">
      <w:pPr>
        <w:adjustRightInd w:val="0"/>
        <w:snapToGrid w:val="0"/>
        <w:spacing w:line="360" w:lineRule="auto"/>
        <w:rPr>
          <w:rFonts w:ascii="Book Antiqua" w:hAnsi="Book Antiqua"/>
          <w:b/>
          <w:sz w:val="24"/>
        </w:rPr>
      </w:pPr>
    </w:p>
    <w:p w:rsidR="00004441" w:rsidRPr="005D33A7" w:rsidRDefault="00004441" w:rsidP="007D5F41">
      <w:pPr>
        <w:adjustRightInd w:val="0"/>
        <w:snapToGrid w:val="0"/>
        <w:spacing w:line="360" w:lineRule="auto"/>
        <w:rPr>
          <w:rFonts w:ascii="Book Antiqua" w:hAnsi="Book Antiqua"/>
          <w:b/>
          <w:sz w:val="24"/>
        </w:rPr>
      </w:pPr>
      <w:r w:rsidRPr="005D33A7">
        <w:rPr>
          <w:rFonts w:ascii="Book Antiqua" w:hAnsi="Book Antiqua"/>
          <w:b/>
          <w:sz w:val="24"/>
        </w:rPr>
        <w:t xml:space="preserve">Received: </w:t>
      </w:r>
      <w:r w:rsidRPr="005D33A7">
        <w:rPr>
          <w:rFonts w:ascii="Book Antiqua" w:hAnsi="Book Antiqua"/>
          <w:sz w:val="24"/>
        </w:rPr>
        <w:t>November 15, 2014</w:t>
      </w:r>
    </w:p>
    <w:p w:rsidR="00004441" w:rsidRPr="005D33A7" w:rsidRDefault="00004441" w:rsidP="007D5F41">
      <w:pPr>
        <w:adjustRightInd w:val="0"/>
        <w:snapToGrid w:val="0"/>
        <w:spacing w:line="360" w:lineRule="auto"/>
        <w:rPr>
          <w:rFonts w:ascii="Book Antiqua" w:hAnsi="Book Antiqua"/>
          <w:b/>
          <w:sz w:val="24"/>
        </w:rPr>
      </w:pPr>
      <w:r w:rsidRPr="005D33A7">
        <w:rPr>
          <w:rFonts w:ascii="Book Antiqua" w:hAnsi="Book Antiqua"/>
          <w:b/>
          <w:sz w:val="24"/>
        </w:rPr>
        <w:t>Peer-review started:</w:t>
      </w:r>
      <w:r w:rsidR="004906FD" w:rsidRPr="005D33A7">
        <w:rPr>
          <w:rFonts w:ascii="Book Antiqua" w:hAnsi="Book Antiqua" w:hint="eastAsia"/>
          <w:b/>
          <w:sz w:val="24"/>
        </w:rPr>
        <w:t xml:space="preserve"> </w:t>
      </w:r>
      <w:r w:rsidRPr="005D33A7">
        <w:rPr>
          <w:rFonts w:ascii="Book Antiqua" w:hAnsi="Book Antiqua"/>
          <w:sz w:val="24"/>
        </w:rPr>
        <w:t>November 17, 2014</w:t>
      </w:r>
    </w:p>
    <w:p w:rsidR="00004441" w:rsidRPr="005D33A7" w:rsidRDefault="00004441" w:rsidP="007D5F41">
      <w:pPr>
        <w:adjustRightInd w:val="0"/>
        <w:snapToGrid w:val="0"/>
        <w:spacing w:line="360" w:lineRule="auto"/>
        <w:rPr>
          <w:rFonts w:ascii="Book Antiqua" w:hAnsi="Book Antiqua"/>
          <w:b/>
          <w:sz w:val="24"/>
        </w:rPr>
      </w:pPr>
      <w:r w:rsidRPr="005D33A7">
        <w:rPr>
          <w:rFonts w:ascii="Book Antiqua" w:hAnsi="Book Antiqua"/>
          <w:b/>
          <w:sz w:val="24"/>
        </w:rPr>
        <w:t>First decision:</w:t>
      </w:r>
      <w:r w:rsidR="004906FD" w:rsidRPr="005D33A7">
        <w:rPr>
          <w:rFonts w:ascii="Book Antiqua" w:hAnsi="Book Antiqua" w:hint="eastAsia"/>
          <w:b/>
          <w:sz w:val="24"/>
        </w:rPr>
        <w:t xml:space="preserve"> </w:t>
      </w:r>
      <w:r w:rsidRPr="005D33A7">
        <w:rPr>
          <w:rFonts w:ascii="Book Antiqua" w:hAnsi="Book Antiqua"/>
          <w:sz w:val="24"/>
        </w:rPr>
        <w:t>December 26, 2014</w:t>
      </w:r>
    </w:p>
    <w:p w:rsidR="00004441" w:rsidRPr="005D33A7" w:rsidRDefault="00ED3454" w:rsidP="007D5F41">
      <w:pPr>
        <w:adjustRightInd w:val="0"/>
        <w:snapToGrid w:val="0"/>
        <w:spacing w:line="360" w:lineRule="auto"/>
        <w:rPr>
          <w:rFonts w:ascii="Book Antiqua" w:hAnsi="Book Antiqua"/>
          <w:b/>
          <w:sz w:val="24"/>
        </w:rPr>
      </w:pPr>
      <w:r w:rsidRPr="005D33A7">
        <w:rPr>
          <w:rFonts w:ascii="Book Antiqua" w:hAnsi="Book Antiqua"/>
          <w:b/>
          <w:sz w:val="24"/>
        </w:rPr>
        <w:t>Revised:</w:t>
      </w:r>
      <w:r w:rsidRPr="005D33A7">
        <w:rPr>
          <w:rFonts w:ascii="Book Antiqua" w:hAnsi="Book Antiqua" w:hint="eastAsia"/>
          <w:b/>
          <w:sz w:val="24"/>
        </w:rPr>
        <w:t xml:space="preserve"> </w:t>
      </w:r>
      <w:r w:rsidRPr="005D33A7">
        <w:rPr>
          <w:rFonts w:ascii="Book Antiqua" w:hAnsi="Book Antiqua" w:hint="eastAsia"/>
          <w:sz w:val="24"/>
        </w:rPr>
        <w:t>February 6, 2015</w:t>
      </w:r>
    </w:p>
    <w:p w:rsidR="00367590" w:rsidRPr="000213AF" w:rsidRDefault="00402A54" w:rsidP="00367590">
      <w:pPr>
        <w:rPr>
          <w:rFonts w:ascii="Book Antiqua" w:hAnsi="Book Antiqua"/>
          <w:color w:val="000000"/>
          <w:sz w:val="24"/>
        </w:rPr>
      </w:pPr>
      <w:r w:rsidRPr="005D33A7">
        <w:rPr>
          <w:rFonts w:ascii="Book Antiqua" w:hAnsi="Book Antiqua"/>
          <w:b/>
          <w:sz w:val="24"/>
        </w:rPr>
        <w:lastRenderedPageBreak/>
        <w:t>Accepted:</w:t>
      </w:r>
      <w:bookmarkStart w:id="47" w:name="OLE_LINK98"/>
      <w:bookmarkStart w:id="48" w:name="OLE_LINK99"/>
      <w:bookmarkStart w:id="49" w:name="OLE_LINK104"/>
      <w:r w:rsidR="00367590" w:rsidRPr="00367590">
        <w:rPr>
          <w:rFonts w:ascii="Book Antiqua" w:hAnsi="Book Antiqua"/>
          <w:color w:val="000000"/>
          <w:sz w:val="24"/>
        </w:rPr>
        <w:t xml:space="preserve"> </w:t>
      </w:r>
      <w:r w:rsidR="00367590">
        <w:rPr>
          <w:rFonts w:ascii="Book Antiqua" w:hAnsi="Book Antiqua"/>
          <w:color w:val="000000"/>
          <w:sz w:val="24"/>
        </w:rPr>
        <w:t>March 18</w:t>
      </w:r>
      <w:r w:rsidR="00367590" w:rsidRPr="000213AF">
        <w:rPr>
          <w:rFonts w:ascii="Book Antiqua" w:hAnsi="Book Antiqua"/>
          <w:color w:val="000000"/>
          <w:sz w:val="24"/>
        </w:rPr>
        <w:t>, 2015</w:t>
      </w:r>
    </w:p>
    <w:bookmarkEnd w:id="47"/>
    <w:bookmarkEnd w:id="48"/>
    <w:bookmarkEnd w:id="49"/>
    <w:p w:rsidR="00004441" w:rsidRPr="005D33A7" w:rsidRDefault="00402A54" w:rsidP="007D5F41">
      <w:pPr>
        <w:adjustRightInd w:val="0"/>
        <w:snapToGrid w:val="0"/>
        <w:spacing w:line="360" w:lineRule="auto"/>
        <w:rPr>
          <w:rFonts w:ascii="Book Antiqua" w:hAnsi="Book Antiqua"/>
          <w:b/>
          <w:sz w:val="24"/>
        </w:rPr>
      </w:pPr>
      <w:r w:rsidRPr="005D33A7">
        <w:rPr>
          <w:rFonts w:ascii="Book Antiqua" w:hAnsi="Book Antiqua"/>
          <w:b/>
          <w:sz w:val="24"/>
        </w:rPr>
        <w:t xml:space="preserve"> </w:t>
      </w:r>
    </w:p>
    <w:p w:rsidR="00004441" w:rsidRPr="005D33A7" w:rsidRDefault="00004441" w:rsidP="007D5F41">
      <w:pPr>
        <w:adjustRightInd w:val="0"/>
        <w:snapToGrid w:val="0"/>
        <w:spacing w:line="360" w:lineRule="auto"/>
        <w:rPr>
          <w:rFonts w:ascii="Book Antiqua" w:hAnsi="Book Antiqua"/>
          <w:b/>
          <w:sz w:val="24"/>
        </w:rPr>
      </w:pPr>
      <w:r w:rsidRPr="005D33A7">
        <w:rPr>
          <w:rFonts w:ascii="Book Antiqua" w:hAnsi="Book Antiqua"/>
          <w:b/>
          <w:sz w:val="24"/>
        </w:rPr>
        <w:t>Article in press:</w:t>
      </w:r>
    </w:p>
    <w:p w:rsidR="00004441" w:rsidRPr="005D33A7" w:rsidRDefault="00004441" w:rsidP="007D5F41">
      <w:pPr>
        <w:adjustRightInd w:val="0"/>
        <w:snapToGrid w:val="0"/>
        <w:spacing w:line="360" w:lineRule="auto"/>
        <w:rPr>
          <w:rFonts w:ascii="Book Antiqua" w:hAnsi="Book Antiqua"/>
          <w:b/>
          <w:sz w:val="24"/>
        </w:rPr>
      </w:pPr>
      <w:r w:rsidRPr="005D33A7">
        <w:rPr>
          <w:rFonts w:ascii="Book Antiqua" w:hAnsi="Book Antiqua"/>
          <w:b/>
          <w:sz w:val="24"/>
        </w:rPr>
        <w:t xml:space="preserve">Published online: </w:t>
      </w:r>
    </w:p>
    <w:bookmarkEnd w:id="35"/>
    <w:bookmarkEnd w:id="36"/>
    <w:bookmarkEnd w:id="37"/>
    <w:bookmarkEnd w:id="38"/>
    <w:p w:rsidR="00665DC9" w:rsidRPr="005D33A7" w:rsidRDefault="00665DC9" w:rsidP="007D5F41">
      <w:pPr>
        <w:autoSpaceDE w:val="0"/>
        <w:autoSpaceDN w:val="0"/>
        <w:adjustRightInd w:val="0"/>
        <w:snapToGrid w:val="0"/>
        <w:spacing w:line="360" w:lineRule="auto"/>
        <w:rPr>
          <w:rFonts w:ascii="Book Antiqua" w:hAnsi="Book Antiqua"/>
          <w:sz w:val="24"/>
          <w:lang w:val="en-GB"/>
        </w:rPr>
      </w:pPr>
    </w:p>
    <w:p w:rsidR="00004441" w:rsidRPr="005D33A7" w:rsidRDefault="00004441"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b/>
          <w:bCs/>
          <w:sz w:val="24"/>
        </w:rPr>
        <w:t xml:space="preserve">Abstract </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b/>
          <w:bCs/>
          <w:sz w:val="24"/>
        </w:rPr>
        <w:t xml:space="preserve">AIM: </w:t>
      </w:r>
      <w:r w:rsidRPr="005D33A7">
        <w:rPr>
          <w:rFonts w:ascii="Book Antiqua" w:hAnsi="Book Antiqua"/>
          <w:sz w:val="24"/>
        </w:rPr>
        <w:t>To analyze a modified staging system utilizing lymph node ratio (LNR) in patients with esophageal squamous cell carcinoma (ESCC)</w:t>
      </w:r>
      <w:r w:rsidR="00ED3454" w:rsidRPr="005D33A7">
        <w:rPr>
          <w:rFonts w:ascii="Book Antiqua" w:hAnsi="Book Antiqua" w:hint="eastAsia"/>
          <w:sz w:val="24"/>
        </w:rPr>
        <w:t>.</w:t>
      </w:r>
    </w:p>
    <w:p w:rsidR="00ED3454" w:rsidRPr="005D33A7" w:rsidRDefault="00ED3454" w:rsidP="007D5F41">
      <w:pPr>
        <w:autoSpaceDE w:val="0"/>
        <w:autoSpaceDN w:val="0"/>
        <w:adjustRightInd w:val="0"/>
        <w:snapToGrid w:val="0"/>
        <w:spacing w:line="360" w:lineRule="auto"/>
        <w:rPr>
          <w:rFonts w:ascii="Book Antiqua" w:hAnsi="Book Antiqua"/>
          <w:sz w:val="24"/>
        </w:rPr>
      </w:pPr>
      <w:bookmarkStart w:id="50" w:name="_GoBack"/>
      <w:bookmarkEnd w:id="50"/>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b/>
          <w:bCs/>
          <w:sz w:val="24"/>
        </w:rPr>
        <w:t xml:space="preserve">METHODS: </w:t>
      </w:r>
      <w:r w:rsidRPr="005D33A7">
        <w:rPr>
          <w:rFonts w:ascii="Book Antiqua" w:hAnsi="Book Antiqua"/>
          <w:sz w:val="24"/>
        </w:rPr>
        <w:t xml:space="preserve">Clinical data of 2011 patients with ESCC who underwent surgical resection alone between January 1995 and June 2010 at the Cancer Hospital of Shantou University Medical College were reviewed. The LNR, or </w:t>
      </w:r>
      <w:bookmarkStart w:id="51" w:name="OLE_LINK132"/>
      <w:bookmarkStart w:id="52" w:name="OLE_LINK133"/>
      <w:r w:rsidRPr="005D33A7">
        <w:rPr>
          <w:rFonts w:ascii="Book Antiqua" w:hAnsi="Book Antiqua"/>
          <w:sz w:val="24"/>
        </w:rPr>
        <w:t>node ratio</w:t>
      </w:r>
      <w:bookmarkEnd w:id="51"/>
      <w:bookmarkEnd w:id="52"/>
      <w:r w:rsidRPr="005D33A7">
        <w:rPr>
          <w:rFonts w:ascii="Book Antiqua" w:hAnsi="Book Antiqua"/>
          <w:sz w:val="24"/>
        </w:rPr>
        <w:t xml:space="preserve"> (Nr) is defined as the ratio of metastatic lymph node number compared with the total resected node number. Overall survivals between groups were compared with the log-rank test. The cutoff points of LNR were established by grouping patients with 10% increment in node ratio, and then combining the neighborhood survival curves using the log-rank test. A new TNrM staging system, was constructed by replacing the </w:t>
      </w:r>
      <w:bookmarkStart w:id="53" w:name="OLE_LINK126"/>
      <w:bookmarkStart w:id="54" w:name="OLE_LINK127"/>
      <w:bookmarkStart w:id="55" w:name="OLE_LINK131"/>
      <w:bookmarkStart w:id="56" w:name="OLE_LINK134"/>
      <w:r w:rsidRPr="005D33A7">
        <w:rPr>
          <w:rFonts w:ascii="Book Antiqua" w:hAnsi="Book Antiqua"/>
          <w:sz w:val="24"/>
        </w:rPr>
        <w:t>American Joint Committee on Cancer</w:t>
      </w:r>
      <w:bookmarkEnd w:id="53"/>
      <w:bookmarkEnd w:id="54"/>
      <w:bookmarkEnd w:id="55"/>
      <w:bookmarkEnd w:id="56"/>
      <w:r w:rsidRPr="005D33A7">
        <w:rPr>
          <w:rFonts w:ascii="Book Antiqua" w:hAnsi="Book Antiqua"/>
          <w:sz w:val="24"/>
        </w:rPr>
        <w:t xml:space="preserve"> (AJCC) N categories with the Nr categories in the new TNM staging system. The time-dependent receiver operating characteristic curves was used to evaluate the predictive performance of the seventh edition AJCC staging system and the TNrM staging system.</w:t>
      </w:r>
    </w:p>
    <w:p w:rsidR="00ED3454" w:rsidRPr="005D33A7" w:rsidRDefault="00ED3454" w:rsidP="007D5F41">
      <w:pPr>
        <w:autoSpaceDE w:val="0"/>
        <w:autoSpaceDN w:val="0"/>
        <w:adjustRightInd w:val="0"/>
        <w:snapToGrid w:val="0"/>
        <w:spacing w:line="360" w:lineRule="auto"/>
        <w:rPr>
          <w:rFonts w:ascii="Book Antiqua" w:hAnsi="Book Antiqua"/>
          <w:b/>
          <w:sz w:val="24"/>
        </w:rPr>
      </w:pP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b/>
          <w:bCs/>
          <w:sz w:val="24"/>
        </w:rPr>
        <w:t xml:space="preserve">RESULTS: </w:t>
      </w:r>
      <w:r w:rsidRPr="005D33A7">
        <w:rPr>
          <w:rFonts w:ascii="Book Antiqua" w:hAnsi="Book Antiqua"/>
          <w:sz w:val="24"/>
        </w:rPr>
        <w:t>The median number of resected lymph nodes was 12 (range</w:t>
      </w:r>
      <w:r w:rsidR="00ED3454" w:rsidRPr="005D33A7">
        <w:rPr>
          <w:rFonts w:ascii="Book Antiqua" w:hAnsi="Book Antiqua" w:hint="eastAsia"/>
          <w:sz w:val="24"/>
        </w:rPr>
        <w:t>:</w:t>
      </w:r>
      <w:r w:rsidRPr="005D33A7">
        <w:rPr>
          <w:rFonts w:ascii="Book Antiqua" w:hAnsi="Book Antiqua"/>
          <w:sz w:val="24"/>
        </w:rPr>
        <w:t xml:space="preserve"> 4–44), and 25% and 75% interquartile range was 8 and 16. Patients were classified into four Nr categories with distinctive survival differences (Nr0: LNR</w:t>
      </w:r>
      <w:r w:rsidR="00ED3454" w:rsidRPr="005D33A7">
        <w:rPr>
          <w:rFonts w:ascii="Book Antiqua" w:hAnsi="Book Antiqua" w:hint="eastAsia"/>
          <w:sz w:val="24"/>
        </w:rPr>
        <w:t xml:space="preserve"> </w:t>
      </w:r>
      <w:r w:rsidRPr="005D33A7">
        <w:rPr>
          <w:rFonts w:ascii="Book Antiqua" w:hAnsi="Book Antiqua"/>
          <w:sz w:val="24"/>
        </w:rPr>
        <w:t>=</w:t>
      </w:r>
      <w:r w:rsidR="00ED3454" w:rsidRPr="005D33A7">
        <w:rPr>
          <w:rFonts w:ascii="Book Antiqua" w:hAnsi="Book Antiqua" w:hint="eastAsia"/>
          <w:sz w:val="24"/>
        </w:rPr>
        <w:t xml:space="preserve"> </w:t>
      </w:r>
      <w:r w:rsidRPr="005D33A7">
        <w:rPr>
          <w:rFonts w:ascii="Book Antiqua" w:hAnsi="Book Antiqua"/>
          <w:sz w:val="24"/>
        </w:rPr>
        <w:t xml:space="preserve">0; Nr1: 0% &lt; LNR </w:t>
      </w:r>
      <w:r w:rsidRPr="005D33A7">
        <w:rPr>
          <w:rFonts w:ascii="Book Antiqua" w:hAnsi="Book Antiqua"/>
          <w:sz w:val="24"/>
        </w:rPr>
        <w:sym w:font="Symbol" w:char="F0A3"/>
      </w:r>
      <w:r w:rsidRPr="005D33A7">
        <w:rPr>
          <w:rFonts w:ascii="Book Antiqua" w:hAnsi="Book Antiqua"/>
          <w:sz w:val="24"/>
        </w:rPr>
        <w:t xml:space="preserve"> 10%; Nr2: 10% &lt; LNR </w:t>
      </w:r>
      <w:r w:rsidRPr="005D33A7">
        <w:rPr>
          <w:rFonts w:ascii="Book Antiqua" w:hAnsi="Book Antiqua"/>
          <w:sz w:val="24"/>
        </w:rPr>
        <w:sym w:font="Symbol" w:char="F0A3"/>
      </w:r>
      <w:r w:rsidRPr="005D33A7">
        <w:rPr>
          <w:rFonts w:ascii="Book Antiqua" w:hAnsi="Book Antiqua"/>
          <w:sz w:val="24"/>
        </w:rPr>
        <w:t xml:space="preserve"> 20%; and Nr3: LNR &gt; 20%). From N categories to Nr categories, 557 patients change</w:t>
      </w:r>
      <w:r w:rsidR="00A3522B" w:rsidRPr="005D33A7">
        <w:rPr>
          <w:rFonts w:ascii="Book Antiqua" w:hAnsi="Book Antiqua"/>
          <w:sz w:val="24"/>
        </w:rPr>
        <w:t>d</w:t>
      </w:r>
      <w:r w:rsidRPr="005D33A7">
        <w:rPr>
          <w:rFonts w:ascii="Book Antiqua" w:hAnsi="Book Antiqua"/>
          <w:sz w:val="24"/>
        </w:rPr>
        <w:t xml:space="preserve"> their lymph node stage. The median survival time (MST) for the four Nr categories (Nr0-Nr3) was 155.0 </w:t>
      </w:r>
      <w:r w:rsidR="00ED3454" w:rsidRPr="005D33A7">
        <w:rPr>
          <w:rFonts w:ascii="Book Antiqua" w:hAnsi="Book Antiqua" w:hint="eastAsia"/>
          <w:sz w:val="24"/>
        </w:rPr>
        <w:t>mo</w:t>
      </w:r>
      <w:r w:rsidRPr="005D33A7">
        <w:rPr>
          <w:rFonts w:ascii="Book Antiqua" w:hAnsi="Book Antiqua"/>
          <w:sz w:val="24"/>
        </w:rPr>
        <w:t xml:space="preserve">, 39.0 </w:t>
      </w:r>
      <w:r w:rsidR="00ED3454" w:rsidRPr="005D33A7">
        <w:rPr>
          <w:rFonts w:ascii="Book Antiqua" w:hAnsi="Book Antiqua" w:hint="eastAsia"/>
          <w:sz w:val="24"/>
        </w:rPr>
        <w:t>mo</w:t>
      </w:r>
      <w:r w:rsidRPr="005D33A7">
        <w:rPr>
          <w:rFonts w:ascii="Book Antiqua" w:hAnsi="Book Antiqua"/>
          <w:sz w:val="24"/>
        </w:rPr>
        <w:t xml:space="preserve">, 28.0 </w:t>
      </w:r>
      <w:r w:rsidR="00ED3454" w:rsidRPr="005D33A7">
        <w:rPr>
          <w:rFonts w:ascii="Book Antiqua" w:hAnsi="Book Antiqua" w:hint="eastAsia"/>
          <w:sz w:val="24"/>
        </w:rPr>
        <w:t>mo</w:t>
      </w:r>
      <w:r w:rsidRPr="005D33A7">
        <w:rPr>
          <w:rFonts w:ascii="Book Antiqua" w:hAnsi="Book Antiqua"/>
          <w:sz w:val="24"/>
        </w:rPr>
        <w:t xml:space="preserve">, </w:t>
      </w:r>
      <w:r w:rsidRPr="005D33A7">
        <w:rPr>
          <w:rFonts w:ascii="Book Antiqua" w:hAnsi="Book Antiqua"/>
          <w:sz w:val="24"/>
        </w:rPr>
        <w:lastRenderedPageBreak/>
        <w:t xml:space="preserve">and 19.0 </w:t>
      </w:r>
      <w:r w:rsidR="00ED3454" w:rsidRPr="005D33A7">
        <w:rPr>
          <w:rFonts w:ascii="Book Antiqua" w:hAnsi="Book Antiqua" w:hint="eastAsia"/>
          <w:sz w:val="24"/>
        </w:rPr>
        <w:t>mo</w:t>
      </w:r>
      <w:r w:rsidRPr="005D33A7">
        <w:rPr>
          <w:rFonts w:ascii="Book Antiqua" w:hAnsi="Book Antiqua"/>
          <w:sz w:val="24"/>
        </w:rPr>
        <w:t>, respectively, ant the 5-year overall survival was 61.1%, 41.1%, 33.0%, and 22.9%, respectively (</w:t>
      </w:r>
      <w:r w:rsidR="00ED3454" w:rsidRPr="005D33A7">
        <w:rPr>
          <w:rFonts w:ascii="Book Antiqua" w:hAnsi="Book Antiqua"/>
          <w:i/>
          <w:sz w:val="24"/>
        </w:rPr>
        <w:t>P &lt;</w:t>
      </w:r>
      <w:r w:rsidRPr="005D33A7">
        <w:rPr>
          <w:rFonts w:ascii="Book Antiqua" w:hAnsi="Book Antiqua"/>
          <w:sz w:val="24"/>
        </w:rPr>
        <w:t xml:space="preserve"> 0.001). Overall survival was significantly different for the AJCC N categories when </w:t>
      </w:r>
      <w:r w:rsidR="00A3522B" w:rsidRPr="005D33A7">
        <w:rPr>
          <w:rFonts w:ascii="Book Antiqua" w:hAnsi="Book Antiqua"/>
          <w:sz w:val="24"/>
        </w:rPr>
        <w:t xml:space="preserve">patients were </w:t>
      </w:r>
      <w:r w:rsidRPr="005D33A7">
        <w:rPr>
          <w:rFonts w:ascii="Book Antiqua" w:hAnsi="Book Antiqua"/>
          <w:sz w:val="24"/>
        </w:rPr>
        <w:t xml:space="preserve">subgrouped into 15 or more </w:t>
      </w:r>
      <w:r w:rsidR="00FA4060" w:rsidRPr="005D33A7">
        <w:rPr>
          <w:rFonts w:ascii="Book Antiqua" w:hAnsi="Book Antiqua"/>
          <w:i/>
          <w:sz w:val="24"/>
        </w:rPr>
        <w:t>vs</w:t>
      </w:r>
      <w:r w:rsidRPr="005D33A7">
        <w:rPr>
          <w:rFonts w:ascii="Book Antiqua" w:hAnsi="Book Antiqua"/>
          <w:sz w:val="24"/>
        </w:rPr>
        <w:t xml:space="preserve"> fewer than 15 examined nodes, except for the N3 category (</w:t>
      </w:r>
      <w:r w:rsidR="00ED3454" w:rsidRPr="005D33A7">
        <w:rPr>
          <w:rFonts w:ascii="Book Antiqua" w:hAnsi="Book Antiqua"/>
          <w:i/>
          <w:sz w:val="24"/>
        </w:rPr>
        <w:t xml:space="preserve">P = </w:t>
      </w:r>
      <w:r w:rsidRPr="005D33A7">
        <w:rPr>
          <w:rFonts w:ascii="Book Antiqua" w:hAnsi="Book Antiqua"/>
          <w:sz w:val="24"/>
        </w:rPr>
        <w:t xml:space="preserve">0.292). However, overall survival was similar when the patients in all four Nr categories were subgrouped into 15 or more </w:t>
      </w:r>
      <w:r w:rsidR="00FA4060" w:rsidRPr="005D33A7">
        <w:rPr>
          <w:rFonts w:ascii="Book Antiqua" w:hAnsi="Book Antiqua"/>
          <w:i/>
          <w:sz w:val="24"/>
        </w:rPr>
        <w:t>vs</w:t>
      </w:r>
      <w:r w:rsidRPr="005D33A7">
        <w:rPr>
          <w:rFonts w:ascii="Book Antiqua" w:hAnsi="Book Antiqua"/>
          <w:sz w:val="24"/>
        </w:rPr>
        <w:t xml:space="preserve"> fewer than 15 nodes. Using the time-dependent receiver operating characteristic, we found that the Nr category and TNrM stage had higher accuracy in predicting survival than the AJCC N category and TNM stage. </w:t>
      </w:r>
    </w:p>
    <w:p w:rsidR="00ED3454" w:rsidRPr="005D33A7" w:rsidRDefault="00ED3454" w:rsidP="007D5F41">
      <w:pPr>
        <w:autoSpaceDE w:val="0"/>
        <w:autoSpaceDN w:val="0"/>
        <w:adjustRightInd w:val="0"/>
        <w:snapToGrid w:val="0"/>
        <w:spacing w:line="360" w:lineRule="auto"/>
        <w:rPr>
          <w:rFonts w:ascii="Book Antiqua" w:hAnsi="Book Antiqua"/>
          <w:sz w:val="24"/>
        </w:rPr>
      </w:pP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b/>
          <w:bCs/>
          <w:sz w:val="24"/>
        </w:rPr>
        <w:t>C</w:t>
      </w:r>
      <w:r w:rsidR="00ED3454" w:rsidRPr="005D33A7">
        <w:rPr>
          <w:rFonts w:ascii="Book Antiqua" w:hAnsi="Book Antiqua"/>
          <w:b/>
          <w:bCs/>
          <w:sz w:val="24"/>
        </w:rPr>
        <w:t>ONCLUSION</w:t>
      </w:r>
      <w:r w:rsidRPr="005D33A7">
        <w:rPr>
          <w:rFonts w:ascii="Book Antiqua" w:hAnsi="Book Antiqua"/>
          <w:b/>
          <w:bCs/>
          <w:sz w:val="24"/>
        </w:rPr>
        <w:t xml:space="preserve">: </w:t>
      </w:r>
      <w:r w:rsidRPr="005D33A7">
        <w:rPr>
          <w:rFonts w:ascii="Book Antiqua" w:hAnsi="Book Antiqua"/>
          <w:sz w:val="24"/>
        </w:rPr>
        <w:t>A staging system based on LNR may have better prognostic stratification of patients with ESCC than the current TNM staging system, especially for those undergoing limited lym</w:t>
      </w:r>
      <w:r w:rsidR="00402A54" w:rsidRPr="005D33A7">
        <w:rPr>
          <w:rFonts w:ascii="Book Antiqua" w:hAnsi="Book Antiqua"/>
          <w:sz w:val="24"/>
        </w:rPr>
        <w:t xml:space="preserve">phadenectomy. </w:t>
      </w:r>
    </w:p>
    <w:p w:rsidR="00004441" w:rsidRPr="005D33A7" w:rsidRDefault="00004441" w:rsidP="007D5F41">
      <w:pPr>
        <w:autoSpaceDE w:val="0"/>
        <w:autoSpaceDN w:val="0"/>
        <w:adjustRightInd w:val="0"/>
        <w:snapToGrid w:val="0"/>
        <w:spacing w:line="360" w:lineRule="auto"/>
        <w:rPr>
          <w:rFonts w:ascii="Book Antiqua" w:hAnsi="Book Antiqua"/>
          <w:b/>
          <w:bCs/>
          <w:sz w:val="24"/>
        </w:rPr>
      </w:pP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b/>
          <w:bCs/>
          <w:sz w:val="24"/>
        </w:rPr>
        <w:t xml:space="preserve">Key words: </w:t>
      </w:r>
      <w:bookmarkStart w:id="57" w:name="OLE_LINK183"/>
      <w:bookmarkStart w:id="58" w:name="OLE_LINK184"/>
      <w:r w:rsidR="00ED3454" w:rsidRPr="005D33A7">
        <w:rPr>
          <w:rFonts w:ascii="Book Antiqua" w:hAnsi="Book Antiqua"/>
          <w:sz w:val="24"/>
        </w:rPr>
        <w:t xml:space="preserve">Cancer </w:t>
      </w:r>
      <w:r w:rsidRPr="005D33A7">
        <w:rPr>
          <w:rFonts w:ascii="Book Antiqua" w:hAnsi="Book Antiqua"/>
          <w:sz w:val="24"/>
        </w:rPr>
        <w:t xml:space="preserve">staging; </w:t>
      </w:r>
      <w:r w:rsidR="00ED3454" w:rsidRPr="005D33A7">
        <w:rPr>
          <w:rFonts w:ascii="Book Antiqua" w:hAnsi="Book Antiqua"/>
          <w:sz w:val="24"/>
        </w:rPr>
        <w:t>Esophagectomy</w:t>
      </w:r>
      <w:r w:rsidRPr="005D33A7">
        <w:rPr>
          <w:rFonts w:ascii="Book Antiqua" w:hAnsi="Book Antiqua"/>
          <w:sz w:val="24"/>
        </w:rPr>
        <w:t xml:space="preserve">; </w:t>
      </w:r>
      <w:r w:rsidR="00ED3454" w:rsidRPr="005D33A7">
        <w:rPr>
          <w:rFonts w:ascii="Book Antiqua" w:hAnsi="Book Antiqua"/>
          <w:sz w:val="24"/>
        </w:rPr>
        <w:t xml:space="preserve">Esophageal </w:t>
      </w:r>
      <w:r w:rsidRPr="005D33A7">
        <w:rPr>
          <w:rFonts w:ascii="Book Antiqua" w:hAnsi="Book Antiqua"/>
          <w:sz w:val="24"/>
        </w:rPr>
        <w:t xml:space="preserve">squamous cell carcinoma; </w:t>
      </w:r>
      <w:r w:rsidR="00ED3454" w:rsidRPr="005D33A7">
        <w:rPr>
          <w:rFonts w:ascii="Book Antiqua" w:hAnsi="Book Antiqua"/>
          <w:sz w:val="24"/>
        </w:rPr>
        <w:t xml:space="preserve">Lymph </w:t>
      </w:r>
      <w:r w:rsidRPr="005D33A7">
        <w:rPr>
          <w:rFonts w:ascii="Book Antiqua" w:hAnsi="Book Antiqua"/>
          <w:sz w:val="24"/>
        </w:rPr>
        <w:t>node ratio; prognosis</w:t>
      </w:r>
    </w:p>
    <w:bookmarkEnd w:id="57"/>
    <w:bookmarkEnd w:id="58"/>
    <w:p w:rsidR="00004441" w:rsidRPr="005D33A7" w:rsidRDefault="00004441" w:rsidP="007D5F41">
      <w:pPr>
        <w:autoSpaceDE w:val="0"/>
        <w:autoSpaceDN w:val="0"/>
        <w:adjustRightInd w:val="0"/>
        <w:snapToGrid w:val="0"/>
        <w:spacing w:line="360" w:lineRule="auto"/>
        <w:rPr>
          <w:rFonts w:ascii="Book Antiqua" w:hAnsi="Book Antiqua"/>
          <w:sz w:val="24"/>
        </w:rPr>
      </w:pPr>
    </w:p>
    <w:p w:rsidR="00004441" w:rsidRPr="005D33A7" w:rsidRDefault="00004441" w:rsidP="007D5F41">
      <w:pPr>
        <w:autoSpaceDE w:val="0"/>
        <w:autoSpaceDN w:val="0"/>
        <w:adjustRightInd w:val="0"/>
        <w:snapToGrid w:val="0"/>
        <w:spacing w:line="360" w:lineRule="auto"/>
        <w:rPr>
          <w:rFonts w:ascii="Book Antiqua" w:eastAsia="AdvTimes" w:hAnsi="Book Antiqua" w:cs="AdvTimes"/>
          <w:sz w:val="24"/>
        </w:rPr>
      </w:pPr>
      <w:r w:rsidRPr="005D33A7">
        <w:rPr>
          <w:rFonts w:ascii="Book Antiqua" w:hAnsi="Book Antiqua"/>
          <w:b/>
          <w:sz w:val="24"/>
          <w:lang w:val="en-GB"/>
        </w:rPr>
        <w:t xml:space="preserve">© </w:t>
      </w:r>
      <w:r w:rsidRPr="005D33A7">
        <w:rPr>
          <w:rFonts w:ascii="Book Antiqua" w:eastAsia="AdvTimes" w:hAnsi="Book Antiqua" w:cs="AdvTimes"/>
          <w:b/>
          <w:sz w:val="24"/>
        </w:rPr>
        <w:t>The Author(s) 2015.</w:t>
      </w:r>
      <w:r w:rsidR="00ED3454" w:rsidRPr="005D33A7">
        <w:rPr>
          <w:rFonts w:ascii="Book Antiqua" w:eastAsiaTheme="minorEastAsia" w:hAnsi="Book Antiqua" w:cs="AdvTimes" w:hint="eastAsia"/>
          <w:b/>
          <w:sz w:val="24"/>
        </w:rPr>
        <w:t xml:space="preserve"> </w:t>
      </w:r>
      <w:r w:rsidRPr="005D33A7">
        <w:rPr>
          <w:rFonts w:ascii="Book Antiqua" w:eastAsia="AdvTimes" w:hAnsi="Book Antiqua" w:cs="AdvTimes"/>
          <w:sz w:val="24"/>
        </w:rPr>
        <w:t>Published by</w:t>
      </w:r>
      <w:r w:rsidRPr="005D33A7">
        <w:rPr>
          <w:rFonts w:ascii="Book Antiqua" w:hAnsi="Book Antiqua" w:cs="Arial Unicode MS"/>
          <w:sz w:val="24"/>
          <w:lang w:val="en-GB"/>
        </w:rPr>
        <w:t>Baishideng Publishing Group Inc.</w:t>
      </w:r>
      <w:r w:rsidR="00ED3454" w:rsidRPr="005D33A7">
        <w:rPr>
          <w:rFonts w:ascii="Book Antiqua" w:hAnsi="Book Antiqua" w:cs="Arial Unicode MS" w:hint="eastAsia"/>
          <w:sz w:val="24"/>
          <w:lang w:val="en-GB"/>
        </w:rPr>
        <w:t xml:space="preserve"> </w:t>
      </w:r>
      <w:r w:rsidRPr="005D33A7">
        <w:rPr>
          <w:rFonts w:ascii="Book Antiqua" w:hAnsi="Book Antiqua" w:cs="Arial Unicode MS"/>
          <w:sz w:val="24"/>
        </w:rPr>
        <w:t>All rights reserved.</w:t>
      </w:r>
    </w:p>
    <w:p w:rsidR="00004441" w:rsidRPr="005D33A7" w:rsidRDefault="00004441" w:rsidP="007D5F41">
      <w:pPr>
        <w:autoSpaceDE w:val="0"/>
        <w:autoSpaceDN w:val="0"/>
        <w:adjustRightInd w:val="0"/>
        <w:snapToGrid w:val="0"/>
        <w:spacing w:line="360" w:lineRule="auto"/>
        <w:rPr>
          <w:rFonts w:ascii="Book Antiqua" w:hAnsi="Book Antiqua"/>
          <w:sz w:val="24"/>
        </w:rPr>
      </w:pP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b/>
          <w:sz w:val="24"/>
        </w:rPr>
        <w:t>Core tip:</w:t>
      </w:r>
      <w:r w:rsidRPr="005D33A7">
        <w:rPr>
          <w:rFonts w:ascii="Book Antiqua" w:hAnsi="Book Antiqua"/>
          <w:sz w:val="24"/>
        </w:rPr>
        <w:t xml:space="preserve"> </w:t>
      </w:r>
      <w:bookmarkStart w:id="59" w:name="OLE_LINK185"/>
      <w:bookmarkStart w:id="60" w:name="OLE_LINK186"/>
      <w:r w:rsidRPr="005D33A7">
        <w:rPr>
          <w:rFonts w:ascii="Book Antiqua" w:hAnsi="Book Antiqua"/>
          <w:sz w:val="24"/>
        </w:rPr>
        <w:t>The lymph node ratio (LNR), or node ratio (Nr) has been found to be an independent prognostic factor in esophageal cancer patients. In the current study, we evaluate a lymph node ratio-based staging system in patients with esophageal squamous cell carcinoma (ESCC) and compare with the seventh edition AJCC staging system. We propose optimal Nr categories for ESCC, and demonstrate that a TNrM staging system bases on LNR may have better prognostic stratification of patients than the AJCC staging system. The application of this new staging system may aid oncologists in improved prediction of prognosis.</w:t>
      </w:r>
    </w:p>
    <w:bookmarkEnd w:id="59"/>
    <w:bookmarkEnd w:id="60"/>
    <w:p w:rsidR="00004441" w:rsidRPr="005D33A7" w:rsidRDefault="00004441" w:rsidP="007D5F41">
      <w:pPr>
        <w:autoSpaceDE w:val="0"/>
        <w:autoSpaceDN w:val="0"/>
        <w:adjustRightInd w:val="0"/>
        <w:snapToGrid w:val="0"/>
        <w:spacing w:line="360" w:lineRule="auto"/>
        <w:rPr>
          <w:rFonts w:ascii="Book Antiqua" w:hAnsi="Book Antiqua"/>
          <w:sz w:val="24"/>
        </w:rPr>
      </w:pPr>
    </w:p>
    <w:p w:rsidR="00ED3454" w:rsidRPr="005D33A7" w:rsidRDefault="00ED3454" w:rsidP="00ED3454">
      <w:pPr>
        <w:adjustRightInd w:val="0"/>
        <w:snapToGrid w:val="0"/>
        <w:spacing w:line="360" w:lineRule="auto"/>
        <w:rPr>
          <w:rFonts w:ascii="Book Antiqua" w:hAnsi="Book Antiqua"/>
          <w:sz w:val="24"/>
          <w:szCs w:val="22"/>
        </w:rPr>
      </w:pPr>
      <w:bookmarkStart w:id="61" w:name="OLE_LINK187"/>
      <w:bookmarkStart w:id="62" w:name="OLE_LINK188"/>
      <w:r w:rsidRPr="005D33A7">
        <w:rPr>
          <w:rFonts w:ascii="Book Antiqua" w:hAnsi="Book Antiqua"/>
          <w:bCs/>
          <w:iCs/>
          <w:sz w:val="24"/>
        </w:rPr>
        <w:t>Chen</w:t>
      </w:r>
      <w:r w:rsidRPr="005D33A7">
        <w:rPr>
          <w:rFonts w:ascii="Book Antiqua" w:hAnsi="Book Antiqua" w:hint="eastAsia"/>
          <w:bCs/>
          <w:iCs/>
          <w:sz w:val="24"/>
        </w:rPr>
        <w:t xml:space="preserve"> SB</w:t>
      </w:r>
      <w:r w:rsidRPr="005D33A7">
        <w:rPr>
          <w:rFonts w:ascii="Book Antiqua" w:hAnsi="Book Antiqua"/>
          <w:bCs/>
          <w:iCs/>
          <w:sz w:val="24"/>
        </w:rPr>
        <w:t>, Weng</w:t>
      </w:r>
      <w:r w:rsidRPr="005D33A7">
        <w:rPr>
          <w:rFonts w:ascii="Book Antiqua" w:hAnsi="Book Antiqua" w:hint="eastAsia"/>
          <w:bCs/>
          <w:iCs/>
          <w:sz w:val="24"/>
        </w:rPr>
        <w:t xml:space="preserve"> HR</w:t>
      </w:r>
      <w:r w:rsidRPr="005D33A7">
        <w:rPr>
          <w:rFonts w:ascii="Book Antiqua" w:hAnsi="Book Antiqua"/>
          <w:bCs/>
          <w:iCs/>
          <w:sz w:val="24"/>
        </w:rPr>
        <w:t>, Wang</w:t>
      </w:r>
      <w:r w:rsidRPr="005D33A7">
        <w:rPr>
          <w:rFonts w:ascii="Book Antiqua" w:hAnsi="Book Antiqua" w:hint="eastAsia"/>
          <w:bCs/>
          <w:iCs/>
          <w:sz w:val="24"/>
        </w:rPr>
        <w:t xml:space="preserve"> G</w:t>
      </w:r>
      <w:r w:rsidRPr="005D33A7">
        <w:rPr>
          <w:rFonts w:ascii="Book Antiqua" w:hAnsi="Book Antiqua"/>
          <w:bCs/>
          <w:iCs/>
          <w:sz w:val="24"/>
        </w:rPr>
        <w:t xml:space="preserve">, </w:t>
      </w:r>
      <w:r w:rsidRPr="005D33A7">
        <w:rPr>
          <w:rFonts w:ascii="Book Antiqua" w:hAnsi="Book Antiqua"/>
          <w:bCs/>
          <w:sz w:val="24"/>
        </w:rPr>
        <w:t>Zou</w:t>
      </w:r>
      <w:r w:rsidRPr="005D33A7">
        <w:rPr>
          <w:rFonts w:ascii="Book Antiqua" w:hAnsi="Book Antiqua" w:hint="eastAsia"/>
          <w:bCs/>
          <w:sz w:val="24"/>
        </w:rPr>
        <w:t xml:space="preserve"> XF</w:t>
      </w:r>
      <w:r w:rsidRPr="005D33A7">
        <w:rPr>
          <w:rFonts w:ascii="Book Antiqua" w:hAnsi="Book Antiqua"/>
          <w:bCs/>
          <w:iCs/>
          <w:sz w:val="24"/>
        </w:rPr>
        <w:t>, Liu</w:t>
      </w:r>
      <w:r w:rsidRPr="005D33A7">
        <w:rPr>
          <w:rFonts w:ascii="Book Antiqua" w:hAnsi="Book Antiqua" w:hint="eastAsia"/>
          <w:bCs/>
          <w:iCs/>
          <w:sz w:val="24"/>
        </w:rPr>
        <w:t xml:space="preserve"> DT</w:t>
      </w:r>
      <w:r w:rsidRPr="005D33A7">
        <w:rPr>
          <w:rFonts w:ascii="Book Antiqua" w:hAnsi="Book Antiqua"/>
          <w:bCs/>
          <w:iCs/>
          <w:sz w:val="24"/>
        </w:rPr>
        <w:t>, Chen</w:t>
      </w:r>
      <w:r w:rsidRPr="005D33A7">
        <w:rPr>
          <w:rFonts w:ascii="Book Antiqua" w:hAnsi="Book Antiqua" w:hint="eastAsia"/>
          <w:bCs/>
          <w:iCs/>
          <w:sz w:val="24"/>
        </w:rPr>
        <w:t xml:space="preserve"> YP</w:t>
      </w:r>
      <w:r w:rsidRPr="005D33A7">
        <w:rPr>
          <w:rFonts w:ascii="Book Antiqua" w:hAnsi="Book Antiqua"/>
          <w:bCs/>
          <w:iCs/>
          <w:sz w:val="24"/>
        </w:rPr>
        <w:t>, Zhang</w:t>
      </w:r>
      <w:r w:rsidRPr="005D33A7">
        <w:rPr>
          <w:rFonts w:ascii="Book Antiqua" w:hAnsi="Book Antiqua" w:hint="eastAsia"/>
          <w:bCs/>
          <w:iCs/>
          <w:sz w:val="24"/>
        </w:rPr>
        <w:t xml:space="preserve"> H. </w:t>
      </w:r>
      <w:r w:rsidRPr="005D33A7">
        <w:rPr>
          <w:rFonts w:ascii="Book Antiqua" w:hAnsi="Book Antiqua" w:hint="eastAsia"/>
          <w:bCs/>
          <w:sz w:val="24"/>
        </w:rPr>
        <w:t xml:space="preserve">Developing </w:t>
      </w:r>
      <w:r w:rsidRPr="005D33A7">
        <w:rPr>
          <w:rFonts w:ascii="Book Antiqua" w:hAnsi="Book Antiqua"/>
          <w:bCs/>
          <w:sz w:val="24"/>
        </w:rPr>
        <w:t>a lymph node ratio-based staging system for esophageal squamous cell carcinoma</w:t>
      </w:r>
      <w:r w:rsidRPr="005D33A7">
        <w:rPr>
          <w:rFonts w:ascii="Book Antiqua" w:hAnsi="Book Antiqua" w:hint="eastAsia"/>
          <w:bCs/>
          <w:sz w:val="24"/>
        </w:rPr>
        <w:t>.</w:t>
      </w:r>
      <w:bookmarkStart w:id="63" w:name="OLE_LINK110"/>
      <w:bookmarkStart w:id="64" w:name="OLE_LINK111"/>
      <w:bookmarkStart w:id="65" w:name="OLE_LINK140"/>
      <w:bookmarkStart w:id="66" w:name="OLE_LINK8"/>
      <w:bookmarkStart w:id="67" w:name="OLE_LINK113"/>
      <w:r w:rsidRPr="005D33A7">
        <w:rPr>
          <w:rFonts w:ascii="Book Antiqua" w:hAnsi="Book Antiqua"/>
          <w:i/>
          <w:sz w:val="24"/>
          <w:szCs w:val="22"/>
        </w:rPr>
        <w:t xml:space="preserve"> World J Gastroenterol </w:t>
      </w:r>
      <w:r w:rsidRPr="005D33A7">
        <w:rPr>
          <w:rFonts w:ascii="Book Antiqua" w:hAnsi="Book Antiqua" w:hint="eastAsia"/>
          <w:sz w:val="24"/>
          <w:szCs w:val="22"/>
        </w:rPr>
        <w:t>2015</w:t>
      </w:r>
      <w:r w:rsidRPr="005D33A7">
        <w:rPr>
          <w:rFonts w:ascii="Book Antiqua" w:hAnsi="Book Antiqua"/>
          <w:sz w:val="24"/>
          <w:szCs w:val="22"/>
        </w:rPr>
        <w:t>; In press</w:t>
      </w:r>
    </w:p>
    <w:bookmarkEnd w:id="61"/>
    <w:bookmarkEnd w:id="62"/>
    <w:bookmarkEnd w:id="63"/>
    <w:bookmarkEnd w:id="64"/>
    <w:bookmarkEnd w:id="65"/>
    <w:bookmarkEnd w:id="66"/>
    <w:bookmarkEnd w:id="67"/>
    <w:p w:rsidR="00004441" w:rsidRDefault="00004441" w:rsidP="007D5F41">
      <w:pPr>
        <w:autoSpaceDE w:val="0"/>
        <w:autoSpaceDN w:val="0"/>
        <w:adjustRightInd w:val="0"/>
        <w:snapToGrid w:val="0"/>
        <w:spacing w:line="360" w:lineRule="auto"/>
        <w:rPr>
          <w:rFonts w:ascii="Book Antiqua" w:hAnsi="Book Antiqua"/>
          <w:b/>
          <w:sz w:val="24"/>
        </w:rPr>
      </w:pPr>
    </w:p>
    <w:p w:rsidR="0045080C" w:rsidRPr="005D33A7" w:rsidRDefault="0045080C" w:rsidP="007D5F41">
      <w:pPr>
        <w:autoSpaceDE w:val="0"/>
        <w:autoSpaceDN w:val="0"/>
        <w:adjustRightInd w:val="0"/>
        <w:snapToGrid w:val="0"/>
        <w:spacing w:line="360" w:lineRule="auto"/>
        <w:rPr>
          <w:rFonts w:ascii="Book Antiqua" w:hAnsi="Book Antiqua"/>
          <w:b/>
          <w:sz w:val="24"/>
        </w:rPr>
      </w:pPr>
    </w:p>
    <w:p w:rsidR="00004441" w:rsidRPr="005D33A7" w:rsidRDefault="00004441" w:rsidP="007D5F41">
      <w:pPr>
        <w:autoSpaceDE w:val="0"/>
        <w:autoSpaceDN w:val="0"/>
        <w:adjustRightInd w:val="0"/>
        <w:snapToGrid w:val="0"/>
        <w:spacing w:line="360" w:lineRule="auto"/>
        <w:rPr>
          <w:rFonts w:ascii="Book Antiqua" w:hAnsi="Book Antiqua"/>
          <w:b/>
          <w:sz w:val="24"/>
        </w:rPr>
      </w:pPr>
      <w:r w:rsidRPr="005D33A7">
        <w:rPr>
          <w:rFonts w:ascii="Book Antiqua" w:hAnsi="Book Antiqua"/>
          <w:b/>
          <w:sz w:val="24"/>
        </w:rPr>
        <w:t>INTRODUCTION</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sz w:val="24"/>
        </w:rPr>
        <w:t>Esophageal cancer is the seventh leading cause of cancer mortality worldwide</w:t>
      </w:r>
      <w:r w:rsidRPr="005D33A7">
        <w:rPr>
          <w:rFonts w:ascii="Book Antiqua" w:hAnsi="Book Antiqua"/>
          <w:sz w:val="24"/>
          <w:vertAlign w:val="superscript"/>
        </w:rPr>
        <w:t>[1]</w:t>
      </w:r>
      <w:r w:rsidRPr="005D33A7">
        <w:rPr>
          <w:rFonts w:ascii="Book Antiqua" w:hAnsi="Book Antiqua"/>
          <w:sz w:val="24"/>
        </w:rPr>
        <w:t>. An estimated 18170 people will be diagnosed and 15450 people will eventually die of their disease in the United States in 2014</w:t>
      </w:r>
      <w:r w:rsidRPr="005D33A7">
        <w:rPr>
          <w:rFonts w:ascii="Book Antiqua" w:hAnsi="Book Antiqua"/>
          <w:sz w:val="24"/>
          <w:vertAlign w:val="superscript"/>
        </w:rPr>
        <w:t>[2]</w:t>
      </w:r>
      <w:r w:rsidRPr="005D33A7">
        <w:rPr>
          <w:rFonts w:ascii="Book Antiqua" w:hAnsi="Book Antiqua"/>
          <w:sz w:val="24"/>
        </w:rPr>
        <w:t>.</w:t>
      </w:r>
      <w:r w:rsidRPr="005D33A7">
        <w:rPr>
          <w:rFonts w:ascii="Book Antiqua" w:hAnsi="Book Antiqua"/>
          <w:sz w:val="24"/>
          <w:vertAlign w:val="superscript"/>
        </w:rPr>
        <w:t xml:space="preserve"> </w:t>
      </w:r>
      <w:r w:rsidRPr="005D33A7">
        <w:rPr>
          <w:rFonts w:ascii="Book Antiqua" w:hAnsi="Book Antiqua"/>
          <w:sz w:val="24"/>
        </w:rPr>
        <w:t>Surgical resection is the mainstay of therapy for patients with resectable diseases</w:t>
      </w:r>
      <w:r w:rsidRPr="005D33A7">
        <w:rPr>
          <w:rFonts w:ascii="Book Antiqua" w:hAnsi="Book Antiqua"/>
          <w:sz w:val="24"/>
          <w:vertAlign w:val="superscript"/>
        </w:rPr>
        <w:t>[3]</w:t>
      </w:r>
      <w:r w:rsidRPr="005D33A7">
        <w:rPr>
          <w:rFonts w:ascii="Book Antiqua" w:hAnsi="Book Antiqua"/>
          <w:sz w:val="24"/>
        </w:rPr>
        <w:t>. Varied types of surgical procedures (transhiatal, left thoracotomy, right thoracotomy, and minimally invasive surgery) are acceptable for esophagectomy in patients with resectable disease, leading to a significant variability in the extent of lymphadenectomy and the number of lymph nodes resected.</w:t>
      </w:r>
    </w:p>
    <w:p w:rsidR="00004441" w:rsidRPr="005D33A7" w:rsidRDefault="00004441" w:rsidP="00ED3454">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The American Joint Committee on Cancer (AJCC) revised and published the seventh edition TNM staging system for esophageal cancer in 2010. This staging system presents a significant improvement for N categories by stratifying patients according to the numbers of positive lymph nodes</w:t>
      </w:r>
      <w:r w:rsidRPr="005D33A7">
        <w:rPr>
          <w:rFonts w:ascii="Book Antiqua" w:hAnsi="Book Antiqua"/>
          <w:sz w:val="24"/>
          <w:vertAlign w:val="superscript"/>
        </w:rPr>
        <w:t>[4]</w:t>
      </w:r>
      <w:r w:rsidRPr="005D33A7">
        <w:rPr>
          <w:rFonts w:ascii="Book Antiqua" w:hAnsi="Book Antiqua"/>
          <w:sz w:val="24"/>
        </w:rPr>
        <w:t>.</w:t>
      </w:r>
      <w:r w:rsidRPr="005D33A7">
        <w:rPr>
          <w:rFonts w:ascii="Book Antiqua" w:hAnsi="Book Antiqua"/>
          <w:sz w:val="24"/>
          <w:vertAlign w:val="superscript"/>
        </w:rPr>
        <w:t xml:space="preserve"> </w:t>
      </w:r>
      <w:r w:rsidRPr="005D33A7">
        <w:rPr>
          <w:rFonts w:ascii="Book Antiqua" w:hAnsi="Book Antiqua"/>
          <w:sz w:val="24"/>
        </w:rPr>
        <w:t>However, this system does not specify the adequate number of examined lymph nodes for an accurate nodal staging. In patients with inadequate number of lymph nodes being examined, stage migration may occur, and lead to understaging of the diseases</w:t>
      </w:r>
      <w:r w:rsidRPr="005D33A7">
        <w:rPr>
          <w:rFonts w:ascii="Book Antiqua" w:hAnsi="Book Antiqua"/>
          <w:sz w:val="24"/>
          <w:vertAlign w:val="superscript"/>
        </w:rPr>
        <w:t>[5]</w:t>
      </w:r>
      <w:r w:rsidRPr="005D33A7">
        <w:rPr>
          <w:rFonts w:ascii="Book Antiqua" w:hAnsi="Book Antiqua"/>
          <w:sz w:val="24"/>
        </w:rPr>
        <w:t>.</w:t>
      </w:r>
    </w:p>
    <w:p w:rsidR="00004441" w:rsidRPr="005D33A7" w:rsidRDefault="00004441" w:rsidP="00ED3454">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The lymph node ratio (LNR), or node ratio (Nr), is defined as the ratio of metastatic lymph node number compared with the total resected node number. Most previous studies have found that LNR is another independent prognostic factor in esophageal cancer patients</w:t>
      </w:r>
      <w:r w:rsidRPr="005D33A7">
        <w:rPr>
          <w:rFonts w:ascii="Book Antiqua" w:hAnsi="Book Antiqua"/>
          <w:sz w:val="24"/>
          <w:vertAlign w:val="superscript"/>
        </w:rPr>
        <w:t>[6-20]</w:t>
      </w:r>
      <w:r w:rsidRPr="005D33A7">
        <w:rPr>
          <w:rFonts w:ascii="Book Antiqua" w:hAnsi="Book Antiqua"/>
          <w:sz w:val="24"/>
        </w:rPr>
        <w:t xml:space="preserve">. However, fewer studies have examined whether the LNR has an improved ability to predict survival compared with the absolute number of positive nodes as stratified by the new staging criteria. </w:t>
      </w:r>
      <w:r w:rsidRPr="005D33A7">
        <w:rPr>
          <w:rFonts w:ascii="Book Antiqua" w:hAnsi="Book Antiqua"/>
          <w:sz w:val="24"/>
        </w:rPr>
        <w:lastRenderedPageBreak/>
        <w:t xml:space="preserve">Moreover, the optimal cutoff points of LNR are still controversial. The differences in study sizes, inclusion criteria, and statistical methods will lead to different results. </w:t>
      </w:r>
    </w:p>
    <w:p w:rsidR="00004441" w:rsidRPr="005D33A7" w:rsidRDefault="00004441" w:rsidP="00ED3454">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In a previous study</w:t>
      </w:r>
      <w:r w:rsidRPr="005D33A7">
        <w:rPr>
          <w:rFonts w:ascii="Book Antiqua" w:hAnsi="Book Antiqua"/>
          <w:sz w:val="24"/>
          <w:vertAlign w:val="superscript"/>
        </w:rPr>
        <w:t>[21]</w:t>
      </w:r>
      <w:r w:rsidRPr="005D33A7">
        <w:rPr>
          <w:rFonts w:ascii="Book Antiqua" w:hAnsi="Book Antiqua"/>
          <w:sz w:val="24"/>
        </w:rPr>
        <w:t>, we have found that the N categories of the seventh AJCC staging system does not well represent survival characteristics in ESCC patients in China. We use the data from this study to propose optimal Nr categories, and try to compare the predictive ability of these Nr categories with the N categories in the current study. We further evaluate the predictive performance of a TNrM staging system compared with the current TNM staging system.</w:t>
      </w:r>
    </w:p>
    <w:p w:rsidR="00004441" w:rsidRPr="005D33A7" w:rsidRDefault="00004441" w:rsidP="007D5F41">
      <w:pPr>
        <w:autoSpaceDE w:val="0"/>
        <w:autoSpaceDN w:val="0"/>
        <w:adjustRightInd w:val="0"/>
        <w:snapToGrid w:val="0"/>
        <w:spacing w:line="360" w:lineRule="auto"/>
        <w:rPr>
          <w:rFonts w:ascii="Book Antiqua" w:hAnsi="Book Antiqua"/>
          <w:b/>
          <w:bCs/>
          <w:sz w:val="24"/>
        </w:rPr>
      </w:pPr>
    </w:p>
    <w:p w:rsidR="00ED3454" w:rsidRPr="005D33A7" w:rsidRDefault="00ED3454" w:rsidP="00ED3454">
      <w:pPr>
        <w:spacing w:line="360" w:lineRule="auto"/>
        <w:rPr>
          <w:rFonts w:ascii="Book Antiqua" w:hAnsi="Book Antiqua" w:cs="Arial"/>
          <w:b/>
          <w:sz w:val="24"/>
        </w:rPr>
      </w:pPr>
      <w:r w:rsidRPr="005D33A7">
        <w:rPr>
          <w:rFonts w:ascii="Book Antiqua" w:hAnsi="Book Antiqua" w:cs="Arial"/>
          <w:b/>
          <w:sz w:val="24"/>
        </w:rPr>
        <w:t>MATERIALS AND METHODS</w:t>
      </w:r>
    </w:p>
    <w:p w:rsidR="00004441" w:rsidRPr="005D33A7" w:rsidRDefault="00004441"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b/>
          <w:bCs/>
          <w:i/>
          <w:sz w:val="24"/>
        </w:rPr>
        <w:t>Patient population</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sz w:val="24"/>
        </w:rPr>
        <w:t>This study was approved by the Ethics Committee of Cancer Hospital of Shantou University Medical College (CH-SUMC). 3375 patients with esophageal carcinoma underwent esophagectomy in CH-SUMC from January 1995 to June 2010, and only patients of ESCC with neither n</w:t>
      </w:r>
      <w:r w:rsidR="00ED3454" w:rsidRPr="005D33A7">
        <w:rPr>
          <w:rFonts w:ascii="Book Antiqua" w:hAnsi="Book Antiqua"/>
          <w:sz w:val="24"/>
        </w:rPr>
        <w:t>eoadjuvant nor adjuvant therapy</w:t>
      </w:r>
      <w:r w:rsidR="00ED3454" w:rsidRPr="005D33A7">
        <w:rPr>
          <w:rFonts w:ascii="Book Antiqua" w:hAnsi="Book Antiqua" w:hint="eastAsia"/>
          <w:sz w:val="24"/>
        </w:rPr>
        <w:t xml:space="preserve"> </w:t>
      </w:r>
      <w:r w:rsidRPr="005D33A7">
        <w:rPr>
          <w:rFonts w:ascii="Book Antiqua" w:hAnsi="Book Antiqua"/>
          <w:sz w:val="24"/>
        </w:rPr>
        <w:t xml:space="preserve">(esophagectomy alone) were enrolled in this study. </w:t>
      </w:r>
    </w:p>
    <w:p w:rsidR="00004441" w:rsidRPr="005D33A7" w:rsidRDefault="00004441" w:rsidP="00ED3454">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The surgical procedure has been described in our previous report and is summarized below</w:t>
      </w:r>
      <w:r w:rsidRPr="005D33A7">
        <w:rPr>
          <w:rFonts w:ascii="Book Antiqua" w:hAnsi="Book Antiqua"/>
          <w:sz w:val="24"/>
          <w:vertAlign w:val="superscript"/>
        </w:rPr>
        <w:t>[21]</w:t>
      </w:r>
      <w:r w:rsidRPr="005D33A7">
        <w:rPr>
          <w:rFonts w:ascii="Book Antiqua" w:hAnsi="Book Antiqua"/>
          <w:sz w:val="24"/>
        </w:rPr>
        <w:t xml:space="preserve">. A transthoracic en bloc esophagectomy was performed </w:t>
      </w:r>
      <w:r w:rsidRPr="005D33A7">
        <w:rPr>
          <w:rFonts w:ascii="Book Antiqua" w:hAnsi="Book Antiqua"/>
          <w:i/>
          <w:sz w:val="24"/>
        </w:rPr>
        <w:t>via</w:t>
      </w:r>
      <w:r w:rsidRPr="005D33A7">
        <w:rPr>
          <w:rFonts w:ascii="Book Antiqua" w:hAnsi="Book Antiqua"/>
          <w:sz w:val="24"/>
        </w:rPr>
        <w:t xml:space="preserve"> a left or right thoracotomy. A standard two-field lymphadenectomy (abdominal and thoracic lymphadenectomy) was performed in all patients. When patients underwent a right thoracotomy, the paratracheal, left and right recurrent laryngeal nerve lymph nodes were also resected. Cervical lymphadenectomy was not systematically undertaken.</w:t>
      </w:r>
    </w:p>
    <w:p w:rsidR="00004441" w:rsidRPr="005D33A7" w:rsidRDefault="00004441" w:rsidP="00ED3454">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All operations were performed or closely supervised by two senior surgeons (Chen YP and Yang JS), and all resection specimens, including the lymph nodes, were assessed by two expert pathologists (Wu MY and Tian DP) in a standardized fashion.</w:t>
      </w:r>
    </w:p>
    <w:p w:rsidR="00ED3454" w:rsidRPr="005D33A7" w:rsidRDefault="00ED3454" w:rsidP="007D5F41">
      <w:pPr>
        <w:autoSpaceDE w:val="0"/>
        <w:autoSpaceDN w:val="0"/>
        <w:adjustRightInd w:val="0"/>
        <w:snapToGrid w:val="0"/>
        <w:spacing w:line="360" w:lineRule="auto"/>
        <w:rPr>
          <w:rFonts w:ascii="Book Antiqua" w:hAnsi="Book Antiqua"/>
          <w:b/>
          <w:bCs/>
          <w:i/>
          <w:sz w:val="24"/>
        </w:rPr>
      </w:pPr>
    </w:p>
    <w:p w:rsidR="00004441" w:rsidRPr="005D33A7" w:rsidRDefault="00004441" w:rsidP="007D5F41">
      <w:pPr>
        <w:autoSpaceDE w:val="0"/>
        <w:autoSpaceDN w:val="0"/>
        <w:adjustRightInd w:val="0"/>
        <w:snapToGrid w:val="0"/>
        <w:spacing w:line="360" w:lineRule="auto"/>
        <w:rPr>
          <w:rFonts w:ascii="Book Antiqua" w:hAnsi="Book Antiqua"/>
          <w:b/>
          <w:bCs/>
          <w:i/>
          <w:sz w:val="24"/>
        </w:rPr>
      </w:pPr>
      <w:r w:rsidRPr="005D33A7">
        <w:rPr>
          <w:rFonts w:ascii="Book Antiqua" w:hAnsi="Book Antiqua"/>
          <w:b/>
          <w:bCs/>
          <w:i/>
          <w:sz w:val="24"/>
        </w:rPr>
        <w:t>Follow-up</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sz w:val="24"/>
        </w:rPr>
        <w:t xml:space="preserve">Patients were followed with a clinical examination every 3 </w:t>
      </w:r>
      <w:r w:rsidR="00ED3454" w:rsidRPr="005D33A7">
        <w:rPr>
          <w:rFonts w:ascii="Book Antiqua" w:hAnsi="Book Antiqua" w:hint="eastAsia"/>
          <w:sz w:val="24"/>
        </w:rPr>
        <w:t>mo</w:t>
      </w:r>
      <w:r w:rsidRPr="005D33A7">
        <w:rPr>
          <w:rFonts w:ascii="Book Antiqua" w:hAnsi="Book Antiqua"/>
          <w:sz w:val="24"/>
        </w:rPr>
        <w:t xml:space="preserve"> for the first year, every 6 </w:t>
      </w:r>
      <w:r w:rsidR="00ED3454" w:rsidRPr="005D33A7">
        <w:rPr>
          <w:rFonts w:ascii="Book Antiqua" w:hAnsi="Book Antiqua" w:hint="eastAsia"/>
          <w:sz w:val="24"/>
        </w:rPr>
        <w:t>mo</w:t>
      </w:r>
      <w:r w:rsidRPr="005D33A7">
        <w:rPr>
          <w:rFonts w:ascii="Book Antiqua" w:hAnsi="Book Antiqua"/>
          <w:sz w:val="24"/>
        </w:rPr>
        <w:t xml:space="preserve"> for the second year and every 6 to 12 </w:t>
      </w:r>
      <w:r w:rsidR="00ED3454" w:rsidRPr="005D33A7">
        <w:rPr>
          <w:rFonts w:ascii="Book Antiqua" w:hAnsi="Book Antiqua" w:hint="eastAsia"/>
          <w:sz w:val="24"/>
        </w:rPr>
        <w:t>mo</w:t>
      </w:r>
      <w:r w:rsidRPr="005D33A7">
        <w:rPr>
          <w:rFonts w:ascii="Book Antiqua" w:hAnsi="Book Antiqua"/>
          <w:sz w:val="24"/>
        </w:rPr>
        <w:t xml:space="preserve"> thereafter. The routine examination during the follow-up included a clinical evaluation, blood biochemistry examination, ultrasonography, and X-ray examination. Computed tomography was performed every 6 </w:t>
      </w:r>
      <w:r w:rsidR="00ED3454" w:rsidRPr="005D33A7">
        <w:rPr>
          <w:rFonts w:ascii="Book Antiqua" w:hAnsi="Book Antiqua" w:hint="eastAsia"/>
          <w:sz w:val="24"/>
        </w:rPr>
        <w:t>mo</w:t>
      </w:r>
      <w:r w:rsidRPr="005D33A7">
        <w:rPr>
          <w:rFonts w:ascii="Book Antiqua" w:hAnsi="Book Antiqua"/>
          <w:sz w:val="24"/>
        </w:rPr>
        <w:t xml:space="preserve">. Endoscopic examinations were performed when necessary. Follow-up was continued up to June 2011 or until death, whichever occurred earlier. </w:t>
      </w:r>
    </w:p>
    <w:p w:rsidR="00ED3454" w:rsidRPr="005D33A7" w:rsidRDefault="00ED3454" w:rsidP="007D5F41">
      <w:pPr>
        <w:autoSpaceDE w:val="0"/>
        <w:autoSpaceDN w:val="0"/>
        <w:adjustRightInd w:val="0"/>
        <w:snapToGrid w:val="0"/>
        <w:spacing w:line="360" w:lineRule="auto"/>
        <w:rPr>
          <w:rFonts w:ascii="Book Antiqua" w:hAnsi="Book Antiqua"/>
          <w:b/>
          <w:bCs/>
          <w:i/>
          <w:sz w:val="24"/>
        </w:rPr>
      </w:pPr>
    </w:p>
    <w:p w:rsidR="00004441" w:rsidRPr="005D33A7" w:rsidRDefault="00004441" w:rsidP="007D5F41">
      <w:pPr>
        <w:autoSpaceDE w:val="0"/>
        <w:autoSpaceDN w:val="0"/>
        <w:adjustRightInd w:val="0"/>
        <w:snapToGrid w:val="0"/>
        <w:spacing w:line="360" w:lineRule="auto"/>
        <w:rPr>
          <w:rFonts w:ascii="Book Antiqua" w:hAnsi="Book Antiqua"/>
          <w:b/>
          <w:bCs/>
          <w:i/>
          <w:sz w:val="24"/>
        </w:rPr>
      </w:pPr>
      <w:r w:rsidRPr="005D33A7">
        <w:rPr>
          <w:rFonts w:ascii="Book Antiqua" w:hAnsi="Book Antiqua"/>
          <w:b/>
          <w:bCs/>
          <w:i/>
          <w:sz w:val="24"/>
        </w:rPr>
        <w:t>Statistical Analysis</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sz w:val="24"/>
        </w:rPr>
        <w:t xml:space="preserve">The NCCN guidelines recommend at least 15 lymph nodes to be removed for adequate nodal staging </w:t>
      </w:r>
      <w:r w:rsidRPr="005D33A7">
        <w:rPr>
          <w:rFonts w:ascii="Book Antiqua" w:hAnsi="Book Antiqua"/>
          <w:sz w:val="24"/>
          <w:lang w:val="en-GB"/>
        </w:rPr>
        <w:t xml:space="preserve">for patients undergoing surgical resection without neoadjuvant therapy </w:t>
      </w:r>
      <w:r w:rsidRPr="005D33A7">
        <w:rPr>
          <w:rFonts w:ascii="Book Antiqua" w:hAnsi="Book Antiqua"/>
          <w:sz w:val="24"/>
        </w:rPr>
        <w:t>in the version 1.2014. We stratified all patients into two groups for analysis: adequate lymphadenectomy (</w:t>
      </w:r>
      <w:r w:rsidRPr="005D33A7">
        <w:rPr>
          <w:rFonts w:ascii="Book Antiqua" w:hAnsi="Book Antiqua"/>
          <w:sz w:val="24"/>
        </w:rPr>
        <w:sym w:font="Symbol" w:char="F0B3"/>
      </w:r>
      <w:r w:rsidR="00ED3454" w:rsidRPr="005D33A7">
        <w:rPr>
          <w:rFonts w:ascii="Book Antiqua" w:hAnsi="Book Antiqua" w:hint="eastAsia"/>
          <w:sz w:val="24"/>
        </w:rPr>
        <w:t xml:space="preserve"> </w:t>
      </w:r>
      <w:r w:rsidRPr="005D33A7">
        <w:rPr>
          <w:rFonts w:ascii="Book Antiqua" w:hAnsi="Book Antiqua"/>
          <w:sz w:val="24"/>
        </w:rPr>
        <w:t>15 lymph nodes) and inadequate lymphadenectomy (&lt; 15 lymph nodes).</w:t>
      </w:r>
    </w:p>
    <w:p w:rsidR="00004441" w:rsidRPr="005D33A7" w:rsidRDefault="00004441" w:rsidP="00ED3454">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Overall survivals between groups were compared with the log-rank test. The cutoff points of LNR were established by grouping patients into 10% increment in node ratio, and then combining the neighborhood survival curves using the lo</w:t>
      </w:r>
      <w:r w:rsidR="00ED3454" w:rsidRPr="005D33A7">
        <w:rPr>
          <w:rFonts w:ascii="Book Antiqua" w:hAnsi="Book Antiqua"/>
          <w:sz w:val="24"/>
        </w:rPr>
        <w:t>g-rank test. A new TNrM staging</w:t>
      </w:r>
      <w:r w:rsidR="00ED3454" w:rsidRPr="005D33A7">
        <w:rPr>
          <w:rFonts w:ascii="Book Antiqua" w:hAnsi="Book Antiqua" w:hint="eastAsia"/>
          <w:sz w:val="24"/>
        </w:rPr>
        <w:t xml:space="preserve"> </w:t>
      </w:r>
      <w:r w:rsidRPr="005D33A7">
        <w:rPr>
          <w:rFonts w:ascii="Book Antiqua" w:hAnsi="Book Antiqua"/>
          <w:sz w:val="24"/>
        </w:rPr>
        <w:t>system, was constructed by replacing the AJCC N categories with the Nr categories in the new AJCC staging system.</w:t>
      </w:r>
    </w:p>
    <w:p w:rsidR="00004441" w:rsidRPr="005D33A7" w:rsidRDefault="00004441" w:rsidP="00ED3454">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The time-dependent receiver operating characteristic (ROC) is an extension of the classic ROC, which permits an evaluation of the diagnostic performance of biomarkers at all time points of interest</w:t>
      </w:r>
      <w:r w:rsidRPr="005D33A7">
        <w:rPr>
          <w:rFonts w:ascii="Book Antiqua" w:hAnsi="Book Antiqua"/>
          <w:sz w:val="24"/>
          <w:vertAlign w:val="superscript"/>
        </w:rPr>
        <w:t>[22,23]</w:t>
      </w:r>
      <w:r w:rsidRPr="005D33A7">
        <w:rPr>
          <w:rFonts w:ascii="Book Antiqua" w:hAnsi="Book Antiqua"/>
          <w:sz w:val="24"/>
        </w:rPr>
        <w:t>. To assess the predictive ability of the TNM staging system and TNrM staging system, we compare the time-dependent ROC curves for these two staging systems and use the area under the ROC curve (AUC) as the criterion. A larger AUC indicates better predictability of time to event. An AUC of 0.5 indicates no predictive ability, whereas a value of 1 represents perfect predictive ability.</w:t>
      </w:r>
    </w:p>
    <w:p w:rsidR="00004441" w:rsidRPr="005D33A7" w:rsidRDefault="00004441" w:rsidP="00ED3454">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lastRenderedPageBreak/>
        <w:t xml:space="preserve">Statistical analysis was performed using SPSS 13.0 software (SPSS Inc., Chicago, IL, </w:t>
      </w:r>
      <w:r w:rsidR="00ED3454" w:rsidRPr="005D33A7">
        <w:rPr>
          <w:rFonts w:ascii="Book Antiqua" w:hAnsi="Book Antiqua" w:hint="eastAsia"/>
          <w:sz w:val="24"/>
        </w:rPr>
        <w:t>United States</w:t>
      </w:r>
      <w:r w:rsidRPr="005D33A7">
        <w:rPr>
          <w:rFonts w:ascii="Book Antiqua" w:hAnsi="Book Antiqua"/>
          <w:sz w:val="24"/>
        </w:rPr>
        <w:t xml:space="preserve">), while time-dependent ROC analyses were performed using R (R Foundation for Statistical Computing, Vienna, Austria). All statistical tests were performed two-sided, and a </w:t>
      </w:r>
      <w:r w:rsidRPr="005D33A7">
        <w:rPr>
          <w:rFonts w:ascii="Book Antiqua" w:hAnsi="Book Antiqua"/>
          <w:i/>
          <w:sz w:val="24"/>
        </w:rPr>
        <w:t>P</w:t>
      </w:r>
      <w:r w:rsidR="00FA4060" w:rsidRPr="005D33A7">
        <w:rPr>
          <w:rFonts w:ascii="Book Antiqua" w:hAnsi="Book Antiqua" w:hint="eastAsia"/>
          <w:sz w:val="24"/>
        </w:rPr>
        <w:t xml:space="preserve"> </w:t>
      </w:r>
      <w:r w:rsidRPr="005D33A7">
        <w:rPr>
          <w:rFonts w:ascii="Book Antiqua" w:hAnsi="Book Antiqua"/>
          <w:sz w:val="24"/>
        </w:rPr>
        <w:t xml:space="preserve">value less than 0.05 was considered to be statistically significant. </w:t>
      </w:r>
    </w:p>
    <w:p w:rsidR="00004441" w:rsidRPr="005D33A7" w:rsidRDefault="00004441" w:rsidP="007D5F41">
      <w:pPr>
        <w:autoSpaceDE w:val="0"/>
        <w:autoSpaceDN w:val="0"/>
        <w:adjustRightInd w:val="0"/>
        <w:snapToGrid w:val="0"/>
        <w:spacing w:line="360" w:lineRule="auto"/>
        <w:rPr>
          <w:rFonts w:ascii="Book Antiqua" w:hAnsi="Book Antiqua"/>
          <w:sz w:val="24"/>
        </w:rPr>
      </w:pPr>
    </w:p>
    <w:p w:rsidR="00004441" w:rsidRPr="005D33A7" w:rsidRDefault="00004441"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b/>
          <w:bCs/>
          <w:sz w:val="24"/>
        </w:rPr>
        <w:t>RESULTS</w:t>
      </w:r>
    </w:p>
    <w:p w:rsidR="00004441" w:rsidRPr="005D33A7" w:rsidRDefault="00004441" w:rsidP="007D5F41">
      <w:pPr>
        <w:autoSpaceDE w:val="0"/>
        <w:autoSpaceDN w:val="0"/>
        <w:adjustRightInd w:val="0"/>
        <w:snapToGrid w:val="0"/>
        <w:spacing w:line="360" w:lineRule="auto"/>
        <w:rPr>
          <w:rFonts w:ascii="Book Antiqua" w:hAnsi="Book Antiqua"/>
          <w:b/>
          <w:bCs/>
          <w:i/>
          <w:sz w:val="24"/>
        </w:rPr>
      </w:pPr>
      <w:r w:rsidRPr="005D33A7">
        <w:rPr>
          <w:rFonts w:ascii="Book Antiqua" w:hAnsi="Book Antiqua"/>
          <w:b/>
          <w:bCs/>
          <w:i/>
          <w:sz w:val="24"/>
        </w:rPr>
        <w:t xml:space="preserve">Patient </w:t>
      </w:r>
      <w:r w:rsidR="00FA4060" w:rsidRPr="005D33A7">
        <w:rPr>
          <w:rFonts w:ascii="Book Antiqua" w:hAnsi="Book Antiqua"/>
          <w:b/>
          <w:bCs/>
          <w:i/>
          <w:sz w:val="24"/>
        </w:rPr>
        <w:t>characteristics</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sz w:val="24"/>
        </w:rPr>
        <w:t>The patient characteristics had been summarized in our previous report</w:t>
      </w:r>
      <w:r w:rsidRPr="005D33A7">
        <w:rPr>
          <w:rFonts w:ascii="Book Antiqua" w:hAnsi="Book Antiqua"/>
          <w:sz w:val="24"/>
          <w:vertAlign w:val="superscript"/>
        </w:rPr>
        <w:t>[21]</w:t>
      </w:r>
      <w:r w:rsidRPr="005D33A7">
        <w:rPr>
          <w:rFonts w:ascii="Book Antiqua" w:hAnsi="Book Antiqua"/>
          <w:sz w:val="24"/>
        </w:rPr>
        <w:t>. A total of 2011 patients with a median age of 55 years (range</w:t>
      </w:r>
      <w:r w:rsidR="00FA4060" w:rsidRPr="005D33A7">
        <w:rPr>
          <w:rFonts w:ascii="Book Antiqua" w:hAnsi="Book Antiqua" w:hint="eastAsia"/>
          <w:sz w:val="24"/>
        </w:rPr>
        <w:t>:</w:t>
      </w:r>
      <w:r w:rsidRPr="005D33A7">
        <w:rPr>
          <w:rFonts w:ascii="Book Antiqua" w:hAnsi="Book Antiqua"/>
          <w:sz w:val="24"/>
        </w:rPr>
        <w:t xml:space="preserve"> 30-82 years) were enrolled in this study, including 1456 males and 555 females. The R1 resection rate was 4.1% (83/2011), and R2 resection rate was 3.1% (63/2011). The overall postoperative 30-</w:t>
      </w:r>
      <w:r w:rsidR="00FA4060" w:rsidRPr="005D33A7">
        <w:rPr>
          <w:rFonts w:ascii="Book Antiqua" w:hAnsi="Book Antiqua" w:hint="eastAsia"/>
          <w:sz w:val="24"/>
        </w:rPr>
        <w:t>d</w:t>
      </w:r>
      <w:r w:rsidRPr="005D33A7">
        <w:rPr>
          <w:rFonts w:ascii="Book Antiqua" w:hAnsi="Book Antiqua"/>
          <w:sz w:val="24"/>
        </w:rPr>
        <w:t xml:space="preserve"> mortality was 1.2% (24/2011). The median number of resected lymph nodes was 12 (range</w:t>
      </w:r>
      <w:r w:rsidR="00FA4060" w:rsidRPr="005D33A7">
        <w:rPr>
          <w:rFonts w:ascii="Book Antiqua" w:hAnsi="Book Antiqua" w:hint="eastAsia"/>
          <w:sz w:val="24"/>
        </w:rPr>
        <w:t>:</w:t>
      </w:r>
      <w:r w:rsidRPr="005D33A7">
        <w:rPr>
          <w:rFonts w:ascii="Book Antiqua" w:hAnsi="Book Antiqua"/>
          <w:sz w:val="24"/>
        </w:rPr>
        <w:t xml:space="preserve"> 4–44), and 25% and 75% interquartile range was 8 and 16.</w:t>
      </w:r>
    </w:p>
    <w:p w:rsidR="00FA4060" w:rsidRPr="005D33A7" w:rsidRDefault="00FA4060" w:rsidP="007D5F41">
      <w:pPr>
        <w:autoSpaceDE w:val="0"/>
        <w:autoSpaceDN w:val="0"/>
        <w:adjustRightInd w:val="0"/>
        <w:snapToGrid w:val="0"/>
        <w:spacing w:line="360" w:lineRule="auto"/>
        <w:rPr>
          <w:rFonts w:ascii="Book Antiqua" w:hAnsi="Book Antiqua"/>
          <w:b/>
          <w:bCs/>
          <w:i/>
          <w:sz w:val="24"/>
        </w:rPr>
      </w:pPr>
    </w:p>
    <w:p w:rsidR="00004441" w:rsidRPr="005D33A7" w:rsidRDefault="00004441" w:rsidP="007D5F41">
      <w:pPr>
        <w:autoSpaceDE w:val="0"/>
        <w:autoSpaceDN w:val="0"/>
        <w:adjustRightInd w:val="0"/>
        <w:snapToGrid w:val="0"/>
        <w:spacing w:line="360" w:lineRule="auto"/>
        <w:rPr>
          <w:rFonts w:ascii="Book Antiqua" w:hAnsi="Book Antiqua"/>
          <w:b/>
          <w:bCs/>
          <w:i/>
          <w:sz w:val="24"/>
        </w:rPr>
      </w:pPr>
      <w:r w:rsidRPr="005D33A7">
        <w:rPr>
          <w:rFonts w:ascii="Book Antiqua" w:hAnsi="Book Antiqua"/>
          <w:b/>
          <w:bCs/>
          <w:i/>
          <w:sz w:val="24"/>
        </w:rPr>
        <w:t>Determination of LNR cut-off points</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sz w:val="24"/>
        </w:rPr>
        <w:t>We firstly grouped all patients into 10% increment in node ratio to search for possible cutoff points. The patients with LNR &gt; 50% were taken into a group as the small patient numbers (total 108 patients). So, seven Nr stages (LNR</w:t>
      </w:r>
      <w:r w:rsidR="00FA4060" w:rsidRPr="005D33A7">
        <w:rPr>
          <w:rFonts w:ascii="Book Antiqua" w:hAnsi="Book Antiqua" w:hint="eastAsia"/>
          <w:sz w:val="24"/>
        </w:rPr>
        <w:t xml:space="preserve"> </w:t>
      </w:r>
      <w:r w:rsidRPr="005D33A7">
        <w:rPr>
          <w:rFonts w:ascii="Book Antiqua" w:hAnsi="Book Antiqua"/>
          <w:sz w:val="24"/>
        </w:rPr>
        <w:t>=</w:t>
      </w:r>
      <w:r w:rsidR="00FA4060" w:rsidRPr="005D33A7">
        <w:rPr>
          <w:rFonts w:ascii="Book Antiqua" w:hAnsi="Book Antiqua" w:hint="eastAsia"/>
          <w:sz w:val="24"/>
        </w:rPr>
        <w:t xml:space="preserve"> </w:t>
      </w:r>
      <w:r w:rsidRPr="005D33A7">
        <w:rPr>
          <w:rFonts w:ascii="Book Antiqua" w:hAnsi="Book Antiqua"/>
          <w:sz w:val="24"/>
        </w:rPr>
        <w:t xml:space="preserve">0, 0% &lt; LNR </w:t>
      </w:r>
      <w:r w:rsidRPr="005D33A7">
        <w:rPr>
          <w:rFonts w:ascii="Book Antiqua" w:hAnsi="Book Antiqua"/>
          <w:sz w:val="24"/>
        </w:rPr>
        <w:sym w:font="Symbol" w:char="F0A3"/>
      </w:r>
      <w:r w:rsidRPr="005D33A7">
        <w:rPr>
          <w:rFonts w:ascii="Book Antiqua" w:hAnsi="Book Antiqua"/>
          <w:sz w:val="24"/>
        </w:rPr>
        <w:t xml:space="preserve"> 10%, 10% &lt; LNR </w:t>
      </w:r>
      <w:r w:rsidRPr="005D33A7">
        <w:rPr>
          <w:rFonts w:ascii="Book Antiqua" w:hAnsi="Book Antiqua"/>
          <w:sz w:val="24"/>
        </w:rPr>
        <w:sym w:font="Symbol" w:char="F0A3"/>
      </w:r>
      <w:r w:rsidRPr="005D33A7">
        <w:rPr>
          <w:rFonts w:ascii="Book Antiqua" w:hAnsi="Book Antiqua"/>
          <w:sz w:val="24"/>
        </w:rPr>
        <w:t xml:space="preserve"> 20%, 20% &lt; LNR </w:t>
      </w:r>
      <w:r w:rsidRPr="005D33A7">
        <w:rPr>
          <w:rFonts w:ascii="Book Antiqua" w:hAnsi="Book Antiqua"/>
          <w:sz w:val="24"/>
        </w:rPr>
        <w:sym w:font="Symbol" w:char="F0A3"/>
      </w:r>
      <w:r w:rsidRPr="005D33A7">
        <w:rPr>
          <w:rFonts w:ascii="Book Antiqua" w:hAnsi="Book Antiqua"/>
          <w:sz w:val="24"/>
        </w:rPr>
        <w:t xml:space="preserve"> 30%, 30% &lt; LNR </w:t>
      </w:r>
      <w:r w:rsidRPr="005D33A7">
        <w:rPr>
          <w:rFonts w:ascii="Book Antiqua" w:hAnsi="Book Antiqua"/>
          <w:sz w:val="24"/>
        </w:rPr>
        <w:sym w:font="Symbol" w:char="F0A3"/>
      </w:r>
      <w:r w:rsidRPr="005D33A7">
        <w:rPr>
          <w:rFonts w:ascii="Book Antiqua" w:hAnsi="Book Antiqua"/>
          <w:sz w:val="24"/>
        </w:rPr>
        <w:t xml:space="preserve"> 40%, 40% &lt; LNR </w:t>
      </w:r>
      <w:r w:rsidRPr="005D33A7">
        <w:rPr>
          <w:rFonts w:ascii="Book Antiqua" w:hAnsi="Book Antiqua"/>
          <w:sz w:val="24"/>
        </w:rPr>
        <w:sym w:font="Symbol" w:char="F0A3"/>
      </w:r>
      <w:r w:rsidRPr="005D33A7">
        <w:rPr>
          <w:rFonts w:ascii="Book Antiqua" w:hAnsi="Book Antiqua"/>
          <w:sz w:val="24"/>
        </w:rPr>
        <w:t xml:space="preserve"> 50%, LNR &gt; 50%) were established for analyzing (</w:t>
      </w:r>
      <w:r w:rsidR="00FA4060" w:rsidRPr="005D33A7">
        <w:rPr>
          <w:rFonts w:ascii="Book Antiqua" w:hAnsi="Book Antiqua"/>
          <w:sz w:val="24"/>
        </w:rPr>
        <w:t>Figure</w:t>
      </w:r>
      <w:r w:rsidRPr="005D33A7">
        <w:rPr>
          <w:rFonts w:ascii="Book Antiqua" w:hAnsi="Book Antiqua"/>
          <w:sz w:val="24"/>
        </w:rPr>
        <w:t xml:space="preserve"> 1). Then we combined the neighborhood survival curves using the log-rank test, patients were stratified into four node ratio group (Nr0 to Nr3), based on the following intervals: Nr0: LNR</w:t>
      </w:r>
      <w:r w:rsidR="00FA4060" w:rsidRPr="005D33A7">
        <w:rPr>
          <w:rFonts w:ascii="Book Antiqua" w:hAnsi="Book Antiqua" w:hint="eastAsia"/>
          <w:sz w:val="24"/>
        </w:rPr>
        <w:t xml:space="preserve"> </w:t>
      </w:r>
      <w:r w:rsidRPr="005D33A7">
        <w:rPr>
          <w:rFonts w:ascii="Book Antiqua" w:hAnsi="Book Antiqua"/>
          <w:sz w:val="24"/>
        </w:rPr>
        <w:t>=</w:t>
      </w:r>
      <w:r w:rsidR="00FA4060" w:rsidRPr="005D33A7">
        <w:rPr>
          <w:rFonts w:ascii="Book Antiqua" w:hAnsi="Book Antiqua" w:hint="eastAsia"/>
          <w:sz w:val="24"/>
        </w:rPr>
        <w:t xml:space="preserve"> </w:t>
      </w:r>
      <w:r w:rsidRPr="005D33A7">
        <w:rPr>
          <w:rFonts w:ascii="Book Antiqua" w:hAnsi="Book Antiqua"/>
          <w:sz w:val="24"/>
        </w:rPr>
        <w:t xml:space="preserve">0; Nr1: 0% &lt; LNR </w:t>
      </w:r>
      <w:r w:rsidRPr="005D33A7">
        <w:rPr>
          <w:rFonts w:ascii="Book Antiqua" w:hAnsi="Book Antiqua"/>
          <w:sz w:val="24"/>
        </w:rPr>
        <w:sym w:font="Symbol" w:char="F0A3"/>
      </w:r>
      <w:r w:rsidRPr="005D33A7">
        <w:rPr>
          <w:rFonts w:ascii="Book Antiqua" w:hAnsi="Book Antiqua"/>
          <w:sz w:val="24"/>
        </w:rPr>
        <w:t xml:space="preserve"> 10%; Nr2: 10% &lt; LNR </w:t>
      </w:r>
      <w:r w:rsidRPr="005D33A7">
        <w:rPr>
          <w:rFonts w:ascii="Book Antiqua" w:hAnsi="Book Antiqua"/>
          <w:sz w:val="24"/>
        </w:rPr>
        <w:sym w:font="Symbol" w:char="F0A3"/>
      </w:r>
      <w:r w:rsidRPr="005D33A7">
        <w:rPr>
          <w:rFonts w:ascii="Book Antiqua" w:hAnsi="Book Antiqua"/>
          <w:sz w:val="24"/>
        </w:rPr>
        <w:t xml:space="preserve"> 20%; and Nr3: LNR &gt; 20%.</w:t>
      </w:r>
    </w:p>
    <w:p w:rsidR="00FA4060" w:rsidRPr="005D33A7" w:rsidRDefault="00FA4060" w:rsidP="007D5F41">
      <w:pPr>
        <w:autoSpaceDE w:val="0"/>
        <w:autoSpaceDN w:val="0"/>
        <w:adjustRightInd w:val="0"/>
        <w:snapToGrid w:val="0"/>
        <w:spacing w:line="360" w:lineRule="auto"/>
        <w:rPr>
          <w:rFonts w:ascii="Book Antiqua" w:hAnsi="Book Antiqua"/>
          <w:b/>
          <w:bCs/>
          <w:i/>
          <w:sz w:val="24"/>
        </w:rPr>
      </w:pPr>
    </w:p>
    <w:p w:rsidR="00004441" w:rsidRPr="005D33A7" w:rsidRDefault="00004441" w:rsidP="007D5F41">
      <w:pPr>
        <w:autoSpaceDE w:val="0"/>
        <w:autoSpaceDN w:val="0"/>
        <w:adjustRightInd w:val="0"/>
        <w:snapToGrid w:val="0"/>
        <w:spacing w:line="360" w:lineRule="auto"/>
        <w:rPr>
          <w:rFonts w:ascii="Book Antiqua" w:hAnsi="Book Antiqua"/>
          <w:b/>
          <w:bCs/>
          <w:i/>
          <w:sz w:val="24"/>
        </w:rPr>
      </w:pPr>
      <w:r w:rsidRPr="005D33A7">
        <w:rPr>
          <w:rFonts w:ascii="Book Antiqua" w:hAnsi="Book Antiqua"/>
          <w:b/>
          <w:bCs/>
          <w:i/>
          <w:sz w:val="24"/>
        </w:rPr>
        <w:t>AJCC N categories and Nr categories</w:t>
      </w:r>
    </w:p>
    <w:p w:rsidR="00004441" w:rsidRPr="005D33A7" w:rsidRDefault="00004441"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sz w:val="24"/>
        </w:rPr>
        <w:t xml:space="preserve">From N categories to Nr categories, 557 patients change their lymph node stage (Table 1). The median survival time (MST) for AJCC N categories (N0-N3) was </w:t>
      </w:r>
      <w:r w:rsidRPr="005D33A7">
        <w:rPr>
          <w:rFonts w:ascii="Book Antiqua" w:hAnsi="Book Antiqua"/>
          <w:sz w:val="24"/>
        </w:rPr>
        <w:lastRenderedPageBreak/>
        <w:t xml:space="preserve">155.0 </w:t>
      </w:r>
      <w:r w:rsidR="00FA4060" w:rsidRPr="005D33A7">
        <w:rPr>
          <w:rFonts w:ascii="Book Antiqua" w:hAnsi="Book Antiqua" w:hint="eastAsia"/>
          <w:sz w:val="24"/>
        </w:rPr>
        <w:t>mo</w:t>
      </w:r>
      <w:r w:rsidRPr="005D33A7">
        <w:rPr>
          <w:rFonts w:ascii="Book Antiqua" w:hAnsi="Book Antiqua"/>
          <w:sz w:val="24"/>
        </w:rPr>
        <w:t xml:space="preserve">, 33.0 </w:t>
      </w:r>
      <w:r w:rsidR="00FA4060" w:rsidRPr="005D33A7">
        <w:rPr>
          <w:rFonts w:ascii="Book Antiqua" w:hAnsi="Book Antiqua" w:hint="eastAsia"/>
          <w:sz w:val="24"/>
        </w:rPr>
        <w:t>mo</w:t>
      </w:r>
      <w:r w:rsidRPr="005D33A7">
        <w:rPr>
          <w:rFonts w:ascii="Book Antiqua" w:hAnsi="Book Antiqua"/>
          <w:sz w:val="24"/>
        </w:rPr>
        <w:t xml:space="preserve">, 19.0 </w:t>
      </w:r>
      <w:r w:rsidR="00FA4060" w:rsidRPr="005D33A7">
        <w:rPr>
          <w:rFonts w:ascii="Book Antiqua" w:hAnsi="Book Antiqua" w:hint="eastAsia"/>
          <w:sz w:val="24"/>
        </w:rPr>
        <w:t>mo</w:t>
      </w:r>
      <w:r w:rsidRPr="005D33A7">
        <w:rPr>
          <w:rFonts w:ascii="Book Antiqua" w:hAnsi="Book Antiqua"/>
          <w:sz w:val="24"/>
        </w:rPr>
        <w:t xml:space="preserve">, and 14.0 </w:t>
      </w:r>
      <w:r w:rsidR="00FA4060" w:rsidRPr="005D33A7">
        <w:rPr>
          <w:rFonts w:ascii="Book Antiqua" w:hAnsi="Book Antiqua" w:hint="eastAsia"/>
          <w:sz w:val="24"/>
        </w:rPr>
        <w:t>mo</w:t>
      </w:r>
      <w:r w:rsidRPr="005D33A7">
        <w:rPr>
          <w:rFonts w:ascii="Book Antiqua" w:hAnsi="Book Antiqua"/>
          <w:sz w:val="24"/>
        </w:rPr>
        <w:t>, respectively, and the 5-year overall survival was 61.1%, 36.6%, 20.7%, and 20.0%, respectively (</w:t>
      </w:r>
      <w:r w:rsidR="00ED3454" w:rsidRPr="005D33A7">
        <w:rPr>
          <w:rFonts w:ascii="Book Antiqua" w:hAnsi="Book Antiqua"/>
          <w:i/>
          <w:sz w:val="24"/>
        </w:rPr>
        <w:t>P &lt;</w:t>
      </w:r>
      <w:r w:rsidRPr="005D33A7">
        <w:rPr>
          <w:rFonts w:ascii="Book Antiqua" w:hAnsi="Book Antiqua"/>
          <w:sz w:val="24"/>
        </w:rPr>
        <w:t xml:space="preserve"> 0.001). However, the survival difference was not significant for N2 </w:t>
      </w:r>
      <w:r w:rsidR="00FA4060" w:rsidRPr="005D33A7">
        <w:rPr>
          <w:rFonts w:ascii="Book Antiqua" w:hAnsi="Book Antiqua"/>
          <w:i/>
          <w:sz w:val="24"/>
        </w:rPr>
        <w:t>vs</w:t>
      </w:r>
      <w:r w:rsidRPr="005D33A7">
        <w:rPr>
          <w:rFonts w:ascii="Book Antiqua" w:hAnsi="Book Antiqua"/>
          <w:sz w:val="24"/>
        </w:rPr>
        <w:t xml:space="preserve"> N3 category (</w:t>
      </w:r>
      <w:r w:rsidR="00ED3454" w:rsidRPr="005D33A7">
        <w:rPr>
          <w:rFonts w:ascii="Book Antiqua" w:hAnsi="Book Antiqua"/>
          <w:i/>
          <w:sz w:val="24"/>
        </w:rPr>
        <w:t xml:space="preserve">P = </w:t>
      </w:r>
      <w:r w:rsidRPr="005D33A7">
        <w:rPr>
          <w:rFonts w:ascii="Book Antiqua" w:hAnsi="Book Antiqua"/>
          <w:sz w:val="24"/>
        </w:rPr>
        <w:t>0.159) in a subgroup analysis (</w:t>
      </w:r>
      <w:r w:rsidR="00FA4060" w:rsidRPr="005D33A7">
        <w:rPr>
          <w:rFonts w:ascii="Book Antiqua" w:hAnsi="Book Antiqua"/>
          <w:sz w:val="24"/>
        </w:rPr>
        <w:t>Figure</w:t>
      </w:r>
      <w:r w:rsidRPr="005D33A7">
        <w:rPr>
          <w:rFonts w:ascii="Book Antiqua" w:hAnsi="Book Antiqua"/>
          <w:sz w:val="24"/>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sidRPr="005D33A7">
          <w:rPr>
            <w:rFonts w:ascii="Book Antiqua" w:hAnsi="Book Antiqua"/>
            <w:sz w:val="24"/>
          </w:rPr>
          <w:t>2A</w:t>
        </w:r>
      </w:smartTag>
      <w:r w:rsidRPr="005D33A7">
        <w:rPr>
          <w:rFonts w:ascii="Book Antiqua" w:hAnsi="Book Antiqua"/>
          <w:sz w:val="24"/>
        </w:rPr>
        <w:t>). When patients in the N0 to N3 categories were stratified into subgroups of adequate lymphadenectomy and inadequate lymphadenectomy, those with adequate lymphadenectomy had significantly better survival than those with inadequate lymphadenectomy (</w:t>
      </w:r>
      <w:r w:rsidR="00ED3454" w:rsidRPr="005D33A7">
        <w:rPr>
          <w:rFonts w:ascii="Book Antiqua" w:hAnsi="Book Antiqua"/>
          <w:i/>
          <w:sz w:val="24"/>
        </w:rPr>
        <w:t>P &lt;</w:t>
      </w:r>
      <w:r w:rsidRPr="005D33A7">
        <w:rPr>
          <w:rFonts w:ascii="Book Antiqua" w:hAnsi="Book Antiqua"/>
          <w:sz w:val="24"/>
        </w:rPr>
        <w:t xml:space="preserve"> 0.05, </w:t>
      </w:r>
      <w:r w:rsidR="00FA4060" w:rsidRPr="005D33A7">
        <w:rPr>
          <w:rFonts w:ascii="Book Antiqua" w:hAnsi="Book Antiqua"/>
          <w:sz w:val="24"/>
        </w:rPr>
        <w:t>Figure</w:t>
      </w:r>
      <w:r w:rsidRPr="005D33A7">
        <w:rPr>
          <w:rFonts w:ascii="Book Antiqua" w:hAnsi="Book Antiqua"/>
          <w:sz w:val="24"/>
        </w:rPr>
        <w:t xml:space="preserve"> </w:t>
      </w:r>
      <w:smartTag w:uri="urn:schemas-microsoft-com:office:smarttags" w:element="chmetcnv">
        <w:smartTagPr>
          <w:attr w:name="TCSC" w:val="0"/>
          <w:attr w:name="NumberType" w:val="1"/>
          <w:attr w:name="Negative" w:val="False"/>
          <w:attr w:name="HasSpace" w:val="False"/>
          <w:attr w:name="SourceValue" w:val="3"/>
          <w:attr w:name="UnitName" w:val="a"/>
        </w:smartTagPr>
        <w:r w:rsidRPr="005D33A7">
          <w:rPr>
            <w:rFonts w:ascii="Book Antiqua" w:hAnsi="Book Antiqua"/>
            <w:sz w:val="24"/>
          </w:rPr>
          <w:t>3A</w:t>
        </w:r>
      </w:smartTag>
      <w:r w:rsidRPr="005D33A7">
        <w:rPr>
          <w:rFonts w:ascii="Book Antiqua" w:hAnsi="Book Antiqua"/>
          <w:sz w:val="24"/>
        </w:rPr>
        <w:t>-C), except for N3 category (</w:t>
      </w:r>
      <w:r w:rsidR="00ED3454" w:rsidRPr="005D33A7">
        <w:rPr>
          <w:rFonts w:ascii="Book Antiqua" w:hAnsi="Book Antiqua"/>
          <w:i/>
          <w:sz w:val="24"/>
        </w:rPr>
        <w:t xml:space="preserve">P = </w:t>
      </w:r>
      <w:r w:rsidRPr="005D33A7">
        <w:rPr>
          <w:rFonts w:ascii="Book Antiqua" w:hAnsi="Book Antiqua"/>
          <w:sz w:val="24"/>
        </w:rPr>
        <w:t xml:space="preserve">0.292, </w:t>
      </w:r>
      <w:r w:rsidR="00FA4060" w:rsidRPr="005D33A7">
        <w:rPr>
          <w:rFonts w:ascii="Book Antiqua" w:hAnsi="Book Antiqua"/>
          <w:sz w:val="24"/>
        </w:rPr>
        <w:t>Figure</w:t>
      </w:r>
      <w:r w:rsidRPr="005D33A7">
        <w:rPr>
          <w:rFonts w:ascii="Book Antiqua" w:hAnsi="Book Antiqua"/>
          <w:sz w:val="24"/>
        </w:rPr>
        <w:t xml:space="preserve"> 3D). But the patient number in the N3 category was only 86. The median survival time (MST) for the four Nr categories (Nr0-Nr3) was 155.0 </w:t>
      </w:r>
      <w:r w:rsidR="00FA4060" w:rsidRPr="005D33A7">
        <w:rPr>
          <w:rFonts w:ascii="Book Antiqua" w:hAnsi="Book Antiqua" w:hint="eastAsia"/>
          <w:sz w:val="24"/>
        </w:rPr>
        <w:t>mo</w:t>
      </w:r>
      <w:r w:rsidRPr="005D33A7">
        <w:rPr>
          <w:rFonts w:ascii="Book Antiqua" w:hAnsi="Book Antiqua"/>
          <w:sz w:val="24"/>
        </w:rPr>
        <w:t xml:space="preserve">, 39.0 </w:t>
      </w:r>
      <w:r w:rsidR="00FA4060" w:rsidRPr="005D33A7">
        <w:rPr>
          <w:rFonts w:ascii="Book Antiqua" w:hAnsi="Book Antiqua" w:hint="eastAsia"/>
          <w:sz w:val="24"/>
        </w:rPr>
        <w:t>mo</w:t>
      </w:r>
      <w:r w:rsidRPr="005D33A7">
        <w:rPr>
          <w:rFonts w:ascii="Book Antiqua" w:hAnsi="Book Antiqua"/>
          <w:sz w:val="24"/>
        </w:rPr>
        <w:t xml:space="preserve">, 28.0 </w:t>
      </w:r>
      <w:r w:rsidR="00FA4060" w:rsidRPr="005D33A7">
        <w:rPr>
          <w:rFonts w:ascii="Book Antiqua" w:hAnsi="Book Antiqua" w:hint="eastAsia"/>
          <w:sz w:val="24"/>
        </w:rPr>
        <w:t>mo</w:t>
      </w:r>
      <w:r w:rsidRPr="005D33A7">
        <w:rPr>
          <w:rFonts w:ascii="Book Antiqua" w:hAnsi="Book Antiqua"/>
          <w:sz w:val="24"/>
        </w:rPr>
        <w:t xml:space="preserve">, and 19.0 </w:t>
      </w:r>
      <w:r w:rsidR="00FA4060" w:rsidRPr="005D33A7">
        <w:rPr>
          <w:rFonts w:ascii="Book Antiqua" w:hAnsi="Book Antiqua" w:hint="eastAsia"/>
          <w:sz w:val="24"/>
        </w:rPr>
        <w:t>mo</w:t>
      </w:r>
      <w:r w:rsidRPr="005D33A7">
        <w:rPr>
          <w:rFonts w:ascii="Book Antiqua" w:hAnsi="Book Antiqua"/>
          <w:sz w:val="24"/>
        </w:rPr>
        <w:t>, respectively, ant the 5-year overall survival was 61.1%, 41.1%, 33.0%, and 22.9%, respectively (</w:t>
      </w:r>
      <w:r w:rsidR="00ED3454" w:rsidRPr="005D33A7">
        <w:rPr>
          <w:rFonts w:ascii="Book Antiqua" w:hAnsi="Book Antiqua"/>
          <w:i/>
          <w:sz w:val="24"/>
        </w:rPr>
        <w:t>P &lt;</w:t>
      </w:r>
      <w:r w:rsidRPr="005D33A7">
        <w:rPr>
          <w:rFonts w:ascii="Book Antiqua" w:hAnsi="Book Antiqua"/>
          <w:sz w:val="24"/>
        </w:rPr>
        <w:t xml:space="preserve"> 0.001). The survival differences were significant in </w:t>
      </w:r>
      <w:r w:rsidR="00FA4060" w:rsidRPr="005D33A7">
        <w:rPr>
          <w:rFonts w:ascii="Book Antiqua" w:hAnsi="Book Antiqua"/>
          <w:sz w:val="24"/>
        </w:rPr>
        <w:t>a separate subgroup analysis (</w:t>
      </w:r>
      <w:r w:rsidR="00FA4060" w:rsidRPr="005D33A7">
        <w:rPr>
          <w:rFonts w:ascii="Book Antiqua" w:hAnsi="Book Antiqua"/>
          <w:i/>
          <w:sz w:val="24"/>
        </w:rPr>
        <w:t>P</w:t>
      </w:r>
      <w:r w:rsidR="00FA4060" w:rsidRPr="005D33A7">
        <w:rPr>
          <w:rFonts w:ascii="Book Antiqua" w:hAnsi="Book Antiqua" w:hint="eastAsia"/>
          <w:sz w:val="24"/>
        </w:rPr>
        <w:t xml:space="preserve"> </w:t>
      </w:r>
      <w:r w:rsidRPr="005D33A7">
        <w:rPr>
          <w:rFonts w:ascii="Book Antiqua" w:hAnsi="Book Antiqua"/>
          <w:sz w:val="24"/>
        </w:rPr>
        <w:t xml:space="preserve">value for Nr0 </w:t>
      </w:r>
      <w:r w:rsidR="00FA4060" w:rsidRPr="005D33A7">
        <w:rPr>
          <w:rFonts w:ascii="Book Antiqua" w:hAnsi="Book Antiqua"/>
          <w:i/>
          <w:sz w:val="24"/>
        </w:rPr>
        <w:t>vs</w:t>
      </w:r>
      <w:r w:rsidRPr="005D33A7">
        <w:rPr>
          <w:rFonts w:ascii="Book Antiqua" w:hAnsi="Book Antiqua"/>
          <w:sz w:val="24"/>
        </w:rPr>
        <w:t xml:space="preserve"> Nr1: &lt; 0.001, Nr1 </w:t>
      </w:r>
      <w:r w:rsidR="00FA4060" w:rsidRPr="005D33A7">
        <w:rPr>
          <w:rFonts w:ascii="Book Antiqua" w:hAnsi="Book Antiqua"/>
          <w:i/>
          <w:sz w:val="24"/>
        </w:rPr>
        <w:t>vs</w:t>
      </w:r>
      <w:r w:rsidRPr="005D33A7">
        <w:rPr>
          <w:rFonts w:ascii="Book Antiqua" w:hAnsi="Book Antiqua"/>
          <w:sz w:val="24"/>
        </w:rPr>
        <w:t xml:space="preserve"> Nr2: 0.021, Nr2 </w:t>
      </w:r>
      <w:r w:rsidR="00FA4060" w:rsidRPr="005D33A7">
        <w:rPr>
          <w:rFonts w:ascii="Book Antiqua" w:hAnsi="Book Antiqua"/>
          <w:i/>
          <w:sz w:val="24"/>
        </w:rPr>
        <w:t>vs</w:t>
      </w:r>
      <w:r w:rsidRPr="005D33A7">
        <w:rPr>
          <w:rFonts w:ascii="Book Antiqua" w:hAnsi="Book Antiqua"/>
          <w:sz w:val="24"/>
        </w:rPr>
        <w:t xml:space="preserve"> Nr3: 0.001</w:t>
      </w:r>
      <w:r w:rsidR="00FA4060" w:rsidRPr="005D33A7">
        <w:rPr>
          <w:rFonts w:ascii="Book Antiqua" w:hAnsi="Book Antiqua" w:hint="eastAsia"/>
          <w:sz w:val="24"/>
        </w:rPr>
        <w:t>;</w:t>
      </w:r>
      <w:r w:rsidRPr="005D33A7">
        <w:rPr>
          <w:rFonts w:ascii="Book Antiqua" w:hAnsi="Book Antiqua"/>
          <w:sz w:val="24"/>
        </w:rPr>
        <w:t xml:space="preserve"> </w:t>
      </w:r>
      <w:r w:rsidR="00FA4060" w:rsidRPr="005D33A7">
        <w:rPr>
          <w:rFonts w:ascii="Book Antiqua" w:hAnsi="Book Antiqua"/>
          <w:sz w:val="24"/>
        </w:rPr>
        <w:t>Figure</w:t>
      </w:r>
      <w:r w:rsidRPr="005D33A7">
        <w:rPr>
          <w:rFonts w:ascii="Book Antiqua" w:hAnsi="Book Antiqua"/>
          <w:sz w:val="24"/>
        </w:rPr>
        <w:t xml:space="preserve"> 2B). No significant difference was observed in the 5-year overall survival when the Nr1, Nr2 and Nr3 categories were stratified into subgroups of adequate lymphadenectomy and inadequate lymphadenectomy (</w:t>
      </w:r>
      <w:r w:rsidRPr="005D33A7">
        <w:rPr>
          <w:rFonts w:ascii="Book Antiqua" w:hAnsi="Book Antiqua"/>
          <w:i/>
          <w:sz w:val="24"/>
        </w:rPr>
        <w:t xml:space="preserve">P </w:t>
      </w:r>
      <w:r w:rsidRPr="005D33A7">
        <w:rPr>
          <w:rFonts w:ascii="Book Antiqua" w:hAnsi="Book Antiqua"/>
          <w:sz w:val="24"/>
        </w:rPr>
        <w:t>&gt; 0.05</w:t>
      </w:r>
      <w:r w:rsidR="00FA4060" w:rsidRPr="005D33A7">
        <w:rPr>
          <w:rFonts w:ascii="Book Antiqua" w:hAnsi="Book Antiqua" w:hint="eastAsia"/>
          <w:sz w:val="24"/>
        </w:rPr>
        <w:t>;</w:t>
      </w:r>
      <w:r w:rsidRPr="005D33A7">
        <w:rPr>
          <w:rFonts w:ascii="Book Antiqua" w:hAnsi="Book Antiqua"/>
          <w:sz w:val="24"/>
        </w:rPr>
        <w:t xml:space="preserve"> </w:t>
      </w:r>
      <w:r w:rsidR="00FA4060" w:rsidRPr="005D33A7">
        <w:rPr>
          <w:rFonts w:ascii="Book Antiqua" w:hAnsi="Book Antiqua"/>
          <w:sz w:val="24"/>
        </w:rPr>
        <w:t>Figure</w:t>
      </w:r>
      <w:r w:rsidRPr="005D33A7">
        <w:rPr>
          <w:rFonts w:ascii="Book Antiqua" w:hAnsi="Book Antiqua"/>
          <w:sz w:val="24"/>
        </w:rPr>
        <w:t xml:space="preserve"> 3E-G).</w:t>
      </w:r>
    </w:p>
    <w:p w:rsidR="00FA4060" w:rsidRPr="005D33A7" w:rsidRDefault="00FA4060" w:rsidP="007D5F41">
      <w:pPr>
        <w:autoSpaceDE w:val="0"/>
        <w:autoSpaceDN w:val="0"/>
        <w:adjustRightInd w:val="0"/>
        <w:snapToGrid w:val="0"/>
        <w:spacing w:line="360" w:lineRule="auto"/>
        <w:rPr>
          <w:rFonts w:ascii="Book Antiqua" w:hAnsi="Book Antiqua"/>
          <w:b/>
          <w:bCs/>
          <w:i/>
          <w:sz w:val="24"/>
        </w:rPr>
      </w:pPr>
    </w:p>
    <w:p w:rsidR="00004441" w:rsidRPr="005D33A7" w:rsidRDefault="00004441" w:rsidP="007D5F41">
      <w:pPr>
        <w:autoSpaceDE w:val="0"/>
        <w:autoSpaceDN w:val="0"/>
        <w:adjustRightInd w:val="0"/>
        <w:snapToGrid w:val="0"/>
        <w:spacing w:line="360" w:lineRule="auto"/>
        <w:rPr>
          <w:rFonts w:ascii="Book Antiqua" w:hAnsi="Book Antiqua"/>
          <w:b/>
          <w:bCs/>
          <w:i/>
          <w:sz w:val="24"/>
        </w:rPr>
      </w:pPr>
      <w:r w:rsidRPr="005D33A7">
        <w:rPr>
          <w:rFonts w:ascii="Book Antiqua" w:hAnsi="Book Antiqua"/>
          <w:b/>
          <w:bCs/>
          <w:i/>
          <w:sz w:val="24"/>
        </w:rPr>
        <w:t xml:space="preserve">AJCC TNM staging system and TNrM staging system </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sz w:val="24"/>
        </w:rPr>
        <w:t>The predictive ability of the current TNM staging system and the TNrM staging system was further evaluated by using time-dependent ROC, which was performed by estimating the value of AUC according to time-dependent sensitivity and specificity. The AUCs for Nr categories were higher than those for N categories (Figure 4A), which indicated that Nr categories had better predictive value than N categories. The TNrM stage also had higher accuracy in predicting survival than the AJCC TNM stage (Figure 4B).</w:t>
      </w:r>
    </w:p>
    <w:p w:rsidR="00004441" w:rsidRPr="005D33A7" w:rsidRDefault="00004441" w:rsidP="00FA4060">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 xml:space="preserve">We further evaluated the predictive ability of these two staging systems in the subgroups of patient with adequate lymphadenectomy and inadequate lymphadenectomy. We also found in both of these two subgroups that the Nr categories and TNrM stage had a higher accuracy in predicting survival than the </w:t>
      </w:r>
      <w:r w:rsidRPr="005D33A7">
        <w:rPr>
          <w:rFonts w:ascii="Book Antiqua" w:hAnsi="Book Antiqua"/>
          <w:sz w:val="24"/>
        </w:rPr>
        <w:lastRenderedPageBreak/>
        <w:t>AJCC N categories and TNM stage (Figure 4).</w:t>
      </w:r>
    </w:p>
    <w:p w:rsidR="00FA4060" w:rsidRPr="005D33A7" w:rsidRDefault="00FA4060" w:rsidP="007D5F41">
      <w:pPr>
        <w:autoSpaceDE w:val="0"/>
        <w:autoSpaceDN w:val="0"/>
        <w:adjustRightInd w:val="0"/>
        <w:snapToGrid w:val="0"/>
        <w:spacing w:line="360" w:lineRule="auto"/>
        <w:rPr>
          <w:rFonts w:ascii="Book Antiqua" w:hAnsi="Book Antiqua"/>
          <w:b/>
          <w:bCs/>
          <w:i/>
          <w:sz w:val="24"/>
        </w:rPr>
      </w:pPr>
    </w:p>
    <w:p w:rsidR="00004441" w:rsidRPr="005D33A7" w:rsidRDefault="00004441" w:rsidP="007D5F41">
      <w:pPr>
        <w:autoSpaceDE w:val="0"/>
        <w:autoSpaceDN w:val="0"/>
        <w:adjustRightInd w:val="0"/>
        <w:snapToGrid w:val="0"/>
        <w:spacing w:line="360" w:lineRule="auto"/>
        <w:rPr>
          <w:rFonts w:ascii="Book Antiqua" w:hAnsi="Book Antiqua"/>
          <w:b/>
          <w:bCs/>
          <w:i/>
          <w:sz w:val="24"/>
        </w:rPr>
      </w:pPr>
      <w:r w:rsidRPr="005D33A7">
        <w:rPr>
          <w:rFonts w:ascii="Book Antiqua" w:hAnsi="Book Antiqua"/>
          <w:b/>
          <w:bCs/>
          <w:i/>
          <w:sz w:val="24"/>
        </w:rPr>
        <w:t>Overall survival</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sz w:val="24"/>
        </w:rPr>
        <w:t>The 5-year overall survival for the current TNM staging system is: stage 0 100%, stage IA 84.8%, stage IB 78.6%, stage IIA 66.5%, stage IIB 53.4%, stage IIIA 33.6%, stage IIIB 22.4%, stage IIIC 15%, and stage IV 0%. For the TNrM staging system, 5-year overall survival is as follows: stage 0 100%, stage IA 84.8%, stage IB 78.6%, stage IIA 66.5%, stage IIB 54.5%, stage IIIA 40.8%, stage IIIB 29.2%, stage IIIC 22.2%, and stage IV 0%. The cumulative survival curves</w:t>
      </w:r>
      <w:r w:rsidRPr="005D33A7" w:rsidDel="005324CB">
        <w:rPr>
          <w:rFonts w:ascii="Book Antiqua" w:hAnsi="Book Antiqua"/>
          <w:sz w:val="24"/>
        </w:rPr>
        <w:t xml:space="preserve"> </w:t>
      </w:r>
      <w:r w:rsidRPr="005D33A7">
        <w:rPr>
          <w:rFonts w:ascii="Book Antiqua" w:hAnsi="Book Antiqua"/>
          <w:sz w:val="24"/>
        </w:rPr>
        <w:t xml:space="preserve">according to these two staging systems were shown in Figure 5. All survival curves were well separated except for stage IA </w:t>
      </w:r>
      <w:r w:rsidR="00FA4060" w:rsidRPr="005D33A7">
        <w:rPr>
          <w:rFonts w:ascii="Book Antiqua" w:hAnsi="Book Antiqua"/>
          <w:i/>
          <w:sz w:val="24"/>
        </w:rPr>
        <w:t>vs</w:t>
      </w:r>
      <w:r w:rsidRPr="005D33A7">
        <w:rPr>
          <w:rFonts w:ascii="Book Antiqua" w:hAnsi="Book Antiqua"/>
          <w:sz w:val="24"/>
        </w:rPr>
        <w:t xml:space="preserve"> IB (</w:t>
      </w:r>
      <w:r w:rsidRPr="005D33A7">
        <w:rPr>
          <w:rFonts w:ascii="Book Antiqua" w:hAnsi="Book Antiqua"/>
          <w:i/>
          <w:sz w:val="24"/>
        </w:rPr>
        <w:t>P</w:t>
      </w:r>
      <w:r w:rsidRPr="005D33A7">
        <w:rPr>
          <w:rFonts w:ascii="Book Antiqua" w:hAnsi="Book Antiqua"/>
          <w:sz w:val="24"/>
        </w:rPr>
        <w:t xml:space="preserve"> = 0.922).</w:t>
      </w:r>
    </w:p>
    <w:p w:rsidR="00004441" w:rsidRPr="005D33A7" w:rsidRDefault="00004441" w:rsidP="007D5F41">
      <w:pPr>
        <w:autoSpaceDE w:val="0"/>
        <w:autoSpaceDN w:val="0"/>
        <w:adjustRightInd w:val="0"/>
        <w:snapToGrid w:val="0"/>
        <w:spacing w:line="360" w:lineRule="auto"/>
        <w:rPr>
          <w:rFonts w:ascii="Book Antiqua" w:hAnsi="Book Antiqua"/>
          <w:sz w:val="24"/>
        </w:rPr>
      </w:pPr>
    </w:p>
    <w:p w:rsidR="00665DC9" w:rsidRPr="005D33A7" w:rsidRDefault="00004441"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b/>
          <w:bCs/>
          <w:sz w:val="24"/>
        </w:rPr>
        <w:t>DISCUSSION</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sz w:val="24"/>
        </w:rPr>
        <w:t>An accurate staging classification for cancer, according to guidelines that are internationally accepted among surgeons, oncologists, and other physicians, is of crucial importance</w:t>
      </w:r>
      <w:r w:rsidRPr="005D33A7">
        <w:rPr>
          <w:rFonts w:ascii="Book Antiqua" w:hAnsi="Book Antiqua"/>
          <w:sz w:val="24"/>
          <w:vertAlign w:val="superscript"/>
        </w:rPr>
        <w:t>[13]</w:t>
      </w:r>
      <w:r w:rsidRPr="005D33A7">
        <w:rPr>
          <w:rFonts w:ascii="Book Antiqua" w:hAnsi="Book Antiqua"/>
          <w:sz w:val="24"/>
        </w:rPr>
        <w:t>.</w:t>
      </w:r>
      <w:r w:rsidRPr="005D33A7">
        <w:rPr>
          <w:rFonts w:ascii="Book Antiqua" w:hAnsi="Book Antiqua"/>
          <w:sz w:val="24"/>
          <w:vertAlign w:val="superscript"/>
        </w:rPr>
        <w:t xml:space="preserve"> </w:t>
      </w:r>
      <w:r w:rsidRPr="005D33A7">
        <w:rPr>
          <w:rFonts w:ascii="Book Antiqua" w:hAnsi="Book Antiqua"/>
          <w:sz w:val="24"/>
        </w:rPr>
        <w:t>An ideal cancer staging should not only provide an indication of prognosis and a framework for treatment decisions but should also allow evaluation of treatment with meaningful comparisons between patient cohorts across different institutions and locations</w:t>
      </w:r>
      <w:r w:rsidRPr="005D33A7">
        <w:rPr>
          <w:rFonts w:ascii="Book Antiqua" w:hAnsi="Book Antiqua"/>
          <w:sz w:val="24"/>
          <w:vertAlign w:val="superscript"/>
        </w:rPr>
        <w:t>[24,25]</w:t>
      </w:r>
      <w:r w:rsidRPr="005D33A7">
        <w:rPr>
          <w:rFonts w:ascii="Book Antiqua" w:hAnsi="Book Antiqua"/>
          <w:sz w:val="24"/>
        </w:rPr>
        <w:t xml:space="preserve">. </w:t>
      </w:r>
    </w:p>
    <w:p w:rsidR="00004441" w:rsidRPr="005D33A7" w:rsidRDefault="00004441" w:rsidP="00FA4060">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The AJCC TNM staging system is now the most commonly used system for esophageal cancer to classify the severity of disease. In 2010, the AJCC published the latest edition TNM system for esophageal cancer. The most notable change for this new staging system is the reclassification of N categories by grouping patients based on the numbers of metastatic lymph nodes, which may have greater prognostic importance for esophageal cancer patients</w:t>
      </w:r>
      <w:r w:rsidRPr="005D33A7">
        <w:rPr>
          <w:rFonts w:ascii="Book Antiqua" w:hAnsi="Book Antiqua"/>
          <w:sz w:val="24"/>
          <w:vertAlign w:val="superscript"/>
        </w:rPr>
        <w:t>[26]</w:t>
      </w:r>
      <w:r w:rsidRPr="005D33A7">
        <w:rPr>
          <w:rFonts w:ascii="Book Antiqua" w:hAnsi="Book Antiqua"/>
          <w:sz w:val="24"/>
        </w:rPr>
        <w:t xml:space="preserve">. However, although this system advocates as extensive a lymphadenectomy as possible, it does not specify the adequate number of resected lymph nodes for an accurate nodal staging. </w:t>
      </w:r>
    </w:p>
    <w:p w:rsidR="00004441" w:rsidRPr="005D33A7" w:rsidRDefault="00004441" w:rsidP="00FA4060">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 xml:space="preserve">The extent of lymphadenectomy for esophageal cancer is still </w:t>
      </w:r>
      <w:r w:rsidRPr="005D33A7">
        <w:rPr>
          <w:rFonts w:ascii="Book Antiqua" w:hAnsi="Book Antiqua"/>
          <w:sz w:val="24"/>
        </w:rPr>
        <w:lastRenderedPageBreak/>
        <w:t>controversial</w:t>
      </w:r>
      <w:r w:rsidRPr="005D33A7">
        <w:rPr>
          <w:rFonts w:ascii="Book Antiqua" w:hAnsi="Book Antiqua"/>
          <w:sz w:val="24"/>
          <w:vertAlign w:val="superscript"/>
        </w:rPr>
        <w:t>[6-8,27]</w:t>
      </w:r>
      <w:r w:rsidRPr="005D33A7">
        <w:rPr>
          <w:rFonts w:ascii="Book Antiqua" w:hAnsi="Book Antiqua"/>
          <w:sz w:val="24"/>
        </w:rPr>
        <w:t>. There are varied types of surgical procedures for esophagectomy performed in different institutions, leading to a significant variability in the number of lymph nodes examined. Previous studies had shown that the total number of lymph nodes resected is an independent prognostic predictor for esophageal cancer patients underwent surgery</w:t>
      </w:r>
      <w:r w:rsidRPr="005D33A7">
        <w:rPr>
          <w:rFonts w:ascii="Book Antiqua" w:hAnsi="Book Antiqua"/>
          <w:sz w:val="24"/>
          <w:vertAlign w:val="superscript"/>
        </w:rPr>
        <w:t>[27,28]</w:t>
      </w:r>
      <w:r w:rsidRPr="005D33A7">
        <w:rPr>
          <w:rFonts w:ascii="Book Antiqua" w:hAnsi="Book Antiqua"/>
          <w:sz w:val="24"/>
        </w:rPr>
        <w:t xml:space="preserve">. Because the number of positive nodes is confounded by the total number of nodes examined, nodal categorization based on only the numbers of positive lymph nodes could not accurately classify all nodal status when insufficient lymphadenectomy existing. Our data show that when patients are categorized by the AJCC N categories, those with 15 or more nodes examined have significantly better survival than those with fewer than 15 nodes examined in a same N stage. This indicates that insufficient lymphadenectomy will lead to understaging of the disease. However, further studies are required to specify the minimum number of examined nodes to maximize survival. </w:t>
      </w:r>
    </w:p>
    <w:p w:rsidR="00004441" w:rsidRPr="005D33A7" w:rsidRDefault="00004441" w:rsidP="00FA4060">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LNR has been found to be another independent prognostic factor for esophageal cancer patients after surgery</w:t>
      </w:r>
      <w:r w:rsidRPr="005D33A7">
        <w:rPr>
          <w:rFonts w:ascii="Book Antiqua" w:hAnsi="Book Antiqua"/>
          <w:sz w:val="24"/>
          <w:vertAlign w:val="superscript"/>
        </w:rPr>
        <w:t>[6-20]</w:t>
      </w:r>
      <w:r w:rsidRPr="005D33A7">
        <w:rPr>
          <w:rFonts w:ascii="Book Antiqua" w:hAnsi="Book Antiqua"/>
          <w:sz w:val="24"/>
        </w:rPr>
        <w:t>, and may stratify survival even better than the AJCC N category for certain cohorts of patients</w:t>
      </w:r>
      <w:r w:rsidRPr="005D33A7">
        <w:rPr>
          <w:rFonts w:ascii="Book Antiqua" w:hAnsi="Book Antiqua"/>
          <w:sz w:val="24"/>
          <w:vertAlign w:val="superscript"/>
        </w:rPr>
        <w:t>[15]</w:t>
      </w:r>
      <w:r w:rsidRPr="005D33A7">
        <w:rPr>
          <w:rFonts w:ascii="Book Antiqua" w:hAnsi="Book Antiqua"/>
          <w:sz w:val="24"/>
        </w:rPr>
        <w:t>. However, most previous studies were with small patient cohorts, and seldom specified what calculations were performed to retrieve the optimal cutoff point</w:t>
      </w:r>
      <w:r w:rsidRPr="005D33A7">
        <w:rPr>
          <w:rFonts w:ascii="Book Antiqua" w:hAnsi="Book Antiqua"/>
          <w:sz w:val="24"/>
          <w:vertAlign w:val="superscript"/>
        </w:rPr>
        <w:t>[12]</w:t>
      </w:r>
      <w:r w:rsidRPr="005D33A7">
        <w:rPr>
          <w:rFonts w:ascii="Book Antiqua" w:hAnsi="Book Antiqua"/>
          <w:sz w:val="24"/>
        </w:rPr>
        <w:t xml:space="preserve">. Moreover, few studies were concerned on the predictive performance of LNR in esophageal cancer patients with adequate lymphadenectomy and inadequate lymphadenectomy. </w:t>
      </w:r>
    </w:p>
    <w:p w:rsidR="00004441" w:rsidRPr="005D33A7" w:rsidRDefault="00004441" w:rsidP="00FA4060">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To our knowledge, our study is the largest ever single-center patient cohort of ESCC to evaluate the predictive ability of LNR. We propose optimal Nr categories for ESCC (Nr0: LNR</w:t>
      </w:r>
      <w:r w:rsidR="00FA4060" w:rsidRPr="005D33A7">
        <w:rPr>
          <w:rFonts w:ascii="Book Antiqua" w:hAnsi="Book Antiqua" w:hint="eastAsia"/>
          <w:sz w:val="24"/>
        </w:rPr>
        <w:t xml:space="preserve"> </w:t>
      </w:r>
      <w:r w:rsidRPr="005D33A7">
        <w:rPr>
          <w:rFonts w:ascii="Book Antiqua" w:hAnsi="Book Antiqua"/>
          <w:sz w:val="24"/>
        </w:rPr>
        <w:t>=</w:t>
      </w:r>
      <w:r w:rsidR="00FA4060" w:rsidRPr="005D33A7">
        <w:rPr>
          <w:rFonts w:ascii="Book Antiqua" w:hAnsi="Book Antiqua" w:hint="eastAsia"/>
          <w:sz w:val="24"/>
        </w:rPr>
        <w:t xml:space="preserve"> </w:t>
      </w:r>
      <w:r w:rsidRPr="005D33A7">
        <w:rPr>
          <w:rFonts w:ascii="Book Antiqua" w:hAnsi="Book Antiqua"/>
          <w:sz w:val="24"/>
        </w:rPr>
        <w:t xml:space="preserve">0; Nr1: 0% &lt; LNR </w:t>
      </w:r>
      <w:r w:rsidRPr="005D33A7">
        <w:rPr>
          <w:rFonts w:ascii="Book Antiqua" w:hAnsi="Book Antiqua"/>
          <w:sz w:val="24"/>
        </w:rPr>
        <w:sym w:font="Symbol" w:char="F0A3"/>
      </w:r>
      <w:r w:rsidRPr="005D33A7">
        <w:rPr>
          <w:rFonts w:ascii="Book Antiqua" w:hAnsi="Book Antiqua"/>
          <w:sz w:val="24"/>
        </w:rPr>
        <w:t xml:space="preserve"> 10%; Nr2: 10% &lt; LNR </w:t>
      </w:r>
      <w:r w:rsidRPr="005D33A7">
        <w:rPr>
          <w:rFonts w:ascii="Book Antiqua" w:hAnsi="Book Antiqua"/>
          <w:sz w:val="24"/>
        </w:rPr>
        <w:sym w:font="Symbol" w:char="F0A3"/>
      </w:r>
      <w:r w:rsidRPr="005D33A7">
        <w:rPr>
          <w:rFonts w:ascii="Book Antiqua" w:hAnsi="Book Antiqua"/>
          <w:sz w:val="24"/>
        </w:rPr>
        <w:t xml:space="preserve"> 20%; and Nr3: LNR &gt; 20%), which are different from previous studies</w:t>
      </w:r>
      <w:r w:rsidRPr="005D33A7">
        <w:rPr>
          <w:rFonts w:ascii="Book Antiqua" w:hAnsi="Book Antiqua"/>
          <w:sz w:val="24"/>
          <w:vertAlign w:val="superscript"/>
        </w:rPr>
        <w:t>[6-20]</w:t>
      </w:r>
      <w:r w:rsidRPr="005D33A7">
        <w:rPr>
          <w:rFonts w:ascii="Book Antiqua" w:hAnsi="Book Antiqua"/>
          <w:sz w:val="24"/>
        </w:rPr>
        <w:t>.</w:t>
      </w:r>
      <w:r w:rsidRPr="005D33A7">
        <w:rPr>
          <w:rFonts w:ascii="Book Antiqua" w:hAnsi="Book Antiqua"/>
          <w:sz w:val="24"/>
          <w:vertAlign w:val="superscript"/>
        </w:rPr>
        <w:t xml:space="preserve"> </w:t>
      </w:r>
      <w:r w:rsidRPr="005D33A7">
        <w:rPr>
          <w:rFonts w:ascii="Book Antiqua" w:hAnsi="Book Antiqua"/>
          <w:sz w:val="24"/>
        </w:rPr>
        <w:t xml:space="preserve">In our study, we found that the survival differences were significant in the four Nr categories in a separate subgroup analysis, while no survival difference was observed for the AJCC N categories of N2 </w:t>
      </w:r>
      <w:r w:rsidR="00FA4060" w:rsidRPr="005D33A7">
        <w:rPr>
          <w:rFonts w:ascii="Book Antiqua" w:hAnsi="Book Antiqua"/>
          <w:i/>
          <w:sz w:val="24"/>
        </w:rPr>
        <w:t>vs</w:t>
      </w:r>
      <w:r w:rsidRPr="005D33A7">
        <w:rPr>
          <w:rFonts w:ascii="Book Antiqua" w:hAnsi="Book Antiqua"/>
          <w:sz w:val="24"/>
        </w:rPr>
        <w:t xml:space="preserve"> the N3 (</w:t>
      </w:r>
      <w:r w:rsidR="00ED3454" w:rsidRPr="005D33A7">
        <w:rPr>
          <w:rFonts w:ascii="Book Antiqua" w:hAnsi="Book Antiqua"/>
          <w:i/>
          <w:sz w:val="24"/>
        </w:rPr>
        <w:t xml:space="preserve">P = </w:t>
      </w:r>
      <w:r w:rsidRPr="005D33A7">
        <w:rPr>
          <w:rFonts w:ascii="Book Antiqua" w:hAnsi="Book Antiqua"/>
          <w:sz w:val="24"/>
        </w:rPr>
        <w:t xml:space="preserve">0.159). We also found </w:t>
      </w:r>
      <w:r w:rsidRPr="005D33A7">
        <w:rPr>
          <w:rFonts w:ascii="Book Antiqua" w:hAnsi="Book Antiqua"/>
          <w:sz w:val="24"/>
        </w:rPr>
        <w:lastRenderedPageBreak/>
        <w:t>that the use of Nr categories significantly reduces the range of overall survival within patients with adequate lymphadenectomy and inadequate lymphadenectomy compared with that of the N categories, suggesting that the Nr categories are a better measure of the extent of regional lymph node involvement than N categories, particularly in patients with inadequate lymphadenectomy.</w:t>
      </w:r>
    </w:p>
    <w:p w:rsidR="00004441" w:rsidRPr="005D33A7" w:rsidRDefault="00004441" w:rsidP="00FA4060">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Few studies have compared the predictive performance of a TNrM staging system with the new AJCC staging system. One study by Hou</w:t>
      </w:r>
      <w:r w:rsidRPr="005D33A7">
        <w:rPr>
          <w:rFonts w:ascii="Book Antiqua" w:hAnsi="Book Antiqua"/>
          <w:i/>
          <w:sz w:val="24"/>
        </w:rPr>
        <w:t xml:space="preserve"> et al</w:t>
      </w:r>
      <w:r w:rsidRPr="005D33A7">
        <w:rPr>
          <w:rFonts w:ascii="Book Antiqua" w:hAnsi="Book Antiqua"/>
          <w:sz w:val="24"/>
          <w:vertAlign w:val="superscript"/>
        </w:rPr>
        <w:t>[12]</w:t>
      </w:r>
      <w:r w:rsidRPr="005D33A7">
        <w:rPr>
          <w:rFonts w:ascii="Book Antiqua" w:hAnsi="Book Antiqua"/>
          <w:sz w:val="24"/>
        </w:rPr>
        <w:t xml:space="preserve"> found that when replacing the N categories with Nr categories in the new AJCC staging system, the survival rate could be easily distinguished between patients. In the current study, we evaluate the predictive performance of a TNrM staging system for the first time using the time-dependent ROC curves, and find that Nr categories and TNrM stages predict survival better than the N categories and TNM stage. We can also confirm the same result in the subgroups of patient with 15 or more nodes and those with fewer than 15 nodes examined, indicating that Nr categories and TNrM stage may be a better discriminator. However, more studies are required to confirm these findings before true recommendations can be made.</w:t>
      </w:r>
    </w:p>
    <w:p w:rsidR="00004441" w:rsidRPr="005D33A7" w:rsidRDefault="00004441" w:rsidP="00FA4060">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Our study has some limitations. Firstly, this new TNrM staging system may be improved with better T, Nr, M classifications or other factors, such as a subdivision of T1 cancer into T</w:t>
      </w:r>
      <w:smartTag w:uri="urn:schemas-microsoft-com:office:smarttags" w:element="chmetcnv">
        <w:smartTagPr>
          <w:attr w:name="TCSC" w:val="0"/>
          <w:attr w:name="NumberType" w:val="1"/>
          <w:attr w:name="Negative" w:val="False"/>
          <w:attr w:name="HasSpace" w:val="False"/>
          <w:attr w:name="SourceValue" w:val="1"/>
          <w:attr w:name="UnitName" w:val="a"/>
        </w:smartTagPr>
        <w:r w:rsidRPr="005D33A7">
          <w:rPr>
            <w:rFonts w:ascii="Book Antiqua" w:hAnsi="Book Antiqua"/>
            <w:sz w:val="24"/>
          </w:rPr>
          <w:t>1a</w:t>
        </w:r>
      </w:smartTag>
      <w:r w:rsidRPr="005D33A7">
        <w:rPr>
          <w:rFonts w:ascii="Book Antiqua" w:hAnsi="Book Antiqua"/>
          <w:sz w:val="24"/>
        </w:rPr>
        <w:t xml:space="preserve"> and T1b. However, as the AJCC TNM staging system is now the most commonly used system for esophageal cancer, a TNrM staging system based on the TNM staging system may be of wider application. Secondly, it is a single-institution, retrospective study. Whether this new TNrM system is applicable in another data set or patients with adenocarcinoma still needs further validation. Thirdly, most of the patients underwent a standard two-field lymphadenectomy in this study. Th</w:t>
      </w:r>
      <w:r w:rsidR="00FA4060" w:rsidRPr="005D33A7">
        <w:rPr>
          <w:rFonts w:ascii="Book Antiqua" w:hAnsi="Book Antiqua"/>
          <w:sz w:val="24"/>
        </w:rPr>
        <w:t xml:space="preserve">e examined lymph nodes number </w:t>
      </w:r>
      <w:r w:rsidRPr="005D33A7">
        <w:rPr>
          <w:rFonts w:ascii="Book Antiqua" w:hAnsi="Book Antiqua"/>
          <w:sz w:val="24"/>
        </w:rPr>
        <w:t xml:space="preserve">for each patient is limited (median 12 per case). So it may not be optimal for cohorts of patients in which more extensive lymphadenectomy are performed. A </w:t>
      </w:r>
      <w:r w:rsidRPr="005D33A7">
        <w:rPr>
          <w:rFonts w:ascii="Book Antiqua" w:hAnsi="Book Antiqua"/>
          <w:sz w:val="24"/>
        </w:rPr>
        <w:lastRenderedPageBreak/>
        <w:t>more extensive lymphadenectomy results in a greater number of uninvolved nodes removed, thereby driving down the LNR</w:t>
      </w:r>
      <w:r w:rsidRPr="005D33A7">
        <w:rPr>
          <w:rFonts w:ascii="Book Antiqua" w:hAnsi="Book Antiqua"/>
          <w:sz w:val="24"/>
          <w:vertAlign w:val="superscript"/>
        </w:rPr>
        <w:t>[29,30]</w:t>
      </w:r>
      <w:r w:rsidRPr="005D33A7">
        <w:rPr>
          <w:rFonts w:ascii="Book Antiqua" w:hAnsi="Book Antiqua"/>
          <w:sz w:val="24"/>
        </w:rPr>
        <w:t>, so modification of the Nr intervals may be needed for such cohorts. However, our staging system may be more suitable for pat</w:t>
      </w:r>
      <w:r w:rsidR="00FA4060" w:rsidRPr="005D33A7">
        <w:rPr>
          <w:rFonts w:ascii="Book Antiqua" w:hAnsi="Book Antiqua"/>
          <w:sz w:val="24"/>
        </w:rPr>
        <w:t>ients who undergo esophagectomy</w:t>
      </w:r>
      <w:r w:rsidR="00FA4060" w:rsidRPr="005D33A7">
        <w:rPr>
          <w:rFonts w:ascii="Book Antiqua" w:hAnsi="Book Antiqua" w:hint="eastAsia"/>
          <w:sz w:val="24"/>
        </w:rPr>
        <w:t xml:space="preserve"> </w:t>
      </w:r>
      <w:r w:rsidRPr="005D33A7">
        <w:rPr>
          <w:rFonts w:ascii="Book Antiqua" w:hAnsi="Book Antiqua"/>
          <w:sz w:val="24"/>
        </w:rPr>
        <w:t>with limited lymphadenectomy. Finally, whether the TNrM staging system is applicable to patients with neoadjuvant or adjuvant therapy still needs further research, as all of our patients underwent surgical resection alone.</w:t>
      </w:r>
    </w:p>
    <w:p w:rsidR="00004441" w:rsidRPr="005D33A7" w:rsidRDefault="00004441" w:rsidP="00FA4060">
      <w:pPr>
        <w:autoSpaceDE w:val="0"/>
        <w:autoSpaceDN w:val="0"/>
        <w:adjustRightInd w:val="0"/>
        <w:snapToGrid w:val="0"/>
        <w:spacing w:line="360" w:lineRule="auto"/>
        <w:ind w:firstLineChars="100" w:firstLine="240"/>
        <w:rPr>
          <w:rFonts w:ascii="Book Antiqua" w:hAnsi="Book Antiqua"/>
          <w:sz w:val="24"/>
        </w:rPr>
      </w:pPr>
      <w:r w:rsidRPr="005D33A7">
        <w:rPr>
          <w:rFonts w:ascii="Book Antiqua" w:hAnsi="Book Antiqua"/>
          <w:sz w:val="24"/>
        </w:rPr>
        <w:t>In conclusion, we propose optimal Nr categories (Nr0: LNR</w:t>
      </w:r>
      <w:r w:rsidR="00FA4060" w:rsidRPr="005D33A7">
        <w:rPr>
          <w:rFonts w:ascii="Book Antiqua" w:hAnsi="Book Antiqua" w:hint="eastAsia"/>
          <w:sz w:val="24"/>
        </w:rPr>
        <w:t xml:space="preserve"> </w:t>
      </w:r>
      <w:r w:rsidRPr="005D33A7">
        <w:rPr>
          <w:rFonts w:ascii="Book Antiqua" w:hAnsi="Book Antiqua"/>
          <w:sz w:val="24"/>
        </w:rPr>
        <w:t>=</w:t>
      </w:r>
      <w:r w:rsidR="00FA4060" w:rsidRPr="005D33A7">
        <w:rPr>
          <w:rFonts w:ascii="Book Antiqua" w:hAnsi="Book Antiqua" w:hint="eastAsia"/>
          <w:sz w:val="24"/>
        </w:rPr>
        <w:t xml:space="preserve"> </w:t>
      </w:r>
      <w:r w:rsidRPr="005D33A7">
        <w:rPr>
          <w:rFonts w:ascii="Book Antiqua" w:hAnsi="Book Antiqua"/>
          <w:sz w:val="24"/>
        </w:rPr>
        <w:t xml:space="preserve">0; Nr1: 0% &lt; LNR </w:t>
      </w:r>
      <w:r w:rsidRPr="005D33A7">
        <w:rPr>
          <w:rFonts w:ascii="Book Antiqua" w:hAnsi="Book Antiqua"/>
          <w:sz w:val="24"/>
        </w:rPr>
        <w:sym w:font="Symbol" w:char="F0A3"/>
      </w:r>
      <w:r w:rsidRPr="005D33A7">
        <w:rPr>
          <w:rFonts w:ascii="Book Antiqua" w:hAnsi="Book Antiqua"/>
          <w:sz w:val="24"/>
        </w:rPr>
        <w:t xml:space="preserve"> 10%; Nr2: 10% &lt; LNR </w:t>
      </w:r>
      <w:r w:rsidRPr="005D33A7">
        <w:rPr>
          <w:rFonts w:ascii="Book Antiqua" w:hAnsi="Book Antiqua"/>
          <w:sz w:val="24"/>
        </w:rPr>
        <w:sym w:font="Symbol" w:char="F0A3"/>
      </w:r>
      <w:r w:rsidRPr="005D33A7">
        <w:rPr>
          <w:rFonts w:ascii="Book Antiqua" w:hAnsi="Book Antiqua"/>
          <w:sz w:val="24"/>
        </w:rPr>
        <w:t xml:space="preserve"> 20%; and Nr3: LNR &gt; 20%) for ESCC in the current study, and demonstrate that a staging system based on LNR may have better prognostic stratification of patients with ESCC than the current TNM staging system, especially for those undergoing less extensive lymphadenectomy. Further studies are required to confirm our results.</w:t>
      </w:r>
    </w:p>
    <w:p w:rsidR="00004441" w:rsidRPr="005D33A7" w:rsidRDefault="00004441" w:rsidP="007D5F41">
      <w:pPr>
        <w:autoSpaceDE w:val="0"/>
        <w:autoSpaceDN w:val="0"/>
        <w:adjustRightInd w:val="0"/>
        <w:snapToGrid w:val="0"/>
        <w:spacing w:line="360" w:lineRule="auto"/>
        <w:rPr>
          <w:rFonts w:ascii="Book Antiqua" w:hAnsi="Book Antiqua"/>
          <w:b/>
          <w:bCs/>
          <w:sz w:val="24"/>
        </w:rPr>
      </w:pPr>
    </w:p>
    <w:p w:rsidR="00004441" w:rsidRPr="005D33A7" w:rsidRDefault="00004441"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b/>
          <w:bCs/>
          <w:sz w:val="24"/>
        </w:rPr>
        <w:t>ACKNOWLEDGEMENTS</w:t>
      </w:r>
    </w:p>
    <w:p w:rsidR="00004441" w:rsidRPr="005D33A7" w:rsidRDefault="00004441" w:rsidP="007D5F41">
      <w:pPr>
        <w:autoSpaceDE w:val="0"/>
        <w:autoSpaceDN w:val="0"/>
        <w:adjustRightInd w:val="0"/>
        <w:snapToGrid w:val="0"/>
        <w:spacing w:line="360" w:lineRule="auto"/>
        <w:rPr>
          <w:rFonts w:ascii="Book Antiqua" w:hAnsi="Book Antiqua"/>
          <w:sz w:val="24"/>
        </w:rPr>
      </w:pPr>
      <w:r w:rsidRPr="005D33A7">
        <w:rPr>
          <w:rFonts w:ascii="Book Antiqua" w:hAnsi="Book Antiqua"/>
          <w:sz w:val="24"/>
        </w:rPr>
        <w:t>We thank Dr. Jeremy Ganz for proofreading the manuscript.</w:t>
      </w:r>
    </w:p>
    <w:p w:rsidR="00FA4060" w:rsidRPr="005D33A7" w:rsidRDefault="00FA4060" w:rsidP="007D5F41">
      <w:pPr>
        <w:autoSpaceDE w:val="0"/>
        <w:autoSpaceDN w:val="0"/>
        <w:adjustRightInd w:val="0"/>
        <w:snapToGrid w:val="0"/>
        <w:spacing w:line="360" w:lineRule="auto"/>
        <w:rPr>
          <w:rFonts w:ascii="Book Antiqua" w:hAnsi="Book Antiqua"/>
          <w:b/>
          <w:sz w:val="24"/>
        </w:rPr>
      </w:pPr>
    </w:p>
    <w:p w:rsidR="00004441" w:rsidRPr="005D33A7" w:rsidRDefault="00004441" w:rsidP="007D5F41">
      <w:pPr>
        <w:autoSpaceDE w:val="0"/>
        <w:autoSpaceDN w:val="0"/>
        <w:adjustRightInd w:val="0"/>
        <w:snapToGrid w:val="0"/>
        <w:spacing w:line="360" w:lineRule="auto"/>
        <w:rPr>
          <w:rFonts w:ascii="Book Antiqua" w:hAnsi="Book Antiqua"/>
          <w:b/>
          <w:sz w:val="24"/>
        </w:rPr>
      </w:pPr>
      <w:r w:rsidRPr="005D33A7">
        <w:rPr>
          <w:rFonts w:ascii="Book Antiqua" w:hAnsi="Book Antiqua"/>
          <w:b/>
          <w:sz w:val="24"/>
        </w:rPr>
        <w:t>COMMENTS</w:t>
      </w:r>
    </w:p>
    <w:p w:rsidR="00004441" w:rsidRPr="005D33A7" w:rsidRDefault="00004441" w:rsidP="007D5F41">
      <w:pPr>
        <w:adjustRightInd w:val="0"/>
        <w:snapToGrid w:val="0"/>
        <w:spacing w:line="360" w:lineRule="auto"/>
        <w:rPr>
          <w:rFonts w:ascii="Book Antiqua" w:hAnsi="Book Antiqua"/>
          <w:b/>
          <w:i/>
          <w:sz w:val="24"/>
        </w:rPr>
      </w:pPr>
      <w:r w:rsidRPr="005D33A7">
        <w:rPr>
          <w:rFonts w:ascii="Book Antiqua" w:hAnsi="Book Antiqua"/>
          <w:b/>
          <w:i/>
          <w:sz w:val="24"/>
        </w:rPr>
        <w:t>Background</w:t>
      </w:r>
    </w:p>
    <w:p w:rsidR="00004441" w:rsidRPr="005D33A7" w:rsidRDefault="00004441" w:rsidP="007D5F41">
      <w:pPr>
        <w:adjustRightInd w:val="0"/>
        <w:snapToGrid w:val="0"/>
        <w:spacing w:line="360" w:lineRule="auto"/>
        <w:rPr>
          <w:rFonts w:ascii="Book Antiqua" w:hAnsi="Book Antiqua"/>
          <w:sz w:val="24"/>
        </w:rPr>
      </w:pPr>
      <w:r w:rsidRPr="005D33A7">
        <w:rPr>
          <w:rFonts w:ascii="Book Antiqua" w:hAnsi="Book Antiqua"/>
          <w:sz w:val="24"/>
        </w:rPr>
        <w:t>The seventh edition American Joint Committee on Cancer (AJCC) staging system for esophageal cancer was published in 2010. This staging system presents a significant improvement for N categories by stratifying patients according to the numbers of positive lymph nodes. However, stage migration may occur in patients with inadequate number of lymph nodes being examined in this new system. A staging system based on the lymph node ratio (LNR) may be a compensation for the AJCC staging system.</w:t>
      </w:r>
    </w:p>
    <w:p w:rsidR="00004441" w:rsidRPr="005D33A7" w:rsidRDefault="00004441" w:rsidP="007D5F41">
      <w:pPr>
        <w:adjustRightInd w:val="0"/>
        <w:snapToGrid w:val="0"/>
        <w:spacing w:line="360" w:lineRule="auto"/>
        <w:rPr>
          <w:rFonts w:ascii="Book Antiqua" w:hAnsi="Book Antiqua"/>
          <w:b/>
          <w:i/>
          <w:sz w:val="24"/>
        </w:rPr>
      </w:pPr>
    </w:p>
    <w:p w:rsidR="00004441" w:rsidRPr="005D33A7" w:rsidRDefault="00004441" w:rsidP="007D5F41">
      <w:pPr>
        <w:adjustRightInd w:val="0"/>
        <w:snapToGrid w:val="0"/>
        <w:spacing w:line="360" w:lineRule="auto"/>
        <w:rPr>
          <w:rFonts w:ascii="Book Antiqua" w:hAnsi="Book Antiqua"/>
          <w:b/>
          <w:i/>
          <w:sz w:val="24"/>
        </w:rPr>
      </w:pPr>
      <w:r w:rsidRPr="005D33A7">
        <w:rPr>
          <w:rFonts w:ascii="Book Antiqua" w:hAnsi="Book Antiqua"/>
          <w:b/>
          <w:i/>
          <w:sz w:val="24"/>
        </w:rPr>
        <w:t>Research frontiers</w:t>
      </w:r>
    </w:p>
    <w:p w:rsidR="00004441" w:rsidRPr="005D33A7" w:rsidRDefault="00004441" w:rsidP="007D5F41">
      <w:pPr>
        <w:adjustRightInd w:val="0"/>
        <w:snapToGrid w:val="0"/>
        <w:spacing w:line="360" w:lineRule="auto"/>
        <w:rPr>
          <w:rFonts w:ascii="Book Antiqua" w:hAnsi="Book Antiqua"/>
          <w:sz w:val="24"/>
        </w:rPr>
      </w:pPr>
      <w:r w:rsidRPr="005D33A7">
        <w:rPr>
          <w:rFonts w:ascii="Book Antiqua" w:hAnsi="Book Antiqua"/>
          <w:sz w:val="24"/>
        </w:rPr>
        <w:t xml:space="preserve">Previous studies have found that LNR is an independent prognostic factor in </w:t>
      </w:r>
      <w:r w:rsidRPr="005D33A7">
        <w:rPr>
          <w:rFonts w:ascii="Book Antiqua" w:hAnsi="Book Antiqua"/>
          <w:sz w:val="24"/>
        </w:rPr>
        <w:lastRenderedPageBreak/>
        <w:t>esophageal cancer patients. However, fewer studies have examined whether the LNR has an improved ability to predict survival compared with the new staging criteria. Moreover, the optimal cutoff points of LNR are still controversial. We reported one of the largest ever single-center patient cohort of ESCC to evaluate the predictive ability of LNR, and further evaluate the predictive performance of a TNrM staging system compared with the current TNM staging system.</w:t>
      </w:r>
    </w:p>
    <w:p w:rsidR="00004441" w:rsidRPr="005D33A7" w:rsidRDefault="00004441" w:rsidP="007D5F41">
      <w:pPr>
        <w:adjustRightInd w:val="0"/>
        <w:snapToGrid w:val="0"/>
        <w:spacing w:line="360" w:lineRule="auto"/>
        <w:rPr>
          <w:rFonts w:ascii="Book Antiqua" w:hAnsi="Book Antiqua"/>
          <w:b/>
          <w:i/>
          <w:sz w:val="24"/>
        </w:rPr>
      </w:pPr>
    </w:p>
    <w:p w:rsidR="00004441" w:rsidRPr="005D33A7" w:rsidRDefault="00004441" w:rsidP="007D5F41">
      <w:pPr>
        <w:adjustRightInd w:val="0"/>
        <w:snapToGrid w:val="0"/>
        <w:spacing w:line="360" w:lineRule="auto"/>
        <w:rPr>
          <w:rFonts w:ascii="Book Antiqua" w:hAnsi="Book Antiqua"/>
          <w:b/>
          <w:i/>
          <w:sz w:val="24"/>
        </w:rPr>
      </w:pPr>
      <w:r w:rsidRPr="005D33A7">
        <w:rPr>
          <w:rFonts w:ascii="Book Antiqua" w:hAnsi="Book Antiqua"/>
          <w:b/>
          <w:i/>
          <w:sz w:val="24"/>
        </w:rPr>
        <w:t>Innovations and breakthroughs</w:t>
      </w:r>
    </w:p>
    <w:p w:rsidR="00004441" w:rsidRPr="005D33A7" w:rsidRDefault="00004441" w:rsidP="007D5F41">
      <w:pPr>
        <w:adjustRightInd w:val="0"/>
        <w:snapToGrid w:val="0"/>
        <w:spacing w:line="360" w:lineRule="auto"/>
        <w:rPr>
          <w:rFonts w:ascii="Book Antiqua" w:hAnsi="Book Antiqua"/>
          <w:sz w:val="24"/>
        </w:rPr>
      </w:pPr>
      <w:r w:rsidRPr="005D33A7">
        <w:rPr>
          <w:rFonts w:ascii="Book Antiqua" w:hAnsi="Book Antiqua"/>
          <w:sz w:val="24"/>
        </w:rPr>
        <w:t>We propose optimal Nr categories for ESCC in this study (Nr0: LNR</w:t>
      </w:r>
      <w:r w:rsidR="00FA4060" w:rsidRPr="005D33A7">
        <w:rPr>
          <w:rFonts w:ascii="Book Antiqua" w:hAnsi="Book Antiqua" w:hint="eastAsia"/>
          <w:sz w:val="24"/>
        </w:rPr>
        <w:t xml:space="preserve"> </w:t>
      </w:r>
      <w:r w:rsidRPr="005D33A7">
        <w:rPr>
          <w:rFonts w:ascii="Book Antiqua" w:hAnsi="Book Antiqua"/>
          <w:sz w:val="24"/>
        </w:rPr>
        <w:t>=</w:t>
      </w:r>
      <w:r w:rsidR="00FA4060" w:rsidRPr="005D33A7">
        <w:rPr>
          <w:rFonts w:ascii="Book Antiqua" w:hAnsi="Book Antiqua" w:hint="eastAsia"/>
          <w:sz w:val="24"/>
        </w:rPr>
        <w:t xml:space="preserve"> </w:t>
      </w:r>
      <w:r w:rsidRPr="005D33A7">
        <w:rPr>
          <w:rFonts w:ascii="Book Antiqua" w:hAnsi="Book Antiqua"/>
          <w:sz w:val="24"/>
        </w:rPr>
        <w:t xml:space="preserve">0; Nr1: 0% &lt; LNR </w:t>
      </w:r>
      <w:r w:rsidRPr="005D33A7">
        <w:rPr>
          <w:rFonts w:ascii="Book Antiqua" w:hAnsi="Book Antiqua"/>
          <w:sz w:val="24"/>
        </w:rPr>
        <w:sym w:font="Symbol" w:char="F0A3"/>
      </w:r>
      <w:r w:rsidRPr="005D33A7">
        <w:rPr>
          <w:rFonts w:ascii="Book Antiqua" w:hAnsi="Book Antiqua"/>
          <w:sz w:val="24"/>
        </w:rPr>
        <w:t xml:space="preserve"> 10%; Nr2: 10% &lt; LNR </w:t>
      </w:r>
      <w:r w:rsidRPr="005D33A7">
        <w:rPr>
          <w:rFonts w:ascii="Book Antiqua" w:hAnsi="Book Antiqua"/>
          <w:sz w:val="24"/>
        </w:rPr>
        <w:sym w:font="Symbol" w:char="F0A3"/>
      </w:r>
      <w:r w:rsidRPr="005D33A7">
        <w:rPr>
          <w:rFonts w:ascii="Book Antiqua" w:hAnsi="Book Antiqua"/>
          <w:sz w:val="24"/>
        </w:rPr>
        <w:t xml:space="preserve"> 20%; and Nr3: LNR &gt; 20%), which are different from previous studies. We also demonstrate that a staging system based on LNR may have better prognostic stratification of patients with ESCC than the current TNM staging system, especially for those undergoing less extensive lymphadenectomy</w:t>
      </w:r>
    </w:p>
    <w:p w:rsidR="00004441" w:rsidRPr="005D33A7" w:rsidRDefault="00004441" w:rsidP="007D5F41">
      <w:pPr>
        <w:adjustRightInd w:val="0"/>
        <w:snapToGrid w:val="0"/>
        <w:spacing w:line="360" w:lineRule="auto"/>
        <w:rPr>
          <w:rFonts w:ascii="Book Antiqua" w:hAnsi="Book Antiqua"/>
          <w:b/>
          <w:i/>
          <w:sz w:val="24"/>
        </w:rPr>
      </w:pPr>
    </w:p>
    <w:p w:rsidR="00004441" w:rsidRPr="005D33A7" w:rsidRDefault="00004441" w:rsidP="007D5F41">
      <w:pPr>
        <w:adjustRightInd w:val="0"/>
        <w:snapToGrid w:val="0"/>
        <w:spacing w:line="360" w:lineRule="auto"/>
        <w:rPr>
          <w:rFonts w:ascii="Book Antiqua" w:hAnsi="Book Antiqua"/>
          <w:b/>
          <w:i/>
          <w:sz w:val="24"/>
        </w:rPr>
      </w:pPr>
      <w:r w:rsidRPr="005D33A7">
        <w:rPr>
          <w:rFonts w:ascii="Book Antiqua" w:hAnsi="Book Antiqua"/>
          <w:b/>
          <w:i/>
          <w:sz w:val="24"/>
        </w:rPr>
        <w:t>Applications</w:t>
      </w:r>
    </w:p>
    <w:p w:rsidR="00004441" w:rsidRPr="005D33A7" w:rsidRDefault="00004441" w:rsidP="007D5F41">
      <w:pPr>
        <w:adjustRightInd w:val="0"/>
        <w:snapToGrid w:val="0"/>
        <w:spacing w:line="360" w:lineRule="auto"/>
        <w:rPr>
          <w:rFonts w:ascii="Book Antiqua" w:hAnsi="Book Antiqua"/>
          <w:sz w:val="24"/>
        </w:rPr>
      </w:pPr>
      <w:r w:rsidRPr="005D33A7">
        <w:rPr>
          <w:rFonts w:ascii="Book Antiqua" w:hAnsi="Book Antiqua"/>
          <w:sz w:val="24"/>
        </w:rPr>
        <w:t>The use of this new TNrM staging system in our study may aid oncologists in improved prediction of survival, making treatment decisions, and comparing cohorts of patients, especially those undergoing more limited lymphadenectomy.</w:t>
      </w:r>
    </w:p>
    <w:p w:rsidR="00004441" w:rsidRPr="005D33A7" w:rsidRDefault="00004441" w:rsidP="007D5F41">
      <w:pPr>
        <w:adjustRightInd w:val="0"/>
        <w:snapToGrid w:val="0"/>
        <w:spacing w:line="360" w:lineRule="auto"/>
        <w:rPr>
          <w:rFonts w:ascii="Book Antiqua" w:hAnsi="Book Antiqua"/>
          <w:b/>
          <w:i/>
          <w:sz w:val="24"/>
        </w:rPr>
      </w:pPr>
    </w:p>
    <w:p w:rsidR="00004441" w:rsidRPr="005D33A7" w:rsidRDefault="00004441" w:rsidP="007D5F41">
      <w:pPr>
        <w:adjustRightInd w:val="0"/>
        <w:snapToGrid w:val="0"/>
        <w:spacing w:line="360" w:lineRule="auto"/>
        <w:rPr>
          <w:rFonts w:ascii="Book Antiqua" w:hAnsi="Book Antiqua"/>
          <w:b/>
          <w:i/>
          <w:sz w:val="24"/>
        </w:rPr>
      </w:pPr>
      <w:r w:rsidRPr="005D33A7">
        <w:rPr>
          <w:rFonts w:ascii="Book Antiqua" w:hAnsi="Book Antiqua"/>
          <w:b/>
          <w:i/>
          <w:sz w:val="24"/>
        </w:rPr>
        <w:t>Terminology</w:t>
      </w:r>
    </w:p>
    <w:p w:rsidR="00004441" w:rsidRPr="005D33A7" w:rsidRDefault="00004441" w:rsidP="007D5F41">
      <w:pPr>
        <w:adjustRightInd w:val="0"/>
        <w:snapToGrid w:val="0"/>
        <w:spacing w:line="360" w:lineRule="auto"/>
        <w:rPr>
          <w:rFonts w:ascii="Book Antiqua" w:hAnsi="Book Antiqua"/>
          <w:sz w:val="24"/>
        </w:rPr>
      </w:pPr>
      <w:r w:rsidRPr="005D33A7">
        <w:rPr>
          <w:rFonts w:ascii="Book Antiqua" w:hAnsi="Book Antiqua"/>
          <w:sz w:val="24"/>
        </w:rPr>
        <w:t>A TNrM staging system bases on LNR may have better prognostic stratification of patients with ESCC than the AJCC TNM staging system, especially for those undergoing limited lymphadenectomy.</w:t>
      </w:r>
    </w:p>
    <w:p w:rsidR="00004441" w:rsidRPr="005D33A7" w:rsidRDefault="00004441" w:rsidP="007D5F41">
      <w:pPr>
        <w:adjustRightInd w:val="0"/>
        <w:snapToGrid w:val="0"/>
        <w:spacing w:line="360" w:lineRule="auto"/>
        <w:rPr>
          <w:rFonts w:ascii="Book Antiqua" w:hAnsi="Book Antiqua"/>
          <w:b/>
          <w:i/>
          <w:sz w:val="24"/>
        </w:rPr>
      </w:pPr>
    </w:p>
    <w:p w:rsidR="00004441" w:rsidRPr="005D33A7" w:rsidRDefault="005568DF" w:rsidP="007D5F41">
      <w:pPr>
        <w:adjustRightInd w:val="0"/>
        <w:snapToGrid w:val="0"/>
        <w:spacing w:line="360" w:lineRule="auto"/>
        <w:rPr>
          <w:rFonts w:ascii="Book Antiqua" w:hAnsi="Book Antiqua"/>
          <w:b/>
          <w:i/>
          <w:sz w:val="24"/>
        </w:rPr>
      </w:pPr>
      <w:r>
        <w:rPr>
          <w:rFonts w:ascii="Book Antiqua" w:hAnsi="Book Antiqua"/>
          <w:b/>
          <w:i/>
          <w:sz w:val="24"/>
        </w:rPr>
        <w:t>Peer</w:t>
      </w:r>
      <w:r>
        <w:rPr>
          <w:rFonts w:ascii="Book Antiqua" w:hAnsi="Book Antiqua" w:hint="eastAsia"/>
          <w:b/>
          <w:i/>
          <w:sz w:val="24"/>
        </w:rPr>
        <w:t>-</w:t>
      </w:r>
      <w:r w:rsidR="00004441" w:rsidRPr="005D33A7">
        <w:rPr>
          <w:rFonts w:ascii="Book Antiqua" w:hAnsi="Book Antiqua"/>
          <w:b/>
          <w:i/>
          <w:sz w:val="24"/>
        </w:rPr>
        <w:t>review</w:t>
      </w:r>
    </w:p>
    <w:p w:rsidR="00004441" w:rsidRPr="005D33A7" w:rsidRDefault="00004441" w:rsidP="007D5F41">
      <w:pPr>
        <w:adjustRightInd w:val="0"/>
        <w:snapToGrid w:val="0"/>
        <w:spacing w:line="360" w:lineRule="auto"/>
        <w:rPr>
          <w:rFonts w:ascii="Book Antiqua" w:hAnsi="Book Antiqua"/>
          <w:sz w:val="24"/>
        </w:rPr>
      </w:pPr>
      <w:r w:rsidRPr="005D33A7">
        <w:rPr>
          <w:rFonts w:ascii="Book Antiqua" w:hAnsi="Book Antiqua"/>
          <w:sz w:val="24"/>
        </w:rPr>
        <w:t xml:space="preserve">This is a good paper which reports a large series of patients who underwent esophagectomy for SCC without neoadjuvant treatment. The data analysis appears sound and a good case is made for using the lymph node ratio to </w:t>
      </w:r>
      <w:r w:rsidRPr="005D33A7">
        <w:rPr>
          <w:rFonts w:ascii="Book Antiqua" w:hAnsi="Book Antiqua"/>
          <w:sz w:val="24"/>
        </w:rPr>
        <w:lastRenderedPageBreak/>
        <w:t>determine prognosis.</w:t>
      </w:r>
    </w:p>
    <w:p w:rsidR="00004441" w:rsidRPr="005D33A7" w:rsidRDefault="00004441" w:rsidP="007D5F41">
      <w:pPr>
        <w:autoSpaceDE w:val="0"/>
        <w:autoSpaceDN w:val="0"/>
        <w:adjustRightInd w:val="0"/>
        <w:snapToGrid w:val="0"/>
        <w:spacing w:line="360" w:lineRule="auto"/>
        <w:rPr>
          <w:rFonts w:ascii="Book Antiqua" w:hAnsi="Book Antiqua"/>
          <w:sz w:val="24"/>
        </w:rPr>
      </w:pPr>
    </w:p>
    <w:p w:rsidR="00652F74" w:rsidRDefault="00004441"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b/>
          <w:bCs/>
          <w:sz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36"/>
      </w:tblGrid>
      <w:tr w:rsidR="00652F74" w:rsidRPr="00652F74">
        <w:trPr>
          <w:tblCellSpacing w:w="15" w:type="dxa"/>
        </w:trPr>
        <w:tc>
          <w:tcPr>
            <w:tcW w:w="0" w:type="auto"/>
            <w:vAlign w:val="center"/>
            <w:hideMark/>
          </w:tcPr>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1 </w:t>
            </w:r>
            <w:r w:rsidRPr="00652F74">
              <w:rPr>
                <w:rFonts w:ascii="Book Antiqua" w:hAnsi="Book Antiqua" w:cs="宋体"/>
                <w:b/>
                <w:bCs/>
                <w:kern w:val="0"/>
                <w:sz w:val="24"/>
              </w:rPr>
              <w:t>Jemal A</w:t>
            </w:r>
            <w:r w:rsidRPr="00652F74">
              <w:rPr>
                <w:rFonts w:ascii="Book Antiqua" w:hAnsi="Book Antiqua" w:cs="宋体"/>
                <w:kern w:val="0"/>
                <w:sz w:val="24"/>
              </w:rPr>
              <w:t xml:space="preserve">, Bray F, Center MM, Ferlay J, Ward E, Forman D. Global cancer statistics. </w:t>
            </w:r>
            <w:r w:rsidRPr="00652F74">
              <w:rPr>
                <w:rFonts w:ascii="Book Antiqua" w:hAnsi="Book Antiqua" w:cs="宋体"/>
                <w:i/>
                <w:iCs/>
                <w:kern w:val="0"/>
                <w:sz w:val="24"/>
              </w:rPr>
              <w:t>CA Cancer J Clin</w:t>
            </w:r>
            <w:r w:rsidRPr="00652F74">
              <w:rPr>
                <w:rFonts w:ascii="Book Antiqua" w:hAnsi="Book Antiqua" w:cs="宋体"/>
                <w:kern w:val="0"/>
                <w:sz w:val="24"/>
              </w:rPr>
              <w:t xml:space="preserve"> </w:t>
            </w:r>
            <w:r w:rsidR="00345247">
              <w:rPr>
                <w:rFonts w:ascii="Book Antiqua" w:hAnsi="Book Antiqua" w:cs="宋体" w:hint="eastAsia"/>
                <w:kern w:val="0"/>
                <w:sz w:val="24"/>
              </w:rPr>
              <w:t>2011</w:t>
            </w:r>
            <w:r w:rsidRPr="00652F74">
              <w:rPr>
                <w:rFonts w:ascii="Book Antiqua" w:hAnsi="Book Antiqua" w:cs="宋体"/>
                <w:kern w:val="0"/>
                <w:sz w:val="24"/>
              </w:rPr>
              <w:t xml:space="preserve">; </w:t>
            </w:r>
            <w:r w:rsidRPr="00652F74">
              <w:rPr>
                <w:rFonts w:ascii="Book Antiqua" w:hAnsi="Book Antiqua" w:cs="宋体"/>
                <w:b/>
                <w:bCs/>
                <w:kern w:val="0"/>
                <w:sz w:val="24"/>
              </w:rPr>
              <w:t>61</w:t>
            </w:r>
            <w:r w:rsidRPr="00652F74">
              <w:rPr>
                <w:rFonts w:ascii="Book Antiqua" w:hAnsi="Book Antiqua" w:cs="宋体"/>
                <w:kern w:val="0"/>
                <w:sz w:val="24"/>
              </w:rPr>
              <w:t>: 69-90 [PMID: 21296855 DOI: 10.3322/caac.20107]</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 </w:t>
            </w:r>
            <w:r w:rsidRPr="00652F74">
              <w:rPr>
                <w:rFonts w:ascii="Book Antiqua" w:hAnsi="Book Antiqua" w:cs="宋体"/>
                <w:b/>
                <w:bCs/>
                <w:kern w:val="0"/>
                <w:sz w:val="24"/>
              </w:rPr>
              <w:t>Siegel R</w:t>
            </w:r>
            <w:r w:rsidRPr="00652F74">
              <w:rPr>
                <w:rFonts w:ascii="Book Antiqua" w:hAnsi="Book Antiqua" w:cs="宋体"/>
                <w:kern w:val="0"/>
                <w:sz w:val="24"/>
              </w:rPr>
              <w:t xml:space="preserve">, Ma J, Zou Z, Jemal A. Cancer statistics, 2014. </w:t>
            </w:r>
            <w:r w:rsidRPr="00652F74">
              <w:rPr>
                <w:rFonts w:ascii="Book Antiqua" w:hAnsi="Book Antiqua" w:cs="宋体"/>
                <w:i/>
                <w:iCs/>
                <w:kern w:val="0"/>
                <w:sz w:val="24"/>
              </w:rPr>
              <w:t>CA Cancer J Clin</w:t>
            </w:r>
            <w:r w:rsidRPr="00652F74">
              <w:rPr>
                <w:rFonts w:ascii="Book Antiqua" w:hAnsi="Book Antiqua" w:cs="宋体"/>
                <w:kern w:val="0"/>
                <w:sz w:val="24"/>
              </w:rPr>
              <w:t xml:space="preserve"> </w:t>
            </w:r>
            <w:r w:rsidR="00345247">
              <w:rPr>
                <w:rFonts w:ascii="Book Antiqua" w:hAnsi="Book Antiqua" w:cs="宋体" w:hint="eastAsia"/>
                <w:kern w:val="0"/>
                <w:sz w:val="24"/>
              </w:rPr>
              <w:t>2014</w:t>
            </w:r>
            <w:r w:rsidRPr="00652F74">
              <w:rPr>
                <w:rFonts w:ascii="Book Antiqua" w:hAnsi="Book Antiqua" w:cs="宋体"/>
                <w:kern w:val="0"/>
                <w:sz w:val="24"/>
              </w:rPr>
              <w:t xml:space="preserve">; </w:t>
            </w:r>
            <w:r w:rsidRPr="00652F74">
              <w:rPr>
                <w:rFonts w:ascii="Book Antiqua" w:hAnsi="Book Antiqua" w:cs="宋体"/>
                <w:b/>
                <w:bCs/>
                <w:kern w:val="0"/>
                <w:sz w:val="24"/>
              </w:rPr>
              <w:t>64</w:t>
            </w:r>
            <w:r w:rsidRPr="00652F74">
              <w:rPr>
                <w:rFonts w:ascii="Book Antiqua" w:hAnsi="Book Antiqua" w:cs="宋体"/>
                <w:kern w:val="0"/>
                <w:sz w:val="24"/>
              </w:rPr>
              <w:t>: 9-29 [PMID: 24399786 DOI: 10.3322/caac.21208]</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3 </w:t>
            </w:r>
            <w:r w:rsidRPr="00652F74">
              <w:rPr>
                <w:rFonts w:ascii="Book Antiqua" w:hAnsi="Book Antiqua" w:cs="宋体"/>
                <w:b/>
                <w:bCs/>
                <w:kern w:val="0"/>
                <w:sz w:val="24"/>
              </w:rPr>
              <w:t>Castoro C</w:t>
            </w:r>
            <w:r w:rsidRPr="00652F74">
              <w:rPr>
                <w:rFonts w:ascii="Book Antiqua" w:hAnsi="Book Antiqua" w:cs="宋体"/>
                <w:kern w:val="0"/>
                <w:sz w:val="24"/>
              </w:rPr>
              <w:t xml:space="preserve">, Scarpa M, Cagol M, Ruol A, Cavallin F, Alfieri R, Zanchettin G, Rugge M, Ancona E. Nodal metastasis from locally advanced esophageal cancer: how neoadjuvant therapy modifies their frequency and distribution. </w:t>
            </w:r>
            <w:r w:rsidRPr="00652F74">
              <w:rPr>
                <w:rFonts w:ascii="Book Antiqua" w:hAnsi="Book Antiqua" w:cs="宋体"/>
                <w:i/>
                <w:iCs/>
                <w:kern w:val="0"/>
                <w:sz w:val="24"/>
              </w:rPr>
              <w:t>Ann Surg Oncol</w:t>
            </w:r>
            <w:r w:rsidRPr="00652F74">
              <w:rPr>
                <w:rFonts w:ascii="Book Antiqua" w:hAnsi="Book Antiqua" w:cs="宋体"/>
                <w:kern w:val="0"/>
                <w:sz w:val="24"/>
              </w:rPr>
              <w:t xml:space="preserve"> 2011; </w:t>
            </w:r>
            <w:r w:rsidRPr="00652F74">
              <w:rPr>
                <w:rFonts w:ascii="Book Antiqua" w:hAnsi="Book Antiqua" w:cs="宋体"/>
                <w:b/>
                <w:bCs/>
                <w:kern w:val="0"/>
                <w:sz w:val="24"/>
              </w:rPr>
              <w:t>18</w:t>
            </w:r>
            <w:r w:rsidRPr="00652F74">
              <w:rPr>
                <w:rFonts w:ascii="Book Antiqua" w:hAnsi="Book Antiqua" w:cs="宋体"/>
                <w:kern w:val="0"/>
                <w:sz w:val="24"/>
              </w:rPr>
              <w:t>: 3743-3754 [PMID: 21556952 DOI: 10.1245/s10434-011-1753-9]</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4 </w:t>
            </w:r>
            <w:r w:rsidRPr="00652F74">
              <w:rPr>
                <w:rFonts w:ascii="Book Antiqua" w:hAnsi="Book Antiqua" w:cs="宋体"/>
                <w:b/>
                <w:bCs/>
                <w:kern w:val="0"/>
                <w:sz w:val="24"/>
              </w:rPr>
              <w:t>Rice TW</w:t>
            </w:r>
            <w:r w:rsidRPr="00652F74">
              <w:rPr>
                <w:rFonts w:ascii="Book Antiqua" w:hAnsi="Book Antiqua" w:cs="宋体"/>
                <w:kern w:val="0"/>
                <w:sz w:val="24"/>
              </w:rPr>
              <w:t xml:space="preserve">, Rusch VW, Apperson-Hansen C, Allen MS, Chen LQ, Hunter JG, Kesler KA, Law S, Lerut TE, Reed CE, Salo JA, Scott WJ, Swisher SG, Watson TJ, Blackstone EH. Worldwide esophageal cancer collaboration. </w:t>
            </w:r>
            <w:r w:rsidRPr="00652F74">
              <w:rPr>
                <w:rFonts w:ascii="Book Antiqua" w:hAnsi="Book Antiqua" w:cs="宋体"/>
                <w:i/>
                <w:iCs/>
                <w:kern w:val="0"/>
                <w:sz w:val="24"/>
              </w:rPr>
              <w:t>Dis Esophagus</w:t>
            </w:r>
            <w:r w:rsidRPr="00652F74">
              <w:rPr>
                <w:rFonts w:ascii="Book Antiqua" w:hAnsi="Book Antiqua" w:cs="宋体"/>
                <w:kern w:val="0"/>
                <w:sz w:val="24"/>
              </w:rPr>
              <w:t xml:space="preserve"> 2009; </w:t>
            </w:r>
            <w:r w:rsidRPr="00652F74">
              <w:rPr>
                <w:rFonts w:ascii="Book Antiqua" w:hAnsi="Book Antiqua" w:cs="宋体"/>
                <w:b/>
                <w:bCs/>
                <w:kern w:val="0"/>
                <w:sz w:val="24"/>
              </w:rPr>
              <w:t>22</w:t>
            </w:r>
            <w:r w:rsidRPr="00652F74">
              <w:rPr>
                <w:rFonts w:ascii="Book Antiqua" w:hAnsi="Book Antiqua" w:cs="宋体"/>
                <w:kern w:val="0"/>
                <w:sz w:val="24"/>
              </w:rPr>
              <w:t>: 1-8 [PMID: 19196264 DOI: 10.1111/j.1442-2050.2008.00901.x]</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5 </w:t>
            </w:r>
            <w:r w:rsidRPr="00652F74">
              <w:rPr>
                <w:rFonts w:ascii="Book Antiqua" w:hAnsi="Book Antiqua" w:cs="宋体"/>
                <w:b/>
                <w:bCs/>
                <w:kern w:val="0"/>
                <w:sz w:val="24"/>
              </w:rPr>
              <w:t>Wang J</w:t>
            </w:r>
            <w:r w:rsidRPr="00652F74">
              <w:rPr>
                <w:rFonts w:ascii="Book Antiqua" w:hAnsi="Book Antiqua" w:cs="宋体"/>
                <w:kern w:val="0"/>
                <w:sz w:val="24"/>
              </w:rPr>
              <w:t xml:space="preserve">, Dang P, Raut CP, Pandalai PK, Maduekwe UN, Rattner DW, Lauwers GY, Yoon SS. Comparison of a lymph node ratio-based staging system with the 7th AJCC system for gastric cancer: analysis of 18,043 patients from the SEER database. </w:t>
            </w:r>
            <w:r w:rsidRPr="00652F74">
              <w:rPr>
                <w:rFonts w:ascii="Book Antiqua" w:hAnsi="Book Antiqua" w:cs="宋体"/>
                <w:i/>
                <w:iCs/>
                <w:kern w:val="0"/>
                <w:sz w:val="24"/>
              </w:rPr>
              <w:t>Ann Surg</w:t>
            </w:r>
            <w:r w:rsidRPr="00652F74">
              <w:rPr>
                <w:rFonts w:ascii="Book Antiqua" w:hAnsi="Book Antiqua" w:cs="宋体"/>
                <w:kern w:val="0"/>
                <w:sz w:val="24"/>
              </w:rPr>
              <w:t xml:space="preserve"> 2012; </w:t>
            </w:r>
            <w:r w:rsidRPr="00652F74">
              <w:rPr>
                <w:rFonts w:ascii="Book Antiqua" w:hAnsi="Book Antiqua" w:cs="宋体"/>
                <w:b/>
                <w:bCs/>
                <w:kern w:val="0"/>
                <w:sz w:val="24"/>
              </w:rPr>
              <w:t>255</w:t>
            </w:r>
            <w:r w:rsidRPr="00652F74">
              <w:rPr>
                <w:rFonts w:ascii="Book Antiqua" w:hAnsi="Book Antiqua" w:cs="宋体"/>
                <w:kern w:val="0"/>
                <w:sz w:val="24"/>
              </w:rPr>
              <w:t>: 478-485 [PMID: 22330040 DOI: 10.1097/SLA.0b013e31824857e2]</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6 </w:t>
            </w:r>
            <w:r w:rsidRPr="00652F74">
              <w:rPr>
                <w:rFonts w:ascii="Book Antiqua" w:hAnsi="Book Antiqua" w:cs="宋体"/>
                <w:b/>
                <w:bCs/>
                <w:kern w:val="0"/>
                <w:sz w:val="24"/>
              </w:rPr>
              <w:t>Bogoevski D</w:t>
            </w:r>
            <w:r w:rsidRPr="00652F74">
              <w:rPr>
                <w:rFonts w:ascii="Book Antiqua" w:hAnsi="Book Antiqua" w:cs="宋体"/>
                <w:kern w:val="0"/>
                <w:sz w:val="24"/>
              </w:rPr>
              <w:t xml:space="preserve">, Onken F, Koenig A, Kaifi JT, Schurr P, Sauter G, Izbicki JR, Yekebas EF. Is it time for a new TNM classification in esophageal carcinoma? </w:t>
            </w:r>
            <w:r w:rsidRPr="00652F74">
              <w:rPr>
                <w:rFonts w:ascii="Book Antiqua" w:hAnsi="Book Antiqua" w:cs="宋体"/>
                <w:i/>
                <w:iCs/>
                <w:kern w:val="0"/>
                <w:sz w:val="24"/>
              </w:rPr>
              <w:t>Ann Surg</w:t>
            </w:r>
            <w:r w:rsidRPr="00652F74">
              <w:rPr>
                <w:rFonts w:ascii="Book Antiqua" w:hAnsi="Book Antiqua" w:cs="宋体"/>
                <w:kern w:val="0"/>
                <w:sz w:val="24"/>
              </w:rPr>
              <w:t xml:space="preserve"> 2008; </w:t>
            </w:r>
            <w:r w:rsidRPr="00652F74">
              <w:rPr>
                <w:rFonts w:ascii="Book Antiqua" w:hAnsi="Book Antiqua" w:cs="宋体"/>
                <w:b/>
                <w:bCs/>
                <w:kern w:val="0"/>
                <w:sz w:val="24"/>
              </w:rPr>
              <w:t>247</w:t>
            </w:r>
            <w:r w:rsidRPr="00652F74">
              <w:rPr>
                <w:rFonts w:ascii="Book Antiqua" w:hAnsi="Book Antiqua" w:cs="宋体"/>
                <w:kern w:val="0"/>
                <w:sz w:val="24"/>
              </w:rPr>
              <w:t>: 633-641 [PMID: 18362626 DOI: 10.1097/SLA.0b013e3181656d07]</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7 </w:t>
            </w:r>
            <w:r w:rsidRPr="00652F74">
              <w:rPr>
                <w:rFonts w:ascii="Book Antiqua" w:hAnsi="Book Antiqua" w:cs="宋体"/>
                <w:b/>
                <w:bCs/>
                <w:kern w:val="0"/>
                <w:sz w:val="24"/>
              </w:rPr>
              <w:t>Greenstein AJ</w:t>
            </w:r>
            <w:r w:rsidRPr="00652F74">
              <w:rPr>
                <w:rFonts w:ascii="Book Antiqua" w:hAnsi="Book Antiqua" w:cs="宋体"/>
                <w:kern w:val="0"/>
                <w:sz w:val="24"/>
              </w:rPr>
              <w:t xml:space="preserve">, Litle VR, Swanson SJ, Divino CM, Packer S, Wisnivesky JP. Prognostic significance of the number of lymph node metastases in esophageal cancer. </w:t>
            </w:r>
            <w:r w:rsidRPr="00652F74">
              <w:rPr>
                <w:rFonts w:ascii="Book Antiqua" w:hAnsi="Book Antiqua" w:cs="宋体"/>
                <w:i/>
                <w:iCs/>
                <w:kern w:val="0"/>
                <w:sz w:val="24"/>
              </w:rPr>
              <w:t>J Am Coll Surg</w:t>
            </w:r>
            <w:r w:rsidRPr="00652F74">
              <w:rPr>
                <w:rFonts w:ascii="Book Antiqua" w:hAnsi="Book Antiqua" w:cs="宋体"/>
                <w:kern w:val="0"/>
                <w:sz w:val="24"/>
              </w:rPr>
              <w:t xml:space="preserve"> 2008; </w:t>
            </w:r>
            <w:r w:rsidRPr="00652F74">
              <w:rPr>
                <w:rFonts w:ascii="Book Antiqua" w:hAnsi="Book Antiqua" w:cs="宋体"/>
                <w:b/>
                <w:bCs/>
                <w:kern w:val="0"/>
                <w:sz w:val="24"/>
              </w:rPr>
              <w:t>206</w:t>
            </w:r>
            <w:r w:rsidRPr="00652F74">
              <w:rPr>
                <w:rFonts w:ascii="Book Antiqua" w:hAnsi="Book Antiqua" w:cs="宋体"/>
                <w:kern w:val="0"/>
                <w:sz w:val="24"/>
              </w:rPr>
              <w:t>: 239-246 [PMID: 18222375 DOI: 10.1016/j.jamcollsurg.2007.09.003]</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8 </w:t>
            </w:r>
            <w:r w:rsidRPr="00652F74">
              <w:rPr>
                <w:rFonts w:ascii="Book Antiqua" w:hAnsi="Book Antiqua" w:cs="宋体"/>
                <w:b/>
                <w:bCs/>
                <w:kern w:val="0"/>
                <w:sz w:val="24"/>
              </w:rPr>
              <w:t>Kelty CJ</w:t>
            </w:r>
            <w:r w:rsidRPr="00652F74">
              <w:rPr>
                <w:rFonts w:ascii="Book Antiqua" w:hAnsi="Book Antiqua" w:cs="宋体"/>
                <w:kern w:val="0"/>
                <w:sz w:val="24"/>
              </w:rPr>
              <w:t xml:space="preserve">, Kennedy CW, Falk GL. Ratio of metastatic lymph nodes to total number of nodes resected is prognostic for survival in esophageal carcinoma. </w:t>
            </w:r>
            <w:r w:rsidRPr="00652F74">
              <w:rPr>
                <w:rFonts w:ascii="Book Antiqua" w:hAnsi="Book Antiqua" w:cs="宋体"/>
                <w:i/>
                <w:iCs/>
                <w:kern w:val="0"/>
                <w:sz w:val="24"/>
              </w:rPr>
              <w:t>J Thorac Oncol</w:t>
            </w:r>
            <w:r w:rsidRPr="00652F74">
              <w:rPr>
                <w:rFonts w:ascii="Book Antiqua" w:hAnsi="Book Antiqua" w:cs="宋体"/>
                <w:kern w:val="0"/>
                <w:sz w:val="24"/>
              </w:rPr>
              <w:t xml:space="preserve"> 2010; </w:t>
            </w:r>
            <w:r w:rsidRPr="00652F74">
              <w:rPr>
                <w:rFonts w:ascii="Book Antiqua" w:hAnsi="Book Antiqua" w:cs="宋体"/>
                <w:b/>
                <w:bCs/>
                <w:kern w:val="0"/>
                <w:sz w:val="24"/>
              </w:rPr>
              <w:t>5</w:t>
            </w:r>
            <w:r w:rsidRPr="00652F74">
              <w:rPr>
                <w:rFonts w:ascii="Book Antiqua" w:hAnsi="Book Antiqua" w:cs="宋体"/>
                <w:kern w:val="0"/>
                <w:sz w:val="24"/>
              </w:rPr>
              <w:t>: 1467-1471 [PMID: 20812404 DOI: 10.1097/JTO.0b013e3181e8f6b1]</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9 </w:t>
            </w:r>
            <w:r w:rsidRPr="00652F74">
              <w:rPr>
                <w:rFonts w:ascii="Book Antiqua" w:hAnsi="Book Antiqua" w:cs="宋体"/>
                <w:b/>
                <w:bCs/>
                <w:kern w:val="0"/>
                <w:sz w:val="24"/>
              </w:rPr>
              <w:t>Dhar DK</w:t>
            </w:r>
            <w:r w:rsidRPr="00652F74">
              <w:rPr>
                <w:rFonts w:ascii="Book Antiqua" w:hAnsi="Book Antiqua" w:cs="宋体"/>
                <w:kern w:val="0"/>
                <w:sz w:val="24"/>
              </w:rPr>
              <w:t xml:space="preserve">, Hattori S, Tonomoto Y, Shimoda T, Kato H, Tachibana M, Matsuura K, Mitsumoto Y, Little AG, Nagasue N. Appraisal of a revised lymph node classification system for esophageal squamous cell cancer. </w:t>
            </w:r>
            <w:r w:rsidRPr="00652F74">
              <w:rPr>
                <w:rFonts w:ascii="Book Antiqua" w:hAnsi="Book Antiqua" w:cs="宋体"/>
                <w:i/>
                <w:iCs/>
                <w:kern w:val="0"/>
                <w:sz w:val="24"/>
              </w:rPr>
              <w:t>Ann Thorac Surg</w:t>
            </w:r>
            <w:r w:rsidRPr="00652F74">
              <w:rPr>
                <w:rFonts w:ascii="Book Antiqua" w:hAnsi="Book Antiqua" w:cs="宋体"/>
                <w:kern w:val="0"/>
                <w:sz w:val="24"/>
              </w:rPr>
              <w:t xml:space="preserve"> 2007; </w:t>
            </w:r>
            <w:r w:rsidRPr="00652F74">
              <w:rPr>
                <w:rFonts w:ascii="Book Antiqua" w:hAnsi="Book Antiqua" w:cs="宋体"/>
                <w:b/>
                <w:bCs/>
                <w:kern w:val="0"/>
                <w:sz w:val="24"/>
              </w:rPr>
              <w:t>83</w:t>
            </w:r>
            <w:r w:rsidRPr="00652F74">
              <w:rPr>
                <w:rFonts w:ascii="Book Antiqua" w:hAnsi="Book Antiqua" w:cs="宋体"/>
                <w:kern w:val="0"/>
                <w:sz w:val="24"/>
              </w:rPr>
              <w:t>: 1265-1272 [PMID: 17383324 DOI: 10.1016/j.athoracsur.2006.12.003]</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10 </w:t>
            </w:r>
            <w:r w:rsidRPr="00652F74">
              <w:rPr>
                <w:rFonts w:ascii="Book Antiqua" w:hAnsi="Book Antiqua" w:cs="宋体"/>
                <w:b/>
                <w:bCs/>
                <w:kern w:val="0"/>
                <w:sz w:val="24"/>
              </w:rPr>
              <w:t>Kunisaki C</w:t>
            </w:r>
            <w:r w:rsidRPr="00652F74">
              <w:rPr>
                <w:rFonts w:ascii="Book Antiqua" w:hAnsi="Book Antiqua" w:cs="宋体"/>
                <w:kern w:val="0"/>
                <w:sz w:val="24"/>
              </w:rPr>
              <w:t xml:space="preserve">, Akiyama H, Nomura M, Matsuda G, Otsuka Y, Ono HA, Shimada H. Developing an appropriate staging system for esophageal carcinoma. </w:t>
            </w:r>
            <w:r w:rsidRPr="00652F74">
              <w:rPr>
                <w:rFonts w:ascii="Book Antiqua" w:hAnsi="Book Antiqua" w:cs="宋体"/>
                <w:i/>
                <w:iCs/>
                <w:kern w:val="0"/>
                <w:sz w:val="24"/>
              </w:rPr>
              <w:t>J Am Coll Surg</w:t>
            </w:r>
            <w:r w:rsidRPr="00652F74">
              <w:rPr>
                <w:rFonts w:ascii="Book Antiqua" w:hAnsi="Book Antiqua" w:cs="宋体"/>
                <w:kern w:val="0"/>
                <w:sz w:val="24"/>
              </w:rPr>
              <w:t xml:space="preserve"> 2005; </w:t>
            </w:r>
            <w:r w:rsidRPr="00652F74">
              <w:rPr>
                <w:rFonts w:ascii="Book Antiqua" w:hAnsi="Book Antiqua" w:cs="宋体"/>
                <w:b/>
                <w:bCs/>
                <w:kern w:val="0"/>
                <w:sz w:val="24"/>
              </w:rPr>
              <w:t>201</w:t>
            </w:r>
            <w:r w:rsidRPr="00652F74">
              <w:rPr>
                <w:rFonts w:ascii="Book Antiqua" w:hAnsi="Book Antiqua" w:cs="宋体"/>
                <w:kern w:val="0"/>
                <w:sz w:val="24"/>
              </w:rPr>
              <w:t>: 884-890 [PMID: 16310691 DOI: 10.1016/j.jamcollsurg.2005.07.002]</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lastRenderedPageBreak/>
              <w:t xml:space="preserve">11 </w:t>
            </w:r>
            <w:r w:rsidRPr="00652F74">
              <w:rPr>
                <w:rFonts w:ascii="Book Antiqua" w:hAnsi="Book Antiqua" w:cs="宋体"/>
                <w:b/>
                <w:bCs/>
                <w:kern w:val="0"/>
                <w:sz w:val="24"/>
              </w:rPr>
              <w:t>Wilson M</w:t>
            </w:r>
            <w:r w:rsidRPr="00652F74">
              <w:rPr>
                <w:rFonts w:ascii="Book Antiqua" w:hAnsi="Book Antiqua" w:cs="宋体"/>
                <w:kern w:val="0"/>
                <w:sz w:val="24"/>
              </w:rPr>
              <w:t xml:space="preserve">, Rosato EL, Chojnacki KA, Chervoneva I, Kairys JC, Cohn HE, Rosato FE, Berger AC. Prognostic significance of lymph node metastases and ratio in esophageal cancer. </w:t>
            </w:r>
            <w:r w:rsidRPr="00652F74">
              <w:rPr>
                <w:rFonts w:ascii="Book Antiqua" w:hAnsi="Book Antiqua" w:cs="宋体"/>
                <w:i/>
                <w:iCs/>
                <w:kern w:val="0"/>
                <w:sz w:val="24"/>
              </w:rPr>
              <w:t>J Surg Res</w:t>
            </w:r>
            <w:r w:rsidRPr="00652F74">
              <w:rPr>
                <w:rFonts w:ascii="Book Antiqua" w:hAnsi="Book Antiqua" w:cs="宋体"/>
                <w:kern w:val="0"/>
                <w:sz w:val="24"/>
              </w:rPr>
              <w:t xml:space="preserve"> 2008; </w:t>
            </w:r>
            <w:r w:rsidRPr="00652F74">
              <w:rPr>
                <w:rFonts w:ascii="Book Antiqua" w:hAnsi="Book Antiqua" w:cs="宋体"/>
                <w:b/>
                <w:bCs/>
                <w:kern w:val="0"/>
                <w:sz w:val="24"/>
              </w:rPr>
              <w:t>146</w:t>
            </w:r>
            <w:r w:rsidRPr="00652F74">
              <w:rPr>
                <w:rFonts w:ascii="Book Antiqua" w:hAnsi="Book Antiqua" w:cs="宋体"/>
                <w:kern w:val="0"/>
                <w:sz w:val="24"/>
              </w:rPr>
              <w:t>: 11-15 [PMID: 18028955 DOI: 10.1016/j.jss.2007.07.028]</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12 </w:t>
            </w:r>
            <w:r w:rsidRPr="00652F74">
              <w:rPr>
                <w:rFonts w:ascii="Book Antiqua" w:hAnsi="Book Antiqua" w:cs="宋体"/>
                <w:b/>
                <w:bCs/>
                <w:kern w:val="0"/>
                <w:sz w:val="24"/>
              </w:rPr>
              <w:t>Hou X</w:t>
            </w:r>
            <w:r w:rsidRPr="00652F74">
              <w:rPr>
                <w:rFonts w:ascii="Book Antiqua" w:hAnsi="Book Antiqua" w:cs="宋体"/>
                <w:kern w:val="0"/>
                <w:sz w:val="24"/>
              </w:rPr>
              <w:t xml:space="preserve">, Wei JC, Xu Y, Luo RZ, Fu JH, Zhang LJ, Lin P, Yang HX. The positive lymph node ratio predicts long-term survival in patients with operable thoracic esophageal squamous cell carcinoma in China. </w:t>
            </w:r>
            <w:r w:rsidRPr="00652F74">
              <w:rPr>
                <w:rFonts w:ascii="Book Antiqua" w:hAnsi="Book Antiqua" w:cs="宋体"/>
                <w:i/>
                <w:iCs/>
                <w:kern w:val="0"/>
                <w:sz w:val="24"/>
              </w:rPr>
              <w:t>Ann Surg Oncol</w:t>
            </w:r>
            <w:r w:rsidRPr="00652F74">
              <w:rPr>
                <w:rFonts w:ascii="Book Antiqua" w:hAnsi="Book Antiqua" w:cs="宋体"/>
                <w:kern w:val="0"/>
                <w:sz w:val="24"/>
              </w:rPr>
              <w:t xml:space="preserve"> 2013; </w:t>
            </w:r>
            <w:r w:rsidRPr="00652F74">
              <w:rPr>
                <w:rFonts w:ascii="Book Antiqua" w:hAnsi="Book Antiqua" w:cs="宋体"/>
                <w:b/>
                <w:bCs/>
                <w:kern w:val="0"/>
                <w:sz w:val="24"/>
              </w:rPr>
              <w:t>20</w:t>
            </w:r>
            <w:r w:rsidRPr="00652F74">
              <w:rPr>
                <w:rFonts w:ascii="Book Antiqua" w:hAnsi="Book Antiqua" w:cs="宋体"/>
                <w:kern w:val="0"/>
                <w:sz w:val="24"/>
              </w:rPr>
              <w:t>: 1653-1659 [PMID: 23247981 DOI: 10.1245/s10434-012-2794-4]</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13 </w:t>
            </w:r>
            <w:r w:rsidRPr="00652F74">
              <w:rPr>
                <w:rFonts w:ascii="Book Antiqua" w:hAnsi="Book Antiqua" w:cs="宋体"/>
                <w:b/>
                <w:bCs/>
                <w:kern w:val="0"/>
                <w:sz w:val="24"/>
              </w:rPr>
              <w:t>Wijnhoven BP</w:t>
            </w:r>
            <w:r w:rsidRPr="00652F74">
              <w:rPr>
                <w:rFonts w:ascii="Book Antiqua" w:hAnsi="Book Antiqua" w:cs="宋体"/>
                <w:kern w:val="0"/>
                <w:sz w:val="24"/>
              </w:rPr>
              <w:t xml:space="preserve">, Tran KT, Esterman A, Watson DI, Tilanus HW. An evaluation of prognostic factors and tumor staging of resected carcinoma of the esophagus. </w:t>
            </w:r>
            <w:r w:rsidRPr="00652F74">
              <w:rPr>
                <w:rFonts w:ascii="Book Antiqua" w:hAnsi="Book Antiqua" w:cs="宋体"/>
                <w:i/>
                <w:iCs/>
                <w:kern w:val="0"/>
                <w:sz w:val="24"/>
              </w:rPr>
              <w:t>Ann Surg</w:t>
            </w:r>
            <w:r w:rsidRPr="00652F74">
              <w:rPr>
                <w:rFonts w:ascii="Book Antiqua" w:hAnsi="Book Antiqua" w:cs="宋体"/>
                <w:kern w:val="0"/>
                <w:sz w:val="24"/>
              </w:rPr>
              <w:t xml:space="preserve"> 2007; </w:t>
            </w:r>
            <w:r w:rsidRPr="00652F74">
              <w:rPr>
                <w:rFonts w:ascii="Book Antiqua" w:hAnsi="Book Antiqua" w:cs="宋体"/>
                <w:b/>
                <w:bCs/>
                <w:kern w:val="0"/>
                <w:sz w:val="24"/>
              </w:rPr>
              <w:t>245</w:t>
            </w:r>
            <w:r w:rsidRPr="00652F74">
              <w:rPr>
                <w:rFonts w:ascii="Book Antiqua" w:hAnsi="Book Antiqua" w:cs="宋体"/>
                <w:kern w:val="0"/>
                <w:sz w:val="24"/>
              </w:rPr>
              <w:t>: 717-725 [PMID: 17457164 DOI: 10.1097/01.sla.0000251703.35919.02]</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14 </w:t>
            </w:r>
            <w:r w:rsidRPr="00652F74">
              <w:rPr>
                <w:rFonts w:ascii="Book Antiqua" w:hAnsi="Book Antiqua" w:cs="宋体"/>
                <w:b/>
                <w:bCs/>
                <w:kern w:val="0"/>
                <w:sz w:val="24"/>
              </w:rPr>
              <w:t>Fox M</w:t>
            </w:r>
            <w:r w:rsidRPr="00652F74">
              <w:rPr>
                <w:rFonts w:ascii="Book Antiqua" w:hAnsi="Book Antiqua" w:cs="宋体"/>
                <w:kern w:val="0"/>
                <w:sz w:val="24"/>
              </w:rPr>
              <w:t xml:space="preserve">, Farmer R, Scoggins CR, McMasters KM, Martin RC. Lymph node ratio is a significant predictor of disease-specific mortality in patients undergoing esophagectomy for cancer. </w:t>
            </w:r>
            <w:r w:rsidRPr="00652F74">
              <w:rPr>
                <w:rFonts w:ascii="Book Antiqua" w:hAnsi="Book Antiqua" w:cs="宋体"/>
                <w:i/>
                <w:iCs/>
                <w:kern w:val="0"/>
                <w:sz w:val="24"/>
              </w:rPr>
              <w:t>Am Surg</w:t>
            </w:r>
            <w:r w:rsidRPr="00652F74">
              <w:rPr>
                <w:rFonts w:ascii="Book Antiqua" w:hAnsi="Book Antiqua" w:cs="宋体"/>
                <w:kern w:val="0"/>
                <w:sz w:val="24"/>
              </w:rPr>
              <w:t xml:space="preserve"> 2012; </w:t>
            </w:r>
            <w:r w:rsidRPr="00652F74">
              <w:rPr>
                <w:rFonts w:ascii="Book Antiqua" w:hAnsi="Book Antiqua" w:cs="宋体"/>
                <w:b/>
                <w:bCs/>
                <w:kern w:val="0"/>
                <w:sz w:val="24"/>
              </w:rPr>
              <w:t>78</w:t>
            </w:r>
            <w:r w:rsidRPr="00652F74">
              <w:rPr>
                <w:rFonts w:ascii="Book Antiqua" w:hAnsi="Book Antiqua" w:cs="宋体"/>
                <w:kern w:val="0"/>
                <w:sz w:val="24"/>
              </w:rPr>
              <w:t>: 528-534 [PMID: 22546123 DOI: 10.1016/S0016-5085(11)64369-2]</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15 </w:t>
            </w:r>
            <w:r w:rsidRPr="00652F74">
              <w:rPr>
                <w:rFonts w:ascii="Book Antiqua" w:hAnsi="Book Antiqua" w:cs="宋体"/>
                <w:b/>
                <w:bCs/>
                <w:kern w:val="0"/>
                <w:sz w:val="24"/>
              </w:rPr>
              <w:t>Bhamidipati CM</w:t>
            </w:r>
            <w:r w:rsidRPr="00652F74">
              <w:rPr>
                <w:rFonts w:ascii="Book Antiqua" w:hAnsi="Book Antiqua" w:cs="宋体"/>
                <w:kern w:val="0"/>
                <w:sz w:val="24"/>
              </w:rPr>
              <w:t xml:space="preserve">, Stukenborg GJ, Thomas CJ, Lau CL, Kozower BD, Jones DR. Pathologic lymph node ratio is a predictor of survival in esophageal cancer. </w:t>
            </w:r>
            <w:r w:rsidRPr="00652F74">
              <w:rPr>
                <w:rFonts w:ascii="Book Antiqua" w:hAnsi="Book Antiqua" w:cs="宋体"/>
                <w:i/>
                <w:iCs/>
                <w:kern w:val="0"/>
                <w:sz w:val="24"/>
              </w:rPr>
              <w:t>Ann Thorac Surg</w:t>
            </w:r>
            <w:r w:rsidRPr="00652F74">
              <w:rPr>
                <w:rFonts w:ascii="Book Antiqua" w:hAnsi="Book Antiqua" w:cs="宋体"/>
                <w:kern w:val="0"/>
                <w:sz w:val="24"/>
              </w:rPr>
              <w:t xml:space="preserve"> 2012; </w:t>
            </w:r>
            <w:r w:rsidRPr="00652F74">
              <w:rPr>
                <w:rFonts w:ascii="Book Antiqua" w:hAnsi="Book Antiqua" w:cs="宋体"/>
                <w:b/>
                <w:bCs/>
                <w:kern w:val="0"/>
                <w:sz w:val="24"/>
              </w:rPr>
              <w:t>94</w:t>
            </w:r>
            <w:r w:rsidRPr="00652F74">
              <w:rPr>
                <w:rFonts w:ascii="Book Antiqua" w:hAnsi="Book Antiqua" w:cs="宋体"/>
                <w:kern w:val="0"/>
                <w:sz w:val="24"/>
              </w:rPr>
              <w:t>: 1643-1651 [PMID: 22621876 DOI: 10.1016/j.athoracsur.2012.03.078]</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16 </w:t>
            </w:r>
            <w:r w:rsidRPr="00652F74">
              <w:rPr>
                <w:rFonts w:ascii="Book Antiqua" w:hAnsi="Book Antiqua" w:cs="宋体"/>
                <w:b/>
                <w:bCs/>
                <w:kern w:val="0"/>
                <w:sz w:val="24"/>
              </w:rPr>
              <w:t>Feng JF</w:t>
            </w:r>
            <w:r w:rsidRPr="00652F74">
              <w:rPr>
                <w:rFonts w:ascii="Book Antiqua" w:hAnsi="Book Antiqua" w:cs="宋体"/>
                <w:kern w:val="0"/>
                <w:sz w:val="24"/>
              </w:rPr>
              <w:t xml:space="preserve">, Huang Y, Chen L, Zhao Q. Prognostic analysis of esophageal cancer in elderly patients: metastatic lymph node ratio versus 2010 AJCC classification by lymph nodes. </w:t>
            </w:r>
            <w:r w:rsidRPr="00652F74">
              <w:rPr>
                <w:rFonts w:ascii="Book Antiqua" w:hAnsi="Book Antiqua" w:cs="宋体"/>
                <w:i/>
                <w:iCs/>
                <w:kern w:val="0"/>
                <w:sz w:val="24"/>
              </w:rPr>
              <w:t>World J Surg Oncol</w:t>
            </w:r>
            <w:r w:rsidRPr="00652F74">
              <w:rPr>
                <w:rFonts w:ascii="Book Antiqua" w:hAnsi="Book Antiqua" w:cs="宋体"/>
                <w:kern w:val="0"/>
                <w:sz w:val="24"/>
              </w:rPr>
              <w:t xml:space="preserve"> 2013; </w:t>
            </w:r>
            <w:r w:rsidRPr="00652F74">
              <w:rPr>
                <w:rFonts w:ascii="Book Antiqua" w:hAnsi="Book Antiqua" w:cs="宋体"/>
                <w:b/>
                <w:bCs/>
                <w:kern w:val="0"/>
                <w:sz w:val="24"/>
              </w:rPr>
              <w:t>11</w:t>
            </w:r>
            <w:r w:rsidRPr="00652F74">
              <w:rPr>
                <w:rFonts w:ascii="Book Antiqua" w:hAnsi="Book Antiqua" w:cs="宋体"/>
                <w:kern w:val="0"/>
                <w:sz w:val="24"/>
              </w:rPr>
              <w:t>: 162 [PMID: 23866060 DOI: 10.1186/1477-7819-11-162]</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17 </w:t>
            </w:r>
            <w:r w:rsidRPr="00652F74">
              <w:rPr>
                <w:rFonts w:ascii="Book Antiqua" w:hAnsi="Book Antiqua" w:cs="宋体"/>
                <w:b/>
                <w:bCs/>
                <w:kern w:val="0"/>
                <w:sz w:val="24"/>
              </w:rPr>
              <w:t>Hsu WH</w:t>
            </w:r>
            <w:r w:rsidRPr="00652F74">
              <w:rPr>
                <w:rFonts w:ascii="Book Antiqua" w:hAnsi="Book Antiqua" w:cs="宋体"/>
                <w:kern w:val="0"/>
                <w:sz w:val="24"/>
              </w:rPr>
              <w:t xml:space="preserve">, Hsu PK, Hsieh CC, Huang CS, Wu YC. The metastatic lymph node number and ratio are independent prognostic factors in esophageal cancer. </w:t>
            </w:r>
            <w:r w:rsidRPr="00652F74">
              <w:rPr>
                <w:rFonts w:ascii="Book Antiqua" w:hAnsi="Book Antiqua" w:cs="宋体"/>
                <w:i/>
                <w:iCs/>
                <w:kern w:val="0"/>
                <w:sz w:val="24"/>
              </w:rPr>
              <w:t>J Gastrointest Surg</w:t>
            </w:r>
            <w:r w:rsidRPr="00652F74">
              <w:rPr>
                <w:rFonts w:ascii="Book Antiqua" w:hAnsi="Book Antiqua" w:cs="宋体"/>
                <w:kern w:val="0"/>
                <w:sz w:val="24"/>
              </w:rPr>
              <w:t xml:space="preserve"> 2009; </w:t>
            </w:r>
            <w:r w:rsidRPr="00652F74">
              <w:rPr>
                <w:rFonts w:ascii="Book Antiqua" w:hAnsi="Book Antiqua" w:cs="宋体"/>
                <w:b/>
                <w:bCs/>
                <w:kern w:val="0"/>
                <w:sz w:val="24"/>
              </w:rPr>
              <w:t>13</w:t>
            </w:r>
            <w:r w:rsidRPr="00652F74">
              <w:rPr>
                <w:rFonts w:ascii="Book Antiqua" w:hAnsi="Book Antiqua" w:cs="宋体"/>
                <w:kern w:val="0"/>
                <w:sz w:val="24"/>
              </w:rPr>
              <w:t>: 1913-1920 [PMID: 19672664 DOI: 10.1007/s11605-009-0982-8]</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18 </w:t>
            </w:r>
            <w:r w:rsidRPr="00652F74">
              <w:rPr>
                <w:rFonts w:ascii="Book Antiqua" w:hAnsi="Book Antiqua" w:cs="宋体"/>
                <w:b/>
                <w:bCs/>
                <w:kern w:val="0"/>
                <w:sz w:val="24"/>
              </w:rPr>
              <w:t>Mariette C</w:t>
            </w:r>
            <w:r w:rsidRPr="00652F74">
              <w:rPr>
                <w:rFonts w:ascii="Book Antiqua" w:hAnsi="Book Antiqua" w:cs="宋体"/>
                <w:kern w:val="0"/>
                <w:sz w:val="24"/>
              </w:rPr>
              <w:t xml:space="preserve">, Piessen G, Briez N, Triboulet JP. The number of metastatic lymph nodes and the ratio between metastatic and examined lymph nodes are independent prognostic factors in esophageal cancer regardless of neoadjuvant chemoradiation or lymphadenectomy extent. </w:t>
            </w:r>
            <w:r w:rsidRPr="00652F74">
              <w:rPr>
                <w:rFonts w:ascii="Book Antiqua" w:hAnsi="Book Antiqua" w:cs="宋体"/>
                <w:i/>
                <w:iCs/>
                <w:kern w:val="0"/>
                <w:sz w:val="24"/>
              </w:rPr>
              <w:t>Ann Surg</w:t>
            </w:r>
            <w:r w:rsidRPr="00652F74">
              <w:rPr>
                <w:rFonts w:ascii="Book Antiqua" w:hAnsi="Book Antiqua" w:cs="宋体"/>
                <w:kern w:val="0"/>
                <w:sz w:val="24"/>
              </w:rPr>
              <w:t xml:space="preserve"> 2008; </w:t>
            </w:r>
            <w:r w:rsidRPr="00652F74">
              <w:rPr>
                <w:rFonts w:ascii="Book Antiqua" w:hAnsi="Book Antiqua" w:cs="宋体"/>
                <w:b/>
                <w:bCs/>
                <w:kern w:val="0"/>
                <w:sz w:val="24"/>
              </w:rPr>
              <w:t>247</w:t>
            </w:r>
            <w:r w:rsidRPr="00652F74">
              <w:rPr>
                <w:rFonts w:ascii="Book Antiqua" w:hAnsi="Book Antiqua" w:cs="宋体"/>
                <w:kern w:val="0"/>
                <w:sz w:val="24"/>
              </w:rPr>
              <w:t>: 365-371 [PMID: 18216546 DOI: 10.1097/SLA.0b013e31815aaadf]</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19 </w:t>
            </w:r>
            <w:r w:rsidRPr="00652F74">
              <w:rPr>
                <w:rFonts w:ascii="Book Antiqua" w:hAnsi="Book Antiqua" w:cs="宋体"/>
                <w:b/>
                <w:bCs/>
                <w:kern w:val="0"/>
                <w:sz w:val="24"/>
              </w:rPr>
              <w:t>He Z</w:t>
            </w:r>
            <w:r w:rsidRPr="00652F74">
              <w:rPr>
                <w:rFonts w:ascii="Book Antiqua" w:hAnsi="Book Antiqua" w:cs="宋体"/>
                <w:kern w:val="0"/>
                <w:sz w:val="24"/>
              </w:rPr>
              <w:t xml:space="preserve">, Wu S, Li Q, Lin Q, Xu J. Use of the metastatic lymph node ratio to evaluate the prognosis of esophageal cancer patients with node metastasis following radical esophagectomy. </w:t>
            </w:r>
            <w:r w:rsidRPr="00652F74">
              <w:rPr>
                <w:rFonts w:ascii="Book Antiqua" w:hAnsi="Book Antiqua" w:cs="宋体"/>
                <w:i/>
                <w:iCs/>
                <w:kern w:val="0"/>
                <w:sz w:val="24"/>
              </w:rPr>
              <w:t>PLoS One</w:t>
            </w:r>
            <w:r w:rsidRPr="00652F74">
              <w:rPr>
                <w:rFonts w:ascii="Book Antiqua" w:hAnsi="Book Antiqua" w:cs="宋体"/>
                <w:kern w:val="0"/>
                <w:sz w:val="24"/>
              </w:rPr>
              <w:t xml:space="preserve"> 2013; </w:t>
            </w:r>
            <w:r w:rsidRPr="00652F74">
              <w:rPr>
                <w:rFonts w:ascii="Book Antiqua" w:hAnsi="Book Antiqua" w:cs="宋体"/>
                <w:b/>
                <w:bCs/>
                <w:kern w:val="0"/>
                <w:sz w:val="24"/>
              </w:rPr>
              <w:t>8</w:t>
            </w:r>
            <w:r w:rsidRPr="00652F74">
              <w:rPr>
                <w:rFonts w:ascii="Book Antiqua" w:hAnsi="Book Antiqua" w:cs="宋体"/>
                <w:kern w:val="0"/>
                <w:sz w:val="24"/>
              </w:rPr>
              <w:t>: e73446 [PMID: 24039944 DOI: 10.1371/journal.pone.0073446]</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20 </w:t>
            </w:r>
            <w:r w:rsidRPr="00652F74">
              <w:rPr>
                <w:rFonts w:ascii="Book Antiqua" w:hAnsi="Book Antiqua" w:cs="宋体"/>
                <w:b/>
                <w:bCs/>
                <w:kern w:val="0"/>
                <w:sz w:val="24"/>
              </w:rPr>
              <w:t>Tan Z</w:t>
            </w:r>
            <w:r w:rsidRPr="00652F74">
              <w:rPr>
                <w:rFonts w:ascii="Book Antiqua" w:hAnsi="Book Antiqua" w:cs="宋体"/>
                <w:kern w:val="0"/>
                <w:sz w:val="24"/>
              </w:rPr>
              <w:t xml:space="preserve">, Ma G, Yang H, Zhang L, Rong T, Lin P. Can lymph node ratio replace pn categories in the tumor-node-metastasis classification system for esophageal cancer? </w:t>
            </w:r>
            <w:r w:rsidRPr="00652F74">
              <w:rPr>
                <w:rFonts w:ascii="Book Antiqua" w:hAnsi="Book Antiqua" w:cs="宋体"/>
                <w:i/>
                <w:iCs/>
                <w:kern w:val="0"/>
                <w:sz w:val="24"/>
              </w:rPr>
              <w:t>J Thorac Oncol</w:t>
            </w:r>
            <w:r w:rsidRPr="00652F74">
              <w:rPr>
                <w:rFonts w:ascii="Book Antiqua" w:hAnsi="Book Antiqua" w:cs="宋体"/>
                <w:kern w:val="0"/>
                <w:sz w:val="24"/>
              </w:rPr>
              <w:t xml:space="preserve"> 2014; </w:t>
            </w:r>
            <w:r w:rsidRPr="00652F74">
              <w:rPr>
                <w:rFonts w:ascii="Book Antiqua" w:hAnsi="Book Antiqua" w:cs="宋体"/>
                <w:b/>
                <w:bCs/>
                <w:kern w:val="0"/>
                <w:sz w:val="24"/>
              </w:rPr>
              <w:t>9</w:t>
            </w:r>
            <w:r w:rsidRPr="00652F74">
              <w:rPr>
                <w:rFonts w:ascii="Book Antiqua" w:hAnsi="Book Antiqua" w:cs="宋体"/>
                <w:kern w:val="0"/>
                <w:sz w:val="24"/>
              </w:rPr>
              <w:t>: 1214-1221 [PMID: 25157776 DOI: 10.1097/JTO.0000000000000216]</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21 </w:t>
            </w:r>
            <w:r w:rsidRPr="00652F74">
              <w:rPr>
                <w:rFonts w:ascii="Book Antiqua" w:hAnsi="Book Antiqua" w:cs="宋体"/>
                <w:b/>
                <w:bCs/>
                <w:kern w:val="0"/>
                <w:sz w:val="24"/>
              </w:rPr>
              <w:t>Chen SB</w:t>
            </w:r>
            <w:r w:rsidRPr="00652F74">
              <w:rPr>
                <w:rFonts w:ascii="Book Antiqua" w:hAnsi="Book Antiqua" w:cs="宋体"/>
                <w:kern w:val="0"/>
                <w:sz w:val="24"/>
              </w:rPr>
              <w:t xml:space="preserve">, Weng HR, Wang G, Yang JS, Yang WP, Liu DT, Chen YP, Zhang H. Prognostic factors and outcome for patients with esophageal squamous cell </w:t>
            </w:r>
            <w:r w:rsidRPr="00652F74">
              <w:rPr>
                <w:rFonts w:ascii="Book Antiqua" w:hAnsi="Book Antiqua" w:cs="宋体"/>
                <w:kern w:val="0"/>
                <w:sz w:val="24"/>
              </w:rPr>
              <w:lastRenderedPageBreak/>
              <w:t xml:space="preserve">carcinoma underwent surgical resection alone: evaluation of the seventh edition of the American Joint Committee on Cancer staging system for esophageal squamous cell carcinoma. </w:t>
            </w:r>
            <w:r w:rsidRPr="00652F74">
              <w:rPr>
                <w:rFonts w:ascii="Book Antiqua" w:hAnsi="Book Antiqua" w:cs="宋体"/>
                <w:i/>
                <w:iCs/>
                <w:kern w:val="0"/>
                <w:sz w:val="24"/>
              </w:rPr>
              <w:t>J Thorac Oncol</w:t>
            </w:r>
            <w:r w:rsidRPr="00652F74">
              <w:rPr>
                <w:rFonts w:ascii="Book Antiqua" w:hAnsi="Book Antiqua" w:cs="宋体"/>
                <w:kern w:val="0"/>
                <w:sz w:val="24"/>
              </w:rPr>
              <w:t xml:space="preserve"> 2013; </w:t>
            </w:r>
            <w:r w:rsidRPr="00652F74">
              <w:rPr>
                <w:rFonts w:ascii="Book Antiqua" w:hAnsi="Book Antiqua" w:cs="宋体"/>
                <w:b/>
                <w:bCs/>
                <w:kern w:val="0"/>
                <w:sz w:val="24"/>
              </w:rPr>
              <w:t>8</w:t>
            </w:r>
            <w:r w:rsidRPr="00652F74">
              <w:rPr>
                <w:rFonts w:ascii="Book Antiqua" w:hAnsi="Book Antiqua" w:cs="宋体"/>
                <w:kern w:val="0"/>
                <w:sz w:val="24"/>
              </w:rPr>
              <w:t>: 495-501 [PMID: 23446203 DOI: 10.1097/JTO.0b013e3182829e2c]</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22 </w:t>
            </w:r>
            <w:r w:rsidRPr="00652F74">
              <w:rPr>
                <w:rFonts w:ascii="Book Antiqua" w:hAnsi="Book Antiqua" w:cs="宋体"/>
                <w:b/>
                <w:bCs/>
                <w:kern w:val="0"/>
                <w:sz w:val="24"/>
              </w:rPr>
              <w:t>Saha-Chaudhuri P</w:t>
            </w:r>
            <w:r w:rsidRPr="00652F74">
              <w:rPr>
                <w:rFonts w:ascii="Book Antiqua" w:hAnsi="Book Antiqua" w:cs="宋体"/>
                <w:kern w:val="0"/>
                <w:sz w:val="24"/>
              </w:rPr>
              <w:t xml:space="preserve">, Heagerty PJ. Non-parametric estimation of a time-dependent predictive accuracy curve. </w:t>
            </w:r>
            <w:r w:rsidRPr="00652F74">
              <w:rPr>
                <w:rFonts w:ascii="Book Antiqua" w:hAnsi="Book Antiqua" w:cs="宋体"/>
                <w:i/>
                <w:iCs/>
                <w:kern w:val="0"/>
                <w:sz w:val="24"/>
              </w:rPr>
              <w:t>Biostatistics</w:t>
            </w:r>
            <w:r w:rsidRPr="00652F74">
              <w:rPr>
                <w:rFonts w:ascii="Book Antiqua" w:hAnsi="Book Antiqua" w:cs="宋体"/>
                <w:kern w:val="0"/>
                <w:sz w:val="24"/>
              </w:rPr>
              <w:t xml:space="preserve"> 2013; </w:t>
            </w:r>
            <w:r w:rsidRPr="00652F74">
              <w:rPr>
                <w:rFonts w:ascii="Book Antiqua" w:hAnsi="Book Antiqua" w:cs="宋体"/>
                <w:b/>
                <w:bCs/>
                <w:kern w:val="0"/>
                <w:sz w:val="24"/>
              </w:rPr>
              <w:t>14</w:t>
            </w:r>
            <w:r w:rsidRPr="00652F74">
              <w:rPr>
                <w:rFonts w:ascii="Book Antiqua" w:hAnsi="Book Antiqua" w:cs="宋体"/>
                <w:kern w:val="0"/>
                <w:sz w:val="24"/>
              </w:rPr>
              <w:t>: 42-59 [PMID: 22734044 DOI: 10.1093/biostatistics/kxs021]</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23 </w:t>
            </w:r>
            <w:r w:rsidRPr="00652F74">
              <w:rPr>
                <w:rFonts w:ascii="Book Antiqua" w:hAnsi="Book Antiqua" w:cs="宋体"/>
                <w:b/>
                <w:bCs/>
                <w:kern w:val="0"/>
                <w:sz w:val="24"/>
              </w:rPr>
              <w:t>Song X</w:t>
            </w:r>
            <w:r w:rsidRPr="00652F74">
              <w:rPr>
                <w:rFonts w:ascii="Book Antiqua" w:hAnsi="Book Antiqua" w:cs="宋体"/>
                <w:kern w:val="0"/>
                <w:sz w:val="24"/>
              </w:rPr>
              <w:t xml:space="preserve">, Zhou XH, Ma S. Nonparametric receiver operating characteristic-based evaluation for survival outcomes. </w:t>
            </w:r>
            <w:r w:rsidRPr="00652F74">
              <w:rPr>
                <w:rFonts w:ascii="Book Antiqua" w:hAnsi="Book Antiqua" w:cs="宋体"/>
                <w:i/>
                <w:iCs/>
                <w:kern w:val="0"/>
                <w:sz w:val="24"/>
              </w:rPr>
              <w:t>Stat Med</w:t>
            </w:r>
            <w:r w:rsidRPr="00652F74">
              <w:rPr>
                <w:rFonts w:ascii="Book Antiqua" w:hAnsi="Book Antiqua" w:cs="宋体"/>
                <w:kern w:val="0"/>
                <w:sz w:val="24"/>
              </w:rPr>
              <w:t xml:space="preserve"> 2012; </w:t>
            </w:r>
            <w:r w:rsidRPr="00652F74">
              <w:rPr>
                <w:rFonts w:ascii="Book Antiqua" w:hAnsi="Book Antiqua" w:cs="宋体"/>
                <w:b/>
                <w:bCs/>
                <w:kern w:val="0"/>
                <w:sz w:val="24"/>
              </w:rPr>
              <w:t>31</w:t>
            </w:r>
            <w:r w:rsidRPr="00652F74">
              <w:rPr>
                <w:rFonts w:ascii="Book Antiqua" w:hAnsi="Book Antiqua" w:cs="宋体"/>
                <w:kern w:val="0"/>
                <w:sz w:val="24"/>
              </w:rPr>
              <w:t>: 2660-2675 [PMID: 22987578 DOI: 10.1002/sim.5386]</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24 </w:t>
            </w:r>
            <w:r w:rsidRPr="00652F74">
              <w:rPr>
                <w:rFonts w:ascii="Book Antiqua" w:hAnsi="Book Antiqua" w:cs="宋体"/>
                <w:b/>
                <w:bCs/>
                <w:kern w:val="0"/>
                <w:sz w:val="24"/>
              </w:rPr>
              <w:t>Zhang J</w:t>
            </w:r>
            <w:r w:rsidRPr="00652F74">
              <w:rPr>
                <w:rFonts w:ascii="Book Antiqua" w:hAnsi="Book Antiqua" w:cs="宋体"/>
                <w:kern w:val="0"/>
                <w:sz w:val="24"/>
              </w:rPr>
              <w:t xml:space="preserve">, Niu Z, Zhou Y, Cao S. A comparison between the seventh and sixth editions of the American Joint Committee on Cancer/International Union Against classification of gastric cancer. </w:t>
            </w:r>
            <w:r w:rsidRPr="00652F74">
              <w:rPr>
                <w:rFonts w:ascii="Book Antiqua" w:hAnsi="Book Antiqua" w:cs="宋体"/>
                <w:i/>
                <w:iCs/>
                <w:kern w:val="0"/>
                <w:sz w:val="24"/>
              </w:rPr>
              <w:t>Ann Surg</w:t>
            </w:r>
            <w:r w:rsidRPr="00652F74">
              <w:rPr>
                <w:rFonts w:ascii="Book Antiqua" w:hAnsi="Book Antiqua" w:cs="宋体"/>
                <w:kern w:val="0"/>
                <w:sz w:val="24"/>
              </w:rPr>
              <w:t xml:space="preserve"> 2013; </w:t>
            </w:r>
            <w:r w:rsidRPr="00652F74">
              <w:rPr>
                <w:rFonts w:ascii="Book Antiqua" w:hAnsi="Book Antiqua" w:cs="宋体"/>
                <w:b/>
                <w:bCs/>
                <w:kern w:val="0"/>
                <w:sz w:val="24"/>
              </w:rPr>
              <w:t>257</w:t>
            </w:r>
            <w:r w:rsidRPr="00652F74">
              <w:rPr>
                <w:rFonts w:ascii="Book Antiqua" w:hAnsi="Book Antiqua" w:cs="宋体"/>
                <w:kern w:val="0"/>
                <w:sz w:val="24"/>
              </w:rPr>
              <w:t>: 81-86 [PMID: 23059507 DOI: 10.1097/SLA.0b013e31825eff3f]</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25 </w:t>
            </w:r>
            <w:r w:rsidRPr="00652F74">
              <w:rPr>
                <w:rFonts w:ascii="Book Antiqua" w:hAnsi="Book Antiqua" w:cs="宋体"/>
                <w:b/>
                <w:bCs/>
                <w:kern w:val="0"/>
                <w:sz w:val="24"/>
              </w:rPr>
              <w:t>Zhang H</w:t>
            </w:r>
            <w:r w:rsidRPr="00652F74">
              <w:rPr>
                <w:rFonts w:ascii="Book Antiqua" w:hAnsi="Book Antiqua" w:cs="宋体"/>
                <w:kern w:val="0"/>
                <w:sz w:val="24"/>
              </w:rPr>
              <w:t xml:space="preserve">, Wang W, Diao D, Cheng Y, Song Y, Zhu K, Dang C. Ratio of metastatic to examined lymph nodes, a helpful staging system and independent prognostic factor of esophagogastric junction cancer. </w:t>
            </w:r>
            <w:r w:rsidRPr="00652F74">
              <w:rPr>
                <w:rFonts w:ascii="Book Antiqua" w:hAnsi="Book Antiqua" w:cs="宋体"/>
                <w:i/>
                <w:iCs/>
                <w:kern w:val="0"/>
                <w:sz w:val="24"/>
              </w:rPr>
              <w:t>PLoS One</w:t>
            </w:r>
            <w:r w:rsidRPr="00652F74">
              <w:rPr>
                <w:rFonts w:ascii="Book Antiqua" w:hAnsi="Book Antiqua" w:cs="宋体"/>
                <w:kern w:val="0"/>
                <w:sz w:val="24"/>
              </w:rPr>
              <w:t xml:space="preserve"> 2013; </w:t>
            </w:r>
            <w:r w:rsidRPr="00652F74">
              <w:rPr>
                <w:rFonts w:ascii="Book Antiqua" w:hAnsi="Book Antiqua" w:cs="宋体"/>
                <w:b/>
                <w:bCs/>
                <w:kern w:val="0"/>
                <w:sz w:val="24"/>
              </w:rPr>
              <w:t>8</w:t>
            </w:r>
            <w:r w:rsidRPr="00652F74">
              <w:rPr>
                <w:rFonts w:ascii="Book Antiqua" w:hAnsi="Book Antiqua" w:cs="宋体"/>
                <w:kern w:val="0"/>
                <w:sz w:val="24"/>
              </w:rPr>
              <w:t>: e73238 [PMID: 23977381 DOI: 10.1371/journal.pone.0073238]</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26 </w:t>
            </w:r>
            <w:r w:rsidRPr="00652F74">
              <w:rPr>
                <w:rFonts w:ascii="Book Antiqua" w:hAnsi="Book Antiqua" w:cs="宋体"/>
                <w:b/>
                <w:bCs/>
                <w:kern w:val="0"/>
                <w:sz w:val="24"/>
              </w:rPr>
              <w:t>Rice TW</w:t>
            </w:r>
            <w:r w:rsidRPr="00652F74">
              <w:rPr>
                <w:rFonts w:ascii="Book Antiqua" w:hAnsi="Book Antiqua" w:cs="宋体"/>
                <w:kern w:val="0"/>
                <w:sz w:val="24"/>
              </w:rPr>
              <w:t xml:space="preserve">, Blackstone EH, Rusch VW. 7th edition of the AJCC Cancer Staging Manual: esophagus and esophagogastric junction. </w:t>
            </w:r>
            <w:r w:rsidRPr="00652F74">
              <w:rPr>
                <w:rFonts w:ascii="Book Antiqua" w:hAnsi="Book Antiqua" w:cs="宋体"/>
                <w:i/>
                <w:iCs/>
                <w:kern w:val="0"/>
                <w:sz w:val="24"/>
              </w:rPr>
              <w:t>Ann Surg Oncol</w:t>
            </w:r>
            <w:r w:rsidRPr="00652F74">
              <w:rPr>
                <w:rFonts w:ascii="Book Antiqua" w:hAnsi="Book Antiqua" w:cs="宋体"/>
                <w:kern w:val="0"/>
                <w:sz w:val="24"/>
              </w:rPr>
              <w:t xml:space="preserve"> 2010; </w:t>
            </w:r>
            <w:r w:rsidRPr="00652F74">
              <w:rPr>
                <w:rFonts w:ascii="Book Antiqua" w:hAnsi="Book Antiqua" w:cs="宋体"/>
                <w:b/>
                <w:bCs/>
                <w:kern w:val="0"/>
                <w:sz w:val="24"/>
              </w:rPr>
              <w:t>17</w:t>
            </w:r>
            <w:r w:rsidRPr="00652F74">
              <w:rPr>
                <w:rFonts w:ascii="Book Antiqua" w:hAnsi="Book Antiqua" w:cs="宋体"/>
                <w:kern w:val="0"/>
                <w:sz w:val="24"/>
              </w:rPr>
              <w:t>: 1721-1724 [PMID: 20369299 DOI: 10.1245/s10434-010-1024-1]</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27 </w:t>
            </w:r>
            <w:r w:rsidRPr="00652F74">
              <w:rPr>
                <w:rFonts w:ascii="Book Antiqua" w:hAnsi="Book Antiqua" w:cs="宋体"/>
                <w:b/>
                <w:bCs/>
                <w:kern w:val="0"/>
                <w:sz w:val="24"/>
              </w:rPr>
              <w:t>Peyre CG</w:t>
            </w:r>
            <w:r w:rsidRPr="00652F74">
              <w:rPr>
                <w:rFonts w:ascii="Book Antiqua" w:hAnsi="Book Antiqua" w:cs="宋体"/>
                <w:kern w:val="0"/>
                <w:sz w:val="24"/>
              </w:rPr>
              <w:t xml:space="preserve">, Hagen JA, DeMeester SR, Altorki NK, Ancona E, Griffin SM, Hölscher A, Lerut T, Law S, Rice TW, Ruol A, van Lanschot JJ, Wong J, DeMeester TR. The number of lymph nodes removed predicts survival in esophageal cancer: an international study on the impact of extent of surgical resection. </w:t>
            </w:r>
            <w:r w:rsidRPr="00652F74">
              <w:rPr>
                <w:rFonts w:ascii="Book Antiqua" w:hAnsi="Book Antiqua" w:cs="宋体"/>
                <w:i/>
                <w:iCs/>
                <w:kern w:val="0"/>
                <w:sz w:val="24"/>
              </w:rPr>
              <w:t>Ann Surg</w:t>
            </w:r>
            <w:r w:rsidRPr="00652F74">
              <w:rPr>
                <w:rFonts w:ascii="Book Antiqua" w:hAnsi="Book Antiqua" w:cs="宋体"/>
                <w:kern w:val="0"/>
                <w:sz w:val="24"/>
              </w:rPr>
              <w:t xml:space="preserve"> 2008; </w:t>
            </w:r>
            <w:r w:rsidRPr="00652F74">
              <w:rPr>
                <w:rFonts w:ascii="Book Antiqua" w:hAnsi="Book Antiqua" w:cs="宋体"/>
                <w:b/>
                <w:bCs/>
                <w:kern w:val="0"/>
                <w:sz w:val="24"/>
              </w:rPr>
              <w:t>248</w:t>
            </w:r>
            <w:r w:rsidRPr="00652F74">
              <w:rPr>
                <w:rFonts w:ascii="Book Antiqua" w:hAnsi="Book Antiqua" w:cs="宋体"/>
                <w:kern w:val="0"/>
                <w:sz w:val="24"/>
              </w:rPr>
              <w:t>: 549-556 [PMID: 18936567 DOI: 10.1097/SLA.0b013e318188c474]</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28 </w:t>
            </w:r>
            <w:r w:rsidRPr="00652F74">
              <w:rPr>
                <w:rFonts w:ascii="Book Antiqua" w:hAnsi="Book Antiqua" w:cs="宋体"/>
                <w:b/>
                <w:bCs/>
                <w:kern w:val="0"/>
                <w:sz w:val="24"/>
              </w:rPr>
              <w:t>Schwarz RE</w:t>
            </w:r>
            <w:r w:rsidRPr="00652F74">
              <w:rPr>
                <w:rFonts w:ascii="Book Antiqua" w:hAnsi="Book Antiqua" w:cs="宋体"/>
                <w:kern w:val="0"/>
                <w:sz w:val="24"/>
              </w:rPr>
              <w:t xml:space="preserve">, Smith DD. Clinical impact of lymphadenectomy extent in resectable esophageal cancer. </w:t>
            </w:r>
            <w:r w:rsidRPr="00652F74">
              <w:rPr>
                <w:rFonts w:ascii="Book Antiqua" w:hAnsi="Book Antiqua" w:cs="宋体"/>
                <w:i/>
                <w:iCs/>
                <w:kern w:val="0"/>
                <w:sz w:val="24"/>
              </w:rPr>
              <w:t>J Gastrointest Surg</w:t>
            </w:r>
            <w:r w:rsidRPr="00652F74">
              <w:rPr>
                <w:rFonts w:ascii="Book Antiqua" w:hAnsi="Book Antiqua" w:cs="宋体"/>
                <w:kern w:val="0"/>
                <w:sz w:val="24"/>
              </w:rPr>
              <w:t xml:space="preserve"> 2007; </w:t>
            </w:r>
            <w:r w:rsidRPr="00652F74">
              <w:rPr>
                <w:rFonts w:ascii="Book Antiqua" w:hAnsi="Book Antiqua" w:cs="宋体"/>
                <w:b/>
                <w:bCs/>
                <w:kern w:val="0"/>
                <w:sz w:val="24"/>
              </w:rPr>
              <w:t>11</w:t>
            </w:r>
            <w:r w:rsidRPr="00652F74">
              <w:rPr>
                <w:rFonts w:ascii="Book Antiqua" w:hAnsi="Book Antiqua" w:cs="宋体"/>
                <w:kern w:val="0"/>
                <w:sz w:val="24"/>
              </w:rPr>
              <w:t>: 1384-193; discussion 1384-193; [PMID: 17764019 DOI: 10.1007/s11605-007-0264-2]</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29 </w:t>
            </w:r>
            <w:r w:rsidRPr="00652F74">
              <w:rPr>
                <w:rFonts w:ascii="Book Antiqua" w:hAnsi="Book Antiqua" w:cs="宋体"/>
                <w:b/>
                <w:bCs/>
                <w:kern w:val="0"/>
                <w:sz w:val="24"/>
              </w:rPr>
              <w:t>Nigro JJ</w:t>
            </w:r>
            <w:r w:rsidRPr="00652F74">
              <w:rPr>
                <w:rFonts w:ascii="Book Antiqua" w:hAnsi="Book Antiqua" w:cs="宋体"/>
                <w:kern w:val="0"/>
                <w:sz w:val="24"/>
              </w:rPr>
              <w:t xml:space="preserve">, DeMeester SR, Hagen JA, DeMeester TR, Peters JH, Kiyabu M, Campos GM, Oberg S, Gastal O, Crookes PF, Bremner CG. Node status in transmural esophageal adenocarcinoma and outcome after en bloc esophagectomy. </w:t>
            </w:r>
            <w:r w:rsidRPr="00652F74">
              <w:rPr>
                <w:rFonts w:ascii="Book Antiqua" w:hAnsi="Book Antiqua" w:cs="宋体"/>
                <w:i/>
                <w:iCs/>
                <w:kern w:val="0"/>
                <w:sz w:val="24"/>
              </w:rPr>
              <w:t>J Thorac Cardiovasc Surg</w:t>
            </w:r>
            <w:r w:rsidRPr="00652F74">
              <w:rPr>
                <w:rFonts w:ascii="Book Antiqua" w:hAnsi="Book Antiqua" w:cs="宋体"/>
                <w:kern w:val="0"/>
                <w:sz w:val="24"/>
              </w:rPr>
              <w:t xml:space="preserve"> 1999; </w:t>
            </w:r>
            <w:r w:rsidRPr="00652F74">
              <w:rPr>
                <w:rFonts w:ascii="Book Antiqua" w:hAnsi="Book Antiqua" w:cs="宋体"/>
                <w:b/>
                <w:bCs/>
                <w:kern w:val="0"/>
                <w:sz w:val="24"/>
              </w:rPr>
              <w:t>117</w:t>
            </w:r>
            <w:r w:rsidRPr="00652F74">
              <w:rPr>
                <w:rFonts w:ascii="Book Antiqua" w:hAnsi="Book Antiqua" w:cs="宋体"/>
                <w:kern w:val="0"/>
                <w:sz w:val="24"/>
              </w:rPr>
              <w:t>: 960-968 [PMID: 10220691 DOI: 10.1016/S0022-5223(99)70377-6]</w:t>
            </w:r>
          </w:p>
          <w:p w:rsidR="00652F74" w:rsidRPr="00652F74" w:rsidRDefault="00652F74" w:rsidP="00652F74">
            <w:pPr>
              <w:widowControl/>
              <w:jc w:val="left"/>
              <w:rPr>
                <w:rFonts w:ascii="Book Antiqua" w:hAnsi="Book Antiqua" w:cs="宋体"/>
                <w:kern w:val="0"/>
                <w:sz w:val="24"/>
              </w:rPr>
            </w:pPr>
            <w:r w:rsidRPr="00652F74">
              <w:rPr>
                <w:rFonts w:ascii="Book Antiqua" w:hAnsi="Book Antiqua" w:cs="宋体"/>
                <w:kern w:val="0"/>
                <w:sz w:val="24"/>
              </w:rPr>
              <w:t xml:space="preserve">30 </w:t>
            </w:r>
            <w:r w:rsidRPr="00652F74">
              <w:rPr>
                <w:rFonts w:ascii="Book Antiqua" w:hAnsi="Book Antiqua" w:cs="宋体"/>
                <w:b/>
                <w:bCs/>
                <w:kern w:val="0"/>
                <w:sz w:val="24"/>
              </w:rPr>
              <w:t>Yang HX</w:t>
            </w:r>
            <w:r w:rsidRPr="00652F74">
              <w:rPr>
                <w:rFonts w:ascii="Book Antiqua" w:hAnsi="Book Antiqua" w:cs="宋体"/>
                <w:kern w:val="0"/>
                <w:sz w:val="24"/>
              </w:rPr>
              <w:t xml:space="preserve">, Xu Y, Fu JH, Wang JY, Lin P, Rong TH. An evaluation of the number of lymph nodes examined and survival for node-negative esophageal carcinoma: data from China. </w:t>
            </w:r>
            <w:r w:rsidRPr="00652F74">
              <w:rPr>
                <w:rFonts w:ascii="Book Antiqua" w:hAnsi="Book Antiqua" w:cs="宋体"/>
                <w:i/>
                <w:iCs/>
                <w:kern w:val="0"/>
                <w:sz w:val="24"/>
              </w:rPr>
              <w:t>Ann Surg Oncol</w:t>
            </w:r>
            <w:r w:rsidRPr="00652F74">
              <w:rPr>
                <w:rFonts w:ascii="Book Antiqua" w:hAnsi="Book Antiqua" w:cs="宋体"/>
                <w:kern w:val="0"/>
                <w:sz w:val="24"/>
              </w:rPr>
              <w:t xml:space="preserve"> 2010; </w:t>
            </w:r>
            <w:r w:rsidRPr="00652F74">
              <w:rPr>
                <w:rFonts w:ascii="Book Antiqua" w:hAnsi="Book Antiqua" w:cs="宋体"/>
                <w:b/>
                <w:bCs/>
                <w:kern w:val="0"/>
                <w:sz w:val="24"/>
              </w:rPr>
              <w:t>17</w:t>
            </w:r>
            <w:r w:rsidRPr="00652F74">
              <w:rPr>
                <w:rFonts w:ascii="Book Antiqua" w:hAnsi="Book Antiqua" w:cs="宋体"/>
                <w:kern w:val="0"/>
                <w:sz w:val="24"/>
              </w:rPr>
              <w:t>: 1901-1911 [PMID: 20146101 DOI: 10.1245/s10434-010-0948-9]</w:t>
            </w:r>
          </w:p>
        </w:tc>
      </w:tr>
    </w:tbl>
    <w:p w:rsidR="00004441" w:rsidRPr="005D33A7" w:rsidRDefault="00004441" w:rsidP="00345247">
      <w:pPr>
        <w:tabs>
          <w:tab w:val="left" w:pos="180"/>
          <w:tab w:val="left" w:pos="360"/>
        </w:tabs>
        <w:adjustRightInd w:val="0"/>
        <w:snapToGrid w:val="0"/>
        <w:spacing w:line="360" w:lineRule="auto"/>
        <w:ind w:right="480"/>
        <w:jc w:val="right"/>
        <w:rPr>
          <w:rFonts w:ascii="Book Antiqua" w:hAnsi="Book Antiqua" w:cs="Tahoma"/>
          <w:b/>
          <w:sz w:val="24"/>
        </w:rPr>
      </w:pPr>
      <w:bookmarkStart w:id="68" w:name="OLE_LINK87"/>
      <w:bookmarkStart w:id="69" w:name="OLE_LINK97"/>
      <w:r w:rsidRPr="005D33A7">
        <w:rPr>
          <w:rFonts w:ascii="Book Antiqua" w:hAnsi="Book Antiqua" w:cs="Tahoma"/>
          <w:b/>
          <w:sz w:val="24"/>
        </w:rPr>
        <w:lastRenderedPageBreak/>
        <w:t>P-Reviewer:</w:t>
      </w:r>
      <w:r w:rsidR="00FA4060" w:rsidRPr="005D33A7">
        <w:rPr>
          <w:rFonts w:ascii="Book Antiqua" w:hAnsi="Book Antiqua" w:cs="Tahoma" w:hint="eastAsia"/>
          <w:b/>
          <w:sz w:val="24"/>
        </w:rPr>
        <w:t xml:space="preserve"> </w:t>
      </w:r>
      <w:r w:rsidRPr="005D33A7">
        <w:rPr>
          <w:rFonts w:ascii="Book Antiqua" w:hAnsi="Book Antiqua"/>
          <w:sz w:val="24"/>
        </w:rPr>
        <w:t>Tsuburaya A, Watson</w:t>
      </w:r>
      <w:r w:rsidRPr="005D33A7">
        <w:rPr>
          <w:rFonts w:ascii="Book Antiqua" w:hAnsi="Book Antiqua" w:cs="Tahoma"/>
          <w:sz w:val="24"/>
        </w:rPr>
        <w:t>DI</w:t>
      </w:r>
      <w:r w:rsidR="00FA4060" w:rsidRPr="005D33A7">
        <w:rPr>
          <w:rFonts w:ascii="Book Antiqua" w:hAnsi="Book Antiqua" w:cs="Tahoma" w:hint="eastAsia"/>
          <w:sz w:val="24"/>
        </w:rPr>
        <w:t xml:space="preserve"> </w:t>
      </w:r>
      <w:r w:rsidRPr="005D33A7">
        <w:rPr>
          <w:rFonts w:ascii="Book Antiqua" w:hAnsi="Book Antiqua" w:cs="Tahoma"/>
          <w:b/>
          <w:sz w:val="24"/>
        </w:rPr>
        <w:t xml:space="preserve">S-Editor: </w:t>
      </w:r>
      <w:r w:rsidRPr="005D33A7">
        <w:rPr>
          <w:rFonts w:ascii="Book Antiqua" w:hAnsi="Book Antiqua" w:cs="Tahoma"/>
          <w:sz w:val="24"/>
        </w:rPr>
        <w:t>Yu J</w:t>
      </w:r>
      <w:r w:rsidR="00402A54" w:rsidRPr="005D33A7">
        <w:rPr>
          <w:rFonts w:ascii="Book Antiqua" w:hAnsi="Book Antiqua" w:cs="Tahoma"/>
          <w:b/>
          <w:sz w:val="24"/>
        </w:rPr>
        <w:t xml:space="preserve"> L-Editor: </w:t>
      </w:r>
      <w:r w:rsidR="00402A54" w:rsidRPr="005D33A7">
        <w:rPr>
          <w:rFonts w:ascii="Book Antiqua" w:hAnsi="Book Antiqua" w:cs="Tahoma" w:hint="eastAsia"/>
          <w:b/>
          <w:sz w:val="24"/>
        </w:rPr>
        <w:t xml:space="preserve"> </w:t>
      </w:r>
      <w:r w:rsidRPr="005D33A7">
        <w:rPr>
          <w:rFonts w:ascii="Book Antiqua" w:hAnsi="Book Antiqua" w:cs="Tahoma"/>
          <w:b/>
          <w:sz w:val="24"/>
        </w:rPr>
        <w:t>E-Editor:</w:t>
      </w:r>
    </w:p>
    <w:bookmarkEnd w:id="68"/>
    <w:bookmarkEnd w:id="69"/>
    <w:p w:rsidR="00004441" w:rsidRPr="005D33A7" w:rsidRDefault="00004441" w:rsidP="007D5F41">
      <w:pPr>
        <w:adjustRightInd w:val="0"/>
        <w:snapToGrid w:val="0"/>
        <w:spacing w:line="360" w:lineRule="auto"/>
        <w:rPr>
          <w:rFonts w:ascii="Book Antiqua" w:hAnsi="Book Antiqua"/>
          <w:sz w:val="24"/>
        </w:rPr>
      </w:pPr>
    </w:p>
    <w:p w:rsidR="00A4423F" w:rsidRPr="005D33A7" w:rsidRDefault="00A4423F" w:rsidP="007D5F41">
      <w:pPr>
        <w:adjustRightInd w:val="0"/>
        <w:snapToGrid w:val="0"/>
        <w:spacing w:line="360" w:lineRule="auto"/>
        <w:rPr>
          <w:rFonts w:ascii="Book Antiqua" w:hAnsi="Book Antiqua"/>
          <w:sz w:val="24"/>
        </w:rPr>
      </w:pPr>
      <w:r w:rsidRPr="005D33A7">
        <w:rPr>
          <w:rFonts w:ascii="Book Antiqua" w:hAnsi="Book Antiqua"/>
          <w:noProof/>
          <w:sz w:val="24"/>
        </w:rPr>
        <w:lastRenderedPageBreak/>
        <w:drawing>
          <wp:inline distT="0" distB="0" distL="0" distR="0" wp14:anchorId="33AD2005" wp14:editId="13B21CBC">
            <wp:extent cx="5490210" cy="4262359"/>
            <wp:effectExtent l="0" t="0" r="0" b="5080"/>
            <wp:docPr id="1" name="图片 1" descr="C:\Users\baishideng-2014\Desktop\revised-jyu\新修2\15224\15224-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新修2\15224\15224-Figures\Figure 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0210" cy="4262359"/>
                    </a:xfrm>
                    <a:prstGeom prst="rect">
                      <a:avLst/>
                    </a:prstGeom>
                    <a:noFill/>
                    <a:ln>
                      <a:noFill/>
                    </a:ln>
                  </pic:spPr>
                </pic:pic>
              </a:graphicData>
            </a:graphic>
          </wp:inline>
        </w:drawing>
      </w:r>
    </w:p>
    <w:p w:rsidR="00004441" w:rsidRPr="005D33A7" w:rsidRDefault="00F06053" w:rsidP="007D5F41">
      <w:pPr>
        <w:autoSpaceDE w:val="0"/>
        <w:autoSpaceDN w:val="0"/>
        <w:adjustRightInd w:val="0"/>
        <w:snapToGrid w:val="0"/>
        <w:spacing w:line="360" w:lineRule="auto"/>
        <w:rPr>
          <w:rFonts w:ascii="Book Antiqua" w:hAnsi="Book Antiqua"/>
          <w:sz w:val="24"/>
        </w:rPr>
      </w:pPr>
      <w:r w:rsidRPr="005D33A7">
        <w:rPr>
          <w:rFonts w:ascii="Book Antiqua" w:hAnsi="Book Antiqua"/>
          <w:b/>
          <w:bCs/>
          <w:sz w:val="24"/>
        </w:rPr>
        <w:t>Figure 1</w:t>
      </w:r>
      <w:r w:rsidR="00004441" w:rsidRPr="005D33A7">
        <w:rPr>
          <w:rFonts w:ascii="Book Antiqua" w:hAnsi="Book Antiqua"/>
          <w:b/>
          <w:sz w:val="24"/>
        </w:rPr>
        <w:t xml:space="preserve"> Kaplan-Meier curves for overall survival according to different intervals of lymph node ratio. </w:t>
      </w:r>
      <w:r w:rsidRPr="005D33A7">
        <w:rPr>
          <w:rFonts w:ascii="Book Antiqua" w:hAnsi="Book Antiqua"/>
          <w:sz w:val="24"/>
        </w:rPr>
        <w:t xml:space="preserve">The </w:t>
      </w:r>
      <w:r w:rsidRPr="005D33A7">
        <w:rPr>
          <w:rFonts w:ascii="Book Antiqua" w:hAnsi="Book Antiqua"/>
          <w:i/>
          <w:sz w:val="24"/>
        </w:rPr>
        <w:t>P</w:t>
      </w:r>
      <w:r w:rsidRPr="005D33A7">
        <w:rPr>
          <w:rFonts w:ascii="Book Antiqua" w:hAnsi="Book Antiqua" w:hint="eastAsia"/>
          <w:sz w:val="24"/>
        </w:rPr>
        <w:t xml:space="preserve"> </w:t>
      </w:r>
      <w:r w:rsidR="00004441" w:rsidRPr="005D33A7">
        <w:rPr>
          <w:rFonts w:ascii="Book Antiqua" w:hAnsi="Book Antiqua"/>
          <w:sz w:val="24"/>
        </w:rPr>
        <w:t xml:space="preserve">value for LNR0 </w:t>
      </w:r>
      <w:r w:rsidR="00FA4060" w:rsidRPr="005D33A7">
        <w:rPr>
          <w:rFonts w:ascii="Book Antiqua" w:hAnsi="Book Antiqua"/>
          <w:i/>
          <w:sz w:val="24"/>
        </w:rPr>
        <w:t>vs</w:t>
      </w:r>
      <w:r w:rsidR="00004441" w:rsidRPr="005D33A7">
        <w:rPr>
          <w:rFonts w:ascii="Book Antiqua" w:hAnsi="Book Antiqua"/>
          <w:sz w:val="24"/>
        </w:rPr>
        <w:t xml:space="preserve"> LNR1: &lt; 0.001, LNR1 </w:t>
      </w:r>
      <w:r w:rsidR="00FA4060" w:rsidRPr="005D33A7">
        <w:rPr>
          <w:rFonts w:ascii="Book Antiqua" w:hAnsi="Book Antiqua"/>
          <w:i/>
          <w:sz w:val="24"/>
        </w:rPr>
        <w:t>vs</w:t>
      </w:r>
      <w:r w:rsidR="00004441" w:rsidRPr="005D33A7">
        <w:rPr>
          <w:rFonts w:ascii="Book Antiqua" w:hAnsi="Book Antiqua"/>
          <w:sz w:val="24"/>
        </w:rPr>
        <w:t xml:space="preserve"> LNR2: 0.021, LNR2 </w:t>
      </w:r>
      <w:r w:rsidR="00FA4060" w:rsidRPr="005D33A7">
        <w:rPr>
          <w:rFonts w:ascii="Book Antiqua" w:hAnsi="Book Antiqua"/>
          <w:i/>
          <w:sz w:val="24"/>
        </w:rPr>
        <w:t>vs</w:t>
      </w:r>
      <w:r w:rsidR="00004441" w:rsidRPr="005D33A7">
        <w:rPr>
          <w:rFonts w:ascii="Book Antiqua" w:hAnsi="Book Antiqua"/>
          <w:sz w:val="24"/>
        </w:rPr>
        <w:t xml:space="preserve"> LNR3: 0.031. No significant survival differences were observed between LNR3 to LNR6 (</w:t>
      </w:r>
      <w:r w:rsidR="00004441" w:rsidRPr="005D33A7">
        <w:rPr>
          <w:rFonts w:ascii="Book Antiqua" w:hAnsi="Book Antiqua"/>
          <w:i/>
          <w:sz w:val="24"/>
        </w:rPr>
        <w:t>P</w:t>
      </w:r>
      <w:r w:rsidR="00DB3816" w:rsidRPr="005D33A7">
        <w:rPr>
          <w:rFonts w:ascii="Book Antiqua" w:hAnsi="Book Antiqua" w:hint="eastAsia"/>
          <w:sz w:val="24"/>
        </w:rPr>
        <w:t xml:space="preserve"> </w:t>
      </w:r>
      <w:r w:rsidR="00004441" w:rsidRPr="005D33A7">
        <w:rPr>
          <w:rFonts w:ascii="Book Antiqua" w:hAnsi="Book Antiqua"/>
          <w:sz w:val="24"/>
        </w:rPr>
        <w:t>&gt;</w:t>
      </w:r>
      <w:r w:rsidR="00DB3816" w:rsidRPr="005D33A7">
        <w:rPr>
          <w:rFonts w:ascii="Book Antiqua" w:hAnsi="Book Antiqua" w:hint="eastAsia"/>
          <w:sz w:val="24"/>
        </w:rPr>
        <w:t xml:space="preserve"> </w:t>
      </w:r>
      <w:r w:rsidR="00004441" w:rsidRPr="005D33A7">
        <w:rPr>
          <w:rFonts w:ascii="Book Antiqua" w:hAnsi="Book Antiqua"/>
          <w:sz w:val="24"/>
        </w:rPr>
        <w:t>0.05).</w:t>
      </w:r>
      <w:r w:rsidR="00DB3816" w:rsidRPr="005D33A7">
        <w:rPr>
          <w:rFonts w:ascii="Book Antiqua" w:hAnsi="Book Antiqua" w:hint="eastAsia"/>
          <w:sz w:val="24"/>
        </w:rPr>
        <w:t xml:space="preserve"> LNR: </w:t>
      </w:r>
      <w:r w:rsidR="00DB3816" w:rsidRPr="005D33A7">
        <w:rPr>
          <w:rFonts w:ascii="Book Antiqua" w:hAnsi="Book Antiqua"/>
          <w:sz w:val="24"/>
        </w:rPr>
        <w:t>Lymph node ratio</w:t>
      </w:r>
      <w:r w:rsidR="00DB3816" w:rsidRPr="005D33A7">
        <w:rPr>
          <w:rFonts w:ascii="Book Antiqua" w:hAnsi="Book Antiqua" w:hint="eastAsia"/>
          <w:sz w:val="24"/>
        </w:rPr>
        <w:t>.</w:t>
      </w:r>
    </w:p>
    <w:p w:rsidR="00DB3816" w:rsidRPr="005D33A7" w:rsidRDefault="00DB3816" w:rsidP="007D5F41">
      <w:pPr>
        <w:autoSpaceDE w:val="0"/>
        <w:autoSpaceDN w:val="0"/>
        <w:adjustRightInd w:val="0"/>
        <w:snapToGrid w:val="0"/>
        <w:spacing w:line="360" w:lineRule="auto"/>
        <w:rPr>
          <w:rFonts w:ascii="Book Antiqua" w:hAnsi="Book Antiqua"/>
          <w:b/>
          <w:bCs/>
          <w:sz w:val="24"/>
        </w:rPr>
      </w:pPr>
    </w:p>
    <w:p w:rsidR="00A4423F" w:rsidRPr="005D33A7" w:rsidRDefault="00A4423F"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hint="eastAsia"/>
          <w:b/>
          <w:bCs/>
          <w:sz w:val="24"/>
        </w:rPr>
        <w:t>A</w:t>
      </w:r>
    </w:p>
    <w:p w:rsidR="00A4423F" w:rsidRPr="005D33A7" w:rsidRDefault="00A4423F"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b/>
          <w:bCs/>
          <w:noProof/>
          <w:sz w:val="24"/>
        </w:rPr>
        <w:lastRenderedPageBreak/>
        <w:drawing>
          <wp:inline distT="0" distB="0" distL="0" distR="0" wp14:anchorId="0EC16995" wp14:editId="2CFC3F43">
            <wp:extent cx="4610100" cy="3600450"/>
            <wp:effectExtent l="0" t="0" r="0" b="0"/>
            <wp:docPr id="2" name="图片 2" descr="C:\Users\baishideng-2014\Desktop\revised-jyu\新修2\15224\15224-Figures\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新修2\15224\15224-Figures\Figure 2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0100" cy="3600450"/>
                    </a:xfrm>
                    <a:prstGeom prst="rect">
                      <a:avLst/>
                    </a:prstGeom>
                    <a:noFill/>
                    <a:ln>
                      <a:noFill/>
                    </a:ln>
                  </pic:spPr>
                </pic:pic>
              </a:graphicData>
            </a:graphic>
          </wp:inline>
        </w:drawing>
      </w:r>
    </w:p>
    <w:p w:rsidR="00A4423F" w:rsidRPr="005D33A7" w:rsidRDefault="00A4423F"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hint="eastAsia"/>
          <w:b/>
          <w:bCs/>
          <w:sz w:val="24"/>
        </w:rPr>
        <w:t>B</w:t>
      </w:r>
    </w:p>
    <w:p w:rsidR="00A4423F" w:rsidRPr="005D33A7" w:rsidRDefault="00A4423F" w:rsidP="007D5F41">
      <w:pPr>
        <w:autoSpaceDE w:val="0"/>
        <w:autoSpaceDN w:val="0"/>
        <w:adjustRightInd w:val="0"/>
        <w:snapToGrid w:val="0"/>
        <w:spacing w:line="360" w:lineRule="auto"/>
        <w:rPr>
          <w:rFonts w:ascii="Book Antiqua" w:hAnsi="Book Antiqua"/>
          <w:b/>
          <w:bCs/>
          <w:sz w:val="24"/>
        </w:rPr>
      </w:pPr>
      <w:r w:rsidRPr="005D33A7">
        <w:rPr>
          <w:rFonts w:ascii="Book Antiqua" w:hAnsi="Book Antiqua"/>
          <w:b/>
          <w:bCs/>
          <w:noProof/>
          <w:sz w:val="24"/>
        </w:rPr>
        <w:drawing>
          <wp:inline distT="0" distB="0" distL="0" distR="0" wp14:anchorId="2B78911F" wp14:editId="4B642834">
            <wp:extent cx="4754880" cy="3599180"/>
            <wp:effectExtent l="0" t="0" r="7620" b="1270"/>
            <wp:docPr id="3" name="图片 3" descr="C:\Users\baishideng-2014\Desktop\revised-jyu\新修2\15224\15224-Figures\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新修2\15224\15224-Figures\Figure 2B.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4880" cy="3599180"/>
                    </a:xfrm>
                    <a:prstGeom prst="rect">
                      <a:avLst/>
                    </a:prstGeom>
                    <a:noFill/>
                    <a:ln>
                      <a:noFill/>
                    </a:ln>
                  </pic:spPr>
                </pic:pic>
              </a:graphicData>
            </a:graphic>
          </wp:inline>
        </w:drawing>
      </w:r>
    </w:p>
    <w:p w:rsidR="00C90062" w:rsidRPr="005D33A7" w:rsidRDefault="00DB3816" w:rsidP="00C90062">
      <w:pPr>
        <w:autoSpaceDE w:val="0"/>
        <w:autoSpaceDN w:val="0"/>
        <w:adjustRightInd w:val="0"/>
        <w:snapToGrid w:val="0"/>
        <w:spacing w:line="360" w:lineRule="auto"/>
        <w:rPr>
          <w:rFonts w:ascii="Book Antiqua" w:hAnsi="Book Antiqua"/>
          <w:sz w:val="24"/>
        </w:rPr>
      </w:pPr>
      <w:r w:rsidRPr="005D33A7">
        <w:rPr>
          <w:rFonts w:ascii="Book Antiqua" w:hAnsi="Book Antiqua"/>
          <w:b/>
          <w:bCs/>
          <w:sz w:val="24"/>
        </w:rPr>
        <w:t>Figure 2</w:t>
      </w:r>
      <w:r w:rsidR="00004441" w:rsidRPr="005D33A7">
        <w:rPr>
          <w:rFonts w:ascii="Book Antiqua" w:hAnsi="Book Antiqua"/>
          <w:b/>
          <w:sz w:val="24"/>
        </w:rPr>
        <w:t xml:space="preserve"> Kaplan-Meier curves for overall survival according to </w:t>
      </w:r>
      <w:r w:rsidR="00C90062" w:rsidRPr="005D33A7">
        <w:rPr>
          <w:rFonts w:ascii="Book Antiqua" w:hAnsi="Book Antiqua"/>
          <w:b/>
          <w:kern w:val="0"/>
          <w:sz w:val="24"/>
        </w:rPr>
        <w:t>American Joint Committee on Cancer</w:t>
      </w:r>
      <w:r w:rsidR="00004441" w:rsidRPr="005D33A7">
        <w:rPr>
          <w:rFonts w:ascii="Book Antiqua" w:hAnsi="Book Antiqua"/>
          <w:b/>
          <w:sz w:val="24"/>
        </w:rPr>
        <w:t xml:space="preserve"> N categories</w:t>
      </w:r>
      <w:r w:rsidRPr="005D33A7">
        <w:rPr>
          <w:rFonts w:ascii="Book Antiqua" w:hAnsi="Book Antiqua" w:hint="eastAsia"/>
          <w:b/>
          <w:sz w:val="24"/>
        </w:rPr>
        <w:t xml:space="preserve"> (A) and </w:t>
      </w:r>
      <w:r w:rsidR="00C90062" w:rsidRPr="005D33A7">
        <w:rPr>
          <w:rFonts w:ascii="Book Antiqua" w:hAnsi="Book Antiqua"/>
          <w:b/>
          <w:sz w:val="24"/>
        </w:rPr>
        <w:t xml:space="preserve">node ratio </w:t>
      </w:r>
      <w:r w:rsidRPr="005D33A7">
        <w:rPr>
          <w:rFonts w:ascii="Book Antiqua" w:hAnsi="Book Antiqua"/>
          <w:b/>
          <w:sz w:val="24"/>
        </w:rPr>
        <w:t>categories</w:t>
      </w:r>
      <w:r w:rsidRPr="005D33A7">
        <w:rPr>
          <w:rFonts w:ascii="Book Antiqua" w:hAnsi="Book Antiqua" w:hint="eastAsia"/>
          <w:b/>
          <w:sz w:val="24"/>
        </w:rPr>
        <w:t xml:space="preserve"> (B)</w:t>
      </w:r>
      <w:r w:rsidR="00004441" w:rsidRPr="005D33A7">
        <w:rPr>
          <w:rFonts w:ascii="Book Antiqua" w:hAnsi="Book Antiqua"/>
          <w:b/>
          <w:sz w:val="24"/>
        </w:rPr>
        <w:t xml:space="preserve">. </w:t>
      </w:r>
      <w:r w:rsidRPr="005D33A7">
        <w:rPr>
          <w:rFonts w:ascii="Book Antiqua" w:hAnsi="Book Antiqua" w:hint="eastAsia"/>
          <w:sz w:val="24"/>
        </w:rPr>
        <w:t xml:space="preserve">A: </w:t>
      </w:r>
      <w:r w:rsidR="00004441" w:rsidRPr="005D33A7">
        <w:rPr>
          <w:rFonts w:ascii="Book Antiqua" w:hAnsi="Book Antiqua"/>
          <w:sz w:val="24"/>
        </w:rPr>
        <w:t xml:space="preserve">No </w:t>
      </w:r>
      <w:r w:rsidR="00004441" w:rsidRPr="005D33A7">
        <w:rPr>
          <w:rFonts w:ascii="Book Antiqua" w:hAnsi="Book Antiqua"/>
          <w:sz w:val="24"/>
        </w:rPr>
        <w:lastRenderedPageBreak/>
        <w:t xml:space="preserve">significantly survival difference was observed for N2 </w:t>
      </w:r>
      <w:r w:rsidR="00FA4060" w:rsidRPr="005D33A7">
        <w:rPr>
          <w:rFonts w:ascii="Book Antiqua" w:hAnsi="Book Antiqua"/>
          <w:i/>
          <w:sz w:val="24"/>
        </w:rPr>
        <w:t>vs</w:t>
      </w:r>
      <w:r w:rsidR="00004441" w:rsidRPr="005D33A7">
        <w:rPr>
          <w:rFonts w:ascii="Book Antiqua" w:hAnsi="Book Antiqua"/>
          <w:sz w:val="24"/>
        </w:rPr>
        <w:t xml:space="preserve"> N3 category (</w:t>
      </w:r>
      <w:r w:rsidR="00ED3454" w:rsidRPr="005D33A7">
        <w:rPr>
          <w:rFonts w:ascii="Book Antiqua" w:hAnsi="Book Antiqua"/>
          <w:i/>
          <w:sz w:val="24"/>
        </w:rPr>
        <w:t xml:space="preserve">P = </w:t>
      </w:r>
      <w:r w:rsidR="00004441" w:rsidRPr="005D33A7">
        <w:rPr>
          <w:rFonts w:ascii="Book Antiqua" w:hAnsi="Book Antiqua"/>
          <w:sz w:val="24"/>
        </w:rPr>
        <w:t>0.159). B: The survival differences were significant in all subgroups analysis (</w:t>
      </w:r>
      <w:r w:rsidR="00004441" w:rsidRPr="005D33A7">
        <w:rPr>
          <w:rFonts w:ascii="Book Antiqua" w:hAnsi="Book Antiqua"/>
          <w:i/>
          <w:sz w:val="24"/>
        </w:rPr>
        <w:t>P</w:t>
      </w:r>
      <w:r w:rsidRPr="005D33A7">
        <w:rPr>
          <w:rFonts w:ascii="Book Antiqua" w:hAnsi="Book Antiqua" w:hint="eastAsia"/>
          <w:i/>
          <w:sz w:val="24"/>
        </w:rPr>
        <w:t xml:space="preserve"> </w:t>
      </w:r>
      <w:r w:rsidR="00004441" w:rsidRPr="005D33A7">
        <w:rPr>
          <w:rFonts w:ascii="Book Antiqua" w:hAnsi="Book Antiqua"/>
          <w:sz w:val="24"/>
        </w:rPr>
        <w:t>&lt;</w:t>
      </w:r>
      <w:r w:rsidRPr="005D33A7">
        <w:rPr>
          <w:rFonts w:ascii="Book Antiqua" w:hAnsi="Book Antiqua" w:hint="eastAsia"/>
          <w:sz w:val="24"/>
        </w:rPr>
        <w:t xml:space="preserve"> </w:t>
      </w:r>
      <w:r w:rsidR="00004441" w:rsidRPr="005D33A7">
        <w:rPr>
          <w:rFonts w:ascii="Book Antiqua" w:hAnsi="Book Antiqua"/>
          <w:sz w:val="24"/>
        </w:rPr>
        <w:t>0.001).</w:t>
      </w:r>
      <w:r w:rsidR="00C90062" w:rsidRPr="005D33A7">
        <w:rPr>
          <w:rFonts w:ascii="Book Antiqua" w:hAnsi="Book Antiqua" w:hint="eastAsia"/>
          <w:sz w:val="24"/>
        </w:rPr>
        <w:t xml:space="preserve"> LNR: </w:t>
      </w:r>
      <w:r w:rsidR="00C90062" w:rsidRPr="005D33A7">
        <w:rPr>
          <w:rFonts w:ascii="Book Antiqua" w:hAnsi="Book Antiqua"/>
          <w:sz w:val="24"/>
        </w:rPr>
        <w:t>Lymph node ratio</w:t>
      </w:r>
      <w:r w:rsidR="00C90062" w:rsidRPr="005D33A7">
        <w:rPr>
          <w:rFonts w:ascii="Book Antiqua" w:hAnsi="Book Antiqua" w:hint="eastAsia"/>
          <w:sz w:val="24"/>
        </w:rPr>
        <w:t xml:space="preserve">; Nr: </w:t>
      </w:r>
      <w:r w:rsidR="00C90062" w:rsidRPr="005D33A7">
        <w:rPr>
          <w:rFonts w:ascii="Book Antiqua" w:hAnsi="Book Antiqua"/>
          <w:sz w:val="24"/>
        </w:rPr>
        <w:t>Node ratio</w:t>
      </w:r>
      <w:r w:rsidR="00C90062" w:rsidRPr="005D33A7">
        <w:rPr>
          <w:rFonts w:ascii="Book Antiqua" w:hAnsi="Book Antiqua" w:hint="eastAsia"/>
          <w:sz w:val="24"/>
        </w:rPr>
        <w:t>.</w:t>
      </w:r>
    </w:p>
    <w:p w:rsidR="00DB3816" w:rsidRPr="005D33A7" w:rsidRDefault="00DB3816" w:rsidP="007D5F41">
      <w:pPr>
        <w:autoSpaceDE w:val="0"/>
        <w:autoSpaceDN w:val="0"/>
        <w:adjustRightInd w:val="0"/>
        <w:snapToGrid w:val="0"/>
        <w:spacing w:line="360" w:lineRule="auto"/>
        <w:rPr>
          <w:rFonts w:ascii="Book Antiqua" w:hAnsi="Book Antiqua"/>
          <w:sz w:val="24"/>
        </w:rPr>
      </w:pP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hint="eastAsia"/>
          <w:sz w:val="24"/>
        </w:rPr>
        <w:t>A</w:t>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noProof/>
          <w:sz w:val="24"/>
        </w:rPr>
        <w:drawing>
          <wp:inline distT="0" distB="0" distL="0" distR="0" wp14:anchorId="2597F985" wp14:editId="524C32AA">
            <wp:extent cx="4572000" cy="3599180"/>
            <wp:effectExtent l="0" t="0" r="0" b="1270"/>
            <wp:docPr id="4" name="图片 4" descr="C:\Users\baishideng-2014\Desktop\revised-jyu\新修2\15224\15224-Figures\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新修2\15224\15224-Figures\Figure 3A.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599180"/>
                    </a:xfrm>
                    <a:prstGeom prst="rect">
                      <a:avLst/>
                    </a:prstGeom>
                    <a:noFill/>
                    <a:ln>
                      <a:noFill/>
                    </a:ln>
                  </pic:spPr>
                </pic:pic>
              </a:graphicData>
            </a:graphic>
          </wp:inline>
        </w:drawing>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hint="eastAsia"/>
          <w:sz w:val="24"/>
        </w:rPr>
        <w:t>B</w:t>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noProof/>
          <w:sz w:val="24"/>
        </w:rPr>
        <w:lastRenderedPageBreak/>
        <w:drawing>
          <wp:inline distT="0" distB="0" distL="0" distR="0" wp14:anchorId="56378CB2" wp14:editId="2C1D5C36">
            <wp:extent cx="4623435" cy="3599180"/>
            <wp:effectExtent l="0" t="0" r="5715" b="1270"/>
            <wp:docPr id="5" name="图片 5" descr="C:\Users\baishideng-2014\Desktop\revised-jyu\新修2\15224\15224-Figures\Figure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新修2\15224\15224-Figures\Figure 3B.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3435" cy="3599180"/>
                    </a:xfrm>
                    <a:prstGeom prst="rect">
                      <a:avLst/>
                    </a:prstGeom>
                    <a:noFill/>
                    <a:ln>
                      <a:noFill/>
                    </a:ln>
                  </pic:spPr>
                </pic:pic>
              </a:graphicData>
            </a:graphic>
          </wp:inline>
        </w:drawing>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hint="eastAsia"/>
          <w:sz w:val="24"/>
        </w:rPr>
        <w:t>C</w:t>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noProof/>
          <w:sz w:val="24"/>
        </w:rPr>
        <w:drawing>
          <wp:inline distT="0" distB="0" distL="0" distR="0" wp14:anchorId="72CFD5F6" wp14:editId="2A50380D">
            <wp:extent cx="4615815" cy="3599180"/>
            <wp:effectExtent l="0" t="0" r="0" b="1270"/>
            <wp:docPr id="6" name="图片 6" descr="C:\Users\baishideng-2014\Desktop\revised-jyu\新修2\15224\15224-Figures\Figure 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新修2\15224\15224-Figures\Figure 3C.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5815" cy="3599180"/>
                    </a:xfrm>
                    <a:prstGeom prst="rect">
                      <a:avLst/>
                    </a:prstGeom>
                    <a:noFill/>
                    <a:ln>
                      <a:noFill/>
                    </a:ln>
                  </pic:spPr>
                </pic:pic>
              </a:graphicData>
            </a:graphic>
          </wp:inline>
        </w:drawing>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hint="eastAsia"/>
          <w:sz w:val="24"/>
        </w:rPr>
        <w:t>D</w:t>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noProof/>
          <w:sz w:val="24"/>
        </w:rPr>
        <w:lastRenderedPageBreak/>
        <w:drawing>
          <wp:inline distT="0" distB="0" distL="0" distR="0" wp14:anchorId="7F9AF0C9" wp14:editId="76145D4E">
            <wp:extent cx="4586605" cy="3635375"/>
            <wp:effectExtent l="0" t="0" r="4445" b="3175"/>
            <wp:docPr id="7" name="图片 7" descr="C:\Users\baishideng-2014\Desktop\revised-jyu\新修2\15224\15224-Figures\Figure 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shideng-2014\Desktop\revised-jyu\新修2\15224\15224-Figures\Figure 3D.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6605" cy="3635375"/>
                    </a:xfrm>
                    <a:prstGeom prst="rect">
                      <a:avLst/>
                    </a:prstGeom>
                    <a:noFill/>
                    <a:ln>
                      <a:noFill/>
                    </a:ln>
                  </pic:spPr>
                </pic:pic>
              </a:graphicData>
            </a:graphic>
          </wp:inline>
        </w:drawing>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hint="eastAsia"/>
          <w:sz w:val="24"/>
        </w:rPr>
        <w:t>E</w:t>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noProof/>
          <w:sz w:val="24"/>
        </w:rPr>
        <w:drawing>
          <wp:inline distT="0" distB="0" distL="0" distR="0" wp14:anchorId="5E19CEB2" wp14:editId="1F1B72C2">
            <wp:extent cx="4594225" cy="3635375"/>
            <wp:effectExtent l="0" t="0" r="0" b="3175"/>
            <wp:docPr id="8" name="图片 8" descr="C:\Users\baishideng-2014\Desktop\revised-jyu\新修2\15224\15224-Figures\Figure 3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shideng-2014\Desktop\revised-jyu\新修2\15224\15224-Figures\Figure 3E.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4225" cy="3635375"/>
                    </a:xfrm>
                    <a:prstGeom prst="rect">
                      <a:avLst/>
                    </a:prstGeom>
                    <a:noFill/>
                    <a:ln>
                      <a:noFill/>
                    </a:ln>
                  </pic:spPr>
                </pic:pic>
              </a:graphicData>
            </a:graphic>
          </wp:inline>
        </w:drawing>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hint="eastAsia"/>
          <w:sz w:val="24"/>
        </w:rPr>
        <w:t>F</w:t>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noProof/>
          <w:sz w:val="24"/>
        </w:rPr>
        <w:lastRenderedPageBreak/>
        <w:drawing>
          <wp:inline distT="0" distB="0" distL="0" distR="0" wp14:anchorId="211C97AF" wp14:editId="60F3D396">
            <wp:extent cx="4638040" cy="3599180"/>
            <wp:effectExtent l="0" t="0" r="0" b="1270"/>
            <wp:docPr id="9" name="图片 9" descr="C:\Users\baishideng-2014\Desktop\revised-jyu\新修2\15224\15224-Figures\Figure 3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shideng-2014\Desktop\revised-jyu\新修2\15224\15224-Figures\Figure 3F.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8040" cy="3599180"/>
                    </a:xfrm>
                    <a:prstGeom prst="rect">
                      <a:avLst/>
                    </a:prstGeom>
                    <a:noFill/>
                    <a:ln>
                      <a:noFill/>
                    </a:ln>
                  </pic:spPr>
                </pic:pic>
              </a:graphicData>
            </a:graphic>
          </wp:inline>
        </w:drawing>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hint="eastAsia"/>
          <w:sz w:val="24"/>
        </w:rPr>
        <w:t>G</w:t>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noProof/>
          <w:sz w:val="24"/>
        </w:rPr>
        <w:drawing>
          <wp:inline distT="0" distB="0" distL="0" distR="0" wp14:anchorId="19B96B24" wp14:editId="794FF4A1">
            <wp:extent cx="4638040" cy="3599180"/>
            <wp:effectExtent l="0" t="0" r="0" b="1270"/>
            <wp:docPr id="10" name="图片 10" descr="C:\Users\baishideng-2014\Desktop\revised-jyu\新修2\15224\15224-Figures\Figure 3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ishideng-2014\Desktop\revised-jyu\新修2\15224\15224-Figures\Figure 3G.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8040" cy="3599180"/>
                    </a:xfrm>
                    <a:prstGeom prst="rect">
                      <a:avLst/>
                    </a:prstGeom>
                    <a:noFill/>
                    <a:ln>
                      <a:noFill/>
                    </a:ln>
                  </pic:spPr>
                </pic:pic>
              </a:graphicData>
            </a:graphic>
          </wp:inline>
        </w:drawing>
      </w:r>
    </w:p>
    <w:p w:rsidR="00004441" w:rsidRPr="005D33A7" w:rsidRDefault="00DB3816" w:rsidP="007D5F41">
      <w:pPr>
        <w:autoSpaceDE w:val="0"/>
        <w:autoSpaceDN w:val="0"/>
        <w:adjustRightInd w:val="0"/>
        <w:snapToGrid w:val="0"/>
        <w:spacing w:line="360" w:lineRule="auto"/>
        <w:rPr>
          <w:rFonts w:ascii="Book Antiqua" w:hAnsi="Book Antiqua"/>
          <w:sz w:val="24"/>
        </w:rPr>
      </w:pPr>
      <w:r w:rsidRPr="005D33A7">
        <w:rPr>
          <w:rFonts w:ascii="Book Antiqua" w:hAnsi="Book Antiqua"/>
          <w:b/>
          <w:bCs/>
          <w:sz w:val="24"/>
        </w:rPr>
        <w:t>Figure 3</w:t>
      </w:r>
      <w:r w:rsidR="00004441" w:rsidRPr="005D33A7">
        <w:rPr>
          <w:rFonts w:ascii="Book Antiqua" w:hAnsi="Book Antiqua"/>
          <w:sz w:val="24"/>
        </w:rPr>
        <w:t xml:space="preserve"> </w:t>
      </w:r>
      <w:r w:rsidR="00004441" w:rsidRPr="005D33A7">
        <w:rPr>
          <w:rFonts w:ascii="Book Antiqua" w:hAnsi="Book Antiqua"/>
          <w:b/>
          <w:sz w:val="24"/>
        </w:rPr>
        <w:t xml:space="preserve">Kaplan-Meier curves for overall survival according to </w:t>
      </w:r>
      <w:r w:rsidR="00C90062" w:rsidRPr="005D33A7">
        <w:rPr>
          <w:rFonts w:ascii="Book Antiqua" w:hAnsi="Book Antiqua"/>
          <w:b/>
          <w:kern w:val="0"/>
          <w:sz w:val="24"/>
        </w:rPr>
        <w:t xml:space="preserve">American Joint Committee on Cancer </w:t>
      </w:r>
      <w:r w:rsidR="00004441" w:rsidRPr="005D33A7">
        <w:rPr>
          <w:rFonts w:ascii="Book Antiqua" w:hAnsi="Book Antiqua"/>
          <w:b/>
          <w:sz w:val="24"/>
        </w:rPr>
        <w:t xml:space="preserve">N categories and </w:t>
      </w:r>
      <w:r w:rsidR="00C90062" w:rsidRPr="005D33A7">
        <w:rPr>
          <w:rFonts w:ascii="Book Antiqua" w:hAnsi="Book Antiqua"/>
          <w:b/>
          <w:sz w:val="24"/>
        </w:rPr>
        <w:t>node ratio</w:t>
      </w:r>
      <w:r w:rsidR="00C90062" w:rsidRPr="005D33A7">
        <w:rPr>
          <w:rFonts w:ascii="Book Antiqua" w:hAnsi="Book Antiqua" w:hint="eastAsia"/>
          <w:b/>
          <w:sz w:val="24"/>
        </w:rPr>
        <w:t xml:space="preserve"> </w:t>
      </w:r>
      <w:r w:rsidR="00004441" w:rsidRPr="005D33A7">
        <w:rPr>
          <w:rFonts w:ascii="Book Antiqua" w:hAnsi="Book Antiqua"/>
          <w:b/>
          <w:sz w:val="24"/>
        </w:rPr>
        <w:t xml:space="preserve">categories, stratified by the </w:t>
      </w:r>
      <w:r w:rsidR="00004441" w:rsidRPr="005D33A7">
        <w:rPr>
          <w:rFonts w:ascii="Book Antiqua" w:hAnsi="Book Antiqua"/>
          <w:b/>
          <w:sz w:val="24"/>
        </w:rPr>
        <w:lastRenderedPageBreak/>
        <w:t>number of examined nodes (&lt;</w:t>
      </w:r>
      <w:r w:rsidRPr="005D33A7">
        <w:rPr>
          <w:rFonts w:ascii="Book Antiqua" w:hAnsi="Book Antiqua" w:hint="eastAsia"/>
          <w:b/>
          <w:sz w:val="24"/>
        </w:rPr>
        <w:t xml:space="preserve"> </w:t>
      </w:r>
      <w:r w:rsidR="00004441" w:rsidRPr="005D33A7">
        <w:rPr>
          <w:rFonts w:ascii="Book Antiqua" w:hAnsi="Book Antiqua"/>
          <w:b/>
          <w:sz w:val="24"/>
        </w:rPr>
        <w:t xml:space="preserve">15 and </w:t>
      </w:r>
      <w:r w:rsidR="00004441" w:rsidRPr="005D33A7">
        <w:rPr>
          <w:rFonts w:ascii="Book Antiqua" w:hAnsi="Book Antiqua"/>
          <w:b/>
          <w:sz w:val="24"/>
        </w:rPr>
        <w:sym w:font="Symbol" w:char="F0B3"/>
      </w:r>
      <w:r w:rsidRPr="005D33A7">
        <w:rPr>
          <w:rFonts w:ascii="Book Antiqua" w:hAnsi="Book Antiqua" w:hint="eastAsia"/>
          <w:b/>
          <w:sz w:val="24"/>
        </w:rPr>
        <w:t xml:space="preserve"> </w:t>
      </w:r>
      <w:r w:rsidR="00004441" w:rsidRPr="005D33A7">
        <w:rPr>
          <w:rFonts w:ascii="Book Antiqua" w:hAnsi="Book Antiqua"/>
          <w:b/>
          <w:sz w:val="24"/>
        </w:rPr>
        <w:t>15).</w:t>
      </w:r>
      <w:r w:rsidR="00004441" w:rsidRPr="005D33A7">
        <w:rPr>
          <w:rFonts w:ascii="Book Antiqua" w:hAnsi="Book Antiqua"/>
          <w:sz w:val="24"/>
        </w:rPr>
        <w:t xml:space="preserve"> The survival differences were significant in the AJCC N categories (N0-N2, </w:t>
      </w:r>
      <w:r w:rsidR="00004441" w:rsidRPr="005D33A7">
        <w:rPr>
          <w:rFonts w:ascii="Book Antiqua" w:hAnsi="Book Antiqua"/>
          <w:i/>
          <w:sz w:val="24"/>
        </w:rPr>
        <w:t>P</w:t>
      </w:r>
      <w:r w:rsidRPr="005D33A7">
        <w:rPr>
          <w:rFonts w:ascii="Book Antiqua" w:hAnsi="Book Antiqua" w:hint="eastAsia"/>
          <w:sz w:val="24"/>
        </w:rPr>
        <w:t xml:space="preserve"> </w:t>
      </w:r>
      <w:r w:rsidR="00004441" w:rsidRPr="005D33A7">
        <w:rPr>
          <w:rFonts w:ascii="Book Antiqua" w:hAnsi="Book Antiqua"/>
          <w:sz w:val="24"/>
        </w:rPr>
        <w:t>&lt;</w:t>
      </w:r>
      <w:r w:rsidRPr="005D33A7">
        <w:rPr>
          <w:rFonts w:ascii="Book Antiqua" w:hAnsi="Book Antiqua" w:hint="eastAsia"/>
          <w:sz w:val="24"/>
        </w:rPr>
        <w:t xml:space="preserve"> </w:t>
      </w:r>
      <w:r w:rsidR="00004441" w:rsidRPr="005D33A7">
        <w:rPr>
          <w:rFonts w:ascii="Book Antiqua" w:hAnsi="Book Antiqua"/>
          <w:sz w:val="24"/>
        </w:rPr>
        <w:t>0.05), except for N3 categories (</w:t>
      </w:r>
      <w:r w:rsidR="00ED3454" w:rsidRPr="005D33A7">
        <w:rPr>
          <w:rFonts w:ascii="Book Antiqua" w:hAnsi="Book Antiqua"/>
          <w:i/>
          <w:sz w:val="24"/>
        </w:rPr>
        <w:t xml:space="preserve">P = </w:t>
      </w:r>
      <w:r w:rsidR="00004441" w:rsidRPr="005D33A7">
        <w:rPr>
          <w:rFonts w:ascii="Book Antiqua" w:hAnsi="Book Antiqua"/>
          <w:sz w:val="24"/>
        </w:rPr>
        <w:t xml:space="preserve">0.292). No significant difference was observed in the </w:t>
      </w:r>
      <w:r w:rsidR="00C90062" w:rsidRPr="005D33A7">
        <w:rPr>
          <w:rFonts w:ascii="Book Antiqua" w:hAnsi="Book Antiqua"/>
          <w:sz w:val="24"/>
        </w:rPr>
        <w:t xml:space="preserve">node ratio (Nr) </w:t>
      </w:r>
      <w:r w:rsidR="00004441" w:rsidRPr="005D33A7">
        <w:rPr>
          <w:rFonts w:ascii="Book Antiqua" w:hAnsi="Book Antiqua"/>
          <w:sz w:val="24"/>
        </w:rPr>
        <w:t>categories (Nr1-N3).</w:t>
      </w:r>
    </w:p>
    <w:p w:rsidR="00DB3816" w:rsidRPr="005D33A7" w:rsidRDefault="00DB3816" w:rsidP="007D5F41">
      <w:pPr>
        <w:autoSpaceDE w:val="0"/>
        <w:autoSpaceDN w:val="0"/>
        <w:adjustRightInd w:val="0"/>
        <w:snapToGrid w:val="0"/>
        <w:spacing w:line="360" w:lineRule="auto"/>
        <w:rPr>
          <w:rFonts w:ascii="Book Antiqua" w:hAnsi="Book Antiqua"/>
          <w:sz w:val="24"/>
        </w:rPr>
      </w:pPr>
    </w:p>
    <w:p w:rsidR="00A4423F" w:rsidRPr="005D33A7" w:rsidRDefault="00A4423F" w:rsidP="007D5F41">
      <w:pPr>
        <w:autoSpaceDE w:val="0"/>
        <w:autoSpaceDN w:val="0"/>
        <w:adjustRightInd w:val="0"/>
        <w:snapToGrid w:val="0"/>
        <w:spacing w:line="360" w:lineRule="auto"/>
        <w:rPr>
          <w:rFonts w:eastAsiaTheme="minorEastAsia"/>
          <w:snapToGrid w:val="0"/>
          <w:w w:val="0"/>
          <w:kern w:val="0"/>
          <w:sz w:val="0"/>
          <w:szCs w:val="0"/>
          <w:u w:color="000000"/>
          <w:bdr w:val="none" w:sz="0" w:space="0" w:color="000000"/>
          <w:shd w:val="clear" w:color="000000" w:fill="000000"/>
          <w:lang w:val="x-none" w:bidi="x-none"/>
        </w:rPr>
      </w:pPr>
      <w:r w:rsidRPr="005D33A7">
        <w:rPr>
          <w:rFonts w:ascii="Book Antiqua" w:hAnsi="Book Antiqua" w:hint="eastAsia"/>
          <w:sz w:val="24"/>
        </w:rPr>
        <w:t>A</w:t>
      </w:r>
      <w:r w:rsidRPr="005D33A7">
        <w:rPr>
          <w:rFonts w:eastAsia="Times New Roman"/>
          <w:snapToGrid w:val="0"/>
          <w:w w:val="0"/>
          <w:kern w:val="0"/>
          <w:sz w:val="0"/>
          <w:szCs w:val="0"/>
          <w:u w:color="000000"/>
          <w:bdr w:val="none" w:sz="0" w:space="0" w:color="000000"/>
          <w:shd w:val="clear" w:color="000000" w:fill="000000"/>
          <w:lang w:val="x-none" w:eastAsia="x-none" w:bidi="x-none"/>
        </w:rPr>
        <w:t xml:space="preserve"> </w:t>
      </w:r>
      <w:r w:rsidRPr="005D33A7">
        <w:rPr>
          <w:rFonts w:ascii="Book Antiqua" w:hAnsi="Book Antiqua"/>
          <w:noProof/>
          <w:sz w:val="24"/>
        </w:rPr>
        <w:drawing>
          <wp:inline distT="0" distB="0" distL="0" distR="0" wp14:anchorId="0EB70E0A" wp14:editId="1FA23DDF">
            <wp:extent cx="5442585" cy="3599180"/>
            <wp:effectExtent l="0" t="0" r="5715" b="1270"/>
            <wp:docPr id="11" name="图片 11" descr="C:\Users\baishideng-2014\Desktop\revised-jyu\新修2\15224\15224-Figures\Figure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ishideng-2014\Desktop\revised-jyu\新修2\15224\15224-Figures\Figure 4A.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2585" cy="3599180"/>
                    </a:xfrm>
                    <a:prstGeom prst="rect">
                      <a:avLst/>
                    </a:prstGeom>
                    <a:noFill/>
                    <a:ln>
                      <a:noFill/>
                    </a:ln>
                  </pic:spPr>
                </pic:pic>
              </a:graphicData>
            </a:graphic>
          </wp:inline>
        </w:drawing>
      </w:r>
    </w:p>
    <w:p w:rsidR="00A4423F" w:rsidRPr="005D33A7" w:rsidRDefault="00A4423F" w:rsidP="007D5F41">
      <w:pPr>
        <w:autoSpaceDE w:val="0"/>
        <w:autoSpaceDN w:val="0"/>
        <w:adjustRightInd w:val="0"/>
        <w:snapToGrid w:val="0"/>
        <w:spacing w:line="360" w:lineRule="auto"/>
        <w:rPr>
          <w:rFonts w:eastAsiaTheme="minorEastAsia"/>
          <w:snapToGrid w:val="0"/>
          <w:w w:val="0"/>
          <w:kern w:val="0"/>
          <w:sz w:val="0"/>
          <w:szCs w:val="0"/>
          <w:u w:color="000000"/>
          <w:bdr w:val="none" w:sz="0" w:space="0" w:color="000000"/>
          <w:shd w:val="clear" w:color="000000" w:fill="000000"/>
          <w:lang w:val="x-none" w:bidi="x-none"/>
        </w:rPr>
      </w:pPr>
      <w:r w:rsidRPr="005D33A7">
        <w:rPr>
          <w:rFonts w:eastAsiaTheme="minorEastAsia" w:hint="eastAsia"/>
          <w:snapToGrid w:val="0"/>
          <w:w w:val="0"/>
          <w:kern w:val="0"/>
          <w:sz w:val="0"/>
          <w:szCs w:val="0"/>
          <w:u w:color="000000"/>
          <w:bdr w:val="none" w:sz="0" w:space="0" w:color="000000"/>
          <w:shd w:val="clear" w:color="000000" w:fill="000000"/>
          <w:lang w:val="x-none" w:bidi="x-none"/>
        </w:rPr>
        <w:t>B</w:t>
      </w:r>
    </w:p>
    <w:p w:rsidR="00A4423F" w:rsidRPr="005D33A7" w:rsidRDefault="00A4423F" w:rsidP="007D5F41">
      <w:pPr>
        <w:autoSpaceDE w:val="0"/>
        <w:autoSpaceDN w:val="0"/>
        <w:adjustRightInd w:val="0"/>
        <w:snapToGrid w:val="0"/>
        <w:spacing w:line="360" w:lineRule="auto"/>
        <w:rPr>
          <w:rFonts w:ascii="Book Antiqua" w:eastAsiaTheme="minorEastAsia" w:hAnsi="Book Antiqua"/>
          <w:sz w:val="24"/>
        </w:rPr>
      </w:pPr>
      <w:r w:rsidRPr="005D33A7">
        <w:rPr>
          <w:rFonts w:ascii="Book Antiqua" w:eastAsiaTheme="minorEastAsia" w:hAnsi="Book Antiqua" w:hint="eastAsia"/>
          <w:sz w:val="24"/>
        </w:rPr>
        <w:t>B</w:t>
      </w:r>
    </w:p>
    <w:p w:rsidR="00A4423F" w:rsidRPr="005D33A7" w:rsidRDefault="00A4423F" w:rsidP="007D5F41">
      <w:pPr>
        <w:autoSpaceDE w:val="0"/>
        <w:autoSpaceDN w:val="0"/>
        <w:adjustRightInd w:val="0"/>
        <w:snapToGrid w:val="0"/>
        <w:spacing w:line="360" w:lineRule="auto"/>
        <w:rPr>
          <w:rFonts w:ascii="Book Antiqua" w:eastAsiaTheme="minorEastAsia" w:hAnsi="Book Antiqua"/>
          <w:sz w:val="24"/>
        </w:rPr>
      </w:pPr>
      <w:r w:rsidRPr="005D33A7">
        <w:rPr>
          <w:rFonts w:ascii="Book Antiqua" w:eastAsiaTheme="minorEastAsia" w:hAnsi="Book Antiqua"/>
          <w:noProof/>
          <w:sz w:val="24"/>
        </w:rPr>
        <w:lastRenderedPageBreak/>
        <w:drawing>
          <wp:inline distT="0" distB="0" distL="0" distR="0" wp14:anchorId="3566FFF6" wp14:editId="4B7654D0">
            <wp:extent cx="5490210" cy="3427904"/>
            <wp:effectExtent l="0" t="0" r="0" b="1270"/>
            <wp:docPr id="12" name="图片 12" descr="C:\Users\baishideng-2014\Desktop\revised-jyu\新修2\15224\15224-Figures\Figure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ishideng-2014\Desktop\revised-jyu\新修2\15224\15224-Figures\Figure 4B.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0210" cy="3427904"/>
                    </a:xfrm>
                    <a:prstGeom prst="rect">
                      <a:avLst/>
                    </a:prstGeom>
                    <a:noFill/>
                    <a:ln>
                      <a:noFill/>
                    </a:ln>
                  </pic:spPr>
                </pic:pic>
              </a:graphicData>
            </a:graphic>
          </wp:inline>
        </w:drawing>
      </w:r>
    </w:p>
    <w:p w:rsidR="00DB3816" w:rsidRPr="005D33A7" w:rsidRDefault="00DB3816" w:rsidP="007D5F41">
      <w:pPr>
        <w:autoSpaceDE w:val="0"/>
        <w:autoSpaceDN w:val="0"/>
        <w:adjustRightInd w:val="0"/>
        <w:snapToGrid w:val="0"/>
        <w:spacing w:line="360" w:lineRule="auto"/>
        <w:rPr>
          <w:rFonts w:ascii="Book Antiqua" w:hAnsi="Book Antiqua"/>
          <w:sz w:val="24"/>
        </w:rPr>
      </w:pPr>
      <w:r w:rsidRPr="005D33A7">
        <w:rPr>
          <w:rFonts w:ascii="Book Antiqua" w:hAnsi="Book Antiqua"/>
          <w:b/>
          <w:sz w:val="24"/>
        </w:rPr>
        <w:t>Figure 4</w:t>
      </w:r>
      <w:r w:rsidR="00004441" w:rsidRPr="005D33A7">
        <w:rPr>
          <w:rFonts w:ascii="Book Antiqua" w:hAnsi="Book Antiqua"/>
          <w:sz w:val="24"/>
        </w:rPr>
        <w:t xml:space="preserve"> </w:t>
      </w:r>
      <w:r w:rsidR="00004441" w:rsidRPr="005D33A7">
        <w:rPr>
          <w:rFonts w:ascii="Book Antiqua" w:hAnsi="Book Antiqua"/>
          <w:b/>
          <w:sz w:val="24"/>
        </w:rPr>
        <w:t>Time-dependent r</w:t>
      </w:r>
      <w:r w:rsidRPr="005D33A7">
        <w:rPr>
          <w:rFonts w:ascii="Book Antiqua" w:hAnsi="Book Antiqua"/>
          <w:b/>
          <w:sz w:val="24"/>
        </w:rPr>
        <w:t>eceiver-operator characteristic</w:t>
      </w:r>
      <w:r w:rsidR="00004441" w:rsidRPr="005D33A7">
        <w:rPr>
          <w:rFonts w:ascii="Book Antiqua" w:hAnsi="Book Antiqua"/>
          <w:b/>
          <w:sz w:val="24"/>
        </w:rPr>
        <w:t xml:space="preserve"> curve analysis. </w:t>
      </w:r>
      <w:r w:rsidR="00004441" w:rsidRPr="005D33A7">
        <w:rPr>
          <w:rFonts w:ascii="Book Antiqua" w:hAnsi="Book Antiqua"/>
          <w:sz w:val="24"/>
        </w:rPr>
        <w:t xml:space="preserve">The figure shows the time-dependent area under curves (AUCs) for </w:t>
      </w:r>
      <w:r w:rsidR="00C90062" w:rsidRPr="005D33A7">
        <w:rPr>
          <w:rFonts w:ascii="Book Antiqua" w:hAnsi="Book Antiqua"/>
          <w:sz w:val="24"/>
        </w:rPr>
        <w:t>node ratio (Nr)</w:t>
      </w:r>
      <w:r w:rsidR="00004441" w:rsidRPr="005D33A7">
        <w:rPr>
          <w:rFonts w:ascii="Book Antiqua" w:hAnsi="Book Antiqua"/>
          <w:sz w:val="24"/>
        </w:rPr>
        <w:t xml:space="preserve"> categories and TNrM stage were higher than those for </w:t>
      </w:r>
      <w:r w:rsidR="00C90062" w:rsidRPr="005D33A7">
        <w:rPr>
          <w:rFonts w:ascii="Book Antiqua" w:hAnsi="Book Antiqua"/>
          <w:kern w:val="0"/>
          <w:sz w:val="24"/>
        </w:rPr>
        <w:t>American Joint Committee on Cancer</w:t>
      </w:r>
      <w:r w:rsidR="00C90062" w:rsidRPr="005D33A7">
        <w:rPr>
          <w:rFonts w:ascii="Book Antiqua" w:hAnsi="Book Antiqua"/>
          <w:sz w:val="24"/>
        </w:rPr>
        <w:t xml:space="preserve"> </w:t>
      </w:r>
      <w:r w:rsidR="00C90062" w:rsidRPr="005D33A7">
        <w:rPr>
          <w:rFonts w:ascii="Book Antiqua" w:hAnsi="Book Antiqua" w:hint="eastAsia"/>
          <w:sz w:val="24"/>
        </w:rPr>
        <w:t>(</w:t>
      </w:r>
      <w:r w:rsidR="00004441" w:rsidRPr="005D33A7">
        <w:rPr>
          <w:rFonts w:ascii="Book Antiqua" w:hAnsi="Book Antiqua"/>
          <w:sz w:val="24"/>
        </w:rPr>
        <w:t>AJCC</w:t>
      </w:r>
      <w:r w:rsidR="00C90062" w:rsidRPr="005D33A7">
        <w:rPr>
          <w:rFonts w:ascii="Book Antiqua" w:hAnsi="Book Antiqua" w:hint="eastAsia"/>
          <w:sz w:val="24"/>
        </w:rPr>
        <w:t>)</w:t>
      </w:r>
      <w:r w:rsidR="00004441" w:rsidRPr="005D33A7">
        <w:rPr>
          <w:rFonts w:ascii="Book Antiqua" w:hAnsi="Book Antiqua"/>
          <w:sz w:val="24"/>
        </w:rPr>
        <w:t xml:space="preserve"> N categories and TNM stage in the total patient cohorts, and in patients with adequate lymphadenectomy or inadequate lymphadenectomy.</w:t>
      </w:r>
      <w:r w:rsidRPr="005D33A7">
        <w:rPr>
          <w:rFonts w:ascii="Book Antiqua" w:hAnsi="Book Antiqua" w:hint="eastAsia"/>
          <w:sz w:val="24"/>
        </w:rPr>
        <w:t xml:space="preserve"> </w:t>
      </w:r>
    </w:p>
    <w:p w:rsidR="00A4423F" w:rsidRPr="005D33A7" w:rsidRDefault="00A4423F" w:rsidP="007D5F41">
      <w:pPr>
        <w:autoSpaceDE w:val="0"/>
        <w:autoSpaceDN w:val="0"/>
        <w:adjustRightInd w:val="0"/>
        <w:snapToGrid w:val="0"/>
        <w:spacing w:line="360" w:lineRule="auto"/>
        <w:rPr>
          <w:rFonts w:ascii="Book Antiqua" w:hAnsi="Book Antiqua"/>
          <w:sz w:val="24"/>
        </w:rPr>
      </w:pP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hint="eastAsia"/>
          <w:sz w:val="24"/>
        </w:rPr>
        <w:t>A</w:t>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noProof/>
          <w:sz w:val="24"/>
        </w:rPr>
        <w:lastRenderedPageBreak/>
        <w:drawing>
          <wp:inline distT="0" distB="0" distL="0" distR="0" wp14:anchorId="6561F81F" wp14:editId="7A78B7C4">
            <wp:extent cx="4732655" cy="3599180"/>
            <wp:effectExtent l="0" t="0" r="0" b="1270"/>
            <wp:docPr id="13" name="图片 13" descr="C:\Users\baishideng-2014\Desktop\revised-jyu\新修2\15224\15224-Figures\Figure 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ishideng-2014\Desktop\revised-jyu\新修2\15224\15224-Figures\Figure 5A.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2655" cy="3599180"/>
                    </a:xfrm>
                    <a:prstGeom prst="rect">
                      <a:avLst/>
                    </a:prstGeom>
                    <a:noFill/>
                    <a:ln>
                      <a:noFill/>
                    </a:ln>
                  </pic:spPr>
                </pic:pic>
              </a:graphicData>
            </a:graphic>
          </wp:inline>
        </w:drawing>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hint="eastAsia"/>
          <w:sz w:val="24"/>
        </w:rPr>
        <w:t>B</w:t>
      </w:r>
    </w:p>
    <w:p w:rsidR="00A4423F" w:rsidRPr="005D33A7" w:rsidRDefault="00A4423F" w:rsidP="007D5F41">
      <w:pPr>
        <w:autoSpaceDE w:val="0"/>
        <w:autoSpaceDN w:val="0"/>
        <w:adjustRightInd w:val="0"/>
        <w:snapToGrid w:val="0"/>
        <w:spacing w:line="360" w:lineRule="auto"/>
        <w:rPr>
          <w:rFonts w:ascii="Book Antiqua" w:hAnsi="Book Antiqua"/>
          <w:sz w:val="24"/>
        </w:rPr>
      </w:pPr>
      <w:r w:rsidRPr="005D33A7">
        <w:rPr>
          <w:rFonts w:ascii="Book Antiqua" w:hAnsi="Book Antiqua"/>
          <w:noProof/>
          <w:sz w:val="24"/>
        </w:rPr>
        <w:drawing>
          <wp:inline distT="0" distB="0" distL="0" distR="0" wp14:anchorId="4BC1EDCE" wp14:editId="69CCE348">
            <wp:extent cx="4667250" cy="3600450"/>
            <wp:effectExtent l="0" t="0" r="0" b="0"/>
            <wp:docPr id="14" name="图片 14" descr="C:\Users\baishideng-2014\Desktop\revised-jyu\新修2\15224\15224-Figures\Figure 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ishideng-2014\Desktop\revised-jyu\新修2\15224\15224-Figures\Figure 5B.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7250" cy="3600450"/>
                    </a:xfrm>
                    <a:prstGeom prst="rect">
                      <a:avLst/>
                    </a:prstGeom>
                    <a:noFill/>
                    <a:ln>
                      <a:noFill/>
                    </a:ln>
                  </pic:spPr>
                </pic:pic>
              </a:graphicData>
            </a:graphic>
          </wp:inline>
        </w:drawing>
      </w:r>
    </w:p>
    <w:p w:rsidR="00004441" w:rsidRPr="005D33A7" w:rsidRDefault="00DB3816" w:rsidP="00DB3816">
      <w:pPr>
        <w:autoSpaceDE w:val="0"/>
        <w:autoSpaceDN w:val="0"/>
        <w:adjustRightInd w:val="0"/>
        <w:snapToGrid w:val="0"/>
        <w:spacing w:line="360" w:lineRule="auto"/>
        <w:rPr>
          <w:rFonts w:ascii="Book Antiqua" w:hAnsi="Book Antiqua"/>
          <w:b/>
          <w:sz w:val="24"/>
        </w:rPr>
      </w:pPr>
      <w:r w:rsidRPr="005D33A7">
        <w:rPr>
          <w:rFonts w:ascii="Book Antiqua" w:hAnsi="Book Antiqua"/>
          <w:b/>
          <w:bCs/>
          <w:sz w:val="24"/>
        </w:rPr>
        <w:t>Figure 5</w:t>
      </w:r>
      <w:r w:rsidR="00004441" w:rsidRPr="005D33A7">
        <w:rPr>
          <w:rFonts w:ascii="Book Antiqua" w:hAnsi="Book Antiqua"/>
          <w:b/>
          <w:sz w:val="24"/>
        </w:rPr>
        <w:t xml:space="preserve"> Kaplan-Meier curves for overall survival according to the seventh </w:t>
      </w:r>
      <w:r w:rsidRPr="005D33A7">
        <w:rPr>
          <w:rFonts w:ascii="Book Antiqua" w:hAnsi="Book Antiqua"/>
          <w:b/>
          <w:kern w:val="0"/>
          <w:sz w:val="24"/>
        </w:rPr>
        <w:t>American Joint Committee on Cancer</w:t>
      </w:r>
      <w:r w:rsidR="00004441" w:rsidRPr="005D33A7">
        <w:rPr>
          <w:rFonts w:ascii="Book Antiqua" w:hAnsi="Book Antiqua"/>
          <w:b/>
          <w:sz w:val="24"/>
        </w:rPr>
        <w:t xml:space="preserve"> TNM stage (A) and TNrM stage (B</w:t>
      </w:r>
      <w:r w:rsidRPr="005D33A7">
        <w:rPr>
          <w:rFonts w:ascii="Book Antiqua" w:hAnsi="Book Antiqua"/>
          <w:b/>
          <w:sz w:val="24"/>
        </w:rPr>
        <w:t>)</w:t>
      </w:r>
      <w:r w:rsidRPr="005D33A7">
        <w:rPr>
          <w:rFonts w:ascii="Book Antiqua" w:hAnsi="Book Antiqua" w:hint="eastAsia"/>
          <w:b/>
          <w:sz w:val="24"/>
        </w:rPr>
        <w:t>.</w:t>
      </w:r>
    </w:p>
    <w:p w:rsidR="00004441" w:rsidRPr="005D33A7" w:rsidRDefault="00004441" w:rsidP="007D5F41">
      <w:pPr>
        <w:adjustRightInd w:val="0"/>
        <w:snapToGrid w:val="0"/>
        <w:spacing w:line="360" w:lineRule="auto"/>
        <w:rPr>
          <w:rFonts w:ascii="Book Antiqua" w:hAnsi="Book Antiqua"/>
          <w:sz w:val="24"/>
        </w:rPr>
      </w:pPr>
    </w:p>
    <w:p w:rsidR="00004441" w:rsidRPr="005D33A7" w:rsidRDefault="00004441" w:rsidP="007D5F41">
      <w:pPr>
        <w:adjustRightInd w:val="0"/>
        <w:snapToGrid w:val="0"/>
        <w:spacing w:line="360" w:lineRule="auto"/>
        <w:rPr>
          <w:rFonts w:ascii="Book Antiqua" w:hAnsi="Book Antiqua"/>
          <w:b/>
          <w:sz w:val="24"/>
        </w:rPr>
      </w:pPr>
      <w:r w:rsidRPr="005D33A7">
        <w:rPr>
          <w:rFonts w:ascii="Book Antiqua" w:hAnsi="Book Antiqua"/>
          <w:b/>
          <w:sz w:val="24"/>
        </w:rPr>
        <w:t>Table 1 Cross-table analysis of changes in the lymph node stage grouping N categories to Nr categories of 2011 patients with esophageal squamous cell carcinoma</w:t>
      </w:r>
      <w:r w:rsidR="00C90062" w:rsidRPr="005D33A7">
        <w:rPr>
          <w:rFonts w:ascii="Book Antiqua" w:hAnsi="Book Antiqua" w:hint="eastAsia"/>
          <w:b/>
          <w:sz w:val="24"/>
        </w:rPr>
        <w:t xml:space="preserve"> (</w:t>
      </w:r>
      <w:r w:rsidR="00C90062" w:rsidRPr="005D33A7">
        <w:rPr>
          <w:rFonts w:ascii="Book Antiqua" w:hAnsi="Book Antiqua" w:hint="eastAsia"/>
          <w:b/>
          <w:i/>
          <w:sz w:val="24"/>
        </w:rPr>
        <w:t>n</w:t>
      </w:r>
      <w:r w:rsidR="00C90062" w:rsidRPr="005D33A7">
        <w:rPr>
          <w:rFonts w:ascii="Book Antiqua" w:hAnsi="Book Antiqua" w:hint="eastAsia"/>
          <w:b/>
          <w:sz w:val="24"/>
        </w:rPr>
        <w:t xml:space="preserve"> = 2011)</w:t>
      </w:r>
    </w:p>
    <w:tbl>
      <w:tblPr>
        <w:tblW w:w="0" w:type="auto"/>
        <w:tblBorders>
          <w:top w:val="single" w:sz="4" w:space="0" w:color="000000"/>
          <w:bottom w:val="single" w:sz="4" w:space="0" w:color="000000"/>
        </w:tblBorders>
        <w:tblLook w:val="04A0" w:firstRow="1" w:lastRow="0" w:firstColumn="1" w:lastColumn="0" w:noHBand="0" w:noVBand="1"/>
      </w:tblPr>
      <w:tblGrid>
        <w:gridCol w:w="1420"/>
        <w:gridCol w:w="1420"/>
        <w:gridCol w:w="1420"/>
        <w:gridCol w:w="1420"/>
        <w:gridCol w:w="1421"/>
        <w:gridCol w:w="1421"/>
      </w:tblGrid>
      <w:tr w:rsidR="005D33A7" w:rsidRPr="005D33A7" w:rsidTr="00ED3454">
        <w:tc>
          <w:tcPr>
            <w:tcW w:w="1420" w:type="dxa"/>
            <w:tcBorders>
              <w:top w:val="single" w:sz="4" w:space="0" w:color="000000"/>
              <w:bottom w:val="single" w:sz="4" w:space="0" w:color="000000"/>
            </w:tcBorders>
          </w:tcPr>
          <w:p w:rsidR="00004441" w:rsidRPr="005D33A7" w:rsidRDefault="00004441" w:rsidP="00DB3816">
            <w:pPr>
              <w:adjustRightInd w:val="0"/>
              <w:snapToGrid w:val="0"/>
              <w:spacing w:line="360" w:lineRule="auto"/>
              <w:jc w:val="left"/>
              <w:rPr>
                <w:rFonts w:ascii="Book Antiqua" w:hAnsi="Book Antiqua"/>
                <w:b/>
                <w:sz w:val="24"/>
              </w:rPr>
            </w:pPr>
          </w:p>
        </w:tc>
        <w:tc>
          <w:tcPr>
            <w:tcW w:w="1420" w:type="dxa"/>
            <w:tcBorders>
              <w:top w:val="single" w:sz="4" w:space="0" w:color="000000"/>
              <w:bottom w:val="single" w:sz="4" w:space="0" w:color="000000"/>
            </w:tcBorders>
          </w:tcPr>
          <w:p w:rsidR="00004441" w:rsidRPr="005D33A7" w:rsidRDefault="00004441" w:rsidP="00DB3816">
            <w:pPr>
              <w:adjustRightInd w:val="0"/>
              <w:snapToGrid w:val="0"/>
              <w:spacing w:line="360" w:lineRule="auto"/>
              <w:jc w:val="center"/>
              <w:rPr>
                <w:rFonts w:ascii="Book Antiqua" w:hAnsi="Book Antiqua"/>
                <w:b/>
                <w:sz w:val="24"/>
              </w:rPr>
            </w:pPr>
            <w:r w:rsidRPr="005D33A7">
              <w:rPr>
                <w:rFonts w:ascii="Book Antiqua" w:hAnsi="Book Antiqua"/>
                <w:b/>
                <w:sz w:val="24"/>
              </w:rPr>
              <w:t>Nr0</w:t>
            </w:r>
          </w:p>
        </w:tc>
        <w:tc>
          <w:tcPr>
            <w:tcW w:w="1420" w:type="dxa"/>
            <w:tcBorders>
              <w:top w:val="single" w:sz="4" w:space="0" w:color="000000"/>
              <w:bottom w:val="single" w:sz="4" w:space="0" w:color="000000"/>
            </w:tcBorders>
          </w:tcPr>
          <w:p w:rsidR="00004441" w:rsidRPr="005D33A7" w:rsidRDefault="00004441" w:rsidP="00DB3816">
            <w:pPr>
              <w:adjustRightInd w:val="0"/>
              <w:snapToGrid w:val="0"/>
              <w:spacing w:line="360" w:lineRule="auto"/>
              <w:jc w:val="center"/>
              <w:rPr>
                <w:rFonts w:ascii="Book Antiqua" w:hAnsi="Book Antiqua"/>
                <w:b/>
                <w:sz w:val="24"/>
              </w:rPr>
            </w:pPr>
            <w:r w:rsidRPr="005D33A7">
              <w:rPr>
                <w:rFonts w:ascii="Book Antiqua" w:hAnsi="Book Antiqua"/>
                <w:b/>
                <w:sz w:val="24"/>
              </w:rPr>
              <w:t>Nr1</w:t>
            </w:r>
          </w:p>
        </w:tc>
        <w:tc>
          <w:tcPr>
            <w:tcW w:w="1420" w:type="dxa"/>
            <w:tcBorders>
              <w:top w:val="single" w:sz="4" w:space="0" w:color="000000"/>
              <w:bottom w:val="single" w:sz="4" w:space="0" w:color="000000"/>
            </w:tcBorders>
          </w:tcPr>
          <w:p w:rsidR="00004441" w:rsidRPr="005D33A7" w:rsidRDefault="00004441" w:rsidP="00DB3816">
            <w:pPr>
              <w:adjustRightInd w:val="0"/>
              <w:snapToGrid w:val="0"/>
              <w:spacing w:line="360" w:lineRule="auto"/>
              <w:jc w:val="center"/>
              <w:rPr>
                <w:rFonts w:ascii="Book Antiqua" w:hAnsi="Book Antiqua"/>
                <w:b/>
                <w:sz w:val="24"/>
              </w:rPr>
            </w:pPr>
            <w:r w:rsidRPr="005D33A7">
              <w:rPr>
                <w:rFonts w:ascii="Book Antiqua" w:hAnsi="Book Antiqua"/>
                <w:b/>
                <w:sz w:val="24"/>
              </w:rPr>
              <w:t>Nr2</w:t>
            </w:r>
          </w:p>
        </w:tc>
        <w:tc>
          <w:tcPr>
            <w:tcW w:w="1421" w:type="dxa"/>
            <w:tcBorders>
              <w:top w:val="single" w:sz="4" w:space="0" w:color="000000"/>
              <w:bottom w:val="single" w:sz="4" w:space="0" w:color="000000"/>
            </w:tcBorders>
          </w:tcPr>
          <w:p w:rsidR="00004441" w:rsidRPr="005D33A7" w:rsidRDefault="00004441" w:rsidP="00DB3816">
            <w:pPr>
              <w:adjustRightInd w:val="0"/>
              <w:snapToGrid w:val="0"/>
              <w:spacing w:line="360" w:lineRule="auto"/>
              <w:jc w:val="center"/>
              <w:rPr>
                <w:rFonts w:ascii="Book Antiqua" w:hAnsi="Book Antiqua"/>
                <w:b/>
                <w:sz w:val="24"/>
              </w:rPr>
            </w:pPr>
            <w:r w:rsidRPr="005D33A7">
              <w:rPr>
                <w:rFonts w:ascii="Book Antiqua" w:hAnsi="Book Antiqua"/>
                <w:b/>
                <w:sz w:val="24"/>
              </w:rPr>
              <w:t>Nr3</w:t>
            </w:r>
          </w:p>
        </w:tc>
        <w:tc>
          <w:tcPr>
            <w:tcW w:w="1421" w:type="dxa"/>
            <w:tcBorders>
              <w:top w:val="single" w:sz="4" w:space="0" w:color="000000"/>
              <w:bottom w:val="single" w:sz="4" w:space="0" w:color="000000"/>
            </w:tcBorders>
          </w:tcPr>
          <w:p w:rsidR="00004441" w:rsidRPr="005D33A7" w:rsidRDefault="00004441" w:rsidP="00DB3816">
            <w:pPr>
              <w:adjustRightInd w:val="0"/>
              <w:snapToGrid w:val="0"/>
              <w:spacing w:line="360" w:lineRule="auto"/>
              <w:jc w:val="center"/>
              <w:rPr>
                <w:rFonts w:ascii="Book Antiqua" w:hAnsi="Book Antiqua"/>
                <w:b/>
                <w:sz w:val="24"/>
              </w:rPr>
            </w:pPr>
            <w:r w:rsidRPr="005D33A7">
              <w:rPr>
                <w:rFonts w:ascii="Book Antiqua" w:hAnsi="Book Antiqua"/>
                <w:b/>
                <w:sz w:val="24"/>
              </w:rPr>
              <w:t>Total</w:t>
            </w:r>
          </w:p>
        </w:tc>
      </w:tr>
      <w:tr w:rsidR="00004441" w:rsidRPr="005D33A7" w:rsidTr="00ED3454">
        <w:tc>
          <w:tcPr>
            <w:tcW w:w="1420" w:type="dxa"/>
            <w:tcBorders>
              <w:top w:val="single" w:sz="4" w:space="0" w:color="000000"/>
            </w:tcBorders>
          </w:tcPr>
          <w:p w:rsidR="00004441" w:rsidRPr="005D33A7" w:rsidRDefault="00004441" w:rsidP="00DB3816">
            <w:pPr>
              <w:adjustRightInd w:val="0"/>
              <w:snapToGrid w:val="0"/>
              <w:spacing w:line="360" w:lineRule="auto"/>
              <w:jc w:val="left"/>
              <w:rPr>
                <w:rFonts w:ascii="Book Antiqua" w:hAnsi="Book Antiqua"/>
                <w:sz w:val="24"/>
              </w:rPr>
            </w:pPr>
            <w:r w:rsidRPr="005D33A7">
              <w:rPr>
                <w:rFonts w:ascii="Book Antiqua" w:hAnsi="Book Antiqua"/>
                <w:sz w:val="24"/>
              </w:rPr>
              <w:t>N0</w:t>
            </w:r>
          </w:p>
        </w:tc>
        <w:tc>
          <w:tcPr>
            <w:tcW w:w="1420" w:type="dxa"/>
            <w:tcBorders>
              <w:top w:val="single" w:sz="4" w:space="0" w:color="000000"/>
            </w:tcBorders>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1136</w:t>
            </w:r>
          </w:p>
        </w:tc>
        <w:tc>
          <w:tcPr>
            <w:tcW w:w="1420" w:type="dxa"/>
            <w:tcBorders>
              <w:top w:val="single" w:sz="4" w:space="0" w:color="000000"/>
            </w:tcBorders>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0</w:t>
            </w:r>
          </w:p>
        </w:tc>
        <w:tc>
          <w:tcPr>
            <w:tcW w:w="1420" w:type="dxa"/>
            <w:tcBorders>
              <w:top w:val="single" w:sz="4" w:space="0" w:color="000000"/>
            </w:tcBorders>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0</w:t>
            </w:r>
          </w:p>
        </w:tc>
        <w:tc>
          <w:tcPr>
            <w:tcW w:w="1421" w:type="dxa"/>
            <w:tcBorders>
              <w:top w:val="single" w:sz="4" w:space="0" w:color="000000"/>
            </w:tcBorders>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0</w:t>
            </w:r>
          </w:p>
        </w:tc>
        <w:tc>
          <w:tcPr>
            <w:tcW w:w="1421" w:type="dxa"/>
            <w:tcBorders>
              <w:top w:val="single" w:sz="4" w:space="0" w:color="000000"/>
            </w:tcBorders>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1136</w:t>
            </w:r>
          </w:p>
        </w:tc>
      </w:tr>
      <w:tr w:rsidR="00004441" w:rsidRPr="005D33A7" w:rsidTr="00ED3454">
        <w:tc>
          <w:tcPr>
            <w:tcW w:w="1420" w:type="dxa"/>
          </w:tcPr>
          <w:p w:rsidR="00004441" w:rsidRPr="005D33A7" w:rsidRDefault="00004441" w:rsidP="00DB3816">
            <w:pPr>
              <w:adjustRightInd w:val="0"/>
              <w:snapToGrid w:val="0"/>
              <w:spacing w:line="360" w:lineRule="auto"/>
              <w:jc w:val="left"/>
              <w:rPr>
                <w:rFonts w:ascii="Book Antiqua" w:hAnsi="Book Antiqua"/>
                <w:sz w:val="24"/>
              </w:rPr>
            </w:pPr>
            <w:r w:rsidRPr="005D33A7">
              <w:rPr>
                <w:rFonts w:ascii="Book Antiqua" w:hAnsi="Book Antiqua"/>
                <w:sz w:val="24"/>
              </w:rPr>
              <w:t>N1</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0</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187</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213</w:t>
            </w:r>
          </w:p>
        </w:tc>
        <w:tc>
          <w:tcPr>
            <w:tcW w:w="1421"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96</w:t>
            </w:r>
          </w:p>
        </w:tc>
        <w:tc>
          <w:tcPr>
            <w:tcW w:w="1421"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496</w:t>
            </w:r>
          </w:p>
        </w:tc>
      </w:tr>
      <w:tr w:rsidR="00004441" w:rsidRPr="005D33A7" w:rsidTr="00ED3454">
        <w:tc>
          <w:tcPr>
            <w:tcW w:w="1420" w:type="dxa"/>
          </w:tcPr>
          <w:p w:rsidR="00004441" w:rsidRPr="005D33A7" w:rsidRDefault="00004441" w:rsidP="00DB3816">
            <w:pPr>
              <w:adjustRightInd w:val="0"/>
              <w:snapToGrid w:val="0"/>
              <w:spacing w:line="360" w:lineRule="auto"/>
              <w:jc w:val="left"/>
              <w:rPr>
                <w:rFonts w:ascii="Book Antiqua" w:hAnsi="Book Antiqua"/>
                <w:sz w:val="24"/>
              </w:rPr>
            </w:pPr>
            <w:r w:rsidRPr="005D33A7">
              <w:rPr>
                <w:rFonts w:ascii="Book Antiqua" w:hAnsi="Book Antiqua"/>
                <w:sz w:val="24"/>
              </w:rPr>
              <w:t>N2</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0</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11</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46</w:t>
            </w:r>
          </w:p>
        </w:tc>
        <w:tc>
          <w:tcPr>
            <w:tcW w:w="1421"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236</w:t>
            </w:r>
          </w:p>
        </w:tc>
        <w:tc>
          <w:tcPr>
            <w:tcW w:w="1421"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293</w:t>
            </w:r>
          </w:p>
        </w:tc>
      </w:tr>
      <w:tr w:rsidR="00004441" w:rsidRPr="005D33A7" w:rsidTr="00ED3454">
        <w:tc>
          <w:tcPr>
            <w:tcW w:w="1420" w:type="dxa"/>
          </w:tcPr>
          <w:p w:rsidR="00004441" w:rsidRPr="005D33A7" w:rsidRDefault="00004441" w:rsidP="00DB3816">
            <w:pPr>
              <w:adjustRightInd w:val="0"/>
              <w:snapToGrid w:val="0"/>
              <w:spacing w:line="360" w:lineRule="auto"/>
              <w:jc w:val="left"/>
              <w:rPr>
                <w:rFonts w:ascii="Book Antiqua" w:hAnsi="Book Antiqua"/>
                <w:sz w:val="24"/>
              </w:rPr>
            </w:pPr>
            <w:r w:rsidRPr="005D33A7">
              <w:rPr>
                <w:rFonts w:ascii="Book Antiqua" w:hAnsi="Book Antiqua"/>
                <w:sz w:val="24"/>
              </w:rPr>
              <w:t>N3</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0</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0</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1</w:t>
            </w:r>
          </w:p>
        </w:tc>
        <w:tc>
          <w:tcPr>
            <w:tcW w:w="1421"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85</w:t>
            </w:r>
          </w:p>
        </w:tc>
        <w:tc>
          <w:tcPr>
            <w:tcW w:w="1421"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86</w:t>
            </w:r>
          </w:p>
        </w:tc>
      </w:tr>
      <w:tr w:rsidR="00004441" w:rsidRPr="005D33A7" w:rsidTr="00ED3454">
        <w:tc>
          <w:tcPr>
            <w:tcW w:w="1420" w:type="dxa"/>
          </w:tcPr>
          <w:p w:rsidR="00004441" w:rsidRPr="005D33A7" w:rsidRDefault="00004441" w:rsidP="00DB3816">
            <w:pPr>
              <w:adjustRightInd w:val="0"/>
              <w:snapToGrid w:val="0"/>
              <w:spacing w:line="360" w:lineRule="auto"/>
              <w:jc w:val="left"/>
              <w:rPr>
                <w:rFonts w:ascii="Book Antiqua" w:hAnsi="Book Antiqua"/>
                <w:sz w:val="24"/>
              </w:rPr>
            </w:pPr>
            <w:r w:rsidRPr="005D33A7">
              <w:rPr>
                <w:rFonts w:ascii="Book Antiqua" w:hAnsi="Book Antiqua"/>
                <w:sz w:val="24"/>
              </w:rPr>
              <w:t>Total</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1136</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198</w:t>
            </w:r>
          </w:p>
        </w:tc>
        <w:tc>
          <w:tcPr>
            <w:tcW w:w="1420"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260</w:t>
            </w:r>
          </w:p>
        </w:tc>
        <w:tc>
          <w:tcPr>
            <w:tcW w:w="1421"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417</w:t>
            </w:r>
          </w:p>
        </w:tc>
        <w:tc>
          <w:tcPr>
            <w:tcW w:w="1421" w:type="dxa"/>
          </w:tcPr>
          <w:p w:rsidR="00004441" w:rsidRPr="005D33A7" w:rsidRDefault="00004441" w:rsidP="00DB3816">
            <w:pPr>
              <w:adjustRightInd w:val="0"/>
              <w:snapToGrid w:val="0"/>
              <w:spacing w:line="360" w:lineRule="auto"/>
              <w:jc w:val="center"/>
              <w:rPr>
                <w:rFonts w:ascii="Book Antiqua" w:hAnsi="Book Antiqua"/>
                <w:sz w:val="24"/>
              </w:rPr>
            </w:pPr>
            <w:r w:rsidRPr="005D33A7">
              <w:rPr>
                <w:rFonts w:ascii="Book Antiqua" w:hAnsi="Book Antiqua"/>
                <w:sz w:val="24"/>
              </w:rPr>
              <w:t>2011</w:t>
            </w:r>
          </w:p>
        </w:tc>
      </w:tr>
    </w:tbl>
    <w:p w:rsidR="00004441" w:rsidRPr="005D33A7" w:rsidRDefault="00004441" w:rsidP="007D5F41">
      <w:pPr>
        <w:autoSpaceDE w:val="0"/>
        <w:autoSpaceDN w:val="0"/>
        <w:adjustRightInd w:val="0"/>
        <w:snapToGrid w:val="0"/>
        <w:spacing w:line="360" w:lineRule="auto"/>
        <w:rPr>
          <w:rFonts w:ascii="Book Antiqua" w:hAnsi="Book Antiqua"/>
          <w:b/>
          <w:bCs/>
          <w:sz w:val="24"/>
        </w:rPr>
      </w:pPr>
    </w:p>
    <w:p w:rsidR="00004441" w:rsidRPr="005D33A7" w:rsidRDefault="00004441" w:rsidP="007D5F41">
      <w:pPr>
        <w:autoSpaceDE w:val="0"/>
        <w:autoSpaceDN w:val="0"/>
        <w:adjustRightInd w:val="0"/>
        <w:snapToGrid w:val="0"/>
        <w:spacing w:line="360" w:lineRule="auto"/>
        <w:rPr>
          <w:rFonts w:ascii="Book Antiqua" w:hAnsi="Book Antiqua"/>
          <w:b/>
          <w:bCs/>
          <w:sz w:val="24"/>
        </w:rPr>
      </w:pPr>
    </w:p>
    <w:p w:rsidR="00004441" w:rsidRPr="005D33A7" w:rsidRDefault="00004441" w:rsidP="007D5F41">
      <w:pPr>
        <w:autoSpaceDE w:val="0"/>
        <w:autoSpaceDN w:val="0"/>
        <w:adjustRightInd w:val="0"/>
        <w:snapToGrid w:val="0"/>
        <w:spacing w:line="360" w:lineRule="auto"/>
        <w:rPr>
          <w:rFonts w:ascii="Book Antiqua" w:hAnsi="Book Antiqua"/>
          <w:bCs/>
          <w:sz w:val="24"/>
        </w:rPr>
      </w:pPr>
    </w:p>
    <w:p w:rsidR="00004441" w:rsidRPr="005D33A7" w:rsidRDefault="00004441" w:rsidP="007D5F41">
      <w:pPr>
        <w:autoSpaceDE w:val="0"/>
        <w:autoSpaceDN w:val="0"/>
        <w:adjustRightInd w:val="0"/>
        <w:snapToGrid w:val="0"/>
        <w:spacing w:line="360" w:lineRule="auto"/>
        <w:rPr>
          <w:rFonts w:ascii="Book Antiqua" w:hAnsi="Book Antiqua"/>
          <w:bCs/>
          <w:sz w:val="24"/>
        </w:rPr>
      </w:pPr>
    </w:p>
    <w:sectPr w:rsidR="00004441" w:rsidRPr="005D33A7" w:rsidSect="00ED3454">
      <w:headerReference w:type="default" r:id="rId26"/>
      <w:footerReference w:type="even" r:id="rId27"/>
      <w:footerReference w:type="default" r:id="rId28"/>
      <w:pgSz w:w="12240" w:h="15840" w:code="1"/>
      <w:pgMar w:top="1440" w:right="1797" w:bottom="1440" w:left="1797" w:header="720" w:footer="720" w:gutter="0"/>
      <w:pgNumType w:start="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B52" w:rsidRDefault="00C24B52" w:rsidP="00E02C56">
      <w:r>
        <w:separator/>
      </w:r>
    </w:p>
  </w:endnote>
  <w:endnote w:type="continuationSeparator" w:id="0">
    <w:p w:rsidR="00C24B52" w:rsidRDefault="00C24B52" w:rsidP="00E02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EU-B1">
    <w:altName w:val="宋体"/>
    <w:panose1 w:val="00000000000000000000"/>
    <w:charset w:val="86"/>
    <w:family w:val="roman"/>
    <w:notTrueType/>
    <w:pitch w:val="default"/>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AdvTimes">
    <w:altName w:val="宋体"/>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454" w:rsidRDefault="00ED3454" w:rsidP="00ED345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D3454" w:rsidRDefault="00ED345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454" w:rsidRDefault="00ED3454" w:rsidP="00ED345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B5467">
      <w:rPr>
        <w:rStyle w:val="a5"/>
        <w:noProof/>
      </w:rPr>
      <w:t>2</w:t>
    </w:r>
    <w:r>
      <w:rPr>
        <w:rStyle w:val="a5"/>
      </w:rPr>
      <w:fldChar w:fldCharType="end"/>
    </w:r>
  </w:p>
  <w:p w:rsidR="00ED3454" w:rsidRDefault="00ED345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B52" w:rsidRDefault="00C24B52" w:rsidP="00E02C56">
      <w:r>
        <w:separator/>
      </w:r>
    </w:p>
  </w:footnote>
  <w:footnote w:type="continuationSeparator" w:id="0">
    <w:p w:rsidR="00C24B52" w:rsidRDefault="00C24B52" w:rsidP="00E02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454" w:rsidRDefault="00ED3454" w:rsidP="00ED3454">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0490D"/>
    <w:multiLevelType w:val="hybridMultilevel"/>
    <w:tmpl w:val="25101DBA"/>
    <w:lvl w:ilvl="0" w:tplc="5CF6E6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4E433750"/>
    <w:multiLevelType w:val="hybridMultilevel"/>
    <w:tmpl w:val="636492B4"/>
    <w:lvl w:ilvl="0" w:tplc="1380649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441"/>
    <w:rsid w:val="00004441"/>
    <w:rsid w:val="00065F54"/>
    <w:rsid w:val="000A11F5"/>
    <w:rsid w:val="000D1F87"/>
    <w:rsid w:val="00120853"/>
    <w:rsid w:val="00125922"/>
    <w:rsid w:val="00132ABA"/>
    <w:rsid w:val="00142081"/>
    <w:rsid w:val="00191100"/>
    <w:rsid w:val="001A3506"/>
    <w:rsid w:val="001D7C0E"/>
    <w:rsid w:val="001E7218"/>
    <w:rsid w:val="001F55D1"/>
    <w:rsid w:val="00255D0B"/>
    <w:rsid w:val="00257D59"/>
    <w:rsid w:val="00260A00"/>
    <w:rsid w:val="00296CCB"/>
    <w:rsid w:val="002A3BC3"/>
    <w:rsid w:val="002D4A80"/>
    <w:rsid w:val="00345247"/>
    <w:rsid w:val="00363571"/>
    <w:rsid w:val="003637AB"/>
    <w:rsid w:val="00367590"/>
    <w:rsid w:val="003869BB"/>
    <w:rsid w:val="003B5467"/>
    <w:rsid w:val="003C5D32"/>
    <w:rsid w:val="003D59B8"/>
    <w:rsid w:val="00402A54"/>
    <w:rsid w:val="004312EB"/>
    <w:rsid w:val="0045080C"/>
    <w:rsid w:val="004906FD"/>
    <w:rsid w:val="004909D8"/>
    <w:rsid w:val="004B24A4"/>
    <w:rsid w:val="00511ABF"/>
    <w:rsid w:val="00517041"/>
    <w:rsid w:val="00535533"/>
    <w:rsid w:val="005568DF"/>
    <w:rsid w:val="00571A22"/>
    <w:rsid w:val="005768EC"/>
    <w:rsid w:val="00596D06"/>
    <w:rsid w:val="005B59DA"/>
    <w:rsid w:val="005D33A7"/>
    <w:rsid w:val="006040C8"/>
    <w:rsid w:val="006106AE"/>
    <w:rsid w:val="006323E0"/>
    <w:rsid w:val="00652F74"/>
    <w:rsid w:val="00665DC9"/>
    <w:rsid w:val="00670D64"/>
    <w:rsid w:val="00683795"/>
    <w:rsid w:val="006900E2"/>
    <w:rsid w:val="00740D60"/>
    <w:rsid w:val="007A1300"/>
    <w:rsid w:val="007A72FA"/>
    <w:rsid w:val="007B3B82"/>
    <w:rsid w:val="007D5F41"/>
    <w:rsid w:val="00802DA5"/>
    <w:rsid w:val="0081163C"/>
    <w:rsid w:val="00815DE8"/>
    <w:rsid w:val="00840615"/>
    <w:rsid w:val="008648AA"/>
    <w:rsid w:val="008730A6"/>
    <w:rsid w:val="0088071A"/>
    <w:rsid w:val="008862D3"/>
    <w:rsid w:val="0089111E"/>
    <w:rsid w:val="008D3F97"/>
    <w:rsid w:val="00914435"/>
    <w:rsid w:val="009150B4"/>
    <w:rsid w:val="0092603A"/>
    <w:rsid w:val="00937270"/>
    <w:rsid w:val="009426AD"/>
    <w:rsid w:val="00954F12"/>
    <w:rsid w:val="00957A0E"/>
    <w:rsid w:val="009B5FD6"/>
    <w:rsid w:val="009C50CD"/>
    <w:rsid w:val="009E3DDE"/>
    <w:rsid w:val="00A10672"/>
    <w:rsid w:val="00A3522B"/>
    <w:rsid w:val="00A41EBF"/>
    <w:rsid w:val="00A4423F"/>
    <w:rsid w:val="00A44B17"/>
    <w:rsid w:val="00AB6216"/>
    <w:rsid w:val="00AC19AD"/>
    <w:rsid w:val="00B10166"/>
    <w:rsid w:val="00B67608"/>
    <w:rsid w:val="00B90962"/>
    <w:rsid w:val="00BC79AF"/>
    <w:rsid w:val="00C0104D"/>
    <w:rsid w:val="00C24B52"/>
    <w:rsid w:val="00C52DC9"/>
    <w:rsid w:val="00C721CA"/>
    <w:rsid w:val="00C76B50"/>
    <w:rsid w:val="00C90062"/>
    <w:rsid w:val="00C95CBB"/>
    <w:rsid w:val="00D07757"/>
    <w:rsid w:val="00D112D2"/>
    <w:rsid w:val="00D6024E"/>
    <w:rsid w:val="00D64B21"/>
    <w:rsid w:val="00D90AFF"/>
    <w:rsid w:val="00DB3816"/>
    <w:rsid w:val="00DE24E5"/>
    <w:rsid w:val="00DF65C9"/>
    <w:rsid w:val="00E02C56"/>
    <w:rsid w:val="00E200D7"/>
    <w:rsid w:val="00E41054"/>
    <w:rsid w:val="00E5305C"/>
    <w:rsid w:val="00ED3454"/>
    <w:rsid w:val="00F06053"/>
    <w:rsid w:val="00F361B2"/>
    <w:rsid w:val="00F9559B"/>
    <w:rsid w:val="00FA4060"/>
    <w:rsid w:val="00FC361A"/>
    <w:rsid w:val="00FF4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441"/>
    <w:pPr>
      <w:widowControl w:val="0"/>
      <w:jc w:val="both"/>
    </w:pPr>
    <w:rPr>
      <w:rFonts w:ascii="Times New Roman" w:eastAsia="宋体" w:hAnsi="Times New Roman" w:cs="Times New Roman"/>
      <w:szCs w:val="24"/>
    </w:rPr>
  </w:style>
  <w:style w:type="paragraph" w:styleId="1">
    <w:name w:val="heading 1"/>
    <w:basedOn w:val="a"/>
    <w:link w:val="1Char"/>
    <w:qFormat/>
    <w:rsid w:val="00004441"/>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04441"/>
    <w:rPr>
      <w:rFonts w:ascii="宋体" w:eastAsia="宋体" w:hAnsi="宋体" w:cs="宋体"/>
      <w:b/>
      <w:bCs/>
      <w:kern w:val="36"/>
      <w:sz w:val="48"/>
      <w:szCs w:val="48"/>
    </w:rPr>
  </w:style>
  <w:style w:type="paragraph" w:styleId="a3">
    <w:name w:val="header"/>
    <w:basedOn w:val="a"/>
    <w:link w:val="Char"/>
    <w:rsid w:val="000044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04441"/>
    <w:rPr>
      <w:rFonts w:ascii="Times New Roman" w:eastAsia="宋体" w:hAnsi="Times New Roman" w:cs="Times New Roman"/>
      <w:sz w:val="18"/>
      <w:szCs w:val="18"/>
    </w:rPr>
  </w:style>
  <w:style w:type="paragraph" w:styleId="a4">
    <w:name w:val="footer"/>
    <w:basedOn w:val="a"/>
    <w:link w:val="Char0"/>
    <w:rsid w:val="00004441"/>
    <w:pPr>
      <w:tabs>
        <w:tab w:val="center" w:pos="4153"/>
        <w:tab w:val="right" w:pos="8306"/>
      </w:tabs>
      <w:snapToGrid w:val="0"/>
      <w:jc w:val="left"/>
    </w:pPr>
    <w:rPr>
      <w:sz w:val="18"/>
      <w:szCs w:val="18"/>
    </w:rPr>
  </w:style>
  <w:style w:type="character" w:customStyle="1" w:styleId="Char0">
    <w:name w:val="页脚 Char"/>
    <w:basedOn w:val="a0"/>
    <w:link w:val="a4"/>
    <w:rsid w:val="00004441"/>
    <w:rPr>
      <w:rFonts w:ascii="Times New Roman" w:eastAsia="宋体" w:hAnsi="Times New Roman" w:cs="Times New Roman"/>
      <w:sz w:val="18"/>
      <w:szCs w:val="18"/>
    </w:rPr>
  </w:style>
  <w:style w:type="character" w:styleId="a5">
    <w:name w:val="page number"/>
    <w:basedOn w:val="a0"/>
    <w:rsid w:val="00004441"/>
  </w:style>
  <w:style w:type="character" w:styleId="a6">
    <w:name w:val="annotation reference"/>
    <w:rsid w:val="00004441"/>
    <w:rPr>
      <w:sz w:val="16"/>
      <w:szCs w:val="16"/>
    </w:rPr>
  </w:style>
  <w:style w:type="paragraph" w:styleId="a7">
    <w:name w:val="annotation text"/>
    <w:basedOn w:val="a"/>
    <w:link w:val="Char1"/>
    <w:uiPriority w:val="99"/>
    <w:rsid w:val="00004441"/>
    <w:rPr>
      <w:sz w:val="20"/>
      <w:szCs w:val="20"/>
    </w:rPr>
  </w:style>
  <w:style w:type="character" w:customStyle="1" w:styleId="Char1">
    <w:name w:val="批注文字 Char"/>
    <w:basedOn w:val="a0"/>
    <w:link w:val="a7"/>
    <w:uiPriority w:val="99"/>
    <w:rsid w:val="00004441"/>
    <w:rPr>
      <w:rFonts w:ascii="Times New Roman" w:eastAsia="宋体" w:hAnsi="Times New Roman" w:cs="Times New Roman"/>
      <w:sz w:val="20"/>
      <w:szCs w:val="20"/>
    </w:rPr>
  </w:style>
  <w:style w:type="paragraph" w:styleId="a8">
    <w:name w:val="Balloon Text"/>
    <w:basedOn w:val="a"/>
    <w:link w:val="Char2"/>
    <w:semiHidden/>
    <w:rsid w:val="00004441"/>
    <w:rPr>
      <w:sz w:val="18"/>
      <w:szCs w:val="18"/>
    </w:rPr>
  </w:style>
  <w:style w:type="character" w:customStyle="1" w:styleId="Char2">
    <w:name w:val="批注框文本 Char"/>
    <w:basedOn w:val="a0"/>
    <w:link w:val="a8"/>
    <w:semiHidden/>
    <w:rsid w:val="00004441"/>
    <w:rPr>
      <w:rFonts w:ascii="Times New Roman" w:eastAsia="宋体" w:hAnsi="Times New Roman" w:cs="Times New Roman"/>
      <w:sz w:val="18"/>
      <w:szCs w:val="18"/>
    </w:rPr>
  </w:style>
  <w:style w:type="character" w:customStyle="1" w:styleId="A50">
    <w:name w:val="A5"/>
    <w:rsid w:val="00004441"/>
    <w:rPr>
      <w:rFonts w:cs="EU-B1"/>
      <w:color w:val="000000"/>
      <w:sz w:val="21"/>
      <w:szCs w:val="21"/>
    </w:rPr>
  </w:style>
  <w:style w:type="character" w:styleId="a9">
    <w:name w:val="Hyperlink"/>
    <w:basedOn w:val="a0"/>
    <w:uiPriority w:val="99"/>
    <w:rsid w:val="00004441"/>
    <w:rPr>
      <w:color w:val="0000FF"/>
      <w:u w:val="single"/>
    </w:rPr>
  </w:style>
  <w:style w:type="character" w:customStyle="1" w:styleId="apple-converted-space">
    <w:name w:val="apple-converted-space"/>
    <w:basedOn w:val="a0"/>
    <w:rsid w:val="00004441"/>
  </w:style>
  <w:style w:type="paragraph" w:styleId="aa">
    <w:name w:val="footnote text"/>
    <w:basedOn w:val="a"/>
    <w:link w:val="Char3"/>
    <w:rsid w:val="00004441"/>
    <w:rPr>
      <w:sz w:val="20"/>
      <w:szCs w:val="20"/>
    </w:rPr>
  </w:style>
  <w:style w:type="character" w:customStyle="1" w:styleId="Char3">
    <w:name w:val="脚注文本 Char"/>
    <w:basedOn w:val="a0"/>
    <w:link w:val="aa"/>
    <w:rsid w:val="00004441"/>
    <w:rPr>
      <w:rFonts w:ascii="Times New Roman" w:eastAsia="宋体" w:hAnsi="Times New Roman" w:cs="Times New Roman"/>
      <w:sz w:val="20"/>
      <w:szCs w:val="20"/>
    </w:rPr>
  </w:style>
  <w:style w:type="character" w:styleId="ab">
    <w:name w:val="footnote reference"/>
    <w:rsid w:val="00004441"/>
    <w:rPr>
      <w:vertAlign w:val="superscript"/>
    </w:rPr>
  </w:style>
  <w:style w:type="character" w:styleId="ac">
    <w:name w:val="Strong"/>
    <w:basedOn w:val="a0"/>
    <w:uiPriority w:val="22"/>
    <w:qFormat/>
    <w:rsid w:val="00004441"/>
    <w:rPr>
      <w:b/>
      <w:bCs/>
    </w:rPr>
  </w:style>
  <w:style w:type="paragraph" w:customStyle="1" w:styleId="p0">
    <w:name w:val="p0"/>
    <w:basedOn w:val="a"/>
    <w:rsid w:val="00004441"/>
    <w:pPr>
      <w:widowControl/>
      <w:spacing w:line="240" w:lineRule="atLeast"/>
      <w:jc w:val="left"/>
    </w:pPr>
    <w:rPr>
      <w:rFonts w:ascii="Century" w:hAnsi="Century" w:cs="宋体"/>
      <w:kern w:val="0"/>
      <w:szCs w:val="21"/>
    </w:rPr>
  </w:style>
  <w:style w:type="paragraph" w:styleId="ad">
    <w:name w:val="annotation subject"/>
    <w:basedOn w:val="a7"/>
    <w:next w:val="a7"/>
    <w:link w:val="Char4"/>
    <w:uiPriority w:val="99"/>
    <w:semiHidden/>
    <w:unhideWhenUsed/>
    <w:rsid w:val="00004441"/>
    <w:pPr>
      <w:jc w:val="left"/>
    </w:pPr>
    <w:rPr>
      <w:b/>
      <w:bCs/>
      <w:sz w:val="21"/>
      <w:szCs w:val="24"/>
    </w:rPr>
  </w:style>
  <w:style w:type="character" w:customStyle="1" w:styleId="Char4">
    <w:name w:val="批注主题 Char"/>
    <w:basedOn w:val="Char1"/>
    <w:link w:val="ad"/>
    <w:uiPriority w:val="99"/>
    <w:semiHidden/>
    <w:rsid w:val="00004441"/>
    <w:rPr>
      <w:rFonts w:ascii="Times New Roman" w:eastAsia="宋体" w:hAnsi="Times New Roman" w:cs="Times New Roman"/>
      <w:b/>
      <w:bCs/>
      <w:sz w:val="20"/>
      <w:szCs w:val="24"/>
    </w:rPr>
  </w:style>
  <w:style w:type="character" w:customStyle="1" w:styleId="Char10">
    <w:name w:val="批注文字 Char1"/>
    <w:uiPriority w:val="99"/>
    <w:rsid w:val="00004441"/>
    <w:rPr>
      <w:rFonts w:eastAsia="宋体"/>
      <w:kern w:val="2"/>
      <w:sz w:val="21"/>
      <w:szCs w:val="24"/>
      <w:lang w:val="en-US" w:eastAsia="zh-CN" w:bidi="ar-SA"/>
    </w:rPr>
  </w:style>
  <w:style w:type="character" w:customStyle="1" w:styleId="highlight1">
    <w:name w:val="highlight1"/>
    <w:rsid w:val="00004441"/>
    <w:rPr>
      <w:shd w:val="clear" w:color="auto" w:fill="F1BFE0"/>
    </w:rPr>
  </w:style>
  <w:style w:type="character" w:customStyle="1" w:styleId="trans">
    <w:name w:val="trans"/>
    <w:basedOn w:val="a0"/>
    <w:rsid w:val="00004441"/>
  </w:style>
  <w:style w:type="character" w:customStyle="1" w:styleId="webdict">
    <w:name w:val="webdict"/>
    <w:basedOn w:val="a0"/>
    <w:rsid w:val="000044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441"/>
    <w:pPr>
      <w:widowControl w:val="0"/>
      <w:jc w:val="both"/>
    </w:pPr>
    <w:rPr>
      <w:rFonts w:ascii="Times New Roman" w:eastAsia="宋体" w:hAnsi="Times New Roman" w:cs="Times New Roman"/>
      <w:szCs w:val="24"/>
    </w:rPr>
  </w:style>
  <w:style w:type="paragraph" w:styleId="1">
    <w:name w:val="heading 1"/>
    <w:basedOn w:val="a"/>
    <w:link w:val="1Char"/>
    <w:qFormat/>
    <w:rsid w:val="00004441"/>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04441"/>
    <w:rPr>
      <w:rFonts w:ascii="宋体" w:eastAsia="宋体" w:hAnsi="宋体" w:cs="宋体"/>
      <w:b/>
      <w:bCs/>
      <w:kern w:val="36"/>
      <w:sz w:val="48"/>
      <w:szCs w:val="48"/>
    </w:rPr>
  </w:style>
  <w:style w:type="paragraph" w:styleId="a3">
    <w:name w:val="header"/>
    <w:basedOn w:val="a"/>
    <w:link w:val="Char"/>
    <w:rsid w:val="000044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04441"/>
    <w:rPr>
      <w:rFonts w:ascii="Times New Roman" w:eastAsia="宋体" w:hAnsi="Times New Roman" w:cs="Times New Roman"/>
      <w:sz w:val="18"/>
      <w:szCs w:val="18"/>
    </w:rPr>
  </w:style>
  <w:style w:type="paragraph" w:styleId="a4">
    <w:name w:val="footer"/>
    <w:basedOn w:val="a"/>
    <w:link w:val="Char0"/>
    <w:rsid w:val="00004441"/>
    <w:pPr>
      <w:tabs>
        <w:tab w:val="center" w:pos="4153"/>
        <w:tab w:val="right" w:pos="8306"/>
      </w:tabs>
      <w:snapToGrid w:val="0"/>
      <w:jc w:val="left"/>
    </w:pPr>
    <w:rPr>
      <w:sz w:val="18"/>
      <w:szCs w:val="18"/>
    </w:rPr>
  </w:style>
  <w:style w:type="character" w:customStyle="1" w:styleId="Char0">
    <w:name w:val="页脚 Char"/>
    <w:basedOn w:val="a0"/>
    <w:link w:val="a4"/>
    <w:rsid w:val="00004441"/>
    <w:rPr>
      <w:rFonts w:ascii="Times New Roman" w:eastAsia="宋体" w:hAnsi="Times New Roman" w:cs="Times New Roman"/>
      <w:sz w:val="18"/>
      <w:szCs w:val="18"/>
    </w:rPr>
  </w:style>
  <w:style w:type="character" w:styleId="a5">
    <w:name w:val="page number"/>
    <w:basedOn w:val="a0"/>
    <w:rsid w:val="00004441"/>
  </w:style>
  <w:style w:type="character" w:styleId="a6">
    <w:name w:val="annotation reference"/>
    <w:rsid w:val="00004441"/>
    <w:rPr>
      <w:sz w:val="16"/>
      <w:szCs w:val="16"/>
    </w:rPr>
  </w:style>
  <w:style w:type="paragraph" w:styleId="a7">
    <w:name w:val="annotation text"/>
    <w:basedOn w:val="a"/>
    <w:link w:val="Char1"/>
    <w:uiPriority w:val="99"/>
    <w:rsid w:val="00004441"/>
    <w:rPr>
      <w:sz w:val="20"/>
      <w:szCs w:val="20"/>
    </w:rPr>
  </w:style>
  <w:style w:type="character" w:customStyle="1" w:styleId="Char1">
    <w:name w:val="批注文字 Char"/>
    <w:basedOn w:val="a0"/>
    <w:link w:val="a7"/>
    <w:uiPriority w:val="99"/>
    <w:rsid w:val="00004441"/>
    <w:rPr>
      <w:rFonts w:ascii="Times New Roman" w:eastAsia="宋体" w:hAnsi="Times New Roman" w:cs="Times New Roman"/>
      <w:sz w:val="20"/>
      <w:szCs w:val="20"/>
    </w:rPr>
  </w:style>
  <w:style w:type="paragraph" w:styleId="a8">
    <w:name w:val="Balloon Text"/>
    <w:basedOn w:val="a"/>
    <w:link w:val="Char2"/>
    <w:semiHidden/>
    <w:rsid w:val="00004441"/>
    <w:rPr>
      <w:sz w:val="18"/>
      <w:szCs w:val="18"/>
    </w:rPr>
  </w:style>
  <w:style w:type="character" w:customStyle="1" w:styleId="Char2">
    <w:name w:val="批注框文本 Char"/>
    <w:basedOn w:val="a0"/>
    <w:link w:val="a8"/>
    <w:semiHidden/>
    <w:rsid w:val="00004441"/>
    <w:rPr>
      <w:rFonts w:ascii="Times New Roman" w:eastAsia="宋体" w:hAnsi="Times New Roman" w:cs="Times New Roman"/>
      <w:sz w:val="18"/>
      <w:szCs w:val="18"/>
    </w:rPr>
  </w:style>
  <w:style w:type="character" w:customStyle="1" w:styleId="A50">
    <w:name w:val="A5"/>
    <w:rsid w:val="00004441"/>
    <w:rPr>
      <w:rFonts w:cs="EU-B1"/>
      <w:color w:val="000000"/>
      <w:sz w:val="21"/>
      <w:szCs w:val="21"/>
    </w:rPr>
  </w:style>
  <w:style w:type="character" w:styleId="a9">
    <w:name w:val="Hyperlink"/>
    <w:basedOn w:val="a0"/>
    <w:uiPriority w:val="99"/>
    <w:rsid w:val="00004441"/>
    <w:rPr>
      <w:color w:val="0000FF"/>
      <w:u w:val="single"/>
    </w:rPr>
  </w:style>
  <w:style w:type="character" w:customStyle="1" w:styleId="apple-converted-space">
    <w:name w:val="apple-converted-space"/>
    <w:basedOn w:val="a0"/>
    <w:rsid w:val="00004441"/>
  </w:style>
  <w:style w:type="paragraph" w:styleId="aa">
    <w:name w:val="footnote text"/>
    <w:basedOn w:val="a"/>
    <w:link w:val="Char3"/>
    <w:rsid w:val="00004441"/>
    <w:rPr>
      <w:sz w:val="20"/>
      <w:szCs w:val="20"/>
    </w:rPr>
  </w:style>
  <w:style w:type="character" w:customStyle="1" w:styleId="Char3">
    <w:name w:val="脚注文本 Char"/>
    <w:basedOn w:val="a0"/>
    <w:link w:val="aa"/>
    <w:rsid w:val="00004441"/>
    <w:rPr>
      <w:rFonts w:ascii="Times New Roman" w:eastAsia="宋体" w:hAnsi="Times New Roman" w:cs="Times New Roman"/>
      <w:sz w:val="20"/>
      <w:szCs w:val="20"/>
    </w:rPr>
  </w:style>
  <w:style w:type="character" w:styleId="ab">
    <w:name w:val="footnote reference"/>
    <w:rsid w:val="00004441"/>
    <w:rPr>
      <w:vertAlign w:val="superscript"/>
    </w:rPr>
  </w:style>
  <w:style w:type="character" w:styleId="ac">
    <w:name w:val="Strong"/>
    <w:basedOn w:val="a0"/>
    <w:uiPriority w:val="22"/>
    <w:qFormat/>
    <w:rsid w:val="00004441"/>
    <w:rPr>
      <w:b/>
      <w:bCs/>
    </w:rPr>
  </w:style>
  <w:style w:type="paragraph" w:customStyle="1" w:styleId="p0">
    <w:name w:val="p0"/>
    <w:basedOn w:val="a"/>
    <w:rsid w:val="00004441"/>
    <w:pPr>
      <w:widowControl/>
      <w:spacing w:line="240" w:lineRule="atLeast"/>
      <w:jc w:val="left"/>
    </w:pPr>
    <w:rPr>
      <w:rFonts w:ascii="Century" w:hAnsi="Century" w:cs="宋体"/>
      <w:kern w:val="0"/>
      <w:szCs w:val="21"/>
    </w:rPr>
  </w:style>
  <w:style w:type="paragraph" w:styleId="ad">
    <w:name w:val="annotation subject"/>
    <w:basedOn w:val="a7"/>
    <w:next w:val="a7"/>
    <w:link w:val="Char4"/>
    <w:uiPriority w:val="99"/>
    <w:semiHidden/>
    <w:unhideWhenUsed/>
    <w:rsid w:val="00004441"/>
    <w:pPr>
      <w:jc w:val="left"/>
    </w:pPr>
    <w:rPr>
      <w:b/>
      <w:bCs/>
      <w:sz w:val="21"/>
      <w:szCs w:val="24"/>
    </w:rPr>
  </w:style>
  <w:style w:type="character" w:customStyle="1" w:styleId="Char4">
    <w:name w:val="批注主题 Char"/>
    <w:basedOn w:val="Char1"/>
    <w:link w:val="ad"/>
    <w:uiPriority w:val="99"/>
    <w:semiHidden/>
    <w:rsid w:val="00004441"/>
    <w:rPr>
      <w:rFonts w:ascii="Times New Roman" w:eastAsia="宋体" w:hAnsi="Times New Roman" w:cs="Times New Roman"/>
      <w:b/>
      <w:bCs/>
      <w:sz w:val="20"/>
      <w:szCs w:val="24"/>
    </w:rPr>
  </w:style>
  <w:style w:type="character" w:customStyle="1" w:styleId="Char10">
    <w:name w:val="批注文字 Char1"/>
    <w:uiPriority w:val="99"/>
    <w:rsid w:val="00004441"/>
    <w:rPr>
      <w:rFonts w:eastAsia="宋体"/>
      <w:kern w:val="2"/>
      <w:sz w:val="21"/>
      <w:szCs w:val="24"/>
      <w:lang w:val="en-US" w:eastAsia="zh-CN" w:bidi="ar-SA"/>
    </w:rPr>
  </w:style>
  <w:style w:type="character" w:customStyle="1" w:styleId="highlight1">
    <w:name w:val="highlight1"/>
    <w:rsid w:val="00004441"/>
    <w:rPr>
      <w:shd w:val="clear" w:color="auto" w:fill="F1BFE0"/>
    </w:rPr>
  </w:style>
  <w:style w:type="character" w:customStyle="1" w:styleId="trans">
    <w:name w:val="trans"/>
    <w:basedOn w:val="a0"/>
    <w:rsid w:val="00004441"/>
  </w:style>
  <w:style w:type="character" w:customStyle="1" w:styleId="webdict">
    <w:name w:val="webdict"/>
    <w:basedOn w:val="a0"/>
    <w:rsid w:val="00004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105071">
      <w:marLeft w:val="0"/>
      <w:marRight w:val="0"/>
      <w:marTop w:val="0"/>
      <w:marBottom w:val="0"/>
      <w:divBdr>
        <w:top w:val="none" w:sz="0" w:space="0" w:color="auto"/>
        <w:left w:val="none" w:sz="0" w:space="0" w:color="auto"/>
        <w:bottom w:val="none" w:sz="0" w:space="0" w:color="auto"/>
        <w:right w:val="none" w:sz="0" w:space="0" w:color="auto"/>
      </w:divBdr>
      <w:divsChild>
        <w:div w:id="1588614033">
          <w:marLeft w:val="0"/>
          <w:marRight w:val="0"/>
          <w:marTop w:val="0"/>
          <w:marBottom w:val="0"/>
          <w:divBdr>
            <w:top w:val="none" w:sz="0" w:space="0" w:color="auto"/>
            <w:left w:val="none" w:sz="0" w:space="0" w:color="auto"/>
            <w:bottom w:val="none" w:sz="0" w:space="0" w:color="auto"/>
            <w:right w:val="none" w:sz="0" w:space="0" w:color="auto"/>
          </w:divBdr>
        </w:div>
        <w:div w:id="2140763476">
          <w:marLeft w:val="0"/>
          <w:marRight w:val="0"/>
          <w:marTop w:val="0"/>
          <w:marBottom w:val="0"/>
          <w:divBdr>
            <w:top w:val="none" w:sz="0" w:space="0" w:color="auto"/>
            <w:left w:val="none" w:sz="0" w:space="0" w:color="auto"/>
            <w:bottom w:val="none" w:sz="0" w:space="0" w:color="auto"/>
            <w:right w:val="none" w:sz="0" w:space="0" w:color="auto"/>
          </w:divBdr>
        </w:div>
        <w:div w:id="1131938983">
          <w:marLeft w:val="0"/>
          <w:marRight w:val="0"/>
          <w:marTop w:val="0"/>
          <w:marBottom w:val="0"/>
          <w:divBdr>
            <w:top w:val="none" w:sz="0" w:space="0" w:color="auto"/>
            <w:left w:val="none" w:sz="0" w:space="0" w:color="auto"/>
            <w:bottom w:val="none" w:sz="0" w:space="0" w:color="auto"/>
            <w:right w:val="none" w:sz="0" w:space="0" w:color="auto"/>
          </w:divBdr>
        </w:div>
        <w:div w:id="168915080">
          <w:marLeft w:val="0"/>
          <w:marRight w:val="0"/>
          <w:marTop w:val="0"/>
          <w:marBottom w:val="0"/>
          <w:divBdr>
            <w:top w:val="none" w:sz="0" w:space="0" w:color="auto"/>
            <w:left w:val="none" w:sz="0" w:space="0" w:color="auto"/>
            <w:bottom w:val="none" w:sz="0" w:space="0" w:color="auto"/>
            <w:right w:val="none" w:sz="0" w:space="0" w:color="auto"/>
          </w:divBdr>
        </w:div>
        <w:div w:id="818888285">
          <w:marLeft w:val="0"/>
          <w:marRight w:val="0"/>
          <w:marTop w:val="0"/>
          <w:marBottom w:val="0"/>
          <w:divBdr>
            <w:top w:val="none" w:sz="0" w:space="0" w:color="auto"/>
            <w:left w:val="none" w:sz="0" w:space="0" w:color="auto"/>
            <w:bottom w:val="none" w:sz="0" w:space="0" w:color="auto"/>
            <w:right w:val="none" w:sz="0" w:space="0" w:color="auto"/>
          </w:divBdr>
        </w:div>
        <w:div w:id="381828511">
          <w:marLeft w:val="0"/>
          <w:marRight w:val="0"/>
          <w:marTop w:val="0"/>
          <w:marBottom w:val="0"/>
          <w:divBdr>
            <w:top w:val="none" w:sz="0" w:space="0" w:color="auto"/>
            <w:left w:val="none" w:sz="0" w:space="0" w:color="auto"/>
            <w:bottom w:val="none" w:sz="0" w:space="0" w:color="auto"/>
            <w:right w:val="none" w:sz="0" w:space="0" w:color="auto"/>
          </w:divBdr>
        </w:div>
        <w:div w:id="602148969">
          <w:marLeft w:val="0"/>
          <w:marRight w:val="0"/>
          <w:marTop w:val="0"/>
          <w:marBottom w:val="0"/>
          <w:divBdr>
            <w:top w:val="none" w:sz="0" w:space="0" w:color="auto"/>
            <w:left w:val="none" w:sz="0" w:space="0" w:color="auto"/>
            <w:bottom w:val="none" w:sz="0" w:space="0" w:color="auto"/>
            <w:right w:val="none" w:sz="0" w:space="0" w:color="auto"/>
          </w:divBdr>
        </w:div>
        <w:div w:id="549194472">
          <w:marLeft w:val="0"/>
          <w:marRight w:val="0"/>
          <w:marTop w:val="0"/>
          <w:marBottom w:val="0"/>
          <w:divBdr>
            <w:top w:val="none" w:sz="0" w:space="0" w:color="auto"/>
            <w:left w:val="none" w:sz="0" w:space="0" w:color="auto"/>
            <w:bottom w:val="none" w:sz="0" w:space="0" w:color="auto"/>
            <w:right w:val="none" w:sz="0" w:space="0" w:color="auto"/>
          </w:divBdr>
        </w:div>
        <w:div w:id="1805735952">
          <w:marLeft w:val="0"/>
          <w:marRight w:val="0"/>
          <w:marTop w:val="0"/>
          <w:marBottom w:val="0"/>
          <w:divBdr>
            <w:top w:val="none" w:sz="0" w:space="0" w:color="auto"/>
            <w:left w:val="none" w:sz="0" w:space="0" w:color="auto"/>
            <w:bottom w:val="none" w:sz="0" w:space="0" w:color="auto"/>
            <w:right w:val="none" w:sz="0" w:space="0" w:color="auto"/>
          </w:divBdr>
        </w:div>
        <w:div w:id="1931111369">
          <w:marLeft w:val="0"/>
          <w:marRight w:val="0"/>
          <w:marTop w:val="0"/>
          <w:marBottom w:val="0"/>
          <w:divBdr>
            <w:top w:val="none" w:sz="0" w:space="0" w:color="auto"/>
            <w:left w:val="none" w:sz="0" w:space="0" w:color="auto"/>
            <w:bottom w:val="none" w:sz="0" w:space="0" w:color="auto"/>
            <w:right w:val="none" w:sz="0" w:space="0" w:color="auto"/>
          </w:divBdr>
        </w:div>
        <w:div w:id="950362024">
          <w:marLeft w:val="0"/>
          <w:marRight w:val="0"/>
          <w:marTop w:val="0"/>
          <w:marBottom w:val="0"/>
          <w:divBdr>
            <w:top w:val="none" w:sz="0" w:space="0" w:color="auto"/>
            <w:left w:val="none" w:sz="0" w:space="0" w:color="auto"/>
            <w:bottom w:val="none" w:sz="0" w:space="0" w:color="auto"/>
            <w:right w:val="none" w:sz="0" w:space="0" w:color="auto"/>
          </w:divBdr>
        </w:div>
        <w:div w:id="1171870952">
          <w:marLeft w:val="0"/>
          <w:marRight w:val="0"/>
          <w:marTop w:val="0"/>
          <w:marBottom w:val="0"/>
          <w:divBdr>
            <w:top w:val="none" w:sz="0" w:space="0" w:color="auto"/>
            <w:left w:val="none" w:sz="0" w:space="0" w:color="auto"/>
            <w:bottom w:val="none" w:sz="0" w:space="0" w:color="auto"/>
            <w:right w:val="none" w:sz="0" w:space="0" w:color="auto"/>
          </w:divBdr>
        </w:div>
        <w:div w:id="1473981948">
          <w:marLeft w:val="0"/>
          <w:marRight w:val="0"/>
          <w:marTop w:val="0"/>
          <w:marBottom w:val="0"/>
          <w:divBdr>
            <w:top w:val="none" w:sz="0" w:space="0" w:color="auto"/>
            <w:left w:val="none" w:sz="0" w:space="0" w:color="auto"/>
            <w:bottom w:val="none" w:sz="0" w:space="0" w:color="auto"/>
            <w:right w:val="none" w:sz="0" w:space="0" w:color="auto"/>
          </w:divBdr>
        </w:div>
        <w:div w:id="601692540">
          <w:marLeft w:val="0"/>
          <w:marRight w:val="0"/>
          <w:marTop w:val="0"/>
          <w:marBottom w:val="0"/>
          <w:divBdr>
            <w:top w:val="none" w:sz="0" w:space="0" w:color="auto"/>
            <w:left w:val="none" w:sz="0" w:space="0" w:color="auto"/>
            <w:bottom w:val="none" w:sz="0" w:space="0" w:color="auto"/>
            <w:right w:val="none" w:sz="0" w:space="0" w:color="auto"/>
          </w:divBdr>
        </w:div>
        <w:div w:id="1072310873">
          <w:marLeft w:val="0"/>
          <w:marRight w:val="0"/>
          <w:marTop w:val="0"/>
          <w:marBottom w:val="0"/>
          <w:divBdr>
            <w:top w:val="none" w:sz="0" w:space="0" w:color="auto"/>
            <w:left w:val="none" w:sz="0" w:space="0" w:color="auto"/>
            <w:bottom w:val="none" w:sz="0" w:space="0" w:color="auto"/>
            <w:right w:val="none" w:sz="0" w:space="0" w:color="auto"/>
          </w:divBdr>
        </w:div>
        <w:div w:id="801464959">
          <w:marLeft w:val="0"/>
          <w:marRight w:val="0"/>
          <w:marTop w:val="0"/>
          <w:marBottom w:val="0"/>
          <w:divBdr>
            <w:top w:val="none" w:sz="0" w:space="0" w:color="auto"/>
            <w:left w:val="none" w:sz="0" w:space="0" w:color="auto"/>
            <w:bottom w:val="none" w:sz="0" w:space="0" w:color="auto"/>
            <w:right w:val="none" w:sz="0" w:space="0" w:color="auto"/>
          </w:divBdr>
        </w:div>
        <w:div w:id="977880769">
          <w:marLeft w:val="0"/>
          <w:marRight w:val="0"/>
          <w:marTop w:val="0"/>
          <w:marBottom w:val="0"/>
          <w:divBdr>
            <w:top w:val="none" w:sz="0" w:space="0" w:color="auto"/>
            <w:left w:val="none" w:sz="0" w:space="0" w:color="auto"/>
            <w:bottom w:val="none" w:sz="0" w:space="0" w:color="auto"/>
            <w:right w:val="none" w:sz="0" w:space="0" w:color="auto"/>
          </w:divBdr>
        </w:div>
        <w:div w:id="1836608187">
          <w:marLeft w:val="0"/>
          <w:marRight w:val="0"/>
          <w:marTop w:val="0"/>
          <w:marBottom w:val="0"/>
          <w:divBdr>
            <w:top w:val="none" w:sz="0" w:space="0" w:color="auto"/>
            <w:left w:val="none" w:sz="0" w:space="0" w:color="auto"/>
            <w:bottom w:val="none" w:sz="0" w:space="0" w:color="auto"/>
            <w:right w:val="none" w:sz="0" w:space="0" w:color="auto"/>
          </w:divBdr>
        </w:div>
        <w:div w:id="934630287">
          <w:marLeft w:val="0"/>
          <w:marRight w:val="0"/>
          <w:marTop w:val="0"/>
          <w:marBottom w:val="0"/>
          <w:divBdr>
            <w:top w:val="none" w:sz="0" w:space="0" w:color="auto"/>
            <w:left w:val="none" w:sz="0" w:space="0" w:color="auto"/>
            <w:bottom w:val="none" w:sz="0" w:space="0" w:color="auto"/>
            <w:right w:val="none" w:sz="0" w:space="0" w:color="auto"/>
          </w:divBdr>
        </w:div>
        <w:div w:id="721054018">
          <w:marLeft w:val="0"/>
          <w:marRight w:val="0"/>
          <w:marTop w:val="0"/>
          <w:marBottom w:val="0"/>
          <w:divBdr>
            <w:top w:val="none" w:sz="0" w:space="0" w:color="auto"/>
            <w:left w:val="none" w:sz="0" w:space="0" w:color="auto"/>
            <w:bottom w:val="none" w:sz="0" w:space="0" w:color="auto"/>
            <w:right w:val="none" w:sz="0" w:space="0" w:color="auto"/>
          </w:divBdr>
        </w:div>
        <w:div w:id="624122671">
          <w:marLeft w:val="0"/>
          <w:marRight w:val="0"/>
          <w:marTop w:val="0"/>
          <w:marBottom w:val="0"/>
          <w:divBdr>
            <w:top w:val="none" w:sz="0" w:space="0" w:color="auto"/>
            <w:left w:val="none" w:sz="0" w:space="0" w:color="auto"/>
            <w:bottom w:val="none" w:sz="0" w:space="0" w:color="auto"/>
            <w:right w:val="none" w:sz="0" w:space="0" w:color="auto"/>
          </w:divBdr>
        </w:div>
        <w:div w:id="1147043078">
          <w:marLeft w:val="0"/>
          <w:marRight w:val="0"/>
          <w:marTop w:val="0"/>
          <w:marBottom w:val="0"/>
          <w:divBdr>
            <w:top w:val="none" w:sz="0" w:space="0" w:color="auto"/>
            <w:left w:val="none" w:sz="0" w:space="0" w:color="auto"/>
            <w:bottom w:val="none" w:sz="0" w:space="0" w:color="auto"/>
            <w:right w:val="none" w:sz="0" w:space="0" w:color="auto"/>
          </w:divBdr>
        </w:div>
        <w:div w:id="250747639">
          <w:marLeft w:val="0"/>
          <w:marRight w:val="0"/>
          <w:marTop w:val="0"/>
          <w:marBottom w:val="0"/>
          <w:divBdr>
            <w:top w:val="none" w:sz="0" w:space="0" w:color="auto"/>
            <w:left w:val="none" w:sz="0" w:space="0" w:color="auto"/>
            <w:bottom w:val="none" w:sz="0" w:space="0" w:color="auto"/>
            <w:right w:val="none" w:sz="0" w:space="0" w:color="auto"/>
          </w:divBdr>
        </w:div>
        <w:div w:id="1961456121">
          <w:marLeft w:val="0"/>
          <w:marRight w:val="0"/>
          <w:marTop w:val="0"/>
          <w:marBottom w:val="0"/>
          <w:divBdr>
            <w:top w:val="none" w:sz="0" w:space="0" w:color="auto"/>
            <w:left w:val="none" w:sz="0" w:space="0" w:color="auto"/>
            <w:bottom w:val="none" w:sz="0" w:space="0" w:color="auto"/>
            <w:right w:val="none" w:sz="0" w:space="0" w:color="auto"/>
          </w:divBdr>
        </w:div>
        <w:div w:id="171997605">
          <w:marLeft w:val="0"/>
          <w:marRight w:val="0"/>
          <w:marTop w:val="0"/>
          <w:marBottom w:val="0"/>
          <w:divBdr>
            <w:top w:val="none" w:sz="0" w:space="0" w:color="auto"/>
            <w:left w:val="none" w:sz="0" w:space="0" w:color="auto"/>
            <w:bottom w:val="none" w:sz="0" w:space="0" w:color="auto"/>
            <w:right w:val="none" w:sz="0" w:space="0" w:color="auto"/>
          </w:divBdr>
        </w:div>
        <w:div w:id="1377968908">
          <w:marLeft w:val="0"/>
          <w:marRight w:val="0"/>
          <w:marTop w:val="0"/>
          <w:marBottom w:val="0"/>
          <w:divBdr>
            <w:top w:val="none" w:sz="0" w:space="0" w:color="auto"/>
            <w:left w:val="none" w:sz="0" w:space="0" w:color="auto"/>
            <w:bottom w:val="none" w:sz="0" w:space="0" w:color="auto"/>
            <w:right w:val="none" w:sz="0" w:space="0" w:color="auto"/>
          </w:divBdr>
        </w:div>
        <w:div w:id="394354266">
          <w:marLeft w:val="0"/>
          <w:marRight w:val="0"/>
          <w:marTop w:val="0"/>
          <w:marBottom w:val="0"/>
          <w:divBdr>
            <w:top w:val="none" w:sz="0" w:space="0" w:color="auto"/>
            <w:left w:val="none" w:sz="0" w:space="0" w:color="auto"/>
            <w:bottom w:val="none" w:sz="0" w:space="0" w:color="auto"/>
            <w:right w:val="none" w:sz="0" w:space="0" w:color="auto"/>
          </w:divBdr>
        </w:div>
        <w:div w:id="986397944">
          <w:marLeft w:val="0"/>
          <w:marRight w:val="0"/>
          <w:marTop w:val="0"/>
          <w:marBottom w:val="0"/>
          <w:divBdr>
            <w:top w:val="none" w:sz="0" w:space="0" w:color="auto"/>
            <w:left w:val="none" w:sz="0" w:space="0" w:color="auto"/>
            <w:bottom w:val="none" w:sz="0" w:space="0" w:color="auto"/>
            <w:right w:val="none" w:sz="0" w:space="0" w:color="auto"/>
          </w:divBdr>
        </w:div>
        <w:div w:id="424619576">
          <w:marLeft w:val="0"/>
          <w:marRight w:val="0"/>
          <w:marTop w:val="0"/>
          <w:marBottom w:val="0"/>
          <w:divBdr>
            <w:top w:val="none" w:sz="0" w:space="0" w:color="auto"/>
            <w:left w:val="none" w:sz="0" w:space="0" w:color="auto"/>
            <w:bottom w:val="none" w:sz="0" w:space="0" w:color="auto"/>
            <w:right w:val="none" w:sz="0" w:space="0" w:color="auto"/>
          </w:divBdr>
        </w:div>
        <w:div w:id="658926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sdxzhangxu@yahoo.com.cn" TargetMode="External"/><Relationship Id="rId24" Type="http://schemas.openxmlformats.org/officeDocument/2006/relationships/image" Target="media/image13.tiff"/><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footer" Target="footer2.xml"/><Relationship Id="rId10" Type="http://schemas.openxmlformats.org/officeDocument/2006/relationships/hyperlink" Target="http://creativecommons.org/licenses/by-nc/4.0/" TargetMode="External"/><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hyperlink" Target="mailto:zsdxzhangxu@yahoo.com.cn" TargetMode="Externa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1777B-C6C5-438F-BD62-0FB09636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5098</Words>
  <Characters>29063</Characters>
  <Application>Microsoft Office Word</Application>
  <DocSecurity>0</DocSecurity>
  <Lines>242</Lines>
  <Paragraphs>68</Paragraphs>
  <ScaleCrop>false</ScaleCrop>
  <Company>微软中国</Company>
  <LinksUpToDate>false</LinksUpToDate>
  <CharactersWithSpaces>34093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LS Ma</cp:lastModifiedBy>
  <cp:revision>2</cp:revision>
  <dcterms:created xsi:type="dcterms:W3CDTF">2015-03-18T14:02:00Z</dcterms:created>
  <dcterms:modified xsi:type="dcterms:W3CDTF">2015-03-18T14:02:00Z</dcterms:modified>
</cp:coreProperties>
</file>