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06" w:rsidRPr="008C263A" w:rsidRDefault="00766206" w:rsidP="00F23E6B">
      <w:pPr>
        <w:spacing w:after="0" w:line="360" w:lineRule="auto"/>
        <w:jc w:val="both"/>
        <w:rPr>
          <w:rFonts w:ascii="Book Antiqua" w:hAnsi="Book Antiqua"/>
          <w:b/>
          <w:color w:val="000000"/>
          <w:sz w:val="24"/>
          <w:szCs w:val="24"/>
        </w:rPr>
      </w:pPr>
      <w:r w:rsidRPr="008C263A">
        <w:rPr>
          <w:rFonts w:ascii="Book Antiqua" w:hAnsi="Book Antiqua"/>
          <w:b/>
          <w:color w:val="000000"/>
          <w:sz w:val="24"/>
          <w:szCs w:val="24"/>
        </w:rPr>
        <w:t xml:space="preserve">Name of journal: </w:t>
      </w:r>
      <w:r w:rsidRPr="008C263A">
        <w:rPr>
          <w:rFonts w:ascii="Book Antiqua" w:hAnsi="Book Antiqua"/>
          <w:b/>
          <w:i/>
          <w:color w:val="000000"/>
          <w:sz w:val="24"/>
          <w:szCs w:val="24"/>
        </w:rPr>
        <w:t>World Journal of Hepatology</w:t>
      </w:r>
    </w:p>
    <w:p w:rsidR="00766206" w:rsidRPr="008C263A" w:rsidRDefault="00766206" w:rsidP="00F23E6B">
      <w:pPr>
        <w:spacing w:after="0" w:line="360" w:lineRule="auto"/>
        <w:jc w:val="both"/>
        <w:rPr>
          <w:rFonts w:ascii="Book Antiqua" w:hAnsi="Book Antiqua"/>
          <w:b/>
          <w:color w:val="000000"/>
          <w:sz w:val="24"/>
          <w:szCs w:val="24"/>
        </w:rPr>
      </w:pPr>
      <w:r w:rsidRPr="008C263A">
        <w:rPr>
          <w:rFonts w:ascii="Book Antiqua" w:hAnsi="Book Antiqua"/>
          <w:b/>
          <w:color w:val="000000"/>
          <w:sz w:val="24"/>
          <w:szCs w:val="24"/>
        </w:rPr>
        <w:t>ESPS Manuscript N</w:t>
      </w:r>
      <w:r w:rsidRPr="008C263A">
        <w:rPr>
          <w:rFonts w:ascii="Book Antiqua" w:hAnsi="Book Antiqua"/>
          <w:b/>
          <w:color w:val="000000"/>
          <w:sz w:val="24"/>
          <w:szCs w:val="24"/>
          <w:lang w:eastAsia="zh-CN"/>
        </w:rPr>
        <w:t>O</w:t>
      </w:r>
      <w:r w:rsidRPr="008C263A">
        <w:rPr>
          <w:rFonts w:ascii="Book Antiqua" w:hAnsi="Book Antiqua"/>
          <w:b/>
          <w:color w:val="000000"/>
          <w:sz w:val="24"/>
          <w:szCs w:val="24"/>
        </w:rPr>
        <w:t>: 15294</w:t>
      </w:r>
    </w:p>
    <w:p w:rsidR="00766206" w:rsidRPr="008C263A" w:rsidRDefault="00766206" w:rsidP="009D25A8">
      <w:pPr>
        <w:spacing w:line="360" w:lineRule="auto"/>
        <w:rPr>
          <w:rFonts w:ascii="Book Antiqua" w:hAnsi="Book Antiqua"/>
          <w:b/>
          <w:color w:val="000000"/>
          <w:sz w:val="24"/>
          <w:szCs w:val="24"/>
        </w:rPr>
      </w:pPr>
      <w:r w:rsidRPr="008C263A">
        <w:rPr>
          <w:rFonts w:ascii="Book Antiqua" w:hAnsi="Book Antiqua"/>
          <w:b/>
          <w:color w:val="000000"/>
          <w:sz w:val="24"/>
          <w:szCs w:val="24"/>
        </w:rPr>
        <w:t>Manuscript Type: Original Article</w:t>
      </w:r>
    </w:p>
    <w:p w:rsidR="00766206" w:rsidRPr="008C263A" w:rsidRDefault="00766206" w:rsidP="00F23E6B">
      <w:pPr>
        <w:spacing w:after="0" w:line="360" w:lineRule="auto"/>
        <w:jc w:val="both"/>
        <w:rPr>
          <w:rFonts w:ascii="Book Antiqua" w:hAnsi="Book Antiqua" w:cs="Arial"/>
          <w:b/>
          <w:i/>
          <w:sz w:val="24"/>
          <w:szCs w:val="24"/>
          <w:lang w:eastAsia="zh-CN"/>
        </w:rPr>
      </w:pPr>
    </w:p>
    <w:p w:rsidR="00766206" w:rsidRPr="008C263A" w:rsidRDefault="00766206" w:rsidP="00F23E6B">
      <w:pPr>
        <w:spacing w:after="0" w:line="360" w:lineRule="auto"/>
        <w:jc w:val="both"/>
        <w:rPr>
          <w:rFonts w:ascii="Book Antiqua" w:hAnsi="Book Antiqua" w:cs="Arial"/>
          <w:b/>
          <w:i/>
          <w:sz w:val="24"/>
          <w:szCs w:val="24"/>
        </w:rPr>
      </w:pPr>
      <w:r w:rsidRPr="008C263A">
        <w:rPr>
          <w:rFonts w:ascii="Book Antiqua" w:hAnsi="Book Antiqua" w:cs="Arial"/>
          <w:b/>
          <w:i/>
          <w:sz w:val="24"/>
          <w:szCs w:val="24"/>
        </w:rPr>
        <w:t>Observational Study</w:t>
      </w:r>
    </w:p>
    <w:p w:rsidR="00766206" w:rsidRPr="008C263A" w:rsidRDefault="00766206" w:rsidP="00F23E6B">
      <w:pPr>
        <w:spacing w:after="0" w:line="360" w:lineRule="auto"/>
        <w:jc w:val="both"/>
        <w:rPr>
          <w:rFonts w:ascii="Book Antiqua" w:hAnsi="Book Antiqua" w:cs="Arial"/>
          <w:b/>
          <w:sz w:val="24"/>
          <w:szCs w:val="24"/>
        </w:rPr>
      </w:pPr>
      <w:r w:rsidRPr="008C263A">
        <w:rPr>
          <w:rFonts w:ascii="Book Antiqua" w:hAnsi="Book Antiqua" w:cs="Arial"/>
          <w:b/>
          <w:sz w:val="24"/>
          <w:szCs w:val="24"/>
        </w:rPr>
        <w:t>Virological response and resistance mutations to NS3/4A inhibitors in hepatitis C virus-human immunodeficiency virus coinfection</w:t>
      </w: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val="fr-FR"/>
        </w:rPr>
      </w:pPr>
      <w:r w:rsidRPr="008C263A">
        <w:rPr>
          <w:rFonts w:ascii="Book Antiqua" w:hAnsi="Book Antiqua" w:cs="Arial"/>
          <w:sz w:val="24"/>
          <w:szCs w:val="24"/>
          <w:lang w:val="fr-FR"/>
        </w:rPr>
        <w:t>Naqvi A</w:t>
      </w:r>
      <w:r w:rsidRPr="008C263A">
        <w:rPr>
          <w:rFonts w:ascii="Book Antiqua" w:hAnsi="Book Antiqua" w:cs="Arial"/>
          <w:sz w:val="24"/>
          <w:szCs w:val="24"/>
          <w:lang w:val="fr-FR" w:eastAsia="zh-CN"/>
        </w:rPr>
        <w:t xml:space="preserve"> </w:t>
      </w:r>
      <w:r w:rsidRPr="008C263A">
        <w:rPr>
          <w:rFonts w:ascii="Book Antiqua" w:hAnsi="Book Antiqua" w:cs="Arial"/>
          <w:i/>
          <w:sz w:val="24"/>
          <w:szCs w:val="24"/>
          <w:lang w:val="fr-FR" w:eastAsia="zh-CN"/>
        </w:rPr>
        <w:t>et al</w:t>
      </w:r>
      <w:r w:rsidRPr="008C263A">
        <w:rPr>
          <w:rFonts w:ascii="Book Antiqua" w:hAnsi="Book Antiqua" w:cs="Arial"/>
          <w:sz w:val="24"/>
          <w:szCs w:val="24"/>
          <w:lang w:val="fr-FR" w:eastAsia="zh-CN"/>
        </w:rPr>
        <w:t xml:space="preserve">. </w:t>
      </w:r>
      <w:r w:rsidRPr="008C263A">
        <w:rPr>
          <w:rFonts w:ascii="Book Antiqua" w:hAnsi="Book Antiqua" w:cs="Arial"/>
          <w:sz w:val="24"/>
          <w:szCs w:val="24"/>
          <w:lang w:val="fr-FR"/>
        </w:rPr>
        <w:t>Virological response to NS3/4A inhibitors</w:t>
      </w:r>
    </w:p>
    <w:p w:rsidR="00766206" w:rsidRPr="00FF72F7" w:rsidRDefault="00766206" w:rsidP="00F23E6B">
      <w:pPr>
        <w:spacing w:after="0" w:line="360" w:lineRule="auto"/>
        <w:jc w:val="both"/>
        <w:rPr>
          <w:rFonts w:ascii="Book Antiqua" w:hAnsi="Book Antiqua" w:cs="Arial"/>
          <w:b/>
          <w:sz w:val="24"/>
          <w:szCs w:val="24"/>
          <w:lang w:val="fr-FR" w:eastAsia="zh-CN"/>
        </w:rPr>
      </w:pPr>
    </w:p>
    <w:p w:rsidR="00766206" w:rsidRPr="00FF72F7" w:rsidRDefault="00766206" w:rsidP="00F23E6B">
      <w:pPr>
        <w:spacing w:after="0" w:line="360" w:lineRule="auto"/>
        <w:jc w:val="both"/>
        <w:rPr>
          <w:rFonts w:ascii="Book Antiqua" w:hAnsi="Book Antiqua" w:cs="Arial"/>
          <w:b/>
          <w:sz w:val="24"/>
          <w:szCs w:val="24"/>
          <w:lang w:val="fr-FR"/>
        </w:rPr>
      </w:pPr>
      <w:r w:rsidRPr="00FF72F7">
        <w:rPr>
          <w:rFonts w:ascii="Book Antiqua" w:hAnsi="Book Antiqua" w:cs="Arial"/>
          <w:b/>
          <w:sz w:val="24"/>
          <w:szCs w:val="24"/>
          <w:lang w:val="fr-FR"/>
        </w:rPr>
        <w:t xml:space="preserve">Alissa Naqvi, Valérie Giordanengo, Brigitte Dunais, Francine de Salvador-Guillouet, Isabelle Perbost, Jacques Durant, Pascal Pugliese, Aline Joulié, Pierre Marie Roger, Eric Rosenthal </w:t>
      </w:r>
    </w:p>
    <w:p w:rsidR="00766206" w:rsidRPr="008C263A" w:rsidRDefault="00766206" w:rsidP="00F23E6B">
      <w:pPr>
        <w:spacing w:after="0" w:line="360" w:lineRule="auto"/>
        <w:jc w:val="both"/>
        <w:rPr>
          <w:rFonts w:ascii="Book Antiqua" w:hAnsi="Book Antiqua" w:cs="Arial"/>
          <w:sz w:val="24"/>
          <w:szCs w:val="24"/>
          <w:lang w:val="fr-FR" w:eastAsia="zh-CN"/>
        </w:rPr>
      </w:pPr>
    </w:p>
    <w:p w:rsidR="00766206" w:rsidRPr="008C263A" w:rsidRDefault="00766206" w:rsidP="00F23E6B">
      <w:pPr>
        <w:spacing w:after="0" w:line="360" w:lineRule="auto"/>
        <w:jc w:val="both"/>
        <w:rPr>
          <w:rFonts w:ascii="Book Antiqua" w:hAnsi="Book Antiqua" w:cs="Arial"/>
          <w:sz w:val="24"/>
          <w:szCs w:val="24"/>
          <w:lang w:val="fr-FR" w:eastAsia="zh-CN"/>
        </w:rPr>
      </w:pPr>
      <w:r w:rsidRPr="008C263A">
        <w:rPr>
          <w:rFonts w:ascii="Book Antiqua" w:hAnsi="Book Antiqua" w:cs="Arial"/>
          <w:b/>
          <w:sz w:val="24"/>
          <w:szCs w:val="24"/>
          <w:lang w:val="fr-FR"/>
        </w:rPr>
        <w:t xml:space="preserve">Alissa Naqvi, Brigitte Dunais, Francine de Salvador-Guillouet, Isabelle Perbost, Jacques Durant, Pascal Pugliese, Pierre Marie Roger, </w:t>
      </w:r>
      <w:r w:rsidRPr="008C263A">
        <w:rPr>
          <w:rFonts w:ascii="Book Antiqua" w:hAnsi="Book Antiqua" w:cs="Arial"/>
          <w:sz w:val="24"/>
          <w:szCs w:val="24"/>
          <w:lang w:val="fr-FR"/>
        </w:rPr>
        <w:t>Infectious Diseases Department, Archet Hospital, Centre Hospitalier Universitaire, 06200 Nice, France</w:t>
      </w:r>
    </w:p>
    <w:p w:rsidR="00766206" w:rsidRPr="008C263A" w:rsidRDefault="00766206" w:rsidP="00F23E6B">
      <w:pPr>
        <w:spacing w:after="0" w:line="360" w:lineRule="auto"/>
        <w:jc w:val="both"/>
        <w:rPr>
          <w:rFonts w:ascii="Book Antiqua" w:hAnsi="Book Antiqua" w:cs="Arial"/>
          <w:sz w:val="24"/>
          <w:szCs w:val="24"/>
          <w:lang w:val="fr-FR" w:eastAsia="zh-CN"/>
        </w:rPr>
      </w:pPr>
    </w:p>
    <w:p w:rsidR="00766206" w:rsidRPr="008C263A" w:rsidRDefault="00766206" w:rsidP="00F23E6B">
      <w:pPr>
        <w:spacing w:after="0" w:line="360" w:lineRule="auto"/>
        <w:jc w:val="both"/>
        <w:rPr>
          <w:rFonts w:ascii="Book Antiqua" w:hAnsi="Book Antiqua" w:cs="Arial"/>
          <w:sz w:val="24"/>
          <w:szCs w:val="24"/>
          <w:lang w:val="fr-FR" w:eastAsia="zh-CN"/>
        </w:rPr>
      </w:pPr>
      <w:r w:rsidRPr="008C263A">
        <w:rPr>
          <w:rFonts w:ascii="Book Antiqua" w:hAnsi="Book Antiqua" w:cs="Arial"/>
          <w:b/>
          <w:sz w:val="24"/>
          <w:szCs w:val="24"/>
          <w:lang w:val="fr-FR"/>
        </w:rPr>
        <w:t>Valérie Giordanengo,</w:t>
      </w:r>
      <w:r w:rsidRPr="008C263A">
        <w:rPr>
          <w:rFonts w:ascii="Book Antiqua" w:hAnsi="Book Antiqua" w:cs="Arial"/>
          <w:sz w:val="24"/>
          <w:szCs w:val="24"/>
          <w:lang w:val="fr-FR"/>
        </w:rPr>
        <w:t xml:space="preserve"> Virology Laboratory, Archet Hospital, Centre Hospitalier Universitaire, 06200 Nice, France</w:t>
      </w:r>
    </w:p>
    <w:p w:rsidR="00766206" w:rsidRPr="008C263A" w:rsidRDefault="00766206" w:rsidP="00F23E6B">
      <w:pPr>
        <w:spacing w:after="0" w:line="360" w:lineRule="auto"/>
        <w:jc w:val="both"/>
        <w:rPr>
          <w:rFonts w:ascii="Book Antiqua" w:hAnsi="Book Antiqua" w:cs="Arial"/>
          <w:sz w:val="24"/>
          <w:szCs w:val="24"/>
          <w:lang w:val="fr-FR" w:eastAsia="zh-CN"/>
        </w:rPr>
      </w:pPr>
    </w:p>
    <w:p w:rsidR="00766206" w:rsidRPr="008C263A" w:rsidRDefault="00766206" w:rsidP="00F23E6B">
      <w:pPr>
        <w:spacing w:after="0" w:line="360" w:lineRule="auto"/>
        <w:jc w:val="both"/>
        <w:rPr>
          <w:rFonts w:ascii="Book Antiqua" w:hAnsi="Book Antiqua" w:cs="Arial"/>
          <w:sz w:val="24"/>
          <w:szCs w:val="24"/>
          <w:lang w:val="fr-FR" w:eastAsia="zh-CN"/>
        </w:rPr>
      </w:pPr>
      <w:r w:rsidRPr="008C263A">
        <w:rPr>
          <w:rFonts w:ascii="Book Antiqua" w:hAnsi="Book Antiqua" w:cs="Arial"/>
          <w:b/>
          <w:sz w:val="24"/>
          <w:szCs w:val="24"/>
          <w:lang w:val="fr-FR"/>
        </w:rPr>
        <w:t>Aline Joulié</w:t>
      </w:r>
      <w:r w:rsidRPr="008C263A">
        <w:rPr>
          <w:rFonts w:ascii="Book Antiqua" w:hAnsi="Book Antiqua" w:cs="Arial"/>
          <w:b/>
          <w:sz w:val="24"/>
          <w:szCs w:val="24"/>
          <w:lang w:val="fr-FR" w:eastAsia="zh-CN"/>
        </w:rPr>
        <w:t xml:space="preserve">, </w:t>
      </w:r>
      <w:r w:rsidRPr="008C263A">
        <w:rPr>
          <w:rFonts w:ascii="Book Antiqua" w:hAnsi="Book Antiqua" w:cs="Arial"/>
          <w:b/>
          <w:sz w:val="24"/>
          <w:szCs w:val="24"/>
          <w:lang w:val="fr-FR"/>
        </w:rPr>
        <w:t>Eric Rosenthal</w:t>
      </w:r>
      <w:r w:rsidRPr="008C263A">
        <w:rPr>
          <w:rFonts w:ascii="Book Antiqua" w:hAnsi="Book Antiqua" w:cs="Arial"/>
          <w:b/>
          <w:sz w:val="24"/>
          <w:szCs w:val="24"/>
          <w:lang w:val="fr-FR" w:eastAsia="zh-CN"/>
        </w:rPr>
        <w:t>,</w:t>
      </w:r>
      <w:r w:rsidRPr="008C263A">
        <w:rPr>
          <w:rFonts w:ascii="Book Antiqua" w:hAnsi="Book Antiqua" w:cs="Arial"/>
          <w:sz w:val="24"/>
          <w:szCs w:val="24"/>
          <w:lang w:val="fr-FR" w:eastAsia="zh-CN"/>
        </w:rPr>
        <w:t xml:space="preserve"> </w:t>
      </w:r>
      <w:r w:rsidRPr="008C263A">
        <w:rPr>
          <w:rFonts w:ascii="Book Antiqua" w:hAnsi="Book Antiqua" w:cs="Arial"/>
          <w:sz w:val="24"/>
          <w:szCs w:val="24"/>
          <w:lang w:val="fr-FR"/>
        </w:rPr>
        <w:t>Internal Medicine Department, Archet Hospital, Centre Hospitalier Universitaire, 06200 Nice, France</w:t>
      </w:r>
    </w:p>
    <w:p w:rsidR="00766206" w:rsidRPr="008C263A" w:rsidRDefault="00766206" w:rsidP="00F23E6B">
      <w:pPr>
        <w:spacing w:after="0" w:line="360" w:lineRule="auto"/>
        <w:jc w:val="both"/>
        <w:rPr>
          <w:rFonts w:ascii="Book Antiqua" w:hAnsi="Book Antiqua" w:cs="Arial"/>
          <w:sz w:val="24"/>
          <w:szCs w:val="24"/>
          <w:lang w:val="fr-FR"/>
        </w:rPr>
      </w:pPr>
    </w:p>
    <w:p w:rsidR="00766206" w:rsidRPr="008C263A" w:rsidRDefault="00766206" w:rsidP="00F23E6B">
      <w:pPr>
        <w:spacing w:after="0" w:line="360" w:lineRule="auto"/>
        <w:jc w:val="both"/>
        <w:rPr>
          <w:rFonts w:ascii="Book Antiqua" w:hAnsi="Book Antiqua" w:cs="Arial"/>
          <w:sz w:val="24"/>
          <w:szCs w:val="24"/>
          <w:lang w:eastAsia="zh-CN"/>
        </w:rPr>
      </w:pPr>
      <w:bookmarkStart w:id="0" w:name="OLE_LINK17"/>
      <w:bookmarkStart w:id="1" w:name="OLE_LINK18"/>
      <w:r w:rsidRPr="008C263A">
        <w:rPr>
          <w:rFonts w:ascii="Book Antiqua" w:hAnsi="Book Antiqua"/>
          <w:b/>
          <w:color w:val="000000"/>
          <w:sz w:val="24"/>
          <w:szCs w:val="24"/>
        </w:rPr>
        <w:t>Author contributions</w:t>
      </w:r>
      <w:bookmarkEnd w:id="0"/>
      <w:bookmarkEnd w:id="1"/>
      <w:r w:rsidRPr="00FA65FE">
        <w:rPr>
          <w:rStyle w:val="CommentReference"/>
          <w:rFonts w:ascii="Book Antiqua" w:hAnsi="Book Antiqua"/>
          <w:b/>
          <w:color w:val="000000"/>
          <w:sz w:val="24"/>
          <w:szCs w:val="24"/>
        </w:rPr>
        <w:t>:</w:t>
      </w:r>
      <w:r w:rsidRPr="008C263A">
        <w:rPr>
          <w:rStyle w:val="CommentReference"/>
          <w:rFonts w:ascii="Book Antiqua" w:hAnsi="Book Antiqua"/>
          <w:color w:val="000000"/>
          <w:sz w:val="24"/>
          <w:szCs w:val="24"/>
          <w:lang w:eastAsia="zh-CN"/>
        </w:rPr>
        <w:t xml:space="preserve"> </w:t>
      </w:r>
      <w:r w:rsidRPr="008C263A">
        <w:rPr>
          <w:rFonts w:ascii="Book Antiqua" w:hAnsi="Book Antiqua" w:cs="Arial"/>
          <w:sz w:val="24"/>
          <w:szCs w:val="24"/>
        </w:rPr>
        <w:t>Naqvi A, Dunais B, Rosenthal E designed the research study</w:t>
      </w:r>
      <w:r w:rsidRPr="008C263A">
        <w:rPr>
          <w:rFonts w:ascii="Book Antiqua" w:hAnsi="Book Antiqua" w:cs="Arial"/>
          <w:sz w:val="24"/>
          <w:szCs w:val="24"/>
          <w:lang w:eastAsia="zh-CN"/>
        </w:rPr>
        <w:t>;</w:t>
      </w:r>
      <w:r w:rsidRPr="008C263A">
        <w:rPr>
          <w:rFonts w:ascii="Book Antiqua" w:hAnsi="Book Antiqua" w:cs="Arial"/>
          <w:sz w:val="24"/>
          <w:szCs w:val="24"/>
        </w:rPr>
        <w:t xml:space="preserve"> Pugliese P and Joulie A extracted the data from the database</w:t>
      </w:r>
      <w:r w:rsidRPr="008C263A">
        <w:rPr>
          <w:rFonts w:ascii="Book Antiqua" w:hAnsi="Book Antiqua" w:cs="Arial"/>
          <w:sz w:val="24"/>
          <w:szCs w:val="24"/>
          <w:lang w:eastAsia="zh-CN"/>
        </w:rPr>
        <w:t>;</w:t>
      </w:r>
      <w:r w:rsidRPr="008C263A">
        <w:rPr>
          <w:rFonts w:ascii="Book Antiqua" w:hAnsi="Book Antiqua" w:cs="Arial"/>
          <w:sz w:val="24"/>
          <w:szCs w:val="24"/>
        </w:rPr>
        <w:t xml:space="preserve"> Naqvi A, Giordanengo V, Dunais B, Joulie A and Rosenthal E interpreted the final data analys</w:t>
      </w:r>
      <w:r w:rsidRPr="008C263A">
        <w:rPr>
          <w:rFonts w:ascii="Book Antiqua" w:hAnsi="Book Antiqua" w:cs="Arial"/>
          <w:sz w:val="24"/>
          <w:szCs w:val="24"/>
          <w:lang w:eastAsia="zh-CN"/>
        </w:rPr>
        <w:t>i</w:t>
      </w:r>
      <w:r w:rsidRPr="008C263A">
        <w:rPr>
          <w:rFonts w:ascii="Book Antiqua" w:hAnsi="Book Antiqua" w:cs="Arial"/>
          <w:sz w:val="24"/>
          <w:szCs w:val="24"/>
        </w:rPr>
        <w:t>s and wrote the report</w:t>
      </w:r>
      <w:r w:rsidRPr="008C263A">
        <w:rPr>
          <w:rFonts w:ascii="Book Antiqua" w:hAnsi="Book Antiqua" w:cs="Arial"/>
          <w:sz w:val="24"/>
          <w:szCs w:val="24"/>
          <w:lang w:eastAsia="zh-CN"/>
        </w:rPr>
        <w:t>;</w:t>
      </w:r>
      <w:r w:rsidRPr="008C263A">
        <w:rPr>
          <w:rFonts w:ascii="Book Antiqua" w:hAnsi="Book Antiqua" w:cs="Arial"/>
          <w:sz w:val="24"/>
          <w:szCs w:val="24"/>
        </w:rPr>
        <w:t xml:space="preserve"> all authors read and critically commented on the paper. </w:t>
      </w:r>
    </w:p>
    <w:p w:rsidR="00766206" w:rsidRPr="008C263A" w:rsidRDefault="00766206" w:rsidP="00F23E6B">
      <w:pPr>
        <w:spacing w:after="0" w:line="360" w:lineRule="auto"/>
        <w:jc w:val="both"/>
        <w:rPr>
          <w:rFonts w:ascii="Book Antiqua" w:hAnsi="Book Antiqua" w:cs="Arial"/>
          <w:b/>
          <w:sz w:val="24"/>
          <w:szCs w:val="24"/>
          <w:lang w:eastAsia="zh-CN"/>
        </w:rPr>
      </w:pPr>
    </w:p>
    <w:p w:rsidR="00766206" w:rsidRPr="008C263A" w:rsidRDefault="00766206" w:rsidP="00F23E6B">
      <w:pPr>
        <w:autoSpaceDE w:val="0"/>
        <w:autoSpaceDN w:val="0"/>
        <w:adjustRightInd w:val="0"/>
        <w:spacing w:after="0" w:line="360" w:lineRule="auto"/>
        <w:jc w:val="both"/>
        <w:rPr>
          <w:rFonts w:ascii="Book Antiqua" w:hAnsi="Book Antiqua" w:cs="Arial"/>
          <w:sz w:val="24"/>
          <w:szCs w:val="24"/>
          <w:lang w:eastAsia="zh-CN"/>
        </w:rPr>
      </w:pPr>
      <w:r w:rsidRPr="004E1EAF">
        <w:rPr>
          <w:rFonts w:ascii="Book Antiqua" w:hAnsi="Book Antiqua"/>
          <w:b/>
          <w:sz w:val="24"/>
          <w:szCs w:val="24"/>
        </w:rPr>
        <w:t>Institutional review board statement:</w:t>
      </w:r>
      <w:r>
        <w:rPr>
          <w:rFonts w:ascii="Book Antiqua" w:hAnsi="Book Antiqua"/>
          <w:b/>
          <w:sz w:val="24"/>
          <w:szCs w:val="24"/>
          <w:lang w:eastAsia="zh-CN"/>
        </w:rPr>
        <w:t xml:space="preserve"> </w:t>
      </w:r>
      <w:r w:rsidRPr="008C263A">
        <w:rPr>
          <w:rFonts w:ascii="Book Antiqua" w:hAnsi="Book Antiqua" w:cs="Arial"/>
          <w:sz w:val="24"/>
          <w:szCs w:val="24"/>
          <w:lang w:val="en-GB"/>
        </w:rPr>
        <w:t>No Ethics Committee approval was required.</w:t>
      </w:r>
      <w:r w:rsidRPr="008C263A">
        <w:rPr>
          <w:rFonts w:ascii="Book Antiqua" w:hAnsi="Book Antiqua" w:cs="Arial"/>
          <w:sz w:val="24"/>
          <w:szCs w:val="24"/>
        </w:rPr>
        <w:t xml:space="preserve"> The data collected in the Nadis</w:t>
      </w:r>
      <w:r w:rsidRPr="008C263A">
        <w:rPr>
          <w:rFonts w:ascii="Book Antiqua" w:hAnsi="Book Antiqua" w:cs="Arial"/>
          <w:sz w:val="24"/>
          <w:szCs w:val="24"/>
          <w:vertAlign w:val="superscript"/>
        </w:rPr>
        <w:t>®</w:t>
      </w:r>
      <w:r w:rsidRPr="008C263A">
        <w:rPr>
          <w:rFonts w:ascii="Book Antiqua" w:hAnsi="Book Antiqua" w:cs="Arial"/>
          <w:sz w:val="24"/>
          <w:szCs w:val="24"/>
        </w:rPr>
        <w:t xml:space="preserve"> database and details of the networking organization </w:t>
      </w:r>
      <w:r w:rsidRPr="008C263A">
        <w:rPr>
          <w:rFonts w:ascii="Book Antiqua" w:hAnsi="Book Antiqua" w:cs="Arial"/>
          <w:sz w:val="24"/>
          <w:szCs w:val="24"/>
        </w:rPr>
        <w:lastRenderedPageBreak/>
        <w:t>have been submitted to the French National Commission on Informatics and Rights (CNIL).</w:t>
      </w:r>
    </w:p>
    <w:p w:rsidR="00766206" w:rsidRPr="008C263A" w:rsidRDefault="00766206" w:rsidP="00F23E6B">
      <w:pPr>
        <w:autoSpaceDE w:val="0"/>
        <w:autoSpaceDN w:val="0"/>
        <w:adjustRightInd w:val="0"/>
        <w:spacing w:after="0" w:line="360" w:lineRule="auto"/>
        <w:jc w:val="both"/>
        <w:rPr>
          <w:rFonts w:ascii="Book Antiqua" w:hAnsi="Book Antiqua"/>
          <w:b/>
          <w:bCs/>
          <w:iCs/>
          <w:color w:val="000000"/>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r w:rsidRPr="008C263A">
        <w:rPr>
          <w:rFonts w:ascii="Book Antiqua" w:hAnsi="Book Antiqua"/>
          <w:b/>
          <w:bCs/>
          <w:iCs/>
          <w:color w:val="000000"/>
          <w:sz w:val="24"/>
          <w:szCs w:val="24"/>
        </w:rPr>
        <w:t>Informed consent</w:t>
      </w:r>
      <w:r w:rsidRPr="008C263A">
        <w:rPr>
          <w:rFonts w:ascii="Book Antiqua" w:hAnsi="Book Antiqua"/>
          <w:b/>
          <w:bCs/>
          <w:iCs/>
          <w:color w:val="000000"/>
          <w:sz w:val="24"/>
          <w:szCs w:val="24"/>
          <w:lang w:eastAsia="zh-CN"/>
        </w:rPr>
        <w:t xml:space="preserve"> </w:t>
      </w:r>
      <w:r w:rsidRPr="008C263A">
        <w:rPr>
          <w:rFonts w:ascii="Book Antiqua" w:hAnsi="Book Antiqua"/>
          <w:b/>
          <w:bCs/>
          <w:iCs/>
          <w:color w:val="000000"/>
          <w:sz w:val="24"/>
          <w:szCs w:val="24"/>
        </w:rPr>
        <w:t>statement:</w:t>
      </w:r>
      <w:r w:rsidRPr="008C263A">
        <w:rPr>
          <w:rFonts w:ascii="Book Antiqua" w:hAnsi="Book Antiqua"/>
          <w:b/>
          <w:bCs/>
          <w:iCs/>
          <w:color w:val="000000"/>
          <w:sz w:val="24"/>
          <w:szCs w:val="24"/>
          <w:lang w:eastAsia="zh-CN"/>
        </w:rPr>
        <w:t xml:space="preserve"> </w:t>
      </w:r>
      <w:r w:rsidRPr="008C263A">
        <w:rPr>
          <w:rFonts w:ascii="Book Antiqua" w:hAnsi="Book Antiqua" w:cs="Arial"/>
          <w:sz w:val="24"/>
          <w:szCs w:val="24"/>
        </w:rPr>
        <w:t>All patients provide written informed consent prior to the inclusion of their data in the Nadis</w:t>
      </w:r>
      <w:r w:rsidRPr="008C263A">
        <w:rPr>
          <w:rFonts w:ascii="Book Antiqua" w:hAnsi="Book Antiqua" w:cs="Arial"/>
          <w:sz w:val="24"/>
          <w:szCs w:val="24"/>
          <w:vertAlign w:val="superscript"/>
        </w:rPr>
        <w:t xml:space="preserve">® </w:t>
      </w:r>
      <w:r w:rsidRPr="008C263A">
        <w:rPr>
          <w:rFonts w:ascii="Book Antiqua" w:hAnsi="Book Antiqua" w:cs="Arial"/>
          <w:sz w:val="24"/>
          <w:szCs w:val="24"/>
        </w:rPr>
        <w:t>database.</w:t>
      </w: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autoSpaceDE w:val="0"/>
        <w:autoSpaceDN w:val="0"/>
        <w:adjustRightInd w:val="0"/>
        <w:spacing w:after="0" w:line="360" w:lineRule="auto"/>
        <w:jc w:val="both"/>
        <w:rPr>
          <w:rFonts w:ascii="Book Antiqua" w:hAnsi="Book Antiqua" w:cs="TimesNewRomanPS-BoldItalicMT"/>
          <w:b/>
          <w:bCs/>
          <w:iCs/>
          <w:color w:val="000000"/>
          <w:sz w:val="24"/>
          <w:szCs w:val="24"/>
        </w:rPr>
      </w:pPr>
      <w:r w:rsidRPr="008C263A">
        <w:rPr>
          <w:rFonts w:ascii="Book Antiqua" w:hAnsi="Book Antiqua" w:cs="TimesNewRomanPS-BoldItalicMT"/>
          <w:b/>
          <w:bCs/>
          <w:iCs/>
          <w:color w:val="000000"/>
          <w:sz w:val="24"/>
          <w:szCs w:val="24"/>
        </w:rPr>
        <w:t>Conflict-of-interest</w:t>
      </w:r>
      <w:r w:rsidRPr="008C263A">
        <w:rPr>
          <w:rFonts w:ascii="Book Antiqua" w:hAnsi="Book Antiqua" w:cs="TimesNewRomanPS-BoldItalicMT"/>
          <w:b/>
          <w:bCs/>
          <w:iCs/>
          <w:color w:val="000000"/>
          <w:sz w:val="24"/>
          <w:szCs w:val="24"/>
          <w:lang w:eastAsia="zh-CN"/>
        </w:rPr>
        <w:t xml:space="preserve"> </w:t>
      </w:r>
      <w:r w:rsidRPr="008C263A">
        <w:rPr>
          <w:rFonts w:ascii="Book Antiqua" w:hAnsi="Book Antiqua"/>
          <w:b/>
          <w:bCs/>
          <w:iCs/>
          <w:color w:val="000000"/>
          <w:sz w:val="24"/>
          <w:szCs w:val="24"/>
        </w:rPr>
        <w:t>statement</w:t>
      </w:r>
      <w:r w:rsidRPr="008C263A">
        <w:rPr>
          <w:rFonts w:ascii="Book Antiqua" w:hAnsi="Book Antiqua" w:cs="TimesNewRomanPS-BoldItalicMT"/>
          <w:b/>
          <w:bCs/>
          <w:iCs/>
          <w:color w:val="000000"/>
          <w:sz w:val="24"/>
          <w:szCs w:val="24"/>
        </w:rPr>
        <w:t>:</w:t>
      </w:r>
      <w:r w:rsidRPr="008C263A">
        <w:rPr>
          <w:rFonts w:ascii="Book Antiqua" w:hAnsi="Book Antiqua" w:cs="TimesNewRomanPS-BoldItalicMT"/>
          <w:b/>
          <w:bCs/>
          <w:iCs/>
          <w:color w:val="000000"/>
          <w:sz w:val="24"/>
          <w:szCs w:val="24"/>
          <w:lang w:eastAsia="zh-CN"/>
        </w:rPr>
        <w:t xml:space="preserve"> </w:t>
      </w:r>
      <w:r w:rsidRPr="008C263A">
        <w:rPr>
          <w:rFonts w:ascii="Book Antiqua" w:hAnsi="Book Antiqua" w:cs="Arial"/>
          <w:sz w:val="24"/>
          <w:szCs w:val="24"/>
        </w:rPr>
        <w:t>Rosenthal E reported receiving honoraria for participation in advisory boards for Gilead Sciences Inc, Abbvie and travel grants from Abbvie, Bristol-Myers Squibb, Gilead Sciences Inc, Janssen and Merck. The remaining authors have no conflict of interest to declare in relationship with this article.</w:t>
      </w:r>
    </w:p>
    <w:p w:rsidR="00766206" w:rsidRPr="008C263A" w:rsidRDefault="00766206" w:rsidP="00F23E6B">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p>
    <w:p w:rsidR="00766206" w:rsidRPr="008C263A" w:rsidRDefault="00766206" w:rsidP="00F23E6B">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8C263A">
        <w:rPr>
          <w:rFonts w:ascii="Book Antiqua" w:hAnsi="Book Antiqua"/>
          <w:b/>
          <w:sz w:val="24"/>
          <w:szCs w:val="24"/>
        </w:rPr>
        <w:t xml:space="preserve">Open-Access: </w:t>
      </w:r>
      <w:r w:rsidRPr="008C263A">
        <w:rPr>
          <w:rFonts w:ascii="Book Antiqua" w:hAnsi="Book Antiqua"/>
          <w:sz w:val="24"/>
          <w:szCs w:val="24"/>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766206" w:rsidRPr="008C263A" w:rsidRDefault="00766206" w:rsidP="00F23E6B">
      <w:pPr>
        <w:spacing w:after="0" w:line="360" w:lineRule="auto"/>
        <w:jc w:val="both"/>
        <w:rPr>
          <w:rFonts w:ascii="Book Antiqua" w:hAnsi="Book Antiqua" w:cs="Arial"/>
          <w:sz w:val="24"/>
          <w:szCs w:val="24"/>
        </w:rPr>
      </w:pPr>
    </w:p>
    <w:p w:rsidR="00766206" w:rsidRPr="008C263A" w:rsidRDefault="00766206" w:rsidP="00F23E6B">
      <w:pPr>
        <w:spacing w:after="0" w:line="360" w:lineRule="auto"/>
        <w:jc w:val="both"/>
        <w:rPr>
          <w:rFonts w:ascii="Book Antiqua" w:hAnsi="Book Antiqua" w:cs="Arial"/>
          <w:sz w:val="24"/>
          <w:szCs w:val="24"/>
          <w:lang w:eastAsia="zh-CN"/>
        </w:rPr>
      </w:pPr>
      <w:r w:rsidRPr="008C263A">
        <w:rPr>
          <w:rFonts w:ascii="Book Antiqua" w:hAnsi="Book Antiqua"/>
          <w:b/>
          <w:sz w:val="24"/>
          <w:szCs w:val="24"/>
        </w:rPr>
        <w:t>Correspondence to:</w:t>
      </w:r>
      <w:r w:rsidRPr="008C263A">
        <w:rPr>
          <w:rFonts w:ascii="Book Antiqua" w:hAnsi="Book Antiqua" w:cs="Arial"/>
          <w:b/>
          <w:bCs/>
          <w:sz w:val="24"/>
          <w:szCs w:val="24"/>
          <w:lang w:eastAsia="zh-CN"/>
        </w:rPr>
        <w:t xml:space="preserve"> </w:t>
      </w:r>
      <w:r w:rsidRPr="008C263A">
        <w:rPr>
          <w:rFonts w:ascii="Book Antiqua" w:hAnsi="Book Antiqua" w:cs="Arial"/>
          <w:b/>
          <w:sz w:val="24"/>
          <w:szCs w:val="24"/>
        </w:rPr>
        <w:t>Eric Rosenthal,</w:t>
      </w:r>
      <w:r w:rsidRPr="008C263A">
        <w:rPr>
          <w:rFonts w:ascii="Book Antiqua" w:hAnsi="Book Antiqua" w:cs="Arial"/>
          <w:sz w:val="24"/>
          <w:szCs w:val="24"/>
        </w:rPr>
        <w:t xml:space="preserve"> Internal Medicine Department, Archet Hospital</w:t>
      </w:r>
      <w:r w:rsidRPr="008C263A">
        <w:rPr>
          <w:rFonts w:ascii="Book Antiqua" w:hAnsi="Book Antiqua" w:cs="Arial"/>
          <w:sz w:val="24"/>
          <w:szCs w:val="24"/>
          <w:lang w:eastAsia="zh-CN"/>
        </w:rPr>
        <w:t>,</w:t>
      </w:r>
      <w:r w:rsidRPr="008C263A">
        <w:rPr>
          <w:rFonts w:ascii="Book Antiqua" w:hAnsi="Book Antiqua" w:cs="Arial"/>
          <w:sz w:val="24"/>
          <w:szCs w:val="24"/>
        </w:rPr>
        <w:t xml:space="preserve"> Centre Hospitalier Universitaire, 51 Route de Saint-Antoine, 06200 Nice, France</w:t>
      </w:r>
      <w:r w:rsidRPr="008C263A">
        <w:rPr>
          <w:rFonts w:ascii="Book Antiqua" w:hAnsi="Book Antiqua" w:cs="Arial"/>
          <w:sz w:val="24"/>
          <w:szCs w:val="24"/>
          <w:lang w:eastAsia="zh-CN"/>
        </w:rPr>
        <w:t xml:space="preserve">. </w:t>
      </w:r>
      <w:r w:rsidRPr="008C263A">
        <w:rPr>
          <w:rFonts w:ascii="Book Antiqua" w:hAnsi="Book Antiqua" w:cs="Arial"/>
          <w:sz w:val="24"/>
          <w:szCs w:val="24"/>
        </w:rPr>
        <w:t>rosenthal.e@chu-nice.fr</w:t>
      </w:r>
    </w:p>
    <w:p w:rsidR="00766206" w:rsidRPr="008C263A" w:rsidRDefault="00766206" w:rsidP="00F23E6B">
      <w:pPr>
        <w:spacing w:after="0" w:line="360" w:lineRule="auto"/>
        <w:jc w:val="both"/>
        <w:rPr>
          <w:rFonts w:ascii="Book Antiqua" w:hAnsi="Book Antiqua" w:cs="Arial"/>
          <w:sz w:val="24"/>
          <w:szCs w:val="24"/>
          <w:lang w:eastAsia="fr-FR"/>
        </w:rPr>
      </w:pPr>
      <w:r w:rsidRPr="008C263A">
        <w:rPr>
          <w:rFonts w:ascii="Book Antiqua" w:hAnsi="Book Antiqua"/>
          <w:b/>
          <w:bCs/>
          <w:color w:val="000000"/>
          <w:sz w:val="24"/>
          <w:szCs w:val="24"/>
        </w:rPr>
        <w:t>Telephone:</w:t>
      </w:r>
      <w:r w:rsidRPr="008C263A">
        <w:rPr>
          <w:rFonts w:ascii="Book Antiqua" w:hAnsi="Book Antiqua" w:cs="Arial"/>
          <w:sz w:val="24"/>
          <w:szCs w:val="24"/>
          <w:lang w:eastAsia="fr-FR"/>
        </w:rPr>
        <w:t xml:space="preserve"> +33-4-92035861</w:t>
      </w:r>
    </w:p>
    <w:p w:rsidR="00766206" w:rsidRPr="008C263A" w:rsidRDefault="00766206" w:rsidP="00F23E6B">
      <w:pPr>
        <w:spacing w:after="0" w:line="360" w:lineRule="auto"/>
        <w:jc w:val="both"/>
        <w:rPr>
          <w:rFonts w:ascii="Book Antiqua" w:hAnsi="Book Antiqua" w:cs="Arial"/>
          <w:b/>
          <w:sz w:val="24"/>
          <w:szCs w:val="24"/>
          <w:lang w:eastAsia="zh-CN"/>
        </w:rPr>
      </w:pPr>
    </w:p>
    <w:p w:rsidR="00766206" w:rsidRPr="008C263A" w:rsidRDefault="00766206" w:rsidP="00F23E6B">
      <w:pPr>
        <w:spacing w:after="0" w:line="360" w:lineRule="auto"/>
        <w:jc w:val="both"/>
        <w:rPr>
          <w:rFonts w:ascii="Book Antiqua" w:hAnsi="Book Antiqua"/>
          <w:b/>
          <w:sz w:val="24"/>
          <w:szCs w:val="24"/>
        </w:rPr>
      </w:pPr>
      <w:r w:rsidRPr="008C263A">
        <w:rPr>
          <w:rFonts w:ascii="Book Antiqua" w:hAnsi="Book Antiqua"/>
          <w:b/>
          <w:sz w:val="24"/>
          <w:szCs w:val="24"/>
        </w:rPr>
        <w:t>Received:</w:t>
      </w:r>
      <w:r w:rsidRPr="008C263A">
        <w:rPr>
          <w:rFonts w:ascii="Book Antiqua" w:hAnsi="Book Antiqua"/>
          <w:b/>
          <w:sz w:val="24"/>
          <w:szCs w:val="24"/>
          <w:lang w:eastAsia="zh-CN"/>
        </w:rPr>
        <w:t xml:space="preserve"> </w:t>
      </w:r>
      <w:r w:rsidRPr="008C263A">
        <w:rPr>
          <w:rFonts w:ascii="Book Antiqua" w:hAnsi="Book Antiqua"/>
          <w:sz w:val="24"/>
          <w:szCs w:val="24"/>
        </w:rPr>
        <w:t>November</w:t>
      </w:r>
      <w:r w:rsidRPr="008C263A">
        <w:rPr>
          <w:rFonts w:ascii="Book Antiqua" w:hAnsi="Book Antiqua"/>
          <w:sz w:val="24"/>
          <w:szCs w:val="24"/>
          <w:lang w:eastAsia="zh-CN"/>
        </w:rPr>
        <w:t xml:space="preserve"> 19, 2014</w:t>
      </w:r>
      <w:r w:rsidRPr="008C263A">
        <w:rPr>
          <w:rFonts w:ascii="Book Antiqua" w:hAnsi="Book Antiqua"/>
          <w:b/>
          <w:sz w:val="24"/>
          <w:szCs w:val="24"/>
        </w:rPr>
        <w:t xml:space="preserve">  </w:t>
      </w:r>
    </w:p>
    <w:p w:rsidR="00766206" w:rsidRPr="008C263A" w:rsidRDefault="00766206" w:rsidP="00F23E6B">
      <w:pPr>
        <w:spacing w:after="0" w:line="360" w:lineRule="auto"/>
        <w:jc w:val="both"/>
        <w:rPr>
          <w:rFonts w:ascii="Book Antiqua" w:hAnsi="Book Antiqua"/>
          <w:b/>
          <w:sz w:val="24"/>
          <w:szCs w:val="24"/>
          <w:lang w:eastAsia="zh-CN"/>
        </w:rPr>
      </w:pPr>
      <w:r w:rsidRPr="008C263A">
        <w:rPr>
          <w:rFonts w:ascii="Book Antiqua" w:hAnsi="Book Antiqua"/>
          <w:b/>
          <w:sz w:val="24"/>
          <w:szCs w:val="24"/>
        </w:rPr>
        <w:t>Peer-review started:</w:t>
      </w:r>
      <w:r w:rsidRPr="008C263A">
        <w:rPr>
          <w:rFonts w:ascii="Book Antiqua" w:hAnsi="Book Antiqua"/>
          <w:b/>
          <w:sz w:val="24"/>
          <w:szCs w:val="24"/>
          <w:lang w:eastAsia="zh-CN"/>
        </w:rPr>
        <w:t xml:space="preserve"> </w:t>
      </w:r>
      <w:r w:rsidRPr="008C263A">
        <w:rPr>
          <w:rFonts w:ascii="Book Antiqua" w:hAnsi="Book Antiqua"/>
          <w:sz w:val="24"/>
          <w:szCs w:val="24"/>
        </w:rPr>
        <w:t>November</w:t>
      </w:r>
      <w:r w:rsidRPr="008C263A">
        <w:rPr>
          <w:rFonts w:ascii="Book Antiqua" w:hAnsi="Book Antiqua"/>
          <w:sz w:val="24"/>
          <w:szCs w:val="24"/>
          <w:lang w:eastAsia="zh-CN"/>
        </w:rPr>
        <w:t xml:space="preserve"> 20, 2014</w:t>
      </w:r>
      <w:r w:rsidRPr="008C263A">
        <w:rPr>
          <w:rFonts w:ascii="Book Antiqua" w:hAnsi="Book Antiqua"/>
          <w:b/>
          <w:sz w:val="24"/>
          <w:szCs w:val="24"/>
        </w:rPr>
        <w:t xml:space="preserve">  </w:t>
      </w:r>
    </w:p>
    <w:p w:rsidR="00766206" w:rsidRPr="008C263A" w:rsidRDefault="00766206" w:rsidP="00F23E6B">
      <w:pPr>
        <w:spacing w:after="0" w:line="360" w:lineRule="auto"/>
        <w:jc w:val="both"/>
        <w:rPr>
          <w:rFonts w:ascii="Book Antiqua" w:hAnsi="Book Antiqua"/>
          <w:b/>
          <w:sz w:val="24"/>
          <w:szCs w:val="24"/>
          <w:lang w:eastAsia="zh-CN"/>
        </w:rPr>
      </w:pPr>
      <w:r w:rsidRPr="008C263A">
        <w:rPr>
          <w:rFonts w:ascii="Book Antiqua" w:hAnsi="Book Antiqua"/>
          <w:b/>
          <w:sz w:val="24"/>
          <w:szCs w:val="24"/>
        </w:rPr>
        <w:t>First decision:</w:t>
      </w:r>
      <w:r w:rsidRPr="008C263A">
        <w:rPr>
          <w:rFonts w:ascii="Book Antiqua" w:hAnsi="Book Antiqua"/>
          <w:b/>
          <w:sz w:val="24"/>
          <w:szCs w:val="24"/>
          <w:lang w:eastAsia="zh-CN"/>
        </w:rPr>
        <w:t xml:space="preserve"> </w:t>
      </w:r>
      <w:r w:rsidRPr="008C263A">
        <w:rPr>
          <w:rFonts w:ascii="Book Antiqua" w:hAnsi="Book Antiqua"/>
          <w:sz w:val="24"/>
          <w:szCs w:val="24"/>
        </w:rPr>
        <w:t>December</w:t>
      </w:r>
      <w:r w:rsidRPr="008C263A">
        <w:rPr>
          <w:rFonts w:ascii="Book Antiqua" w:hAnsi="Book Antiqua"/>
          <w:sz w:val="24"/>
          <w:szCs w:val="24"/>
          <w:lang w:eastAsia="zh-CN"/>
        </w:rPr>
        <w:t xml:space="preserve"> 12, 2014</w:t>
      </w:r>
    </w:p>
    <w:p w:rsidR="00766206" w:rsidRPr="008C263A" w:rsidRDefault="00766206" w:rsidP="00F23E6B">
      <w:pPr>
        <w:spacing w:after="0" w:line="360" w:lineRule="auto"/>
        <w:jc w:val="both"/>
        <w:rPr>
          <w:rFonts w:ascii="Book Antiqua" w:hAnsi="Book Antiqua"/>
          <w:b/>
          <w:sz w:val="24"/>
          <w:szCs w:val="24"/>
          <w:lang w:eastAsia="zh-CN"/>
        </w:rPr>
      </w:pPr>
      <w:r w:rsidRPr="008C263A">
        <w:rPr>
          <w:rFonts w:ascii="Book Antiqua" w:hAnsi="Book Antiqua"/>
          <w:b/>
          <w:sz w:val="24"/>
          <w:szCs w:val="24"/>
        </w:rPr>
        <w:t xml:space="preserve">Revised: </w:t>
      </w:r>
      <w:r w:rsidRPr="008C263A">
        <w:rPr>
          <w:rFonts w:ascii="Book Antiqua" w:hAnsi="Book Antiqua"/>
          <w:sz w:val="24"/>
          <w:szCs w:val="24"/>
          <w:lang w:eastAsia="zh-CN"/>
        </w:rPr>
        <w:t>March 17, 2015</w:t>
      </w:r>
    </w:p>
    <w:p w:rsidR="00766206" w:rsidRPr="0020125E" w:rsidRDefault="00766206" w:rsidP="0020125E">
      <w:pPr>
        <w:rPr>
          <w:rFonts w:ascii="Book Antiqua" w:hAnsi="Book Antiqua" w:cs="宋体"/>
          <w:sz w:val="24"/>
        </w:rPr>
      </w:pPr>
      <w:r w:rsidRPr="008C263A">
        <w:rPr>
          <w:rFonts w:ascii="Book Antiqua" w:hAnsi="Book Antiqua"/>
          <w:b/>
          <w:sz w:val="24"/>
          <w:szCs w:val="24"/>
        </w:rPr>
        <w:t xml:space="preserve">Accepted: </w:t>
      </w:r>
      <w:r w:rsidR="0020125E">
        <w:rPr>
          <w:rFonts w:ascii="Book Antiqua" w:hAnsi="Book Antiqua" w:cs="宋体"/>
          <w:sz w:val="24"/>
        </w:rPr>
        <w:t>July 21</w:t>
      </w:r>
      <w:r w:rsidR="0020125E" w:rsidRPr="00AF30D4">
        <w:rPr>
          <w:rFonts w:ascii="Book Antiqua" w:hAnsi="Book Antiqua" w:cs="宋体"/>
          <w:sz w:val="24"/>
        </w:rPr>
        <w:t>, 2015</w:t>
      </w:r>
      <w:bookmarkStart w:id="6" w:name="_GoBack"/>
      <w:bookmarkEnd w:id="6"/>
    </w:p>
    <w:p w:rsidR="00766206" w:rsidRPr="008C263A" w:rsidRDefault="00766206" w:rsidP="00F23E6B">
      <w:pPr>
        <w:spacing w:after="0" w:line="360" w:lineRule="auto"/>
        <w:jc w:val="both"/>
        <w:rPr>
          <w:rFonts w:ascii="Book Antiqua" w:hAnsi="Book Antiqua"/>
          <w:b/>
          <w:sz w:val="24"/>
          <w:szCs w:val="24"/>
        </w:rPr>
      </w:pPr>
      <w:r w:rsidRPr="008C263A">
        <w:rPr>
          <w:rFonts w:ascii="Book Antiqua" w:hAnsi="Book Antiqua"/>
          <w:b/>
          <w:sz w:val="24"/>
          <w:szCs w:val="24"/>
        </w:rPr>
        <w:t>Article in press:</w:t>
      </w:r>
    </w:p>
    <w:p w:rsidR="00766206" w:rsidRPr="008C263A" w:rsidRDefault="00766206" w:rsidP="00F23E6B">
      <w:pPr>
        <w:spacing w:after="0" w:line="360" w:lineRule="auto"/>
        <w:jc w:val="both"/>
        <w:rPr>
          <w:rFonts w:ascii="Book Antiqua" w:hAnsi="Book Antiqua"/>
          <w:b/>
          <w:sz w:val="24"/>
          <w:szCs w:val="24"/>
        </w:rPr>
      </w:pPr>
      <w:r w:rsidRPr="008C263A">
        <w:rPr>
          <w:rFonts w:ascii="Book Antiqua" w:hAnsi="Book Antiqua"/>
          <w:b/>
          <w:sz w:val="24"/>
          <w:szCs w:val="24"/>
        </w:rPr>
        <w:lastRenderedPageBreak/>
        <w:t xml:space="preserve">Published online: </w:t>
      </w:r>
    </w:p>
    <w:p w:rsidR="00766206" w:rsidRPr="008C263A" w:rsidRDefault="00766206" w:rsidP="00F23E6B">
      <w:pPr>
        <w:spacing w:after="0" w:line="360" w:lineRule="auto"/>
        <w:jc w:val="both"/>
        <w:rPr>
          <w:rFonts w:ascii="Book Antiqua" w:hAnsi="Book Antiqua" w:cs="Arial"/>
          <w:b/>
          <w:sz w:val="24"/>
          <w:szCs w:val="24"/>
        </w:rPr>
      </w:pPr>
      <w:r w:rsidRPr="008C263A">
        <w:rPr>
          <w:rFonts w:ascii="Book Antiqua" w:hAnsi="Book Antiqua" w:cs="Arial"/>
          <w:b/>
          <w:sz w:val="24"/>
          <w:szCs w:val="24"/>
        </w:rPr>
        <w:br w:type="page"/>
      </w:r>
      <w:r w:rsidRPr="008C263A">
        <w:rPr>
          <w:rFonts w:ascii="Book Antiqua" w:hAnsi="Book Antiqua" w:cs="Arial"/>
          <w:b/>
          <w:sz w:val="24"/>
          <w:szCs w:val="24"/>
        </w:rPr>
        <w:lastRenderedPageBreak/>
        <w:t xml:space="preserve">Abstract </w:t>
      </w:r>
    </w:p>
    <w:p w:rsidR="00766206" w:rsidRPr="008C263A" w:rsidRDefault="00766206" w:rsidP="00F23E6B">
      <w:pPr>
        <w:spacing w:after="0" w:line="360" w:lineRule="auto"/>
        <w:jc w:val="both"/>
        <w:rPr>
          <w:rFonts w:ascii="Book Antiqua" w:hAnsi="Book Antiqua" w:cs="Arial"/>
          <w:sz w:val="24"/>
          <w:szCs w:val="24"/>
          <w:lang w:eastAsia="zh-CN"/>
        </w:rPr>
      </w:pPr>
      <w:r w:rsidRPr="008C263A">
        <w:rPr>
          <w:rFonts w:ascii="Book Antiqua" w:hAnsi="Book Antiqua"/>
          <w:b/>
          <w:sz w:val="24"/>
          <w:szCs w:val="24"/>
        </w:rPr>
        <w:t>AIM:</w:t>
      </w:r>
      <w:r w:rsidRPr="008C263A">
        <w:rPr>
          <w:rFonts w:ascii="Book Antiqua" w:hAnsi="Book Antiqua"/>
          <w:b/>
          <w:sz w:val="24"/>
          <w:szCs w:val="24"/>
          <w:lang w:eastAsia="zh-CN"/>
        </w:rPr>
        <w:t xml:space="preserve"> </w:t>
      </w:r>
      <w:r w:rsidRPr="008C263A">
        <w:rPr>
          <w:rFonts w:ascii="Book Antiqua" w:hAnsi="Book Antiqua" w:cs="Arial"/>
          <w:sz w:val="24"/>
          <w:szCs w:val="24"/>
        </w:rPr>
        <w:t>To evaluate virological response to telaprevir or boceprevir in combination with pegylated interferon and ribavirin and resistance mutations to NS3/4A inhibitors in human immunodeficiency virus</w:t>
      </w:r>
      <w:r w:rsidRPr="008C263A">
        <w:rPr>
          <w:rFonts w:ascii="Book Antiqua" w:hAnsi="Book Antiqua" w:cs="Arial"/>
          <w:sz w:val="24"/>
          <w:szCs w:val="24"/>
          <w:lang w:eastAsia="zh-CN"/>
        </w:rPr>
        <w:t>-</w:t>
      </w:r>
      <w:r w:rsidRPr="008C263A">
        <w:rPr>
          <w:rFonts w:ascii="Book Antiqua" w:hAnsi="Book Antiqua" w:cs="Arial"/>
          <w:sz w:val="24"/>
          <w:szCs w:val="24"/>
        </w:rPr>
        <w:t xml:space="preserve">hepatitis C virus </w:t>
      </w:r>
      <w:r w:rsidRPr="008C263A">
        <w:rPr>
          <w:rFonts w:ascii="Book Antiqua" w:hAnsi="Book Antiqua" w:cs="Arial"/>
          <w:sz w:val="24"/>
          <w:szCs w:val="24"/>
          <w:lang w:eastAsia="zh-CN"/>
        </w:rPr>
        <w:t>(</w:t>
      </w:r>
      <w:r w:rsidRPr="008C263A">
        <w:rPr>
          <w:rFonts w:ascii="Book Antiqua" w:hAnsi="Book Antiqua" w:cs="Arial"/>
          <w:sz w:val="24"/>
          <w:szCs w:val="24"/>
        </w:rPr>
        <w:t>HIV-HCV</w:t>
      </w:r>
      <w:r w:rsidRPr="008C263A">
        <w:rPr>
          <w:rFonts w:ascii="Book Antiqua" w:hAnsi="Book Antiqua" w:cs="Arial"/>
          <w:sz w:val="24"/>
          <w:szCs w:val="24"/>
          <w:lang w:eastAsia="zh-CN"/>
        </w:rPr>
        <w:t>)</w:t>
      </w:r>
      <w:r w:rsidRPr="008C263A">
        <w:rPr>
          <w:rFonts w:ascii="Book Antiqua" w:hAnsi="Book Antiqua" w:cs="Arial"/>
          <w:sz w:val="24"/>
          <w:szCs w:val="24"/>
        </w:rPr>
        <w:t xml:space="preserve"> coinfected patients in a real life setting. </w:t>
      </w: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r w:rsidRPr="008C263A">
        <w:rPr>
          <w:rFonts w:ascii="Book Antiqua" w:hAnsi="Book Antiqua"/>
          <w:b/>
          <w:sz w:val="24"/>
          <w:szCs w:val="24"/>
        </w:rPr>
        <w:t>METHODS:</w:t>
      </w:r>
      <w:r w:rsidRPr="008C263A">
        <w:rPr>
          <w:rFonts w:ascii="Book Antiqua" w:hAnsi="Book Antiqua"/>
          <w:b/>
          <w:sz w:val="24"/>
          <w:szCs w:val="24"/>
          <w:lang w:eastAsia="zh-CN"/>
        </w:rPr>
        <w:t xml:space="preserve"> </w:t>
      </w:r>
      <w:r w:rsidRPr="008C263A">
        <w:rPr>
          <w:rFonts w:ascii="Book Antiqua" w:hAnsi="Book Antiqua" w:cs="Arial"/>
          <w:sz w:val="24"/>
          <w:szCs w:val="24"/>
        </w:rPr>
        <w:t>Patients with HCV genotype 1-HIV coinfection followed in Nice University Hospital internal medicine and infectious diseases departments who initiated treatment including pegylated interferon and ribavirin (PegIFN/RBV) + telaprevir or boceprevir, according to standard treatment protocols, between August 2011 and October 2013 entered this observational study. Patient data were extracted from an electronic database (Nadis</w:t>
      </w:r>
      <w:r w:rsidRPr="008C263A">
        <w:rPr>
          <w:rFonts w:ascii="Book Antiqua" w:hAnsi="Book Antiqua" w:cs="Arial"/>
          <w:sz w:val="24"/>
          <w:szCs w:val="24"/>
          <w:vertAlign w:val="superscript"/>
        </w:rPr>
        <w:t>®</w:t>
      </w:r>
      <w:r w:rsidRPr="008C263A">
        <w:rPr>
          <w:rFonts w:ascii="Book Antiqua" w:hAnsi="Book Antiqua" w:cs="Arial"/>
          <w:sz w:val="24"/>
          <w:szCs w:val="24"/>
        </w:rPr>
        <w:t>). Liver fibrosis was measured by elastometry (Fibroscan</w:t>
      </w:r>
      <w:r w:rsidRPr="008C263A">
        <w:rPr>
          <w:rFonts w:ascii="Book Antiqua" w:hAnsi="Book Antiqua" w:cs="Arial"/>
          <w:sz w:val="24"/>
          <w:szCs w:val="24"/>
          <w:vertAlign w:val="superscript"/>
        </w:rPr>
        <w:t>®</w:t>
      </w:r>
      <w:r w:rsidRPr="008C263A">
        <w:rPr>
          <w:rFonts w:ascii="Book Antiqua" w:hAnsi="Book Antiqua" w:cs="Arial"/>
          <w:sz w:val="24"/>
          <w:szCs w:val="24"/>
        </w:rPr>
        <w:t>) with the following cut-off values: F0-F1: &lt;</w:t>
      </w:r>
      <w:r w:rsidRPr="008C263A">
        <w:rPr>
          <w:rFonts w:ascii="Book Antiqua" w:hAnsi="Book Antiqua" w:cs="Arial"/>
          <w:sz w:val="24"/>
          <w:szCs w:val="24"/>
          <w:lang w:eastAsia="zh-CN"/>
        </w:rPr>
        <w:t xml:space="preserve"> </w:t>
      </w:r>
      <w:r w:rsidRPr="008C263A">
        <w:rPr>
          <w:rFonts w:ascii="Book Antiqua" w:hAnsi="Book Antiqua" w:cs="Arial"/>
          <w:sz w:val="24"/>
          <w:szCs w:val="24"/>
        </w:rPr>
        <w:t>7.1 kPa, F2: 7.1-9.5 kPa, F3: 9.5-14.5 kPa, F4: ≥</w:t>
      </w:r>
      <w:r w:rsidRPr="008C263A">
        <w:rPr>
          <w:rFonts w:ascii="Book Antiqua" w:hAnsi="Book Antiqua" w:cs="Arial"/>
          <w:sz w:val="24"/>
          <w:szCs w:val="24"/>
          <w:lang w:eastAsia="zh-CN"/>
        </w:rPr>
        <w:t xml:space="preserve"> </w:t>
      </w:r>
      <w:r w:rsidRPr="008C263A">
        <w:rPr>
          <w:rFonts w:ascii="Book Antiqua" w:hAnsi="Book Antiqua" w:cs="Arial"/>
          <w:sz w:val="24"/>
          <w:szCs w:val="24"/>
        </w:rPr>
        <w:t xml:space="preserve">14.5 kPa. The proportion of patients with sustained virological response (SVR) twelve weeks after completing treatment, frequency and type of adverse events, and NS3/4A protease inhibitor mutations were described. </w:t>
      </w: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r w:rsidRPr="008C263A">
        <w:rPr>
          <w:rFonts w:ascii="Book Antiqua" w:hAnsi="Book Antiqua"/>
          <w:b/>
          <w:sz w:val="24"/>
          <w:szCs w:val="24"/>
        </w:rPr>
        <w:t xml:space="preserve">RESULTS: </w:t>
      </w:r>
      <w:r w:rsidRPr="008C263A">
        <w:rPr>
          <w:rFonts w:ascii="Book Antiqua" w:hAnsi="Book Antiqua" w:cs="Arial"/>
          <w:sz w:val="24"/>
          <w:szCs w:val="24"/>
        </w:rPr>
        <w:t xml:space="preserve">Forty-one patients were included: 13 (31.7%) patients were HCV-treatment </w:t>
      </w:r>
      <w:r w:rsidRPr="008C263A">
        <w:rPr>
          <w:rFonts w:ascii="Book Antiqua" w:hAnsi="Book Antiqua"/>
          <w:sz w:val="24"/>
          <w:szCs w:val="24"/>
        </w:rPr>
        <w:t>naive</w:t>
      </w:r>
      <w:r w:rsidRPr="008C263A">
        <w:rPr>
          <w:rFonts w:ascii="Book Antiqua" w:hAnsi="Book Antiqua" w:cs="Arial"/>
          <w:sz w:val="24"/>
          <w:szCs w:val="24"/>
        </w:rPr>
        <w:t xml:space="preserve">, 22 (53.7%) had advanced liver fibrosis or cirrhosis (Fibroscan stage F3 and F4); none had decompensated cirrhosis or hepatocellular carcinoma; all were receiving antiretroviral treatment, consisting for most them (83%) in either a nucleoside reverse-transcriptase inhibitor/protease inhibitor or/integrase inhibitor combination; all patients had undetectable HIV-RNA. One patient was lost to follow-up. SVR was achieved by 52.5% of patients. Five patients experienced virological failure during treatment and four relapsed. Seven discontinued treatment due to adverse events. Main adverse events included severe anemia (88%) and rash (25%). NS3/4A protease mutations were analyzed at baseline and at the time of virological failure in the 9 patients experiencing non-response, breakthrough or relapse. No baseline resistance mutation could predict resistance to HCV protease inhibitor-based treatment. </w:t>
      </w: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r w:rsidRPr="008C263A">
        <w:rPr>
          <w:rFonts w:ascii="Book Antiqua" w:hAnsi="Book Antiqua"/>
          <w:b/>
          <w:sz w:val="24"/>
          <w:szCs w:val="24"/>
        </w:rPr>
        <w:lastRenderedPageBreak/>
        <w:t>CONCLUSION:</w:t>
      </w:r>
      <w:r w:rsidRPr="008C263A">
        <w:rPr>
          <w:rFonts w:ascii="Book Antiqua" w:hAnsi="Book Antiqua"/>
          <w:b/>
          <w:sz w:val="24"/>
          <w:szCs w:val="24"/>
          <w:lang w:eastAsia="zh-CN"/>
        </w:rPr>
        <w:t xml:space="preserve"> </w:t>
      </w:r>
      <w:r w:rsidRPr="008C263A">
        <w:rPr>
          <w:rFonts w:ascii="Book Antiqua" w:hAnsi="Book Antiqua" w:cs="Arial"/>
          <w:sz w:val="24"/>
          <w:szCs w:val="24"/>
        </w:rPr>
        <w:t xml:space="preserve">Telaprevir and boceprevir retain their place among potential treatment strategies in HIV-HCV coinfected patients including those with advanced compensated liver disease and who failed previous pegIFN/RBV therapy. </w:t>
      </w: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rPr>
      </w:pPr>
      <w:r w:rsidRPr="008C263A">
        <w:rPr>
          <w:rFonts w:ascii="Book Antiqua" w:hAnsi="Book Antiqua" w:cs="Arial"/>
          <w:b/>
          <w:sz w:val="24"/>
          <w:szCs w:val="24"/>
        </w:rPr>
        <w:t>Key words:</w:t>
      </w:r>
      <w:r w:rsidRPr="008C263A">
        <w:rPr>
          <w:rFonts w:ascii="Book Antiqua" w:hAnsi="Book Antiqua" w:cs="Arial"/>
          <w:sz w:val="24"/>
          <w:szCs w:val="24"/>
        </w:rPr>
        <w:t xml:space="preserve"> Telaprevir</w:t>
      </w:r>
      <w:r w:rsidRPr="008C263A">
        <w:rPr>
          <w:rFonts w:ascii="Book Antiqua" w:hAnsi="Book Antiqua" w:cs="Arial"/>
          <w:sz w:val="24"/>
          <w:szCs w:val="24"/>
          <w:lang w:eastAsia="zh-CN"/>
        </w:rPr>
        <w:t>;</w:t>
      </w:r>
      <w:r w:rsidRPr="008C263A">
        <w:rPr>
          <w:rFonts w:ascii="Book Antiqua" w:hAnsi="Book Antiqua" w:cs="Arial"/>
          <w:sz w:val="24"/>
          <w:szCs w:val="24"/>
        </w:rPr>
        <w:t xml:space="preserve"> Boceprevir</w:t>
      </w:r>
      <w:r w:rsidRPr="008C263A">
        <w:rPr>
          <w:rFonts w:ascii="Book Antiqua" w:hAnsi="Book Antiqua" w:cs="Arial"/>
          <w:sz w:val="24"/>
          <w:szCs w:val="24"/>
          <w:lang w:eastAsia="zh-CN"/>
        </w:rPr>
        <w:t>;</w:t>
      </w:r>
      <w:r w:rsidRPr="008C263A">
        <w:rPr>
          <w:rFonts w:ascii="Book Antiqua" w:hAnsi="Book Antiqua" w:cs="Arial"/>
          <w:sz w:val="24"/>
          <w:szCs w:val="24"/>
        </w:rPr>
        <w:t xml:space="preserve"> Hepatitis C virus-human immunodeficiency virus coinfection</w:t>
      </w:r>
      <w:r w:rsidRPr="008C263A">
        <w:rPr>
          <w:rFonts w:ascii="Book Antiqua" w:hAnsi="Book Antiqua" w:cs="Arial"/>
          <w:sz w:val="24"/>
          <w:szCs w:val="24"/>
          <w:lang w:eastAsia="zh-CN"/>
        </w:rPr>
        <w:t>;</w:t>
      </w:r>
      <w:r w:rsidRPr="008C263A">
        <w:rPr>
          <w:rFonts w:ascii="Book Antiqua" w:hAnsi="Book Antiqua" w:cs="Arial"/>
          <w:sz w:val="24"/>
          <w:szCs w:val="24"/>
        </w:rPr>
        <w:t xml:space="preserve"> Resistance mutations</w:t>
      </w: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napToGrid w:val="0"/>
        <w:spacing w:after="0" w:line="360" w:lineRule="auto"/>
        <w:jc w:val="both"/>
        <w:rPr>
          <w:rFonts w:ascii="Book Antiqua" w:hAnsi="Book Antiqua"/>
          <w:sz w:val="24"/>
          <w:szCs w:val="24"/>
        </w:rPr>
      </w:pPr>
      <w:r w:rsidRPr="008C263A">
        <w:rPr>
          <w:rFonts w:ascii="Book Antiqua" w:hAnsi="Book Antiqua"/>
          <w:sz w:val="24"/>
          <w:szCs w:val="24"/>
        </w:rPr>
        <w:t xml:space="preserve">© </w:t>
      </w:r>
      <w:r w:rsidRPr="008C263A">
        <w:rPr>
          <w:rFonts w:ascii="Book Antiqua" w:hAnsi="Book Antiqua"/>
          <w:b/>
          <w:sz w:val="24"/>
          <w:szCs w:val="24"/>
        </w:rPr>
        <w:t>The Author(s) 2015</w:t>
      </w:r>
      <w:r w:rsidRPr="008C263A">
        <w:rPr>
          <w:rFonts w:ascii="Book Antiqua" w:hAnsi="Book Antiqua"/>
          <w:sz w:val="24"/>
          <w:szCs w:val="24"/>
        </w:rPr>
        <w:t>. Published by Baishideng Publishing Group Inc. All rights reserved.</w:t>
      </w: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r w:rsidRPr="008C263A">
        <w:rPr>
          <w:rFonts w:ascii="Book Antiqua" w:hAnsi="Book Antiqua" w:cs="Arial"/>
          <w:b/>
          <w:sz w:val="24"/>
          <w:szCs w:val="24"/>
        </w:rPr>
        <w:t>Core tip:</w:t>
      </w:r>
      <w:r w:rsidRPr="008C263A">
        <w:rPr>
          <w:rFonts w:ascii="Book Antiqua" w:hAnsi="Book Antiqua" w:cs="Arial"/>
          <w:sz w:val="24"/>
          <w:szCs w:val="24"/>
        </w:rPr>
        <w:t xml:space="preserve"> Data regarding treatment of hepatitis C virus (HCV) infection with triple combination regimen including interferon/ribavirin and a protease inhibitor (telaprevir or boceprevir) among difficult to treat human immunodeficiency virus </w:t>
      </w:r>
      <w:r w:rsidRPr="008C263A">
        <w:rPr>
          <w:rFonts w:ascii="Book Antiqua" w:hAnsi="Book Antiqua" w:cs="Arial"/>
          <w:sz w:val="24"/>
          <w:szCs w:val="24"/>
          <w:lang w:eastAsia="zh-CN"/>
        </w:rPr>
        <w:t>(</w:t>
      </w:r>
      <w:r w:rsidRPr="008C263A">
        <w:rPr>
          <w:rFonts w:ascii="Book Antiqua" w:hAnsi="Book Antiqua" w:cs="Arial"/>
          <w:sz w:val="24"/>
          <w:szCs w:val="24"/>
        </w:rPr>
        <w:t>HIV</w:t>
      </w:r>
      <w:r w:rsidRPr="008C263A">
        <w:rPr>
          <w:rFonts w:ascii="Book Antiqua" w:hAnsi="Book Antiqua" w:cs="Arial"/>
          <w:sz w:val="24"/>
          <w:szCs w:val="24"/>
          <w:lang w:eastAsia="zh-CN"/>
        </w:rPr>
        <w:t>)</w:t>
      </w:r>
      <w:r w:rsidRPr="008C263A">
        <w:rPr>
          <w:rFonts w:ascii="Book Antiqua" w:hAnsi="Book Antiqua" w:cs="Arial"/>
          <w:sz w:val="24"/>
          <w:szCs w:val="24"/>
        </w:rPr>
        <w:t xml:space="preserve">-HCV co-infected patients are lacking. Most of the patients included in this single-center observational study had already failed a previous dual treatment course and had severe liver fibrosis, one out of six being both cirrhotic and non-responder to prior therapy. More than one of two patients displayed sustained virological response, suggesting that in low-income countries, telaprevir and boceprevir may retain their place among potential treatment strategies in HIV-HCV coinfected patients. </w:t>
      </w: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r w:rsidRPr="008C263A">
        <w:rPr>
          <w:rFonts w:ascii="Book Antiqua" w:hAnsi="Book Antiqua" w:cs="Arial"/>
          <w:sz w:val="24"/>
          <w:szCs w:val="24"/>
          <w:lang w:val="fr-FR"/>
        </w:rPr>
        <w:t xml:space="preserve">Naqvi A, Giordanengo V, Dunais B, de Salvador-Guillouet </w:t>
      </w:r>
      <w:r w:rsidRPr="008C263A">
        <w:rPr>
          <w:rFonts w:ascii="Book Antiqua" w:hAnsi="Book Antiqua" w:cs="Arial"/>
          <w:sz w:val="24"/>
          <w:szCs w:val="24"/>
          <w:lang w:val="fr-FR" w:eastAsia="zh-CN"/>
        </w:rPr>
        <w:t xml:space="preserve">F, </w:t>
      </w:r>
      <w:r w:rsidRPr="008C263A">
        <w:rPr>
          <w:rFonts w:ascii="Book Antiqua" w:hAnsi="Book Antiqua" w:cs="Arial"/>
          <w:sz w:val="24"/>
          <w:szCs w:val="24"/>
          <w:lang w:val="fr-FR"/>
        </w:rPr>
        <w:t>Joulie A</w:t>
      </w:r>
      <w:r w:rsidRPr="008C263A">
        <w:rPr>
          <w:rFonts w:ascii="Book Antiqua" w:hAnsi="Book Antiqua" w:cs="Arial"/>
          <w:sz w:val="24"/>
          <w:szCs w:val="24"/>
          <w:lang w:val="fr-FR" w:eastAsia="zh-CN"/>
        </w:rPr>
        <w:t>,</w:t>
      </w:r>
      <w:r w:rsidRPr="008C263A">
        <w:rPr>
          <w:rFonts w:ascii="Book Antiqua" w:hAnsi="Book Antiqua" w:cs="Arial"/>
          <w:sz w:val="24"/>
          <w:szCs w:val="24"/>
          <w:lang w:val="fr-FR"/>
        </w:rPr>
        <w:t xml:space="preserve"> Perbost </w:t>
      </w:r>
      <w:r w:rsidRPr="008C263A">
        <w:rPr>
          <w:rFonts w:ascii="Book Antiqua" w:hAnsi="Book Antiqua" w:cs="Arial"/>
          <w:sz w:val="24"/>
          <w:szCs w:val="24"/>
          <w:lang w:val="fr-FR" w:eastAsia="zh-CN"/>
        </w:rPr>
        <w:t xml:space="preserve">I, </w:t>
      </w:r>
      <w:r w:rsidRPr="008C263A">
        <w:rPr>
          <w:rFonts w:ascii="Book Antiqua" w:hAnsi="Book Antiqua" w:cs="Arial"/>
          <w:sz w:val="24"/>
          <w:szCs w:val="24"/>
          <w:lang w:val="fr-FR"/>
        </w:rPr>
        <w:t xml:space="preserve">Durant </w:t>
      </w:r>
      <w:r w:rsidRPr="008C263A">
        <w:rPr>
          <w:rFonts w:ascii="Book Antiqua" w:hAnsi="Book Antiqua" w:cs="Arial"/>
          <w:sz w:val="24"/>
          <w:szCs w:val="24"/>
          <w:lang w:val="fr-FR" w:eastAsia="zh-CN"/>
        </w:rPr>
        <w:t xml:space="preserve">J, </w:t>
      </w:r>
      <w:r w:rsidRPr="008C263A">
        <w:rPr>
          <w:rFonts w:ascii="Book Antiqua" w:hAnsi="Book Antiqua" w:cs="Arial"/>
          <w:sz w:val="24"/>
          <w:szCs w:val="24"/>
          <w:lang w:val="fr-FR"/>
        </w:rPr>
        <w:t xml:space="preserve">Pugliese </w:t>
      </w:r>
      <w:r w:rsidRPr="008C263A">
        <w:rPr>
          <w:rFonts w:ascii="Book Antiqua" w:hAnsi="Book Antiqua" w:cs="Arial"/>
          <w:sz w:val="24"/>
          <w:szCs w:val="24"/>
          <w:lang w:val="fr-FR" w:eastAsia="zh-CN"/>
        </w:rPr>
        <w:t xml:space="preserve">P, </w:t>
      </w:r>
      <w:r w:rsidRPr="008C263A">
        <w:rPr>
          <w:rFonts w:ascii="Book Antiqua" w:hAnsi="Book Antiqua" w:cs="Arial"/>
          <w:sz w:val="24"/>
          <w:szCs w:val="24"/>
          <w:lang w:val="fr-FR"/>
        </w:rPr>
        <w:t>Joulié</w:t>
      </w:r>
      <w:r w:rsidRPr="008C263A">
        <w:rPr>
          <w:rFonts w:ascii="Book Antiqua" w:hAnsi="Book Antiqua" w:cs="Arial"/>
          <w:sz w:val="24"/>
          <w:szCs w:val="24"/>
          <w:lang w:val="fr-FR" w:eastAsia="zh-CN"/>
        </w:rPr>
        <w:t xml:space="preserve"> A, </w:t>
      </w:r>
      <w:r w:rsidRPr="008C263A">
        <w:rPr>
          <w:rFonts w:ascii="Book Antiqua" w:hAnsi="Book Antiqua" w:cs="Arial"/>
          <w:sz w:val="24"/>
          <w:szCs w:val="24"/>
          <w:lang w:val="fr-FR"/>
        </w:rPr>
        <w:t xml:space="preserve">Roger </w:t>
      </w:r>
      <w:r w:rsidRPr="008C263A">
        <w:rPr>
          <w:rFonts w:ascii="Book Antiqua" w:hAnsi="Book Antiqua" w:cs="Arial"/>
          <w:sz w:val="24"/>
          <w:szCs w:val="24"/>
          <w:lang w:val="fr-FR" w:eastAsia="zh-CN"/>
        </w:rPr>
        <w:t xml:space="preserve">PM, </w:t>
      </w:r>
      <w:r w:rsidRPr="008C263A">
        <w:rPr>
          <w:rFonts w:ascii="Book Antiqua" w:hAnsi="Book Antiqua" w:cs="Arial"/>
          <w:sz w:val="24"/>
          <w:szCs w:val="24"/>
          <w:lang w:val="fr-FR"/>
        </w:rPr>
        <w:t>Rosenthal E</w:t>
      </w:r>
      <w:r w:rsidRPr="008C263A">
        <w:rPr>
          <w:rFonts w:ascii="Book Antiqua" w:hAnsi="Book Antiqua" w:cs="Arial"/>
          <w:sz w:val="24"/>
          <w:szCs w:val="24"/>
          <w:lang w:val="fr-FR" w:eastAsia="zh-CN"/>
        </w:rPr>
        <w:t xml:space="preserve">. </w:t>
      </w:r>
      <w:r w:rsidRPr="008C263A">
        <w:rPr>
          <w:rFonts w:ascii="Book Antiqua" w:hAnsi="Book Antiqua" w:cs="Arial"/>
          <w:sz w:val="24"/>
          <w:szCs w:val="24"/>
        </w:rPr>
        <w:t>Virological response and resistance mutations to NS3/4A inhibitors in human immunodeficiency virus-hepatitis C virus coinfection</w:t>
      </w:r>
      <w:r w:rsidRPr="008C263A">
        <w:rPr>
          <w:rFonts w:ascii="Book Antiqua" w:hAnsi="Book Antiqua" w:cs="Arial"/>
          <w:sz w:val="24"/>
          <w:szCs w:val="24"/>
          <w:lang w:eastAsia="zh-CN"/>
        </w:rPr>
        <w:t xml:space="preserve">. </w:t>
      </w:r>
      <w:r w:rsidRPr="008C263A">
        <w:rPr>
          <w:rFonts w:ascii="Book Antiqua" w:hAnsi="Book Antiqua"/>
          <w:i/>
          <w:iCs/>
          <w:sz w:val="24"/>
          <w:szCs w:val="24"/>
        </w:rPr>
        <w:t>World J Hepatol</w:t>
      </w:r>
      <w:r w:rsidRPr="008C263A">
        <w:rPr>
          <w:rFonts w:ascii="Book Antiqua" w:hAnsi="Book Antiqua"/>
          <w:iCs/>
          <w:sz w:val="24"/>
          <w:szCs w:val="24"/>
          <w:lang w:eastAsia="zh-CN"/>
        </w:rPr>
        <w:t xml:space="preserve"> 2015; In press</w:t>
      </w: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pStyle w:val="Default"/>
        <w:spacing w:line="360" w:lineRule="auto"/>
        <w:jc w:val="both"/>
        <w:rPr>
          <w:rFonts w:ascii="Book Antiqua" w:hAnsi="Book Antiqua"/>
          <w:color w:val="auto"/>
          <w:lang w:val="en-US" w:eastAsia="zh-CN"/>
        </w:rPr>
      </w:pPr>
      <w:r w:rsidRPr="008C263A">
        <w:rPr>
          <w:rFonts w:ascii="Book Antiqua" w:hAnsi="Book Antiqua"/>
          <w:b/>
          <w:caps/>
          <w:lang w:val="en-US"/>
        </w:rPr>
        <w:t>Introduction</w:t>
      </w:r>
      <w:r w:rsidRPr="008C263A">
        <w:rPr>
          <w:rFonts w:ascii="Book Antiqua" w:hAnsi="Book Antiqua"/>
          <w:color w:val="auto"/>
          <w:lang w:val="en-US"/>
        </w:rPr>
        <w:t xml:space="preserve"> </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lastRenderedPageBreak/>
        <w:t>Therapeutic resources against hepatitis C infection are currently expanding, with remarkable success rates compared to previous results with dual pegylated interferon</w:t>
      </w:r>
      <w:r w:rsidRPr="008C263A">
        <w:rPr>
          <w:rFonts w:ascii="Book Antiqua" w:hAnsi="Book Antiqua"/>
          <w:color w:val="auto"/>
          <w:lang w:val="en-US" w:eastAsia="zh-CN"/>
        </w:rPr>
        <w:t xml:space="preserve"> </w:t>
      </w:r>
      <w:r w:rsidRPr="008C263A">
        <w:rPr>
          <w:rFonts w:ascii="Book Antiqua" w:hAnsi="Book Antiqua"/>
          <w:color w:val="auto"/>
          <w:lang w:val="en-US"/>
        </w:rPr>
        <w:t>+</w:t>
      </w:r>
      <w:r w:rsidRPr="008C263A">
        <w:rPr>
          <w:rFonts w:ascii="Book Antiqua" w:hAnsi="Book Antiqua"/>
          <w:color w:val="auto"/>
          <w:lang w:val="en-US" w:eastAsia="zh-CN"/>
        </w:rPr>
        <w:t xml:space="preserve"> </w:t>
      </w:r>
      <w:r w:rsidRPr="008C263A">
        <w:rPr>
          <w:rFonts w:ascii="Book Antiqua" w:hAnsi="Book Antiqua"/>
          <w:color w:val="auto"/>
          <w:lang w:val="en-US"/>
        </w:rPr>
        <w:t>ribavirin (pegIFN/RBV) regimens</w:t>
      </w:r>
      <w:r w:rsidRPr="008C263A">
        <w:rPr>
          <w:rFonts w:ascii="Book Antiqua" w:hAnsi="Book Antiqua"/>
          <w:color w:val="auto"/>
          <w:vertAlign w:val="superscript"/>
          <w:lang w:val="en-US"/>
        </w:rPr>
        <w:t>[1]</w:t>
      </w:r>
      <w:r w:rsidRPr="008C263A">
        <w:rPr>
          <w:rFonts w:ascii="Book Antiqua" w:hAnsi="Book Antiqua"/>
          <w:color w:val="auto"/>
          <w:lang w:val="en-US"/>
        </w:rPr>
        <w:t xml:space="preserve">. However some of these new compounds can be associated with considerable costs making them unaffordable in low resource settings or among uninsured patients with low incomes. The situation can be further complicated by human immunodeficiency virus </w:t>
      </w:r>
      <w:r w:rsidRPr="008C263A">
        <w:rPr>
          <w:rFonts w:ascii="Book Antiqua" w:hAnsi="Book Antiqua"/>
          <w:color w:val="auto"/>
          <w:lang w:val="en-US" w:eastAsia="zh-CN"/>
        </w:rPr>
        <w:t>(</w:t>
      </w:r>
      <w:r w:rsidRPr="008C263A">
        <w:rPr>
          <w:rFonts w:ascii="Book Antiqua" w:hAnsi="Book Antiqua"/>
          <w:color w:val="auto"/>
          <w:lang w:val="en-US"/>
        </w:rPr>
        <w:t>HIV</w:t>
      </w:r>
      <w:r w:rsidRPr="008C263A">
        <w:rPr>
          <w:rFonts w:ascii="Book Antiqua" w:hAnsi="Book Antiqua"/>
          <w:color w:val="auto"/>
          <w:lang w:val="en-US" w:eastAsia="zh-CN"/>
        </w:rPr>
        <w:t>)</w:t>
      </w:r>
      <w:r w:rsidRPr="008C263A">
        <w:rPr>
          <w:rFonts w:ascii="Book Antiqua" w:hAnsi="Book Antiqua"/>
          <w:color w:val="auto"/>
          <w:lang w:val="en-US"/>
        </w:rPr>
        <w:t xml:space="preserve"> co-infection, requiring the adjunction of antiretroviral treatment. The availability of multiple approaches for the management of HCV in HIV-HCV co-infection thus provides a choice of strategies covering a range of costs while offering the patient reasonable chances of therapeutic success. </w:t>
      </w:r>
    </w:p>
    <w:p w:rsidR="00766206" w:rsidRPr="008C263A" w:rsidRDefault="00766206" w:rsidP="00FF72F7">
      <w:pPr>
        <w:pStyle w:val="Default"/>
        <w:spacing w:line="360" w:lineRule="auto"/>
        <w:ind w:firstLineChars="100" w:firstLine="240"/>
        <w:jc w:val="both"/>
        <w:rPr>
          <w:rFonts w:ascii="Book Antiqua" w:hAnsi="Book Antiqua"/>
          <w:color w:val="auto"/>
          <w:lang w:val="en-US"/>
        </w:rPr>
      </w:pPr>
      <w:r w:rsidRPr="008C263A">
        <w:rPr>
          <w:rFonts w:ascii="Book Antiqua" w:hAnsi="Book Antiqua"/>
          <w:lang w:val="en-US"/>
        </w:rPr>
        <w:t>Most data concerning treatment of hepatitis C virus (HCV) infection among HIV-HCV co-infected patients have mainly been based on clinical tria</w:t>
      </w:r>
      <w:bookmarkStart w:id="7" w:name="_Ref396924834"/>
      <w:r w:rsidRPr="008C263A">
        <w:rPr>
          <w:rFonts w:ascii="Book Antiqua" w:hAnsi="Book Antiqua"/>
          <w:lang w:val="en-US"/>
        </w:rPr>
        <w:t>ls</w:t>
      </w:r>
      <w:r w:rsidRPr="008C263A">
        <w:rPr>
          <w:rFonts w:ascii="Book Antiqua" w:hAnsi="Book Antiqua"/>
          <w:vertAlign w:val="superscript"/>
          <w:lang w:val="en-US"/>
        </w:rPr>
        <w:t>[</w:t>
      </w:r>
      <w:bookmarkEnd w:id="7"/>
      <w:r w:rsidRPr="008C263A">
        <w:rPr>
          <w:rFonts w:ascii="Book Antiqua" w:hAnsi="Book Antiqua"/>
          <w:vertAlign w:val="superscript"/>
          <w:lang w:val="en-US"/>
        </w:rPr>
        <w:t>2</w:t>
      </w:r>
      <w:r w:rsidRPr="008C263A">
        <w:rPr>
          <w:rFonts w:ascii="Book Antiqua" w:hAnsi="Book Antiqua"/>
          <w:vertAlign w:val="superscript"/>
          <w:lang w:val="en-US" w:eastAsia="zh-CN"/>
        </w:rPr>
        <w:t>-</w:t>
      </w:r>
      <w:r w:rsidRPr="008C263A">
        <w:rPr>
          <w:rFonts w:ascii="Book Antiqua" w:hAnsi="Book Antiqua"/>
          <w:vertAlign w:val="superscript"/>
          <w:lang w:val="en-US"/>
        </w:rPr>
        <w:t>5]</w:t>
      </w:r>
      <w:r w:rsidRPr="008C263A">
        <w:rPr>
          <w:rFonts w:ascii="Book Antiqua" w:hAnsi="Book Antiqua"/>
          <w:bCs/>
          <w:lang w:val="en-US"/>
        </w:rPr>
        <w:t>.</w:t>
      </w:r>
      <w:r w:rsidRPr="008C263A">
        <w:rPr>
          <w:rFonts w:ascii="Book Antiqua" w:hAnsi="Book Antiqua"/>
          <w:b/>
          <w:bCs/>
          <w:lang w:val="en-US"/>
        </w:rPr>
        <w:t xml:space="preserve"> </w:t>
      </w:r>
      <w:r w:rsidRPr="008C263A">
        <w:rPr>
          <w:rFonts w:ascii="Book Antiqua" w:hAnsi="Book Antiqua"/>
          <w:color w:val="auto"/>
          <w:lang w:val="en-US"/>
        </w:rPr>
        <w:t xml:space="preserve">Few have included cirrhotic patients or non-responders to prior HCV therapy with pegIFN/RBV combination, and none to our knowledge have concerned patients who were </w:t>
      </w:r>
      <w:r w:rsidRPr="008C263A">
        <w:rPr>
          <w:rFonts w:ascii="Book Antiqua" w:hAnsi="Book Antiqua"/>
          <w:iCs/>
          <w:color w:val="auto"/>
          <w:lang w:val="en-US"/>
        </w:rPr>
        <w:t>both</w:t>
      </w:r>
      <w:r w:rsidRPr="008C263A">
        <w:rPr>
          <w:rFonts w:ascii="Book Antiqua" w:hAnsi="Book Antiqua"/>
          <w:color w:val="auto"/>
          <w:lang w:val="en-US"/>
        </w:rPr>
        <w:t xml:space="preserve"> cirrhotic </w:t>
      </w:r>
      <w:r w:rsidRPr="008C263A">
        <w:rPr>
          <w:rFonts w:ascii="Book Antiqua" w:hAnsi="Book Antiqua"/>
          <w:iCs/>
          <w:color w:val="auto"/>
          <w:lang w:val="en-US"/>
        </w:rPr>
        <w:t>and</w:t>
      </w:r>
      <w:r w:rsidRPr="008C263A">
        <w:rPr>
          <w:rFonts w:ascii="Book Antiqua" w:hAnsi="Book Antiqua"/>
          <w:color w:val="auto"/>
          <w:lang w:val="en-US"/>
        </w:rPr>
        <w:t xml:space="preserve"> non-responders. We report the virological response to triple combination therapy including IFN/RBV and a protease inhibitor (telaprevir or boceprevir) among a cohort of HIV-HCV genotype 1 co-infected patients followed in a University Hospital. </w:t>
      </w:r>
    </w:p>
    <w:p w:rsidR="00766206" w:rsidRPr="008C263A" w:rsidRDefault="00766206" w:rsidP="00F23E6B">
      <w:pPr>
        <w:pStyle w:val="Default"/>
        <w:spacing w:line="360" w:lineRule="auto"/>
        <w:jc w:val="both"/>
        <w:rPr>
          <w:rFonts w:ascii="Book Antiqua" w:hAnsi="Book Antiqua"/>
          <w:color w:val="auto"/>
          <w:lang w:val="en-US" w:eastAsia="zh-CN"/>
        </w:rPr>
      </w:pPr>
    </w:p>
    <w:p w:rsidR="00766206" w:rsidRPr="008C263A" w:rsidRDefault="00766206" w:rsidP="00F23E6B">
      <w:pPr>
        <w:adjustRightInd w:val="0"/>
        <w:snapToGrid w:val="0"/>
        <w:spacing w:after="0" w:line="360" w:lineRule="auto"/>
        <w:jc w:val="both"/>
        <w:rPr>
          <w:rFonts w:ascii="Book Antiqua" w:hAnsi="Book Antiqua"/>
          <w:b/>
          <w:caps/>
          <w:color w:val="000000"/>
          <w:sz w:val="24"/>
          <w:szCs w:val="24"/>
        </w:rPr>
      </w:pPr>
      <w:r w:rsidRPr="008C263A">
        <w:rPr>
          <w:rFonts w:ascii="Book Antiqua" w:hAnsi="Book Antiqua"/>
          <w:b/>
          <w:caps/>
          <w:color w:val="000000"/>
          <w:sz w:val="24"/>
          <w:szCs w:val="24"/>
        </w:rPr>
        <w:t>Materials and Methods</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lang w:val="en-US"/>
        </w:rPr>
        <w:t xml:space="preserve">This was an observational single-center study concerning all genotype 1 HCV-HIV co-infected patients followed in Nice University Hospital internal medicine and infectious diseases departments who initiated treatment including pegIFN/RBV + telaprevir or boceprevir between August 2011 and October 2013 and who were not participating in a clinical trial. </w:t>
      </w:r>
    </w:p>
    <w:p w:rsidR="00766206" w:rsidRPr="008C263A" w:rsidRDefault="00766206" w:rsidP="00FF72F7">
      <w:pPr>
        <w:pStyle w:val="Default"/>
        <w:spacing w:line="360" w:lineRule="auto"/>
        <w:ind w:firstLineChars="100" w:firstLine="240"/>
        <w:jc w:val="both"/>
        <w:rPr>
          <w:rFonts w:ascii="Book Antiqua" w:hAnsi="Book Antiqua"/>
          <w:lang w:val="en-US"/>
        </w:rPr>
      </w:pPr>
      <w:r w:rsidRPr="008C263A">
        <w:rPr>
          <w:rFonts w:ascii="Book Antiqua" w:hAnsi="Book Antiqua"/>
          <w:lang w:val="en-US"/>
        </w:rPr>
        <w:t xml:space="preserve">Liver fibrosis was measured by elastometry </w:t>
      </w:r>
      <w:r w:rsidRPr="008C263A">
        <w:rPr>
          <w:rFonts w:ascii="Book Antiqua" w:hAnsi="Book Antiqua"/>
          <w:color w:val="auto"/>
          <w:lang w:val="en-US"/>
        </w:rPr>
        <w:t>(Fibroscan</w:t>
      </w:r>
      <w:r w:rsidRPr="008C263A">
        <w:rPr>
          <w:rFonts w:ascii="Book Antiqua" w:hAnsi="Book Antiqua"/>
          <w:color w:val="auto"/>
          <w:vertAlign w:val="superscript"/>
          <w:lang w:val="en-US"/>
        </w:rPr>
        <w:t>®</w:t>
      </w:r>
      <w:r w:rsidRPr="008C263A">
        <w:rPr>
          <w:rFonts w:ascii="Book Antiqua" w:hAnsi="Book Antiqua"/>
          <w:color w:val="auto"/>
          <w:lang w:val="en-US"/>
        </w:rPr>
        <w:t xml:space="preserve">) with the following cut-off values: </w:t>
      </w:r>
      <w:r w:rsidRPr="008C263A">
        <w:rPr>
          <w:rFonts w:ascii="Book Antiqua" w:hAnsi="Book Antiqua"/>
          <w:lang w:val="en-US"/>
        </w:rPr>
        <w:t>F0-F1: &lt;</w:t>
      </w:r>
      <w:r w:rsidRPr="008C263A">
        <w:rPr>
          <w:rFonts w:ascii="Book Antiqua" w:hAnsi="Book Antiqua"/>
          <w:lang w:val="en-US" w:eastAsia="zh-CN"/>
        </w:rPr>
        <w:t xml:space="preserve"> </w:t>
      </w:r>
      <w:r w:rsidRPr="008C263A">
        <w:rPr>
          <w:rFonts w:ascii="Book Antiqua" w:hAnsi="Book Antiqua"/>
          <w:lang w:val="en-US"/>
        </w:rPr>
        <w:t>7.1 kPa, F2: 7.1-9.5 kPa, F3: 9.5-14.5 kPa, F4: ≥</w:t>
      </w:r>
      <w:r w:rsidRPr="008C263A">
        <w:rPr>
          <w:rFonts w:ascii="Book Antiqua" w:hAnsi="Book Antiqua"/>
          <w:lang w:val="en-US" w:eastAsia="zh-CN"/>
        </w:rPr>
        <w:t xml:space="preserve"> </w:t>
      </w:r>
      <w:r w:rsidRPr="008C263A">
        <w:rPr>
          <w:rFonts w:ascii="Book Antiqua" w:hAnsi="Book Antiqua"/>
          <w:lang w:val="en-US"/>
        </w:rPr>
        <w:t>14.5 kPa. C</w:t>
      </w:r>
      <w:r w:rsidRPr="008C263A">
        <w:rPr>
          <w:rFonts w:ascii="Book Antiqua" w:hAnsi="Book Antiqua"/>
          <w:color w:val="auto"/>
          <w:lang w:val="en-US"/>
        </w:rPr>
        <w:t xml:space="preserve">irrhosis was </w:t>
      </w:r>
      <w:r w:rsidRPr="008C263A">
        <w:rPr>
          <w:rFonts w:ascii="Book Antiqua" w:hAnsi="Book Antiqua"/>
          <w:lang w:val="en-US"/>
        </w:rPr>
        <w:t xml:space="preserve">considered present for values above </w:t>
      </w:r>
      <w:r w:rsidRPr="008C263A">
        <w:rPr>
          <w:rFonts w:ascii="Book Antiqua" w:hAnsi="Book Antiqua"/>
          <w:color w:val="auto"/>
          <w:lang w:val="en-US"/>
        </w:rPr>
        <w:t>14.5 kPa prior to HCV treatment initiation. Virological response to treatment was assessed at 4, 12, 24 and 48 wk. Rapid virological response (RVR) was defined as undetectable HCV-RNA 4 wk after treatment initiation, and sustained virological response (SVR) as undetectable HCV-RNA 12 wk following completion of HCV treatment. Persistently detectable HCV-</w:t>
      </w:r>
      <w:r w:rsidRPr="008C263A">
        <w:rPr>
          <w:rFonts w:ascii="Book Antiqua" w:hAnsi="Book Antiqua"/>
          <w:color w:val="auto"/>
          <w:lang w:val="en-US"/>
        </w:rPr>
        <w:lastRenderedPageBreak/>
        <w:t xml:space="preserve">RNA during treatment was considered as non-response to treatment, while treatment breakthrough concerned patients in whom an initially positive response was followed by renewed detectable HCV-RNA during treatment. Relapse was defined as recurrence of viraemia in patients whose viral load had become </w:t>
      </w:r>
      <w:r w:rsidRPr="008C263A">
        <w:rPr>
          <w:rFonts w:ascii="Book Antiqua" w:hAnsi="Book Antiqua"/>
          <w:lang w:val="en-US"/>
        </w:rPr>
        <w:t>undetectable at the end of treatment</w:t>
      </w:r>
      <w:r w:rsidRPr="008C263A">
        <w:rPr>
          <w:rFonts w:ascii="Book Antiqua" w:hAnsi="Book Antiqua"/>
          <w:color w:val="auto"/>
          <w:lang w:val="en-US"/>
        </w:rPr>
        <w:t>. Eventual exposure and response to a previous dual pegIFN/RBV regimen was investigated. Patients for whom no HCV viral load was available at 12 wk following dual treatment initiation could not be assessed for prior treatment response. Premature treatment discontinuation of previous dual therapy that was considered related to adverse events was differentiated from virological failure.</w:t>
      </w:r>
    </w:p>
    <w:p w:rsidR="00766206" w:rsidRPr="008C263A" w:rsidRDefault="00766206" w:rsidP="00FF72F7">
      <w:pPr>
        <w:spacing w:after="0" w:line="360" w:lineRule="auto"/>
        <w:ind w:firstLineChars="100" w:firstLine="240"/>
        <w:jc w:val="both"/>
        <w:rPr>
          <w:rFonts w:ascii="Book Antiqua" w:hAnsi="Book Antiqua"/>
          <w:sz w:val="24"/>
          <w:szCs w:val="24"/>
          <w:lang w:eastAsia="zh-CN"/>
        </w:rPr>
      </w:pPr>
      <w:r w:rsidRPr="008C263A">
        <w:rPr>
          <w:rFonts w:ascii="Book Antiqua" w:hAnsi="Book Antiqua"/>
          <w:sz w:val="24"/>
          <w:szCs w:val="24"/>
        </w:rPr>
        <w:t>Patient data were extracted from an electronic database (Nadis</w:t>
      </w:r>
      <w:r w:rsidRPr="008C263A">
        <w:rPr>
          <w:rFonts w:ascii="Book Antiqua" w:hAnsi="Book Antiqua"/>
          <w:sz w:val="24"/>
          <w:szCs w:val="24"/>
          <w:vertAlign w:val="superscript"/>
        </w:rPr>
        <w:t>®</w:t>
      </w:r>
      <w:r w:rsidRPr="008C263A">
        <w:rPr>
          <w:rFonts w:ascii="Book Antiqua" w:hAnsi="Book Antiqua"/>
          <w:sz w:val="24"/>
          <w:szCs w:val="24"/>
        </w:rPr>
        <w:t>)</w:t>
      </w:r>
      <w:r w:rsidRPr="008C263A">
        <w:rPr>
          <w:rFonts w:ascii="Book Antiqua" w:hAnsi="Book Antiqua"/>
          <w:sz w:val="24"/>
          <w:szCs w:val="24"/>
          <w:vertAlign w:val="superscript"/>
        </w:rPr>
        <w:t>[6]</w:t>
      </w:r>
      <w:r w:rsidRPr="008C263A">
        <w:rPr>
          <w:rFonts w:ascii="Book Antiqua" w:hAnsi="Book Antiqua" w:cs="Arial"/>
          <w:sz w:val="24"/>
          <w:szCs w:val="24"/>
        </w:rPr>
        <w:t xml:space="preserve"> and included</w:t>
      </w:r>
      <w:r w:rsidRPr="008C263A">
        <w:rPr>
          <w:rFonts w:ascii="Book Antiqua" w:hAnsi="Book Antiqua"/>
          <w:sz w:val="24"/>
          <w:szCs w:val="24"/>
        </w:rPr>
        <w:t xml:space="preserve"> d</w:t>
      </w:r>
      <w:r w:rsidRPr="008C263A">
        <w:rPr>
          <w:rFonts w:ascii="Book Antiqua" w:hAnsi="Book Antiqua" w:cs="Arial"/>
          <w:sz w:val="24"/>
          <w:szCs w:val="24"/>
        </w:rPr>
        <w:t xml:space="preserve">ate of initiation and end of anti-HCV treatment, </w:t>
      </w:r>
      <w:r w:rsidRPr="008C263A">
        <w:rPr>
          <w:rFonts w:ascii="Book Antiqua" w:hAnsi="Book Antiqua" w:cs="Arial"/>
          <w:iCs/>
          <w:sz w:val="24"/>
          <w:szCs w:val="24"/>
        </w:rPr>
        <w:t>dose of RBV</w:t>
      </w:r>
      <w:r w:rsidRPr="008C263A">
        <w:rPr>
          <w:rFonts w:ascii="Book Antiqua" w:hAnsi="Book Antiqua" w:cs="Arial"/>
          <w:sz w:val="24"/>
          <w:szCs w:val="24"/>
        </w:rPr>
        <w:t xml:space="preserve">, </w:t>
      </w:r>
      <w:r w:rsidRPr="008C263A">
        <w:rPr>
          <w:rFonts w:ascii="Book Antiqua" w:hAnsi="Book Antiqua" w:cs="Arial"/>
          <w:iCs/>
          <w:sz w:val="24"/>
          <w:szCs w:val="24"/>
        </w:rPr>
        <w:t>peg-interferon, boceprevir and telaprevir</w:t>
      </w:r>
      <w:r w:rsidRPr="008C263A">
        <w:rPr>
          <w:rFonts w:ascii="Book Antiqua" w:hAnsi="Book Antiqua" w:cs="Arial"/>
          <w:sz w:val="24"/>
          <w:szCs w:val="24"/>
        </w:rPr>
        <w:t xml:space="preserve">, response to previous anti-HCV treatment, HIV-RNA, HCV genotype, HCV-RNA at each stage of follow-up </w:t>
      </w:r>
      <w:r w:rsidRPr="008C263A">
        <w:rPr>
          <w:rFonts w:ascii="Book Antiqua" w:hAnsi="Book Antiqua" w:cs="Arial"/>
          <w:sz w:val="24"/>
          <w:szCs w:val="24"/>
          <w:lang w:eastAsia="zh-CN"/>
        </w:rPr>
        <w:t>[</w:t>
      </w:r>
      <w:r w:rsidRPr="008C263A">
        <w:rPr>
          <w:rFonts w:ascii="Book Antiqua" w:hAnsi="Book Antiqua" w:cs="Arial"/>
          <w:sz w:val="24"/>
          <w:szCs w:val="24"/>
        </w:rPr>
        <w:t xml:space="preserve">week </w:t>
      </w:r>
      <w:r w:rsidRPr="008C263A">
        <w:rPr>
          <w:rFonts w:ascii="Book Antiqua" w:hAnsi="Book Antiqua" w:cs="Arial"/>
          <w:sz w:val="24"/>
          <w:szCs w:val="24"/>
          <w:lang w:eastAsia="zh-CN"/>
        </w:rPr>
        <w:t>(</w:t>
      </w:r>
      <w:r w:rsidRPr="008C263A">
        <w:rPr>
          <w:rFonts w:ascii="Book Antiqua" w:hAnsi="Book Antiqua" w:cs="Arial"/>
          <w:sz w:val="24"/>
          <w:szCs w:val="24"/>
        </w:rPr>
        <w:t>W</w:t>
      </w:r>
      <w:r w:rsidRPr="008C263A">
        <w:rPr>
          <w:rFonts w:ascii="Book Antiqua" w:hAnsi="Book Antiqua" w:cs="Arial"/>
          <w:sz w:val="24"/>
          <w:szCs w:val="24"/>
          <w:lang w:eastAsia="zh-CN"/>
        </w:rPr>
        <w:t>)</w:t>
      </w:r>
      <w:r w:rsidRPr="008C263A">
        <w:rPr>
          <w:rFonts w:ascii="Book Antiqua" w:hAnsi="Book Antiqua" w:cs="Arial"/>
          <w:sz w:val="24"/>
          <w:szCs w:val="24"/>
        </w:rPr>
        <w:t>: W4, W12, W24, W48, and at least 12 wk  after completing treatment</w:t>
      </w:r>
      <w:r w:rsidRPr="008C263A">
        <w:rPr>
          <w:rFonts w:ascii="Book Antiqua" w:hAnsi="Book Antiqua" w:cs="Arial"/>
          <w:sz w:val="24"/>
          <w:szCs w:val="24"/>
          <w:lang w:eastAsia="zh-CN"/>
        </w:rPr>
        <w:t>]</w:t>
      </w:r>
      <w:r w:rsidRPr="008C263A">
        <w:rPr>
          <w:rFonts w:ascii="Book Antiqua" w:hAnsi="Book Antiqua" w:cs="Arial"/>
          <w:sz w:val="24"/>
          <w:szCs w:val="24"/>
        </w:rPr>
        <w:t xml:space="preserve">, antiretroviral treatment, and CD4 T-cell count. The following adverse events were recorded: grade 2 to 4 anemia </w:t>
      </w:r>
      <w:r w:rsidRPr="008C263A">
        <w:rPr>
          <w:rFonts w:ascii="Book Antiqua" w:hAnsi="Book Antiqua" w:cs="Arial"/>
          <w:sz w:val="24"/>
          <w:szCs w:val="24"/>
          <w:lang w:eastAsia="zh-CN"/>
        </w:rPr>
        <w:t>[</w:t>
      </w:r>
      <w:r w:rsidRPr="008C263A">
        <w:rPr>
          <w:rFonts w:ascii="Book Antiqua" w:hAnsi="Book Antiqua" w:cs="Arial"/>
          <w:sz w:val="24"/>
          <w:szCs w:val="24"/>
        </w:rPr>
        <w:t xml:space="preserve">hemoglobin </w:t>
      </w:r>
      <w:r w:rsidRPr="008C263A">
        <w:rPr>
          <w:rFonts w:ascii="Book Antiqua" w:hAnsi="Book Antiqua" w:cs="Arial"/>
          <w:sz w:val="24"/>
          <w:szCs w:val="24"/>
          <w:lang w:eastAsia="zh-CN"/>
        </w:rPr>
        <w:t>(</w:t>
      </w:r>
      <w:r w:rsidRPr="008C263A">
        <w:rPr>
          <w:rFonts w:ascii="Book Antiqua" w:hAnsi="Book Antiqua" w:cs="Arial"/>
          <w:sz w:val="24"/>
          <w:szCs w:val="24"/>
        </w:rPr>
        <w:t>Hb</w:t>
      </w:r>
      <w:r w:rsidRPr="008C263A">
        <w:rPr>
          <w:rFonts w:ascii="Book Antiqua" w:hAnsi="Book Antiqua" w:cs="Arial"/>
          <w:sz w:val="24"/>
          <w:szCs w:val="24"/>
          <w:lang w:eastAsia="zh-CN"/>
        </w:rPr>
        <w:t>)</w:t>
      </w:r>
      <w:r w:rsidRPr="008C263A">
        <w:rPr>
          <w:rFonts w:ascii="Book Antiqua" w:hAnsi="Book Antiqua" w:cs="Arial"/>
          <w:sz w:val="24"/>
          <w:szCs w:val="24"/>
        </w:rPr>
        <w:t xml:space="preserve"> &lt; 9</w:t>
      </w:r>
      <w:r w:rsidR="00FF72F7">
        <w:rPr>
          <w:rFonts w:ascii="Book Antiqua" w:hAnsi="Book Antiqua" w:cs="Arial" w:hint="eastAsia"/>
          <w:sz w:val="24"/>
          <w:szCs w:val="24"/>
          <w:lang w:eastAsia="zh-CN"/>
        </w:rPr>
        <w:t xml:space="preserve"> </w:t>
      </w:r>
      <w:r w:rsidRPr="008C263A">
        <w:rPr>
          <w:rFonts w:ascii="Book Antiqua" w:hAnsi="Book Antiqua" w:cs="Arial"/>
          <w:sz w:val="24"/>
          <w:szCs w:val="24"/>
        </w:rPr>
        <w:t>g</w:t>
      </w:r>
      <w:r w:rsidRPr="008C263A">
        <w:rPr>
          <w:rFonts w:ascii="Book Antiqua" w:hAnsi="Book Antiqua" w:cs="Arial"/>
          <w:sz w:val="24"/>
          <w:szCs w:val="24"/>
          <w:lang w:eastAsia="zh-CN"/>
        </w:rPr>
        <w:t>/</w:t>
      </w:r>
      <w:r w:rsidRPr="008C263A">
        <w:rPr>
          <w:rFonts w:ascii="Book Antiqua" w:hAnsi="Book Antiqua" w:cs="Arial"/>
          <w:sz w:val="24"/>
          <w:szCs w:val="24"/>
        </w:rPr>
        <w:t>dL</w:t>
      </w:r>
      <w:r w:rsidRPr="008C263A">
        <w:rPr>
          <w:rFonts w:ascii="Book Antiqua" w:hAnsi="Book Antiqua" w:cs="Arial"/>
          <w:sz w:val="24"/>
          <w:szCs w:val="24"/>
          <w:lang w:eastAsia="zh-CN"/>
        </w:rPr>
        <w:t>]</w:t>
      </w:r>
      <w:r w:rsidRPr="008C263A">
        <w:rPr>
          <w:rFonts w:ascii="Book Antiqua" w:hAnsi="Book Antiqua" w:cs="Arial"/>
          <w:sz w:val="24"/>
          <w:szCs w:val="24"/>
        </w:rPr>
        <w:t>, leucopenia, thrombocytopenia, severe infection, decompensated cirrhosis, rashes, as well as death and cause thereof. EPO use and blood transfusions were also reported</w:t>
      </w:r>
      <w:r w:rsidRPr="008C263A">
        <w:rPr>
          <w:rFonts w:ascii="Book Antiqua" w:hAnsi="Book Antiqua"/>
          <w:sz w:val="24"/>
          <w:szCs w:val="24"/>
        </w:rPr>
        <w:t>.</w:t>
      </w:r>
    </w:p>
    <w:p w:rsidR="00766206" w:rsidRPr="008C263A" w:rsidRDefault="00766206" w:rsidP="00F23E6B">
      <w:pPr>
        <w:spacing w:after="0" w:line="360" w:lineRule="auto"/>
        <w:jc w:val="both"/>
        <w:rPr>
          <w:rFonts w:ascii="Book Antiqua" w:hAnsi="Book Antiqua"/>
          <w:sz w:val="24"/>
          <w:szCs w:val="24"/>
          <w:lang w:eastAsia="zh-CN"/>
        </w:rPr>
      </w:pPr>
    </w:p>
    <w:p w:rsidR="00766206" w:rsidRPr="008C263A" w:rsidRDefault="00766206" w:rsidP="00F23E6B">
      <w:pPr>
        <w:spacing w:after="0" w:line="360" w:lineRule="auto"/>
        <w:jc w:val="both"/>
        <w:rPr>
          <w:rFonts w:ascii="Book Antiqua" w:hAnsi="Book Antiqua" w:cs="Arial"/>
          <w:b/>
          <w:i/>
          <w:color w:val="232323"/>
          <w:sz w:val="24"/>
          <w:szCs w:val="24"/>
          <w:lang w:val="en-GB"/>
        </w:rPr>
      </w:pPr>
      <w:r w:rsidRPr="008C263A">
        <w:rPr>
          <w:rFonts w:ascii="Book Antiqua" w:hAnsi="Book Antiqua" w:cs="Arial"/>
          <w:b/>
          <w:i/>
          <w:color w:val="232323"/>
          <w:sz w:val="24"/>
          <w:szCs w:val="24"/>
          <w:lang w:val="en-GB"/>
        </w:rPr>
        <w:t>NS3/4A genotyping</w:t>
      </w:r>
    </w:p>
    <w:p w:rsidR="00766206" w:rsidRPr="008C263A" w:rsidRDefault="00766206" w:rsidP="00F23E6B">
      <w:pPr>
        <w:spacing w:after="0" w:line="360" w:lineRule="auto"/>
        <w:jc w:val="both"/>
        <w:rPr>
          <w:rFonts w:ascii="Book Antiqua" w:hAnsi="Book Antiqua"/>
          <w:color w:val="232323"/>
          <w:sz w:val="24"/>
          <w:szCs w:val="24"/>
          <w:lang w:val="en-GB"/>
        </w:rPr>
      </w:pPr>
      <w:r w:rsidRPr="008C263A">
        <w:rPr>
          <w:rFonts w:ascii="Book Antiqua" w:hAnsi="Book Antiqua" w:cs="Arial"/>
          <w:color w:val="232323"/>
          <w:sz w:val="24"/>
          <w:szCs w:val="24"/>
          <w:lang w:val="en-GB"/>
        </w:rPr>
        <w:t>In order to genotype HCV strains, total nucleic acids were extracted from 500 µL of plasma with the NucliSENS</w:t>
      </w:r>
      <w:r w:rsidRPr="008C263A">
        <w:rPr>
          <w:rFonts w:ascii="Book Antiqua" w:hAnsi="Book Antiqua" w:cs="Arial"/>
          <w:color w:val="232323"/>
          <w:sz w:val="24"/>
          <w:szCs w:val="24"/>
          <w:vertAlign w:val="superscript"/>
          <w:lang w:val="en-GB"/>
        </w:rPr>
        <w:t>®</w:t>
      </w:r>
      <w:r w:rsidRPr="008C263A">
        <w:rPr>
          <w:rFonts w:ascii="Book Antiqua" w:hAnsi="Book Antiqua" w:cs="Arial"/>
          <w:color w:val="232323"/>
          <w:sz w:val="24"/>
          <w:szCs w:val="24"/>
          <w:lang w:val="en-GB"/>
        </w:rPr>
        <w:t xml:space="preserve"> easyMAG</w:t>
      </w:r>
      <w:r w:rsidRPr="008C263A">
        <w:rPr>
          <w:rFonts w:ascii="Book Antiqua" w:hAnsi="Book Antiqua" w:cs="Arial"/>
          <w:color w:val="232323"/>
          <w:sz w:val="24"/>
          <w:szCs w:val="24"/>
          <w:vertAlign w:val="superscript"/>
          <w:lang w:val="en-GB"/>
        </w:rPr>
        <w:t>®</w:t>
      </w:r>
      <w:r w:rsidRPr="008C263A">
        <w:rPr>
          <w:rFonts w:ascii="Book Antiqua" w:hAnsi="Book Antiqua" w:cs="Arial"/>
          <w:color w:val="232323"/>
          <w:sz w:val="24"/>
          <w:szCs w:val="24"/>
          <w:lang w:val="en-GB"/>
        </w:rPr>
        <w:t xml:space="preserve"> automated platform (BioMerieux). The NS3/4A protease sequence (745 nucleotides) was amplified by reverse-transcriptase nested polymerase chain reaction with protocol and primers described </w:t>
      </w:r>
      <w:r w:rsidRPr="008C263A">
        <w:rPr>
          <w:rFonts w:ascii="Book Antiqua" w:hAnsi="Book Antiqua"/>
          <w:color w:val="232323"/>
          <w:sz w:val="24"/>
          <w:szCs w:val="24"/>
          <w:lang w:val="en-GB"/>
        </w:rPr>
        <w:t>elsewhere</w:t>
      </w:r>
      <w:r w:rsidRPr="008C263A">
        <w:rPr>
          <w:rFonts w:ascii="Book Antiqua" w:hAnsi="Book Antiqua"/>
          <w:color w:val="232323"/>
          <w:sz w:val="24"/>
          <w:szCs w:val="24"/>
          <w:vertAlign w:val="superscript"/>
          <w:lang w:val="en-GB"/>
        </w:rPr>
        <w:t>[7]</w:t>
      </w:r>
      <w:r w:rsidRPr="008C263A">
        <w:rPr>
          <w:rFonts w:ascii="Book Antiqua" w:hAnsi="Book Antiqua"/>
          <w:color w:val="232323"/>
          <w:sz w:val="24"/>
          <w:szCs w:val="24"/>
          <w:lang w:val="en-GB"/>
        </w:rPr>
        <w:t xml:space="preserve"> (Table 1) and evaluated in a multicenter quality control study</w:t>
      </w:r>
      <w:r w:rsidRPr="008C263A">
        <w:rPr>
          <w:rFonts w:ascii="Book Antiqua" w:hAnsi="Book Antiqua"/>
          <w:color w:val="232323"/>
          <w:sz w:val="24"/>
          <w:szCs w:val="24"/>
          <w:vertAlign w:val="superscript"/>
          <w:lang w:val="en-GB"/>
        </w:rPr>
        <w:t>[8]</w:t>
      </w:r>
      <w:r w:rsidRPr="008C263A">
        <w:rPr>
          <w:rFonts w:ascii="Book Antiqua" w:hAnsi="Book Antiqua"/>
          <w:color w:val="232323"/>
          <w:sz w:val="24"/>
          <w:szCs w:val="24"/>
          <w:lang w:val="en-GB"/>
        </w:rPr>
        <w:t>.</w:t>
      </w:r>
    </w:p>
    <w:p w:rsidR="00766206" w:rsidRPr="008C263A" w:rsidRDefault="00766206" w:rsidP="00FF72F7">
      <w:pPr>
        <w:spacing w:after="0" w:line="360" w:lineRule="auto"/>
        <w:ind w:firstLineChars="100" w:firstLine="240"/>
        <w:jc w:val="both"/>
        <w:rPr>
          <w:rFonts w:ascii="Book Antiqua" w:hAnsi="Book Antiqua" w:cs="Arial"/>
          <w:color w:val="232323"/>
          <w:sz w:val="24"/>
          <w:szCs w:val="24"/>
          <w:lang w:val="en-GB"/>
        </w:rPr>
      </w:pPr>
      <w:r w:rsidRPr="008C263A">
        <w:rPr>
          <w:rFonts w:ascii="Book Antiqua" w:hAnsi="Book Antiqua" w:cs="Arial"/>
          <w:color w:val="232323"/>
          <w:sz w:val="24"/>
          <w:szCs w:val="24"/>
          <w:lang w:val="en-GB"/>
        </w:rPr>
        <w:t>Briefly, 40 µL of reaction mixture contained 2X Super Script III One–Step reaction buffer with 0.4 mmol/L dNTP and 5 mmol/L MgSO</w:t>
      </w:r>
      <w:r w:rsidRPr="008C263A">
        <w:rPr>
          <w:rFonts w:ascii="Book Antiqua" w:hAnsi="Book Antiqua" w:cs="Arial"/>
          <w:color w:val="232323"/>
          <w:sz w:val="24"/>
          <w:szCs w:val="24"/>
          <w:vertAlign w:val="subscript"/>
          <w:lang w:val="en-GB"/>
        </w:rPr>
        <w:t>4</w:t>
      </w:r>
      <w:r w:rsidRPr="008C263A">
        <w:rPr>
          <w:rFonts w:ascii="Book Antiqua" w:hAnsi="Book Antiqua" w:cs="Arial"/>
          <w:color w:val="232323"/>
          <w:sz w:val="24"/>
          <w:szCs w:val="24"/>
          <w:lang w:val="en-GB"/>
        </w:rPr>
        <w:t>, 0.2 µmol/L of each sense and anti-sense primers, 1 µL of Super Script III RT/Platinium Taq High Fidelity and 10 µL of RNA extract. Amplification was performed using Biometra thermocycler: 30 min at 55°C followed by 2 min at 94°C, 40 cycles with 30 s at 94°C, 1 min at 59°C, 1 min at 68°C, and a final extension step at 68°C.</w:t>
      </w:r>
    </w:p>
    <w:p w:rsidR="00766206" w:rsidRPr="008C263A" w:rsidRDefault="00766206" w:rsidP="00FF72F7">
      <w:pPr>
        <w:spacing w:after="0" w:line="360" w:lineRule="auto"/>
        <w:ind w:firstLineChars="100" w:firstLine="240"/>
        <w:jc w:val="both"/>
        <w:rPr>
          <w:rFonts w:ascii="Book Antiqua" w:hAnsi="Book Antiqua" w:cs="Arial"/>
          <w:color w:val="232323"/>
          <w:sz w:val="24"/>
          <w:szCs w:val="24"/>
          <w:lang w:val="en-GB"/>
        </w:rPr>
      </w:pPr>
      <w:r w:rsidRPr="008C263A">
        <w:rPr>
          <w:rFonts w:ascii="Book Antiqua" w:hAnsi="Book Antiqua" w:cs="Arial"/>
          <w:color w:val="232323"/>
          <w:sz w:val="24"/>
          <w:szCs w:val="24"/>
          <w:lang w:val="en-GB"/>
        </w:rPr>
        <w:lastRenderedPageBreak/>
        <w:t>When needed, a nested PCR was performed involving the inner genotype-specific primers in 40 µL of reaction mixture contained 10X Invitrogen Thermal ace reaction buffer with 0.5 mmol/L dNTP, 0.2 µmol/L of each sense and anti-sense primers and 10 µL of purified product of first step PCR using: 2 min at 95°C, 35 cycles with 30 s at 95°C, 30 s at 59°C, 1 min at 74°C, and a final extension step at 74°C.</w:t>
      </w:r>
    </w:p>
    <w:p w:rsidR="00766206" w:rsidRPr="008C263A" w:rsidRDefault="00766206" w:rsidP="00FF72F7">
      <w:pPr>
        <w:spacing w:after="0" w:line="360" w:lineRule="auto"/>
        <w:ind w:firstLineChars="100" w:firstLine="240"/>
        <w:jc w:val="both"/>
        <w:rPr>
          <w:rFonts w:ascii="Book Antiqua" w:hAnsi="Book Antiqua" w:cs="Arial"/>
          <w:color w:val="232323"/>
          <w:sz w:val="24"/>
          <w:szCs w:val="24"/>
          <w:lang w:val="en-GB"/>
        </w:rPr>
      </w:pPr>
      <w:r w:rsidRPr="008C263A">
        <w:rPr>
          <w:rFonts w:ascii="Book Antiqua" w:hAnsi="Book Antiqua" w:cs="Arial"/>
          <w:color w:val="232323"/>
          <w:sz w:val="24"/>
          <w:szCs w:val="24"/>
          <w:lang w:val="en-GB"/>
        </w:rPr>
        <w:t>PCR-amplified DNA was purified, genotype-specific primers for the inner PCR were used for bidirectional sequencing and automated dideoxynucleotide termination sequencing was performed with BigDye Terminator using a 3130XL Genetic Analyzer (Applied Biosystems) then compared to the HCV-H77 reference strain using Sequence Navigator software</w:t>
      </w:r>
      <w:r w:rsidRPr="008C263A">
        <w:rPr>
          <w:rFonts w:ascii="Book Antiqua" w:hAnsi="Book Antiqua" w:cs="Arial"/>
          <w:color w:val="232323"/>
          <w:sz w:val="24"/>
          <w:szCs w:val="24"/>
          <w:vertAlign w:val="superscript"/>
          <w:lang w:val="en-GB"/>
        </w:rPr>
        <w:t>TM</w:t>
      </w:r>
      <w:r w:rsidRPr="008C263A">
        <w:rPr>
          <w:rFonts w:ascii="Book Antiqua" w:hAnsi="Book Antiqua" w:cs="Arial"/>
          <w:color w:val="232323"/>
          <w:sz w:val="24"/>
          <w:szCs w:val="24"/>
          <w:lang w:val="en-GB"/>
        </w:rPr>
        <w:t xml:space="preserve"> (Applied Biosystems) and Geno2pheno.</w:t>
      </w:r>
    </w:p>
    <w:p w:rsidR="00766206" w:rsidRPr="008C263A" w:rsidRDefault="00766206" w:rsidP="00F23E6B">
      <w:pPr>
        <w:pStyle w:val="Default"/>
        <w:spacing w:line="360" w:lineRule="auto"/>
        <w:jc w:val="both"/>
        <w:rPr>
          <w:rFonts w:ascii="Book Antiqua" w:hAnsi="Book Antiqua"/>
          <w:color w:val="auto"/>
          <w:lang w:val="en-US"/>
        </w:rPr>
      </w:pPr>
    </w:p>
    <w:p w:rsidR="00766206" w:rsidRPr="008C263A" w:rsidRDefault="00766206" w:rsidP="00F23E6B">
      <w:pPr>
        <w:pStyle w:val="NormalWeb"/>
        <w:spacing w:before="0" w:beforeAutospacing="0" w:after="0" w:afterAutospacing="0" w:line="360" w:lineRule="auto"/>
        <w:jc w:val="both"/>
        <w:rPr>
          <w:rFonts w:ascii="Book Antiqua" w:hAnsi="Book Antiqua" w:cs="Times New Roman"/>
          <w:b/>
          <w:i/>
        </w:rPr>
      </w:pPr>
      <w:r w:rsidRPr="008C263A">
        <w:rPr>
          <w:rFonts w:ascii="Book Antiqua" w:hAnsi="Book Antiqua" w:cs="Times New Roman"/>
          <w:b/>
          <w:i/>
        </w:rPr>
        <w:t>Statistical analysis</w:t>
      </w:r>
    </w:p>
    <w:p w:rsidR="00766206" w:rsidRPr="008C263A" w:rsidRDefault="00766206" w:rsidP="00F23E6B">
      <w:pPr>
        <w:spacing w:after="0" w:line="360" w:lineRule="auto"/>
        <w:jc w:val="both"/>
        <w:rPr>
          <w:rFonts w:ascii="Book Antiqua" w:hAnsi="Book Antiqua" w:cs="Arial"/>
          <w:iCs/>
          <w:sz w:val="24"/>
          <w:szCs w:val="24"/>
        </w:rPr>
      </w:pPr>
      <w:r w:rsidRPr="008C263A">
        <w:rPr>
          <w:rFonts w:ascii="Book Antiqua" w:hAnsi="Book Antiqua" w:cs="Arial"/>
          <w:sz w:val="24"/>
          <w:szCs w:val="24"/>
        </w:rPr>
        <w:t xml:space="preserve">Variables at treatment initiation were expressed as frequencies (percentages) for categorical variables, or median (interquartile range) for continuous variables. The rate of treatment response was calculated as the number of patients with undetectable HCV viral load divided by the number of patients with available data on HCV-RNA viral load at the considered visit. </w:t>
      </w:r>
    </w:p>
    <w:p w:rsidR="00766206" w:rsidRPr="008C263A" w:rsidRDefault="00766206" w:rsidP="00FF72F7">
      <w:pPr>
        <w:spacing w:after="0" w:line="360" w:lineRule="auto"/>
        <w:ind w:firstLineChars="100" w:firstLine="240"/>
        <w:jc w:val="both"/>
        <w:rPr>
          <w:rFonts w:ascii="Book Antiqua" w:hAnsi="Book Antiqua" w:cs="Arial"/>
          <w:iCs/>
          <w:sz w:val="24"/>
          <w:szCs w:val="24"/>
        </w:rPr>
      </w:pPr>
      <w:r w:rsidRPr="008C263A">
        <w:rPr>
          <w:rFonts w:ascii="Book Antiqua" w:hAnsi="Book Antiqua" w:cs="Arial"/>
          <w:iCs/>
          <w:sz w:val="24"/>
          <w:szCs w:val="24"/>
        </w:rPr>
        <w:t>In case of early treatment discontinuation with a detectable HCV viral load, the patient was considered as failing treatment at each</w:t>
      </w:r>
      <w:r w:rsidRPr="008C263A">
        <w:rPr>
          <w:rFonts w:ascii="Book Antiqua" w:hAnsi="Book Antiqua" w:cs="Arial"/>
          <w:sz w:val="24"/>
          <w:szCs w:val="24"/>
        </w:rPr>
        <w:t xml:space="preserve"> subsequent visit up to W48. </w:t>
      </w:r>
      <w:r w:rsidRPr="008C263A">
        <w:rPr>
          <w:rFonts w:ascii="Book Antiqua" w:hAnsi="Book Antiqua" w:cs="Arial"/>
          <w:iCs/>
          <w:sz w:val="24"/>
          <w:szCs w:val="24"/>
        </w:rPr>
        <w:t>In case of early treatment discontinuation with undetectable HCV viral load, the subsequent HCV viral load measurements were used to assess treatment efficacy.</w:t>
      </w:r>
    </w:p>
    <w:p w:rsidR="00766206" w:rsidRPr="008C263A" w:rsidRDefault="00766206" w:rsidP="00FF72F7">
      <w:pPr>
        <w:spacing w:after="0" w:line="360" w:lineRule="auto"/>
        <w:ind w:firstLineChars="100" w:firstLine="240"/>
        <w:jc w:val="both"/>
        <w:rPr>
          <w:rFonts w:ascii="Book Antiqua" w:hAnsi="Book Antiqua" w:cs="Arial"/>
          <w:iCs/>
          <w:sz w:val="24"/>
          <w:szCs w:val="24"/>
        </w:rPr>
      </w:pPr>
      <w:r w:rsidRPr="008C263A">
        <w:rPr>
          <w:rFonts w:ascii="Book Antiqua" w:hAnsi="Book Antiqua" w:cs="Arial"/>
          <w:sz w:val="24"/>
          <w:szCs w:val="24"/>
        </w:rPr>
        <w:t xml:space="preserve">Data analysis was performed using Epi-Info™ version 7 software. </w:t>
      </w:r>
    </w:p>
    <w:p w:rsidR="00766206" w:rsidRPr="008C263A" w:rsidRDefault="00766206" w:rsidP="00F23E6B">
      <w:pPr>
        <w:pStyle w:val="Default"/>
        <w:spacing w:line="360" w:lineRule="auto"/>
        <w:jc w:val="both"/>
        <w:rPr>
          <w:rFonts w:ascii="Book Antiqua" w:hAnsi="Book Antiqua"/>
          <w:color w:val="auto"/>
          <w:lang w:val="en-US" w:eastAsia="zh-CN"/>
        </w:rPr>
      </w:pPr>
    </w:p>
    <w:p w:rsidR="00766206" w:rsidRPr="008C263A" w:rsidRDefault="00766206" w:rsidP="00F23E6B">
      <w:pPr>
        <w:adjustRightInd w:val="0"/>
        <w:snapToGrid w:val="0"/>
        <w:spacing w:after="0" w:line="360" w:lineRule="auto"/>
        <w:jc w:val="both"/>
        <w:rPr>
          <w:rFonts w:ascii="Book Antiqua" w:hAnsi="Book Antiqua"/>
          <w:b/>
          <w:caps/>
          <w:color w:val="000000"/>
          <w:sz w:val="24"/>
          <w:szCs w:val="24"/>
        </w:rPr>
      </w:pPr>
      <w:r w:rsidRPr="008C263A">
        <w:rPr>
          <w:rFonts w:ascii="Book Antiqua" w:hAnsi="Book Antiqua"/>
          <w:b/>
          <w:caps/>
          <w:color w:val="000000"/>
          <w:sz w:val="24"/>
          <w:szCs w:val="24"/>
        </w:rPr>
        <w:t>Results</w:t>
      </w:r>
    </w:p>
    <w:p w:rsidR="00766206" w:rsidRPr="008C263A" w:rsidRDefault="00766206" w:rsidP="00F23E6B">
      <w:pPr>
        <w:pStyle w:val="Default"/>
        <w:tabs>
          <w:tab w:val="left" w:pos="1473"/>
        </w:tabs>
        <w:spacing w:line="360" w:lineRule="auto"/>
        <w:jc w:val="both"/>
        <w:rPr>
          <w:rFonts w:ascii="Book Antiqua" w:hAnsi="Book Antiqua"/>
          <w:color w:val="auto"/>
          <w:lang w:val="en-US"/>
        </w:rPr>
      </w:pPr>
      <w:r w:rsidRPr="008C263A">
        <w:rPr>
          <w:rFonts w:ascii="Book Antiqua" w:hAnsi="Book Antiqua"/>
          <w:color w:val="auto"/>
          <w:lang w:val="en-US"/>
        </w:rPr>
        <w:t xml:space="preserve">Patient characteristics at treatment initiation are described in Table 2. </w:t>
      </w:r>
    </w:p>
    <w:p w:rsidR="00766206" w:rsidRPr="008C263A" w:rsidRDefault="00766206" w:rsidP="00FF72F7">
      <w:pPr>
        <w:pStyle w:val="Default"/>
        <w:spacing w:line="360" w:lineRule="auto"/>
        <w:ind w:firstLineChars="100" w:firstLine="240"/>
        <w:jc w:val="both"/>
        <w:rPr>
          <w:rFonts w:ascii="Book Antiqua" w:hAnsi="Book Antiqua"/>
          <w:color w:val="auto"/>
          <w:lang w:val="en-US"/>
        </w:rPr>
      </w:pPr>
      <w:r w:rsidRPr="008C263A">
        <w:rPr>
          <w:rFonts w:ascii="Book Antiqua" w:hAnsi="Book Antiqua"/>
          <w:color w:val="auto"/>
          <w:lang w:val="en-US"/>
        </w:rPr>
        <w:t>Among 41 patients included in the study, 13/41 (31.7%) were HCV-treatment na</w:t>
      </w:r>
      <w:r w:rsidRPr="008C263A">
        <w:rPr>
          <w:rFonts w:ascii="Book Antiqua" w:hAnsi="Book Antiqua"/>
          <w:color w:val="auto"/>
          <w:lang w:val="en-US" w:eastAsia="zh-CN"/>
        </w:rPr>
        <w:t>i</w:t>
      </w:r>
      <w:r w:rsidRPr="008C263A">
        <w:rPr>
          <w:rFonts w:ascii="Book Antiqua" w:hAnsi="Book Antiqua"/>
          <w:color w:val="auto"/>
          <w:lang w:val="en-US"/>
        </w:rPr>
        <w:t>ve.</w:t>
      </w:r>
      <w:r w:rsidRPr="008C263A">
        <w:rPr>
          <w:rFonts w:ascii="Book Antiqua" w:hAnsi="Book Antiqua"/>
          <w:color w:val="auto"/>
          <w:lang w:val="en-US" w:eastAsia="zh-CN"/>
        </w:rPr>
        <w:t xml:space="preserve"> </w:t>
      </w:r>
      <w:r w:rsidRPr="008C263A">
        <w:rPr>
          <w:rFonts w:ascii="Book Antiqua" w:hAnsi="Book Antiqua"/>
          <w:color w:val="auto"/>
          <w:lang w:val="en-US"/>
        </w:rPr>
        <w:t>Twenty-two patients (53.7%) had advanced liver fibrosis or cirrhosis (Fibroscan stage F3 and F4). None had decompensated cirrhosis or hepatocellular carcinoma. All were receiving antiretroviral treatment, consisting for most patients (83%) in either a nucleoside reverse-transcriptase inhibitor/protease inhibitor or /integrase inhibitor combination (Figure 1). All had undetectable HIV-RNA. Thirty-</w:t>
      </w:r>
      <w:r w:rsidRPr="008C263A">
        <w:rPr>
          <w:rFonts w:ascii="Book Antiqua" w:hAnsi="Book Antiqua"/>
          <w:color w:val="auto"/>
          <w:lang w:val="en-US"/>
        </w:rPr>
        <w:lastRenderedPageBreak/>
        <w:t>seven patients received telaprevir and 4 were treated with boceprevir in addition to IFN/RBV combination therapy. One patient was lost to follow-up.</w:t>
      </w:r>
    </w:p>
    <w:p w:rsidR="00766206" w:rsidRPr="008C263A" w:rsidRDefault="00766206" w:rsidP="00FF72F7">
      <w:pPr>
        <w:pStyle w:val="Default"/>
        <w:spacing w:line="360" w:lineRule="auto"/>
        <w:ind w:firstLineChars="100" w:firstLine="240"/>
        <w:jc w:val="both"/>
        <w:rPr>
          <w:rFonts w:ascii="Book Antiqua" w:hAnsi="Book Antiqua"/>
          <w:color w:val="auto"/>
          <w:lang w:val="en-US"/>
        </w:rPr>
      </w:pPr>
      <w:r w:rsidRPr="008C263A">
        <w:rPr>
          <w:rFonts w:ascii="Book Antiqua" w:hAnsi="Book Antiqua"/>
          <w:color w:val="auto"/>
          <w:lang w:val="en-US"/>
        </w:rPr>
        <w:t xml:space="preserve">The number of patients with undetectable HCV viral load at different stages of the treatment course is shown in Figure 2. Twenty-seven patients (67.5%) displayed RVR. Response to treatment according to HCV treatment history, stage of fibrosis and HCV genotype is described in Figure 3 among the 40 patients with available follow-up. Twenty-one patients (52.5%) displayed SVR: 6 were treatment-naïve, 5 were partial or non-responders to prior dual agent HCV-treatment regimens, 3 had relapsed, 3 had discontinued treatment prematurely, and response to initial treatment was unspecified for 4 patients. Therapeutic success was observed among all categories except in the patient who had previously experienced virological breakthrough. Among patients with advanced fibrosis (F3-F4), 11/21 (52.4%) exhibited SVR. </w:t>
      </w:r>
    </w:p>
    <w:p w:rsidR="00766206" w:rsidRPr="008C263A" w:rsidRDefault="00766206" w:rsidP="00FF72F7">
      <w:pPr>
        <w:pStyle w:val="Default"/>
        <w:spacing w:line="360" w:lineRule="auto"/>
        <w:ind w:firstLineChars="100" w:firstLine="240"/>
        <w:jc w:val="both"/>
        <w:rPr>
          <w:rFonts w:ascii="Book Antiqua" w:hAnsi="Book Antiqua"/>
          <w:color w:val="auto"/>
          <w:lang w:val="en-US"/>
        </w:rPr>
      </w:pPr>
      <w:r w:rsidRPr="008C263A">
        <w:rPr>
          <w:rFonts w:ascii="Book Antiqua" w:hAnsi="Book Antiqua"/>
          <w:color w:val="auto"/>
          <w:lang w:val="en-US"/>
        </w:rPr>
        <w:t xml:space="preserve">Fifteen patients did not complete the treatment course: 5 due to virological failure (3 viral breakthroughs, 2 non- or partial responders), 3 on patient’s decision, and 7 because of adverse events. Eight patients did so within the first 12 wk, three between 12 and 24 wk , and four between 24 and 48 wk . Two of these patients were switched to a sofosbuvir/RBV regimen. </w:t>
      </w:r>
    </w:p>
    <w:p w:rsidR="00766206" w:rsidRPr="008C263A" w:rsidRDefault="00766206" w:rsidP="00FF72F7">
      <w:pPr>
        <w:pStyle w:val="Default"/>
        <w:spacing w:line="360" w:lineRule="auto"/>
        <w:ind w:firstLineChars="100" w:firstLine="240"/>
        <w:jc w:val="both"/>
        <w:rPr>
          <w:rFonts w:ascii="Book Antiqua" w:hAnsi="Book Antiqua"/>
          <w:color w:val="auto"/>
          <w:lang w:val="en-US"/>
        </w:rPr>
      </w:pPr>
      <w:r w:rsidRPr="008C263A">
        <w:rPr>
          <w:rFonts w:ascii="Book Antiqua" w:hAnsi="Book Antiqua"/>
          <w:color w:val="auto"/>
          <w:lang w:val="en-US"/>
        </w:rPr>
        <w:t>Four patients relapsed: 2 were HCV treatment-naïve with liver fibrosis stages F2 and F3, while the other 2 patients were treatment-experienced with a fibrosis score of F4. Among the seven previously non-responding cirrhotic patients, 2 achieved SVR, 1 relapsed, 1 experienced viro</w:t>
      </w:r>
      <w:r w:rsidRPr="008C263A">
        <w:rPr>
          <w:rFonts w:ascii="Book Antiqua" w:hAnsi="Book Antiqua"/>
          <w:color w:val="auto"/>
          <w:lang w:val="en-GB"/>
        </w:rPr>
        <w:t xml:space="preserve">logical breakthrough, 1 did not respond and 2 discontinued treatment due to adverse events (gingival haemorrhage and psychiatric decompensation). </w:t>
      </w:r>
    </w:p>
    <w:p w:rsidR="00766206" w:rsidRPr="008C263A" w:rsidRDefault="00766206" w:rsidP="00F23E6B">
      <w:pPr>
        <w:pStyle w:val="Default"/>
        <w:spacing w:line="360" w:lineRule="auto"/>
        <w:jc w:val="both"/>
        <w:rPr>
          <w:rFonts w:ascii="Book Antiqua" w:hAnsi="Book Antiqua"/>
          <w:b/>
          <w:i/>
          <w:color w:val="auto"/>
          <w:lang w:val="en-US"/>
        </w:rPr>
      </w:pPr>
    </w:p>
    <w:p w:rsidR="00766206" w:rsidRPr="008C263A" w:rsidRDefault="00766206" w:rsidP="00F23E6B">
      <w:pPr>
        <w:pStyle w:val="Default"/>
        <w:spacing w:line="360" w:lineRule="auto"/>
        <w:jc w:val="both"/>
        <w:rPr>
          <w:rFonts w:ascii="Book Antiqua" w:hAnsi="Book Antiqua"/>
          <w:color w:val="auto"/>
          <w:lang w:val="en-US" w:eastAsia="zh-CN"/>
        </w:rPr>
      </w:pPr>
      <w:r w:rsidRPr="008C263A">
        <w:rPr>
          <w:rFonts w:ascii="Book Antiqua" w:hAnsi="Book Antiqua"/>
          <w:b/>
          <w:i/>
          <w:color w:val="auto"/>
          <w:lang w:val="en-US"/>
        </w:rPr>
        <w:t>Adverse events</w:t>
      </w:r>
      <w:r w:rsidRPr="008C263A">
        <w:rPr>
          <w:rFonts w:ascii="Book Antiqua" w:hAnsi="Book Antiqua"/>
          <w:color w:val="auto"/>
          <w:lang w:val="en-US"/>
        </w:rPr>
        <w:t xml:space="preserve"> </w:t>
      </w:r>
    </w:p>
    <w:p w:rsidR="00766206" w:rsidRPr="008C263A" w:rsidRDefault="00766206" w:rsidP="00F23E6B">
      <w:pPr>
        <w:pStyle w:val="Default"/>
        <w:spacing w:line="360" w:lineRule="auto"/>
        <w:jc w:val="both"/>
        <w:rPr>
          <w:rFonts w:ascii="Book Antiqua" w:hAnsi="Book Antiqua"/>
          <w:color w:val="auto"/>
          <w:lang w:val="en-US" w:eastAsia="zh-CN"/>
        </w:rPr>
      </w:pPr>
      <w:r w:rsidRPr="008C263A">
        <w:rPr>
          <w:rFonts w:ascii="Book Antiqua" w:hAnsi="Book Antiqua"/>
          <w:color w:val="auto"/>
          <w:lang w:val="en-US"/>
        </w:rPr>
        <w:t>Among the 15 patients who discontinued treatment prematurely, seven developed the following adverse events: flare-up of porphyria cutanea tarda (1), gingival haemorrhage (1), psychiatric disorder (1), thrombocytopenia (1), fatigue (1), cirrhotic decompensation (1) and acute pancreatitis (1) (Table 3)</w:t>
      </w:r>
      <w:r w:rsidRPr="008C263A">
        <w:rPr>
          <w:rFonts w:ascii="Book Antiqua" w:hAnsi="Book Antiqua"/>
          <w:color w:val="auto"/>
          <w:lang w:val="en-US" w:eastAsia="zh-CN"/>
        </w:rPr>
        <w:t>.</w:t>
      </w:r>
      <w:r w:rsidRPr="008C263A">
        <w:rPr>
          <w:rFonts w:ascii="Book Antiqua" w:hAnsi="Book Antiqua"/>
          <w:color w:val="auto"/>
          <w:lang w:val="en-US"/>
        </w:rPr>
        <w:t xml:space="preserve"> </w:t>
      </w:r>
    </w:p>
    <w:p w:rsidR="00766206" w:rsidRPr="008C263A" w:rsidRDefault="00766206" w:rsidP="00FF72F7">
      <w:pPr>
        <w:pStyle w:val="Default"/>
        <w:spacing w:line="360" w:lineRule="auto"/>
        <w:ind w:firstLineChars="100" w:firstLine="240"/>
        <w:jc w:val="both"/>
        <w:rPr>
          <w:rFonts w:ascii="Book Antiqua" w:hAnsi="Book Antiqua"/>
          <w:color w:val="auto"/>
          <w:lang w:val="en-US"/>
        </w:rPr>
      </w:pPr>
      <w:r w:rsidRPr="008C263A">
        <w:rPr>
          <w:rFonts w:ascii="Book Antiqua" w:hAnsi="Book Antiqua"/>
          <w:color w:val="auto"/>
          <w:lang w:val="en-US"/>
        </w:rPr>
        <w:t>Thirty five (85%) patients developed severe anemia (Hb</w:t>
      </w:r>
      <w:r w:rsidRPr="008C263A">
        <w:rPr>
          <w:rFonts w:ascii="Book Antiqua" w:hAnsi="Book Antiqua"/>
          <w:color w:val="auto"/>
          <w:lang w:val="en-US" w:eastAsia="zh-CN"/>
        </w:rPr>
        <w:t xml:space="preserve"> </w:t>
      </w:r>
      <w:r w:rsidRPr="008C263A">
        <w:rPr>
          <w:rFonts w:ascii="Book Antiqua" w:hAnsi="Book Antiqua"/>
          <w:color w:val="auto"/>
          <w:lang w:val="en-US"/>
        </w:rPr>
        <w:t>&lt;</w:t>
      </w:r>
      <w:r w:rsidRPr="008C263A">
        <w:rPr>
          <w:rFonts w:ascii="Book Antiqua" w:hAnsi="Book Antiqua"/>
          <w:color w:val="auto"/>
          <w:lang w:val="en-US" w:eastAsia="zh-CN"/>
        </w:rPr>
        <w:t xml:space="preserve"> </w:t>
      </w:r>
      <w:r w:rsidRPr="008C263A">
        <w:rPr>
          <w:rFonts w:ascii="Book Antiqua" w:hAnsi="Book Antiqua"/>
          <w:color w:val="auto"/>
          <w:lang w:val="en-US"/>
        </w:rPr>
        <w:t>9</w:t>
      </w:r>
      <w:r w:rsidRPr="008C263A">
        <w:rPr>
          <w:rFonts w:ascii="Book Antiqua" w:hAnsi="Book Antiqua"/>
          <w:color w:val="auto"/>
          <w:lang w:val="en-US" w:eastAsia="zh-CN"/>
        </w:rPr>
        <w:t xml:space="preserve"> </w:t>
      </w:r>
      <w:r w:rsidRPr="008C263A">
        <w:rPr>
          <w:rFonts w:ascii="Book Antiqua" w:hAnsi="Book Antiqua"/>
          <w:color w:val="auto"/>
          <w:lang w:val="en-US"/>
        </w:rPr>
        <w:t>g</w:t>
      </w:r>
      <w:r w:rsidRPr="008C263A">
        <w:rPr>
          <w:rFonts w:ascii="Book Antiqua" w:hAnsi="Book Antiqua"/>
          <w:color w:val="auto"/>
          <w:lang w:val="en-US" w:eastAsia="zh-CN"/>
        </w:rPr>
        <w:t>/</w:t>
      </w:r>
      <w:r w:rsidRPr="008C263A">
        <w:rPr>
          <w:rFonts w:ascii="Book Antiqua" w:hAnsi="Book Antiqua"/>
          <w:color w:val="auto"/>
          <w:lang w:val="en-US"/>
        </w:rPr>
        <w:t>dL) requiring either administration of erythropoietin, blood transfusion or both (Table 3).</w:t>
      </w:r>
    </w:p>
    <w:p w:rsidR="00766206" w:rsidRPr="008C263A" w:rsidRDefault="00766206" w:rsidP="00F23E6B">
      <w:pPr>
        <w:pStyle w:val="Default"/>
        <w:spacing w:line="360" w:lineRule="auto"/>
        <w:jc w:val="both"/>
        <w:rPr>
          <w:rFonts w:ascii="Book Antiqua" w:hAnsi="Book Antiqua"/>
          <w:color w:val="auto"/>
          <w:lang w:val="en-US"/>
        </w:rPr>
      </w:pPr>
    </w:p>
    <w:p w:rsidR="00766206" w:rsidRPr="008C263A" w:rsidRDefault="00766206" w:rsidP="00F23E6B">
      <w:pPr>
        <w:pStyle w:val="Default"/>
        <w:spacing w:line="360" w:lineRule="auto"/>
        <w:jc w:val="both"/>
        <w:rPr>
          <w:rFonts w:ascii="Book Antiqua" w:hAnsi="Book Antiqua"/>
          <w:b/>
          <w:i/>
          <w:color w:val="auto"/>
          <w:lang w:val="en-US"/>
        </w:rPr>
      </w:pPr>
      <w:r w:rsidRPr="008C263A">
        <w:rPr>
          <w:rFonts w:ascii="Book Antiqua" w:hAnsi="Book Antiqua"/>
          <w:b/>
          <w:i/>
          <w:color w:val="auto"/>
          <w:lang w:val="en-US"/>
        </w:rPr>
        <w:t xml:space="preserve">NS3/4A Protease genotyping </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Pre- and post treatment genotyping of the NS3 protease was performed</w:t>
      </w:r>
      <w:r w:rsidRPr="008C263A">
        <w:rPr>
          <w:rFonts w:ascii="Book Antiqua" w:hAnsi="Book Antiqua"/>
          <w:lang w:val="en-US"/>
        </w:rPr>
        <w:t xml:space="preserve"> </w:t>
      </w:r>
      <w:r w:rsidRPr="008C263A">
        <w:rPr>
          <w:rFonts w:ascii="Book Antiqua" w:hAnsi="Book Antiqua"/>
          <w:color w:val="auto"/>
          <w:lang w:val="en-US"/>
        </w:rPr>
        <w:t xml:space="preserve">using standard Sanger sequencing for the nine patients who experienced treatment failure (3 viral breakthroughs, 2 non- or partial responders, and 4 relapses). Their NS3/4A sequences were </w:t>
      </w:r>
      <w:r w:rsidRPr="008C263A">
        <w:rPr>
          <w:rFonts w:ascii="Book Antiqua" w:hAnsi="Book Antiqua"/>
          <w:color w:val="232323"/>
          <w:lang w:val="en-GB"/>
        </w:rPr>
        <w:t>compared to the HCV-H77 reference strain (</w:t>
      </w:r>
      <w:r w:rsidRPr="008C263A">
        <w:rPr>
          <w:rFonts w:ascii="Book Antiqua" w:hAnsi="Book Antiqua"/>
          <w:lang w:val="en-US"/>
        </w:rPr>
        <w:t xml:space="preserve">reference sequence AF009606) </w:t>
      </w:r>
      <w:r w:rsidRPr="008C263A">
        <w:rPr>
          <w:rFonts w:ascii="Book Antiqua" w:hAnsi="Book Antiqua"/>
          <w:color w:val="232323"/>
          <w:lang w:val="en-GB"/>
        </w:rPr>
        <w:t>using Sequence Navigator software</w:t>
      </w:r>
      <w:r w:rsidRPr="008C263A">
        <w:rPr>
          <w:rFonts w:ascii="Book Antiqua" w:hAnsi="Book Antiqua"/>
          <w:color w:val="232323"/>
          <w:vertAlign w:val="superscript"/>
          <w:lang w:val="en-GB"/>
        </w:rPr>
        <w:t>TM</w:t>
      </w:r>
      <w:r w:rsidRPr="008C263A">
        <w:rPr>
          <w:rFonts w:ascii="Book Antiqua" w:hAnsi="Book Antiqua"/>
          <w:color w:val="232323"/>
          <w:lang w:val="en-GB"/>
        </w:rPr>
        <w:t xml:space="preserve"> (Applied Biosystems) and were analysed with Geno2pheno HCV. Both methods yielded the same resistance mutations. </w:t>
      </w:r>
      <w:r w:rsidRPr="008C263A">
        <w:rPr>
          <w:rFonts w:ascii="Book Antiqua" w:hAnsi="Book Antiqua"/>
          <w:color w:val="auto"/>
          <w:lang w:val="en-US"/>
        </w:rPr>
        <w:t xml:space="preserve">Details of NS3/4A amino acid resistance mutations are displayed in Table 4. Pre-treatment plasma samples were available for 3 of the 4 relapsing patients, showing an </w:t>
      </w:r>
      <w:r w:rsidRPr="008C263A">
        <w:rPr>
          <w:rFonts w:ascii="Book Antiqua" w:hAnsi="Book Antiqua"/>
          <w:i/>
          <w:color w:val="auto"/>
          <w:lang w:val="en-US"/>
        </w:rPr>
        <w:t>I132V</w:t>
      </w:r>
      <w:r w:rsidRPr="008C263A">
        <w:rPr>
          <w:rFonts w:ascii="Book Antiqua" w:hAnsi="Book Antiqua"/>
          <w:color w:val="auto"/>
          <w:lang w:val="en-US"/>
        </w:rPr>
        <w:t xml:space="preserve"> mutation conveying possible resistance to telaprevir. All three were treated with telaprevir and displayed V36A mutations following exposure, conferring 7.4</w:t>
      </w:r>
      <w:r w:rsidRPr="008C263A">
        <w:rPr>
          <w:rFonts w:ascii="Book Antiqua" w:hAnsi="Book Antiqua"/>
          <w:color w:val="auto"/>
          <w:lang w:val="en-US" w:eastAsia="zh-CN"/>
        </w:rPr>
        <w:t>-</w:t>
      </w:r>
      <w:r w:rsidRPr="008C263A">
        <w:rPr>
          <w:rFonts w:ascii="Book Antiqua" w:hAnsi="Book Antiqua"/>
          <w:color w:val="auto"/>
          <w:lang w:val="en-US"/>
        </w:rPr>
        <w:t>7.5 fold changes in EC</w:t>
      </w:r>
      <w:r w:rsidRPr="008C263A">
        <w:rPr>
          <w:rFonts w:ascii="Book Antiqua" w:hAnsi="Book Antiqua"/>
          <w:color w:val="auto"/>
          <w:vertAlign w:val="subscript"/>
          <w:lang w:val="en-US"/>
        </w:rPr>
        <w:t>50</w:t>
      </w:r>
      <w:r w:rsidRPr="008C263A">
        <w:rPr>
          <w:rFonts w:ascii="Book Antiqua" w:hAnsi="Book Antiqua"/>
          <w:color w:val="auto"/>
          <w:lang w:val="en-US"/>
        </w:rPr>
        <w:t xml:space="preserve">. The fourth patient, who was the only one to have received boceprevir among patients who failed treatment, had T54S and R155K substitutions following exposure. The non- and partial responders both had no initial mutations but developed V36M and R155K conferring a 62-fold change in antiviral activity. </w:t>
      </w:r>
    </w:p>
    <w:p w:rsidR="00766206" w:rsidRPr="008C263A" w:rsidRDefault="00766206" w:rsidP="00FF72F7">
      <w:pPr>
        <w:pStyle w:val="Default"/>
        <w:spacing w:line="360" w:lineRule="auto"/>
        <w:ind w:firstLineChars="100" w:firstLine="240"/>
        <w:jc w:val="both"/>
        <w:rPr>
          <w:rFonts w:ascii="Book Antiqua" w:hAnsi="Book Antiqua"/>
          <w:color w:val="auto"/>
          <w:lang w:val="en-US"/>
        </w:rPr>
      </w:pPr>
      <w:r w:rsidRPr="008C263A">
        <w:rPr>
          <w:rFonts w:ascii="Book Antiqua" w:hAnsi="Book Antiqua"/>
          <w:color w:val="auto"/>
          <w:lang w:val="en-US"/>
        </w:rPr>
        <w:t>No mutations were initially observed among patients who developed virological breakthrough, who all displayed R155K, V36M, or both substitutions after exposure, the latter combination associated with a 62-fold change in EC</w:t>
      </w:r>
      <w:r w:rsidRPr="008C263A">
        <w:rPr>
          <w:rFonts w:ascii="Book Antiqua" w:hAnsi="Book Antiqua"/>
          <w:color w:val="auto"/>
          <w:vertAlign w:val="subscript"/>
          <w:lang w:val="en-US"/>
        </w:rPr>
        <w:t>50</w:t>
      </w:r>
      <w:r w:rsidRPr="008C263A">
        <w:rPr>
          <w:rFonts w:ascii="Book Antiqua" w:hAnsi="Book Antiqua"/>
          <w:color w:val="auto"/>
          <w:lang w:val="en-US"/>
        </w:rPr>
        <w:t xml:space="preserve">. </w:t>
      </w:r>
    </w:p>
    <w:p w:rsidR="00766206" w:rsidRPr="008C263A" w:rsidRDefault="00766206" w:rsidP="00F23E6B">
      <w:pPr>
        <w:pStyle w:val="Default"/>
        <w:spacing w:line="360" w:lineRule="auto"/>
        <w:jc w:val="both"/>
        <w:rPr>
          <w:rFonts w:ascii="Book Antiqua" w:hAnsi="Book Antiqua"/>
          <w:color w:val="auto"/>
          <w:lang w:val="en-US" w:eastAsia="zh-CN"/>
        </w:rPr>
      </w:pPr>
    </w:p>
    <w:p w:rsidR="00766206" w:rsidRPr="008C263A" w:rsidRDefault="00766206" w:rsidP="00F23E6B">
      <w:pPr>
        <w:pStyle w:val="Default"/>
        <w:spacing w:line="360" w:lineRule="auto"/>
        <w:jc w:val="both"/>
        <w:rPr>
          <w:rFonts w:ascii="Book Antiqua" w:hAnsi="Book Antiqua"/>
          <w:lang w:val="en-US"/>
        </w:rPr>
      </w:pPr>
      <w:r w:rsidRPr="008C263A">
        <w:rPr>
          <w:rFonts w:ascii="Book Antiqua" w:hAnsi="Book Antiqua"/>
          <w:b/>
          <w:caps/>
          <w:lang w:val="en-US"/>
        </w:rPr>
        <w:t>Discussion</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 xml:space="preserve">This observational study assessed the effectiveness of a pegIFN/RBV + HCV-protease inhibitor combination in difficult-to-treat HIV co-infected patients most of whom had already failed a previous dual treatment course and had severe liver fibrosis (54%), one out of six patients being both cirrhotic and non-responder to prior therapy. In spite of such adverse circumstances, among the 40 patients that could be assessed, 52.5% displayed SVR, and one out of three among cirrhotic, non-responders to previous therapy. </w:t>
      </w:r>
    </w:p>
    <w:p w:rsidR="00766206" w:rsidRPr="008C263A" w:rsidRDefault="00766206" w:rsidP="00FF72F7">
      <w:pPr>
        <w:pStyle w:val="EndnoteText"/>
        <w:spacing w:after="0" w:line="360" w:lineRule="auto"/>
        <w:ind w:firstLineChars="100" w:firstLine="240"/>
        <w:jc w:val="both"/>
        <w:rPr>
          <w:rFonts w:ascii="Book Antiqua" w:hAnsi="Book Antiqua"/>
          <w:sz w:val="24"/>
          <w:szCs w:val="24"/>
        </w:rPr>
      </w:pPr>
      <w:r w:rsidRPr="008C263A">
        <w:rPr>
          <w:rFonts w:ascii="Book Antiqua" w:hAnsi="Book Antiqua"/>
          <w:sz w:val="24"/>
          <w:szCs w:val="24"/>
        </w:rPr>
        <w:t>Two open-label, single-arm, phase 2 clinical trials (ANRS HC26 TelapreVIH and HC27 BocepreVIH) recently investigated the effectiveness of pegIFN + RBV + protease inhibitor comb</w:t>
      </w:r>
      <w:bookmarkStart w:id="8" w:name="_Hlk411413090"/>
      <w:r w:rsidRPr="008C263A">
        <w:rPr>
          <w:rFonts w:ascii="Book Antiqua" w:hAnsi="Book Antiqua"/>
          <w:sz w:val="24"/>
          <w:szCs w:val="24"/>
        </w:rPr>
        <w:t>ination in pre-treated patients</w:t>
      </w:r>
      <w:r w:rsidRPr="008C263A">
        <w:rPr>
          <w:rFonts w:ascii="Book Antiqua" w:hAnsi="Book Antiqua"/>
          <w:sz w:val="24"/>
          <w:szCs w:val="24"/>
          <w:vertAlign w:val="superscript"/>
        </w:rPr>
        <w:t>[4,5]</w:t>
      </w:r>
      <w:r w:rsidRPr="008C263A">
        <w:rPr>
          <w:rFonts w:ascii="Book Antiqua" w:hAnsi="Book Antiqua"/>
          <w:sz w:val="24"/>
          <w:szCs w:val="24"/>
        </w:rPr>
        <w:t xml:space="preserve">. </w:t>
      </w:r>
      <w:bookmarkEnd w:id="8"/>
      <w:r w:rsidRPr="008C263A">
        <w:rPr>
          <w:rFonts w:ascii="Book Antiqua" w:hAnsi="Book Antiqua"/>
          <w:sz w:val="24"/>
          <w:szCs w:val="24"/>
        </w:rPr>
        <w:t xml:space="preserve">In the present study </w:t>
      </w:r>
      <w:r w:rsidRPr="008C263A">
        <w:rPr>
          <w:rFonts w:ascii="Book Antiqua" w:hAnsi="Book Antiqua"/>
          <w:sz w:val="24"/>
          <w:szCs w:val="24"/>
        </w:rPr>
        <w:lastRenderedPageBreak/>
        <w:t xml:space="preserve">performed in a “real-life” setting, the SVR rate was similar to that obtained in the BocepreVIH trial (53%) but lower than that in the TelapreVIH trial (80%) while the proportion of cirrhotic patients (41.5%) was higher (TelapreVIH 23%, BocepreVIH 17%) and patients that were both cirrhotic and non-responders were not included in those trials. A comparison between these two agents was not possible in the present study due to the small number of patients receiving boceprevir. Lacombe </w:t>
      </w:r>
      <w:r w:rsidRPr="008C263A">
        <w:rPr>
          <w:rFonts w:ascii="Book Antiqua" w:hAnsi="Book Antiqua"/>
          <w:i/>
          <w:sz w:val="24"/>
          <w:szCs w:val="24"/>
        </w:rPr>
        <w:t>et al</w:t>
      </w:r>
      <w:r w:rsidRPr="008C263A">
        <w:rPr>
          <w:rFonts w:ascii="Book Antiqua" w:hAnsi="Book Antiqua"/>
          <w:sz w:val="24"/>
          <w:szCs w:val="24"/>
          <w:vertAlign w:val="superscript"/>
        </w:rPr>
        <w:t>[9]</w:t>
      </w:r>
      <w:r w:rsidRPr="008C263A">
        <w:rPr>
          <w:rFonts w:ascii="Book Antiqua" w:hAnsi="Book Antiqua"/>
          <w:sz w:val="24"/>
          <w:szCs w:val="24"/>
        </w:rPr>
        <w:t xml:space="preserve"> reported favorable results of triple therapy including telaprevir in 20 HCV genotype 1 mostly cirrhotic HIV-coinfected patients who had failed pegIFN/RBV treatment with 55% success rate at W24. Overall treatment safety in our patient cohort was comparable to that observed in the above-mentioned clinical trials</w:t>
      </w:r>
      <w:r w:rsidRPr="008C263A">
        <w:rPr>
          <w:rFonts w:ascii="Book Antiqua" w:hAnsi="Book Antiqua"/>
          <w:sz w:val="24"/>
          <w:szCs w:val="24"/>
          <w:vertAlign w:val="superscript"/>
        </w:rPr>
        <w:t>[</w:t>
      </w:r>
      <w:r w:rsidR="00A94F38">
        <w:fldChar w:fldCharType="begin"/>
      </w:r>
      <w:r w:rsidR="00A94F38">
        <w:instrText xml:space="preserve"> NOTEREF _Ref410988299 \h  \* MERGEFORMAT </w:instrText>
      </w:r>
      <w:r w:rsidR="00A94F38">
        <w:fldChar w:fldCharType="separate"/>
      </w:r>
      <w:r w:rsidRPr="008C263A">
        <w:t>4</w:t>
      </w:r>
      <w:r w:rsidR="00A94F38">
        <w:fldChar w:fldCharType="end"/>
      </w:r>
      <w:r w:rsidRPr="008C263A">
        <w:rPr>
          <w:rFonts w:ascii="Book Antiqua" w:hAnsi="Book Antiqua"/>
          <w:sz w:val="24"/>
          <w:szCs w:val="24"/>
          <w:vertAlign w:val="superscript"/>
        </w:rPr>
        <w:t>,</w:t>
      </w:r>
      <w:r w:rsidR="00A94F38">
        <w:fldChar w:fldCharType="begin"/>
      </w:r>
      <w:r w:rsidR="00A94F38">
        <w:instrText xml:space="preserve"> NOTEREF _Ref410988311 \h  \* MERGEFORMAT </w:instrText>
      </w:r>
      <w:r w:rsidR="00A94F38">
        <w:fldChar w:fldCharType="separate"/>
      </w:r>
      <w:r w:rsidRPr="008C263A">
        <w:t>5</w:t>
      </w:r>
      <w:r w:rsidR="00A94F38">
        <w:fldChar w:fldCharType="end"/>
      </w:r>
      <w:r w:rsidRPr="008C263A">
        <w:rPr>
          <w:rFonts w:ascii="Book Antiqua" w:hAnsi="Book Antiqua"/>
          <w:sz w:val="24"/>
          <w:szCs w:val="24"/>
          <w:vertAlign w:val="superscript"/>
        </w:rPr>
        <w:t>]</w:t>
      </w:r>
      <w:r w:rsidRPr="008C263A">
        <w:rPr>
          <w:rFonts w:ascii="Book Antiqua" w:hAnsi="Book Antiqua"/>
          <w:sz w:val="24"/>
          <w:szCs w:val="24"/>
        </w:rPr>
        <w:t>.</w:t>
      </w:r>
      <w:r w:rsidRPr="008C263A">
        <w:rPr>
          <w:rFonts w:ascii="Book Antiqua" w:hAnsi="Book Antiqua"/>
          <w:sz w:val="24"/>
          <w:szCs w:val="24"/>
          <w:vertAlign w:val="superscript"/>
          <w:lang w:eastAsia="zh-CN"/>
        </w:rPr>
        <w:t xml:space="preserve"> </w:t>
      </w:r>
      <w:r w:rsidRPr="008C263A">
        <w:rPr>
          <w:rFonts w:ascii="Book Antiqua" w:hAnsi="Book Antiqua"/>
          <w:sz w:val="24"/>
          <w:szCs w:val="24"/>
        </w:rPr>
        <w:t xml:space="preserve">One out of four patients discontinued treatment due to adverse events or by choice. Anemia was often severe and was the most frequent adverse effect (88%), requiring EPO administration in sixty percent of patients, without resulting in treatment discontinuation. </w:t>
      </w:r>
    </w:p>
    <w:p w:rsidR="00766206" w:rsidRPr="008C263A" w:rsidRDefault="00766206" w:rsidP="00FF72F7">
      <w:pPr>
        <w:spacing w:after="0" w:line="360" w:lineRule="auto"/>
        <w:ind w:firstLineChars="100" w:firstLine="240"/>
        <w:jc w:val="both"/>
        <w:rPr>
          <w:rFonts w:ascii="Book Antiqua" w:hAnsi="Book Antiqua"/>
          <w:sz w:val="24"/>
          <w:szCs w:val="24"/>
        </w:rPr>
      </w:pPr>
      <w:r w:rsidRPr="008C263A">
        <w:rPr>
          <w:rFonts w:ascii="Book Antiqua" w:hAnsi="Book Antiqua"/>
          <w:sz w:val="24"/>
          <w:szCs w:val="24"/>
          <w:lang w:val="en-GB"/>
        </w:rPr>
        <w:t xml:space="preserve">In the present study, an analysis of viral </w:t>
      </w:r>
      <w:r w:rsidRPr="008C263A">
        <w:rPr>
          <w:rFonts w:ascii="Book Antiqua" w:hAnsi="Book Antiqua"/>
          <w:sz w:val="24"/>
          <w:szCs w:val="24"/>
          <w:lang w:val="en-GB" w:eastAsia="fr-FR"/>
        </w:rPr>
        <w:t>populations following treatment failure was performed by sequencing method and sequences were aligned with the NS3/4A sequence from the HCV genotype 1a H77 strain</w:t>
      </w:r>
      <w:r w:rsidRPr="008C263A">
        <w:rPr>
          <w:rFonts w:ascii="Book Antiqua" w:hAnsi="Book Antiqua"/>
          <w:sz w:val="24"/>
          <w:szCs w:val="24"/>
          <w:lang w:val="en-GB"/>
        </w:rPr>
        <w:t xml:space="preserve">. </w:t>
      </w:r>
      <w:r w:rsidRPr="008C263A">
        <w:rPr>
          <w:rFonts w:ascii="Book Antiqua" w:hAnsi="Book Antiqua"/>
          <w:sz w:val="24"/>
          <w:szCs w:val="24"/>
        </w:rPr>
        <w:t xml:space="preserve">All nine patients with virological failure displayed a </w:t>
      </w:r>
      <w:r w:rsidRPr="008C263A">
        <w:rPr>
          <w:rFonts w:ascii="Book Antiqua" w:hAnsi="Book Antiqua"/>
          <w:i/>
          <w:sz w:val="24"/>
          <w:szCs w:val="24"/>
        </w:rPr>
        <w:t>V36M/R155K</w:t>
      </w:r>
      <w:r w:rsidRPr="008C263A">
        <w:rPr>
          <w:rFonts w:ascii="Book Antiqua" w:hAnsi="Book Antiqua"/>
          <w:sz w:val="24"/>
          <w:szCs w:val="24"/>
        </w:rPr>
        <w:t xml:space="preserve"> mutation. This was </w:t>
      </w:r>
      <w:r w:rsidRPr="008C263A">
        <w:rPr>
          <w:rFonts w:ascii="Book Antiqua" w:hAnsi="Book Antiqua"/>
          <w:sz w:val="24"/>
          <w:szCs w:val="24"/>
          <w:lang w:val="en-GB"/>
        </w:rPr>
        <w:t xml:space="preserve">more frequent for subtype 1a. No amino-acid resistance mutation before treatment was found in these patients using standard Sanger sequencing, so that </w:t>
      </w:r>
      <w:r w:rsidRPr="008C263A">
        <w:rPr>
          <w:rFonts w:ascii="Book Antiqua" w:hAnsi="Book Antiqua"/>
          <w:sz w:val="24"/>
          <w:szCs w:val="24"/>
        </w:rPr>
        <w:t>the emergence of telaprevir-resistant variants</w:t>
      </w:r>
      <w:r w:rsidRPr="008C263A">
        <w:rPr>
          <w:rFonts w:ascii="Book Antiqua" w:hAnsi="Book Antiqua"/>
          <w:sz w:val="24"/>
          <w:szCs w:val="24"/>
          <w:lang w:val="en-GB"/>
        </w:rPr>
        <w:t xml:space="preserve"> could not be predicted from </w:t>
      </w:r>
      <w:r w:rsidRPr="008C263A">
        <w:rPr>
          <w:rFonts w:ascii="Book Antiqua" w:hAnsi="Book Antiqua"/>
          <w:sz w:val="24"/>
          <w:szCs w:val="24"/>
        </w:rPr>
        <w:t xml:space="preserve">baseline findings. On the other hand, non-response to treatment may be explained by the subtype-specific resistant variants generated by </w:t>
      </w:r>
      <w:r w:rsidRPr="008C263A">
        <w:rPr>
          <w:rFonts w:ascii="Book Antiqua" w:hAnsi="Book Antiqua"/>
          <w:i/>
          <w:sz w:val="24"/>
          <w:szCs w:val="24"/>
        </w:rPr>
        <w:t>de novo</w:t>
      </w:r>
      <w:r w:rsidRPr="008C263A">
        <w:rPr>
          <w:rFonts w:ascii="Book Antiqua" w:hAnsi="Book Antiqua"/>
          <w:sz w:val="24"/>
          <w:szCs w:val="24"/>
        </w:rPr>
        <w:t xml:space="preserve"> reverse mutation after treatment failure and the relatively higher fitness of these variants, notably R155K</w:t>
      </w:r>
      <w:r w:rsidRPr="008C263A">
        <w:rPr>
          <w:rFonts w:ascii="Book Antiqua" w:hAnsi="Book Antiqua"/>
          <w:sz w:val="24"/>
          <w:szCs w:val="24"/>
          <w:vertAlign w:val="superscript"/>
        </w:rPr>
        <w:t>[10]</w:t>
      </w:r>
      <w:r w:rsidRPr="008C263A">
        <w:rPr>
          <w:rFonts w:ascii="Book Antiqua" w:hAnsi="Book Antiqua"/>
          <w:sz w:val="24"/>
          <w:szCs w:val="24"/>
        </w:rPr>
        <w:t>, or by the presence of minority resistant variants which should be detected by deep-sequencing</w:t>
      </w:r>
      <w:r w:rsidRPr="008C263A">
        <w:rPr>
          <w:rFonts w:ascii="Book Antiqua" w:hAnsi="Book Antiqua"/>
          <w:sz w:val="24"/>
          <w:szCs w:val="24"/>
          <w:vertAlign w:val="superscript"/>
        </w:rPr>
        <w:t>[11]</w:t>
      </w:r>
      <w:r w:rsidRPr="008C263A">
        <w:rPr>
          <w:rFonts w:ascii="Book Antiqua" w:hAnsi="Book Antiqua"/>
          <w:sz w:val="24"/>
          <w:szCs w:val="24"/>
        </w:rPr>
        <w:t xml:space="preserve">. In a recent paper, Aherfi </w:t>
      </w:r>
      <w:r w:rsidRPr="008C263A">
        <w:rPr>
          <w:rFonts w:ascii="Book Antiqua" w:hAnsi="Book Antiqua"/>
          <w:i/>
          <w:sz w:val="24"/>
          <w:szCs w:val="24"/>
        </w:rPr>
        <w:t>et al</w:t>
      </w:r>
      <w:r w:rsidRPr="008C263A">
        <w:rPr>
          <w:rFonts w:ascii="Book Antiqua" w:hAnsi="Book Antiqua"/>
          <w:sz w:val="24"/>
          <w:szCs w:val="24"/>
          <w:vertAlign w:val="superscript"/>
        </w:rPr>
        <w:t>[12]</w:t>
      </w:r>
      <w:r w:rsidRPr="008C263A">
        <w:rPr>
          <w:rFonts w:ascii="Book Antiqua" w:hAnsi="Book Antiqua"/>
          <w:sz w:val="24"/>
          <w:szCs w:val="24"/>
        </w:rPr>
        <w:t xml:space="preserve"> describe drug concentrations and NS3/4A protease genotyping during therapy with these two agents and report naturally occurring variants with decreased susceptibility to HCV-PIs at baseline in 20% of their cohort of 30 genotype 1 HCV-infected patients; out of 7 treatment failures, six patients displayed amino acid substitutions associated with decreased susceptibility to PIs. </w:t>
      </w:r>
    </w:p>
    <w:p w:rsidR="00766206" w:rsidRPr="008C263A" w:rsidRDefault="00766206" w:rsidP="00FF72F7">
      <w:pPr>
        <w:pStyle w:val="Default"/>
        <w:spacing w:line="360" w:lineRule="auto"/>
        <w:ind w:firstLineChars="100" w:firstLine="240"/>
        <w:jc w:val="both"/>
        <w:rPr>
          <w:rFonts w:ascii="Book Antiqua" w:hAnsi="Book Antiqua" w:cs="Times New Roman"/>
          <w:color w:val="auto"/>
          <w:lang w:val="en-US" w:eastAsia="zh-CN"/>
        </w:rPr>
      </w:pPr>
      <w:r w:rsidRPr="008C263A">
        <w:rPr>
          <w:rFonts w:ascii="Book Antiqua" w:hAnsi="Book Antiqua"/>
          <w:color w:val="auto"/>
          <w:lang w:val="en-US"/>
        </w:rPr>
        <w:t xml:space="preserve">Experience acquired through HIV antiretroviral therapy shows that antiviral resistance, treatment compliance issues and the need for customized treatment </w:t>
      </w:r>
      <w:r w:rsidRPr="008C263A">
        <w:rPr>
          <w:rFonts w:ascii="Book Antiqua" w:hAnsi="Book Antiqua"/>
          <w:color w:val="auto"/>
          <w:lang w:val="en-US"/>
        </w:rPr>
        <w:lastRenderedPageBreak/>
        <w:t xml:space="preserve">regimens require availability of a range of compounds to meet the specific circumstances of each individual patient. Our results suggest that these triple agent regimens including telaprevir or boceprevir should remain part of the HCV treatment arsenal for HIV co-infected patients, even among those with advanced compensated liver disease and who failed pegIFN/RBV therapy, providing patients do not present with baseline predictors of severe complications (platelet count </w:t>
      </w:r>
      <w:r w:rsidRPr="008C263A">
        <w:rPr>
          <w:rFonts w:ascii="Book Antiqua" w:hAnsi="Book Antiqua"/>
          <w:lang w:eastAsia="fr-FR"/>
        </w:rPr>
        <w:t>&gt;</w:t>
      </w:r>
      <w:r w:rsidRPr="008C263A">
        <w:rPr>
          <w:rFonts w:ascii="Book Antiqua" w:hAnsi="Book Antiqua"/>
          <w:color w:val="auto"/>
          <w:lang w:val="en-US" w:eastAsia="zh-CN"/>
        </w:rPr>
        <w:t xml:space="preserve"> </w:t>
      </w:r>
      <w:r w:rsidRPr="008C263A">
        <w:rPr>
          <w:rFonts w:ascii="Book Antiqua" w:hAnsi="Book Antiqua"/>
          <w:color w:val="auto"/>
          <w:lang w:val="en-US"/>
        </w:rPr>
        <w:t xml:space="preserve">100 </w:t>
      </w:r>
      <w:r w:rsidRPr="008C263A">
        <w:rPr>
          <w:rFonts w:ascii="Book Antiqua" w:hAnsi="Book Antiqua" w:cs="Times New Roman"/>
          <w:color w:val="auto"/>
          <w:lang w:val="en-US"/>
        </w:rPr>
        <w:t xml:space="preserve">000/µL and serum albumin concentrations </w:t>
      </w:r>
      <w:r w:rsidRPr="008C263A">
        <w:rPr>
          <w:rFonts w:ascii="Book Antiqua" w:hAnsi="Book Antiqua"/>
          <w:lang w:eastAsia="fr-FR"/>
        </w:rPr>
        <w:t>&gt;</w:t>
      </w:r>
      <w:r w:rsidRPr="008C263A">
        <w:rPr>
          <w:rFonts w:ascii="Book Antiqua" w:hAnsi="Book Antiqua" w:cs="Times New Roman"/>
          <w:color w:val="auto"/>
          <w:lang w:val="en-US" w:eastAsia="zh-CN"/>
        </w:rPr>
        <w:t xml:space="preserve"> </w:t>
      </w:r>
      <w:r w:rsidRPr="008C263A">
        <w:rPr>
          <w:rFonts w:ascii="Book Antiqua" w:hAnsi="Book Antiqua" w:cs="Times New Roman"/>
          <w:color w:val="auto"/>
          <w:lang w:val="en-US"/>
        </w:rPr>
        <w:t>35g/L</w:t>
      </w:r>
      <w:r w:rsidRPr="008C263A">
        <w:rPr>
          <w:rFonts w:ascii="Book Antiqua" w:hAnsi="Book Antiqua"/>
          <w:color w:val="auto"/>
          <w:lang w:val="en-US"/>
        </w:rPr>
        <w:t>)</w:t>
      </w:r>
      <w:r w:rsidRPr="008C263A">
        <w:rPr>
          <w:rFonts w:ascii="Book Antiqua" w:hAnsi="Book Antiqua" w:cs="Times New Roman"/>
          <w:color w:val="auto"/>
          <w:vertAlign w:val="superscript"/>
          <w:lang w:val="en-US"/>
        </w:rPr>
        <w:t>[13]</w:t>
      </w:r>
      <w:r w:rsidRPr="008C263A">
        <w:rPr>
          <w:rFonts w:ascii="Book Antiqua" w:hAnsi="Book Antiqua" w:cs="Times New Roman"/>
          <w:color w:val="auto"/>
          <w:lang w:val="en-US"/>
        </w:rPr>
        <w:t>.</w:t>
      </w:r>
    </w:p>
    <w:p w:rsidR="00766206" w:rsidRPr="008C263A" w:rsidRDefault="00766206" w:rsidP="00F23E6B">
      <w:pPr>
        <w:spacing w:after="0" w:line="360" w:lineRule="auto"/>
        <w:jc w:val="both"/>
        <w:rPr>
          <w:rFonts w:ascii="Book Antiqua" w:hAnsi="Book Antiqua"/>
          <w:b/>
          <w:color w:val="000000"/>
          <w:sz w:val="24"/>
          <w:szCs w:val="24"/>
          <w:lang w:eastAsia="zh-CN"/>
        </w:rPr>
      </w:pPr>
    </w:p>
    <w:p w:rsidR="00766206" w:rsidRPr="008C263A" w:rsidRDefault="00766206" w:rsidP="00F23E6B">
      <w:pPr>
        <w:pStyle w:val="Default"/>
        <w:spacing w:line="360" w:lineRule="auto"/>
        <w:jc w:val="both"/>
        <w:rPr>
          <w:rFonts w:ascii="Book Antiqua" w:hAnsi="Book Antiqua"/>
          <w:color w:val="auto"/>
          <w:lang w:val="en-US" w:eastAsia="zh-CN"/>
        </w:rPr>
      </w:pPr>
      <w:r w:rsidRPr="008C263A">
        <w:rPr>
          <w:rFonts w:ascii="Book Antiqua" w:hAnsi="Book Antiqua"/>
          <w:b/>
          <w:lang w:val="en-US"/>
        </w:rPr>
        <w:t>COMMENTS</w:t>
      </w:r>
    </w:p>
    <w:p w:rsidR="00766206" w:rsidRPr="008C263A" w:rsidRDefault="00766206" w:rsidP="00F23E6B">
      <w:pPr>
        <w:adjustRightInd w:val="0"/>
        <w:snapToGrid w:val="0"/>
        <w:spacing w:after="0" w:line="360" w:lineRule="auto"/>
        <w:jc w:val="both"/>
        <w:rPr>
          <w:rFonts w:ascii="Book Antiqua" w:hAnsi="Book Antiqua"/>
          <w:b/>
          <w:i/>
          <w:color w:val="000000"/>
          <w:sz w:val="24"/>
          <w:szCs w:val="24"/>
        </w:rPr>
      </w:pPr>
      <w:r w:rsidRPr="008C263A">
        <w:rPr>
          <w:rFonts w:ascii="Book Antiqua" w:hAnsi="Book Antiqua"/>
          <w:b/>
          <w:i/>
          <w:color w:val="000000"/>
          <w:sz w:val="24"/>
          <w:szCs w:val="24"/>
        </w:rPr>
        <w:t>Background</w:t>
      </w:r>
    </w:p>
    <w:p w:rsidR="00766206" w:rsidRPr="008C263A" w:rsidRDefault="00766206" w:rsidP="00F23E6B">
      <w:pPr>
        <w:spacing w:after="0" w:line="360" w:lineRule="auto"/>
        <w:jc w:val="both"/>
        <w:rPr>
          <w:rFonts w:ascii="Book Antiqua" w:hAnsi="Book Antiqua"/>
          <w:sz w:val="24"/>
          <w:szCs w:val="24"/>
          <w:lang w:eastAsia="zh-CN"/>
        </w:rPr>
      </w:pPr>
      <w:r w:rsidRPr="008C263A">
        <w:rPr>
          <w:rFonts w:ascii="Book Antiqua" w:hAnsi="Book Antiqua"/>
          <w:sz w:val="24"/>
          <w:szCs w:val="24"/>
        </w:rPr>
        <w:t xml:space="preserve">Over the last 15 years, the proportion of liver-related deaths in </w:t>
      </w:r>
      <w:r w:rsidRPr="008C263A">
        <w:rPr>
          <w:rFonts w:ascii="Book Antiqua" w:hAnsi="Book Antiqua" w:cs="Arial"/>
          <w:sz w:val="24"/>
          <w:szCs w:val="24"/>
        </w:rPr>
        <w:t>human immunodeficiency virus</w:t>
      </w:r>
      <w:r w:rsidRPr="008C263A">
        <w:rPr>
          <w:rFonts w:ascii="Book Antiqua" w:hAnsi="Book Antiqua"/>
          <w:sz w:val="24"/>
          <w:szCs w:val="24"/>
        </w:rPr>
        <w:t xml:space="preserve"> </w:t>
      </w:r>
      <w:r w:rsidRPr="008C263A">
        <w:rPr>
          <w:rFonts w:ascii="Book Antiqua" w:hAnsi="Book Antiqua"/>
          <w:sz w:val="24"/>
          <w:szCs w:val="24"/>
          <w:lang w:eastAsia="zh-CN"/>
        </w:rPr>
        <w:t>(</w:t>
      </w:r>
      <w:r w:rsidRPr="008C263A">
        <w:rPr>
          <w:rFonts w:ascii="Book Antiqua" w:hAnsi="Book Antiqua"/>
          <w:sz w:val="24"/>
          <w:szCs w:val="24"/>
        </w:rPr>
        <w:t>HIV</w:t>
      </w:r>
      <w:r w:rsidRPr="008C263A">
        <w:rPr>
          <w:rFonts w:ascii="Book Antiqua" w:hAnsi="Book Antiqua"/>
          <w:sz w:val="24"/>
          <w:szCs w:val="24"/>
          <w:lang w:eastAsia="zh-CN"/>
        </w:rPr>
        <w:t>)</w:t>
      </w:r>
      <w:r w:rsidRPr="008C263A">
        <w:rPr>
          <w:rFonts w:ascii="Book Antiqua" w:hAnsi="Book Antiqua"/>
          <w:sz w:val="24"/>
          <w:szCs w:val="24"/>
        </w:rPr>
        <w:t>-infected adults dramatically increased in developed countries, ranking first as a cause of mortality in HIV-</w:t>
      </w:r>
      <w:r w:rsidRPr="008C263A">
        <w:rPr>
          <w:rFonts w:ascii="Book Antiqua" w:hAnsi="Book Antiqua" w:cs="Arial"/>
          <w:sz w:val="24"/>
          <w:szCs w:val="24"/>
        </w:rPr>
        <w:t>hepatitis C virus</w:t>
      </w:r>
      <w:r w:rsidRPr="008C263A">
        <w:rPr>
          <w:rFonts w:ascii="Book Antiqua" w:hAnsi="Book Antiqua"/>
          <w:sz w:val="24"/>
          <w:szCs w:val="24"/>
        </w:rPr>
        <w:t xml:space="preserve"> </w:t>
      </w:r>
      <w:r w:rsidRPr="008C263A">
        <w:rPr>
          <w:rFonts w:ascii="Book Antiqua" w:hAnsi="Book Antiqua"/>
          <w:sz w:val="24"/>
          <w:szCs w:val="24"/>
          <w:lang w:eastAsia="zh-CN"/>
        </w:rPr>
        <w:t>(</w:t>
      </w:r>
      <w:r w:rsidRPr="008C263A">
        <w:rPr>
          <w:rFonts w:ascii="Book Antiqua" w:hAnsi="Book Antiqua"/>
          <w:sz w:val="24"/>
          <w:szCs w:val="24"/>
        </w:rPr>
        <w:t>HCV</w:t>
      </w:r>
      <w:r w:rsidRPr="008C263A">
        <w:rPr>
          <w:rFonts w:ascii="Book Antiqua" w:hAnsi="Book Antiqua"/>
          <w:sz w:val="24"/>
          <w:szCs w:val="24"/>
          <w:lang w:eastAsia="zh-CN"/>
        </w:rPr>
        <w:t>)</w:t>
      </w:r>
      <w:r w:rsidRPr="008C263A">
        <w:rPr>
          <w:rFonts w:ascii="Book Antiqua" w:hAnsi="Book Antiqua"/>
          <w:sz w:val="24"/>
          <w:szCs w:val="24"/>
        </w:rPr>
        <w:t xml:space="preserve">-infected individuals. This data makes treatment of chronic hepatitis C a priority in this population, including very difficult to treat patients. </w:t>
      </w:r>
    </w:p>
    <w:p w:rsidR="00766206" w:rsidRPr="008C263A" w:rsidRDefault="00766206" w:rsidP="00F23E6B">
      <w:pPr>
        <w:spacing w:after="0" w:line="360" w:lineRule="auto"/>
        <w:jc w:val="both"/>
        <w:rPr>
          <w:rFonts w:ascii="Book Antiqua" w:hAnsi="Book Antiqua"/>
          <w:sz w:val="24"/>
          <w:szCs w:val="24"/>
          <w:lang w:eastAsia="zh-CN"/>
        </w:rPr>
      </w:pPr>
    </w:p>
    <w:p w:rsidR="00766206" w:rsidRPr="008C263A" w:rsidRDefault="00766206" w:rsidP="00F23E6B">
      <w:pPr>
        <w:adjustRightInd w:val="0"/>
        <w:snapToGrid w:val="0"/>
        <w:spacing w:after="0" w:line="360" w:lineRule="auto"/>
        <w:jc w:val="both"/>
        <w:rPr>
          <w:rFonts w:ascii="Book Antiqua" w:hAnsi="Book Antiqua"/>
          <w:b/>
          <w:i/>
          <w:color w:val="000000"/>
          <w:sz w:val="24"/>
          <w:szCs w:val="24"/>
        </w:rPr>
      </w:pPr>
      <w:r w:rsidRPr="008C263A">
        <w:rPr>
          <w:rFonts w:ascii="Book Antiqua" w:hAnsi="Book Antiqua"/>
          <w:b/>
          <w:i/>
          <w:color w:val="000000"/>
          <w:sz w:val="24"/>
          <w:szCs w:val="24"/>
        </w:rPr>
        <w:t>Research frontiers</w:t>
      </w:r>
    </w:p>
    <w:p w:rsidR="00766206" w:rsidRPr="008C263A" w:rsidRDefault="00766206" w:rsidP="00F23E6B">
      <w:pPr>
        <w:spacing w:after="0" w:line="360" w:lineRule="auto"/>
        <w:jc w:val="both"/>
        <w:rPr>
          <w:rFonts w:ascii="Book Antiqua" w:hAnsi="Book Antiqua" w:cs="Arial"/>
          <w:sz w:val="24"/>
          <w:szCs w:val="24"/>
          <w:lang w:eastAsia="zh-CN"/>
        </w:rPr>
      </w:pPr>
      <w:r w:rsidRPr="008C263A">
        <w:rPr>
          <w:rFonts w:ascii="Book Antiqua" w:hAnsi="Book Antiqua"/>
          <w:sz w:val="24"/>
          <w:szCs w:val="24"/>
        </w:rPr>
        <w:t xml:space="preserve">The addition of telaprevir and boceprevir to dual therapy with </w:t>
      </w:r>
      <w:r w:rsidRPr="008C263A">
        <w:rPr>
          <w:rFonts w:ascii="Book Antiqua" w:hAnsi="Book Antiqua" w:cs="Arial"/>
          <w:sz w:val="24"/>
          <w:szCs w:val="24"/>
        </w:rPr>
        <w:t>pegylated interferon and ribavirin</w:t>
      </w:r>
      <w:r w:rsidRPr="008C263A">
        <w:rPr>
          <w:rFonts w:ascii="Book Antiqua" w:hAnsi="Book Antiqua"/>
          <w:sz w:val="24"/>
          <w:szCs w:val="24"/>
        </w:rPr>
        <w:t xml:space="preserve"> </w:t>
      </w:r>
      <w:r w:rsidRPr="008C263A">
        <w:rPr>
          <w:rFonts w:ascii="Book Antiqua" w:hAnsi="Book Antiqua"/>
          <w:sz w:val="24"/>
          <w:szCs w:val="24"/>
          <w:lang w:eastAsia="zh-CN"/>
        </w:rPr>
        <w:t>(</w:t>
      </w:r>
      <w:r w:rsidRPr="008C263A">
        <w:rPr>
          <w:rFonts w:ascii="Book Antiqua" w:hAnsi="Book Antiqua"/>
          <w:sz w:val="24"/>
          <w:szCs w:val="24"/>
        </w:rPr>
        <w:t>PegIFN/RBV</w:t>
      </w:r>
      <w:r w:rsidRPr="008C263A">
        <w:rPr>
          <w:rFonts w:ascii="Book Antiqua" w:hAnsi="Book Antiqua"/>
          <w:sz w:val="24"/>
          <w:szCs w:val="24"/>
          <w:lang w:eastAsia="zh-CN"/>
        </w:rPr>
        <w:t>)</w:t>
      </w:r>
      <w:r w:rsidRPr="008C263A">
        <w:rPr>
          <w:rFonts w:ascii="Book Antiqua" w:hAnsi="Book Antiqua"/>
          <w:sz w:val="24"/>
          <w:szCs w:val="24"/>
        </w:rPr>
        <w:t xml:space="preserve"> strongly improves the odds of achieving a sustained virological response in treatment-na</w:t>
      </w:r>
      <w:r w:rsidRPr="008C263A">
        <w:rPr>
          <w:rFonts w:ascii="Book Antiqua" w:hAnsi="Book Antiqua"/>
          <w:sz w:val="24"/>
          <w:szCs w:val="24"/>
          <w:lang w:eastAsia="zh-CN"/>
        </w:rPr>
        <w:t>i</w:t>
      </w:r>
      <w:r w:rsidRPr="008C263A">
        <w:rPr>
          <w:rFonts w:ascii="Book Antiqua" w:hAnsi="Book Antiqua"/>
          <w:sz w:val="24"/>
          <w:szCs w:val="24"/>
        </w:rPr>
        <w:t xml:space="preserve">ve HCV genotype 1 patients as well as in prior non-responders and relapsers when compared with standard therapy. Among HIV-HCV co-infected patients, data regarding treatment of </w:t>
      </w:r>
      <w:r w:rsidRPr="008C263A">
        <w:rPr>
          <w:rFonts w:ascii="Book Antiqua" w:hAnsi="Book Antiqua"/>
          <w:sz w:val="24"/>
          <w:szCs w:val="24"/>
          <w:lang w:eastAsia="zh-CN"/>
        </w:rPr>
        <w:t xml:space="preserve">HCV </w:t>
      </w:r>
      <w:r w:rsidRPr="008C263A">
        <w:rPr>
          <w:rFonts w:ascii="Book Antiqua" w:hAnsi="Book Antiqua"/>
          <w:sz w:val="24"/>
          <w:szCs w:val="24"/>
        </w:rPr>
        <w:t xml:space="preserve">infection with triple combination regimen including IFN/RBV and telaprevir or boceprevir is scarce, more particularly in very difficult-to-treat patients </w:t>
      </w:r>
      <w:r w:rsidRPr="008C263A">
        <w:rPr>
          <w:rFonts w:ascii="Book Antiqua" w:hAnsi="Book Antiqua" w:cs="Arial"/>
          <w:sz w:val="24"/>
          <w:szCs w:val="24"/>
        </w:rPr>
        <w:t>with cirrhosis and/or prior null response to PegIFN/RBV therapy.</w:t>
      </w:r>
    </w:p>
    <w:p w:rsidR="00766206" w:rsidRPr="008C263A" w:rsidRDefault="00766206" w:rsidP="00F23E6B">
      <w:pPr>
        <w:spacing w:after="0" w:line="360" w:lineRule="auto"/>
        <w:jc w:val="both"/>
        <w:rPr>
          <w:rFonts w:ascii="Book Antiqua" w:hAnsi="Book Antiqua"/>
          <w:sz w:val="24"/>
          <w:szCs w:val="24"/>
          <w:lang w:eastAsia="zh-CN"/>
        </w:rPr>
      </w:pPr>
    </w:p>
    <w:p w:rsidR="00766206" w:rsidRPr="008C263A" w:rsidRDefault="00766206" w:rsidP="00F23E6B">
      <w:pPr>
        <w:adjustRightInd w:val="0"/>
        <w:snapToGrid w:val="0"/>
        <w:spacing w:after="0" w:line="360" w:lineRule="auto"/>
        <w:jc w:val="both"/>
        <w:rPr>
          <w:rFonts w:ascii="Book Antiqua" w:hAnsi="Book Antiqua"/>
          <w:b/>
          <w:i/>
          <w:color w:val="000000"/>
          <w:sz w:val="24"/>
          <w:szCs w:val="24"/>
        </w:rPr>
      </w:pPr>
      <w:r w:rsidRPr="008C263A">
        <w:rPr>
          <w:rFonts w:ascii="Book Antiqua" w:hAnsi="Book Antiqua"/>
          <w:b/>
          <w:i/>
          <w:color w:val="000000"/>
          <w:sz w:val="24"/>
          <w:szCs w:val="24"/>
        </w:rPr>
        <w:t>Innovations and breakthroughs</w:t>
      </w:r>
    </w:p>
    <w:p w:rsidR="00766206" w:rsidRPr="008C263A" w:rsidRDefault="00766206" w:rsidP="00F23E6B">
      <w:pPr>
        <w:spacing w:after="0" w:line="360" w:lineRule="auto"/>
        <w:jc w:val="both"/>
        <w:rPr>
          <w:rFonts w:ascii="Book Antiqua" w:hAnsi="Book Antiqua"/>
          <w:sz w:val="24"/>
          <w:szCs w:val="24"/>
          <w:lang w:eastAsia="zh-CN"/>
        </w:rPr>
      </w:pPr>
      <w:r w:rsidRPr="008C263A">
        <w:rPr>
          <w:rFonts w:ascii="Book Antiqua" w:hAnsi="Book Antiqua"/>
          <w:sz w:val="24"/>
          <w:szCs w:val="24"/>
        </w:rPr>
        <w:t xml:space="preserve">This observational study showed the effectiveness of a PegIFN/RBV + HCV-protease inhibitor combination in difficult-to-treat HIV coinfected patients, most of whom had already failed a previous dual treatment course and had severe liver fibrosis, one out of six patients being both cirrhotic and non-responder to prior therapy. </w:t>
      </w:r>
    </w:p>
    <w:p w:rsidR="00766206" w:rsidRPr="008C263A" w:rsidRDefault="00766206" w:rsidP="00F23E6B">
      <w:pPr>
        <w:spacing w:after="0" w:line="360" w:lineRule="auto"/>
        <w:jc w:val="both"/>
        <w:rPr>
          <w:rFonts w:ascii="Book Antiqua" w:hAnsi="Book Antiqua"/>
          <w:sz w:val="24"/>
          <w:szCs w:val="24"/>
          <w:lang w:eastAsia="zh-CN"/>
        </w:rPr>
      </w:pPr>
    </w:p>
    <w:p w:rsidR="00766206" w:rsidRPr="008C263A" w:rsidRDefault="00766206" w:rsidP="00F23E6B">
      <w:pPr>
        <w:adjustRightInd w:val="0"/>
        <w:snapToGrid w:val="0"/>
        <w:spacing w:after="0" w:line="360" w:lineRule="auto"/>
        <w:jc w:val="both"/>
        <w:rPr>
          <w:rFonts w:ascii="Book Antiqua" w:hAnsi="Book Antiqua"/>
          <w:b/>
          <w:i/>
          <w:color w:val="000000"/>
          <w:sz w:val="24"/>
          <w:szCs w:val="24"/>
        </w:rPr>
      </w:pPr>
      <w:r w:rsidRPr="008C263A">
        <w:rPr>
          <w:rFonts w:ascii="Book Antiqua" w:hAnsi="Book Antiqua"/>
          <w:b/>
          <w:i/>
          <w:color w:val="000000"/>
          <w:sz w:val="24"/>
          <w:szCs w:val="24"/>
        </w:rPr>
        <w:lastRenderedPageBreak/>
        <w:t>Applications</w:t>
      </w:r>
    </w:p>
    <w:p w:rsidR="00766206" w:rsidRPr="008C263A" w:rsidRDefault="00766206" w:rsidP="00F23E6B">
      <w:pPr>
        <w:spacing w:after="0" w:line="360" w:lineRule="auto"/>
        <w:jc w:val="both"/>
        <w:rPr>
          <w:rFonts w:ascii="Book Antiqua" w:hAnsi="Book Antiqua" w:cs="Arial"/>
          <w:sz w:val="24"/>
          <w:szCs w:val="24"/>
          <w:lang w:eastAsia="zh-CN"/>
        </w:rPr>
      </w:pPr>
      <w:r w:rsidRPr="008C263A">
        <w:rPr>
          <w:rFonts w:ascii="Book Antiqua" w:hAnsi="Book Antiqua"/>
          <w:sz w:val="24"/>
          <w:szCs w:val="24"/>
        </w:rPr>
        <w:t xml:space="preserve">The cost of interferon-free regimens with very recent direct-acting antiviral drugs is prohibitive, making them inaccessible in many developing countries. This study suggests </w:t>
      </w:r>
      <w:r w:rsidRPr="008C263A">
        <w:rPr>
          <w:rFonts w:ascii="Book Antiqua" w:hAnsi="Book Antiqua" w:cs="Arial"/>
          <w:sz w:val="24"/>
          <w:szCs w:val="24"/>
        </w:rPr>
        <w:t>that in low-income countries, telaprevir and boceprevir may retain their place among potential treatment strategies in HIV-HCV coinfected patients including those with cirrhosis and/or prior null response to PegIFN/RBV therapy.</w:t>
      </w: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adjustRightInd w:val="0"/>
        <w:snapToGrid w:val="0"/>
        <w:spacing w:after="0" w:line="360" w:lineRule="auto"/>
        <w:jc w:val="both"/>
        <w:rPr>
          <w:rFonts w:ascii="Book Antiqua" w:hAnsi="Book Antiqua"/>
          <w:b/>
          <w:i/>
          <w:color w:val="000000"/>
          <w:sz w:val="24"/>
          <w:szCs w:val="24"/>
        </w:rPr>
      </w:pPr>
      <w:r w:rsidRPr="008C263A">
        <w:rPr>
          <w:rFonts w:ascii="Book Antiqua" w:hAnsi="Book Antiqua"/>
          <w:b/>
          <w:i/>
          <w:color w:val="000000"/>
          <w:sz w:val="24"/>
          <w:szCs w:val="24"/>
        </w:rPr>
        <w:t xml:space="preserve">Terminology </w:t>
      </w:r>
    </w:p>
    <w:p w:rsidR="00766206" w:rsidRPr="008C263A" w:rsidRDefault="00766206" w:rsidP="00F23E6B">
      <w:pPr>
        <w:spacing w:after="0" w:line="360" w:lineRule="auto"/>
        <w:jc w:val="both"/>
        <w:rPr>
          <w:rFonts w:ascii="Book Antiqua" w:hAnsi="Book Antiqua"/>
          <w:b/>
          <w:sz w:val="24"/>
          <w:szCs w:val="24"/>
          <w:lang w:eastAsia="zh-CN"/>
        </w:rPr>
      </w:pPr>
      <w:r w:rsidRPr="008C263A">
        <w:rPr>
          <w:rFonts w:ascii="Book Antiqua" w:hAnsi="Book Antiqua"/>
          <w:sz w:val="24"/>
          <w:szCs w:val="24"/>
        </w:rPr>
        <w:t>Telaprevir and boceprevir are two NS3/4A protease inhibitors. These drugs were the first direct-acting antiviral agents approved by the United States Food and Drug Administration and the European Medicines Agency for the treatment of patients infected with HCV genotype 1.</w:t>
      </w:r>
      <w:r w:rsidRPr="008C263A">
        <w:rPr>
          <w:rFonts w:ascii="Book Antiqua" w:hAnsi="Book Antiqua"/>
          <w:b/>
          <w:sz w:val="24"/>
          <w:szCs w:val="24"/>
        </w:rPr>
        <w:t xml:space="preserve"> </w:t>
      </w:r>
    </w:p>
    <w:p w:rsidR="00766206" w:rsidRPr="008C263A" w:rsidRDefault="00766206" w:rsidP="00F23E6B">
      <w:pPr>
        <w:spacing w:after="0" w:line="360" w:lineRule="auto"/>
        <w:jc w:val="both"/>
        <w:rPr>
          <w:rFonts w:ascii="Book Antiqua" w:hAnsi="Book Antiqua"/>
          <w:b/>
          <w:sz w:val="24"/>
          <w:szCs w:val="24"/>
          <w:lang w:eastAsia="zh-CN"/>
        </w:rPr>
      </w:pPr>
    </w:p>
    <w:p w:rsidR="00766206" w:rsidRPr="008C263A" w:rsidRDefault="00766206" w:rsidP="00F23E6B">
      <w:pPr>
        <w:adjustRightInd w:val="0"/>
        <w:snapToGrid w:val="0"/>
        <w:spacing w:after="0" w:line="360" w:lineRule="auto"/>
        <w:jc w:val="both"/>
        <w:rPr>
          <w:rFonts w:ascii="Book Antiqua" w:hAnsi="Book Antiqua"/>
          <w:b/>
          <w:i/>
          <w:color w:val="000000"/>
          <w:sz w:val="24"/>
          <w:szCs w:val="24"/>
          <w:lang w:eastAsia="zh-CN"/>
        </w:rPr>
      </w:pPr>
      <w:r w:rsidRPr="008C263A">
        <w:rPr>
          <w:rFonts w:ascii="Book Antiqua" w:hAnsi="Book Antiqua"/>
          <w:b/>
          <w:i/>
          <w:color w:val="000000"/>
          <w:sz w:val="24"/>
          <w:szCs w:val="24"/>
        </w:rPr>
        <w:t>Peer</w:t>
      </w:r>
      <w:r w:rsidRPr="008C263A">
        <w:rPr>
          <w:rFonts w:ascii="Book Antiqua" w:hAnsi="Book Antiqua"/>
          <w:b/>
          <w:i/>
          <w:color w:val="000000"/>
          <w:sz w:val="24"/>
          <w:szCs w:val="24"/>
          <w:lang w:eastAsia="zh-CN"/>
        </w:rPr>
        <w:t>-</w:t>
      </w:r>
      <w:r w:rsidRPr="008C263A">
        <w:rPr>
          <w:rFonts w:ascii="Book Antiqua" w:hAnsi="Book Antiqua"/>
          <w:b/>
          <w:i/>
          <w:color w:val="000000"/>
          <w:sz w:val="24"/>
          <w:szCs w:val="24"/>
        </w:rPr>
        <w:t>review</w:t>
      </w:r>
    </w:p>
    <w:p w:rsidR="00766206" w:rsidRPr="008C263A" w:rsidRDefault="00766206" w:rsidP="00F23E6B">
      <w:pPr>
        <w:spacing w:after="0" w:line="360" w:lineRule="auto"/>
        <w:jc w:val="both"/>
        <w:rPr>
          <w:rFonts w:ascii="Book Antiqua" w:hAnsi="Book Antiqua"/>
          <w:sz w:val="24"/>
          <w:szCs w:val="24"/>
        </w:rPr>
      </w:pPr>
      <w:r w:rsidRPr="008C263A">
        <w:rPr>
          <w:rFonts w:ascii="Book Antiqua" w:hAnsi="Book Antiqua"/>
          <w:sz w:val="24"/>
          <w:szCs w:val="24"/>
        </w:rPr>
        <w:t>This manuscript presented a clinical observation in evaluating the treatment with telaprevir or boceprevir in combination with pegylated interferon and ribavirin for HIV-HCV coinfected patients. This is a good topic.</w:t>
      </w:r>
    </w:p>
    <w:p w:rsidR="00766206" w:rsidRPr="008C263A" w:rsidRDefault="00766206" w:rsidP="00F23E6B">
      <w:pPr>
        <w:spacing w:after="0" w:line="360" w:lineRule="auto"/>
        <w:jc w:val="both"/>
        <w:rPr>
          <w:rFonts w:ascii="Book Antiqua" w:hAnsi="Book Antiqua" w:cs="Arial"/>
          <w:sz w:val="24"/>
          <w:szCs w:val="24"/>
        </w:rPr>
      </w:pPr>
    </w:p>
    <w:p w:rsidR="00766206" w:rsidRPr="008C263A" w:rsidRDefault="00766206" w:rsidP="00F23E6B">
      <w:pPr>
        <w:spacing w:after="0" w:line="360" w:lineRule="auto"/>
        <w:jc w:val="both"/>
        <w:rPr>
          <w:rFonts w:ascii="Book Antiqua" w:hAnsi="Book Antiqua" w:cs="Arial"/>
          <w:sz w:val="24"/>
          <w:szCs w:val="24"/>
        </w:rPr>
      </w:pPr>
    </w:p>
    <w:p w:rsidR="00766206" w:rsidRPr="008C263A" w:rsidRDefault="00766206" w:rsidP="00F23E6B">
      <w:pPr>
        <w:spacing w:after="0" w:line="360" w:lineRule="auto"/>
        <w:jc w:val="both"/>
        <w:rPr>
          <w:rFonts w:ascii="Book Antiqua" w:hAnsi="Book Antiqua" w:cs="Arial"/>
          <w:sz w:val="24"/>
          <w:szCs w:val="24"/>
        </w:rPr>
      </w:pPr>
    </w:p>
    <w:p w:rsidR="00766206" w:rsidRPr="008C263A" w:rsidRDefault="00766206" w:rsidP="00F23E6B">
      <w:pPr>
        <w:spacing w:after="0" w:line="360" w:lineRule="auto"/>
        <w:jc w:val="both"/>
        <w:rPr>
          <w:rFonts w:ascii="Book Antiqua" w:hAnsi="Book Antiqua" w:cs="Arial"/>
          <w:sz w:val="24"/>
          <w:szCs w:val="24"/>
        </w:rPr>
      </w:pPr>
    </w:p>
    <w:p w:rsidR="00766206" w:rsidRPr="008C263A" w:rsidRDefault="00766206" w:rsidP="00F23E6B">
      <w:pPr>
        <w:spacing w:after="0" w:line="360" w:lineRule="auto"/>
        <w:jc w:val="both"/>
        <w:rPr>
          <w:rFonts w:ascii="Book Antiqua" w:hAnsi="Book Antiqua" w:cs="Arial"/>
          <w:sz w:val="24"/>
          <w:szCs w:val="24"/>
        </w:rPr>
      </w:pPr>
    </w:p>
    <w:p w:rsidR="00766206" w:rsidRPr="008C263A" w:rsidRDefault="00766206" w:rsidP="00F23E6B">
      <w:pPr>
        <w:spacing w:after="0" w:line="360" w:lineRule="auto"/>
        <w:jc w:val="both"/>
        <w:rPr>
          <w:rFonts w:ascii="Book Antiqua" w:hAnsi="Book Antiqua" w:cs="Arial"/>
          <w:sz w:val="24"/>
          <w:szCs w:val="24"/>
        </w:rPr>
      </w:pPr>
    </w:p>
    <w:p w:rsidR="00766206" w:rsidRPr="008C263A" w:rsidRDefault="00766206" w:rsidP="00F23E6B">
      <w:pPr>
        <w:spacing w:after="0" w:line="360" w:lineRule="auto"/>
        <w:jc w:val="both"/>
        <w:rPr>
          <w:rFonts w:ascii="Book Antiqua" w:hAnsi="Book Antiqua" w:cs="Arial"/>
          <w:sz w:val="24"/>
          <w:szCs w:val="24"/>
        </w:rPr>
      </w:pPr>
    </w:p>
    <w:p w:rsidR="00766206" w:rsidRPr="008C263A" w:rsidRDefault="00766206" w:rsidP="00F23E6B">
      <w:pPr>
        <w:spacing w:after="0" w:line="360" w:lineRule="auto"/>
        <w:jc w:val="both"/>
        <w:rPr>
          <w:rFonts w:ascii="Book Antiqua" w:hAnsi="Book Antiqua" w:cs="Arial"/>
          <w:b/>
          <w:sz w:val="24"/>
          <w:szCs w:val="24"/>
          <w:lang w:eastAsia="zh-CN"/>
        </w:rPr>
      </w:pPr>
      <w:r w:rsidRPr="008C263A">
        <w:rPr>
          <w:rFonts w:ascii="Book Antiqua" w:hAnsi="Book Antiqua" w:cs="Arial"/>
          <w:b/>
          <w:sz w:val="24"/>
          <w:szCs w:val="24"/>
          <w:lang w:eastAsia="zh-CN"/>
        </w:rPr>
        <w:t>REFERENCES</w:t>
      </w:r>
    </w:p>
    <w:p w:rsidR="00766206" w:rsidRPr="008C263A" w:rsidRDefault="00766206" w:rsidP="00F23E6B">
      <w:pPr>
        <w:spacing w:after="0" w:line="360" w:lineRule="auto"/>
        <w:jc w:val="both"/>
        <w:rPr>
          <w:rFonts w:ascii="Book Antiqua" w:hAnsi="Book Antiqua" w:cs="宋体"/>
          <w:sz w:val="24"/>
          <w:szCs w:val="24"/>
        </w:rPr>
      </w:pPr>
      <w:r w:rsidRPr="008C263A">
        <w:rPr>
          <w:rFonts w:ascii="Book Antiqua" w:hAnsi="Book Antiqua" w:cs="宋体"/>
          <w:sz w:val="24"/>
          <w:szCs w:val="24"/>
        </w:rPr>
        <w:t>1 </w:t>
      </w:r>
      <w:r w:rsidRPr="008C263A">
        <w:rPr>
          <w:rFonts w:ascii="Book Antiqua" w:hAnsi="Book Antiqua" w:cs="宋体"/>
          <w:b/>
          <w:bCs/>
          <w:sz w:val="24"/>
          <w:szCs w:val="24"/>
        </w:rPr>
        <w:t>Chastain CA</w:t>
      </w:r>
      <w:r w:rsidRPr="008C263A">
        <w:rPr>
          <w:rFonts w:ascii="Book Antiqua" w:hAnsi="Book Antiqua" w:cs="宋体"/>
          <w:sz w:val="24"/>
          <w:szCs w:val="24"/>
        </w:rPr>
        <w:t>, Naggie S. Treatment of genotype 1 HCV infection in the HIV coinfected patient in 2014. </w:t>
      </w:r>
      <w:r w:rsidRPr="008C263A">
        <w:rPr>
          <w:rFonts w:ascii="Book Antiqua" w:hAnsi="Book Antiqua" w:cs="宋体"/>
          <w:i/>
          <w:iCs/>
          <w:sz w:val="24"/>
          <w:szCs w:val="24"/>
        </w:rPr>
        <w:t>Curr HIV/AIDS Rep</w:t>
      </w:r>
      <w:r w:rsidRPr="008C263A">
        <w:rPr>
          <w:rFonts w:ascii="Book Antiqua" w:hAnsi="Book Antiqua" w:cs="宋体"/>
          <w:sz w:val="24"/>
          <w:szCs w:val="24"/>
        </w:rPr>
        <w:t> 2013; </w:t>
      </w:r>
      <w:r w:rsidRPr="008C263A">
        <w:rPr>
          <w:rFonts w:ascii="Book Antiqua" w:hAnsi="Book Antiqua" w:cs="宋体"/>
          <w:b/>
          <w:bCs/>
          <w:sz w:val="24"/>
          <w:szCs w:val="24"/>
        </w:rPr>
        <w:t>10</w:t>
      </w:r>
      <w:r w:rsidRPr="008C263A">
        <w:rPr>
          <w:rFonts w:ascii="Book Antiqua" w:hAnsi="Book Antiqua" w:cs="宋体"/>
          <w:sz w:val="24"/>
          <w:szCs w:val="24"/>
        </w:rPr>
        <w:t>: 408-419 [PMID: 24272069 DOI: 10.1007/s11904-013-0182-8]</w:t>
      </w:r>
    </w:p>
    <w:p w:rsidR="00766206" w:rsidRPr="008C263A" w:rsidRDefault="00766206" w:rsidP="00F23E6B">
      <w:pPr>
        <w:spacing w:after="0" w:line="360" w:lineRule="auto"/>
        <w:jc w:val="both"/>
        <w:rPr>
          <w:rFonts w:ascii="Book Antiqua" w:hAnsi="Book Antiqua" w:cs="宋体"/>
          <w:sz w:val="24"/>
          <w:szCs w:val="24"/>
        </w:rPr>
      </w:pPr>
      <w:r w:rsidRPr="008C263A">
        <w:rPr>
          <w:rFonts w:ascii="Book Antiqua" w:hAnsi="Book Antiqua" w:cs="宋体"/>
          <w:sz w:val="24"/>
          <w:szCs w:val="24"/>
        </w:rPr>
        <w:t>2 </w:t>
      </w:r>
      <w:r w:rsidRPr="008C263A">
        <w:rPr>
          <w:rFonts w:ascii="Book Antiqua" w:hAnsi="Book Antiqua" w:cs="宋体"/>
          <w:b/>
          <w:bCs/>
          <w:sz w:val="24"/>
          <w:szCs w:val="24"/>
        </w:rPr>
        <w:t>Sulkowski M</w:t>
      </w:r>
      <w:r w:rsidRPr="008C263A">
        <w:rPr>
          <w:rFonts w:ascii="Book Antiqua" w:hAnsi="Book Antiqua" w:cs="宋体"/>
          <w:sz w:val="24"/>
          <w:szCs w:val="24"/>
        </w:rPr>
        <w:t xml:space="preserve">, Pol S, Mallolas J, Fainboim H, Cooper C, Slim J, Rivero A, Mak C, Thompson S, Howe AY, Wenning L, Sklar P, Wahl J, Greaves W. Boceprevir versus placebo with pegylated interferon alfa-2b and ribavirin for treatment of hepatitis C virus genotype 1 in patients with HIV: a randomised, double-blind, controlled phase </w:t>
      </w:r>
      <w:r w:rsidRPr="008C263A">
        <w:rPr>
          <w:rFonts w:ascii="Book Antiqua" w:hAnsi="Book Antiqua" w:cs="宋体"/>
          <w:sz w:val="24"/>
          <w:szCs w:val="24"/>
        </w:rPr>
        <w:lastRenderedPageBreak/>
        <w:t>2 trial. </w:t>
      </w:r>
      <w:r w:rsidRPr="008C263A">
        <w:rPr>
          <w:rFonts w:ascii="Book Antiqua" w:hAnsi="Book Antiqua" w:cs="宋体"/>
          <w:i/>
          <w:iCs/>
          <w:sz w:val="24"/>
          <w:szCs w:val="24"/>
        </w:rPr>
        <w:t>Lancet Infect Dis</w:t>
      </w:r>
      <w:r w:rsidRPr="008C263A">
        <w:rPr>
          <w:rFonts w:ascii="Book Antiqua" w:hAnsi="Book Antiqua" w:cs="宋体"/>
          <w:sz w:val="24"/>
          <w:szCs w:val="24"/>
        </w:rPr>
        <w:t> 2013; </w:t>
      </w:r>
      <w:r w:rsidRPr="008C263A">
        <w:rPr>
          <w:rFonts w:ascii="Book Antiqua" w:hAnsi="Book Antiqua" w:cs="宋体"/>
          <w:b/>
          <w:bCs/>
          <w:sz w:val="24"/>
          <w:szCs w:val="24"/>
        </w:rPr>
        <w:t>13</w:t>
      </w:r>
      <w:r w:rsidRPr="008C263A">
        <w:rPr>
          <w:rFonts w:ascii="Book Antiqua" w:hAnsi="Book Antiqua" w:cs="宋体"/>
          <w:sz w:val="24"/>
          <w:szCs w:val="24"/>
        </w:rPr>
        <w:t>: 597-605 [PMID: 23768747 DOI: 10.1016/S1473-3099(13)70149-X]</w:t>
      </w:r>
    </w:p>
    <w:p w:rsidR="00766206" w:rsidRPr="008C263A" w:rsidRDefault="00766206" w:rsidP="00F23E6B">
      <w:pPr>
        <w:spacing w:after="0" w:line="360" w:lineRule="auto"/>
        <w:jc w:val="both"/>
        <w:rPr>
          <w:rFonts w:ascii="Book Antiqua" w:hAnsi="Book Antiqua" w:cs="宋体"/>
          <w:sz w:val="24"/>
          <w:szCs w:val="24"/>
        </w:rPr>
      </w:pPr>
      <w:r w:rsidRPr="008C263A">
        <w:rPr>
          <w:rFonts w:ascii="Book Antiqua" w:hAnsi="Book Antiqua" w:cs="宋体"/>
          <w:sz w:val="24"/>
          <w:szCs w:val="24"/>
        </w:rPr>
        <w:t>3 </w:t>
      </w:r>
      <w:r w:rsidRPr="008C263A">
        <w:rPr>
          <w:rFonts w:ascii="Book Antiqua" w:hAnsi="Book Antiqua" w:cs="宋体"/>
          <w:b/>
          <w:bCs/>
          <w:sz w:val="24"/>
          <w:szCs w:val="24"/>
        </w:rPr>
        <w:t>Sulkowski MS</w:t>
      </w:r>
      <w:r w:rsidRPr="008C263A">
        <w:rPr>
          <w:rFonts w:ascii="Book Antiqua" w:hAnsi="Book Antiqua" w:cs="宋体"/>
          <w:sz w:val="24"/>
          <w:szCs w:val="24"/>
        </w:rPr>
        <w:t>, Sherman KE, Dieterich DT, Bsharat M, Mahnke L, Rockstroh JK, Gharakhanian S, McCallister S, Henshaw J, Girard PM, Adiwijaya B, Garg V, Rubin RA, Adda N, Soriano V. Combination therapy with telaprevir for chronic hepatitis C virus genotype 1 infection in patients with HIV: a randomized trial. </w:t>
      </w:r>
      <w:r w:rsidRPr="008C263A">
        <w:rPr>
          <w:rFonts w:ascii="Book Antiqua" w:hAnsi="Book Antiqua" w:cs="宋体"/>
          <w:i/>
          <w:iCs/>
          <w:sz w:val="24"/>
          <w:szCs w:val="24"/>
        </w:rPr>
        <w:t>Ann Intern Med</w:t>
      </w:r>
      <w:r w:rsidRPr="008C263A">
        <w:rPr>
          <w:rFonts w:ascii="Book Antiqua" w:hAnsi="Book Antiqua" w:cs="宋体"/>
          <w:sz w:val="24"/>
          <w:szCs w:val="24"/>
        </w:rPr>
        <w:t> 2013; </w:t>
      </w:r>
      <w:r w:rsidRPr="008C263A">
        <w:rPr>
          <w:rFonts w:ascii="Book Antiqua" w:hAnsi="Book Antiqua" w:cs="宋体"/>
          <w:b/>
          <w:bCs/>
          <w:sz w:val="24"/>
          <w:szCs w:val="24"/>
        </w:rPr>
        <w:t>159</w:t>
      </w:r>
      <w:r w:rsidRPr="008C263A">
        <w:rPr>
          <w:rFonts w:ascii="Book Antiqua" w:hAnsi="Book Antiqua" w:cs="宋体"/>
          <w:sz w:val="24"/>
          <w:szCs w:val="24"/>
        </w:rPr>
        <w:t>: 86-96 [PMID: 23685940 DOI: 10.7326/0003-4819-159-2-201307160-00654]</w:t>
      </w:r>
    </w:p>
    <w:p w:rsidR="00766206" w:rsidRPr="008C263A" w:rsidRDefault="00766206" w:rsidP="00F23E6B">
      <w:pPr>
        <w:spacing w:after="0" w:line="360" w:lineRule="auto"/>
        <w:jc w:val="both"/>
        <w:rPr>
          <w:rFonts w:ascii="Book Antiqua" w:hAnsi="Book Antiqua" w:cs="宋体"/>
          <w:sz w:val="24"/>
          <w:szCs w:val="24"/>
        </w:rPr>
      </w:pPr>
      <w:r w:rsidRPr="008C263A">
        <w:rPr>
          <w:rFonts w:ascii="Book Antiqua" w:hAnsi="Book Antiqua" w:cs="宋体"/>
          <w:sz w:val="24"/>
          <w:szCs w:val="24"/>
        </w:rPr>
        <w:t xml:space="preserve">4 </w:t>
      </w:r>
      <w:r w:rsidRPr="008C263A">
        <w:rPr>
          <w:rFonts w:ascii="Book Antiqua" w:hAnsi="Book Antiqua" w:cs="宋体"/>
          <w:b/>
          <w:sz w:val="24"/>
          <w:szCs w:val="24"/>
        </w:rPr>
        <w:t>Poizot-Martin</w:t>
      </w:r>
      <w:r w:rsidRPr="008C263A">
        <w:rPr>
          <w:rFonts w:ascii="Book Antiqua" w:hAnsi="Book Antiqua" w:cs="宋体"/>
          <w:sz w:val="24"/>
          <w:szCs w:val="24"/>
        </w:rPr>
        <w:t xml:space="preserve"> I, Bellissant E, Colson P, Renault A, Piroth L, Solas C, Bourlière M, Garraffo R, Halfon P, Molina JM</w:t>
      </w:r>
      <w:r w:rsidRPr="008C263A">
        <w:rPr>
          <w:rFonts w:ascii="Book Antiqua" w:hAnsi="Book Antiqua" w:cs="宋体"/>
          <w:sz w:val="24"/>
          <w:szCs w:val="24"/>
          <w:lang w:eastAsia="zh-CN"/>
        </w:rPr>
        <w:t xml:space="preserve">. </w:t>
      </w:r>
      <w:r w:rsidRPr="008C263A">
        <w:rPr>
          <w:rFonts w:ascii="Book Antiqua" w:hAnsi="Book Antiqua" w:cs="宋体"/>
          <w:sz w:val="24"/>
          <w:szCs w:val="24"/>
        </w:rPr>
        <w:t>Boceprevir for previously treated HCV-HIV coinfected patients: the ANRS-HC27 BocepreVIH Trial. Atlanta: 21</w:t>
      </w:r>
      <w:r w:rsidRPr="008C263A">
        <w:rPr>
          <w:rFonts w:ascii="Book Antiqua" w:hAnsi="Book Antiqua" w:cs="宋体"/>
          <w:sz w:val="24"/>
          <w:szCs w:val="24"/>
          <w:vertAlign w:val="superscript"/>
        </w:rPr>
        <w:t>th</w:t>
      </w:r>
      <w:r w:rsidRPr="008C263A">
        <w:rPr>
          <w:rFonts w:ascii="Book Antiqua" w:hAnsi="Book Antiqua" w:cs="宋体"/>
          <w:sz w:val="24"/>
          <w:szCs w:val="24"/>
        </w:rPr>
        <w:t xml:space="preserve"> CROI, 2014: Abstract 659LB</w:t>
      </w:r>
    </w:p>
    <w:p w:rsidR="00766206" w:rsidRPr="008C263A" w:rsidRDefault="00766206" w:rsidP="00F23E6B">
      <w:pPr>
        <w:spacing w:after="0" w:line="360" w:lineRule="auto"/>
        <w:jc w:val="both"/>
        <w:rPr>
          <w:rFonts w:ascii="Book Antiqua" w:hAnsi="Book Antiqua" w:cs="宋体"/>
          <w:sz w:val="24"/>
          <w:szCs w:val="24"/>
        </w:rPr>
      </w:pPr>
      <w:r w:rsidRPr="008C263A">
        <w:rPr>
          <w:rFonts w:ascii="Book Antiqua" w:hAnsi="Book Antiqua" w:cs="宋体"/>
          <w:sz w:val="24"/>
          <w:szCs w:val="24"/>
        </w:rPr>
        <w:t>5 </w:t>
      </w:r>
      <w:r w:rsidRPr="008C263A">
        <w:rPr>
          <w:rFonts w:ascii="Book Antiqua" w:hAnsi="Book Antiqua" w:cs="宋体"/>
          <w:b/>
          <w:bCs/>
          <w:sz w:val="24"/>
          <w:szCs w:val="24"/>
        </w:rPr>
        <w:t>Cotte L</w:t>
      </w:r>
      <w:r w:rsidRPr="008C263A">
        <w:rPr>
          <w:rFonts w:ascii="Book Antiqua" w:hAnsi="Book Antiqua" w:cs="宋体"/>
          <w:sz w:val="24"/>
          <w:szCs w:val="24"/>
        </w:rPr>
        <w:t>, Braun J, Lascoux-Combe C, Vincent C, Valantin MA, Sogni P, Lacombe K, Neau D, Aumaitre H, Batisse D, de Truchis P, Gervais A, Michelet C, Morlat P, Vittecoq D, Rosa I, Bertucci I, Chevaliez S, Aboulker JP, Molina JM. Telaprevir for HIV/hepatitis C virus-coinfected patients failing treatment with pegylated interferon/ribavirin (ANRS HC26 TelapreVIH): an open-label, single-arm, phase 2 trial. </w:t>
      </w:r>
      <w:r w:rsidRPr="008C263A">
        <w:rPr>
          <w:rFonts w:ascii="Book Antiqua" w:hAnsi="Book Antiqua" w:cs="宋体"/>
          <w:i/>
          <w:iCs/>
          <w:sz w:val="24"/>
          <w:szCs w:val="24"/>
        </w:rPr>
        <w:t>Clin Infect Dis</w:t>
      </w:r>
      <w:r w:rsidRPr="008C263A">
        <w:rPr>
          <w:rFonts w:ascii="Book Antiqua" w:hAnsi="Book Antiqua" w:cs="宋体"/>
          <w:sz w:val="24"/>
          <w:szCs w:val="24"/>
        </w:rPr>
        <w:t> 2014; </w:t>
      </w:r>
      <w:r w:rsidRPr="008C263A">
        <w:rPr>
          <w:rFonts w:ascii="Book Antiqua" w:hAnsi="Book Antiqua" w:cs="宋体"/>
          <w:b/>
          <w:bCs/>
          <w:sz w:val="24"/>
          <w:szCs w:val="24"/>
        </w:rPr>
        <w:t>59</w:t>
      </w:r>
      <w:r w:rsidRPr="008C263A">
        <w:rPr>
          <w:rFonts w:ascii="Book Antiqua" w:hAnsi="Book Antiqua" w:cs="宋体"/>
          <w:sz w:val="24"/>
          <w:szCs w:val="24"/>
        </w:rPr>
        <w:t>: 1768-1776 [PMID: 25139963 DOI: 10.1093/cid/ciu659]</w:t>
      </w:r>
    </w:p>
    <w:p w:rsidR="00766206" w:rsidRPr="008C263A" w:rsidRDefault="00766206" w:rsidP="00F23E6B">
      <w:pPr>
        <w:spacing w:after="0" w:line="360" w:lineRule="auto"/>
        <w:jc w:val="both"/>
        <w:rPr>
          <w:rFonts w:ascii="Book Antiqua" w:hAnsi="Book Antiqua" w:cs="宋体"/>
          <w:sz w:val="24"/>
          <w:szCs w:val="24"/>
        </w:rPr>
      </w:pPr>
      <w:r w:rsidRPr="008C263A">
        <w:rPr>
          <w:rFonts w:ascii="Book Antiqua" w:hAnsi="Book Antiqua" w:cs="宋体"/>
          <w:sz w:val="24"/>
          <w:szCs w:val="24"/>
        </w:rPr>
        <w:t>6 </w:t>
      </w:r>
      <w:r w:rsidRPr="008C263A">
        <w:rPr>
          <w:rFonts w:ascii="Book Antiqua" w:hAnsi="Book Antiqua" w:cs="宋体"/>
          <w:b/>
          <w:bCs/>
          <w:sz w:val="24"/>
          <w:szCs w:val="24"/>
        </w:rPr>
        <w:t>Pugliese P</w:t>
      </w:r>
      <w:r w:rsidRPr="008C263A">
        <w:rPr>
          <w:rFonts w:ascii="Book Antiqua" w:hAnsi="Book Antiqua" w:cs="宋体"/>
          <w:sz w:val="24"/>
          <w:szCs w:val="24"/>
        </w:rPr>
        <w:t>, Cuzin L, Cabié A, Poizot-Martin I, Allavena C, Duvivier C, El Guedj M, de la Tribonnière X, Valantin MA, Dellamonica P. A large French prospective cohort of HIV-infected patients: the Nadis Cohort. </w:t>
      </w:r>
      <w:r w:rsidRPr="008C263A">
        <w:rPr>
          <w:rFonts w:ascii="Book Antiqua" w:hAnsi="Book Antiqua" w:cs="宋体"/>
          <w:i/>
          <w:iCs/>
          <w:sz w:val="24"/>
          <w:szCs w:val="24"/>
        </w:rPr>
        <w:t>HIV Med</w:t>
      </w:r>
      <w:r w:rsidRPr="008C263A">
        <w:rPr>
          <w:rFonts w:ascii="Book Antiqua" w:hAnsi="Book Antiqua" w:cs="宋体"/>
          <w:sz w:val="24"/>
          <w:szCs w:val="24"/>
        </w:rPr>
        <w:t> 2009; </w:t>
      </w:r>
      <w:r w:rsidRPr="008C263A">
        <w:rPr>
          <w:rFonts w:ascii="Book Antiqua" w:hAnsi="Book Antiqua" w:cs="宋体"/>
          <w:b/>
          <w:bCs/>
          <w:sz w:val="24"/>
          <w:szCs w:val="24"/>
        </w:rPr>
        <w:t>10</w:t>
      </w:r>
      <w:r w:rsidRPr="008C263A">
        <w:rPr>
          <w:rFonts w:ascii="Book Antiqua" w:hAnsi="Book Antiqua" w:cs="宋体"/>
          <w:sz w:val="24"/>
          <w:szCs w:val="24"/>
        </w:rPr>
        <w:t>: 504-511 [PMID: 19486189 DOI: 10.1111/hiv.12041]</w:t>
      </w:r>
    </w:p>
    <w:p w:rsidR="00766206" w:rsidRPr="008C263A" w:rsidRDefault="00766206" w:rsidP="00F23E6B">
      <w:pPr>
        <w:spacing w:after="0" w:line="360" w:lineRule="auto"/>
        <w:jc w:val="both"/>
        <w:rPr>
          <w:rFonts w:ascii="Book Antiqua" w:hAnsi="Book Antiqua" w:cs="宋体"/>
          <w:sz w:val="24"/>
          <w:szCs w:val="24"/>
        </w:rPr>
      </w:pPr>
      <w:r w:rsidRPr="008C263A">
        <w:rPr>
          <w:rFonts w:ascii="Book Antiqua" w:hAnsi="Book Antiqua" w:cs="宋体"/>
          <w:sz w:val="24"/>
          <w:szCs w:val="24"/>
        </w:rPr>
        <w:t>7 </w:t>
      </w:r>
      <w:r w:rsidRPr="008C263A">
        <w:rPr>
          <w:rFonts w:ascii="Book Antiqua" w:hAnsi="Book Antiqua" w:cs="宋体"/>
          <w:b/>
          <w:bCs/>
          <w:sz w:val="24"/>
          <w:szCs w:val="24"/>
        </w:rPr>
        <w:t>Vallet S</w:t>
      </w:r>
      <w:r w:rsidRPr="008C263A">
        <w:rPr>
          <w:rFonts w:ascii="Book Antiqua" w:hAnsi="Book Antiqua" w:cs="宋体"/>
          <w:sz w:val="24"/>
          <w:szCs w:val="24"/>
        </w:rPr>
        <w:t>, Viron F, Henquell C, Le Guillou-Guillemette H, Lagathu G, Abravanel F, Trimoulet P, Soussan P, Schvoerer E, Rosenberg A, Gouriou S, Colson P, Izopet J, Payan C. NS3 protease polymorphism and natural resistance to protease inhibitors in French patients infected with HCV genotypes 1-5. </w:t>
      </w:r>
      <w:r w:rsidRPr="008C263A">
        <w:rPr>
          <w:rFonts w:ascii="Book Antiqua" w:hAnsi="Book Antiqua" w:cs="宋体"/>
          <w:i/>
          <w:iCs/>
          <w:sz w:val="24"/>
          <w:szCs w:val="24"/>
        </w:rPr>
        <w:t>Antivir Ther</w:t>
      </w:r>
      <w:r w:rsidRPr="008C263A">
        <w:rPr>
          <w:rFonts w:ascii="Book Antiqua" w:hAnsi="Book Antiqua" w:cs="宋体"/>
          <w:sz w:val="24"/>
          <w:szCs w:val="24"/>
        </w:rPr>
        <w:t> 2011; </w:t>
      </w:r>
      <w:r w:rsidRPr="008C263A">
        <w:rPr>
          <w:rFonts w:ascii="Book Antiqua" w:hAnsi="Book Antiqua" w:cs="宋体"/>
          <w:b/>
          <w:bCs/>
          <w:sz w:val="24"/>
          <w:szCs w:val="24"/>
        </w:rPr>
        <w:t>16</w:t>
      </w:r>
      <w:r w:rsidRPr="008C263A">
        <w:rPr>
          <w:rFonts w:ascii="Book Antiqua" w:hAnsi="Book Antiqua" w:cs="宋体"/>
          <w:sz w:val="24"/>
          <w:szCs w:val="24"/>
        </w:rPr>
        <w:t>: 1093-1102 [PMID: 22024525 DOI: 10.3851/IMP1900]</w:t>
      </w:r>
    </w:p>
    <w:p w:rsidR="00766206" w:rsidRPr="008C263A" w:rsidRDefault="00766206" w:rsidP="00F23E6B">
      <w:pPr>
        <w:spacing w:after="0" w:line="360" w:lineRule="auto"/>
        <w:jc w:val="both"/>
        <w:rPr>
          <w:rFonts w:ascii="Book Antiqua" w:hAnsi="Book Antiqua" w:cs="宋体"/>
          <w:sz w:val="24"/>
          <w:szCs w:val="24"/>
        </w:rPr>
      </w:pPr>
      <w:r w:rsidRPr="008C263A">
        <w:rPr>
          <w:rFonts w:ascii="Book Antiqua" w:hAnsi="Book Antiqua" w:cs="宋体"/>
          <w:sz w:val="24"/>
          <w:szCs w:val="24"/>
        </w:rPr>
        <w:t>8 </w:t>
      </w:r>
      <w:r w:rsidRPr="008C263A">
        <w:rPr>
          <w:rFonts w:ascii="Book Antiqua" w:hAnsi="Book Antiqua" w:cs="宋体"/>
          <w:b/>
          <w:bCs/>
          <w:sz w:val="24"/>
          <w:szCs w:val="24"/>
        </w:rPr>
        <w:t>Vallet S</w:t>
      </w:r>
      <w:r w:rsidRPr="008C263A">
        <w:rPr>
          <w:rFonts w:ascii="Book Antiqua" w:hAnsi="Book Antiqua" w:cs="宋体"/>
          <w:sz w:val="24"/>
          <w:szCs w:val="24"/>
        </w:rPr>
        <w:t xml:space="preserve">, Larrat S, Laperche S, Le Guillou-Guillemette H, Legrand-Abravanel F, Bouchardeau F, Pivert A, Henquell C, Mirand A, André-Garnier E, Giordanengo V, Lagathu G, Thibault V, Scholtes C, Schvoerer E, Gaudy-Graffin C, Maylin S, Trimoulet P, Brochot E, Hantz S, Gozlan J, Roque-Afonso AM, Soussan P, Plantier JC, Charpentier C, Chevaliez S, Colson P, Mackiewicz V, Aguilera L, Rosec S, Gouriou S, </w:t>
      </w:r>
      <w:r w:rsidRPr="008C263A">
        <w:rPr>
          <w:rFonts w:ascii="Book Antiqua" w:hAnsi="Book Antiqua" w:cs="宋体"/>
          <w:sz w:val="24"/>
          <w:szCs w:val="24"/>
        </w:rPr>
        <w:lastRenderedPageBreak/>
        <w:t>Magnat N, Lunel-Fabiani F, Izopet J, Morand P, Payan C, Pawlotsky JM. Multicenter quality control of hepatitis C virus protease inhibitor resistance genotyping. </w:t>
      </w:r>
      <w:r w:rsidRPr="008C263A">
        <w:rPr>
          <w:rFonts w:ascii="Book Antiqua" w:hAnsi="Book Antiqua" w:cs="宋体"/>
          <w:i/>
          <w:iCs/>
          <w:sz w:val="24"/>
          <w:szCs w:val="24"/>
        </w:rPr>
        <w:t>J Clin Microbiol</w:t>
      </w:r>
      <w:r w:rsidRPr="008C263A">
        <w:rPr>
          <w:rFonts w:ascii="Book Antiqua" w:hAnsi="Book Antiqua" w:cs="宋体"/>
          <w:sz w:val="24"/>
          <w:szCs w:val="24"/>
        </w:rPr>
        <w:t> 2013; </w:t>
      </w:r>
      <w:r w:rsidRPr="008C263A">
        <w:rPr>
          <w:rFonts w:ascii="Book Antiqua" w:hAnsi="Book Antiqua" w:cs="宋体"/>
          <w:b/>
          <w:bCs/>
          <w:sz w:val="24"/>
          <w:szCs w:val="24"/>
        </w:rPr>
        <w:t>51</w:t>
      </w:r>
      <w:r w:rsidRPr="008C263A">
        <w:rPr>
          <w:rFonts w:ascii="Book Antiqua" w:hAnsi="Book Antiqua" w:cs="宋体"/>
          <w:sz w:val="24"/>
          <w:szCs w:val="24"/>
        </w:rPr>
        <w:t>: 1428-1433 [PMID: 23426922 DOI: 10.1128/JCM.03032-12]</w:t>
      </w:r>
    </w:p>
    <w:p w:rsidR="00766206" w:rsidRPr="008C263A" w:rsidRDefault="00766206" w:rsidP="00F23E6B">
      <w:pPr>
        <w:spacing w:after="0" w:line="360" w:lineRule="auto"/>
        <w:jc w:val="both"/>
        <w:rPr>
          <w:rFonts w:ascii="Book Antiqua" w:hAnsi="Book Antiqua" w:cs="宋体"/>
          <w:sz w:val="24"/>
          <w:szCs w:val="24"/>
        </w:rPr>
      </w:pPr>
      <w:r w:rsidRPr="008C263A">
        <w:rPr>
          <w:rFonts w:ascii="Book Antiqua" w:hAnsi="Book Antiqua" w:cs="宋体"/>
          <w:sz w:val="24"/>
          <w:szCs w:val="24"/>
        </w:rPr>
        <w:t>9 </w:t>
      </w:r>
      <w:r w:rsidRPr="008C263A">
        <w:rPr>
          <w:rFonts w:ascii="Book Antiqua" w:hAnsi="Book Antiqua" w:cs="宋体"/>
          <w:b/>
          <w:bCs/>
          <w:sz w:val="24"/>
          <w:szCs w:val="24"/>
        </w:rPr>
        <w:t>Lacombe K</w:t>
      </w:r>
      <w:r w:rsidRPr="008C263A">
        <w:rPr>
          <w:rFonts w:ascii="Book Antiqua" w:hAnsi="Book Antiqua" w:cs="宋体"/>
          <w:sz w:val="24"/>
          <w:szCs w:val="24"/>
        </w:rPr>
        <w:t>, Valin N, Stitou H, Gozlan J, Thibault V, Boyd A, Poirier JM, Meynard JL, Valantin MA, Bottero J, Girard PM. Efficacy and tolerance of telaprevir in HIV-hepatitis C virus genotype 1-coinfected patients failing previous antihepatitis C virus therapy: 24-week results. </w:t>
      </w:r>
      <w:r w:rsidRPr="008C263A">
        <w:rPr>
          <w:rFonts w:ascii="Book Antiqua" w:hAnsi="Book Antiqua" w:cs="宋体"/>
          <w:i/>
          <w:iCs/>
          <w:sz w:val="24"/>
          <w:szCs w:val="24"/>
        </w:rPr>
        <w:t>AIDS</w:t>
      </w:r>
      <w:r w:rsidRPr="008C263A">
        <w:rPr>
          <w:rFonts w:ascii="Book Antiqua" w:hAnsi="Book Antiqua" w:cs="宋体"/>
          <w:sz w:val="24"/>
          <w:szCs w:val="24"/>
        </w:rPr>
        <w:t> 2013; </w:t>
      </w:r>
      <w:r w:rsidRPr="008C263A">
        <w:rPr>
          <w:rFonts w:ascii="Book Antiqua" w:hAnsi="Book Antiqua" w:cs="宋体"/>
          <w:b/>
          <w:bCs/>
          <w:sz w:val="24"/>
          <w:szCs w:val="24"/>
        </w:rPr>
        <w:t>27</w:t>
      </w:r>
      <w:r w:rsidRPr="008C263A">
        <w:rPr>
          <w:rFonts w:ascii="Book Antiqua" w:hAnsi="Book Antiqua" w:cs="宋体"/>
          <w:sz w:val="24"/>
          <w:szCs w:val="24"/>
        </w:rPr>
        <w:t>: 1356-1359 [PMID: 23925383 DOI: 10.1097/QAD.0b013e32836138d0]</w:t>
      </w:r>
    </w:p>
    <w:p w:rsidR="00766206" w:rsidRPr="008C263A" w:rsidRDefault="00766206" w:rsidP="00F23E6B">
      <w:pPr>
        <w:spacing w:after="0" w:line="360" w:lineRule="auto"/>
        <w:jc w:val="both"/>
        <w:rPr>
          <w:rFonts w:ascii="Book Antiqua" w:hAnsi="Book Antiqua" w:cs="宋体"/>
          <w:sz w:val="24"/>
          <w:szCs w:val="24"/>
        </w:rPr>
      </w:pPr>
      <w:r w:rsidRPr="008C263A">
        <w:rPr>
          <w:rFonts w:ascii="Book Antiqua" w:hAnsi="Book Antiqua" w:cs="宋体"/>
          <w:sz w:val="24"/>
          <w:szCs w:val="24"/>
        </w:rPr>
        <w:t>10 </w:t>
      </w:r>
      <w:r w:rsidRPr="008C263A">
        <w:rPr>
          <w:rFonts w:ascii="Book Antiqua" w:hAnsi="Book Antiqua" w:cs="宋体"/>
          <w:b/>
          <w:bCs/>
          <w:sz w:val="24"/>
          <w:szCs w:val="24"/>
        </w:rPr>
        <w:t>Sullivan JC</w:t>
      </w:r>
      <w:r w:rsidRPr="008C263A">
        <w:rPr>
          <w:rFonts w:ascii="Book Antiqua" w:hAnsi="Book Antiqua" w:cs="宋体"/>
          <w:sz w:val="24"/>
          <w:szCs w:val="24"/>
        </w:rPr>
        <w:t>, De Meyer S, Bartels DJ, Dierynck I, Zhang EZ, Spanks J, Tigges AM, Ghys A, Dorrian J, Adda N, Martin EC, Beumont M, Jacobson IM, Sherman KE, Zeuzem S, Picchio G, Kieffer TL. Evolution of treatment-emergent resistant variants in telaprevir phase 3 clinical trials. </w:t>
      </w:r>
      <w:r w:rsidRPr="008C263A">
        <w:rPr>
          <w:rFonts w:ascii="Book Antiqua" w:hAnsi="Book Antiqua" w:cs="宋体"/>
          <w:i/>
          <w:iCs/>
          <w:sz w:val="24"/>
          <w:szCs w:val="24"/>
        </w:rPr>
        <w:t>Clin Infect Dis</w:t>
      </w:r>
      <w:r w:rsidRPr="008C263A">
        <w:rPr>
          <w:rFonts w:ascii="Book Antiqua" w:hAnsi="Book Antiqua" w:cs="宋体"/>
          <w:sz w:val="24"/>
          <w:szCs w:val="24"/>
        </w:rPr>
        <w:t> 2013; </w:t>
      </w:r>
      <w:r w:rsidRPr="008C263A">
        <w:rPr>
          <w:rFonts w:ascii="Book Antiqua" w:hAnsi="Book Antiqua" w:cs="宋体"/>
          <w:b/>
          <w:bCs/>
          <w:sz w:val="24"/>
          <w:szCs w:val="24"/>
        </w:rPr>
        <w:t>57</w:t>
      </w:r>
      <w:r w:rsidRPr="008C263A">
        <w:rPr>
          <w:rFonts w:ascii="Book Antiqua" w:hAnsi="Book Antiqua" w:cs="宋体"/>
          <w:sz w:val="24"/>
          <w:szCs w:val="24"/>
        </w:rPr>
        <w:t>: 221-229 [PMID: 23575197 DOI: 10.1093/cid/cit226]</w:t>
      </w:r>
    </w:p>
    <w:p w:rsidR="00766206" w:rsidRPr="008C263A" w:rsidRDefault="00766206" w:rsidP="00F23E6B">
      <w:pPr>
        <w:spacing w:after="0" w:line="360" w:lineRule="auto"/>
        <w:jc w:val="both"/>
        <w:rPr>
          <w:rFonts w:ascii="Book Antiqua" w:hAnsi="Book Antiqua" w:cs="宋体"/>
          <w:sz w:val="24"/>
          <w:szCs w:val="24"/>
        </w:rPr>
      </w:pPr>
      <w:r w:rsidRPr="008C263A">
        <w:rPr>
          <w:rFonts w:ascii="Book Antiqua" w:hAnsi="Book Antiqua" w:cs="宋体"/>
          <w:sz w:val="24"/>
          <w:szCs w:val="24"/>
        </w:rPr>
        <w:t>11 </w:t>
      </w:r>
      <w:r w:rsidRPr="008C263A">
        <w:rPr>
          <w:rFonts w:ascii="Book Antiqua" w:hAnsi="Book Antiqua" w:cs="宋体"/>
          <w:b/>
          <w:bCs/>
          <w:sz w:val="24"/>
          <w:szCs w:val="24"/>
        </w:rPr>
        <w:t>Akuta N</w:t>
      </w:r>
      <w:r w:rsidRPr="008C263A">
        <w:rPr>
          <w:rFonts w:ascii="Book Antiqua" w:hAnsi="Book Antiqua" w:cs="宋体"/>
          <w:sz w:val="24"/>
          <w:szCs w:val="24"/>
        </w:rPr>
        <w:t>, Suzuki F, Seko Y, Kawamura Y, Sezaki H, Suzuki Y, Hosaka T, Kobayashi M, Hara T, Kobayashi M, Saitoh S, Arase Y, Ikeda K, Kumada H. Emergence of telaprevir-resistant variants detected by ultra-deep sequencing after triple therapy in patients infected with HCV genotype 1. </w:t>
      </w:r>
      <w:r w:rsidRPr="008C263A">
        <w:rPr>
          <w:rFonts w:ascii="Book Antiqua" w:hAnsi="Book Antiqua" w:cs="宋体"/>
          <w:i/>
          <w:iCs/>
          <w:sz w:val="24"/>
          <w:szCs w:val="24"/>
        </w:rPr>
        <w:t>J Med Virol</w:t>
      </w:r>
      <w:r w:rsidRPr="008C263A">
        <w:rPr>
          <w:rFonts w:ascii="Book Antiqua" w:hAnsi="Book Antiqua" w:cs="宋体"/>
          <w:sz w:val="24"/>
          <w:szCs w:val="24"/>
        </w:rPr>
        <w:t> 2013; </w:t>
      </w:r>
      <w:r w:rsidRPr="008C263A">
        <w:rPr>
          <w:rFonts w:ascii="Book Antiqua" w:hAnsi="Book Antiqua" w:cs="宋体"/>
          <w:b/>
          <w:bCs/>
          <w:sz w:val="24"/>
          <w:szCs w:val="24"/>
        </w:rPr>
        <w:t>85</w:t>
      </w:r>
      <w:r w:rsidRPr="008C263A">
        <w:rPr>
          <w:rFonts w:ascii="Book Antiqua" w:hAnsi="Book Antiqua" w:cs="宋体"/>
          <w:sz w:val="24"/>
          <w:szCs w:val="24"/>
        </w:rPr>
        <w:t>: 1028-1036 [PMID: 23588728 DOI: 10.1002/jmv.23579]</w:t>
      </w:r>
    </w:p>
    <w:p w:rsidR="00766206" w:rsidRPr="008C263A" w:rsidRDefault="00766206" w:rsidP="00F23E6B">
      <w:pPr>
        <w:spacing w:after="0" w:line="360" w:lineRule="auto"/>
        <w:jc w:val="both"/>
        <w:rPr>
          <w:rFonts w:ascii="Book Antiqua" w:hAnsi="Book Antiqua" w:cs="宋体"/>
          <w:sz w:val="24"/>
          <w:szCs w:val="24"/>
        </w:rPr>
      </w:pPr>
      <w:r w:rsidRPr="008C263A">
        <w:rPr>
          <w:rFonts w:ascii="Book Antiqua" w:hAnsi="Book Antiqua" w:cs="宋体"/>
          <w:sz w:val="24"/>
          <w:szCs w:val="24"/>
        </w:rPr>
        <w:t>12 </w:t>
      </w:r>
      <w:r w:rsidRPr="008C263A">
        <w:rPr>
          <w:rFonts w:ascii="Book Antiqua" w:hAnsi="Book Antiqua" w:cs="宋体"/>
          <w:b/>
          <w:bCs/>
          <w:sz w:val="24"/>
          <w:szCs w:val="24"/>
        </w:rPr>
        <w:t>Aherfi S</w:t>
      </w:r>
      <w:r w:rsidRPr="008C263A">
        <w:rPr>
          <w:rFonts w:ascii="Book Antiqua" w:hAnsi="Book Antiqua" w:cs="宋体"/>
          <w:sz w:val="24"/>
          <w:szCs w:val="24"/>
        </w:rPr>
        <w:t>, Solas C, Motte A, Moreau J, Borentain P, Mokhtari S, Botta-Fridlund D, Dhiver C, Portal I, Ruiz JM, Ravaux I, Bregigeon S, Poizot-Martin I, Stein A, Gérolami R, Brouqui P, Tamalet C, Colson P. Hepatitis C virus NS3 protease genotyping and drug concentration determination during triple therapy with telaprevir or boceprevir for chronic infection with genotype 1 viruses, southeastern France. </w:t>
      </w:r>
      <w:r w:rsidRPr="008C263A">
        <w:rPr>
          <w:rFonts w:ascii="Book Antiqua" w:hAnsi="Book Antiqua" w:cs="宋体"/>
          <w:i/>
          <w:iCs/>
          <w:sz w:val="24"/>
          <w:szCs w:val="24"/>
        </w:rPr>
        <w:t>J Med Virol</w:t>
      </w:r>
      <w:r w:rsidRPr="008C263A">
        <w:rPr>
          <w:rFonts w:ascii="Book Antiqua" w:hAnsi="Book Antiqua" w:cs="宋体"/>
          <w:sz w:val="24"/>
          <w:szCs w:val="24"/>
        </w:rPr>
        <w:t> 2014; </w:t>
      </w:r>
      <w:r w:rsidRPr="008C263A">
        <w:rPr>
          <w:rFonts w:ascii="Book Antiqua" w:hAnsi="Book Antiqua" w:cs="宋体"/>
          <w:b/>
          <w:bCs/>
          <w:sz w:val="24"/>
          <w:szCs w:val="24"/>
        </w:rPr>
        <w:t>86</w:t>
      </w:r>
      <w:r w:rsidRPr="008C263A">
        <w:rPr>
          <w:rFonts w:ascii="Book Antiqua" w:hAnsi="Book Antiqua" w:cs="宋体"/>
          <w:sz w:val="24"/>
          <w:szCs w:val="24"/>
        </w:rPr>
        <w:t>: 1868-1876 [PMID: 25052594 DOI: 10.1002/jmv.24016]</w:t>
      </w:r>
    </w:p>
    <w:p w:rsidR="00766206" w:rsidRPr="008C263A" w:rsidRDefault="00766206" w:rsidP="00F23E6B">
      <w:pPr>
        <w:spacing w:after="0" w:line="360" w:lineRule="auto"/>
        <w:jc w:val="both"/>
        <w:rPr>
          <w:rFonts w:ascii="Book Antiqua" w:hAnsi="Book Antiqua" w:cs="宋体"/>
          <w:sz w:val="24"/>
          <w:szCs w:val="24"/>
        </w:rPr>
      </w:pPr>
      <w:r w:rsidRPr="008C263A">
        <w:rPr>
          <w:rFonts w:ascii="Book Antiqua" w:hAnsi="Book Antiqua" w:cs="宋体"/>
          <w:sz w:val="24"/>
          <w:szCs w:val="24"/>
        </w:rPr>
        <w:t>13 </w:t>
      </w:r>
      <w:r w:rsidRPr="008C263A">
        <w:rPr>
          <w:rFonts w:ascii="Book Antiqua" w:hAnsi="Book Antiqua" w:cs="宋体"/>
          <w:b/>
          <w:bCs/>
          <w:sz w:val="24"/>
          <w:szCs w:val="24"/>
        </w:rPr>
        <w:t>Hézode C</w:t>
      </w:r>
      <w:r w:rsidRPr="008C263A">
        <w:rPr>
          <w:rFonts w:ascii="Book Antiqua" w:hAnsi="Book Antiqua" w:cs="宋体"/>
          <w:sz w:val="24"/>
          <w:szCs w:val="24"/>
        </w:rPr>
        <w:t xml:space="preserve">, Fontaine H, Dorival C, Larrey D, Zoulim F, Canva V, de Ledinghen V, Poynard T, Samuel D, Bourlière M, Zarski JP, Raabe JJ, Alric L, Marcellin P, Riachi G, Bernard PH, Loustaud-Ratti V, Métivier S, Tran A, Serfaty L, Abergel A, Causse X, Di Martino V, Guyader D, Lucidarme D, Grando-Lemaire V, Hillon P, Feray C, Dao T, Cacoub P, Rosa I, Attali P, Petrov-Sanchez V, Barthe Y, Pawlotsky JM, Pol S, Carrat F, Bronowicki JP. Triple therapy in treatment-experienced patients with HCV-cirrhosis in a multicentre cohort of the French Early Access Programme (ANRS CO20-CUPIC) </w:t>
      </w:r>
      <w:r w:rsidRPr="008C263A">
        <w:rPr>
          <w:rFonts w:ascii="Book Antiqua" w:hAnsi="Book Antiqua" w:cs="宋体"/>
          <w:sz w:val="24"/>
          <w:szCs w:val="24"/>
        </w:rPr>
        <w:lastRenderedPageBreak/>
        <w:t>- NCT01514890. </w:t>
      </w:r>
      <w:r w:rsidRPr="008C263A">
        <w:rPr>
          <w:rFonts w:ascii="Book Antiqua" w:hAnsi="Book Antiqua" w:cs="宋体"/>
          <w:i/>
          <w:iCs/>
          <w:sz w:val="24"/>
          <w:szCs w:val="24"/>
        </w:rPr>
        <w:t>J Hepatol</w:t>
      </w:r>
      <w:r w:rsidRPr="008C263A">
        <w:rPr>
          <w:rFonts w:ascii="Book Antiqua" w:hAnsi="Book Antiqua" w:cs="宋体"/>
          <w:sz w:val="24"/>
          <w:szCs w:val="24"/>
        </w:rPr>
        <w:t> 2013; </w:t>
      </w:r>
      <w:r w:rsidRPr="008C263A">
        <w:rPr>
          <w:rFonts w:ascii="Book Antiqua" w:hAnsi="Book Antiqua" w:cs="宋体"/>
          <w:b/>
          <w:bCs/>
          <w:sz w:val="24"/>
          <w:szCs w:val="24"/>
        </w:rPr>
        <w:t>59</w:t>
      </w:r>
      <w:r w:rsidRPr="008C263A">
        <w:rPr>
          <w:rFonts w:ascii="Book Antiqua" w:hAnsi="Book Antiqua" w:cs="宋体"/>
          <w:sz w:val="24"/>
          <w:szCs w:val="24"/>
        </w:rPr>
        <w:t>: 434-441 [PMID: 23669289 DOI: 10.1016/j.jhep.2013.04.035]</w:t>
      </w:r>
    </w:p>
    <w:p w:rsidR="00766206" w:rsidRPr="008C263A" w:rsidRDefault="00766206" w:rsidP="00F23E6B">
      <w:pPr>
        <w:spacing w:after="0" w:line="360" w:lineRule="auto"/>
        <w:jc w:val="both"/>
        <w:rPr>
          <w:rFonts w:ascii="Book Antiqua" w:hAnsi="Book Antiqua"/>
          <w:sz w:val="24"/>
          <w:szCs w:val="24"/>
        </w:rPr>
      </w:pPr>
    </w:p>
    <w:p w:rsidR="00766206" w:rsidRPr="008C263A" w:rsidRDefault="00766206" w:rsidP="0020125E">
      <w:pPr>
        <w:wordWrap w:val="0"/>
        <w:spacing w:after="0" w:line="360" w:lineRule="auto"/>
        <w:ind w:left="520" w:hangingChars="200" w:hanging="520"/>
        <w:jc w:val="right"/>
        <w:rPr>
          <w:rFonts w:ascii="Book Antiqua" w:hAnsi="Book Antiqua"/>
          <w:color w:val="000000"/>
          <w:sz w:val="24"/>
          <w:szCs w:val="24"/>
        </w:rPr>
      </w:pPr>
      <w:r w:rsidRPr="008C263A">
        <w:rPr>
          <w:rFonts w:ascii="Book Antiqua" w:hAnsi="Book Antiqua"/>
          <w:b/>
          <w:sz w:val="24"/>
          <w:szCs w:val="24"/>
        </w:rPr>
        <w:t>P- Reviewer:</w:t>
      </w:r>
      <w:r w:rsidRPr="008C263A">
        <w:rPr>
          <w:rFonts w:ascii="Book Antiqua" w:hAnsi="Book Antiqua" w:cs="宋体"/>
          <w:sz w:val="24"/>
          <w:szCs w:val="24"/>
        </w:rPr>
        <w:t xml:space="preserve"> Chen YD, Elalfy H, He ST   </w:t>
      </w:r>
      <w:r w:rsidRPr="008C263A">
        <w:rPr>
          <w:rFonts w:ascii="Book Antiqua" w:hAnsi="Book Antiqua"/>
          <w:color w:val="000000"/>
          <w:sz w:val="24"/>
          <w:szCs w:val="24"/>
        </w:rPr>
        <w:t xml:space="preserve">  </w:t>
      </w:r>
      <w:r w:rsidRPr="008C263A">
        <w:rPr>
          <w:rFonts w:ascii="Book Antiqua" w:hAnsi="Book Antiqua"/>
          <w:b/>
          <w:sz w:val="24"/>
          <w:szCs w:val="24"/>
        </w:rPr>
        <w:t>S- Editor:</w:t>
      </w:r>
      <w:r w:rsidRPr="008C263A">
        <w:rPr>
          <w:rFonts w:ascii="Book Antiqua" w:hAnsi="Book Antiqua"/>
          <w:sz w:val="24"/>
          <w:szCs w:val="24"/>
        </w:rPr>
        <w:t xml:space="preserve"> Gong XM</w:t>
      </w:r>
    </w:p>
    <w:p w:rsidR="00766206" w:rsidRPr="008C263A" w:rsidRDefault="00766206" w:rsidP="0020125E">
      <w:pPr>
        <w:spacing w:after="0" w:line="360" w:lineRule="auto"/>
        <w:ind w:left="520" w:hangingChars="200" w:hanging="520"/>
        <w:jc w:val="right"/>
        <w:rPr>
          <w:rFonts w:ascii="Book Antiqua" w:hAnsi="Book Antiqua"/>
          <w:b/>
          <w:sz w:val="24"/>
          <w:szCs w:val="24"/>
        </w:rPr>
      </w:pPr>
      <w:r w:rsidRPr="008C263A">
        <w:rPr>
          <w:rFonts w:ascii="Book Antiqua" w:hAnsi="Book Antiqua"/>
          <w:b/>
          <w:sz w:val="24"/>
          <w:szCs w:val="24"/>
        </w:rPr>
        <w:t xml:space="preserve"> L- Editor:</w:t>
      </w:r>
      <w:r w:rsidRPr="008C263A">
        <w:rPr>
          <w:rFonts w:ascii="Book Antiqua" w:hAnsi="Book Antiqua"/>
          <w:sz w:val="24"/>
          <w:szCs w:val="24"/>
        </w:rPr>
        <w:t xml:space="preserve"> </w:t>
      </w:r>
      <w:r w:rsidRPr="008C263A">
        <w:rPr>
          <w:rFonts w:ascii="Book Antiqua" w:hAnsi="Book Antiqua"/>
          <w:b/>
          <w:sz w:val="24"/>
          <w:szCs w:val="24"/>
        </w:rPr>
        <w:t>E- Editor:</w:t>
      </w:r>
    </w:p>
    <w:p w:rsidR="00766206" w:rsidRPr="008C263A" w:rsidRDefault="00766206" w:rsidP="00F23E6B">
      <w:pPr>
        <w:spacing w:after="0" w:line="360" w:lineRule="auto"/>
        <w:jc w:val="both"/>
        <w:rPr>
          <w:rFonts w:ascii="Book Antiqua" w:hAnsi="Book Antiqua" w:cs="Arial"/>
          <w:b/>
          <w:sz w:val="24"/>
          <w:szCs w:val="24"/>
          <w:lang w:eastAsia="zh-CN"/>
        </w:rPr>
      </w:pPr>
    </w:p>
    <w:p w:rsidR="00766206" w:rsidRPr="008C263A" w:rsidRDefault="00766206" w:rsidP="00F23E6B">
      <w:pPr>
        <w:spacing w:after="0" w:line="360" w:lineRule="auto"/>
        <w:jc w:val="both"/>
        <w:rPr>
          <w:rFonts w:ascii="Book Antiqua" w:hAnsi="Book Antiqua" w:cs="Arial"/>
          <w:b/>
          <w:sz w:val="24"/>
          <w:szCs w:val="24"/>
          <w:lang w:eastAsia="zh-CN"/>
        </w:rPr>
      </w:pPr>
    </w:p>
    <w:p w:rsidR="00766206" w:rsidRPr="008C263A" w:rsidRDefault="00766206" w:rsidP="00F23E6B">
      <w:pPr>
        <w:spacing w:after="0" w:line="360" w:lineRule="auto"/>
        <w:jc w:val="both"/>
        <w:rPr>
          <w:rFonts w:ascii="Book Antiqua" w:hAnsi="Book Antiqua" w:cs="Arial"/>
          <w:b/>
          <w:sz w:val="24"/>
          <w:szCs w:val="24"/>
          <w:lang w:eastAsia="zh-CN"/>
        </w:rPr>
      </w:pPr>
    </w:p>
    <w:p w:rsidR="00766206" w:rsidRPr="008C263A" w:rsidRDefault="00766206" w:rsidP="00F23E6B">
      <w:pPr>
        <w:spacing w:after="0" w:line="360" w:lineRule="auto"/>
        <w:jc w:val="both"/>
        <w:rPr>
          <w:rFonts w:ascii="Book Antiqua" w:hAnsi="Book Antiqua" w:cs="Arial"/>
          <w:b/>
          <w:sz w:val="24"/>
          <w:szCs w:val="24"/>
          <w:lang w:eastAsia="zh-CN"/>
        </w:rPr>
      </w:pPr>
    </w:p>
    <w:p w:rsidR="00766206" w:rsidRPr="008C263A" w:rsidRDefault="00766206" w:rsidP="00F23E6B">
      <w:pPr>
        <w:spacing w:after="0" w:line="360" w:lineRule="auto"/>
        <w:jc w:val="both"/>
        <w:rPr>
          <w:rFonts w:ascii="Book Antiqua" w:hAnsi="Book Antiqua" w:cs="Arial"/>
          <w:b/>
          <w:sz w:val="24"/>
          <w:szCs w:val="24"/>
          <w:lang w:eastAsia="zh-CN"/>
        </w:rPr>
      </w:pPr>
    </w:p>
    <w:p w:rsidR="00766206" w:rsidRPr="008C263A" w:rsidRDefault="00766206" w:rsidP="00F23E6B">
      <w:pPr>
        <w:spacing w:after="0" w:line="360" w:lineRule="auto"/>
        <w:jc w:val="both"/>
        <w:rPr>
          <w:rFonts w:ascii="Book Antiqua" w:hAnsi="Book Antiqua" w:cs="Arial"/>
          <w:b/>
          <w:sz w:val="24"/>
          <w:szCs w:val="24"/>
          <w:lang w:eastAsia="zh-CN"/>
        </w:rPr>
      </w:pPr>
    </w:p>
    <w:p w:rsidR="00766206" w:rsidRPr="008C263A" w:rsidRDefault="00766206" w:rsidP="00F23E6B">
      <w:pPr>
        <w:spacing w:after="0" w:line="360" w:lineRule="auto"/>
        <w:jc w:val="both"/>
        <w:rPr>
          <w:rFonts w:ascii="Book Antiqua" w:hAnsi="Book Antiqua" w:cs="Arial"/>
          <w:b/>
          <w:sz w:val="24"/>
          <w:szCs w:val="24"/>
          <w:lang w:eastAsia="zh-CN"/>
        </w:rPr>
      </w:pPr>
    </w:p>
    <w:p w:rsidR="00766206" w:rsidRPr="008C263A" w:rsidRDefault="00766206" w:rsidP="00F23E6B">
      <w:pPr>
        <w:spacing w:after="0" w:line="360" w:lineRule="auto"/>
        <w:jc w:val="both"/>
        <w:rPr>
          <w:rFonts w:ascii="Book Antiqua" w:hAnsi="Book Antiqua" w:cs="Arial"/>
          <w:b/>
          <w:sz w:val="24"/>
          <w:szCs w:val="24"/>
          <w:lang w:eastAsia="zh-CN"/>
        </w:rPr>
      </w:pPr>
    </w:p>
    <w:p w:rsidR="00766206" w:rsidRPr="008C263A" w:rsidRDefault="00766206" w:rsidP="00F23E6B">
      <w:pPr>
        <w:spacing w:after="0" w:line="360" w:lineRule="auto"/>
        <w:jc w:val="both"/>
        <w:rPr>
          <w:rFonts w:ascii="Book Antiqua" w:hAnsi="Book Antiqua" w:cs="Arial"/>
          <w:b/>
          <w:sz w:val="24"/>
          <w:szCs w:val="24"/>
          <w:lang w:eastAsia="zh-CN"/>
        </w:rPr>
      </w:pPr>
    </w:p>
    <w:p w:rsidR="00766206" w:rsidRPr="008C263A" w:rsidRDefault="00766206" w:rsidP="00F23E6B">
      <w:pPr>
        <w:spacing w:after="0" w:line="360" w:lineRule="auto"/>
        <w:jc w:val="both"/>
        <w:rPr>
          <w:rFonts w:ascii="Book Antiqua" w:hAnsi="Book Antiqua" w:cs="Arial"/>
          <w:b/>
          <w:sz w:val="24"/>
          <w:szCs w:val="24"/>
          <w:lang w:eastAsia="zh-CN"/>
        </w:rPr>
      </w:pPr>
    </w:p>
    <w:p w:rsidR="00766206" w:rsidRPr="008C263A" w:rsidRDefault="00766206" w:rsidP="00F23E6B">
      <w:pPr>
        <w:spacing w:after="0" w:line="360" w:lineRule="auto"/>
        <w:jc w:val="both"/>
        <w:rPr>
          <w:rFonts w:ascii="Book Antiqua" w:hAnsi="Book Antiqua" w:cs="Arial"/>
          <w:b/>
          <w:color w:val="232323"/>
          <w:sz w:val="24"/>
          <w:szCs w:val="24"/>
          <w:lang w:val="en-GB"/>
        </w:rPr>
      </w:pPr>
      <w:r>
        <w:rPr>
          <w:rFonts w:ascii="Book Antiqua" w:hAnsi="Book Antiqua" w:cs="Arial"/>
          <w:b/>
          <w:sz w:val="24"/>
          <w:szCs w:val="24"/>
          <w:lang w:eastAsia="zh-CN"/>
        </w:rPr>
        <w:br w:type="page"/>
      </w:r>
      <w:r w:rsidRPr="008C263A">
        <w:rPr>
          <w:rFonts w:ascii="Book Antiqua" w:hAnsi="Book Antiqua" w:cs="Arial"/>
          <w:b/>
          <w:color w:val="232323"/>
          <w:sz w:val="24"/>
          <w:szCs w:val="24"/>
          <w:lang w:val="en-GB"/>
        </w:rPr>
        <w:lastRenderedPageBreak/>
        <w:t xml:space="preserve">Table 1 Primers specific for the hepatitis C virus </w:t>
      </w:r>
      <w:r w:rsidRPr="008C263A">
        <w:rPr>
          <w:rFonts w:ascii="Book Antiqua" w:hAnsi="Book Antiqua" w:cs="Arial"/>
          <w:b/>
          <w:i/>
          <w:color w:val="232323"/>
          <w:sz w:val="24"/>
          <w:szCs w:val="24"/>
          <w:lang w:val="en-GB"/>
        </w:rPr>
        <w:t>NS3/4A</w:t>
      </w:r>
      <w:r w:rsidRPr="008C263A">
        <w:rPr>
          <w:rFonts w:ascii="Book Antiqua" w:hAnsi="Book Antiqua" w:cs="Arial"/>
          <w:b/>
          <w:color w:val="232323"/>
          <w:sz w:val="24"/>
          <w:szCs w:val="24"/>
          <w:lang w:val="en-GB"/>
        </w:rPr>
        <w:t xml:space="preserve"> protease gene sequence used for polymerase chain reaction </w:t>
      </w:r>
    </w:p>
    <w:tbl>
      <w:tblPr>
        <w:tblW w:w="9354" w:type="dxa"/>
        <w:tblLook w:val="00A0" w:firstRow="1" w:lastRow="0" w:firstColumn="1" w:lastColumn="0" w:noHBand="0" w:noVBand="0"/>
      </w:tblPr>
      <w:tblGrid>
        <w:gridCol w:w="1668"/>
        <w:gridCol w:w="1134"/>
        <w:gridCol w:w="4249"/>
        <w:gridCol w:w="2303"/>
      </w:tblGrid>
      <w:tr w:rsidR="00766206" w:rsidRPr="008C263A" w:rsidTr="00066295">
        <w:tc>
          <w:tcPr>
            <w:tcW w:w="1668" w:type="dxa"/>
            <w:tcBorders>
              <w:top w:val="single" w:sz="4" w:space="0" w:color="auto"/>
              <w:bottom w:val="single" w:sz="4" w:space="0" w:color="auto"/>
            </w:tcBorders>
          </w:tcPr>
          <w:p w:rsidR="00766206" w:rsidRPr="00E83D3B" w:rsidRDefault="00766206" w:rsidP="00F23E6B">
            <w:pPr>
              <w:spacing w:after="0" w:line="360" w:lineRule="auto"/>
              <w:jc w:val="both"/>
              <w:rPr>
                <w:rFonts w:ascii="Book Antiqua" w:hAnsi="Book Antiqua" w:cs="Arial"/>
                <w:b/>
                <w:color w:val="232323"/>
                <w:sz w:val="24"/>
                <w:szCs w:val="24"/>
                <w:lang w:val="en-GB"/>
              </w:rPr>
            </w:pPr>
            <w:r w:rsidRPr="00E83D3B">
              <w:rPr>
                <w:rFonts w:ascii="Book Antiqua" w:hAnsi="Book Antiqua" w:cs="Arial"/>
                <w:b/>
                <w:color w:val="232323"/>
                <w:sz w:val="24"/>
                <w:szCs w:val="24"/>
                <w:lang w:val="en-GB"/>
              </w:rPr>
              <w:t>HCV genotype 1</w:t>
            </w:r>
          </w:p>
        </w:tc>
        <w:tc>
          <w:tcPr>
            <w:tcW w:w="1134" w:type="dxa"/>
            <w:tcBorders>
              <w:top w:val="single" w:sz="4" w:space="0" w:color="auto"/>
              <w:bottom w:val="single" w:sz="4" w:space="0" w:color="auto"/>
            </w:tcBorders>
          </w:tcPr>
          <w:p w:rsidR="00766206" w:rsidRPr="00E83D3B" w:rsidRDefault="00766206" w:rsidP="00F23E6B">
            <w:pPr>
              <w:spacing w:after="0" w:line="360" w:lineRule="auto"/>
              <w:jc w:val="both"/>
              <w:rPr>
                <w:rFonts w:ascii="Book Antiqua" w:hAnsi="Book Antiqua" w:cs="Arial"/>
                <w:b/>
                <w:color w:val="232323"/>
                <w:sz w:val="24"/>
                <w:szCs w:val="24"/>
                <w:lang w:val="en-GB"/>
              </w:rPr>
            </w:pPr>
            <w:r w:rsidRPr="00E83D3B">
              <w:rPr>
                <w:rFonts w:ascii="Book Antiqua" w:hAnsi="Book Antiqua" w:cs="Arial"/>
                <w:b/>
                <w:color w:val="232323"/>
                <w:sz w:val="24"/>
                <w:szCs w:val="24"/>
                <w:lang w:val="en-GB"/>
              </w:rPr>
              <w:t>Primers</w:t>
            </w:r>
          </w:p>
        </w:tc>
        <w:tc>
          <w:tcPr>
            <w:tcW w:w="4249" w:type="dxa"/>
            <w:tcBorders>
              <w:top w:val="single" w:sz="4" w:space="0" w:color="auto"/>
              <w:bottom w:val="single" w:sz="4" w:space="0" w:color="auto"/>
            </w:tcBorders>
          </w:tcPr>
          <w:p w:rsidR="00766206" w:rsidRPr="00E83D3B" w:rsidRDefault="00766206" w:rsidP="00F23E6B">
            <w:pPr>
              <w:spacing w:after="0" w:line="360" w:lineRule="auto"/>
              <w:jc w:val="both"/>
              <w:rPr>
                <w:rFonts w:ascii="Book Antiqua" w:hAnsi="Book Antiqua" w:cs="Arial"/>
                <w:b/>
                <w:color w:val="232323"/>
                <w:sz w:val="24"/>
                <w:szCs w:val="24"/>
                <w:lang w:val="en-GB"/>
              </w:rPr>
            </w:pPr>
            <w:r w:rsidRPr="00E83D3B">
              <w:rPr>
                <w:rFonts w:ascii="Book Antiqua" w:hAnsi="Book Antiqua" w:cs="Arial"/>
                <w:b/>
                <w:color w:val="232323"/>
                <w:sz w:val="24"/>
                <w:szCs w:val="24"/>
                <w:lang w:val="en-GB"/>
              </w:rPr>
              <w:t>Sequences 5’-3’</w:t>
            </w:r>
          </w:p>
        </w:tc>
        <w:tc>
          <w:tcPr>
            <w:tcW w:w="2303" w:type="dxa"/>
            <w:tcBorders>
              <w:top w:val="single" w:sz="4" w:space="0" w:color="auto"/>
              <w:bottom w:val="single" w:sz="4" w:space="0" w:color="auto"/>
            </w:tcBorders>
          </w:tcPr>
          <w:p w:rsidR="00766206" w:rsidRPr="00E83D3B" w:rsidRDefault="00766206" w:rsidP="00F23E6B">
            <w:pPr>
              <w:spacing w:after="0" w:line="360" w:lineRule="auto"/>
              <w:jc w:val="both"/>
              <w:rPr>
                <w:rFonts w:ascii="Book Antiqua" w:hAnsi="Book Antiqua" w:cs="Arial"/>
                <w:b/>
                <w:color w:val="232323"/>
                <w:sz w:val="24"/>
                <w:szCs w:val="24"/>
                <w:lang w:val="en-GB"/>
              </w:rPr>
            </w:pPr>
            <w:r w:rsidRPr="00E83D3B">
              <w:rPr>
                <w:rFonts w:ascii="Book Antiqua" w:hAnsi="Book Antiqua" w:cs="Arial"/>
                <w:b/>
                <w:color w:val="232323"/>
                <w:sz w:val="24"/>
                <w:szCs w:val="24"/>
                <w:lang w:val="en-GB"/>
              </w:rPr>
              <w:t>H77 location</w:t>
            </w:r>
          </w:p>
        </w:tc>
      </w:tr>
      <w:tr w:rsidR="00766206" w:rsidRPr="008C263A" w:rsidTr="00066295">
        <w:tc>
          <w:tcPr>
            <w:tcW w:w="1668" w:type="dxa"/>
            <w:vMerge w:val="restart"/>
            <w:tcBorders>
              <w:top w:val="single" w:sz="4" w:space="0" w:color="auto"/>
            </w:tcBorders>
          </w:tcPr>
          <w:p w:rsidR="00766206" w:rsidRPr="008C263A" w:rsidRDefault="00766206" w:rsidP="00F23E6B">
            <w:pPr>
              <w:spacing w:after="0" w:line="360" w:lineRule="auto"/>
              <w:jc w:val="both"/>
              <w:rPr>
                <w:rFonts w:ascii="Book Antiqua" w:hAnsi="Book Antiqua" w:cs="Arial"/>
                <w:color w:val="232323"/>
                <w:sz w:val="24"/>
                <w:szCs w:val="24"/>
                <w:lang w:val="en-GB"/>
              </w:rPr>
            </w:pPr>
          </w:p>
        </w:tc>
        <w:tc>
          <w:tcPr>
            <w:tcW w:w="1134" w:type="dxa"/>
            <w:tcBorders>
              <w:top w:val="single" w:sz="4" w:space="0" w:color="auto"/>
            </w:tcBorders>
          </w:tcPr>
          <w:p w:rsidR="00766206" w:rsidRPr="008C263A" w:rsidRDefault="00766206" w:rsidP="00F23E6B">
            <w:pPr>
              <w:spacing w:after="0" w:line="360" w:lineRule="auto"/>
              <w:jc w:val="both"/>
              <w:rPr>
                <w:rFonts w:ascii="Book Antiqua" w:hAnsi="Book Antiqua" w:cs="Arial"/>
                <w:color w:val="232323"/>
                <w:sz w:val="24"/>
                <w:szCs w:val="24"/>
                <w:lang w:val="en-GB"/>
              </w:rPr>
            </w:pPr>
            <w:r w:rsidRPr="008C263A">
              <w:rPr>
                <w:rFonts w:ascii="Book Antiqua" w:hAnsi="Book Antiqua" w:cs="Arial"/>
                <w:color w:val="232323"/>
                <w:sz w:val="24"/>
                <w:szCs w:val="24"/>
                <w:lang w:val="en-GB"/>
              </w:rPr>
              <w:t>G1F1</w:t>
            </w:r>
          </w:p>
        </w:tc>
        <w:tc>
          <w:tcPr>
            <w:tcW w:w="4249" w:type="dxa"/>
            <w:tcBorders>
              <w:top w:val="single" w:sz="4" w:space="0" w:color="auto"/>
            </w:tcBorders>
          </w:tcPr>
          <w:p w:rsidR="00766206" w:rsidRPr="008C263A" w:rsidRDefault="00766206" w:rsidP="00F23E6B">
            <w:pPr>
              <w:spacing w:after="0" w:line="360" w:lineRule="auto"/>
              <w:jc w:val="both"/>
              <w:rPr>
                <w:rFonts w:ascii="Book Antiqua" w:hAnsi="Book Antiqua" w:cs="Arial"/>
                <w:color w:val="232323"/>
                <w:sz w:val="24"/>
                <w:szCs w:val="24"/>
                <w:lang w:val="en-GB"/>
              </w:rPr>
            </w:pPr>
            <w:r w:rsidRPr="008C263A">
              <w:rPr>
                <w:rFonts w:ascii="Book Antiqua" w:hAnsi="Book Antiqua" w:cs="Arial"/>
                <w:bCs/>
                <w:sz w:val="24"/>
                <w:szCs w:val="24"/>
              </w:rPr>
              <w:t xml:space="preserve">CTB CTS GGR CCR GCC GAT </w:t>
            </w:r>
          </w:p>
        </w:tc>
        <w:tc>
          <w:tcPr>
            <w:tcW w:w="2303" w:type="dxa"/>
            <w:tcBorders>
              <w:top w:val="single" w:sz="4" w:space="0" w:color="auto"/>
            </w:tcBorders>
          </w:tcPr>
          <w:p w:rsidR="00766206" w:rsidRPr="008C263A" w:rsidRDefault="00766206" w:rsidP="00F23E6B">
            <w:pPr>
              <w:spacing w:after="0" w:line="360" w:lineRule="auto"/>
              <w:jc w:val="both"/>
              <w:rPr>
                <w:rFonts w:ascii="Book Antiqua" w:hAnsi="Book Antiqua" w:cs="Arial"/>
                <w:color w:val="232323"/>
                <w:sz w:val="24"/>
                <w:szCs w:val="24"/>
                <w:lang w:val="en-GB"/>
              </w:rPr>
            </w:pPr>
            <w:r w:rsidRPr="008C263A">
              <w:rPr>
                <w:rFonts w:ascii="Book Antiqua" w:hAnsi="Book Antiqua" w:cs="Arial"/>
                <w:color w:val="232323"/>
                <w:sz w:val="24"/>
                <w:szCs w:val="24"/>
                <w:lang w:val="en-GB"/>
              </w:rPr>
              <w:t>3372-3390</w:t>
            </w:r>
          </w:p>
        </w:tc>
      </w:tr>
      <w:tr w:rsidR="00766206" w:rsidRPr="008C263A" w:rsidTr="00066295">
        <w:tc>
          <w:tcPr>
            <w:tcW w:w="1668" w:type="dxa"/>
            <w:vMerge/>
          </w:tcPr>
          <w:p w:rsidR="00766206" w:rsidRPr="008C263A" w:rsidRDefault="00766206" w:rsidP="00F23E6B">
            <w:pPr>
              <w:spacing w:after="0" w:line="360" w:lineRule="auto"/>
              <w:jc w:val="both"/>
              <w:rPr>
                <w:rFonts w:ascii="Book Antiqua" w:hAnsi="Book Antiqua" w:cs="Arial"/>
                <w:color w:val="232323"/>
                <w:sz w:val="24"/>
                <w:szCs w:val="24"/>
                <w:lang w:val="en-GB"/>
              </w:rPr>
            </w:pPr>
          </w:p>
        </w:tc>
        <w:tc>
          <w:tcPr>
            <w:tcW w:w="1134" w:type="dxa"/>
          </w:tcPr>
          <w:p w:rsidR="00766206" w:rsidRPr="008C263A" w:rsidRDefault="00766206" w:rsidP="00F23E6B">
            <w:pPr>
              <w:spacing w:after="0" w:line="360" w:lineRule="auto"/>
              <w:jc w:val="both"/>
              <w:rPr>
                <w:rFonts w:ascii="Book Antiqua" w:hAnsi="Book Antiqua" w:cs="Arial"/>
                <w:color w:val="232323"/>
                <w:sz w:val="24"/>
                <w:szCs w:val="24"/>
                <w:lang w:val="en-GB"/>
              </w:rPr>
            </w:pPr>
            <w:r w:rsidRPr="008C263A">
              <w:rPr>
                <w:rFonts w:ascii="Book Antiqua" w:hAnsi="Book Antiqua" w:cs="Arial"/>
                <w:color w:val="232323"/>
                <w:sz w:val="24"/>
                <w:szCs w:val="24"/>
                <w:lang w:val="en-GB"/>
              </w:rPr>
              <w:t>G1R1</w:t>
            </w:r>
          </w:p>
        </w:tc>
        <w:tc>
          <w:tcPr>
            <w:tcW w:w="4249" w:type="dxa"/>
          </w:tcPr>
          <w:p w:rsidR="00766206" w:rsidRPr="008C263A" w:rsidRDefault="00766206" w:rsidP="00F23E6B">
            <w:pPr>
              <w:spacing w:after="0" w:line="360" w:lineRule="auto"/>
              <w:jc w:val="both"/>
              <w:rPr>
                <w:rFonts w:ascii="Book Antiqua" w:hAnsi="Book Antiqua" w:cs="Arial"/>
                <w:color w:val="232323"/>
                <w:sz w:val="24"/>
                <w:szCs w:val="24"/>
                <w:lang w:val="en-GB"/>
              </w:rPr>
            </w:pPr>
            <w:r w:rsidRPr="008C263A">
              <w:rPr>
                <w:rFonts w:ascii="Book Antiqua" w:hAnsi="Book Antiqua" w:cs="Arial"/>
                <w:bCs/>
                <w:sz w:val="24"/>
                <w:szCs w:val="24"/>
              </w:rPr>
              <w:t>CCA CYT GGW AKS TCT GSG G</w:t>
            </w:r>
          </w:p>
        </w:tc>
        <w:tc>
          <w:tcPr>
            <w:tcW w:w="2303" w:type="dxa"/>
          </w:tcPr>
          <w:p w:rsidR="00766206" w:rsidRPr="008C263A" w:rsidRDefault="00766206" w:rsidP="00F23E6B">
            <w:pPr>
              <w:spacing w:after="0" w:line="360" w:lineRule="auto"/>
              <w:jc w:val="both"/>
              <w:rPr>
                <w:rFonts w:ascii="Book Antiqua" w:hAnsi="Book Antiqua" w:cs="Arial"/>
                <w:color w:val="232323"/>
                <w:sz w:val="24"/>
                <w:szCs w:val="24"/>
                <w:lang w:val="en-GB"/>
              </w:rPr>
            </w:pPr>
            <w:r w:rsidRPr="008C263A">
              <w:rPr>
                <w:rFonts w:ascii="Book Antiqua" w:hAnsi="Book Antiqua" w:cs="Arial"/>
                <w:color w:val="232323"/>
                <w:sz w:val="24"/>
                <w:szCs w:val="24"/>
                <w:lang w:val="en-GB"/>
              </w:rPr>
              <w:t>3998- 4016</w:t>
            </w:r>
          </w:p>
        </w:tc>
      </w:tr>
      <w:tr w:rsidR="00766206" w:rsidRPr="008C263A" w:rsidTr="00066295">
        <w:tc>
          <w:tcPr>
            <w:tcW w:w="1668" w:type="dxa"/>
            <w:vMerge/>
          </w:tcPr>
          <w:p w:rsidR="00766206" w:rsidRPr="008C263A" w:rsidRDefault="00766206" w:rsidP="00F23E6B">
            <w:pPr>
              <w:spacing w:after="0" w:line="360" w:lineRule="auto"/>
              <w:jc w:val="both"/>
              <w:rPr>
                <w:rFonts w:ascii="Book Antiqua" w:hAnsi="Book Antiqua" w:cs="Arial"/>
                <w:color w:val="232323"/>
                <w:sz w:val="24"/>
                <w:szCs w:val="24"/>
                <w:lang w:val="en-GB"/>
              </w:rPr>
            </w:pPr>
          </w:p>
        </w:tc>
        <w:tc>
          <w:tcPr>
            <w:tcW w:w="1134" w:type="dxa"/>
          </w:tcPr>
          <w:p w:rsidR="00766206" w:rsidRPr="008C263A" w:rsidRDefault="00766206" w:rsidP="00F23E6B">
            <w:pPr>
              <w:spacing w:after="0" w:line="360" w:lineRule="auto"/>
              <w:jc w:val="both"/>
              <w:rPr>
                <w:rFonts w:ascii="Book Antiqua" w:hAnsi="Book Antiqua" w:cs="Arial"/>
                <w:color w:val="232323"/>
                <w:sz w:val="24"/>
                <w:szCs w:val="24"/>
                <w:lang w:val="en-GB"/>
              </w:rPr>
            </w:pPr>
            <w:r w:rsidRPr="008C263A">
              <w:rPr>
                <w:rFonts w:ascii="Book Antiqua" w:hAnsi="Book Antiqua" w:cs="Arial"/>
                <w:color w:val="232323"/>
                <w:sz w:val="24"/>
                <w:szCs w:val="24"/>
                <w:lang w:val="en-GB"/>
              </w:rPr>
              <w:t>MarsF3</w:t>
            </w:r>
          </w:p>
        </w:tc>
        <w:tc>
          <w:tcPr>
            <w:tcW w:w="4249" w:type="dxa"/>
          </w:tcPr>
          <w:p w:rsidR="00766206" w:rsidRPr="008C263A" w:rsidRDefault="00766206" w:rsidP="00F23E6B">
            <w:pPr>
              <w:spacing w:after="0" w:line="360" w:lineRule="auto"/>
              <w:jc w:val="both"/>
              <w:rPr>
                <w:rFonts w:ascii="Book Antiqua" w:hAnsi="Book Antiqua" w:cs="Arial"/>
                <w:color w:val="232323"/>
                <w:sz w:val="24"/>
                <w:szCs w:val="24"/>
                <w:lang w:val="en-GB"/>
              </w:rPr>
            </w:pPr>
            <w:r w:rsidRPr="008C263A">
              <w:rPr>
                <w:rFonts w:ascii="Book Antiqua" w:hAnsi="Book Antiqua" w:cs="Arial"/>
                <w:bCs/>
                <w:sz w:val="24"/>
                <w:szCs w:val="24"/>
              </w:rPr>
              <w:t>ACS GCR GCR TGY GGG GAC AT</w:t>
            </w:r>
          </w:p>
        </w:tc>
        <w:tc>
          <w:tcPr>
            <w:tcW w:w="2303" w:type="dxa"/>
          </w:tcPr>
          <w:p w:rsidR="00766206" w:rsidRPr="008C263A" w:rsidRDefault="00766206" w:rsidP="00F23E6B">
            <w:pPr>
              <w:spacing w:after="0" w:line="360" w:lineRule="auto"/>
              <w:jc w:val="both"/>
              <w:rPr>
                <w:rFonts w:ascii="Book Antiqua" w:hAnsi="Book Antiqua" w:cs="Arial"/>
                <w:color w:val="232323"/>
                <w:sz w:val="24"/>
                <w:szCs w:val="24"/>
                <w:lang w:val="en-GB"/>
              </w:rPr>
            </w:pPr>
            <w:r w:rsidRPr="008C263A">
              <w:rPr>
                <w:rFonts w:ascii="Book Antiqua" w:hAnsi="Book Antiqua" w:cs="Arial"/>
                <w:color w:val="232323"/>
                <w:sz w:val="24"/>
                <w:szCs w:val="24"/>
                <w:lang w:val="en-GB"/>
              </w:rPr>
              <w:t>3309-3328</w:t>
            </w:r>
          </w:p>
        </w:tc>
      </w:tr>
      <w:tr w:rsidR="00766206" w:rsidRPr="008C263A" w:rsidTr="00066295">
        <w:tc>
          <w:tcPr>
            <w:tcW w:w="1668" w:type="dxa"/>
            <w:vMerge/>
            <w:tcBorders>
              <w:bottom w:val="single" w:sz="4" w:space="0" w:color="auto"/>
            </w:tcBorders>
          </w:tcPr>
          <w:p w:rsidR="00766206" w:rsidRPr="008C263A" w:rsidRDefault="00766206" w:rsidP="00F23E6B">
            <w:pPr>
              <w:spacing w:after="0" w:line="360" w:lineRule="auto"/>
              <w:jc w:val="both"/>
              <w:rPr>
                <w:rFonts w:ascii="Book Antiqua" w:hAnsi="Book Antiqua" w:cs="Arial"/>
                <w:color w:val="232323"/>
                <w:sz w:val="24"/>
                <w:szCs w:val="24"/>
                <w:lang w:val="en-GB"/>
              </w:rPr>
            </w:pPr>
          </w:p>
        </w:tc>
        <w:tc>
          <w:tcPr>
            <w:tcW w:w="1134" w:type="dxa"/>
            <w:tcBorders>
              <w:bottom w:val="single" w:sz="4" w:space="0" w:color="auto"/>
            </w:tcBorders>
          </w:tcPr>
          <w:p w:rsidR="00766206" w:rsidRPr="008C263A" w:rsidRDefault="00766206" w:rsidP="00F23E6B">
            <w:pPr>
              <w:spacing w:after="0" w:line="360" w:lineRule="auto"/>
              <w:jc w:val="both"/>
              <w:rPr>
                <w:rFonts w:ascii="Book Antiqua" w:hAnsi="Book Antiqua" w:cs="Arial"/>
                <w:color w:val="232323"/>
                <w:sz w:val="24"/>
                <w:szCs w:val="24"/>
                <w:lang w:val="en-GB"/>
              </w:rPr>
            </w:pPr>
            <w:r w:rsidRPr="008C263A">
              <w:rPr>
                <w:rFonts w:ascii="Book Antiqua" w:hAnsi="Book Antiqua" w:cs="Arial"/>
                <w:color w:val="232323"/>
                <w:sz w:val="24"/>
                <w:szCs w:val="24"/>
                <w:lang w:val="en-GB"/>
              </w:rPr>
              <w:t>MarsR2</w:t>
            </w:r>
          </w:p>
        </w:tc>
        <w:tc>
          <w:tcPr>
            <w:tcW w:w="4249" w:type="dxa"/>
            <w:tcBorders>
              <w:bottom w:val="single" w:sz="4" w:space="0" w:color="auto"/>
            </w:tcBorders>
          </w:tcPr>
          <w:p w:rsidR="00766206" w:rsidRPr="008C263A" w:rsidRDefault="00766206" w:rsidP="00F23E6B">
            <w:pPr>
              <w:spacing w:after="0" w:line="360" w:lineRule="auto"/>
              <w:jc w:val="both"/>
              <w:rPr>
                <w:rFonts w:ascii="Book Antiqua" w:hAnsi="Book Antiqua" w:cs="Arial"/>
                <w:color w:val="232323"/>
                <w:sz w:val="24"/>
                <w:szCs w:val="24"/>
                <w:lang w:val="en-GB"/>
              </w:rPr>
            </w:pPr>
            <w:r w:rsidRPr="008C263A">
              <w:rPr>
                <w:rFonts w:ascii="Book Antiqua" w:hAnsi="Book Antiqua" w:cs="Arial"/>
                <w:bCs/>
                <w:sz w:val="24"/>
                <w:szCs w:val="24"/>
              </w:rPr>
              <w:t>GTG CTC TTR CCG CTR CCR GT</w:t>
            </w:r>
          </w:p>
        </w:tc>
        <w:tc>
          <w:tcPr>
            <w:tcW w:w="2303" w:type="dxa"/>
            <w:tcBorders>
              <w:bottom w:val="single" w:sz="4" w:space="0" w:color="auto"/>
            </w:tcBorders>
          </w:tcPr>
          <w:p w:rsidR="00766206" w:rsidRPr="008C263A" w:rsidRDefault="00766206" w:rsidP="00F23E6B">
            <w:pPr>
              <w:spacing w:after="0" w:line="360" w:lineRule="auto"/>
              <w:jc w:val="both"/>
              <w:rPr>
                <w:rFonts w:ascii="Book Antiqua" w:hAnsi="Book Antiqua" w:cs="Arial"/>
                <w:color w:val="232323"/>
                <w:sz w:val="24"/>
                <w:szCs w:val="24"/>
                <w:lang w:val="en-GB"/>
              </w:rPr>
            </w:pPr>
            <w:r w:rsidRPr="008C263A">
              <w:rPr>
                <w:rFonts w:ascii="Book Antiqua" w:hAnsi="Book Antiqua" w:cs="Arial"/>
                <w:color w:val="232323"/>
                <w:sz w:val="24"/>
                <w:szCs w:val="24"/>
                <w:lang w:val="en-GB"/>
              </w:rPr>
              <w:t>4035-4054</w:t>
            </w:r>
          </w:p>
        </w:tc>
      </w:tr>
    </w:tbl>
    <w:p w:rsidR="00766206" w:rsidRPr="008C263A" w:rsidRDefault="00766206" w:rsidP="00F23E6B">
      <w:pPr>
        <w:spacing w:after="0" w:line="360" w:lineRule="auto"/>
        <w:jc w:val="both"/>
        <w:rPr>
          <w:rFonts w:ascii="Book Antiqua" w:hAnsi="Book Antiqua" w:cs="Arial"/>
          <w:color w:val="232323"/>
          <w:sz w:val="24"/>
          <w:szCs w:val="24"/>
          <w:lang w:val="en-GB" w:eastAsia="zh-CN"/>
        </w:rPr>
      </w:pPr>
      <w:r w:rsidRPr="008C263A">
        <w:rPr>
          <w:rFonts w:ascii="Book Antiqua" w:hAnsi="Book Antiqua" w:cs="Arial"/>
          <w:color w:val="232323"/>
          <w:sz w:val="24"/>
          <w:szCs w:val="24"/>
          <w:lang w:val="en-GB"/>
        </w:rPr>
        <w:t>Genotyping:</w:t>
      </w:r>
      <w:r w:rsidRPr="008C263A">
        <w:rPr>
          <w:rFonts w:ascii="Book Antiqua" w:hAnsi="Book Antiqua" w:cs="Arial"/>
          <w:color w:val="232323"/>
          <w:sz w:val="24"/>
          <w:szCs w:val="24"/>
          <w:lang w:val="en-GB" w:eastAsia="zh-CN"/>
        </w:rPr>
        <w:t xml:space="preserve"> </w:t>
      </w:r>
      <w:r w:rsidRPr="008C263A">
        <w:rPr>
          <w:rFonts w:ascii="Book Antiqua" w:hAnsi="Book Antiqua" w:cs="Arial"/>
          <w:color w:val="232323"/>
          <w:sz w:val="24"/>
          <w:szCs w:val="24"/>
          <w:lang w:val="en-GB"/>
        </w:rPr>
        <w:t>S = G or C; R = A or G; Y = C or T; W = A or T; K = G or T</w:t>
      </w:r>
      <w:r w:rsidRPr="008C263A">
        <w:rPr>
          <w:rFonts w:ascii="Book Antiqua" w:hAnsi="Book Antiqua" w:cs="Arial"/>
          <w:color w:val="232323"/>
          <w:sz w:val="24"/>
          <w:szCs w:val="24"/>
          <w:lang w:val="en-GB" w:eastAsia="zh-CN"/>
        </w:rPr>
        <w:t xml:space="preserve">. HCV: </w:t>
      </w:r>
      <w:r w:rsidRPr="008C263A">
        <w:rPr>
          <w:rFonts w:ascii="Book Antiqua" w:hAnsi="Book Antiqua" w:cs="Arial"/>
          <w:sz w:val="24"/>
          <w:szCs w:val="24"/>
        </w:rPr>
        <w:t>Hepatitis C virus</w:t>
      </w:r>
      <w:r w:rsidRPr="008C263A">
        <w:rPr>
          <w:rFonts w:ascii="Book Antiqua" w:hAnsi="Book Antiqua" w:cs="Arial"/>
          <w:sz w:val="24"/>
          <w:szCs w:val="24"/>
          <w:lang w:eastAsia="zh-CN"/>
        </w:rPr>
        <w:t>.</w:t>
      </w:r>
    </w:p>
    <w:p w:rsidR="00766206" w:rsidRPr="008C263A" w:rsidRDefault="00766206" w:rsidP="00F23E6B">
      <w:pPr>
        <w:spacing w:after="0" w:line="360" w:lineRule="auto"/>
        <w:jc w:val="both"/>
        <w:rPr>
          <w:rFonts w:ascii="Book Antiqua" w:hAnsi="Book Antiqua" w:cs="Arial"/>
          <w:sz w:val="24"/>
          <w:szCs w:val="24"/>
        </w:rPr>
      </w:pPr>
    </w:p>
    <w:p w:rsidR="00766206" w:rsidRPr="008C263A" w:rsidRDefault="00766206" w:rsidP="00F23E6B">
      <w:pPr>
        <w:spacing w:after="0" w:line="360" w:lineRule="auto"/>
        <w:jc w:val="both"/>
        <w:rPr>
          <w:rFonts w:ascii="Book Antiqua" w:hAnsi="Book Antiqua" w:cs="Arial"/>
          <w:sz w:val="24"/>
          <w:szCs w:val="24"/>
        </w:rPr>
      </w:pPr>
    </w:p>
    <w:p w:rsidR="00766206" w:rsidRPr="008C263A" w:rsidRDefault="00766206" w:rsidP="00F23E6B">
      <w:pPr>
        <w:pStyle w:val="Default"/>
        <w:spacing w:line="360" w:lineRule="auto"/>
        <w:jc w:val="both"/>
        <w:rPr>
          <w:rFonts w:ascii="Book Antiqua" w:hAnsi="Book Antiqua"/>
          <w:color w:val="auto"/>
          <w:lang w:val="en-US"/>
        </w:rPr>
      </w:pPr>
    </w:p>
    <w:p w:rsidR="00766206" w:rsidRPr="008C263A" w:rsidRDefault="00766206" w:rsidP="00F23E6B">
      <w:pPr>
        <w:pStyle w:val="Default"/>
        <w:spacing w:line="360" w:lineRule="auto"/>
        <w:jc w:val="both"/>
        <w:rPr>
          <w:rFonts w:ascii="Book Antiqua" w:hAnsi="Book Antiqua"/>
          <w:b/>
          <w:color w:val="auto"/>
          <w:lang w:val="en-US"/>
        </w:rPr>
      </w:pPr>
      <w:r w:rsidRPr="008C263A">
        <w:rPr>
          <w:rFonts w:ascii="Book Antiqua" w:hAnsi="Book Antiqua"/>
          <w:color w:val="auto"/>
          <w:lang w:val="en-US"/>
        </w:rPr>
        <w:br w:type="page"/>
      </w:r>
      <w:r w:rsidRPr="008C263A">
        <w:rPr>
          <w:rFonts w:ascii="Book Antiqua" w:hAnsi="Book Antiqua"/>
          <w:b/>
          <w:color w:val="auto"/>
          <w:lang w:val="en-US"/>
        </w:rPr>
        <w:lastRenderedPageBreak/>
        <w:t>Table 2 Patient characteristics at initiation of triple anti-hepatitis C virus therapy (</w:t>
      </w:r>
      <w:r w:rsidRPr="008C263A">
        <w:rPr>
          <w:rFonts w:ascii="Book Antiqua" w:hAnsi="Book Antiqua"/>
          <w:b/>
          <w:i/>
          <w:color w:val="auto"/>
          <w:lang w:val="en-US"/>
        </w:rPr>
        <w:t>n</w:t>
      </w:r>
      <w:r w:rsidRPr="008C263A">
        <w:rPr>
          <w:rFonts w:ascii="Book Antiqua" w:hAnsi="Book Antiqua"/>
          <w:b/>
          <w:color w:val="auto"/>
          <w:lang w:val="en-US" w:eastAsia="zh-CN"/>
        </w:rPr>
        <w:t xml:space="preserve"> </w:t>
      </w:r>
      <w:r w:rsidRPr="008C263A">
        <w:rPr>
          <w:rFonts w:ascii="Book Antiqua" w:hAnsi="Book Antiqua"/>
          <w:b/>
          <w:color w:val="auto"/>
          <w:lang w:val="en-US"/>
        </w:rPr>
        <w:t>=</w:t>
      </w:r>
      <w:r w:rsidRPr="008C263A">
        <w:rPr>
          <w:rFonts w:ascii="Book Antiqua" w:hAnsi="Book Antiqua"/>
          <w:b/>
          <w:color w:val="auto"/>
          <w:lang w:val="en-US" w:eastAsia="zh-CN"/>
        </w:rPr>
        <w:t xml:space="preserve"> </w:t>
      </w:r>
      <w:r w:rsidRPr="008C263A">
        <w:rPr>
          <w:rFonts w:ascii="Book Antiqua" w:hAnsi="Book Antiqua"/>
          <w:b/>
          <w:color w:val="auto"/>
          <w:lang w:val="en-US"/>
        </w:rPr>
        <w:t>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2551"/>
      </w:tblGrid>
      <w:tr w:rsidR="00766206" w:rsidRPr="008C263A" w:rsidTr="00066295">
        <w:tc>
          <w:tcPr>
            <w:tcW w:w="6062" w:type="dxa"/>
          </w:tcPr>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Age: median (IQR)</w:t>
            </w:r>
          </w:p>
        </w:tc>
        <w:tc>
          <w:tcPr>
            <w:tcW w:w="2551" w:type="dxa"/>
          </w:tcPr>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51 (48-55)</w:t>
            </w:r>
          </w:p>
        </w:tc>
      </w:tr>
      <w:tr w:rsidR="00766206" w:rsidRPr="008C263A" w:rsidTr="00066295">
        <w:tc>
          <w:tcPr>
            <w:tcW w:w="6062" w:type="dxa"/>
          </w:tcPr>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Male gender</w:t>
            </w:r>
          </w:p>
        </w:tc>
        <w:tc>
          <w:tcPr>
            <w:tcW w:w="2551" w:type="dxa"/>
          </w:tcPr>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35 (85.4%)</w:t>
            </w:r>
          </w:p>
        </w:tc>
      </w:tr>
      <w:tr w:rsidR="00766206" w:rsidRPr="008C263A" w:rsidTr="00066295">
        <w:tc>
          <w:tcPr>
            <w:tcW w:w="6062" w:type="dxa"/>
          </w:tcPr>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Genotype</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1a</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1b</w:t>
            </w:r>
          </w:p>
        </w:tc>
        <w:tc>
          <w:tcPr>
            <w:tcW w:w="2551" w:type="dxa"/>
          </w:tcPr>
          <w:p w:rsidR="00766206" w:rsidRPr="008C263A" w:rsidRDefault="00766206" w:rsidP="00F23E6B">
            <w:pPr>
              <w:pStyle w:val="Default"/>
              <w:spacing w:line="360" w:lineRule="auto"/>
              <w:jc w:val="both"/>
              <w:rPr>
                <w:rFonts w:ascii="Book Antiqua" w:hAnsi="Book Antiqua"/>
                <w:color w:val="auto"/>
                <w:lang w:val="en-US"/>
              </w:rPr>
            </w:pP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32 (78.0%)</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 xml:space="preserve"> 9 (22.0%)</w:t>
            </w:r>
          </w:p>
        </w:tc>
      </w:tr>
      <w:tr w:rsidR="00766206" w:rsidRPr="008C263A" w:rsidTr="00066295">
        <w:tc>
          <w:tcPr>
            <w:tcW w:w="6062" w:type="dxa"/>
          </w:tcPr>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HCV treatment-naïve</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Prior HCV-treatment response:</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Non-responders</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Breakthrough</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Relapse</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Premature treatment discontinuation</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Missing data</w:t>
            </w:r>
          </w:p>
        </w:tc>
        <w:tc>
          <w:tcPr>
            <w:tcW w:w="2551" w:type="dxa"/>
          </w:tcPr>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13 (31.7%)</w:t>
            </w:r>
          </w:p>
          <w:p w:rsidR="00766206" w:rsidRPr="008C263A" w:rsidRDefault="00766206" w:rsidP="00F23E6B">
            <w:pPr>
              <w:pStyle w:val="Default"/>
              <w:spacing w:line="360" w:lineRule="auto"/>
              <w:jc w:val="both"/>
              <w:rPr>
                <w:rFonts w:ascii="Book Antiqua" w:hAnsi="Book Antiqua"/>
                <w:color w:val="auto"/>
                <w:lang w:val="en-US"/>
              </w:rPr>
            </w:pP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14 (34.1%)</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 xml:space="preserve"> 1 (2.5%)</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 xml:space="preserve"> 5 (12.2%)</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 xml:space="preserve"> 3 (4.9%)</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 xml:space="preserve"> 5 (14.6%)</w:t>
            </w:r>
          </w:p>
        </w:tc>
      </w:tr>
      <w:tr w:rsidR="00766206" w:rsidRPr="008C263A" w:rsidTr="00066295">
        <w:tc>
          <w:tcPr>
            <w:tcW w:w="6062" w:type="dxa"/>
          </w:tcPr>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Log HCV-RNA</w:t>
            </w:r>
          </w:p>
        </w:tc>
        <w:tc>
          <w:tcPr>
            <w:tcW w:w="2551" w:type="dxa"/>
          </w:tcPr>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5.8 (5.3 – 6.1)</w:t>
            </w:r>
          </w:p>
        </w:tc>
      </w:tr>
      <w:tr w:rsidR="00766206" w:rsidRPr="008C263A" w:rsidTr="00066295">
        <w:tc>
          <w:tcPr>
            <w:tcW w:w="6062" w:type="dxa"/>
          </w:tcPr>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Fibrosis stage</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F0-F1</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F2</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F3</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F4</w:t>
            </w:r>
          </w:p>
          <w:p w:rsidR="00766206" w:rsidRPr="008C263A" w:rsidRDefault="00766206" w:rsidP="00F23E6B">
            <w:pPr>
              <w:pStyle w:val="Default"/>
              <w:spacing w:line="360" w:lineRule="auto"/>
              <w:jc w:val="both"/>
              <w:rPr>
                <w:rFonts w:ascii="Book Antiqua" w:hAnsi="Book Antiqua"/>
                <w:color w:val="auto"/>
                <w:lang w:val="en-US"/>
              </w:rPr>
            </w:pPr>
          </w:p>
        </w:tc>
        <w:tc>
          <w:tcPr>
            <w:tcW w:w="2551" w:type="dxa"/>
          </w:tcPr>
          <w:p w:rsidR="00766206" w:rsidRPr="008C263A" w:rsidRDefault="00766206" w:rsidP="00F23E6B">
            <w:pPr>
              <w:pStyle w:val="Default"/>
              <w:spacing w:line="360" w:lineRule="auto"/>
              <w:jc w:val="both"/>
              <w:rPr>
                <w:rFonts w:ascii="Book Antiqua" w:hAnsi="Book Antiqua"/>
                <w:color w:val="auto"/>
                <w:lang w:val="en-US"/>
              </w:rPr>
            </w:pP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12 (29.3%)</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 xml:space="preserve"> 7 (17.0%)</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 xml:space="preserve"> 5 (12.2%)</w:t>
            </w:r>
          </w:p>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17 (41.5%)</w:t>
            </w:r>
          </w:p>
        </w:tc>
      </w:tr>
      <w:tr w:rsidR="00766206" w:rsidRPr="008C263A" w:rsidTr="00066295">
        <w:tc>
          <w:tcPr>
            <w:tcW w:w="6062" w:type="dxa"/>
          </w:tcPr>
          <w:p w:rsidR="00766206" w:rsidRPr="008C263A" w:rsidRDefault="00766206" w:rsidP="00F23E6B">
            <w:pPr>
              <w:pStyle w:val="Default"/>
              <w:spacing w:line="360" w:lineRule="auto"/>
              <w:jc w:val="both"/>
              <w:rPr>
                <w:rFonts w:ascii="Book Antiqua" w:hAnsi="Book Antiqua"/>
                <w:color w:val="auto"/>
              </w:rPr>
            </w:pPr>
            <w:r w:rsidRPr="008C263A">
              <w:rPr>
                <w:rFonts w:ascii="Book Antiqua" w:hAnsi="Book Antiqua"/>
                <w:color w:val="auto"/>
              </w:rPr>
              <w:t>CD4 T-cells/mm</w:t>
            </w:r>
            <w:r w:rsidRPr="008C263A">
              <w:rPr>
                <w:rFonts w:ascii="Book Antiqua" w:hAnsi="Book Antiqua"/>
                <w:color w:val="auto"/>
                <w:vertAlign w:val="superscript"/>
              </w:rPr>
              <w:t>3</w:t>
            </w:r>
            <w:r w:rsidRPr="008C263A">
              <w:rPr>
                <w:rFonts w:ascii="Book Antiqua" w:hAnsi="Book Antiqua"/>
                <w:color w:val="auto"/>
              </w:rPr>
              <w:t xml:space="preserve"> : median (IQR)</w:t>
            </w:r>
          </w:p>
        </w:tc>
        <w:tc>
          <w:tcPr>
            <w:tcW w:w="2551" w:type="dxa"/>
          </w:tcPr>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540 (441-782)</w:t>
            </w:r>
          </w:p>
        </w:tc>
      </w:tr>
      <w:tr w:rsidR="00766206" w:rsidRPr="008C263A" w:rsidTr="00066295">
        <w:tc>
          <w:tcPr>
            <w:tcW w:w="6062" w:type="dxa"/>
          </w:tcPr>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HIV-RNA&lt;40 copies/mL</w:t>
            </w:r>
          </w:p>
        </w:tc>
        <w:tc>
          <w:tcPr>
            <w:tcW w:w="2551" w:type="dxa"/>
          </w:tcPr>
          <w:p w:rsidR="00766206" w:rsidRPr="008C263A" w:rsidRDefault="00766206" w:rsidP="00F23E6B">
            <w:pPr>
              <w:pStyle w:val="Default"/>
              <w:spacing w:line="360" w:lineRule="auto"/>
              <w:jc w:val="both"/>
              <w:rPr>
                <w:rFonts w:ascii="Book Antiqua" w:hAnsi="Book Antiqua"/>
                <w:color w:val="auto"/>
                <w:lang w:val="en-US"/>
              </w:rPr>
            </w:pPr>
            <w:r w:rsidRPr="008C263A">
              <w:rPr>
                <w:rFonts w:ascii="Book Antiqua" w:hAnsi="Book Antiqua"/>
                <w:color w:val="auto"/>
                <w:lang w:val="en-US"/>
              </w:rPr>
              <w:t xml:space="preserve"> 41 (100.0%)</w:t>
            </w:r>
          </w:p>
        </w:tc>
      </w:tr>
    </w:tbl>
    <w:p w:rsidR="00766206" w:rsidRPr="008C263A" w:rsidRDefault="00766206" w:rsidP="00F23E6B">
      <w:pPr>
        <w:spacing w:after="0" w:line="360" w:lineRule="auto"/>
        <w:jc w:val="both"/>
        <w:rPr>
          <w:rFonts w:ascii="Book Antiqua" w:hAnsi="Book Antiqua" w:cs="Arial"/>
          <w:sz w:val="24"/>
          <w:szCs w:val="24"/>
          <w:lang w:eastAsia="zh-CN"/>
        </w:rPr>
      </w:pPr>
      <w:r w:rsidRPr="008C263A">
        <w:rPr>
          <w:rFonts w:ascii="Book Antiqua" w:hAnsi="Book Antiqua" w:cs="Arial"/>
          <w:sz w:val="24"/>
          <w:szCs w:val="24"/>
          <w:lang w:eastAsia="zh-CN"/>
        </w:rPr>
        <w:t xml:space="preserve">HCV: </w:t>
      </w:r>
      <w:r w:rsidRPr="008C263A">
        <w:rPr>
          <w:rFonts w:ascii="Book Antiqua" w:hAnsi="Book Antiqua" w:cs="Arial"/>
          <w:sz w:val="24"/>
          <w:szCs w:val="24"/>
        </w:rPr>
        <w:t>Hepatitis C virus</w:t>
      </w:r>
      <w:r w:rsidRPr="008C263A">
        <w:rPr>
          <w:rFonts w:ascii="Book Antiqua" w:hAnsi="Book Antiqua" w:cs="Arial"/>
          <w:sz w:val="24"/>
          <w:szCs w:val="24"/>
          <w:lang w:eastAsia="zh-CN"/>
        </w:rPr>
        <w:t xml:space="preserve">; HIV: </w:t>
      </w:r>
      <w:r w:rsidRPr="008C263A">
        <w:rPr>
          <w:rFonts w:ascii="Book Antiqua" w:hAnsi="Book Antiqua" w:cs="Arial"/>
          <w:sz w:val="24"/>
          <w:szCs w:val="24"/>
        </w:rPr>
        <w:t>Human immunodeficiency virus</w:t>
      </w:r>
      <w:r w:rsidRPr="008C263A">
        <w:rPr>
          <w:rFonts w:ascii="Book Antiqua" w:hAnsi="Book Antiqua" w:cs="Arial"/>
          <w:sz w:val="24"/>
          <w:szCs w:val="24"/>
          <w:lang w:eastAsia="zh-CN"/>
        </w:rPr>
        <w:t>; IQR: Interquartile range.</w:t>
      </w:r>
    </w:p>
    <w:p w:rsidR="00766206" w:rsidRPr="008C263A" w:rsidRDefault="00766206" w:rsidP="00F23E6B">
      <w:pPr>
        <w:spacing w:after="0" w:line="360" w:lineRule="auto"/>
        <w:jc w:val="both"/>
        <w:rPr>
          <w:rFonts w:ascii="Book Antiqua" w:hAnsi="Book Antiqua" w:cs="Arial"/>
          <w:sz w:val="24"/>
          <w:szCs w:val="24"/>
        </w:rPr>
      </w:pPr>
    </w:p>
    <w:p w:rsidR="00766206" w:rsidRPr="008C263A" w:rsidRDefault="00766206" w:rsidP="00F23E6B">
      <w:pPr>
        <w:spacing w:after="0" w:line="360" w:lineRule="auto"/>
        <w:jc w:val="both"/>
        <w:rPr>
          <w:rFonts w:ascii="Book Antiqua" w:hAnsi="Book Antiqua" w:cs="Arial"/>
          <w:sz w:val="24"/>
          <w:szCs w:val="24"/>
        </w:rPr>
      </w:pPr>
    </w:p>
    <w:p w:rsidR="00766206" w:rsidRPr="008C263A" w:rsidRDefault="00766206" w:rsidP="00F23E6B">
      <w:pPr>
        <w:spacing w:after="0" w:line="360" w:lineRule="auto"/>
        <w:jc w:val="both"/>
        <w:rPr>
          <w:rFonts w:ascii="Book Antiqua" w:hAnsi="Book Antiqua" w:cs="Arial"/>
          <w:sz w:val="24"/>
          <w:szCs w:val="24"/>
        </w:rPr>
      </w:pP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b/>
          <w:sz w:val="24"/>
          <w:szCs w:val="24"/>
        </w:rPr>
      </w:pPr>
      <w:r w:rsidRPr="008C263A">
        <w:rPr>
          <w:rFonts w:ascii="Book Antiqua" w:hAnsi="Book Antiqua" w:cs="Arial"/>
          <w:b/>
          <w:sz w:val="24"/>
          <w:szCs w:val="24"/>
        </w:rPr>
        <w:t>Table 3 Main adverse events in 40 patients with available follow-up</w:t>
      </w:r>
    </w:p>
    <w:tbl>
      <w:tblPr>
        <w:tblW w:w="8617" w:type="dxa"/>
        <w:tblInd w:w="65" w:type="dxa"/>
        <w:tblCellMar>
          <w:left w:w="70" w:type="dxa"/>
          <w:right w:w="70" w:type="dxa"/>
        </w:tblCellMar>
        <w:tblLook w:val="00A0" w:firstRow="1" w:lastRow="0" w:firstColumn="1" w:lastColumn="0" w:noHBand="0" w:noVBand="0"/>
      </w:tblPr>
      <w:tblGrid>
        <w:gridCol w:w="6463"/>
        <w:gridCol w:w="2154"/>
      </w:tblGrid>
      <w:tr w:rsidR="00766206" w:rsidRPr="008C263A" w:rsidTr="00DF174A">
        <w:trPr>
          <w:trHeight w:val="318"/>
        </w:trPr>
        <w:tc>
          <w:tcPr>
            <w:tcW w:w="6463" w:type="dxa"/>
            <w:tcBorders>
              <w:top w:val="single" w:sz="4" w:space="0" w:color="auto"/>
              <w:left w:val="single" w:sz="4" w:space="0" w:color="auto"/>
              <w:bottom w:val="nil"/>
              <w:right w:val="nil"/>
            </w:tcBorders>
            <w:noWrap/>
            <w:vAlign w:val="bottom"/>
          </w:tcPr>
          <w:p w:rsidR="00766206" w:rsidRPr="008C263A" w:rsidRDefault="00766206" w:rsidP="00F23E6B">
            <w:pPr>
              <w:spacing w:after="0" w:line="360" w:lineRule="auto"/>
              <w:jc w:val="both"/>
              <w:rPr>
                <w:rFonts w:ascii="Book Antiqua" w:hAnsi="Book Antiqua"/>
                <w:color w:val="000000"/>
                <w:sz w:val="24"/>
                <w:szCs w:val="24"/>
                <w:lang w:val="fr-FR" w:eastAsia="fr-FR"/>
              </w:rPr>
            </w:pPr>
            <w:r w:rsidRPr="008C263A">
              <w:rPr>
                <w:rFonts w:ascii="Book Antiqua" w:hAnsi="Book Antiqua"/>
                <w:color w:val="000000"/>
                <w:sz w:val="24"/>
                <w:szCs w:val="24"/>
                <w:lang w:val="fr-FR" w:eastAsia="fr-FR"/>
              </w:rPr>
              <w:lastRenderedPageBreak/>
              <w:t>Rash</w:t>
            </w:r>
          </w:p>
        </w:tc>
        <w:tc>
          <w:tcPr>
            <w:tcW w:w="2154" w:type="dxa"/>
            <w:tcBorders>
              <w:top w:val="single" w:sz="4" w:space="0" w:color="auto"/>
              <w:left w:val="single" w:sz="4" w:space="0" w:color="auto"/>
              <w:bottom w:val="nil"/>
              <w:right w:val="single" w:sz="4" w:space="0" w:color="auto"/>
            </w:tcBorders>
            <w:noWrap/>
            <w:vAlign w:val="bottom"/>
          </w:tcPr>
          <w:p w:rsidR="00766206" w:rsidRPr="008C263A" w:rsidRDefault="00766206" w:rsidP="00F23E6B">
            <w:pPr>
              <w:spacing w:after="0" w:line="360" w:lineRule="auto"/>
              <w:jc w:val="both"/>
              <w:rPr>
                <w:rFonts w:ascii="Book Antiqua" w:hAnsi="Book Antiqua"/>
                <w:color w:val="000000"/>
                <w:sz w:val="24"/>
                <w:szCs w:val="24"/>
                <w:lang w:val="fr-FR" w:eastAsia="fr-FR"/>
              </w:rPr>
            </w:pPr>
            <w:r w:rsidRPr="008C263A">
              <w:rPr>
                <w:rFonts w:ascii="Book Antiqua" w:hAnsi="Book Antiqua"/>
                <w:color w:val="000000"/>
                <w:sz w:val="24"/>
                <w:szCs w:val="24"/>
                <w:lang w:val="fr-FR" w:eastAsia="fr-FR"/>
              </w:rPr>
              <w:t>10 (25%)</w:t>
            </w:r>
          </w:p>
        </w:tc>
      </w:tr>
      <w:tr w:rsidR="00766206" w:rsidRPr="008C263A" w:rsidTr="00DF174A">
        <w:trPr>
          <w:trHeight w:val="318"/>
        </w:trPr>
        <w:tc>
          <w:tcPr>
            <w:tcW w:w="6463" w:type="dxa"/>
            <w:tcBorders>
              <w:top w:val="nil"/>
              <w:left w:val="single" w:sz="4" w:space="0" w:color="auto"/>
              <w:bottom w:val="nil"/>
              <w:right w:val="nil"/>
            </w:tcBorders>
            <w:noWrap/>
            <w:vAlign w:val="bottom"/>
          </w:tcPr>
          <w:p w:rsidR="00766206" w:rsidRPr="008C263A" w:rsidRDefault="00766206" w:rsidP="00F23E6B">
            <w:pPr>
              <w:spacing w:after="0" w:line="360" w:lineRule="auto"/>
              <w:jc w:val="both"/>
              <w:rPr>
                <w:rFonts w:ascii="Book Antiqua" w:hAnsi="Book Antiqua"/>
                <w:color w:val="000000"/>
                <w:sz w:val="24"/>
                <w:szCs w:val="24"/>
                <w:lang w:eastAsia="fr-FR"/>
              </w:rPr>
            </w:pPr>
            <w:r w:rsidRPr="008C263A">
              <w:rPr>
                <w:rFonts w:ascii="Book Antiqua" w:hAnsi="Book Antiqua"/>
                <w:color w:val="000000"/>
                <w:sz w:val="24"/>
                <w:szCs w:val="24"/>
                <w:lang w:eastAsia="fr-FR"/>
              </w:rPr>
              <w:t>Anemia Hb</w:t>
            </w:r>
            <w:r w:rsidRPr="008C263A">
              <w:rPr>
                <w:rFonts w:ascii="Book Antiqua" w:hAnsi="Book Antiqua"/>
                <w:color w:val="000000"/>
                <w:sz w:val="24"/>
                <w:szCs w:val="24"/>
                <w:lang w:eastAsia="zh-CN"/>
              </w:rPr>
              <w:t xml:space="preserve"> </w:t>
            </w:r>
            <w:r w:rsidRPr="008C263A">
              <w:rPr>
                <w:rFonts w:ascii="Book Antiqua" w:hAnsi="Book Antiqua"/>
                <w:color w:val="000000"/>
                <w:sz w:val="24"/>
                <w:szCs w:val="24"/>
                <w:lang w:eastAsia="fr-FR"/>
              </w:rPr>
              <w:t>&lt;</w:t>
            </w:r>
            <w:r w:rsidRPr="008C263A">
              <w:rPr>
                <w:rFonts w:ascii="Book Antiqua" w:hAnsi="Book Antiqua"/>
                <w:color w:val="000000"/>
                <w:sz w:val="24"/>
                <w:szCs w:val="24"/>
                <w:lang w:eastAsia="zh-CN"/>
              </w:rPr>
              <w:t xml:space="preserve"> </w:t>
            </w:r>
            <w:r w:rsidRPr="008C263A">
              <w:rPr>
                <w:rFonts w:ascii="Book Antiqua" w:hAnsi="Book Antiqua"/>
                <w:color w:val="000000"/>
                <w:sz w:val="24"/>
                <w:szCs w:val="24"/>
                <w:lang w:eastAsia="fr-FR"/>
              </w:rPr>
              <w:t>13</w:t>
            </w:r>
            <w:r w:rsidRPr="008C263A">
              <w:rPr>
                <w:rFonts w:ascii="Book Antiqua" w:hAnsi="Book Antiqua"/>
                <w:color w:val="000000"/>
                <w:sz w:val="24"/>
                <w:szCs w:val="24"/>
                <w:lang w:eastAsia="zh-CN"/>
              </w:rPr>
              <w:t xml:space="preserve"> </w:t>
            </w:r>
            <w:r w:rsidRPr="008C263A">
              <w:rPr>
                <w:rFonts w:ascii="Book Antiqua" w:hAnsi="Book Antiqua"/>
                <w:color w:val="000000"/>
                <w:sz w:val="24"/>
                <w:szCs w:val="24"/>
                <w:lang w:eastAsia="fr-FR"/>
              </w:rPr>
              <w:t>g/dL (men), &lt;</w:t>
            </w:r>
            <w:r w:rsidRPr="008C263A">
              <w:rPr>
                <w:rFonts w:ascii="Book Antiqua" w:hAnsi="Book Antiqua"/>
                <w:color w:val="000000"/>
                <w:sz w:val="24"/>
                <w:szCs w:val="24"/>
                <w:lang w:eastAsia="zh-CN"/>
              </w:rPr>
              <w:t xml:space="preserve"> </w:t>
            </w:r>
            <w:r w:rsidRPr="008C263A">
              <w:rPr>
                <w:rFonts w:ascii="Book Antiqua" w:hAnsi="Book Antiqua"/>
                <w:color w:val="000000"/>
                <w:sz w:val="24"/>
                <w:szCs w:val="24"/>
                <w:lang w:eastAsia="fr-FR"/>
              </w:rPr>
              <w:t>12</w:t>
            </w:r>
            <w:r w:rsidRPr="008C263A">
              <w:rPr>
                <w:rFonts w:ascii="Book Antiqua" w:hAnsi="Book Antiqua"/>
                <w:color w:val="000000"/>
                <w:sz w:val="24"/>
                <w:szCs w:val="24"/>
                <w:lang w:eastAsia="zh-CN"/>
              </w:rPr>
              <w:t xml:space="preserve"> </w:t>
            </w:r>
            <w:r w:rsidRPr="008C263A">
              <w:rPr>
                <w:rFonts w:ascii="Book Antiqua" w:hAnsi="Book Antiqua"/>
                <w:color w:val="000000"/>
                <w:sz w:val="24"/>
                <w:szCs w:val="24"/>
                <w:lang w:eastAsia="fr-FR"/>
              </w:rPr>
              <w:t>g/dL (women)</w:t>
            </w:r>
          </w:p>
        </w:tc>
        <w:tc>
          <w:tcPr>
            <w:tcW w:w="2154" w:type="dxa"/>
            <w:tcBorders>
              <w:top w:val="nil"/>
              <w:left w:val="single" w:sz="4" w:space="0" w:color="auto"/>
              <w:bottom w:val="nil"/>
              <w:right w:val="single" w:sz="4" w:space="0" w:color="auto"/>
            </w:tcBorders>
            <w:noWrap/>
            <w:vAlign w:val="bottom"/>
          </w:tcPr>
          <w:p w:rsidR="00766206" w:rsidRPr="008C263A" w:rsidRDefault="00766206" w:rsidP="00F23E6B">
            <w:pPr>
              <w:spacing w:after="0" w:line="360" w:lineRule="auto"/>
              <w:jc w:val="both"/>
              <w:rPr>
                <w:rFonts w:ascii="Book Antiqua" w:hAnsi="Book Antiqua"/>
                <w:color w:val="000000"/>
                <w:sz w:val="24"/>
                <w:szCs w:val="24"/>
                <w:lang w:val="fr-FR" w:eastAsia="fr-FR"/>
              </w:rPr>
            </w:pPr>
            <w:r w:rsidRPr="008C263A">
              <w:rPr>
                <w:rFonts w:ascii="Book Antiqua" w:hAnsi="Book Antiqua"/>
                <w:color w:val="000000"/>
                <w:sz w:val="24"/>
                <w:szCs w:val="24"/>
                <w:lang w:val="fr-FR" w:eastAsia="fr-FR"/>
              </w:rPr>
              <w:t>39 (98%)</w:t>
            </w:r>
          </w:p>
        </w:tc>
      </w:tr>
      <w:tr w:rsidR="00766206" w:rsidRPr="008C263A" w:rsidTr="00DF174A">
        <w:trPr>
          <w:trHeight w:val="302"/>
        </w:trPr>
        <w:tc>
          <w:tcPr>
            <w:tcW w:w="6463" w:type="dxa"/>
            <w:tcBorders>
              <w:top w:val="nil"/>
              <w:left w:val="single" w:sz="4" w:space="0" w:color="auto"/>
              <w:bottom w:val="nil"/>
              <w:right w:val="nil"/>
            </w:tcBorders>
            <w:noWrap/>
            <w:vAlign w:val="bottom"/>
          </w:tcPr>
          <w:p w:rsidR="00766206" w:rsidRPr="008C263A" w:rsidRDefault="00766206" w:rsidP="00F23E6B">
            <w:pPr>
              <w:spacing w:after="0" w:line="360" w:lineRule="auto"/>
              <w:jc w:val="both"/>
              <w:rPr>
                <w:rFonts w:ascii="Book Antiqua" w:hAnsi="Book Antiqua"/>
                <w:color w:val="000000"/>
                <w:sz w:val="24"/>
                <w:szCs w:val="24"/>
                <w:lang w:eastAsia="fr-FR"/>
              </w:rPr>
            </w:pPr>
            <w:r w:rsidRPr="008C263A">
              <w:rPr>
                <w:rFonts w:ascii="Book Antiqua" w:hAnsi="Book Antiqua"/>
                <w:color w:val="000000"/>
                <w:sz w:val="24"/>
                <w:szCs w:val="24"/>
                <w:lang w:eastAsia="fr-FR"/>
              </w:rPr>
              <w:t>Severe anemia (&lt;</w:t>
            </w:r>
            <w:r w:rsidRPr="008C263A">
              <w:rPr>
                <w:rFonts w:ascii="Book Antiqua" w:hAnsi="Book Antiqua"/>
                <w:color w:val="000000"/>
                <w:sz w:val="24"/>
                <w:szCs w:val="24"/>
                <w:lang w:eastAsia="zh-CN"/>
              </w:rPr>
              <w:t xml:space="preserve"> </w:t>
            </w:r>
            <w:r w:rsidRPr="008C263A">
              <w:rPr>
                <w:rFonts w:ascii="Book Antiqua" w:hAnsi="Book Antiqua"/>
                <w:color w:val="000000"/>
                <w:sz w:val="24"/>
                <w:szCs w:val="24"/>
                <w:lang w:eastAsia="fr-FR"/>
              </w:rPr>
              <w:t>9</w:t>
            </w:r>
            <w:r w:rsidRPr="008C263A">
              <w:rPr>
                <w:rFonts w:ascii="Book Antiqua" w:hAnsi="Book Antiqua"/>
                <w:color w:val="000000"/>
                <w:sz w:val="24"/>
                <w:szCs w:val="24"/>
                <w:lang w:eastAsia="zh-CN"/>
              </w:rPr>
              <w:t xml:space="preserve"> </w:t>
            </w:r>
            <w:r w:rsidRPr="008C263A">
              <w:rPr>
                <w:rFonts w:ascii="Book Antiqua" w:hAnsi="Book Antiqua"/>
                <w:color w:val="000000"/>
                <w:sz w:val="24"/>
                <w:szCs w:val="24"/>
                <w:lang w:eastAsia="fr-FR"/>
              </w:rPr>
              <w:t>g/dL or decrease</w:t>
            </w:r>
            <w:r w:rsidRPr="008C263A">
              <w:rPr>
                <w:rFonts w:ascii="Book Antiqua" w:hAnsi="Book Antiqua"/>
                <w:color w:val="000000"/>
                <w:sz w:val="24"/>
                <w:szCs w:val="24"/>
                <w:lang w:eastAsia="zh-CN"/>
              </w:rPr>
              <w:t xml:space="preserve"> </w:t>
            </w:r>
            <w:r w:rsidRPr="008C263A">
              <w:rPr>
                <w:rFonts w:ascii="Book Antiqua" w:hAnsi="Book Antiqua"/>
                <w:color w:val="000000"/>
                <w:sz w:val="24"/>
                <w:szCs w:val="24"/>
                <w:lang w:eastAsia="fr-FR"/>
              </w:rPr>
              <w:t>&gt;</w:t>
            </w:r>
            <w:r w:rsidRPr="008C263A">
              <w:rPr>
                <w:rFonts w:ascii="Book Antiqua" w:hAnsi="Book Antiqua"/>
                <w:color w:val="000000"/>
                <w:sz w:val="24"/>
                <w:szCs w:val="24"/>
                <w:lang w:eastAsia="zh-CN"/>
              </w:rPr>
              <w:t xml:space="preserve"> </w:t>
            </w:r>
            <w:r w:rsidRPr="008C263A">
              <w:rPr>
                <w:rFonts w:ascii="Book Antiqua" w:hAnsi="Book Antiqua"/>
                <w:color w:val="000000"/>
                <w:sz w:val="24"/>
                <w:szCs w:val="24"/>
                <w:lang w:eastAsia="fr-FR"/>
              </w:rPr>
              <w:t>3</w:t>
            </w:r>
            <w:r w:rsidRPr="008C263A">
              <w:rPr>
                <w:rFonts w:ascii="Book Antiqua" w:hAnsi="Book Antiqua"/>
                <w:color w:val="000000"/>
                <w:sz w:val="24"/>
                <w:szCs w:val="24"/>
                <w:lang w:eastAsia="zh-CN"/>
              </w:rPr>
              <w:t xml:space="preserve"> </w:t>
            </w:r>
            <w:r w:rsidRPr="008C263A">
              <w:rPr>
                <w:rFonts w:ascii="Book Antiqua" w:hAnsi="Book Antiqua"/>
                <w:color w:val="000000"/>
                <w:sz w:val="24"/>
                <w:szCs w:val="24"/>
                <w:lang w:eastAsia="fr-FR"/>
              </w:rPr>
              <w:t>g/dL)</w:t>
            </w:r>
          </w:p>
        </w:tc>
        <w:tc>
          <w:tcPr>
            <w:tcW w:w="2154" w:type="dxa"/>
            <w:tcBorders>
              <w:top w:val="nil"/>
              <w:left w:val="single" w:sz="4" w:space="0" w:color="auto"/>
              <w:bottom w:val="nil"/>
              <w:right w:val="single" w:sz="4" w:space="0" w:color="auto"/>
            </w:tcBorders>
            <w:noWrap/>
            <w:vAlign w:val="bottom"/>
          </w:tcPr>
          <w:p w:rsidR="00766206" w:rsidRPr="008C263A" w:rsidRDefault="00766206" w:rsidP="00F23E6B">
            <w:pPr>
              <w:spacing w:after="0" w:line="360" w:lineRule="auto"/>
              <w:jc w:val="both"/>
              <w:rPr>
                <w:rFonts w:ascii="Book Antiqua" w:hAnsi="Book Antiqua"/>
                <w:color w:val="000000"/>
                <w:sz w:val="24"/>
                <w:szCs w:val="24"/>
                <w:lang w:val="fr-FR" w:eastAsia="fr-FR"/>
              </w:rPr>
            </w:pPr>
            <w:r w:rsidRPr="008C263A">
              <w:rPr>
                <w:rFonts w:ascii="Book Antiqua" w:hAnsi="Book Antiqua"/>
                <w:color w:val="000000"/>
                <w:sz w:val="24"/>
                <w:szCs w:val="24"/>
                <w:lang w:val="fr-FR" w:eastAsia="fr-FR"/>
              </w:rPr>
              <w:t>35 (88%)</w:t>
            </w:r>
          </w:p>
        </w:tc>
      </w:tr>
      <w:tr w:rsidR="00766206" w:rsidRPr="008C263A" w:rsidTr="00DF174A">
        <w:trPr>
          <w:trHeight w:val="302"/>
        </w:trPr>
        <w:tc>
          <w:tcPr>
            <w:tcW w:w="6463" w:type="dxa"/>
            <w:tcBorders>
              <w:top w:val="nil"/>
              <w:left w:val="single" w:sz="4" w:space="0" w:color="auto"/>
              <w:bottom w:val="nil"/>
              <w:right w:val="nil"/>
            </w:tcBorders>
            <w:noWrap/>
            <w:vAlign w:val="bottom"/>
          </w:tcPr>
          <w:p w:rsidR="00766206" w:rsidRPr="008C263A" w:rsidRDefault="00766206" w:rsidP="00F23E6B">
            <w:pPr>
              <w:spacing w:after="0" w:line="360" w:lineRule="auto"/>
              <w:jc w:val="both"/>
              <w:rPr>
                <w:rFonts w:ascii="Book Antiqua" w:hAnsi="Book Antiqua"/>
                <w:color w:val="000000"/>
                <w:sz w:val="24"/>
                <w:szCs w:val="24"/>
                <w:lang w:val="fr-FR" w:eastAsia="fr-FR"/>
              </w:rPr>
            </w:pPr>
            <w:r w:rsidRPr="008C263A">
              <w:rPr>
                <w:rFonts w:ascii="Book Antiqua" w:hAnsi="Book Antiqua"/>
                <w:color w:val="000000"/>
                <w:sz w:val="24"/>
                <w:szCs w:val="24"/>
                <w:lang w:val="fr-FR" w:eastAsia="fr-FR"/>
              </w:rPr>
              <w:t>Ribavirin dose decreased</w:t>
            </w:r>
          </w:p>
        </w:tc>
        <w:tc>
          <w:tcPr>
            <w:tcW w:w="2154" w:type="dxa"/>
            <w:tcBorders>
              <w:top w:val="nil"/>
              <w:left w:val="single" w:sz="4" w:space="0" w:color="auto"/>
              <w:bottom w:val="nil"/>
              <w:right w:val="single" w:sz="4" w:space="0" w:color="auto"/>
            </w:tcBorders>
            <w:noWrap/>
            <w:vAlign w:val="bottom"/>
          </w:tcPr>
          <w:p w:rsidR="00766206" w:rsidRPr="008C263A" w:rsidRDefault="00766206" w:rsidP="00F23E6B">
            <w:pPr>
              <w:spacing w:after="0" w:line="360" w:lineRule="auto"/>
              <w:jc w:val="both"/>
              <w:rPr>
                <w:rFonts w:ascii="Book Antiqua" w:hAnsi="Book Antiqua"/>
                <w:color w:val="000000"/>
                <w:sz w:val="24"/>
                <w:szCs w:val="24"/>
                <w:lang w:val="fr-FR" w:eastAsia="fr-FR"/>
              </w:rPr>
            </w:pPr>
            <w:r w:rsidRPr="008C263A">
              <w:rPr>
                <w:rFonts w:ascii="Book Antiqua" w:hAnsi="Book Antiqua"/>
                <w:color w:val="000000"/>
                <w:sz w:val="24"/>
                <w:szCs w:val="24"/>
                <w:lang w:val="fr-FR" w:eastAsia="fr-FR"/>
              </w:rPr>
              <w:t>23 (58%)</w:t>
            </w:r>
          </w:p>
        </w:tc>
      </w:tr>
      <w:tr w:rsidR="00766206" w:rsidRPr="008C263A" w:rsidTr="00DF174A">
        <w:trPr>
          <w:trHeight w:val="318"/>
        </w:trPr>
        <w:tc>
          <w:tcPr>
            <w:tcW w:w="6463" w:type="dxa"/>
            <w:tcBorders>
              <w:top w:val="nil"/>
              <w:left w:val="single" w:sz="4" w:space="0" w:color="auto"/>
              <w:bottom w:val="nil"/>
              <w:right w:val="nil"/>
            </w:tcBorders>
            <w:noWrap/>
            <w:vAlign w:val="bottom"/>
          </w:tcPr>
          <w:p w:rsidR="00766206" w:rsidRPr="008C263A" w:rsidRDefault="00766206" w:rsidP="00F23E6B">
            <w:pPr>
              <w:spacing w:after="0" w:line="360" w:lineRule="auto"/>
              <w:jc w:val="both"/>
              <w:rPr>
                <w:rFonts w:ascii="Book Antiqua" w:hAnsi="Book Antiqua"/>
                <w:color w:val="000000"/>
                <w:sz w:val="24"/>
                <w:szCs w:val="24"/>
                <w:lang w:val="fr-FR" w:eastAsia="fr-FR"/>
              </w:rPr>
            </w:pPr>
            <w:r w:rsidRPr="008C263A">
              <w:rPr>
                <w:rFonts w:ascii="Book Antiqua" w:hAnsi="Book Antiqua"/>
                <w:color w:val="000000"/>
                <w:sz w:val="24"/>
                <w:szCs w:val="24"/>
                <w:lang w:val="fr-FR" w:eastAsia="fr-FR"/>
              </w:rPr>
              <w:t>EPO administration</w:t>
            </w:r>
          </w:p>
        </w:tc>
        <w:tc>
          <w:tcPr>
            <w:tcW w:w="2154" w:type="dxa"/>
            <w:tcBorders>
              <w:top w:val="nil"/>
              <w:left w:val="single" w:sz="4" w:space="0" w:color="auto"/>
              <w:bottom w:val="nil"/>
              <w:right w:val="single" w:sz="4" w:space="0" w:color="auto"/>
            </w:tcBorders>
            <w:noWrap/>
            <w:vAlign w:val="bottom"/>
          </w:tcPr>
          <w:p w:rsidR="00766206" w:rsidRPr="008C263A" w:rsidRDefault="00766206" w:rsidP="00F23E6B">
            <w:pPr>
              <w:spacing w:after="0" w:line="360" w:lineRule="auto"/>
              <w:jc w:val="both"/>
              <w:rPr>
                <w:rFonts w:ascii="Book Antiqua" w:hAnsi="Book Antiqua"/>
                <w:color w:val="000000"/>
                <w:sz w:val="24"/>
                <w:szCs w:val="24"/>
                <w:lang w:val="fr-FR" w:eastAsia="fr-FR"/>
              </w:rPr>
            </w:pPr>
            <w:r w:rsidRPr="008C263A">
              <w:rPr>
                <w:rFonts w:ascii="Book Antiqua" w:hAnsi="Book Antiqua"/>
                <w:color w:val="000000"/>
                <w:sz w:val="24"/>
                <w:szCs w:val="24"/>
                <w:lang w:val="fr-FR" w:eastAsia="fr-FR"/>
              </w:rPr>
              <w:t>23 (58%)</w:t>
            </w:r>
          </w:p>
        </w:tc>
      </w:tr>
      <w:tr w:rsidR="00766206" w:rsidRPr="008C263A" w:rsidTr="00DF174A">
        <w:trPr>
          <w:trHeight w:val="302"/>
        </w:trPr>
        <w:tc>
          <w:tcPr>
            <w:tcW w:w="6463" w:type="dxa"/>
            <w:tcBorders>
              <w:top w:val="nil"/>
              <w:left w:val="single" w:sz="4" w:space="0" w:color="auto"/>
              <w:bottom w:val="single" w:sz="4" w:space="0" w:color="auto"/>
              <w:right w:val="nil"/>
            </w:tcBorders>
            <w:noWrap/>
            <w:vAlign w:val="bottom"/>
          </w:tcPr>
          <w:p w:rsidR="00766206" w:rsidRPr="008C263A" w:rsidRDefault="00766206" w:rsidP="00F23E6B">
            <w:pPr>
              <w:spacing w:after="0" w:line="360" w:lineRule="auto"/>
              <w:jc w:val="both"/>
              <w:rPr>
                <w:rFonts w:ascii="Book Antiqua" w:hAnsi="Book Antiqua"/>
                <w:color w:val="000000"/>
                <w:sz w:val="24"/>
                <w:szCs w:val="24"/>
                <w:lang w:val="fr-FR" w:eastAsia="fr-FR"/>
              </w:rPr>
            </w:pPr>
            <w:r w:rsidRPr="008C263A">
              <w:rPr>
                <w:rFonts w:ascii="Book Antiqua" w:hAnsi="Book Antiqua"/>
                <w:color w:val="000000"/>
                <w:sz w:val="24"/>
                <w:szCs w:val="24"/>
                <w:lang w:val="fr-FR" w:eastAsia="fr-FR"/>
              </w:rPr>
              <w:t>Blood transfusion</w:t>
            </w:r>
          </w:p>
        </w:tc>
        <w:tc>
          <w:tcPr>
            <w:tcW w:w="2154" w:type="dxa"/>
            <w:tcBorders>
              <w:top w:val="nil"/>
              <w:left w:val="single" w:sz="4" w:space="0" w:color="auto"/>
              <w:bottom w:val="single" w:sz="4" w:space="0" w:color="auto"/>
              <w:right w:val="single" w:sz="4" w:space="0" w:color="auto"/>
            </w:tcBorders>
            <w:noWrap/>
            <w:vAlign w:val="bottom"/>
          </w:tcPr>
          <w:p w:rsidR="00766206" w:rsidRPr="008C263A" w:rsidRDefault="00766206" w:rsidP="00F23E6B">
            <w:pPr>
              <w:spacing w:after="0" w:line="360" w:lineRule="auto"/>
              <w:jc w:val="both"/>
              <w:rPr>
                <w:rFonts w:ascii="Book Antiqua" w:hAnsi="Book Antiqua"/>
                <w:color w:val="000000"/>
                <w:sz w:val="24"/>
                <w:szCs w:val="24"/>
                <w:lang w:val="fr-FR" w:eastAsia="fr-FR"/>
              </w:rPr>
            </w:pPr>
            <w:r w:rsidRPr="008C263A">
              <w:rPr>
                <w:rFonts w:ascii="Book Antiqua" w:hAnsi="Book Antiqua"/>
                <w:color w:val="000000"/>
                <w:sz w:val="24"/>
                <w:szCs w:val="24"/>
                <w:lang w:val="fr-FR" w:eastAsia="fr-FR"/>
              </w:rPr>
              <w:t>2 (5%)</w:t>
            </w:r>
          </w:p>
        </w:tc>
      </w:tr>
    </w:tbl>
    <w:p w:rsidR="00766206" w:rsidRPr="008C263A" w:rsidRDefault="00766206" w:rsidP="00F23E6B">
      <w:pPr>
        <w:spacing w:after="0" w:line="360" w:lineRule="auto"/>
        <w:jc w:val="both"/>
        <w:rPr>
          <w:rFonts w:ascii="Book Antiqua" w:hAnsi="Book Antiqua" w:cs="Arial"/>
          <w:sz w:val="24"/>
          <w:szCs w:val="24"/>
          <w:lang w:eastAsia="zh-CN"/>
        </w:rPr>
      </w:pPr>
      <w:r w:rsidRPr="008C263A">
        <w:rPr>
          <w:rFonts w:ascii="Book Antiqua" w:hAnsi="Book Antiqua"/>
          <w:sz w:val="24"/>
          <w:szCs w:val="24"/>
        </w:rPr>
        <w:t>EPO: Erythropoietin</w:t>
      </w:r>
      <w:r w:rsidRPr="008C263A">
        <w:rPr>
          <w:rFonts w:ascii="Book Antiqua" w:hAnsi="Book Antiqua"/>
          <w:sz w:val="24"/>
          <w:szCs w:val="24"/>
          <w:lang w:eastAsia="zh-CN"/>
        </w:rPr>
        <w:t>.</w:t>
      </w:r>
    </w:p>
    <w:p w:rsidR="00766206" w:rsidRPr="008C263A" w:rsidRDefault="00766206" w:rsidP="00F23E6B">
      <w:pPr>
        <w:pStyle w:val="Default"/>
        <w:spacing w:line="360" w:lineRule="auto"/>
        <w:jc w:val="both"/>
        <w:rPr>
          <w:rFonts w:ascii="Book Antiqua" w:hAnsi="Book Antiqua"/>
          <w:b/>
          <w:lang w:val="en-US"/>
        </w:rPr>
      </w:pPr>
      <w:r w:rsidRPr="008C263A">
        <w:rPr>
          <w:rFonts w:ascii="Book Antiqua" w:hAnsi="Book Antiqua"/>
          <w:lang w:val="pt-BR"/>
        </w:rPr>
        <w:br w:type="page"/>
      </w:r>
      <w:r w:rsidRPr="008C263A">
        <w:rPr>
          <w:rFonts w:ascii="Book Antiqua" w:hAnsi="Book Antiqua"/>
          <w:noProof/>
          <w:lang w:val="en-US" w:eastAsia="zh-CN"/>
        </w:rPr>
        <w:lastRenderedPageBreak/>
        <w:t xml:space="preserve"> </w:t>
      </w:r>
      <w:r w:rsidRPr="008C263A">
        <w:rPr>
          <w:rFonts w:ascii="Book Antiqua" w:hAnsi="Book Antiqua"/>
          <w:b/>
          <w:lang w:val="en-US"/>
        </w:rPr>
        <w:t xml:space="preserve">Table 4 Baseline and post treatment </w:t>
      </w:r>
      <w:r w:rsidRPr="008C263A">
        <w:rPr>
          <w:rFonts w:ascii="Book Antiqua" w:hAnsi="Book Antiqua"/>
          <w:b/>
          <w:i/>
          <w:lang w:val="en-US"/>
        </w:rPr>
        <w:t>NS3/4A</w:t>
      </w:r>
      <w:r w:rsidRPr="008C263A">
        <w:rPr>
          <w:rFonts w:ascii="Book Antiqua" w:hAnsi="Book Antiqua"/>
          <w:b/>
          <w:lang w:val="en-US"/>
        </w:rPr>
        <w:t>-mutations among patients failing hepatitis C virus treatment</w:t>
      </w:r>
    </w:p>
    <w:tbl>
      <w:tblPr>
        <w:tblW w:w="13761" w:type="dxa"/>
        <w:tblInd w:w="55" w:type="dxa"/>
        <w:tblCellMar>
          <w:left w:w="70" w:type="dxa"/>
          <w:right w:w="70" w:type="dxa"/>
        </w:tblCellMar>
        <w:tblLook w:val="00A0" w:firstRow="1" w:lastRow="0" w:firstColumn="1" w:lastColumn="0" w:noHBand="0" w:noVBand="0"/>
      </w:tblPr>
      <w:tblGrid>
        <w:gridCol w:w="1220"/>
        <w:gridCol w:w="1314"/>
        <w:gridCol w:w="940"/>
        <w:gridCol w:w="1720"/>
        <w:gridCol w:w="1340"/>
        <w:gridCol w:w="1500"/>
        <w:gridCol w:w="1247"/>
        <w:gridCol w:w="1320"/>
        <w:gridCol w:w="1580"/>
        <w:gridCol w:w="1580"/>
      </w:tblGrid>
      <w:tr w:rsidR="00766206" w:rsidRPr="008C263A" w:rsidTr="00D068D8">
        <w:trPr>
          <w:trHeight w:val="600"/>
        </w:trPr>
        <w:tc>
          <w:tcPr>
            <w:tcW w:w="1220" w:type="dxa"/>
            <w:tcBorders>
              <w:top w:val="single" w:sz="4" w:space="0" w:color="auto"/>
              <w:left w:val="single" w:sz="4" w:space="0" w:color="auto"/>
              <w:bottom w:val="single" w:sz="4" w:space="0" w:color="auto"/>
              <w:right w:val="nil"/>
            </w:tcBorders>
            <w:noWrap/>
            <w:vAlign w:val="bottom"/>
          </w:tcPr>
          <w:p w:rsidR="00766206" w:rsidRPr="008C263A" w:rsidRDefault="00766206" w:rsidP="00F23E6B">
            <w:pPr>
              <w:spacing w:after="0" w:line="360" w:lineRule="auto"/>
              <w:jc w:val="both"/>
              <w:rPr>
                <w:rFonts w:ascii="Book Antiqua" w:hAnsi="Book Antiqua"/>
                <w:b/>
                <w:bCs/>
                <w:sz w:val="24"/>
                <w:szCs w:val="24"/>
                <w:lang w:val="fr-FR" w:eastAsia="fr-FR"/>
              </w:rPr>
            </w:pPr>
            <w:r w:rsidRPr="008C263A">
              <w:rPr>
                <w:rFonts w:ascii="Book Antiqua" w:hAnsi="Book Antiqua"/>
                <w:b/>
                <w:bCs/>
                <w:sz w:val="24"/>
                <w:szCs w:val="24"/>
                <w:lang w:val="fr-FR" w:eastAsia="fr-FR"/>
              </w:rPr>
              <w:t>Genotype</w:t>
            </w:r>
          </w:p>
        </w:tc>
        <w:tc>
          <w:tcPr>
            <w:tcW w:w="1314" w:type="dxa"/>
            <w:tcBorders>
              <w:top w:val="single" w:sz="4" w:space="0" w:color="auto"/>
              <w:left w:val="nil"/>
              <w:bottom w:val="single" w:sz="4" w:space="0" w:color="auto"/>
              <w:right w:val="nil"/>
            </w:tcBorders>
            <w:vAlign w:val="bottom"/>
          </w:tcPr>
          <w:p w:rsidR="00766206" w:rsidRPr="008C263A" w:rsidRDefault="00766206" w:rsidP="00F23E6B">
            <w:pPr>
              <w:spacing w:after="0" w:line="360" w:lineRule="auto"/>
              <w:jc w:val="both"/>
              <w:rPr>
                <w:rFonts w:ascii="Book Antiqua" w:hAnsi="Book Antiqua"/>
                <w:b/>
                <w:bCs/>
                <w:sz w:val="24"/>
                <w:szCs w:val="24"/>
                <w:lang w:val="fr-FR" w:eastAsia="fr-FR"/>
              </w:rPr>
            </w:pPr>
            <w:r w:rsidRPr="008C263A">
              <w:rPr>
                <w:rFonts w:ascii="Book Antiqua" w:hAnsi="Book Antiqua"/>
                <w:b/>
                <w:bCs/>
                <w:sz w:val="24"/>
                <w:szCs w:val="24"/>
                <w:lang w:val="fr-FR" w:eastAsia="fr-FR"/>
              </w:rPr>
              <w:t>Previously treated</w:t>
            </w:r>
          </w:p>
        </w:tc>
        <w:tc>
          <w:tcPr>
            <w:tcW w:w="940" w:type="dxa"/>
            <w:tcBorders>
              <w:top w:val="single" w:sz="4" w:space="0" w:color="auto"/>
              <w:left w:val="nil"/>
              <w:bottom w:val="single" w:sz="4" w:space="0" w:color="auto"/>
              <w:right w:val="nil"/>
            </w:tcBorders>
            <w:noWrap/>
            <w:vAlign w:val="bottom"/>
          </w:tcPr>
          <w:p w:rsidR="00766206" w:rsidRPr="008C263A" w:rsidRDefault="00766206" w:rsidP="00F23E6B">
            <w:pPr>
              <w:spacing w:after="0" w:line="360" w:lineRule="auto"/>
              <w:jc w:val="both"/>
              <w:rPr>
                <w:rFonts w:ascii="Book Antiqua" w:hAnsi="Book Antiqua"/>
                <w:b/>
                <w:bCs/>
                <w:sz w:val="24"/>
                <w:szCs w:val="24"/>
                <w:lang w:val="fr-FR" w:eastAsia="fr-FR"/>
              </w:rPr>
            </w:pPr>
            <w:r w:rsidRPr="008C263A">
              <w:rPr>
                <w:rFonts w:ascii="Book Antiqua" w:hAnsi="Book Antiqua"/>
                <w:b/>
                <w:bCs/>
                <w:sz w:val="24"/>
                <w:szCs w:val="24"/>
                <w:lang w:val="fr-FR" w:eastAsia="fr-FR"/>
              </w:rPr>
              <w:t xml:space="preserve"> HCV PI</w:t>
            </w:r>
          </w:p>
        </w:tc>
        <w:tc>
          <w:tcPr>
            <w:tcW w:w="1720" w:type="dxa"/>
            <w:tcBorders>
              <w:top w:val="single" w:sz="4" w:space="0" w:color="auto"/>
              <w:left w:val="nil"/>
              <w:bottom w:val="single" w:sz="4" w:space="0" w:color="auto"/>
              <w:right w:val="nil"/>
            </w:tcBorders>
            <w:vAlign w:val="bottom"/>
          </w:tcPr>
          <w:p w:rsidR="00766206" w:rsidRPr="008C263A" w:rsidRDefault="00766206" w:rsidP="00F23E6B">
            <w:pPr>
              <w:spacing w:after="0" w:line="360" w:lineRule="auto"/>
              <w:jc w:val="both"/>
              <w:rPr>
                <w:rFonts w:ascii="Book Antiqua" w:hAnsi="Book Antiqua"/>
                <w:b/>
                <w:bCs/>
                <w:sz w:val="24"/>
                <w:szCs w:val="24"/>
                <w:lang w:val="fr-FR" w:eastAsia="fr-FR"/>
              </w:rPr>
            </w:pPr>
            <w:r w:rsidRPr="008C263A">
              <w:rPr>
                <w:rFonts w:ascii="Book Antiqua" w:hAnsi="Book Antiqua"/>
                <w:b/>
                <w:bCs/>
                <w:sz w:val="24"/>
                <w:szCs w:val="24"/>
                <w:lang w:val="fr-FR" w:eastAsia="fr-FR"/>
              </w:rPr>
              <w:t>Response to treatment</w:t>
            </w:r>
          </w:p>
        </w:tc>
        <w:tc>
          <w:tcPr>
            <w:tcW w:w="1340" w:type="dxa"/>
            <w:tcBorders>
              <w:top w:val="single" w:sz="4" w:space="0" w:color="auto"/>
              <w:left w:val="nil"/>
              <w:bottom w:val="single" w:sz="4" w:space="0" w:color="auto"/>
              <w:right w:val="nil"/>
            </w:tcBorders>
            <w:noWrap/>
            <w:vAlign w:val="bottom"/>
          </w:tcPr>
          <w:p w:rsidR="00766206" w:rsidRPr="008C263A" w:rsidRDefault="00766206" w:rsidP="00F23E6B">
            <w:pPr>
              <w:spacing w:after="0" w:line="360" w:lineRule="auto"/>
              <w:jc w:val="both"/>
              <w:rPr>
                <w:rFonts w:ascii="Book Antiqua" w:hAnsi="Book Antiqua"/>
                <w:b/>
                <w:bCs/>
                <w:sz w:val="24"/>
                <w:szCs w:val="24"/>
                <w:lang w:val="fr-FR" w:eastAsia="fr-FR"/>
              </w:rPr>
            </w:pPr>
            <w:r w:rsidRPr="008C263A">
              <w:rPr>
                <w:rFonts w:ascii="Book Antiqua" w:hAnsi="Book Antiqua"/>
                <w:b/>
                <w:bCs/>
                <w:sz w:val="24"/>
                <w:szCs w:val="24"/>
                <w:lang w:val="fr-FR" w:eastAsia="fr-FR"/>
              </w:rPr>
              <w:t>HIV PI</w:t>
            </w:r>
          </w:p>
        </w:tc>
        <w:tc>
          <w:tcPr>
            <w:tcW w:w="1500" w:type="dxa"/>
            <w:tcBorders>
              <w:top w:val="single" w:sz="4" w:space="0" w:color="auto"/>
              <w:left w:val="nil"/>
              <w:bottom w:val="single" w:sz="4" w:space="0" w:color="auto"/>
              <w:right w:val="nil"/>
            </w:tcBorders>
            <w:vAlign w:val="bottom"/>
          </w:tcPr>
          <w:p w:rsidR="00766206" w:rsidRPr="008C263A" w:rsidRDefault="00766206" w:rsidP="00F23E6B">
            <w:pPr>
              <w:spacing w:after="0" w:line="360" w:lineRule="auto"/>
              <w:jc w:val="both"/>
              <w:rPr>
                <w:rFonts w:ascii="Book Antiqua" w:hAnsi="Book Antiqua"/>
                <w:b/>
                <w:bCs/>
                <w:sz w:val="24"/>
                <w:szCs w:val="24"/>
                <w:lang w:val="fr-FR" w:eastAsia="fr-FR"/>
              </w:rPr>
            </w:pPr>
            <w:r w:rsidRPr="008C263A">
              <w:rPr>
                <w:rFonts w:ascii="Book Antiqua" w:hAnsi="Book Antiqua"/>
                <w:b/>
                <w:bCs/>
                <w:sz w:val="24"/>
                <w:szCs w:val="24"/>
                <w:lang w:val="fr-FR" w:eastAsia="fr-FR"/>
              </w:rPr>
              <w:t>Pre-treatment HCV VL</w:t>
            </w:r>
          </w:p>
        </w:tc>
        <w:tc>
          <w:tcPr>
            <w:tcW w:w="1247" w:type="dxa"/>
            <w:tcBorders>
              <w:top w:val="single" w:sz="4" w:space="0" w:color="auto"/>
              <w:left w:val="nil"/>
              <w:bottom w:val="single" w:sz="4" w:space="0" w:color="auto"/>
              <w:right w:val="nil"/>
            </w:tcBorders>
            <w:vAlign w:val="bottom"/>
          </w:tcPr>
          <w:p w:rsidR="00766206" w:rsidRPr="008C263A" w:rsidRDefault="00766206" w:rsidP="00F23E6B">
            <w:pPr>
              <w:spacing w:after="0" w:line="360" w:lineRule="auto"/>
              <w:jc w:val="both"/>
              <w:rPr>
                <w:rFonts w:ascii="Book Antiqua" w:hAnsi="Book Antiqua"/>
                <w:b/>
                <w:bCs/>
                <w:sz w:val="24"/>
                <w:szCs w:val="24"/>
                <w:lang w:val="fr-FR" w:eastAsia="fr-FR"/>
              </w:rPr>
            </w:pPr>
            <w:r w:rsidRPr="008C263A">
              <w:rPr>
                <w:rFonts w:ascii="Book Antiqua" w:hAnsi="Book Antiqua"/>
                <w:b/>
                <w:bCs/>
                <w:sz w:val="24"/>
                <w:szCs w:val="24"/>
                <w:lang w:val="fr-FR" w:eastAsia="fr-FR"/>
              </w:rPr>
              <w:t>Baseline NS3/4A- mutations</w:t>
            </w:r>
          </w:p>
        </w:tc>
        <w:tc>
          <w:tcPr>
            <w:tcW w:w="1320" w:type="dxa"/>
            <w:tcBorders>
              <w:top w:val="single" w:sz="4" w:space="0" w:color="auto"/>
              <w:left w:val="nil"/>
              <w:bottom w:val="single" w:sz="4" w:space="0" w:color="auto"/>
              <w:right w:val="nil"/>
            </w:tcBorders>
            <w:vAlign w:val="bottom"/>
          </w:tcPr>
          <w:p w:rsidR="00766206" w:rsidRPr="008C263A" w:rsidRDefault="00766206" w:rsidP="00F23E6B">
            <w:pPr>
              <w:spacing w:after="0" w:line="360" w:lineRule="auto"/>
              <w:jc w:val="both"/>
              <w:rPr>
                <w:rFonts w:ascii="Book Antiqua" w:hAnsi="Book Antiqua"/>
                <w:b/>
                <w:bCs/>
                <w:sz w:val="24"/>
                <w:szCs w:val="24"/>
                <w:lang w:val="fr-FR" w:eastAsia="fr-FR"/>
              </w:rPr>
            </w:pPr>
            <w:r w:rsidRPr="008C263A">
              <w:rPr>
                <w:rFonts w:ascii="Book Antiqua" w:hAnsi="Book Antiqua"/>
                <w:b/>
                <w:bCs/>
                <w:sz w:val="24"/>
                <w:szCs w:val="24"/>
                <w:lang w:val="fr-FR" w:eastAsia="fr-FR"/>
              </w:rPr>
              <w:t>Baseline fold-change</w:t>
            </w:r>
          </w:p>
        </w:tc>
        <w:tc>
          <w:tcPr>
            <w:tcW w:w="1580" w:type="dxa"/>
            <w:tcBorders>
              <w:top w:val="single" w:sz="4" w:space="0" w:color="auto"/>
              <w:left w:val="nil"/>
              <w:bottom w:val="single" w:sz="4" w:space="0" w:color="auto"/>
              <w:right w:val="nil"/>
            </w:tcBorders>
            <w:vAlign w:val="bottom"/>
          </w:tcPr>
          <w:p w:rsidR="00766206" w:rsidRPr="008C263A" w:rsidRDefault="00766206" w:rsidP="00F23E6B">
            <w:pPr>
              <w:spacing w:after="0" w:line="360" w:lineRule="auto"/>
              <w:jc w:val="both"/>
              <w:rPr>
                <w:rFonts w:ascii="Book Antiqua" w:hAnsi="Book Antiqua"/>
                <w:b/>
                <w:bCs/>
                <w:sz w:val="24"/>
                <w:szCs w:val="24"/>
                <w:lang w:eastAsia="fr-FR"/>
              </w:rPr>
            </w:pPr>
            <w:r w:rsidRPr="008C263A">
              <w:rPr>
                <w:rFonts w:ascii="Book Antiqua" w:hAnsi="Book Antiqua"/>
                <w:b/>
                <w:bCs/>
                <w:sz w:val="24"/>
                <w:szCs w:val="24"/>
                <w:lang w:eastAsia="fr-FR"/>
              </w:rPr>
              <w:t>Post-treatment NS3/4A-mutations</w:t>
            </w:r>
          </w:p>
        </w:tc>
        <w:tc>
          <w:tcPr>
            <w:tcW w:w="1580" w:type="dxa"/>
            <w:tcBorders>
              <w:top w:val="single" w:sz="4" w:space="0" w:color="auto"/>
              <w:left w:val="nil"/>
              <w:bottom w:val="single" w:sz="4" w:space="0" w:color="auto"/>
              <w:right w:val="single" w:sz="4" w:space="0" w:color="auto"/>
            </w:tcBorders>
            <w:vAlign w:val="bottom"/>
          </w:tcPr>
          <w:p w:rsidR="00766206" w:rsidRPr="008C263A" w:rsidRDefault="00766206" w:rsidP="00F23E6B">
            <w:pPr>
              <w:spacing w:after="0" w:line="360" w:lineRule="auto"/>
              <w:jc w:val="both"/>
              <w:rPr>
                <w:rFonts w:ascii="Book Antiqua" w:hAnsi="Book Antiqua"/>
                <w:b/>
                <w:bCs/>
                <w:sz w:val="24"/>
                <w:szCs w:val="24"/>
                <w:lang w:val="fr-FR" w:eastAsia="zh-CN"/>
              </w:rPr>
            </w:pPr>
            <w:r w:rsidRPr="008C263A">
              <w:rPr>
                <w:rFonts w:ascii="Book Antiqua" w:hAnsi="Book Antiqua"/>
                <w:b/>
                <w:bCs/>
                <w:sz w:val="24"/>
                <w:szCs w:val="24"/>
                <w:lang w:val="fr-FR" w:eastAsia="fr-FR"/>
              </w:rPr>
              <w:t>Post-treatment fold change</w:t>
            </w:r>
            <w:r w:rsidRPr="008C263A">
              <w:rPr>
                <w:rFonts w:ascii="Book Antiqua" w:hAnsi="Book Antiqua"/>
                <w:b/>
                <w:bCs/>
                <w:sz w:val="24"/>
                <w:szCs w:val="24"/>
                <w:vertAlign w:val="superscript"/>
                <w:lang w:val="fr-FR" w:eastAsia="zh-CN"/>
              </w:rPr>
              <w:t>1</w:t>
            </w:r>
          </w:p>
        </w:tc>
      </w:tr>
      <w:tr w:rsidR="00766206" w:rsidRPr="008C263A" w:rsidTr="00D068D8">
        <w:trPr>
          <w:trHeight w:val="300"/>
        </w:trPr>
        <w:tc>
          <w:tcPr>
            <w:tcW w:w="1220" w:type="dxa"/>
            <w:tcBorders>
              <w:top w:val="nil"/>
              <w:left w:val="single" w:sz="4" w:space="0" w:color="auto"/>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1a</w:t>
            </w:r>
          </w:p>
        </w:tc>
        <w:tc>
          <w:tcPr>
            <w:tcW w:w="1314"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Yes</w:t>
            </w:r>
          </w:p>
        </w:tc>
        <w:tc>
          <w:tcPr>
            <w:tcW w:w="94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Tela</w:t>
            </w:r>
          </w:p>
        </w:tc>
        <w:tc>
          <w:tcPr>
            <w:tcW w:w="172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Non-responder</w:t>
            </w:r>
          </w:p>
        </w:tc>
        <w:tc>
          <w:tcPr>
            <w:tcW w:w="134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Atazanavir</w:t>
            </w:r>
          </w:p>
        </w:tc>
        <w:tc>
          <w:tcPr>
            <w:tcW w:w="150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5.9</w:t>
            </w:r>
          </w:p>
        </w:tc>
        <w:tc>
          <w:tcPr>
            <w:tcW w:w="1247"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0</w:t>
            </w:r>
          </w:p>
        </w:tc>
        <w:tc>
          <w:tcPr>
            <w:tcW w:w="132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p>
        </w:tc>
        <w:tc>
          <w:tcPr>
            <w:tcW w:w="158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V36M, R155K</w:t>
            </w:r>
          </w:p>
        </w:tc>
        <w:tc>
          <w:tcPr>
            <w:tcW w:w="1580" w:type="dxa"/>
            <w:tcBorders>
              <w:top w:val="nil"/>
              <w:left w:val="nil"/>
              <w:bottom w:val="nil"/>
              <w:right w:val="single" w:sz="4" w:space="0" w:color="auto"/>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62</w:t>
            </w:r>
          </w:p>
        </w:tc>
      </w:tr>
      <w:tr w:rsidR="00766206" w:rsidRPr="008C263A" w:rsidTr="00D068D8">
        <w:trPr>
          <w:trHeight w:val="300"/>
        </w:trPr>
        <w:tc>
          <w:tcPr>
            <w:tcW w:w="1220" w:type="dxa"/>
            <w:tcBorders>
              <w:top w:val="nil"/>
              <w:left w:val="single" w:sz="4" w:space="0" w:color="auto"/>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1a</w:t>
            </w:r>
          </w:p>
        </w:tc>
        <w:tc>
          <w:tcPr>
            <w:tcW w:w="1314"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Yes</w:t>
            </w:r>
          </w:p>
        </w:tc>
        <w:tc>
          <w:tcPr>
            <w:tcW w:w="94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Tela</w:t>
            </w:r>
          </w:p>
        </w:tc>
        <w:tc>
          <w:tcPr>
            <w:tcW w:w="172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Non-responder</w:t>
            </w:r>
          </w:p>
        </w:tc>
        <w:tc>
          <w:tcPr>
            <w:tcW w:w="134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0</w:t>
            </w:r>
          </w:p>
        </w:tc>
        <w:tc>
          <w:tcPr>
            <w:tcW w:w="150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5.8</w:t>
            </w:r>
          </w:p>
        </w:tc>
        <w:tc>
          <w:tcPr>
            <w:tcW w:w="1247"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0</w:t>
            </w:r>
          </w:p>
        </w:tc>
        <w:tc>
          <w:tcPr>
            <w:tcW w:w="132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p>
        </w:tc>
        <w:tc>
          <w:tcPr>
            <w:tcW w:w="158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V36M, R155K</w:t>
            </w:r>
          </w:p>
        </w:tc>
        <w:tc>
          <w:tcPr>
            <w:tcW w:w="1580" w:type="dxa"/>
            <w:tcBorders>
              <w:top w:val="nil"/>
              <w:left w:val="nil"/>
              <w:bottom w:val="nil"/>
              <w:right w:val="single" w:sz="4" w:space="0" w:color="auto"/>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62</w:t>
            </w:r>
          </w:p>
        </w:tc>
      </w:tr>
      <w:tr w:rsidR="00766206" w:rsidRPr="008C263A" w:rsidTr="00D068D8">
        <w:trPr>
          <w:trHeight w:val="300"/>
        </w:trPr>
        <w:tc>
          <w:tcPr>
            <w:tcW w:w="1220" w:type="dxa"/>
            <w:tcBorders>
              <w:top w:val="nil"/>
              <w:left w:val="single" w:sz="4" w:space="0" w:color="auto"/>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1a</w:t>
            </w:r>
          </w:p>
        </w:tc>
        <w:tc>
          <w:tcPr>
            <w:tcW w:w="1314"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Yes</w:t>
            </w:r>
          </w:p>
        </w:tc>
        <w:tc>
          <w:tcPr>
            <w:tcW w:w="94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Tela</w:t>
            </w:r>
          </w:p>
        </w:tc>
        <w:tc>
          <w:tcPr>
            <w:tcW w:w="172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Breakthrough</w:t>
            </w:r>
          </w:p>
        </w:tc>
        <w:tc>
          <w:tcPr>
            <w:tcW w:w="134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Atazanavir</w:t>
            </w:r>
          </w:p>
        </w:tc>
        <w:tc>
          <w:tcPr>
            <w:tcW w:w="150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6.0</w:t>
            </w:r>
          </w:p>
        </w:tc>
        <w:tc>
          <w:tcPr>
            <w:tcW w:w="1247"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0</w:t>
            </w:r>
          </w:p>
        </w:tc>
        <w:tc>
          <w:tcPr>
            <w:tcW w:w="132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p>
        </w:tc>
        <w:tc>
          <w:tcPr>
            <w:tcW w:w="158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R155K</w:t>
            </w:r>
          </w:p>
        </w:tc>
        <w:tc>
          <w:tcPr>
            <w:tcW w:w="1580" w:type="dxa"/>
            <w:tcBorders>
              <w:top w:val="nil"/>
              <w:left w:val="nil"/>
              <w:bottom w:val="nil"/>
              <w:right w:val="single" w:sz="4" w:space="0" w:color="auto"/>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7.4</w:t>
            </w:r>
          </w:p>
        </w:tc>
      </w:tr>
      <w:tr w:rsidR="00766206" w:rsidRPr="008C263A" w:rsidTr="00D068D8">
        <w:trPr>
          <w:trHeight w:val="300"/>
        </w:trPr>
        <w:tc>
          <w:tcPr>
            <w:tcW w:w="1220" w:type="dxa"/>
            <w:tcBorders>
              <w:top w:val="nil"/>
              <w:left w:val="single" w:sz="4" w:space="0" w:color="auto"/>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1a</w:t>
            </w:r>
          </w:p>
        </w:tc>
        <w:tc>
          <w:tcPr>
            <w:tcW w:w="1314"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Yes</w:t>
            </w:r>
          </w:p>
        </w:tc>
        <w:tc>
          <w:tcPr>
            <w:tcW w:w="94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Tela</w:t>
            </w:r>
          </w:p>
        </w:tc>
        <w:tc>
          <w:tcPr>
            <w:tcW w:w="172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Breakthrough</w:t>
            </w:r>
          </w:p>
        </w:tc>
        <w:tc>
          <w:tcPr>
            <w:tcW w:w="134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Atazanavir</w:t>
            </w:r>
          </w:p>
        </w:tc>
        <w:tc>
          <w:tcPr>
            <w:tcW w:w="150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6.5</w:t>
            </w:r>
          </w:p>
        </w:tc>
        <w:tc>
          <w:tcPr>
            <w:tcW w:w="1247"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0</w:t>
            </w:r>
          </w:p>
        </w:tc>
        <w:tc>
          <w:tcPr>
            <w:tcW w:w="132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p>
        </w:tc>
        <w:tc>
          <w:tcPr>
            <w:tcW w:w="158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V36M</w:t>
            </w:r>
          </w:p>
        </w:tc>
        <w:tc>
          <w:tcPr>
            <w:tcW w:w="1580" w:type="dxa"/>
            <w:tcBorders>
              <w:top w:val="nil"/>
              <w:left w:val="nil"/>
              <w:bottom w:val="nil"/>
              <w:right w:val="single" w:sz="4" w:space="0" w:color="auto"/>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6.8 - 10.0</w:t>
            </w:r>
          </w:p>
        </w:tc>
      </w:tr>
      <w:tr w:rsidR="00766206" w:rsidRPr="008C263A" w:rsidTr="00D068D8">
        <w:trPr>
          <w:trHeight w:val="300"/>
        </w:trPr>
        <w:tc>
          <w:tcPr>
            <w:tcW w:w="1220" w:type="dxa"/>
            <w:tcBorders>
              <w:top w:val="nil"/>
              <w:left w:val="single" w:sz="4" w:space="0" w:color="auto"/>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1a</w:t>
            </w:r>
          </w:p>
        </w:tc>
        <w:tc>
          <w:tcPr>
            <w:tcW w:w="1314"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No</w:t>
            </w:r>
          </w:p>
        </w:tc>
        <w:tc>
          <w:tcPr>
            <w:tcW w:w="94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Tela</w:t>
            </w:r>
          </w:p>
        </w:tc>
        <w:tc>
          <w:tcPr>
            <w:tcW w:w="172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Breakthrough</w:t>
            </w:r>
          </w:p>
        </w:tc>
        <w:tc>
          <w:tcPr>
            <w:tcW w:w="134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Atazanavir</w:t>
            </w:r>
          </w:p>
        </w:tc>
        <w:tc>
          <w:tcPr>
            <w:tcW w:w="150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6.0</w:t>
            </w:r>
          </w:p>
        </w:tc>
        <w:tc>
          <w:tcPr>
            <w:tcW w:w="1247"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0</w:t>
            </w:r>
          </w:p>
        </w:tc>
        <w:tc>
          <w:tcPr>
            <w:tcW w:w="132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p>
        </w:tc>
        <w:tc>
          <w:tcPr>
            <w:tcW w:w="158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V36M, R155K</w:t>
            </w:r>
          </w:p>
        </w:tc>
        <w:tc>
          <w:tcPr>
            <w:tcW w:w="1580" w:type="dxa"/>
            <w:tcBorders>
              <w:top w:val="nil"/>
              <w:left w:val="nil"/>
              <w:bottom w:val="nil"/>
              <w:right w:val="single" w:sz="4" w:space="0" w:color="auto"/>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62</w:t>
            </w:r>
          </w:p>
        </w:tc>
      </w:tr>
      <w:tr w:rsidR="00766206" w:rsidRPr="008C263A" w:rsidTr="00D068D8">
        <w:trPr>
          <w:trHeight w:val="300"/>
        </w:trPr>
        <w:tc>
          <w:tcPr>
            <w:tcW w:w="1220" w:type="dxa"/>
            <w:tcBorders>
              <w:top w:val="nil"/>
              <w:left w:val="single" w:sz="4" w:space="0" w:color="auto"/>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1b</w:t>
            </w:r>
          </w:p>
        </w:tc>
        <w:tc>
          <w:tcPr>
            <w:tcW w:w="1314"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Yes</w:t>
            </w:r>
          </w:p>
        </w:tc>
        <w:tc>
          <w:tcPr>
            <w:tcW w:w="94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Tela</w:t>
            </w:r>
          </w:p>
        </w:tc>
        <w:tc>
          <w:tcPr>
            <w:tcW w:w="172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Relapse</w:t>
            </w:r>
          </w:p>
        </w:tc>
        <w:tc>
          <w:tcPr>
            <w:tcW w:w="134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Atazanavir</w:t>
            </w:r>
          </w:p>
        </w:tc>
        <w:tc>
          <w:tcPr>
            <w:tcW w:w="150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6.4</w:t>
            </w:r>
          </w:p>
        </w:tc>
        <w:tc>
          <w:tcPr>
            <w:tcW w:w="1247"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I132V</w:t>
            </w:r>
          </w:p>
        </w:tc>
        <w:tc>
          <w:tcPr>
            <w:tcW w:w="132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1.8</w:t>
            </w:r>
          </w:p>
        </w:tc>
        <w:tc>
          <w:tcPr>
            <w:tcW w:w="158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I132V, V36A</w:t>
            </w:r>
          </w:p>
        </w:tc>
        <w:tc>
          <w:tcPr>
            <w:tcW w:w="1580" w:type="dxa"/>
            <w:tcBorders>
              <w:top w:val="nil"/>
              <w:left w:val="nil"/>
              <w:bottom w:val="nil"/>
              <w:right w:val="single" w:sz="4" w:space="0" w:color="auto"/>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7.4-7.5</w:t>
            </w:r>
          </w:p>
        </w:tc>
      </w:tr>
      <w:tr w:rsidR="00766206" w:rsidRPr="008C263A" w:rsidTr="00D068D8">
        <w:trPr>
          <w:trHeight w:val="300"/>
        </w:trPr>
        <w:tc>
          <w:tcPr>
            <w:tcW w:w="1220" w:type="dxa"/>
            <w:tcBorders>
              <w:top w:val="nil"/>
              <w:left w:val="single" w:sz="4" w:space="0" w:color="auto"/>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1a</w:t>
            </w:r>
          </w:p>
        </w:tc>
        <w:tc>
          <w:tcPr>
            <w:tcW w:w="1314"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No</w:t>
            </w:r>
          </w:p>
        </w:tc>
        <w:tc>
          <w:tcPr>
            <w:tcW w:w="94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Tela</w:t>
            </w:r>
          </w:p>
        </w:tc>
        <w:tc>
          <w:tcPr>
            <w:tcW w:w="172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Relapse</w:t>
            </w:r>
          </w:p>
        </w:tc>
        <w:tc>
          <w:tcPr>
            <w:tcW w:w="134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0</w:t>
            </w:r>
          </w:p>
        </w:tc>
        <w:tc>
          <w:tcPr>
            <w:tcW w:w="150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6.3</w:t>
            </w:r>
          </w:p>
        </w:tc>
        <w:tc>
          <w:tcPr>
            <w:tcW w:w="1247"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I132V</w:t>
            </w:r>
          </w:p>
        </w:tc>
        <w:tc>
          <w:tcPr>
            <w:tcW w:w="132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1.8</w:t>
            </w:r>
          </w:p>
        </w:tc>
        <w:tc>
          <w:tcPr>
            <w:tcW w:w="158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I132V, V36A</w:t>
            </w:r>
          </w:p>
        </w:tc>
        <w:tc>
          <w:tcPr>
            <w:tcW w:w="1580" w:type="dxa"/>
            <w:tcBorders>
              <w:top w:val="nil"/>
              <w:left w:val="nil"/>
              <w:bottom w:val="nil"/>
              <w:right w:val="single" w:sz="4" w:space="0" w:color="auto"/>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7.4-7.5</w:t>
            </w:r>
          </w:p>
        </w:tc>
      </w:tr>
      <w:tr w:rsidR="00766206" w:rsidRPr="008C263A" w:rsidTr="00D068D8">
        <w:trPr>
          <w:trHeight w:val="300"/>
        </w:trPr>
        <w:tc>
          <w:tcPr>
            <w:tcW w:w="1220" w:type="dxa"/>
            <w:tcBorders>
              <w:top w:val="nil"/>
              <w:left w:val="single" w:sz="4" w:space="0" w:color="auto"/>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1b</w:t>
            </w:r>
          </w:p>
        </w:tc>
        <w:tc>
          <w:tcPr>
            <w:tcW w:w="1314"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No</w:t>
            </w:r>
          </w:p>
        </w:tc>
        <w:tc>
          <w:tcPr>
            <w:tcW w:w="94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Tela</w:t>
            </w:r>
          </w:p>
        </w:tc>
        <w:tc>
          <w:tcPr>
            <w:tcW w:w="172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Relapse</w:t>
            </w:r>
          </w:p>
        </w:tc>
        <w:tc>
          <w:tcPr>
            <w:tcW w:w="134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0</w:t>
            </w:r>
          </w:p>
        </w:tc>
        <w:tc>
          <w:tcPr>
            <w:tcW w:w="150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4.9</w:t>
            </w:r>
          </w:p>
        </w:tc>
        <w:tc>
          <w:tcPr>
            <w:tcW w:w="1247"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I132V</w:t>
            </w:r>
          </w:p>
        </w:tc>
        <w:tc>
          <w:tcPr>
            <w:tcW w:w="132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1.8</w:t>
            </w:r>
          </w:p>
        </w:tc>
        <w:tc>
          <w:tcPr>
            <w:tcW w:w="1580" w:type="dxa"/>
            <w:tcBorders>
              <w:top w:val="nil"/>
              <w:left w:val="nil"/>
              <w:bottom w:val="nil"/>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I132V, V36A</w:t>
            </w:r>
          </w:p>
        </w:tc>
        <w:tc>
          <w:tcPr>
            <w:tcW w:w="1580" w:type="dxa"/>
            <w:tcBorders>
              <w:top w:val="nil"/>
              <w:left w:val="nil"/>
              <w:bottom w:val="nil"/>
              <w:right w:val="single" w:sz="4" w:space="0" w:color="auto"/>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7.4-7.5</w:t>
            </w:r>
          </w:p>
        </w:tc>
      </w:tr>
      <w:tr w:rsidR="00766206" w:rsidRPr="008C263A" w:rsidTr="00D068D8">
        <w:trPr>
          <w:trHeight w:val="300"/>
        </w:trPr>
        <w:tc>
          <w:tcPr>
            <w:tcW w:w="1220" w:type="dxa"/>
            <w:tcBorders>
              <w:top w:val="nil"/>
              <w:left w:val="single" w:sz="4" w:space="0" w:color="auto"/>
              <w:bottom w:val="single" w:sz="4" w:space="0" w:color="auto"/>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1a</w:t>
            </w:r>
          </w:p>
        </w:tc>
        <w:tc>
          <w:tcPr>
            <w:tcW w:w="1314" w:type="dxa"/>
            <w:tcBorders>
              <w:top w:val="nil"/>
              <w:left w:val="nil"/>
              <w:bottom w:val="single" w:sz="4" w:space="0" w:color="auto"/>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NA</w:t>
            </w:r>
          </w:p>
        </w:tc>
        <w:tc>
          <w:tcPr>
            <w:tcW w:w="940" w:type="dxa"/>
            <w:tcBorders>
              <w:top w:val="nil"/>
              <w:left w:val="nil"/>
              <w:bottom w:val="single" w:sz="4" w:space="0" w:color="auto"/>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Boce</w:t>
            </w:r>
          </w:p>
        </w:tc>
        <w:tc>
          <w:tcPr>
            <w:tcW w:w="1720" w:type="dxa"/>
            <w:tcBorders>
              <w:top w:val="nil"/>
              <w:left w:val="nil"/>
              <w:bottom w:val="single" w:sz="4" w:space="0" w:color="auto"/>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Relapse</w:t>
            </w:r>
          </w:p>
        </w:tc>
        <w:tc>
          <w:tcPr>
            <w:tcW w:w="1340" w:type="dxa"/>
            <w:tcBorders>
              <w:top w:val="nil"/>
              <w:left w:val="nil"/>
              <w:bottom w:val="single" w:sz="4" w:space="0" w:color="auto"/>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Darunavir</w:t>
            </w:r>
          </w:p>
        </w:tc>
        <w:tc>
          <w:tcPr>
            <w:tcW w:w="1500" w:type="dxa"/>
            <w:tcBorders>
              <w:top w:val="nil"/>
              <w:left w:val="nil"/>
              <w:bottom w:val="single" w:sz="4" w:space="0" w:color="auto"/>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NA</w:t>
            </w:r>
          </w:p>
        </w:tc>
        <w:tc>
          <w:tcPr>
            <w:tcW w:w="1247" w:type="dxa"/>
            <w:tcBorders>
              <w:top w:val="nil"/>
              <w:left w:val="nil"/>
              <w:bottom w:val="single" w:sz="4" w:space="0" w:color="auto"/>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NA</w:t>
            </w:r>
          </w:p>
        </w:tc>
        <w:tc>
          <w:tcPr>
            <w:tcW w:w="1320" w:type="dxa"/>
            <w:tcBorders>
              <w:top w:val="nil"/>
              <w:left w:val="nil"/>
              <w:bottom w:val="single" w:sz="4" w:space="0" w:color="auto"/>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NA</w:t>
            </w:r>
          </w:p>
        </w:tc>
        <w:tc>
          <w:tcPr>
            <w:tcW w:w="1580" w:type="dxa"/>
            <w:tcBorders>
              <w:top w:val="nil"/>
              <w:left w:val="nil"/>
              <w:bottom w:val="single" w:sz="4" w:space="0" w:color="auto"/>
              <w:right w:val="nil"/>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T54S, R155K</w:t>
            </w:r>
          </w:p>
        </w:tc>
        <w:tc>
          <w:tcPr>
            <w:tcW w:w="1580" w:type="dxa"/>
            <w:tcBorders>
              <w:top w:val="nil"/>
              <w:left w:val="nil"/>
              <w:bottom w:val="single" w:sz="4" w:space="0" w:color="auto"/>
              <w:right w:val="single" w:sz="4" w:space="0" w:color="auto"/>
            </w:tcBorders>
            <w:noWrap/>
            <w:vAlign w:val="bottom"/>
          </w:tcPr>
          <w:p w:rsidR="00766206" w:rsidRPr="008C263A" w:rsidRDefault="00766206" w:rsidP="00F23E6B">
            <w:pPr>
              <w:spacing w:after="0" w:line="360" w:lineRule="auto"/>
              <w:jc w:val="both"/>
              <w:rPr>
                <w:rFonts w:ascii="Book Antiqua" w:hAnsi="Book Antiqua"/>
                <w:sz w:val="24"/>
                <w:szCs w:val="24"/>
                <w:lang w:val="fr-FR" w:eastAsia="fr-FR"/>
              </w:rPr>
            </w:pPr>
            <w:r w:rsidRPr="008C263A">
              <w:rPr>
                <w:rFonts w:ascii="Book Antiqua" w:hAnsi="Book Antiqua"/>
                <w:sz w:val="24"/>
                <w:szCs w:val="24"/>
                <w:lang w:val="fr-FR" w:eastAsia="fr-FR"/>
              </w:rPr>
              <w:t>8.5</w:t>
            </w:r>
          </w:p>
        </w:tc>
      </w:tr>
    </w:tbl>
    <w:p w:rsidR="00766206" w:rsidRPr="008C263A" w:rsidRDefault="00766206" w:rsidP="00F23E6B">
      <w:pPr>
        <w:pStyle w:val="Default"/>
        <w:spacing w:line="360" w:lineRule="auto"/>
        <w:jc w:val="both"/>
        <w:rPr>
          <w:rFonts w:ascii="Book Antiqua" w:hAnsi="Book Antiqua"/>
          <w:lang w:val="en-US" w:eastAsia="zh-CN"/>
        </w:rPr>
      </w:pPr>
      <w:r w:rsidRPr="00E83D3B">
        <w:rPr>
          <w:rFonts w:ascii="Book Antiqua" w:hAnsi="Book Antiqua"/>
          <w:bCs/>
          <w:vertAlign w:val="superscript"/>
          <w:lang w:val="en-US" w:eastAsia="zh-CN"/>
        </w:rPr>
        <w:t>1</w:t>
      </w:r>
      <w:r w:rsidRPr="008C263A">
        <w:rPr>
          <w:rFonts w:ascii="Book Antiqua" w:hAnsi="Book Antiqua"/>
          <w:lang w:val="en-US"/>
        </w:rPr>
        <w:t>Fold-change in EC50 with</w:t>
      </w:r>
      <w:r>
        <w:rPr>
          <w:rFonts w:ascii="Book Antiqua" w:hAnsi="Book Antiqua"/>
          <w:lang w:val="en-US"/>
        </w:rPr>
        <w:t xml:space="preserve"> regard to specific PI received</w:t>
      </w:r>
      <w:r>
        <w:rPr>
          <w:rFonts w:ascii="Book Antiqua" w:hAnsi="Book Antiqua"/>
          <w:lang w:val="en-US" w:eastAsia="zh-CN"/>
        </w:rPr>
        <w:t>.</w:t>
      </w:r>
      <w:r w:rsidRPr="008C263A">
        <w:rPr>
          <w:rFonts w:ascii="Book Antiqua" w:hAnsi="Book Antiqua"/>
          <w:lang w:val="en-US"/>
        </w:rPr>
        <w:t xml:space="preserve"> </w:t>
      </w:r>
      <w:r w:rsidRPr="008C263A">
        <w:rPr>
          <w:rFonts w:ascii="Book Antiqua" w:hAnsi="Book Antiqua"/>
          <w:lang w:val="en-US" w:eastAsia="zh-CN"/>
        </w:rPr>
        <w:t xml:space="preserve">HCV: </w:t>
      </w:r>
      <w:r w:rsidRPr="008C263A">
        <w:rPr>
          <w:rFonts w:ascii="Book Antiqua" w:hAnsi="Book Antiqua"/>
          <w:lang w:val="en-US"/>
        </w:rPr>
        <w:t>Hepatitis C virus</w:t>
      </w:r>
      <w:r w:rsidRPr="008C263A">
        <w:rPr>
          <w:rFonts w:ascii="Book Antiqua" w:hAnsi="Book Antiqua"/>
          <w:lang w:val="en-US" w:eastAsia="zh-CN"/>
        </w:rPr>
        <w:t xml:space="preserve">; </w:t>
      </w:r>
      <w:r w:rsidRPr="008C263A">
        <w:rPr>
          <w:rFonts w:ascii="Book Antiqua" w:hAnsi="Book Antiqua"/>
          <w:lang w:val="en-US"/>
        </w:rPr>
        <w:t>Tela:</w:t>
      </w:r>
      <w:r w:rsidRPr="008C263A">
        <w:rPr>
          <w:rFonts w:ascii="Book Antiqua" w:hAnsi="Book Antiqua"/>
          <w:lang w:val="en-US" w:eastAsia="zh-CN"/>
        </w:rPr>
        <w:t xml:space="preserve"> </w:t>
      </w:r>
      <w:r w:rsidRPr="008C263A">
        <w:rPr>
          <w:rFonts w:ascii="Book Antiqua" w:hAnsi="Book Antiqua"/>
          <w:lang w:val="en-US"/>
        </w:rPr>
        <w:t>Telaprevir; Boce: Boceprevir; HIV</w:t>
      </w:r>
      <w:r w:rsidRPr="008C263A">
        <w:rPr>
          <w:rFonts w:ascii="Book Antiqua" w:hAnsi="Book Antiqua"/>
          <w:lang w:val="en-US" w:eastAsia="zh-CN"/>
        </w:rPr>
        <w:t xml:space="preserve"> </w:t>
      </w:r>
      <w:r w:rsidRPr="008C263A">
        <w:rPr>
          <w:rFonts w:ascii="Book Antiqua" w:hAnsi="Book Antiqua"/>
          <w:lang w:val="en-US"/>
        </w:rPr>
        <w:t>PI: Human immunodeficiency virus protease inhibitor; NA: Data unavailable</w:t>
      </w:r>
      <w:r>
        <w:rPr>
          <w:rFonts w:ascii="Book Antiqua" w:hAnsi="Book Antiqua"/>
          <w:lang w:val="en-US" w:eastAsia="zh-CN"/>
        </w:rPr>
        <w:t>.</w:t>
      </w:r>
    </w:p>
    <w:p w:rsidR="00766206" w:rsidRPr="008C263A" w:rsidRDefault="00766206" w:rsidP="00F23E6B">
      <w:pPr>
        <w:spacing w:after="0" w:line="360" w:lineRule="auto"/>
        <w:jc w:val="both"/>
        <w:rPr>
          <w:rFonts w:ascii="Book Antiqua" w:hAnsi="Book Antiqua" w:cs="Arial"/>
          <w:noProof/>
          <w:sz w:val="24"/>
          <w:szCs w:val="24"/>
          <w:lang w:eastAsia="zh-CN"/>
        </w:rPr>
      </w:pPr>
      <w:r w:rsidRPr="008C263A">
        <w:rPr>
          <w:rFonts w:ascii="Book Antiqua" w:hAnsi="Book Antiqua"/>
          <w:sz w:val="24"/>
          <w:szCs w:val="24"/>
        </w:rPr>
        <w:br w:type="page"/>
      </w:r>
    </w:p>
    <w:p w:rsidR="00766206" w:rsidRPr="008C263A" w:rsidRDefault="0020125E" w:rsidP="00F23E6B">
      <w:pPr>
        <w:spacing w:after="0" w:line="360" w:lineRule="auto"/>
        <w:jc w:val="both"/>
        <w:rPr>
          <w:rFonts w:ascii="Book Antiqua" w:hAnsi="Book Antiqua" w:cs="Arial"/>
          <w:sz w:val="24"/>
          <w:szCs w:val="24"/>
          <w:lang w:val="pt-BR"/>
        </w:rPr>
      </w:pPr>
      <w:r>
        <w:rPr>
          <w:rFonts w:ascii="Book Antiqua" w:hAnsi="Book Antiqua" w:cs="Arial"/>
          <w:noProof/>
          <w:sz w:val="24"/>
          <w:szCs w:val="24"/>
        </w:rPr>
        <w:drawing>
          <wp:inline distT="0" distB="0" distL="0" distR="0">
            <wp:extent cx="6245225" cy="2110740"/>
            <wp:effectExtent l="0" t="0" r="317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5225" cy="2110740"/>
                    </a:xfrm>
                    <a:prstGeom prst="rect">
                      <a:avLst/>
                    </a:prstGeom>
                    <a:noFill/>
                    <a:ln>
                      <a:noFill/>
                    </a:ln>
                  </pic:spPr>
                </pic:pic>
              </a:graphicData>
            </a:graphic>
          </wp:inline>
        </w:drawing>
      </w:r>
    </w:p>
    <w:p w:rsidR="00766206" w:rsidRPr="008C263A" w:rsidRDefault="00766206" w:rsidP="00F23E6B">
      <w:pPr>
        <w:spacing w:after="0" w:line="360" w:lineRule="auto"/>
        <w:jc w:val="both"/>
        <w:rPr>
          <w:rFonts w:ascii="Book Antiqua" w:hAnsi="Book Antiqua"/>
          <w:b/>
          <w:sz w:val="24"/>
          <w:szCs w:val="24"/>
        </w:rPr>
      </w:pPr>
      <w:r w:rsidRPr="008C263A">
        <w:rPr>
          <w:rFonts w:ascii="Book Antiqua" w:hAnsi="Book Antiqua" w:cs="Arial"/>
          <w:b/>
          <w:sz w:val="24"/>
          <w:szCs w:val="24"/>
          <w:lang w:val="pt-BR"/>
        </w:rPr>
        <w:t>Figure 1 Antiretroviral treatment regimens at initiation of triple anti-</w:t>
      </w:r>
      <w:r w:rsidRPr="008C263A">
        <w:rPr>
          <w:rFonts w:ascii="Book Antiqua" w:hAnsi="Book Antiqua" w:cs="Arial"/>
          <w:b/>
          <w:sz w:val="24"/>
          <w:szCs w:val="24"/>
        </w:rPr>
        <w:t>hepatitis C virus</w:t>
      </w:r>
      <w:r w:rsidRPr="008C263A">
        <w:rPr>
          <w:rFonts w:ascii="Book Antiqua" w:hAnsi="Book Antiqua" w:cs="Arial"/>
          <w:b/>
          <w:sz w:val="24"/>
          <w:szCs w:val="24"/>
          <w:lang w:val="pt-BR"/>
        </w:rPr>
        <w:t xml:space="preserve"> therapy (</w:t>
      </w:r>
      <w:r w:rsidRPr="008C263A">
        <w:rPr>
          <w:rFonts w:ascii="Book Antiqua" w:hAnsi="Book Antiqua" w:cs="Arial"/>
          <w:b/>
          <w:i/>
          <w:sz w:val="24"/>
          <w:szCs w:val="24"/>
          <w:lang w:val="pt-BR"/>
        </w:rPr>
        <w:t>n</w:t>
      </w:r>
      <w:r w:rsidRPr="008C263A">
        <w:rPr>
          <w:rFonts w:ascii="Book Antiqua" w:hAnsi="Book Antiqua" w:cs="Arial"/>
          <w:b/>
          <w:sz w:val="24"/>
          <w:szCs w:val="24"/>
          <w:lang w:val="pt-BR" w:eastAsia="zh-CN"/>
        </w:rPr>
        <w:t xml:space="preserve"> </w:t>
      </w:r>
      <w:r w:rsidRPr="008C263A">
        <w:rPr>
          <w:rFonts w:ascii="Book Antiqua" w:hAnsi="Book Antiqua" w:cs="Arial"/>
          <w:b/>
          <w:sz w:val="24"/>
          <w:szCs w:val="24"/>
          <w:lang w:val="pt-BR"/>
        </w:rPr>
        <w:t>=</w:t>
      </w:r>
      <w:r w:rsidRPr="008C263A">
        <w:rPr>
          <w:rFonts w:ascii="Book Antiqua" w:hAnsi="Book Antiqua" w:cs="Arial"/>
          <w:b/>
          <w:sz w:val="24"/>
          <w:szCs w:val="24"/>
          <w:lang w:val="pt-BR" w:eastAsia="zh-CN"/>
        </w:rPr>
        <w:t xml:space="preserve"> </w:t>
      </w:r>
      <w:r w:rsidRPr="008C263A">
        <w:rPr>
          <w:rFonts w:ascii="Book Antiqua" w:hAnsi="Book Antiqua" w:cs="Arial"/>
          <w:b/>
          <w:sz w:val="24"/>
          <w:szCs w:val="24"/>
          <w:lang w:val="pt-BR"/>
        </w:rPr>
        <w:t>41)</w:t>
      </w:r>
      <w:r w:rsidRPr="008C263A">
        <w:rPr>
          <w:rFonts w:ascii="Book Antiqua" w:hAnsi="Book Antiqua" w:cs="Arial"/>
          <w:b/>
          <w:sz w:val="24"/>
          <w:szCs w:val="24"/>
          <w:lang w:val="pt-BR" w:eastAsia="zh-CN"/>
        </w:rPr>
        <w:t>.</w:t>
      </w:r>
      <w:r w:rsidRPr="008C263A">
        <w:rPr>
          <w:rFonts w:ascii="Book Antiqua" w:hAnsi="Book Antiqua"/>
          <w:b/>
          <w:sz w:val="24"/>
          <w:szCs w:val="24"/>
        </w:rPr>
        <w:t xml:space="preserve"> </w:t>
      </w:r>
    </w:p>
    <w:p w:rsidR="00766206" w:rsidRPr="008C263A" w:rsidRDefault="00766206" w:rsidP="00F23E6B">
      <w:pPr>
        <w:pStyle w:val="Default"/>
        <w:spacing w:line="360" w:lineRule="auto"/>
        <w:jc w:val="both"/>
        <w:rPr>
          <w:rFonts w:ascii="Book Antiqua" w:hAnsi="Book Antiqua"/>
          <w:color w:val="auto"/>
          <w:lang w:val="pt-BR"/>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766206" w:rsidP="00F23E6B">
      <w:pPr>
        <w:pStyle w:val="Default"/>
        <w:spacing w:line="360" w:lineRule="auto"/>
        <w:jc w:val="both"/>
        <w:rPr>
          <w:rFonts w:ascii="Book Antiqua" w:hAnsi="Book Antiqua"/>
          <w:color w:val="auto"/>
          <w:lang w:val="pt-BR" w:eastAsia="zh-CN"/>
        </w:rPr>
      </w:pPr>
    </w:p>
    <w:p w:rsidR="00766206" w:rsidRPr="008C263A" w:rsidRDefault="0020125E" w:rsidP="00F23E6B">
      <w:pPr>
        <w:pStyle w:val="Default"/>
        <w:spacing w:line="360" w:lineRule="auto"/>
        <w:jc w:val="both"/>
        <w:rPr>
          <w:rFonts w:ascii="Book Antiqua" w:hAnsi="Book Antiqua"/>
          <w:color w:val="auto"/>
          <w:lang w:val="en-US"/>
        </w:rPr>
      </w:pPr>
      <w:r>
        <w:rPr>
          <w:rFonts w:ascii="Book Antiqua" w:hAnsi="Book Antiqua"/>
          <w:noProof/>
          <w:color w:val="auto"/>
          <w:lang w:val="en-US"/>
        </w:rPr>
        <w:lastRenderedPageBreak/>
        <w:drawing>
          <wp:inline distT="0" distB="0" distL="0" distR="0">
            <wp:extent cx="5486400" cy="3453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453130"/>
                    </a:xfrm>
                    <a:prstGeom prst="rect">
                      <a:avLst/>
                    </a:prstGeom>
                    <a:noFill/>
                    <a:ln>
                      <a:noFill/>
                    </a:ln>
                  </pic:spPr>
                </pic:pic>
              </a:graphicData>
            </a:graphic>
          </wp:inline>
        </w:drawing>
      </w:r>
    </w:p>
    <w:p w:rsidR="00766206" w:rsidRPr="008C263A" w:rsidRDefault="00766206" w:rsidP="00F23E6B">
      <w:pPr>
        <w:pStyle w:val="Default"/>
        <w:spacing w:line="360" w:lineRule="auto"/>
        <w:jc w:val="both"/>
        <w:rPr>
          <w:rFonts w:ascii="Book Antiqua" w:hAnsi="Book Antiqua"/>
          <w:b/>
          <w:color w:val="auto"/>
          <w:lang w:val="en-US" w:eastAsia="zh-CN"/>
        </w:rPr>
      </w:pPr>
      <w:r w:rsidRPr="008C263A">
        <w:rPr>
          <w:rFonts w:ascii="Book Antiqua" w:hAnsi="Book Antiqua"/>
          <w:b/>
          <w:color w:val="auto"/>
          <w:lang w:val="en-US"/>
        </w:rPr>
        <w:t>Figure 2 Number of patients with undetectable hepatitis C virus-RNA between hepatitis C virus treatment initiation and sustained virological response 12</w:t>
      </w:r>
      <w:r w:rsidRPr="008C263A">
        <w:rPr>
          <w:rFonts w:ascii="Book Antiqua" w:hAnsi="Book Antiqua"/>
          <w:b/>
          <w:color w:val="auto"/>
          <w:lang w:val="en-US" w:eastAsia="zh-CN"/>
        </w:rPr>
        <w:t>.</w:t>
      </w:r>
    </w:p>
    <w:p w:rsidR="00766206" w:rsidRPr="008C263A" w:rsidRDefault="00766206" w:rsidP="00F23E6B">
      <w:pPr>
        <w:pStyle w:val="Default"/>
        <w:spacing w:line="360" w:lineRule="auto"/>
        <w:jc w:val="both"/>
        <w:rPr>
          <w:rFonts w:ascii="Book Antiqua" w:hAnsi="Book Antiqua"/>
          <w:color w:val="auto"/>
          <w:lang w:val="en-US"/>
        </w:rPr>
      </w:pPr>
    </w:p>
    <w:p w:rsidR="00766206" w:rsidRPr="008C263A" w:rsidRDefault="00766206" w:rsidP="00F23E6B">
      <w:pPr>
        <w:spacing w:after="0" w:line="360" w:lineRule="auto"/>
        <w:jc w:val="both"/>
        <w:rPr>
          <w:rFonts w:ascii="Book Antiqua" w:hAnsi="Book Antiqua" w:cs="Arial"/>
          <w:sz w:val="24"/>
          <w:szCs w:val="24"/>
        </w:rPr>
      </w:pPr>
    </w:p>
    <w:p w:rsidR="00766206" w:rsidRPr="008C263A" w:rsidRDefault="00766206" w:rsidP="00F23E6B">
      <w:pPr>
        <w:spacing w:after="0" w:line="360" w:lineRule="auto"/>
        <w:jc w:val="both"/>
        <w:rPr>
          <w:rFonts w:ascii="Book Antiqua" w:hAnsi="Book Antiqua" w:cs="Arial"/>
          <w:sz w:val="24"/>
          <w:szCs w:val="24"/>
        </w:rPr>
      </w:pPr>
    </w:p>
    <w:p w:rsidR="00766206" w:rsidRPr="008C263A" w:rsidRDefault="00766206" w:rsidP="00F23E6B">
      <w:pPr>
        <w:spacing w:after="0" w:line="360" w:lineRule="auto"/>
        <w:jc w:val="both"/>
        <w:rPr>
          <w:rFonts w:ascii="Book Antiqua" w:hAnsi="Book Antiqua" w:cs="Arial"/>
          <w:sz w:val="24"/>
          <w:szCs w:val="24"/>
        </w:rPr>
      </w:pP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766206" w:rsidP="00F23E6B">
      <w:pPr>
        <w:spacing w:after="0" w:line="360" w:lineRule="auto"/>
        <w:jc w:val="both"/>
        <w:rPr>
          <w:rFonts w:ascii="Book Antiqua" w:hAnsi="Book Antiqua" w:cs="Arial"/>
          <w:sz w:val="24"/>
          <w:szCs w:val="24"/>
          <w:lang w:eastAsia="zh-CN"/>
        </w:rPr>
      </w:pPr>
    </w:p>
    <w:p w:rsidR="00766206" w:rsidRPr="008C263A" w:rsidRDefault="0020125E" w:rsidP="00F23E6B">
      <w:pPr>
        <w:spacing w:after="0" w:line="360" w:lineRule="auto"/>
        <w:jc w:val="both"/>
        <w:rPr>
          <w:rFonts w:ascii="Book Antiqua" w:hAnsi="Book Antiqua"/>
          <w:noProof/>
          <w:sz w:val="24"/>
          <w:szCs w:val="24"/>
          <w:lang w:eastAsia="zh-CN"/>
        </w:rPr>
      </w:pPr>
      <w:r>
        <w:rPr>
          <w:rFonts w:ascii="Book Antiqua" w:hAnsi="Book Antiqua"/>
          <w:noProof/>
          <w:sz w:val="24"/>
          <w:szCs w:val="24"/>
        </w:rPr>
        <w:lastRenderedPageBreak/>
        <w:drawing>
          <wp:inline distT="0" distB="0" distL="0" distR="0">
            <wp:extent cx="6186805" cy="2811145"/>
            <wp:effectExtent l="0" t="0" r="1079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6805" cy="2811145"/>
                    </a:xfrm>
                    <a:prstGeom prst="rect">
                      <a:avLst/>
                    </a:prstGeom>
                    <a:noFill/>
                    <a:ln>
                      <a:noFill/>
                    </a:ln>
                  </pic:spPr>
                </pic:pic>
              </a:graphicData>
            </a:graphic>
          </wp:inline>
        </w:drawing>
      </w:r>
    </w:p>
    <w:p w:rsidR="00766206" w:rsidRDefault="00766206" w:rsidP="008C263A">
      <w:pPr>
        <w:spacing w:after="0" w:line="360" w:lineRule="auto"/>
        <w:jc w:val="both"/>
        <w:rPr>
          <w:rFonts w:ascii="Book Antiqua" w:hAnsi="Book Antiqua"/>
          <w:sz w:val="24"/>
          <w:szCs w:val="24"/>
          <w:lang w:eastAsia="zh-CN"/>
        </w:rPr>
      </w:pPr>
      <w:r w:rsidRPr="00A006D8">
        <w:rPr>
          <w:rFonts w:ascii="Book Antiqua" w:hAnsi="Book Antiqua"/>
          <w:b/>
          <w:sz w:val="24"/>
          <w:szCs w:val="24"/>
        </w:rPr>
        <w:t>Figure 3 Sustained virological response at 12 wk following treatment discontinuation according to prior treatment history, fibrosis severity and genotype in 40 patients with available follow-up</w:t>
      </w:r>
      <w:r w:rsidRPr="00A006D8">
        <w:rPr>
          <w:rFonts w:ascii="Book Antiqua" w:hAnsi="Book Antiqua"/>
          <w:b/>
          <w:sz w:val="24"/>
          <w:szCs w:val="24"/>
          <w:lang w:eastAsia="zh-CN"/>
        </w:rPr>
        <w:t>.</w:t>
      </w:r>
      <w:r w:rsidRPr="008C263A">
        <w:rPr>
          <w:rFonts w:ascii="Book Antiqua" w:hAnsi="Book Antiqua"/>
          <w:sz w:val="24"/>
          <w:szCs w:val="24"/>
          <w:lang w:eastAsia="zh-CN"/>
        </w:rPr>
        <w:t xml:space="preserve"> </w:t>
      </w:r>
      <w:r w:rsidRPr="008C263A">
        <w:rPr>
          <w:rFonts w:ascii="Book Antiqua" w:hAnsi="Book Antiqua"/>
          <w:sz w:val="24"/>
          <w:szCs w:val="24"/>
        </w:rPr>
        <w:t>PTI: Premature treatment interruption</w:t>
      </w:r>
      <w:r w:rsidRPr="008C263A">
        <w:rPr>
          <w:rFonts w:ascii="Book Antiqua" w:hAnsi="Book Antiqua"/>
          <w:sz w:val="24"/>
          <w:szCs w:val="24"/>
          <w:lang w:eastAsia="zh-CN"/>
        </w:rPr>
        <w:t>.</w:t>
      </w:r>
    </w:p>
    <w:p w:rsidR="00766206" w:rsidRPr="008C263A" w:rsidRDefault="00766206" w:rsidP="008C263A">
      <w:pPr>
        <w:pStyle w:val="Default"/>
        <w:spacing w:line="360" w:lineRule="auto"/>
        <w:jc w:val="both"/>
        <w:rPr>
          <w:lang w:eastAsia="zh-CN"/>
        </w:rPr>
      </w:pPr>
    </w:p>
    <w:sectPr w:rsidR="00766206" w:rsidRPr="008C263A" w:rsidSect="00DA7363">
      <w:footerReference w:type="default" r:id="rId11"/>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38" w:rsidRDefault="00A94F38" w:rsidP="001F6E0C">
      <w:pPr>
        <w:spacing w:after="0" w:line="240" w:lineRule="auto"/>
      </w:pPr>
      <w:r>
        <w:separator/>
      </w:r>
    </w:p>
  </w:endnote>
  <w:endnote w:type="continuationSeparator" w:id="0">
    <w:p w:rsidR="00A94F38" w:rsidRDefault="00A94F38" w:rsidP="001F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0000000000000000000"/>
    <w:charset w:val="80"/>
    <w:family w:val="roman"/>
    <w:notTrueType/>
    <w:pitch w:val="fixed"/>
    <w:sig w:usb0="00000001" w:usb1="08070000" w:usb2="00000010" w:usb3="00000000" w:csb0="00020000" w:csb1="00000000"/>
  </w:font>
  <w:font w:name="Gulim">
    <w:altName w:val="굴림"/>
    <w:charset w:val="81"/>
    <w:family w:val="swiss"/>
    <w:pitch w:val="variable"/>
    <w:sig w:usb0="B00002AF" w:usb1="69D77CFB" w:usb2="00000030" w:usb3="00000000" w:csb0="000800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06" w:rsidRDefault="00766206" w:rsidP="00DF17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25E">
      <w:rPr>
        <w:rStyle w:val="PageNumber"/>
        <w:noProof/>
      </w:rPr>
      <w:t>23</w:t>
    </w:r>
    <w:r>
      <w:rPr>
        <w:rStyle w:val="PageNumber"/>
      </w:rPr>
      <w:fldChar w:fldCharType="end"/>
    </w:r>
  </w:p>
  <w:p w:rsidR="00766206" w:rsidRDefault="00766206">
    <w:pPr>
      <w:pStyle w:val="Footer"/>
      <w:jc w:val="right"/>
    </w:pPr>
  </w:p>
  <w:p w:rsidR="00766206" w:rsidRDefault="007662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38" w:rsidRDefault="00A94F38" w:rsidP="001F6E0C">
      <w:pPr>
        <w:spacing w:after="0" w:line="240" w:lineRule="auto"/>
      </w:pPr>
      <w:r>
        <w:separator/>
      </w:r>
    </w:p>
  </w:footnote>
  <w:footnote w:type="continuationSeparator" w:id="0">
    <w:p w:rsidR="00A94F38" w:rsidRDefault="00A94F38" w:rsidP="001F6E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A8BC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570B7"/>
    <w:multiLevelType w:val="hybridMultilevel"/>
    <w:tmpl w:val="8A6CC08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86C555B"/>
    <w:multiLevelType w:val="hybridMultilevel"/>
    <w:tmpl w:val="196230F4"/>
    <w:lvl w:ilvl="0" w:tplc="48787488">
      <w:start w:val="3"/>
      <w:numFmt w:val="decimal"/>
      <w:lvlText w:val="%1"/>
      <w:lvlJc w:val="left"/>
      <w:pPr>
        <w:ind w:left="360" w:hanging="360"/>
      </w:pPr>
      <w:rPr>
        <w:rFonts w:cs="Times New Roman"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nsid w:val="17F6725C"/>
    <w:multiLevelType w:val="hybridMultilevel"/>
    <w:tmpl w:val="8A6CC08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91E3E48"/>
    <w:multiLevelType w:val="hybridMultilevel"/>
    <w:tmpl w:val="12A82632"/>
    <w:lvl w:ilvl="0" w:tplc="9DB0DC6E">
      <w:start w:val="3"/>
      <w:numFmt w:val="decimal"/>
      <w:lvlText w:val="%1"/>
      <w:lvlJc w:val="left"/>
      <w:pPr>
        <w:ind w:left="360" w:hanging="360"/>
      </w:pPr>
      <w:rPr>
        <w:rFonts w:cs="Times New Roman"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5">
    <w:nsid w:val="191E441A"/>
    <w:multiLevelType w:val="hybridMultilevel"/>
    <w:tmpl w:val="8A6CC08C"/>
    <w:lvl w:ilvl="0" w:tplc="040C000F">
      <w:start w:val="1"/>
      <w:numFmt w:val="decimal"/>
      <w:lvlText w:val="%1."/>
      <w:lvlJc w:val="left"/>
      <w:pPr>
        <w:ind w:left="502" w:hanging="360"/>
      </w:pPr>
      <w:rPr>
        <w:rFonts w:cs="Times New Roman" w:hint="default"/>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6">
    <w:nsid w:val="20102F18"/>
    <w:multiLevelType w:val="hybridMultilevel"/>
    <w:tmpl w:val="9A65F6F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63C0C7C"/>
    <w:multiLevelType w:val="hybridMultilevel"/>
    <w:tmpl w:val="9CAE699A"/>
    <w:lvl w:ilvl="0" w:tplc="1B226784">
      <w:start w:val="3"/>
      <w:numFmt w:val="decimal"/>
      <w:lvlText w:val="%1."/>
      <w:lvlJc w:val="left"/>
      <w:pPr>
        <w:ind w:left="1065" w:hanging="360"/>
      </w:pPr>
      <w:rPr>
        <w:rFonts w:cs="Times New Roman" w:hint="default"/>
        <w:b/>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8">
    <w:nsid w:val="27B21091"/>
    <w:multiLevelType w:val="hybridMultilevel"/>
    <w:tmpl w:val="8A6CC08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D536C69"/>
    <w:multiLevelType w:val="hybridMultilevel"/>
    <w:tmpl w:val="8A6CC08C"/>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0">
    <w:nsid w:val="419F3002"/>
    <w:multiLevelType w:val="hybridMultilevel"/>
    <w:tmpl w:val="8A6CC08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452C6AE4"/>
    <w:multiLevelType w:val="hybridMultilevel"/>
    <w:tmpl w:val="E6362C2C"/>
    <w:lvl w:ilvl="0" w:tplc="379CE7BE">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486AF5"/>
    <w:multiLevelType w:val="hybridMultilevel"/>
    <w:tmpl w:val="8A6CC08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5F047572"/>
    <w:multiLevelType w:val="hybridMultilevel"/>
    <w:tmpl w:val="C0143A72"/>
    <w:lvl w:ilvl="0" w:tplc="B7B08084">
      <w:start w:val="8"/>
      <w:numFmt w:val="bullet"/>
      <w:lvlText w:val=""/>
      <w:lvlJc w:val="left"/>
      <w:pPr>
        <w:ind w:left="720" w:hanging="360"/>
      </w:pPr>
      <w:rPr>
        <w:rFonts w:ascii="Symbol" w:eastAsia="Times New Roman" w:hAnsi="Symbol" w:hint="default"/>
        <w:color w:val="00000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027689"/>
    <w:multiLevelType w:val="hybridMultilevel"/>
    <w:tmpl w:val="8A6CC08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7F540F47"/>
    <w:multiLevelType w:val="hybridMultilevel"/>
    <w:tmpl w:val="8A6CC08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3"/>
  </w:num>
  <w:num w:numId="4">
    <w:abstractNumId w:val="5"/>
  </w:num>
  <w:num w:numId="5">
    <w:abstractNumId w:val="0"/>
  </w:num>
  <w:num w:numId="6">
    <w:abstractNumId w:val="14"/>
  </w:num>
  <w:num w:numId="7">
    <w:abstractNumId w:val="12"/>
  </w:num>
  <w:num w:numId="8">
    <w:abstractNumId w:val="1"/>
  </w:num>
  <w:num w:numId="9">
    <w:abstractNumId w:val="15"/>
  </w:num>
  <w:num w:numId="10">
    <w:abstractNumId w:val="10"/>
  </w:num>
  <w:num w:numId="11">
    <w:abstractNumId w:val="3"/>
  </w:num>
  <w:num w:numId="12">
    <w:abstractNumId w:val="8"/>
  </w:num>
  <w:num w:numId="13">
    <w:abstractNumId w:val="9"/>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08"/>
  <w:hyphenationZone w:val="425"/>
  <w:drawingGridHorizontalSpacing w:val="110"/>
  <w:displayHorizontalDrawingGridEvery w:val="2"/>
  <w:characterSpacingControl w:val="doNotCompress"/>
  <w:noLineBreaksAfter w:lang="zh-CN" w:val="$([{£¥·‘“〈《「『【〔〖〝﹙﹛﹝＄（．［｛￡￥"/>
  <w:noLineBreaksBefore w:lang="zh-CN" w:val="!%),.:;&gt;?]}¢¨°·ˇˉ―‖’”…‰′″›℃∶、。〃〉》」』】〕〗〞︶︺︾﹀﹄﹚﹜﹞！＂％＇），．：；？］｀｜｝～￠"/>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50"/>
    <w:rsid w:val="00016D89"/>
    <w:rsid w:val="00027C7D"/>
    <w:rsid w:val="00033162"/>
    <w:rsid w:val="00036457"/>
    <w:rsid w:val="00041791"/>
    <w:rsid w:val="00041FB7"/>
    <w:rsid w:val="00044024"/>
    <w:rsid w:val="0004509B"/>
    <w:rsid w:val="00045FA8"/>
    <w:rsid w:val="00047957"/>
    <w:rsid w:val="00060480"/>
    <w:rsid w:val="0006250C"/>
    <w:rsid w:val="000635A6"/>
    <w:rsid w:val="00065C0C"/>
    <w:rsid w:val="00066295"/>
    <w:rsid w:val="0006795E"/>
    <w:rsid w:val="00071A4C"/>
    <w:rsid w:val="00074382"/>
    <w:rsid w:val="00075266"/>
    <w:rsid w:val="0007552F"/>
    <w:rsid w:val="00075950"/>
    <w:rsid w:val="00076142"/>
    <w:rsid w:val="00082FA6"/>
    <w:rsid w:val="00084FC6"/>
    <w:rsid w:val="000867CA"/>
    <w:rsid w:val="0009419F"/>
    <w:rsid w:val="000960FA"/>
    <w:rsid w:val="000971C1"/>
    <w:rsid w:val="000A0989"/>
    <w:rsid w:val="000A12C9"/>
    <w:rsid w:val="000A1DE2"/>
    <w:rsid w:val="000A320E"/>
    <w:rsid w:val="000B04D6"/>
    <w:rsid w:val="000B0E05"/>
    <w:rsid w:val="000B207B"/>
    <w:rsid w:val="000C360A"/>
    <w:rsid w:val="000C5049"/>
    <w:rsid w:val="000C5DF0"/>
    <w:rsid w:val="000D4281"/>
    <w:rsid w:val="000D6554"/>
    <w:rsid w:val="000E558E"/>
    <w:rsid w:val="000F08F1"/>
    <w:rsid w:val="00104B9C"/>
    <w:rsid w:val="00105805"/>
    <w:rsid w:val="00105A31"/>
    <w:rsid w:val="001140A5"/>
    <w:rsid w:val="00114B6A"/>
    <w:rsid w:val="00121510"/>
    <w:rsid w:val="001241CB"/>
    <w:rsid w:val="00126D85"/>
    <w:rsid w:val="001356D1"/>
    <w:rsid w:val="001405BB"/>
    <w:rsid w:val="001406E6"/>
    <w:rsid w:val="00145969"/>
    <w:rsid w:val="00154E17"/>
    <w:rsid w:val="00155E34"/>
    <w:rsid w:val="001574B9"/>
    <w:rsid w:val="00157967"/>
    <w:rsid w:val="00157E33"/>
    <w:rsid w:val="00161029"/>
    <w:rsid w:val="00161F8A"/>
    <w:rsid w:val="00163656"/>
    <w:rsid w:val="00165CF2"/>
    <w:rsid w:val="00170A55"/>
    <w:rsid w:val="00171C18"/>
    <w:rsid w:val="001732F4"/>
    <w:rsid w:val="0017331E"/>
    <w:rsid w:val="0017733E"/>
    <w:rsid w:val="001809B8"/>
    <w:rsid w:val="001812B7"/>
    <w:rsid w:val="00183614"/>
    <w:rsid w:val="0018732E"/>
    <w:rsid w:val="0019553B"/>
    <w:rsid w:val="001A274E"/>
    <w:rsid w:val="001A734B"/>
    <w:rsid w:val="001A73E1"/>
    <w:rsid w:val="001B1220"/>
    <w:rsid w:val="001B6564"/>
    <w:rsid w:val="001C3A91"/>
    <w:rsid w:val="001C42AC"/>
    <w:rsid w:val="001C45FE"/>
    <w:rsid w:val="001C5ED6"/>
    <w:rsid w:val="001D4B6C"/>
    <w:rsid w:val="001D4F1F"/>
    <w:rsid w:val="001D5014"/>
    <w:rsid w:val="001D6101"/>
    <w:rsid w:val="001D63D9"/>
    <w:rsid w:val="001D6ABB"/>
    <w:rsid w:val="001D7FB7"/>
    <w:rsid w:val="001E1472"/>
    <w:rsid w:val="001E4144"/>
    <w:rsid w:val="001E4480"/>
    <w:rsid w:val="001F1E65"/>
    <w:rsid w:val="001F366D"/>
    <w:rsid w:val="001F398A"/>
    <w:rsid w:val="001F6E0C"/>
    <w:rsid w:val="0020125E"/>
    <w:rsid w:val="0020711C"/>
    <w:rsid w:val="002108B7"/>
    <w:rsid w:val="00222657"/>
    <w:rsid w:val="00225BF9"/>
    <w:rsid w:val="00225D28"/>
    <w:rsid w:val="00226061"/>
    <w:rsid w:val="00233210"/>
    <w:rsid w:val="00233CA9"/>
    <w:rsid w:val="0024173D"/>
    <w:rsid w:val="0024536E"/>
    <w:rsid w:val="002456C9"/>
    <w:rsid w:val="002728C4"/>
    <w:rsid w:val="00275948"/>
    <w:rsid w:val="0028242A"/>
    <w:rsid w:val="00282BAB"/>
    <w:rsid w:val="002857D5"/>
    <w:rsid w:val="00286609"/>
    <w:rsid w:val="00293EAC"/>
    <w:rsid w:val="00294C88"/>
    <w:rsid w:val="002962E8"/>
    <w:rsid w:val="002A7350"/>
    <w:rsid w:val="002B05ED"/>
    <w:rsid w:val="002B1503"/>
    <w:rsid w:val="002B2585"/>
    <w:rsid w:val="002B27A7"/>
    <w:rsid w:val="002B326D"/>
    <w:rsid w:val="002C0DDB"/>
    <w:rsid w:val="002C43A4"/>
    <w:rsid w:val="002C4ADC"/>
    <w:rsid w:val="002C7799"/>
    <w:rsid w:val="002D39E0"/>
    <w:rsid w:val="002D4924"/>
    <w:rsid w:val="002E389E"/>
    <w:rsid w:val="002F6451"/>
    <w:rsid w:val="00302082"/>
    <w:rsid w:val="00306EA1"/>
    <w:rsid w:val="00307399"/>
    <w:rsid w:val="0030792A"/>
    <w:rsid w:val="00307B8F"/>
    <w:rsid w:val="00311128"/>
    <w:rsid w:val="00313C83"/>
    <w:rsid w:val="00315399"/>
    <w:rsid w:val="00315876"/>
    <w:rsid w:val="00315F69"/>
    <w:rsid w:val="0031769E"/>
    <w:rsid w:val="00320D02"/>
    <w:rsid w:val="00324C94"/>
    <w:rsid w:val="003279F6"/>
    <w:rsid w:val="00332AE1"/>
    <w:rsid w:val="003367D3"/>
    <w:rsid w:val="00340F0B"/>
    <w:rsid w:val="003457AE"/>
    <w:rsid w:val="00353688"/>
    <w:rsid w:val="00372696"/>
    <w:rsid w:val="00382B19"/>
    <w:rsid w:val="00382FC4"/>
    <w:rsid w:val="00383B9A"/>
    <w:rsid w:val="00385C89"/>
    <w:rsid w:val="00391E8A"/>
    <w:rsid w:val="0039227B"/>
    <w:rsid w:val="0039355C"/>
    <w:rsid w:val="00394A40"/>
    <w:rsid w:val="0039619E"/>
    <w:rsid w:val="00397B92"/>
    <w:rsid w:val="003A63C3"/>
    <w:rsid w:val="003B01AE"/>
    <w:rsid w:val="003B2389"/>
    <w:rsid w:val="003B26DE"/>
    <w:rsid w:val="003B68E9"/>
    <w:rsid w:val="003C0C44"/>
    <w:rsid w:val="003C3A79"/>
    <w:rsid w:val="003D6FA7"/>
    <w:rsid w:val="003E3146"/>
    <w:rsid w:val="003E4B78"/>
    <w:rsid w:val="003E6759"/>
    <w:rsid w:val="003F161D"/>
    <w:rsid w:val="003F2104"/>
    <w:rsid w:val="003F2270"/>
    <w:rsid w:val="003F5112"/>
    <w:rsid w:val="00400838"/>
    <w:rsid w:val="004078D8"/>
    <w:rsid w:val="00415F95"/>
    <w:rsid w:val="00417721"/>
    <w:rsid w:val="004201C3"/>
    <w:rsid w:val="00424DF3"/>
    <w:rsid w:val="004263C9"/>
    <w:rsid w:val="00427627"/>
    <w:rsid w:val="0043329C"/>
    <w:rsid w:val="0044166F"/>
    <w:rsid w:val="00443F90"/>
    <w:rsid w:val="00447835"/>
    <w:rsid w:val="00447D40"/>
    <w:rsid w:val="00456CA3"/>
    <w:rsid w:val="00456F36"/>
    <w:rsid w:val="00460616"/>
    <w:rsid w:val="004625D7"/>
    <w:rsid w:val="0046657C"/>
    <w:rsid w:val="0047601D"/>
    <w:rsid w:val="00477311"/>
    <w:rsid w:val="00481C44"/>
    <w:rsid w:val="00486200"/>
    <w:rsid w:val="004879D4"/>
    <w:rsid w:val="004947DD"/>
    <w:rsid w:val="004949FA"/>
    <w:rsid w:val="00497380"/>
    <w:rsid w:val="00497B84"/>
    <w:rsid w:val="004B1785"/>
    <w:rsid w:val="004B1CC9"/>
    <w:rsid w:val="004B55C1"/>
    <w:rsid w:val="004B5A0D"/>
    <w:rsid w:val="004B7CD9"/>
    <w:rsid w:val="004C0086"/>
    <w:rsid w:val="004C0AC3"/>
    <w:rsid w:val="004C3E32"/>
    <w:rsid w:val="004D26F5"/>
    <w:rsid w:val="004D5B61"/>
    <w:rsid w:val="004D7FAB"/>
    <w:rsid w:val="004E1EAF"/>
    <w:rsid w:val="004E3839"/>
    <w:rsid w:val="004E4D14"/>
    <w:rsid w:val="004E6B08"/>
    <w:rsid w:val="004F76AF"/>
    <w:rsid w:val="00500464"/>
    <w:rsid w:val="005045DC"/>
    <w:rsid w:val="0050484A"/>
    <w:rsid w:val="0051607D"/>
    <w:rsid w:val="005231A0"/>
    <w:rsid w:val="005318F9"/>
    <w:rsid w:val="00531AB8"/>
    <w:rsid w:val="00533D7F"/>
    <w:rsid w:val="00535938"/>
    <w:rsid w:val="00536CE3"/>
    <w:rsid w:val="00540AE7"/>
    <w:rsid w:val="0054117C"/>
    <w:rsid w:val="0054287E"/>
    <w:rsid w:val="00542E43"/>
    <w:rsid w:val="005478C4"/>
    <w:rsid w:val="00552850"/>
    <w:rsid w:val="00555C71"/>
    <w:rsid w:val="0056144E"/>
    <w:rsid w:val="00564B20"/>
    <w:rsid w:val="00574A6B"/>
    <w:rsid w:val="00580256"/>
    <w:rsid w:val="00581198"/>
    <w:rsid w:val="00581D55"/>
    <w:rsid w:val="00581E65"/>
    <w:rsid w:val="0058496E"/>
    <w:rsid w:val="00593EB9"/>
    <w:rsid w:val="005A17BF"/>
    <w:rsid w:val="005A65E3"/>
    <w:rsid w:val="005A68D0"/>
    <w:rsid w:val="005B3C3B"/>
    <w:rsid w:val="005B4DE9"/>
    <w:rsid w:val="005B5C5C"/>
    <w:rsid w:val="005C277C"/>
    <w:rsid w:val="005C2813"/>
    <w:rsid w:val="005C2840"/>
    <w:rsid w:val="005D6529"/>
    <w:rsid w:val="005D7939"/>
    <w:rsid w:val="005E62EE"/>
    <w:rsid w:val="00601524"/>
    <w:rsid w:val="00610AFE"/>
    <w:rsid w:val="006128EC"/>
    <w:rsid w:val="00614935"/>
    <w:rsid w:val="006162D0"/>
    <w:rsid w:val="00617F3A"/>
    <w:rsid w:val="00621C85"/>
    <w:rsid w:val="00627A03"/>
    <w:rsid w:val="00630A49"/>
    <w:rsid w:val="006312CF"/>
    <w:rsid w:val="00632215"/>
    <w:rsid w:val="00634DF6"/>
    <w:rsid w:val="006404A4"/>
    <w:rsid w:val="0064187E"/>
    <w:rsid w:val="00641E93"/>
    <w:rsid w:val="006473B6"/>
    <w:rsid w:val="006527E3"/>
    <w:rsid w:val="00652D2B"/>
    <w:rsid w:val="00653ED8"/>
    <w:rsid w:val="006567D2"/>
    <w:rsid w:val="00660AE7"/>
    <w:rsid w:val="00661751"/>
    <w:rsid w:val="00666AAC"/>
    <w:rsid w:val="006756CB"/>
    <w:rsid w:val="00680757"/>
    <w:rsid w:val="0068324B"/>
    <w:rsid w:val="00684B10"/>
    <w:rsid w:val="00686A6C"/>
    <w:rsid w:val="0069409D"/>
    <w:rsid w:val="00695BD0"/>
    <w:rsid w:val="006969EE"/>
    <w:rsid w:val="006975DB"/>
    <w:rsid w:val="006A1157"/>
    <w:rsid w:val="006A7B67"/>
    <w:rsid w:val="006B20DB"/>
    <w:rsid w:val="006B3C4C"/>
    <w:rsid w:val="006C0474"/>
    <w:rsid w:val="006C3B17"/>
    <w:rsid w:val="006C79A4"/>
    <w:rsid w:val="006C7D50"/>
    <w:rsid w:val="006D0285"/>
    <w:rsid w:val="006D22A7"/>
    <w:rsid w:val="006D6871"/>
    <w:rsid w:val="006E0CD2"/>
    <w:rsid w:val="006E1A0F"/>
    <w:rsid w:val="006E32B4"/>
    <w:rsid w:val="006E7F0B"/>
    <w:rsid w:val="00700056"/>
    <w:rsid w:val="0071076D"/>
    <w:rsid w:val="00710D12"/>
    <w:rsid w:val="007208EE"/>
    <w:rsid w:val="00721472"/>
    <w:rsid w:val="00725DD2"/>
    <w:rsid w:val="00726BBE"/>
    <w:rsid w:val="007325FE"/>
    <w:rsid w:val="00732E56"/>
    <w:rsid w:val="007341D1"/>
    <w:rsid w:val="00736F33"/>
    <w:rsid w:val="00742B0F"/>
    <w:rsid w:val="00746F3E"/>
    <w:rsid w:val="00747C90"/>
    <w:rsid w:val="00750723"/>
    <w:rsid w:val="007546C2"/>
    <w:rsid w:val="0076030F"/>
    <w:rsid w:val="00766206"/>
    <w:rsid w:val="00777438"/>
    <w:rsid w:val="0078235B"/>
    <w:rsid w:val="00783B37"/>
    <w:rsid w:val="00785D3E"/>
    <w:rsid w:val="007874DD"/>
    <w:rsid w:val="00787CE0"/>
    <w:rsid w:val="00790B63"/>
    <w:rsid w:val="00794711"/>
    <w:rsid w:val="007A3CAF"/>
    <w:rsid w:val="007A4CB7"/>
    <w:rsid w:val="007B2E23"/>
    <w:rsid w:val="007B3E47"/>
    <w:rsid w:val="007B48F9"/>
    <w:rsid w:val="007C0B4C"/>
    <w:rsid w:val="007C1ED2"/>
    <w:rsid w:val="007C411D"/>
    <w:rsid w:val="007C7AC7"/>
    <w:rsid w:val="007D0DB6"/>
    <w:rsid w:val="007D3984"/>
    <w:rsid w:val="007D5B28"/>
    <w:rsid w:val="007D5D9D"/>
    <w:rsid w:val="007D750B"/>
    <w:rsid w:val="007E0407"/>
    <w:rsid w:val="007E0B4D"/>
    <w:rsid w:val="007E1D71"/>
    <w:rsid w:val="007F2469"/>
    <w:rsid w:val="007F2DEB"/>
    <w:rsid w:val="00802DCA"/>
    <w:rsid w:val="008034F8"/>
    <w:rsid w:val="00804050"/>
    <w:rsid w:val="00811DD6"/>
    <w:rsid w:val="0081405D"/>
    <w:rsid w:val="00815257"/>
    <w:rsid w:val="00815E58"/>
    <w:rsid w:val="00816128"/>
    <w:rsid w:val="0081690B"/>
    <w:rsid w:val="00820FCC"/>
    <w:rsid w:val="00821CED"/>
    <w:rsid w:val="008237A4"/>
    <w:rsid w:val="008306FD"/>
    <w:rsid w:val="00831841"/>
    <w:rsid w:val="0083404F"/>
    <w:rsid w:val="00836511"/>
    <w:rsid w:val="00841EF1"/>
    <w:rsid w:val="0085707A"/>
    <w:rsid w:val="008678DA"/>
    <w:rsid w:val="008679ED"/>
    <w:rsid w:val="0087057C"/>
    <w:rsid w:val="00874F19"/>
    <w:rsid w:val="0088137A"/>
    <w:rsid w:val="0088253A"/>
    <w:rsid w:val="00885DAB"/>
    <w:rsid w:val="00886224"/>
    <w:rsid w:val="008879D8"/>
    <w:rsid w:val="0089056E"/>
    <w:rsid w:val="00896CCB"/>
    <w:rsid w:val="008A5FC5"/>
    <w:rsid w:val="008B06A8"/>
    <w:rsid w:val="008B6A9B"/>
    <w:rsid w:val="008C0C3D"/>
    <w:rsid w:val="008C172A"/>
    <w:rsid w:val="008C263A"/>
    <w:rsid w:val="008C62D3"/>
    <w:rsid w:val="008C78FB"/>
    <w:rsid w:val="008D34C7"/>
    <w:rsid w:val="008D4E4A"/>
    <w:rsid w:val="008E0BFD"/>
    <w:rsid w:val="008E1F83"/>
    <w:rsid w:val="008E7D02"/>
    <w:rsid w:val="008F6FDE"/>
    <w:rsid w:val="00903309"/>
    <w:rsid w:val="00905A52"/>
    <w:rsid w:val="00906CFD"/>
    <w:rsid w:val="0090724D"/>
    <w:rsid w:val="00911A5A"/>
    <w:rsid w:val="009126CE"/>
    <w:rsid w:val="00914CAB"/>
    <w:rsid w:val="009159B6"/>
    <w:rsid w:val="009164F8"/>
    <w:rsid w:val="00917B10"/>
    <w:rsid w:val="00920D2E"/>
    <w:rsid w:val="00921322"/>
    <w:rsid w:val="0092238E"/>
    <w:rsid w:val="00923D7B"/>
    <w:rsid w:val="00924E75"/>
    <w:rsid w:val="009301B1"/>
    <w:rsid w:val="009410B3"/>
    <w:rsid w:val="009416F1"/>
    <w:rsid w:val="00941E9D"/>
    <w:rsid w:val="009505AD"/>
    <w:rsid w:val="009521AC"/>
    <w:rsid w:val="009527B9"/>
    <w:rsid w:val="0095453F"/>
    <w:rsid w:val="00956E9F"/>
    <w:rsid w:val="00960F84"/>
    <w:rsid w:val="00961B6F"/>
    <w:rsid w:val="00973A08"/>
    <w:rsid w:val="0097618A"/>
    <w:rsid w:val="009812EE"/>
    <w:rsid w:val="00984132"/>
    <w:rsid w:val="0099061A"/>
    <w:rsid w:val="00990E45"/>
    <w:rsid w:val="00993306"/>
    <w:rsid w:val="009943FB"/>
    <w:rsid w:val="009A1BAF"/>
    <w:rsid w:val="009A5A3E"/>
    <w:rsid w:val="009C1CF0"/>
    <w:rsid w:val="009C3720"/>
    <w:rsid w:val="009D25A8"/>
    <w:rsid w:val="009D46EA"/>
    <w:rsid w:val="009D5CC0"/>
    <w:rsid w:val="009E40C3"/>
    <w:rsid w:val="009E5561"/>
    <w:rsid w:val="009F595D"/>
    <w:rsid w:val="009F6AB4"/>
    <w:rsid w:val="00A006D8"/>
    <w:rsid w:val="00A03F52"/>
    <w:rsid w:val="00A15849"/>
    <w:rsid w:val="00A17482"/>
    <w:rsid w:val="00A20C75"/>
    <w:rsid w:val="00A2122B"/>
    <w:rsid w:val="00A2162B"/>
    <w:rsid w:val="00A24066"/>
    <w:rsid w:val="00A258FD"/>
    <w:rsid w:val="00A3202A"/>
    <w:rsid w:val="00A33E43"/>
    <w:rsid w:val="00A37E24"/>
    <w:rsid w:val="00A42259"/>
    <w:rsid w:val="00A42C97"/>
    <w:rsid w:val="00A437D9"/>
    <w:rsid w:val="00A445BD"/>
    <w:rsid w:val="00A565B1"/>
    <w:rsid w:val="00A57BFF"/>
    <w:rsid w:val="00A63D6A"/>
    <w:rsid w:val="00A667F5"/>
    <w:rsid w:val="00A674EA"/>
    <w:rsid w:val="00A7378F"/>
    <w:rsid w:val="00A75BEF"/>
    <w:rsid w:val="00A76BCF"/>
    <w:rsid w:val="00A911EF"/>
    <w:rsid w:val="00A94F38"/>
    <w:rsid w:val="00A96C32"/>
    <w:rsid w:val="00AA7676"/>
    <w:rsid w:val="00AB13D0"/>
    <w:rsid w:val="00AB5AD8"/>
    <w:rsid w:val="00AB71EA"/>
    <w:rsid w:val="00AB726D"/>
    <w:rsid w:val="00AC3BBC"/>
    <w:rsid w:val="00AD7D9E"/>
    <w:rsid w:val="00AE066F"/>
    <w:rsid w:val="00AE2DB1"/>
    <w:rsid w:val="00AE3101"/>
    <w:rsid w:val="00AF3573"/>
    <w:rsid w:val="00AF5248"/>
    <w:rsid w:val="00AF5654"/>
    <w:rsid w:val="00B0476B"/>
    <w:rsid w:val="00B14823"/>
    <w:rsid w:val="00B21B7F"/>
    <w:rsid w:val="00B23135"/>
    <w:rsid w:val="00B259EF"/>
    <w:rsid w:val="00B3119A"/>
    <w:rsid w:val="00B31915"/>
    <w:rsid w:val="00B338A4"/>
    <w:rsid w:val="00B3645A"/>
    <w:rsid w:val="00B37D2B"/>
    <w:rsid w:val="00B42847"/>
    <w:rsid w:val="00B43B0F"/>
    <w:rsid w:val="00B549E5"/>
    <w:rsid w:val="00B56EE2"/>
    <w:rsid w:val="00B62C66"/>
    <w:rsid w:val="00B64C50"/>
    <w:rsid w:val="00B71DD5"/>
    <w:rsid w:val="00B755BD"/>
    <w:rsid w:val="00B84643"/>
    <w:rsid w:val="00B84CFD"/>
    <w:rsid w:val="00B84FCC"/>
    <w:rsid w:val="00B91FF6"/>
    <w:rsid w:val="00B938D2"/>
    <w:rsid w:val="00BA0B5A"/>
    <w:rsid w:val="00BA512C"/>
    <w:rsid w:val="00BA6235"/>
    <w:rsid w:val="00BA7ACA"/>
    <w:rsid w:val="00BC1CC1"/>
    <w:rsid w:val="00BC1EB2"/>
    <w:rsid w:val="00BC77B6"/>
    <w:rsid w:val="00BC7F90"/>
    <w:rsid w:val="00BD4CBE"/>
    <w:rsid w:val="00BD4EB9"/>
    <w:rsid w:val="00BD4F4F"/>
    <w:rsid w:val="00BE25CA"/>
    <w:rsid w:val="00BE3850"/>
    <w:rsid w:val="00BE760A"/>
    <w:rsid w:val="00BE7C6E"/>
    <w:rsid w:val="00BF5015"/>
    <w:rsid w:val="00C01E99"/>
    <w:rsid w:val="00C125B4"/>
    <w:rsid w:val="00C12DB7"/>
    <w:rsid w:val="00C13323"/>
    <w:rsid w:val="00C13B09"/>
    <w:rsid w:val="00C14467"/>
    <w:rsid w:val="00C16905"/>
    <w:rsid w:val="00C2138F"/>
    <w:rsid w:val="00C225CC"/>
    <w:rsid w:val="00C225E9"/>
    <w:rsid w:val="00C230C0"/>
    <w:rsid w:val="00C24895"/>
    <w:rsid w:val="00C42591"/>
    <w:rsid w:val="00C456EE"/>
    <w:rsid w:val="00C46C0B"/>
    <w:rsid w:val="00C47054"/>
    <w:rsid w:val="00C50D43"/>
    <w:rsid w:val="00C53796"/>
    <w:rsid w:val="00C53A37"/>
    <w:rsid w:val="00C54824"/>
    <w:rsid w:val="00C56AEA"/>
    <w:rsid w:val="00C61A1A"/>
    <w:rsid w:val="00C635D6"/>
    <w:rsid w:val="00C65CC2"/>
    <w:rsid w:val="00C65E02"/>
    <w:rsid w:val="00C66755"/>
    <w:rsid w:val="00C73D51"/>
    <w:rsid w:val="00C90915"/>
    <w:rsid w:val="00C938C6"/>
    <w:rsid w:val="00C97435"/>
    <w:rsid w:val="00CA31F8"/>
    <w:rsid w:val="00CA6971"/>
    <w:rsid w:val="00CB348F"/>
    <w:rsid w:val="00CC460F"/>
    <w:rsid w:val="00CC4A57"/>
    <w:rsid w:val="00CC55CC"/>
    <w:rsid w:val="00CC5EFA"/>
    <w:rsid w:val="00CC7140"/>
    <w:rsid w:val="00CD1A7E"/>
    <w:rsid w:val="00CD4444"/>
    <w:rsid w:val="00CE1D22"/>
    <w:rsid w:val="00CE3D5A"/>
    <w:rsid w:val="00CE697C"/>
    <w:rsid w:val="00CE6CD6"/>
    <w:rsid w:val="00CF0844"/>
    <w:rsid w:val="00CF0ACC"/>
    <w:rsid w:val="00CF3D0F"/>
    <w:rsid w:val="00CF5C72"/>
    <w:rsid w:val="00CF72A4"/>
    <w:rsid w:val="00D01DDA"/>
    <w:rsid w:val="00D02A9C"/>
    <w:rsid w:val="00D068D8"/>
    <w:rsid w:val="00D1203A"/>
    <w:rsid w:val="00D12C81"/>
    <w:rsid w:val="00D134F0"/>
    <w:rsid w:val="00D15147"/>
    <w:rsid w:val="00D178A8"/>
    <w:rsid w:val="00D17BF8"/>
    <w:rsid w:val="00D25DFE"/>
    <w:rsid w:val="00D26F4D"/>
    <w:rsid w:val="00D32F11"/>
    <w:rsid w:val="00D35E5E"/>
    <w:rsid w:val="00D41F46"/>
    <w:rsid w:val="00D46944"/>
    <w:rsid w:val="00D50094"/>
    <w:rsid w:val="00D5114E"/>
    <w:rsid w:val="00D52F07"/>
    <w:rsid w:val="00D538B8"/>
    <w:rsid w:val="00D56A5A"/>
    <w:rsid w:val="00D57D33"/>
    <w:rsid w:val="00D61E41"/>
    <w:rsid w:val="00D62265"/>
    <w:rsid w:val="00D63EEF"/>
    <w:rsid w:val="00D6688B"/>
    <w:rsid w:val="00D67CC0"/>
    <w:rsid w:val="00D709D3"/>
    <w:rsid w:val="00D72529"/>
    <w:rsid w:val="00D726D1"/>
    <w:rsid w:val="00D840F2"/>
    <w:rsid w:val="00D85AE8"/>
    <w:rsid w:val="00DA143F"/>
    <w:rsid w:val="00DA1F67"/>
    <w:rsid w:val="00DA7363"/>
    <w:rsid w:val="00DB0F4D"/>
    <w:rsid w:val="00DB1D83"/>
    <w:rsid w:val="00DB72A9"/>
    <w:rsid w:val="00DC0CBE"/>
    <w:rsid w:val="00DC2D08"/>
    <w:rsid w:val="00DC5157"/>
    <w:rsid w:val="00DD2792"/>
    <w:rsid w:val="00DD2C66"/>
    <w:rsid w:val="00DD5372"/>
    <w:rsid w:val="00DF1284"/>
    <w:rsid w:val="00DF174A"/>
    <w:rsid w:val="00DF18F4"/>
    <w:rsid w:val="00DF5212"/>
    <w:rsid w:val="00DF528F"/>
    <w:rsid w:val="00E000EE"/>
    <w:rsid w:val="00E00C30"/>
    <w:rsid w:val="00E01B74"/>
    <w:rsid w:val="00E01F53"/>
    <w:rsid w:val="00E02419"/>
    <w:rsid w:val="00E04858"/>
    <w:rsid w:val="00E15B4C"/>
    <w:rsid w:val="00E160E0"/>
    <w:rsid w:val="00E17FC2"/>
    <w:rsid w:val="00E21E22"/>
    <w:rsid w:val="00E30466"/>
    <w:rsid w:val="00E306D2"/>
    <w:rsid w:val="00E3532E"/>
    <w:rsid w:val="00E42152"/>
    <w:rsid w:val="00E4319F"/>
    <w:rsid w:val="00E4462A"/>
    <w:rsid w:val="00E4772B"/>
    <w:rsid w:val="00E47841"/>
    <w:rsid w:val="00E50C76"/>
    <w:rsid w:val="00E54323"/>
    <w:rsid w:val="00E556C6"/>
    <w:rsid w:val="00E61E83"/>
    <w:rsid w:val="00E640F5"/>
    <w:rsid w:val="00E67DC0"/>
    <w:rsid w:val="00E71E5A"/>
    <w:rsid w:val="00E75315"/>
    <w:rsid w:val="00E83D3B"/>
    <w:rsid w:val="00E83E5A"/>
    <w:rsid w:val="00E84EDE"/>
    <w:rsid w:val="00E869A6"/>
    <w:rsid w:val="00E92573"/>
    <w:rsid w:val="00EA2E39"/>
    <w:rsid w:val="00EA4DFE"/>
    <w:rsid w:val="00EA609F"/>
    <w:rsid w:val="00EB4FAB"/>
    <w:rsid w:val="00EC33EF"/>
    <w:rsid w:val="00EC57DA"/>
    <w:rsid w:val="00EC70E9"/>
    <w:rsid w:val="00ED1466"/>
    <w:rsid w:val="00ED1957"/>
    <w:rsid w:val="00ED1AE7"/>
    <w:rsid w:val="00ED24D1"/>
    <w:rsid w:val="00ED28B7"/>
    <w:rsid w:val="00ED2C22"/>
    <w:rsid w:val="00ED5472"/>
    <w:rsid w:val="00ED6ACE"/>
    <w:rsid w:val="00EE13D9"/>
    <w:rsid w:val="00EE1ADE"/>
    <w:rsid w:val="00EE1BAB"/>
    <w:rsid w:val="00EE2D7C"/>
    <w:rsid w:val="00EE7611"/>
    <w:rsid w:val="00EF1510"/>
    <w:rsid w:val="00EF251B"/>
    <w:rsid w:val="00EF2AA2"/>
    <w:rsid w:val="00EF36A7"/>
    <w:rsid w:val="00F014C0"/>
    <w:rsid w:val="00F1267D"/>
    <w:rsid w:val="00F17B28"/>
    <w:rsid w:val="00F210B1"/>
    <w:rsid w:val="00F23E6B"/>
    <w:rsid w:val="00F23E8D"/>
    <w:rsid w:val="00F316D9"/>
    <w:rsid w:val="00F34903"/>
    <w:rsid w:val="00F36B43"/>
    <w:rsid w:val="00F37AF0"/>
    <w:rsid w:val="00F44092"/>
    <w:rsid w:val="00F6227A"/>
    <w:rsid w:val="00F63A56"/>
    <w:rsid w:val="00F732C5"/>
    <w:rsid w:val="00F73F37"/>
    <w:rsid w:val="00F741B9"/>
    <w:rsid w:val="00F81415"/>
    <w:rsid w:val="00F81B69"/>
    <w:rsid w:val="00F84FE3"/>
    <w:rsid w:val="00F9224E"/>
    <w:rsid w:val="00F9765C"/>
    <w:rsid w:val="00FA23F0"/>
    <w:rsid w:val="00FA2EBE"/>
    <w:rsid w:val="00FA65FE"/>
    <w:rsid w:val="00FB174A"/>
    <w:rsid w:val="00FB3630"/>
    <w:rsid w:val="00FC36E6"/>
    <w:rsid w:val="00FD33EA"/>
    <w:rsid w:val="00FD6917"/>
    <w:rsid w:val="00FD6A44"/>
    <w:rsid w:val="00FE4064"/>
    <w:rsid w:val="00FE7AEA"/>
    <w:rsid w:val="00FF13AB"/>
    <w:rsid w:val="00FF17AF"/>
    <w:rsid w:val="00FF35B1"/>
    <w:rsid w:val="00FF4027"/>
    <w:rsid w:val="00FF414A"/>
    <w:rsid w:val="00FF63B1"/>
    <w:rsid w:val="00FF7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44"/>
    <w:pPr>
      <w:spacing w:after="200" w:line="276" w:lineRule="auto"/>
    </w:pPr>
    <w:rPr>
      <w:sz w:val="22"/>
      <w:szCs w:val="22"/>
      <w:lang w:eastAsia="en-US"/>
    </w:rPr>
  </w:style>
  <w:style w:type="paragraph" w:styleId="Heading1">
    <w:name w:val="heading 1"/>
    <w:basedOn w:val="Normal"/>
    <w:link w:val="Heading1Char"/>
    <w:uiPriority w:val="99"/>
    <w:qFormat/>
    <w:rsid w:val="001A73E1"/>
    <w:pPr>
      <w:spacing w:before="100" w:beforeAutospacing="1" w:after="100" w:afterAutospacing="1" w:line="240" w:lineRule="auto"/>
      <w:outlineLvl w:val="0"/>
    </w:pPr>
    <w:rPr>
      <w:rFonts w:ascii="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73E1"/>
    <w:rPr>
      <w:rFonts w:ascii="Times New Roman" w:hAnsi="Times New Roman" w:cs="Times New Roman"/>
      <w:b/>
      <w:kern w:val="36"/>
      <w:sz w:val="48"/>
    </w:rPr>
  </w:style>
  <w:style w:type="paragraph" w:customStyle="1" w:styleId="Default">
    <w:name w:val="Default"/>
    <w:uiPriority w:val="99"/>
    <w:rsid w:val="00BE3850"/>
    <w:pPr>
      <w:autoSpaceDE w:val="0"/>
      <w:autoSpaceDN w:val="0"/>
      <w:adjustRightInd w:val="0"/>
    </w:pPr>
    <w:rPr>
      <w:rFonts w:ascii="Arial" w:hAnsi="Arial" w:cs="Arial"/>
      <w:color w:val="000000"/>
      <w:sz w:val="24"/>
      <w:szCs w:val="24"/>
      <w:lang w:val="fr-FR" w:eastAsia="en-US"/>
    </w:rPr>
  </w:style>
  <w:style w:type="table" w:styleId="TableGrid">
    <w:name w:val="Table Grid"/>
    <w:basedOn w:val="TableNormal"/>
    <w:uiPriority w:val="99"/>
    <w:rsid w:val="00CF5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rsid w:val="001A73E1"/>
    <w:rPr>
      <w:rFonts w:cs="Times New Roman"/>
      <w:color w:val="0000FF"/>
      <w:u w:val="single"/>
    </w:rPr>
  </w:style>
  <w:style w:type="character" w:customStyle="1" w:styleId="highlight">
    <w:name w:val="highlight"/>
    <w:uiPriority w:val="99"/>
    <w:rsid w:val="00C225CC"/>
  </w:style>
  <w:style w:type="paragraph" w:customStyle="1" w:styleId="Titre1">
    <w:name w:val="Titre1"/>
    <w:basedOn w:val="Normal"/>
    <w:uiPriority w:val="99"/>
    <w:rsid w:val="00CC460F"/>
    <w:pPr>
      <w:spacing w:before="100" w:beforeAutospacing="1" w:after="100" w:afterAutospacing="1" w:line="240" w:lineRule="auto"/>
    </w:pPr>
    <w:rPr>
      <w:rFonts w:ascii="Times New Roman" w:hAnsi="Times New Roman"/>
      <w:sz w:val="24"/>
      <w:szCs w:val="24"/>
      <w:lang w:val="fr-FR" w:eastAsia="fr-FR"/>
    </w:rPr>
  </w:style>
  <w:style w:type="paragraph" w:customStyle="1" w:styleId="desc">
    <w:name w:val="desc"/>
    <w:basedOn w:val="Normal"/>
    <w:uiPriority w:val="99"/>
    <w:rsid w:val="00CC460F"/>
    <w:pPr>
      <w:spacing w:before="100" w:beforeAutospacing="1" w:after="100" w:afterAutospacing="1" w:line="240" w:lineRule="auto"/>
    </w:pPr>
    <w:rPr>
      <w:rFonts w:ascii="Times New Roman" w:hAnsi="Times New Roman"/>
      <w:sz w:val="24"/>
      <w:szCs w:val="24"/>
      <w:lang w:val="fr-FR" w:eastAsia="fr-FR"/>
    </w:rPr>
  </w:style>
  <w:style w:type="paragraph" w:customStyle="1" w:styleId="details">
    <w:name w:val="details"/>
    <w:basedOn w:val="Normal"/>
    <w:uiPriority w:val="99"/>
    <w:rsid w:val="00CC460F"/>
    <w:pPr>
      <w:spacing w:before="100" w:beforeAutospacing="1" w:after="100" w:afterAutospacing="1" w:line="240" w:lineRule="auto"/>
    </w:pPr>
    <w:rPr>
      <w:rFonts w:ascii="Times New Roman" w:hAnsi="Times New Roman"/>
      <w:sz w:val="24"/>
      <w:szCs w:val="24"/>
      <w:lang w:val="fr-FR" w:eastAsia="fr-FR"/>
    </w:rPr>
  </w:style>
  <w:style w:type="character" w:customStyle="1" w:styleId="jrnl">
    <w:name w:val="jrnl"/>
    <w:uiPriority w:val="99"/>
    <w:rsid w:val="00CC460F"/>
  </w:style>
  <w:style w:type="paragraph" w:styleId="Header">
    <w:name w:val="header"/>
    <w:basedOn w:val="Normal"/>
    <w:link w:val="HeaderChar"/>
    <w:uiPriority w:val="99"/>
    <w:rsid w:val="001F6E0C"/>
    <w:pPr>
      <w:tabs>
        <w:tab w:val="center" w:pos="4536"/>
        <w:tab w:val="right" w:pos="9072"/>
      </w:tabs>
    </w:pPr>
    <w:rPr>
      <w:sz w:val="20"/>
      <w:szCs w:val="20"/>
    </w:rPr>
  </w:style>
  <w:style w:type="character" w:customStyle="1" w:styleId="HeaderChar">
    <w:name w:val="Header Char"/>
    <w:link w:val="Header"/>
    <w:uiPriority w:val="99"/>
    <w:locked/>
    <w:rsid w:val="001F6E0C"/>
    <w:rPr>
      <w:rFonts w:cs="Times New Roman"/>
      <w:lang w:val="en-US" w:eastAsia="en-US"/>
    </w:rPr>
  </w:style>
  <w:style w:type="paragraph" w:styleId="Footer">
    <w:name w:val="footer"/>
    <w:basedOn w:val="Normal"/>
    <w:link w:val="FooterChar"/>
    <w:uiPriority w:val="99"/>
    <w:rsid w:val="001F6E0C"/>
    <w:pPr>
      <w:tabs>
        <w:tab w:val="center" w:pos="4536"/>
        <w:tab w:val="right" w:pos="9072"/>
      </w:tabs>
    </w:pPr>
    <w:rPr>
      <w:sz w:val="20"/>
      <w:szCs w:val="20"/>
    </w:rPr>
  </w:style>
  <w:style w:type="character" w:customStyle="1" w:styleId="FooterChar">
    <w:name w:val="Footer Char"/>
    <w:link w:val="Footer"/>
    <w:uiPriority w:val="99"/>
    <w:locked/>
    <w:rsid w:val="001F6E0C"/>
    <w:rPr>
      <w:rFonts w:cs="Times New Roman"/>
      <w:lang w:val="en-US" w:eastAsia="en-US"/>
    </w:rPr>
  </w:style>
  <w:style w:type="character" w:styleId="FollowedHyperlink">
    <w:name w:val="FollowedHyperlink"/>
    <w:uiPriority w:val="99"/>
    <w:rsid w:val="009301B1"/>
    <w:rPr>
      <w:rFonts w:cs="Times New Roman"/>
      <w:color w:val="800080"/>
      <w:u w:val="single"/>
    </w:rPr>
  </w:style>
  <w:style w:type="paragraph" w:styleId="BalloonText">
    <w:name w:val="Balloon Text"/>
    <w:basedOn w:val="Normal"/>
    <w:link w:val="BalloonTextChar"/>
    <w:uiPriority w:val="99"/>
    <w:semiHidden/>
    <w:rsid w:val="006A1157"/>
    <w:rPr>
      <w:rFonts w:ascii="Tahoma" w:hAnsi="Tahoma"/>
      <w:sz w:val="16"/>
      <w:szCs w:val="16"/>
    </w:rPr>
  </w:style>
  <w:style w:type="character" w:customStyle="1" w:styleId="BalloonTextChar">
    <w:name w:val="Balloon Text Char"/>
    <w:link w:val="BalloonText"/>
    <w:uiPriority w:val="99"/>
    <w:semiHidden/>
    <w:locked/>
    <w:rsid w:val="00785D3E"/>
    <w:rPr>
      <w:rFonts w:cs="Times New Roman"/>
      <w:kern w:val="0"/>
      <w:sz w:val="2"/>
      <w:lang w:eastAsia="en-US"/>
    </w:rPr>
  </w:style>
  <w:style w:type="paragraph" w:styleId="EndnoteText">
    <w:name w:val="endnote text"/>
    <w:basedOn w:val="Normal"/>
    <w:link w:val="EndnoteTextChar"/>
    <w:uiPriority w:val="99"/>
    <w:semiHidden/>
    <w:rsid w:val="00FF35B1"/>
    <w:rPr>
      <w:sz w:val="20"/>
      <w:szCs w:val="20"/>
    </w:rPr>
  </w:style>
  <w:style w:type="character" w:customStyle="1" w:styleId="EndnoteTextChar">
    <w:name w:val="Endnote Text Char"/>
    <w:link w:val="EndnoteText"/>
    <w:uiPriority w:val="99"/>
    <w:semiHidden/>
    <w:locked/>
    <w:rsid w:val="00785D3E"/>
    <w:rPr>
      <w:rFonts w:cs="Times New Roman"/>
      <w:kern w:val="0"/>
      <w:sz w:val="22"/>
      <w:lang w:eastAsia="en-US"/>
    </w:rPr>
  </w:style>
  <w:style w:type="character" w:styleId="EndnoteReference">
    <w:name w:val="endnote reference"/>
    <w:uiPriority w:val="99"/>
    <w:semiHidden/>
    <w:rsid w:val="00FF35B1"/>
    <w:rPr>
      <w:rFonts w:cs="Times New Roman"/>
      <w:vertAlign w:val="superscript"/>
    </w:rPr>
  </w:style>
  <w:style w:type="paragraph" w:customStyle="1" w:styleId="title2">
    <w:name w:val="title2"/>
    <w:basedOn w:val="Normal"/>
    <w:uiPriority w:val="99"/>
    <w:rsid w:val="0064187E"/>
    <w:pPr>
      <w:spacing w:after="0" w:line="240" w:lineRule="auto"/>
    </w:pPr>
    <w:rPr>
      <w:rFonts w:ascii="Times New Roman" w:eastAsia="MS Mincho" w:hAnsi="Times New Roman"/>
      <w:sz w:val="27"/>
      <w:szCs w:val="27"/>
      <w:lang w:val="fr-FR" w:eastAsia="ja-JP" w:bidi="hi-IN"/>
    </w:rPr>
  </w:style>
  <w:style w:type="character" w:customStyle="1" w:styleId="Lienhypertexte3">
    <w:name w:val="Lien hypertexte3"/>
    <w:uiPriority w:val="99"/>
    <w:rsid w:val="0064187E"/>
    <w:rPr>
      <w:color w:val="2222CC"/>
      <w:u w:val="single"/>
    </w:rPr>
  </w:style>
  <w:style w:type="paragraph" w:customStyle="1" w:styleId="desc3">
    <w:name w:val="desc3"/>
    <w:basedOn w:val="Normal"/>
    <w:uiPriority w:val="99"/>
    <w:rsid w:val="0064187E"/>
    <w:pPr>
      <w:spacing w:after="0" w:line="240" w:lineRule="auto"/>
    </w:pPr>
    <w:rPr>
      <w:rFonts w:ascii="Times New Roman" w:eastAsia="MS Mincho" w:hAnsi="Times New Roman"/>
      <w:sz w:val="26"/>
      <w:szCs w:val="26"/>
      <w:lang w:val="fr-FR" w:eastAsia="ja-JP" w:bidi="hi-IN"/>
    </w:rPr>
  </w:style>
  <w:style w:type="paragraph" w:customStyle="1" w:styleId="details2">
    <w:name w:val="details2"/>
    <w:basedOn w:val="Normal"/>
    <w:uiPriority w:val="99"/>
    <w:rsid w:val="0064187E"/>
    <w:pPr>
      <w:spacing w:after="0" w:line="240" w:lineRule="auto"/>
    </w:pPr>
    <w:rPr>
      <w:rFonts w:ascii="Times New Roman" w:eastAsia="MS Mincho" w:hAnsi="Times New Roman"/>
      <w:lang w:val="fr-FR" w:eastAsia="ja-JP" w:bidi="hi-IN"/>
    </w:rPr>
  </w:style>
  <w:style w:type="character" w:customStyle="1" w:styleId="jrnl1">
    <w:name w:val="jrnl1"/>
    <w:uiPriority w:val="99"/>
    <w:rsid w:val="0064187E"/>
    <w:rPr>
      <w:vanish/>
      <w:sz w:val="22"/>
    </w:rPr>
  </w:style>
  <w:style w:type="character" w:styleId="CommentReference">
    <w:name w:val="annotation reference"/>
    <w:uiPriority w:val="99"/>
    <w:semiHidden/>
    <w:rsid w:val="007C0B4C"/>
    <w:rPr>
      <w:rFonts w:cs="Times New Roman"/>
      <w:sz w:val="16"/>
    </w:rPr>
  </w:style>
  <w:style w:type="paragraph" w:styleId="CommentText">
    <w:name w:val="annotation text"/>
    <w:basedOn w:val="Normal"/>
    <w:link w:val="CommentTextChar"/>
    <w:uiPriority w:val="99"/>
    <w:semiHidden/>
    <w:rsid w:val="007C0B4C"/>
    <w:rPr>
      <w:sz w:val="20"/>
      <w:szCs w:val="20"/>
    </w:rPr>
  </w:style>
  <w:style w:type="character" w:customStyle="1" w:styleId="CommentTextChar">
    <w:name w:val="Comment Text Char"/>
    <w:link w:val="CommentText"/>
    <w:uiPriority w:val="99"/>
    <w:semiHidden/>
    <w:locked/>
    <w:rsid w:val="00785D3E"/>
    <w:rPr>
      <w:rFonts w:cs="Times New Roman"/>
      <w:kern w:val="0"/>
      <w:sz w:val="22"/>
      <w:lang w:eastAsia="en-US"/>
    </w:rPr>
  </w:style>
  <w:style w:type="paragraph" w:styleId="CommentSubject">
    <w:name w:val="annotation subject"/>
    <w:basedOn w:val="CommentText"/>
    <w:next w:val="CommentText"/>
    <w:link w:val="CommentSubjectChar"/>
    <w:uiPriority w:val="99"/>
    <w:semiHidden/>
    <w:rsid w:val="007C0B4C"/>
    <w:rPr>
      <w:b/>
      <w:bCs/>
    </w:rPr>
  </w:style>
  <w:style w:type="character" w:customStyle="1" w:styleId="CommentSubjectChar">
    <w:name w:val="Comment Subject Char"/>
    <w:link w:val="CommentSubject"/>
    <w:uiPriority w:val="99"/>
    <w:semiHidden/>
    <w:locked/>
    <w:rsid w:val="00785D3E"/>
    <w:rPr>
      <w:rFonts w:cs="Times New Roman"/>
      <w:b/>
      <w:bCs/>
      <w:kern w:val="0"/>
      <w:sz w:val="22"/>
      <w:lang w:eastAsia="en-US"/>
    </w:rPr>
  </w:style>
  <w:style w:type="paragraph" w:styleId="Bibliography">
    <w:name w:val="Bibliography"/>
    <w:basedOn w:val="Normal"/>
    <w:next w:val="Normal"/>
    <w:uiPriority w:val="99"/>
    <w:rsid w:val="00B37D2B"/>
  </w:style>
  <w:style w:type="paragraph" w:styleId="ListParagraph">
    <w:name w:val="List Paragraph"/>
    <w:basedOn w:val="Normal"/>
    <w:uiPriority w:val="99"/>
    <w:qFormat/>
    <w:rsid w:val="00F741B9"/>
    <w:pPr>
      <w:ind w:left="720"/>
      <w:contextualSpacing/>
    </w:pPr>
  </w:style>
  <w:style w:type="paragraph" w:styleId="NormalWeb">
    <w:name w:val="Normal (Web)"/>
    <w:basedOn w:val="Normal"/>
    <w:uiPriority w:val="99"/>
    <w:rsid w:val="004D26F5"/>
    <w:pPr>
      <w:spacing w:before="100" w:beforeAutospacing="1" w:after="100" w:afterAutospacing="1" w:line="240" w:lineRule="auto"/>
    </w:pPr>
    <w:rPr>
      <w:rFonts w:ascii="Gulim" w:eastAsia="Gulim" w:hAnsi="Gulim" w:cs="Gulim"/>
      <w:sz w:val="24"/>
      <w:szCs w:val="24"/>
      <w:lang w:eastAsia="ko-KR"/>
    </w:rPr>
  </w:style>
  <w:style w:type="character" w:styleId="PageNumber">
    <w:name w:val="page number"/>
    <w:uiPriority w:val="99"/>
    <w:rsid w:val="00D068D8"/>
    <w:rPr>
      <w:rFonts w:cs="Times New Roman"/>
    </w:rPr>
  </w:style>
  <w:style w:type="character" w:styleId="Emphasis">
    <w:name w:val="Emphasis"/>
    <w:uiPriority w:val="99"/>
    <w:qFormat/>
    <w:locked/>
    <w:rsid w:val="00DA7363"/>
    <w:rPr>
      <w:rFonts w:cs="Times New Roman"/>
      <w:i/>
      <w:iCs/>
    </w:rPr>
  </w:style>
  <w:style w:type="character" w:customStyle="1" w:styleId="labellist">
    <w:name w:val="label_list"/>
    <w:uiPriority w:val="99"/>
    <w:rsid w:val="00372696"/>
    <w:rPr>
      <w:rFonts w:cs="Times New Roman"/>
    </w:rPr>
  </w:style>
  <w:style w:type="character" w:customStyle="1" w:styleId="apple-converted-space">
    <w:name w:val="apple-converted-space"/>
    <w:uiPriority w:val="99"/>
    <w:rsid w:val="00FB174A"/>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44"/>
    <w:pPr>
      <w:spacing w:after="200" w:line="276" w:lineRule="auto"/>
    </w:pPr>
    <w:rPr>
      <w:sz w:val="22"/>
      <w:szCs w:val="22"/>
      <w:lang w:eastAsia="en-US"/>
    </w:rPr>
  </w:style>
  <w:style w:type="paragraph" w:styleId="Heading1">
    <w:name w:val="heading 1"/>
    <w:basedOn w:val="Normal"/>
    <w:link w:val="Heading1Char"/>
    <w:uiPriority w:val="99"/>
    <w:qFormat/>
    <w:rsid w:val="001A73E1"/>
    <w:pPr>
      <w:spacing w:before="100" w:beforeAutospacing="1" w:after="100" w:afterAutospacing="1" w:line="240" w:lineRule="auto"/>
      <w:outlineLvl w:val="0"/>
    </w:pPr>
    <w:rPr>
      <w:rFonts w:ascii="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73E1"/>
    <w:rPr>
      <w:rFonts w:ascii="Times New Roman" w:hAnsi="Times New Roman" w:cs="Times New Roman"/>
      <w:b/>
      <w:kern w:val="36"/>
      <w:sz w:val="48"/>
    </w:rPr>
  </w:style>
  <w:style w:type="paragraph" w:customStyle="1" w:styleId="Default">
    <w:name w:val="Default"/>
    <w:uiPriority w:val="99"/>
    <w:rsid w:val="00BE3850"/>
    <w:pPr>
      <w:autoSpaceDE w:val="0"/>
      <w:autoSpaceDN w:val="0"/>
      <w:adjustRightInd w:val="0"/>
    </w:pPr>
    <w:rPr>
      <w:rFonts w:ascii="Arial" w:hAnsi="Arial" w:cs="Arial"/>
      <w:color w:val="000000"/>
      <w:sz w:val="24"/>
      <w:szCs w:val="24"/>
      <w:lang w:val="fr-FR" w:eastAsia="en-US"/>
    </w:rPr>
  </w:style>
  <w:style w:type="table" w:styleId="TableGrid">
    <w:name w:val="Table Grid"/>
    <w:basedOn w:val="TableNormal"/>
    <w:uiPriority w:val="99"/>
    <w:rsid w:val="00CF5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rsid w:val="001A73E1"/>
    <w:rPr>
      <w:rFonts w:cs="Times New Roman"/>
      <w:color w:val="0000FF"/>
      <w:u w:val="single"/>
    </w:rPr>
  </w:style>
  <w:style w:type="character" w:customStyle="1" w:styleId="highlight">
    <w:name w:val="highlight"/>
    <w:uiPriority w:val="99"/>
    <w:rsid w:val="00C225CC"/>
  </w:style>
  <w:style w:type="paragraph" w:customStyle="1" w:styleId="Titre1">
    <w:name w:val="Titre1"/>
    <w:basedOn w:val="Normal"/>
    <w:uiPriority w:val="99"/>
    <w:rsid w:val="00CC460F"/>
    <w:pPr>
      <w:spacing w:before="100" w:beforeAutospacing="1" w:after="100" w:afterAutospacing="1" w:line="240" w:lineRule="auto"/>
    </w:pPr>
    <w:rPr>
      <w:rFonts w:ascii="Times New Roman" w:hAnsi="Times New Roman"/>
      <w:sz w:val="24"/>
      <w:szCs w:val="24"/>
      <w:lang w:val="fr-FR" w:eastAsia="fr-FR"/>
    </w:rPr>
  </w:style>
  <w:style w:type="paragraph" w:customStyle="1" w:styleId="desc">
    <w:name w:val="desc"/>
    <w:basedOn w:val="Normal"/>
    <w:uiPriority w:val="99"/>
    <w:rsid w:val="00CC460F"/>
    <w:pPr>
      <w:spacing w:before="100" w:beforeAutospacing="1" w:after="100" w:afterAutospacing="1" w:line="240" w:lineRule="auto"/>
    </w:pPr>
    <w:rPr>
      <w:rFonts w:ascii="Times New Roman" w:hAnsi="Times New Roman"/>
      <w:sz w:val="24"/>
      <w:szCs w:val="24"/>
      <w:lang w:val="fr-FR" w:eastAsia="fr-FR"/>
    </w:rPr>
  </w:style>
  <w:style w:type="paragraph" w:customStyle="1" w:styleId="details">
    <w:name w:val="details"/>
    <w:basedOn w:val="Normal"/>
    <w:uiPriority w:val="99"/>
    <w:rsid w:val="00CC460F"/>
    <w:pPr>
      <w:spacing w:before="100" w:beforeAutospacing="1" w:after="100" w:afterAutospacing="1" w:line="240" w:lineRule="auto"/>
    </w:pPr>
    <w:rPr>
      <w:rFonts w:ascii="Times New Roman" w:hAnsi="Times New Roman"/>
      <w:sz w:val="24"/>
      <w:szCs w:val="24"/>
      <w:lang w:val="fr-FR" w:eastAsia="fr-FR"/>
    </w:rPr>
  </w:style>
  <w:style w:type="character" w:customStyle="1" w:styleId="jrnl">
    <w:name w:val="jrnl"/>
    <w:uiPriority w:val="99"/>
    <w:rsid w:val="00CC460F"/>
  </w:style>
  <w:style w:type="paragraph" w:styleId="Header">
    <w:name w:val="header"/>
    <w:basedOn w:val="Normal"/>
    <w:link w:val="HeaderChar"/>
    <w:uiPriority w:val="99"/>
    <w:rsid w:val="001F6E0C"/>
    <w:pPr>
      <w:tabs>
        <w:tab w:val="center" w:pos="4536"/>
        <w:tab w:val="right" w:pos="9072"/>
      </w:tabs>
    </w:pPr>
    <w:rPr>
      <w:sz w:val="20"/>
      <w:szCs w:val="20"/>
    </w:rPr>
  </w:style>
  <w:style w:type="character" w:customStyle="1" w:styleId="HeaderChar">
    <w:name w:val="Header Char"/>
    <w:link w:val="Header"/>
    <w:uiPriority w:val="99"/>
    <w:locked/>
    <w:rsid w:val="001F6E0C"/>
    <w:rPr>
      <w:rFonts w:cs="Times New Roman"/>
      <w:lang w:val="en-US" w:eastAsia="en-US"/>
    </w:rPr>
  </w:style>
  <w:style w:type="paragraph" w:styleId="Footer">
    <w:name w:val="footer"/>
    <w:basedOn w:val="Normal"/>
    <w:link w:val="FooterChar"/>
    <w:uiPriority w:val="99"/>
    <w:rsid w:val="001F6E0C"/>
    <w:pPr>
      <w:tabs>
        <w:tab w:val="center" w:pos="4536"/>
        <w:tab w:val="right" w:pos="9072"/>
      </w:tabs>
    </w:pPr>
    <w:rPr>
      <w:sz w:val="20"/>
      <w:szCs w:val="20"/>
    </w:rPr>
  </w:style>
  <w:style w:type="character" w:customStyle="1" w:styleId="FooterChar">
    <w:name w:val="Footer Char"/>
    <w:link w:val="Footer"/>
    <w:uiPriority w:val="99"/>
    <w:locked/>
    <w:rsid w:val="001F6E0C"/>
    <w:rPr>
      <w:rFonts w:cs="Times New Roman"/>
      <w:lang w:val="en-US" w:eastAsia="en-US"/>
    </w:rPr>
  </w:style>
  <w:style w:type="character" w:styleId="FollowedHyperlink">
    <w:name w:val="FollowedHyperlink"/>
    <w:uiPriority w:val="99"/>
    <w:rsid w:val="009301B1"/>
    <w:rPr>
      <w:rFonts w:cs="Times New Roman"/>
      <w:color w:val="800080"/>
      <w:u w:val="single"/>
    </w:rPr>
  </w:style>
  <w:style w:type="paragraph" w:styleId="BalloonText">
    <w:name w:val="Balloon Text"/>
    <w:basedOn w:val="Normal"/>
    <w:link w:val="BalloonTextChar"/>
    <w:uiPriority w:val="99"/>
    <w:semiHidden/>
    <w:rsid w:val="006A1157"/>
    <w:rPr>
      <w:rFonts w:ascii="Tahoma" w:hAnsi="Tahoma"/>
      <w:sz w:val="16"/>
      <w:szCs w:val="16"/>
    </w:rPr>
  </w:style>
  <w:style w:type="character" w:customStyle="1" w:styleId="BalloonTextChar">
    <w:name w:val="Balloon Text Char"/>
    <w:link w:val="BalloonText"/>
    <w:uiPriority w:val="99"/>
    <w:semiHidden/>
    <w:locked/>
    <w:rsid w:val="00785D3E"/>
    <w:rPr>
      <w:rFonts w:cs="Times New Roman"/>
      <w:kern w:val="0"/>
      <w:sz w:val="2"/>
      <w:lang w:eastAsia="en-US"/>
    </w:rPr>
  </w:style>
  <w:style w:type="paragraph" w:styleId="EndnoteText">
    <w:name w:val="endnote text"/>
    <w:basedOn w:val="Normal"/>
    <w:link w:val="EndnoteTextChar"/>
    <w:uiPriority w:val="99"/>
    <w:semiHidden/>
    <w:rsid w:val="00FF35B1"/>
    <w:rPr>
      <w:sz w:val="20"/>
      <w:szCs w:val="20"/>
    </w:rPr>
  </w:style>
  <w:style w:type="character" w:customStyle="1" w:styleId="EndnoteTextChar">
    <w:name w:val="Endnote Text Char"/>
    <w:link w:val="EndnoteText"/>
    <w:uiPriority w:val="99"/>
    <w:semiHidden/>
    <w:locked/>
    <w:rsid w:val="00785D3E"/>
    <w:rPr>
      <w:rFonts w:cs="Times New Roman"/>
      <w:kern w:val="0"/>
      <w:sz w:val="22"/>
      <w:lang w:eastAsia="en-US"/>
    </w:rPr>
  </w:style>
  <w:style w:type="character" w:styleId="EndnoteReference">
    <w:name w:val="endnote reference"/>
    <w:uiPriority w:val="99"/>
    <w:semiHidden/>
    <w:rsid w:val="00FF35B1"/>
    <w:rPr>
      <w:rFonts w:cs="Times New Roman"/>
      <w:vertAlign w:val="superscript"/>
    </w:rPr>
  </w:style>
  <w:style w:type="paragraph" w:customStyle="1" w:styleId="title2">
    <w:name w:val="title2"/>
    <w:basedOn w:val="Normal"/>
    <w:uiPriority w:val="99"/>
    <w:rsid w:val="0064187E"/>
    <w:pPr>
      <w:spacing w:after="0" w:line="240" w:lineRule="auto"/>
    </w:pPr>
    <w:rPr>
      <w:rFonts w:ascii="Times New Roman" w:eastAsia="MS Mincho" w:hAnsi="Times New Roman"/>
      <w:sz w:val="27"/>
      <w:szCs w:val="27"/>
      <w:lang w:val="fr-FR" w:eastAsia="ja-JP" w:bidi="hi-IN"/>
    </w:rPr>
  </w:style>
  <w:style w:type="character" w:customStyle="1" w:styleId="Lienhypertexte3">
    <w:name w:val="Lien hypertexte3"/>
    <w:uiPriority w:val="99"/>
    <w:rsid w:val="0064187E"/>
    <w:rPr>
      <w:color w:val="2222CC"/>
      <w:u w:val="single"/>
    </w:rPr>
  </w:style>
  <w:style w:type="paragraph" w:customStyle="1" w:styleId="desc3">
    <w:name w:val="desc3"/>
    <w:basedOn w:val="Normal"/>
    <w:uiPriority w:val="99"/>
    <w:rsid w:val="0064187E"/>
    <w:pPr>
      <w:spacing w:after="0" w:line="240" w:lineRule="auto"/>
    </w:pPr>
    <w:rPr>
      <w:rFonts w:ascii="Times New Roman" w:eastAsia="MS Mincho" w:hAnsi="Times New Roman"/>
      <w:sz w:val="26"/>
      <w:szCs w:val="26"/>
      <w:lang w:val="fr-FR" w:eastAsia="ja-JP" w:bidi="hi-IN"/>
    </w:rPr>
  </w:style>
  <w:style w:type="paragraph" w:customStyle="1" w:styleId="details2">
    <w:name w:val="details2"/>
    <w:basedOn w:val="Normal"/>
    <w:uiPriority w:val="99"/>
    <w:rsid w:val="0064187E"/>
    <w:pPr>
      <w:spacing w:after="0" w:line="240" w:lineRule="auto"/>
    </w:pPr>
    <w:rPr>
      <w:rFonts w:ascii="Times New Roman" w:eastAsia="MS Mincho" w:hAnsi="Times New Roman"/>
      <w:lang w:val="fr-FR" w:eastAsia="ja-JP" w:bidi="hi-IN"/>
    </w:rPr>
  </w:style>
  <w:style w:type="character" w:customStyle="1" w:styleId="jrnl1">
    <w:name w:val="jrnl1"/>
    <w:uiPriority w:val="99"/>
    <w:rsid w:val="0064187E"/>
    <w:rPr>
      <w:vanish/>
      <w:sz w:val="22"/>
    </w:rPr>
  </w:style>
  <w:style w:type="character" w:styleId="CommentReference">
    <w:name w:val="annotation reference"/>
    <w:uiPriority w:val="99"/>
    <w:semiHidden/>
    <w:rsid w:val="007C0B4C"/>
    <w:rPr>
      <w:rFonts w:cs="Times New Roman"/>
      <w:sz w:val="16"/>
    </w:rPr>
  </w:style>
  <w:style w:type="paragraph" w:styleId="CommentText">
    <w:name w:val="annotation text"/>
    <w:basedOn w:val="Normal"/>
    <w:link w:val="CommentTextChar"/>
    <w:uiPriority w:val="99"/>
    <w:semiHidden/>
    <w:rsid w:val="007C0B4C"/>
    <w:rPr>
      <w:sz w:val="20"/>
      <w:szCs w:val="20"/>
    </w:rPr>
  </w:style>
  <w:style w:type="character" w:customStyle="1" w:styleId="CommentTextChar">
    <w:name w:val="Comment Text Char"/>
    <w:link w:val="CommentText"/>
    <w:uiPriority w:val="99"/>
    <w:semiHidden/>
    <w:locked/>
    <w:rsid w:val="00785D3E"/>
    <w:rPr>
      <w:rFonts w:cs="Times New Roman"/>
      <w:kern w:val="0"/>
      <w:sz w:val="22"/>
      <w:lang w:eastAsia="en-US"/>
    </w:rPr>
  </w:style>
  <w:style w:type="paragraph" w:styleId="CommentSubject">
    <w:name w:val="annotation subject"/>
    <w:basedOn w:val="CommentText"/>
    <w:next w:val="CommentText"/>
    <w:link w:val="CommentSubjectChar"/>
    <w:uiPriority w:val="99"/>
    <w:semiHidden/>
    <w:rsid w:val="007C0B4C"/>
    <w:rPr>
      <w:b/>
      <w:bCs/>
    </w:rPr>
  </w:style>
  <w:style w:type="character" w:customStyle="1" w:styleId="CommentSubjectChar">
    <w:name w:val="Comment Subject Char"/>
    <w:link w:val="CommentSubject"/>
    <w:uiPriority w:val="99"/>
    <w:semiHidden/>
    <w:locked/>
    <w:rsid w:val="00785D3E"/>
    <w:rPr>
      <w:rFonts w:cs="Times New Roman"/>
      <w:b/>
      <w:bCs/>
      <w:kern w:val="0"/>
      <w:sz w:val="22"/>
      <w:lang w:eastAsia="en-US"/>
    </w:rPr>
  </w:style>
  <w:style w:type="paragraph" w:styleId="Bibliography">
    <w:name w:val="Bibliography"/>
    <w:basedOn w:val="Normal"/>
    <w:next w:val="Normal"/>
    <w:uiPriority w:val="99"/>
    <w:rsid w:val="00B37D2B"/>
  </w:style>
  <w:style w:type="paragraph" w:styleId="ListParagraph">
    <w:name w:val="List Paragraph"/>
    <w:basedOn w:val="Normal"/>
    <w:uiPriority w:val="99"/>
    <w:qFormat/>
    <w:rsid w:val="00F741B9"/>
    <w:pPr>
      <w:ind w:left="720"/>
      <w:contextualSpacing/>
    </w:pPr>
  </w:style>
  <w:style w:type="paragraph" w:styleId="NormalWeb">
    <w:name w:val="Normal (Web)"/>
    <w:basedOn w:val="Normal"/>
    <w:uiPriority w:val="99"/>
    <w:rsid w:val="004D26F5"/>
    <w:pPr>
      <w:spacing w:before="100" w:beforeAutospacing="1" w:after="100" w:afterAutospacing="1" w:line="240" w:lineRule="auto"/>
    </w:pPr>
    <w:rPr>
      <w:rFonts w:ascii="Gulim" w:eastAsia="Gulim" w:hAnsi="Gulim" w:cs="Gulim"/>
      <w:sz w:val="24"/>
      <w:szCs w:val="24"/>
      <w:lang w:eastAsia="ko-KR"/>
    </w:rPr>
  </w:style>
  <w:style w:type="character" w:styleId="PageNumber">
    <w:name w:val="page number"/>
    <w:uiPriority w:val="99"/>
    <w:rsid w:val="00D068D8"/>
    <w:rPr>
      <w:rFonts w:cs="Times New Roman"/>
    </w:rPr>
  </w:style>
  <w:style w:type="character" w:styleId="Emphasis">
    <w:name w:val="Emphasis"/>
    <w:uiPriority w:val="99"/>
    <w:qFormat/>
    <w:locked/>
    <w:rsid w:val="00DA7363"/>
    <w:rPr>
      <w:rFonts w:cs="Times New Roman"/>
      <w:i/>
      <w:iCs/>
    </w:rPr>
  </w:style>
  <w:style w:type="character" w:customStyle="1" w:styleId="labellist">
    <w:name w:val="label_list"/>
    <w:uiPriority w:val="99"/>
    <w:rsid w:val="00372696"/>
    <w:rPr>
      <w:rFonts w:cs="Times New Roman"/>
    </w:rPr>
  </w:style>
  <w:style w:type="character" w:customStyle="1" w:styleId="apple-converted-space">
    <w:name w:val="apple-converted-space"/>
    <w:uiPriority w:val="99"/>
    <w:rsid w:val="00FB17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827798">
      <w:marLeft w:val="0"/>
      <w:marRight w:val="0"/>
      <w:marTop w:val="0"/>
      <w:marBottom w:val="0"/>
      <w:divBdr>
        <w:top w:val="none" w:sz="0" w:space="0" w:color="auto"/>
        <w:left w:val="none" w:sz="0" w:space="0" w:color="auto"/>
        <w:bottom w:val="none" w:sz="0" w:space="0" w:color="auto"/>
        <w:right w:val="none" w:sz="0" w:space="0" w:color="auto"/>
      </w:divBdr>
    </w:div>
    <w:div w:id="1382827799">
      <w:marLeft w:val="0"/>
      <w:marRight w:val="0"/>
      <w:marTop w:val="0"/>
      <w:marBottom w:val="0"/>
      <w:divBdr>
        <w:top w:val="none" w:sz="0" w:space="0" w:color="auto"/>
        <w:left w:val="none" w:sz="0" w:space="0" w:color="auto"/>
        <w:bottom w:val="none" w:sz="0" w:space="0" w:color="auto"/>
        <w:right w:val="none" w:sz="0" w:space="0" w:color="auto"/>
      </w:divBdr>
    </w:div>
    <w:div w:id="1382827800">
      <w:marLeft w:val="0"/>
      <w:marRight w:val="0"/>
      <w:marTop w:val="0"/>
      <w:marBottom w:val="0"/>
      <w:divBdr>
        <w:top w:val="none" w:sz="0" w:space="0" w:color="auto"/>
        <w:left w:val="none" w:sz="0" w:space="0" w:color="auto"/>
        <w:bottom w:val="none" w:sz="0" w:space="0" w:color="auto"/>
        <w:right w:val="none" w:sz="0" w:space="0" w:color="auto"/>
      </w:divBdr>
    </w:div>
    <w:div w:id="1382827802">
      <w:marLeft w:val="0"/>
      <w:marRight w:val="0"/>
      <w:marTop w:val="0"/>
      <w:marBottom w:val="0"/>
      <w:divBdr>
        <w:top w:val="none" w:sz="0" w:space="0" w:color="auto"/>
        <w:left w:val="none" w:sz="0" w:space="0" w:color="auto"/>
        <w:bottom w:val="none" w:sz="0" w:space="0" w:color="auto"/>
        <w:right w:val="none" w:sz="0" w:space="0" w:color="auto"/>
      </w:divBdr>
      <w:divsChild>
        <w:div w:id="1382827811">
          <w:marLeft w:val="0"/>
          <w:marRight w:val="0"/>
          <w:marTop w:val="0"/>
          <w:marBottom w:val="0"/>
          <w:divBdr>
            <w:top w:val="none" w:sz="0" w:space="0" w:color="auto"/>
            <w:left w:val="none" w:sz="0" w:space="0" w:color="auto"/>
            <w:bottom w:val="none" w:sz="0" w:space="0" w:color="auto"/>
            <w:right w:val="none" w:sz="0" w:space="0" w:color="auto"/>
          </w:divBdr>
        </w:div>
        <w:div w:id="1382827830">
          <w:marLeft w:val="0"/>
          <w:marRight w:val="0"/>
          <w:marTop w:val="0"/>
          <w:marBottom w:val="0"/>
          <w:divBdr>
            <w:top w:val="none" w:sz="0" w:space="0" w:color="auto"/>
            <w:left w:val="none" w:sz="0" w:space="0" w:color="auto"/>
            <w:bottom w:val="none" w:sz="0" w:space="0" w:color="auto"/>
            <w:right w:val="none" w:sz="0" w:space="0" w:color="auto"/>
          </w:divBdr>
        </w:div>
      </w:divsChild>
    </w:div>
    <w:div w:id="1382827804">
      <w:marLeft w:val="0"/>
      <w:marRight w:val="0"/>
      <w:marTop w:val="0"/>
      <w:marBottom w:val="0"/>
      <w:divBdr>
        <w:top w:val="none" w:sz="0" w:space="0" w:color="auto"/>
        <w:left w:val="none" w:sz="0" w:space="0" w:color="auto"/>
        <w:bottom w:val="none" w:sz="0" w:space="0" w:color="auto"/>
        <w:right w:val="none" w:sz="0" w:space="0" w:color="auto"/>
      </w:divBdr>
    </w:div>
    <w:div w:id="1382827805">
      <w:marLeft w:val="0"/>
      <w:marRight w:val="0"/>
      <w:marTop w:val="0"/>
      <w:marBottom w:val="0"/>
      <w:divBdr>
        <w:top w:val="none" w:sz="0" w:space="0" w:color="auto"/>
        <w:left w:val="none" w:sz="0" w:space="0" w:color="auto"/>
        <w:bottom w:val="none" w:sz="0" w:space="0" w:color="auto"/>
        <w:right w:val="none" w:sz="0" w:space="0" w:color="auto"/>
      </w:divBdr>
    </w:div>
    <w:div w:id="1382827806">
      <w:marLeft w:val="0"/>
      <w:marRight w:val="0"/>
      <w:marTop w:val="0"/>
      <w:marBottom w:val="0"/>
      <w:divBdr>
        <w:top w:val="none" w:sz="0" w:space="0" w:color="auto"/>
        <w:left w:val="none" w:sz="0" w:space="0" w:color="auto"/>
        <w:bottom w:val="none" w:sz="0" w:space="0" w:color="auto"/>
        <w:right w:val="none" w:sz="0" w:space="0" w:color="auto"/>
      </w:divBdr>
    </w:div>
    <w:div w:id="1382827815">
      <w:marLeft w:val="0"/>
      <w:marRight w:val="0"/>
      <w:marTop w:val="0"/>
      <w:marBottom w:val="0"/>
      <w:divBdr>
        <w:top w:val="none" w:sz="0" w:space="0" w:color="auto"/>
        <w:left w:val="none" w:sz="0" w:space="0" w:color="auto"/>
        <w:bottom w:val="none" w:sz="0" w:space="0" w:color="auto"/>
        <w:right w:val="none" w:sz="0" w:space="0" w:color="auto"/>
      </w:divBdr>
    </w:div>
    <w:div w:id="1382827817">
      <w:marLeft w:val="0"/>
      <w:marRight w:val="0"/>
      <w:marTop w:val="0"/>
      <w:marBottom w:val="0"/>
      <w:divBdr>
        <w:top w:val="none" w:sz="0" w:space="0" w:color="auto"/>
        <w:left w:val="none" w:sz="0" w:space="0" w:color="auto"/>
        <w:bottom w:val="none" w:sz="0" w:space="0" w:color="auto"/>
        <w:right w:val="none" w:sz="0" w:space="0" w:color="auto"/>
      </w:divBdr>
    </w:div>
    <w:div w:id="1382827818">
      <w:marLeft w:val="0"/>
      <w:marRight w:val="0"/>
      <w:marTop w:val="0"/>
      <w:marBottom w:val="0"/>
      <w:divBdr>
        <w:top w:val="none" w:sz="0" w:space="0" w:color="auto"/>
        <w:left w:val="none" w:sz="0" w:space="0" w:color="auto"/>
        <w:bottom w:val="none" w:sz="0" w:space="0" w:color="auto"/>
        <w:right w:val="none" w:sz="0" w:space="0" w:color="auto"/>
      </w:divBdr>
      <w:divsChild>
        <w:div w:id="1382827801">
          <w:marLeft w:val="0"/>
          <w:marRight w:val="0"/>
          <w:marTop w:val="0"/>
          <w:marBottom w:val="0"/>
          <w:divBdr>
            <w:top w:val="none" w:sz="0" w:space="0" w:color="auto"/>
            <w:left w:val="none" w:sz="0" w:space="0" w:color="auto"/>
            <w:bottom w:val="none" w:sz="0" w:space="0" w:color="auto"/>
            <w:right w:val="none" w:sz="0" w:space="0" w:color="auto"/>
          </w:divBdr>
        </w:div>
        <w:div w:id="1382827809">
          <w:marLeft w:val="0"/>
          <w:marRight w:val="0"/>
          <w:marTop w:val="0"/>
          <w:marBottom w:val="0"/>
          <w:divBdr>
            <w:top w:val="none" w:sz="0" w:space="0" w:color="auto"/>
            <w:left w:val="none" w:sz="0" w:space="0" w:color="auto"/>
            <w:bottom w:val="none" w:sz="0" w:space="0" w:color="auto"/>
            <w:right w:val="none" w:sz="0" w:space="0" w:color="auto"/>
          </w:divBdr>
        </w:div>
      </w:divsChild>
    </w:div>
    <w:div w:id="1382827819">
      <w:marLeft w:val="0"/>
      <w:marRight w:val="0"/>
      <w:marTop w:val="0"/>
      <w:marBottom w:val="0"/>
      <w:divBdr>
        <w:top w:val="none" w:sz="0" w:space="0" w:color="auto"/>
        <w:left w:val="none" w:sz="0" w:space="0" w:color="auto"/>
        <w:bottom w:val="none" w:sz="0" w:space="0" w:color="auto"/>
        <w:right w:val="none" w:sz="0" w:space="0" w:color="auto"/>
      </w:divBdr>
    </w:div>
    <w:div w:id="1382827820">
      <w:marLeft w:val="0"/>
      <w:marRight w:val="0"/>
      <w:marTop w:val="0"/>
      <w:marBottom w:val="0"/>
      <w:divBdr>
        <w:top w:val="none" w:sz="0" w:space="0" w:color="auto"/>
        <w:left w:val="none" w:sz="0" w:space="0" w:color="auto"/>
        <w:bottom w:val="none" w:sz="0" w:space="0" w:color="auto"/>
        <w:right w:val="none" w:sz="0" w:space="0" w:color="auto"/>
      </w:divBdr>
    </w:div>
    <w:div w:id="1382827821">
      <w:marLeft w:val="0"/>
      <w:marRight w:val="0"/>
      <w:marTop w:val="0"/>
      <w:marBottom w:val="0"/>
      <w:divBdr>
        <w:top w:val="none" w:sz="0" w:space="0" w:color="auto"/>
        <w:left w:val="none" w:sz="0" w:space="0" w:color="auto"/>
        <w:bottom w:val="none" w:sz="0" w:space="0" w:color="auto"/>
        <w:right w:val="none" w:sz="0" w:space="0" w:color="auto"/>
      </w:divBdr>
    </w:div>
    <w:div w:id="1382827822">
      <w:marLeft w:val="0"/>
      <w:marRight w:val="0"/>
      <w:marTop w:val="0"/>
      <w:marBottom w:val="0"/>
      <w:divBdr>
        <w:top w:val="none" w:sz="0" w:space="0" w:color="auto"/>
        <w:left w:val="none" w:sz="0" w:space="0" w:color="auto"/>
        <w:bottom w:val="none" w:sz="0" w:space="0" w:color="auto"/>
        <w:right w:val="none" w:sz="0" w:space="0" w:color="auto"/>
      </w:divBdr>
    </w:div>
    <w:div w:id="1382827824">
      <w:marLeft w:val="0"/>
      <w:marRight w:val="0"/>
      <w:marTop w:val="0"/>
      <w:marBottom w:val="0"/>
      <w:divBdr>
        <w:top w:val="none" w:sz="0" w:space="0" w:color="auto"/>
        <w:left w:val="none" w:sz="0" w:space="0" w:color="auto"/>
        <w:bottom w:val="none" w:sz="0" w:space="0" w:color="auto"/>
        <w:right w:val="none" w:sz="0" w:space="0" w:color="auto"/>
      </w:divBdr>
    </w:div>
    <w:div w:id="1382827825">
      <w:marLeft w:val="0"/>
      <w:marRight w:val="0"/>
      <w:marTop w:val="0"/>
      <w:marBottom w:val="0"/>
      <w:divBdr>
        <w:top w:val="none" w:sz="0" w:space="0" w:color="auto"/>
        <w:left w:val="none" w:sz="0" w:space="0" w:color="auto"/>
        <w:bottom w:val="none" w:sz="0" w:space="0" w:color="auto"/>
        <w:right w:val="none" w:sz="0" w:space="0" w:color="auto"/>
      </w:divBdr>
    </w:div>
    <w:div w:id="1382827826">
      <w:marLeft w:val="0"/>
      <w:marRight w:val="0"/>
      <w:marTop w:val="0"/>
      <w:marBottom w:val="0"/>
      <w:divBdr>
        <w:top w:val="none" w:sz="0" w:space="0" w:color="auto"/>
        <w:left w:val="none" w:sz="0" w:space="0" w:color="auto"/>
        <w:bottom w:val="none" w:sz="0" w:space="0" w:color="auto"/>
        <w:right w:val="none" w:sz="0" w:space="0" w:color="auto"/>
      </w:divBdr>
    </w:div>
    <w:div w:id="1382827827">
      <w:marLeft w:val="0"/>
      <w:marRight w:val="0"/>
      <w:marTop w:val="0"/>
      <w:marBottom w:val="0"/>
      <w:divBdr>
        <w:top w:val="none" w:sz="0" w:space="0" w:color="auto"/>
        <w:left w:val="none" w:sz="0" w:space="0" w:color="auto"/>
        <w:bottom w:val="none" w:sz="0" w:space="0" w:color="auto"/>
        <w:right w:val="none" w:sz="0" w:space="0" w:color="auto"/>
      </w:divBdr>
    </w:div>
    <w:div w:id="1382827829">
      <w:marLeft w:val="0"/>
      <w:marRight w:val="0"/>
      <w:marTop w:val="0"/>
      <w:marBottom w:val="0"/>
      <w:divBdr>
        <w:top w:val="none" w:sz="0" w:space="0" w:color="auto"/>
        <w:left w:val="none" w:sz="0" w:space="0" w:color="auto"/>
        <w:bottom w:val="none" w:sz="0" w:space="0" w:color="auto"/>
        <w:right w:val="none" w:sz="0" w:space="0" w:color="auto"/>
      </w:divBdr>
    </w:div>
    <w:div w:id="1382827832">
      <w:marLeft w:val="0"/>
      <w:marRight w:val="0"/>
      <w:marTop w:val="0"/>
      <w:marBottom w:val="0"/>
      <w:divBdr>
        <w:top w:val="none" w:sz="0" w:space="0" w:color="auto"/>
        <w:left w:val="none" w:sz="0" w:space="0" w:color="auto"/>
        <w:bottom w:val="none" w:sz="0" w:space="0" w:color="auto"/>
        <w:right w:val="none" w:sz="0" w:space="0" w:color="auto"/>
      </w:divBdr>
    </w:div>
    <w:div w:id="1382827834">
      <w:marLeft w:val="0"/>
      <w:marRight w:val="0"/>
      <w:marTop w:val="0"/>
      <w:marBottom w:val="0"/>
      <w:divBdr>
        <w:top w:val="none" w:sz="0" w:space="0" w:color="auto"/>
        <w:left w:val="none" w:sz="0" w:space="0" w:color="auto"/>
        <w:bottom w:val="none" w:sz="0" w:space="0" w:color="auto"/>
        <w:right w:val="none" w:sz="0" w:space="0" w:color="auto"/>
      </w:divBdr>
      <w:divsChild>
        <w:div w:id="1382827839">
          <w:marLeft w:val="0"/>
          <w:marRight w:val="0"/>
          <w:marTop w:val="0"/>
          <w:marBottom w:val="0"/>
          <w:divBdr>
            <w:top w:val="none" w:sz="0" w:space="0" w:color="auto"/>
            <w:left w:val="none" w:sz="0" w:space="0" w:color="auto"/>
            <w:bottom w:val="none" w:sz="0" w:space="0" w:color="auto"/>
            <w:right w:val="none" w:sz="0" w:space="0" w:color="auto"/>
          </w:divBdr>
        </w:div>
        <w:div w:id="1382827846">
          <w:marLeft w:val="0"/>
          <w:marRight w:val="0"/>
          <w:marTop w:val="0"/>
          <w:marBottom w:val="0"/>
          <w:divBdr>
            <w:top w:val="none" w:sz="0" w:space="0" w:color="auto"/>
            <w:left w:val="none" w:sz="0" w:space="0" w:color="auto"/>
            <w:bottom w:val="none" w:sz="0" w:space="0" w:color="auto"/>
            <w:right w:val="none" w:sz="0" w:space="0" w:color="auto"/>
          </w:divBdr>
        </w:div>
      </w:divsChild>
    </w:div>
    <w:div w:id="1382827835">
      <w:marLeft w:val="0"/>
      <w:marRight w:val="0"/>
      <w:marTop w:val="0"/>
      <w:marBottom w:val="0"/>
      <w:divBdr>
        <w:top w:val="none" w:sz="0" w:space="0" w:color="auto"/>
        <w:left w:val="none" w:sz="0" w:space="0" w:color="auto"/>
        <w:bottom w:val="none" w:sz="0" w:space="0" w:color="auto"/>
        <w:right w:val="none" w:sz="0" w:space="0" w:color="auto"/>
      </w:divBdr>
      <w:divsChild>
        <w:div w:id="1382827837">
          <w:marLeft w:val="0"/>
          <w:marRight w:val="0"/>
          <w:marTop w:val="0"/>
          <w:marBottom w:val="0"/>
          <w:divBdr>
            <w:top w:val="none" w:sz="0" w:space="0" w:color="auto"/>
            <w:left w:val="none" w:sz="0" w:space="0" w:color="auto"/>
            <w:bottom w:val="none" w:sz="0" w:space="0" w:color="auto"/>
            <w:right w:val="none" w:sz="0" w:space="0" w:color="auto"/>
          </w:divBdr>
        </w:div>
        <w:div w:id="1382827840">
          <w:marLeft w:val="0"/>
          <w:marRight w:val="0"/>
          <w:marTop w:val="0"/>
          <w:marBottom w:val="0"/>
          <w:divBdr>
            <w:top w:val="none" w:sz="0" w:space="0" w:color="auto"/>
            <w:left w:val="none" w:sz="0" w:space="0" w:color="auto"/>
            <w:bottom w:val="none" w:sz="0" w:space="0" w:color="auto"/>
            <w:right w:val="none" w:sz="0" w:space="0" w:color="auto"/>
          </w:divBdr>
        </w:div>
      </w:divsChild>
    </w:div>
    <w:div w:id="1382827838">
      <w:marLeft w:val="0"/>
      <w:marRight w:val="0"/>
      <w:marTop w:val="0"/>
      <w:marBottom w:val="0"/>
      <w:divBdr>
        <w:top w:val="none" w:sz="0" w:space="0" w:color="auto"/>
        <w:left w:val="none" w:sz="0" w:space="0" w:color="auto"/>
        <w:bottom w:val="none" w:sz="0" w:space="0" w:color="auto"/>
        <w:right w:val="none" w:sz="0" w:space="0" w:color="auto"/>
      </w:divBdr>
      <w:divsChild>
        <w:div w:id="1382827844">
          <w:marLeft w:val="0"/>
          <w:marRight w:val="0"/>
          <w:marTop w:val="0"/>
          <w:marBottom w:val="0"/>
          <w:divBdr>
            <w:top w:val="none" w:sz="0" w:space="0" w:color="auto"/>
            <w:left w:val="none" w:sz="0" w:space="0" w:color="auto"/>
            <w:bottom w:val="none" w:sz="0" w:space="0" w:color="auto"/>
            <w:right w:val="none" w:sz="0" w:space="0" w:color="auto"/>
          </w:divBdr>
        </w:div>
      </w:divsChild>
    </w:div>
    <w:div w:id="1382827842">
      <w:marLeft w:val="0"/>
      <w:marRight w:val="0"/>
      <w:marTop w:val="0"/>
      <w:marBottom w:val="0"/>
      <w:divBdr>
        <w:top w:val="none" w:sz="0" w:space="0" w:color="auto"/>
        <w:left w:val="none" w:sz="0" w:space="0" w:color="auto"/>
        <w:bottom w:val="none" w:sz="0" w:space="0" w:color="auto"/>
        <w:right w:val="none" w:sz="0" w:space="0" w:color="auto"/>
      </w:divBdr>
      <w:divsChild>
        <w:div w:id="1382827833">
          <w:marLeft w:val="0"/>
          <w:marRight w:val="0"/>
          <w:marTop w:val="0"/>
          <w:marBottom w:val="0"/>
          <w:divBdr>
            <w:top w:val="none" w:sz="0" w:space="0" w:color="auto"/>
            <w:left w:val="none" w:sz="0" w:space="0" w:color="auto"/>
            <w:bottom w:val="none" w:sz="0" w:space="0" w:color="auto"/>
            <w:right w:val="none" w:sz="0" w:space="0" w:color="auto"/>
          </w:divBdr>
        </w:div>
        <w:div w:id="1382827845">
          <w:marLeft w:val="0"/>
          <w:marRight w:val="0"/>
          <w:marTop w:val="0"/>
          <w:marBottom w:val="0"/>
          <w:divBdr>
            <w:top w:val="none" w:sz="0" w:space="0" w:color="auto"/>
            <w:left w:val="none" w:sz="0" w:space="0" w:color="auto"/>
            <w:bottom w:val="none" w:sz="0" w:space="0" w:color="auto"/>
            <w:right w:val="none" w:sz="0" w:space="0" w:color="auto"/>
          </w:divBdr>
        </w:div>
      </w:divsChild>
    </w:div>
    <w:div w:id="1382827843">
      <w:marLeft w:val="0"/>
      <w:marRight w:val="0"/>
      <w:marTop w:val="0"/>
      <w:marBottom w:val="0"/>
      <w:divBdr>
        <w:top w:val="none" w:sz="0" w:space="0" w:color="auto"/>
        <w:left w:val="none" w:sz="0" w:space="0" w:color="auto"/>
        <w:bottom w:val="none" w:sz="0" w:space="0" w:color="auto"/>
        <w:right w:val="none" w:sz="0" w:space="0" w:color="auto"/>
      </w:divBdr>
      <w:divsChild>
        <w:div w:id="1382827836">
          <w:marLeft w:val="0"/>
          <w:marRight w:val="0"/>
          <w:marTop w:val="0"/>
          <w:marBottom w:val="0"/>
          <w:divBdr>
            <w:top w:val="none" w:sz="0" w:space="0" w:color="auto"/>
            <w:left w:val="none" w:sz="0" w:space="0" w:color="auto"/>
            <w:bottom w:val="none" w:sz="0" w:space="0" w:color="auto"/>
            <w:right w:val="none" w:sz="0" w:space="0" w:color="auto"/>
          </w:divBdr>
        </w:div>
        <w:div w:id="1382827841">
          <w:marLeft w:val="0"/>
          <w:marRight w:val="0"/>
          <w:marTop w:val="0"/>
          <w:marBottom w:val="0"/>
          <w:divBdr>
            <w:top w:val="none" w:sz="0" w:space="0" w:color="auto"/>
            <w:left w:val="none" w:sz="0" w:space="0" w:color="auto"/>
            <w:bottom w:val="none" w:sz="0" w:space="0" w:color="auto"/>
            <w:right w:val="none" w:sz="0" w:space="0" w:color="auto"/>
          </w:divBdr>
        </w:div>
      </w:divsChild>
    </w:div>
    <w:div w:id="1382827847">
      <w:marLeft w:val="0"/>
      <w:marRight w:val="0"/>
      <w:marTop w:val="0"/>
      <w:marBottom w:val="0"/>
      <w:divBdr>
        <w:top w:val="none" w:sz="0" w:space="0" w:color="auto"/>
        <w:left w:val="none" w:sz="0" w:space="0" w:color="auto"/>
        <w:bottom w:val="none" w:sz="0" w:space="0" w:color="auto"/>
        <w:right w:val="none" w:sz="0" w:space="0" w:color="auto"/>
      </w:divBdr>
    </w:div>
    <w:div w:id="1382827848">
      <w:marLeft w:val="0"/>
      <w:marRight w:val="0"/>
      <w:marTop w:val="0"/>
      <w:marBottom w:val="0"/>
      <w:divBdr>
        <w:top w:val="none" w:sz="0" w:space="0" w:color="auto"/>
        <w:left w:val="none" w:sz="0" w:space="0" w:color="auto"/>
        <w:bottom w:val="none" w:sz="0" w:space="0" w:color="auto"/>
        <w:right w:val="none" w:sz="0" w:space="0" w:color="auto"/>
      </w:divBdr>
    </w:div>
    <w:div w:id="1382827850">
      <w:marLeft w:val="0"/>
      <w:marRight w:val="0"/>
      <w:marTop w:val="0"/>
      <w:marBottom w:val="0"/>
      <w:divBdr>
        <w:top w:val="none" w:sz="0" w:space="0" w:color="auto"/>
        <w:left w:val="none" w:sz="0" w:space="0" w:color="auto"/>
        <w:bottom w:val="none" w:sz="0" w:space="0" w:color="auto"/>
        <w:right w:val="none" w:sz="0" w:space="0" w:color="auto"/>
      </w:divBdr>
      <w:divsChild>
        <w:div w:id="1382827813">
          <w:marLeft w:val="0"/>
          <w:marRight w:val="0"/>
          <w:marTop w:val="0"/>
          <w:marBottom w:val="0"/>
          <w:divBdr>
            <w:top w:val="none" w:sz="0" w:space="0" w:color="auto"/>
            <w:left w:val="none" w:sz="0" w:space="0" w:color="auto"/>
            <w:bottom w:val="none" w:sz="0" w:space="0" w:color="auto"/>
            <w:right w:val="none" w:sz="0" w:space="0" w:color="auto"/>
          </w:divBdr>
          <w:divsChild>
            <w:div w:id="1382827816">
              <w:marLeft w:val="0"/>
              <w:marRight w:val="0"/>
              <w:marTop w:val="0"/>
              <w:marBottom w:val="0"/>
              <w:divBdr>
                <w:top w:val="none" w:sz="0" w:space="0" w:color="auto"/>
                <w:left w:val="none" w:sz="0" w:space="0" w:color="auto"/>
                <w:bottom w:val="none" w:sz="0" w:space="0" w:color="auto"/>
                <w:right w:val="none" w:sz="0" w:space="0" w:color="auto"/>
              </w:divBdr>
              <w:divsChild>
                <w:div w:id="1382827810">
                  <w:marLeft w:val="0"/>
                  <w:marRight w:val="0"/>
                  <w:marTop w:val="120"/>
                  <w:marBottom w:val="360"/>
                  <w:divBdr>
                    <w:top w:val="none" w:sz="0" w:space="0" w:color="auto"/>
                    <w:left w:val="none" w:sz="0" w:space="0" w:color="auto"/>
                    <w:bottom w:val="none" w:sz="0" w:space="0" w:color="auto"/>
                    <w:right w:val="none" w:sz="0" w:space="0" w:color="auto"/>
                  </w:divBdr>
                  <w:divsChild>
                    <w:div w:id="1382827863">
                      <w:marLeft w:val="480"/>
                      <w:marRight w:val="0"/>
                      <w:marTop w:val="120"/>
                      <w:marBottom w:val="360"/>
                      <w:divBdr>
                        <w:top w:val="none" w:sz="0" w:space="0" w:color="auto"/>
                        <w:left w:val="none" w:sz="0" w:space="0" w:color="auto"/>
                        <w:bottom w:val="none" w:sz="0" w:space="0" w:color="auto"/>
                        <w:right w:val="none" w:sz="0" w:space="0" w:color="auto"/>
                      </w:divBdr>
                      <w:divsChild>
                        <w:div w:id="13828278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 w:id="1382827852">
      <w:marLeft w:val="0"/>
      <w:marRight w:val="0"/>
      <w:marTop w:val="0"/>
      <w:marBottom w:val="0"/>
      <w:divBdr>
        <w:top w:val="none" w:sz="0" w:space="0" w:color="auto"/>
        <w:left w:val="none" w:sz="0" w:space="0" w:color="auto"/>
        <w:bottom w:val="none" w:sz="0" w:space="0" w:color="auto"/>
        <w:right w:val="none" w:sz="0" w:space="0" w:color="auto"/>
      </w:divBdr>
    </w:div>
    <w:div w:id="1382827853">
      <w:marLeft w:val="0"/>
      <w:marRight w:val="0"/>
      <w:marTop w:val="0"/>
      <w:marBottom w:val="0"/>
      <w:divBdr>
        <w:top w:val="none" w:sz="0" w:space="0" w:color="auto"/>
        <w:left w:val="none" w:sz="0" w:space="0" w:color="auto"/>
        <w:bottom w:val="none" w:sz="0" w:space="0" w:color="auto"/>
        <w:right w:val="none" w:sz="0" w:space="0" w:color="auto"/>
      </w:divBdr>
    </w:div>
    <w:div w:id="1382827857">
      <w:marLeft w:val="0"/>
      <w:marRight w:val="0"/>
      <w:marTop w:val="0"/>
      <w:marBottom w:val="0"/>
      <w:divBdr>
        <w:top w:val="none" w:sz="0" w:space="0" w:color="auto"/>
        <w:left w:val="none" w:sz="0" w:space="0" w:color="auto"/>
        <w:bottom w:val="none" w:sz="0" w:space="0" w:color="auto"/>
        <w:right w:val="none" w:sz="0" w:space="0" w:color="auto"/>
      </w:divBdr>
      <w:divsChild>
        <w:div w:id="1382827803">
          <w:marLeft w:val="0"/>
          <w:marRight w:val="0"/>
          <w:marTop w:val="0"/>
          <w:marBottom w:val="0"/>
          <w:divBdr>
            <w:top w:val="none" w:sz="0" w:space="0" w:color="auto"/>
            <w:left w:val="none" w:sz="0" w:space="0" w:color="auto"/>
            <w:bottom w:val="none" w:sz="0" w:space="0" w:color="auto"/>
            <w:right w:val="none" w:sz="0" w:space="0" w:color="auto"/>
          </w:divBdr>
        </w:div>
      </w:divsChild>
    </w:div>
    <w:div w:id="1382827858">
      <w:marLeft w:val="0"/>
      <w:marRight w:val="0"/>
      <w:marTop w:val="0"/>
      <w:marBottom w:val="0"/>
      <w:divBdr>
        <w:top w:val="none" w:sz="0" w:space="0" w:color="auto"/>
        <w:left w:val="none" w:sz="0" w:space="0" w:color="auto"/>
        <w:bottom w:val="none" w:sz="0" w:space="0" w:color="auto"/>
        <w:right w:val="none" w:sz="0" w:space="0" w:color="auto"/>
      </w:divBdr>
      <w:divsChild>
        <w:div w:id="1382827814">
          <w:marLeft w:val="0"/>
          <w:marRight w:val="0"/>
          <w:marTop w:val="0"/>
          <w:marBottom w:val="0"/>
          <w:divBdr>
            <w:top w:val="none" w:sz="0" w:space="0" w:color="auto"/>
            <w:left w:val="none" w:sz="0" w:space="0" w:color="auto"/>
            <w:bottom w:val="none" w:sz="0" w:space="0" w:color="auto"/>
            <w:right w:val="none" w:sz="0" w:space="0" w:color="auto"/>
          </w:divBdr>
        </w:div>
        <w:div w:id="1382827823">
          <w:marLeft w:val="0"/>
          <w:marRight w:val="0"/>
          <w:marTop w:val="0"/>
          <w:marBottom w:val="0"/>
          <w:divBdr>
            <w:top w:val="none" w:sz="0" w:space="0" w:color="auto"/>
            <w:left w:val="none" w:sz="0" w:space="0" w:color="auto"/>
            <w:bottom w:val="none" w:sz="0" w:space="0" w:color="auto"/>
            <w:right w:val="none" w:sz="0" w:space="0" w:color="auto"/>
          </w:divBdr>
        </w:div>
      </w:divsChild>
    </w:div>
    <w:div w:id="1382827859">
      <w:marLeft w:val="0"/>
      <w:marRight w:val="0"/>
      <w:marTop w:val="0"/>
      <w:marBottom w:val="0"/>
      <w:divBdr>
        <w:top w:val="none" w:sz="0" w:space="0" w:color="auto"/>
        <w:left w:val="none" w:sz="0" w:space="0" w:color="auto"/>
        <w:bottom w:val="none" w:sz="0" w:space="0" w:color="auto"/>
        <w:right w:val="none" w:sz="0" w:space="0" w:color="auto"/>
      </w:divBdr>
    </w:div>
    <w:div w:id="1382827861">
      <w:marLeft w:val="0"/>
      <w:marRight w:val="0"/>
      <w:marTop w:val="0"/>
      <w:marBottom w:val="0"/>
      <w:divBdr>
        <w:top w:val="none" w:sz="0" w:space="0" w:color="auto"/>
        <w:left w:val="none" w:sz="0" w:space="0" w:color="auto"/>
        <w:bottom w:val="none" w:sz="0" w:space="0" w:color="auto"/>
        <w:right w:val="none" w:sz="0" w:space="0" w:color="auto"/>
      </w:divBdr>
    </w:div>
    <w:div w:id="1382827862">
      <w:marLeft w:val="0"/>
      <w:marRight w:val="0"/>
      <w:marTop w:val="0"/>
      <w:marBottom w:val="0"/>
      <w:divBdr>
        <w:top w:val="none" w:sz="0" w:space="0" w:color="auto"/>
        <w:left w:val="none" w:sz="0" w:space="0" w:color="auto"/>
        <w:bottom w:val="none" w:sz="0" w:space="0" w:color="auto"/>
        <w:right w:val="none" w:sz="0" w:space="0" w:color="auto"/>
      </w:divBdr>
      <w:divsChild>
        <w:div w:id="1382827851">
          <w:marLeft w:val="0"/>
          <w:marRight w:val="1"/>
          <w:marTop w:val="0"/>
          <w:marBottom w:val="0"/>
          <w:divBdr>
            <w:top w:val="none" w:sz="0" w:space="0" w:color="auto"/>
            <w:left w:val="none" w:sz="0" w:space="0" w:color="auto"/>
            <w:bottom w:val="none" w:sz="0" w:space="0" w:color="auto"/>
            <w:right w:val="none" w:sz="0" w:space="0" w:color="auto"/>
          </w:divBdr>
          <w:divsChild>
            <w:div w:id="1382827856">
              <w:marLeft w:val="0"/>
              <w:marRight w:val="0"/>
              <w:marTop w:val="0"/>
              <w:marBottom w:val="0"/>
              <w:divBdr>
                <w:top w:val="none" w:sz="0" w:space="0" w:color="auto"/>
                <w:left w:val="none" w:sz="0" w:space="0" w:color="auto"/>
                <w:bottom w:val="none" w:sz="0" w:space="0" w:color="auto"/>
                <w:right w:val="none" w:sz="0" w:space="0" w:color="auto"/>
              </w:divBdr>
              <w:divsChild>
                <w:div w:id="1382827854">
                  <w:marLeft w:val="0"/>
                  <w:marRight w:val="1"/>
                  <w:marTop w:val="0"/>
                  <w:marBottom w:val="0"/>
                  <w:divBdr>
                    <w:top w:val="none" w:sz="0" w:space="0" w:color="auto"/>
                    <w:left w:val="none" w:sz="0" w:space="0" w:color="auto"/>
                    <w:bottom w:val="none" w:sz="0" w:space="0" w:color="auto"/>
                    <w:right w:val="none" w:sz="0" w:space="0" w:color="auto"/>
                  </w:divBdr>
                  <w:divsChild>
                    <w:div w:id="1382827831">
                      <w:marLeft w:val="0"/>
                      <w:marRight w:val="0"/>
                      <w:marTop w:val="0"/>
                      <w:marBottom w:val="0"/>
                      <w:divBdr>
                        <w:top w:val="none" w:sz="0" w:space="0" w:color="auto"/>
                        <w:left w:val="none" w:sz="0" w:space="0" w:color="auto"/>
                        <w:bottom w:val="none" w:sz="0" w:space="0" w:color="auto"/>
                        <w:right w:val="none" w:sz="0" w:space="0" w:color="auto"/>
                      </w:divBdr>
                      <w:divsChild>
                        <w:div w:id="1382827807">
                          <w:marLeft w:val="0"/>
                          <w:marRight w:val="0"/>
                          <w:marTop w:val="0"/>
                          <w:marBottom w:val="0"/>
                          <w:divBdr>
                            <w:top w:val="none" w:sz="0" w:space="0" w:color="auto"/>
                            <w:left w:val="none" w:sz="0" w:space="0" w:color="auto"/>
                            <w:bottom w:val="none" w:sz="0" w:space="0" w:color="auto"/>
                            <w:right w:val="none" w:sz="0" w:space="0" w:color="auto"/>
                          </w:divBdr>
                          <w:divsChild>
                            <w:div w:id="1382827860">
                              <w:marLeft w:val="0"/>
                              <w:marRight w:val="0"/>
                              <w:marTop w:val="120"/>
                              <w:marBottom w:val="360"/>
                              <w:divBdr>
                                <w:top w:val="none" w:sz="0" w:space="0" w:color="auto"/>
                                <w:left w:val="none" w:sz="0" w:space="0" w:color="auto"/>
                                <w:bottom w:val="none" w:sz="0" w:space="0" w:color="auto"/>
                                <w:right w:val="none" w:sz="0" w:space="0" w:color="auto"/>
                              </w:divBdr>
                              <w:divsChild>
                                <w:div w:id="1382827828">
                                  <w:marLeft w:val="420"/>
                                  <w:marRight w:val="0"/>
                                  <w:marTop w:val="0"/>
                                  <w:marBottom w:val="0"/>
                                  <w:divBdr>
                                    <w:top w:val="none" w:sz="0" w:space="0" w:color="auto"/>
                                    <w:left w:val="none" w:sz="0" w:space="0" w:color="auto"/>
                                    <w:bottom w:val="none" w:sz="0" w:space="0" w:color="auto"/>
                                    <w:right w:val="none" w:sz="0" w:space="0" w:color="auto"/>
                                  </w:divBdr>
                                  <w:divsChild>
                                    <w:div w:id="1382827812">
                                      <w:marLeft w:val="0"/>
                                      <w:marRight w:val="0"/>
                                      <w:marTop w:val="34"/>
                                      <w:marBottom w:val="34"/>
                                      <w:divBdr>
                                        <w:top w:val="none" w:sz="0" w:space="0" w:color="auto"/>
                                        <w:left w:val="none" w:sz="0" w:space="0" w:color="auto"/>
                                        <w:bottom w:val="none" w:sz="0" w:space="0" w:color="auto"/>
                                        <w:right w:val="none" w:sz="0" w:space="0" w:color="auto"/>
                                      </w:divBdr>
                                    </w:div>
                                    <w:div w:id="1382827849">
                                      <w:marLeft w:val="0"/>
                                      <w:marRight w:val="0"/>
                                      <w:marTop w:val="0"/>
                                      <w:marBottom w:val="0"/>
                                      <w:divBdr>
                                        <w:top w:val="none" w:sz="0" w:space="0" w:color="auto"/>
                                        <w:left w:val="none" w:sz="0" w:space="0" w:color="auto"/>
                                        <w:bottom w:val="none" w:sz="0" w:space="0" w:color="auto"/>
                                        <w:right w:val="none" w:sz="0" w:space="0" w:color="auto"/>
                                      </w:divBdr>
                                      <w:divsChild>
                                        <w:div w:id="1382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827864">
      <w:marLeft w:val="115"/>
      <w:marRight w:val="115"/>
      <w:marTop w:val="115"/>
      <w:marBottom w:val="115"/>
      <w:divBdr>
        <w:top w:val="none" w:sz="0" w:space="0" w:color="auto"/>
        <w:left w:val="none" w:sz="0" w:space="0" w:color="auto"/>
        <w:bottom w:val="none" w:sz="0" w:space="0" w:color="auto"/>
        <w:right w:val="none" w:sz="0" w:space="0" w:color="auto"/>
      </w:divBdr>
      <w:divsChild>
        <w:div w:id="1382827867">
          <w:marLeft w:val="0"/>
          <w:marRight w:val="0"/>
          <w:marTop w:val="0"/>
          <w:marBottom w:val="0"/>
          <w:divBdr>
            <w:top w:val="none" w:sz="0" w:space="0" w:color="auto"/>
            <w:left w:val="none" w:sz="0" w:space="0" w:color="auto"/>
            <w:bottom w:val="none" w:sz="0" w:space="0" w:color="auto"/>
            <w:right w:val="none" w:sz="0" w:space="0" w:color="auto"/>
          </w:divBdr>
          <w:divsChild>
            <w:div w:id="1382827866">
              <w:marLeft w:val="0"/>
              <w:marRight w:val="0"/>
              <w:marTop w:val="0"/>
              <w:marBottom w:val="0"/>
              <w:divBdr>
                <w:top w:val="none" w:sz="0" w:space="0" w:color="auto"/>
                <w:left w:val="none" w:sz="0" w:space="0" w:color="auto"/>
                <w:bottom w:val="none" w:sz="0" w:space="0" w:color="auto"/>
                <w:right w:val="none" w:sz="0" w:space="0" w:color="auto"/>
              </w:divBdr>
              <w:divsChild>
                <w:div w:id="1382827865">
                  <w:marLeft w:val="0"/>
                  <w:marRight w:val="0"/>
                  <w:marTop w:val="0"/>
                  <w:marBottom w:val="0"/>
                  <w:divBdr>
                    <w:top w:val="none" w:sz="0" w:space="0" w:color="auto"/>
                    <w:left w:val="none" w:sz="0" w:space="0" w:color="auto"/>
                    <w:bottom w:val="none" w:sz="0" w:space="0" w:color="auto"/>
                    <w:right w:val="none" w:sz="0" w:space="0" w:color="auto"/>
                  </w:divBdr>
                  <w:divsChild>
                    <w:div w:id="13828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4681</Words>
  <Characters>26687</Characters>
  <Application>Microsoft Macintosh Word</Application>
  <DocSecurity>0</DocSecurity>
  <Lines>222</Lines>
  <Paragraphs>62</Paragraphs>
  <ScaleCrop>false</ScaleCrop>
  <Company>CHU de Nice</Company>
  <LinksUpToDate>false</LinksUpToDate>
  <CharactersWithSpaces>31306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C infection triple therapy including a protease inhibitor in 41 HIV-HCV co-infected patients</dc:title>
  <dc:subject/>
  <dc:creator>DUNAIS BRIGITTE CHU Nice</dc:creator>
  <cp:keywords/>
  <dc:description/>
  <cp:lastModifiedBy>Na Ma</cp:lastModifiedBy>
  <cp:revision>2</cp:revision>
  <cp:lastPrinted>2014-09-10T18:18:00Z</cp:lastPrinted>
  <dcterms:created xsi:type="dcterms:W3CDTF">2015-07-23T00:00:00Z</dcterms:created>
  <dcterms:modified xsi:type="dcterms:W3CDTF">2015-07-23T00:00:00Z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zotero-version="4.0.25.2"&gt;&lt;session id="zbt09kVk"/&gt;&lt;style id="http://www.zotero.org/styles/chicago-note-bibliography" hasBibliography="1" bibliographyStyleHasBeenSet="0"/&gt;&lt;prefs&gt;&lt;pref name="fieldType" value="Field"/&gt;&lt;pref name="store</vt:lpwstr>
  </property>
  <property fmtid="{D5CDD505-2E9C-101B-9397-08002B2CF9AE}" pid="3" name="ZOTERO_PREF_2">
    <vt:lpwstr>References" value="true"/&gt;&lt;pref name="automaticJournalAbbreviations" value="true"/&gt;&lt;pref name="noteType" value="2"/&gt;&lt;/prefs&gt;&lt;/data&gt;</vt:lpwstr>
  </property>
</Properties>
</file>