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851D" w14:textId="4358DF48" w:rsidR="00A2139F" w:rsidRPr="004E35E5" w:rsidRDefault="00A2139F" w:rsidP="004E35E5">
      <w:pPr>
        <w:spacing w:after="0" w:line="360" w:lineRule="auto"/>
        <w:jc w:val="both"/>
        <w:rPr>
          <w:rFonts w:ascii="Book Antiqua" w:hAnsi="Book Antiqua"/>
          <w:sz w:val="24"/>
          <w:szCs w:val="24"/>
        </w:rPr>
      </w:pPr>
      <w:r w:rsidRPr="004E35E5">
        <w:rPr>
          <w:rFonts w:ascii="Book Antiqua" w:hAnsi="Book Antiqua"/>
          <w:sz w:val="24"/>
          <w:szCs w:val="24"/>
        </w:rPr>
        <w:t xml:space="preserve">Name of journal: </w:t>
      </w:r>
      <w:r w:rsidRPr="004E35E5">
        <w:rPr>
          <w:rFonts w:ascii="Book Antiqua" w:hAnsi="Book Antiqua"/>
          <w:i/>
          <w:sz w:val="24"/>
          <w:szCs w:val="24"/>
        </w:rPr>
        <w:t>World Journal of Psychiatry</w:t>
      </w:r>
    </w:p>
    <w:p w14:paraId="421973A4" w14:textId="12D23E08" w:rsidR="00A2139F" w:rsidRPr="004E35E5" w:rsidRDefault="00A2139F" w:rsidP="004E35E5">
      <w:pPr>
        <w:spacing w:after="0" w:line="360" w:lineRule="auto"/>
        <w:jc w:val="both"/>
        <w:rPr>
          <w:rFonts w:ascii="Book Antiqua" w:hAnsi="Book Antiqua"/>
          <w:sz w:val="24"/>
          <w:szCs w:val="24"/>
          <w:lang w:eastAsia="zh-CN"/>
        </w:rPr>
      </w:pPr>
      <w:r w:rsidRPr="004E35E5">
        <w:rPr>
          <w:rFonts w:ascii="Book Antiqua" w:hAnsi="Book Antiqua"/>
          <w:sz w:val="24"/>
          <w:szCs w:val="24"/>
        </w:rPr>
        <w:t xml:space="preserve">ESPS Manuscript NO: </w:t>
      </w:r>
      <w:r w:rsidRPr="004E35E5">
        <w:rPr>
          <w:rFonts w:ascii="Book Antiqua" w:hAnsi="Book Antiqua"/>
          <w:sz w:val="24"/>
          <w:szCs w:val="24"/>
          <w:lang w:eastAsia="zh-CN"/>
        </w:rPr>
        <w:t>15715</w:t>
      </w:r>
    </w:p>
    <w:p w14:paraId="07138497" w14:textId="69B78389" w:rsidR="00A2139F" w:rsidRPr="004E35E5" w:rsidRDefault="00A2139F" w:rsidP="004E35E5">
      <w:pPr>
        <w:spacing w:after="0" w:line="360" w:lineRule="auto"/>
        <w:jc w:val="both"/>
        <w:rPr>
          <w:rFonts w:ascii="Book Antiqua" w:hAnsi="Book Antiqua"/>
          <w:sz w:val="24"/>
          <w:szCs w:val="24"/>
          <w:lang w:eastAsia="zh-CN"/>
        </w:rPr>
      </w:pPr>
      <w:r w:rsidRPr="004E35E5">
        <w:rPr>
          <w:rFonts w:ascii="Book Antiqua" w:hAnsi="Book Antiqua"/>
          <w:sz w:val="24"/>
          <w:szCs w:val="24"/>
        </w:rPr>
        <w:t xml:space="preserve">Columns: </w:t>
      </w:r>
      <w:r w:rsidRPr="004E35E5">
        <w:rPr>
          <w:rFonts w:ascii="Book Antiqua" w:hAnsi="Book Antiqua"/>
          <w:sz w:val="24"/>
          <w:szCs w:val="24"/>
          <w:lang w:eastAsia="zh-CN"/>
        </w:rPr>
        <w:t xml:space="preserve">Original </w:t>
      </w:r>
      <w:r w:rsidR="004E35E5" w:rsidRPr="004E35E5">
        <w:rPr>
          <w:rFonts w:ascii="Book Antiqua" w:hAnsi="Book Antiqua"/>
          <w:sz w:val="24"/>
          <w:szCs w:val="24"/>
          <w:lang w:eastAsia="zh-CN"/>
        </w:rPr>
        <w:t>A</w:t>
      </w:r>
      <w:r w:rsidRPr="004E35E5">
        <w:rPr>
          <w:rFonts w:ascii="Book Antiqua" w:hAnsi="Book Antiqua"/>
          <w:sz w:val="24"/>
          <w:szCs w:val="24"/>
          <w:lang w:eastAsia="zh-CN"/>
        </w:rPr>
        <w:t>rticle</w:t>
      </w:r>
    </w:p>
    <w:p w14:paraId="6FBC39FD" w14:textId="77777777" w:rsidR="00A2139F" w:rsidRPr="004E35E5" w:rsidRDefault="00A2139F" w:rsidP="004E35E5">
      <w:pPr>
        <w:spacing w:after="0" w:line="360" w:lineRule="auto"/>
        <w:jc w:val="both"/>
        <w:rPr>
          <w:rFonts w:ascii="Book Antiqua" w:hAnsi="Book Antiqua" w:cs="Times New Roman"/>
          <w:sz w:val="24"/>
          <w:szCs w:val="24"/>
          <w:lang w:eastAsia="zh-CN"/>
        </w:rPr>
      </w:pPr>
    </w:p>
    <w:p w14:paraId="558A5D9B" w14:textId="69940CCE" w:rsidR="00A2139F" w:rsidRPr="004E35E5" w:rsidRDefault="00A2139F" w:rsidP="004E35E5">
      <w:pPr>
        <w:spacing w:after="0" w:line="360" w:lineRule="auto"/>
        <w:jc w:val="both"/>
        <w:rPr>
          <w:rFonts w:ascii="Book Antiqua" w:hAnsi="Book Antiqua" w:cs="Times New Roman"/>
          <w:b/>
          <w:i/>
          <w:sz w:val="24"/>
          <w:szCs w:val="24"/>
          <w:lang w:eastAsia="zh-CN"/>
        </w:rPr>
      </w:pPr>
      <w:r w:rsidRPr="004E35E5">
        <w:rPr>
          <w:rFonts w:ascii="Book Antiqua" w:hAnsi="Book Antiqua" w:cs="Times New Roman"/>
          <w:b/>
          <w:i/>
          <w:sz w:val="24"/>
          <w:szCs w:val="24"/>
          <w:lang w:eastAsia="zh-CN"/>
        </w:rPr>
        <w:t>Retrospective study</w:t>
      </w:r>
    </w:p>
    <w:p w14:paraId="6E71523C" w14:textId="34A1F526" w:rsidR="00D924CD" w:rsidRPr="004E35E5" w:rsidRDefault="00D924CD" w:rsidP="004E35E5">
      <w:pPr>
        <w:spacing w:after="0" w:line="360" w:lineRule="auto"/>
        <w:jc w:val="both"/>
        <w:rPr>
          <w:rFonts w:ascii="Book Antiqua" w:hAnsi="Book Antiqua" w:cs="Times New Roman"/>
          <w:b/>
          <w:sz w:val="24"/>
          <w:szCs w:val="24"/>
          <w:lang w:eastAsia="zh-CN"/>
        </w:rPr>
      </w:pPr>
      <w:r w:rsidRPr="004E35E5">
        <w:rPr>
          <w:rFonts w:ascii="Book Antiqua" w:hAnsi="Book Antiqua" w:cs="Times New Roman"/>
          <w:b/>
          <w:sz w:val="24"/>
          <w:szCs w:val="24"/>
        </w:rPr>
        <w:t xml:space="preserve">Outpatient </w:t>
      </w:r>
      <w:r w:rsidR="00E17F18" w:rsidRPr="004E35E5">
        <w:rPr>
          <w:rFonts w:ascii="Book Antiqua" w:hAnsi="Book Antiqua" w:cs="Times New Roman"/>
          <w:b/>
          <w:sz w:val="24"/>
          <w:szCs w:val="24"/>
        </w:rPr>
        <w:t>competence resto</w:t>
      </w:r>
      <w:r w:rsidRPr="004E35E5">
        <w:rPr>
          <w:rFonts w:ascii="Book Antiqua" w:hAnsi="Book Antiqua" w:cs="Times New Roman"/>
          <w:b/>
          <w:sz w:val="24"/>
          <w:szCs w:val="24"/>
        </w:rPr>
        <w:t xml:space="preserve">ration: A </w:t>
      </w:r>
      <w:r w:rsidR="00E17F18" w:rsidRPr="004E35E5">
        <w:rPr>
          <w:rFonts w:ascii="Book Antiqua" w:hAnsi="Book Antiqua" w:cs="Times New Roman"/>
          <w:b/>
          <w:sz w:val="24"/>
          <w:szCs w:val="24"/>
        </w:rPr>
        <w:t>model and outc</w:t>
      </w:r>
      <w:r w:rsidRPr="004E35E5">
        <w:rPr>
          <w:rFonts w:ascii="Book Antiqua" w:hAnsi="Book Antiqua" w:cs="Times New Roman"/>
          <w:b/>
          <w:sz w:val="24"/>
          <w:szCs w:val="24"/>
        </w:rPr>
        <w:t>omes</w:t>
      </w:r>
    </w:p>
    <w:p w14:paraId="616B175F" w14:textId="77777777" w:rsidR="008A2B90" w:rsidRPr="004E35E5" w:rsidRDefault="008A2B90" w:rsidP="004E35E5">
      <w:pPr>
        <w:spacing w:after="0" w:line="360" w:lineRule="auto"/>
        <w:jc w:val="both"/>
        <w:rPr>
          <w:rFonts w:ascii="Book Antiqua" w:hAnsi="Book Antiqua" w:cs="Times New Roman"/>
          <w:b/>
          <w:sz w:val="24"/>
          <w:szCs w:val="24"/>
          <w:lang w:eastAsia="zh-CN"/>
        </w:rPr>
      </w:pPr>
    </w:p>
    <w:p w14:paraId="0CDFA92E" w14:textId="098228FD" w:rsidR="00A2139F" w:rsidRPr="004E35E5" w:rsidRDefault="008A2B90" w:rsidP="004E35E5">
      <w:pPr>
        <w:spacing w:after="0" w:line="360" w:lineRule="auto"/>
        <w:jc w:val="both"/>
        <w:rPr>
          <w:rFonts w:ascii="Book Antiqua" w:hAnsi="Book Antiqua" w:cs="Times New Roman"/>
          <w:sz w:val="24"/>
          <w:szCs w:val="24"/>
          <w:lang w:eastAsia="zh-CN"/>
        </w:rPr>
      </w:pPr>
      <w:r w:rsidRPr="004E35E5">
        <w:rPr>
          <w:rFonts w:ascii="Book Antiqua" w:hAnsi="Book Antiqua" w:cs="Times New Roman"/>
          <w:sz w:val="24"/>
          <w:szCs w:val="24"/>
        </w:rPr>
        <w:t>Johnson</w:t>
      </w:r>
      <w:r w:rsidRPr="004E35E5">
        <w:rPr>
          <w:rFonts w:ascii="Book Antiqua" w:hAnsi="Book Antiqua" w:cs="Times New Roman"/>
          <w:sz w:val="24"/>
          <w:szCs w:val="24"/>
          <w:lang w:eastAsia="zh-CN"/>
        </w:rPr>
        <w:t xml:space="preserve"> NR </w:t>
      </w:r>
      <w:r w:rsidRPr="004E35E5">
        <w:rPr>
          <w:rFonts w:ascii="Book Antiqua" w:hAnsi="Book Antiqua" w:cs="Times New Roman"/>
          <w:i/>
          <w:sz w:val="24"/>
          <w:szCs w:val="24"/>
          <w:lang w:eastAsia="zh-CN"/>
        </w:rPr>
        <w:t>et al.</w:t>
      </w:r>
      <w:r w:rsidRPr="004E35E5">
        <w:rPr>
          <w:rFonts w:ascii="Book Antiqua" w:hAnsi="Book Antiqua" w:cs="Times New Roman"/>
          <w:sz w:val="24"/>
          <w:szCs w:val="24"/>
        </w:rPr>
        <w:t xml:space="preserve"> Outpatient competence restoration</w:t>
      </w:r>
    </w:p>
    <w:p w14:paraId="646C90D2" w14:textId="77777777" w:rsidR="008A2B90" w:rsidRPr="004E35E5" w:rsidRDefault="008A2B90" w:rsidP="004E35E5">
      <w:pPr>
        <w:spacing w:after="0" w:line="360" w:lineRule="auto"/>
        <w:jc w:val="both"/>
        <w:rPr>
          <w:rFonts w:ascii="Book Antiqua" w:hAnsi="Book Antiqua" w:cs="Times New Roman"/>
          <w:i/>
          <w:sz w:val="24"/>
          <w:szCs w:val="24"/>
          <w:lang w:eastAsia="zh-CN"/>
        </w:rPr>
      </w:pPr>
    </w:p>
    <w:p w14:paraId="7562781C" w14:textId="79F37BC2" w:rsidR="00D924CD" w:rsidRPr="004E35E5" w:rsidRDefault="00A2139F" w:rsidP="004E35E5">
      <w:pPr>
        <w:pStyle w:val="NoSpacing"/>
        <w:spacing w:line="360" w:lineRule="auto"/>
        <w:jc w:val="both"/>
        <w:rPr>
          <w:rFonts w:ascii="Book Antiqua" w:hAnsi="Book Antiqua" w:cs="Times New Roman"/>
          <w:sz w:val="24"/>
          <w:szCs w:val="24"/>
          <w:lang w:eastAsia="zh-CN"/>
        </w:rPr>
      </w:pPr>
      <w:r w:rsidRPr="004E35E5">
        <w:rPr>
          <w:rFonts w:ascii="Book Antiqua" w:hAnsi="Book Antiqua" w:cs="Times New Roman"/>
          <w:sz w:val="24"/>
          <w:szCs w:val="24"/>
        </w:rPr>
        <w:t>Nicole R Johnson,</w:t>
      </w:r>
      <w:r w:rsidRPr="004E35E5">
        <w:rPr>
          <w:rFonts w:ascii="Book Antiqua" w:hAnsi="Book Antiqua" w:cs="Times New Roman"/>
          <w:sz w:val="24"/>
          <w:szCs w:val="24"/>
          <w:lang w:eastAsia="zh-CN"/>
        </w:rPr>
        <w:t xml:space="preserve"> </w:t>
      </w:r>
      <w:r w:rsidRPr="004E35E5">
        <w:rPr>
          <w:rFonts w:ascii="Book Antiqua" w:hAnsi="Book Antiqua" w:cs="Times New Roman"/>
          <w:sz w:val="24"/>
          <w:szCs w:val="24"/>
        </w:rPr>
        <w:t>Philip J Candilis</w:t>
      </w:r>
    </w:p>
    <w:p w14:paraId="7B6A0C2B" w14:textId="77777777" w:rsidR="00A2139F" w:rsidRPr="004E35E5" w:rsidRDefault="00A2139F" w:rsidP="004E35E5">
      <w:pPr>
        <w:pStyle w:val="NoSpacing"/>
        <w:spacing w:line="360" w:lineRule="auto"/>
        <w:jc w:val="both"/>
        <w:rPr>
          <w:rFonts w:ascii="Book Antiqua" w:hAnsi="Book Antiqua" w:cs="Times New Roman"/>
          <w:sz w:val="24"/>
          <w:szCs w:val="24"/>
          <w:lang w:eastAsia="zh-CN"/>
        </w:rPr>
      </w:pPr>
    </w:p>
    <w:p w14:paraId="043E54E7" w14:textId="1C451F00" w:rsidR="008A2B90" w:rsidRPr="004E35E5" w:rsidRDefault="008A2B90" w:rsidP="004E35E5">
      <w:pPr>
        <w:pStyle w:val="NoSpacing"/>
        <w:spacing w:line="360" w:lineRule="auto"/>
        <w:jc w:val="both"/>
        <w:rPr>
          <w:rFonts w:ascii="Book Antiqua" w:hAnsi="Book Antiqua" w:cs="Times New Roman"/>
          <w:sz w:val="24"/>
          <w:szCs w:val="24"/>
          <w:lang w:eastAsia="zh-CN"/>
        </w:rPr>
      </w:pPr>
      <w:r w:rsidRPr="004E35E5">
        <w:rPr>
          <w:rFonts w:ascii="Book Antiqua" w:hAnsi="Book Antiqua" w:cs="Times New Roman"/>
          <w:b/>
          <w:sz w:val="24"/>
          <w:szCs w:val="24"/>
        </w:rPr>
        <w:t>Nicole R Johnson,</w:t>
      </w:r>
      <w:r w:rsidRPr="004E35E5">
        <w:rPr>
          <w:rFonts w:ascii="Book Antiqua" w:hAnsi="Book Antiqua" w:cs="Times New Roman"/>
          <w:sz w:val="24"/>
          <w:szCs w:val="24"/>
        </w:rPr>
        <w:t xml:space="preserve"> Department of Behavioral Health</w:t>
      </w:r>
      <w:r w:rsidRPr="004E35E5">
        <w:rPr>
          <w:rFonts w:ascii="Book Antiqua" w:hAnsi="Book Antiqua" w:cs="Times New Roman"/>
          <w:sz w:val="24"/>
          <w:szCs w:val="24"/>
          <w:lang w:eastAsia="zh-CN"/>
        </w:rPr>
        <w:t xml:space="preserve">, </w:t>
      </w:r>
      <w:r w:rsidRPr="004E35E5">
        <w:rPr>
          <w:rFonts w:ascii="Book Antiqua" w:hAnsi="Book Antiqua" w:cs="Times New Roman"/>
          <w:sz w:val="24"/>
          <w:szCs w:val="24"/>
        </w:rPr>
        <w:t>Washington,</w:t>
      </w:r>
      <w:r w:rsidR="007C51E9" w:rsidRPr="007C51E9">
        <w:rPr>
          <w:rFonts w:ascii="Book Antiqua" w:hAnsi="Book Antiqua" w:cs="Times New Roman"/>
          <w:sz w:val="24"/>
          <w:szCs w:val="24"/>
        </w:rPr>
        <w:t xml:space="preserve"> </w:t>
      </w:r>
      <w:r w:rsidR="007C51E9" w:rsidRPr="004E35E5">
        <w:rPr>
          <w:rFonts w:ascii="Book Antiqua" w:hAnsi="Book Antiqua" w:cs="Times New Roman"/>
          <w:sz w:val="24"/>
          <w:szCs w:val="24"/>
        </w:rPr>
        <w:t>DC 20002</w:t>
      </w:r>
      <w:r w:rsidR="007C51E9">
        <w:rPr>
          <w:rFonts w:ascii="Book Antiqua" w:hAnsi="Book Antiqua" w:cs="Times New Roman" w:hint="eastAsia"/>
          <w:sz w:val="24"/>
          <w:szCs w:val="24"/>
          <w:lang w:eastAsia="zh-CN"/>
        </w:rPr>
        <w:t>,</w:t>
      </w:r>
      <w:r w:rsidRPr="004E35E5">
        <w:rPr>
          <w:rFonts w:ascii="Book Antiqua" w:hAnsi="Book Antiqua" w:cs="Times New Roman"/>
          <w:sz w:val="24"/>
          <w:szCs w:val="24"/>
          <w:lang w:eastAsia="zh-CN"/>
        </w:rPr>
        <w:t xml:space="preserve"> United </w:t>
      </w:r>
      <w:r w:rsidR="00957AF3">
        <w:rPr>
          <w:rFonts w:ascii="Book Antiqua" w:hAnsi="Book Antiqua" w:cs="Times New Roman" w:hint="eastAsia"/>
          <w:sz w:val="24"/>
          <w:szCs w:val="24"/>
          <w:lang w:eastAsia="zh-CN"/>
        </w:rPr>
        <w:t>States</w:t>
      </w:r>
    </w:p>
    <w:p w14:paraId="2E61D23F" w14:textId="4A87F37E" w:rsidR="00A2139F" w:rsidRPr="004E35E5" w:rsidRDefault="00A2139F" w:rsidP="004E35E5">
      <w:pPr>
        <w:pStyle w:val="NoSpacing"/>
        <w:spacing w:line="360" w:lineRule="auto"/>
        <w:jc w:val="both"/>
        <w:rPr>
          <w:rFonts w:ascii="Book Antiqua" w:hAnsi="Book Antiqua" w:cs="Times New Roman"/>
          <w:sz w:val="24"/>
          <w:szCs w:val="24"/>
          <w:lang w:eastAsia="zh-CN"/>
        </w:rPr>
      </w:pPr>
    </w:p>
    <w:p w14:paraId="1CDA128C" w14:textId="5A777173" w:rsidR="00957AF3" w:rsidRPr="004E35E5" w:rsidRDefault="008A2B90" w:rsidP="00957AF3">
      <w:pPr>
        <w:pStyle w:val="NoSpacing"/>
        <w:spacing w:line="360" w:lineRule="auto"/>
        <w:jc w:val="both"/>
        <w:rPr>
          <w:rFonts w:ascii="Book Antiqua" w:hAnsi="Book Antiqua" w:cs="Times New Roman"/>
          <w:sz w:val="24"/>
          <w:szCs w:val="24"/>
          <w:lang w:eastAsia="zh-CN"/>
        </w:rPr>
      </w:pPr>
      <w:r w:rsidRPr="004E35E5">
        <w:rPr>
          <w:rFonts w:ascii="Book Antiqua" w:hAnsi="Book Antiqua" w:cs="Times New Roman"/>
          <w:b/>
          <w:sz w:val="24"/>
          <w:szCs w:val="24"/>
        </w:rPr>
        <w:t>Philip J Candilis,</w:t>
      </w:r>
      <w:r w:rsidRPr="004E35E5">
        <w:rPr>
          <w:rFonts w:ascii="Book Antiqua" w:hAnsi="Book Antiqua" w:cs="Times New Roman"/>
          <w:sz w:val="24"/>
          <w:szCs w:val="24"/>
        </w:rPr>
        <w:t xml:space="preserve"> Dep</w:t>
      </w:r>
      <w:r w:rsidRPr="004E35E5">
        <w:rPr>
          <w:rFonts w:ascii="Book Antiqua" w:hAnsi="Book Antiqua" w:cs="Times New Roman"/>
          <w:sz w:val="24"/>
          <w:szCs w:val="24"/>
          <w:lang w:eastAsia="zh-CN"/>
        </w:rPr>
        <w:t>artmen</w:t>
      </w:r>
      <w:r w:rsidRPr="004E35E5">
        <w:rPr>
          <w:rFonts w:ascii="Book Antiqua" w:hAnsi="Book Antiqua" w:cs="Times New Roman"/>
          <w:sz w:val="24"/>
          <w:szCs w:val="24"/>
        </w:rPr>
        <w:t>t of Behavioral Health</w:t>
      </w:r>
      <w:r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Saint Elizabeths Hospital</w:t>
      </w:r>
      <w:r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Washington</w:t>
      </w:r>
      <w:r w:rsidRPr="004E35E5">
        <w:rPr>
          <w:rFonts w:ascii="Book Antiqua" w:hAnsi="Book Antiqua" w:cs="Times New Roman"/>
          <w:sz w:val="24"/>
          <w:szCs w:val="24"/>
          <w:lang w:eastAsia="zh-CN"/>
        </w:rPr>
        <w:t xml:space="preserve">, </w:t>
      </w:r>
      <w:r w:rsidR="007C51E9" w:rsidRPr="004E35E5">
        <w:rPr>
          <w:rFonts w:ascii="Book Antiqua" w:hAnsi="Book Antiqua" w:cs="Times New Roman"/>
          <w:sz w:val="24"/>
          <w:szCs w:val="24"/>
        </w:rPr>
        <w:t>DC 20032</w:t>
      </w:r>
      <w:r w:rsidR="007C51E9">
        <w:rPr>
          <w:rFonts w:ascii="Book Antiqua" w:hAnsi="Book Antiqua" w:cs="Times New Roman" w:hint="eastAsia"/>
          <w:sz w:val="24"/>
          <w:szCs w:val="24"/>
          <w:lang w:eastAsia="zh-CN"/>
        </w:rPr>
        <w:t xml:space="preserve">, </w:t>
      </w:r>
      <w:r w:rsidR="00957AF3" w:rsidRPr="004E35E5">
        <w:rPr>
          <w:rFonts w:ascii="Book Antiqua" w:hAnsi="Book Antiqua" w:cs="Times New Roman"/>
          <w:sz w:val="24"/>
          <w:szCs w:val="24"/>
          <w:lang w:eastAsia="zh-CN"/>
        </w:rPr>
        <w:t xml:space="preserve">United </w:t>
      </w:r>
      <w:r w:rsidR="00957AF3">
        <w:rPr>
          <w:rFonts w:ascii="Book Antiqua" w:hAnsi="Book Antiqua" w:cs="Times New Roman" w:hint="eastAsia"/>
          <w:sz w:val="24"/>
          <w:szCs w:val="24"/>
          <w:lang w:eastAsia="zh-CN"/>
        </w:rPr>
        <w:t>States</w:t>
      </w:r>
    </w:p>
    <w:p w14:paraId="328D7A2C" w14:textId="750655EE" w:rsidR="008A2B90" w:rsidRPr="004E35E5" w:rsidRDefault="008A2B90" w:rsidP="004E35E5">
      <w:pPr>
        <w:pStyle w:val="NoSpacing"/>
        <w:spacing w:line="360" w:lineRule="auto"/>
        <w:jc w:val="both"/>
        <w:rPr>
          <w:rFonts w:ascii="Book Antiqua" w:hAnsi="Book Antiqua" w:cs="Times New Roman"/>
          <w:sz w:val="24"/>
          <w:szCs w:val="24"/>
          <w:lang w:eastAsia="zh-CN"/>
        </w:rPr>
      </w:pPr>
    </w:p>
    <w:p w14:paraId="5C95011D" w14:textId="02D5DDC6" w:rsidR="008A2B90" w:rsidRPr="004E35E5" w:rsidRDefault="008A2B90" w:rsidP="004E35E5">
      <w:pPr>
        <w:pStyle w:val="NoSpacing"/>
        <w:spacing w:line="360" w:lineRule="auto"/>
        <w:jc w:val="both"/>
        <w:rPr>
          <w:rFonts w:ascii="Book Antiqua" w:hAnsi="Book Antiqua"/>
          <w:b/>
          <w:sz w:val="24"/>
          <w:szCs w:val="24"/>
          <w:lang w:eastAsia="zh-CN"/>
        </w:rPr>
      </w:pPr>
      <w:r w:rsidRPr="004E35E5">
        <w:rPr>
          <w:rFonts w:ascii="Book Antiqua" w:hAnsi="Book Antiqua"/>
          <w:b/>
          <w:sz w:val="24"/>
          <w:szCs w:val="24"/>
        </w:rPr>
        <w:t>Author contributions:</w:t>
      </w:r>
      <w:r w:rsidRPr="004E35E5">
        <w:rPr>
          <w:rFonts w:ascii="Book Antiqua" w:hAnsi="Book Antiqua"/>
          <w:b/>
          <w:sz w:val="24"/>
          <w:szCs w:val="24"/>
          <w:lang w:eastAsia="zh-CN"/>
        </w:rPr>
        <w:t xml:space="preserve"> </w:t>
      </w:r>
      <w:r w:rsidRPr="004E35E5">
        <w:rPr>
          <w:rFonts w:ascii="Book Antiqua" w:hAnsi="Book Antiqua"/>
          <w:sz w:val="24"/>
          <w:szCs w:val="24"/>
          <w:lang w:eastAsia="zh-CN"/>
        </w:rPr>
        <w:t>Both authors contributed to this manuscript.</w:t>
      </w:r>
    </w:p>
    <w:p w14:paraId="12FCAF18" w14:textId="77777777" w:rsidR="008A2B90" w:rsidRPr="004E35E5" w:rsidRDefault="008A2B90" w:rsidP="004E35E5">
      <w:pPr>
        <w:pStyle w:val="NoSpacing"/>
        <w:spacing w:line="360" w:lineRule="auto"/>
        <w:jc w:val="both"/>
        <w:rPr>
          <w:rFonts w:ascii="Book Antiqua" w:hAnsi="Book Antiqua" w:cs="Times New Roman"/>
          <w:sz w:val="24"/>
          <w:szCs w:val="24"/>
          <w:lang w:eastAsia="zh-CN"/>
        </w:rPr>
      </w:pPr>
    </w:p>
    <w:p w14:paraId="7E9B6054" w14:textId="29CB7CDD" w:rsidR="008A2B90" w:rsidRPr="004E35E5" w:rsidRDefault="008A2B90" w:rsidP="004E35E5">
      <w:pPr>
        <w:spacing w:after="0" w:line="360" w:lineRule="auto"/>
        <w:jc w:val="both"/>
        <w:rPr>
          <w:rFonts w:ascii="Book Antiqua" w:hAnsi="Book Antiqua" w:cs="Times New Roman"/>
          <w:sz w:val="24"/>
          <w:szCs w:val="24"/>
        </w:rPr>
      </w:pPr>
      <w:r w:rsidRPr="004E35E5">
        <w:rPr>
          <w:rFonts w:ascii="Book Antiqua" w:hAnsi="Book Antiqua"/>
          <w:b/>
          <w:bCs/>
          <w:iCs/>
          <w:color w:val="000000"/>
          <w:sz w:val="24"/>
          <w:szCs w:val="24"/>
        </w:rPr>
        <w:t>Ethics approval:</w:t>
      </w:r>
      <w:r w:rsidRPr="004E35E5">
        <w:rPr>
          <w:rFonts w:ascii="Book Antiqua" w:hAnsi="Book Antiqua" w:cs="Times New Roman"/>
          <w:sz w:val="24"/>
          <w:szCs w:val="24"/>
        </w:rPr>
        <w:t xml:space="preserve"> This project was exempted from review by the Saint Elizabeths Hospital/Department of Behavioral Health (Washington DC) Institutional Review Board.</w:t>
      </w:r>
    </w:p>
    <w:p w14:paraId="11E40D08" w14:textId="77777777" w:rsidR="008A2B90" w:rsidRPr="004E35E5" w:rsidRDefault="008A2B90" w:rsidP="004E35E5">
      <w:pPr>
        <w:autoSpaceDE w:val="0"/>
        <w:autoSpaceDN w:val="0"/>
        <w:adjustRightInd w:val="0"/>
        <w:spacing w:after="0" w:line="360" w:lineRule="auto"/>
        <w:jc w:val="both"/>
        <w:rPr>
          <w:rFonts w:ascii="Book Antiqua" w:hAnsi="Book Antiqua"/>
          <w:b/>
          <w:bCs/>
          <w:iCs/>
          <w:color w:val="000000"/>
          <w:sz w:val="24"/>
          <w:szCs w:val="24"/>
          <w:lang w:eastAsia="zh-CN"/>
        </w:rPr>
      </w:pPr>
    </w:p>
    <w:p w14:paraId="7992374C" w14:textId="77777777" w:rsidR="008A2B90" w:rsidRPr="004E35E5" w:rsidRDefault="008A2B90" w:rsidP="004E35E5">
      <w:pPr>
        <w:spacing w:after="0" w:line="360" w:lineRule="auto"/>
        <w:jc w:val="both"/>
        <w:rPr>
          <w:rFonts w:ascii="Book Antiqua" w:hAnsi="Book Antiqua" w:cs="Times New Roman"/>
          <w:sz w:val="24"/>
          <w:szCs w:val="24"/>
        </w:rPr>
      </w:pPr>
      <w:r w:rsidRPr="004E35E5">
        <w:rPr>
          <w:rFonts w:ascii="Book Antiqua" w:hAnsi="Book Antiqua"/>
          <w:b/>
          <w:bCs/>
          <w:iCs/>
          <w:color w:val="000000"/>
          <w:sz w:val="24"/>
          <w:szCs w:val="24"/>
        </w:rPr>
        <w:t xml:space="preserve">Informed consent: </w:t>
      </w:r>
      <w:r w:rsidRPr="004E35E5">
        <w:rPr>
          <w:rFonts w:ascii="Book Antiqua" w:hAnsi="Book Antiqua" w:cs="Times New Roman"/>
          <w:sz w:val="24"/>
          <w:szCs w:val="24"/>
        </w:rPr>
        <w:t>Only retrospective aggregate data is used in this review so that individual informed consent was not obtained (see IRB waiver).</w:t>
      </w:r>
    </w:p>
    <w:p w14:paraId="1B4C8BC7" w14:textId="77777777" w:rsidR="008A2B90" w:rsidRPr="004E35E5" w:rsidRDefault="008A2B90" w:rsidP="004E35E5">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629B0D29" w14:textId="19374C28" w:rsidR="008A2B90" w:rsidRPr="004E35E5" w:rsidRDefault="008A2B90" w:rsidP="004E35E5">
      <w:pPr>
        <w:autoSpaceDE w:val="0"/>
        <w:autoSpaceDN w:val="0"/>
        <w:adjustRightInd w:val="0"/>
        <w:spacing w:after="0" w:line="360" w:lineRule="auto"/>
        <w:jc w:val="both"/>
        <w:rPr>
          <w:rFonts w:ascii="Book Antiqua" w:hAnsi="Book Antiqua" w:cs="TimesNewRomanPS-BoldItalicMT"/>
          <w:b/>
          <w:bCs/>
          <w:iCs/>
          <w:color w:val="000000"/>
          <w:sz w:val="24"/>
          <w:szCs w:val="24"/>
        </w:rPr>
      </w:pPr>
      <w:r w:rsidRPr="004E35E5">
        <w:rPr>
          <w:rFonts w:ascii="Book Antiqua" w:hAnsi="Book Antiqua" w:cs="TimesNewRomanPS-BoldItalicMT"/>
          <w:b/>
          <w:bCs/>
          <w:iCs/>
          <w:color w:val="000000"/>
          <w:sz w:val="24"/>
          <w:szCs w:val="24"/>
        </w:rPr>
        <w:t>Conflict-of-interest:</w:t>
      </w:r>
      <w:r w:rsidRPr="004E35E5">
        <w:rPr>
          <w:rFonts w:ascii="Book Antiqua" w:hAnsi="Book Antiqua" w:cs="Times New Roman"/>
          <w:sz w:val="24"/>
          <w:szCs w:val="24"/>
        </w:rPr>
        <w:t xml:space="preserve"> The authors declare no conflicts of interest in the conduct or publication of this work.</w:t>
      </w:r>
    </w:p>
    <w:p w14:paraId="7154BCC0" w14:textId="77777777" w:rsidR="008A2B90" w:rsidRPr="004E35E5" w:rsidRDefault="008A2B90" w:rsidP="004E35E5">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138FF0FD" w14:textId="141CDB53" w:rsidR="008A2B90" w:rsidRPr="004E35E5" w:rsidRDefault="008A2B90" w:rsidP="004E35E5">
      <w:pPr>
        <w:spacing w:after="0" w:line="360" w:lineRule="auto"/>
        <w:jc w:val="both"/>
        <w:rPr>
          <w:rFonts w:ascii="Book Antiqua" w:hAnsi="Book Antiqua"/>
          <w:sz w:val="24"/>
          <w:szCs w:val="24"/>
        </w:rPr>
      </w:pPr>
      <w:r w:rsidRPr="004E35E5">
        <w:rPr>
          <w:rFonts w:ascii="Book Antiqua" w:hAnsi="Book Antiqua" w:cs="TimesNewRomanPS-BoldItalicMT"/>
          <w:b/>
          <w:bCs/>
          <w:iCs/>
          <w:color w:val="000000"/>
          <w:sz w:val="24"/>
          <w:szCs w:val="24"/>
        </w:rPr>
        <w:t>Data sharing:</w:t>
      </w:r>
      <w:r w:rsidRPr="004E35E5">
        <w:rPr>
          <w:rFonts w:ascii="Book Antiqua" w:hAnsi="Book Antiqua"/>
          <w:sz w:val="24"/>
          <w:szCs w:val="24"/>
        </w:rPr>
        <w:t xml:space="preserve"> All the data used in this study is presented in the text of the paper.</w:t>
      </w:r>
    </w:p>
    <w:p w14:paraId="7AB0523B" w14:textId="77777777" w:rsidR="008A2B90" w:rsidRPr="004E35E5" w:rsidRDefault="008A2B90" w:rsidP="004E35E5">
      <w:pPr>
        <w:adjustRightInd w:val="0"/>
        <w:snapToGrid w:val="0"/>
        <w:spacing w:after="0" w:line="360" w:lineRule="auto"/>
        <w:jc w:val="both"/>
        <w:rPr>
          <w:rFonts w:ascii="Book Antiqua" w:hAnsi="Book Antiqua"/>
          <w:b/>
          <w:sz w:val="24"/>
          <w:szCs w:val="24"/>
          <w:lang w:eastAsia="zh-CN"/>
        </w:rPr>
      </w:pPr>
    </w:p>
    <w:p w14:paraId="594F8FBA" w14:textId="77777777" w:rsidR="008A2B90" w:rsidRPr="004E35E5" w:rsidRDefault="008A2B90" w:rsidP="004E35E5">
      <w:pPr>
        <w:spacing w:after="0" w:line="360" w:lineRule="auto"/>
        <w:jc w:val="both"/>
        <w:rPr>
          <w:rFonts w:ascii="Book Antiqua" w:hAnsi="Book Antiqua" w:cs="宋体"/>
          <w:sz w:val="24"/>
          <w:szCs w:val="24"/>
        </w:rPr>
      </w:pPr>
      <w:r w:rsidRPr="004E35E5">
        <w:rPr>
          <w:rFonts w:ascii="Book Antiqua" w:hAnsi="Book Antiqua"/>
          <w:b/>
          <w:color w:val="000000"/>
          <w:sz w:val="24"/>
          <w:szCs w:val="24"/>
        </w:rPr>
        <w:t xml:space="preserve">Open-Access: </w:t>
      </w:r>
      <w:r w:rsidRPr="004E35E5">
        <w:rPr>
          <w:rFonts w:ascii="Book Antiqua" w:hAnsi="Book Antiqua"/>
          <w:color w:val="000000"/>
          <w:sz w:val="24"/>
          <w:szCs w:val="24"/>
        </w:rPr>
        <w:t xml:space="preserve">This article is an </w:t>
      </w:r>
      <w:r w:rsidRPr="004E35E5">
        <w:rPr>
          <w:rFonts w:ascii="Book Antiqua" w:hAnsi="Book Antiqua"/>
          <w:sz w:val="24"/>
          <w:szCs w:val="24"/>
        </w:rPr>
        <w:t xml:space="preserve">open-access article which </w:t>
      </w:r>
      <w:r w:rsidRPr="004E35E5">
        <w:rPr>
          <w:rFonts w:ascii="Book Antiqua" w:hAnsi="Book Antiqua"/>
          <w:color w:val="000000"/>
          <w:sz w:val="24"/>
          <w:szCs w:val="24"/>
        </w:rPr>
        <w:t>was selected by an in-house editor and fully peer-reviewed by external reviewers. It is dis</w:t>
      </w:r>
      <w:r w:rsidRPr="004E35E5">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35E5">
          <w:rPr>
            <w:rStyle w:val="Hyperlink"/>
            <w:rFonts w:ascii="Book Antiqua" w:hAnsi="Book Antiqua"/>
            <w:sz w:val="24"/>
            <w:szCs w:val="24"/>
          </w:rPr>
          <w:t>http://creativecommons.org/licenses/by-nc/4.0/</w:t>
        </w:r>
      </w:hyperlink>
    </w:p>
    <w:p w14:paraId="7833612D" w14:textId="77777777" w:rsidR="008A2B90" w:rsidRPr="004E35E5" w:rsidRDefault="008A2B90" w:rsidP="004E35E5">
      <w:pPr>
        <w:pStyle w:val="NoSpacing"/>
        <w:spacing w:line="360" w:lineRule="auto"/>
        <w:jc w:val="both"/>
        <w:rPr>
          <w:rFonts w:ascii="Book Antiqua" w:hAnsi="Book Antiqua" w:cs="Times New Roman"/>
          <w:sz w:val="24"/>
          <w:szCs w:val="24"/>
          <w:lang w:eastAsia="zh-CN"/>
        </w:rPr>
      </w:pPr>
    </w:p>
    <w:p w14:paraId="560C34A1" w14:textId="02727B3C" w:rsidR="008A2B90" w:rsidRPr="004E35E5" w:rsidRDefault="008A2B90" w:rsidP="004E35E5">
      <w:pPr>
        <w:pStyle w:val="NoSpacing"/>
        <w:spacing w:line="360" w:lineRule="auto"/>
        <w:jc w:val="both"/>
        <w:rPr>
          <w:rFonts w:ascii="Book Antiqua" w:hAnsi="Book Antiqua" w:cs="Times New Roman"/>
          <w:sz w:val="24"/>
          <w:szCs w:val="24"/>
          <w:lang w:eastAsia="zh-CN"/>
        </w:rPr>
      </w:pPr>
      <w:r w:rsidRPr="004E35E5">
        <w:rPr>
          <w:rFonts w:ascii="Book Antiqua" w:hAnsi="Book Antiqua"/>
          <w:b/>
          <w:sz w:val="24"/>
          <w:szCs w:val="24"/>
        </w:rPr>
        <w:t>Correspondence to:</w:t>
      </w:r>
      <w:r w:rsidRPr="004E35E5">
        <w:rPr>
          <w:rFonts w:ascii="Book Antiqua" w:hAnsi="Book Antiqua"/>
          <w:b/>
          <w:sz w:val="24"/>
          <w:szCs w:val="24"/>
          <w:lang w:eastAsia="zh-CN"/>
        </w:rPr>
        <w:t xml:space="preserve"> </w:t>
      </w:r>
      <w:r w:rsidRPr="00651AC1">
        <w:rPr>
          <w:rFonts w:ascii="Book Antiqua" w:hAnsi="Book Antiqua" w:cs="Times New Roman"/>
          <w:b/>
          <w:sz w:val="24"/>
          <w:szCs w:val="24"/>
        </w:rPr>
        <w:t>Nicole R</w:t>
      </w:r>
      <w:r w:rsidR="00D924CD" w:rsidRPr="00651AC1">
        <w:rPr>
          <w:rFonts w:ascii="Book Antiqua" w:hAnsi="Book Antiqua" w:cs="Times New Roman"/>
          <w:b/>
          <w:sz w:val="24"/>
          <w:szCs w:val="24"/>
        </w:rPr>
        <w:t xml:space="preserve"> Johnson, MD, FAPA</w:t>
      </w:r>
      <w:r w:rsidRPr="00651AC1">
        <w:rPr>
          <w:rFonts w:ascii="Book Antiqua" w:hAnsi="Book Antiqua" w:cs="Times New Roman"/>
          <w:b/>
          <w:sz w:val="24"/>
          <w:szCs w:val="24"/>
          <w:lang w:eastAsia="zh-CN"/>
        </w:rPr>
        <w:t xml:space="preserve">, </w:t>
      </w:r>
      <w:r w:rsidR="00D924CD" w:rsidRPr="00651AC1">
        <w:rPr>
          <w:rFonts w:ascii="Book Antiqua" w:hAnsi="Book Antiqua" w:cs="Times New Roman"/>
          <w:b/>
          <w:sz w:val="24"/>
          <w:szCs w:val="24"/>
        </w:rPr>
        <w:t>Forensic Services Director</w:t>
      </w:r>
      <w:r w:rsidRPr="00651AC1">
        <w:rPr>
          <w:rFonts w:ascii="Book Antiqua" w:hAnsi="Book Antiqua" w:cs="Times New Roman"/>
          <w:b/>
          <w:sz w:val="24"/>
          <w:szCs w:val="24"/>
          <w:lang w:eastAsia="zh-CN"/>
        </w:rPr>
        <w:t xml:space="preserve">, </w:t>
      </w:r>
      <w:r w:rsidR="00D924CD" w:rsidRPr="004E35E5">
        <w:rPr>
          <w:rFonts w:ascii="Book Antiqua" w:hAnsi="Book Antiqua" w:cs="Times New Roman"/>
          <w:sz w:val="24"/>
          <w:szCs w:val="24"/>
        </w:rPr>
        <w:t>Department of Behavioral Health</w:t>
      </w:r>
      <w:r w:rsidRPr="004E35E5">
        <w:rPr>
          <w:rFonts w:ascii="Book Antiqua" w:hAnsi="Book Antiqua" w:cs="Times New Roman"/>
          <w:sz w:val="24"/>
          <w:szCs w:val="24"/>
          <w:lang w:eastAsia="zh-CN"/>
        </w:rPr>
        <w:t xml:space="preserve">, </w:t>
      </w:r>
      <w:r w:rsidR="00D924CD" w:rsidRPr="004E35E5">
        <w:rPr>
          <w:rFonts w:ascii="Book Antiqua" w:hAnsi="Book Antiqua" w:cs="Times New Roman"/>
          <w:sz w:val="24"/>
          <w:szCs w:val="24"/>
        </w:rPr>
        <w:t>35 K Street, NE</w:t>
      </w:r>
      <w:r w:rsidRPr="004E35E5">
        <w:rPr>
          <w:rFonts w:ascii="Book Antiqua" w:hAnsi="Book Antiqua" w:cs="Times New Roman"/>
          <w:sz w:val="24"/>
          <w:szCs w:val="24"/>
          <w:lang w:eastAsia="zh-CN"/>
        </w:rPr>
        <w:t xml:space="preserve">, </w:t>
      </w:r>
      <w:r w:rsidRPr="004E35E5">
        <w:rPr>
          <w:rFonts w:ascii="Book Antiqua" w:hAnsi="Book Antiqua" w:cs="Times New Roman"/>
          <w:sz w:val="24"/>
          <w:szCs w:val="24"/>
        </w:rPr>
        <w:t>Washington,</w:t>
      </w:r>
      <w:r w:rsidR="007C51E9" w:rsidRPr="007C51E9">
        <w:rPr>
          <w:rFonts w:ascii="Book Antiqua" w:hAnsi="Book Antiqua" w:cs="Times New Roman"/>
          <w:sz w:val="24"/>
          <w:szCs w:val="24"/>
        </w:rPr>
        <w:t xml:space="preserve"> </w:t>
      </w:r>
      <w:r w:rsidR="007C51E9" w:rsidRPr="004E35E5">
        <w:rPr>
          <w:rFonts w:ascii="Book Antiqua" w:hAnsi="Book Antiqua" w:cs="Times New Roman"/>
          <w:sz w:val="24"/>
          <w:szCs w:val="24"/>
        </w:rPr>
        <w:t>DC 20002</w:t>
      </w:r>
      <w:r w:rsidR="007C51E9">
        <w:rPr>
          <w:rFonts w:ascii="Book Antiqua" w:hAnsi="Book Antiqua" w:cs="Times New Roman" w:hint="eastAsia"/>
          <w:sz w:val="24"/>
          <w:szCs w:val="24"/>
          <w:lang w:eastAsia="zh-CN"/>
        </w:rPr>
        <w:t>,</w:t>
      </w:r>
      <w:r w:rsidR="007C51E9" w:rsidRPr="004E35E5">
        <w:rPr>
          <w:rFonts w:ascii="Book Antiqua" w:hAnsi="Book Antiqua" w:cs="Times New Roman"/>
          <w:sz w:val="24"/>
          <w:szCs w:val="24"/>
          <w:lang w:eastAsia="zh-CN"/>
        </w:rPr>
        <w:t xml:space="preserve"> </w:t>
      </w:r>
      <w:r w:rsidRPr="004E35E5">
        <w:rPr>
          <w:rFonts w:ascii="Book Antiqua" w:hAnsi="Book Antiqua" w:cs="Times New Roman"/>
          <w:sz w:val="24"/>
          <w:szCs w:val="24"/>
          <w:lang w:eastAsia="zh-CN"/>
        </w:rPr>
        <w:t xml:space="preserve"> </w:t>
      </w:r>
      <w:r w:rsidR="00957AF3" w:rsidRPr="004E35E5">
        <w:rPr>
          <w:rFonts w:ascii="Book Antiqua" w:hAnsi="Book Antiqua" w:cs="Times New Roman"/>
          <w:sz w:val="24"/>
          <w:szCs w:val="24"/>
          <w:lang w:eastAsia="zh-CN"/>
        </w:rPr>
        <w:t xml:space="preserve">United </w:t>
      </w:r>
      <w:r w:rsidR="00957AF3">
        <w:rPr>
          <w:rFonts w:ascii="Book Antiqua" w:hAnsi="Book Antiqua" w:cs="Times New Roman" w:hint="eastAsia"/>
          <w:sz w:val="24"/>
          <w:szCs w:val="24"/>
          <w:lang w:eastAsia="zh-CN"/>
        </w:rPr>
        <w:t>States</w:t>
      </w:r>
      <w:r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w:t>
      </w:r>
      <w:hyperlink r:id="rId10" w:history="1">
        <w:r w:rsidRPr="004E35E5">
          <w:rPr>
            <w:rStyle w:val="Hyperlink"/>
            <w:rFonts w:ascii="Book Antiqua" w:hAnsi="Book Antiqua" w:cs="Times New Roman"/>
            <w:bCs/>
            <w:iCs/>
            <w:color w:val="auto"/>
            <w:sz w:val="24"/>
            <w:szCs w:val="24"/>
            <w:u w:val="none"/>
          </w:rPr>
          <w:t>nicole.johnson3@dc.gov</w:t>
        </w:r>
      </w:hyperlink>
    </w:p>
    <w:p w14:paraId="757AFB7D" w14:textId="77777777" w:rsidR="008A2B90" w:rsidRPr="004E35E5" w:rsidRDefault="008A2B90" w:rsidP="004E35E5">
      <w:pPr>
        <w:spacing w:after="0" w:line="360" w:lineRule="auto"/>
        <w:jc w:val="both"/>
        <w:rPr>
          <w:rFonts w:ascii="Book Antiqua" w:hAnsi="Book Antiqua"/>
          <w:b/>
          <w:sz w:val="24"/>
          <w:szCs w:val="24"/>
          <w:lang w:eastAsia="zh-CN"/>
        </w:rPr>
      </w:pPr>
    </w:p>
    <w:p w14:paraId="114BF5BA" w14:textId="60604A0F"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 xml:space="preserve">Telephone: </w:t>
      </w:r>
      <w:r w:rsidRPr="004E35E5">
        <w:rPr>
          <w:rFonts w:ascii="Book Antiqua" w:hAnsi="Book Antiqua" w:cs="Times New Roman"/>
          <w:sz w:val="24"/>
          <w:szCs w:val="24"/>
          <w:lang w:eastAsia="zh-CN"/>
        </w:rPr>
        <w:t>+</w:t>
      </w:r>
      <w:r w:rsidR="007C51E9">
        <w:rPr>
          <w:rFonts w:ascii="Book Antiqua" w:hAnsi="Book Antiqua" w:cs="Times New Roman" w:hint="eastAsia"/>
          <w:sz w:val="24"/>
          <w:szCs w:val="24"/>
          <w:lang w:eastAsia="zh-CN"/>
        </w:rPr>
        <w:t>1</w:t>
      </w:r>
      <w:r w:rsidRPr="004E35E5">
        <w:rPr>
          <w:rFonts w:ascii="Book Antiqua" w:hAnsi="Book Antiqua" w:cs="Times New Roman"/>
          <w:sz w:val="24"/>
          <w:szCs w:val="24"/>
          <w:lang w:eastAsia="zh-CN"/>
        </w:rPr>
        <w:t>-</w:t>
      </w:r>
      <w:r w:rsidRPr="004E35E5">
        <w:rPr>
          <w:rFonts w:ascii="Book Antiqua" w:hAnsi="Book Antiqua" w:cs="Times New Roman"/>
          <w:sz w:val="24"/>
          <w:szCs w:val="24"/>
        </w:rPr>
        <w:t>202</w:t>
      </w:r>
      <w:r w:rsidRPr="004E35E5">
        <w:rPr>
          <w:rFonts w:ascii="Book Antiqua" w:hAnsi="Book Antiqua" w:cs="Times New Roman"/>
          <w:sz w:val="24"/>
          <w:szCs w:val="24"/>
          <w:lang w:eastAsia="zh-CN"/>
        </w:rPr>
        <w:t>-</w:t>
      </w:r>
      <w:r w:rsidRPr="004E35E5">
        <w:rPr>
          <w:rFonts w:ascii="Book Antiqua" w:hAnsi="Book Antiqua" w:cs="Times New Roman"/>
          <w:sz w:val="24"/>
          <w:szCs w:val="24"/>
        </w:rPr>
        <w:t>4072121</w:t>
      </w:r>
    </w:p>
    <w:p w14:paraId="2A1EAA60" w14:textId="27D07D2D"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Fax:</w:t>
      </w:r>
      <w:r w:rsidRPr="004E35E5">
        <w:rPr>
          <w:rFonts w:ascii="Book Antiqua" w:hAnsi="Book Antiqua" w:cs="Times New Roman"/>
          <w:sz w:val="24"/>
          <w:szCs w:val="24"/>
          <w:lang w:eastAsia="zh-CN"/>
        </w:rPr>
        <w:t xml:space="preserve"> +</w:t>
      </w:r>
      <w:r w:rsidR="007C51E9">
        <w:rPr>
          <w:rFonts w:ascii="Book Antiqua" w:hAnsi="Book Antiqua" w:cs="Times New Roman" w:hint="eastAsia"/>
          <w:sz w:val="24"/>
          <w:szCs w:val="24"/>
          <w:lang w:eastAsia="zh-CN"/>
        </w:rPr>
        <w:t>1</w:t>
      </w:r>
      <w:r w:rsidRPr="004E35E5">
        <w:rPr>
          <w:rFonts w:ascii="Book Antiqua" w:hAnsi="Book Antiqua" w:cs="Times New Roman"/>
          <w:sz w:val="24"/>
          <w:szCs w:val="24"/>
          <w:lang w:eastAsia="zh-CN"/>
        </w:rPr>
        <w:t>-</w:t>
      </w:r>
      <w:r w:rsidRPr="004E35E5">
        <w:rPr>
          <w:rFonts w:ascii="Book Antiqua" w:hAnsi="Book Antiqua" w:cs="Times New Roman"/>
          <w:sz w:val="24"/>
          <w:szCs w:val="24"/>
        </w:rPr>
        <w:t>202</w:t>
      </w:r>
      <w:r w:rsidRPr="004E35E5">
        <w:rPr>
          <w:rFonts w:ascii="Book Antiqua" w:hAnsi="Book Antiqua" w:cs="Times New Roman"/>
          <w:sz w:val="24"/>
          <w:szCs w:val="24"/>
          <w:lang w:eastAsia="zh-CN"/>
        </w:rPr>
        <w:t>-</w:t>
      </w:r>
      <w:r w:rsidRPr="004E35E5">
        <w:rPr>
          <w:rFonts w:ascii="Book Antiqua" w:hAnsi="Book Antiqua" w:cs="Times New Roman"/>
          <w:sz w:val="24"/>
          <w:szCs w:val="24"/>
        </w:rPr>
        <w:t>7249697</w:t>
      </w:r>
    </w:p>
    <w:p w14:paraId="0EEA5893" w14:textId="77777777" w:rsidR="00D924CD" w:rsidRPr="004E35E5" w:rsidRDefault="00D924CD" w:rsidP="004E35E5">
      <w:pPr>
        <w:spacing w:after="0" w:line="360" w:lineRule="auto"/>
        <w:jc w:val="both"/>
        <w:rPr>
          <w:rFonts w:ascii="Book Antiqua" w:hAnsi="Book Antiqua" w:cs="Times New Roman"/>
          <w:sz w:val="24"/>
          <w:szCs w:val="24"/>
          <w:lang w:eastAsia="zh-CN"/>
        </w:rPr>
      </w:pPr>
    </w:p>
    <w:p w14:paraId="3555C5EE" w14:textId="0ADCF7BB"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 xml:space="preserve">Received: </w:t>
      </w:r>
      <w:r w:rsidR="000A4609" w:rsidRPr="004E35E5">
        <w:rPr>
          <w:rFonts w:ascii="Book Antiqua" w:hAnsi="Book Antiqua"/>
          <w:sz w:val="24"/>
          <w:szCs w:val="24"/>
          <w:lang w:eastAsia="zh-CN"/>
        </w:rPr>
        <w:t>December 5, 2014</w:t>
      </w:r>
      <w:r w:rsidR="004E35E5">
        <w:rPr>
          <w:rFonts w:ascii="Book Antiqua" w:hAnsi="Book Antiqua"/>
          <w:sz w:val="24"/>
          <w:szCs w:val="24"/>
        </w:rPr>
        <w:t xml:space="preserve"> </w:t>
      </w:r>
    </w:p>
    <w:p w14:paraId="3696F95A" w14:textId="7556A769"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Peer-review started:</w:t>
      </w:r>
      <w:r w:rsidR="000A4609" w:rsidRPr="004E35E5">
        <w:rPr>
          <w:rFonts w:ascii="Book Antiqua" w:hAnsi="Book Antiqua"/>
          <w:sz w:val="24"/>
          <w:szCs w:val="24"/>
          <w:lang w:eastAsia="zh-CN"/>
        </w:rPr>
        <w:t xml:space="preserve"> December 6, 2014</w:t>
      </w:r>
      <w:r w:rsidR="004E35E5">
        <w:rPr>
          <w:rFonts w:ascii="Book Antiqua" w:hAnsi="Book Antiqua"/>
          <w:sz w:val="24"/>
          <w:szCs w:val="24"/>
        </w:rPr>
        <w:t xml:space="preserve"> </w:t>
      </w:r>
    </w:p>
    <w:p w14:paraId="58E8CCE2" w14:textId="6EAD7FA5" w:rsidR="008A2B90" w:rsidRPr="004E35E5" w:rsidRDefault="008A2B90" w:rsidP="004E35E5">
      <w:pPr>
        <w:spacing w:after="0" w:line="360" w:lineRule="auto"/>
        <w:jc w:val="both"/>
        <w:rPr>
          <w:rFonts w:ascii="Book Antiqua" w:hAnsi="Book Antiqua"/>
          <w:b/>
          <w:sz w:val="24"/>
          <w:szCs w:val="24"/>
          <w:lang w:eastAsia="zh-CN"/>
        </w:rPr>
      </w:pPr>
      <w:r w:rsidRPr="004E35E5">
        <w:rPr>
          <w:rFonts w:ascii="Book Antiqua" w:hAnsi="Book Antiqua"/>
          <w:b/>
          <w:sz w:val="24"/>
          <w:szCs w:val="24"/>
        </w:rPr>
        <w:t>First decision:</w:t>
      </w:r>
      <w:r w:rsidR="000A4609" w:rsidRPr="004E35E5">
        <w:rPr>
          <w:rFonts w:ascii="Book Antiqua" w:hAnsi="Book Antiqua"/>
          <w:b/>
          <w:sz w:val="24"/>
          <w:szCs w:val="24"/>
          <w:lang w:eastAsia="zh-CN"/>
        </w:rPr>
        <w:t xml:space="preserve"> </w:t>
      </w:r>
      <w:r w:rsidR="000A4609" w:rsidRPr="004E35E5">
        <w:rPr>
          <w:rFonts w:ascii="Book Antiqua" w:hAnsi="Book Antiqua"/>
          <w:sz w:val="24"/>
          <w:szCs w:val="24"/>
          <w:lang w:eastAsia="zh-CN"/>
        </w:rPr>
        <w:t>January 20, 2015</w:t>
      </w:r>
    </w:p>
    <w:p w14:paraId="7608D61C" w14:textId="5500E7C6"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 xml:space="preserve">Revised: </w:t>
      </w:r>
      <w:r w:rsidR="000A4609" w:rsidRPr="004E35E5">
        <w:rPr>
          <w:rFonts w:ascii="Book Antiqua" w:hAnsi="Book Antiqua"/>
          <w:sz w:val="24"/>
          <w:szCs w:val="24"/>
          <w:lang w:eastAsia="zh-CN"/>
        </w:rPr>
        <w:t>February 1</w:t>
      </w:r>
      <w:r w:rsidR="00651AC1">
        <w:rPr>
          <w:rFonts w:ascii="Book Antiqua" w:hAnsi="Book Antiqua" w:hint="eastAsia"/>
          <w:sz w:val="24"/>
          <w:szCs w:val="24"/>
          <w:lang w:eastAsia="zh-CN"/>
        </w:rPr>
        <w:t>8</w:t>
      </w:r>
      <w:r w:rsidR="000A4609" w:rsidRPr="004E35E5">
        <w:rPr>
          <w:rFonts w:ascii="Book Antiqua" w:hAnsi="Book Antiqua"/>
          <w:sz w:val="24"/>
          <w:szCs w:val="24"/>
          <w:lang w:eastAsia="zh-CN"/>
        </w:rPr>
        <w:t>, 2015</w:t>
      </w:r>
      <w:r w:rsidRPr="004E35E5">
        <w:rPr>
          <w:rFonts w:ascii="Book Antiqua" w:hAnsi="Book Antiqua"/>
          <w:sz w:val="24"/>
          <w:szCs w:val="24"/>
        </w:rPr>
        <w:t xml:space="preserve"> </w:t>
      </w:r>
    </w:p>
    <w:p w14:paraId="4C0AF279" w14:textId="02B15AE0"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Accepted:</w:t>
      </w:r>
      <w:r w:rsidR="004E35E5">
        <w:rPr>
          <w:rFonts w:ascii="Book Antiqua" w:hAnsi="Book Antiqua"/>
          <w:b/>
          <w:sz w:val="24"/>
          <w:szCs w:val="24"/>
        </w:rPr>
        <w:t xml:space="preserve"> </w:t>
      </w:r>
      <w:r w:rsidR="007D7611" w:rsidRPr="007D7611">
        <w:rPr>
          <w:rFonts w:ascii="Book Antiqua" w:hAnsi="Book Antiqua"/>
          <w:sz w:val="24"/>
          <w:szCs w:val="24"/>
        </w:rPr>
        <w:t>March 16, 2015</w:t>
      </w:r>
    </w:p>
    <w:p w14:paraId="5B04E100" w14:textId="77777777"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Article in press:</w:t>
      </w:r>
    </w:p>
    <w:p w14:paraId="65389D0E" w14:textId="77777777" w:rsidR="008A2B90" w:rsidRPr="004E35E5" w:rsidRDefault="008A2B90" w:rsidP="004E35E5">
      <w:pPr>
        <w:spacing w:after="0" w:line="360" w:lineRule="auto"/>
        <w:jc w:val="both"/>
        <w:rPr>
          <w:rFonts w:ascii="Book Antiqua" w:hAnsi="Book Antiqua"/>
          <w:b/>
          <w:sz w:val="24"/>
          <w:szCs w:val="24"/>
        </w:rPr>
      </w:pPr>
      <w:r w:rsidRPr="004E35E5">
        <w:rPr>
          <w:rFonts w:ascii="Book Antiqua" w:hAnsi="Book Antiqua"/>
          <w:b/>
          <w:sz w:val="24"/>
          <w:szCs w:val="24"/>
        </w:rPr>
        <w:t xml:space="preserve">Published online: </w:t>
      </w:r>
    </w:p>
    <w:p w14:paraId="2E6308F8" w14:textId="77777777" w:rsidR="008A2B90" w:rsidRPr="004E35E5" w:rsidRDefault="008A2B90" w:rsidP="004E35E5">
      <w:pPr>
        <w:spacing w:after="0" w:line="360" w:lineRule="auto"/>
        <w:jc w:val="both"/>
        <w:rPr>
          <w:rFonts w:ascii="Book Antiqua" w:hAnsi="Book Antiqua" w:cs="Times New Roman"/>
          <w:sz w:val="24"/>
          <w:szCs w:val="24"/>
          <w:lang w:eastAsia="zh-CN"/>
        </w:rPr>
      </w:pPr>
    </w:p>
    <w:p w14:paraId="2BF043D8" w14:textId="77777777" w:rsidR="00234382" w:rsidRPr="004E35E5" w:rsidRDefault="00234382" w:rsidP="004E35E5">
      <w:pPr>
        <w:spacing w:after="0" w:line="360" w:lineRule="auto"/>
        <w:jc w:val="both"/>
        <w:rPr>
          <w:rFonts w:ascii="Book Antiqua" w:hAnsi="Book Antiqua" w:cs="Times New Roman"/>
          <w:b/>
          <w:sz w:val="24"/>
          <w:szCs w:val="24"/>
        </w:rPr>
      </w:pPr>
      <w:r w:rsidRPr="004E35E5">
        <w:rPr>
          <w:rFonts w:ascii="Book Antiqua" w:hAnsi="Book Antiqua" w:cs="Times New Roman"/>
          <w:b/>
          <w:sz w:val="24"/>
          <w:szCs w:val="24"/>
        </w:rPr>
        <w:t>Abstract</w:t>
      </w:r>
    </w:p>
    <w:p w14:paraId="0A2352BA" w14:textId="14EEFE2F" w:rsidR="00234382" w:rsidRPr="004E35E5" w:rsidRDefault="00530E79" w:rsidP="004E35E5">
      <w:pPr>
        <w:spacing w:after="0" w:line="360" w:lineRule="auto"/>
        <w:jc w:val="both"/>
        <w:rPr>
          <w:rFonts w:ascii="Book Antiqua" w:hAnsi="Book Antiqua" w:cs="Times New Roman"/>
          <w:sz w:val="24"/>
          <w:szCs w:val="24"/>
        </w:rPr>
      </w:pPr>
      <w:r w:rsidRPr="004E35E5">
        <w:rPr>
          <w:rFonts w:ascii="Book Antiqua" w:hAnsi="Book Antiqua" w:cs="Times New Roman"/>
          <w:b/>
          <w:sz w:val="24"/>
          <w:szCs w:val="24"/>
        </w:rPr>
        <w:t xml:space="preserve">AIM: </w:t>
      </w:r>
      <w:r w:rsidR="00234382" w:rsidRPr="004E35E5">
        <w:rPr>
          <w:rFonts w:ascii="Book Antiqua" w:hAnsi="Book Antiqua" w:cs="Times New Roman"/>
          <w:sz w:val="24"/>
          <w:szCs w:val="24"/>
        </w:rPr>
        <w:t>To describe a model Outpatient Competence Restoration Program (OCRP) and provide data on time to restoration of adjudicative competence.</w:t>
      </w:r>
    </w:p>
    <w:p w14:paraId="08295BB3" w14:textId="77777777" w:rsidR="00234382" w:rsidRPr="004E35E5" w:rsidRDefault="00234382" w:rsidP="004E35E5">
      <w:pPr>
        <w:spacing w:after="0" w:line="360" w:lineRule="auto"/>
        <w:jc w:val="both"/>
        <w:rPr>
          <w:rFonts w:ascii="Book Antiqua" w:hAnsi="Book Antiqua" w:cs="Times New Roman"/>
          <w:sz w:val="24"/>
          <w:szCs w:val="24"/>
        </w:rPr>
      </w:pPr>
    </w:p>
    <w:p w14:paraId="35AFA95C" w14:textId="4E19E8AC" w:rsidR="00234382" w:rsidRPr="004E35E5" w:rsidRDefault="00530E79" w:rsidP="004E35E5">
      <w:pPr>
        <w:spacing w:after="0" w:line="360" w:lineRule="auto"/>
        <w:jc w:val="both"/>
        <w:rPr>
          <w:rFonts w:ascii="Book Antiqua" w:hAnsi="Book Antiqua" w:cs="Times New Roman"/>
          <w:sz w:val="24"/>
          <w:szCs w:val="24"/>
        </w:rPr>
      </w:pPr>
      <w:r w:rsidRPr="004E35E5">
        <w:rPr>
          <w:rFonts w:ascii="Book Antiqua" w:hAnsi="Book Antiqua" w:cs="Times New Roman"/>
          <w:b/>
          <w:sz w:val="24"/>
          <w:szCs w:val="24"/>
        </w:rPr>
        <w:t>METHODS:</w:t>
      </w:r>
      <w:r w:rsidR="00234382" w:rsidRPr="004E35E5">
        <w:rPr>
          <w:rFonts w:ascii="Book Antiqua" w:hAnsi="Book Antiqua" w:cs="Times New Roman"/>
          <w:sz w:val="24"/>
          <w:szCs w:val="24"/>
        </w:rPr>
        <w:t xml:space="preserve"> The authors tracked the process by which individuals are referred for outpatient competence restoration by courts in the U</w:t>
      </w:r>
      <w:r w:rsidR="000A4609" w:rsidRPr="004E35E5">
        <w:rPr>
          <w:rFonts w:ascii="Book Antiqua" w:hAnsi="Book Antiqua" w:cs="Times New Roman"/>
          <w:sz w:val="24"/>
          <w:szCs w:val="24"/>
          <w:lang w:eastAsia="zh-CN"/>
        </w:rPr>
        <w:t xml:space="preserve">nited </w:t>
      </w:r>
      <w:r w:rsidR="000A4609" w:rsidRPr="004E35E5">
        <w:rPr>
          <w:rFonts w:ascii="Book Antiqua" w:hAnsi="Book Antiqua" w:cs="Times New Roman"/>
          <w:sz w:val="24"/>
          <w:szCs w:val="24"/>
        </w:rPr>
        <w:t>S</w:t>
      </w:r>
      <w:r w:rsidR="000A4609" w:rsidRPr="004E35E5">
        <w:rPr>
          <w:rFonts w:ascii="Book Antiqua" w:hAnsi="Book Antiqua" w:cs="Times New Roman"/>
          <w:sz w:val="24"/>
          <w:szCs w:val="24"/>
          <w:lang w:eastAsia="zh-CN"/>
        </w:rPr>
        <w:t>tates</w:t>
      </w:r>
      <w:r w:rsidR="00234382" w:rsidRPr="004E35E5">
        <w:rPr>
          <w:rFonts w:ascii="Book Antiqua" w:hAnsi="Book Antiqua" w:cs="Times New Roman"/>
          <w:sz w:val="24"/>
          <w:szCs w:val="24"/>
        </w:rPr>
        <w:t xml:space="preserve"> capital, describing the </w:t>
      </w:r>
      <w:r w:rsidR="00234382" w:rsidRPr="004E35E5">
        <w:rPr>
          <w:rFonts w:ascii="Book Antiqua" w:hAnsi="Book Antiqua" w:cs="Times New Roman"/>
          <w:sz w:val="24"/>
          <w:szCs w:val="24"/>
        </w:rPr>
        <w:lastRenderedPageBreak/>
        <w:t>unique requirements of American law, and the avenues available for compelling adherence. Competence to stand trial is a critical gate-keeping function of the judicial and forensic communities and assures that defendants understand courtroom procedures. Competence restoration is therefore an effort to assure fairness and protection of important legal rights. Multi-media efforts are described that educate patients and restore competence to stand trial. These include resources such as group training, use of licensed clinicians, visual aids, structured instruments, and cinema. Aggregate data from the OCRP’s previous four years of competence restoration efforts were reviewed for demographic characteristics, restoration rate, and time to restoration. Poisson regression modeling identified the differences in restoration between sequential 45-days periods after entrance into the program.</w:t>
      </w:r>
    </w:p>
    <w:p w14:paraId="2F010544" w14:textId="77777777" w:rsidR="00234382" w:rsidRPr="004E35E5" w:rsidRDefault="00234382" w:rsidP="004E35E5">
      <w:pPr>
        <w:spacing w:after="0" w:line="360" w:lineRule="auto"/>
        <w:jc w:val="both"/>
        <w:rPr>
          <w:rFonts w:ascii="Book Antiqua" w:hAnsi="Book Antiqua" w:cs="Times New Roman"/>
          <w:sz w:val="24"/>
          <w:szCs w:val="24"/>
        </w:rPr>
      </w:pPr>
    </w:p>
    <w:p w14:paraId="5533C92F" w14:textId="582452DC" w:rsidR="00234382" w:rsidRPr="004E35E5" w:rsidRDefault="00530E79" w:rsidP="004E35E5">
      <w:pPr>
        <w:spacing w:after="0" w:line="360" w:lineRule="auto"/>
        <w:jc w:val="both"/>
        <w:rPr>
          <w:rFonts w:ascii="Book Antiqua" w:hAnsi="Book Antiqua" w:cs="Times New Roman"/>
          <w:sz w:val="24"/>
          <w:szCs w:val="24"/>
        </w:rPr>
      </w:pPr>
      <w:r w:rsidRPr="004E35E5">
        <w:rPr>
          <w:rFonts w:ascii="Book Antiqua" w:hAnsi="Book Antiqua" w:cs="Times New Roman"/>
          <w:b/>
          <w:sz w:val="24"/>
          <w:szCs w:val="24"/>
        </w:rPr>
        <w:t>RESULTS</w:t>
      </w:r>
      <w:r w:rsidR="00234382" w:rsidRPr="004E35E5">
        <w:rPr>
          <w:rFonts w:ascii="Book Antiqua" w:hAnsi="Book Antiqua" w:cs="Times New Roman"/>
          <w:sz w:val="24"/>
          <w:szCs w:val="24"/>
        </w:rPr>
        <w:t>:</w:t>
      </w:r>
      <w:r w:rsidR="004E35E5">
        <w:rPr>
          <w:rFonts w:ascii="Book Antiqua" w:hAnsi="Book Antiqua" w:cs="Times New Roman"/>
          <w:sz w:val="24"/>
          <w:szCs w:val="24"/>
        </w:rPr>
        <w:t xml:space="preserve"> </w:t>
      </w:r>
      <w:r w:rsidR="00234382" w:rsidRPr="004E35E5">
        <w:rPr>
          <w:rFonts w:ascii="Book Antiqua" w:hAnsi="Book Antiqua" w:cs="Times New Roman"/>
          <w:sz w:val="24"/>
          <w:szCs w:val="24"/>
        </w:rPr>
        <w:t>In the past four years, the DC OCRP has been successful in restoring 55 of 170 participants (32%), with an average referral rate of 35 persons per year.</w:t>
      </w:r>
      <w:r w:rsidR="004E35E5">
        <w:rPr>
          <w:rFonts w:ascii="Book Antiqua" w:hAnsi="Book Antiqua" w:cs="Times New Roman"/>
          <w:sz w:val="24"/>
          <w:szCs w:val="24"/>
        </w:rPr>
        <w:t xml:space="preserve"> </w:t>
      </w:r>
      <w:r w:rsidR="00234382" w:rsidRPr="004E35E5">
        <w:rPr>
          <w:rFonts w:ascii="Book Antiqua" w:hAnsi="Book Antiqua" w:cs="Times New Roman"/>
          <w:sz w:val="24"/>
          <w:szCs w:val="24"/>
        </w:rPr>
        <w:t>76% are restored after the initial 45 d</w:t>
      </w:r>
      <w:r w:rsidR="004E35E5" w:rsidRPr="004E35E5">
        <w:rPr>
          <w:rFonts w:ascii="Book Antiqua" w:hAnsi="Book Antiqua" w:cs="Times New Roman"/>
          <w:sz w:val="24"/>
          <w:szCs w:val="24"/>
          <w:lang w:eastAsia="zh-CN"/>
        </w:rPr>
        <w:t xml:space="preserve"> </w:t>
      </w:r>
      <w:r w:rsidR="00234382" w:rsidRPr="004E35E5">
        <w:rPr>
          <w:rFonts w:ascii="Book Antiqua" w:hAnsi="Book Antiqua" w:cs="Times New Roman"/>
          <w:sz w:val="24"/>
          <w:szCs w:val="24"/>
        </w:rPr>
        <w:t xml:space="preserve">in the program. Demographics of the group indicate a predominance of African-American men with a mean age of 42. Thought disorders predominate and individuals in care face misdemeanor charges 78% of the time. Poisson regression modeling of the number attaining competence during four </w:t>
      </w:r>
      <w:r w:rsidR="004E35E5" w:rsidRPr="004E35E5">
        <w:rPr>
          <w:rFonts w:ascii="Book Antiqua" w:hAnsi="Book Antiqua" w:cs="Times New Roman"/>
          <w:sz w:val="24"/>
          <w:szCs w:val="24"/>
        </w:rPr>
        <w:t>successive 45-d</w:t>
      </w:r>
      <w:r w:rsidR="00234382" w:rsidRPr="004E35E5">
        <w:rPr>
          <w:rFonts w:ascii="Book Antiqua" w:hAnsi="Book Antiqua" w:cs="Times New Roman"/>
          <w:sz w:val="24"/>
          <w:szCs w:val="24"/>
        </w:rPr>
        <w:t xml:space="preserve"> periods showed a substantial difference among the time periods for the rate of attaining competence (</w:t>
      </w:r>
      <w:r w:rsidR="00234382" w:rsidRPr="004E35E5">
        <w:rPr>
          <w:rFonts w:ascii="Book Antiqua" w:hAnsi="Book Antiqua" w:cs="Times New Roman"/>
          <w:i/>
          <w:sz w:val="24"/>
          <w:szCs w:val="24"/>
        </w:rPr>
        <w:t>P</w:t>
      </w:r>
      <w:r w:rsidR="004E35E5" w:rsidRPr="004E35E5">
        <w:rPr>
          <w:rFonts w:ascii="Book Antiqua" w:hAnsi="Book Antiqua" w:cs="Times New Roman"/>
          <w:sz w:val="24"/>
          <w:szCs w:val="24"/>
          <w:lang w:eastAsia="zh-CN"/>
        </w:rPr>
        <w:t xml:space="preserve"> </w:t>
      </w:r>
      <w:r w:rsidR="00234382" w:rsidRPr="004E35E5">
        <w:rPr>
          <w:rFonts w:ascii="Book Antiqua" w:hAnsi="Book Antiqua" w:cs="Times New Roman"/>
          <w:sz w:val="24"/>
          <w:szCs w:val="24"/>
        </w:rPr>
        <w:t>=</w:t>
      </w:r>
      <w:r w:rsidR="004E35E5" w:rsidRPr="004E35E5">
        <w:rPr>
          <w:rFonts w:ascii="Book Antiqua" w:hAnsi="Book Antiqua" w:cs="Times New Roman"/>
          <w:sz w:val="24"/>
          <w:szCs w:val="24"/>
          <w:lang w:eastAsia="zh-CN"/>
        </w:rPr>
        <w:t xml:space="preserve"> </w:t>
      </w:r>
      <w:r w:rsidR="00234382" w:rsidRPr="004E35E5">
        <w:rPr>
          <w:rFonts w:ascii="Book Antiqua" w:hAnsi="Book Antiqua" w:cs="Times New Roman"/>
          <w:sz w:val="24"/>
          <w:szCs w:val="24"/>
        </w:rPr>
        <w:t xml:space="preserve">0.0011). The three time periods after 45 d each showed a significant decrease in the restoration rate when compared to the initial 0 to 45 d period – their relative rates were only 22% to 33% as high as the rate for 0-45 d (all </w:t>
      </w:r>
      <w:r w:rsidR="00234382" w:rsidRPr="004E35E5">
        <w:rPr>
          <w:rFonts w:ascii="Book Antiqua" w:hAnsi="Book Antiqua" w:cs="Times New Roman"/>
          <w:i/>
          <w:sz w:val="24"/>
          <w:szCs w:val="24"/>
        </w:rPr>
        <w:t>P</w:t>
      </w:r>
      <w:r w:rsidR="00234382" w:rsidRPr="004E35E5">
        <w:rPr>
          <w:rFonts w:ascii="Book Antiqua" w:hAnsi="Book Antiqua" w:cs="Times New Roman"/>
          <w:sz w:val="24"/>
          <w:szCs w:val="24"/>
        </w:rPr>
        <w:t>-values, compared to the 0-45 d rate, were 0.013 or smaller). However, the three periods from day 45 to day 135 showed no difference among themselves (</w:t>
      </w:r>
      <w:r w:rsidR="00234382" w:rsidRPr="004E35E5">
        <w:rPr>
          <w:rFonts w:ascii="Book Antiqua" w:hAnsi="Book Antiqua" w:cs="Times New Roman"/>
          <w:i/>
          <w:sz w:val="24"/>
          <w:szCs w:val="24"/>
        </w:rPr>
        <w:t>P</w:t>
      </w:r>
      <w:r w:rsidR="004E35E5" w:rsidRPr="004E35E5">
        <w:rPr>
          <w:rFonts w:ascii="Book Antiqua" w:hAnsi="Book Antiqua" w:cs="Times New Roman"/>
          <w:sz w:val="24"/>
          <w:szCs w:val="24"/>
          <w:lang w:eastAsia="zh-CN"/>
        </w:rPr>
        <w:t xml:space="preserve"> </w:t>
      </w:r>
      <w:r w:rsidR="00234382" w:rsidRPr="004E35E5">
        <w:rPr>
          <w:rFonts w:ascii="Book Antiqua" w:hAnsi="Book Antiqua" w:cs="Times New Roman"/>
          <w:sz w:val="24"/>
          <w:szCs w:val="24"/>
        </w:rPr>
        <w:t>=</w:t>
      </w:r>
      <w:r w:rsidR="004E35E5" w:rsidRPr="004E35E5">
        <w:rPr>
          <w:rFonts w:ascii="Book Antiqua" w:hAnsi="Book Antiqua" w:cs="Times New Roman"/>
          <w:sz w:val="24"/>
          <w:szCs w:val="24"/>
          <w:lang w:eastAsia="zh-CN"/>
        </w:rPr>
        <w:t xml:space="preserve"> </w:t>
      </w:r>
      <w:r w:rsidR="00234382" w:rsidRPr="004E35E5">
        <w:rPr>
          <w:rFonts w:ascii="Book Antiqua" w:hAnsi="Book Antiqua" w:cs="Times New Roman"/>
          <w:sz w:val="24"/>
          <w:szCs w:val="24"/>
        </w:rPr>
        <w:t>0.87).</w:t>
      </w:r>
    </w:p>
    <w:p w14:paraId="3EB9F4DA" w14:textId="77777777" w:rsidR="00234382" w:rsidRPr="004E35E5" w:rsidRDefault="00234382" w:rsidP="004E35E5">
      <w:pPr>
        <w:spacing w:after="0" w:line="360" w:lineRule="auto"/>
        <w:jc w:val="both"/>
        <w:rPr>
          <w:rFonts w:ascii="Book Antiqua" w:hAnsi="Book Antiqua" w:cs="Times New Roman"/>
          <w:sz w:val="24"/>
          <w:szCs w:val="24"/>
        </w:rPr>
      </w:pPr>
    </w:p>
    <w:p w14:paraId="7EF334CB" w14:textId="6FDB9A1F" w:rsidR="00234382" w:rsidRPr="004E35E5" w:rsidRDefault="00530E79" w:rsidP="004E35E5">
      <w:pPr>
        <w:spacing w:after="0" w:line="360" w:lineRule="auto"/>
        <w:jc w:val="both"/>
        <w:rPr>
          <w:rFonts w:ascii="Book Antiqua" w:hAnsi="Book Antiqua" w:cs="Times New Roman"/>
          <w:sz w:val="24"/>
          <w:szCs w:val="24"/>
        </w:rPr>
      </w:pPr>
      <w:r w:rsidRPr="004E35E5">
        <w:rPr>
          <w:rFonts w:ascii="Book Antiqua" w:hAnsi="Book Antiqua" w:cs="Times New Roman"/>
          <w:b/>
          <w:sz w:val="24"/>
          <w:szCs w:val="24"/>
        </w:rPr>
        <w:t>CONCLUSION:</w:t>
      </w:r>
      <w:r w:rsidR="00234382" w:rsidRPr="004E35E5">
        <w:rPr>
          <w:rFonts w:ascii="Book Antiqua" w:hAnsi="Book Antiqua" w:cs="Times New Roman"/>
          <w:sz w:val="24"/>
          <w:szCs w:val="24"/>
        </w:rPr>
        <w:t xml:space="preserve"> The majority of participants in the DC OCRP were restored after 45 days, suggesting a model that may identify an optimal length of time to restoration. </w:t>
      </w:r>
    </w:p>
    <w:p w14:paraId="4CF83D19" w14:textId="77777777" w:rsidR="00D924CD" w:rsidRPr="004E35E5" w:rsidRDefault="00D924CD" w:rsidP="004E35E5">
      <w:pPr>
        <w:spacing w:after="0" w:line="360" w:lineRule="auto"/>
        <w:jc w:val="both"/>
        <w:rPr>
          <w:rFonts w:ascii="Book Antiqua" w:hAnsi="Book Antiqua" w:cs="Times New Roman"/>
          <w:sz w:val="24"/>
          <w:szCs w:val="24"/>
        </w:rPr>
      </w:pPr>
    </w:p>
    <w:p w14:paraId="1FCC22DF" w14:textId="3ABBF2EB" w:rsidR="00D924CD" w:rsidRPr="004E35E5" w:rsidRDefault="00D924CD" w:rsidP="004E35E5">
      <w:pPr>
        <w:spacing w:after="0" w:line="360" w:lineRule="auto"/>
        <w:jc w:val="both"/>
        <w:rPr>
          <w:rFonts w:ascii="Book Antiqua" w:hAnsi="Book Antiqua" w:cs="Times New Roman"/>
          <w:b/>
          <w:sz w:val="24"/>
          <w:szCs w:val="24"/>
        </w:rPr>
      </w:pPr>
      <w:r w:rsidRPr="004E35E5">
        <w:rPr>
          <w:rFonts w:ascii="Book Antiqua" w:hAnsi="Book Antiqua" w:cs="Times New Roman"/>
          <w:b/>
          <w:sz w:val="24"/>
          <w:szCs w:val="24"/>
        </w:rPr>
        <w:t>Key words</w:t>
      </w:r>
      <w:r w:rsidR="004E35E5" w:rsidRPr="004E35E5">
        <w:rPr>
          <w:rFonts w:ascii="Book Antiqua" w:hAnsi="Book Antiqua" w:cs="Times New Roman"/>
          <w:b/>
          <w:sz w:val="24"/>
          <w:szCs w:val="24"/>
          <w:lang w:eastAsia="zh-CN"/>
        </w:rPr>
        <w:t xml:space="preserve">: </w:t>
      </w:r>
      <w:r w:rsidRPr="004E35E5">
        <w:rPr>
          <w:rFonts w:ascii="Book Antiqua" w:hAnsi="Book Antiqua" w:cs="Times New Roman"/>
          <w:sz w:val="24"/>
          <w:szCs w:val="24"/>
        </w:rPr>
        <w:t>Forensic psychiatry</w:t>
      </w:r>
      <w:r w:rsidR="004E35E5"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Mental competence/legislation and jurisprudence</w:t>
      </w:r>
      <w:r w:rsidR="004E35E5"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Adjudicative competence</w:t>
      </w:r>
      <w:r w:rsidR="004E35E5"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Competence restoration</w:t>
      </w:r>
      <w:r w:rsidR="004E35E5" w:rsidRPr="004E35E5">
        <w:rPr>
          <w:rFonts w:ascii="Book Antiqua" w:hAnsi="Book Antiqua" w:cs="Times New Roman"/>
          <w:sz w:val="24"/>
          <w:szCs w:val="24"/>
          <w:lang w:eastAsia="zh-CN"/>
        </w:rPr>
        <w:t>;</w:t>
      </w:r>
      <w:r w:rsidRPr="004E35E5">
        <w:rPr>
          <w:rFonts w:ascii="Book Antiqua" w:hAnsi="Book Antiqua" w:cs="Times New Roman"/>
          <w:sz w:val="24"/>
          <w:szCs w:val="24"/>
        </w:rPr>
        <w:t xml:space="preserve"> United States</w:t>
      </w:r>
    </w:p>
    <w:p w14:paraId="1AEF8EB9" w14:textId="77777777" w:rsidR="00D924CD" w:rsidRPr="004E35E5" w:rsidRDefault="00D924CD" w:rsidP="004E35E5">
      <w:pPr>
        <w:spacing w:after="0" w:line="360" w:lineRule="auto"/>
        <w:jc w:val="both"/>
        <w:rPr>
          <w:rFonts w:ascii="Book Antiqua" w:hAnsi="Book Antiqua" w:cs="Times New Roman"/>
          <w:b/>
          <w:bCs/>
          <w:sz w:val="24"/>
          <w:szCs w:val="24"/>
          <w:lang w:eastAsia="zh-CN"/>
        </w:rPr>
      </w:pPr>
    </w:p>
    <w:p w14:paraId="2C456709" w14:textId="77777777" w:rsidR="004E35E5" w:rsidRPr="004E35E5" w:rsidRDefault="004E35E5" w:rsidP="004E35E5">
      <w:pPr>
        <w:spacing w:after="0" w:line="360" w:lineRule="auto"/>
        <w:jc w:val="both"/>
        <w:rPr>
          <w:rFonts w:ascii="Book Antiqua" w:hAnsi="Book Antiqua" w:cs="Arial"/>
          <w:sz w:val="24"/>
          <w:szCs w:val="24"/>
        </w:rPr>
      </w:pPr>
      <w:proofErr w:type="gramStart"/>
      <w:r w:rsidRPr="004E35E5">
        <w:rPr>
          <w:rFonts w:ascii="Book Antiqua" w:hAnsi="Book Antiqua"/>
          <w:b/>
          <w:sz w:val="24"/>
          <w:szCs w:val="24"/>
        </w:rPr>
        <w:t xml:space="preserve">© </w:t>
      </w:r>
      <w:r w:rsidRPr="004E35E5">
        <w:rPr>
          <w:rFonts w:ascii="Book Antiqua" w:hAnsi="Book Antiqua" w:cs="Arial"/>
          <w:b/>
          <w:sz w:val="24"/>
          <w:szCs w:val="24"/>
        </w:rPr>
        <w:t>The Author(s) 2015.</w:t>
      </w:r>
      <w:proofErr w:type="gramEnd"/>
      <w:r w:rsidRPr="004E35E5">
        <w:rPr>
          <w:rFonts w:ascii="Book Antiqua" w:hAnsi="Book Antiqua" w:cs="Arial"/>
          <w:sz w:val="24"/>
          <w:szCs w:val="24"/>
        </w:rPr>
        <w:t xml:space="preserve"> Published by Baishideng Publishing Group Inc. All rights reserved.</w:t>
      </w:r>
    </w:p>
    <w:p w14:paraId="26E45746" w14:textId="77777777" w:rsidR="004E35E5" w:rsidRPr="004E35E5" w:rsidRDefault="004E35E5" w:rsidP="004E35E5">
      <w:pPr>
        <w:spacing w:after="0" w:line="360" w:lineRule="auto"/>
        <w:jc w:val="both"/>
        <w:rPr>
          <w:rFonts w:ascii="Book Antiqua" w:hAnsi="Book Antiqua" w:cs="Times New Roman"/>
          <w:b/>
          <w:bCs/>
          <w:sz w:val="24"/>
          <w:szCs w:val="24"/>
          <w:lang w:eastAsia="zh-CN"/>
        </w:rPr>
      </w:pPr>
    </w:p>
    <w:p w14:paraId="1B02DAF7" w14:textId="7D0E208C" w:rsidR="00A2139F" w:rsidRPr="004E35E5" w:rsidRDefault="00A2139F" w:rsidP="004E35E5">
      <w:pPr>
        <w:spacing w:after="0" w:line="360" w:lineRule="auto"/>
        <w:jc w:val="both"/>
        <w:rPr>
          <w:rFonts w:ascii="Book Antiqua" w:hAnsi="Book Antiqua" w:cs="Times New Roman"/>
          <w:b/>
          <w:sz w:val="24"/>
          <w:szCs w:val="24"/>
          <w:lang w:eastAsia="zh-CN"/>
        </w:rPr>
      </w:pPr>
      <w:r w:rsidRPr="004E35E5">
        <w:rPr>
          <w:rFonts w:ascii="Book Antiqua" w:hAnsi="Book Antiqua" w:cs="Times New Roman"/>
          <w:b/>
          <w:sz w:val="24"/>
          <w:szCs w:val="24"/>
        </w:rPr>
        <w:t xml:space="preserve">Core </w:t>
      </w:r>
      <w:r w:rsidR="004E35E5" w:rsidRPr="004E35E5">
        <w:rPr>
          <w:rFonts w:ascii="Book Antiqua" w:hAnsi="Book Antiqua" w:cs="Times New Roman"/>
          <w:b/>
          <w:sz w:val="24"/>
          <w:szCs w:val="24"/>
        </w:rPr>
        <w:t>t</w:t>
      </w:r>
      <w:r w:rsidRPr="004E35E5">
        <w:rPr>
          <w:rFonts w:ascii="Book Antiqua" w:hAnsi="Book Antiqua" w:cs="Times New Roman"/>
          <w:b/>
          <w:sz w:val="24"/>
          <w:szCs w:val="24"/>
        </w:rPr>
        <w:t>ip</w:t>
      </w:r>
      <w:r w:rsidR="004E35E5" w:rsidRPr="004E35E5">
        <w:rPr>
          <w:rFonts w:ascii="Book Antiqua" w:hAnsi="Book Antiqua" w:cs="Times New Roman"/>
          <w:b/>
          <w:sz w:val="24"/>
          <w:szCs w:val="24"/>
          <w:lang w:eastAsia="zh-CN"/>
        </w:rPr>
        <w:t xml:space="preserve">: </w:t>
      </w:r>
      <w:r w:rsidRPr="004E35E5">
        <w:rPr>
          <w:rFonts w:ascii="Book Antiqua" w:hAnsi="Book Antiqua" w:cs="Times New Roman"/>
          <w:sz w:val="24"/>
          <w:szCs w:val="24"/>
        </w:rPr>
        <w:t>Restoring a defendant’s competence to stand trial is a cardinal element of public sector forensic services in the United States. The Washington DC Outpatient Competence Restoration Program (OCRP) is one of a number of state programs that offers a model of education and support for incompetent defendants. Using a combination of specialized assessment, multi-modal education, support, and court leverage, the DC OCRP is the first to identify the length of time most useful for restoring its referral population. Implications of these findings can affect the court calendar, further research, and inter-agency collaboration.</w:t>
      </w:r>
      <w:r w:rsidR="004E35E5">
        <w:rPr>
          <w:rFonts w:ascii="Book Antiqua" w:hAnsi="Book Antiqua" w:cs="Times New Roman"/>
          <w:sz w:val="24"/>
          <w:szCs w:val="24"/>
        </w:rPr>
        <w:t xml:space="preserve"> </w:t>
      </w:r>
    </w:p>
    <w:p w14:paraId="73AF49B8" w14:textId="77777777" w:rsidR="004E35E5" w:rsidRPr="004E35E5" w:rsidRDefault="004E35E5" w:rsidP="004E35E5">
      <w:pPr>
        <w:pStyle w:val="NoSpacing"/>
        <w:spacing w:line="360" w:lineRule="auto"/>
        <w:jc w:val="both"/>
        <w:rPr>
          <w:rFonts w:ascii="Book Antiqua" w:hAnsi="Book Antiqua" w:cs="Times New Roman"/>
          <w:sz w:val="24"/>
          <w:szCs w:val="24"/>
          <w:lang w:eastAsia="zh-CN"/>
        </w:rPr>
      </w:pPr>
    </w:p>
    <w:p w14:paraId="26AC03E4" w14:textId="7F9937DD" w:rsidR="004E35E5" w:rsidRPr="004E35E5" w:rsidRDefault="004E35E5" w:rsidP="004E35E5">
      <w:pPr>
        <w:spacing w:after="0" w:line="360" w:lineRule="auto"/>
        <w:jc w:val="both"/>
        <w:rPr>
          <w:rFonts w:ascii="Book Antiqua" w:hAnsi="Book Antiqua" w:cs="Times New Roman"/>
          <w:sz w:val="24"/>
          <w:szCs w:val="24"/>
          <w:lang w:eastAsia="zh-CN"/>
        </w:rPr>
      </w:pPr>
      <w:r w:rsidRPr="004E35E5">
        <w:rPr>
          <w:rFonts w:ascii="Book Antiqua" w:hAnsi="Book Antiqua" w:cs="Times New Roman"/>
          <w:sz w:val="24"/>
          <w:szCs w:val="24"/>
        </w:rPr>
        <w:t>Johnson</w:t>
      </w:r>
      <w:r w:rsidRPr="004E35E5">
        <w:rPr>
          <w:rFonts w:ascii="Book Antiqua" w:hAnsi="Book Antiqua" w:cs="Times New Roman"/>
          <w:sz w:val="24"/>
          <w:szCs w:val="24"/>
          <w:lang w:eastAsia="zh-CN"/>
        </w:rPr>
        <w:t xml:space="preserve"> NR</w:t>
      </w:r>
      <w:r w:rsidRPr="004E35E5">
        <w:rPr>
          <w:rFonts w:ascii="Book Antiqua" w:hAnsi="Book Antiqua" w:cs="Times New Roman"/>
          <w:sz w:val="24"/>
          <w:szCs w:val="24"/>
        </w:rPr>
        <w:t>,</w:t>
      </w:r>
      <w:r w:rsidRPr="004E35E5">
        <w:rPr>
          <w:rFonts w:ascii="Book Antiqua" w:hAnsi="Book Antiqua" w:cs="Times New Roman"/>
          <w:sz w:val="24"/>
          <w:szCs w:val="24"/>
          <w:lang w:eastAsia="zh-CN"/>
        </w:rPr>
        <w:t xml:space="preserve"> </w:t>
      </w:r>
      <w:r w:rsidRPr="004E35E5">
        <w:rPr>
          <w:rFonts w:ascii="Book Antiqua" w:hAnsi="Book Antiqua" w:cs="Times New Roman"/>
          <w:sz w:val="24"/>
          <w:szCs w:val="24"/>
        </w:rPr>
        <w:t>Candilis</w:t>
      </w:r>
      <w:r w:rsidRPr="004E35E5">
        <w:rPr>
          <w:rFonts w:ascii="Book Antiqua" w:hAnsi="Book Antiqua" w:cs="Times New Roman"/>
          <w:sz w:val="24"/>
          <w:szCs w:val="24"/>
          <w:lang w:eastAsia="zh-CN"/>
        </w:rPr>
        <w:t xml:space="preserve"> PJ.</w:t>
      </w:r>
      <w:r w:rsidRPr="004E35E5">
        <w:rPr>
          <w:rFonts w:ascii="Book Antiqua" w:hAnsi="Book Antiqua" w:cs="Times New Roman"/>
          <w:sz w:val="24"/>
          <w:szCs w:val="24"/>
        </w:rPr>
        <w:t xml:space="preserve"> Outpatient competence restoration: A model and outcomes</w:t>
      </w:r>
      <w:r w:rsidRPr="004E35E5">
        <w:rPr>
          <w:rFonts w:ascii="Book Antiqua" w:hAnsi="Book Antiqua" w:cs="Times New Roman"/>
          <w:sz w:val="24"/>
          <w:szCs w:val="24"/>
          <w:lang w:eastAsia="zh-CN"/>
        </w:rPr>
        <w:t xml:space="preserve">. </w:t>
      </w:r>
      <w:r w:rsidRPr="004E35E5">
        <w:rPr>
          <w:rFonts w:ascii="Book Antiqua" w:hAnsi="Book Antiqua"/>
          <w:i/>
          <w:iCs/>
          <w:sz w:val="24"/>
          <w:szCs w:val="24"/>
        </w:rPr>
        <w:t>World J Psychiatr</w:t>
      </w:r>
      <w:r w:rsidRPr="004E35E5">
        <w:rPr>
          <w:rFonts w:ascii="Book Antiqua" w:hAnsi="Book Antiqua"/>
          <w:i/>
          <w:iCs/>
          <w:sz w:val="24"/>
          <w:szCs w:val="24"/>
          <w:lang w:eastAsia="zh-CN"/>
        </w:rPr>
        <w:t xml:space="preserve"> </w:t>
      </w:r>
      <w:r w:rsidRPr="004E35E5">
        <w:rPr>
          <w:rFonts w:ascii="Book Antiqua" w:hAnsi="Book Antiqua"/>
          <w:iCs/>
          <w:sz w:val="24"/>
          <w:szCs w:val="24"/>
          <w:lang w:eastAsia="zh-CN"/>
        </w:rPr>
        <w:t xml:space="preserve">2015; </w:t>
      </w:r>
      <w:proofErr w:type="gramStart"/>
      <w:r w:rsidRPr="004E35E5">
        <w:rPr>
          <w:rFonts w:ascii="Book Antiqua" w:hAnsi="Book Antiqua"/>
          <w:iCs/>
          <w:sz w:val="24"/>
          <w:szCs w:val="24"/>
          <w:lang w:eastAsia="zh-CN"/>
        </w:rPr>
        <w:t>In</w:t>
      </w:r>
      <w:proofErr w:type="gramEnd"/>
      <w:r w:rsidRPr="004E35E5">
        <w:rPr>
          <w:rFonts w:ascii="Book Antiqua" w:hAnsi="Book Antiqua"/>
          <w:iCs/>
          <w:sz w:val="24"/>
          <w:szCs w:val="24"/>
          <w:lang w:eastAsia="zh-CN"/>
        </w:rPr>
        <w:t xml:space="preserve"> press</w:t>
      </w:r>
    </w:p>
    <w:p w14:paraId="73430DB2" w14:textId="77777777" w:rsidR="00D924CD" w:rsidRPr="004E35E5" w:rsidRDefault="00D924CD" w:rsidP="004E35E5">
      <w:pPr>
        <w:spacing w:after="0" w:line="360" w:lineRule="auto"/>
        <w:jc w:val="both"/>
        <w:rPr>
          <w:rFonts w:ascii="Book Antiqua" w:hAnsi="Book Antiqua" w:cs="Times New Roman"/>
          <w:b/>
          <w:bCs/>
          <w:sz w:val="24"/>
          <w:szCs w:val="24"/>
          <w:lang w:eastAsia="zh-CN"/>
        </w:rPr>
      </w:pPr>
    </w:p>
    <w:p w14:paraId="2C7E6F00" w14:textId="77777777" w:rsidR="004E35E5" w:rsidRPr="004E35E5" w:rsidRDefault="004E35E5" w:rsidP="004E35E5">
      <w:pPr>
        <w:spacing w:after="0" w:line="360" w:lineRule="auto"/>
        <w:jc w:val="both"/>
        <w:rPr>
          <w:rFonts w:ascii="Book Antiqua" w:hAnsi="Book Antiqua" w:cs="Times New Roman"/>
          <w:b/>
          <w:bCs/>
          <w:sz w:val="24"/>
          <w:szCs w:val="24"/>
          <w:lang w:eastAsia="zh-CN"/>
        </w:rPr>
      </w:pPr>
      <w:r w:rsidRPr="004E35E5">
        <w:rPr>
          <w:rFonts w:ascii="Book Antiqua" w:hAnsi="Book Antiqua" w:cs="Times New Roman"/>
          <w:b/>
          <w:bCs/>
          <w:sz w:val="24"/>
          <w:szCs w:val="24"/>
        </w:rPr>
        <w:t>INTRODUCTION</w:t>
      </w:r>
    </w:p>
    <w:p w14:paraId="37F6B5B1" w14:textId="4439416D" w:rsidR="008B1C65" w:rsidRPr="004E35E5" w:rsidRDefault="008B1C65" w:rsidP="004E35E5">
      <w:pPr>
        <w:spacing w:after="0" w:line="360" w:lineRule="auto"/>
        <w:jc w:val="both"/>
        <w:rPr>
          <w:rFonts w:ascii="Book Antiqua" w:hAnsi="Book Antiqua" w:cs="Times New Roman"/>
          <w:b/>
          <w:bCs/>
          <w:sz w:val="24"/>
          <w:szCs w:val="24"/>
        </w:rPr>
      </w:pPr>
      <w:r w:rsidRPr="004E35E5">
        <w:rPr>
          <w:rFonts w:ascii="Book Antiqua" w:hAnsi="Book Antiqua" w:cs="Times New Roman"/>
          <w:sz w:val="24"/>
          <w:szCs w:val="24"/>
        </w:rPr>
        <w:t xml:space="preserve">Outpatient </w:t>
      </w:r>
      <w:r w:rsidR="007C51E9" w:rsidRPr="004E35E5">
        <w:rPr>
          <w:rFonts w:ascii="Book Antiqua" w:hAnsi="Book Antiqua" w:cs="Times New Roman"/>
          <w:sz w:val="24"/>
          <w:szCs w:val="24"/>
        </w:rPr>
        <w:t>competency re</w:t>
      </w:r>
      <w:r w:rsidRPr="004E35E5">
        <w:rPr>
          <w:rFonts w:ascii="Book Antiqua" w:hAnsi="Book Antiqua" w:cs="Times New Roman"/>
          <w:sz w:val="24"/>
          <w:szCs w:val="24"/>
        </w:rPr>
        <w:t xml:space="preserve">storation (OCR) is a function of United States law that provides outpatient competency education to </w:t>
      </w:r>
      <w:r w:rsidR="005D079F" w:rsidRPr="004E35E5">
        <w:rPr>
          <w:rFonts w:ascii="Book Antiqua" w:hAnsi="Book Antiqua" w:cs="Times New Roman"/>
          <w:sz w:val="24"/>
          <w:szCs w:val="24"/>
        </w:rPr>
        <w:t xml:space="preserve">non-dangerous </w:t>
      </w:r>
      <w:r w:rsidRPr="004E35E5">
        <w:rPr>
          <w:rFonts w:ascii="Book Antiqua" w:hAnsi="Book Antiqua" w:cs="Times New Roman"/>
          <w:sz w:val="24"/>
          <w:szCs w:val="24"/>
        </w:rPr>
        <w:t>defendants who are found incompetent to stand trial.</w:t>
      </w:r>
      <w:r w:rsidR="004E35E5">
        <w:rPr>
          <w:rFonts w:ascii="Book Antiqua" w:hAnsi="Book Antiqua" w:cs="Times New Roman"/>
          <w:sz w:val="24"/>
          <w:szCs w:val="24"/>
        </w:rPr>
        <w:t xml:space="preserve"> </w:t>
      </w:r>
      <w:r w:rsidRPr="004E35E5">
        <w:rPr>
          <w:rFonts w:ascii="Book Antiqua" w:hAnsi="Book Antiqua" w:cs="Times New Roman"/>
          <w:sz w:val="24"/>
          <w:szCs w:val="24"/>
        </w:rPr>
        <w:t>Competency is defined by a 1960 U</w:t>
      </w:r>
      <w:r w:rsidR="004E35E5">
        <w:rPr>
          <w:rFonts w:ascii="Book Antiqua" w:hAnsi="Book Antiqua" w:cs="Times New Roman" w:hint="eastAsia"/>
          <w:sz w:val="24"/>
          <w:szCs w:val="24"/>
          <w:lang w:eastAsia="zh-CN"/>
        </w:rPr>
        <w:t xml:space="preserve">nited </w:t>
      </w:r>
      <w:r w:rsidRPr="004E35E5">
        <w:rPr>
          <w:rFonts w:ascii="Book Antiqua" w:hAnsi="Book Antiqua" w:cs="Times New Roman"/>
          <w:sz w:val="24"/>
          <w:szCs w:val="24"/>
        </w:rPr>
        <w:t>S</w:t>
      </w:r>
      <w:r w:rsidR="004E35E5">
        <w:rPr>
          <w:rFonts w:ascii="Book Antiqua" w:hAnsi="Book Antiqua" w:cs="Times New Roman" w:hint="eastAsia"/>
          <w:sz w:val="24"/>
          <w:szCs w:val="24"/>
          <w:lang w:eastAsia="zh-CN"/>
        </w:rPr>
        <w:t>tates</w:t>
      </w:r>
      <w:r w:rsidRPr="004E35E5">
        <w:rPr>
          <w:rFonts w:ascii="Book Antiqua" w:hAnsi="Book Antiqua" w:cs="Times New Roman"/>
          <w:sz w:val="24"/>
          <w:szCs w:val="24"/>
        </w:rPr>
        <w:t xml:space="preserve"> Supreme Court case, Dusky v. United States, which affirmed a defendant</w:t>
      </w:r>
      <w:r w:rsidR="00651AC1">
        <w:rPr>
          <w:rFonts w:ascii="Book Antiqua" w:hAnsi="Book Antiqua" w:cs="Times New Roman"/>
          <w:sz w:val="24"/>
          <w:szCs w:val="24"/>
          <w:lang w:eastAsia="zh-CN"/>
        </w:rPr>
        <w:t>’</w:t>
      </w:r>
      <w:r w:rsidRPr="004E35E5">
        <w:rPr>
          <w:rFonts w:ascii="Book Antiqua" w:hAnsi="Book Antiqua" w:cs="Times New Roman"/>
          <w:sz w:val="24"/>
          <w:szCs w:val="24"/>
        </w:rPr>
        <w:t xml:space="preserve">s right to a </w:t>
      </w:r>
      <w:hyperlink r:id="rId11" w:tooltip="Competency evaluation (law)" w:history="1">
        <w:r w:rsidRPr="004E35E5">
          <w:rPr>
            <w:rStyle w:val="Hyperlink"/>
            <w:rFonts w:ascii="Book Antiqua" w:hAnsi="Book Antiqua" w:cs="Times New Roman"/>
            <w:color w:val="auto"/>
            <w:sz w:val="24"/>
            <w:szCs w:val="24"/>
            <w:u w:val="none"/>
          </w:rPr>
          <w:t>competency evaluation</w:t>
        </w:r>
      </w:hyperlink>
      <w:r w:rsidR="004E35E5">
        <w:rPr>
          <w:rFonts w:ascii="Book Antiqua" w:hAnsi="Book Antiqua" w:cs="Times New Roman"/>
          <w:sz w:val="24"/>
          <w:szCs w:val="24"/>
        </w:rPr>
        <w:t xml:space="preserve"> before proceeding to trial.</w:t>
      </w:r>
      <w:r w:rsidRPr="004E35E5">
        <w:rPr>
          <w:rFonts w:ascii="Book Antiqua" w:hAnsi="Book Antiqua" w:cs="Times New Roman"/>
          <w:sz w:val="24"/>
          <w:szCs w:val="24"/>
        </w:rPr>
        <w:t xml:space="preserve"> In this landmark case, the court outlined the basic standards for determining competency, ruling that a defendant must have a </w:t>
      </w:r>
      <w:r w:rsidR="004E35E5">
        <w:rPr>
          <w:rFonts w:ascii="Book Antiqua" w:hAnsi="Book Antiqua" w:cs="Times New Roman"/>
          <w:sz w:val="24"/>
          <w:szCs w:val="24"/>
          <w:lang w:eastAsia="zh-CN"/>
        </w:rPr>
        <w:t>“</w:t>
      </w:r>
      <w:r w:rsidRPr="004E35E5">
        <w:rPr>
          <w:rFonts w:ascii="Book Antiqua" w:hAnsi="Book Antiqua" w:cs="Times New Roman"/>
          <w:sz w:val="24"/>
          <w:szCs w:val="24"/>
        </w:rPr>
        <w:t>sufficient present ability to consult with his lawyer with a reasonable degree of rational understanding</w:t>
      </w:r>
      <w:r w:rsidR="004E35E5">
        <w:rPr>
          <w:rFonts w:ascii="Book Antiqua" w:hAnsi="Book Antiqua" w:cs="Times New Roman"/>
          <w:sz w:val="24"/>
          <w:szCs w:val="24"/>
          <w:lang w:eastAsia="zh-CN"/>
        </w:rPr>
        <w:t>”</w:t>
      </w:r>
      <w:r w:rsidRPr="004E35E5">
        <w:rPr>
          <w:rFonts w:ascii="Book Antiqua" w:hAnsi="Book Antiqua" w:cs="Times New Roman"/>
          <w:sz w:val="24"/>
          <w:szCs w:val="24"/>
        </w:rPr>
        <w:t xml:space="preserve"> and a </w:t>
      </w:r>
      <w:r w:rsidR="004E35E5">
        <w:rPr>
          <w:rFonts w:ascii="Book Antiqua" w:hAnsi="Book Antiqua" w:cs="Times New Roman"/>
          <w:sz w:val="24"/>
          <w:szCs w:val="24"/>
          <w:lang w:eastAsia="zh-CN"/>
        </w:rPr>
        <w:t>“</w:t>
      </w:r>
      <w:r w:rsidRPr="004E35E5">
        <w:rPr>
          <w:rFonts w:ascii="Book Antiqua" w:hAnsi="Book Antiqua" w:cs="Times New Roman"/>
          <w:sz w:val="24"/>
          <w:szCs w:val="24"/>
        </w:rPr>
        <w:t xml:space="preserve">rational as well as factual understanding </w:t>
      </w:r>
      <w:r w:rsidR="004E35E5">
        <w:rPr>
          <w:rFonts w:ascii="Book Antiqua" w:hAnsi="Book Antiqua" w:cs="Times New Roman"/>
          <w:sz w:val="24"/>
          <w:szCs w:val="24"/>
        </w:rPr>
        <w:t>of the proceedings against him</w:t>
      </w:r>
      <w:r w:rsidR="004E35E5">
        <w:rPr>
          <w:rFonts w:ascii="Book Antiqua" w:hAnsi="Book Antiqua" w:cs="Times New Roman"/>
          <w:sz w:val="24"/>
          <w:szCs w:val="24"/>
          <w:lang w:eastAsia="zh-CN"/>
        </w:rPr>
        <w:t>”</w:t>
      </w:r>
      <w:r w:rsidR="004E35E5" w:rsidRPr="004E35E5">
        <w:rPr>
          <w:rFonts w:ascii="Book Antiqua" w:hAnsi="Book Antiqua" w:cs="Times New Roman"/>
          <w:sz w:val="24"/>
          <w:szCs w:val="24"/>
          <w:vertAlign w:val="superscript"/>
        </w:rPr>
        <w:t>[1]</w:t>
      </w:r>
      <w:r w:rsidR="004E35E5">
        <w:rPr>
          <w:rFonts w:ascii="Book Antiqua" w:hAnsi="Book Antiqua" w:cs="Times New Roman"/>
          <w:sz w:val="24"/>
          <w:szCs w:val="24"/>
        </w:rPr>
        <w:t>.</w:t>
      </w:r>
      <w:r w:rsidR="009E38CD" w:rsidRPr="004E35E5">
        <w:rPr>
          <w:rFonts w:ascii="Book Antiqua" w:hAnsi="Book Antiqua" w:cs="Times New Roman"/>
          <w:sz w:val="24"/>
          <w:szCs w:val="24"/>
        </w:rPr>
        <w:t xml:space="preserve"> The</w:t>
      </w:r>
      <w:r w:rsidRPr="004E35E5">
        <w:rPr>
          <w:rFonts w:ascii="Book Antiqua" w:hAnsi="Book Antiqua" w:cs="Times New Roman"/>
          <w:sz w:val="24"/>
          <w:szCs w:val="24"/>
        </w:rPr>
        <w:t xml:space="preserve"> standard draws on fundamental principles of fairness to establish that it is both unlawful and unethical for defendants to proceed in a criminal matter without an understanding of the proceedings, its consequences, and the ability to assist their attorneys.</w:t>
      </w:r>
      <w:r w:rsidR="004E35E5">
        <w:rPr>
          <w:rFonts w:ascii="Book Antiqua" w:hAnsi="Book Antiqua" w:cs="Times New Roman"/>
          <w:sz w:val="24"/>
          <w:szCs w:val="24"/>
        </w:rPr>
        <w:t xml:space="preserve"> </w:t>
      </w:r>
    </w:p>
    <w:p w14:paraId="0EA51EBF" w14:textId="4FC17990" w:rsidR="008B1C65" w:rsidRPr="004E35E5" w:rsidRDefault="008B1C65" w:rsidP="004E35E5">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lastRenderedPageBreak/>
        <w:t>The OCR program in Washington DC is unique in that it serves inte</w:t>
      </w:r>
      <w:r w:rsidR="00A52A7D" w:rsidRPr="004E35E5">
        <w:rPr>
          <w:rFonts w:ascii="Book Antiqua" w:hAnsi="Book Antiqua" w:cs="Times New Roman"/>
          <w:sz w:val="24"/>
          <w:szCs w:val="24"/>
        </w:rPr>
        <w:t>rnational defendants who travel</w:t>
      </w:r>
      <w:r w:rsidRPr="004E35E5">
        <w:rPr>
          <w:rFonts w:ascii="Book Antiqua" w:hAnsi="Book Antiqua" w:cs="Times New Roman"/>
          <w:sz w:val="24"/>
          <w:szCs w:val="24"/>
        </w:rPr>
        <w:t xml:space="preserve"> for the express purpose of communicating with the White House or U</w:t>
      </w:r>
      <w:r w:rsidR="004E35E5">
        <w:rPr>
          <w:rFonts w:ascii="Book Antiqua" w:hAnsi="Book Antiqua" w:cs="Times New Roman" w:hint="eastAsia"/>
          <w:sz w:val="24"/>
          <w:szCs w:val="24"/>
          <w:lang w:eastAsia="zh-CN"/>
        </w:rPr>
        <w:t xml:space="preserve">nited </w:t>
      </w:r>
      <w:r w:rsidR="004E35E5">
        <w:rPr>
          <w:rFonts w:ascii="Book Antiqua" w:hAnsi="Book Antiqua" w:cs="Times New Roman"/>
          <w:sz w:val="24"/>
          <w:szCs w:val="24"/>
        </w:rPr>
        <w:t>S</w:t>
      </w:r>
      <w:r w:rsidR="004E35E5">
        <w:rPr>
          <w:rFonts w:ascii="Book Antiqua" w:hAnsi="Book Antiqua" w:cs="Times New Roman" w:hint="eastAsia"/>
          <w:sz w:val="24"/>
          <w:szCs w:val="24"/>
          <w:lang w:eastAsia="zh-CN"/>
        </w:rPr>
        <w:t>tates</w:t>
      </w:r>
      <w:r w:rsidRPr="004E35E5">
        <w:rPr>
          <w:rFonts w:ascii="Book Antiqua" w:hAnsi="Book Antiqua" w:cs="Times New Roman"/>
          <w:sz w:val="24"/>
          <w:szCs w:val="24"/>
        </w:rPr>
        <w:t xml:space="preserve"> Congress. Cultural nuances are therefore a critical component of local competency restoration.</w:t>
      </w:r>
      <w:r w:rsidR="004E35E5">
        <w:rPr>
          <w:rFonts w:ascii="Book Antiqua" w:hAnsi="Book Antiqua" w:cs="Times New Roman"/>
          <w:sz w:val="24"/>
          <w:szCs w:val="24"/>
        </w:rPr>
        <w:t xml:space="preserve"> </w:t>
      </w:r>
      <w:r w:rsidRPr="004E35E5">
        <w:rPr>
          <w:rFonts w:ascii="Book Antiqua" w:hAnsi="Book Antiqua" w:cs="Times New Roman"/>
          <w:sz w:val="24"/>
          <w:szCs w:val="24"/>
        </w:rPr>
        <w:t>Individuals from Romania, for example, cannot bear witness if their trial is heard in Romania.</w:t>
      </w:r>
      <w:r w:rsidR="004E35E5">
        <w:rPr>
          <w:rFonts w:ascii="Book Antiqua" w:hAnsi="Book Antiqua" w:cs="Times New Roman"/>
          <w:sz w:val="24"/>
          <w:szCs w:val="24"/>
        </w:rPr>
        <w:t xml:space="preserve"> </w:t>
      </w:r>
      <w:r w:rsidRPr="004E35E5">
        <w:rPr>
          <w:rFonts w:ascii="Book Antiqua" w:hAnsi="Book Antiqua" w:cs="Times New Roman"/>
          <w:sz w:val="24"/>
          <w:szCs w:val="24"/>
        </w:rPr>
        <w:t xml:space="preserve">In the </w:t>
      </w:r>
      <w:r w:rsidR="004E35E5" w:rsidRPr="004E35E5">
        <w:rPr>
          <w:rFonts w:ascii="Book Antiqua" w:hAnsi="Book Antiqua" w:cs="Times New Roman"/>
          <w:sz w:val="24"/>
          <w:szCs w:val="24"/>
        </w:rPr>
        <w:t>U</w:t>
      </w:r>
      <w:r w:rsidR="004E35E5">
        <w:rPr>
          <w:rFonts w:ascii="Book Antiqua" w:hAnsi="Book Antiqua" w:cs="Times New Roman" w:hint="eastAsia"/>
          <w:sz w:val="24"/>
          <w:szCs w:val="24"/>
          <w:lang w:eastAsia="zh-CN"/>
        </w:rPr>
        <w:t xml:space="preserve">nited </w:t>
      </w:r>
      <w:r w:rsidR="004E35E5">
        <w:rPr>
          <w:rFonts w:ascii="Book Antiqua" w:hAnsi="Book Antiqua" w:cs="Times New Roman"/>
          <w:sz w:val="24"/>
          <w:szCs w:val="24"/>
        </w:rPr>
        <w:t>S</w:t>
      </w:r>
      <w:r w:rsidR="004E35E5">
        <w:rPr>
          <w:rFonts w:ascii="Book Antiqua" w:hAnsi="Book Antiqua" w:cs="Times New Roman" w:hint="eastAsia"/>
          <w:sz w:val="24"/>
          <w:szCs w:val="24"/>
          <w:lang w:eastAsia="zh-CN"/>
        </w:rPr>
        <w:t>tates</w:t>
      </w:r>
      <w:r w:rsidRPr="004E35E5">
        <w:rPr>
          <w:rFonts w:ascii="Book Antiqua" w:hAnsi="Book Antiqua" w:cs="Times New Roman"/>
          <w:sz w:val="24"/>
          <w:szCs w:val="24"/>
        </w:rPr>
        <w:t>, they must be taught that they can indeed be a witness in their own defense.</w:t>
      </w:r>
      <w:r w:rsidR="0083315D" w:rsidRPr="004E35E5">
        <w:rPr>
          <w:rFonts w:ascii="Book Antiqua" w:hAnsi="Book Antiqua" w:cs="Times New Roman"/>
          <w:sz w:val="24"/>
          <w:szCs w:val="24"/>
        </w:rPr>
        <w:t xml:space="preserve"> South Africa</w:t>
      </w:r>
      <w:r w:rsidR="009B24C8" w:rsidRPr="004E35E5">
        <w:rPr>
          <w:rFonts w:ascii="Book Antiqua" w:hAnsi="Book Antiqua" w:cs="Times New Roman"/>
          <w:sz w:val="24"/>
          <w:szCs w:val="24"/>
        </w:rPr>
        <w:t>n citizens may not be fa</w:t>
      </w:r>
      <w:r w:rsidR="00D924CD" w:rsidRPr="004E35E5">
        <w:rPr>
          <w:rFonts w:ascii="Book Antiqua" w:hAnsi="Book Antiqua" w:cs="Times New Roman"/>
          <w:sz w:val="24"/>
          <w:szCs w:val="24"/>
        </w:rPr>
        <w:t>miliar with a jury-based system.</w:t>
      </w:r>
      <w:r w:rsidR="0083315D" w:rsidRPr="004E35E5">
        <w:rPr>
          <w:rFonts w:ascii="Book Antiqua" w:hAnsi="Book Antiqua" w:cs="Times New Roman"/>
          <w:sz w:val="24"/>
          <w:szCs w:val="24"/>
        </w:rPr>
        <w:t xml:space="preserve"> </w:t>
      </w:r>
      <w:r w:rsidR="00D924CD" w:rsidRPr="004E35E5">
        <w:rPr>
          <w:rFonts w:ascii="Book Antiqua" w:hAnsi="Book Antiqua" w:cs="Times New Roman"/>
          <w:sz w:val="24"/>
          <w:szCs w:val="24"/>
        </w:rPr>
        <w:t>Because of racial prejudice</w:t>
      </w:r>
      <w:r w:rsidR="002C4D38" w:rsidRPr="004E35E5">
        <w:rPr>
          <w:rFonts w:ascii="Book Antiqua" w:hAnsi="Book Antiqua" w:cs="Times New Roman"/>
          <w:sz w:val="24"/>
          <w:szCs w:val="24"/>
        </w:rPr>
        <w:t xml:space="preserve"> and inequality </w:t>
      </w:r>
      <w:r w:rsidR="0083315D" w:rsidRPr="004E35E5">
        <w:rPr>
          <w:rFonts w:ascii="Book Antiqua" w:hAnsi="Book Antiqua" w:cs="Times New Roman"/>
          <w:sz w:val="24"/>
          <w:szCs w:val="24"/>
        </w:rPr>
        <w:t xml:space="preserve">the </w:t>
      </w:r>
      <w:r w:rsidR="0083315D" w:rsidRPr="004E35E5">
        <w:rPr>
          <w:rFonts w:ascii="Book Antiqua" w:hAnsi="Book Antiqua" w:cs="Times New Roman"/>
          <w:sz w:val="24"/>
          <w:szCs w:val="24"/>
          <w:lang w:val="en"/>
        </w:rPr>
        <w:t xml:space="preserve">jury system was </w:t>
      </w:r>
      <w:r w:rsidR="009B24C8" w:rsidRPr="004E35E5">
        <w:rPr>
          <w:rFonts w:ascii="Book Antiqua" w:hAnsi="Book Antiqua" w:cs="Times New Roman"/>
          <w:sz w:val="24"/>
          <w:szCs w:val="24"/>
          <w:lang w:val="en"/>
        </w:rPr>
        <w:t xml:space="preserve">formally </w:t>
      </w:r>
      <w:r w:rsidR="0083315D" w:rsidRPr="004E35E5">
        <w:rPr>
          <w:rFonts w:ascii="Book Antiqua" w:hAnsi="Book Antiqua" w:cs="Times New Roman"/>
          <w:sz w:val="24"/>
          <w:szCs w:val="24"/>
          <w:lang w:val="en"/>
        </w:rPr>
        <w:t xml:space="preserve">abolished </w:t>
      </w:r>
      <w:r w:rsidR="009B24C8" w:rsidRPr="004E35E5">
        <w:rPr>
          <w:rFonts w:ascii="Book Antiqua" w:hAnsi="Book Antiqua" w:cs="Times New Roman"/>
          <w:sz w:val="24"/>
          <w:szCs w:val="24"/>
          <w:lang w:val="en"/>
        </w:rPr>
        <w:t xml:space="preserve">there </w:t>
      </w:r>
      <w:r w:rsidR="0083315D" w:rsidRPr="004E35E5">
        <w:rPr>
          <w:rFonts w:ascii="Book Antiqua" w:hAnsi="Book Antiqua" w:cs="Times New Roman"/>
          <w:sz w:val="24"/>
          <w:szCs w:val="24"/>
          <w:lang w:val="en"/>
        </w:rPr>
        <w:t>in 1969</w:t>
      </w:r>
      <w:r w:rsidR="004E35E5" w:rsidRPr="004E35E5">
        <w:rPr>
          <w:rFonts w:ascii="Book Antiqua" w:hAnsi="Book Antiqua" w:cs="Times New Roman"/>
          <w:sz w:val="24"/>
          <w:szCs w:val="24"/>
          <w:vertAlign w:val="superscript"/>
          <w:lang w:val="en"/>
        </w:rPr>
        <w:t>[2]</w:t>
      </w:r>
      <w:r w:rsidR="009E38CD" w:rsidRPr="004E35E5">
        <w:rPr>
          <w:rFonts w:ascii="Book Antiqua" w:hAnsi="Book Antiqua" w:cs="Times New Roman"/>
          <w:sz w:val="24"/>
          <w:szCs w:val="24"/>
          <w:lang w:val="en"/>
        </w:rPr>
        <w:t>.</w:t>
      </w:r>
      <w:r w:rsidR="0083315D" w:rsidRPr="004E35E5">
        <w:rPr>
          <w:rFonts w:ascii="Book Antiqua" w:hAnsi="Book Antiqua" w:cs="Times New Roman"/>
          <w:sz w:val="24"/>
          <w:szCs w:val="24"/>
          <w:lang w:val="en"/>
        </w:rPr>
        <w:t xml:space="preserve"> In the District of Columbia, </w:t>
      </w:r>
      <w:r w:rsidR="002C4D38" w:rsidRPr="004E35E5">
        <w:rPr>
          <w:rFonts w:ascii="Book Antiqua" w:hAnsi="Book Antiqua" w:cs="Times New Roman"/>
          <w:sz w:val="24"/>
          <w:szCs w:val="24"/>
          <w:lang w:val="en"/>
        </w:rPr>
        <w:t xml:space="preserve">South African </w:t>
      </w:r>
      <w:r w:rsidR="0083315D" w:rsidRPr="004E35E5">
        <w:rPr>
          <w:rFonts w:ascii="Book Antiqua" w:hAnsi="Book Antiqua" w:cs="Times New Roman"/>
          <w:sz w:val="24"/>
          <w:szCs w:val="24"/>
          <w:lang w:val="en"/>
        </w:rPr>
        <w:t xml:space="preserve">defendants facing a felony charge must be </w:t>
      </w:r>
      <w:r w:rsidR="002C4D38" w:rsidRPr="004E35E5">
        <w:rPr>
          <w:rFonts w:ascii="Book Antiqua" w:hAnsi="Book Antiqua" w:cs="Times New Roman"/>
          <w:sz w:val="24"/>
          <w:szCs w:val="24"/>
          <w:lang w:val="en"/>
        </w:rPr>
        <w:t xml:space="preserve">informed of </w:t>
      </w:r>
      <w:r w:rsidR="0083315D" w:rsidRPr="004E35E5">
        <w:rPr>
          <w:rFonts w:ascii="Book Antiqua" w:hAnsi="Book Antiqua" w:cs="Times New Roman"/>
          <w:sz w:val="24"/>
          <w:szCs w:val="24"/>
          <w:lang w:val="en"/>
        </w:rPr>
        <w:t>the possible benefits and safeguards of having a jury of peers deciding the</w:t>
      </w:r>
      <w:r w:rsidR="0068327B" w:rsidRPr="004E35E5">
        <w:rPr>
          <w:rFonts w:ascii="Book Antiqua" w:hAnsi="Book Antiqua" w:cs="Times New Roman"/>
          <w:sz w:val="24"/>
          <w:szCs w:val="24"/>
          <w:lang w:val="en"/>
        </w:rPr>
        <w:t>ir</w:t>
      </w:r>
      <w:r w:rsidR="0083315D" w:rsidRPr="004E35E5">
        <w:rPr>
          <w:rFonts w:ascii="Book Antiqua" w:hAnsi="Book Antiqua" w:cs="Times New Roman"/>
          <w:sz w:val="24"/>
          <w:szCs w:val="24"/>
          <w:lang w:val="en"/>
        </w:rPr>
        <w:t xml:space="preserve"> case.</w:t>
      </w:r>
      <w:r w:rsidR="004E35E5">
        <w:rPr>
          <w:rFonts w:ascii="Book Antiqua" w:hAnsi="Book Antiqua" w:cs="Times New Roman"/>
          <w:sz w:val="24"/>
          <w:szCs w:val="24"/>
        </w:rPr>
        <w:t xml:space="preserve"> </w:t>
      </w:r>
    </w:p>
    <w:p w14:paraId="6F9937E3" w14:textId="761A1D08" w:rsidR="008B1C65" w:rsidRPr="004E35E5" w:rsidRDefault="004E35E5" w:rsidP="004E35E5">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There are an estimated 25000 to 39</w:t>
      </w:r>
      <w:r w:rsidR="008B1C65" w:rsidRPr="004E35E5">
        <w:rPr>
          <w:rFonts w:ascii="Book Antiqua" w:hAnsi="Book Antiqua" w:cs="Times New Roman"/>
          <w:sz w:val="24"/>
          <w:szCs w:val="24"/>
        </w:rPr>
        <w:t xml:space="preserve">000 competency evaluations </w:t>
      </w:r>
      <w:r w:rsidR="0068327B" w:rsidRPr="004E35E5">
        <w:rPr>
          <w:rFonts w:ascii="Book Antiqua" w:hAnsi="Book Antiqua" w:cs="Times New Roman"/>
          <w:sz w:val="24"/>
          <w:szCs w:val="24"/>
        </w:rPr>
        <w:t xml:space="preserve">conducted annually in the </w:t>
      </w:r>
      <w:r w:rsidRPr="004E35E5">
        <w:rPr>
          <w:rFonts w:ascii="Book Antiqua" w:hAnsi="Book Antiqua" w:cs="Times New Roman"/>
          <w:sz w:val="24"/>
          <w:szCs w:val="24"/>
        </w:rPr>
        <w:t>U</w:t>
      </w:r>
      <w:r>
        <w:rPr>
          <w:rFonts w:ascii="Book Antiqua" w:hAnsi="Book Antiqua" w:cs="Times New Roman" w:hint="eastAsia"/>
          <w:sz w:val="24"/>
          <w:szCs w:val="24"/>
          <w:lang w:eastAsia="zh-CN"/>
        </w:rPr>
        <w:t xml:space="preserve">nited </w:t>
      </w:r>
      <w:r>
        <w:rPr>
          <w:rFonts w:ascii="Book Antiqua" w:hAnsi="Book Antiqua" w:cs="Times New Roman"/>
          <w:sz w:val="24"/>
          <w:szCs w:val="24"/>
        </w:rPr>
        <w:t>S</w:t>
      </w:r>
      <w:r>
        <w:rPr>
          <w:rFonts w:ascii="Book Antiqua" w:hAnsi="Book Antiqua" w:cs="Times New Roman" w:hint="eastAsia"/>
          <w:sz w:val="24"/>
          <w:szCs w:val="24"/>
          <w:lang w:eastAsia="zh-CN"/>
        </w:rPr>
        <w:t>tates</w:t>
      </w:r>
      <w:r w:rsidR="0068327B" w:rsidRPr="004E35E5">
        <w:rPr>
          <w:rFonts w:ascii="Book Antiqua" w:hAnsi="Book Antiqua" w:cs="Times New Roman"/>
          <w:sz w:val="24"/>
          <w:szCs w:val="24"/>
          <w:vertAlign w:val="superscript"/>
        </w:rPr>
        <w:t>[</w:t>
      </w:r>
      <w:r w:rsidR="002C4D38" w:rsidRPr="004E35E5">
        <w:rPr>
          <w:rFonts w:ascii="Book Antiqua" w:hAnsi="Book Antiqua" w:cs="Times New Roman"/>
          <w:sz w:val="24"/>
          <w:szCs w:val="24"/>
          <w:vertAlign w:val="superscript"/>
        </w:rPr>
        <w:t>3,4</w:t>
      </w:r>
      <w:r w:rsidR="0068327B" w:rsidRPr="004E35E5">
        <w:rPr>
          <w:rFonts w:ascii="Book Antiqua" w:hAnsi="Book Antiqua" w:cs="Times New Roman"/>
          <w:sz w:val="24"/>
          <w:szCs w:val="24"/>
          <w:vertAlign w:val="superscript"/>
        </w:rPr>
        <w:t>]</w:t>
      </w:r>
      <w:r>
        <w:rPr>
          <w:rFonts w:ascii="Book Antiqua" w:hAnsi="Book Antiqua" w:cs="Times New Roman"/>
          <w:sz w:val="24"/>
          <w:szCs w:val="24"/>
        </w:rPr>
        <w:t xml:space="preserve"> </w:t>
      </w:r>
      <w:r w:rsidR="008B1C65" w:rsidRPr="004E35E5">
        <w:rPr>
          <w:rFonts w:ascii="Book Antiqua" w:hAnsi="Book Antiqua" w:cs="Times New Roman"/>
          <w:sz w:val="24"/>
          <w:szCs w:val="24"/>
        </w:rPr>
        <w:t xml:space="preserve">After defendants are deemed incompetent by a judge applying the Dusky standard, they may be committed to restoration in an inpatient or outpatient setting. Dangerousness determines the location, but is also governed by the resources of the state and the </w:t>
      </w:r>
      <w:r w:rsidR="007F6252" w:rsidRPr="004E35E5">
        <w:rPr>
          <w:rFonts w:ascii="Book Antiqua" w:hAnsi="Book Antiqua" w:cs="Times New Roman"/>
          <w:sz w:val="24"/>
          <w:szCs w:val="24"/>
        </w:rPr>
        <w:t>judgment of the fact-finder</w:t>
      </w:r>
      <w:r w:rsidR="002C4D38" w:rsidRPr="004E35E5">
        <w:rPr>
          <w:rFonts w:ascii="Book Antiqua" w:hAnsi="Book Antiqua" w:cs="Times New Roman"/>
          <w:sz w:val="24"/>
          <w:szCs w:val="24"/>
        </w:rPr>
        <w:t xml:space="preserve"> (</w:t>
      </w:r>
      <w:r w:rsidR="002C4D38" w:rsidRPr="004E35E5">
        <w:rPr>
          <w:rFonts w:ascii="Book Antiqua" w:hAnsi="Book Antiqua" w:cs="Times New Roman"/>
          <w:i/>
          <w:sz w:val="24"/>
          <w:szCs w:val="24"/>
        </w:rPr>
        <w:t>i.e.</w:t>
      </w:r>
      <w:r w:rsidR="002C4D38" w:rsidRPr="004E35E5">
        <w:rPr>
          <w:rFonts w:ascii="Book Antiqua" w:hAnsi="Book Antiqua" w:cs="Times New Roman"/>
          <w:sz w:val="24"/>
          <w:szCs w:val="24"/>
        </w:rPr>
        <w:t>, the judge)</w:t>
      </w:r>
      <w:r w:rsidR="007F6252" w:rsidRPr="004E35E5">
        <w:rPr>
          <w:rFonts w:ascii="Book Antiqua" w:hAnsi="Book Antiqua" w:cs="Times New Roman"/>
          <w:sz w:val="24"/>
          <w:szCs w:val="24"/>
        </w:rPr>
        <w:t>.</w:t>
      </w:r>
      <w:r w:rsidR="008B1C65" w:rsidRPr="004E35E5">
        <w:rPr>
          <w:rFonts w:ascii="Book Antiqua" w:hAnsi="Book Antiqua" w:cs="Times New Roman"/>
          <w:sz w:val="24"/>
          <w:szCs w:val="24"/>
        </w:rPr>
        <w:t xml:space="preserve"> </w:t>
      </w:r>
    </w:p>
    <w:p w14:paraId="6401E9A3" w14:textId="7D3AF6F2" w:rsidR="008B1C65" w:rsidRPr="004E35E5" w:rsidRDefault="004E35E5" w:rsidP="004E35E5">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Thirty-five</w:t>
      </w:r>
      <w:r w:rsidR="008B1C65" w:rsidRPr="004E35E5">
        <w:rPr>
          <w:rFonts w:ascii="Book Antiqua" w:hAnsi="Book Antiqua" w:cs="Times New Roman"/>
          <w:sz w:val="24"/>
          <w:szCs w:val="24"/>
        </w:rPr>
        <w:t xml:space="preserve"> states have specific statute</w:t>
      </w:r>
      <w:r w:rsidR="00075F08" w:rsidRPr="004E35E5">
        <w:rPr>
          <w:rFonts w:ascii="Book Antiqua" w:hAnsi="Book Antiqua" w:cs="Times New Roman"/>
          <w:sz w:val="24"/>
          <w:szCs w:val="24"/>
        </w:rPr>
        <w:t>s</w:t>
      </w:r>
      <w:r w:rsidR="008B1C65" w:rsidRPr="004E35E5">
        <w:rPr>
          <w:rFonts w:ascii="Book Antiqua" w:hAnsi="Book Antiqua" w:cs="Times New Roman"/>
          <w:sz w:val="24"/>
          <w:szCs w:val="24"/>
        </w:rPr>
        <w:t xml:space="preserve"> that allow for outpatient competency restoration.</w:t>
      </w:r>
      <w:r>
        <w:rPr>
          <w:rFonts w:ascii="Book Antiqua" w:hAnsi="Book Antiqua" w:cs="Times New Roman"/>
          <w:sz w:val="24"/>
          <w:szCs w:val="24"/>
        </w:rPr>
        <w:t xml:space="preserve"> </w:t>
      </w:r>
      <w:r w:rsidR="008B1C65" w:rsidRPr="004E35E5">
        <w:rPr>
          <w:rFonts w:ascii="Book Antiqua" w:hAnsi="Book Antiqua" w:cs="Times New Roman"/>
          <w:sz w:val="24"/>
          <w:szCs w:val="24"/>
        </w:rPr>
        <w:t>However, only 16 states actually have a functioning outpatient competency restoration program.</w:t>
      </w:r>
      <w:r>
        <w:rPr>
          <w:rFonts w:ascii="Book Antiqua" w:hAnsi="Book Antiqua" w:cs="Times New Roman"/>
          <w:sz w:val="24"/>
          <w:szCs w:val="24"/>
        </w:rPr>
        <w:t xml:space="preserve"> </w:t>
      </w:r>
      <w:r w:rsidR="008B1C65" w:rsidRPr="004E35E5">
        <w:rPr>
          <w:rFonts w:ascii="Book Antiqua" w:hAnsi="Book Antiqua" w:cs="Times New Roman"/>
          <w:sz w:val="24"/>
          <w:szCs w:val="24"/>
        </w:rPr>
        <w:t>Some states, New York for example, only restore individuals who are charged with a felony, a serious charge generally carrying a sentence of over a year in prison</w:t>
      </w:r>
      <w:r w:rsidR="00075F08" w:rsidRPr="004E35E5">
        <w:rPr>
          <w:rFonts w:ascii="Book Antiqua" w:hAnsi="Book Antiqua" w:cs="Times New Roman"/>
          <w:sz w:val="24"/>
          <w:szCs w:val="24"/>
        </w:rPr>
        <w:t>.</w:t>
      </w:r>
      <w:r>
        <w:rPr>
          <w:rFonts w:ascii="Book Antiqua" w:hAnsi="Book Antiqua" w:cs="Times New Roman"/>
          <w:sz w:val="24"/>
          <w:szCs w:val="24"/>
        </w:rPr>
        <w:t xml:space="preserve"> </w:t>
      </w:r>
      <w:r w:rsidR="008B1C65" w:rsidRPr="004E35E5">
        <w:rPr>
          <w:rFonts w:ascii="Book Antiqua" w:hAnsi="Book Antiqua" w:cs="Times New Roman"/>
          <w:sz w:val="24"/>
          <w:szCs w:val="24"/>
        </w:rPr>
        <w:t>In the District of Columbia, a defendant can be ordered to participate in either in inpatient restoration at Saint Elizabeths Hospital, the District’s publicly funded hospital, or to outpatient restoration at the Outpatient Competency Restoration Program (OCRP) in the DC Department of Behavioral Health.</w:t>
      </w:r>
      <w:r>
        <w:rPr>
          <w:rFonts w:ascii="Book Antiqua" w:hAnsi="Book Antiqua" w:cs="Times New Roman"/>
          <w:sz w:val="24"/>
          <w:szCs w:val="24"/>
        </w:rPr>
        <w:t xml:space="preserve"> </w:t>
      </w:r>
      <w:r w:rsidR="00CA5A57" w:rsidRPr="004E35E5">
        <w:rPr>
          <w:rFonts w:ascii="Book Antiqua" w:hAnsi="Book Antiqua" w:cs="Times New Roman"/>
          <w:sz w:val="24"/>
          <w:szCs w:val="24"/>
        </w:rPr>
        <w:t>The outpatient option adheres to the statutory requirement of providing the least restrictive alternative for mental health orders.</w:t>
      </w:r>
    </w:p>
    <w:p w14:paraId="63A56144" w14:textId="77777777" w:rsidR="00CD34E2" w:rsidRPr="004E35E5" w:rsidRDefault="00CD34E2" w:rsidP="004E35E5">
      <w:pPr>
        <w:spacing w:after="0" w:line="360" w:lineRule="auto"/>
        <w:jc w:val="both"/>
        <w:rPr>
          <w:rFonts w:ascii="Book Antiqua" w:hAnsi="Book Antiqua" w:cs="Times New Roman"/>
          <w:sz w:val="24"/>
          <w:szCs w:val="24"/>
        </w:rPr>
      </w:pPr>
    </w:p>
    <w:p w14:paraId="386CFAE4" w14:textId="142AAEDD" w:rsidR="008B1C65" w:rsidRPr="004E35E5" w:rsidRDefault="008B1C65" w:rsidP="004E35E5">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Other states with outpatient competency restoration programs include Arizona, Georgia, Louisiana, Ohio, Texas, Virginia, West Virginia and W</w:t>
      </w:r>
      <w:r w:rsidR="00652B35" w:rsidRPr="004E35E5">
        <w:rPr>
          <w:rFonts w:ascii="Book Antiqua" w:hAnsi="Book Antiqua" w:cs="Times New Roman"/>
          <w:sz w:val="24"/>
          <w:szCs w:val="24"/>
        </w:rPr>
        <w:t>isconsin. Wisconsin provides one-on-one</w:t>
      </w:r>
      <w:r w:rsidRPr="004E35E5">
        <w:rPr>
          <w:rFonts w:ascii="Book Antiqua" w:hAnsi="Book Antiqua" w:cs="Times New Roman"/>
          <w:sz w:val="24"/>
          <w:szCs w:val="24"/>
        </w:rPr>
        <w:t xml:space="preserve"> competency education to defendants for one hour twice a week.</w:t>
      </w:r>
      <w:r w:rsidR="004E35E5">
        <w:rPr>
          <w:rFonts w:ascii="Book Antiqua" w:hAnsi="Book Antiqua" w:cs="Times New Roman"/>
          <w:sz w:val="24"/>
          <w:szCs w:val="24"/>
        </w:rPr>
        <w:t xml:space="preserve"> </w:t>
      </w:r>
      <w:r w:rsidRPr="004E35E5">
        <w:rPr>
          <w:rFonts w:ascii="Book Antiqua" w:hAnsi="Book Antiqua" w:cs="Times New Roman"/>
          <w:sz w:val="24"/>
          <w:szCs w:val="24"/>
        </w:rPr>
        <w:t xml:space="preserve">Competency restoration specifically includes case management services which are </w:t>
      </w:r>
      <w:r w:rsidRPr="004E35E5">
        <w:rPr>
          <w:rFonts w:ascii="Book Antiqua" w:hAnsi="Book Antiqua" w:cs="Times New Roman"/>
          <w:sz w:val="24"/>
          <w:szCs w:val="24"/>
        </w:rPr>
        <w:lastRenderedPageBreak/>
        <w:t>provided once a week to each participant.</w:t>
      </w:r>
      <w:r w:rsidR="004E35E5">
        <w:rPr>
          <w:rFonts w:ascii="Book Antiqua" w:hAnsi="Book Antiqua" w:cs="Times New Roman"/>
          <w:sz w:val="24"/>
          <w:szCs w:val="24"/>
        </w:rPr>
        <w:t xml:space="preserve"> </w:t>
      </w:r>
      <w:r w:rsidRPr="004E35E5">
        <w:rPr>
          <w:rFonts w:ascii="Book Antiqua" w:hAnsi="Book Antiqua" w:cs="Times New Roman"/>
          <w:sz w:val="24"/>
          <w:szCs w:val="24"/>
        </w:rPr>
        <w:t>This assures that participant schedules are coordinated, appointments made, and that contact with the program is maintained. In 2012-13, Wisconsin served 121 defendants, re</w:t>
      </w:r>
      <w:r w:rsidR="004E35E5">
        <w:rPr>
          <w:rFonts w:ascii="Book Antiqua" w:hAnsi="Book Antiqua" w:cs="Times New Roman"/>
          <w:sz w:val="24"/>
          <w:szCs w:val="24"/>
        </w:rPr>
        <w:t xml:space="preserve">storing them at a rate of 75% </w:t>
      </w:r>
      <w:r w:rsidR="001160E3" w:rsidRPr="004E35E5">
        <w:rPr>
          <w:rFonts w:ascii="Book Antiqua" w:hAnsi="Book Antiqua" w:cs="Times New Roman"/>
          <w:sz w:val="24"/>
          <w:szCs w:val="24"/>
        </w:rPr>
        <w:t>-</w:t>
      </w:r>
      <w:r w:rsidRPr="004E35E5">
        <w:rPr>
          <w:rFonts w:ascii="Book Antiqua" w:hAnsi="Book Antiqua" w:cs="Times New Roman"/>
          <w:sz w:val="24"/>
          <w:szCs w:val="24"/>
        </w:rPr>
        <w:t xml:space="preserve"> among the highest rates in the </w:t>
      </w:r>
      <w:proofErr w:type="gramStart"/>
      <w:r w:rsidRPr="004E35E5">
        <w:rPr>
          <w:rFonts w:ascii="Book Antiqua" w:hAnsi="Book Antiqua" w:cs="Times New Roman"/>
          <w:sz w:val="24"/>
          <w:szCs w:val="24"/>
        </w:rPr>
        <w:t>nation</w:t>
      </w:r>
      <w:r w:rsidR="004E35E5" w:rsidRPr="004E35E5">
        <w:rPr>
          <w:rFonts w:ascii="Book Antiqua" w:hAnsi="Book Antiqua" w:cs="Times New Roman"/>
          <w:sz w:val="24"/>
          <w:szCs w:val="24"/>
          <w:vertAlign w:val="superscript"/>
        </w:rPr>
        <w:t>[</w:t>
      </w:r>
      <w:proofErr w:type="gramEnd"/>
      <w:r w:rsidR="004E35E5" w:rsidRPr="004E35E5">
        <w:rPr>
          <w:rFonts w:ascii="Book Antiqua" w:hAnsi="Book Antiqua" w:cs="Times New Roman"/>
          <w:sz w:val="24"/>
          <w:szCs w:val="24"/>
          <w:vertAlign w:val="superscript"/>
        </w:rPr>
        <w:t>5]</w:t>
      </w:r>
      <w:r w:rsidR="009E38CD" w:rsidRPr="004E35E5">
        <w:rPr>
          <w:rFonts w:ascii="Book Antiqua" w:hAnsi="Book Antiqua" w:cs="Times New Roman"/>
          <w:sz w:val="24"/>
          <w:szCs w:val="24"/>
        </w:rPr>
        <w:t>.</w:t>
      </w:r>
      <w:r w:rsidRPr="004E35E5">
        <w:rPr>
          <w:rFonts w:ascii="Book Antiqua" w:hAnsi="Book Antiqua" w:cs="Times New Roman"/>
          <w:sz w:val="24"/>
          <w:szCs w:val="24"/>
        </w:rPr>
        <w:t xml:space="preserve"> </w:t>
      </w:r>
    </w:p>
    <w:p w14:paraId="47E1CD27" w14:textId="2E3FC65A" w:rsidR="008B1C65" w:rsidRPr="004E35E5" w:rsidRDefault="008B1C65" w:rsidP="004E35E5">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Texas follows a group-structured competency restoratio</w:t>
      </w:r>
      <w:r w:rsidR="00652B35" w:rsidRPr="004E35E5">
        <w:rPr>
          <w:rFonts w:ascii="Book Antiqua" w:hAnsi="Book Antiqua" w:cs="Times New Roman"/>
          <w:sz w:val="24"/>
          <w:szCs w:val="24"/>
        </w:rPr>
        <w:t>n program with the option of one-on-one</w:t>
      </w:r>
      <w:r w:rsidRPr="004E35E5">
        <w:rPr>
          <w:rFonts w:ascii="Book Antiqua" w:hAnsi="Book Antiqua" w:cs="Times New Roman"/>
          <w:sz w:val="24"/>
          <w:szCs w:val="24"/>
        </w:rPr>
        <w:t xml:space="preserve"> </w:t>
      </w:r>
      <w:proofErr w:type="gramStart"/>
      <w:r w:rsidRPr="004E35E5">
        <w:rPr>
          <w:rFonts w:ascii="Book Antiqua" w:hAnsi="Book Antiqua" w:cs="Times New Roman"/>
          <w:sz w:val="24"/>
          <w:szCs w:val="24"/>
        </w:rPr>
        <w:t>service</w:t>
      </w:r>
      <w:r w:rsidR="004E35E5" w:rsidRPr="004E35E5">
        <w:rPr>
          <w:rFonts w:ascii="Book Antiqua" w:hAnsi="Book Antiqua" w:cs="Times New Roman"/>
          <w:sz w:val="24"/>
          <w:szCs w:val="24"/>
          <w:vertAlign w:val="superscript"/>
        </w:rPr>
        <w:t>[</w:t>
      </w:r>
      <w:proofErr w:type="gramEnd"/>
      <w:r w:rsidR="004E35E5" w:rsidRPr="004E35E5">
        <w:rPr>
          <w:rFonts w:ascii="Book Antiqua" w:hAnsi="Book Antiqua" w:cs="Times New Roman"/>
          <w:sz w:val="24"/>
          <w:szCs w:val="24"/>
          <w:vertAlign w:val="superscript"/>
        </w:rPr>
        <w:t>6]</w:t>
      </w:r>
      <w:r w:rsidR="009E38CD" w:rsidRPr="004E35E5">
        <w:rPr>
          <w:rFonts w:ascii="Book Antiqua" w:hAnsi="Book Antiqua" w:cs="Times New Roman"/>
          <w:sz w:val="24"/>
          <w:szCs w:val="24"/>
        </w:rPr>
        <w:t>.</w:t>
      </w:r>
      <w:r w:rsidR="0068327B" w:rsidRPr="004E35E5">
        <w:rPr>
          <w:rFonts w:ascii="Book Antiqua" w:hAnsi="Book Antiqua" w:cs="Times New Roman"/>
          <w:sz w:val="24"/>
          <w:szCs w:val="24"/>
        </w:rPr>
        <w:t xml:space="preserve"> </w:t>
      </w:r>
      <w:r w:rsidRPr="004E35E5">
        <w:rPr>
          <w:rFonts w:ascii="Book Antiqua" w:hAnsi="Book Antiqua" w:cs="Times New Roman"/>
          <w:sz w:val="24"/>
          <w:szCs w:val="24"/>
        </w:rPr>
        <w:t>Groups meet daily for 1-1.5 h.</w:t>
      </w:r>
      <w:r w:rsidR="004E35E5">
        <w:rPr>
          <w:rFonts w:ascii="Book Antiqua" w:hAnsi="Book Antiqua" w:cs="Times New Roman"/>
          <w:sz w:val="24"/>
          <w:szCs w:val="24"/>
        </w:rPr>
        <w:t xml:space="preserve"> </w:t>
      </w:r>
      <w:proofErr w:type="gramStart"/>
      <w:r w:rsidRPr="004E35E5">
        <w:rPr>
          <w:rFonts w:ascii="Book Antiqua" w:hAnsi="Book Antiqua" w:cs="Times New Roman"/>
          <w:sz w:val="24"/>
          <w:szCs w:val="24"/>
        </w:rPr>
        <w:t>Between</w:t>
      </w:r>
      <w:proofErr w:type="gramEnd"/>
      <w:r w:rsidRPr="004E35E5">
        <w:rPr>
          <w:rFonts w:ascii="Book Antiqua" w:hAnsi="Book Antiqua" w:cs="Times New Roman"/>
          <w:sz w:val="24"/>
          <w:szCs w:val="24"/>
        </w:rPr>
        <w:t xml:space="preserve"> 2008 and 2013, the overall rate of restoration was 42%.</w:t>
      </w:r>
      <w:r w:rsidR="004E35E5">
        <w:rPr>
          <w:rFonts w:ascii="Book Antiqua" w:hAnsi="Book Antiqua" w:cs="Times New Roman"/>
          <w:sz w:val="24"/>
          <w:szCs w:val="24"/>
        </w:rPr>
        <w:t xml:space="preserve"> </w:t>
      </w:r>
      <w:r w:rsidRPr="004E35E5">
        <w:rPr>
          <w:rFonts w:ascii="Book Antiqua" w:hAnsi="Book Antiqua" w:cs="Times New Roman"/>
          <w:sz w:val="24"/>
          <w:szCs w:val="24"/>
        </w:rPr>
        <w:t xml:space="preserve">The stark difference between this program and </w:t>
      </w:r>
      <w:r w:rsidR="00CC4334" w:rsidRPr="004E35E5">
        <w:rPr>
          <w:rFonts w:ascii="Book Antiqua" w:hAnsi="Book Antiqua" w:cs="Times New Roman"/>
          <w:sz w:val="24"/>
          <w:szCs w:val="24"/>
        </w:rPr>
        <w:t xml:space="preserve">the </w:t>
      </w:r>
      <w:r w:rsidRPr="004E35E5">
        <w:rPr>
          <w:rFonts w:ascii="Book Antiqua" w:hAnsi="Book Antiqua" w:cs="Times New Roman"/>
          <w:sz w:val="24"/>
          <w:szCs w:val="24"/>
        </w:rPr>
        <w:t xml:space="preserve">DC OCRP is the availability of involuntary medication in the outpatient setting. DC does </w:t>
      </w:r>
      <w:r w:rsidR="00652B35" w:rsidRPr="004E35E5">
        <w:rPr>
          <w:rFonts w:ascii="Book Antiqua" w:hAnsi="Book Antiqua" w:cs="Times New Roman"/>
          <w:sz w:val="24"/>
          <w:szCs w:val="24"/>
        </w:rPr>
        <w:t>not have this option,</w:t>
      </w:r>
      <w:r w:rsidRPr="004E35E5">
        <w:rPr>
          <w:rFonts w:ascii="Book Antiqua" w:hAnsi="Book Antiqua" w:cs="Times New Roman"/>
          <w:sz w:val="24"/>
          <w:szCs w:val="24"/>
        </w:rPr>
        <w:t xml:space="preserve"> leading to delays in treatment that affect time to restoration.</w:t>
      </w:r>
      <w:r w:rsidR="007F6252" w:rsidRPr="004E35E5">
        <w:rPr>
          <w:rFonts w:ascii="Book Antiqua" w:hAnsi="Book Antiqua" w:cs="Times New Roman"/>
          <w:sz w:val="24"/>
          <w:szCs w:val="24"/>
        </w:rPr>
        <w:t xml:space="preserve"> Programs with legal </w:t>
      </w:r>
      <w:r w:rsidR="0068327B" w:rsidRPr="004E35E5">
        <w:rPr>
          <w:rFonts w:ascii="Book Antiqua" w:hAnsi="Book Antiqua" w:cs="Times New Roman"/>
          <w:sz w:val="24"/>
          <w:szCs w:val="24"/>
        </w:rPr>
        <w:t>leverage</w:t>
      </w:r>
      <w:r w:rsidR="007F6252" w:rsidRPr="004E35E5">
        <w:rPr>
          <w:rFonts w:ascii="Book Antiqua" w:hAnsi="Book Antiqua" w:cs="Times New Roman"/>
          <w:sz w:val="24"/>
          <w:szCs w:val="24"/>
        </w:rPr>
        <w:t xml:space="preserve"> </w:t>
      </w:r>
      <w:r w:rsidR="0068327B" w:rsidRPr="004E35E5">
        <w:rPr>
          <w:rFonts w:ascii="Book Antiqua" w:hAnsi="Book Antiqua" w:cs="Times New Roman"/>
          <w:sz w:val="24"/>
          <w:szCs w:val="24"/>
        </w:rPr>
        <w:t xml:space="preserve">of this kind </w:t>
      </w:r>
      <w:r w:rsidR="007F6252" w:rsidRPr="004E35E5">
        <w:rPr>
          <w:rFonts w:ascii="Book Antiqua" w:hAnsi="Book Antiqua" w:cs="Times New Roman"/>
          <w:sz w:val="24"/>
          <w:szCs w:val="24"/>
        </w:rPr>
        <w:t xml:space="preserve">can greatly increase restoration </w:t>
      </w:r>
      <w:r w:rsidR="0068327B" w:rsidRPr="004E35E5">
        <w:rPr>
          <w:rFonts w:ascii="Book Antiqua" w:hAnsi="Book Antiqua" w:cs="Times New Roman"/>
          <w:sz w:val="24"/>
          <w:szCs w:val="24"/>
        </w:rPr>
        <w:t>rates</w:t>
      </w:r>
      <w:r w:rsidR="005337BB" w:rsidRPr="004E35E5">
        <w:rPr>
          <w:rFonts w:ascii="Book Antiqua" w:hAnsi="Book Antiqua" w:cs="Times New Roman"/>
          <w:sz w:val="24"/>
          <w:szCs w:val="24"/>
        </w:rPr>
        <w:t xml:space="preserve"> by </w:t>
      </w:r>
      <w:r w:rsidR="0068327B" w:rsidRPr="004E35E5">
        <w:rPr>
          <w:rFonts w:ascii="Book Antiqua" w:hAnsi="Book Antiqua" w:cs="Times New Roman"/>
          <w:sz w:val="24"/>
          <w:szCs w:val="24"/>
        </w:rPr>
        <w:t>enforcing</w:t>
      </w:r>
      <w:r w:rsidR="005337BB" w:rsidRPr="004E35E5">
        <w:rPr>
          <w:rFonts w:ascii="Book Antiqua" w:hAnsi="Book Antiqua" w:cs="Times New Roman"/>
          <w:sz w:val="24"/>
          <w:szCs w:val="24"/>
        </w:rPr>
        <w:t xml:space="preserve"> </w:t>
      </w:r>
      <w:r w:rsidR="0068327B" w:rsidRPr="004E35E5">
        <w:rPr>
          <w:rFonts w:ascii="Book Antiqua" w:hAnsi="Book Antiqua" w:cs="Times New Roman"/>
          <w:sz w:val="24"/>
          <w:szCs w:val="24"/>
        </w:rPr>
        <w:t xml:space="preserve">the </w:t>
      </w:r>
      <w:r w:rsidR="005337BB" w:rsidRPr="004E35E5">
        <w:rPr>
          <w:rFonts w:ascii="Book Antiqua" w:hAnsi="Book Antiqua" w:cs="Times New Roman"/>
          <w:sz w:val="24"/>
          <w:szCs w:val="24"/>
        </w:rPr>
        <w:t xml:space="preserve">intense exposure and structure needed to </w:t>
      </w:r>
      <w:r w:rsidR="00CC4334" w:rsidRPr="004E35E5">
        <w:rPr>
          <w:rFonts w:ascii="Book Antiqua" w:hAnsi="Book Antiqua" w:cs="Times New Roman"/>
          <w:sz w:val="24"/>
          <w:szCs w:val="24"/>
        </w:rPr>
        <w:t>teach</w:t>
      </w:r>
      <w:r w:rsidR="005337BB" w:rsidRPr="004E35E5">
        <w:rPr>
          <w:rFonts w:ascii="Book Antiqua" w:hAnsi="Book Antiqua" w:cs="Times New Roman"/>
          <w:sz w:val="24"/>
          <w:szCs w:val="24"/>
        </w:rPr>
        <w:t xml:space="preserve"> defendants </w:t>
      </w:r>
      <w:r w:rsidR="00CC4334" w:rsidRPr="004E35E5">
        <w:rPr>
          <w:rFonts w:ascii="Book Antiqua" w:hAnsi="Book Antiqua" w:cs="Times New Roman"/>
          <w:sz w:val="24"/>
          <w:szCs w:val="24"/>
        </w:rPr>
        <w:t>the critical elements</w:t>
      </w:r>
      <w:r w:rsidR="005337BB" w:rsidRPr="004E35E5">
        <w:rPr>
          <w:rFonts w:ascii="Book Antiqua" w:hAnsi="Book Antiqua" w:cs="Times New Roman"/>
          <w:sz w:val="24"/>
          <w:szCs w:val="24"/>
        </w:rPr>
        <w:t xml:space="preserve"> the legal system.</w:t>
      </w:r>
      <w:r w:rsidR="004E35E5">
        <w:rPr>
          <w:rFonts w:ascii="Book Antiqua" w:hAnsi="Book Antiqua" w:cs="Times New Roman"/>
          <w:sz w:val="24"/>
          <w:szCs w:val="24"/>
        </w:rPr>
        <w:t xml:space="preserve"> </w:t>
      </w:r>
      <w:r w:rsidR="0068327B" w:rsidRPr="004E35E5">
        <w:rPr>
          <w:rFonts w:ascii="Book Antiqua" w:hAnsi="Book Antiqua" w:cs="Times New Roman"/>
          <w:sz w:val="24"/>
          <w:szCs w:val="24"/>
        </w:rPr>
        <w:t>Moreover, patient adherence to medication regimens</w:t>
      </w:r>
      <w:r w:rsidR="00FE0ED6" w:rsidRPr="004E35E5">
        <w:rPr>
          <w:rFonts w:ascii="Book Antiqua" w:hAnsi="Book Antiqua" w:cs="Times New Roman"/>
          <w:sz w:val="24"/>
          <w:szCs w:val="24"/>
        </w:rPr>
        <w:t xml:space="preserve"> decreases the symptoms of mental illness </w:t>
      </w:r>
      <w:r w:rsidR="0068327B" w:rsidRPr="004E35E5">
        <w:rPr>
          <w:rFonts w:ascii="Book Antiqua" w:hAnsi="Book Antiqua" w:cs="Times New Roman"/>
          <w:sz w:val="24"/>
          <w:szCs w:val="24"/>
        </w:rPr>
        <w:t>that</w:t>
      </w:r>
      <w:r w:rsidR="00FE0ED6" w:rsidRPr="004E35E5">
        <w:rPr>
          <w:rFonts w:ascii="Book Antiqua" w:hAnsi="Book Antiqua" w:cs="Times New Roman"/>
          <w:sz w:val="24"/>
          <w:szCs w:val="24"/>
        </w:rPr>
        <w:t xml:space="preserve"> interfere</w:t>
      </w:r>
      <w:r w:rsidR="0068327B" w:rsidRPr="004E35E5">
        <w:rPr>
          <w:rFonts w:ascii="Book Antiqua" w:hAnsi="Book Antiqua" w:cs="Times New Roman"/>
          <w:sz w:val="24"/>
          <w:szCs w:val="24"/>
        </w:rPr>
        <w:t xml:space="preserve"> </w:t>
      </w:r>
      <w:r w:rsidR="00FE0ED6" w:rsidRPr="004E35E5">
        <w:rPr>
          <w:rFonts w:ascii="Book Antiqua" w:hAnsi="Book Antiqua" w:cs="Times New Roman"/>
          <w:sz w:val="24"/>
          <w:szCs w:val="24"/>
        </w:rPr>
        <w:t xml:space="preserve">with the ability to </w:t>
      </w:r>
      <w:r w:rsidR="00CC4334" w:rsidRPr="004E35E5">
        <w:rPr>
          <w:rFonts w:ascii="Book Antiqua" w:hAnsi="Book Antiqua" w:cs="Times New Roman"/>
          <w:sz w:val="24"/>
          <w:szCs w:val="24"/>
        </w:rPr>
        <w:t xml:space="preserve">order and retain </w:t>
      </w:r>
      <w:r w:rsidR="00FE0ED6" w:rsidRPr="004E35E5">
        <w:rPr>
          <w:rFonts w:ascii="Book Antiqua" w:hAnsi="Book Antiqua" w:cs="Times New Roman"/>
          <w:sz w:val="24"/>
          <w:szCs w:val="24"/>
        </w:rPr>
        <w:t>new material.</w:t>
      </w:r>
      <w:r w:rsidR="007F6252" w:rsidRPr="004E35E5">
        <w:rPr>
          <w:rFonts w:ascii="Book Antiqua" w:hAnsi="Book Antiqua" w:cs="Times New Roman"/>
          <w:sz w:val="24"/>
          <w:szCs w:val="24"/>
        </w:rPr>
        <w:t xml:space="preserve"> </w:t>
      </w:r>
    </w:p>
    <w:p w14:paraId="3C882038" w14:textId="6A86197C" w:rsidR="008B1C65" w:rsidRPr="004E35E5" w:rsidRDefault="008B1C65" w:rsidP="004E35E5">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 xml:space="preserve">Judicial responses to persons </w:t>
      </w:r>
      <w:r w:rsidR="00652B35" w:rsidRPr="004E35E5">
        <w:rPr>
          <w:rFonts w:ascii="Book Antiqua" w:hAnsi="Book Antiqua" w:cs="Times New Roman"/>
          <w:sz w:val="24"/>
          <w:szCs w:val="24"/>
        </w:rPr>
        <w:t xml:space="preserve">not adhering to the </w:t>
      </w:r>
      <w:r w:rsidR="00CA5A57" w:rsidRPr="004E35E5">
        <w:rPr>
          <w:rFonts w:ascii="Book Antiqua" w:hAnsi="Book Antiqua" w:cs="Times New Roman"/>
          <w:sz w:val="24"/>
          <w:szCs w:val="24"/>
        </w:rPr>
        <w:t xml:space="preserve">initial </w:t>
      </w:r>
      <w:r w:rsidR="00652B35" w:rsidRPr="004E35E5">
        <w:rPr>
          <w:rFonts w:ascii="Book Antiqua" w:hAnsi="Book Antiqua" w:cs="Times New Roman"/>
          <w:sz w:val="24"/>
          <w:szCs w:val="24"/>
        </w:rPr>
        <w:t>court order</w:t>
      </w:r>
      <w:r w:rsidR="00CA5A57" w:rsidRPr="004E35E5">
        <w:rPr>
          <w:rFonts w:ascii="Book Antiqua" w:hAnsi="Book Antiqua" w:cs="Times New Roman"/>
          <w:sz w:val="24"/>
          <w:szCs w:val="24"/>
        </w:rPr>
        <w:t xml:space="preserve"> include an order</w:t>
      </w:r>
      <w:r w:rsidRPr="004E35E5">
        <w:rPr>
          <w:rFonts w:ascii="Book Antiqua" w:hAnsi="Book Antiqua" w:cs="Times New Roman"/>
          <w:sz w:val="24"/>
          <w:szCs w:val="24"/>
        </w:rPr>
        <w:t xml:space="preserve"> to return to OCRP, </w:t>
      </w:r>
      <w:r w:rsidR="00CA5A57" w:rsidRPr="004E35E5">
        <w:rPr>
          <w:rFonts w:ascii="Book Antiqua" w:hAnsi="Book Antiqua" w:cs="Times New Roman"/>
          <w:sz w:val="24"/>
          <w:szCs w:val="24"/>
        </w:rPr>
        <w:t xml:space="preserve">an order for </w:t>
      </w:r>
      <w:r w:rsidRPr="004E35E5">
        <w:rPr>
          <w:rFonts w:ascii="Book Antiqua" w:hAnsi="Book Antiqua" w:cs="Times New Roman"/>
          <w:sz w:val="24"/>
          <w:szCs w:val="24"/>
        </w:rPr>
        <w:t>inpatient competency restoration, dismissal of charges, the issuance of a bench warrant, or a finding of unlikely to be restored.</w:t>
      </w:r>
      <w:r w:rsidR="004E35E5">
        <w:rPr>
          <w:rFonts w:ascii="Book Antiqua" w:hAnsi="Book Antiqua" w:cs="Times New Roman"/>
          <w:sz w:val="24"/>
          <w:szCs w:val="24"/>
        </w:rPr>
        <w:t xml:space="preserve"> </w:t>
      </w:r>
      <w:r w:rsidR="00CA5A57" w:rsidRPr="004E35E5">
        <w:rPr>
          <w:rFonts w:ascii="Book Antiqua" w:hAnsi="Book Antiqua" w:cs="Times New Roman"/>
          <w:sz w:val="24"/>
          <w:szCs w:val="24"/>
        </w:rPr>
        <w:t>Bench warrants for a return to court are generally issued to p</w:t>
      </w:r>
      <w:r w:rsidRPr="004E35E5">
        <w:rPr>
          <w:rFonts w:ascii="Book Antiqua" w:hAnsi="Book Antiqua" w:cs="Times New Roman"/>
          <w:sz w:val="24"/>
          <w:szCs w:val="24"/>
        </w:rPr>
        <w:t>articipants who do not comply with the initial court order and do not appear f</w:t>
      </w:r>
      <w:r w:rsidR="00CA5A57" w:rsidRPr="004E35E5">
        <w:rPr>
          <w:rFonts w:ascii="Book Antiqua" w:hAnsi="Book Antiqua" w:cs="Times New Roman"/>
          <w:sz w:val="24"/>
          <w:szCs w:val="24"/>
        </w:rPr>
        <w:t>or OCR</w:t>
      </w:r>
      <w:r w:rsidRPr="004E35E5">
        <w:rPr>
          <w:rFonts w:ascii="Book Antiqua" w:hAnsi="Book Antiqua" w:cs="Times New Roman"/>
          <w:sz w:val="24"/>
          <w:szCs w:val="24"/>
        </w:rPr>
        <w:t>.</w:t>
      </w:r>
      <w:r w:rsidR="004E35E5">
        <w:rPr>
          <w:rFonts w:ascii="Book Antiqua" w:hAnsi="Book Antiqua" w:cs="Times New Roman"/>
          <w:sz w:val="24"/>
          <w:szCs w:val="24"/>
        </w:rPr>
        <w:t xml:space="preserve"> </w:t>
      </w:r>
    </w:p>
    <w:p w14:paraId="4D48D005" w14:textId="3AD06197" w:rsidR="008B1C65" w:rsidRPr="004E35E5" w:rsidRDefault="008B1C65" w:rsidP="004E35E5">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Compared to inpatient res</w:t>
      </w:r>
      <w:r w:rsidR="00CC4334" w:rsidRPr="004E35E5">
        <w:rPr>
          <w:rFonts w:ascii="Book Antiqua" w:hAnsi="Book Antiqua" w:cs="Times New Roman"/>
          <w:sz w:val="24"/>
          <w:szCs w:val="24"/>
        </w:rPr>
        <w:t>toration, OCRP provides easily recognizable</w:t>
      </w:r>
      <w:r w:rsidRPr="004E35E5">
        <w:rPr>
          <w:rFonts w:ascii="Book Antiqua" w:hAnsi="Book Antiqua" w:cs="Times New Roman"/>
          <w:sz w:val="24"/>
          <w:szCs w:val="24"/>
        </w:rPr>
        <w:t xml:space="preserve"> benefits to the defendant and the healthcare system. It is conducted in a less restrictive environment, provides less encroachment on personal liberty, is less disruptive of daily life, and offers cost savings to defendants and </w:t>
      </w:r>
      <w:r w:rsidR="00CA5A57" w:rsidRPr="004E35E5">
        <w:rPr>
          <w:rFonts w:ascii="Book Antiqua" w:hAnsi="Book Antiqua" w:cs="Times New Roman"/>
          <w:sz w:val="24"/>
          <w:szCs w:val="24"/>
        </w:rPr>
        <w:t>t</w:t>
      </w:r>
      <w:r w:rsidR="00CC4334" w:rsidRPr="004E35E5">
        <w:rPr>
          <w:rFonts w:ascii="Book Antiqua" w:hAnsi="Book Antiqua" w:cs="Times New Roman"/>
          <w:sz w:val="24"/>
          <w:szCs w:val="24"/>
        </w:rPr>
        <w:t>he public health system alike.</w:t>
      </w:r>
    </w:p>
    <w:p w14:paraId="615DC4BE" w14:textId="77777777" w:rsidR="00CD34E2" w:rsidRPr="004E35E5" w:rsidRDefault="00CD34E2" w:rsidP="004E35E5">
      <w:pPr>
        <w:spacing w:after="0" w:line="360" w:lineRule="auto"/>
        <w:jc w:val="both"/>
        <w:rPr>
          <w:rFonts w:ascii="Book Antiqua" w:hAnsi="Book Antiqua" w:cs="Times New Roman"/>
          <w:b/>
          <w:bCs/>
          <w:sz w:val="24"/>
          <w:szCs w:val="24"/>
        </w:rPr>
      </w:pPr>
    </w:p>
    <w:p w14:paraId="16288572" w14:textId="77777777" w:rsidR="008B1C65" w:rsidRPr="004E35E5" w:rsidRDefault="008B1C65" w:rsidP="004E35E5">
      <w:pPr>
        <w:spacing w:after="0" w:line="360" w:lineRule="auto"/>
        <w:jc w:val="both"/>
        <w:rPr>
          <w:rFonts w:ascii="Book Antiqua" w:hAnsi="Book Antiqua" w:cs="Times New Roman"/>
          <w:b/>
          <w:bCs/>
          <w:i/>
          <w:sz w:val="24"/>
          <w:szCs w:val="24"/>
        </w:rPr>
      </w:pPr>
      <w:r w:rsidRPr="004E35E5">
        <w:rPr>
          <w:rFonts w:ascii="Book Antiqua" w:hAnsi="Book Antiqua" w:cs="Times New Roman"/>
          <w:b/>
          <w:bCs/>
          <w:i/>
          <w:sz w:val="24"/>
          <w:szCs w:val="24"/>
        </w:rPr>
        <w:t>The DC OCRP</w:t>
      </w:r>
    </w:p>
    <w:p w14:paraId="2B941432" w14:textId="6DD9FF8A" w:rsidR="008B1C65" w:rsidRPr="004E35E5" w:rsidRDefault="00CC4334" w:rsidP="004E35E5">
      <w:pPr>
        <w:spacing w:after="0" w:line="360" w:lineRule="auto"/>
        <w:jc w:val="both"/>
        <w:rPr>
          <w:rFonts w:ascii="Book Antiqua" w:hAnsi="Book Antiqua" w:cs="Times New Roman"/>
          <w:sz w:val="24"/>
          <w:szCs w:val="24"/>
        </w:rPr>
      </w:pPr>
      <w:r w:rsidRPr="004E35E5">
        <w:rPr>
          <w:rFonts w:ascii="Book Antiqua" w:hAnsi="Book Antiqua" w:cs="Times New Roman"/>
          <w:sz w:val="24"/>
          <w:szCs w:val="24"/>
        </w:rPr>
        <w:t>DC evaluators</w:t>
      </w:r>
      <w:r w:rsidR="002B1F23" w:rsidRPr="004E35E5">
        <w:rPr>
          <w:rFonts w:ascii="Book Antiqua" w:hAnsi="Book Antiqua" w:cs="Times New Roman"/>
          <w:sz w:val="24"/>
          <w:szCs w:val="24"/>
        </w:rPr>
        <w:t xml:space="preserve"> are</w:t>
      </w:r>
      <w:r w:rsidRPr="004E35E5">
        <w:rPr>
          <w:rFonts w:ascii="Book Antiqua" w:hAnsi="Book Antiqua" w:cs="Times New Roman"/>
          <w:sz w:val="24"/>
          <w:szCs w:val="24"/>
        </w:rPr>
        <w:t xml:space="preserve"> </w:t>
      </w:r>
      <w:r w:rsidR="002B1F23" w:rsidRPr="004E35E5">
        <w:rPr>
          <w:rFonts w:ascii="Book Antiqua" w:hAnsi="Book Antiqua" w:cs="Times New Roman"/>
          <w:sz w:val="24"/>
          <w:szCs w:val="24"/>
        </w:rPr>
        <w:t xml:space="preserve">board-certified forensic psychiatrists and forensically experienced psychologists who </w:t>
      </w:r>
      <w:r w:rsidRPr="004E35E5">
        <w:rPr>
          <w:rFonts w:ascii="Book Antiqua" w:hAnsi="Book Antiqua" w:cs="Times New Roman"/>
          <w:sz w:val="24"/>
          <w:szCs w:val="24"/>
        </w:rPr>
        <w:t>must have completed</w:t>
      </w:r>
      <w:r w:rsidR="008B1C65" w:rsidRPr="004E35E5">
        <w:rPr>
          <w:rFonts w:ascii="Book Antiqua" w:hAnsi="Book Antiqua" w:cs="Times New Roman"/>
          <w:sz w:val="24"/>
          <w:szCs w:val="24"/>
        </w:rPr>
        <w:t xml:space="preserve"> a forensic psychiatry fellowship or supervised experience with a trained clinician. This includes observing competency evaluations and then conducting at least five evaluations under direct supervision.</w:t>
      </w:r>
      <w:r w:rsidR="004E35E5">
        <w:rPr>
          <w:rFonts w:ascii="Book Antiqua" w:hAnsi="Book Antiqua" w:cs="Times New Roman"/>
          <w:sz w:val="24"/>
          <w:szCs w:val="24"/>
        </w:rPr>
        <w:t xml:space="preserve"> </w:t>
      </w:r>
      <w:r w:rsidR="008B1C65" w:rsidRPr="004E35E5">
        <w:rPr>
          <w:rFonts w:ascii="Book Antiqua" w:hAnsi="Book Antiqua" w:cs="Times New Roman"/>
          <w:sz w:val="24"/>
          <w:szCs w:val="24"/>
        </w:rPr>
        <w:t xml:space="preserve">Successful completion of this additional course of training provides acculturation to the program </w:t>
      </w:r>
      <w:r w:rsidR="008B1C65" w:rsidRPr="004E35E5">
        <w:rPr>
          <w:rFonts w:ascii="Book Antiqua" w:hAnsi="Book Antiqua" w:cs="Times New Roman"/>
          <w:sz w:val="24"/>
          <w:szCs w:val="24"/>
        </w:rPr>
        <w:lastRenderedPageBreak/>
        <w:t>and its constituents, improved understanding of regulations, familiarity with local cultures and interpretations of law, and the proper thresholds for ascribing competence.</w:t>
      </w:r>
    </w:p>
    <w:p w14:paraId="6AD79B54" w14:textId="4F7E4BED" w:rsidR="008B1C65" w:rsidRPr="004E35E5" w:rsidRDefault="008B1C65" w:rsidP="004E35E5">
      <w:pPr>
        <w:spacing w:after="0" w:line="360" w:lineRule="auto"/>
        <w:jc w:val="both"/>
        <w:rPr>
          <w:rFonts w:ascii="Book Antiqua" w:hAnsi="Book Antiqua" w:cs="Times New Roman"/>
          <w:sz w:val="24"/>
          <w:szCs w:val="24"/>
        </w:rPr>
      </w:pPr>
      <w:r w:rsidRPr="004E35E5">
        <w:rPr>
          <w:rFonts w:ascii="Book Antiqua" w:hAnsi="Book Antiqua" w:cs="Times New Roman"/>
          <w:sz w:val="24"/>
          <w:szCs w:val="24"/>
        </w:rPr>
        <w:t>The DC OCRP meets at an outpatient clinic in the center of the District of Columbia.</w:t>
      </w:r>
      <w:r w:rsidR="004E35E5">
        <w:rPr>
          <w:rFonts w:ascii="Book Antiqua" w:hAnsi="Book Antiqua" w:cs="Times New Roman"/>
          <w:sz w:val="24"/>
          <w:szCs w:val="24"/>
        </w:rPr>
        <w:t xml:space="preserve"> </w:t>
      </w:r>
      <w:r w:rsidRPr="004E35E5">
        <w:rPr>
          <w:rFonts w:ascii="Book Antiqua" w:hAnsi="Book Antiqua" w:cs="Times New Roman"/>
          <w:sz w:val="24"/>
          <w:szCs w:val="24"/>
        </w:rPr>
        <w:t>Participants are court-ordered to participate and screened for suitability by a psychologist who performs a full</w:t>
      </w:r>
      <w:r w:rsidR="00CC4334" w:rsidRPr="004E35E5">
        <w:rPr>
          <w:rFonts w:ascii="Book Antiqua" w:hAnsi="Book Antiqua" w:cs="Times New Roman"/>
          <w:sz w:val="24"/>
          <w:szCs w:val="24"/>
        </w:rPr>
        <w:t xml:space="preserve"> introductory</w:t>
      </w:r>
      <w:r w:rsidRPr="004E35E5">
        <w:rPr>
          <w:rFonts w:ascii="Book Antiqua" w:hAnsi="Book Antiqua" w:cs="Times New Roman"/>
          <w:sz w:val="24"/>
          <w:szCs w:val="24"/>
        </w:rPr>
        <w:t xml:space="preserve"> evaluation of competence to stand trial.</w:t>
      </w:r>
      <w:r w:rsidR="004E35E5">
        <w:rPr>
          <w:rFonts w:ascii="Book Antiqua" w:hAnsi="Book Antiqua" w:cs="Times New Roman"/>
          <w:sz w:val="24"/>
          <w:szCs w:val="24"/>
        </w:rPr>
        <w:t xml:space="preserve"> </w:t>
      </w:r>
      <w:r w:rsidRPr="004E35E5">
        <w:rPr>
          <w:rFonts w:ascii="Book Antiqua" w:hAnsi="Book Antiqua" w:cs="Times New Roman"/>
          <w:sz w:val="24"/>
          <w:szCs w:val="24"/>
        </w:rPr>
        <w:t>Individuals with violent charges or who cannot be adequately contained in the community are not recommended for the program.</w:t>
      </w:r>
      <w:r w:rsidR="004E35E5">
        <w:rPr>
          <w:rFonts w:ascii="Book Antiqua" w:hAnsi="Book Antiqua" w:cs="Times New Roman"/>
          <w:sz w:val="24"/>
          <w:szCs w:val="24"/>
        </w:rPr>
        <w:t xml:space="preserve"> </w:t>
      </w:r>
      <w:r w:rsidRPr="004E35E5">
        <w:rPr>
          <w:rFonts w:ascii="Book Antiqua" w:hAnsi="Book Antiqua" w:cs="Times New Roman"/>
          <w:sz w:val="24"/>
          <w:szCs w:val="24"/>
        </w:rPr>
        <w:t>However, 71% of those who participate receive mental health services while enrolled in OCRP.</w:t>
      </w:r>
      <w:r w:rsidR="004E35E5">
        <w:rPr>
          <w:rFonts w:ascii="Book Antiqua" w:hAnsi="Book Antiqua" w:cs="Times New Roman"/>
          <w:sz w:val="24"/>
          <w:szCs w:val="24"/>
        </w:rPr>
        <w:t xml:space="preserve"> </w:t>
      </w:r>
      <w:r w:rsidRPr="004E35E5">
        <w:rPr>
          <w:rFonts w:ascii="Book Antiqua" w:hAnsi="Book Antiqua" w:cs="Times New Roman"/>
          <w:sz w:val="24"/>
          <w:szCs w:val="24"/>
        </w:rPr>
        <w:t>Individuals who do not adhere to their appointment schedule or who are disruptive to the group process are identified and the court is alerted in writing.</w:t>
      </w:r>
      <w:r w:rsidR="004E35E5">
        <w:rPr>
          <w:rFonts w:ascii="Book Antiqua" w:hAnsi="Book Antiqua" w:cs="Times New Roman"/>
          <w:sz w:val="24"/>
          <w:szCs w:val="24"/>
        </w:rPr>
        <w:t xml:space="preserve"> </w:t>
      </w:r>
      <w:r w:rsidRPr="004E35E5">
        <w:rPr>
          <w:rFonts w:ascii="Book Antiqua" w:hAnsi="Book Antiqua" w:cs="Times New Roman"/>
          <w:sz w:val="24"/>
          <w:szCs w:val="24"/>
        </w:rPr>
        <w:t>The court ultimately decides whether the defendant continues in OCRP or whether an alternative option l</w:t>
      </w:r>
      <w:r w:rsidR="00CC4334" w:rsidRPr="004E35E5">
        <w:rPr>
          <w:rFonts w:ascii="Book Antiqua" w:hAnsi="Book Antiqua" w:cs="Times New Roman"/>
          <w:sz w:val="24"/>
          <w:szCs w:val="24"/>
        </w:rPr>
        <w:t>ike hospitalization is appropriate</w:t>
      </w:r>
      <w:r w:rsidRPr="004E35E5">
        <w:rPr>
          <w:rFonts w:ascii="Book Antiqua" w:hAnsi="Book Antiqua" w:cs="Times New Roman"/>
          <w:sz w:val="24"/>
          <w:szCs w:val="24"/>
        </w:rPr>
        <w:t>.</w:t>
      </w:r>
    </w:p>
    <w:p w14:paraId="65519971" w14:textId="77777777" w:rsidR="00CD34E2" w:rsidRPr="004E35E5" w:rsidRDefault="00CD34E2" w:rsidP="004E35E5">
      <w:pPr>
        <w:spacing w:after="0" w:line="360" w:lineRule="auto"/>
        <w:jc w:val="both"/>
        <w:rPr>
          <w:rFonts w:ascii="Book Antiqua" w:hAnsi="Book Antiqua" w:cs="Times New Roman"/>
          <w:b/>
          <w:bCs/>
          <w:sz w:val="24"/>
          <w:szCs w:val="24"/>
        </w:rPr>
      </w:pPr>
    </w:p>
    <w:p w14:paraId="70900DB7" w14:textId="32BFFF99" w:rsidR="008B1C65" w:rsidRPr="004E35E5" w:rsidRDefault="004E35E5" w:rsidP="004E35E5">
      <w:pPr>
        <w:spacing w:after="0" w:line="360" w:lineRule="auto"/>
        <w:jc w:val="both"/>
        <w:rPr>
          <w:rFonts w:ascii="Book Antiqua" w:hAnsi="Book Antiqua" w:cs="Times New Roman"/>
          <w:b/>
          <w:bCs/>
          <w:sz w:val="24"/>
          <w:szCs w:val="24"/>
        </w:rPr>
      </w:pPr>
      <w:r>
        <w:rPr>
          <w:rFonts w:ascii="Book Antiqua" w:hAnsi="Book Antiqua" w:cs="Times New Roman"/>
          <w:b/>
          <w:bCs/>
          <w:sz w:val="24"/>
          <w:szCs w:val="24"/>
          <w:lang w:eastAsia="zh-CN"/>
        </w:rPr>
        <w:t>MATERIALS AND</w:t>
      </w:r>
      <w:r w:rsidRPr="004E35E5">
        <w:rPr>
          <w:rFonts w:ascii="Book Antiqua" w:hAnsi="Book Antiqua" w:cs="Times New Roman"/>
          <w:b/>
          <w:bCs/>
          <w:sz w:val="24"/>
          <w:szCs w:val="24"/>
        </w:rPr>
        <w:t xml:space="preserve"> METHODS</w:t>
      </w:r>
    </w:p>
    <w:p w14:paraId="54C52B5B" w14:textId="77777777" w:rsidR="00E44634" w:rsidRDefault="008B1C65" w:rsidP="004E35E5">
      <w:pPr>
        <w:spacing w:after="0" w:line="360" w:lineRule="auto"/>
        <w:jc w:val="both"/>
        <w:rPr>
          <w:rFonts w:ascii="Book Antiqua" w:hAnsi="Book Antiqua" w:cs="Times New Roman"/>
          <w:sz w:val="24"/>
          <w:szCs w:val="24"/>
          <w:lang w:eastAsia="zh-CN"/>
        </w:rPr>
      </w:pPr>
      <w:r w:rsidRPr="004E35E5">
        <w:rPr>
          <w:rFonts w:ascii="Book Antiqua" w:hAnsi="Book Antiqua" w:cs="Times New Roman"/>
          <w:sz w:val="24"/>
          <w:szCs w:val="24"/>
        </w:rPr>
        <w:t>Competence restoration takes place in a group setting. The group meets twice a week for 1.25 h at a time.</w:t>
      </w:r>
      <w:r w:rsidR="004E35E5">
        <w:rPr>
          <w:rFonts w:ascii="Book Antiqua" w:hAnsi="Book Antiqua" w:cs="Times New Roman"/>
          <w:sz w:val="24"/>
          <w:szCs w:val="24"/>
        </w:rPr>
        <w:t xml:space="preserve"> </w:t>
      </w:r>
      <w:r w:rsidRPr="004E35E5">
        <w:rPr>
          <w:rFonts w:ascii="Book Antiqua" w:hAnsi="Book Antiqua" w:cs="Times New Roman"/>
          <w:sz w:val="24"/>
          <w:szCs w:val="24"/>
        </w:rPr>
        <w:t>The first visit essentially serves as an intake session where the group facilitator collects demographic information, obtains the defendant’s signature on a formal participation agreement, and reviews the purpose of the program along with the expectations of those attending.</w:t>
      </w:r>
      <w:r w:rsidR="004E35E5">
        <w:rPr>
          <w:rFonts w:ascii="Book Antiqua" w:hAnsi="Book Antiqua" w:cs="Times New Roman"/>
          <w:sz w:val="24"/>
          <w:szCs w:val="24"/>
        </w:rPr>
        <w:t xml:space="preserve"> </w:t>
      </w:r>
      <w:r w:rsidRPr="004E35E5">
        <w:rPr>
          <w:rFonts w:ascii="Book Antiqua" w:hAnsi="Book Antiqua" w:cs="Times New Roman"/>
          <w:sz w:val="24"/>
          <w:szCs w:val="24"/>
        </w:rPr>
        <w:t>These are essential elements of an informed consent process that discloses information about the program, contributes to the assessment process, and encourages the partic</w:t>
      </w:r>
      <w:r w:rsidR="00CC4334" w:rsidRPr="004E35E5">
        <w:rPr>
          <w:rFonts w:ascii="Book Antiqua" w:hAnsi="Book Antiqua" w:cs="Times New Roman"/>
          <w:sz w:val="24"/>
          <w:szCs w:val="24"/>
        </w:rPr>
        <w:t>ipant’s engagement. I</w:t>
      </w:r>
      <w:r w:rsidRPr="004E35E5">
        <w:rPr>
          <w:rFonts w:ascii="Book Antiqua" w:hAnsi="Book Antiqua" w:cs="Times New Roman"/>
          <w:sz w:val="24"/>
          <w:szCs w:val="24"/>
        </w:rPr>
        <w:t>f defendants are receiving community mental health services, they are asked to sign a release of information so that treatment needs and adherence can be confirmed.</w:t>
      </w:r>
      <w:r w:rsidR="004E35E5">
        <w:rPr>
          <w:rFonts w:ascii="Book Antiqua" w:hAnsi="Book Antiqua" w:cs="Times New Roman"/>
          <w:sz w:val="24"/>
          <w:szCs w:val="24"/>
        </w:rPr>
        <w:t xml:space="preserve"> </w:t>
      </w:r>
    </w:p>
    <w:p w14:paraId="6560CA07" w14:textId="5E1054B0" w:rsidR="008B1C65" w:rsidRPr="004E35E5" w:rsidRDefault="00CF2899"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Defendants are</w:t>
      </w:r>
      <w:r w:rsidR="008B1C65" w:rsidRPr="004E35E5">
        <w:rPr>
          <w:rFonts w:ascii="Book Antiqua" w:hAnsi="Book Antiqua" w:cs="Times New Roman"/>
          <w:sz w:val="24"/>
          <w:szCs w:val="24"/>
        </w:rPr>
        <w:t xml:space="preserve"> asked to read th</w:t>
      </w:r>
      <w:r w:rsidRPr="004E35E5">
        <w:rPr>
          <w:rFonts w:ascii="Book Antiqua" w:hAnsi="Book Antiqua" w:cs="Times New Roman"/>
          <w:sz w:val="24"/>
          <w:szCs w:val="24"/>
        </w:rPr>
        <w:t>e program’s main teaching tool,</w:t>
      </w:r>
      <w:r w:rsidR="002B1F23" w:rsidRPr="004E35E5">
        <w:rPr>
          <w:rFonts w:ascii="Book Antiqua" w:hAnsi="Book Antiqua" w:cs="Times New Roman"/>
          <w:sz w:val="24"/>
          <w:szCs w:val="24"/>
        </w:rPr>
        <w:t xml:space="preserve"> a 42-</w:t>
      </w:r>
      <w:r w:rsidR="00AF1C4F" w:rsidRPr="004E35E5">
        <w:rPr>
          <w:rFonts w:ascii="Book Antiqua" w:hAnsi="Book Antiqua" w:cs="Times New Roman"/>
          <w:sz w:val="24"/>
          <w:szCs w:val="24"/>
        </w:rPr>
        <w:t xml:space="preserve">question </w:t>
      </w:r>
      <w:r w:rsidRPr="004E35E5">
        <w:rPr>
          <w:rFonts w:ascii="Book Antiqua" w:hAnsi="Book Antiqua" w:cs="Times New Roman"/>
          <w:sz w:val="24"/>
          <w:szCs w:val="24"/>
        </w:rPr>
        <w:t>survey</w:t>
      </w:r>
      <w:r w:rsidR="00AF1C4F" w:rsidRPr="004E35E5">
        <w:rPr>
          <w:rFonts w:ascii="Book Antiqua" w:hAnsi="Book Antiqua" w:cs="Times New Roman"/>
          <w:sz w:val="24"/>
          <w:szCs w:val="24"/>
        </w:rPr>
        <w:t xml:space="preserve"> </w:t>
      </w:r>
      <w:r w:rsidR="007F6252" w:rsidRPr="004E35E5">
        <w:rPr>
          <w:rFonts w:ascii="Book Antiqua" w:hAnsi="Book Antiqua" w:cs="Times New Roman"/>
          <w:sz w:val="24"/>
          <w:szCs w:val="24"/>
        </w:rPr>
        <w:t xml:space="preserve">loosely </w:t>
      </w:r>
      <w:r w:rsidR="00AF1C4F" w:rsidRPr="004E35E5">
        <w:rPr>
          <w:rFonts w:ascii="Book Antiqua" w:hAnsi="Book Antiqua" w:cs="Times New Roman"/>
          <w:sz w:val="24"/>
          <w:szCs w:val="24"/>
        </w:rPr>
        <w:t xml:space="preserve">based on the Florida </w:t>
      </w:r>
      <w:r w:rsidR="0019169D" w:rsidRPr="004E35E5">
        <w:rPr>
          <w:rFonts w:ascii="Book Antiqua" w:hAnsi="Book Antiqua" w:cs="Times New Roman"/>
          <w:sz w:val="24"/>
          <w:szCs w:val="24"/>
        </w:rPr>
        <w:t xml:space="preserve">State Hospital </w:t>
      </w:r>
      <w:proofErr w:type="gramStart"/>
      <w:r w:rsidR="0019169D" w:rsidRPr="004E35E5">
        <w:rPr>
          <w:rFonts w:ascii="Book Antiqua" w:hAnsi="Book Antiqua" w:cs="Times New Roman"/>
          <w:sz w:val="24"/>
          <w:szCs w:val="24"/>
        </w:rPr>
        <w:t>Comp</w:t>
      </w:r>
      <w:r w:rsidR="00AF1C4F" w:rsidRPr="004E35E5">
        <w:rPr>
          <w:rFonts w:ascii="Book Antiqua" w:hAnsi="Book Antiqua" w:cs="Times New Roman"/>
          <w:sz w:val="24"/>
          <w:szCs w:val="24"/>
        </w:rPr>
        <w:t>Kit</w:t>
      </w:r>
      <w:r w:rsidR="00E44634" w:rsidRPr="00E44634">
        <w:rPr>
          <w:rFonts w:ascii="Book Antiqua" w:hAnsi="Book Antiqua" w:cs="Times New Roman"/>
          <w:sz w:val="24"/>
          <w:szCs w:val="24"/>
          <w:vertAlign w:val="superscript"/>
        </w:rPr>
        <w:t>[</w:t>
      </w:r>
      <w:proofErr w:type="gramEnd"/>
      <w:r w:rsidR="00E44634" w:rsidRPr="00E44634">
        <w:rPr>
          <w:rFonts w:ascii="Book Antiqua" w:hAnsi="Book Antiqua" w:cs="Times New Roman"/>
          <w:sz w:val="24"/>
          <w:szCs w:val="24"/>
          <w:vertAlign w:val="superscript"/>
        </w:rPr>
        <w:t>7]</w:t>
      </w:r>
      <w:r w:rsidR="009E38CD" w:rsidRPr="004E35E5">
        <w:rPr>
          <w:rFonts w:ascii="Book Antiqua" w:hAnsi="Book Antiqua" w:cs="Times New Roman"/>
          <w:sz w:val="24"/>
          <w:szCs w:val="24"/>
        </w:rPr>
        <w:t>.</w:t>
      </w:r>
      <w:r w:rsidRPr="004E35E5">
        <w:rPr>
          <w:rFonts w:ascii="Book Antiqua" w:hAnsi="Book Antiqua" w:cs="Times New Roman"/>
          <w:sz w:val="24"/>
          <w:szCs w:val="24"/>
        </w:rPr>
        <w:t xml:space="preserve"> </w:t>
      </w:r>
      <w:r w:rsidR="008B1C65" w:rsidRPr="004E35E5">
        <w:rPr>
          <w:rFonts w:ascii="Book Antiqua" w:hAnsi="Book Antiqua" w:cs="Times New Roman"/>
          <w:sz w:val="24"/>
          <w:szCs w:val="24"/>
        </w:rPr>
        <w:t>Used broadly to asses</w:t>
      </w:r>
      <w:r w:rsidR="00AF1C4F" w:rsidRPr="004E35E5">
        <w:rPr>
          <w:rFonts w:ascii="Book Antiqua" w:hAnsi="Book Antiqua" w:cs="Times New Roman"/>
          <w:sz w:val="24"/>
          <w:szCs w:val="24"/>
        </w:rPr>
        <w:t>s the factual prong of the Dusky standard</w:t>
      </w:r>
      <w:r w:rsidRPr="004E35E5">
        <w:rPr>
          <w:rFonts w:ascii="Book Antiqua" w:hAnsi="Book Antiqua" w:cs="Times New Roman"/>
          <w:sz w:val="24"/>
          <w:szCs w:val="24"/>
        </w:rPr>
        <w:t xml:space="preserve"> (</w:t>
      </w:r>
      <w:r w:rsidRPr="00E44634">
        <w:rPr>
          <w:rFonts w:ascii="Book Antiqua" w:hAnsi="Book Antiqua" w:cs="Times New Roman"/>
          <w:i/>
          <w:sz w:val="24"/>
          <w:szCs w:val="24"/>
        </w:rPr>
        <w:t>i.e.</w:t>
      </w:r>
      <w:r w:rsidRPr="004E35E5">
        <w:rPr>
          <w:rFonts w:ascii="Book Antiqua" w:hAnsi="Book Antiqua" w:cs="Times New Roman"/>
          <w:sz w:val="24"/>
          <w:szCs w:val="24"/>
        </w:rPr>
        <w:t>, “a factual understanding of the proceedings against him”)</w:t>
      </w:r>
      <w:r w:rsidR="008B1C65" w:rsidRPr="004E35E5">
        <w:rPr>
          <w:rFonts w:ascii="Book Antiqua" w:hAnsi="Book Antiqua" w:cs="Times New Roman"/>
          <w:sz w:val="24"/>
          <w:szCs w:val="24"/>
        </w:rPr>
        <w:t>, th</w:t>
      </w:r>
      <w:r w:rsidRPr="004E35E5">
        <w:rPr>
          <w:rFonts w:ascii="Book Antiqua" w:hAnsi="Book Antiqua" w:cs="Times New Roman"/>
          <w:sz w:val="24"/>
          <w:szCs w:val="24"/>
        </w:rPr>
        <w:t>e instrument ascertains the</w:t>
      </w:r>
      <w:r w:rsidR="008B1C65" w:rsidRPr="004E35E5">
        <w:rPr>
          <w:rFonts w:ascii="Book Antiqua" w:hAnsi="Book Antiqua" w:cs="Times New Roman"/>
          <w:sz w:val="24"/>
          <w:szCs w:val="24"/>
        </w:rPr>
        <w:t xml:space="preserve"> defendants’ ability to read and understand the curriculum’s competency information.</w:t>
      </w:r>
      <w:r w:rsidR="004E35E5">
        <w:rPr>
          <w:rFonts w:ascii="Book Antiqua" w:hAnsi="Book Antiqua" w:cs="Times New Roman"/>
          <w:sz w:val="24"/>
          <w:szCs w:val="24"/>
        </w:rPr>
        <w:t xml:space="preserve"> </w:t>
      </w:r>
      <w:r w:rsidR="008B1C65" w:rsidRPr="004E35E5">
        <w:rPr>
          <w:rFonts w:ascii="Book Antiqua" w:hAnsi="Book Antiqua" w:cs="Times New Roman"/>
          <w:sz w:val="24"/>
          <w:szCs w:val="24"/>
        </w:rPr>
        <w:t>This is an important adjunct to the initial competence evaluation.</w:t>
      </w:r>
    </w:p>
    <w:p w14:paraId="4D335DBC" w14:textId="58ACD884" w:rsidR="008B1C65" w:rsidRPr="004E35E5" w:rsidRDefault="00E4735D"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lastRenderedPageBreak/>
        <w:t xml:space="preserve">The </w:t>
      </w:r>
      <w:r w:rsidR="008B1C65" w:rsidRPr="004E35E5">
        <w:rPr>
          <w:rFonts w:ascii="Book Antiqua" w:hAnsi="Book Antiqua" w:cs="Times New Roman"/>
          <w:sz w:val="24"/>
          <w:szCs w:val="24"/>
        </w:rPr>
        <w:t>OC</w:t>
      </w:r>
      <w:r w:rsidRPr="004E35E5">
        <w:rPr>
          <w:rFonts w:ascii="Book Antiqua" w:hAnsi="Book Antiqua" w:cs="Times New Roman"/>
          <w:sz w:val="24"/>
          <w:szCs w:val="24"/>
        </w:rPr>
        <w:t>RP groups are facilitated by a licensed</w:t>
      </w:r>
      <w:r w:rsidR="008B1C65" w:rsidRPr="004E35E5">
        <w:rPr>
          <w:rFonts w:ascii="Book Antiqua" w:hAnsi="Book Antiqua" w:cs="Times New Roman"/>
          <w:sz w:val="24"/>
          <w:szCs w:val="24"/>
        </w:rPr>
        <w:t xml:space="preserve"> clinical mental health provider, currently a master’s level social worker, as well as a mental health provider who provides support to the facilitator.</w:t>
      </w:r>
      <w:r w:rsidR="004E35E5">
        <w:rPr>
          <w:rFonts w:ascii="Book Antiqua" w:hAnsi="Book Antiqua" w:cs="Times New Roman"/>
          <w:sz w:val="24"/>
          <w:szCs w:val="24"/>
        </w:rPr>
        <w:t xml:space="preserve"> </w:t>
      </w:r>
      <w:r w:rsidR="008B1C65" w:rsidRPr="004E35E5">
        <w:rPr>
          <w:rFonts w:ascii="Book Antiqua" w:hAnsi="Book Antiqua" w:cs="Times New Roman"/>
          <w:sz w:val="24"/>
          <w:szCs w:val="24"/>
        </w:rPr>
        <w:t xml:space="preserve">Various teaching tools are utilized, depending on the needs of the </w:t>
      </w:r>
      <w:r w:rsidRPr="004E35E5">
        <w:rPr>
          <w:rFonts w:ascii="Book Antiqua" w:hAnsi="Book Antiqua" w:cs="Times New Roman"/>
          <w:sz w:val="24"/>
          <w:szCs w:val="24"/>
        </w:rPr>
        <w:t>group. The 42-</w:t>
      </w:r>
      <w:r w:rsidR="00AF1C4F" w:rsidRPr="004E35E5">
        <w:rPr>
          <w:rFonts w:ascii="Book Antiqua" w:hAnsi="Book Antiqua" w:cs="Times New Roman"/>
          <w:sz w:val="24"/>
          <w:szCs w:val="24"/>
        </w:rPr>
        <w:t>question</w:t>
      </w:r>
      <w:r w:rsidRPr="004E35E5">
        <w:rPr>
          <w:rFonts w:ascii="Book Antiqua" w:hAnsi="Book Antiqua" w:cs="Times New Roman"/>
          <w:sz w:val="24"/>
          <w:szCs w:val="24"/>
        </w:rPr>
        <w:t xml:space="preserve"> survey</w:t>
      </w:r>
      <w:r w:rsidR="00AF1C4F" w:rsidRPr="004E35E5">
        <w:rPr>
          <w:rFonts w:ascii="Book Antiqua" w:hAnsi="Book Antiqua" w:cs="Times New Roman"/>
          <w:sz w:val="24"/>
          <w:szCs w:val="24"/>
        </w:rPr>
        <w:t xml:space="preserve"> </w:t>
      </w:r>
      <w:r w:rsidRPr="004E35E5">
        <w:rPr>
          <w:rFonts w:ascii="Book Antiqua" w:hAnsi="Book Antiqua" w:cs="Times New Roman"/>
          <w:sz w:val="24"/>
          <w:szCs w:val="24"/>
        </w:rPr>
        <w:t>is studied in each session so</w:t>
      </w:r>
      <w:r w:rsidR="00AF1C4F" w:rsidRPr="004E35E5">
        <w:rPr>
          <w:rFonts w:ascii="Book Antiqua" w:hAnsi="Book Antiqua" w:cs="Times New Roman"/>
          <w:sz w:val="24"/>
          <w:szCs w:val="24"/>
        </w:rPr>
        <w:t xml:space="preserve"> that </w:t>
      </w:r>
      <w:r w:rsidRPr="004E35E5">
        <w:rPr>
          <w:rFonts w:ascii="Book Antiqua" w:hAnsi="Book Antiqua" w:cs="Times New Roman"/>
          <w:sz w:val="24"/>
          <w:szCs w:val="24"/>
        </w:rPr>
        <w:t>part-by-part review can</w:t>
      </w:r>
      <w:r w:rsidR="00AF1C4F" w:rsidRPr="004E35E5">
        <w:rPr>
          <w:rFonts w:ascii="Book Antiqua" w:hAnsi="Book Antiqua" w:cs="Times New Roman"/>
          <w:sz w:val="24"/>
          <w:szCs w:val="24"/>
        </w:rPr>
        <w:t xml:space="preserve"> </w:t>
      </w:r>
      <w:r w:rsidRPr="004E35E5">
        <w:rPr>
          <w:rFonts w:ascii="Book Antiqua" w:hAnsi="Book Antiqua" w:cs="Times New Roman"/>
          <w:sz w:val="24"/>
          <w:szCs w:val="24"/>
        </w:rPr>
        <w:t>improve</w:t>
      </w:r>
      <w:r w:rsidR="00AF1C4F" w:rsidRPr="004E35E5">
        <w:rPr>
          <w:rFonts w:ascii="Book Antiqua" w:hAnsi="Book Antiqua" w:cs="Times New Roman"/>
          <w:sz w:val="24"/>
          <w:szCs w:val="24"/>
        </w:rPr>
        <w:t xml:space="preserve"> </w:t>
      </w:r>
      <w:r w:rsidRPr="004E35E5">
        <w:rPr>
          <w:rFonts w:ascii="Book Antiqua" w:hAnsi="Book Antiqua" w:cs="Times New Roman"/>
          <w:sz w:val="24"/>
          <w:szCs w:val="24"/>
        </w:rPr>
        <w:t xml:space="preserve">recall and </w:t>
      </w:r>
      <w:r w:rsidR="00AF1C4F" w:rsidRPr="004E35E5">
        <w:rPr>
          <w:rFonts w:ascii="Book Antiqua" w:hAnsi="Book Antiqua" w:cs="Times New Roman"/>
          <w:sz w:val="24"/>
          <w:szCs w:val="24"/>
        </w:rPr>
        <w:t>understanding of the material.</w:t>
      </w:r>
      <w:r w:rsidR="004E35E5">
        <w:rPr>
          <w:rFonts w:ascii="Book Antiqua" w:hAnsi="Book Antiqua" w:cs="Times New Roman"/>
          <w:sz w:val="24"/>
          <w:szCs w:val="24"/>
        </w:rPr>
        <w:t xml:space="preserve"> </w:t>
      </w:r>
      <w:r w:rsidR="008B1C65" w:rsidRPr="004E35E5">
        <w:rPr>
          <w:rFonts w:ascii="Book Antiqua" w:hAnsi="Book Antiqua" w:cs="Times New Roman"/>
          <w:sz w:val="24"/>
          <w:szCs w:val="24"/>
        </w:rPr>
        <w:t>In addition, the facilitator uses visual aids, like pictures of a courtroom</w:t>
      </w:r>
      <w:r w:rsidR="00AF1C4F" w:rsidRPr="004E35E5">
        <w:rPr>
          <w:rFonts w:ascii="Book Antiqua" w:hAnsi="Book Antiqua" w:cs="Times New Roman"/>
          <w:sz w:val="24"/>
          <w:szCs w:val="24"/>
        </w:rPr>
        <w:t xml:space="preserve"> on a magnetic board</w:t>
      </w:r>
      <w:r w:rsidR="008B1C65" w:rsidRPr="004E35E5">
        <w:rPr>
          <w:rFonts w:ascii="Book Antiqua" w:hAnsi="Book Antiqua" w:cs="Times New Roman"/>
          <w:sz w:val="24"/>
          <w:szCs w:val="24"/>
        </w:rPr>
        <w:t>, to reach participants whose preferred learning modality is visual or who may be cognitively impaired</w:t>
      </w:r>
      <w:r w:rsidR="00E44634">
        <w:rPr>
          <w:rFonts w:ascii="Book Antiqua" w:hAnsi="Book Antiqua" w:cs="Times New Roman" w:hint="eastAsia"/>
          <w:sz w:val="24"/>
          <w:szCs w:val="24"/>
          <w:lang w:eastAsia="zh-CN"/>
        </w:rPr>
        <w:t xml:space="preserve"> </w:t>
      </w:r>
      <w:r w:rsidR="00E44634">
        <w:rPr>
          <w:rFonts w:ascii="Book Antiqua" w:hAnsi="Book Antiqua" w:cs="Times New Roman" w:hint="eastAsia"/>
          <w:sz w:val="24"/>
          <w:szCs w:val="24"/>
        </w:rPr>
        <w:t>(</w:t>
      </w:r>
      <w:r w:rsidR="00E44634" w:rsidRPr="00E44634">
        <w:rPr>
          <w:rFonts w:ascii="Book Antiqua" w:hAnsi="Book Antiqua" w:cs="Times New Roman"/>
          <w:sz w:val="24"/>
          <w:szCs w:val="24"/>
        </w:rPr>
        <w:t>These materials are not publicly available so that attorneys and defendants do not gain unfair advantage before the formal assessment and restoration efforts</w:t>
      </w:r>
      <w:r w:rsidR="00E44634" w:rsidRPr="00E44634">
        <w:rPr>
          <w:rFonts w:ascii="Book Antiqua" w:hAnsi="Book Antiqua" w:cs="Times New Roman" w:hint="eastAsia"/>
          <w:sz w:val="24"/>
          <w:szCs w:val="24"/>
        </w:rPr>
        <w:t>)</w:t>
      </w:r>
      <w:r w:rsidR="008B1C65" w:rsidRPr="004E35E5">
        <w:rPr>
          <w:rFonts w:ascii="Book Antiqua" w:hAnsi="Book Antiqua" w:cs="Times New Roman"/>
          <w:sz w:val="24"/>
          <w:szCs w:val="24"/>
        </w:rPr>
        <w:t>.</w:t>
      </w:r>
      <w:r w:rsidR="004E35E5">
        <w:rPr>
          <w:rFonts w:ascii="Book Antiqua" w:hAnsi="Book Antiqua" w:cs="Times New Roman"/>
          <w:sz w:val="24"/>
          <w:szCs w:val="24"/>
        </w:rPr>
        <w:t xml:space="preserve"> </w:t>
      </w:r>
    </w:p>
    <w:p w14:paraId="7728F46E" w14:textId="27790B8F" w:rsidR="00F1390A" w:rsidRPr="004E35E5" w:rsidRDefault="008B1C65"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Case vignettes drawn from the media are selected for discuss</w:t>
      </w:r>
      <w:r w:rsidR="0019169D" w:rsidRPr="004E35E5">
        <w:rPr>
          <w:rFonts w:ascii="Book Antiqua" w:hAnsi="Book Antiqua" w:cs="Times New Roman"/>
          <w:sz w:val="24"/>
          <w:szCs w:val="24"/>
        </w:rPr>
        <w:t>ion. The connection to current</w:t>
      </w:r>
      <w:r w:rsidRPr="004E35E5">
        <w:rPr>
          <w:rFonts w:ascii="Book Antiqua" w:hAnsi="Book Antiqua" w:cs="Times New Roman"/>
          <w:sz w:val="24"/>
          <w:szCs w:val="24"/>
        </w:rPr>
        <w:t xml:space="preserve"> events anchors the curriculum in real-life events, lending an urgency and specificity to the curriculum. Feedback from participants over the years indicates that this is a particularly effecti</w:t>
      </w:r>
      <w:r w:rsidR="006361D7" w:rsidRPr="004E35E5">
        <w:rPr>
          <w:rFonts w:ascii="Book Antiqua" w:hAnsi="Book Antiqua" w:cs="Times New Roman"/>
          <w:sz w:val="24"/>
          <w:szCs w:val="24"/>
        </w:rPr>
        <w:t>ve manner to underscore the identity of</w:t>
      </w:r>
      <w:r w:rsidR="0019169D" w:rsidRPr="004E35E5">
        <w:rPr>
          <w:rFonts w:ascii="Book Antiqua" w:hAnsi="Book Antiqua" w:cs="Times New Roman"/>
          <w:sz w:val="24"/>
          <w:szCs w:val="24"/>
        </w:rPr>
        <w:t xml:space="preserve"> courtroom </w:t>
      </w:r>
      <w:r w:rsidR="006361D7" w:rsidRPr="004E35E5">
        <w:rPr>
          <w:rFonts w:ascii="Book Antiqua" w:hAnsi="Book Antiqua" w:cs="Times New Roman"/>
          <w:sz w:val="24"/>
          <w:szCs w:val="24"/>
        </w:rPr>
        <w:t xml:space="preserve">participants </w:t>
      </w:r>
      <w:r w:rsidR="0019169D" w:rsidRPr="004E35E5">
        <w:rPr>
          <w:rFonts w:ascii="Book Antiqua" w:hAnsi="Book Antiqua" w:cs="Times New Roman"/>
          <w:sz w:val="24"/>
          <w:szCs w:val="24"/>
        </w:rPr>
        <w:t>and engage group members</w:t>
      </w:r>
      <w:r w:rsidRPr="004E35E5">
        <w:rPr>
          <w:rFonts w:ascii="Book Antiqua" w:hAnsi="Book Antiqua" w:cs="Times New Roman"/>
          <w:sz w:val="24"/>
          <w:szCs w:val="24"/>
        </w:rPr>
        <w:t>. Role play is a useful strategy in this context as well, as participants act out the</w:t>
      </w:r>
      <w:r w:rsidR="006361D7" w:rsidRPr="004E35E5">
        <w:rPr>
          <w:rFonts w:ascii="Book Antiqua" w:hAnsi="Book Antiqua" w:cs="Times New Roman"/>
          <w:sz w:val="24"/>
          <w:szCs w:val="24"/>
        </w:rPr>
        <w:t xml:space="preserve"> roles of courtroom members</w:t>
      </w:r>
      <w:r w:rsidRPr="004E35E5">
        <w:rPr>
          <w:rFonts w:ascii="Book Antiqua" w:hAnsi="Book Antiqua" w:cs="Times New Roman"/>
          <w:sz w:val="24"/>
          <w:szCs w:val="24"/>
        </w:rPr>
        <w:t>.</w:t>
      </w:r>
      <w:r w:rsidR="004E35E5">
        <w:rPr>
          <w:rFonts w:ascii="Book Antiqua" w:hAnsi="Book Antiqua" w:cs="Times New Roman"/>
          <w:sz w:val="24"/>
          <w:szCs w:val="24"/>
        </w:rPr>
        <w:t xml:space="preserve"> </w:t>
      </w:r>
    </w:p>
    <w:p w14:paraId="469FE46A" w14:textId="48294568" w:rsidR="008B1C65" w:rsidRPr="004E35E5" w:rsidRDefault="008B1C65"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Each quarter, the facilitator shows the movie “My Cousin Vinnie</w:t>
      </w:r>
      <w:r w:rsidR="00AC20BF" w:rsidRPr="004E35E5">
        <w:rPr>
          <w:rFonts w:ascii="Book Antiqua" w:hAnsi="Book Antiqua" w:cs="Times New Roman"/>
          <w:sz w:val="24"/>
          <w:szCs w:val="24"/>
        </w:rPr>
        <w:t>”</w:t>
      </w:r>
      <w:r w:rsidRPr="004E35E5">
        <w:rPr>
          <w:rFonts w:ascii="Book Antiqua" w:hAnsi="Book Antiqua" w:cs="Times New Roman"/>
          <w:sz w:val="24"/>
          <w:szCs w:val="24"/>
        </w:rPr>
        <w:t>, a Hollywood comedy recountin</w:t>
      </w:r>
      <w:r w:rsidR="00F26320" w:rsidRPr="004E35E5">
        <w:rPr>
          <w:rFonts w:ascii="Book Antiqua" w:hAnsi="Book Antiqua" w:cs="Times New Roman"/>
          <w:sz w:val="24"/>
          <w:szCs w:val="24"/>
        </w:rPr>
        <w:t>g the adventures of an ersatz</w:t>
      </w:r>
      <w:r w:rsidRPr="004E35E5">
        <w:rPr>
          <w:rFonts w:ascii="Book Antiqua" w:hAnsi="Book Antiqua" w:cs="Times New Roman"/>
          <w:sz w:val="24"/>
          <w:szCs w:val="24"/>
        </w:rPr>
        <w:t xml:space="preserve"> city lawyer trying to disentangle his cousin from a rural court. Participants consequently discuss the movie’s relevance to the real courtroom.</w:t>
      </w:r>
      <w:r w:rsidR="004E35E5">
        <w:rPr>
          <w:rFonts w:ascii="Book Antiqua" w:hAnsi="Book Antiqua" w:cs="Times New Roman"/>
          <w:sz w:val="24"/>
          <w:szCs w:val="24"/>
        </w:rPr>
        <w:t xml:space="preserve"> </w:t>
      </w:r>
      <w:r w:rsidRPr="004E35E5">
        <w:rPr>
          <w:rFonts w:ascii="Book Antiqua" w:hAnsi="Book Antiqua" w:cs="Times New Roman"/>
          <w:sz w:val="24"/>
          <w:szCs w:val="24"/>
        </w:rPr>
        <w:t>Finally, the facilitator uses word association and acronyms to help participants retain the material</w:t>
      </w:r>
      <w:r w:rsidR="00C526B9" w:rsidRPr="004E35E5">
        <w:rPr>
          <w:rFonts w:ascii="Book Antiqua" w:hAnsi="Book Antiqua" w:cs="Times New Roman"/>
          <w:sz w:val="24"/>
          <w:szCs w:val="24"/>
        </w:rPr>
        <w:t>.</w:t>
      </w:r>
      <w:r w:rsidR="004E35E5">
        <w:rPr>
          <w:rFonts w:ascii="Book Antiqua" w:hAnsi="Book Antiqua" w:cs="Times New Roman"/>
          <w:sz w:val="24"/>
          <w:szCs w:val="24"/>
        </w:rPr>
        <w:t xml:space="preserve"> </w:t>
      </w:r>
      <w:r w:rsidR="00C526B9" w:rsidRPr="004E35E5">
        <w:rPr>
          <w:rFonts w:ascii="Book Antiqua" w:hAnsi="Book Antiqua" w:cs="Times New Roman"/>
          <w:sz w:val="24"/>
          <w:szCs w:val="24"/>
        </w:rPr>
        <w:t>T</w:t>
      </w:r>
      <w:r w:rsidRPr="004E35E5">
        <w:rPr>
          <w:rFonts w:ascii="Book Antiqua" w:hAnsi="Book Antiqua" w:cs="Times New Roman"/>
          <w:sz w:val="24"/>
          <w:szCs w:val="24"/>
        </w:rPr>
        <w:t xml:space="preserve">his approach underscores the visual and kinesthetic elements of the program and offers mnemonics that can easily recalled. </w:t>
      </w:r>
    </w:p>
    <w:p w14:paraId="7F0A9EA8" w14:textId="127F79EA" w:rsidR="008B1C65" w:rsidRPr="004E35E5" w:rsidRDefault="00D50E2B"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Each</w:t>
      </w:r>
      <w:r w:rsidR="008B1C65" w:rsidRPr="004E35E5">
        <w:rPr>
          <w:rFonts w:ascii="Book Antiqua" w:hAnsi="Book Antiqua" w:cs="Times New Roman"/>
          <w:sz w:val="24"/>
          <w:szCs w:val="24"/>
        </w:rPr>
        <w:t xml:space="preserve"> defendant is consequently evaluated by a forensic psychiatrist after 45 d (the length of the initial court order), and each 30 d thereafter. Reports are written by the same examiner to support reliability</w:t>
      </w:r>
      <w:r w:rsidRPr="004E35E5">
        <w:rPr>
          <w:rFonts w:ascii="Book Antiqua" w:hAnsi="Book Antiqua" w:cs="Times New Roman"/>
          <w:sz w:val="24"/>
          <w:szCs w:val="24"/>
        </w:rPr>
        <w:t>,</w:t>
      </w:r>
      <w:r w:rsidR="008B1C65" w:rsidRPr="004E35E5">
        <w:rPr>
          <w:rFonts w:ascii="Book Antiqua" w:hAnsi="Book Antiqua" w:cs="Times New Roman"/>
          <w:sz w:val="24"/>
          <w:szCs w:val="24"/>
        </w:rPr>
        <w:t xml:space="preserve"> and describe whether or not the defendant is competent to stand trial along with recommendations for continued restoration if needed.</w:t>
      </w:r>
    </w:p>
    <w:p w14:paraId="06787DE3" w14:textId="77777777" w:rsidR="00CD34E2" w:rsidRPr="004E35E5" w:rsidRDefault="00CD34E2" w:rsidP="004E35E5">
      <w:pPr>
        <w:spacing w:after="0" w:line="360" w:lineRule="auto"/>
        <w:jc w:val="both"/>
        <w:rPr>
          <w:rFonts w:ascii="Book Antiqua" w:hAnsi="Book Antiqua" w:cs="Times New Roman"/>
          <w:b/>
          <w:bCs/>
          <w:sz w:val="24"/>
          <w:szCs w:val="24"/>
          <w:lang w:eastAsia="zh-CN"/>
        </w:rPr>
      </w:pPr>
    </w:p>
    <w:p w14:paraId="1B6A23D3" w14:textId="77777777" w:rsidR="00E44634" w:rsidRPr="00E44634" w:rsidRDefault="00E44634" w:rsidP="004E35E5">
      <w:pPr>
        <w:spacing w:after="0" w:line="360" w:lineRule="auto"/>
        <w:jc w:val="both"/>
        <w:rPr>
          <w:rFonts w:ascii="Book Antiqua" w:hAnsi="Book Antiqua" w:cs="Times New Roman"/>
          <w:sz w:val="24"/>
          <w:szCs w:val="24"/>
          <w:lang w:eastAsia="zh-CN"/>
        </w:rPr>
      </w:pPr>
      <w:r w:rsidRPr="00E44634">
        <w:rPr>
          <w:rFonts w:ascii="Book Antiqua" w:hAnsi="Book Antiqua" w:cs="Times New Roman"/>
          <w:b/>
          <w:i/>
          <w:sz w:val="24"/>
          <w:szCs w:val="24"/>
        </w:rPr>
        <w:t>Statistical analysis</w:t>
      </w:r>
      <w:r w:rsidRPr="00E44634">
        <w:rPr>
          <w:rFonts w:ascii="Book Antiqua" w:hAnsi="Book Antiqua" w:cs="Times New Roman"/>
          <w:sz w:val="24"/>
          <w:szCs w:val="24"/>
        </w:rPr>
        <w:t xml:space="preserve"> </w:t>
      </w:r>
    </w:p>
    <w:p w14:paraId="5A55F348" w14:textId="51ED0947" w:rsidR="008A2B90" w:rsidRPr="00E44634" w:rsidRDefault="008A2B90" w:rsidP="004E35E5">
      <w:pPr>
        <w:spacing w:after="0" w:line="360" w:lineRule="auto"/>
        <w:jc w:val="both"/>
        <w:rPr>
          <w:rFonts w:ascii="Book Antiqua" w:hAnsi="Book Antiqua" w:cs="Times New Roman"/>
          <w:sz w:val="24"/>
          <w:szCs w:val="24"/>
        </w:rPr>
      </w:pPr>
      <w:r w:rsidRPr="00E44634">
        <w:rPr>
          <w:rFonts w:ascii="Book Antiqua" w:hAnsi="Book Antiqua" w:cs="Times New Roman"/>
          <w:sz w:val="24"/>
          <w:szCs w:val="24"/>
        </w:rPr>
        <w:t>Statistical analysis was overseen and conducted by biomedical statistician Robert W. Wesley, PhD.</w:t>
      </w:r>
    </w:p>
    <w:p w14:paraId="09F4F67E" w14:textId="77777777" w:rsidR="008A2B90" w:rsidRDefault="008A2B90" w:rsidP="004E35E5">
      <w:pPr>
        <w:spacing w:after="0" w:line="360" w:lineRule="auto"/>
        <w:jc w:val="both"/>
        <w:rPr>
          <w:rFonts w:ascii="Book Antiqua" w:hAnsi="Book Antiqua" w:cs="Times New Roman"/>
          <w:b/>
          <w:bCs/>
          <w:sz w:val="24"/>
          <w:szCs w:val="24"/>
          <w:lang w:eastAsia="zh-CN"/>
        </w:rPr>
      </w:pPr>
    </w:p>
    <w:p w14:paraId="37BBD1A7" w14:textId="500705A5" w:rsidR="00E44634" w:rsidRPr="004E35E5" w:rsidRDefault="00E44634" w:rsidP="004E35E5">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t>RESULTS</w:t>
      </w:r>
    </w:p>
    <w:p w14:paraId="55757F4D" w14:textId="77777777" w:rsidR="008B1C65" w:rsidRPr="00E44634" w:rsidRDefault="008B1C65" w:rsidP="004E35E5">
      <w:pPr>
        <w:spacing w:after="0" w:line="360" w:lineRule="auto"/>
        <w:jc w:val="both"/>
        <w:rPr>
          <w:rFonts w:ascii="Book Antiqua" w:hAnsi="Book Antiqua" w:cs="Times New Roman"/>
          <w:b/>
          <w:bCs/>
          <w:i/>
          <w:sz w:val="24"/>
          <w:szCs w:val="24"/>
        </w:rPr>
      </w:pPr>
      <w:r w:rsidRPr="00E44634">
        <w:rPr>
          <w:rFonts w:ascii="Book Antiqua" w:hAnsi="Book Antiqua" w:cs="Times New Roman"/>
          <w:b/>
          <w:bCs/>
          <w:i/>
          <w:sz w:val="24"/>
          <w:szCs w:val="24"/>
        </w:rPr>
        <w:t>Outcomes for the DC OCRP</w:t>
      </w:r>
    </w:p>
    <w:p w14:paraId="17A198F2" w14:textId="5D26821F" w:rsidR="008B1C65" w:rsidRPr="004E35E5" w:rsidRDefault="008B1C65" w:rsidP="004E35E5">
      <w:pPr>
        <w:spacing w:after="0" w:line="360" w:lineRule="auto"/>
        <w:jc w:val="both"/>
        <w:rPr>
          <w:rFonts w:ascii="Book Antiqua" w:hAnsi="Book Antiqua" w:cs="Times New Roman"/>
          <w:sz w:val="24"/>
          <w:szCs w:val="24"/>
        </w:rPr>
      </w:pPr>
      <w:r w:rsidRPr="004E35E5">
        <w:rPr>
          <w:rFonts w:ascii="Book Antiqua" w:hAnsi="Book Antiqua" w:cs="Times New Roman"/>
          <w:sz w:val="24"/>
          <w:szCs w:val="24"/>
        </w:rPr>
        <w:t>The cost to run the DC OCRP is $2006/week in 2014 U</w:t>
      </w:r>
      <w:r w:rsidR="00E44634">
        <w:rPr>
          <w:rFonts w:ascii="Book Antiqua" w:hAnsi="Book Antiqua" w:cs="Times New Roman"/>
          <w:sz w:val="24"/>
          <w:szCs w:val="24"/>
        </w:rPr>
        <w:t>S</w:t>
      </w:r>
      <w:r w:rsidRPr="004E35E5">
        <w:rPr>
          <w:rFonts w:ascii="Book Antiqua" w:hAnsi="Book Antiqua" w:cs="Times New Roman"/>
          <w:sz w:val="24"/>
          <w:szCs w:val="24"/>
        </w:rPr>
        <w:t xml:space="preserve"> dollars, compared to the cost of inpati</w:t>
      </w:r>
      <w:r w:rsidR="00052FF7" w:rsidRPr="004E35E5">
        <w:rPr>
          <w:rFonts w:ascii="Book Antiqua" w:hAnsi="Book Antiqua" w:cs="Times New Roman"/>
          <w:sz w:val="24"/>
          <w:szCs w:val="24"/>
        </w:rPr>
        <w:t xml:space="preserve">ent restoration at $6307/week. </w:t>
      </w:r>
      <w:r w:rsidRPr="004E35E5">
        <w:rPr>
          <w:rFonts w:ascii="Book Antiqua" w:hAnsi="Book Antiqua" w:cs="Times New Roman"/>
          <w:sz w:val="24"/>
          <w:szCs w:val="24"/>
        </w:rPr>
        <w:t>Although the majority of costs are for personnel, considerable savings accrue from using licensed, clinical mental health professionals rather than medical doctors or psychologists to facilitate the group sessions. Physicians and psychologists are reserved for the comp</w:t>
      </w:r>
      <w:r w:rsidR="00052FF7" w:rsidRPr="004E35E5">
        <w:rPr>
          <w:rFonts w:ascii="Book Antiqua" w:hAnsi="Book Antiqua" w:cs="Times New Roman"/>
          <w:sz w:val="24"/>
          <w:szCs w:val="24"/>
        </w:rPr>
        <w:t xml:space="preserve">etency evaluations themselves. </w:t>
      </w:r>
      <w:r w:rsidRPr="004E35E5">
        <w:rPr>
          <w:rFonts w:ascii="Book Antiqua" w:hAnsi="Book Antiqua" w:cs="Times New Roman"/>
          <w:sz w:val="24"/>
          <w:szCs w:val="24"/>
        </w:rPr>
        <w:t>Moreover, basing the program on a group treatment model creates an economy of scale that allows staff access to more individuals at one time.</w:t>
      </w:r>
      <w:r w:rsidR="002D3910" w:rsidRPr="004E35E5">
        <w:rPr>
          <w:rFonts w:ascii="Book Antiqua" w:hAnsi="Book Antiqua" w:cs="Times New Roman"/>
          <w:sz w:val="24"/>
          <w:szCs w:val="24"/>
        </w:rPr>
        <w:t xml:space="preserve"> The subsequent analysis has been exempted from review by the DC Department of Behavioral Health institutional review board.</w:t>
      </w:r>
    </w:p>
    <w:p w14:paraId="2D754BF0" w14:textId="42773B48" w:rsidR="008B1C65" w:rsidRPr="004E35E5" w:rsidRDefault="008B1C65"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In the past four years, the DC OCRP has</w:t>
      </w:r>
      <w:r w:rsidR="00EB5A2B" w:rsidRPr="004E35E5">
        <w:rPr>
          <w:rFonts w:ascii="Book Antiqua" w:hAnsi="Book Antiqua" w:cs="Times New Roman"/>
          <w:sz w:val="24"/>
          <w:szCs w:val="24"/>
        </w:rPr>
        <w:t xml:space="preserve"> been successful in restoring 55</w:t>
      </w:r>
      <w:r w:rsidRPr="004E35E5">
        <w:rPr>
          <w:rFonts w:ascii="Book Antiqua" w:hAnsi="Book Antiqua" w:cs="Times New Roman"/>
          <w:sz w:val="24"/>
          <w:szCs w:val="24"/>
        </w:rPr>
        <w:t xml:space="preserve"> of 170 participants (32%), with an average referral rate of 35 persons per </w:t>
      </w:r>
      <w:proofErr w:type="gramStart"/>
      <w:r w:rsidRPr="004E35E5">
        <w:rPr>
          <w:rFonts w:ascii="Book Antiqua" w:hAnsi="Book Antiqua" w:cs="Times New Roman"/>
          <w:sz w:val="24"/>
          <w:szCs w:val="24"/>
        </w:rPr>
        <w:t>year</w:t>
      </w:r>
      <w:r w:rsidR="00E44634" w:rsidRPr="00E44634">
        <w:rPr>
          <w:rFonts w:ascii="Book Antiqua" w:hAnsi="Book Antiqua" w:cs="Times New Roman"/>
          <w:sz w:val="24"/>
          <w:szCs w:val="24"/>
          <w:vertAlign w:val="superscript"/>
        </w:rPr>
        <w:t>[</w:t>
      </w:r>
      <w:proofErr w:type="gramEnd"/>
      <w:r w:rsidR="00E44634" w:rsidRPr="00E44634">
        <w:rPr>
          <w:rFonts w:ascii="Book Antiqua" w:hAnsi="Book Antiqua" w:cs="Times New Roman"/>
          <w:sz w:val="24"/>
          <w:szCs w:val="24"/>
          <w:vertAlign w:val="superscript"/>
        </w:rPr>
        <w:t>8]</w:t>
      </w:r>
      <w:r w:rsidR="009E38CD" w:rsidRPr="004E35E5">
        <w:rPr>
          <w:rFonts w:ascii="Book Antiqua" w:hAnsi="Book Antiqua" w:cs="Times New Roman"/>
          <w:sz w:val="24"/>
          <w:szCs w:val="24"/>
        </w:rPr>
        <w:t>.</w:t>
      </w:r>
      <w:r w:rsidR="00413A73" w:rsidRPr="004E35E5">
        <w:rPr>
          <w:rFonts w:ascii="Book Antiqua" w:hAnsi="Book Antiqua" w:cs="Times New Roman"/>
          <w:sz w:val="24"/>
          <w:szCs w:val="24"/>
        </w:rPr>
        <w:t xml:space="preserve"> </w:t>
      </w:r>
      <w:r w:rsidRPr="004E35E5">
        <w:rPr>
          <w:rFonts w:ascii="Book Antiqua" w:hAnsi="Book Antiqua" w:cs="Times New Roman"/>
          <w:sz w:val="24"/>
          <w:szCs w:val="24"/>
        </w:rPr>
        <w:t xml:space="preserve">Demographics of this group are presented in </w:t>
      </w:r>
      <w:r w:rsidR="00E44634">
        <w:rPr>
          <w:rFonts w:ascii="Book Antiqua" w:hAnsi="Book Antiqua" w:cs="Times New Roman" w:hint="eastAsia"/>
          <w:sz w:val="24"/>
          <w:szCs w:val="24"/>
          <w:lang w:eastAsia="zh-CN"/>
        </w:rPr>
        <w:t>Figures</w:t>
      </w:r>
      <w:r w:rsidRPr="004E35E5">
        <w:rPr>
          <w:rFonts w:ascii="Book Antiqua" w:hAnsi="Book Antiqua" w:cs="Times New Roman"/>
          <w:sz w:val="24"/>
          <w:szCs w:val="24"/>
        </w:rPr>
        <w:t xml:space="preserve"> 1</w:t>
      </w:r>
      <w:r w:rsidR="00474A20" w:rsidRPr="004E35E5">
        <w:rPr>
          <w:rFonts w:ascii="Book Antiqua" w:hAnsi="Book Antiqua" w:cs="Times New Roman"/>
          <w:sz w:val="24"/>
          <w:szCs w:val="24"/>
        </w:rPr>
        <w:t xml:space="preserve"> </w:t>
      </w:r>
      <w:r w:rsidR="00E44634">
        <w:rPr>
          <w:rFonts w:ascii="Book Antiqua" w:hAnsi="Book Antiqua" w:cs="Times New Roman" w:hint="eastAsia"/>
          <w:sz w:val="24"/>
          <w:szCs w:val="24"/>
          <w:lang w:eastAsia="zh-CN"/>
        </w:rPr>
        <w:t>and</w:t>
      </w:r>
      <w:r w:rsidR="00474A20" w:rsidRPr="004E35E5">
        <w:rPr>
          <w:rFonts w:ascii="Book Antiqua" w:hAnsi="Book Antiqua" w:cs="Times New Roman"/>
          <w:sz w:val="24"/>
          <w:szCs w:val="24"/>
        </w:rPr>
        <w:t xml:space="preserve"> 2</w:t>
      </w:r>
      <w:r w:rsidRPr="004E35E5">
        <w:rPr>
          <w:rFonts w:ascii="Book Antiqua" w:hAnsi="Book Antiqua" w:cs="Times New Roman"/>
          <w:sz w:val="24"/>
          <w:szCs w:val="24"/>
        </w:rPr>
        <w:t>, and indicate a predominance of African-American men.</w:t>
      </w:r>
    </w:p>
    <w:p w14:paraId="07EF0FBB" w14:textId="34930B87" w:rsidR="008B1C65" w:rsidRPr="004E35E5" w:rsidRDefault="008B1C65"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With a mean age of 42, partic</w:t>
      </w:r>
      <w:r w:rsidR="00052FF7" w:rsidRPr="004E35E5">
        <w:rPr>
          <w:rFonts w:ascii="Book Antiqua" w:hAnsi="Book Antiqua" w:cs="Times New Roman"/>
          <w:sz w:val="24"/>
          <w:szCs w:val="24"/>
        </w:rPr>
        <w:t>ipants were largely in the 37-58</w:t>
      </w:r>
      <w:r w:rsidRPr="004E35E5">
        <w:rPr>
          <w:rFonts w:ascii="Book Antiqua" w:hAnsi="Book Antiqua" w:cs="Times New Roman"/>
          <w:sz w:val="24"/>
          <w:szCs w:val="24"/>
        </w:rPr>
        <w:t xml:space="preserve"> year age range, and faced misdemeanor charges 78% of the time. </w:t>
      </w:r>
    </w:p>
    <w:p w14:paraId="72F1B191" w14:textId="4C615E95" w:rsidR="00CA5A57" w:rsidRPr="004E35E5" w:rsidRDefault="00CA5B1D"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Because they were frequently returned to the program by court order for continued competency restoration, t</w:t>
      </w:r>
      <w:r w:rsidR="008B1C65" w:rsidRPr="004E35E5">
        <w:rPr>
          <w:rFonts w:ascii="Book Antiqua" w:hAnsi="Book Antiqua" w:cs="Times New Roman"/>
          <w:sz w:val="24"/>
          <w:szCs w:val="24"/>
        </w:rPr>
        <w:t>he 170 participants generat</w:t>
      </w:r>
      <w:r w:rsidR="00CA5A57" w:rsidRPr="004E35E5">
        <w:rPr>
          <w:rFonts w:ascii="Book Antiqua" w:hAnsi="Book Antiqua" w:cs="Times New Roman"/>
          <w:sz w:val="24"/>
          <w:szCs w:val="24"/>
        </w:rPr>
        <w:t>ed 274 court orders</w:t>
      </w:r>
      <w:r w:rsidR="00C85E11" w:rsidRPr="004E35E5">
        <w:rPr>
          <w:rFonts w:ascii="Book Antiqua" w:hAnsi="Book Antiqua" w:cs="Times New Roman"/>
          <w:sz w:val="24"/>
          <w:szCs w:val="24"/>
        </w:rPr>
        <w:t>.</w:t>
      </w:r>
      <w:r w:rsidR="008B1C65" w:rsidRPr="004E35E5">
        <w:rPr>
          <w:rFonts w:ascii="Book Antiqua" w:hAnsi="Book Antiqua" w:cs="Times New Roman"/>
          <w:sz w:val="24"/>
          <w:szCs w:val="24"/>
        </w:rPr>
        <w:t xml:space="preserve"> </w:t>
      </w:r>
      <w:r w:rsidR="00CA5A57" w:rsidRPr="004E35E5">
        <w:rPr>
          <w:rFonts w:ascii="Book Antiqua" w:hAnsi="Book Antiqua" w:cs="Times New Roman"/>
          <w:sz w:val="24"/>
          <w:szCs w:val="24"/>
        </w:rPr>
        <w:t>During 2009-2013, 70 of 170 total participants were ordered to return to OCRP after 45 d.</w:t>
      </w:r>
      <w:r w:rsidR="004E35E5">
        <w:rPr>
          <w:rFonts w:ascii="Book Antiqua" w:hAnsi="Book Antiqua" w:cs="Times New Roman"/>
          <w:sz w:val="24"/>
          <w:szCs w:val="24"/>
        </w:rPr>
        <w:t xml:space="preserve"> </w:t>
      </w:r>
      <w:proofErr w:type="gramStart"/>
      <w:r w:rsidR="00CA5A57" w:rsidRPr="004E35E5">
        <w:rPr>
          <w:rFonts w:ascii="Book Antiqua" w:hAnsi="Book Antiqua" w:cs="Times New Roman"/>
          <w:sz w:val="24"/>
          <w:szCs w:val="24"/>
        </w:rPr>
        <w:t>This number dropped precipitously to 24 after 75 d in OCRP, and again thereafter as the rules of the program took hold</w:t>
      </w:r>
      <w:proofErr w:type="gramEnd"/>
      <w:r w:rsidR="00CA5A57" w:rsidRPr="004E35E5">
        <w:rPr>
          <w:rFonts w:ascii="Book Antiqua" w:hAnsi="Book Antiqua" w:cs="Times New Roman"/>
          <w:sz w:val="24"/>
          <w:szCs w:val="24"/>
        </w:rPr>
        <w:t>. After 45 d of participating in bi-weekly OCRP, 28 participants were ordered to receive restoration and trea</w:t>
      </w:r>
      <w:r w:rsidR="007F087F" w:rsidRPr="004E35E5">
        <w:rPr>
          <w:rFonts w:ascii="Book Antiqua" w:hAnsi="Book Antiqua" w:cs="Times New Roman"/>
          <w:sz w:val="24"/>
          <w:szCs w:val="24"/>
        </w:rPr>
        <w:t>tment on an inpatient basis (50 within 135 d).</w:t>
      </w:r>
      <w:r w:rsidR="004E35E5">
        <w:rPr>
          <w:rFonts w:ascii="Book Antiqua" w:hAnsi="Book Antiqua" w:cs="Times New Roman"/>
          <w:sz w:val="24"/>
          <w:szCs w:val="24"/>
        </w:rPr>
        <w:t xml:space="preserve"> </w:t>
      </w:r>
      <w:r w:rsidR="00D21ACA" w:rsidRPr="004E35E5">
        <w:rPr>
          <w:rFonts w:ascii="Book Antiqua" w:hAnsi="Book Antiqua" w:cs="Times New Roman"/>
          <w:sz w:val="24"/>
          <w:szCs w:val="24"/>
        </w:rPr>
        <w:t>Three</w:t>
      </w:r>
      <w:r w:rsidR="007F087F" w:rsidRPr="004E35E5">
        <w:rPr>
          <w:rFonts w:ascii="Book Antiqua" w:hAnsi="Book Antiqua" w:cs="Times New Roman"/>
          <w:sz w:val="24"/>
          <w:szCs w:val="24"/>
        </w:rPr>
        <w:t xml:space="preserve"> participants were</w:t>
      </w:r>
      <w:r w:rsidR="00CA5A57" w:rsidRPr="004E35E5">
        <w:rPr>
          <w:rFonts w:ascii="Book Antiqua" w:hAnsi="Book Antiqua" w:cs="Times New Roman"/>
          <w:sz w:val="24"/>
          <w:szCs w:val="24"/>
        </w:rPr>
        <w:t xml:space="preserve"> ordered to inpatient restoration and treatment after being in OCRP for 135 d.</w:t>
      </w:r>
      <w:r w:rsidR="005F7F66">
        <w:rPr>
          <w:rFonts w:ascii="Book Antiqua" w:hAnsi="Book Antiqua" w:cs="Times New Roman"/>
          <w:sz w:val="24"/>
          <w:szCs w:val="24"/>
        </w:rPr>
        <w:t xml:space="preserve"> </w:t>
      </w:r>
    </w:p>
    <w:p w14:paraId="586CD220" w14:textId="316D788C" w:rsidR="00E44634" w:rsidRPr="004E35E5" w:rsidRDefault="00E44634" w:rsidP="00E44634">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Forty-two</w:t>
      </w:r>
      <w:r w:rsidR="000C13D4" w:rsidRPr="004E35E5">
        <w:rPr>
          <w:rFonts w:ascii="Book Antiqua" w:hAnsi="Book Antiqua" w:cs="Times New Roman"/>
          <w:sz w:val="24"/>
          <w:szCs w:val="24"/>
        </w:rPr>
        <w:t xml:space="preserve"> of the 55</w:t>
      </w:r>
      <w:r w:rsidR="008B1C65" w:rsidRPr="004E35E5">
        <w:rPr>
          <w:rFonts w:ascii="Book Antiqua" w:hAnsi="Book Antiqua" w:cs="Times New Roman"/>
          <w:sz w:val="24"/>
          <w:szCs w:val="24"/>
        </w:rPr>
        <w:t xml:space="preserve"> participants </w:t>
      </w:r>
      <w:r w:rsidR="00177E14" w:rsidRPr="004E35E5">
        <w:rPr>
          <w:rFonts w:ascii="Book Antiqua" w:hAnsi="Book Antiqua" w:cs="Times New Roman"/>
          <w:sz w:val="24"/>
          <w:szCs w:val="24"/>
        </w:rPr>
        <w:t xml:space="preserve">successfully restored </w:t>
      </w:r>
      <w:r w:rsidR="008B1C65" w:rsidRPr="004E35E5">
        <w:rPr>
          <w:rFonts w:ascii="Book Antiqua" w:hAnsi="Book Antiqua" w:cs="Times New Roman"/>
          <w:sz w:val="24"/>
          <w:szCs w:val="24"/>
        </w:rPr>
        <w:t>were found competent</w:t>
      </w:r>
      <w:r w:rsidR="00D50E2B" w:rsidRPr="004E35E5">
        <w:rPr>
          <w:rFonts w:ascii="Book Antiqua" w:hAnsi="Book Antiqua" w:cs="Times New Roman"/>
          <w:sz w:val="24"/>
          <w:szCs w:val="24"/>
        </w:rPr>
        <w:t xml:space="preserve"> after the first 45 d of participation</w:t>
      </w:r>
      <w:r w:rsidR="008B1C65" w:rsidRPr="004E35E5">
        <w:rPr>
          <w:rFonts w:ascii="Book Antiqua" w:hAnsi="Book Antiqua" w:cs="Times New Roman"/>
          <w:sz w:val="24"/>
          <w:szCs w:val="24"/>
        </w:rPr>
        <w:t>.</w:t>
      </w:r>
      <w:r w:rsidR="004E35E5">
        <w:rPr>
          <w:rFonts w:ascii="Book Antiqua" w:hAnsi="Book Antiqua" w:cs="Times New Roman"/>
          <w:sz w:val="24"/>
          <w:szCs w:val="24"/>
        </w:rPr>
        <w:t xml:space="preserve"> </w:t>
      </w:r>
      <w:r w:rsidR="008B1C65" w:rsidRPr="004E35E5">
        <w:rPr>
          <w:rFonts w:ascii="Book Antiqua" w:hAnsi="Book Antiqua" w:cs="Times New Roman"/>
          <w:sz w:val="24"/>
          <w:szCs w:val="24"/>
        </w:rPr>
        <w:t xml:space="preserve">After 75 </w:t>
      </w:r>
      <w:r w:rsidR="00CF2899" w:rsidRPr="004E35E5">
        <w:rPr>
          <w:rFonts w:ascii="Book Antiqua" w:hAnsi="Book Antiqua" w:cs="Times New Roman"/>
          <w:sz w:val="24"/>
          <w:szCs w:val="24"/>
        </w:rPr>
        <w:t>d of participating in OCRP, six</w:t>
      </w:r>
      <w:r w:rsidR="008B1C65" w:rsidRPr="004E35E5">
        <w:rPr>
          <w:rFonts w:ascii="Book Antiqua" w:hAnsi="Book Antiqua" w:cs="Times New Roman"/>
          <w:sz w:val="24"/>
          <w:szCs w:val="24"/>
        </w:rPr>
        <w:t xml:space="preserve"> more attain</w:t>
      </w:r>
      <w:r w:rsidR="00CF2899" w:rsidRPr="004E35E5">
        <w:rPr>
          <w:rFonts w:ascii="Book Antiqua" w:hAnsi="Book Antiqua" w:cs="Times New Roman"/>
          <w:sz w:val="24"/>
          <w:szCs w:val="24"/>
        </w:rPr>
        <w:t>ed competence. After 105 d, four</w:t>
      </w:r>
      <w:r w:rsidR="008B1C65" w:rsidRPr="004E35E5">
        <w:rPr>
          <w:rFonts w:ascii="Book Antiqua" w:hAnsi="Book Antiqua" w:cs="Times New Roman"/>
          <w:sz w:val="24"/>
          <w:szCs w:val="24"/>
        </w:rPr>
        <w:t xml:space="preserve"> more were </w:t>
      </w:r>
      <w:r w:rsidR="000C13D4" w:rsidRPr="004E35E5">
        <w:rPr>
          <w:rFonts w:ascii="Book Antiqua" w:hAnsi="Book Antiqua" w:cs="Times New Roman"/>
          <w:sz w:val="24"/>
          <w:szCs w:val="24"/>
        </w:rPr>
        <w:t>restored, and by 135 d all 55</w:t>
      </w:r>
      <w:r w:rsidR="008B1C65" w:rsidRPr="004E35E5">
        <w:rPr>
          <w:rFonts w:ascii="Book Antiqua" w:hAnsi="Book Antiqua" w:cs="Times New Roman"/>
          <w:sz w:val="24"/>
          <w:szCs w:val="24"/>
        </w:rPr>
        <w:t xml:space="preserve"> participants were deemed competent to stand trial</w:t>
      </w:r>
      <w:r w:rsidR="00CA5B1D" w:rsidRPr="004E35E5">
        <w:rPr>
          <w:rFonts w:ascii="Book Antiqua" w:hAnsi="Book Antiqua" w:cs="Times New Roman"/>
          <w:sz w:val="24"/>
          <w:szCs w:val="24"/>
        </w:rPr>
        <w:t xml:space="preserve"> (Figure </w:t>
      </w:r>
      <w:r w:rsidR="00DF1B4E">
        <w:rPr>
          <w:rFonts w:ascii="Book Antiqua" w:hAnsi="Book Antiqua" w:cs="Times New Roman" w:hint="eastAsia"/>
          <w:sz w:val="24"/>
          <w:szCs w:val="24"/>
          <w:lang w:eastAsia="zh-CN"/>
        </w:rPr>
        <w:t>3</w:t>
      </w:r>
      <w:r w:rsidR="00CA5B1D" w:rsidRPr="004E35E5">
        <w:rPr>
          <w:rFonts w:ascii="Book Antiqua" w:hAnsi="Book Antiqua" w:cs="Times New Roman"/>
          <w:sz w:val="24"/>
          <w:szCs w:val="24"/>
        </w:rPr>
        <w:t>).</w:t>
      </w:r>
      <w:r w:rsidR="008B1C65" w:rsidRPr="004E35E5">
        <w:rPr>
          <w:rFonts w:ascii="Book Antiqua" w:hAnsi="Book Antiqua" w:cs="Times New Roman"/>
          <w:sz w:val="24"/>
          <w:szCs w:val="24"/>
        </w:rPr>
        <w:t xml:space="preserve"> </w:t>
      </w:r>
    </w:p>
    <w:p w14:paraId="6E7CA5CE" w14:textId="2056F0FD" w:rsidR="008B1C65" w:rsidRPr="004E35E5" w:rsidRDefault="00E44634"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lastRenderedPageBreak/>
        <w:t>Poisson regression modeling of the number attaining competence during</w:t>
      </w:r>
      <w:r>
        <w:rPr>
          <w:rFonts w:ascii="Book Antiqua" w:hAnsi="Book Antiqua" w:cs="Times New Roman" w:hint="eastAsia"/>
          <w:sz w:val="24"/>
          <w:szCs w:val="24"/>
          <w:lang w:eastAsia="zh-CN"/>
        </w:rPr>
        <w:t xml:space="preserve"> </w:t>
      </w:r>
      <w:r w:rsidR="00177E14" w:rsidRPr="004E35E5">
        <w:rPr>
          <w:rFonts w:ascii="Book Antiqua" w:hAnsi="Book Antiqua" w:cs="Times New Roman"/>
          <w:sz w:val="24"/>
          <w:szCs w:val="24"/>
        </w:rPr>
        <w:t xml:space="preserve">these </w:t>
      </w:r>
      <w:r w:rsidR="00CF2899" w:rsidRPr="004E35E5">
        <w:rPr>
          <w:rFonts w:ascii="Book Antiqua" w:hAnsi="Book Antiqua" w:cs="Times New Roman"/>
          <w:sz w:val="24"/>
          <w:szCs w:val="24"/>
        </w:rPr>
        <w:t>four</w:t>
      </w:r>
      <w:r w:rsidR="00177E14" w:rsidRPr="004E35E5">
        <w:rPr>
          <w:rFonts w:ascii="Book Antiqua" w:hAnsi="Book Antiqua" w:cs="Times New Roman"/>
          <w:sz w:val="24"/>
          <w:szCs w:val="24"/>
        </w:rPr>
        <w:t xml:space="preserve"> time periods, showed a substantial difference among the time periods for the rate of attain</w:t>
      </w:r>
      <w:r w:rsidR="00CA5B1D" w:rsidRPr="004E35E5">
        <w:rPr>
          <w:rFonts w:ascii="Book Antiqua" w:hAnsi="Book Antiqua" w:cs="Times New Roman"/>
          <w:sz w:val="24"/>
          <w:szCs w:val="24"/>
        </w:rPr>
        <w:t>ing competence (</w:t>
      </w:r>
      <w:r w:rsidR="00CA5B1D" w:rsidRPr="00E44634">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CA5B1D" w:rsidRPr="004E35E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B24BF4" w:rsidRPr="004E35E5">
        <w:rPr>
          <w:rFonts w:ascii="Book Antiqua" w:hAnsi="Book Antiqua" w:cs="Times New Roman"/>
          <w:sz w:val="24"/>
          <w:szCs w:val="24"/>
        </w:rPr>
        <w:t>0.0011</w:t>
      </w:r>
      <w:r w:rsidR="00CA5B1D" w:rsidRPr="004E35E5">
        <w:rPr>
          <w:rFonts w:ascii="Book Antiqua" w:hAnsi="Book Antiqua" w:cs="Times New Roman"/>
          <w:sz w:val="24"/>
          <w:szCs w:val="24"/>
        </w:rPr>
        <w:t>). The three</w:t>
      </w:r>
      <w:r w:rsidR="00177E14" w:rsidRPr="004E35E5">
        <w:rPr>
          <w:rFonts w:ascii="Book Antiqua" w:hAnsi="Book Antiqua" w:cs="Times New Roman"/>
          <w:sz w:val="24"/>
          <w:szCs w:val="24"/>
        </w:rPr>
        <w:t xml:space="preserve"> time periods </w:t>
      </w:r>
      <w:r w:rsidR="00CF2899" w:rsidRPr="004E35E5">
        <w:rPr>
          <w:rFonts w:ascii="Book Antiqua" w:hAnsi="Book Antiqua" w:cs="Times New Roman"/>
          <w:sz w:val="24"/>
          <w:szCs w:val="24"/>
        </w:rPr>
        <w:t>after 45 d</w:t>
      </w:r>
      <w:r w:rsidR="00177E14" w:rsidRPr="004E35E5">
        <w:rPr>
          <w:rFonts w:ascii="Book Antiqua" w:hAnsi="Book Antiqua" w:cs="Times New Roman"/>
          <w:sz w:val="24"/>
          <w:szCs w:val="24"/>
        </w:rPr>
        <w:t xml:space="preserve"> each showed a significant decrease in the </w:t>
      </w:r>
      <w:r w:rsidR="00CF2899" w:rsidRPr="004E35E5">
        <w:rPr>
          <w:rFonts w:ascii="Book Antiqua" w:hAnsi="Book Antiqua" w:cs="Times New Roman"/>
          <w:sz w:val="24"/>
          <w:szCs w:val="24"/>
        </w:rPr>
        <w:t xml:space="preserve">restoration </w:t>
      </w:r>
      <w:r w:rsidR="00177E14" w:rsidRPr="004E35E5">
        <w:rPr>
          <w:rFonts w:ascii="Book Antiqua" w:hAnsi="Book Antiqua" w:cs="Times New Roman"/>
          <w:sz w:val="24"/>
          <w:szCs w:val="24"/>
        </w:rPr>
        <w:t xml:space="preserve">rate when compared to the initial 0 to 45 d period – their relative rates were </w:t>
      </w:r>
      <w:r w:rsidR="00EE5C0F" w:rsidRPr="004E35E5">
        <w:rPr>
          <w:rFonts w:ascii="Book Antiqua" w:hAnsi="Book Antiqua" w:cs="Times New Roman"/>
          <w:sz w:val="24"/>
          <w:szCs w:val="24"/>
        </w:rPr>
        <w:t>only</w:t>
      </w:r>
      <w:r w:rsidR="00177E14" w:rsidRPr="004E35E5">
        <w:rPr>
          <w:rFonts w:ascii="Book Antiqua" w:hAnsi="Book Antiqua" w:cs="Times New Roman"/>
          <w:sz w:val="24"/>
          <w:szCs w:val="24"/>
        </w:rPr>
        <w:t xml:space="preserve"> </w:t>
      </w:r>
      <w:r w:rsidR="00B24BF4" w:rsidRPr="004E35E5">
        <w:rPr>
          <w:rFonts w:ascii="Book Antiqua" w:hAnsi="Book Antiqua" w:cs="Times New Roman"/>
          <w:sz w:val="24"/>
          <w:szCs w:val="24"/>
        </w:rPr>
        <w:t>22</w:t>
      </w:r>
      <w:r w:rsidR="00177E14" w:rsidRPr="004E35E5">
        <w:rPr>
          <w:rFonts w:ascii="Book Antiqua" w:hAnsi="Book Antiqua" w:cs="Times New Roman"/>
          <w:sz w:val="24"/>
          <w:szCs w:val="24"/>
        </w:rPr>
        <w:t xml:space="preserve">% to 33% as high as the rate for 0-45 d (all </w:t>
      </w:r>
      <w:r w:rsidR="00177E14" w:rsidRPr="00E44634">
        <w:rPr>
          <w:rFonts w:ascii="Book Antiqua" w:hAnsi="Book Antiqua" w:cs="Times New Roman"/>
          <w:i/>
          <w:sz w:val="24"/>
          <w:szCs w:val="24"/>
        </w:rPr>
        <w:t>P</w:t>
      </w:r>
      <w:r w:rsidR="00177E14" w:rsidRPr="004E35E5">
        <w:rPr>
          <w:rFonts w:ascii="Book Antiqua" w:hAnsi="Book Antiqua" w:cs="Times New Roman"/>
          <w:sz w:val="24"/>
          <w:szCs w:val="24"/>
        </w:rPr>
        <w:t>-values, compar</w:t>
      </w:r>
      <w:r w:rsidR="00CF2899" w:rsidRPr="004E35E5">
        <w:rPr>
          <w:rFonts w:ascii="Book Antiqua" w:hAnsi="Book Antiqua" w:cs="Times New Roman"/>
          <w:sz w:val="24"/>
          <w:szCs w:val="24"/>
        </w:rPr>
        <w:t>ed</w:t>
      </w:r>
      <w:r>
        <w:rPr>
          <w:rFonts w:ascii="Book Antiqua" w:hAnsi="Book Antiqua" w:cs="Times New Roman"/>
          <w:sz w:val="24"/>
          <w:szCs w:val="24"/>
        </w:rPr>
        <w:t xml:space="preserve"> to the 0-45 d</w:t>
      </w:r>
      <w:r w:rsidR="00177E14" w:rsidRPr="004E35E5">
        <w:rPr>
          <w:rFonts w:ascii="Book Antiqua" w:hAnsi="Book Antiqua" w:cs="Times New Roman"/>
          <w:sz w:val="24"/>
          <w:szCs w:val="24"/>
        </w:rPr>
        <w:t xml:space="preserve"> rate, were </w:t>
      </w:r>
      <w:r w:rsidR="00B24BF4" w:rsidRPr="004E35E5">
        <w:rPr>
          <w:rFonts w:ascii="Book Antiqua" w:hAnsi="Book Antiqua" w:cs="Times New Roman"/>
          <w:sz w:val="24"/>
          <w:szCs w:val="24"/>
        </w:rPr>
        <w:t>0.013</w:t>
      </w:r>
      <w:r w:rsidR="00177E14" w:rsidRPr="004E35E5">
        <w:rPr>
          <w:rFonts w:ascii="Book Antiqua" w:hAnsi="Book Antiqua" w:cs="Times New Roman"/>
          <w:sz w:val="24"/>
          <w:szCs w:val="24"/>
        </w:rPr>
        <w:t xml:space="preserve"> or smaller). However, the </w:t>
      </w:r>
      <w:r w:rsidR="00CF2899" w:rsidRPr="004E35E5">
        <w:rPr>
          <w:rFonts w:ascii="Book Antiqua" w:hAnsi="Book Antiqua" w:cs="Times New Roman"/>
          <w:sz w:val="24"/>
          <w:szCs w:val="24"/>
        </w:rPr>
        <w:t>three</w:t>
      </w:r>
      <w:r w:rsidR="00177E14" w:rsidRPr="004E35E5">
        <w:rPr>
          <w:rFonts w:ascii="Book Antiqua" w:hAnsi="Book Antiqua" w:cs="Times New Roman"/>
          <w:sz w:val="24"/>
          <w:szCs w:val="24"/>
        </w:rPr>
        <w:t xml:space="preserve"> periods from day 45 to day 135 showed no difference among themselves (</w:t>
      </w:r>
      <w:r w:rsidR="00177E14" w:rsidRPr="00E44634">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177E14" w:rsidRPr="004E35E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77E14" w:rsidRPr="004E35E5">
        <w:rPr>
          <w:rFonts w:ascii="Book Antiqua" w:hAnsi="Book Antiqua" w:cs="Times New Roman"/>
          <w:sz w:val="24"/>
          <w:szCs w:val="24"/>
        </w:rPr>
        <w:t>0.87)</w:t>
      </w:r>
      <w:r w:rsidR="00CF2899" w:rsidRPr="004E35E5">
        <w:rPr>
          <w:rFonts w:ascii="Book Antiqua" w:hAnsi="Book Antiqua" w:cs="Times New Roman"/>
          <w:sz w:val="24"/>
          <w:szCs w:val="24"/>
        </w:rPr>
        <w:t>.</w:t>
      </w:r>
    </w:p>
    <w:p w14:paraId="3EF1C300" w14:textId="2D8086FF" w:rsidR="008B1C65" w:rsidRPr="004E35E5" w:rsidRDefault="008B1C65" w:rsidP="00E44634">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 xml:space="preserve">Eleven participants had their charges dismissed after </w:t>
      </w:r>
      <w:r w:rsidR="00177E14" w:rsidRPr="004E35E5">
        <w:rPr>
          <w:rFonts w:ascii="Book Antiqua" w:hAnsi="Book Antiqua" w:cs="Times New Roman"/>
          <w:sz w:val="24"/>
          <w:szCs w:val="24"/>
        </w:rPr>
        <w:t xml:space="preserve">being </w:t>
      </w:r>
      <w:r w:rsidRPr="004E35E5">
        <w:rPr>
          <w:rFonts w:ascii="Book Antiqua" w:hAnsi="Book Antiqua" w:cs="Times New Roman"/>
          <w:sz w:val="24"/>
          <w:szCs w:val="24"/>
        </w:rPr>
        <w:t xml:space="preserve">in the program for 45 </w:t>
      </w:r>
      <w:r w:rsidR="00CA5B1D" w:rsidRPr="004E35E5">
        <w:rPr>
          <w:rFonts w:ascii="Book Antiqua" w:hAnsi="Book Antiqua" w:cs="Times New Roman"/>
          <w:sz w:val="24"/>
          <w:szCs w:val="24"/>
        </w:rPr>
        <w:t>d.</w:t>
      </w:r>
      <w:r w:rsidR="004E35E5">
        <w:rPr>
          <w:rFonts w:ascii="Book Antiqua" w:hAnsi="Book Antiqua" w:cs="Times New Roman"/>
          <w:sz w:val="24"/>
          <w:szCs w:val="24"/>
        </w:rPr>
        <w:t xml:space="preserve"> </w:t>
      </w:r>
      <w:r w:rsidR="00CA5B1D" w:rsidRPr="004E35E5">
        <w:rPr>
          <w:rFonts w:ascii="Book Antiqua" w:hAnsi="Book Antiqua" w:cs="Times New Roman"/>
          <w:sz w:val="24"/>
          <w:szCs w:val="24"/>
        </w:rPr>
        <w:t>This number dropped to ten</w:t>
      </w:r>
      <w:r w:rsidRPr="004E35E5">
        <w:rPr>
          <w:rFonts w:ascii="Book Antiqua" w:hAnsi="Book Antiqua" w:cs="Times New Roman"/>
          <w:sz w:val="24"/>
          <w:szCs w:val="24"/>
        </w:rPr>
        <w:t xml:space="preserve"> participants after 75 d an</w:t>
      </w:r>
      <w:r w:rsidR="00CA5B1D" w:rsidRPr="004E35E5">
        <w:rPr>
          <w:rFonts w:ascii="Book Antiqua" w:hAnsi="Book Antiqua" w:cs="Times New Roman"/>
          <w:sz w:val="24"/>
          <w:szCs w:val="24"/>
        </w:rPr>
        <w:t>d four</w:t>
      </w:r>
      <w:r w:rsidR="00CF2899" w:rsidRPr="004E35E5">
        <w:rPr>
          <w:rFonts w:ascii="Book Antiqua" w:hAnsi="Book Antiqua" w:cs="Times New Roman"/>
          <w:sz w:val="24"/>
          <w:szCs w:val="24"/>
        </w:rPr>
        <w:t xml:space="preserve"> participants after 105 d</w:t>
      </w:r>
      <w:r w:rsidRPr="004E35E5">
        <w:rPr>
          <w:rFonts w:ascii="Book Antiqua" w:hAnsi="Book Antiqua" w:cs="Times New Roman"/>
          <w:sz w:val="24"/>
          <w:szCs w:val="24"/>
        </w:rPr>
        <w:t xml:space="preserve"> of being ordered to the program.</w:t>
      </w:r>
      <w:r w:rsidR="004E35E5">
        <w:rPr>
          <w:rFonts w:ascii="Book Antiqua" w:hAnsi="Book Antiqua" w:cs="Times New Roman"/>
          <w:sz w:val="24"/>
          <w:szCs w:val="24"/>
        </w:rPr>
        <w:t xml:space="preserve"> </w:t>
      </w:r>
      <w:r w:rsidRPr="004E35E5">
        <w:rPr>
          <w:rFonts w:ascii="Book Antiqua" w:hAnsi="Book Antiqua" w:cs="Times New Roman"/>
          <w:sz w:val="24"/>
          <w:szCs w:val="24"/>
        </w:rPr>
        <w:t>A total of 28 participants</w:t>
      </w:r>
      <w:r w:rsidR="00D34E7C" w:rsidRPr="004E35E5">
        <w:rPr>
          <w:rFonts w:ascii="Book Antiqua" w:hAnsi="Book Antiqua" w:cs="Times New Roman"/>
          <w:sz w:val="24"/>
          <w:szCs w:val="24"/>
        </w:rPr>
        <w:t>, 21 facing misdemeanors,</w:t>
      </w:r>
      <w:r w:rsidRPr="004E35E5">
        <w:rPr>
          <w:rFonts w:ascii="Book Antiqua" w:hAnsi="Book Antiqua" w:cs="Times New Roman"/>
          <w:sz w:val="24"/>
          <w:szCs w:val="24"/>
        </w:rPr>
        <w:t xml:space="preserve"> had their charges dismissed by 135 d</w:t>
      </w:r>
      <w:r w:rsidR="00B61B29" w:rsidRPr="004E35E5">
        <w:rPr>
          <w:rFonts w:ascii="Book Antiqua" w:hAnsi="Book Antiqua" w:cs="Times New Roman"/>
          <w:sz w:val="24"/>
          <w:szCs w:val="24"/>
        </w:rPr>
        <w:t xml:space="preserve"> (only 9 more after 135 d)</w:t>
      </w:r>
      <w:r w:rsidRPr="004E35E5">
        <w:rPr>
          <w:rFonts w:ascii="Book Antiqua" w:hAnsi="Book Antiqua" w:cs="Times New Roman"/>
          <w:sz w:val="24"/>
          <w:szCs w:val="24"/>
        </w:rPr>
        <w:t>.</w:t>
      </w:r>
      <w:r w:rsidR="005F7F66">
        <w:rPr>
          <w:rFonts w:ascii="Book Antiqua" w:hAnsi="Book Antiqua" w:cs="Times New Roman"/>
          <w:sz w:val="24"/>
          <w:szCs w:val="24"/>
        </w:rPr>
        <w:t xml:space="preserve"> </w:t>
      </w:r>
    </w:p>
    <w:p w14:paraId="1B4A244C" w14:textId="77777777" w:rsidR="005F7F66" w:rsidRDefault="008B1C65" w:rsidP="00A81B8A">
      <w:pPr>
        <w:spacing w:after="0" w:line="360" w:lineRule="auto"/>
        <w:ind w:firstLineChars="100" w:firstLine="240"/>
        <w:jc w:val="both"/>
        <w:rPr>
          <w:rFonts w:ascii="Book Antiqua" w:hAnsi="Book Antiqua" w:cs="Times New Roman"/>
          <w:sz w:val="24"/>
          <w:szCs w:val="24"/>
          <w:lang w:eastAsia="zh-CN"/>
        </w:rPr>
      </w:pPr>
      <w:r w:rsidRPr="004E35E5">
        <w:rPr>
          <w:rFonts w:ascii="Book Antiqua" w:hAnsi="Book Antiqua" w:cs="Times New Roman"/>
          <w:sz w:val="24"/>
          <w:szCs w:val="24"/>
        </w:rPr>
        <w:t>Five bench warrants were issued after the first 45 d</w:t>
      </w:r>
      <w:r w:rsidR="00D50E2B" w:rsidRPr="004E35E5">
        <w:rPr>
          <w:rFonts w:ascii="Book Antiqua" w:hAnsi="Book Antiqua" w:cs="Times New Roman"/>
          <w:sz w:val="24"/>
          <w:szCs w:val="24"/>
        </w:rPr>
        <w:t>,</w:t>
      </w:r>
      <w:r w:rsidRPr="004E35E5">
        <w:rPr>
          <w:rFonts w:ascii="Book Antiqua" w:hAnsi="Book Antiqua" w:cs="Times New Roman"/>
          <w:sz w:val="24"/>
          <w:szCs w:val="24"/>
        </w:rPr>
        <w:t xml:space="preserve"> w</w:t>
      </w:r>
      <w:r w:rsidR="00CF2899" w:rsidRPr="004E35E5">
        <w:rPr>
          <w:rFonts w:ascii="Book Antiqua" w:hAnsi="Book Antiqua" w:cs="Times New Roman"/>
          <w:sz w:val="24"/>
          <w:szCs w:val="24"/>
        </w:rPr>
        <w:t>ith an additional two</w:t>
      </w:r>
      <w:r w:rsidRPr="004E35E5">
        <w:rPr>
          <w:rFonts w:ascii="Book Antiqua" w:hAnsi="Book Antiqua" w:cs="Times New Roman"/>
          <w:sz w:val="24"/>
          <w:szCs w:val="24"/>
        </w:rPr>
        <w:t xml:space="preserve"> bench warrants iss</w:t>
      </w:r>
      <w:r w:rsidR="00543348" w:rsidRPr="004E35E5">
        <w:rPr>
          <w:rFonts w:ascii="Book Antiqua" w:hAnsi="Book Antiqua" w:cs="Times New Roman"/>
          <w:sz w:val="24"/>
          <w:szCs w:val="24"/>
        </w:rPr>
        <w:t>ued after 75 d</w:t>
      </w:r>
      <w:r w:rsidR="00D24457" w:rsidRPr="004E35E5">
        <w:rPr>
          <w:rFonts w:ascii="Book Antiqua" w:hAnsi="Book Antiqua" w:cs="Times New Roman"/>
          <w:sz w:val="24"/>
          <w:szCs w:val="24"/>
        </w:rPr>
        <w:t>, and only one after 135 d in the program</w:t>
      </w:r>
      <w:r w:rsidRPr="004E35E5">
        <w:rPr>
          <w:rFonts w:ascii="Book Antiqua" w:hAnsi="Book Antiqua" w:cs="Times New Roman"/>
          <w:sz w:val="24"/>
          <w:szCs w:val="24"/>
        </w:rPr>
        <w:t>.</w:t>
      </w:r>
    </w:p>
    <w:p w14:paraId="1C140268" w14:textId="065F464A" w:rsidR="008B1C65"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Five partic</w:t>
      </w:r>
      <w:r w:rsidRPr="00A81B8A">
        <w:rPr>
          <w:rFonts w:ascii="Book Antiqua" w:hAnsi="Book Antiqua" w:cs="Times New Roman"/>
          <w:sz w:val="24"/>
          <w:szCs w:val="24"/>
        </w:rPr>
        <w:t xml:space="preserve">ipants were determined to be unlikely to be restored in the foreseeable future and a </w:t>
      </w:r>
      <w:r w:rsidRPr="00A81B8A">
        <w:rPr>
          <w:rFonts w:ascii="Book Antiqua" w:hAnsi="Book Antiqua" w:cs="Times New Roman"/>
          <w:iCs/>
          <w:sz w:val="24"/>
          <w:szCs w:val="24"/>
        </w:rPr>
        <w:t>Jackson</w:t>
      </w:r>
      <w:r w:rsidRPr="004E35E5">
        <w:rPr>
          <w:rFonts w:ascii="Book Antiqua" w:hAnsi="Book Antiqua" w:cs="Times New Roman"/>
          <w:sz w:val="24"/>
          <w:szCs w:val="24"/>
        </w:rPr>
        <w:t xml:space="preserve"> fi</w:t>
      </w:r>
      <w:r w:rsidR="00543348" w:rsidRPr="004E35E5">
        <w:rPr>
          <w:rFonts w:ascii="Book Antiqua" w:hAnsi="Book Antiqua" w:cs="Times New Roman"/>
          <w:sz w:val="24"/>
          <w:szCs w:val="24"/>
        </w:rPr>
        <w:t>nding was issued after 45 d.</w:t>
      </w:r>
      <w:r w:rsidRPr="004E35E5">
        <w:rPr>
          <w:rFonts w:ascii="Book Antiqua" w:hAnsi="Book Antiqua" w:cs="Times New Roman"/>
          <w:sz w:val="24"/>
          <w:szCs w:val="24"/>
        </w:rPr>
        <w:t xml:space="preserve"> This order is based on the U</w:t>
      </w:r>
      <w:r w:rsidR="00A81B8A">
        <w:rPr>
          <w:rFonts w:ascii="Book Antiqua" w:hAnsi="Book Antiqua" w:cs="Times New Roman" w:hint="eastAsia"/>
          <w:sz w:val="24"/>
          <w:szCs w:val="24"/>
          <w:lang w:eastAsia="zh-CN"/>
        </w:rPr>
        <w:t xml:space="preserve">nited </w:t>
      </w:r>
      <w:r w:rsidR="00A81B8A">
        <w:rPr>
          <w:rFonts w:ascii="Book Antiqua" w:hAnsi="Book Antiqua" w:cs="Times New Roman"/>
          <w:sz w:val="24"/>
          <w:szCs w:val="24"/>
        </w:rPr>
        <w:t>S</w:t>
      </w:r>
      <w:r w:rsidR="00A81B8A">
        <w:rPr>
          <w:rFonts w:ascii="Book Antiqua" w:hAnsi="Book Antiqua" w:cs="Times New Roman" w:hint="eastAsia"/>
          <w:sz w:val="24"/>
          <w:szCs w:val="24"/>
          <w:lang w:eastAsia="zh-CN"/>
        </w:rPr>
        <w:t>tates</w:t>
      </w:r>
      <w:r w:rsidRPr="004E35E5">
        <w:rPr>
          <w:rFonts w:ascii="Book Antiqua" w:hAnsi="Book Antiqua" w:cs="Times New Roman"/>
          <w:sz w:val="24"/>
          <w:szCs w:val="24"/>
        </w:rPr>
        <w:t xml:space="preserve"> landmark case of </w:t>
      </w:r>
      <w:r w:rsidRPr="004E35E5">
        <w:rPr>
          <w:rFonts w:ascii="Book Antiqua" w:hAnsi="Book Antiqua" w:cs="Times New Roman"/>
          <w:iCs/>
          <w:sz w:val="24"/>
          <w:szCs w:val="24"/>
        </w:rPr>
        <w:t>Jackson v</w:t>
      </w:r>
      <w:r w:rsidR="00543348" w:rsidRPr="004E35E5">
        <w:rPr>
          <w:rFonts w:ascii="Book Antiqua" w:hAnsi="Book Antiqua" w:cs="Times New Roman"/>
          <w:iCs/>
          <w:sz w:val="24"/>
          <w:szCs w:val="24"/>
        </w:rPr>
        <w:t>.</w:t>
      </w:r>
      <w:r w:rsidRPr="004E35E5">
        <w:rPr>
          <w:rFonts w:ascii="Book Antiqua" w:hAnsi="Book Antiqua" w:cs="Times New Roman"/>
          <w:iCs/>
          <w:sz w:val="24"/>
          <w:szCs w:val="24"/>
        </w:rPr>
        <w:t xml:space="preserve"> Indiana</w:t>
      </w:r>
      <w:r w:rsidRPr="004E35E5">
        <w:rPr>
          <w:rFonts w:ascii="Book Antiqua" w:hAnsi="Book Antiqua" w:cs="Times New Roman"/>
          <w:sz w:val="24"/>
          <w:szCs w:val="24"/>
        </w:rPr>
        <w:t xml:space="preserve"> which requires that confinement for competence restoration bear some relationship to the initial reason for </w:t>
      </w:r>
      <w:proofErr w:type="gramStart"/>
      <w:r w:rsidRPr="004E35E5">
        <w:rPr>
          <w:rFonts w:ascii="Book Antiqua" w:hAnsi="Book Antiqua" w:cs="Times New Roman"/>
          <w:sz w:val="24"/>
          <w:szCs w:val="24"/>
        </w:rPr>
        <w:t>incarceration</w:t>
      </w:r>
      <w:r w:rsidR="00B46572" w:rsidRPr="00B46572">
        <w:rPr>
          <w:rFonts w:ascii="Book Antiqua" w:hAnsi="Book Antiqua" w:cs="Times New Roman"/>
          <w:sz w:val="24"/>
          <w:szCs w:val="24"/>
          <w:vertAlign w:val="superscript"/>
        </w:rPr>
        <w:t>[</w:t>
      </w:r>
      <w:proofErr w:type="gramEnd"/>
      <w:r w:rsidR="00B46572" w:rsidRPr="00B46572">
        <w:rPr>
          <w:rFonts w:ascii="Book Antiqua" w:hAnsi="Book Antiqua" w:cs="Times New Roman"/>
          <w:sz w:val="24"/>
          <w:szCs w:val="24"/>
          <w:vertAlign w:val="superscript"/>
        </w:rPr>
        <w:t>9]</w:t>
      </w:r>
      <w:r w:rsidR="00E05276" w:rsidRPr="004E35E5">
        <w:rPr>
          <w:rFonts w:ascii="Book Antiqua" w:hAnsi="Book Antiqua" w:cs="Times New Roman"/>
          <w:sz w:val="24"/>
          <w:szCs w:val="24"/>
        </w:rPr>
        <w:t>.</w:t>
      </w:r>
      <w:r w:rsidRPr="004E35E5">
        <w:rPr>
          <w:rFonts w:ascii="Book Antiqua" w:hAnsi="Book Antiqua" w:cs="Times New Roman"/>
          <w:sz w:val="24"/>
          <w:szCs w:val="24"/>
        </w:rPr>
        <w:t xml:space="preserve"> Defendants cannot be held indefinitely. Seven participants were determined to be unlikely to be</w:t>
      </w:r>
      <w:r w:rsidR="00FC70F3" w:rsidRPr="004E35E5">
        <w:rPr>
          <w:rFonts w:ascii="Book Antiqua" w:hAnsi="Book Antiqua" w:cs="Times New Roman"/>
          <w:sz w:val="24"/>
          <w:szCs w:val="24"/>
        </w:rPr>
        <w:t xml:space="preserve"> </w:t>
      </w:r>
      <w:r w:rsidR="00543348" w:rsidRPr="004E35E5">
        <w:rPr>
          <w:rFonts w:ascii="Book Antiqua" w:hAnsi="Book Antiqua" w:cs="Times New Roman"/>
          <w:sz w:val="24"/>
          <w:szCs w:val="24"/>
        </w:rPr>
        <w:t>restored after 75 d, with one</w:t>
      </w:r>
      <w:r w:rsidRPr="004E35E5">
        <w:rPr>
          <w:rFonts w:ascii="Book Antiqua" w:hAnsi="Book Antiqua" w:cs="Times New Roman"/>
          <w:sz w:val="24"/>
          <w:szCs w:val="24"/>
        </w:rPr>
        <w:t xml:space="preserve"> additional participant added after 135 days</w:t>
      </w:r>
      <w:r w:rsidR="00224A09" w:rsidRPr="004E35E5">
        <w:rPr>
          <w:rFonts w:ascii="Book Antiqua" w:hAnsi="Book Antiqua" w:cs="Times New Roman"/>
          <w:sz w:val="24"/>
          <w:szCs w:val="24"/>
        </w:rPr>
        <w:t>,</w:t>
      </w:r>
      <w:r w:rsidR="00543348" w:rsidRPr="004E35E5">
        <w:rPr>
          <w:rFonts w:ascii="Book Antiqua" w:hAnsi="Book Antiqua" w:cs="Times New Roman"/>
          <w:sz w:val="24"/>
          <w:szCs w:val="24"/>
        </w:rPr>
        <w:t xml:space="preserve"> and another after 165 d</w:t>
      </w:r>
      <w:r w:rsidRPr="004E35E5">
        <w:rPr>
          <w:rFonts w:ascii="Book Antiqua" w:hAnsi="Book Antiqua" w:cs="Times New Roman"/>
          <w:sz w:val="24"/>
          <w:szCs w:val="24"/>
        </w:rPr>
        <w:t>.</w:t>
      </w:r>
    </w:p>
    <w:p w14:paraId="3747EA22" w14:textId="77777777" w:rsidR="00CD34E2" w:rsidRPr="004E35E5" w:rsidRDefault="00CD34E2" w:rsidP="004E35E5">
      <w:pPr>
        <w:spacing w:after="0" w:line="360" w:lineRule="auto"/>
        <w:jc w:val="both"/>
        <w:rPr>
          <w:rFonts w:ascii="Book Antiqua" w:hAnsi="Book Antiqua" w:cs="Times New Roman"/>
          <w:sz w:val="24"/>
          <w:szCs w:val="24"/>
        </w:rPr>
      </w:pPr>
    </w:p>
    <w:p w14:paraId="46AD1ADC" w14:textId="19635717" w:rsidR="008B1C65" w:rsidRPr="004E35E5" w:rsidRDefault="00A81B8A" w:rsidP="004E35E5">
      <w:pPr>
        <w:spacing w:after="0" w:line="360" w:lineRule="auto"/>
        <w:jc w:val="both"/>
        <w:rPr>
          <w:rFonts w:ascii="Book Antiqua" w:hAnsi="Book Antiqua" w:cs="Times New Roman"/>
          <w:b/>
          <w:bCs/>
          <w:sz w:val="24"/>
          <w:szCs w:val="24"/>
        </w:rPr>
      </w:pPr>
      <w:r w:rsidRPr="004E35E5">
        <w:rPr>
          <w:rFonts w:ascii="Book Antiqua" w:hAnsi="Book Antiqua" w:cs="Times New Roman"/>
          <w:b/>
          <w:bCs/>
          <w:sz w:val="24"/>
          <w:szCs w:val="24"/>
        </w:rPr>
        <w:t>DISCUSSION</w:t>
      </w:r>
    </w:p>
    <w:p w14:paraId="79EC43E8" w14:textId="01CDEECA" w:rsidR="008B1C65" w:rsidRPr="004E35E5" w:rsidRDefault="008B1C65" w:rsidP="004E35E5">
      <w:pPr>
        <w:spacing w:after="0" w:line="360" w:lineRule="auto"/>
        <w:jc w:val="both"/>
        <w:rPr>
          <w:rFonts w:ascii="Book Antiqua" w:hAnsi="Book Antiqua" w:cs="Times New Roman"/>
          <w:sz w:val="24"/>
          <w:szCs w:val="24"/>
        </w:rPr>
      </w:pPr>
      <w:r w:rsidRPr="004E35E5">
        <w:rPr>
          <w:rFonts w:ascii="Book Antiqua" w:hAnsi="Book Antiqua" w:cs="Times New Roman"/>
          <w:sz w:val="24"/>
          <w:szCs w:val="24"/>
        </w:rPr>
        <w:t xml:space="preserve">These data indicate that the first 45 d of participation in the DC </w:t>
      </w:r>
      <w:r w:rsidR="00CA5B1D" w:rsidRPr="004E35E5">
        <w:rPr>
          <w:rFonts w:ascii="Book Antiqua" w:hAnsi="Book Antiqua" w:cs="Times New Roman"/>
          <w:sz w:val="24"/>
          <w:szCs w:val="24"/>
        </w:rPr>
        <w:t xml:space="preserve">OCRP are the most productive. </w:t>
      </w:r>
      <w:r w:rsidR="00CF7F6C" w:rsidRPr="004E35E5">
        <w:rPr>
          <w:rFonts w:ascii="Book Antiqua" w:hAnsi="Book Antiqua" w:cs="Times New Roman"/>
          <w:sz w:val="24"/>
          <w:szCs w:val="24"/>
        </w:rPr>
        <w:t xml:space="preserve">To our knowledge </w:t>
      </w:r>
      <w:r w:rsidR="00D63C6D" w:rsidRPr="004E35E5">
        <w:rPr>
          <w:rFonts w:ascii="Book Antiqua" w:hAnsi="Book Antiqua" w:cs="Times New Roman"/>
          <w:sz w:val="24"/>
          <w:szCs w:val="24"/>
        </w:rPr>
        <w:t>this is the first report to identify an optimal</w:t>
      </w:r>
      <w:r w:rsidR="00CF7F6C" w:rsidRPr="004E35E5">
        <w:rPr>
          <w:rFonts w:ascii="Book Antiqua" w:hAnsi="Book Antiqua" w:cs="Times New Roman"/>
          <w:sz w:val="24"/>
          <w:szCs w:val="24"/>
        </w:rPr>
        <w:t xml:space="preserve"> length of time to restoration in the outpatient </w:t>
      </w:r>
      <w:r w:rsidR="00472727" w:rsidRPr="004E35E5">
        <w:rPr>
          <w:rFonts w:ascii="Book Antiqua" w:hAnsi="Book Antiqua" w:cs="Times New Roman"/>
          <w:sz w:val="24"/>
          <w:szCs w:val="24"/>
        </w:rPr>
        <w:t xml:space="preserve">forensic </w:t>
      </w:r>
      <w:r w:rsidR="00CF7F6C" w:rsidRPr="004E35E5">
        <w:rPr>
          <w:rFonts w:ascii="Book Antiqua" w:hAnsi="Book Antiqua" w:cs="Times New Roman"/>
          <w:sz w:val="24"/>
          <w:szCs w:val="24"/>
        </w:rPr>
        <w:t xml:space="preserve">setting. </w:t>
      </w:r>
      <w:r w:rsidRPr="004E35E5">
        <w:rPr>
          <w:rFonts w:ascii="Book Antiqua" w:hAnsi="Book Antiqua" w:cs="Times New Roman"/>
          <w:sz w:val="24"/>
          <w:szCs w:val="24"/>
        </w:rPr>
        <w:t xml:space="preserve">The </w:t>
      </w:r>
      <w:r w:rsidR="00177E14" w:rsidRPr="004E35E5">
        <w:rPr>
          <w:rFonts w:ascii="Book Antiqua" w:hAnsi="Book Antiqua" w:cs="Times New Roman"/>
          <w:sz w:val="24"/>
          <w:szCs w:val="24"/>
        </w:rPr>
        <w:t xml:space="preserve">substantial </w:t>
      </w:r>
      <w:r w:rsidRPr="004E35E5">
        <w:rPr>
          <w:rFonts w:ascii="Book Antiqua" w:hAnsi="Book Antiqua" w:cs="Times New Roman"/>
          <w:sz w:val="24"/>
          <w:szCs w:val="24"/>
        </w:rPr>
        <w:t>majority (76%) of participants found competent were restored after 45 d in the program.</w:t>
      </w:r>
      <w:r w:rsidR="004E35E5">
        <w:rPr>
          <w:rFonts w:ascii="Book Antiqua" w:hAnsi="Book Antiqua" w:cs="Times New Roman"/>
          <w:sz w:val="24"/>
          <w:szCs w:val="24"/>
        </w:rPr>
        <w:t xml:space="preserve"> </w:t>
      </w:r>
      <w:r w:rsidRPr="004E35E5">
        <w:rPr>
          <w:rFonts w:ascii="Book Antiqua" w:hAnsi="Book Antiqua" w:cs="Times New Roman"/>
          <w:sz w:val="24"/>
          <w:szCs w:val="24"/>
        </w:rPr>
        <w:t>The type of leverage used by the courts (</w:t>
      </w:r>
      <w:r w:rsidRPr="00A81B8A">
        <w:rPr>
          <w:rFonts w:ascii="Book Antiqua" w:hAnsi="Book Antiqua" w:cs="Times New Roman"/>
          <w:i/>
          <w:sz w:val="24"/>
          <w:szCs w:val="24"/>
        </w:rPr>
        <w:t>e.g.</w:t>
      </w:r>
      <w:r w:rsidRPr="004E35E5">
        <w:rPr>
          <w:rFonts w:ascii="Book Antiqua" w:hAnsi="Book Antiqua" w:cs="Times New Roman"/>
          <w:sz w:val="24"/>
          <w:szCs w:val="24"/>
        </w:rPr>
        <w:t xml:space="preserve">, bench warrants, return orders) decreased significantly after 45 d and another significant participant group had their charges dismissed. The increase in </w:t>
      </w:r>
      <w:r w:rsidR="00543348" w:rsidRPr="004E35E5">
        <w:rPr>
          <w:rFonts w:ascii="Book Antiqua" w:hAnsi="Book Antiqua" w:cs="Times New Roman"/>
          <w:sz w:val="24"/>
          <w:szCs w:val="24"/>
        </w:rPr>
        <w:t>Jackson findings (</w:t>
      </w:r>
      <w:r w:rsidR="00543348" w:rsidRPr="00A81B8A">
        <w:rPr>
          <w:rFonts w:ascii="Book Antiqua" w:hAnsi="Book Antiqua" w:cs="Times New Roman"/>
          <w:i/>
          <w:sz w:val="24"/>
          <w:szCs w:val="24"/>
        </w:rPr>
        <w:t>i.e.</w:t>
      </w:r>
      <w:r w:rsidR="00543348" w:rsidRPr="004E35E5">
        <w:rPr>
          <w:rFonts w:ascii="Book Antiqua" w:hAnsi="Book Antiqua" w:cs="Times New Roman"/>
          <w:sz w:val="24"/>
          <w:szCs w:val="24"/>
        </w:rPr>
        <w:t>, that participants are unrestorable) after 45 d</w:t>
      </w:r>
      <w:r w:rsidRPr="004E35E5">
        <w:rPr>
          <w:rFonts w:ascii="Book Antiqua" w:hAnsi="Book Antiqua" w:cs="Times New Roman"/>
          <w:sz w:val="24"/>
          <w:szCs w:val="24"/>
        </w:rPr>
        <w:t xml:space="preserve"> indicates the power of the 45 d peri</w:t>
      </w:r>
      <w:r w:rsidR="00224A09" w:rsidRPr="004E35E5">
        <w:rPr>
          <w:rFonts w:ascii="Book Antiqua" w:hAnsi="Book Antiqua" w:cs="Times New Roman"/>
          <w:sz w:val="24"/>
          <w:szCs w:val="24"/>
        </w:rPr>
        <w:t>od to determine competence</w:t>
      </w:r>
      <w:r w:rsidRPr="004E35E5">
        <w:rPr>
          <w:rFonts w:ascii="Book Antiqua" w:hAnsi="Book Antiqua" w:cs="Times New Roman"/>
          <w:sz w:val="24"/>
          <w:szCs w:val="24"/>
        </w:rPr>
        <w:t xml:space="preserve">. </w:t>
      </w:r>
    </w:p>
    <w:p w14:paraId="0B16FAED" w14:textId="53076503" w:rsidR="00ED4965" w:rsidRPr="004E35E5" w:rsidRDefault="00A81B8A" w:rsidP="00A81B8A">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lastRenderedPageBreak/>
        <w:t>Twenty-right</w:t>
      </w:r>
      <w:r w:rsidR="00ED4965" w:rsidRPr="004E35E5">
        <w:rPr>
          <w:rFonts w:ascii="Book Antiqua" w:hAnsi="Book Antiqua" w:cs="Times New Roman"/>
          <w:sz w:val="24"/>
          <w:szCs w:val="24"/>
        </w:rPr>
        <w:t xml:space="preserve"> defendants</w:t>
      </w:r>
      <w:r w:rsidR="00CF7F6C" w:rsidRPr="004E35E5">
        <w:rPr>
          <w:rFonts w:ascii="Book Antiqua" w:hAnsi="Book Antiqua" w:cs="Times New Roman"/>
          <w:sz w:val="24"/>
          <w:szCs w:val="24"/>
        </w:rPr>
        <w:t>, mostly facing misdemeanor charges,</w:t>
      </w:r>
      <w:r w:rsidR="00ED4965" w:rsidRPr="004E35E5">
        <w:rPr>
          <w:rFonts w:ascii="Book Antiqua" w:hAnsi="Book Antiqua" w:cs="Times New Roman"/>
          <w:sz w:val="24"/>
          <w:szCs w:val="24"/>
        </w:rPr>
        <w:t xml:space="preserve"> had their charges dismissed by </w:t>
      </w:r>
      <w:r w:rsidR="00CA5B1D" w:rsidRPr="004E35E5">
        <w:rPr>
          <w:rFonts w:ascii="Book Antiqua" w:hAnsi="Book Antiqua" w:cs="Times New Roman"/>
          <w:sz w:val="24"/>
          <w:szCs w:val="24"/>
        </w:rPr>
        <w:t>135 d after their initial order into competency restoration</w:t>
      </w:r>
      <w:r w:rsidR="00ED4965" w:rsidRPr="004E35E5">
        <w:rPr>
          <w:rFonts w:ascii="Book Antiqua" w:hAnsi="Book Antiqua" w:cs="Times New Roman"/>
          <w:sz w:val="24"/>
          <w:szCs w:val="24"/>
        </w:rPr>
        <w:t>.</w:t>
      </w:r>
      <w:r w:rsidR="004E35E5">
        <w:rPr>
          <w:rFonts w:ascii="Book Antiqua" w:hAnsi="Book Antiqua" w:cs="Times New Roman"/>
          <w:sz w:val="24"/>
          <w:szCs w:val="24"/>
        </w:rPr>
        <w:t xml:space="preserve"> </w:t>
      </w:r>
      <w:r w:rsidR="00CF7F6C" w:rsidRPr="004E35E5">
        <w:rPr>
          <w:rFonts w:ascii="Book Antiqua" w:hAnsi="Book Antiqua" w:cs="Times New Roman"/>
          <w:sz w:val="24"/>
          <w:szCs w:val="24"/>
        </w:rPr>
        <w:t>We hypothesize that judges recognize that defendants may spend more time attempting to become competent than serving the short sentence they are likely to face</w:t>
      </w:r>
      <w:r w:rsidR="00472727" w:rsidRPr="004E35E5">
        <w:rPr>
          <w:rFonts w:ascii="Book Antiqua" w:hAnsi="Book Antiqua" w:cs="Times New Roman"/>
          <w:sz w:val="24"/>
          <w:szCs w:val="24"/>
        </w:rPr>
        <w:t xml:space="preserve"> after a misdemeanor</w:t>
      </w:r>
      <w:r w:rsidR="00CF7F6C" w:rsidRPr="004E35E5">
        <w:rPr>
          <w:rFonts w:ascii="Book Antiqua" w:hAnsi="Book Antiqua" w:cs="Times New Roman"/>
          <w:sz w:val="24"/>
          <w:szCs w:val="24"/>
        </w:rPr>
        <w:t>. It is not surprising, therefore, that this group faced dismissal despite not attaining competence</w:t>
      </w:r>
      <w:r w:rsidR="00ED4965" w:rsidRPr="004E35E5">
        <w:rPr>
          <w:rFonts w:ascii="Book Antiqua" w:hAnsi="Book Antiqua" w:cs="Times New Roman"/>
          <w:sz w:val="24"/>
          <w:szCs w:val="24"/>
        </w:rPr>
        <w:t>.</w:t>
      </w:r>
      <w:r w:rsidR="004E35E5">
        <w:rPr>
          <w:rFonts w:ascii="Book Antiqua" w:hAnsi="Book Antiqua" w:cs="Times New Roman"/>
          <w:sz w:val="24"/>
          <w:szCs w:val="24"/>
        </w:rPr>
        <w:t xml:space="preserve"> </w:t>
      </w:r>
    </w:p>
    <w:p w14:paraId="77F62140" w14:textId="40D06D41" w:rsidR="008B1C65"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The importance of adequate time for group education and mu</w:t>
      </w:r>
      <w:r w:rsidR="00AF1C4F" w:rsidRPr="004E35E5">
        <w:rPr>
          <w:rFonts w:ascii="Book Antiqua" w:hAnsi="Book Antiqua" w:cs="Times New Roman"/>
          <w:sz w:val="24"/>
          <w:szCs w:val="24"/>
        </w:rPr>
        <w:t>l</w:t>
      </w:r>
      <w:r w:rsidRPr="004E35E5">
        <w:rPr>
          <w:rFonts w:ascii="Book Antiqua" w:hAnsi="Book Antiqua" w:cs="Times New Roman"/>
          <w:sz w:val="24"/>
          <w:szCs w:val="24"/>
        </w:rPr>
        <w:t>ti-media efforts to take hold is an im</w:t>
      </w:r>
      <w:r w:rsidR="003C61AB" w:rsidRPr="004E35E5">
        <w:rPr>
          <w:rFonts w:ascii="Book Antiqua" w:hAnsi="Book Antiqua" w:cs="Times New Roman"/>
          <w:sz w:val="24"/>
          <w:szCs w:val="24"/>
        </w:rPr>
        <w:t>portant predicate of outpatient restoration</w:t>
      </w:r>
      <w:r w:rsidRPr="004E35E5">
        <w:rPr>
          <w:rFonts w:ascii="Book Antiqua" w:hAnsi="Book Antiqua" w:cs="Times New Roman"/>
          <w:sz w:val="24"/>
          <w:szCs w:val="24"/>
        </w:rPr>
        <w:t xml:space="preserve"> and matches findings in the psychiatric literature supporting mu</w:t>
      </w:r>
      <w:r w:rsidR="00AF1C4F" w:rsidRPr="004E35E5">
        <w:rPr>
          <w:rFonts w:ascii="Book Antiqua" w:hAnsi="Book Antiqua" w:cs="Times New Roman"/>
          <w:sz w:val="24"/>
          <w:szCs w:val="24"/>
        </w:rPr>
        <w:t>l</w:t>
      </w:r>
      <w:r w:rsidRPr="004E35E5">
        <w:rPr>
          <w:rFonts w:ascii="Book Antiqua" w:hAnsi="Book Antiqua" w:cs="Times New Roman"/>
          <w:sz w:val="24"/>
          <w:szCs w:val="24"/>
        </w:rPr>
        <w:t xml:space="preserve">ti-modal efforts for patient </w:t>
      </w:r>
      <w:proofErr w:type="gramStart"/>
      <w:r w:rsidRPr="004E35E5">
        <w:rPr>
          <w:rFonts w:ascii="Book Antiqua" w:hAnsi="Book Antiqua" w:cs="Times New Roman"/>
          <w:sz w:val="24"/>
          <w:szCs w:val="24"/>
        </w:rPr>
        <w:t>education</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10,11]</w:t>
      </w:r>
      <w:r w:rsidR="00E05276" w:rsidRPr="004E35E5">
        <w:rPr>
          <w:rFonts w:ascii="Book Antiqua" w:hAnsi="Book Antiqua" w:cs="Times New Roman"/>
          <w:sz w:val="24"/>
          <w:szCs w:val="24"/>
        </w:rPr>
        <w:t>.</w:t>
      </w:r>
      <w:r w:rsidRPr="004E35E5">
        <w:rPr>
          <w:rFonts w:ascii="Book Antiqua" w:hAnsi="Book Antiqua" w:cs="Times New Roman"/>
          <w:sz w:val="24"/>
          <w:szCs w:val="24"/>
        </w:rPr>
        <w:t xml:space="preserve"> The group process is critical here, as in other modalities for improving patient care, from cognitive-behavioral therapy to </w:t>
      </w:r>
      <w:proofErr w:type="gramStart"/>
      <w:r w:rsidRPr="004E35E5">
        <w:rPr>
          <w:rFonts w:ascii="Book Antiqua" w:hAnsi="Book Antiqua" w:cs="Times New Roman"/>
          <w:sz w:val="24"/>
          <w:szCs w:val="24"/>
        </w:rPr>
        <w:t>addictions</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12,13]</w:t>
      </w:r>
      <w:r w:rsidR="00E05276" w:rsidRPr="004E35E5">
        <w:rPr>
          <w:rFonts w:ascii="Book Antiqua" w:hAnsi="Book Antiqua" w:cs="Times New Roman"/>
          <w:sz w:val="24"/>
          <w:szCs w:val="24"/>
        </w:rPr>
        <w:t>.</w:t>
      </w:r>
      <w:r w:rsidRPr="004E35E5">
        <w:rPr>
          <w:rFonts w:ascii="Book Antiqua" w:hAnsi="Book Antiqua" w:cs="Times New Roman"/>
          <w:sz w:val="24"/>
          <w:szCs w:val="24"/>
        </w:rPr>
        <w:t xml:space="preserve"> </w:t>
      </w:r>
    </w:p>
    <w:p w14:paraId="38668BC3" w14:textId="7BCF2F7F" w:rsidR="008B1C65"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 xml:space="preserve">Use of forensically trained evaluators who have undergone local supervision underscores familiarity with local statutes, cultures, and legal interpretations. The broad range of </w:t>
      </w:r>
      <w:r w:rsidR="00AF1C4F" w:rsidRPr="004E35E5">
        <w:rPr>
          <w:rFonts w:ascii="Book Antiqua" w:hAnsi="Book Antiqua" w:cs="Times New Roman"/>
          <w:sz w:val="24"/>
          <w:szCs w:val="24"/>
        </w:rPr>
        <w:t>ethnicities</w:t>
      </w:r>
      <w:r w:rsidRPr="004E35E5">
        <w:rPr>
          <w:rFonts w:ascii="Book Antiqua" w:hAnsi="Book Antiqua" w:cs="Times New Roman"/>
          <w:sz w:val="24"/>
          <w:szCs w:val="24"/>
        </w:rPr>
        <w:t xml:space="preserve"> and nationalities in Washington DC requires regular updating on cultural norms and legal experiences outside the U</w:t>
      </w:r>
      <w:r w:rsidR="00A81B8A">
        <w:rPr>
          <w:rFonts w:ascii="Book Antiqua" w:hAnsi="Book Antiqua" w:cs="Times New Roman" w:hint="eastAsia"/>
          <w:sz w:val="24"/>
          <w:szCs w:val="24"/>
          <w:lang w:eastAsia="zh-CN"/>
        </w:rPr>
        <w:t xml:space="preserve">nited </w:t>
      </w:r>
      <w:r w:rsidR="00A81B8A">
        <w:rPr>
          <w:rFonts w:ascii="Book Antiqua" w:hAnsi="Book Antiqua" w:cs="Times New Roman"/>
          <w:sz w:val="24"/>
          <w:szCs w:val="24"/>
        </w:rPr>
        <w:t>S</w:t>
      </w:r>
      <w:r w:rsidR="00A81B8A">
        <w:rPr>
          <w:rFonts w:ascii="Book Antiqua" w:hAnsi="Book Antiqua" w:cs="Times New Roman" w:hint="eastAsia"/>
          <w:sz w:val="24"/>
          <w:szCs w:val="24"/>
          <w:lang w:eastAsia="zh-CN"/>
        </w:rPr>
        <w:t>tates</w:t>
      </w:r>
      <w:r w:rsidR="00D50E2B" w:rsidRPr="004E35E5">
        <w:rPr>
          <w:rFonts w:ascii="Book Antiqua" w:hAnsi="Book Antiqua" w:cs="Times New Roman"/>
          <w:sz w:val="24"/>
          <w:szCs w:val="24"/>
        </w:rPr>
        <w:t xml:space="preserve"> This is achieved by peer support and supervision among evaluators and educators.</w:t>
      </w:r>
    </w:p>
    <w:p w14:paraId="510C86E3" w14:textId="776BA646" w:rsidR="008B1C65"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 xml:space="preserve">There continue to be barriers for OCRP programs in general and DC in particular. The need for programming for those with cognitive limitations could be especially useful in a population that often suffers educational or developmental </w:t>
      </w:r>
      <w:proofErr w:type="gramStart"/>
      <w:r w:rsidRPr="004E35E5">
        <w:rPr>
          <w:rFonts w:ascii="Book Antiqua" w:hAnsi="Book Antiqua" w:cs="Times New Roman"/>
          <w:sz w:val="24"/>
          <w:szCs w:val="24"/>
        </w:rPr>
        <w:t>delays</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14,15]</w:t>
      </w:r>
      <w:r w:rsidR="00E05276" w:rsidRPr="004E35E5">
        <w:rPr>
          <w:rFonts w:ascii="Book Antiqua" w:hAnsi="Book Antiqua" w:cs="Times New Roman"/>
          <w:sz w:val="24"/>
          <w:szCs w:val="24"/>
        </w:rPr>
        <w:t>.</w:t>
      </w:r>
      <w:r w:rsidRPr="004E35E5">
        <w:rPr>
          <w:rFonts w:ascii="Book Antiqua" w:hAnsi="Book Antiqua" w:cs="Times New Roman"/>
          <w:sz w:val="24"/>
          <w:szCs w:val="24"/>
        </w:rPr>
        <w:t xml:space="preserve"> </w:t>
      </w:r>
      <w:r w:rsidR="003C61AB" w:rsidRPr="004E35E5">
        <w:rPr>
          <w:rFonts w:ascii="Book Antiqua" w:hAnsi="Book Antiqua" w:cs="Times New Roman"/>
          <w:sz w:val="24"/>
          <w:szCs w:val="24"/>
        </w:rPr>
        <w:t xml:space="preserve">Growth of programs useful in other settings </w:t>
      </w:r>
      <w:r w:rsidRPr="004E35E5">
        <w:rPr>
          <w:rFonts w:ascii="Book Antiqua" w:hAnsi="Book Antiqua" w:cs="Times New Roman"/>
          <w:sz w:val="24"/>
          <w:szCs w:val="24"/>
        </w:rPr>
        <w:t>could be essential to restoring t</w:t>
      </w:r>
      <w:r w:rsidR="00D50E2B" w:rsidRPr="004E35E5">
        <w:rPr>
          <w:rFonts w:ascii="Book Antiqua" w:hAnsi="Book Antiqua" w:cs="Times New Roman"/>
          <w:sz w:val="24"/>
          <w:szCs w:val="24"/>
        </w:rPr>
        <w:t>he participants who do</w:t>
      </w:r>
      <w:r w:rsidRPr="004E35E5">
        <w:rPr>
          <w:rFonts w:ascii="Book Antiqua" w:hAnsi="Book Antiqua" w:cs="Times New Roman"/>
          <w:sz w:val="24"/>
          <w:szCs w:val="24"/>
        </w:rPr>
        <w:t xml:space="preserve"> not attain competence after initial </w:t>
      </w:r>
      <w:proofErr w:type="gramStart"/>
      <w:r w:rsidRPr="004E35E5">
        <w:rPr>
          <w:rFonts w:ascii="Book Antiqua" w:hAnsi="Book Antiqua" w:cs="Times New Roman"/>
          <w:sz w:val="24"/>
          <w:szCs w:val="24"/>
        </w:rPr>
        <w:t>attempts</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16]</w:t>
      </w:r>
      <w:r w:rsidRPr="004E35E5">
        <w:rPr>
          <w:rFonts w:ascii="Book Antiqua" w:hAnsi="Book Antiqua" w:cs="Times New Roman"/>
          <w:sz w:val="24"/>
          <w:szCs w:val="24"/>
        </w:rPr>
        <w:t>.</w:t>
      </w:r>
      <w:r w:rsidR="00E05276" w:rsidRPr="004E35E5">
        <w:rPr>
          <w:rFonts w:ascii="Book Antiqua" w:hAnsi="Book Antiqua" w:cs="Times New Roman"/>
          <w:b/>
          <w:sz w:val="24"/>
          <w:szCs w:val="24"/>
          <w:vertAlign w:val="superscript"/>
        </w:rPr>
        <w:t xml:space="preserve"> </w:t>
      </w:r>
      <w:r w:rsidRPr="004E35E5">
        <w:rPr>
          <w:rFonts w:ascii="Book Antiqua" w:hAnsi="Book Antiqua" w:cs="Times New Roman"/>
          <w:sz w:val="24"/>
          <w:szCs w:val="24"/>
        </w:rPr>
        <w:t xml:space="preserve">The local Department of Disability Services may be an </w:t>
      </w:r>
      <w:r w:rsidR="00D50E2B" w:rsidRPr="004E35E5">
        <w:rPr>
          <w:rFonts w:ascii="Book Antiqua" w:hAnsi="Book Antiqua" w:cs="Times New Roman"/>
          <w:sz w:val="24"/>
          <w:szCs w:val="24"/>
        </w:rPr>
        <w:t xml:space="preserve">especially </w:t>
      </w:r>
      <w:r w:rsidR="00543348" w:rsidRPr="004E35E5">
        <w:rPr>
          <w:rFonts w:ascii="Book Antiqua" w:hAnsi="Book Antiqua" w:cs="Times New Roman"/>
          <w:sz w:val="24"/>
          <w:szCs w:val="24"/>
        </w:rPr>
        <w:t>effective partner</w:t>
      </w:r>
      <w:r w:rsidR="001160E3" w:rsidRPr="004E35E5">
        <w:rPr>
          <w:rFonts w:ascii="Book Antiqua" w:hAnsi="Book Antiqua" w:cs="Times New Roman"/>
          <w:sz w:val="24"/>
          <w:szCs w:val="24"/>
        </w:rPr>
        <w:t>, since it has</w:t>
      </w:r>
      <w:r w:rsidRPr="004E35E5">
        <w:rPr>
          <w:rFonts w:ascii="Book Antiqua" w:hAnsi="Book Antiqua" w:cs="Times New Roman"/>
          <w:sz w:val="24"/>
          <w:szCs w:val="24"/>
        </w:rPr>
        <w:t xml:space="preserve"> already developed programs to support and educate their clients</w:t>
      </w:r>
      <w:r w:rsidR="003C61AB" w:rsidRPr="004E35E5">
        <w:rPr>
          <w:rFonts w:ascii="Book Antiqua" w:hAnsi="Book Antiqua" w:cs="Times New Roman"/>
          <w:sz w:val="24"/>
          <w:szCs w:val="24"/>
        </w:rPr>
        <w:t xml:space="preserve"> with developmental disabilities</w:t>
      </w:r>
      <w:r w:rsidRPr="004E35E5">
        <w:rPr>
          <w:rFonts w:ascii="Book Antiqua" w:hAnsi="Book Antiqua" w:cs="Times New Roman"/>
          <w:sz w:val="24"/>
          <w:szCs w:val="24"/>
        </w:rPr>
        <w:t>.</w:t>
      </w:r>
    </w:p>
    <w:p w14:paraId="689FA481" w14:textId="3F54F61A" w:rsidR="008B1C65"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As effective as groups are in allowing education for a large number of participants, even group size can inte</w:t>
      </w:r>
      <w:r w:rsidR="004A7F7A" w:rsidRPr="004E35E5">
        <w:rPr>
          <w:rFonts w:ascii="Book Antiqua" w:hAnsi="Book Antiqua" w:cs="Times New Roman"/>
          <w:sz w:val="24"/>
          <w:szCs w:val="24"/>
        </w:rPr>
        <w:t>rfere with productivity. The</w:t>
      </w:r>
      <w:r w:rsidRPr="004E35E5">
        <w:rPr>
          <w:rFonts w:ascii="Book Antiqua" w:hAnsi="Book Antiqua" w:cs="Times New Roman"/>
          <w:sz w:val="24"/>
          <w:szCs w:val="24"/>
        </w:rPr>
        <w:t xml:space="preserve"> size for</w:t>
      </w:r>
      <w:r w:rsidR="004A7F7A" w:rsidRPr="004E35E5">
        <w:rPr>
          <w:rFonts w:ascii="Book Antiqua" w:hAnsi="Book Antiqua" w:cs="Times New Roman"/>
          <w:sz w:val="24"/>
          <w:szCs w:val="24"/>
        </w:rPr>
        <w:t xml:space="preserve"> schizophrenia</w:t>
      </w:r>
      <w:r w:rsidRPr="004E35E5">
        <w:rPr>
          <w:rFonts w:ascii="Book Antiqua" w:hAnsi="Book Antiqua" w:cs="Times New Roman"/>
          <w:sz w:val="24"/>
          <w:szCs w:val="24"/>
        </w:rPr>
        <w:t xml:space="preserve"> thera</w:t>
      </w:r>
      <w:r w:rsidR="004A7F7A" w:rsidRPr="004E35E5">
        <w:rPr>
          <w:rFonts w:ascii="Book Antiqua" w:hAnsi="Book Antiqua" w:cs="Times New Roman"/>
          <w:sz w:val="24"/>
          <w:szCs w:val="24"/>
        </w:rPr>
        <w:t xml:space="preserve">py groups has </w:t>
      </w:r>
      <w:r w:rsidR="000D26F2" w:rsidRPr="004E35E5">
        <w:rPr>
          <w:rFonts w:ascii="Book Antiqua" w:hAnsi="Book Antiqua" w:cs="Times New Roman"/>
          <w:sz w:val="24"/>
          <w:szCs w:val="24"/>
        </w:rPr>
        <w:t xml:space="preserve">often </w:t>
      </w:r>
      <w:r w:rsidR="004A7F7A" w:rsidRPr="004E35E5">
        <w:rPr>
          <w:rFonts w:ascii="Book Antiqua" w:hAnsi="Book Antiqua" w:cs="Times New Roman"/>
          <w:sz w:val="24"/>
          <w:szCs w:val="24"/>
        </w:rPr>
        <w:t>been reported</w:t>
      </w:r>
      <w:r w:rsidR="000D26F2" w:rsidRPr="004E35E5">
        <w:rPr>
          <w:rFonts w:ascii="Book Antiqua" w:hAnsi="Book Antiqua" w:cs="Times New Roman"/>
          <w:sz w:val="24"/>
          <w:szCs w:val="24"/>
        </w:rPr>
        <w:t xml:space="preserve"> at </w:t>
      </w:r>
      <w:r w:rsidR="00E05276" w:rsidRPr="004E35E5">
        <w:rPr>
          <w:rFonts w:ascii="Book Antiqua" w:hAnsi="Book Antiqua" w:cs="Times New Roman"/>
          <w:sz w:val="24"/>
          <w:szCs w:val="24"/>
        </w:rPr>
        <w:t>fewer than</w:t>
      </w:r>
      <w:r w:rsidR="000D26F2" w:rsidRPr="004E35E5">
        <w:rPr>
          <w:rFonts w:ascii="Book Antiqua" w:hAnsi="Book Antiqua" w:cs="Times New Roman"/>
          <w:sz w:val="24"/>
          <w:szCs w:val="24"/>
        </w:rPr>
        <w:t xml:space="preserve"> ten</w:t>
      </w:r>
      <w:r w:rsidR="004A7F7A" w:rsidRPr="004E35E5">
        <w:rPr>
          <w:rFonts w:ascii="Book Antiqua" w:hAnsi="Book Antiqua" w:cs="Times New Roman"/>
          <w:sz w:val="24"/>
          <w:szCs w:val="24"/>
        </w:rPr>
        <w:t xml:space="preserve"> patients</w:t>
      </w:r>
      <w:r w:rsidRPr="004E35E5">
        <w:rPr>
          <w:rFonts w:ascii="Book Antiqua" w:hAnsi="Book Antiqua" w:cs="Times New Roman"/>
          <w:sz w:val="24"/>
          <w:szCs w:val="24"/>
        </w:rPr>
        <w:t xml:space="preserve">, with larger groups </w:t>
      </w:r>
      <w:r w:rsidR="004A7F7A" w:rsidRPr="004E35E5">
        <w:rPr>
          <w:rFonts w:ascii="Book Antiqua" w:hAnsi="Book Antiqua" w:cs="Times New Roman"/>
          <w:sz w:val="24"/>
          <w:szCs w:val="24"/>
        </w:rPr>
        <w:t xml:space="preserve">potentially </w:t>
      </w:r>
      <w:r w:rsidRPr="004E35E5">
        <w:rPr>
          <w:rFonts w:ascii="Book Antiqua" w:hAnsi="Book Antiqua" w:cs="Times New Roman"/>
          <w:sz w:val="24"/>
          <w:szCs w:val="24"/>
        </w:rPr>
        <w:t>interfering with group ed</w:t>
      </w:r>
      <w:r w:rsidR="004A7F7A" w:rsidRPr="004E35E5">
        <w:rPr>
          <w:rFonts w:ascii="Book Antiqua" w:hAnsi="Book Antiqua" w:cs="Times New Roman"/>
          <w:sz w:val="24"/>
          <w:szCs w:val="24"/>
        </w:rPr>
        <w:t xml:space="preserve">ucation and </w:t>
      </w:r>
      <w:proofErr w:type="gramStart"/>
      <w:r w:rsidR="004A7F7A" w:rsidRPr="004E35E5">
        <w:rPr>
          <w:rFonts w:ascii="Book Antiqua" w:hAnsi="Book Antiqua" w:cs="Times New Roman"/>
          <w:sz w:val="24"/>
          <w:szCs w:val="24"/>
        </w:rPr>
        <w:t>process</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17,18]</w:t>
      </w:r>
      <w:r w:rsidRPr="004E35E5">
        <w:rPr>
          <w:rFonts w:ascii="Book Antiqua" w:hAnsi="Book Antiqua" w:cs="Times New Roman"/>
          <w:sz w:val="24"/>
          <w:szCs w:val="24"/>
        </w:rPr>
        <w:t>.</w:t>
      </w:r>
      <w:r w:rsidR="00A81B8A">
        <w:rPr>
          <w:rFonts w:ascii="Book Antiqua" w:hAnsi="Book Antiqua" w:cs="Times New Roman"/>
          <w:b/>
          <w:sz w:val="24"/>
          <w:szCs w:val="24"/>
          <w:vertAlign w:val="superscript"/>
        </w:rPr>
        <w:t xml:space="preserve"> </w:t>
      </w:r>
      <w:r w:rsidRPr="004E35E5">
        <w:rPr>
          <w:rFonts w:ascii="Book Antiqua" w:hAnsi="Book Antiqua" w:cs="Times New Roman"/>
          <w:sz w:val="24"/>
          <w:szCs w:val="24"/>
        </w:rPr>
        <w:t xml:space="preserve">Identifying the size at which </w:t>
      </w:r>
      <w:r w:rsidR="000D26F2" w:rsidRPr="004E35E5">
        <w:rPr>
          <w:rFonts w:ascii="Book Antiqua" w:hAnsi="Book Antiqua" w:cs="Times New Roman"/>
          <w:sz w:val="24"/>
          <w:szCs w:val="24"/>
        </w:rPr>
        <w:t xml:space="preserve">restoration </w:t>
      </w:r>
      <w:r w:rsidRPr="004E35E5">
        <w:rPr>
          <w:rFonts w:ascii="Book Antiqua" w:hAnsi="Book Antiqua" w:cs="Times New Roman"/>
          <w:sz w:val="24"/>
          <w:szCs w:val="24"/>
        </w:rPr>
        <w:t>groups attain optimum performance may be an important outgrowth of research in this area.</w:t>
      </w:r>
    </w:p>
    <w:p w14:paraId="2944E542" w14:textId="10182DB9" w:rsidR="00D50E2B" w:rsidRPr="004E35E5" w:rsidRDefault="008B1C65" w:rsidP="00A81B8A">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lastRenderedPageBreak/>
        <w:t>As some states have recognized, case man</w:t>
      </w:r>
      <w:r w:rsidR="00D50E2B" w:rsidRPr="004E35E5">
        <w:rPr>
          <w:rFonts w:ascii="Book Antiqua" w:hAnsi="Book Antiqua" w:cs="Times New Roman"/>
          <w:sz w:val="24"/>
          <w:szCs w:val="24"/>
        </w:rPr>
        <w:t>agement services are critical for</w:t>
      </w:r>
      <w:r w:rsidRPr="004E35E5">
        <w:rPr>
          <w:rFonts w:ascii="Book Antiqua" w:hAnsi="Book Antiqua" w:cs="Times New Roman"/>
          <w:sz w:val="24"/>
          <w:szCs w:val="24"/>
        </w:rPr>
        <w:t xml:space="preserve"> addressin</w:t>
      </w:r>
      <w:r w:rsidR="00D50E2B" w:rsidRPr="004E35E5">
        <w:rPr>
          <w:rFonts w:ascii="Book Antiqua" w:hAnsi="Book Antiqua" w:cs="Times New Roman"/>
          <w:sz w:val="24"/>
          <w:szCs w:val="24"/>
        </w:rPr>
        <w:t>g restorability as well as assessing the use of clinical</w:t>
      </w:r>
      <w:r w:rsidRPr="004E35E5">
        <w:rPr>
          <w:rFonts w:ascii="Book Antiqua" w:hAnsi="Book Antiqua" w:cs="Times New Roman"/>
          <w:sz w:val="24"/>
          <w:szCs w:val="24"/>
        </w:rPr>
        <w:t xml:space="preserve"> and forensic services.</w:t>
      </w:r>
      <w:r w:rsidR="004E35E5">
        <w:rPr>
          <w:rFonts w:ascii="Book Antiqua" w:hAnsi="Book Antiqua" w:cs="Times New Roman"/>
          <w:sz w:val="24"/>
          <w:szCs w:val="24"/>
        </w:rPr>
        <w:t xml:space="preserve"> </w:t>
      </w:r>
      <w:r w:rsidRPr="004E35E5">
        <w:rPr>
          <w:rFonts w:ascii="Book Antiqua" w:hAnsi="Book Antiqua" w:cs="Times New Roman"/>
          <w:sz w:val="24"/>
          <w:szCs w:val="24"/>
        </w:rPr>
        <w:t>The factors known to affect one’s abil</w:t>
      </w:r>
      <w:r w:rsidR="00472727" w:rsidRPr="004E35E5">
        <w:rPr>
          <w:rFonts w:ascii="Book Antiqua" w:hAnsi="Book Antiqua" w:cs="Times New Roman"/>
          <w:sz w:val="24"/>
          <w:szCs w:val="24"/>
        </w:rPr>
        <w:t>ity to become competent include</w:t>
      </w:r>
      <w:r w:rsidR="003C61AB" w:rsidRPr="004E35E5">
        <w:rPr>
          <w:rFonts w:ascii="Book Antiqua" w:hAnsi="Book Antiqua" w:cs="Times New Roman"/>
          <w:sz w:val="24"/>
          <w:szCs w:val="24"/>
        </w:rPr>
        <w:t xml:space="preserve"> employment</w:t>
      </w:r>
      <w:r w:rsidRPr="004E35E5">
        <w:rPr>
          <w:rFonts w:ascii="Book Antiqua" w:hAnsi="Book Antiqua" w:cs="Times New Roman"/>
          <w:sz w:val="24"/>
          <w:szCs w:val="24"/>
        </w:rPr>
        <w:t>, treatmen</w:t>
      </w:r>
      <w:r w:rsidR="007807B5" w:rsidRPr="004E35E5">
        <w:rPr>
          <w:rFonts w:ascii="Book Antiqua" w:hAnsi="Book Antiqua" w:cs="Times New Roman"/>
          <w:sz w:val="24"/>
          <w:szCs w:val="24"/>
        </w:rPr>
        <w:t>t adherence</w:t>
      </w:r>
      <w:r w:rsidR="00D50E2B" w:rsidRPr="004E35E5">
        <w:rPr>
          <w:rFonts w:ascii="Book Antiqua" w:hAnsi="Book Antiqua" w:cs="Times New Roman"/>
          <w:sz w:val="24"/>
          <w:szCs w:val="24"/>
        </w:rPr>
        <w:t>, and abstinence from</w:t>
      </w:r>
      <w:r w:rsidRPr="004E35E5">
        <w:rPr>
          <w:rFonts w:ascii="Book Antiqua" w:hAnsi="Book Antiqua" w:cs="Times New Roman"/>
          <w:sz w:val="24"/>
          <w:szCs w:val="24"/>
        </w:rPr>
        <w:t xml:space="preserve"> substance </w:t>
      </w:r>
      <w:proofErr w:type="gramStart"/>
      <w:r w:rsidRPr="004E35E5">
        <w:rPr>
          <w:rFonts w:ascii="Book Antiqua" w:hAnsi="Book Antiqua" w:cs="Times New Roman"/>
          <w:sz w:val="24"/>
          <w:szCs w:val="24"/>
        </w:rPr>
        <w:t>use</w:t>
      </w:r>
      <w:r w:rsidR="00A81B8A" w:rsidRPr="00A81B8A">
        <w:rPr>
          <w:rFonts w:ascii="Book Antiqua" w:hAnsi="Book Antiqua" w:cs="Times New Roman"/>
          <w:sz w:val="24"/>
          <w:szCs w:val="24"/>
          <w:vertAlign w:val="superscript"/>
        </w:rPr>
        <w:t>[</w:t>
      </w:r>
      <w:proofErr w:type="gramEnd"/>
      <w:r w:rsidR="00A81B8A" w:rsidRPr="00A81B8A">
        <w:rPr>
          <w:rFonts w:ascii="Book Antiqua" w:hAnsi="Book Antiqua" w:cs="Times New Roman"/>
          <w:sz w:val="24"/>
          <w:szCs w:val="24"/>
          <w:vertAlign w:val="superscript"/>
        </w:rPr>
        <w:t>19,20]</w:t>
      </w:r>
      <w:r w:rsidR="00E05276" w:rsidRPr="004E35E5">
        <w:rPr>
          <w:rFonts w:ascii="Book Antiqua" w:hAnsi="Book Antiqua" w:cs="Times New Roman"/>
          <w:sz w:val="24"/>
          <w:szCs w:val="24"/>
        </w:rPr>
        <w:t>.</w:t>
      </w:r>
      <w:r w:rsidRPr="004E35E5">
        <w:rPr>
          <w:rFonts w:ascii="Book Antiqua" w:hAnsi="Book Antiqua" w:cs="Times New Roman"/>
          <w:sz w:val="24"/>
          <w:szCs w:val="24"/>
        </w:rPr>
        <w:t xml:space="preserve"> Support in these areas can be health-affirming as well as cost-effective. Transportation </w:t>
      </w:r>
      <w:r w:rsidR="00AF1C4F" w:rsidRPr="004E35E5">
        <w:rPr>
          <w:rFonts w:ascii="Book Antiqua" w:hAnsi="Book Antiqua" w:cs="Times New Roman"/>
          <w:sz w:val="24"/>
          <w:szCs w:val="24"/>
        </w:rPr>
        <w:t>assistance</w:t>
      </w:r>
      <w:r w:rsidRPr="004E35E5">
        <w:rPr>
          <w:rFonts w:ascii="Book Antiqua" w:hAnsi="Book Antiqua" w:cs="Times New Roman"/>
          <w:sz w:val="24"/>
          <w:szCs w:val="24"/>
        </w:rPr>
        <w:t xml:space="preserve"> can be </w:t>
      </w:r>
      <w:r w:rsidR="00AF1C4F" w:rsidRPr="004E35E5">
        <w:rPr>
          <w:rFonts w:ascii="Book Antiqua" w:hAnsi="Book Antiqua" w:cs="Times New Roman"/>
          <w:sz w:val="24"/>
          <w:szCs w:val="24"/>
        </w:rPr>
        <w:t>particularly</w:t>
      </w:r>
      <w:r w:rsidRPr="004E35E5">
        <w:rPr>
          <w:rFonts w:ascii="Book Antiqua" w:hAnsi="Book Antiqua" w:cs="Times New Roman"/>
          <w:sz w:val="24"/>
          <w:szCs w:val="24"/>
        </w:rPr>
        <w:t xml:space="preserve"> useful in improving access to forensic and community services that assure the fairness of the judicial process.</w:t>
      </w:r>
      <w:r w:rsidR="005F7F66">
        <w:rPr>
          <w:rFonts w:ascii="Book Antiqua" w:hAnsi="Book Antiqua" w:cs="Times New Roman"/>
          <w:sz w:val="24"/>
          <w:szCs w:val="24"/>
        </w:rPr>
        <w:t xml:space="preserve"> </w:t>
      </w:r>
    </w:p>
    <w:p w14:paraId="4F76D43C" w14:textId="00D2E208" w:rsidR="008B1C65" w:rsidRPr="004E35E5" w:rsidRDefault="00D13498" w:rsidP="00B91D80">
      <w:pPr>
        <w:spacing w:after="0" w:line="360" w:lineRule="auto"/>
        <w:ind w:firstLineChars="100" w:firstLine="240"/>
        <w:jc w:val="both"/>
        <w:rPr>
          <w:rFonts w:ascii="Book Antiqua" w:hAnsi="Book Antiqua" w:cs="Times New Roman"/>
          <w:sz w:val="24"/>
          <w:szCs w:val="24"/>
        </w:rPr>
      </w:pPr>
      <w:r w:rsidRPr="004E35E5">
        <w:rPr>
          <w:rFonts w:ascii="Book Antiqua" w:hAnsi="Book Antiqua" w:cs="Times New Roman"/>
          <w:sz w:val="24"/>
          <w:szCs w:val="24"/>
        </w:rPr>
        <w:t xml:space="preserve">As practiced in the District of Columbia, </w:t>
      </w:r>
      <w:r w:rsidR="00472727" w:rsidRPr="004E35E5">
        <w:rPr>
          <w:rFonts w:ascii="Book Antiqua" w:hAnsi="Book Antiqua" w:cs="Times New Roman"/>
          <w:sz w:val="24"/>
          <w:szCs w:val="24"/>
        </w:rPr>
        <w:t xml:space="preserve">therefore, </w:t>
      </w:r>
      <w:r w:rsidRPr="004E35E5">
        <w:rPr>
          <w:rFonts w:ascii="Book Antiqua" w:hAnsi="Book Antiqua" w:cs="Times New Roman"/>
          <w:sz w:val="24"/>
          <w:szCs w:val="24"/>
        </w:rPr>
        <w:t>outpatient competence restoration is an effective intervention for assuring the fair use of the courts. Governed by landmark court cases and local law, the OCRP</w:t>
      </w:r>
      <w:r w:rsidR="005D079F" w:rsidRPr="004E35E5">
        <w:rPr>
          <w:rFonts w:ascii="Book Antiqua" w:hAnsi="Book Antiqua" w:cs="Times New Roman"/>
          <w:sz w:val="24"/>
          <w:szCs w:val="24"/>
        </w:rPr>
        <w:t>s</w:t>
      </w:r>
      <w:r w:rsidRPr="004E35E5">
        <w:rPr>
          <w:rFonts w:ascii="Book Antiqua" w:hAnsi="Book Antiqua" w:cs="Times New Roman"/>
          <w:sz w:val="24"/>
          <w:szCs w:val="24"/>
        </w:rPr>
        <w:t xml:space="preserve"> </w:t>
      </w:r>
      <w:r w:rsidR="00D63C6D" w:rsidRPr="004E35E5">
        <w:rPr>
          <w:rFonts w:ascii="Book Antiqua" w:hAnsi="Book Antiqua" w:cs="Times New Roman"/>
          <w:sz w:val="24"/>
          <w:szCs w:val="24"/>
        </w:rPr>
        <w:t xml:space="preserve">in general </w:t>
      </w:r>
      <w:r w:rsidRPr="004E35E5">
        <w:rPr>
          <w:rFonts w:ascii="Book Antiqua" w:hAnsi="Book Antiqua" w:cs="Times New Roman"/>
          <w:sz w:val="24"/>
          <w:szCs w:val="24"/>
        </w:rPr>
        <w:t>offer a range of educational resources and support for those who cannot successfully navigate the judicial system. Frequently achievable within 45 d</w:t>
      </w:r>
      <w:r w:rsidR="005D079F" w:rsidRPr="004E35E5">
        <w:rPr>
          <w:rFonts w:ascii="Book Antiqua" w:hAnsi="Book Antiqua" w:cs="Times New Roman"/>
          <w:sz w:val="24"/>
          <w:szCs w:val="24"/>
        </w:rPr>
        <w:t xml:space="preserve"> in DC</w:t>
      </w:r>
      <w:r w:rsidRPr="004E35E5">
        <w:rPr>
          <w:rFonts w:ascii="Book Antiqua" w:hAnsi="Book Antiqua" w:cs="Times New Roman"/>
          <w:sz w:val="24"/>
          <w:szCs w:val="24"/>
        </w:rPr>
        <w:t>, competence restoration relies on expert assessment, group process, multi-media interventions, and leverage from the courts. Future challenges arise from the presence of participants with cognitive difficulties and the need for more research on optimal group size, transportation needs, and inter-agency collaboration.</w:t>
      </w:r>
    </w:p>
    <w:p w14:paraId="1CB8E6CD" w14:textId="77777777" w:rsidR="008B1C65" w:rsidRPr="004E35E5" w:rsidRDefault="008B1C65" w:rsidP="004E35E5">
      <w:pPr>
        <w:spacing w:after="0" w:line="360" w:lineRule="auto"/>
        <w:jc w:val="both"/>
        <w:rPr>
          <w:rFonts w:ascii="Book Antiqua" w:hAnsi="Book Antiqua" w:cs="Times New Roman"/>
          <w:sz w:val="24"/>
          <w:szCs w:val="24"/>
        </w:rPr>
      </w:pPr>
    </w:p>
    <w:p w14:paraId="6658C23C" w14:textId="17131381" w:rsidR="00D34E7C" w:rsidRPr="00B91D80" w:rsidRDefault="00B91D80" w:rsidP="004E35E5">
      <w:pPr>
        <w:spacing w:after="0" w:line="360" w:lineRule="auto"/>
        <w:jc w:val="both"/>
        <w:rPr>
          <w:rFonts w:ascii="Book Antiqua" w:hAnsi="Book Antiqua" w:cs="Times New Roman"/>
          <w:b/>
          <w:sz w:val="24"/>
          <w:szCs w:val="24"/>
          <w:lang w:eastAsia="zh-CN"/>
        </w:rPr>
      </w:pPr>
      <w:r w:rsidRPr="00B91D80">
        <w:rPr>
          <w:rFonts w:ascii="Book Antiqua" w:hAnsi="Book Antiqua" w:cs="Times New Roman"/>
          <w:b/>
          <w:sz w:val="24"/>
          <w:szCs w:val="24"/>
        </w:rPr>
        <w:t>ACKNOWLEDGEMENT</w:t>
      </w:r>
      <w:r w:rsidRPr="00B91D80">
        <w:rPr>
          <w:rFonts w:ascii="Book Antiqua" w:hAnsi="Book Antiqua" w:cs="Times New Roman"/>
          <w:b/>
          <w:sz w:val="24"/>
          <w:szCs w:val="24"/>
          <w:lang w:eastAsia="zh-CN"/>
        </w:rPr>
        <w:t>S</w:t>
      </w:r>
    </w:p>
    <w:p w14:paraId="087299B5" w14:textId="492C63EB" w:rsidR="007F50E1" w:rsidRPr="004E35E5" w:rsidRDefault="00D34E7C" w:rsidP="004E35E5">
      <w:pPr>
        <w:pStyle w:val="NoSpacing"/>
        <w:spacing w:line="360" w:lineRule="auto"/>
        <w:jc w:val="both"/>
        <w:rPr>
          <w:rFonts w:ascii="Book Antiqua" w:hAnsi="Book Antiqua" w:cs="Times New Roman"/>
          <w:sz w:val="24"/>
          <w:szCs w:val="24"/>
        </w:rPr>
      </w:pPr>
      <w:r w:rsidRPr="004E35E5">
        <w:rPr>
          <w:rFonts w:ascii="Book Antiqua" w:hAnsi="Book Antiqua" w:cs="Times New Roman"/>
          <w:sz w:val="24"/>
          <w:szCs w:val="24"/>
        </w:rPr>
        <w:t xml:space="preserve">We are grateful to </w:t>
      </w:r>
      <w:r w:rsidR="00D21ACA" w:rsidRPr="004E35E5">
        <w:rPr>
          <w:rFonts w:ascii="Book Antiqua" w:hAnsi="Book Antiqua" w:cs="Times New Roman"/>
          <w:sz w:val="24"/>
          <w:szCs w:val="24"/>
        </w:rPr>
        <w:t xml:space="preserve">biostatistician </w:t>
      </w:r>
      <w:r w:rsidRPr="004E35E5">
        <w:rPr>
          <w:rFonts w:ascii="Book Antiqua" w:hAnsi="Book Antiqua" w:cs="Times New Roman"/>
          <w:sz w:val="24"/>
          <w:szCs w:val="24"/>
        </w:rPr>
        <w:t>Robert Wesley, PhD, for his assistance with the statistical analysis, and to Doshia Kelly, BS, and Frances Alves, MSW for their efforts in data collection.</w:t>
      </w:r>
    </w:p>
    <w:p w14:paraId="0DCE86BA" w14:textId="77777777" w:rsidR="00D34E7C" w:rsidRPr="004E35E5" w:rsidRDefault="00D34E7C" w:rsidP="004E35E5">
      <w:pPr>
        <w:spacing w:after="0" w:line="360" w:lineRule="auto"/>
        <w:jc w:val="both"/>
        <w:rPr>
          <w:rFonts w:ascii="Book Antiqua" w:hAnsi="Book Antiqua" w:cs="Times New Roman"/>
          <w:sz w:val="24"/>
          <w:szCs w:val="24"/>
          <w:lang w:eastAsia="zh-CN"/>
        </w:rPr>
      </w:pPr>
    </w:p>
    <w:p w14:paraId="33570C24" w14:textId="2BA60EB5" w:rsidR="00A2139F" w:rsidRPr="00B91D80" w:rsidRDefault="00B91D80" w:rsidP="004E35E5">
      <w:pPr>
        <w:spacing w:after="0" w:line="360" w:lineRule="auto"/>
        <w:jc w:val="both"/>
        <w:rPr>
          <w:rFonts w:ascii="Book Antiqua" w:hAnsi="Book Antiqua" w:cs="Times New Roman"/>
          <w:b/>
          <w:sz w:val="24"/>
          <w:szCs w:val="24"/>
          <w:lang w:eastAsia="zh-CN"/>
        </w:rPr>
      </w:pPr>
      <w:r w:rsidRPr="00B91D80">
        <w:rPr>
          <w:rFonts w:ascii="Book Antiqua" w:hAnsi="Book Antiqua" w:cs="Times New Roman"/>
          <w:b/>
          <w:sz w:val="24"/>
          <w:szCs w:val="24"/>
          <w:lang w:eastAsia="zh-CN"/>
        </w:rPr>
        <w:t>COMMENTS</w:t>
      </w:r>
    </w:p>
    <w:p w14:paraId="58550B27" w14:textId="77777777" w:rsidR="00035694" w:rsidRPr="00B91D80" w:rsidRDefault="00035694" w:rsidP="00B91D80">
      <w:pPr>
        <w:pStyle w:val="ListParagraph"/>
        <w:spacing w:after="0" w:line="360" w:lineRule="auto"/>
        <w:ind w:left="0"/>
        <w:jc w:val="both"/>
        <w:rPr>
          <w:rFonts w:ascii="Book Antiqua" w:hAnsi="Book Antiqua"/>
          <w:b/>
          <w:i/>
          <w:sz w:val="24"/>
          <w:szCs w:val="24"/>
        </w:rPr>
      </w:pPr>
      <w:r w:rsidRPr="00B91D80">
        <w:rPr>
          <w:rFonts w:ascii="Book Antiqua" w:hAnsi="Book Antiqua"/>
          <w:b/>
          <w:i/>
          <w:sz w:val="24"/>
          <w:szCs w:val="24"/>
        </w:rPr>
        <w:t xml:space="preserve">Background </w:t>
      </w:r>
    </w:p>
    <w:p w14:paraId="5199B5A7" w14:textId="33B87589" w:rsidR="00035694" w:rsidRPr="004E35E5" w:rsidRDefault="00035694" w:rsidP="004E35E5">
      <w:pPr>
        <w:spacing w:after="0" w:line="360" w:lineRule="auto"/>
        <w:jc w:val="both"/>
        <w:rPr>
          <w:rFonts w:ascii="Book Antiqua" w:hAnsi="Book Antiqua"/>
          <w:sz w:val="24"/>
          <w:szCs w:val="24"/>
        </w:rPr>
      </w:pPr>
      <w:r w:rsidRPr="004E35E5">
        <w:rPr>
          <w:rFonts w:ascii="Book Antiqua" w:hAnsi="Book Antiqua"/>
          <w:sz w:val="24"/>
          <w:szCs w:val="24"/>
        </w:rPr>
        <w:t>This study examines an Outpatient Competency Restoration Program (OCRP) and its effectiveness in restoring adjudicative competence in the least restrictive environment. In a period when budgetary constraints influence clinical services, OCR is an effective and cost-saving tool for providing a necessary service required by U</w:t>
      </w:r>
      <w:r w:rsidR="00B91D80">
        <w:rPr>
          <w:rFonts w:ascii="Book Antiqua" w:hAnsi="Book Antiqua" w:hint="eastAsia"/>
          <w:sz w:val="24"/>
          <w:szCs w:val="24"/>
          <w:lang w:eastAsia="zh-CN"/>
        </w:rPr>
        <w:t xml:space="preserve">nited </w:t>
      </w:r>
      <w:r w:rsidRPr="004E35E5">
        <w:rPr>
          <w:rFonts w:ascii="Book Antiqua" w:hAnsi="Book Antiqua"/>
          <w:sz w:val="24"/>
          <w:szCs w:val="24"/>
        </w:rPr>
        <w:t>S</w:t>
      </w:r>
      <w:r w:rsidR="00B91D80">
        <w:rPr>
          <w:rFonts w:ascii="Book Antiqua" w:hAnsi="Book Antiqua" w:hint="eastAsia"/>
          <w:sz w:val="24"/>
          <w:szCs w:val="24"/>
          <w:lang w:eastAsia="zh-CN"/>
        </w:rPr>
        <w:t>tates</w:t>
      </w:r>
      <w:r w:rsidRPr="004E35E5">
        <w:rPr>
          <w:rFonts w:ascii="Book Antiqua" w:hAnsi="Book Antiqua"/>
          <w:sz w:val="24"/>
          <w:szCs w:val="24"/>
        </w:rPr>
        <w:t xml:space="preserve"> law. Providing multi-media group education in an outpatient setting alongside competency evaluation conducted by forensic clinicians is a cardinal feature of the OCR program in </w:t>
      </w:r>
      <w:r w:rsidRPr="004E35E5">
        <w:rPr>
          <w:rFonts w:ascii="Book Antiqua" w:hAnsi="Book Antiqua"/>
          <w:sz w:val="24"/>
          <w:szCs w:val="24"/>
        </w:rPr>
        <w:lastRenderedPageBreak/>
        <w:t>Washington DC. This study provides a look into a model OCR program and its data in hopes that jurisdictions not yet utilizing this service will develop programs that simultaneously meet the needs of the criminal justice system while protecting the civil liberties of the mentally ill.</w:t>
      </w:r>
    </w:p>
    <w:p w14:paraId="4681D26D" w14:textId="77777777" w:rsidR="00B91D80" w:rsidRDefault="00B91D80" w:rsidP="00B91D80">
      <w:pPr>
        <w:pStyle w:val="ListParagraph"/>
        <w:spacing w:after="0" w:line="360" w:lineRule="auto"/>
        <w:ind w:left="0"/>
        <w:jc w:val="both"/>
        <w:rPr>
          <w:rFonts w:ascii="Book Antiqua" w:hAnsi="Book Antiqua"/>
          <w:sz w:val="24"/>
          <w:szCs w:val="24"/>
        </w:rPr>
      </w:pPr>
    </w:p>
    <w:p w14:paraId="10DAA362" w14:textId="77777777" w:rsidR="00035694" w:rsidRPr="00B91D80" w:rsidRDefault="00035694" w:rsidP="00B91D80">
      <w:pPr>
        <w:pStyle w:val="ListParagraph"/>
        <w:spacing w:after="0" w:line="360" w:lineRule="auto"/>
        <w:ind w:left="0"/>
        <w:jc w:val="both"/>
        <w:rPr>
          <w:rFonts w:ascii="Book Antiqua" w:hAnsi="Book Antiqua"/>
          <w:b/>
          <w:i/>
          <w:sz w:val="24"/>
          <w:szCs w:val="24"/>
        </w:rPr>
      </w:pPr>
      <w:r w:rsidRPr="00B91D80">
        <w:rPr>
          <w:rFonts w:ascii="Book Antiqua" w:hAnsi="Book Antiqua"/>
          <w:b/>
          <w:i/>
          <w:sz w:val="24"/>
          <w:szCs w:val="24"/>
        </w:rPr>
        <w:t>Research frontiers</w:t>
      </w:r>
    </w:p>
    <w:p w14:paraId="2EBAA6AB" w14:textId="12C65569" w:rsidR="00035694" w:rsidRDefault="00035694" w:rsidP="004E35E5">
      <w:pPr>
        <w:spacing w:after="0" w:line="360" w:lineRule="auto"/>
        <w:jc w:val="both"/>
        <w:rPr>
          <w:rFonts w:ascii="Book Antiqua" w:hAnsi="Book Antiqua"/>
          <w:sz w:val="24"/>
          <w:szCs w:val="24"/>
          <w:lang w:eastAsia="zh-CN"/>
        </w:rPr>
      </w:pPr>
      <w:r w:rsidRPr="004E35E5">
        <w:rPr>
          <w:rFonts w:ascii="Book Antiqua" w:hAnsi="Book Antiqua"/>
          <w:sz w:val="24"/>
          <w:szCs w:val="24"/>
        </w:rPr>
        <w:t>There is little information in the literature on the specifics of OCR programs. This is the first time, to our knowledge, that the specific methods of an OCRP are described and its aggregate data examined.</w:t>
      </w:r>
      <w:r w:rsidR="004E35E5">
        <w:rPr>
          <w:rFonts w:ascii="Book Antiqua" w:hAnsi="Book Antiqua"/>
          <w:sz w:val="24"/>
          <w:szCs w:val="24"/>
        </w:rPr>
        <w:t xml:space="preserve"> </w:t>
      </w:r>
      <w:r w:rsidRPr="004E35E5">
        <w:rPr>
          <w:rFonts w:ascii="Book Antiqua" w:hAnsi="Book Antiqua"/>
          <w:sz w:val="24"/>
          <w:szCs w:val="24"/>
        </w:rPr>
        <w:t>This project may consequently allow other jurisdictions to compare their methods and data as they develop or modify new programs.</w:t>
      </w:r>
    </w:p>
    <w:p w14:paraId="0CA21F98" w14:textId="77777777" w:rsidR="00E42CEC" w:rsidRPr="004E35E5" w:rsidRDefault="00E42CEC" w:rsidP="004E35E5">
      <w:pPr>
        <w:spacing w:after="0" w:line="360" w:lineRule="auto"/>
        <w:jc w:val="both"/>
        <w:rPr>
          <w:rFonts w:ascii="Book Antiqua" w:hAnsi="Book Antiqua"/>
          <w:sz w:val="24"/>
          <w:szCs w:val="24"/>
          <w:lang w:eastAsia="zh-CN"/>
        </w:rPr>
      </w:pPr>
    </w:p>
    <w:p w14:paraId="4998AD36" w14:textId="77777777" w:rsidR="00035694" w:rsidRPr="00E42CEC" w:rsidRDefault="00035694" w:rsidP="00E42CEC">
      <w:pPr>
        <w:pStyle w:val="ListParagraph"/>
        <w:spacing w:after="0" w:line="360" w:lineRule="auto"/>
        <w:ind w:left="0"/>
        <w:jc w:val="both"/>
        <w:rPr>
          <w:rFonts w:ascii="Book Antiqua" w:hAnsi="Book Antiqua"/>
          <w:b/>
          <w:i/>
          <w:sz w:val="24"/>
          <w:szCs w:val="24"/>
        </w:rPr>
      </w:pPr>
      <w:r w:rsidRPr="00E42CEC">
        <w:rPr>
          <w:rFonts w:ascii="Book Antiqua" w:hAnsi="Book Antiqua"/>
          <w:b/>
          <w:i/>
          <w:sz w:val="24"/>
          <w:szCs w:val="24"/>
        </w:rPr>
        <w:t xml:space="preserve">Innovations and breakthroughs </w:t>
      </w:r>
    </w:p>
    <w:p w14:paraId="0139C836" w14:textId="77777777" w:rsidR="00035694" w:rsidRDefault="00035694" w:rsidP="004E35E5">
      <w:pPr>
        <w:spacing w:after="0" w:line="360" w:lineRule="auto"/>
        <w:jc w:val="both"/>
        <w:rPr>
          <w:rFonts w:ascii="Book Antiqua" w:hAnsi="Book Antiqua"/>
          <w:sz w:val="24"/>
          <w:szCs w:val="24"/>
          <w:lang w:eastAsia="zh-CN"/>
        </w:rPr>
      </w:pPr>
      <w:r w:rsidRPr="004E35E5">
        <w:rPr>
          <w:rFonts w:ascii="Book Antiqua" w:hAnsi="Book Antiqua"/>
          <w:sz w:val="24"/>
          <w:szCs w:val="24"/>
        </w:rPr>
        <w:t xml:space="preserve">The multi-media approach to education of persons diagnosed with mental illness finds a new application in the outpatient forensic setting. This combination of educational efforts and forensic resources represents a unique effort to protect the rights of vulnerable individuals interacting with the judicial system. The combination of specific educational methods and aggregate data offers a unique look at the inner workings of a potentially model program. </w:t>
      </w:r>
    </w:p>
    <w:p w14:paraId="42A2B2D4" w14:textId="77777777" w:rsidR="00E42CEC" w:rsidRPr="00E42CEC" w:rsidRDefault="00E42CEC" w:rsidP="004E35E5">
      <w:pPr>
        <w:spacing w:after="0" w:line="360" w:lineRule="auto"/>
        <w:jc w:val="both"/>
        <w:rPr>
          <w:rFonts w:ascii="Book Antiqua" w:hAnsi="Book Antiqua"/>
          <w:b/>
          <w:i/>
          <w:sz w:val="24"/>
          <w:szCs w:val="24"/>
          <w:lang w:eastAsia="zh-CN"/>
        </w:rPr>
      </w:pPr>
    </w:p>
    <w:p w14:paraId="20C2800F" w14:textId="45F06CF4" w:rsidR="00035694" w:rsidRPr="00E42CEC" w:rsidRDefault="00035694" w:rsidP="00E42CEC">
      <w:pPr>
        <w:pStyle w:val="ListParagraph"/>
        <w:spacing w:after="0" w:line="360" w:lineRule="auto"/>
        <w:ind w:left="0"/>
        <w:jc w:val="both"/>
        <w:rPr>
          <w:rFonts w:ascii="Book Antiqua" w:hAnsi="Book Antiqua"/>
          <w:b/>
          <w:i/>
          <w:sz w:val="24"/>
          <w:szCs w:val="24"/>
        </w:rPr>
      </w:pPr>
      <w:r w:rsidRPr="00E42CEC">
        <w:rPr>
          <w:rFonts w:ascii="Book Antiqua" w:hAnsi="Book Antiqua"/>
          <w:b/>
          <w:i/>
          <w:sz w:val="24"/>
          <w:szCs w:val="24"/>
        </w:rPr>
        <w:t>Applications</w:t>
      </w:r>
      <w:r w:rsidR="004E35E5" w:rsidRPr="00E42CEC">
        <w:rPr>
          <w:rFonts w:ascii="Book Antiqua" w:hAnsi="Book Antiqua"/>
          <w:b/>
          <w:i/>
          <w:sz w:val="24"/>
          <w:szCs w:val="24"/>
        </w:rPr>
        <w:t xml:space="preserve"> </w:t>
      </w:r>
    </w:p>
    <w:p w14:paraId="60B77B04" w14:textId="77777777" w:rsidR="00035694" w:rsidRDefault="00035694" w:rsidP="004E35E5">
      <w:pPr>
        <w:spacing w:after="0" w:line="360" w:lineRule="auto"/>
        <w:jc w:val="both"/>
        <w:rPr>
          <w:rFonts w:ascii="Book Antiqua" w:hAnsi="Book Antiqua"/>
          <w:sz w:val="24"/>
          <w:szCs w:val="24"/>
          <w:lang w:eastAsia="zh-CN"/>
        </w:rPr>
      </w:pPr>
      <w:r w:rsidRPr="004E35E5">
        <w:rPr>
          <w:rFonts w:ascii="Book Antiqua" w:hAnsi="Book Antiqua"/>
          <w:sz w:val="24"/>
          <w:szCs w:val="24"/>
        </w:rPr>
        <w:t>The specific educational and resource information offered here, as well as its effect on competence restoration, can provide the framework for jurisdictions seeking to develop evidence-based programs that protect the civil liberties of persons diagnosed with mental illness.</w:t>
      </w:r>
    </w:p>
    <w:p w14:paraId="76B35A16" w14:textId="77777777" w:rsidR="00E42CEC" w:rsidRPr="004E35E5" w:rsidRDefault="00E42CEC" w:rsidP="004E35E5">
      <w:pPr>
        <w:spacing w:after="0" w:line="360" w:lineRule="auto"/>
        <w:jc w:val="both"/>
        <w:rPr>
          <w:rFonts w:ascii="Book Antiqua" w:hAnsi="Book Antiqua"/>
          <w:sz w:val="24"/>
          <w:szCs w:val="24"/>
          <w:lang w:eastAsia="zh-CN"/>
        </w:rPr>
      </w:pPr>
    </w:p>
    <w:p w14:paraId="79F73D4D" w14:textId="77777777" w:rsidR="00035694" w:rsidRPr="00E42CEC" w:rsidRDefault="00035694" w:rsidP="00E42CEC">
      <w:pPr>
        <w:pStyle w:val="ListParagraph"/>
        <w:spacing w:after="0" w:line="360" w:lineRule="auto"/>
        <w:ind w:left="0"/>
        <w:jc w:val="both"/>
        <w:rPr>
          <w:rFonts w:ascii="Book Antiqua" w:hAnsi="Book Antiqua"/>
          <w:b/>
          <w:i/>
          <w:sz w:val="24"/>
          <w:szCs w:val="24"/>
        </w:rPr>
      </w:pPr>
      <w:r w:rsidRPr="00E42CEC">
        <w:rPr>
          <w:rFonts w:ascii="Book Antiqua" w:hAnsi="Book Antiqua"/>
          <w:b/>
          <w:i/>
          <w:sz w:val="24"/>
          <w:szCs w:val="24"/>
        </w:rPr>
        <w:t xml:space="preserve">Terminology </w:t>
      </w:r>
    </w:p>
    <w:p w14:paraId="644B8668" w14:textId="1A2A23DC" w:rsidR="00035694" w:rsidRPr="004E35E5" w:rsidRDefault="00035694" w:rsidP="00E42CEC">
      <w:pPr>
        <w:spacing w:after="0" w:line="360" w:lineRule="auto"/>
        <w:jc w:val="both"/>
        <w:rPr>
          <w:rFonts w:ascii="Book Antiqua" w:hAnsi="Book Antiqua"/>
          <w:sz w:val="24"/>
          <w:szCs w:val="24"/>
          <w:lang w:eastAsia="zh-CN"/>
        </w:rPr>
      </w:pPr>
      <w:r w:rsidRPr="004E35E5">
        <w:rPr>
          <w:rFonts w:ascii="Book Antiqua" w:hAnsi="Book Antiqua"/>
          <w:sz w:val="24"/>
          <w:szCs w:val="24"/>
        </w:rPr>
        <w:t xml:space="preserve">Competency restoration: </w:t>
      </w:r>
      <w:r w:rsidR="00E42CEC" w:rsidRPr="004E35E5">
        <w:rPr>
          <w:rFonts w:ascii="Book Antiqua" w:hAnsi="Book Antiqua"/>
          <w:sz w:val="24"/>
          <w:szCs w:val="24"/>
        </w:rPr>
        <w:t>T</w:t>
      </w:r>
      <w:r w:rsidRPr="004E35E5">
        <w:rPr>
          <w:rFonts w:ascii="Book Antiqua" w:hAnsi="Book Antiqua"/>
          <w:sz w:val="24"/>
          <w:szCs w:val="24"/>
        </w:rPr>
        <w:t>he educational process followed by defendants found incompetent to stand trial</w:t>
      </w:r>
      <w:r w:rsidR="00E42CEC">
        <w:rPr>
          <w:rFonts w:ascii="Book Antiqua" w:hAnsi="Book Antiqua" w:hint="eastAsia"/>
          <w:sz w:val="24"/>
          <w:szCs w:val="24"/>
          <w:lang w:eastAsia="zh-CN"/>
        </w:rPr>
        <w:t xml:space="preserve">; </w:t>
      </w:r>
      <w:r w:rsidRPr="004E35E5">
        <w:rPr>
          <w:rFonts w:ascii="Book Antiqua" w:hAnsi="Book Antiqua"/>
          <w:sz w:val="24"/>
          <w:szCs w:val="24"/>
        </w:rPr>
        <w:t xml:space="preserve">Adjudicative competence or competence to stand trial: </w:t>
      </w:r>
      <w:r w:rsidR="00E42CEC" w:rsidRPr="004E35E5">
        <w:rPr>
          <w:rFonts w:ascii="Book Antiqua" w:hAnsi="Book Antiqua"/>
          <w:sz w:val="24"/>
          <w:szCs w:val="24"/>
        </w:rPr>
        <w:t>T</w:t>
      </w:r>
      <w:r w:rsidRPr="004E35E5">
        <w:rPr>
          <w:rFonts w:ascii="Book Antiqua" w:hAnsi="Book Antiqua"/>
          <w:sz w:val="24"/>
          <w:szCs w:val="24"/>
        </w:rPr>
        <w:t>he critical elements of courtroom procedures, participants, and reasoning that allow defendants to collaborate meaningfully in the judicial process.</w:t>
      </w:r>
    </w:p>
    <w:p w14:paraId="2D798484" w14:textId="77777777" w:rsidR="00A2139F" w:rsidRDefault="00A2139F" w:rsidP="004E35E5">
      <w:pPr>
        <w:spacing w:after="0" w:line="360" w:lineRule="auto"/>
        <w:jc w:val="both"/>
        <w:rPr>
          <w:rFonts w:ascii="Book Antiqua" w:hAnsi="Book Antiqua" w:cs="Times New Roman"/>
          <w:sz w:val="24"/>
          <w:szCs w:val="24"/>
          <w:lang w:eastAsia="zh-CN"/>
        </w:rPr>
      </w:pPr>
    </w:p>
    <w:p w14:paraId="5DAE7C52" w14:textId="4A6CC3A5" w:rsidR="00E42CEC" w:rsidRPr="00B46572" w:rsidRDefault="00E42CEC" w:rsidP="00B46572">
      <w:pPr>
        <w:spacing w:after="0" w:line="360" w:lineRule="auto"/>
        <w:jc w:val="both"/>
        <w:rPr>
          <w:rFonts w:ascii="Book Antiqua" w:hAnsi="Book Antiqua" w:cs="Times New Roman"/>
          <w:b/>
          <w:i/>
          <w:sz w:val="24"/>
          <w:szCs w:val="24"/>
          <w:lang w:eastAsia="zh-CN"/>
        </w:rPr>
      </w:pPr>
      <w:r w:rsidRPr="00B46572">
        <w:rPr>
          <w:rFonts w:ascii="Book Antiqua" w:hAnsi="Book Antiqua" w:cs="Times New Roman"/>
          <w:b/>
          <w:i/>
          <w:sz w:val="24"/>
          <w:szCs w:val="24"/>
          <w:lang w:eastAsia="zh-CN"/>
        </w:rPr>
        <w:t>Peer-review</w:t>
      </w:r>
    </w:p>
    <w:p w14:paraId="0732D3FF" w14:textId="77777777" w:rsidR="00E42CEC" w:rsidRPr="00B46572" w:rsidRDefault="00E42CEC" w:rsidP="00B46572">
      <w:pPr>
        <w:spacing w:after="0" w:line="360" w:lineRule="auto"/>
        <w:jc w:val="both"/>
        <w:rPr>
          <w:rFonts w:ascii="Book Antiqua" w:hAnsi="Book Antiqua"/>
          <w:sz w:val="24"/>
          <w:szCs w:val="24"/>
        </w:rPr>
      </w:pPr>
      <w:r w:rsidRPr="00B46572">
        <w:rPr>
          <w:rFonts w:ascii="Book Antiqua" w:hAnsi="Book Antiqua"/>
          <w:sz w:val="24"/>
          <w:szCs w:val="24"/>
        </w:rPr>
        <w:t>A well conducted study and the results are concise with a good discussion and literature survey.</w:t>
      </w:r>
    </w:p>
    <w:p w14:paraId="42D739A6" w14:textId="77777777" w:rsidR="00E42CEC" w:rsidRPr="00B46572" w:rsidRDefault="00E42CEC" w:rsidP="00B46572">
      <w:pPr>
        <w:spacing w:after="0" w:line="360" w:lineRule="auto"/>
        <w:jc w:val="both"/>
        <w:rPr>
          <w:rFonts w:ascii="Book Antiqua" w:hAnsi="Book Antiqua" w:cs="Times New Roman"/>
          <w:b/>
          <w:i/>
          <w:sz w:val="24"/>
          <w:szCs w:val="24"/>
          <w:lang w:eastAsia="zh-CN"/>
        </w:rPr>
      </w:pPr>
    </w:p>
    <w:p w14:paraId="2F7F7B56" w14:textId="250C166F" w:rsidR="007F50E1" w:rsidRPr="00B46572" w:rsidRDefault="00E42CEC" w:rsidP="00B46572">
      <w:pPr>
        <w:spacing w:after="0" w:line="360" w:lineRule="auto"/>
        <w:jc w:val="both"/>
        <w:rPr>
          <w:rFonts w:ascii="Book Antiqua" w:hAnsi="Book Antiqua" w:cs="Times New Roman"/>
          <w:b/>
          <w:sz w:val="24"/>
          <w:szCs w:val="24"/>
          <w:lang w:eastAsia="zh-CN"/>
        </w:rPr>
      </w:pPr>
      <w:r w:rsidRPr="00B46572">
        <w:rPr>
          <w:rFonts w:ascii="Book Antiqua" w:hAnsi="Book Antiqua" w:cs="Times New Roman"/>
          <w:b/>
          <w:sz w:val="24"/>
          <w:szCs w:val="24"/>
        </w:rPr>
        <w:t>REFERENCES</w:t>
      </w:r>
    </w:p>
    <w:p w14:paraId="3B6B0974" w14:textId="49B74E9E"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1 </w:t>
      </w:r>
      <w:r w:rsidRPr="00B46572">
        <w:rPr>
          <w:rFonts w:ascii="Book Antiqua" w:hAnsi="Book Antiqua" w:cs="宋体"/>
          <w:b/>
          <w:color w:val="000000"/>
          <w:sz w:val="24"/>
          <w:szCs w:val="24"/>
          <w:lang w:eastAsia="zh-CN"/>
        </w:rPr>
        <w:t>Dusky v United States</w:t>
      </w:r>
      <w:r w:rsidRPr="00B46572">
        <w:rPr>
          <w:rFonts w:ascii="Book Antiqua" w:hAnsi="Book Antiqua" w:cs="宋体" w:hint="eastAsia"/>
          <w:b/>
          <w:color w:val="000000"/>
          <w:sz w:val="24"/>
          <w:szCs w:val="24"/>
          <w:lang w:eastAsia="zh-CN"/>
        </w:rPr>
        <w:t>.</w:t>
      </w:r>
      <w:proofErr w:type="gramEnd"/>
      <w:r w:rsidRPr="00B46572">
        <w:rPr>
          <w:rFonts w:ascii="Book Antiqua" w:hAnsi="Book Antiqua" w:cs="宋体"/>
          <w:color w:val="000000"/>
          <w:sz w:val="24"/>
          <w:szCs w:val="24"/>
          <w:lang w:eastAsia="zh-CN"/>
        </w:rPr>
        <w:t xml:space="preserve"> </w:t>
      </w:r>
      <w:proofErr w:type="gramStart"/>
      <w:r w:rsidRPr="00B46572">
        <w:rPr>
          <w:rFonts w:ascii="Book Antiqua" w:hAnsi="Book Antiqua" w:cs="宋体"/>
          <w:color w:val="000000"/>
          <w:sz w:val="24"/>
          <w:szCs w:val="24"/>
          <w:lang w:eastAsia="zh-CN"/>
        </w:rPr>
        <w:t>362 U.S. 402</w:t>
      </w:r>
      <w:r>
        <w:rPr>
          <w:rFonts w:ascii="Book Antiqua" w:hAnsi="Book Antiqua" w:cs="宋体" w:hint="eastAsia"/>
          <w:color w:val="000000"/>
          <w:sz w:val="24"/>
          <w:szCs w:val="24"/>
          <w:lang w:eastAsia="zh-CN"/>
        </w:rPr>
        <w:t xml:space="preserve">, </w:t>
      </w:r>
      <w:r>
        <w:rPr>
          <w:rFonts w:ascii="Book Antiqua" w:hAnsi="Book Antiqua" w:cs="宋体"/>
          <w:color w:val="000000"/>
          <w:sz w:val="24"/>
          <w:szCs w:val="24"/>
          <w:lang w:eastAsia="zh-CN"/>
        </w:rPr>
        <w:t>1960</w:t>
      </w:r>
      <w:r>
        <w:rPr>
          <w:rFonts w:ascii="Book Antiqua" w:hAnsi="Book Antiqua" w:cs="宋体" w:hint="eastAsia"/>
          <w:color w:val="000000"/>
          <w:sz w:val="24"/>
          <w:szCs w:val="24"/>
          <w:lang w:eastAsia="zh-CN"/>
        </w:rPr>
        <w:t>.</w:t>
      </w:r>
      <w:proofErr w:type="gramEnd"/>
      <w:r w:rsidRPr="00B46572">
        <w:rPr>
          <w:rFonts w:ascii="Book Antiqua"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B46572">
        <w:rPr>
          <w:rFonts w:ascii="Book Antiqua" w:hAnsi="Book Antiqua" w:cs="宋体"/>
          <w:color w:val="000000"/>
          <w:sz w:val="24"/>
          <w:szCs w:val="24"/>
          <w:lang w:eastAsia="zh-CN"/>
        </w:rPr>
        <w:t>https: //supreme.justia.com/cases/federal/us/362/402/case.html</w:t>
      </w:r>
    </w:p>
    <w:p w14:paraId="1456803C" w14:textId="2F4902B7"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sidRPr="00B46572">
        <w:rPr>
          <w:rFonts w:ascii="Book Antiqua" w:hAnsi="Book Antiqua" w:cs="宋体"/>
          <w:color w:val="000000"/>
          <w:sz w:val="24"/>
          <w:szCs w:val="24"/>
          <w:lang w:eastAsia="zh-CN"/>
        </w:rPr>
        <w:t>2 South Africa Ab</w:t>
      </w:r>
      <w:r>
        <w:rPr>
          <w:rFonts w:ascii="Book Antiqua" w:hAnsi="Book Antiqua" w:cs="宋体"/>
          <w:color w:val="000000"/>
          <w:sz w:val="24"/>
          <w:szCs w:val="24"/>
          <w:lang w:eastAsia="zh-CN"/>
        </w:rPr>
        <w:t>olition of Juries Act 34, 1969</w:t>
      </w:r>
      <w:r>
        <w:rPr>
          <w:rFonts w:ascii="Book Antiqua" w:hAnsi="Book Antiqua" w:cs="宋体" w:hint="eastAsia"/>
          <w:color w:val="000000"/>
          <w:sz w:val="24"/>
          <w:szCs w:val="24"/>
          <w:lang w:eastAsia="zh-CN"/>
        </w:rPr>
        <w:t>.</w:t>
      </w:r>
      <w:proofErr w:type="gramEnd"/>
      <w:r w:rsidRPr="00B46572">
        <w:rPr>
          <w:rFonts w:ascii="Book Antiqua"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B46572">
        <w:rPr>
          <w:rFonts w:ascii="Book Antiqua" w:hAnsi="Book Antiqua" w:cs="宋体"/>
          <w:color w:val="000000"/>
          <w:sz w:val="24"/>
          <w:szCs w:val="24"/>
          <w:lang w:eastAsia="zh-CN"/>
        </w:rPr>
        <w:t>https: //www.nelsonmandela.org/omalley/index.php/site/q/03lv01538/04lv01828/05lv01829/06lv01939.htm</w:t>
      </w:r>
    </w:p>
    <w:p w14:paraId="55823026"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3 </w:t>
      </w:r>
      <w:r w:rsidRPr="00B46572">
        <w:rPr>
          <w:rFonts w:ascii="Book Antiqua" w:hAnsi="Book Antiqua" w:cs="宋体"/>
          <w:b/>
          <w:bCs/>
          <w:color w:val="000000"/>
          <w:sz w:val="24"/>
          <w:szCs w:val="24"/>
          <w:lang w:eastAsia="zh-CN"/>
        </w:rPr>
        <w:t>Hoge SK</w:t>
      </w:r>
      <w:r w:rsidRPr="00B46572">
        <w:rPr>
          <w:rFonts w:ascii="Book Antiqua" w:hAnsi="Book Antiqua" w:cs="宋体"/>
          <w:color w:val="000000"/>
          <w:sz w:val="24"/>
          <w:szCs w:val="24"/>
          <w:lang w:eastAsia="zh-CN"/>
        </w:rPr>
        <w:t>, Bonnie RJ, Poythress N, Monahan J, Eisenberg M, Feucht-Haviar T. The MacArthur adjudicative competence study: development and validation of a research instrument. </w:t>
      </w:r>
      <w:r w:rsidRPr="00B46572">
        <w:rPr>
          <w:rFonts w:ascii="Book Antiqua" w:hAnsi="Book Antiqua" w:cs="宋体"/>
          <w:i/>
          <w:iCs/>
          <w:color w:val="000000"/>
          <w:sz w:val="24"/>
          <w:szCs w:val="24"/>
          <w:lang w:eastAsia="zh-CN"/>
        </w:rPr>
        <w:t>Law Hum Behav</w:t>
      </w:r>
      <w:r w:rsidRPr="00B46572">
        <w:rPr>
          <w:rFonts w:ascii="Book Antiqua" w:hAnsi="Book Antiqua" w:cs="宋体"/>
          <w:color w:val="000000"/>
          <w:sz w:val="24"/>
          <w:szCs w:val="24"/>
          <w:lang w:eastAsia="zh-CN"/>
        </w:rPr>
        <w:t> 1997; </w:t>
      </w:r>
      <w:r w:rsidRPr="00B46572">
        <w:rPr>
          <w:rFonts w:ascii="Book Antiqua" w:hAnsi="Book Antiqua" w:cs="宋体"/>
          <w:b/>
          <w:bCs/>
          <w:color w:val="000000"/>
          <w:sz w:val="24"/>
          <w:szCs w:val="24"/>
          <w:lang w:eastAsia="zh-CN"/>
        </w:rPr>
        <w:t>21</w:t>
      </w:r>
      <w:r w:rsidRPr="00B46572">
        <w:rPr>
          <w:rFonts w:ascii="Book Antiqua" w:hAnsi="Book Antiqua" w:cs="宋体"/>
          <w:color w:val="000000"/>
          <w:sz w:val="24"/>
          <w:szCs w:val="24"/>
          <w:lang w:eastAsia="zh-CN"/>
        </w:rPr>
        <w:t>: 141-179 [PMID: 9146101]</w:t>
      </w:r>
    </w:p>
    <w:p w14:paraId="7E7DFE0A" w14:textId="66E7F125" w:rsidR="00B46572" w:rsidRPr="00B46572" w:rsidRDefault="00B46572" w:rsidP="00B4657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 </w:t>
      </w:r>
      <w:r w:rsidRPr="00B46572">
        <w:rPr>
          <w:rFonts w:ascii="Book Antiqua" w:hAnsi="Book Antiqua" w:cs="宋体"/>
          <w:b/>
          <w:color w:val="000000"/>
          <w:sz w:val="24"/>
          <w:szCs w:val="24"/>
          <w:lang w:eastAsia="zh-CN"/>
        </w:rPr>
        <w:t>Steadman HJ</w:t>
      </w:r>
      <w:r w:rsidRPr="00B46572">
        <w:rPr>
          <w:rFonts w:ascii="Book Antiqua" w:hAnsi="Book Antiqua" w:cs="宋体"/>
          <w:color w:val="000000"/>
          <w:sz w:val="24"/>
          <w:szCs w:val="24"/>
          <w:lang w:eastAsia="zh-CN"/>
        </w:rPr>
        <w:t xml:space="preserve">, Hartstone E. </w:t>
      </w:r>
      <w:proofErr w:type="gramStart"/>
      <w:r w:rsidRPr="00B46572">
        <w:rPr>
          <w:rFonts w:ascii="Book Antiqua" w:hAnsi="Book Antiqua" w:cs="宋体"/>
          <w:color w:val="000000"/>
          <w:sz w:val="24"/>
          <w:szCs w:val="24"/>
          <w:lang w:eastAsia="zh-CN"/>
        </w:rPr>
        <w:t>Defendants</w:t>
      </w:r>
      <w:proofErr w:type="gramEnd"/>
      <w:r w:rsidRPr="00B46572">
        <w:rPr>
          <w:rFonts w:ascii="Book Antiqua" w:hAnsi="Book Antiqua" w:cs="宋体"/>
          <w:color w:val="000000"/>
          <w:sz w:val="24"/>
          <w:szCs w:val="24"/>
          <w:lang w:eastAsia="zh-CN"/>
        </w:rPr>
        <w:t xml:space="preserve"> incompetent to stand trial. In Monahan J </w:t>
      </w:r>
      <w:r>
        <w:rPr>
          <w:rFonts w:ascii="Book Antiqua" w:hAnsi="Book Antiqua" w:cs="宋体"/>
          <w:color w:val="000000"/>
          <w:sz w:val="24"/>
          <w:szCs w:val="24"/>
          <w:lang w:eastAsia="zh-CN"/>
        </w:rPr>
        <w:t>and</w:t>
      </w:r>
      <w:r w:rsidRPr="00B46572">
        <w:rPr>
          <w:rFonts w:ascii="Book Antiqua" w:hAnsi="Book Antiqua" w:cs="宋体"/>
          <w:color w:val="000000"/>
          <w:sz w:val="24"/>
          <w:szCs w:val="24"/>
          <w:lang w:eastAsia="zh-CN"/>
        </w:rPr>
        <w:t xml:space="preserve"> Steadman HJ (Eds.)</w:t>
      </w:r>
      <w:r>
        <w:rPr>
          <w:rFonts w:ascii="Book Antiqua" w:hAnsi="Book Antiqua" w:cs="宋体" w:hint="eastAsia"/>
          <w:color w:val="000000"/>
          <w:sz w:val="24"/>
          <w:szCs w:val="24"/>
          <w:lang w:eastAsia="zh-CN"/>
        </w:rPr>
        <w:t>.</w:t>
      </w:r>
      <w:r w:rsidRPr="00B46572">
        <w:rPr>
          <w:rFonts w:ascii="Book Antiqua" w:hAnsi="Book Antiqua" w:cs="宋体"/>
          <w:color w:val="000000"/>
          <w:sz w:val="24"/>
          <w:szCs w:val="24"/>
          <w:lang w:eastAsia="zh-CN"/>
        </w:rPr>
        <w:t xml:space="preserve"> Mentally disordered offenders: Perspectives from law and social science</w:t>
      </w:r>
      <w:r>
        <w:rPr>
          <w:rFonts w:ascii="Book Antiqua" w:hAnsi="Book Antiqua" w:cs="宋体" w:hint="eastAsia"/>
          <w:color w:val="000000"/>
          <w:sz w:val="24"/>
          <w:szCs w:val="24"/>
          <w:lang w:eastAsia="zh-CN"/>
        </w:rPr>
        <w:t>.</w:t>
      </w:r>
      <w:r w:rsidRPr="00B46572">
        <w:rPr>
          <w:rFonts w:ascii="Book Antiqua" w:hAnsi="Book Antiqua" w:cs="宋体"/>
          <w:color w:val="000000"/>
          <w:sz w:val="24"/>
          <w:szCs w:val="24"/>
          <w:lang w:eastAsia="zh-CN"/>
        </w:rPr>
        <w:t xml:space="preserve"> New York: Plenum</w:t>
      </w:r>
      <w:r>
        <w:rPr>
          <w:rFonts w:ascii="Book Antiqua" w:hAnsi="Book Antiqua" w:cs="宋体" w:hint="eastAsia"/>
          <w:color w:val="000000"/>
          <w:sz w:val="24"/>
          <w:szCs w:val="24"/>
          <w:lang w:eastAsia="zh-CN"/>
        </w:rPr>
        <w:t>, 1983: 39-62</w:t>
      </w:r>
    </w:p>
    <w:p w14:paraId="4287B67A" w14:textId="0361E4D1"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5 </w:t>
      </w:r>
      <w:r w:rsidRPr="00AC20BF">
        <w:rPr>
          <w:rFonts w:ascii="Book Antiqua" w:hAnsi="Book Antiqua" w:cs="宋体"/>
          <w:b/>
          <w:color w:val="000000"/>
          <w:sz w:val="24"/>
          <w:szCs w:val="24"/>
          <w:lang w:eastAsia="zh-CN"/>
        </w:rPr>
        <w:t>Outpatient Competence Restoration Program of Behavioral Consultants, Inc</w:t>
      </w:r>
      <w:r w:rsidR="007D7611">
        <w:rPr>
          <w:rFonts w:ascii="Book Antiqua" w:hAnsi="Book Antiqua" w:cs="宋体"/>
          <w:color w:val="000000"/>
          <w:sz w:val="24"/>
          <w:szCs w:val="24"/>
          <w:lang w:eastAsia="zh-CN"/>
        </w:rPr>
        <w:t>.</w:t>
      </w:r>
      <w:r w:rsidRPr="00B46572">
        <w:rPr>
          <w:rFonts w:ascii="Book Antiqua" w:hAnsi="Book Antiqua" w:cs="宋体"/>
          <w:color w:val="000000"/>
          <w:sz w:val="24"/>
          <w:szCs w:val="24"/>
          <w:lang w:eastAsia="zh-CN"/>
        </w:rPr>
        <w:t xml:space="preserve"> </w:t>
      </w:r>
      <w:r w:rsidR="007D7611">
        <w:rPr>
          <w:rFonts w:ascii="Book Antiqua" w:hAnsi="Book Antiqua" w:cs="宋体"/>
          <w:color w:val="000000"/>
          <w:sz w:val="24"/>
          <w:szCs w:val="24"/>
          <w:lang w:eastAsia="zh-CN"/>
        </w:rPr>
        <w:t>[</w:t>
      </w:r>
      <w:r w:rsidRPr="00B46572">
        <w:rPr>
          <w:rFonts w:ascii="Book Antiqua" w:hAnsi="Book Antiqua" w:cs="宋体"/>
          <w:color w:val="000000"/>
          <w:sz w:val="24"/>
          <w:szCs w:val="24"/>
          <w:lang w:eastAsia="zh-CN"/>
        </w:rPr>
        <w:t>accessed</w:t>
      </w:r>
      <w:r w:rsidR="007D7611">
        <w:rPr>
          <w:rFonts w:ascii="Book Antiqua" w:hAnsi="Book Antiqua" w:cs="宋体"/>
          <w:color w:val="000000"/>
          <w:sz w:val="24"/>
          <w:szCs w:val="24"/>
          <w:lang w:eastAsia="zh-CN"/>
        </w:rPr>
        <w:t xml:space="preserve"> </w:t>
      </w:r>
      <w:r w:rsidRPr="00B46572">
        <w:rPr>
          <w:rFonts w:ascii="Book Antiqua" w:hAnsi="Book Antiqua" w:cs="宋体"/>
          <w:color w:val="000000"/>
          <w:sz w:val="24"/>
          <w:szCs w:val="24"/>
          <w:lang w:eastAsia="zh-CN"/>
        </w:rPr>
        <w:t>2014</w:t>
      </w:r>
      <w:r w:rsidR="007D7611" w:rsidRPr="007D7611">
        <w:rPr>
          <w:rFonts w:ascii="Book Antiqua" w:hAnsi="Book Antiqua" w:cs="宋体"/>
          <w:color w:val="000000"/>
          <w:sz w:val="24"/>
          <w:szCs w:val="24"/>
          <w:lang w:eastAsia="zh-CN"/>
        </w:rPr>
        <w:t xml:space="preserve"> </w:t>
      </w:r>
      <w:r w:rsidR="007D7611" w:rsidRPr="00B46572">
        <w:rPr>
          <w:rFonts w:ascii="Book Antiqua" w:hAnsi="Book Antiqua" w:cs="宋体"/>
          <w:color w:val="000000"/>
          <w:sz w:val="24"/>
          <w:szCs w:val="24"/>
          <w:lang w:eastAsia="zh-CN"/>
        </w:rPr>
        <w:t>November 25</w:t>
      </w:r>
      <w:r w:rsidR="007D7611">
        <w:rPr>
          <w:rFonts w:ascii="Book Antiqua" w:hAnsi="Book Antiqua" w:cs="宋体"/>
          <w:color w:val="000000"/>
          <w:sz w:val="24"/>
          <w:szCs w:val="24"/>
          <w:lang w:eastAsia="zh-CN"/>
        </w:rPr>
        <w:t>]</w:t>
      </w:r>
      <w:r>
        <w:rPr>
          <w:rFonts w:ascii="Book Antiqua" w:hAnsi="Book Antiqua" w:cs="宋体" w:hint="eastAsia"/>
          <w:color w:val="000000"/>
          <w:sz w:val="24"/>
          <w:szCs w:val="24"/>
          <w:lang w:eastAsia="zh-CN"/>
        </w:rPr>
        <w:t>.</w:t>
      </w:r>
      <w:proofErr w:type="gramEnd"/>
      <w:r>
        <w:rPr>
          <w:rFonts w:ascii="Book Antiqua" w:hAnsi="Book Antiqua" w:cs="宋体" w:hint="eastAsia"/>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B46572">
        <w:rPr>
          <w:rFonts w:ascii="Book Antiqua" w:hAnsi="Book Antiqua" w:cs="宋体"/>
          <w:color w:val="000000"/>
          <w:sz w:val="24"/>
          <w:szCs w:val="24"/>
          <w:lang w:eastAsia="zh-CN"/>
        </w:rPr>
        <w:t>www.bciwi.com</w:t>
      </w:r>
    </w:p>
    <w:p w14:paraId="6B702EEC" w14:textId="2C9B11C0"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6 </w:t>
      </w:r>
      <w:r w:rsidRPr="00AC20BF">
        <w:rPr>
          <w:rFonts w:ascii="Book Antiqua" w:hAnsi="Book Antiqua" w:cs="宋体"/>
          <w:b/>
          <w:color w:val="000000"/>
          <w:sz w:val="24"/>
          <w:szCs w:val="24"/>
          <w:lang w:eastAsia="zh-CN"/>
        </w:rPr>
        <w:t>Texas Department of State Health Services</w:t>
      </w:r>
      <w:r w:rsidRPr="00AC20BF">
        <w:rPr>
          <w:rFonts w:ascii="Book Antiqua" w:hAnsi="Book Antiqua" w:cs="宋体" w:hint="eastAsia"/>
          <w:b/>
          <w:color w:val="000000"/>
          <w:sz w:val="24"/>
          <w:szCs w:val="24"/>
          <w:lang w:eastAsia="zh-CN"/>
        </w:rPr>
        <w:t>.</w:t>
      </w:r>
      <w:proofErr w:type="gramEnd"/>
      <w:r>
        <w:rPr>
          <w:rFonts w:ascii="Book Antiqua" w:hAnsi="Book Antiqua" w:cs="宋体" w:hint="eastAsia"/>
          <w:color w:val="000000"/>
          <w:sz w:val="24"/>
          <w:szCs w:val="24"/>
          <w:lang w:eastAsia="zh-CN"/>
        </w:rPr>
        <w:t xml:space="preserve"> </w:t>
      </w:r>
      <w:r w:rsidR="007D7611">
        <w:rPr>
          <w:rFonts w:ascii="Book Antiqua" w:hAnsi="Book Antiqua" w:cs="宋体"/>
          <w:color w:val="000000"/>
          <w:sz w:val="24"/>
          <w:szCs w:val="24"/>
          <w:lang w:eastAsia="zh-CN"/>
        </w:rPr>
        <w:t>[</w:t>
      </w:r>
      <w:proofErr w:type="gramStart"/>
      <w:r w:rsidRPr="00B46572">
        <w:rPr>
          <w:rFonts w:ascii="Book Antiqua" w:hAnsi="Book Antiqua" w:cs="宋体"/>
          <w:color w:val="000000"/>
          <w:sz w:val="24"/>
          <w:szCs w:val="24"/>
          <w:lang w:eastAsia="zh-CN"/>
        </w:rPr>
        <w:t>accessed</w:t>
      </w:r>
      <w:proofErr w:type="gramEnd"/>
      <w:r w:rsidRPr="00B46572">
        <w:rPr>
          <w:rFonts w:ascii="Book Antiqua" w:hAnsi="Book Antiqua" w:cs="宋体"/>
          <w:color w:val="000000"/>
          <w:sz w:val="24"/>
          <w:szCs w:val="24"/>
          <w:lang w:eastAsia="zh-CN"/>
        </w:rPr>
        <w:t xml:space="preserve"> 2014</w:t>
      </w:r>
      <w:r w:rsidR="007D7611" w:rsidRPr="007D7611">
        <w:rPr>
          <w:rFonts w:ascii="Book Antiqua" w:hAnsi="Book Antiqua" w:cs="宋体"/>
          <w:color w:val="000000"/>
          <w:sz w:val="24"/>
          <w:szCs w:val="24"/>
          <w:lang w:eastAsia="zh-CN"/>
        </w:rPr>
        <w:t xml:space="preserve"> </w:t>
      </w:r>
      <w:r w:rsidR="007D7611" w:rsidRPr="00B46572">
        <w:rPr>
          <w:rFonts w:ascii="Book Antiqua" w:hAnsi="Book Antiqua" w:cs="宋体"/>
          <w:color w:val="000000"/>
          <w:sz w:val="24"/>
          <w:szCs w:val="24"/>
          <w:lang w:eastAsia="zh-CN"/>
        </w:rPr>
        <w:t>November 25</w:t>
      </w:r>
      <w:r w:rsidR="007D7611">
        <w:rPr>
          <w:rFonts w:ascii="Book Antiqua" w:hAnsi="Book Antiqua" w:cs="宋体"/>
          <w:color w:val="000000"/>
          <w:sz w:val="24"/>
          <w:szCs w:val="24"/>
          <w:lang w:eastAsia="zh-CN"/>
        </w:rPr>
        <w:t>]</w:t>
      </w:r>
      <w:r w:rsidRPr="00B46572">
        <w:rPr>
          <w:rFonts w:ascii="Book Antiqua" w:hAnsi="Book Antiqua" w:cs="宋体"/>
          <w:color w:val="000000"/>
          <w:sz w:val="24"/>
          <w:szCs w:val="24"/>
          <w:lang w:eastAsia="zh-CN"/>
        </w:rPr>
        <w:t>.</w:t>
      </w:r>
      <w:r>
        <w:rPr>
          <w:rFonts w:ascii="Book Antiqua" w:hAnsi="Book Antiqua" w:cs="宋体" w:hint="eastAsia"/>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Pr>
          <w:rFonts w:ascii="Book Antiqua" w:hAnsi="Book Antiqua" w:cs="宋体"/>
          <w:color w:val="000000"/>
          <w:sz w:val="24"/>
          <w:szCs w:val="24"/>
          <w:lang w:eastAsia="zh-CN"/>
        </w:rPr>
        <w:t>www.dshs.state.tx.us</w:t>
      </w:r>
    </w:p>
    <w:p w14:paraId="49C51450" w14:textId="7ED509F2" w:rsidR="00B46572" w:rsidRPr="00B46572" w:rsidRDefault="00B46572" w:rsidP="00B4657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7 </w:t>
      </w:r>
      <w:r w:rsidRPr="00B46572">
        <w:rPr>
          <w:rFonts w:ascii="Book Antiqua" w:hAnsi="Book Antiqua" w:cs="宋体"/>
          <w:color w:val="000000"/>
          <w:sz w:val="24"/>
          <w:szCs w:val="24"/>
          <w:lang w:eastAsia="zh-CN"/>
        </w:rPr>
        <w:t>Florida State Hospital CompKit, Competence to Stand Trial Resources</w:t>
      </w:r>
      <w:r>
        <w:rPr>
          <w:rFonts w:ascii="Book Antiqua" w:hAnsi="Book Antiqua" w:cs="宋体" w:hint="eastAsia"/>
          <w:color w:val="000000"/>
          <w:sz w:val="24"/>
          <w:szCs w:val="24"/>
          <w:lang w:eastAsia="zh-CN"/>
        </w:rPr>
        <w:t>.</w:t>
      </w:r>
      <w:r w:rsidR="00D605A9">
        <w:rPr>
          <w:rFonts w:ascii="Book Antiqua" w:hAnsi="Book Antiqua" w:cs="宋体"/>
          <w:color w:val="000000"/>
          <w:sz w:val="24"/>
          <w:szCs w:val="24"/>
          <w:lang w:eastAsia="zh-CN"/>
        </w:rPr>
        <w:t xml:space="preserve"> </w:t>
      </w:r>
      <w:r w:rsidR="007D7611">
        <w:rPr>
          <w:rFonts w:ascii="Book Antiqua" w:hAnsi="Book Antiqua" w:cs="宋体"/>
          <w:color w:val="000000"/>
          <w:sz w:val="24"/>
          <w:szCs w:val="24"/>
          <w:lang w:eastAsia="zh-CN"/>
        </w:rPr>
        <w:t>[</w:t>
      </w:r>
      <w:r w:rsidR="007D7611" w:rsidRPr="00B46572">
        <w:rPr>
          <w:rFonts w:ascii="Book Antiqua" w:hAnsi="Book Antiqua" w:cs="宋体"/>
          <w:color w:val="000000"/>
          <w:sz w:val="24"/>
          <w:szCs w:val="24"/>
          <w:lang w:eastAsia="zh-CN"/>
        </w:rPr>
        <w:t>accessed 2014</w:t>
      </w:r>
      <w:r w:rsidR="007D7611" w:rsidRPr="007D7611">
        <w:rPr>
          <w:rFonts w:ascii="Book Antiqua" w:hAnsi="Book Antiqua" w:cs="宋体"/>
          <w:color w:val="000000"/>
          <w:sz w:val="24"/>
          <w:szCs w:val="24"/>
          <w:lang w:eastAsia="zh-CN"/>
        </w:rPr>
        <w:t xml:space="preserve"> </w:t>
      </w:r>
      <w:r w:rsidR="007D7611" w:rsidRPr="00B46572">
        <w:rPr>
          <w:rFonts w:ascii="Book Antiqua" w:hAnsi="Book Antiqua" w:cs="宋体"/>
          <w:color w:val="000000"/>
          <w:sz w:val="24"/>
          <w:szCs w:val="24"/>
          <w:lang w:eastAsia="zh-CN"/>
        </w:rPr>
        <w:t>November 25</w:t>
      </w:r>
      <w:r w:rsidR="007D7611">
        <w:rPr>
          <w:rFonts w:ascii="Book Antiqua" w:hAnsi="Book Antiqua" w:cs="宋体"/>
          <w:color w:val="000000"/>
          <w:sz w:val="24"/>
          <w:szCs w:val="24"/>
          <w:lang w:eastAsia="zh-CN"/>
        </w:rPr>
        <w:t>]</w:t>
      </w:r>
      <w:bookmarkStart w:id="0" w:name="_GoBack"/>
      <w:bookmarkEnd w:id="0"/>
      <w:r>
        <w:rPr>
          <w:rFonts w:ascii="Book Antiqua" w:hAnsi="Book Antiqua" w:cs="宋体" w:hint="eastAsia"/>
          <w:color w:val="000000"/>
          <w:sz w:val="24"/>
          <w:szCs w:val="24"/>
          <w:lang w:eastAsia="zh-CN"/>
        </w:rPr>
        <w:t>.</w:t>
      </w:r>
      <w:r w:rsidRPr="00B46572">
        <w:rPr>
          <w:rFonts w:ascii="Book Antiqua" w:hAnsi="Book Antiqua" w:cs="宋体"/>
          <w:color w:val="000000"/>
          <w:sz w:val="24"/>
          <w:szCs w:val="24"/>
          <w:lang w:eastAsia="zh-CN"/>
        </w:rPr>
        <w:t xml:space="preserve"> </w:t>
      </w:r>
      <w:r w:rsidR="00D605A9" w:rsidRPr="004E1F0C">
        <w:rPr>
          <w:rFonts w:ascii="Book Antiqua" w:hAnsi="Book Antiqua"/>
          <w:sz w:val="24"/>
          <w:szCs w:val="24"/>
        </w:rPr>
        <w:t>Available from: URL:</w:t>
      </w:r>
      <w:r w:rsidRPr="00B46572">
        <w:rPr>
          <w:rFonts w:ascii="Book Antiqua" w:hAnsi="Book Antiqua" w:cs="宋体"/>
          <w:color w:val="000000"/>
          <w:sz w:val="24"/>
          <w:szCs w:val="24"/>
          <w:lang w:eastAsia="zh-CN"/>
        </w:rPr>
        <w:t xml:space="preserve"> www.mentalcompetency.org/resources/restoration/files/FLStCompKit.pdf, </w:t>
      </w:r>
    </w:p>
    <w:p w14:paraId="28A90F37" w14:textId="1DC11A7A" w:rsidR="00B46572" w:rsidRPr="00B46572" w:rsidRDefault="00D605A9" w:rsidP="00B4657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8 </w:t>
      </w:r>
      <w:r w:rsidR="00B46572" w:rsidRPr="00B46572">
        <w:rPr>
          <w:rFonts w:ascii="Book Antiqua" w:hAnsi="Book Antiqua" w:cs="宋体"/>
          <w:color w:val="000000"/>
          <w:sz w:val="24"/>
          <w:szCs w:val="24"/>
          <w:lang w:eastAsia="zh-CN"/>
        </w:rPr>
        <w:t>2014 Quarterly Report to the Pre-Trial Mental Examination Committee, Washington DC Superior Court</w:t>
      </w:r>
      <w:r>
        <w:rPr>
          <w:rFonts w:ascii="Book Antiqua" w:hAnsi="Book Antiqua" w:cs="宋体" w:hint="eastAsia"/>
          <w:color w:val="000000"/>
          <w:sz w:val="24"/>
          <w:szCs w:val="24"/>
          <w:lang w:eastAsia="zh-CN"/>
        </w:rPr>
        <w:t>, 2014</w:t>
      </w:r>
    </w:p>
    <w:p w14:paraId="78B975C3" w14:textId="5ECB6046" w:rsidR="00B46572" w:rsidRPr="00B46572" w:rsidRDefault="00D605A9" w:rsidP="00B46572">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9 </w:t>
      </w:r>
      <w:r w:rsidR="00B46572" w:rsidRPr="00B46572">
        <w:rPr>
          <w:rFonts w:ascii="Book Antiqua" w:hAnsi="Book Antiqua" w:cs="宋体"/>
          <w:color w:val="000000"/>
          <w:sz w:val="24"/>
          <w:szCs w:val="24"/>
          <w:lang w:eastAsia="zh-CN"/>
        </w:rPr>
        <w:t>Jackso</w:t>
      </w:r>
      <w:r>
        <w:rPr>
          <w:rFonts w:ascii="Book Antiqua" w:hAnsi="Book Antiqua" w:cs="宋体"/>
          <w:color w:val="000000"/>
          <w:sz w:val="24"/>
          <w:szCs w:val="24"/>
          <w:lang w:eastAsia="zh-CN"/>
        </w:rPr>
        <w:t>n v Indiana, 406 U.S. 715</w:t>
      </w:r>
      <w:r>
        <w:rPr>
          <w:rFonts w:ascii="Book Antiqua" w:hAnsi="Book Antiqua" w:cs="宋体" w:hint="eastAsia"/>
          <w:color w:val="000000"/>
          <w:sz w:val="24"/>
          <w:szCs w:val="24"/>
          <w:lang w:eastAsia="zh-CN"/>
        </w:rPr>
        <w:t xml:space="preserve">, </w:t>
      </w:r>
      <w:r>
        <w:rPr>
          <w:rFonts w:ascii="Book Antiqua" w:hAnsi="Book Antiqua" w:cs="宋体"/>
          <w:color w:val="000000"/>
          <w:sz w:val="24"/>
          <w:szCs w:val="24"/>
          <w:lang w:eastAsia="zh-CN"/>
        </w:rPr>
        <w:t>1972</w:t>
      </w:r>
      <w:r>
        <w:rPr>
          <w:rFonts w:ascii="Book Antiqua" w:hAnsi="Book Antiqua" w:cs="宋体" w:hint="eastAsia"/>
          <w:color w:val="000000"/>
          <w:sz w:val="24"/>
          <w:szCs w:val="24"/>
          <w:lang w:eastAsia="zh-CN"/>
        </w:rPr>
        <w:t>.</w:t>
      </w:r>
      <w:proofErr w:type="gramEnd"/>
      <w:r w:rsidR="00B46572" w:rsidRPr="00B46572">
        <w:rPr>
          <w:rFonts w:ascii="Book Antiqua"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00B46572" w:rsidRPr="00B46572">
        <w:rPr>
          <w:rFonts w:ascii="Book Antiqua" w:hAnsi="Book Antiqua" w:cs="宋体"/>
          <w:color w:val="000000"/>
          <w:sz w:val="24"/>
          <w:szCs w:val="24"/>
          <w:lang w:eastAsia="zh-CN"/>
        </w:rPr>
        <w:t>https: //supreme.justia.com/cases/federal/us/406/715/</w:t>
      </w:r>
    </w:p>
    <w:p w14:paraId="7DE7B04C"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10 </w:t>
      </w:r>
      <w:r w:rsidRPr="00B46572">
        <w:rPr>
          <w:rFonts w:ascii="Book Antiqua" w:hAnsi="Book Antiqua" w:cs="宋体"/>
          <w:b/>
          <w:bCs/>
          <w:color w:val="000000"/>
          <w:sz w:val="24"/>
          <w:szCs w:val="24"/>
          <w:lang w:eastAsia="zh-CN"/>
        </w:rPr>
        <w:t>Eack SM</w:t>
      </w:r>
      <w:r w:rsidRPr="00B46572">
        <w:rPr>
          <w:rFonts w:ascii="Book Antiqua" w:hAnsi="Book Antiqua" w:cs="宋体"/>
          <w:color w:val="000000"/>
          <w:sz w:val="24"/>
          <w:szCs w:val="24"/>
          <w:lang w:eastAsia="zh-CN"/>
        </w:rPr>
        <w:t xml:space="preserve">, Hogarty GE, Cho RY, Prasad KM, Greenwald DP, Hogarty SS, Keshavan MS. Neuroprotective effects of cognitive enhancement therapy against gray matter loss </w:t>
      </w:r>
      <w:r w:rsidRPr="00B46572">
        <w:rPr>
          <w:rFonts w:ascii="Book Antiqua" w:hAnsi="Book Antiqua" w:cs="宋体"/>
          <w:color w:val="000000"/>
          <w:sz w:val="24"/>
          <w:szCs w:val="24"/>
          <w:lang w:eastAsia="zh-CN"/>
        </w:rPr>
        <w:lastRenderedPageBreak/>
        <w:t>in early schizophrenia: results from a 2-year randomized controlled trial. </w:t>
      </w:r>
      <w:r w:rsidRPr="00B46572">
        <w:rPr>
          <w:rFonts w:ascii="Book Antiqua" w:hAnsi="Book Antiqua" w:cs="宋体"/>
          <w:i/>
          <w:iCs/>
          <w:color w:val="000000"/>
          <w:sz w:val="24"/>
          <w:szCs w:val="24"/>
          <w:lang w:eastAsia="zh-CN"/>
        </w:rPr>
        <w:t>Arch Gen Psychiatry</w:t>
      </w:r>
      <w:r w:rsidRPr="00B46572">
        <w:rPr>
          <w:rFonts w:ascii="Book Antiqua" w:hAnsi="Book Antiqua" w:cs="宋体"/>
          <w:color w:val="000000"/>
          <w:sz w:val="24"/>
          <w:szCs w:val="24"/>
          <w:lang w:eastAsia="zh-CN"/>
        </w:rPr>
        <w:t> 2010; </w:t>
      </w:r>
      <w:r w:rsidRPr="00B46572">
        <w:rPr>
          <w:rFonts w:ascii="Book Antiqua" w:hAnsi="Book Antiqua" w:cs="宋体"/>
          <w:b/>
          <w:bCs/>
          <w:color w:val="000000"/>
          <w:sz w:val="24"/>
          <w:szCs w:val="24"/>
          <w:lang w:eastAsia="zh-CN"/>
        </w:rPr>
        <w:t>67</w:t>
      </w:r>
      <w:r w:rsidRPr="00B46572">
        <w:rPr>
          <w:rFonts w:ascii="Book Antiqua" w:hAnsi="Book Antiqua" w:cs="宋体"/>
          <w:color w:val="000000"/>
          <w:sz w:val="24"/>
          <w:szCs w:val="24"/>
          <w:lang w:eastAsia="zh-CN"/>
        </w:rPr>
        <w:t>: 674-682 [PMID: 20439824 DOI: 10.1001/archgenpsychiatry.2010.63]</w:t>
      </w:r>
    </w:p>
    <w:p w14:paraId="3C635A8E"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11 </w:t>
      </w:r>
      <w:r w:rsidRPr="00B46572">
        <w:rPr>
          <w:rFonts w:ascii="Book Antiqua" w:hAnsi="Book Antiqua" w:cs="宋体"/>
          <w:b/>
          <w:bCs/>
          <w:color w:val="000000"/>
          <w:sz w:val="24"/>
          <w:szCs w:val="24"/>
          <w:lang w:eastAsia="zh-CN"/>
        </w:rPr>
        <w:t>Jeste DV</w:t>
      </w:r>
      <w:r w:rsidRPr="00B46572">
        <w:rPr>
          <w:rFonts w:ascii="Book Antiqua" w:hAnsi="Book Antiqua" w:cs="宋体"/>
          <w:color w:val="000000"/>
          <w:sz w:val="24"/>
          <w:szCs w:val="24"/>
          <w:lang w:eastAsia="zh-CN"/>
        </w:rPr>
        <w:t>, Palmer BW, Golshan S, Eyler LT, Dunn LB, Meeks T, Glorioso D, Fellows I, Kraemer H, Appelbaum PS. Multimedia consent for research in people with schizophrenia and normal subjects: a randomized controlled trial. </w:t>
      </w:r>
      <w:r w:rsidRPr="00B46572">
        <w:rPr>
          <w:rFonts w:ascii="Book Antiqua" w:hAnsi="Book Antiqua" w:cs="宋体"/>
          <w:i/>
          <w:iCs/>
          <w:color w:val="000000"/>
          <w:sz w:val="24"/>
          <w:szCs w:val="24"/>
          <w:lang w:eastAsia="zh-CN"/>
        </w:rPr>
        <w:t>Schizophr Bull</w:t>
      </w:r>
      <w:r w:rsidRPr="00B46572">
        <w:rPr>
          <w:rFonts w:ascii="Book Antiqua" w:hAnsi="Book Antiqua" w:cs="宋体"/>
          <w:color w:val="000000"/>
          <w:sz w:val="24"/>
          <w:szCs w:val="24"/>
          <w:lang w:eastAsia="zh-CN"/>
        </w:rPr>
        <w:t> 2009; </w:t>
      </w:r>
      <w:r w:rsidRPr="00B46572">
        <w:rPr>
          <w:rFonts w:ascii="Book Antiqua" w:hAnsi="Book Antiqua" w:cs="宋体"/>
          <w:b/>
          <w:bCs/>
          <w:color w:val="000000"/>
          <w:sz w:val="24"/>
          <w:szCs w:val="24"/>
          <w:lang w:eastAsia="zh-CN"/>
        </w:rPr>
        <w:t>35</w:t>
      </w:r>
      <w:r w:rsidRPr="00B46572">
        <w:rPr>
          <w:rFonts w:ascii="Book Antiqua" w:hAnsi="Book Antiqua" w:cs="宋体"/>
          <w:color w:val="000000"/>
          <w:sz w:val="24"/>
          <w:szCs w:val="24"/>
          <w:lang w:eastAsia="zh-CN"/>
        </w:rPr>
        <w:t>: 719-729 [PMID: 18245061 DOI: 10.1093/schbul/sbm148]</w:t>
      </w:r>
    </w:p>
    <w:p w14:paraId="4A95D8AB" w14:textId="492F9733"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sidRPr="00B46572">
        <w:rPr>
          <w:rFonts w:ascii="Book Antiqua" w:hAnsi="Book Antiqua" w:cs="宋体"/>
          <w:color w:val="000000"/>
          <w:sz w:val="24"/>
          <w:szCs w:val="24"/>
          <w:lang w:eastAsia="zh-CN"/>
        </w:rPr>
        <w:t>12 </w:t>
      </w:r>
      <w:r w:rsidRPr="00B46572">
        <w:rPr>
          <w:rFonts w:ascii="Book Antiqua" w:hAnsi="Book Antiqua" w:cs="宋体"/>
          <w:b/>
          <w:bCs/>
          <w:color w:val="000000"/>
          <w:sz w:val="24"/>
          <w:szCs w:val="24"/>
          <w:lang w:eastAsia="zh-CN"/>
        </w:rPr>
        <w:t>Feng CY</w:t>
      </w:r>
      <w:r w:rsidRPr="00B46572">
        <w:rPr>
          <w:rFonts w:ascii="Book Antiqua" w:hAnsi="Book Antiqua" w:cs="宋体"/>
          <w:color w:val="000000"/>
          <w:sz w:val="24"/>
          <w:szCs w:val="24"/>
          <w:lang w:eastAsia="zh-CN"/>
        </w:rPr>
        <w:t>, Chu H, Chen CH, Chang YS, Chen TH, Chou YH, Chang YC, Chou KR.</w:t>
      </w:r>
      <w:proofErr w:type="gramEnd"/>
      <w:r w:rsidRPr="00B46572">
        <w:rPr>
          <w:rFonts w:ascii="Book Antiqua" w:hAnsi="Book Antiqua" w:cs="宋体"/>
          <w:color w:val="000000"/>
          <w:sz w:val="24"/>
          <w:szCs w:val="24"/>
          <w:lang w:eastAsia="zh-CN"/>
        </w:rPr>
        <w:t xml:space="preserve"> The effect of cognitive behavioral group therapy for depression: a meta-analysis 2000-2010. </w:t>
      </w:r>
      <w:r w:rsidRPr="00B46572">
        <w:rPr>
          <w:rFonts w:ascii="Book Antiqua" w:hAnsi="Book Antiqua" w:cs="宋体"/>
          <w:i/>
          <w:iCs/>
          <w:color w:val="000000"/>
          <w:sz w:val="24"/>
          <w:szCs w:val="24"/>
          <w:lang w:eastAsia="zh-CN"/>
        </w:rPr>
        <w:t>Worldviews Evid Based Nurs</w:t>
      </w:r>
      <w:r w:rsidRPr="00B46572">
        <w:rPr>
          <w:rFonts w:ascii="Book Antiqua" w:hAnsi="Book Antiqua" w:cs="宋体"/>
          <w:color w:val="000000"/>
          <w:sz w:val="24"/>
          <w:szCs w:val="24"/>
          <w:lang w:eastAsia="zh-CN"/>
        </w:rPr>
        <w:t> 2012; </w:t>
      </w:r>
      <w:r w:rsidRPr="00B46572">
        <w:rPr>
          <w:rFonts w:ascii="Book Antiqua" w:hAnsi="Book Antiqua" w:cs="宋体"/>
          <w:b/>
          <w:bCs/>
          <w:color w:val="000000"/>
          <w:sz w:val="24"/>
          <w:szCs w:val="24"/>
          <w:lang w:eastAsia="zh-CN"/>
        </w:rPr>
        <w:t>9</w:t>
      </w:r>
      <w:r w:rsidRPr="00B46572">
        <w:rPr>
          <w:rFonts w:ascii="Book Antiqua" w:hAnsi="Book Antiqua" w:cs="宋体"/>
          <w:color w:val="000000"/>
          <w:sz w:val="24"/>
          <w:szCs w:val="24"/>
          <w:lang w:eastAsia="zh-CN"/>
        </w:rPr>
        <w:t>: 2-17 [PMID: 22221447 DOI: 1</w:t>
      </w:r>
      <w:r w:rsidR="005F7F66">
        <w:rPr>
          <w:rFonts w:ascii="Book Antiqua" w:hAnsi="Book Antiqua" w:cs="宋体"/>
          <w:color w:val="000000"/>
          <w:sz w:val="24"/>
          <w:szCs w:val="24"/>
          <w:lang w:eastAsia="zh-CN"/>
        </w:rPr>
        <w:t>0.1111/j.1741-6787.2011.00229.x</w:t>
      </w:r>
      <w:r w:rsidRPr="00B46572">
        <w:rPr>
          <w:rFonts w:ascii="Book Antiqua" w:hAnsi="Book Antiqua" w:cs="宋体"/>
          <w:color w:val="000000"/>
          <w:sz w:val="24"/>
          <w:szCs w:val="24"/>
          <w:lang w:eastAsia="zh-CN"/>
        </w:rPr>
        <w:t>]</w:t>
      </w:r>
    </w:p>
    <w:p w14:paraId="71A60537"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13 </w:t>
      </w:r>
      <w:r w:rsidRPr="00B46572">
        <w:rPr>
          <w:rFonts w:ascii="Book Antiqua" w:hAnsi="Book Antiqua" w:cs="宋体"/>
          <w:b/>
          <w:bCs/>
          <w:color w:val="000000"/>
          <w:sz w:val="24"/>
          <w:szCs w:val="24"/>
          <w:lang w:eastAsia="zh-CN"/>
        </w:rPr>
        <w:t>McCrady BS</w:t>
      </w:r>
      <w:r w:rsidRPr="00B46572">
        <w:rPr>
          <w:rFonts w:ascii="Book Antiqua" w:hAnsi="Book Antiqua" w:cs="宋体"/>
          <w:color w:val="000000"/>
          <w:sz w:val="24"/>
          <w:szCs w:val="24"/>
          <w:lang w:eastAsia="zh-CN"/>
        </w:rPr>
        <w:t>, Owens MD, Borders AZ, Brovko JM. Psychosocial approaches to alcohol use disorders since 1940: a review. </w:t>
      </w:r>
      <w:r w:rsidRPr="00B46572">
        <w:rPr>
          <w:rFonts w:ascii="Book Antiqua" w:hAnsi="Book Antiqua" w:cs="宋体"/>
          <w:i/>
          <w:iCs/>
          <w:color w:val="000000"/>
          <w:sz w:val="24"/>
          <w:szCs w:val="24"/>
          <w:lang w:eastAsia="zh-CN"/>
        </w:rPr>
        <w:t>J Stud Alcohol Drugs Suppl</w:t>
      </w:r>
      <w:r w:rsidRPr="00B46572">
        <w:rPr>
          <w:rFonts w:ascii="Book Antiqua" w:hAnsi="Book Antiqua" w:cs="宋体"/>
          <w:color w:val="000000"/>
          <w:sz w:val="24"/>
          <w:szCs w:val="24"/>
          <w:lang w:eastAsia="zh-CN"/>
        </w:rPr>
        <w:t> 2014; </w:t>
      </w:r>
      <w:r w:rsidRPr="00B46572">
        <w:rPr>
          <w:rFonts w:ascii="Book Antiqua" w:hAnsi="Book Antiqua" w:cs="宋体"/>
          <w:b/>
          <w:bCs/>
          <w:color w:val="000000"/>
          <w:sz w:val="24"/>
          <w:szCs w:val="24"/>
          <w:lang w:eastAsia="zh-CN"/>
        </w:rPr>
        <w:t>75</w:t>
      </w:r>
      <w:r w:rsidRPr="00B46572">
        <w:rPr>
          <w:rFonts w:ascii="Book Antiqua" w:hAnsi="Book Antiqua" w:cs="宋体"/>
          <w:bCs/>
          <w:color w:val="000000"/>
          <w:sz w:val="24"/>
          <w:szCs w:val="24"/>
          <w:lang w:eastAsia="zh-CN"/>
        </w:rPr>
        <w:t xml:space="preserve"> Suppl 17</w:t>
      </w:r>
      <w:r w:rsidRPr="00B46572">
        <w:rPr>
          <w:rFonts w:ascii="Book Antiqua" w:hAnsi="Book Antiqua" w:cs="宋体"/>
          <w:color w:val="000000"/>
          <w:sz w:val="24"/>
          <w:szCs w:val="24"/>
          <w:lang w:eastAsia="zh-CN"/>
        </w:rPr>
        <w:t>: 68-78 [PMID: 24565313]</w:t>
      </w:r>
    </w:p>
    <w:p w14:paraId="0922FACE" w14:textId="1CD66612"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14 </w:t>
      </w:r>
      <w:r w:rsidRPr="00B46572">
        <w:rPr>
          <w:rFonts w:ascii="Book Antiqua" w:hAnsi="Book Antiqua" w:cs="宋体"/>
          <w:b/>
          <w:bCs/>
          <w:color w:val="000000"/>
          <w:sz w:val="24"/>
          <w:szCs w:val="24"/>
          <w:lang w:eastAsia="zh-CN"/>
        </w:rPr>
        <w:t>Maurel M</w:t>
      </w:r>
      <w:r w:rsidRPr="00B46572">
        <w:rPr>
          <w:rFonts w:ascii="Book Antiqua" w:hAnsi="Book Antiqua" w:cs="宋体"/>
          <w:color w:val="000000"/>
          <w:sz w:val="24"/>
          <w:szCs w:val="24"/>
          <w:lang w:eastAsia="zh-CN"/>
        </w:rPr>
        <w:t xml:space="preserve">, Belzeaux R, Adida M, Fakra E, Cermolacce M, Da Fonseca D, Azorin JM. </w:t>
      </w:r>
      <w:proofErr w:type="gramStart"/>
      <w:r w:rsidRPr="00B46572">
        <w:rPr>
          <w:rFonts w:ascii="Book Antiqua" w:hAnsi="Book Antiqua" w:cs="宋体"/>
          <w:color w:val="000000"/>
          <w:sz w:val="24"/>
          <w:szCs w:val="24"/>
          <w:lang w:eastAsia="zh-CN"/>
        </w:rPr>
        <w:t>[Schizophrenia, cognition and psychoeducation].</w:t>
      </w:r>
      <w:proofErr w:type="gramEnd"/>
      <w:r w:rsidRPr="00B46572">
        <w:rPr>
          <w:rFonts w:ascii="Book Antiqua" w:hAnsi="Book Antiqua" w:cs="宋体"/>
          <w:color w:val="000000"/>
          <w:sz w:val="24"/>
          <w:szCs w:val="24"/>
          <w:lang w:eastAsia="zh-CN"/>
        </w:rPr>
        <w:t> </w:t>
      </w:r>
      <w:r w:rsidRPr="00B46572">
        <w:rPr>
          <w:rFonts w:ascii="Book Antiqua" w:hAnsi="Book Antiqua" w:cs="宋体"/>
          <w:i/>
          <w:iCs/>
          <w:color w:val="000000"/>
          <w:sz w:val="24"/>
          <w:szCs w:val="24"/>
          <w:lang w:eastAsia="zh-CN"/>
        </w:rPr>
        <w:t>Encephale</w:t>
      </w:r>
      <w:r w:rsidRPr="00B46572">
        <w:rPr>
          <w:rFonts w:ascii="Book Antiqua" w:hAnsi="Book Antiqua" w:cs="宋体"/>
          <w:color w:val="000000"/>
          <w:sz w:val="24"/>
          <w:szCs w:val="24"/>
          <w:lang w:eastAsia="zh-CN"/>
        </w:rPr>
        <w:t> 2011; </w:t>
      </w:r>
      <w:r w:rsidRPr="00B46572">
        <w:rPr>
          <w:rFonts w:ascii="Book Antiqua" w:hAnsi="Book Antiqua" w:cs="宋体"/>
          <w:b/>
          <w:bCs/>
          <w:color w:val="000000"/>
          <w:sz w:val="24"/>
          <w:szCs w:val="24"/>
          <w:lang w:eastAsia="zh-CN"/>
        </w:rPr>
        <w:t xml:space="preserve">37 </w:t>
      </w:r>
      <w:r w:rsidRPr="00B46572">
        <w:rPr>
          <w:rFonts w:ascii="Book Antiqua" w:hAnsi="Book Antiqua" w:cs="宋体"/>
          <w:bCs/>
          <w:color w:val="000000"/>
          <w:sz w:val="24"/>
          <w:szCs w:val="24"/>
          <w:lang w:eastAsia="zh-CN"/>
        </w:rPr>
        <w:t>Suppl 2</w:t>
      </w:r>
      <w:r w:rsidRPr="00B46572">
        <w:rPr>
          <w:rFonts w:ascii="Book Antiqua" w:hAnsi="Book Antiqua" w:cs="宋体"/>
          <w:color w:val="000000"/>
          <w:sz w:val="24"/>
          <w:szCs w:val="24"/>
          <w:lang w:eastAsia="zh-CN"/>
        </w:rPr>
        <w:t>: S151-S154 [PMID: 22212846 DOI</w:t>
      </w:r>
      <w:r w:rsidR="00D605A9">
        <w:rPr>
          <w:rFonts w:ascii="Book Antiqua" w:hAnsi="Book Antiqua" w:cs="宋体"/>
          <w:color w:val="000000"/>
          <w:sz w:val="24"/>
          <w:szCs w:val="24"/>
          <w:lang w:eastAsia="zh-CN"/>
        </w:rPr>
        <w:t>: 10.1016/S0013-7006(11)70043-4</w:t>
      </w:r>
      <w:r w:rsidRPr="00B46572">
        <w:rPr>
          <w:rFonts w:ascii="Book Antiqua" w:hAnsi="Book Antiqua" w:cs="宋体"/>
          <w:color w:val="000000"/>
          <w:sz w:val="24"/>
          <w:szCs w:val="24"/>
          <w:lang w:eastAsia="zh-CN"/>
        </w:rPr>
        <w:t>]</w:t>
      </w:r>
    </w:p>
    <w:p w14:paraId="1DFC7300" w14:textId="38EAFB70"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sidRPr="00B46572">
        <w:rPr>
          <w:rFonts w:ascii="Book Antiqua" w:hAnsi="Book Antiqua" w:cs="宋体"/>
          <w:color w:val="000000"/>
          <w:sz w:val="24"/>
          <w:szCs w:val="24"/>
          <w:lang w:eastAsia="zh-CN"/>
        </w:rPr>
        <w:t>15 </w:t>
      </w:r>
      <w:r w:rsidRPr="00B46572">
        <w:rPr>
          <w:rFonts w:ascii="Book Antiqua" w:hAnsi="Book Antiqua" w:cs="宋体"/>
          <w:b/>
          <w:bCs/>
          <w:color w:val="000000"/>
          <w:sz w:val="24"/>
          <w:szCs w:val="24"/>
          <w:lang w:eastAsia="zh-CN"/>
        </w:rPr>
        <w:t>Pekkala E</w:t>
      </w:r>
      <w:r w:rsidRPr="00B46572">
        <w:rPr>
          <w:rFonts w:ascii="Book Antiqua" w:hAnsi="Book Antiqua" w:cs="宋体"/>
          <w:color w:val="000000"/>
          <w:sz w:val="24"/>
          <w:szCs w:val="24"/>
          <w:lang w:eastAsia="zh-CN"/>
        </w:rPr>
        <w:t>, Merinder L. Psychoeducation for schizophrenia.</w:t>
      </w:r>
      <w:proofErr w:type="gramEnd"/>
      <w:r w:rsidRPr="00B46572">
        <w:rPr>
          <w:rFonts w:ascii="Book Antiqua" w:hAnsi="Book Antiqua" w:cs="宋体"/>
          <w:color w:val="000000"/>
          <w:sz w:val="24"/>
          <w:szCs w:val="24"/>
          <w:lang w:eastAsia="zh-CN"/>
        </w:rPr>
        <w:t> </w:t>
      </w:r>
      <w:r w:rsidRPr="00B46572">
        <w:rPr>
          <w:rFonts w:ascii="Book Antiqua" w:hAnsi="Book Antiqua" w:cs="宋体"/>
          <w:i/>
          <w:iCs/>
          <w:color w:val="000000"/>
          <w:sz w:val="24"/>
          <w:szCs w:val="24"/>
          <w:lang w:eastAsia="zh-CN"/>
        </w:rPr>
        <w:t>Cochrane Database Syst Rev</w:t>
      </w:r>
      <w:r w:rsidRPr="00B46572">
        <w:rPr>
          <w:rFonts w:ascii="Book Antiqua" w:hAnsi="Book Antiqua" w:cs="宋体"/>
          <w:color w:val="000000"/>
          <w:sz w:val="24"/>
          <w:szCs w:val="24"/>
          <w:lang w:eastAsia="zh-CN"/>
        </w:rPr>
        <w:t> 2002; </w:t>
      </w:r>
      <w:r w:rsidR="005F7F66">
        <w:rPr>
          <w:rFonts w:ascii="Book Antiqua" w:hAnsi="Book Antiqua" w:cs="宋体" w:hint="eastAsia"/>
          <w:b/>
          <w:color w:val="000000"/>
          <w:sz w:val="24"/>
          <w:szCs w:val="24"/>
          <w:lang w:eastAsia="zh-CN"/>
        </w:rPr>
        <w:t>(2)</w:t>
      </w:r>
      <w:r w:rsidRPr="00B46572">
        <w:rPr>
          <w:rFonts w:ascii="Book Antiqua" w:hAnsi="Book Antiqua" w:cs="宋体"/>
          <w:color w:val="000000"/>
          <w:sz w:val="24"/>
          <w:szCs w:val="24"/>
          <w:lang w:eastAsia="zh-CN"/>
        </w:rPr>
        <w:t>: CD002831 [PMID: 12076455 DOI: 10.1002/14651858.CD002831.pub2]</w:t>
      </w:r>
    </w:p>
    <w:p w14:paraId="78D48962" w14:textId="34A01792" w:rsidR="00B46572" w:rsidRPr="00B46572" w:rsidRDefault="00D605A9" w:rsidP="00B4657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16 </w:t>
      </w:r>
      <w:r w:rsidR="00B46572" w:rsidRPr="00B46572">
        <w:rPr>
          <w:rFonts w:ascii="Book Antiqua" w:hAnsi="Book Antiqua" w:cs="宋体"/>
          <w:color w:val="000000"/>
          <w:sz w:val="24"/>
          <w:szCs w:val="24"/>
          <w:lang w:eastAsia="zh-CN"/>
        </w:rPr>
        <w:t>Therapeutic Learning Center (TLC)–Competency Restoration Program, Saint Elizabeths Hospital, Washington DC</w:t>
      </w:r>
    </w:p>
    <w:p w14:paraId="0CA77243" w14:textId="016620A1"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17 </w:t>
      </w:r>
      <w:r w:rsidRPr="00B46572">
        <w:rPr>
          <w:rFonts w:ascii="Book Antiqua" w:hAnsi="Book Antiqua" w:cs="宋体"/>
          <w:b/>
          <w:bCs/>
          <w:color w:val="000000"/>
          <w:sz w:val="24"/>
          <w:szCs w:val="24"/>
          <w:lang w:eastAsia="zh-CN"/>
        </w:rPr>
        <w:t>Moritz S</w:t>
      </w:r>
      <w:r w:rsidRPr="00B46572">
        <w:rPr>
          <w:rFonts w:ascii="Book Antiqua" w:hAnsi="Book Antiqua" w:cs="宋体"/>
          <w:color w:val="000000"/>
          <w:sz w:val="24"/>
          <w:szCs w:val="24"/>
          <w:lang w:eastAsia="zh-CN"/>
        </w:rPr>
        <w:t xml:space="preserve">, Kerstan A, Veckenstedt R, Randjbar S, Vitzthum F, Schmidt C, Heise M, Woodward TS. Further evidence for the efficacy of </w:t>
      </w:r>
      <w:proofErr w:type="gramStart"/>
      <w:r w:rsidRPr="00B46572">
        <w:rPr>
          <w:rFonts w:ascii="Book Antiqua" w:hAnsi="Book Antiqua" w:cs="宋体"/>
          <w:color w:val="000000"/>
          <w:sz w:val="24"/>
          <w:szCs w:val="24"/>
          <w:lang w:eastAsia="zh-CN"/>
        </w:rPr>
        <w:t>a metacognitive</w:t>
      </w:r>
      <w:proofErr w:type="gramEnd"/>
      <w:r w:rsidRPr="00B46572">
        <w:rPr>
          <w:rFonts w:ascii="Book Antiqua" w:hAnsi="Book Antiqua" w:cs="宋体"/>
          <w:color w:val="000000"/>
          <w:sz w:val="24"/>
          <w:szCs w:val="24"/>
          <w:lang w:eastAsia="zh-CN"/>
        </w:rPr>
        <w:t xml:space="preserve"> group training in schizophrenia. </w:t>
      </w:r>
      <w:r w:rsidRPr="00B46572">
        <w:rPr>
          <w:rFonts w:ascii="Book Antiqua" w:hAnsi="Book Antiqua" w:cs="宋体"/>
          <w:i/>
          <w:iCs/>
          <w:color w:val="000000"/>
          <w:sz w:val="24"/>
          <w:szCs w:val="24"/>
          <w:lang w:eastAsia="zh-CN"/>
        </w:rPr>
        <w:t>Behav Res Ther</w:t>
      </w:r>
      <w:r w:rsidRPr="00B46572">
        <w:rPr>
          <w:rFonts w:ascii="Book Antiqua" w:hAnsi="Book Antiqua" w:cs="宋体"/>
          <w:color w:val="000000"/>
          <w:sz w:val="24"/>
          <w:szCs w:val="24"/>
          <w:lang w:eastAsia="zh-CN"/>
        </w:rPr>
        <w:t> 2011; </w:t>
      </w:r>
      <w:r w:rsidRPr="00B46572">
        <w:rPr>
          <w:rFonts w:ascii="Book Antiqua" w:hAnsi="Book Antiqua" w:cs="宋体"/>
          <w:b/>
          <w:bCs/>
          <w:color w:val="000000"/>
          <w:sz w:val="24"/>
          <w:szCs w:val="24"/>
          <w:lang w:eastAsia="zh-CN"/>
        </w:rPr>
        <w:t>49</w:t>
      </w:r>
      <w:r w:rsidRPr="00B46572">
        <w:rPr>
          <w:rFonts w:ascii="Book Antiqua" w:hAnsi="Book Antiqua" w:cs="宋体"/>
          <w:color w:val="000000"/>
          <w:sz w:val="24"/>
          <w:szCs w:val="24"/>
          <w:lang w:eastAsia="zh-CN"/>
        </w:rPr>
        <w:t>: 151-157 [PMID: 2127696</w:t>
      </w:r>
      <w:r w:rsidR="00D605A9">
        <w:rPr>
          <w:rFonts w:ascii="Book Antiqua" w:hAnsi="Book Antiqua" w:cs="宋体"/>
          <w:color w:val="000000"/>
          <w:sz w:val="24"/>
          <w:szCs w:val="24"/>
          <w:lang w:eastAsia="zh-CN"/>
        </w:rPr>
        <w:t>2 DOI: 10.1177/0004867413508451</w:t>
      </w:r>
      <w:r w:rsidRPr="00B46572">
        <w:rPr>
          <w:rFonts w:ascii="Book Antiqua" w:hAnsi="Book Antiqua" w:cs="宋体"/>
          <w:color w:val="000000"/>
          <w:sz w:val="24"/>
          <w:szCs w:val="24"/>
          <w:lang w:eastAsia="zh-CN"/>
        </w:rPr>
        <w:t>]</w:t>
      </w:r>
    </w:p>
    <w:p w14:paraId="0ED718FC" w14:textId="4CA5688F"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t>18 </w:t>
      </w:r>
      <w:r w:rsidRPr="00B46572">
        <w:rPr>
          <w:rFonts w:ascii="Book Antiqua" w:hAnsi="Book Antiqua" w:cs="宋体"/>
          <w:b/>
          <w:bCs/>
          <w:color w:val="000000"/>
          <w:sz w:val="24"/>
          <w:szCs w:val="24"/>
          <w:lang w:eastAsia="zh-CN"/>
        </w:rPr>
        <w:t>Farreny A</w:t>
      </w:r>
      <w:r w:rsidRPr="00B46572">
        <w:rPr>
          <w:rFonts w:ascii="Book Antiqua" w:hAnsi="Book Antiqua" w:cs="宋体"/>
          <w:color w:val="000000"/>
          <w:sz w:val="24"/>
          <w:szCs w:val="24"/>
          <w:lang w:eastAsia="zh-CN"/>
        </w:rPr>
        <w:t>, Aguado J, Ochoa S, Huerta-Ramos E, Marsà F, López-Carrilero R, Carral V, Haro JM, Usall J. REPYFLEC cognitive remediation group training in schizophrenia: Looking for an integrative approach. </w:t>
      </w:r>
      <w:r w:rsidRPr="00B46572">
        <w:rPr>
          <w:rFonts w:ascii="Book Antiqua" w:hAnsi="Book Antiqua" w:cs="宋体"/>
          <w:i/>
          <w:iCs/>
          <w:color w:val="000000"/>
          <w:sz w:val="24"/>
          <w:szCs w:val="24"/>
          <w:lang w:eastAsia="zh-CN"/>
        </w:rPr>
        <w:t>Schizophr Res</w:t>
      </w:r>
      <w:r w:rsidRPr="00B46572">
        <w:rPr>
          <w:rFonts w:ascii="Book Antiqua" w:hAnsi="Book Antiqua" w:cs="宋体"/>
          <w:color w:val="000000"/>
          <w:sz w:val="24"/>
          <w:szCs w:val="24"/>
          <w:lang w:eastAsia="zh-CN"/>
        </w:rPr>
        <w:t> 2012; </w:t>
      </w:r>
      <w:r w:rsidRPr="00B46572">
        <w:rPr>
          <w:rFonts w:ascii="Book Antiqua" w:hAnsi="Book Antiqua" w:cs="宋体"/>
          <w:b/>
          <w:bCs/>
          <w:color w:val="000000"/>
          <w:sz w:val="24"/>
          <w:szCs w:val="24"/>
          <w:lang w:eastAsia="zh-CN"/>
        </w:rPr>
        <w:t>142</w:t>
      </w:r>
      <w:r w:rsidRPr="00B46572">
        <w:rPr>
          <w:rFonts w:ascii="Book Antiqua" w:hAnsi="Book Antiqua" w:cs="宋体"/>
          <w:color w:val="000000"/>
          <w:sz w:val="24"/>
          <w:szCs w:val="24"/>
          <w:lang w:eastAsia="zh-CN"/>
        </w:rPr>
        <w:t>: 137-144 [PMID: 23017827 DOI: 10.1016/j.schre</w:t>
      </w:r>
      <w:r w:rsidR="00D605A9">
        <w:rPr>
          <w:rFonts w:ascii="Book Antiqua" w:hAnsi="Book Antiqua" w:cs="宋体"/>
          <w:color w:val="000000"/>
          <w:sz w:val="24"/>
          <w:szCs w:val="24"/>
          <w:lang w:eastAsia="zh-CN"/>
        </w:rPr>
        <w:t>s.2012.08.035</w:t>
      </w:r>
      <w:r w:rsidRPr="00B46572">
        <w:rPr>
          <w:rFonts w:ascii="Book Antiqua" w:hAnsi="Book Antiqua" w:cs="宋体"/>
          <w:color w:val="000000"/>
          <w:sz w:val="24"/>
          <w:szCs w:val="24"/>
          <w:lang w:eastAsia="zh-CN"/>
        </w:rPr>
        <w:t>]</w:t>
      </w:r>
    </w:p>
    <w:p w14:paraId="6CE62834"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r w:rsidRPr="00B46572">
        <w:rPr>
          <w:rFonts w:ascii="Book Antiqua" w:hAnsi="Book Antiqua" w:cs="宋体"/>
          <w:color w:val="000000"/>
          <w:sz w:val="24"/>
          <w:szCs w:val="24"/>
          <w:lang w:eastAsia="zh-CN"/>
        </w:rPr>
        <w:lastRenderedPageBreak/>
        <w:t>19 </w:t>
      </w:r>
      <w:r w:rsidRPr="00B46572">
        <w:rPr>
          <w:rFonts w:ascii="Book Antiqua" w:hAnsi="Book Antiqua" w:cs="宋体"/>
          <w:b/>
          <w:bCs/>
          <w:color w:val="000000"/>
          <w:sz w:val="24"/>
          <w:szCs w:val="24"/>
          <w:lang w:eastAsia="zh-CN"/>
        </w:rPr>
        <w:t>Hubbard KL</w:t>
      </w:r>
      <w:r w:rsidRPr="00B46572">
        <w:rPr>
          <w:rFonts w:ascii="Book Antiqua" w:hAnsi="Book Antiqua" w:cs="宋体"/>
          <w:color w:val="000000"/>
          <w:sz w:val="24"/>
          <w:szCs w:val="24"/>
          <w:lang w:eastAsia="zh-CN"/>
        </w:rPr>
        <w:t>, Zapf PA, Ronan KA. Competency restoration: an examination of the differences between defendants predicted restorable and not restorable to competency. </w:t>
      </w:r>
      <w:r w:rsidRPr="00B46572">
        <w:rPr>
          <w:rFonts w:ascii="Book Antiqua" w:hAnsi="Book Antiqua" w:cs="宋体"/>
          <w:i/>
          <w:iCs/>
          <w:color w:val="000000"/>
          <w:sz w:val="24"/>
          <w:szCs w:val="24"/>
          <w:lang w:eastAsia="zh-CN"/>
        </w:rPr>
        <w:t>Law Hum Behav</w:t>
      </w:r>
      <w:r w:rsidRPr="00B46572">
        <w:rPr>
          <w:rFonts w:ascii="Book Antiqua" w:hAnsi="Book Antiqua" w:cs="宋体"/>
          <w:color w:val="000000"/>
          <w:sz w:val="24"/>
          <w:szCs w:val="24"/>
          <w:lang w:eastAsia="zh-CN"/>
        </w:rPr>
        <w:t> 2003; </w:t>
      </w:r>
      <w:r w:rsidRPr="00B46572">
        <w:rPr>
          <w:rFonts w:ascii="Book Antiqua" w:hAnsi="Book Antiqua" w:cs="宋体"/>
          <w:b/>
          <w:bCs/>
          <w:color w:val="000000"/>
          <w:sz w:val="24"/>
          <w:szCs w:val="24"/>
          <w:lang w:eastAsia="zh-CN"/>
        </w:rPr>
        <w:t>27</w:t>
      </w:r>
      <w:r w:rsidRPr="00B46572">
        <w:rPr>
          <w:rFonts w:ascii="Book Antiqua" w:hAnsi="Book Antiqua" w:cs="宋体"/>
          <w:color w:val="000000"/>
          <w:sz w:val="24"/>
          <w:szCs w:val="24"/>
          <w:lang w:eastAsia="zh-CN"/>
        </w:rPr>
        <w:t>: 127-139 [PMID: 12733417]</w:t>
      </w:r>
    </w:p>
    <w:p w14:paraId="54A1369F" w14:textId="77777777" w:rsidR="00B46572" w:rsidRPr="00B46572" w:rsidRDefault="00B46572" w:rsidP="00B46572">
      <w:pPr>
        <w:spacing w:after="0" w:line="360" w:lineRule="auto"/>
        <w:jc w:val="both"/>
        <w:rPr>
          <w:rFonts w:ascii="Book Antiqua" w:hAnsi="Book Antiqua" w:cs="宋体"/>
          <w:color w:val="000000"/>
          <w:sz w:val="24"/>
          <w:szCs w:val="24"/>
          <w:lang w:eastAsia="zh-CN"/>
        </w:rPr>
      </w:pPr>
      <w:proofErr w:type="gramStart"/>
      <w:r w:rsidRPr="00B46572">
        <w:rPr>
          <w:rFonts w:ascii="Book Antiqua" w:hAnsi="Book Antiqua" w:cs="宋体"/>
          <w:color w:val="000000"/>
          <w:sz w:val="24"/>
          <w:szCs w:val="24"/>
          <w:lang w:eastAsia="zh-CN"/>
        </w:rPr>
        <w:t>20 </w:t>
      </w:r>
      <w:r w:rsidRPr="00B46572">
        <w:rPr>
          <w:rFonts w:ascii="Book Antiqua" w:hAnsi="Book Antiqua" w:cs="宋体"/>
          <w:b/>
          <w:bCs/>
          <w:color w:val="000000"/>
          <w:sz w:val="24"/>
          <w:szCs w:val="24"/>
          <w:lang w:eastAsia="zh-CN"/>
        </w:rPr>
        <w:t>Mossman D</w:t>
      </w:r>
      <w:r w:rsidRPr="00B46572">
        <w:rPr>
          <w:rFonts w:ascii="Book Antiqua" w:hAnsi="Book Antiqua" w:cs="宋体"/>
          <w:color w:val="000000"/>
          <w:sz w:val="24"/>
          <w:szCs w:val="24"/>
          <w:lang w:eastAsia="zh-CN"/>
        </w:rPr>
        <w:t>. Predicting restorability of incompetent criminal defendants.</w:t>
      </w:r>
      <w:proofErr w:type="gramEnd"/>
      <w:r w:rsidRPr="00B46572">
        <w:rPr>
          <w:rFonts w:ascii="Book Antiqua" w:hAnsi="Book Antiqua" w:cs="宋体"/>
          <w:color w:val="000000"/>
          <w:sz w:val="24"/>
          <w:szCs w:val="24"/>
          <w:lang w:eastAsia="zh-CN"/>
        </w:rPr>
        <w:t> </w:t>
      </w:r>
      <w:r w:rsidRPr="00B46572">
        <w:rPr>
          <w:rFonts w:ascii="Book Antiqua" w:hAnsi="Book Antiqua" w:cs="宋体"/>
          <w:i/>
          <w:iCs/>
          <w:color w:val="000000"/>
          <w:sz w:val="24"/>
          <w:szCs w:val="24"/>
          <w:lang w:eastAsia="zh-CN"/>
        </w:rPr>
        <w:t>J Am Acad Psychiatry Law</w:t>
      </w:r>
      <w:r w:rsidRPr="00B46572">
        <w:rPr>
          <w:rFonts w:ascii="Book Antiqua" w:hAnsi="Book Antiqua" w:cs="宋体"/>
          <w:color w:val="000000"/>
          <w:sz w:val="24"/>
          <w:szCs w:val="24"/>
          <w:lang w:eastAsia="zh-CN"/>
        </w:rPr>
        <w:t> 2007; </w:t>
      </w:r>
      <w:r w:rsidRPr="00B46572">
        <w:rPr>
          <w:rFonts w:ascii="Book Antiqua" w:hAnsi="Book Antiqua" w:cs="宋体"/>
          <w:b/>
          <w:bCs/>
          <w:color w:val="000000"/>
          <w:sz w:val="24"/>
          <w:szCs w:val="24"/>
          <w:lang w:eastAsia="zh-CN"/>
        </w:rPr>
        <w:t>35</w:t>
      </w:r>
      <w:r w:rsidRPr="00B46572">
        <w:rPr>
          <w:rFonts w:ascii="Book Antiqua" w:hAnsi="Book Antiqua" w:cs="宋体"/>
          <w:color w:val="000000"/>
          <w:sz w:val="24"/>
          <w:szCs w:val="24"/>
          <w:lang w:eastAsia="zh-CN"/>
        </w:rPr>
        <w:t>: 34-43 [PMID: 17389343]</w:t>
      </w:r>
    </w:p>
    <w:p w14:paraId="311F5279" w14:textId="77777777" w:rsidR="00DF1B4E" w:rsidRPr="00B46572" w:rsidRDefault="00DF1B4E" w:rsidP="00B46572">
      <w:pPr>
        <w:spacing w:after="0" w:line="360" w:lineRule="auto"/>
        <w:jc w:val="both"/>
        <w:rPr>
          <w:rFonts w:ascii="Book Antiqua" w:hAnsi="Book Antiqua" w:cs="Times New Roman"/>
          <w:b/>
          <w:sz w:val="24"/>
          <w:szCs w:val="24"/>
          <w:lang w:eastAsia="zh-CN"/>
        </w:rPr>
      </w:pPr>
    </w:p>
    <w:p w14:paraId="19ABC3A0" w14:textId="30CC2DD1" w:rsidR="00DF1B4E" w:rsidRPr="00D605A9" w:rsidRDefault="00DF1B4E" w:rsidP="00D605A9">
      <w:pPr>
        <w:spacing w:after="0" w:line="360" w:lineRule="auto"/>
        <w:jc w:val="right"/>
        <w:rPr>
          <w:rFonts w:ascii="Book Antiqua" w:hAnsi="Book Antiqua"/>
          <w:b/>
          <w:sz w:val="24"/>
          <w:szCs w:val="24"/>
          <w:lang w:eastAsia="zh-CN"/>
        </w:rPr>
      </w:pPr>
      <w:r w:rsidRPr="00D605A9">
        <w:rPr>
          <w:rFonts w:ascii="Book Antiqua" w:hAnsi="Book Antiqua"/>
          <w:b/>
          <w:sz w:val="24"/>
          <w:szCs w:val="24"/>
        </w:rPr>
        <w:t xml:space="preserve">P-Reviewer: </w:t>
      </w:r>
      <w:r w:rsidR="005D5B35" w:rsidRPr="00D605A9">
        <w:rPr>
          <w:rFonts w:ascii="Book Antiqua" w:hAnsi="Book Antiqua" w:cs="Tahoma"/>
          <w:color w:val="000000"/>
          <w:sz w:val="24"/>
          <w:szCs w:val="24"/>
        </w:rPr>
        <w:t>Allen</w:t>
      </w:r>
      <w:r w:rsidR="005D5B35" w:rsidRPr="00D605A9">
        <w:rPr>
          <w:rFonts w:ascii="Book Antiqua" w:hAnsi="Book Antiqua" w:cs="Tahoma"/>
          <w:color w:val="000000"/>
          <w:sz w:val="24"/>
          <w:szCs w:val="24"/>
          <w:lang w:eastAsia="zh-CN"/>
        </w:rPr>
        <w:t xml:space="preserve"> M, </w:t>
      </w:r>
      <w:r w:rsidR="005D5B35" w:rsidRPr="00D605A9">
        <w:rPr>
          <w:rFonts w:ascii="Book Antiqua" w:hAnsi="Book Antiqua" w:cs="Tahoma"/>
          <w:color w:val="000000"/>
          <w:sz w:val="24"/>
          <w:szCs w:val="24"/>
        </w:rPr>
        <w:t>Gürel</w:t>
      </w:r>
      <w:r w:rsidR="005D5B35" w:rsidRPr="00D605A9">
        <w:rPr>
          <w:rFonts w:ascii="Book Antiqua" w:hAnsi="Book Antiqua" w:cs="Tahoma"/>
          <w:color w:val="000000"/>
          <w:sz w:val="24"/>
          <w:szCs w:val="24"/>
          <w:lang w:eastAsia="zh-CN"/>
        </w:rPr>
        <w:t xml:space="preserve"> P, </w:t>
      </w:r>
      <w:r w:rsidR="005D5B35" w:rsidRPr="00D605A9">
        <w:rPr>
          <w:rFonts w:ascii="Book Antiqua" w:hAnsi="Book Antiqua" w:cs="Tahoma"/>
          <w:color w:val="000000"/>
          <w:sz w:val="24"/>
          <w:szCs w:val="24"/>
        </w:rPr>
        <w:t>Krishnan</w:t>
      </w:r>
      <w:r w:rsidR="005D5B35" w:rsidRPr="00D605A9">
        <w:rPr>
          <w:rFonts w:ascii="Book Antiqua" w:hAnsi="Book Antiqua" w:cs="Tahoma"/>
          <w:color w:val="000000"/>
          <w:sz w:val="24"/>
          <w:szCs w:val="24"/>
          <w:lang w:eastAsia="zh-CN"/>
        </w:rPr>
        <w:t xml:space="preserve"> T </w:t>
      </w:r>
      <w:r w:rsidRPr="00D605A9">
        <w:rPr>
          <w:rFonts w:ascii="Book Antiqua" w:hAnsi="Book Antiqua"/>
          <w:b/>
          <w:sz w:val="24"/>
          <w:szCs w:val="24"/>
        </w:rPr>
        <w:t xml:space="preserve">S-Editor: </w:t>
      </w:r>
      <w:r w:rsidRPr="00D605A9">
        <w:rPr>
          <w:rFonts w:ascii="Book Antiqua" w:hAnsi="Book Antiqua"/>
          <w:sz w:val="24"/>
          <w:szCs w:val="24"/>
        </w:rPr>
        <w:t>Ji FF</w:t>
      </w:r>
      <w:r w:rsidRPr="00D605A9">
        <w:rPr>
          <w:rFonts w:ascii="Book Antiqua" w:hAnsi="Book Antiqua"/>
          <w:b/>
          <w:sz w:val="24"/>
          <w:szCs w:val="24"/>
        </w:rPr>
        <w:t xml:space="preserve"> L-Editor: E-Editor:</w:t>
      </w:r>
    </w:p>
    <w:p w14:paraId="5E1FBAF1" w14:textId="77777777" w:rsidR="004701F4" w:rsidRDefault="004701F4" w:rsidP="004E35E5">
      <w:pPr>
        <w:spacing w:after="0" w:line="360" w:lineRule="auto"/>
        <w:jc w:val="both"/>
        <w:rPr>
          <w:rFonts w:ascii="Book Antiqua" w:hAnsi="Book Antiqua"/>
          <w:b/>
          <w:sz w:val="24"/>
          <w:szCs w:val="24"/>
          <w:lang w:eastAsia="zh-CN"/>
        </w:rPr>
      </w:pPr>
    </w:p>
    <w:p w14:paraId="0253A0FF" w14:textId="77777777" w:rsidR="004701F4" w:rsidRDefault="004701F4" w:rsidP="004E35E5">
      <w:pPr>
        <w:spacing w:after="0" w:line="360" w:lineRule="auto"/>
        <w:jc w:val="both"/>
        <w:rPr>
          <w:rFonts w:ascii="Book Antiqua" w:hAnsi="Book Antiqua"/>
          <w:b/>
          <w:sz w:val="24"/>
          <w:szCs w:val="24"/>
          <w:lang w:eastAsia="zh-CN"/>
        </w:rPr>
      </w:pPr>
    </w:p>
    <w:p w14:paraId="39816C93" w14:textId="77777777" w:rsidR="00E36EC5" w:rsidRDefault="00E36EC5" w:rsidP="004E35E5">
      <w:pPr>
        <w:spacing w:after="0" w:line="360" w:lineRule="auto"/>
        <w:jc w:val="both"/>
        <w:rPr>
          <w:rFonts w:ascii="Book Antiqua" w:hAnsi="Book Antiqua"/>
          <w:b/>
          <w:sz w:val="24"/>
          <w:szCs w:val="24"/>
          <w:lang w:eastAsia="zh-CN"/>
        </w:rPr>
      </w:pPr>
    </w:p>
    <w:p w14:paraId="5D5415BA" w14:textId="77777777" w:rsidR="004701F4" w:rsidRDefault="004701F4" w:rsidP="004E35E5">
      <w:pPr>
        <w:spacing w:after="0" w:line="360" w:lineRule="auto"/>
        <w:jc w:val="both"/>
        <w:rPr>
          <w:rFonts w:ascii="Book Antiqua" w:hAnsi="Book Antiqua"/>
          <w:b/>
          <w:sz w:val="24"/>
          <w:szCs w:val="24"/>
          <w:lang w:eastAsia="zh-CN"/>
        </w:rPr>
      </w:pPr>
    </w:p>
    <w:p w14:paraId="7DD25829" w14:textId="77777777" w:rsidR="004701F4" w:rsidRPr="005D5B35" w:rsidRDefault="004701F4" w:rsidP="004E35E5">
      <w:pPr>
        <w:spacing w:after="0" w:line="360" w:lineRule="auto"/>
        <w:jc w:val="both"/>
        <w:rPr>
          <w:rFonts w:ascii="Book Antiqua" w:hAnsi="Book Antiqua"/>
          <w:b/>
          <w:sz w:val="24"/>
          <w:szCs w:val="24"/>
          <w:lang w:eastAsia="zh-CN"/>
        </w:rPr>
      </w:pPr>
    </w:p>
    <w:p w14:paraId="098D1AB4" w14:textId="77777777" w:rsidR="004701F4" w:rsidRDefault="004701F4" w:rsidP="004E35E5">
      <w:pPr>
        <w:spacing w:after="0" w:line="360" w:lineRule="auto"/>
        <w:jc w:val="both"/>
        <w:rPr>
          <w:rFonts w:ascii="Book Antiqua" w:hAnsi="Book Antiqua"/>
          <w:b/>
          <w:sz w:val="24"/>
          <w:szCs w:val="24"/>
          <w:lang w:eastAsia="zh-CN"/>
        </w:rPr>
      </w:pPr>
    </w:p>
    <w:p w14:paraId="5BC9E899" w14:textId="77777777" w:rsidR="004701F4" w:rsidRDefault="004701F4" w:rsidP="004701F4">
      <w:pPr>
        <w:spacing w:line="360" w:lineRule="auto"/>
        <w:rPr>
          <w:rFonts w:ascii="Book Antiqua" w:hAnsi="Book Antiqua"/>
          <w:sz w:val="24"/>
          <w:lang w:eastAsia="zh-CN"/>
        </w:rPr>
      </w:pPr>
    </w:p>
    <w:p w14:paraId="6BED19C2" w14:textId="1ED9380B" w:rsidR="004701F4" w:rsidRPr="004E35E5" w:rsidRDefault="004701F4" w:rsidP="004701F4">
      <w:pPr>
        <w:spacing w:after="0" w:line="360" w:lineRule="auto"/>
        <w:jc w:val="both"/>
        <w:rPr>
          <w:rFonts w:ascii="Book Antiqua" w:hAnsi="Book Antiqua" w:cs="Times New Roman"/>
          <w:sz w:val="24"/>
          <w:szCs w:val="24"/>
        </w:rPr>
      </w:pPr>
      <w:r>
        <w:rPr>
          <w:rFonts w:ascii="Book Antiqua" w:hAnsi="Book Antiqua"/>
          <w:noProof/>
          <w:sz w:val="24"/>
        </w:rPr>
        <w:lastRenderedPageBreak/>
        <w:drawing>
          <wp:inline distT="0" distB="0" distL="0" distR="0" wp14:anchorId="6E68441C" wp14:editId="7873E43E">
            <wp:extent cx="5581650" cy="4977765"/>
            <wp:effectExtent l="0" t="0" r="19050" b="13335"/>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022210" w14:textId="4B681272" w:rsidR="004701F4" w:rsidRPr="004701F4" w:rsidRDefault="004701F4" w:rsidP="004701F4">
      <w:pPr>
        <w:spacing w:line="360" w:lineRule="auto"/>
        <w:rPr>
          <w:rFonts w:ascii="Book Antiqua" w:hAnsi="Book Antiqua" w:cs="Times New Roman"/>
          <w:b/>
          <w:sz w:val="24"/>
          <w:szCs w:val="24"/>
          <w:lang w:eastAsia="zh-CN"/>
        </w:rPr>
      </w:pPr>
      <w:r w:rsidRPr="004701F4">
        <w:rPr>
          <w:rFonts w:ascii="Book Antiqua" w:hAnsi="Book Antiqua" w:cs="Times New Roman" w:hint="eastAsia"/>
          <w:b/>
          <w:bCs/>
          <w:sz w:val="24"/>
          <w:szCs w:val="24"/>
          <w:lang w:eastAsia="zh-CN"/>
        </w:rPr>
        <w:t>Figure</w:t>
      </w:r>
      <w:r w:rsidRPr="004701F4">
        <w:rPr>
          <w:rFonts w:ascii="Book Antiqua" w:hAnsi="Book Antiqua" w:cs="Times New Roman"/>
          <w:b/>
          <w:bCs/>
          <w:sz w:val="24"/>
          <w:szCs w:val="24"/>
        </w:rPr>
        <w:t xml:space="preserve"> 1 Demographics of </w:t>
      </w:r>
      <w:r w:rsidRPr="004701F4">
        <w:rPr>
          <w:rFonts w:ascii="Book Antiqua" w:hAnsi="Book Antiqua"/>
          <w:b/>
          <w:sz w:val="24"/>
          <w:szCs w:val="24"/>
        </w:rPr>
        <w:t>Outpatient Competency Restoration Program</w:t>
      </w:r>
      <w:r w:rsidRPr="004701F4">
        <w:rPr>
          <w:rFonts w:ascii="Book Antiqua" w:hAnsi="Book Antiqua" w:cs="Times New Roman"/>
          <w:b/>
          <w:bCs/>
          <w:sz w:val="24"/>
          <w:szCs w:val="24"/>
        </w:rPr>
        <w:t xml:space="preserve"> 2009</w:t>
      </w:r>
      <w:r>
        <w:rPr>
          <w:rFonts w:ascii="Book Antiqua" w:hAnsi="Book Antiqua" w:cs="Times New Roman" w:hint="eastAsia"/>
          <w:b/>
          <w:bCs/>
          <w:sz w:val="24"/>
          <w:szCs w:val="24"/>
          <w:lang w:eastAsia="zh-CN"/>
        </w:rPr>
        <w:t>-</w:t>
      </w:r>
      <w:r w:rsidRPr="004701F4">
        <w:rPr>
          <w:rFonts w:ascii="Book Antiqua" w:hAnsi="Book Antiqua" w:cs="Times New Roman"/>
          <w:b/>
          <w:bCs/>
          <w:sz w:val="24"/>
          <w:szCs w:val="24"/>
        </w:rPr>
        <w:t>2013</w:t>
      </w:r>
      <w:r w:rsidRPr="004701F4">
        <w:rPr>
          <w:rFonts w:ascii="Book Antiqua" w:hAnsi="Book Antiqua" w:cs="Times New Roman" w:hint="eastAsia"/>
          <w:b/>
          <w:bCs/>
          <w:sz w:val="24"/>
          <w:szCs w:val="24"/>
          <w:lang w:eastAsia="zh-CN"/>
        </w:rPr>
        <w:t>.</w:t>
      </w:r>
      <w:r>
        <w:rPr>
          <w:rFonts w:ascii="Book Antiqua" w:hAnsi="Book Antiqua" w:cs="Times New Roman" w:hint="eastAsia"/>
          <w:b/>
          <w:sz w:val="24"/>
          <w:szCs w:val="24"/>
          <w:lang w:eastAsia="zh-CN"/>
        </w:rPr>
        <w:t xml:space="preserve"> </w:t>
      </w:r>
      <w:r w:rsidRPr="004E35E5">
        <w:rPr>
          <w:rFonts w:ascii="Book Antiqua" w:hAnsi="Book Antiqua" w:cs="Times New Roman"/>
          <w:sz w:val="24"/>
          <w:szCs w:val="24"/>
        </w:rPr>
        <w:t>Totals may not add to 170 because of missing data for certain individuals.</w:t>
      </w:r>
    </w:p>
    <w:p w14:paraId="26E17996" w14:textId="77777777" w:rsidR="004701F4" w:rsidRDefault="004701F4" w:rsidP="004701F4">
      <w:pPr>
        <w:spacing w:line="360" w:lineRule="auto"/>
        <w:rPr>
          <w:rFonts w:ascii="Book Antiqua" w:hAnsi="Book Antiqua"/>
          <w:sz w:val="24"/>
        </w:rPr>
      </w:pPr>
    </w:p>
    <w:p w14:paraId="330224B2" w14:textId="77777777" w:rsidR="004701F4" w:rsidRPr="004E35E5" w:rsidRDefault="004701F4" w:rsidP="004701F4">
      <w:pPr>
        <w:spacing w:after="0" w:line="360" w:lineRule="auto"/>
        <w:ind w:firstLineChars="100" w:firstLine="240"/>
        <w:jc w:val="both"/>
        <w:rPr>
          <w:rFonts w:ascii="Book Antiqua" w:hAnsi="Book Antiqua" w:cs="Times New Roman"/>
          <w:sz w:val="24"/>
          <w:szCs w:val="24"/>
        </w:rPr>
      </w:pPr>
    </w:p>
    <w:p w14:paraId="744689CB" w14:textId="77777777" w:rsidR="004701F4" w:rsidRPr="004E35E5" w:rsidRDefault="004701F4" w:rsidP="004701F4">
      <w:pPr>
        <w:spacing w:after="0" w:line="360" w:lineRule="auto"/>
        <w:jc w:val="both"/>
        <w:rPr>
          <w:rFonts w:ascii="Book Antiqua" w:hAnsi="Book Antiqua" w:cs="Times New Roman"/>
          <w:sz w:val="24"/>
          <w:szCs w:val="24"/>
        </w:rPr>
      </w:pPr>
    </w:p>
    <w:p w14:paraId="51211560" w14:textId="6ACB1B91" w:rsidR="004701F4" w:rsidRPr="004E35E5" w:rsidRDefault="004701F4" w:rsidP="004701F4">
      <w:pPr>
        <w:spacing w:after="0" w:line="360" w:lineRule="auto"/>
        <w:jc w:val="both"/>
        <w:rPr>
          <w:rFonts w:ascii="Book Antiqua" w:hAnsi="Book Antiqua" w:cs="Times New Roman"/>
          <w:sz w:val="24"/>
          <w:szCs w:val="24"/>
        </w:rPr>
      </w:pPr>
      <w:r>
        <w:rPr>
          <w:rFonts w:ascii="Book Antiqua" w:hAnsi="Book Antiqua"/>
          <w:noProof/>
          <w:sz w:val="24"/>
        </w:rPr>
        <w:lastRenderedPageBreak/>
        <w:drawing>
          <wp:inline distT="0" distB="0" distL="0" distR="0" wp14:anchorId="3109D2BF" wp14:editId="38B93FD1">
            <wp:extent cx="5502275" cy="3975735"/>
            <wp:effectExtent l="0" t="0" r="22225" b="24765"/>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3DDB9D" w14:textId="7A21A682" w:rsidR="004701F4" w:rsidRPr="004701F4" w:rsidRDefault="004701F4" w:rsidP="004701F4">
      <w:pPr>
        <w:spacing w:line="360" w:lineRule="auto"/>
        <w:rPr>
          <w:rFonts w:ascii="Book Antiqua" w:hAnsi="Book Antiqua"/>
          <w:b/>
          <w:sz w:val="24"/>
          <w:lang w:eastAsia="zh-CN"/>
        </w:rPr>
      </w:pPr>
      <w:r w:rsidRPr="004701F4">
        <w:rPr>
          <w:rFonts w:ascii="Book Antiqua" w:hAnsi="Book Antiqua" w:cs="Times New Roman"/>
          <w:b/>
          <w:bCs/>
          <w:sz w:val="24"/>
          <w:szCs w:val="24"/>
        </w:rPr>
        <w:t xml:space="preserve">Table 2 </w:t>
      </w:r>
      <w:r w:rsidRPr="004701F4">
        <w:rPr>
          <w:rFonts w:ascii="Book Antiqua" w:hAnsi="Book Antiqua"/>
          <w:b/>
          <w:sz w:val="24"/>
          <w:szCs w:val="24"/>
        </w:rPr>
        <w:t>Outpatient Competency Restoration Program</w:t>
      </w:r>
      <w:r w:rsidRPr="004701F4">
        <w:rPr>
          <w:rFonts w:ascii="Book Antiqua" w:hAnsi="Book Antiqua" w:hint="eastAsia"/>
          <w:b/>
          <w:sz w:val="24"/>
          <w:lang w:eastAsia="zh-CN"/>
        </w:rPr>
        <w:t xml:space="preserve"> </w:t>
      </w:r>
      <w:r w:rsidRPr="004701F4">
        <w:rPr>
          <w:rFonts w:ascii="Book Antiqua" w:hAnsi="Book Antiqua" w:cs="Times New Roman"/>
          <w:b/>
          <w:bCs/>
          <w:sz w:val="24"/>
          <w:szCs w:val="24"/>
        </w:rPr>
        <w:t>Diagnoses 2009</w:t>
      </w:r>
      <w:r w:rsidRPr="004701F4">
        <w:rPr>
          <w:rFonts w:ascii="Book Antiqua" w:hAnsi="Book Antiqua" w:cs="Times New Roman" w:hint="eastAsia"/>
          <w:b/>
          <w:bCs/>
          <w:sz w:val="24"/>
          <w:szCs w:val="24"/>
          <w:lang w:eastAsia="zh-CN"/>
        </w:rPr>
        <w:t>-</w:t>
      </w:r>
      <w:r w:rsidRPr="004701F4">
        <w:rPr>
          <w:rFonts w:ascii="Book Antiqua" w:hAnsi="Book Antiqua" w:cs="Times New Roman"/>
          <w:b/>
          <w:bCs/>
          <w:sz w:val="24"/>
          <w:szCs w:val="24"/>
        </w:rPr>
        <w:t>2013</w:t>
      </w:r>
      <w:r w:rsidRPr="004701F4">
        <w:rPr>
          <w:rFonts w:ascii="Book Antiqua" w:hAnsi="Book Antiqua" w:cs="Times New Roman" w:hint="eastAsia"/>
          <w:b/>
          <w:bCs/>
          <w:sz w:val="24"/>
          <w:szCs w:val="24"/>
          <w:lang w:eastAsia="zh-CN"/>
        </w:rPr>
        <w:t>.</w:t>
      </w:r>
      <w:r>
        <w:rPr>
          <w:rFonts w:ascii="Book Antiqua" w:hAnsi="Book Antiqua" w:hint="eastAsia"/>
          <w:b/>
          <w:sz w:val="24"/>
          <w:lang w:eastAsia="zh-CN"/>
        </w:rPr>
        <w:t xml:space="preserve"> </w:t>
      </w:r>
      <w:r w:rsidRPr="004E35E5">
        <w:rPr>
          <w:rFonts w:ascii="Book Antiqua" w:hAnsi="Book Antiqua" w:cs="Times New Roman"/>
          <w:sz w:val="24"/>
          <w:szCs w:val="24"/>
        </w:rPr>
        <w:t xml:space="preserve">For the purposes of brevity “Cognitive Disorder” includes DSM-5’s Neurocognitive Disorder (3 cases) and Intellectual Developmental Disorder (7 cases). </w:t>
      </w:r>
    </w:p>
    <w:p w14:paraId="46ED279E" w14:textId="489EFF4E" w:rsidR="004701F4" w:rsidRPr="004E35E5" w:rsidRDefault="004701F4" w:rsidP="004701F4">
      <w:pPr>
        <w:spacing w:after="0" w:line="360" w:lineRule="auto"/>
        <w:jc w:val="both"/>
        <w:rPr>
          <w:rFonts w:ascii="Book Antiqua" w:hAnsi="Book Antiqua" w:cs="Times New Roman"/>
          <w:sz w:val="24"/>
          <w:szCs w:val="24"/>
        </w:rPr>
      </w:pPr>
      <w:r>
        <w:rPr>
          <w:noProof/>
        </w:rPr>
        <w:lastRenderedPageBreak/>
        <w:drawing>
          <wp:inline distT="0" distB="0" distL="0" distR="0" wp14:anchorId="60E6A481" wp14:editId="5CCF4205">
            <wp:extent cx="5470525" cy="5613400"/>
            <wp:effectExtent l="0" t="0" r="15875" b="2540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B0242A" w14:textId="0A9EC576" w:rsidR="004701F4" w:rsidRPr="004701F4" w:rsidRDefault="004701F4" w:rsidP="004701F4">
      <w:pPr>
        <w:spacing w:line="360" w:lineRule="auto"/>
        <w:rPr>
          <w:rFonts w:ascii="Book Antiqua" w:hAnsi="Book Antiqua"/>
          <w:b/>
          <w:sz w:val="24"/>
          <w:lang w:eastAsia="zh-CN"/>
        </w:rPr>
      </w:pPr>
      <w:r w:rsidRPr="004701F4">
        <w:rPr>
          <w:rFonts w:ascii="Book Antiqua" w:hAnsi="Book Antiqua"/>
          <w:b/>
          <w:sz w:val="24"/>
        </w:rPr>
        <w:t xml:space="preserve">Figure </w:t>
      </w:r>
      <w:r w:rsidRPr="004701F4">
        <w:rPr>
          <w:rFonts w:ascii="Book Antiqua" w:hAnsi="Book Antiqua" w:hint="eastAsia"/>
          <w:b/>
          <w:sz w:val="24"/>
          <w:lang w:eastAsia="zh-CN"/>
        </w:rPr>
        <w:t>3</w:t>
      </w:r>
      <w:r w:rsidRPr="004701F4">
        <w:rPr>
          <w:rFonts w:ascii="Book Antiqua" w:hAnsi="Book Antiqua"/>
          <w:b/>
          <w:sz w:val="24"/>
        </w:rPr>
        <w:t xml:space="preserve"> </w:t>
      </w:r>
      <w:r w:rsidRPr="004701F4">
        <w:rPr>
          <w:rFonts w:ascii="Book Antiqua" w:hAnsi="Book Antiqua"/>
          <w:b/>
          <w:sz w:val="24"/>
          <w:szCs w:val="24"/>
        </w:rPr>
        <w:t>Outpatient Competency Restoration Program</w:t>
      </w:r>
      <w:r w:rsidRPr="004701F4">
        <w:rPr>
          <w:rFonts w:ascii="Book Antiqua" w:hAnsi="Book Antiqua" w:hint="eastAsia"/>
          <w:b/>
          <w:sz w:val="24"/>
          <w:lang w:eastAsia="zh-CN"/>
        </w:rPr>
        <w:t xml:space="preserve"> </w:t>
      </w:r>
      <w:r w:rsidRPr="004701F4">
        <w:rPr>
          <w:rFonts w:ascii="Book Antiqua" w:hAnsi="Book Antiqua"/>
          <w:b/>
          <w:sz w:val="24"/>
        </w:rPr>
        <w:t>participants competent to stand trial b</w:t>
      </w:r>
      <w:r>
        <w:rPr>
          <w:rFonts w:ascii="Book Antiqua" w:hAnsi="Book Antiqua"/>
          <w:b/>
          <w:sz w:val="24"/>
        </w:rPr>
        <w:t>y decision of dc superior court</w:t>
      </w:r>
      <w:r w:rsidRPr="004701F4">
        <w:rPr>
          <w:rFonts w:ascii="Book Antiqua" w:hAnsi="Book Antiqua" w:hint="eastAsia"/>
          <w:b/>
          <w:sz w:val="24"/>
          <w:lang w:eastAsia="zh-CN"/>
        </w:rPr>
        <w:t>.</w:t>
      </w:r>
      <w:r w:rsidR="005F7F66">
        <w:rPr>
          <w:rFonts w:ascii="Book Antiqua" w:hAnsi="Book Antiqua"/>
          <w:b/>
          <w:sz w:val="24"/>
        </w:rPr>
        <w:t xml:space="preserve"> </w:t>
      </w:r>
    </w:p>
    <w:sectPr w:rsidR="004701F4" w:rsidRPr="004701F4" w:rsidSect="004F4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9606E" w14:textId="77777777" w:rsidR="00431515" w:rsidRDefault="00431515" w:rsidP="00A2139F">
      <w:pPr>
        <w:spacing w:after="0" w:line="240" w:lineRule="auto"/>
      </w:pPr>
      <w:r>
        <w:separator/>
      </w:r>
    </w:p>
  </w:endnote>
  <w:endnote w:type="continuationSeparator" w:id="0">
    <w:p w14:paraId="2D2514E7" w14:textId="77777777" w:rsidR="00431515" w:rsidRDefault="00431515" w:rsidP="00A2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46DC6" w14:textId="77777777" w:rsidR="00431515" w:rsidRDefault="00431515" w:rsidP="00A2139F">
      <w:pPr>
        <w:spacing w:after="0" w:line="240" w:lineRule="auto"/>
      </w:pPr>
      <w:r>
        <w:separator/>
      </w:r>
    </w:p>
  </w:footnote>
  <w:footnote w:type="continuationSeparator" w:id="0">
    <w:p w14:paraId="65C5A2AF" w14:textId="77777777" w:rsidR="00431515" w:rsidRDefault="00431515" w:rsidP="00A213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369B"/>
    <w:multiLevelType w:val="hybridMultilevel"/>
    <w:tmpl w:val="D062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A67FC"/>
    <w:multiLevelType w:val="hybridMultilevel"/>
    <w:tmpl w:val="D062E8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701EB"/>
    <w:multiLevelType w:val="hybridMultilevel"/>
    <w:tmpl w:val="D3F28C84"/>
    <w:lvl w:ilvl="0" w:tplc="81E0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8E"/>
    <w:rsid w:val="00000B24"/>
    <w:rsid w:val="00010EA8"/>
    <w:rsid w:val="00017C84"/>
    <w:rsid w:val="00035694"/>
    <w:rsid w:val="00040FF3"/>
    <w:rsid w:val="00052FF7"/>
    <w:rsid w:val="00075F08"/>
    <w:rsid w:val="000A4609"/>
    <w:rsid w:val="000C13D4"/>
    <w:rsid w:val="000C6928"/>
    <w:rsid w:val="000D26F2"/>
    <w:rsid w:val="000E4415"/>
    <w:rsid w:val="000F11D1"/>
    <w:rsid w:val="00100525"/>
    <w:rsid w:val="00110F5D"/>
    <w:rsid w:val="001160E3"/>
    <w:rsid w:val="00145EB2"/>
    <w:rsid w:val="00153860"/>
    <w:rsid w:val="00161840"/>
    <w:rsid w:val="00177452"/>
    <w:rsid w:val="00177E14"/>
    <w:rsid w:val="001841F2"/>
    <w:rsid w:val="0019169D"/>
    <w:rsid w:val="00194AB9"/>
    <w:rsid w:val="00195C4A"/>
    <w:rsid w:val="001A6692"/>
    <w:rsid w:val="001F1C63"/>
    <w:rsid w:val="002034D8"/>
    <w:rsid w:val="00224A09"/>
    <w:rsid w:val="00225797"/>
    <w:rsid w:val="00234382"/>
    <w:rsid w:val="002372AA"/>
    <w:rsid w:val="00237495"/>
    <w:rsid w:val="002465D5"/>
    <w:rsid w:val="0025299A"/>
    <w:rsid w:val="0027194F"/>
    <w:rsid w:val="0029469E"/>
    <w:rsid w:val="002A3F6E"/>
    <w:rsid w:val="002A7D53"/>
    <w:rsid w:val="002B1F23"/>
    <w:rsid w:val="002C4D38"/>
    <w:rsid w:val="002D3910"/>
    <w:rsid w:val="002F16DC"/>
    <w:rsid w:val="002F5359"/>
    <w:rsid w:val="003108DB"/>
    <w:rsid w:val="00343B8F"/>
    <w:rsid w:val="00353D1E"/>
    <w:rsid w:val="00361D4F"/>
    <w:rsid w:val="00382FEC"/>
    <w:rsid w:val="00383DB7"/>
    <w:rsid w:val="00384AFD"/>
    <w:rsid w:val="003A02D9"/>
    <w:rsid w:val="003A26D4"/>
    <w:rsid w:val="003C3AC3"/>
    <w:rsid w:val="003C61AB"/>
    <w:rsid w:val="003E1BB5"/>
    <w:rsid w:val="00413A73"/>
    <w:rsid w:val="00417237"/>
    <w:rsid w:val="0042617A"/>
    <w:rsid w:val="00431515"/>
    <w:rsid w:val="00462DED"/>
    <w:rsid w:val="004701F4"/>
    <w:rsid w:val="00472727"/>
    <w:rsid w:val="00474A20"/>
    <w:rsid w:val="00481DD8"/>
    <w:rsid w:val="00484EC5"/>
    <w:rsid w:val="0049613E"/>
    <w:rsid w:val="004967F7"/>
    <w:rsid w:val="004A2045"/>
    <w:rsid w:val="004A7F7A"/>
    <w:rsid w:val="004D1ED1"/>
    <w:rsid w:val="004D41AD"/>
    <w:rsid w:val="004D57A6"/>
    <w:rsid w:val="004E35E5"/>
    <w:rsid w:val="004F4B3A"/>
    <w:rsid w:val="00514AF4"/>
    <w:rsid w:val="00517C98"/>
    <w:rsid w:val="00530E79"/>
    <w:rsid w:val="00531972"/>
    <w:rsid w:val="005337BB"/>
    <w:rsid w:val="00543348"/>
    <w:rsid w:val="00572745"/>
    <w:rsid w:val="005A7EA8"/>
    <w:rsid w:val="005C4D76"/>
    <w:rsid w:val="005D079F"/>
    <w:rsid w:val="005D5B35"/>
    <w:rsid w:val="005F2DB3"/>
    <w:rsid w:val="005F7F66"/>
    <w:rsid w:val="0061169A"/>
    <w:rsid w:val="0061619B"/>
    <w:rsid w:val="006207E2"/>
    <w:rsid w:val="006354DE"/>
    <w:rsid w:val="006361D7"/>
    <w:rsid w:val="00651AC1"/>
    <w:rsid w:val="00652B35"/>
    <w:rsid w:val="00671FD0"/>
    <w:rsid w:val="006736ED"/>
    <w:rsid w:val="006748EE"/>
    <w:rsid w:val="0068327B"/>
    <w:rsid w:val="0069222B"/>
    <w:rsid w:val="00695770"/>
    <w:rsid w:val="006F2FDF"/>
    <w:rsid w:val="006F62EF"/>
    <w:rsid w:val="007215EA"/>
    <w:rsid w:val="00726E94"/>
    <w:rsid w:val="0074199D"/>
    <w:rsid w:val="00767AAF"/>
    <w:rsid w:val="007807B5"/>
    <w:rsid w:val="00791680"/>
    <w:rsid w:val="007A2D0D"/>
    <w:rsid w:val="007B210F"/>
    <w:rsid w:val="007B2773"/>
    <w:rsid w:val="007C51E9"/>
    <w:rsid w:val="007D29AA"/>
    <w:rsid w:val="007D29E0"/>
    <w:rsid w:val="007D7611"/>
    <w:rsid w:val="007F087F"/>
    <w:rsid w:val="007F50E1"/>
    <w:rsid w:val="007F6252"/>
    <w:rsid w:val="008157A2"/>
    <w:rsid w:val="00825432"/>
    <w:rsid w:val="0083315D"/>
    <w:rsid w:val="008832D0"/>
    <w:rsid w:val="00893D37"/>
    <w:rsid w:val="008A2801"/>
    <w:rsid w:val="008A2B90"/>
    <w:rsid w:val="008A37AC"/>
    <w:rsid w:val="008B1C65"/>
    <w:rsid w:val="008C5986"/>
    <w:rsid w:val="008F24E1"/>
    <w:rsid w:val="0094179F"/>
    <w:rsid w:val="00954E5C"/>
    <w:rsid w:val="00957AF3"/>
    <w:rsid w:val="00986449"/>
    <w:rsid w:val="00997E77"/>
    <w:rsid w:val="009A095C"/>
    <w:rsid w:val="009A1C48"/>
    <w:rsid w:val="009B24C8"/>
    <w:rsid w:val="009C0FB6"/>
    <w:rsid w:val="009D4F0C"/>
    <w:rsid w:val="009E38CD"/>
    <w:rsid w:val="00A2139F"/>
    <w:rsid w:val="00A22204"/>
    <w:rsid w:val="00A30657"/>
    <w:rsid w:val="00A44D4D"/>
    <w:rsid w:val="00A52A7D"/>
    <w:rsid w:val="00A54BB5"/>
    <w:rsid w:val="00A67A05"/>
    <w:rsid w:val="00A81B8A"/>
    <w:rsid w:val="00A91C28"/>
    <w:rsid w:val="00AC20AB"/>
    <w:rsid w:val="00AC20BF"/>
    <w:rsid w:val="00AC6977"/>
    <w:rsid w:val="00AE24B4"/>
    <w:rsid w:val="00AE3234"/>
    <w:rsid w:val="00AF1C4F"/>
    <w:rsid w:val="00B112A4"/>
    <w:rsid w:val="00B1460C"/>
    <w:rsid w:val="00B22BAD"/>
    <w:rsid w:val="00B24BF4"/>
    <w:rsid w:val="00B46572"/>
    <w:rsid w:val="00B61B29"/>
    <w:rsid w:val="00B64923"/>
    <w:rsid w:val="00B91D80"/>
    <w:rsid w:val="00BA0F61"/>
    <w:rsid w:val="00BA478E"/>
    <w:rsid w:val="00BB6F74"/>
    <w:rsid w:val="00BD0244"/>
    <w:rsid w:val="00C06D88"/>
    <w:rsid w:val="00C07121"/>
    <w:rsid w:val="00C25455"/>
    <w:rsid w:val="00C526B9"/>
    <w:rsid w:val="00C84211"/>
    <w:rsid w:val="00C85E11"/>
    <w:rsid w:val="00CA5A57"/>
    <w:rsid w:val="00CA5B1D"/>
    <w:rsid w:val="00CC4334"/>
    <w:rsid w:val="00CC6A14"/>
    <w:rsid w:val="00CD34E2"/>
    <w:rsid w:val="00CD5D56"/>
    <w:rsid w:val="00CE2C7C"/>
    <w:rsid w:val="00CF2899"/>
    <w:rsid w:val="00CF7F6C"/>
    <w:rsid w:val="00D10E88"/>
    <w:rsid w:val="00D13498"/>
    <w:rsid w:val="00D21ACA"/>
    <w:rsid w:val="00D24457"/>
    <w:rsid w:val="00D34E7C"/>
    <w:rsid w:val="00D45EEB"/>
    <w:rsid w:val="00D50E2B"/>
    <w:rsid w:val="00D605A9"/>
    <w:rsid w:val="00D63C6D"/>
    <w:rsid w:val="00D72838"/>
    <w:rsid w:val="00D8133F"/>
    <w:rsid w:val="00D91CA5"/>
    <w:rsid w:val="00D924CD"/>
    <w:rsid w:val="00DE12E5"/>
    <w:rsid w:val="00DF1B4E"/>
    <w:rsid w:val="00DF563B"/>
    <w:rsid w:val="00DF61DC"/>
    <w:rsid w:val="00E05276"/>
    <w:rsid w:val="00E05F79"/>
    <w:rsid w:val="00E14B78"/>
    <w:rsid w:val="00E16AB3"/>
    <w:rsid w:val="00E17F18"/>
    <w:rsid w:val="00E246E4"/>
    <w:rsid w:val="00E33182"/>
    <w:rsid w:val="00E36EC5"/>
    <w:rsid w:val="00E42CEC"/>
    <w:rsid w:val="00E44634"/>
    <w:rsid w:val="00E4735D"/>
    <w:rsid w:val="00E55CEA"/>
    <w:rsid w:val="00E948DF"/>
    <w:rsid w:val="00EB5A2B"/>
    <w:rsid w:val="00ED4965"/>
    <w:rsid w:val="00EE53B4"/>
    <w:rsid w:val="00EE5C0F"/>
    <w:rsid w:val="00F00892"/>
    <w:rsid w:val="00F1390A"/>
    <w:rsid w:val="00F26320"/>
    <w:rsid w:val="00F33644"/>
    <w:rsid w:val="00F53FA0"/>
    <w:rsid w:val="00F5465C"/>
    <w:rsid w:val="00F6539A"/>
    <w:rsid w:val="00F6700D"/>
    <w:rsid w:val="00F7560C"/>
    <w:rsid w:val="00F84791"/>
    <w:rsid w:val="00FA6115"/>
    <w:rsid w:val="00FB0D1F"/>
    <w:rsid w:val="00FC70F3"/>
    <w:rsid w:val="00FD0024"/>
    <w:rsid w:val="00FD10C0"/>
    <w:rsid w:val="00FD1145"/>
    <w:rsid w:val="00FE02CE"/>
    <w:rsid w:val="00FE0ED6"/>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C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3A"/>
    <w:pPr>
      <w:spacing w:after="200" w:line="276" w:lineRule="auto"/>
    </w:pPr>
    <w:rPr>
      <w:rFonts w:cs="Calibri"/>
    </w:rPr>
  </w:style>
  <w:style w:type="paragraph" w:styleId="Heading1">
    <w:name w:val="heading 1"/>
    <w:basedOn w:val="Normal"/>
    <w:link w:val="Heading1Char"/>
    <w:uiPriority w:val="9"/>
    <w:qFormat/>
    <w:rsid w:val="008A2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78E"/>
    <w:rPr>
      <w:color w:val="0000FF"/>
      <w:u w:val="single"/>
    </w:rPr>
  </w:style>
  <w:style w:type="character" w:styleId="CommentReference">
    <w:name w:val="annotation reference"/>
    <w:basedOn w:val="DefaultParagraphFont"/>
    <w:uiPriority w:val="99"/>
    <w:semiHidden/>
    <w:rsid w:val="002A7D53"/>
    <w:rPr>
      <w:sz w:val="16"/>
      <w:szCs w:val="16"/>
    </w:rPr>
  </w:style>
  <w:style w:type="paragraph" w:styleId="CommentText">
    <w:name w:val="annotation text"/>
    <w:basedOn w:val="Normal"/>
    <w:link w:val="CommentTextChar"/>
    <w:uiPriority w:val="99"/>
    <w:semiHidden/>
    <w:rsid w:val="002A7D53"/>
    <w:pPr>
      <w:spacing w:line="240" w:lineRule="auto"/>
    </w:pPr>
    <w:rPr>
      <w:sz w:val="20"/>
      <w:szCs w:val="20"/>
    </w:rPr>
  </w:style>
  <w:style w:type="character" w:customStyle="1" w:styleId="CommentTextChar">
    <w:name w:val="Comment Text Char"/>
    <w:basedOn w:val="DefaultParagraphFont"/>
    <w:link w:val="CommentText"/>
    <w:uiPriority w:val="99"/>
    <w:semiHidden/>
    <w:rsid w:val="002A7D53"/>
    <w:rPr>
      <w:sz w:val="20"/>
      <w:szCs w:val="20"/>
    </w:rPr>
  </w:style>
  <w:style w:type="paragraph" w:styleId="CommentSubject">
    <w:name w:val="annotation subject"/>
    <w:basedOn w:val="CommentText"/>
    <w:next w:val="CommentText"/>
    <w:link w:val="CommentSubjectChar"/>
    <w:uiPriority w:val="99"/>
    <w:semiHidden/>
    <w:rsid w:val="002A7D53"/>
    <w:rPr>
      <w:b/>
      <w:bCs/>
    </w:rPr>
  </w:style>
  <w:style w:type="character" w:customStyle="1" w:styleId="CommentSubjectChar">
    <w:name w:val="Comment Subject Char"/>
    <w:basedOn w:val="CommentTextChar"/>
    <w:link w:val="CommentSubject"/>
    <w:uiPriority w:val="99"/>
    <w:semiHidden/>
    <w:rsid w:val="002A7D53"/>
    <w:rPr>
      <w:b/>
      <w:bCs/>
      <w:sz w:val="20"/>
      <w:szCs w:val="20"/>
    </w:rPr>
  </w:style>
  <w:style w:type="paragraph" w:styleId="BalloonText">
    <w:name w:val="Balloon Text"/>
    <w:basedOn w:val="Normal"/>
    <w:link w:val="BalloonTextChar"/>
    <w:uiPriority w:val="99"/>
    <w:semiHidden/>
    <w:rsid w:val="002A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3"/>
    <w:rPr>
      <w:rFonts w:ascii="Tahoma" w:hAnsi="Tahoma" w:cs="Tahoma"/>
      <w:sz w:val="16"/>
      <w:szCs w:val="16"/>
    </w:rPr>
  </w:style>
  <w:style w:type="paragraph" w:styleId="ListParagraph">
    <w:name w:val="List Paragraph"/>
    <w:basedOn w:val="Normal"/>
    <w:uiPriority w:val="34"/>
    <w:qFormat/>
    <w:rsid w:val="002F16DC"/>
    <w:pPr>
      <w:ind w:left="720"/>
      <w:contextualSpacing/>
    </w:pPr>
  </w:style>
  <w:style w:type="paragraph" w:customStyle="1" w:styleId="desc">
    <w:name w:val="desc"/>
    <w:basedOn w:val="Normal"/>
    <w:rsid w:val="008A2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A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A2801"/>
  </w:style>
  <w:style w:type="character" w:customStyle="1" w:styleId="Heading1Char">
    <w:name w:val="Heading 1 Char"/>
    <w:basedOn w:val="DefaultParagraphFont"/>
    <w:link w:val="Heading1"/>
    <w:uiPriority w:val="9"/>
    <w:rsid w:val="008A2801"/>
    <w:rPr>
      <w:rFonts w:ascii="Times New Roman" w:eastAsia="Times New Roman" w:hAnsi="Times New Roman"/>
      <w:b/>
      <w:bCs/>
      <w:kern w:val="36"/>
      <w:sz w:val="48"/>
      <w:szCs w:val="48"/>
    </w:rPr>
  </w:style>
  <w:style w:type="character" w:customStyle="1" w:styleId="highlight">
    <w:name w:val="highlight"/>
    <w:basedOn w:val="DefaultParagraphFont"/>
    <w:rsid w:val="008A2801"/>
  </w:style>
  <w:style w:type="paragraph" w:styleId="NoSpacing">
    <w:name w:val="No Spacing"/>
    <w:uiPriority w:val="1"/>
    <w:qFormat/>
    <w:rsid w:val="008A2801"/>
    <w:rPr>
      <w:rFonts w:cs="Calibri"/>
    </w:rPr>
  </w:style>
  <w:style w:type="paragraph" w:customStyle="1" w:styleId="Default">
    <w:name w:val="Default"/>
    <w:rsid w:val="00AE323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213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139F"/>
    <w:rPr>
      <w:rFonts w:cs="Calibri"/>
      <w:sz w:val="18"/>
      <w:szCs w:val="18"/>
    </w:rPr>
  </w:style>
  <w:style w:type="paragraph" w:styleId="Footer">
    <w:name w:val="footer"/>
    <w:basedOn w:val="Normal"/>
    <w:link w:val="FooterChar"/>
    <w:uiPriority w:val="99"/>
    <w:unhideWhenUsed/>
    <w:rsid w:val="00A2139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139F"/>
    <w:rPr>
      <w:rFonts w:cs="Calibri"/>
      <w:sz w:val="18"/>
      <w:szCs w:val="18"/>
    </w:rPr>
  </w:style>
  <w:style w:type="paragraph" w:styleId="Revision">
    <w:name w:val="Revision"/>
    <w:hidden/>
    <w:uiPriority w:val="99"/>
    <w:semiHidden/>
    <w:rsid w:val="00A2139F"/>
    <w:rPr>
      <w:rFonts w:cs="Calibri"/>
    </w:rPr>
  </w:style>
  <w:style w:type="paragraph" w:styleId="EndnoteText">
    <w:name w:val="endnote text"/>
    <w:basedOn w:val="Normal"/>
    <w:link w:val="EndnoteTextChar"/>
    <w:uiPriority w:val="99"/>
    <w:semiHidden/>
    <w:unhideWhenUsed/>
    <w:rsid w:val="002343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382"/>
    <w:rPr>
      <w:rFonts w:cs="Calibri"/>
      <w:sz w:val="20"/>
      <w:szCs w:val="20"/>
    </w:rPr>
  </w:style>
  <w:style w:type="character" w:styleId="EndnoteReference">
    <w:name w:val="endnote reference"/>
    <w:basedOn w:val="DefaultParagraphFont"/>
    <w:uiPriority w:val="99"/>
    <w:semiHidden/>
    <w:unhideWhenUsed/>
    <w:rsid w:val="00234382"/>
    <w:rPr>
      <w:vertAlign w:val="superscript"/>
    </w:rPr>
  </w:style>
  <w:style w:type="paragraph" w:styleId="FootnoteText">
    <w:name w:val="footnote text"/>
    <w:basedOn w:val="Normal"/>
    <w:link w:val="FootnoteTextChar"/>
    <w:uiPriority w:val="99"/>
    <w:semiHidden/>
    <w:unhideWhenUsed/>
    <w:rsid w:val="0003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694"/>
    <w:rPr>
      <w:rFonts w:cs="Calibri"/>
      <w:sz w:val="20"/>
      <w:szCs w:val="20"/>
    </w:rPr>
  </w:style>
  <w:style w:type="character" w:styleId="FootnoteReference">
    <w:name w:val="footnote reference"/>
    <w:basedOn w:val="DefaultParagraphFont"/>
    <w:uiPriority w:val="99"/>
    <w:semiHidden/>
    <w:unhideWhenUsed/>
    <w:rsid w:val="00035694"/>
    <w:rPr>
      <w:vertAlign w:val="superscript"/>
    </w:rPr>
  </w:style>
  <w:style w:type="character" w:styleId="Strong">
    <w:name w:val="Strong"/>
    <w:basedOn w:val="DefaultParagraphFont"/>
    <w:uiPriority w:val="22"/>
    <w:qFormat/>
    <w:rsid w:val="00035694"/>
    <w:rPr>
      <w:b/>
      <w:bCs/>
    </w:rPr>
  </w:style>
  <w:style w:type="character" w:customStyle="1" w:styleId="apple-converted-space">
    <w:name w:val="apple-converted-space"/>
    <w:basedOn w:val="DefaultParagraphFont"/>
    <w:rsid w:val="00B46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3A"/>
    <w:pPr>
      <w:spacing w:after="200" w:line="276" w:lineRule="auto"/>
    </w:pPr>
    <w:rPr>
      <w:rFonts w:cs="Calibri"/>
    </w:rPr>
  </w:style>
  <w:style w:type="paragraph" w:styleId="Heading1">
    <w:name w:val="heading 1"/>
    <w:basedOn w:val="Normal"/>
    <w:link w:val="Heading1Char"/>
    <w:uiPriority w:val="9"/>
    <w:qFormat/>
    <w:rsid w:val="008A2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78E"/>
    <w:rPr>
      <w:color w:val="0000FF"/>
      <w:u w:val="single"/>
    </w:rPr>
  </w:style>
  <w:style w:type="character" w:styleId="CommentReference">
    <w:name w:val="annotation reference"/>
    <w:basedOn w:val="DefaultParagraphFont"/>
    <w:uiPriority w:val="99"/>
    <w:semiHidden/>
    <w:rsid w:val="002A7D53"/>
    <w:rPr>
      <w:sz w:val="16"/>
      <w:szCs w:val="16"/>
    </w:rPr>
  </w:style>
  <w:style w:type="paragraph" w:styleId="CommentText">
    <w:name w:val="annotation text"/>
    <w:basedOn w:val="Normal"/>
    <w:link w:val="CommentTextChar"/>
    <w:uiPriority w:val="99"/>
    <w:semiHidden/>
    <w:rsid w:val="002A7D53"/>
    <w:pPr>
      <w:spacing w:line="240" w:lineRule="auto"/>
    </w:pPr>
    <w:rPr>
      <w:sz w:val="20"/>
      <w:szCs w:val="20"/>
    </w:rPr>
  </w:style>
  <w:style w:type="character" w:customStyle="1" w:styleId="CommentTextChar">
    <w:name w:val="Comment Text Char"/>
    <w:basedOn w:val="DefaultParagraphFont"/>
    <w:link w:val="CommentText"/>
    <w:uiPriority w:val="99"/>
    <w:semiHidden/>
    <w:rsid w:val="002A7D53"/>
    <w:rPr>
      <w:sz w:val="20"/>
      <w:szCs w:val="20"/>
    </w:rPr>
  </w:style>
  <w:style w:type="paragraph" w:styleId="CommentSubject">
    <w:name w:val="annotation subject"/>
    <w:basedOn w:val="CommentText"/>
    <w:next w:val="CommentText"/>
    <w:link w:val="CommentSubjectChar"/>
    <w:uiPriority w:val="99"/>
    <w:semiHidden/>
    <w:rsid w:val="002A7D53"/>
    <w:rPr>
      <w:b/>
      <w:bCs/>
    </w:rPr>
  </w:style>
  <w:style w:type="character" w:customStyle="1" w:styleId="CommentSubjectChar">
    <w:name w:val="Comment Subject Char"/>
    <w:basedOn w:val="CommentTextChar"/>
    <w:link w:val="CommentSubject"/>
    <w:uiPriority w:val="99"/>
    <w:semiHidden/>
    <w:rsid w:val="002A7D53"/>
    <w:rPr>
      <w:b/>
      <w:bCs/>
      <w:sz w:val="20"/>
      <w:szCs w:val="20"/>
    </w:rPr>
  </w:style>
  <w:style w:type="paragraph" w:styleId="BalloonText">
    <w:name w:val="Balloon Text"/>
    <w:basedOn w:val="Normal"/>
    <w:link w:val="BalloonTextChar"/>
    <w:uiPriority w:val="99"/>
    <w:semiHidden/>
    <w:rsid w:val="002A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3"/>
    <w:rPr>
      <w:rFonts w:ascii="Tahoma" w:hAnsi="Tahoma" w:cs="Tahoma"/>
      <w:sz w:val="16"/>
      <w:szCs w:val="16"/>
    </w:rPr>
  </w:style>
  <w:style w:type="paragraph" w:styleId="ListParagraph">
    <w:name w:val="List Paragraph"/>
    <w:basedOn w:val="Normal"/>
    <w:uiPriority w:val="34"/>
    <w:qFormat/>
    <w:rsid w:val="002F16DC"/>
    <w:pPr>
      <w:ind w:left="720"/>
      <w:contextualSpacing/>
    </w:pPr>
  </w:style>
  <w:style w:type="paragraph" w:customStyle="1" w:styleId="desc">
    <w:name w:val="desc"/>
    <w:basedOn w:val="Normal"/>
    <w:rsid w:val="008A2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A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A2801"/>
  </w:style>
  <w:style w:type="character" w:customStyle="1" w:styleId="Heading1Char">
    <w:name w:val="Heading 1 Char"/>
    <w:basedOn w:val="DefaultParagraphFont"/>
    <w:link w:val="Heading1"/>
    <w:uiPriority w:val="9"/>
    <w:rsid w:val="008A2801"/>
    <w:rPr>
      <w:rFonts w:ascii="Times New Roman" w:eastAsia="Times New Roman" w:hAnsi="Times New Roman"/>
      <w:b/>
      <w:bCs/>
      <w:kern w:val="36"/>
      <w:sz w:val="48"/>
      <w:szCs w:val="48"/>
    </w:rPr>
  </w:style>
  <w:style w:type="character" w:customStyle="1" w:styleId="highlight">
    <w:name w:val="highlight"/>
    <w:basedOn w:val="DefaultParagraphFont"/>
    <w:rsid w:val="008A2801"/>
  </w:style>
  <w:style w:type="paragraph" w:styleId="NoSpacing">
    <w:name w:val="No Spacing"/>
    <w:uiPriority w:val="1"/>
    <w:qFormat/>
    <w:rsid w:val="008A2801"/>
    <w:rPr>
      <w:rFonts w:cs="Calibri"/>
    </w:rPr>
  </w:style>
  <w:style w:type="paragraph" w:customStyle="1" w:styleId="Default">
    <w:name w:val="Default"/>
    <w:rsid w:val="00AE323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213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139F"/>
    <w:rPr>
      <w:rFonts w:cs="Calibri"/>
      <w:sz w:val="18"/>
      <w:szCs w:val="18"/>
    </w:rPr>
  </w:style>
  <w:style w:type="paragraph" w:styleId="Footer">
    <w:name w:val="footer"/>
    <w:basedOn w:val="Normal"/>
    <w:link w:val="FooterChar"/>
    <w:uiPriority w:val="99"/>
    <w:unhideWhenUsed/>
    <w:rsid w:val="00A2139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139F"/>
    <w:rPr>
      <w:rFonts w:cs="Calibri"/>
      <w:sz w:val="18"/>
      <w:szCs w:val="18"/>
    </w:rPr>
  </w:style>
  <w:style w:type="paragraph" w:styleId="Revision">
    <w:name w:val="Revision"/>
    <w:hidden/>
    <w:uiPriority w:val="99"/>
    <w:semiHidden/>
    <w:rsid w:val="00A2139F"/>
    <w:rPr>
      <w:rFonts w:cs="Calibri"/>
    </w:rPr>
  </w:style>
  <w:style w:type="paragraph" w:styleId="EndnoteText">
    <w:name w:val="endnote text"/>
    <w:basedOn w:val="Normal"/>
    <w:link w:val="EndnoteTextChar"/>
    <w:uiPriority w:val="99"/>
    <w:semiHidden/>
    <w:unhideWhenUsed/>
    <w:rsid w:val="002343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382"/>
    <w:rPr>
      <w:rFonts w:cs="Calibri"/>
      <w:sz w:val="20"/>
      <w:szCs w:val="20"/>
    </w:rPr>
  </w:style>
  <w:style w:type="character" w:styleId="EndnoteReference">
    <w:name w:val="endnote reference"/>
    <w:basedOn w:val="DefaultParagraphFont"/>
    <w:uiPriority w:val="99"/>
    <w:semiHidden/>
    <w:unhideWhenUsed/>
    <w:rsid w:val="00234382"/>
    <w:rPr>
      <w:vertAlign w:val="superscript"/>
    </w:rPr>
  </w:style>
  <w:style w:type="paragraph" w:styleId="FootnoteText">
    <w:name w:val="footnote text"/>
    <w:basedOn w:val="Normal"/>
    <w:link w:val="FootnoteTextChar"/>
    <w:uiPriority w:val="99"/>
    <w:semiHidden/>
    <w:unhideWhenUsed/>
    <w:rsid w:val="0003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694"/>
    <w:rPr>
      <w:rFonts w:cs="Calibri"/>
      <w:sz w:val="20"/>
      <w:szCs w:val="20"/>
    </w:rPr>
  </w:style>
  <w:style w:type="character" w:styleId="FootnoteReference">
    <w:name w:val="footnote reference"/>
    <w:basedOn w:val="DefaultParagraphFont"/>
    <w:uiPriority w:val="99"/>
    <w:semiHidden/>
    <w:unhideWhenUsed/>
    <w:rsid w:val="00035694"/>
    <w:rPr>
      <w:vertAlign w:val="superscript"/>
    </w:rPr>
  </w:style>
  <w:style w:type="character" w:styleId="Strong">
    <w:name w:val="Strong"/>
    <w:basedOn w:val="DefaultParagraphFont"/>
    <w:uiPriority w:val="22"/>
    <w:qFormat/>
    <w:rsid w:val="00035694"/>
    <w:rPr>
      <w:b/>
      <w:bCs/>
    </w:rPr>
  </w:style>
  <w:style w:type="character" w:customStyle="1" w:styleId="apple-converted-space">
    <w:name w:val="apple-converted-space"/>
    <w:basedOn w:val="DefaultParagraphFont"/>
    <w:rsid w:val="00B4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43105">
      <w:bodyDiv w:val="1"/>
      <w:marLeft w:val="0"/>
      <w:marRight w:val="0"/>
      <w:marTop w:val="0"/>
      <w:marBottom w:val="0"/>
      <w:divBdr>
        <w:top w:val="none" w:sz="0" w:space="0" w:color="auto"/>
        <w:left w:val="none" w:sz="0" w:space="0" w:color="auto"/>
        <w:bottom w:val="none" w:sz="0" w:space="0" w:color="auto"/>
        <w:right w:val="none" w:sz="0" w:space="0" w:color="auto"/>
      </w:divBdr>
      <w:divsChild>
        <w:div w:id="1159731941">
          <w:marLeft w:val="0"/>
          <w:marRight w:val="0"/>
          <w:marTop w:val="0"/>
          <w:marBottom w:val="0"/>
          <w:divBdr>
            <w:top w:val="none" w:sz="0" w:space="0" w:color="auto"/>
            <w:left w:val="none" w:sz="0" w:space="0" w:color="auto"/>
            <w:bottom w:val="none" w:sz="0" w:space="0" w:color="auto"/>
            <w:right w:val="none" w:sz="0" w:space="0" w:color="auto"/>
          </w:divBdr>
        </w:div>
        <w:div w:id="1356275033">
          <w:marLeft w:val="0"/>
          <w:marRight w:val="0"/>
          <w:marTop w:val="0"/>
          <w:marBottom w:val="0"/>
          <w:divBdr>
            <w:top w:val="none" w:sz="0" w:space="0" w:color="auto"/>
            <w:left w:val="none" w:sz="0" w:space="0" w:color="auto"/>
            <w:bottom w:val="none" w:sz="0" w:space="0" w:color="auto"/>
            <w:right w:val="none" w:sz="0" w:space="0" w:color="auto"/>
          </w:divBdr>
        </w:div>
        <w:div w:id="1978991702">
          <w:marLeft w:val="0"/>
          <w:marRight w:val="0"/>
          <w:marTop w:val="0"/>
          <w:marBottom w:val="0"/>
          <w:divBdr>
            <w:top w:val="none" w:sz="0" w:space="0" w:color="auto"/>
            <w:left w:val="none" w:sz="0" w:space="0" w:color="auto"/>
            <w:bottom w:val="none" w:sz="0" w:space="0" w:color="auto"/>
            <w:right w:val="none" w:sz="0" w:space="0" w:color="auto"/>
          </w:divBdr>
        </w:div>
        <w:div w:id="1723363262">
          <w:marLeft w:val="0"/>
          <w:marRight w:val="0"/>
          <w:marTop w:val="0"/>
          <w:marBottom w:val="0"/>
          <w:divBdr>
            <w:top w:val="none" w:sz="0" w:space="0" w:color="auto"/>
            <w:left w:val="none" w:sz="0" w:space="0" w:color="auto"/>
            <w:bottom w:val="none" w:sz="0" w:space="0" w:color="auto"/>
            <w:right w:val="none" w:sz="0" w:space="0" w:color="auto"/>
          </w:divBdr>
        </w:div>
        <w:div w:id="1667636966">
          <w:marLeft w:val="0"/>
          <w:marRight w:val="0"/>
          <w:marTop w:val="0"/>
          <w:marBottom w:val="0"/>
          <w:divBdr>
            <w:top w:val="none" w:sz="0" w:space="0" w:color="auto"/>
            <w:left w:val="none" w:sz="0" w:space="0" w:color="auto"/>
            <w:bottom w:val="none" w:sz="0" w:space="0" w:color="auto"/>
            <w:right w:val="none" w:sz="0" w:space="0" w:color="auto"/>
          </w:divBdr>
        </w:div>
        <w:div w:id="2007054841">
          <w:marLeft w:val="0"/>
          <w:marRight w:val="0"/>
          <w:marTop w:val="0"/>
          <w:marBottom w:val="0"/>
          <w:divBdr>
            <w:top w:val="none" w:sz="0" w:space="0" w:color="auto"/>
            <w:left w:val="none" w:sz="0" w:space="0" w:color="auto"/>
            <w:bottom w:val="none" w:sz="0" w:space="0" w:color="auto"/>
            <w:right w:val="none" w:sz="0" w:space="0" w:color="auto"/>
          </w:divBdr>
        </w:div>
        <w:div w:id="836766626">
          <w:marLeft w:val="0"/>
          <w:marRight w:val="0"/>
          <w:marTop w:val="0"/>
          <w:marBottom w:val="0"/>
          <w:divBdr>
            <w:top w:val="none" w:sz="0" w:space="0" w:color="auto"/>
            <w:left w:val="none" w:sz="0" w:space="0" w:color="auto"/>
            <w:bottom w:val="none" w:sz="0" w:space="0" w:color="auto"/>
            <w:right w:val="none" w:sz="0" w:space="0" w:color="auto"/>
          </w:divBdr>
        </w:div>
        <w:div w:id="1637641265">
          <w:marLeft w:val="0"/>
          <w:marRight w:val="0"/>
          <w:marTop w:val="0"/>
          <w:marBottom w:val="0"/>
          <w:divBdr>
            <w:top w:val="none" w:sz="0" w:space="0" w:color="auto"/>
            <w:left w:val="none" w:sz="0" w:space="0" w:color="auto"/>
            <w:bottom w:val="none" w:sz="0" w:space="0" w:color="auto"/>
            <w:right w:val="none" w:sz="0" w:space="0" w:color="auto"/>
          </w:divBdr>
        </w:div>
        <w:div w:id="1199201045">
          <w:marLeft w:val="0"/>
          <w:marRight w:val="0"/>
          <w:marTop w:val="0"/>
          <w:marBottom w:val="0"/>
          <w:divBdr>
            <w:top w:val="none" w:sz="0" w:space="0" w:color="auto"/>
            <w:left w:val="none" w:sz="0" w:space="0" w:color="auto"/>
            <w:bottom w:val="none" w:sz="0" w:space="0" w:color="auto"/>
            <w:right w:val="none" w:sz="0" w:space="0" w:color="auto"/>
          </w:divBdr>
        </w:div>
        <w:div w:id="1611621883">
          <w:marLeft w:val="0"/>
          <w:marRight w:val="0"/>
          <w:marTop w:val="0"/>
          <w:marBottom w:val="0"/>
          <w:divBdr>
            <w:top w:val="none" w:sz="0" w:space="0" w:color="auto"/>
            <w:left w:val="none" w:sz="0" w:space="0" w:color="auto"/>
            <w:bottom w:val="none" w:sz="0" w:space="0" w:color="auto"/>
            <w:right w:val="none" w:sz="0" w:space="0" w:color="auto"/>
          </w:divBdr>
        </w:div>
        <w:div w:id="1883470713">
          <w:marLeft w:val="0"/>
          <w:marRight w:val="0"/>
          <w:marTop w:val="0"/>
          <w:marBottom w:val="0"/>
          <w:divBdr>
            <w:top w:val="none" w:sz="0" w:space="0" w:color="auto"/>
            <w:left w:val="none" w:sz="0" w:space="0" w:color="auto"/>
            <w:bottom w:val="none" w:sz="0" w:space="0" w:color="auto"/>
            <w:right w:val="none" w:sz="0" w:space="0" w:color="auto"/>
          </w:divBdr>
        </w:div>
        <w:div w:id="1946494505">
          <w:marLeft w:val="0"/>
          <w:marRight w:val="0"/>
          <w:marTop w:val="0"/>
          <w:marBottom w:val="0"/>
          <w:divBdr>
            <w:top w:val="none" w:sz="0" w:space="0" w:color="auto"/>
            <w:left w:val="none" w:sz="0" w:space="0" w:color="auto"/>
            <w:bottom w:val="none" w:sz="0" w:space="0" w:color="auto"/>
            <w:right w:val="none" w:sz="0" w:space="0" w:color="auto"/>
          </w:divBdr>
        </w:div>
        <w:div w:id="123891070">
          <w:marLeft w:val="0"/>
          <w:marRight w:val="0"/>
          <w:marTop w:val="0"/>
          <w:marBottom w:val="0"/>
          <w:divBdr>
            <w:top w:val="none" w:sz="0" w:space="0" w:color="auto"/>
            <w:left w:val="none" w:sz="0" w:space="0" w:color="auto"/>
            <w:bottom w:val="none" w:sz="0" w:space="0" w:color="auto"/>
            <w:right w:val="none" w:sz="0" w:space="0" w:color="auto"/>
          </w:divBdr>
        </w:div>
        <w:div w:id="502823214">
          <w:marLeft w:val="0"/>
          <w:marRight w:val="0"/>
          <w:marTop w:val="0"/>
          <w:marBottom w:val="0"/>
          <w:divBdr>
            <w:top w:val="none" w:sz="0" w:space="0" w:color="auto"/>
            <w:left w:val="none" w:sz="0" w:space="0" w:color="auto"/>
            <w:bottom w:val="none" w:sz="0" w:space="0" w:color="auto"/>
            <w:right w:val="none" w:sz="0" w:space="0" w:color="auto"/>
          </w:divBdr>
        </w:div>
        <w:div w:id="279143546">
          <w:marLeft w:val="0"/>
          <w:marRight w:val="0"/>
          <w:marTop w:val="0"/>
          <w:marBottom w:val="0"/>
          <w:divBdr>
            <w:top w:val="none" w:sz="0" w:space="0" w:color="auto"/>
            <w:left w:val="none" w:sz="0" w:space="0" w:color="auto"/>
            <w:bottom w:val="none" w:sz="0" w:space="0" w:color="auto"/>
            <w:right w:val="none" w:sz="0" w:space="0" w:color="auto"/>
          </w:divBdr>
        </w:div>
        <w:div w:id="1080754299">
          <w:marLeft w:val="0"/>
          <w:marRight w:val="0"/>
          <w:marTop w:val="0"/>
          <w:marBottom w:val="0"/>
          <w:divBdr>
            <w:top w:val="none" w:sz="0" w:space="0" w:color="auto"/>
            <w:left w:val="none" w:sz="0" w:space="0" w:color="auto"/>
            <w:bottom w:val="none" w:sz="0" w:space="0" w:color="auto"/>
            <w:right w:val="none" w:sz="0" w:space="0" w:color="auto"/>
          </w:divBdr>
        </w:div>
        <w:div w:id="2019769957">
          <w:marLeft w:val="0"/>
          <w:marRight w:val="0"/>
          <w:marTop w:val="0"/>
          <w:marBottom w:val="0"/>
          <w:divBdr>
            <w:top w:val="none" w:sz="0" w:space="0" w:color="auto"/>
            <w:left w:val="none" w:sz="0" w:space="0" w:color="auto"/>
            <w:bottom w:val="none" w:sz="0" w:space="0" w:color="auto"/>
            <w:right w:val="none" w:sz="0" w:space="0" w:color="auto"/>
          </w:divBdr>
        </w:div>
        <w:div w:id="963731823">
          <w:marLeft w:val="0"/>
          <w:marRight w:val="0"/>
          <w:marTop w:val="0"/>
          <w:marBottom w:val="0"/>
          <w:divBdr>
            <w:top w:val="none" w:sz="0" w:space="0" w:color="auto"/>
            <w:left w:val="none" w:sz="0" w:space="0" w:color="auto"/>
            <w:bottom w:val="none" w:sz="0" w:space="0" w:color="auto"/>
            <w:right w:val="none" w:sz="0" w:space="0" w:color="auto"/>
          </w:divBdr>
        </w:div>
        <w:div w:id="238906144">
          <w:marLeft w:val="0"/>
          <w:marRight w:val="0"/>
          <w:marTop w:val="0"/>
          <w:marBottom w:val="0"/>
          <w:divBdr>
            <w:top w:val="none" w:sz="0" w:space="0" w:color="auto"/>
            <w:left w:val="none" w:sz="0" w:space="0" w:color="auto"/>
            <w:bottom w:val="none" w:sz="0" w:space="0" w:color="auto"/>
            <w:right w:val="none" w:sz="0" w:space="0" w:color="auto"/>
          </w:divBdr>
        </w:div>
        <w:div w:id="1613435285">
          <w:marLeft w:val="0"/>
          <w:marRight w:val="0"/>
          <w:marTop w:val="0"/>
          <w:marBottom w:val="0"/>
          <w:divBdr>
            <w:top w:val="none" w:sz="0" w:space="0" w:color="auto"/>
            <w:left w:val="none" w:sz="0" w:space="0" w:color="auto"/>
            <w:bottom w:val="none" w:sz="0" w:space="0" w:color="auto"/>
            <w:right w:val="none" w:sz="0" w:space="0" w:color="auto"/>
          </w:divBdr>
        </w:div>
      </w:divsChild>
    </w:div>
    <w:div w:id="318851272">
      <w:bodyDiv w:val="1"/>
      <w:marLeft w:val="0"/>
      <w:marRight w:val="0"/>
      <w:marTop w:val="0"/>
      <w:marBottom w:val="0"/>
      <w:divBdr>
        <w:top w:val="none" w:sz="0" w:space="0" w:color="auto"/>
        <w:left w:val="none" w:sz="0" w:space="0" w:color="auto"/>
        <w:bottom w:val="none" w:sz="0" w:space="0" w:color="auto"/>
        <w:right w:val="none" w:sz="0" w:space="0" w:color="auto"/>
      </w:divBdr>
    </w:div>
    <w:div w:id="422651728">
      <w:bodyDiv w:val="1"/>
      <w:marLeft w:val="0"/>
      <w:marRight w:val="0"/>
      <w:marTop w:val="0"/>
      <w:marBottom w:val="0"/>
      <w:divBdr>
        <w:top w:val="none" w:sz="0" w:space="0" w:color="auto"/>
        <w:left w:val="none" w:sz="0" w:space="0" w:color="auto"/>
        <w:bottom w:val="none" w:sz="0" w:space="0" w:color="auto"/>
        <w:right w:val="none" w:sz="0" w:space="0" w:color="auto"/>
      </w:divBdr>
    </w:div>
    <w:div w:id="777870377">
      <w:bodyDiv w:val="1"/>
      <w:marLeft w:val="0"/>
      <w:marRight w:val="0"/>
      <w:marTop w:val="0"/>
      <w:marBottom w:val="0"/>
      <w:divBdr>
        <w:top w:val="none" w:sz="0" w:space="0" w:color="auto"/>
        <w:left w:val="none" w:sz="0" w:space="0" w:color="auto"/>
        <w:bottom w:val="none" w:sz="0" w:space="0" w:color="auto"/>
        <w:right w:val="none" w:sz="0" w:space="0" w:color="auto"/>
      </w:divBdr>
      <w:divsChild>
        <w:div w:id="1459298718">
          <w:marLeft w:val="0"/>
          <w:marRight w:val="0"/>
          <w:marTop w:val="0"/>
          <w:marBottom w:val="0"/>
          <w:divBdr>
            <w:top w:val="none" w:sz="0" w:space="0" w:color="auto"/>
            <w:left w:val="none" w:sz="0" w:space="0" w:color="auto"/>
            <w:bottom w:val="none" w:sz="0" w:space="0" w:color="auto"/>
            <w:right w:val="none" w:sz="0" w:space="0" w:color="auto"/>
          </w:divBdr>
          <w:divsChild>
            <w:div w:id="572129993">
              <w:marLeft w:val="0"/>
              <w:marRight w:val="0"/>
              <w:marTop w:val="0"/>
              <w:marBottom w:val="0"/>
              <w:divBdr>
                <w:top w:val="none" w:sz="0" w:space="0" w:color="auto"/>
                <w:left w:val="none" w:sz="0" w:space="0" w:color="auto"/>
                <w:bottom w:val="none" w:sz="0" w:space="0" w:color="auto"/>
                <w:right w:val="none" w:sz="0" w:space="0" w:color="auto"/>
              </w:divBdr>
              <w:divsChild>
                <w:div w:id="1046561397">
                  <w:marLeft w:val="0"/>
                  <w:marRight w:val="0"/>
                  <w:marTop w:val="0"/>
                  <w:marBottom w:val="0"/>
                  <w:divBdr>
                    <w:top w:val="none" w:sz="0" w:space="0" w:color="auto"/>
                    <w:left w:val="none" w:sz="0" w:space="0" w:color="auto"/>
                    <w:bottom w:val="none" w:sz="0" w:space="0" w:color="auto"/>
                    <w:right w:val="none" w:sz="0" w:space="0" w:color="auto"/>
                  </w:divBdr>
                  <w:divsChild>
                    <w:div w:id="1387796416">
                      <w:marLeft w:val="0"/>
                      <w:marRight w:val="0"/>
                      <w:marTop w:val="0"/>
                      <w:marBottom w:val="0"/>
                      <w:divBdr>
                        <w:top w:val="none" w:sz="0" w:space="0" w:color="auto"/>
                        <w:left w:val="none" w:sz="0" w:space="0" w:color="auto"/>
                        <w:bottom w:val="none" w:sz="0" w:space="0" w:color="auto"/>
                        <w:right w:val="none" w:sz="0" w:space="0" w:color="auto"/>
                      </w:divBdr>
                      <w:divsChild>
                        <w:div w:id="397945934">
                          <w:marLeft w:val="0"/>
                          <w:marRight w:val="0"/>
                          <w:marTop w:val="0"/>
                          <w:marBottom w:val="0"/>
                          <w:divBdr>
                            <w:top w:val="none" w:sz="0" w:space="0" w:color="auto"/>
                            <w:left w:val="none" w:sz="0" w:space="0" w:color="auto"/>
                            <w:bottom w:val="none" w:sz="0" w:space="0" w:color="auto"/>
                            <w:right w:val="none" w:sz="0" w:space="0" w:color="auto"/>
                          </w:divBdr>
                          <w:divsChild>
                            <w:div w:id="415247367">
                              <w:marLeft w:val="0"/>
                              <w:marRight w:val="0"/>
                              <w:marTop w:val="0"/>
                              <w:marBottom w:val="0"/>
                              <w:divBdr>
                                <w:top w:val="none" w:sz="0" w:space="0" w:color="auto"/>
                                <w:left w:val="none" w:sz="0" w:space="0" w:color="auto"/>
                                <w:bottom w:val="none" w:sz="0" w:space="0" w:color="auto"/>
                                <w:right w:val="none" w:sz="0" w:space="0" w:color="auto"/>
                              </w:divBdr>
                              <w:divsChild>
                                <w:div w:id="2104648098">
                                  <w:marLeft w:val="0"/>
                                  <w:marRight w:val="0"/>
                                  <w:marTop w:val="0"/>
                                  <w:marBottom w:val="0"/>
                                  <w:divBdr>
                                    <w:top w:val="none" w:sz="0" w:space="0" w:color="auto"/>
                                    <w:left w:val="none" w:sz="0" w:space="0" w:color="auto"/>
                                    <w:bottom w:val="none" w:sz="0" w:space="0" w:color="auto"/>
                                    <w:right w:val="none" w:sz="0" w:space="0" w:color="auto"/>
                                  </w:divBdr>
                                  <w:divsChild>
                                    <w:div w:id="1043944037">
                                      <w:marLeft w:val="0"/>
                                      <w:marRight w:val="0"/>
                                      <w:marTop w:val="0"/>
                                      <w:marBottom w:val="0"/>
                                      <w:divBdr>
                                        <w:top w:val="none" w:sz="0" w:space="0" w:color="auto"/>
                                        <w:left w:val="none" w:sz="0" w:space="0" w:color="auto"/>
                                        <w:bottom w:val="none" w:sz="0" w:space="0" w:color="auto"/>
                                        <w:right w:val="none" w:sz="0" w:space="0" w:color="auto"/>
                                      </w:divBdr>
                                      <w:divsChild>
                                        <w:div w:id="7046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809859">
      <w:bodyDiv w:val="1"/>
      <w:marLeft w:val="0"/>
      <w:marRight w:val="0"/>
      <w:marTop w:val="0"/>
      <w:marBottom w:val="0"/>
      <w:divBdr>
        <w:top w:val="none" w:sz="0" w:space="0" w:color="auto"/>
        <w:left w:val="none" w:sz="0" w:space="0" w:color="auto"/>
        <w:bottom w:val="none" w:sz="0" w:space="0" w:color="auto"/>
        <w:right w:val="none" w:sz="0" w:space="0" w:color="auto"/>
      </w:divBdr>
      <w:divsChild>
        <w:div w:id="454714900">
          <w:marLeft w:val="0"/>
          <w:marRight w:val="0"/>
          <w:marTop w:val="0"/>
          <w:marBottom w:val="0"/>
          <w:divBdr>
            <w:top w:val="none" w:sz="0" w:space="0" w:color="auto"/>
            <w:left w:val="none" w:sz="0" w:space="0" w:color="auto"/>
            <w:bottom w:val="none" w:sz="0" w:space="0" w:color="auto"/>
            <w:right w:val="none" w:sz="0" w:space="0" w:color="auto"/>
          </w:divBdr>
          <w:divsChild>
            <w:div w:id="1177429739">
              <w:marLeft w:val="0"/>
              <w:marRight w:val="0"/>
              <w:marTop w:val="0"/>
              <w:marBottom w:val="0"/>
              <w:divBdr>
                <w:top w:val="none" w:sz="0" w:space="0" w:color="auto"/>
                <w:left w:val="none" w:sz="0" w:space="0" w:color="auto"/>
                <w:bottom w:val="none" w:sz="0" w:space="0" w:color="auto"/>
                <w:right w:val="none" w:sz="0" w:space="0" w:color="auto"/>
              </w:divBdr>
              <w:divsChild>
                <w:div w:id="1325863469">
                  <w:marLeft w:val="0"/>
                  <w:marRight w:val="0"/>
                  <w:marTop w:val="0"/>
                  <w:marBottom w:val="0"/>
                  <w:divBdr>
                    <w:top w:val="none" w:sz="0" w:space="0" w:color="auto"/>
                    <w:left w:val="none" w:sz="0" w:space="0" w:color="auto"/>
                    <w:bottom w:val="none" w:sz="0" w:space="0" w:color="auto"/>
                    <w:right w:val="none" w:sz="0" w:space="0" w:color="auto"/>
                  </w:divBdr>
                  <w:divsChild>
                    <w:div w:id="1288779965">
                      <w:marLeft w:val="0"/>
                      <w:marRight w:val="0"/>
                      <w:marTop w:val="0"/>
                      <w:marBottom w:val="0"/>
                      <w:divBdr>
                        <w:top w:val="none" w:sz="0" w:space="0" w:color="auto"/>
                        <w:left w:val="none" w:sz="0" w:space="0" w:color="auto"/>
                        <w:bottom w:val="none" w:sz="0" w:space="0" w:color="auto"/>
                        <w:right w:val="none" w:sz="0" w:space="0" w:color="auto"/>
                      </w:divBdr>
                      <w:divsChild>
                        <w:div w:id="1645155521">
                          <w:marLeft w:val="0"/>
                          <w:marRight w:val="0"/>
                          <w:marTop w:val="0"/>
                          <w:marBottom w:val="0"/>
                          <w:divBdr>
                            <w:top w:val="none" w:sz="0" w:space="0" w:color="auto"/>
                            <w:left w:val="none" w:sz="0" w:space="0" w:color="auto"/>
                            <w:bottom w:val="none" w:sz="0" w:space="0" w:color="auto"/>
                            <w:right w:val="none" w:sz="0" w:space="0" w:color="auto"/>
                          </w:divBdr>
                          <w:divsChild>
                            <w:div w:id="1425489830">
                              <w:marLeft w:val="0"/>
                              <w:marRight w:val="0"/>
                              <w:marTop w:val="0"/>
                              <w:marBottom w:val="0"/>
                              <w:divBdr>
                                <w:top w:val="none" w:sz="0" w:space="0" w:color="auto"/>
                                <w:left w:val="none" w:sz="0" w:space="0" w:color="auto"/>
                                <w:bottom w:val="none" w:sz="0" w:space="0" w:color="auto"/>
                                <w:right w:val="none" w:sz="0" w:space="0" w:color="auto"/>
                              </w:divBdr>
                              <w:divsChild>
                                <w:div w:id="164787380">
                                  <w:marLeft w:val="0"/>
                                  <w:marRight w:val="0"/>
                                  <w:marTop w:val="0"/>
                                  <w:marBottom w:val="0"/>
                                  <w:divBdr>
                                    <w:top w:val="none" w:sz="0" w:space="0" w:color="auto"/>
                                    <w:left w:val="none" w:sz="0" w:space="0" w:color="auto"/>
                                    <w:bottom w:val="none" w:sz="0" w:space="0" w:color="auto"/>
                                    <w:right w:val="none" w:sz="0" w:space="0" w:color="auto"/>
                                  </w:divBdr>
                                  <w:divsChild>
                                    <w:div w:id="1096560349">
                                      <w:marLeft w:val="0"/>
                                      <w:marRight w:val="0"/>
                                      <w:marTop w:val="0"/>
                                      <w:marBottom w:val="0"/>
                                      <w:divBdr>
                                        <w:top w:val="none" w:sz="0" w:space="0" w:color="auto"/>
                                        <w:left w:val="none" w:sz="0" w:space="0" w:color="auto"/>
                                        <w:bottom w:val="none" w:sz="0" w:space="0" w:color="auto"/>
                                        <w:right w:val="none" w:sz="0" w:space="0" w:color="auto"/>
                                      </w:divBdr>
                                    </w:div>
                                    <w:div w:id="1875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68162">
      <w:bodyDiv w:val="1"/>
      <w:marLeft w:val="0"/>
      <w:marRight w:val="0"/>
      <w:marTop w:val="0"/>
      <w:marBottom w:val="0"/>
      <w:divBdr>
        <w:top w:val="none" w:sz="0" w:space="0" w:color="auto"/>
        <w:left w:val="none" w:sz="0" w:space="0" w:color="auto"/>
        <w:bottom w:val="none" w:sz="0" w:space="0" w:color="auto"/>
        <w:right w:val="none" w:sz="0" w:space="0" w:color="auto"/>
      </w:divBdr>
      <w:divsChild>
        <w:div w:id="946892493">
          <w:marLeft w:val="0"/>
          <w:marRight w:val="0"/>
          <w:marTop w:val="0"/>
          <w:marBottom w:val="0"/>
          <w:divBdr>
            <w:top w:val="none" w:sz="0" w:space="0" w:color="auto"/>
            <w:left w:val="none" w:sz="0" w:space="0" w:color="auto"/>
            <w:bottom w:val="none" w:sz="0" w:space="0" w:color="auto"/>
            <w:right w:val="none" w:sz="0" w:space="0" w:color="auto"/>
          </w:divBdr>
          <w:divsChild>
            <w:div w:id="1472676967">
              <w:marLeft w:val="0"/>
              <w:marRight w:val="0"/>
              <w:marTop w:val="0"/>
              <w:marBottom w:val="0"/>
              <w:divBdr>
                <w:top w:val="none" w:sz="0" w:space="0" w:color="auto"/>
                <w:left w:val="none" w:sz="0" w:space="0" w:color="auto"/>
                <w:bottom w:val="none" w:sz="0" w:space="0" w:color="auto"/>
                <w:right w:val="none" w:sz="0" w:space="0" w:color="auto"/>
              </w:divBdr>
              <w:divsChild>
                <w:div w:id="1712267242">
                  <w:marLeft w:val="0"/>
                  <w:marRight w:val="0"/>
                  <w:marTop w:val="0"/>
                  <w:marBottom w:val="0"/>
                  <w:divBdr>
                    <w:top w:val="none" w:sz="0" w:space="0" w:color="auto"/>
                    <w:left w:val="none" w:sz="0" w:space="0" w:color="auto"/>
                    <w:bottom w:val="none" w:sz="0" w:space="0" w:color="auto"/>
                    <w:right w:val="none" w:sz="0" w:space="0" w:color="auto"/>
                  </w:divBdr>
                  <w:divsChild>
                    <w:div w:id="1990355394">
                      <w:marLeft w:val="0"/>
                      <w:marRight w:val="0"/>
                      <w:marTop w:val="0"/>
                      <w:marBottom w:val="0"/>
                      <w:divBdr>
                        <w:top w:val="none" w:sz="0" w:space="0" w:color="auto"/>
                        <w:left w:val="none" w:sz="0" w:space="0" w:color="auto"/>
                        <w:bottom w:val="none" w:sz="0" w:space="0" w:color="auto"/>
                        <w:right w:val="none" w:sz="0" w:space="0" w:color="auto"/>
                      </w:divBdr>
                      <w:divsChild>
                        <w:div w:id="512498436">
                          <w:marLeft w:val="0"/>
                          <w:marRight w:val="0"/>
                          <w:marTop w:val="0"/>
                          <w:marBottom w:val="0"/>
                          <w:divBdr>
                            <w:top w:val="none" w:sz="0" w:space="0" w:color="auto"/>
                            <w:left w:val="none" w:sz="0" w:space="0" w:color="auto"/>
                            <w:bottom w:val="none" w:sz="0" w:space="0" w:color="auto"/>
                            <w:right w:val="none" w:sz="0" w:space="0" w:color="auto"/>
                          </w:divBdr>
                          <w:divsChild>
                            <w:div w:id="1419407712">
                              <w:marLeft w:val="0"/>
                              <w:marRight w:val="0"/>
                              <w:marTop w:val="0"/>
                              <w:marBottom w:val="0"/>
                              <w:divBdr>
                                <w:top w:val="none" w:sz="0" w:space="0" w:color="auto"/>
                                <w:left w:val="none" w:sz="0" w:space="0" w:color="auto"/>
                                <w:bottom w:val="none" w:sz="0" w:space="0" w:color="auto"/>
                                <w:right w:val="none" w:sz="0" w:space="0" w:color="auto"/>
                              </w:divBdr>
                              <w:divsChild>
                                <w:div w:id="1430659563">
                                  <w:marLeft w:val="0"/>
                                  <w:marRight w:val="0"/>
                                  <w:marTop w:val="0"/>
                                  <w:marBottom w:val="0"/>
                                  <w:divBdr>
                                    <w:top w:val="none" w:sz="0" w:space="0" w:color="auto"/>
                                    <w:left w:val="none" w:sz="0" w:space="0" w:color="auto"/>
                                    <w:bottom w:val="none" w:sz="0" w:space="0" w:color="auto"/>
                                    <w:right w:val="none" w:sz="0" w:space="0" w:color="auto"/>
                                  </w:divBdr>
                                  <w:divsChild>
                                    <w:div w:id="5596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04565">
      <w:bodyDiv w:val="1"/>
      <w:marLeft w:val="0"/>
      <w:marRight w:val="0"/>
      <w:marTop w:val="0"/>
      <w:marBottom w:val="0"/>
      <w:divBdr>
        <w:top w:val="none" w:sz="0" w:space="0" w:color="auto"/>
        <w:left w:val="none" w:sz="0" w:space="0" w:color="auto"/>
        <w:bottom w:val="none" w:sz="0" w:space="0" w:color="auto"/>
        <w:right w:val="none" w:sz="0" w:space="0" w:color="auto"/>
      </w:divBdr>
      <w:divsChild>
        <w:div w:id="725376505">
          <w:marLeft w:val="0"/>
          <w:marRight w:val="0"/>
          <w:marTop w:val="0"/>
          <w:marBottom w:val="0"/>
          <w:divBdr>
            <w:top w:val="none" w:sz="0" w:space="0" w:color="auto"/>
            <w:left w:val="none" w:sz="0" w:space="0" w:color="auto"/>
            <w:bottom w:val="none" w:sz="0" w:space="0" w:color="auto"/>
            <w:right w:val="none" w:sz="0" w:space="0" w:color="auto"/>
          </w:divBdr>
          <w:divsChild>
            <w:div w:id="197086858">
              <w:marLeft w:val="0"/>
              <w:marRight w:val="0"/>
              <w:marTop w:val="0"/>
              <w:marBottom w:val="0"/>
              <w:divBdr>
                <w:top w:val="none" w:sz="0" w:space="0" w:color="auto"/>
                <w:left w:val="none" w:sz="0" w:space="0" w:color="auto"/>
                <w:bottom w:val="none" w:sz="0" w:space="0" w:color="auto"/>
                <w:right w:val="none" w:sz="0" w:space="0" w:color="auto"/>
              </w:divBdr>
              <w:divsChild>
                <w:div w:id="586887432">
                  <w:marLeft w:val="0"/>
                  <w:marRight w:val="0"/>
                  <w:marTop w:val="0"/>
                  <w:marBottom w:val="0"/>
                  <w:divBdr>
                    <w:top w:val="none" w:sz="0" w:space="0" w:color="auto"/>
                    <w:left w:val="none" w:sz="0" w:space="0" w:color="auto"/>
                    <w:bottom w:val="none" w:sz="0" w:space="0" w:color="auto"/>
                    <w:right w:val="none" w:sz="0" w:space="0" w:color="auto"/>
                  </w:divBdr>
                  <w:divsChild>
                    <w:div w:id="1582330489">
                      <w:marLeft w:val="0"/>
                      <w:marRight w:val="0"/>
                      <w:marTop w:val="0"/>
                      <w:marBottom w:val="0"/>
                      <w:divBdr>
                        <w:top w:val="none" w:sz="0" w:space="0" w:color="auto"/>
                        <w:left w:val="none" w:sz="0" w:space="0" w:color="auto"/>
                        <w:bottom w:val="none" w:sz="0" w:space="0" w:color="auto"/>
                        <w:right w:val="none" w:sz="0" w:space="0" w:color="auto"/>
                      </w:divBdr>
                      <w:divsChild>
                        <w:div w:id="62487750">
                          <w:marLeft w:val="0"/>
                          <w:marRight w:val="0"/>
                          <w:marTop w:val="0"/>
                          <w:marBottom w:val="0"/>
                          <w:divBdr>
                            <w:top w:val="none" w:sz="0" w:space="0" w:color="auto"/>
                            <w:left w:val="none" w:sz="0" w:space="0" w:color="auto"/>
                            <w:bottom w:val="none" w:sz="0" w:space="0" w:color="auto"/>
                            <w:right w:val="none" w:sz="0" w:space="0" w:color="auto"/>
                          </w:divBdr>
                          <w:divsChild>
                            <w:div w:id="2116242134">
                              <w:marLeft w:val="0"/>
                              <w:marRight w:val="0"/>
                              <w:marTop w:val="0"/>
                              <w:marBottom w:val="0"/>
                              <w:divBdr>
                                <w:top w:val="none" w:sz="0" w:space="0" w:color="auto"/>
                                <w:left w:val="none" w:sz="0" w:space="0" w:color="auto"/>
                                <w:bottom w:val="none" w:sz="0" w:space="0" w:color="auto"/>
                                <w:right w:val="none" w:sz="0" w:space="0" w:color="auto"/>
                              </w:divBdr>
                              <w:divsChild>
                                <w:div w:id="2059010388">
                                  <w:marLeft w:val="0"/>
                                  <w:marRight w:val="0"/>
                                  <w:marTop w:val="0"/>
                                  <w:marBottom w:val="0"/>
                                  <w:divBdr>
                                    <w:top w:val="none" w:sz="0" w:space="0" w:color="auto"/>
                                    <w:left w:val="none" w:sz="0" w:space="0" w:color="auto"/>
                                    <w:bottom w:val="none" w:sz="0" w:space="0" w:color="auto"/>
                                    <w:right w:val="none" w:sz="0" w:space="0" w:color="auto"/>
                                  </w:divBdr>
                                  <w:divsChild>
                                    <w:div w:id="1578244322">
                                      <w:marLeft w:val="0"/>
                                      <w:marRight w:val="0"/>
                                      <w:marTop w:val="0"/>
                                      <w:marBottom w:val="0"/>
                                      <w:divBdr>
                                        <w:top w:val="none" w:sz="0" w:space="0" w:color="auto"/>
                                        <w:left w:val="none" w:sz="0" w:space="0" w:color="auto"/>
                                        <w:bottom w:val="none" w:sz="0" w:space="0" w:color="auto"/>
                                        <w:right w:val="none" w:sz="0" w:space="0" w:color="auto"/>
                                      </w:divBdr>
                                    </w:div>
                                    <w:div w:id="898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91097">
      <w:bodyDiv w:val="1"/>
      <w:marLeft w:val="0"/>
      <w:marRight w:val="0"/>
      <w:marTop w:val="0"/>
      <w:marBottom w:val="0"/>
      <w:divBdr>
        <w:top w:val="none" w:sz="0" w:space="0" w:color="auto"/>
        <w:left w:val="none" w:sz="0" w:space="0" w:color="auto"/>
        <w:bottom w:val="none" w:sz="0" w:space="0" w:color="auto"/>
        <w:right w:val="none" w:sz="0" w:space="0" w:color="auto"/>
      </w:divBdr>
      <w:divsChild>
        <w:div w:id="1537740830">
          <w:marLeft w:val="0"/>
          <w:marRight w:val="0"/>
          <w:marTop w:val="0"/>
          <w:marBottom w:val="0"/>
          <w:divBdr>
            <w:top w:val="none" w:sz="0" w:space="0" w:color="auto"/>
            <w:left w:val="none" w:sz="0" w:space="0" w:color="auto"/>
            <w:bottom w:val="none" w:sz="0" w:space="0" w:color="auto"/>
            <w:right w:val="none" w:sz="0" w:space="0" w:color="auto"/>
          </w:divBdr>
          <w:divsChild>
            <w:div w:id="961496828">
              <w:marLeft w:val="0"/>
              <w:marRight w:val="0"/>
              <w:marTop w:val="0"/>
              <w:marBottom w:val="0"/>
              <w:divBdr>
                <w:top w:val="none" w:sz="0" w:space="0" w:color="auto"/>
                <w:left w:val="none" w:sz="0" w:space="0" w:color="auto"/>
                <w:bottom w:val="none" w:sz="0" w:space="0" w:color="auto"/>
                <w:right w:val="none" w:sz="0" w:space="0" w:color="auto"/>
              </w:divBdr>
              <w:divsChild>
                <w:div w:id="1465385412">
                  <w:marLeft w:val="0"/>
                  <w:marRight w:val="0"/>
                  <w:marTop w:val="0"/>
                  <w:marBottom w:val="0"/>
                  <w:divBdr>
                    <w:top w:val="none" w:sz="0" w:space="0" w:color="auto"/>
                    <w:left w:val="none" w:sz="0" w:space="0" w:color="auto"/>
                    <w:bottom w:val="none" w:sz="0" w:space="0" w:color="auto"/>
                    <w:right w:val="none" w:sz="0" w:space="0" w:color="auto"/>
                  </w:divBdr>
                  <w:divsChild>
                    <w:div w:id="35930636">
                      <w:marLeft w:val="0"/>
                      <w:marRight w:val="0"/>
                      <w:marTop w:val="0"/>
                      <w:marBottom w:val="0"/>
                      <w:divBdr>
                        <w:top w:val="none" w:sz="0" w:space="0" w:color="auto"/>
                        <w:left w:val="none" w:sz="0" w:space="0" w:color="auto"/>
                        <w:bottom w:val="none" w:sz="0" w:space="0" w:color="auto"/>
                        <w:right w:val="none" w:sz="0" w:space="0" w:color="auto"/>
                      </w:divBdr>
                      <w:divsChild>
                        <w:div w:id="69499075">
                          <w:marLeft w:val="0"/>
                          <w:marRight w:val="0"/>
                          <w:marTop w:val="0"/>
                          <w:marBottom w:val="0"/>
                          <w:divBdr>
                            <w:top w:val="none" w:sz="0" w:space="0" w:color="auto"/>
                            <w:left w:val="none" w:sz="0" w:space="0" w:color="auto"/>
                            <w:bottom w:val="none" w:sz="0" w:space="0" w:color="auto"/>
                            <w:right w:val="none" w:sz="0" w:space="0" w:color="auto"/>
                          </w:divBdr>
                          <w:divsChild>
                            <w:div w:id="1558324794">
                              <w:marLeft w:val="0"/>
                              <w:marRight w:val="0"/>
                              <w:marTop w:val="0"/>
                              <w:marBottom w:val="0"/>
                              <w:divBdr>
                                <w:top w:val="none" w:sz="0" w:space="0" w:color="auto"/>
                                <w:left w:val="none" w:sz="0" w:space="0" w:color="auto"/>
                                <w:bottom w:val="none" w:sz="0" w:space="0" w:color="auto"/>
                                <w:right w:val="none" w:sz="0" w:space="0" w:color="auto"/>
                              </w:divBdr>
                              <w:divsChild>
                                <w:div w:id="248851111">
                                  <w:marLeft w:val="0"/>
                                  <w:marRight w:val="0"/>
                                  <w:marTop w:val="0"/>
                                  <w:marBottom w:val="0"/>
                                  <w:divBdr>
                                    <w:top w:val="none" w:sz="0" w:space="0" w:color="auto"/>
                                    <w:left w:val="none" w:sz="0" w:space="0" w:color="auto"/>
                                    <w:bottom w:val="none" w:sz="0" w:space="0" w:color="auto"/>
                                    <w:right w:val="none" w:sz="0" w:space="0" w:color="auto"/>
                                  </w:divBdr>
                                  <w:divsChild>
                                    <w:div w:id="1879774687">
                                      <w:marLeft w:val="0"/>
                                      <w:marRight w:val="0"/>
                                      <w:marTop w:val="0"/>
                                      <w:marBottom w:val="0"/>
                                      <w:divBdr>
                                        <w:top w:val="none" w:sz="0" w:space="0" w:color="auto"/>
                                        <w:left w:val="none" w:sz="0" w:space="0" w:color="auto"/>
                                        <w:bottom w:val="none" w:sz="0" w:space="0" w:color="auto"/>
                                        <w:right w:val="none" w:sz="0" w:space="0" w:color="auto"/>
                                      </w:divBdr>
                                      <w:divsChild>
                                        <w:div w:id="20972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7216">
      <w:bodyDiv w:val="1"/>
      <w:marLeft w:val="0"/>
      <w:marRight w:val="0"/>
      <w:marTop w:val="0"/>
      <w:marBottom w:val="0"/>
      <w:divBdr>
        <w:top w:val="none" w:sz="0" w:space="0" w:color="auto"/>
        <w:left w:val="none" w:sz="0" w:space="0" w:color="auto"/>
        <w:bottom w:val="none" w:sz="0" w:space="0" w:color="auto"/>
        <w:right w:val="none" w:sz="0" w:space="0" w:color="auto"/>
      </w:divBdr>
      <w:divsChild>
        <w:div w:id="381904619">
          <w:marLeft w:val="0"/>
          <w:marRight w:val="0"/>
          <w:marTop w:val="0"/>
          <w:marBottom w:val="0"/>
          <w:divBdr>
            <w:top w:val="none" w:sz="0" w:space="0" w:color="auto"/>
            <w:left w:val="none" w:sz="0" w:space="0" w:color="auto"/>
            <w:bottom w:val="none" w:sz="0" w:space="0" w:color="auto"/>
            <w:right w:val="none" w:sz="0" w:space="0" w:color="auto"/>
          </w:divBdr>
          <w:divsChild>
            <w:div w:id="382409897">
              <w:marLeft w:val="0"/>
              <w:marRight w:val="0"/>
              <w:marTop w:val="0"/>
              <w:marBottom w:val="0"/>
              <w:divBdr>
                <w:top w:val="none" w:sz="0" w:space="0" w:color="auto"/>
                <w:left w:val="none" w:sz="0" w:space="0" w:color="auto"/>
                <w:bottom w:val="none" w:sz="0" w:space="0" w:color="auto"/>
                <w:right w:val="none" w:sz="0" w:space="0" w:color="auto"/>
              </w:divBdr>
              <w:divsChild>
                <w:div w:id="1173036682">
                  <w:marLeft w:val="0"/>
                  <w:marRight w:val="0"/>
                  <w:marTop w:val="0"/>
                  <w:marBottom w:val="0"/>
                  <w:divBdr>
                    <w:top w:val="none" w:sz="0" w:space="0" w:color="auto"/>
                    <w:left w:val="none" w:sz="0" w:space="0" w:color="auto"/>
                    <w:bottom w:val="none" w:sz="0" w:space="0" w:color="auto"/>
                    <w:right w:val="none" w:sz="0" w:space="0" w:color="auto"/>
                  </w:divBdr>
                  <w:divsChild>
                    <w:div w:id="2029795474">
                      <w:marLeft w:val="0"/>
                      <w:marRight w:val="0"/>
                      <w:marTop w:val="0"/>
                      <w:marBottom w:val="0"/>
                      <w:divBdr>
                        <w:top w:val="none" w:sz="0" w:space="0" w:color="auto"/>
                        <w:left w:val="none" w:sz="0" w:space="0" w:color="auto"/>
                        <w:bottom w:val="none" w:sz="0" w:space="0" w:color="auto"/>
                        <w:right w:val="none" w:sz="0" w:space="0" w:color="auto"/>
                      </w:divBdr>
                      <w:divsChild>
                        <w:div w:id="1082986540">
                          <w:marLeft w:val="0"/>
                          <w:marRight w:val="0"/>
                          <w:marTop w:val="0"/>
                          <w:marBottom w:val="0"/>
                          <w:divBdr>
                            <w:top w:val="none" w:sz="0" w:space="0" w:color="auto"/>
                            <w:left w:val="none" w:sz="0" w:space="0" w:color="auto"/>
                            <w:bottom w:val="none" w:sz="0" w:space="0" w:color="auto"/>
                            <w:right w:val="none" w:sz="0" w:space="0" w:color="auto"/>
                          </w:divBdr>
                          <w:divsChild>
                            <w:div w:id="644505491">
                              <w:marLeft w:val="0"/>
                              <w:marRight w:val="0"/>
                              <w:marTop w:val="0"/>
                              <w:marBottom w:val="0"/>
                              <w:divBdr>
                                <w:top w:val="none" w:sz="0" w:space="0" w:color="auto"/>
                                <w:left w:val="none" w:sz="0" w:space="0" w:color="auto"/>
                                <w:bottom w:val="none" w:sz="0" w:space="0" w:color="auto"/>
                                <w:right w:val="none" w:sz="0" w:space="0" w:color="auto"/>
                              </w:divBdr>
                              <w:divsChild>
                                <w:div w:id="1849755022">
                                  <w:marLeft w:val="0"/>
                                  <w:marRight w:val="0"/>
                                  <w:marTop w:val="0"/>
                                  <w:marBottom w:val="0"/>
                                  <w:divBdr>
                                    <w:top w:val="none" w:sz="0" w:space="0" w:color="auto"/>
                                    <w:left w:val="none" w:sz="0" w:space="0" w:color="auto"/>
                                    <w:bottom w:val="none" w:sz="0" w:space="0" w:color="auto"/>
                                    <w:right w:val="none" w:sz="0" w:space="0" w:color="auto"/>
                                  </w:divBdr>
                                  <w:divsChild>
                                    <w:div w:id="7943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06254">
      <w:bodyDiv w:val="1"/>
      <w:marLeft w:val="0"/>
      <w:marRight w:val="0"/>
      <w:marTop w:val="0"/>
      <w:marBottom w:val="0"/>
      <w:divBdr>
        <w:top w:val="none" w:sz="0" w:space="0" w:color="auto"/>
        <w:left w:val="none" w:sz="0" w:space="0" w:color="auto"/>
        <w:bottom w:val="none" w:sz="0" w:space="0" w:color="auto"/>
        <w:right w:val="none" w:sz="0" w:space="0" w:color="auto"/>
      </w:divBdr>
      <w:divsChild>
        <w:div w:id="1798640481">
          <w:marLeft w:val="0"/>
          <w:marRight w:val="0"/>
          <w:marTop w:val="0"/>
          <w:marBottom w:val="0"/>
          <w:divBdr>
            <w:top w:val="none" w:sz="0" w:space="0" w:color="auto"/>
            <w:left w:val="none" w:sz="0" w:space="0" w:color="auto"/>
            <w:bottom w:val="none" w:sz="0" w:space="0" w:color="auto"/>
            <w:right w:val="none" w:sz="0" w:space="0" w:color="auto"/>
          </w:divBdr>
          <w:divsChild>
            <w:div w:id="868490592">
              <w:marLeft w:val="0"/>
              <w:marRight w:val="0"/>
              <w:marTop w:val="0"/>
              <w:marBottom w:val="0"/>
              <w:divBdr>
                <w:top w:val="none" w:sz="0" w:space="0" w:color="auto"/>
                <w:left w:val="none" w:sz="0" w:space="0" w:color="auto"/>
                <w:bottom w:val="none" w:sz="0" w:space="0" w:color="auto"/>
                <w:right w:val="none" w:sz="0" w:space="0" w:color="auto"/>
              </w:divBdr>
              <w:divsChild>
                <w:div w:id="184296769">
                  <w:marLeft w:val="0"/>
                  <w:marRight w:val="0"/>
                  <w:marTop w:val="0"/>
                  <w:marBottom w:val="0"/>
                  <w:divBdr>
                    <w:top w:val="none" w:sz="0" w:space="0" w:color="auto"/>
                    <w:left w:val="none" w:sz="0" w:space="0" w:color="auto"/>
                    <w:bottom w:val="none" w:sz="0" w:space="0" w:color="auto"/>
                    <w:right w:val="none" w:sz="0" w:space="0" w:color="auto"/>
                  </w:divBdr>
                  <w:divsChild>
                    <w:div w:id="547181481">
                      <w:marLeft w:val="0"/>
                      <w:marRight w:val="0"/>
                      <w:marTop w:val="0"/>
                      <w:marBottom w:val="0"/>
                      <w:divBdr>
                        <w:top w:val="none" w:sz="0" w:space="0" w:color="auto"/>
                        <w:left w:val="none" w:sz="0" w:space="0" w:color="auto"/>
                        <w:bottom w:val="none" w:sz="0" w:space="0" w:color="auto"/>
                        <w:right w:val="none" w:sz="0" w:space="0" w:color="auto"/>
                      </w:divBdr>
                      <w:divsChild>
                        <w:div w:id="65349452">
                          <w:marLeft w:val="0"/>
                          <w:marRight w:val="0"/>
                          <w:marTop w:val="0"/>
                          <w:marBottom w:val="0"/>
                          <w:divBdr>
                            <w:top w:val="none" w:sz="0" w:space="0" w:color="auto"/>
                            <w:left w:val="none" w:sz="0" w:space="0" w:color="auto"/>
                            <w:bottom w:val="none" w:sz="0" w:space="0" w:color="auto"/>
                            <w:right w:val="none" w:sz="0" w:space="0" w:color="auto"/>
                          </w:divBdr>
                          <w:divsChild>
                            <w:div w:id="763377041">
                              <w:marLeft w:val="0"/>
                              <w:marRight w:val="0"/>
                              <w:marTop w:val="0"/>
                              <w:marBottom w:val="0"/>
                              <w:divBdr>
                                <w:top w:val="none" w:sz="0" w:space="0" w:color="auto"/>
                                <w:left w:val="none" w:sz="0" w:space="0" w:color="auto"/>
                                <w:bottom w:val="none" w:sz="0" w:space="0" w:color="auto"/>
                                <w:right w:val="none" w:sz="0" w:space="0" w:color="auto"/>
                              </w:divBdr>
                              <w:divsChild>
                                <w:div w:id="2026516825">
                                  <w:marLeft w:val="0"/>
                                  <w:marRight w:val="0"/>
                                  <w:marTop w:val="0"/>
                                  <w:marBottom w:val="0"/>
                                  <w:divBdr>
                                    <w:top w:val="none" w:sz="0" w:space="0" w:color="auto"/>
                                    <w:left w:val="none" w:sz="0" w:space="0" w:color="auto"/>
                                    <w:bottom w:val="none" w:sz="0" w:space="0" w:color="auto"/>
                                    <w:right w:val="none" w:sz="0" w:space="0" w:color="auto"/>
                                  </w:divBdr>
                                  <w:divsChild>
                                    <w:div w:id="7169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13380">
      <w:bodyDiv w:val="1"/>
      <w:marLeft w:val="0"/>
      <w:marRight w:val="0"/>
      <w:marTop w:val="0"/>
      <w:marBottom w:val="0"/>
      <w:divBdr>
        <w:top w:val="none" w:sz="0" w:space="0" w:color="auto"/>
        <w:left w:val="none" w:sz="0" w:space="0" w:color="auto"/>
        <w:bottom w:val="none" w:sz="0" w:space="0" w:color="auto"/>
        <w:right w:val="none" w:sz="0" w:space="0" w:color="auto"/>
      </w:divBdr>
    </w:div>
    <w:div w:id="1953978948">
      <w:bodyDiv w:val="1"/>
      <w:marLeft w:val="0"/>
      <w:marRight w:val="0"/>
      <w:marTop w:val="0"/>
      <w:marBottom w:val="0"/>
      <w:divBdr>
        <w:top w:val="none" w:sz="0" w:space="0" w:color="auto"/>
        <w:left w:val="none" w:sz="0" w:space="0" w:color="auto"/>
        <w:bottom w:val="none" w:sz="0" w:space="0" w:color="auto"/>
        <w:right w:val="none" w:sz="0" w:space="0" w:color="auto"/>
      </w:divBdr>
      <w:divsChild>
        <w:div w:id="635985019">
          <w:marLeft w:val="0"/>
          <w:marRight w:val="0"/>
          <w:marTop w:val="0"/>
          <w:marBottom w:val="0"/>
          <w:divBdr>
            <w:top w:val="none" w:sz="0" w:space="0" w:color="auto"/>
            <w:left w:val="none" w:sz="0" w:space="0" w:color="auto"/>
            <w:bottom w:val="none" w:sz="0" w:space="0" w:color="auto"/>
            <w:right w:val="none" w:sz="0" w:space="0" w:color="auto"/>
          </w:divBdr>
          <w:divsChild>
            <w:div w:id="1480225471">
              <w:marLeft w:val="0"/>
              <w:marRight w:val="0"/>
              <w:marTop w:val="0"/>
              <w:marBottom w:val="0"/>
              <w:divBdr>
                <w:top w:val="none" w:sz="0" w:space="0" w:color="auto"/>
                <w:left w:val="none" w:sz="0" w:space="0" w:color="auto"/>
                <w:bottom w:val="none" w:sz="0" w:space="0" w:color="auto"/>
                <w:right w:val="none" w:sz="0" w:space="0" w:color="auto"/>
              </w:divBdr>
              <w:divsChild>
                <w:div w:id="151147845">
                  <w:marLeft w:val="0"/>
                  <w:marRight w:val="0"/>
                  <w:marTop w:val="0"/>
                  <w:marBottom w:val="0"/>
                  <w:divBdr>
                    <w:top w:val="none" w:sz="0" w:space="0" w:color="auto"/>
                    <w:left w:val="none" w:sz="0" w:space="0" w:color="auto"/>
                    <w:bottom w:val="none" w:sz="0" w:space="0" w:color="auto"/>
                    <w:right w:val="none" w:sz="0" w:space="0" w:color="auto"/>
                  </w:divBdr>
                  <w:divsChild>
                    <w:div w:id="1000962947">
                      <w:marLeft w:val="0"/>
                      <w:marRight w:val="0"/>
                      <w:marTop w:val="0"/>
                      <w:marBottom w:val="0"/>
                      <w:divBdr>
                        <w:top w:val="none" w:sz="0" w:space="0" w:color="auto"/>
                        <w:left w:val="none" w:sz="0" w:space="0" w:color="auto"/>
                        <w:bottom w:val="none" w:sz="0" w:space="0" w:color="auto"/>
                        <w:right w:val="none" w:sz="0" w:space="0" w:color="auto"/>
                      </w:divBdr>
                      <w:divsChild>
                        <w:div w:id="1220635377">
                          <w:marLeft w:val="0"/>
                          <w:marRight w:val="0"/>
                          <w:marTop w:val="0"/>
                          <w:marBottom w:val="0"/>
                          <w:divBdr>
                            <w:top w:val="none" w:sz="0" w:space="0" w:color="auto"/>
                            <w:left w:val="none" w:sz="0" w:space="0" w:color="auto"/>
                            <w:bottom w:val="none" w:sz="0" w:space="0" w:color="auto"/>
                            <w:right w:val="none" w:sz="0" w:space="0" w:color="auto"/>
                          </w:divBdr>
                          <w:divsChild>
                            <w:div w:id="733818508">
                              <w:marLeft w:val="0"/>
                              <w:marRight w:val="0"/>
                              <w:marTop w:val="0"/>
                              <w:marBottom w:val="0"/>
                              <w:divBdr>
                                <w:top w:val="none" w:sz="0" w:space="0" w:color="auto"/>
                                <w:left w:val="none" w:sz="0" w:space="0" w:color="auto"/>
                                <w:bottom w:val="none" w:sz="0" w:space="0" w:color="auto"/>
                                <w:right w:val="none" w:sz="0" w:space="0" w:color="auto"/>
                              </w:divBdr>
                              <w:divsChild>
                                <w:div w:id="1144396543">
                                  <w:marLeft w:val="0"/>
                                  <w:marRight w:val="0"/>
                                  <w:marTop w:val="0"/>
                                  <w:marBottom w:val="0"/>
                                  <w:divBdr>
                                    <w:top w:val="none" w:sz="0" w:space="0" w:color="auto"/>
                                    <w:left w:val="none" w:sz="0" w:space="0" w:color="auto"/>
                                    <w:bottom w:val="none" w:sz="0" w:space="0" w:color="auto"/>
                                    <w:right w:val="none" w:sz="0" w:space="0" w:color="auto"/>
                                  </w:divBdr>
                                  <w:divsChild>
                                    <w:div w:id="40641697">
                                      <w:marLeft w:val="0"/>
                                      <w:marRight w:val="0"/>
                                      <w:marTop w:val="0"/>
                                      <w:marBottom w:val="0"/>
                                      <w:divBdr>
                                        <w:top w:val="none" w:sz="0" w:space="0" w:color="auto"/>
                                        <w:left w:val="none" w:sz="0" w:space="0" w:color="auto"/>
                                        <w:bottom w:val="none" w:sz="0" w:space="0" w:color="auto"/>
                                        <w:right w:val="none" w:sz="0" w:space="0" w:color="auto"/>
                                      </w:divBdr>
                                    </w:div>
                                    <w:div w:id="1321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Competency_evaluation_(law)"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icole.johnson3@dc.gov"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7030A0"/>
              </a:solidFill>
            </c:spPr>
          </c:dPt>
          <c:dPt>
            <c:idx val="1"/>
            <c:invertIfNegative val="0"/>
            <c:bubble3D val="0"/>
            <c:spPr>
              <a:solidFill>
                <a:srgbClr val="7030A0"/>
              </a:solidFill>
            </c:spPr>
          </c:dPt>
          <c:dPt>
            <c:idx val="2"/>
            <c:invertIfNegative val="0"/>
            <c:bubble3D val="0"/>
            <c:spPr>
              <a:solidFill>
                <a:srgbClr val="7030A0"/>
              </a:solidFill>
            </c:spPr>
          </c:dPt>
          <c:dPt>
            <c:idx val="3"/>
            <c:invertIfNegative val="0"/>
            <c:bubble3D val="0"/>
            <c:spPr>
              <a:solidFill>
                <a:srgbClr val="7030A0"/>
              </a:solidFill>
            </c:spPr>
          </c:dPt>
          <c:dPt>
            <c:idx val="4"/>
            <c:invertIfNegative val="0"/>
            <c:bubble3D val="0"/>
            <c:spPr>
              <a:solidFill>
                <a:srgbClr val="7030A0"/>
              </a:solidFill>
            </c:spPr>
          </c:dPt>
          <c:dPt>
            <c:idx val="5"/>
            <c:invertIfNegative val="0"/>
            <c:bubble3D val="0"/>
            <c:spPr>
              <a:solidFill>
                <a:srgbClr val="FFFF00"/>
              </a:solidFill>
            </c:spPr>
          </c:dPt>
          <c:dPt>
            <c:idx val="6"/>
            <c:invertIfNegative val="0"/>
            <c:bubble3D val="0"/>
            <c:spPr>
              <a:solidFill>
                <a:srgbClr val="FFFF00"/>
              </a:solidFill>
            </c:spPr>
          </c:dPt>
          <c:dPt>
            <c:idx val="7"/>
            <c:invertIfNegative val="0"/>
            <c:bubble3D val="0"/>
            <c:spPr>
              <a:solidFill>
                <a:srgbClr val="FFFF00"/>
              </a:solidFill>
            </c:spPr>
          </c:dPt>
          <c:dPt>
            <c:idx val="8"/>
            <c:invertIfNegative val="0"/>
            <c:bubble3D val="0"/>
            <c:spPr>
              <a:solidFill>
                <a:srgbClr val="FFFF00"/>
              </a:solidFill>
            </c:spPr>
          </c:dPt>
          <c:dPt>
            <c:idx val="9"/>
            <c:invertIfNegative val="0"/>
            <c:bubble3D val="0"/>
            <c:spPr>
              <a:solidFill>
                <a:srgbClr val="FF0000"/>
              </a:solidFill>
            </c:spPr>
          </c:dPt>
          <c:dPt>
            <c:idx val="10"/>
            <c:invertIfNegative val="0"/>
            <c:bubble3D val="0"/>
            <c:spPr>
              <a:solidFill>
                <a:srgbClr val="FF0000"/>
              </a:solidFill>
            </c:spPr>
          </c:dPt>
          <c:dPt>
            <c:idx val="11"/>
            <c:invertIfNegative val="0"/>
            <c:bubble3D val="0"/>
            <c:spPr>
              <a:solidFill>
                <a:srgbClr val="92D050"/>
              </a:solidFill>
            </c:spPr>
          </c:dPt>
          <c:dPt>
            <c:idx val="12"/>
            <c:invertIfNegative val="0"/>
            <c:bubble3D val="0"/>
            <c:spPr>
              <a:solidFill>
                <a:srgbClr val="92D050"/>
              </a:solidFill>
            </c:spPr>
          </c:dPt>
          <c:dLbls>
            <c:txPr>
              <a:bodyPr/>
              <a:lstStyle/>
              <a:p>
                <a:pPr>
                  <a:defRPr b="1"/>
                </a:pPr>
                <a:endParaRPr lang="en-US"/>
              </a:p>
            </c:txPr>
            <c:showLegendKey val="0"/>
            <c:showVal val="1"/>
            <c:showCatName val="0"/>
            <c:showSerName val="0"/>
            <c:showPercent val="0"/>
            <c:showBubbleSize val="0"/>
            <c:showLeaderLines val="0"/>
          </c:dLbls>
          <c:cat>
            <c:multiLvlStrRef>
              <c:f>'Chart-Graphs'!$N$250:$O$262</c:f>
              <c:multiLvlStrCache>
                <c:ptCount val="13"/>
                <c:lvl>
                  <c:pt idx="0">
                    <c:v>18-25</c:v>
                  </c:pt>
                  <c:pt idx="1">
                    <c:v>26-36</c:v>
                  </c:pt>
                  <c:pt idx="2">
                    <c:v>37-47</c:v>
                  </c:pt>
                  <c:pt idx="3">
                    <c:v>48-58</c:v>
                  </c:pt>
                  <c:pt idx="4">
                    <c:v>68+</c:v>
                  </c:pt>
                  <c:pt idx="5">
                    <c:v>African American</c:v>
                  </c:pt>
                  <c:pt idx="6">
                    <c:v>Hispanic</c:v>
                  </c:pt>
                  <c:pt idx="7">
                    <c:v>Other  </c:v>
                  </c:pt>
                  <c:pt idx="8">
                    <c:v>Unknown</c:v>
                  </c:pt>
                  <c:pt idx="9">
                    <c:v>Female</c:v>
                  </c:pt>
                  <c:pt idx="10">
                    <c:v>Male</c:v>
                  </c:pt>
                  <c:pt idx="11">
                    <c:v>Misdemeanor</c:v>
                  </c:pt>
                  <c:pt idx="12">
                    <c:v>Felony</c:v>
                  </c:pt>
                </c:lvl>
                <c:lvl>
                  <c:pt idx="0">
                    <c:v>AGE</c:v>
                  </c:pt>
                  <c:pt idx="5">
                    <c:v>RACE</c:v>
                  </c:pt>
                  <c:pt idx="9">
                    <c:v>GENDER</c:v>
                  </c:pt>
                  <c:pt idx="11">
                    <c:v>CHARGES</c:v>
                  </c:pt>
                </c:lvl>
              </c:multiLvlStrCache>
            </c:multiLvlStrRef>
          </c:cat>
          <c:val>
            <c:numRef>
              <c:f>'Chart-Graphs'!$P$250:$P$262</c:f>
              <c:numCache>
                <c:formatCode>General</c:formatCode>
                <c:ptCount val="13"/>
                <c:pt idx="0">
                  <c:v>23.0</c:v>
                </c:pt>
                <c:pt idx="1">
                  <c:v>33.0</c:v>
                </c:pt>
                <c:pt idx="2">
                  <c:v>41.0</c:v>
                </c:pt>
                <c:pt idx="3">
                  <c:v>57.0</c:v>
                </c:pt>
                <c:pt idx="4">
                  <c:v>3.0</c:v>
                </c:pt>
                <c:pt idx="5">
                  <c:v>143.0</c:v>
                </c:pt>
                <c:pt idx="6">
                  <c:v>2.0</c:v>
                </c:pt>
                <c:pt idx="7">
                  <c:v>3.0</c:v>
                </c:pt>
                <c:pt idx="8">
                  <c:v>15.0</c:v>
                </c:pt>
                <c:pt idx="9">
                  <c:v>49.0</c:v>
                </c:pt>
                <c:pt idx="10">
                  <c:v>121.0</c:v>
                </c:pt>
                <c:pt idx="11">
                  <c:v>133.0</c:v>
                </c:pt>
                <c:pt idx="12">
                  <c:v>37.0</c:v>
                </c:pt>
              </c:numCache>
            </c:numRef>
          </c:val>
        </c:ser>
        <c:dLbls>
          <c:showLegendKey val="0"/>
          <c:showVal val="0"/>
          <c:showCatName val="0"/>
          <c:showSerName val="0"/>
          <c:showPercent val="0"/>
          <c:showBubbleSize val="0"/>
        </c:dLbls>
        <c:gapWidth val="150"/>
        <c:shape val="box"/>
        <c:axId val="2073170024"/>
        <c:axId val="-2120610600"/>
        <c:axId val="0"/>
      </c:bar3DChart>
      <c:catAx>
        <c:axId val="2073170024"/>
        <c:scaling>
          <c:orientation val="minMax"/>
        </c:scaling>
        <c:delete val="0"/>
        <c:axPos val="l"/>
        <c:numFmt formatCode="General" sourceLinked="1"/>
        <c:majorTickMark val="out"/>
        <c:minorTickMark val="none"/>
        <c:tickLblPos val="nextTo"/>
        <c:txPr>
          <a:bodyPr/>
          <a:lstStyle/>
          <a:p>
            <a:pPr>
              <a:defRPr b="1"/>
            </a:pPr>
            <a:endParaRPr lang="en-US"/>
          </a:p>
        </c:txPr>
        <c:crossAx val="-2120610600"/>
        <c:crosses val="autoZero"/>
        <c:auto val="1"/>
        <c:lblAlgn val="ctr"/>
        <c:lblOffset val="100"/>
        <c:noMultiLvlLbl val="0"/>
      </c:catAx>
      <c:valAx>
        <c:axId val="-2120610600"/>
        <c:scaling>
          <c:orientation val="minMax"/>
        </c:scaling>
        <c:delete val="0"/>
        <c:axPos val="b"/>
        <c:majorGridlines/>
        <c:numFmt formatCode="General" sourceLinked="1"/>
        <c:majorTickMark val="out"/>
        <c:minorTickMark val="none"/>
        <c:tickLblPos val="nextTo"/>
        <c:crossAx val="2073170024"/>
        <c:crosses val="autoZero"/>
        <c:crossBetween val="between"/>
      </c:valAx>
      <c:spPr>
        <a:noFill/>
        <a:ln w="25387">
          <a:no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cat>
            <c:strRef>
              <c:f>'Chart-Graphs'!$N$264:$N$268</c:f>
              <c:strCache>
                <c:ptCount val="5"/>
                <c:pt idx="0">
                  <c:v>Other</c:v>
                </c:pt>
                <c:pt idx="1">
                  <c:v>Cognitive Disorder</c:v>
                </c:pt>
                <c:pt idx="2">
                  <c:v>Mood Disorder</c:v>
                </c:pt>
                <c:pt idx="3">
                  <c:v>None</c:v>
                </c:pt>
                <c:pt idx="4">
                  <c:v>Thought Disorder</c:v>
                </c:pt>
              </c:strCache>
            </c:strRef>
          </c:cat>
          <c:val>
            <c:numRef>
              <c:f>'Chart-Graphs'!$O$264:$O$268</c:f>
              <c:numCache>
                <c:formatCode>General</c:formatCode>
                <c:ptCount val="5"/>
              </c:numCache>
            </c:numRef>
          </c:val>
        </c:ser>
        <c:ser>
          <c:idx val="1"/>
          <c:order val="1"/>
          <c:invertIfNegative val="0"/>
          <c:dPt>
            <c:idx val="0"/>
            <c:invertIfNegative val="0"/>
            <c:bubble3D val="0"/>
            <c:spPr>
              <a:solidFill>
                <a:srgbClr val="FFFF00"/>
              </a:solidFill>
            </c:spPr>
          </c:dPt>
          <c:dPt>
            <c:idx val="1"/>
            <c:invertIfNegative val="0"/>
            <c:bubble3D val="0"/>
            <c:spPr>
              <a:solidFill>
                <a:srgbClr val="00B0F0"/>
              </a:solidFill>
            </c:spPr>
          </c:dPt>
          <c:dPt>
            <c:idx val="2"/>
            <c:invertIfNegative val="0"/>
            <c:bubble3D val="0"/>
            <c:spPr>
              <a:solidFill>
                <a:srgbClr val="92D050"/>
              </a:solidFill>
            </c:spPr>
          </c:dPt>
          <c:dPt>
            <c:idx val="3"/>
            <c:invertIfNegative val="0"/>
            <c:bubble3D val="0"/>
            <c:spPr>
              <a:solidFill>
                <a:srgbClr val="FF0000"/>
              </a:solidFill>
            </c:spPr>
          </c:dPt>
          <c:dPt>
            <c:idx val="4"/>
            <c:invertIfNegative val="0"/>
            <c:bubble3D val="0"/>
            <c:spPr>
              <a:solidFill>
                <a:srgbClr val="7030A0"/>
              </a:solidFill>
            </c:spPr>
          </c:dPt>
          <c:dLbls>
            <c:txPr>
              <a:bodyPr/>
              <a:lstStyle/>
              <a:p>
                <a:pPr>
                  <a:defRPr b="1"/>
                </a:pPr>
                <a:endParaRPr lang="en-US"/>
              </a:p>
            </c:txPr>
            <c:showLegendKey val="0"/>
            <c:showVal val="1"/>
            <c:showCatName val="0"/>
            <c:showSerName val="0"/>
            <c:showPercent val="0"/>
            <c:showBubbleSize val="0"/>
            <c:showLeaderLines val="0"/>
          </c:dLbls>
          <c:cat>
            <c:strRef>
              <c:f>'Chart-Graphs'!$N$264:$N$268</c:f>
              <c:strCache>
                <c:ptCount val="5"/>
                <c:pt idx="0">
                  <c:v>Other</c:v>
                </c:pt>
                <c:pt idx="1">
                  <c:v>Cognitive Disorder</c:v>
                </c:pt>
                <c:pt idx="2">
                  <c:v>Mood Disorder</c:v>
                </c:pt>
                <c:pt idx="3">
                  <c:v>None</c:v>
                </c:pt>
                <c:pt idx="4">
                  <c:v>Thought Disorder</c:v>
                </c:pt>
              </c:strCache>
            </c:strRef>
          </c:cat>
          <c:val>
            <c:numRef>
              <c:f>'Chart-Graphs'!$P$264:$P$268</c:f>
              <c:numCache>
                <c:formatCode>General</c:formatCode>
                <c:ptCount val="5"/>
                <c:pt idx="0">
                  <c:v>3.0</c:v>
                </c:pt>
                <c:pt idx="1">
                  <c:v>10.0</c:v>
                </c:pt>
                <c:pt idx="2">
                  <c:v>29.0</c:v>
                </c:pt>
                <c:pt idx="3">
                  <c:v>56.0</c:v>
                </c:pt>
                <c:pt idx="4">
                  <c:v>72.0</c:v>
                </c:pt>
              </c:numCache>
            </c:numRef>
          </c:val>
        </c:ser>
        <c:dLbls>
          <c:showLegendKey val="0"/>
          <c:showVal val="0"/>
          <c:showCatName val="0"/>
          <c:showSerName val="0"/>
          <c:showPercent val="0"/>
          <c:showBubbleSize val="0"/>
        </c:dLbls>
        <c:gapWidth val="150"/>
        <c:shape val="box"/>
        <c:axId val="-2131229768"/>
        <c:axId val="2126405832"/>
        <c:axId val="0"/>
      </c:bar3DChart>
      <c:catAx>
        <c:axId val="-2131229768"/>
        <c:scaling>
          <c:orientation val="minMax"/>
        </c:scaling>
        <c:delete val="0"/>
        <c:axPos val="l"/>
        <c:numFmt formatCode="General" sourceLinked="1"/>
        <c:majorTickMark val="out"/>
        <c:minorTickMark val="none"/>
        <c:tickLblPos val="nextTo"/>
        <c:txPr>
          <a:bodyPr/>
          <a:lstStyle/>
          <a:p>
            <a:pPr>
              <a:defRPr b="1"/>
            </a:pPr>
            <a:endParaRPr lang="en-US"/>
          </a:p>
        </c:txPr>
        <c:crossAx val="2126405832"/>
        <c:crosses val="autoZero"/>
        <c:auto val="1"/>
        <c:lblAlgn val="ctr"/>
        <c:lblOffset val="100"/>
        <c:noMultiLvlLbl val="0"/>
      </c:catAx>
      <c:valAx>
        <c:axId val="2126405832"/>
        <c:scaling>
          <c:orientation val="minMax"/>
        </c:scaling>
        <c:delete val="0"/>
        <c:axPos val="b"/>
        <c:numFmt formatCode="General" sourceLinked="1"/>
        <c:majorTickMark val="out"/>
        <c:minorTickMark val="none"/>
        <c:tickLblPos val="nextTo"/>
        <c:crossAx val="-2131229768"/>
        <c:crosses val="autoZero"/>
        <c:crossBetween val="between"/>
      </c:valAx>
      <c:spPr>
        <a:noFill/>
        <a:ln w="25387">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aseline="0"/>
              <a:t>                                                                                                  </a:t>
            </a:r>
            <a:endParaRPr lang="en-US" sz="14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FFFF00"/>
              </a:solidFill>
            </c:spPr>
          </c:dPt>
          <c:dPt>
            <c:idx val="1"/>
            <c:bubble3D val="0"/>
            <c:spPr>
              <a:solidFill>
                <a:srgbClr val="00B050"/>
              </a:solidFill>
            </c:spPr>
          </c:dPt>
          <c:dPt>
            <c:idx val="2"/>
            <c:bubble3D val="0"/>
            <c:spPr>
              <a:solidFill>
                <a:srgbClr val="7030A0"/>
              </a:solidFill>
            </c:spPr>
          </c:dPt>
          <c:dPt>
            <c:idx val="3"/>
            <c:bubble3D val="0"/>
            <c:spPr>
              <a:solidFill>
                <a:srgbClr val="FF0000"/>
              </a:solidFill>
            </c:spPr>
          </c:dPt>
          <c:dLbls>
            <c:dLbl>
              <c:idx val="0"/>
              <c:layout>
                <c:manualLayout>
                  <c:x val="-0.208294184642084"/>
                  <c:y val="-0.181356794686378"/>
                </c:manualLayout>
              </c:layout>
              <c:tx>
                <c:rich>
                  <a:bodyPr/>
                  <a:lstStyle/>
                  <a:p>
                    <a:r>
                      <a:rPr lang="en-US" sz="1400" u="sng"/>
                      <a:t>42</a:t>
                    </a:r>
                    <a:r>
                      <a:rPr lang="en-US" sz="1400"/>
                      <a:t>  76%</a:t>
                    </a:r>
                    <a:endParaRPr lang="en-US"/>
                  </a:p>
                </c:rich>
              </c:tx>
              <c:dLblPos val="bestFit"/>
              <c:showLegendKey val="0"/>
              <c:showVal val="0"/>
              <c:showCatName val="0"/>
              <c:showSerName val="0"/>
              <c:showPercent val="0"/>
              <c:showBubbleSize val="0"/>
            </c:dLbl>
            <c:dLbl>
              <c:idx val="1"/>
              <c:layout>
                <c:manualLayout>
                  <c:x val="0.038008920771355"/>
                  <c:y val="-0.0357516024782616"/>
                </c:manualLayout>
              </c:layout>
              <c:tx>
                <c:rich>
                  <a:bodyPr/>
                  <a:lstStyle/>
                  <a:p>
                    <a:r>
                      <a:rPr lang="en-US" sz="1400" u="sng"/>
                      <a:t>6</a:t>
                    </a:r>
                    <a:r>
                      <a:rPr lang="en-US" sz="1400"/>
                      <a:t>  11%</a:t>
                    </a:r>
                    <a:endParaRPr lang="en-US"/>
                  </a:p>
                </c:rich>
              </c:tx>
              <c:dLblPos val="bestFit"/>
              <c:showLegendKey val="0"/>
              <c:showVal val="0"/>
              <c:showCatName val="0"/>
              <c:showSerName val="0"/>
              <c:showPercent val="0"/>
              <c:showBubbleSize val="0"/>
            </c:dLbl>
            <c:dLbl>
              <c:idx val="2"/>
              <c:layout>
                <c:manualLayout>
                  <c:x val="0.0309791961045281"/>
                  <c:y val="-0.0206134947417287"/>
                </c:manualLayout>
              </c:layout>
              <c:tx>
                <c:rich>
                  <a:bodyPr/>
                  <a:lstStyle/>
                  <a:p>
                    <a:r>
                      <a:rPr lang="en-US" sz="1400" u="sng"/>
                      <a:t>4</a:t>
                    </a:r>
                    <a:r>
                      <a:rPr lang="en-US" sz="1400"/>
                      <a:t>  7%</a:t>
                    </a:r>
                    <a:endParaRPr lang="en-US"/>
                  </a:p>
                </c:rich>
              </c:tx>
              <c:dLblPos val="bestFit"/>
              <c:showLegendKey val="0"/>
              <c:showVal val="0"/>
              <c:showCatName val="0"/>
              <c:showSerName val="0"/>
              <c:showPercent val="0"/>
              <c:showBubbleSize val="0"/>
            </c:dLbl>
            <c:dLbl>
              <c:idx val="3"/>
              <c:layout>
                <c:manualLayout>
                  <c:x val="0.0366057974753308"/>
                  <c:y val="-0.0219047619047619"/>
                </c:manualLayout>
              </c:layout>
              <c:tx>
                <c:rich>
                  <a:bodyPr/>
                  <a:lstStyle/>
                  <a:p>
                    <a:r>
                      <a:rPr lang="en-US" sz="1400" u="sng"/>
                      <a:t>3</a:t>
                    </a:r>
                    <a:r>
                      <a:rPr lang="en-US" sz="1400"/>
                      <a:t>  6%</a:t>
                    </a:r>
                    <a:endParaRPr lang="en-US"/>
                  </a:p>
                </c:rich>
              </c:tx>
              <c:dLblPos val="bestFit"/>
              <c:showLegendKey val="0"/>
              <c:showVal val="0"/>
              <c:showCatName val="0"/>
              <c:showSerName val="0"/>
              <c:showPercent val="0"/>
              <c:showBubbleSize val="0"/>
            </c:dLbl>
            <c:txPr>
              <a:bodyPr/>
              <a:lstStyle/>
              <a:p>
                <a:pPr>
                  <a:defRPr sz="1400" b="1"/>
                </a:pPr>
                <a:endParaRPr lang="en-US"/>
              </a:p>
            </c:txPr>
            <c:showLegendKey val="0"/>
            <c:showVal val="1"/>
            <c:showCatName val="0"/>
            <c:showSerName val="0"/>
            <c:showPercent val="1"/>
            <c:showBubbleSize val="0"/>
            <c:showLeaderLines val="1"/>
          </c:dLbls>
          <c:cat>
            <c:strRef>
              <c:f>'Chart-Graphs'!$B$236:$B$239</c:f>
              <c:strCache>
                <c:ptCount val="4"/>
                <c:pt idx="0">
                  <c:v>45 Days</c:v>
                </c:pt>
                <c:pt idx="1">
                  <c:v>75 Days</c:v>
                </c:pt>
                <c:pt idx="2">
                  <c:v>105 Days </c:v>
                </c:pt>
                <c:pt idx="3">
                  <c:v>135 Days </c:v>
                </c:pt>
              </c:strCache>
            </c:strRef>
          </c:cat>
          <c:val>
            <c:numRef>
              <c:f>'Chart-Graphs'!$C$236:$C$239</c:f>
              <c:numCache>
                <c:formatCode>General</c:formatCode>
                <c:ptCount val="4"/>
                <c:pt idx="0">
                  <c:v>42.0</c:v>
                </c:pt>
                <c:pt idx="1">
                  <c:v>6.0</c:v>
                </c:pt>
                <c:pt idx="2">
                  <c:v>4.0</c:v>
                </c:pt>
                <c:pt idx="3">
                  <c:v>3.0</c:v>
                </c:pt>
              </c:numCache>
            </c:numRef>
          </c:val>
        </c:ser>
        <c:dLbls>
          <c:showLegendKey val="0"/>
          <c:showVal val="0"/>
          <c:showCatName val="0"/>
          <c:showSerName val="0"/>
          <c:showPercent val="0"/>
          <c:showBubbleSize val="0"/>
          <c:showLeaderLines val="1"/>
        </c:dLbls>
      </c:pie3DChart>
      <c:spPr>
        <a:noFill/>
        <a:ln w="25393">
          <a:noFill/>
        </a:ln>
      </c:spPr>
    </c:plotArea>
    <c:legend>
      <c:legendPos val="r"/>
      <c:layout/>
      <c:overlay val="0"/>
      <c:txPr>
        <a:bodyPr/>
        <a:lstStyle/>
        <a:p>
          <a:pPr>
            <a:defRPr sz="1100" b="1"/>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0.30609</cdr:x>
      <cdr:y>0.95906</cdr:y>
    </cdr:from>
    <cdr:to>
      <cdr:x>0.75652</cdr:x>
      <cdr:y>1</cdr:y>
    </cdr:to>
    <cdr:sp macro="" textlink="">
      <cdr:nvSpPr>
        <cdr:cNvPr id="2" name="TextBox 1"/>
        <cdr:cNvSpPr txBox="1"/>
      </cdr:nvSpPr>
      <cdr:spPr>
        <a:xfrm xmlns:a="http://schemas.openxmlformats.org/drawingml/2006/main">
          <a:off x="1676400" y="4686302"/>
          <a:ext cx="2466975"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DCCA-9E07-7649-8ABC-F1470F6A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4532</Words>
  <Characters>25834</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Nicole Johnson</dc:creator>
  <cp:lastModifiedBy>NA MA</cp:lastModifiedBy>
  <cp:revision>2</cp:revision>
  <dcterms:created xsi:type="dcterms:W3CDTF">2015-03-17T19:44:00Z</dcterms:created>
  <dcterms:modified xsi:type="dcterms:W3CDTF">2015-03-17T19:44:00Z</dcterms:modified>
</cp:coreProperties>
</file>