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8A0" w:rsidRPr="00B35EBD" w:rsidRDefault="00DB28A0" w:rsidP="00B35EBD">
      <w:pPr>
        <w:adjustRightInd w:val="0"/>
        <w:snapToGrid w:val="0"/>
        <w:spacing w:after="0" w:line="360" w:lineRule="auto"/>
        <w:rPr>
          <w:rFonts w:ascii="Book Antiqua" w:hAnsi="Book Antiqua"/>
          <w:sz w:val="21"/>
          <w:szCs w:val="21"/>
        </w:rPr>
      </w:pPr>
      <w:r w:rsidRPr="00B35EBD">
        <w:rPr>
          <w:rFonts w:ascii="Book Antiqua" w:eastAsia="Times New Roman" w:hAnsi="Book Antiqua" w:cs="宋体"/>
          <w:b/>
          <w:sz w:val="21"/>
          <w:szCs w:val="21"/>
        </w:rPr>
        <w:t xml:space="preserve">Name of journal: World Journal of </w:t>
      </w:r>
      <w:r w:rsidRPr="00B35EBD">
        <w:rPr>
          <w:rFonts w:ascii="Book Antiqua" w:hAnsi="Book Antiqua"/>
          <w:b/>
          <w:sz w:val="21"/>
          <w:szCs w:val="21"/>
        </w:rPr>
        <w:t xml:space="preserve">Gastroenterology </w:t>
      </w:r>
    </w:p>
    <w:p w:rsidR="00DB28A0" w:rsidRPr="00B35EBD" w:rsidRDefault="00DB28A0" w:rsidP="00B35EBD">
      <w:pPr>
        <w:adjustRightInd w:val="0"/>
        <w:snapToGrid w:val="0"/>
        <w:spacing w:after="0" w:line="360" w:lineRule="auto"/>
        <w:rPr>
          <w:rFonts w:ascii="Book Antiqua" w:eastAsia="Times New Roman" w:hAnsi="Book Antiqua" w:cs="宋体"/>
          <w:b/>
          <w:sz w:val="21"/>
          <w:szCs w:val="21"/>
          <w:lang w:eastAsia="zh-CN"/>
        </w:rPr>
      </w:pPr>
      <w:r w:rsidRPr="00B35EBD">
        <w:rPr>
          <w:rFonts w:ascii="Book Antiqua" w:hAnsi="Book Antiqua" w:cs="Arial"/>
          <w:b/>
          <w:sz w:val="21"/>
          <w:szCs w:val="21"/>
          <w:lang w:val="en"/>
        </w:rPr>
        <w:t>ESPS Manuscript NO:</w:t>
      </w:r>
      <w:r w:rsidRPr="00B35EBD">
        <w:rPr>
          <w:rFonts w:ascii="Book Antiqua" w:hAnsi="Book Antiqua" w:cs="Arial" w:hint="eastAsia"/>
          <w:b/>
          <w:sz w:val="21"/>
          <w:szCs w:val="21"/>
          <w:lang w:val="en"/>
        </w:rPr>
        <w:t xml:space="preserve"> </w:t>
      </w:r>
      <w:r w:rsidRPr="00B35EBD">
        <w:rPr>
          <w:rFonts w:ascii="Book Antiqua" w:hAnsi="Book Antiqua" w:cs="Arial" w:hint="eastAsia"/>
          <w:b/>
          <w:sz w:val="21"/>
          <w:szCs w:val="21"/>
          <w:lang w:val="en" w:eastAsia="zh-CN"/>
        </w:rPr>
        <w:t>15779</w:t>
      </w:r>
    </w:p>
    <w:p w:rsidR="00913789" w:rsidRPr="00B35EBD" w:rsidRDefault="00913789" w:rsidP="00B35EBD">
      <w:pPr>
        <w:adjustRightInd w:val="0"/>
        <w:snapToGrid w:val="0"/>
        <w:spacing w:after="0" w:line="360" w:lineRule="auto"/>
        <w:jc w:val="both"/>
        <w:rPr>
          <w:rFonts w:ascii="Book Antiqua" w:hAnsi="Book Antiqua" w:cs="Book Antiqua"/>
          <w:b/>
          <w:sz w:val="21"/>
          <w:szCs w:val="21"/>
          <w:lang w:val="en-US"/>
        </w:rPr>
      </w:pPr>
      <w:r w:rsidRPr="00B35EBD">
        <w:rPr>
          <w:rFonts w:ascii="Book Antiqua" w:hAnsi="Book Antiqua" w:cs="Book Antiqua"/>
          <w:b/>
          <w:sz w:val="21"/>
          <w:szCs w:val="21"/>
          <w:lang w:val="en-US"/>
        </w:rPr>
        <w:t>Columns: CASE REPORT</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 xml:space="preserve">Metastasized pancreatic carcinoma with </w:t>
      </w:r>
      <w:proofErr w:type="spellStart"/>
      <w:r w:rsidRPr="002A2067">
        <w:rPr>
          <w:rFonts w:ascii="Book Antiqua" w:hAnsi="Book Antiqua"/>
          <w:b/>
          <w:sz w:val="24"/>
          <w:szCs w:val="24"/>
          <w:lang w:val="en-US"/>
        </w:rPr>
        <w:t>neoadjuvant</w:t>
      </w:r>
      <w:proofErr w:type="spellEnd"/>
      <w:r w:rsidRPr="002A2067">
        <w:rPr>
          <w:rFonts w:ascii="Book Antiqua" w:hAnsi="Book Antiqua"/>
          <w:b/>
          <w:sz w:val="24"/>
          <w:szCs w:val="24"/>
          <w:lang w:val="en-US"/>
        </w:rPr>
        <w:t xml:space="preserve"> FOLFIRINOX therapy and R0 resection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roofErr w:type="spellStart"/>
      <w:r w:rsidRPr="002A2067">
        <w:rPr>
          <w:rFonts w:ascii="Book Antiqua" w:hAnsi="Book Antiqua"/>
          <w:sz w:val="24"/>
          <w:szCs w:val="24"/>
          <w:lang w:val="en-US"/>
        </w:rPr>
        <w:t>Schneitler</w:t>
      </w:r>
      <w:proofErr w:type="spellEnd"/>
      <w:r w:rsidRPr="002A2067">
        <w:rPr>
          <w:rFonts w:ascii="Book Antiqua" w:hAnsi="Book Antiqua"/>
          <w:sz w:val="24"/>
          <w:szCs w:val="24"/>
          <w:lang w:val="en-US"/>
        </w:rPr>
        <w:t xml:space="preserve"> S </w:t>
      </w:r>
      <w:r w:rsidRPr="002A2067">
        <w:rPr>
          <w:rFonts w:ascii="Book Antiqua" w:hAnsi="Book Antiqua"/>
          <w:i/>
          <w:sz w:val="24"/>
          <w:szCs w:val="24"/>
          <w:lang w:val="en-US"/>
        </w:rPr>
        <w:t>et al</w:t>
      </w:r>
      <w:r w:rsidRPr="002A2067">
        <w:rPr>
          <w:rFonts w:ascii="Book Antiqua" w:hAnsi="Book Antiqua"/>
          <w:sz w:val="24"/>
          <w:szCs w:val="24"/>
          <w:lang w:val="en-US"/>
        </w:rPr>
        <w:t>. Metastatic pancreatic neoplasm with curative therapy</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rPr>
      </w:pPr>
      <w:r w:rsidRPr="002A2067">
        <w:rPr>
          <w:rFonts w:ascii="Book Antiqua" w:hAnsi="Book Antiqua"/>
          <w:sz w:val="24"/>
          <w:szCs w:val="24"/>
        </w:rPr>
        <w:t>Sophie Schneitler, Patric Kröpil, Jasmin Riemer, Gerald Antoch, Wolfram Trudo Knoefel, Dieter Häussinger, Dirk Graf</w:t>
      </w:r>
    </w:p>
    <w:p w:rsidR="00913789" w:rsidRPr="002A2067" w:rsidRDefault="00913789" w:rsidP="00B35EBD">
      <w:pPr>
        <w:adjustRightInd w:val="0"/>
        <w:snapToGrid w:val="0"/>
        <w:spacing w:after="0" w:line="360" w:lineRule="auto"/>
        <w:jc w:val="both"/>
        <w:rPr>
          <w:rFonts w:ascii="Book Antiqua" w:hAnsi="Book Antiqua"/>
          <w:sz w:val="24"/>
          <w:szCs w:val="24"/>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t xml:space="preserve">Sophie </w:t>
      </w:r>
      <w:proofErr w:type="spellStart"/>
      <w:r w:rsidRPr="002A2067">
        <w:rPr>
          <w:rFonts w:ascii="Book Antiqua" w:hAnsi="Book Antiqua"/>
          <w:b/>
          <w:sz w:val="24"/>
          <w:szCs w:val="24"/>
          <w:lang w:val="en-US"/>
        </w:rPr>
        <w:t>Schneitler</w:t>
      </w:r>
      <w:proofErr w:type="spellEnd"/>
      <w:r w:rsidRPr="002A2067">
        <w:rPr>
          <w:rFonts w:ascii="Book Antiqua" w:hAnsi="Book Antiqua"/>
          <w:b/>
          <w:sz w:val="24"/>
          <w:szCs w:val="24"/>
          <w:lang w:val="en-US"/>
        </w:rPr>
        <w:t xml:space="preserve">, Dieter </w:t>
      </w:r>
      <w:proofErr w:type="spellStart"/>
      <w:r w:rsidRPr="002A2067">
        <w:rPr>
          <w:rFonts w:ascii="Book Antiqua" w:hAnsi="Book Antiqua"/>
          <w:b/>
          <w:sz w:val="24"/>
          <w:szCs w:val="24"/>
          <w:lang w:val="en-US"/>
        </w:rPr>
        <w:t>Häussinger</w:t>
      </w:r>
      <w:proofErr w:type="spellEnd"/>
      <w:r w:rsidRPr="002A2067">
        <w:rPr>
          <w:rFonts w:ascii="Book Antiqua" w:hAnsi="Book Antiqua"/>
          <w:b/>
          <w:sz w:val="24"/>
          <w:szCs w:val="24"/>
          <w:lang w:val="en-US"/>
        </w:rPr>
        <w:t>, Dirk Graf,</w:t>
      </w:r>
      <w:r w:rsidRPr="002A2067">
        <w:rPr>
          <w:rFonts w:ascii="Book Antiqua" w:hAnsi="Book Antiqua"/>
          <w:sz w:val="24"/>
          <w:szCs w:val="24"/>
          <w:lang w:val="en-US"/>
        </w:rPr>
        <w:t xml:space="preserve"> University Düsseldorf, Medical Faculty, Department of Gastroenterology, </w:t>
      </w:r>
      <w:proofErr w:type="spellStart"/>
      <w:r w:rsidRPr="002A2067">
        <w:rPr>
          <w:rFonts w:ascii="Book Antiqua" w:hAnsi="Book Antiqua"/>
          <w:sz w:val="24"/>
          <w:szCs w:val="24"/>
          <w:lang w:val="en-US"/>
        </w:rPr>
        <w:t>Hepatology</w:t>
      </w:r>
      <w:proofErr w:type="spellEnd"/>
      <w:r w:rsidRPr="002A2067">
        <w:rPr>
          <w:rFonts w:ascii="Book Antiqua" w:hAnsi="Book Antiqua"/>
          <w:sz w:val="24"/>
          <w:szCs w:val="24"/>
          <w:lang w:val="en-US"/>
        </w:rPr>
        <w:t xml:space="preserve"> and Infectious Diseases, </w:t>
      </w:r>
      <w:r w:rsidRPr="002A2067">
        <w:rPr>
          <w:rFonts w:ascii="Book Antiqua" w:hAnsi="Book Antiqua"/>
          <w:color w:val="333333"/>
          <w:sz w:val="24"/>
          <w:szCs w:val="24"/>
          <w:lang w:val="en-US"/>
        </w:rPr>
        <w:t>D-40225</w:t>
      </w:r>
      <w:r w:rsidRPr="002A2067">
        <w:rPr>
          <w:rFonts w:ascii="Book Antiqua" w:hAnsi="Book Antiqua"/>
          <w:sz w:val="24"/>
          <w:szCs w:val="24"/>
          <w:lang w:val="en-US"/>
        </w:rPr>
        <w:t xml:space="preserve"> Düsseldorf, Germany</w:t>
      </w:r>
      <w:r w:rsidRPr="002A2067" w:rsidDel="00FA0666">
        <w:rPr>
          <w:rFonts w:ascii="Book Antiqua" w:hAnsi="Book Antiqua"/>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roofErr w:type="spellStart"/>
      <w:r w:rsidRPr="002A2067">
        <w:rPr>
          <w:rFonts w:ascii="Book Antiqua" w:hAnsi="Book Antiqua"/>
          <w:b/>
          <w:sz w:val="24"/>
          <w:szCs w:val="24"/>
          <w:lang w:val="en-US"/>
        </w:rPr>
        <w:t>Patric</w:t>
      </w:r>
      <w:proofErr w:type="spellEnd"/>
      <w:r w:rsidRPr="002A2067">
        <w:rPr>
          <w:rFonts w:ascii="Book Antiqua" w:hAnsi="Book Antiqua"/>
          <w:b/>
          <w:sz w:val="24"/>
          <w:szCs w:val="24"/>
          <w:lang w:val="en-US"/>
        </w:rPr>
        <w:t xml:space="preserve"> </w:t>
      </w:r>
      <w:proofErr w:type="spellStart"/>
      <w:r w:rsidRPr="002A2067">
        <w:rPr>
          <w:rFonts w:ascii="Book Antiqua" w:hAnsi="Book Antiqua"/>
          <w:b/>
          <w:sz w:val="24"/>
          <w:szCs w:val="24"/>
          <w:lang w:val="en-US"/>
        </w:rPr>
        <w:t>Kröpil</w:t>
      </w:r>
      <w:proofErr w:type="spellEnd"/>
      <w:r w:rsidRPr="002A2067">
        <w:rPr>
          <w:rFonts w:ascii="Book Antiqua" w:hAnsi="Book Antiqua"/>
          <w:b/>
          <w:sz w:val="24"/>
          <w:szCs w:val="24"/>
          <w:lang w:val="en-US"/>
        </w:rPr>
        <w:t xml:space="preserve">, Gerald </w:t>
      </w:r>
      <w:proofErr w:type="spellStart"/>
      <w:r w:rsidRPr="002A2067">
        <w:rPr>
          <w:rFonts w:ascii="Book Antiqua" w:hAnsi="Book Antiqua"/>
          <w:b/>
          <w:sz w:val="24"/>
          <w:szCs w:val="24"/>
          <w:lang w:val="en-US"/>
        </w:rPr>
        <w:t>Antoch</w:t>
      </w:r>
      <w:proofErr w:type="spellEnd"/>
      <w:r w:rsidRPr="002A2067">
        <w:rPr>
          <w:rFonts w:ascii="Book Antiqua" w:hAnsi="Book Antiqua"/>
          <w:b/>
          <w:sz w:val="24"/>
          <w:szCs w:val="24"/>
          <w:lang w:val="en-US"/>
        </w:rPr>
        <w:t>,</w:t>
      </w:r>
      <w:r w:rsidRPr="002A2067" w:rsidDel="00F33C3B">
        <w:rPr>
          <w:rFonts w:ascii="Book Antiqua" w:hAnsi="Book Antiqua"/>
          <w:sz w:val="24"/>
          <w:szCs w:val="24"/>
          <w:vertAlign w:val="superscript"/>
          <w:lang w:val="en-US"/>
        </w:rPr>
        <w:t xml:space="preserve"> </w:t>
      </w:r>
      <w:r w:rsidRPr="002A2067">
        <w:rPr>
          <w:rFonts w:ascii="Book Antiqua" w:hAnsi="Book Antiqua"/>
          <w:sz w:val="24"/>
          <w:szCs w:val="24"/>
          <w:lang w:val="en-US"/>
        </w:rPr>
        <w:t xml:space="preserve">University Düsseldorf, Medical Faculty, </w:t>
      </w:r>
      <w:r w:rsidRPr="002A2067">
        <w:rPr>
          <w:rFonts w:ascii="Book Antiqua" w:hAnsi="Book Antiqua"/>
          <w:color w:val="333333"/>
          <w:sz w:val="24"/>
          <w:szCs w:val="24"/>
          <w:lang w:val="en-US"/>
        </w:rPr>
        <w:t>Department of Diagnostic and Interventional Radiology, D-40225</w:t>
      </w:r>
      <w:r w:rsidRPr="002A2067">
        <w:rPr>
          <w:rFonts w:ascii="Book Antiqua" w:hAnsi="Book Antiqua"/>
          <w:sz w:val="24"/>
          <w:szCs w:val="24"/>
          <w:lang w:val="en-US"/>
        </w:rPr>
        <w:t xml:space="preserve"> Düsseldorf, Germany</w:t>
      </w:r>
      <w:r w:rsidRPr="002A2067" w:rsidDel="00FA0666">
        <w:rPr>
          <w:rFonts w:ascii="Book Antiqua" w:hAnsi="Book Antiqua"/>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color w:val="333333"/>
          <w:sz w:val="24"/>
          <w:szCs w:val="24"/>
          <w:lang w:val="en-US"/>
        </w:rPr>
      </w:pPr>
      <w:r w:rsidRPr="002A2067">
        <w:rPr>
          <w:rFonts w:ascii="Book Antiqua" w:hAnsi="Book Antiqua"/>
          <w:b/>
          <w:sz w:val="24"/>
          <w:szCs w:val="24"/>
          <w:lang w:val="en-US"/>
        </w:rPr>
        <w:t xml:space="preserve">Wolfram </w:t>
      </w:r>
      <w:proofErr w:type="spellStart"/>
      <w:r w:rsidRPr="002A2067">
        <w:rPr>
          <w:rFonts w:ascii="Book Antiqua" w:hAnsi="Book Antiqua"/>
          <w:b/>
          <w:sz w:val="24"/>
          <w:szCs w:val="24"/>
          <w:lang w:val="en-US"/>
        </w:rPr>
        <w:t>Trudo</w:t>
      </w:r>
      <w:proofErr w:type="spellEnd"/>
      <w:r w:rsidRPr="002A2067">
        <w:rPr>
          <w:rFonts w:ascii="Book Antiqua" w:hAnsi="Book Antiqua"/>
          <w:sz w:val="24"/>
          <w:szCs w:val="24"/>
          <w:lang w:val="en-US"/>
        </w:rPr>
        <w:t xml:space="preserve"> </w:t>
      </w:r>
      <w:proofErr w:type="spellStart"/>
      <w:r w:rsidRPr="002A2067">
        <w:rPr>
          <w:rFonts w:ascii="Book Antiqua" w:hAnsi="Book Antiqua"/>
          <w:b/>
          <w:sz w:val="24"/>
          <w:szCs w:val="24"/>
          <w:lang w:val="en-US"/>
        </w:rPr>
        <w:t>Knoefel</w:t>
      </w:r>
      <w:proofErr w:type="spellEnd"/>
      <w:r w:rsidRPr="002A2067">
        <w:rPr>
          <w:rFonts w:ascii="Book Antiqua" w:hAnsi="Book Antiqua"/>
          <w:b/>
          <w:sz w:val="24"/>
          <w:szCs w:val="24"/>
          <w:lang w:val="en-US"/>
        </w:rPr>
        <w:t>,</w:t>
      </w:r>
      <w:r w:rsidRPr="002A2067">
        <w:rPr>
          <w:rFonts w:ascii="Book Antiqua" w:hAnsi="Book Antiqua"/>
          <w:sz w:val="24"/>
          <w:szCs w:val="24"/>
          <w:lang w:val="en-US"/>
        </w:rPr>
        <w:t xml:space="preserve"> University Düsseldorf, Medical Faculty, </w:t>
      </w:r>
      <w:r w:rsidRPr="002A2067">
        <w:rPr>
          <w:rFonts w:ascii="Book Antiqua" w:hAnsi="Book Antiqua"/>
          <w:color w:val="333333"/>
          <w:sz w:val="24"/>
          <w:szCs w:val="24"/>
          <w:lang w:val="en-US"/>
        </w:rPr>
        <w:t>Department of General Surgery, D-40225</w:t>
      </w:r>
      <w:r w:rsidRPr="002A2067">
        <w:rPr>
          <w:rFonts w:ascii="Book Antiqua" w:hAnsi="Book Antiqua"/>
          <w:sz w:val="24"/>
          <w:szCs w:val="24"/>
          <w:lang w:val="en-US"/>
        </w:rPr>
        <w:t xml:space="preserve"> Düsseldorf, Germany</w:t>
      </w:r>
      <w:r w:rsidRPr="002A2067">
        <w:rPr>
          <w:rFonts w:ascii="Book Antiqua" w:hAnsi="Book Antiqua"/>
          <w:color w:val="333333"/>
          <w:sz w:val="24"/>
          <w:szCs w:val="24"/>
          <w:lang w:val="en-US"/>
        </w:rPr>
        <w:t xml:space="preserve"> </w:t>
      </w:r>
    </w:p>
    <w:p w:rsidR="00913789" w:rsidRPr="008F26C5" w:rsidRDefault="00913789" w:rsidP="00B35EBD">
      <w:pPr>
        <w:adjustRightInd w:val="0"/>
        <w:snapToGrid w:val="0"/>
        <w:spacing w:after="0" w:line="360" w:lineRule="auto"/>
        <w:jc w:val="both"/>
        <w:rPr>
          <w:rFonts w:ascii="Book Antiqua" w:hAnsi="Book Antiqua"/>
          <w:color w:val="000000" w:themeColor="text1"/>
          <w:sz w:val="24"/>
          <w:szCs w:val="24"/>
          <w:lang w:val="en-US"/>
        </w:rPr>
      </w:pPr>
    </w:p>
    <w:p w:rsidR="00913789" w:rsidRPr="008F26C5" w:rsidRDefault="00913789" w:rsidP="00B35EBD">
      <w:pPr>
        <w:adjustRightInd w:val="0"/>
        <w:snapToGrid w:val="0"/>
        <w:spacing w:after="0" w:line="360" w:lineRule="auto"/>
        <w:jc w:val="both"/>
        <w:rPr>
          <w:rFonts w:ascii="Book Antiqua" w:hAnsi="Book Antiqua"/>
          <w:color w:val="000000" w:themeColor="text1"/>
          <w:sz w:val="24"/>
          <w:szCs w:val="24"/>
          <w:lang w:val="en-US"/>
        </w:rPr>
      </w:pPr>
      <w:r w:rsidRPr="008F26C5">
        <w:rPr>
          <w:rFonts w:ascii="Book Antiqua" w:hAnsi="Book Antiqua"/>
          <w:b/>
          <w:color w:val="000000" w:themeColor="text1"/>
          <w:sz w:val="24"/>
          <w:szCs w:val="24"/>
          <w:lang w:val="en-US"/>
        </w:rPr>
        <w:t>Jasmin</w:t>
      </w:r>
      <w:r w:rsidRPr="008F26C5" w:rsidDel="00F33C3B">
        <w:rPr>
          <w:rFonts w:ascii="Book Antiqua" w:hAnsi="Book Antiqua"/>
          <w:b/>
          <w:color w:val="000000" w:themeColor="text1"/>
          <w:sz w:val="24"/>
          <w:szCs w:val="24"/>
          <w:vertAlign w:val="superscript"/>
          <w:lang w:val="en-US"/>
        </w:rPr>
        <w:t xml:space="preserve"> </w:t>
      </w:r>
      <w:proofErr w:type="spellStart"/>
      <w:r w:rsidRPr="008F26C5">
        <w:rPr>
          <w:rFonts w:ascii="Book Antiqua" w:hAnsi="Book Antiqua"/>
          <w:b/>
          <w:color w:val="000000" w:themeColor="text1"/>
          <w:sz w:val="24"/>
          <w:szCs w:val="24"/>
          <w:lang w:val="en-US"/>
        </w:rPr>
        <w:t>Riemer</w:t>
      </w:r>
      <w:proofErr w:type="spellEnd"/>
      <w:r w:rsidRPr="008F26C5">
        <w:rPr>
          <w:rFonts w:ascii="Book Antiqua" w:hAnsi="Book Antiqua"/>
          <w:b/>
          <w:color w:val="000000" w:themeColor="text1"/>
          <w:sz w:val="24"/>
          <w:szCs w:val="24"/>
          <w:lang w:val="en-US"/>
        </w:rPr>
        <w:t xml:space="preserve">, </w:t>
      </w:r>
      <w:r w:rsidRPr="008F26C5">
        <w:rPr>
          <w:rFonts w:ascii="Book Antiqua" w:hAnsi="Book Antiqua"/>
          <w:color w:val="000000" w:themeColor="text1"/>
          <w:sz w:val="24"/>
          <w:szCs w:val="24"/>
          <w:lang w:val="en-US"/>
        </w:rPr>
        <w:t>University Düsseldorf, Medical Faculty, Department of Pathology, D-40225 Düsseldorf, Germany</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t xml:space="preserve">Author contributions: </w:t>
      </w:r>
      <w:proofErr w:type="spellStart"/>
      <w:r w:rsidRPr="002A2067">
        <w:rPr>
          <w:rFonts w:ascii="Book Antiqua" w:hAnsi="Book Antiqua"/>
          <w:sz w:val="24"/>
          <w:szCs w:val="24"/>
          <w:lang w:val="en-US"/>
        </w:rPr>
        <w:t>Schneitler</w:t>
      </w:r>
      <w:proofErr w:type="spellEnd"/>
      <w:r w:rsidRPr="002A2067">
        <w:rPr>
          <w:rFonts w:ascii="Book Antiqua" w:hAnsi="Book Antiqua"/>
          <w:sz w:val="24"/>
          <w:szCs w:val="24"/>
          <w:lang w:val="en-US"/>
        </w:rPr>
        <w:t xml:space="preserve"> S, Graf D, </w:t>
      </w:r>
      <w:proofErr w:type="spellStart"/>
      <w:r w:rsidRPr="002A2067">
        <w:rPr>
          <w:rFonts w:ascii="Book Antiqua" w:hAnsi="Book Antiqua"/>
          <w:sz w:val="24"/>
          <w:szCs w:val="24"/>
          <w:lang w:val="en-US"/>
        </w:rPr>
        <w:t>Kröpil</w:t>
      </w:r>
      <w:proofErr w:type="spellEnd"/>
      <w:r w:rsidRPr="002A2067">
        <w:rPr>
          <w:rFonts w:ascii="Book Antiqua" w:hAnsi="Book Antiqua"/>
          <w:sz w:val="24"/>
          <w:szCs w:val="24"/>
          <w:lang w:val="en-US"/>
        </w:rPr>
        <w:t xml:space="preserve"> P, </w:t>
      </w:r>
      <w:proofErr w:type="spellStart"/>
      <w:r w:rsidRPr="002A2067">
        <w:rPr>
          <w:rFonts w:ascii="Book Antiqua" w:hAnsi="Book Antiqua"/>
          <w:sz w:val="24"/>
          <w:szCs w:val="24"/>
          <w:lang w:val="en-US"/>
        </w:rPr>
        <w:t>Riemer</w:t>
      </w:r>
      <w:proofErr w:type="spellEnd"/>
      <w:r w:rsidRPr="002A2067">
        <w:rPr>
          <w:rFonts w:ascii="Book Antiqua" w:hAnsi="Book Antiqua"/>
          <w:sz w:val="24"/>
          <w:szCs w:val="24"/>
          <w:lang w:val="en-US"/>
        </w:rPr>
        <w:t xml:space="preserve"> J, </w:t>
      </w:r>
      <w:proofErr w:type="spellStart"/>
      <w:r w:rsidRPr="002A2067">
        <w:rPr>
          <w:rFonts w:ascii="Book Antiqua" w:hAnsi="Book Antiqua"/>
          <w:sz w:val="24"/>
          <w:szCs w:val="24"/>
          <w:lang w:val="en-US"/>
        </w:rPr>
        <w:t>Antoch</w:t>
      </w:r>
      <w:proofErr w:type="spellEnd"/>
      <w:r w:rsidRPr="002A2067">
        <w:rPr>
          <w:rFonts w:ascii="Book Antiqua" w:hAnsi="Book Antiqua"/>
          <w:sz w:val="24"/>
          <w:szCs w:val="24"/>
          <w:lang w:val="en-US"/>
        </w:rPr>
        <w:t xml:space="preserve"> G, </w:t>
      </w:r>
      <w:proofErr w:type="spellStart"/>
      <w:r w:rsidRPr="002A2067">
        <w:rPr>
          <w:rFonts w:ascii="Book Antiqua" w:hAnsi="Book Antiqua"/>
          <w:sz w:val="24"/>
          <w:szCs w:val="24"/>
          <w:lang w:val="en-US"/>
        </w:rPr>
        <w:t>Knoefel</w:t>
      </w:r>
      <w:proofErr w:type="spellEnd"/>
      <w:r w:rsidRPr="002A2067">
        <w:rPr>
          <w:rFonts w:ascii="Book Antiqua" w:hAnsi="Book Antiqua"/>
          <w:sz w:val="24"/>
          <w:szCs w:val="24"/>
          <w:lang w:val="en-US"/>
        </w:rPr>
        <w:t xml:space="preserve"> WT and </w:t>
      </w:r>
      <w:proofErr w:type="spellStart"/>
      <w:r w:rsidRPr="002A2067">
        <w:rPr>
          <w:rFonts w:ascii="Book Antiqua" w:hAnsi="Book Antiqua"/>
          <w:sz w:val="24"/>
          <w:szCs w:val="24"/>
          <w:lang w:val="en-US"/>
        </w:rPr>
        <w:t>Häussinger</w:t>
      </w:r>
      <w:proofErr w:type="spellEnd"/>
      <w:r w:rsidRPr="002A2067">
        <w:rPr>
          <w:rFonts w:ascii="Book Antiqua" w:hAnsi="Book Antiqua"/>
          <w:sz w:val="24"/>
          <w:szCs w:val="24"/>
          <w:lang w:val="en-US"/>
        </w:rPr>
        <w:t xml:space="preserve"> D designed the report; </w:t>
      </w:r>
      <w:proofErr w:type="spellStart"/>
      <w:r w:rsidRPr="002A2067">
        <w:rPr>
          <w:rFonts w:ascii="Book Antiqua" w:hAnsi="Book Antiqua"/>
          <w:sz w:val="24"/>
          <w:szCs w:val="24"/>
          <w:lang w:val="en-US"/>
        </w:rPr>
        <w:t>Schneitler</w:t>
      </w:r>
      <w:proofErr w:type="spellEnd"/>
      <w:r w:rsidRPr="002A2067">
        <w:rPr>
          <w:rFonts w:ascii="Book Antiqua" w:hAnsi="Book Antiqua"/>
          <w:sz w:val="24"/>
          <w:szCs w:val="24"/>
          <w:lang w:val="en-US"/>
        </w:rPr>
        <w:t xml:space="preserve"> S, Graf D and </w:t>
      </w:r>
      <w:proofErr w:type="spellStart"/>
      <w:r w:rsidRPr="002A2067">
        <w:rPr>
          <w:rFonts w:ascii="Book Antiqua" w:hAnsi="Book Antiqua"/>
          <w:sz w:val="24"/>
          <w:szCs w:val="24"/>
          <w:lang w:val="en-US"/>
        </w:rPr>
        <w:t>Kröpil</w:t>
      </w:r>
      <w:proofErr w:type="spellEnd"/>
      <w:r w:rsidRPr="002A2067">
        <w:rPr>
          <w:rFonts w:ascii="Book Antiqua" w:hAnsi="Book Antiqua"/>
          <w:sz w:val="24"/>
          <w:szCs w:val="24"/>
          <w:lang w:val="en-US"/>
        </w:rPr>
        <w:t xml:space="preserve"> P wrote the paper; </w:t>
      </w:r>
      <w:proofErr w:type="spellStart"/>
      <w:r w:rsidRPr="002A2067">
        <w:rPr>
          <w:rFonts w:ascii="Book Antiqua" w:hAnsi="Book Antiqua"/>
          <w:sz w:val="24"/>
          <w:szCs w:val="24"/>
          <w:lang w:val="en-US"/>
        </w:rPr>
        <w:t>Schneitler</w:t>
      </w:r>
      <w:proofErr w:type="spellEnd"/>
      <w:r w:rsidRPr="002A2067">
        <w:rPr>
          <w:rFonts w:ascii="Book Antiqua" w:hAnsi="Book Antiqua"/>
          <w:sz w:val="24"/>
          <w:szCs w:val="24"/>
          <w:lang w:val="en-US"/>
        </w:rPr>
        <w:t xml:space="preserve"> S collected the clinical data</w:t>
      </w:r>
      <w:r w:rsidR="002A2067">
        <w:rPr>
          <w:rFonts w:ascii="Book Antiqua" w:hAnsi="Book Antiqua" w:hint="eastAsia"/>
          <w:sz w:val="24"/>
          <w:szCs w:val="24"/>
          <w:lang w:val="en-US" w:eastAsia="zh-CN"/>
        </w:rPr>
        <w:t>;</w:t>
      </w:r>
      <w:r w:rsidRPr="002A2067">
        <w:rPr>
          <w:rFonts w:ascii="Book Antiqua" w:hAnsi="Book Antiqua"/>
          <w:sz w:val="24"/>
          <w:szCs w:val="24"/>
          <w:lang w:val="en-US"/>
        </w:rPr>
        <w:t xml:space="preserve"> </w:t>
      </w:r>
      <w:r w:rsidR="002A2067">
        <w:rPr>
          <w:rFonts w:ascii="Book Antiqua" w:hAnsi="Book Antiqua" w:hint="eastAsia"/>
          <w:sz w:val="24"/>
          <w:szCs w:val="24"/>
          <w:lang w:val="en-US" w:eastAsia="zh-CN"/>
        </w:rPr>
        <w:t>a</w:t>
      </w:r>
      <w:r w:rsidRPr="002A2067">
        <w:rPr>
          <w:rFonts w:ascii="Book Antiqua" w:hAnsi="Book Antiqua"/>
          <w:sz w:val="24"/>
          <w:szCs w:val="24"/>
          <w:lang w:val="en-US"/>
        </w:rPr>
        <w:t>ll authors provided final approval of the version to be published.</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2A2067" w:rsidRPr="002A2067" w:rsidRDefault="00913789" w:rsidP="00B35EBD">
      <w:pPr>
        <w:tabs>
          <w:tab w:val="left" w:pos="2430"/>
        </w:tabs>
        <w:adjustRightInd w:val="0"/>
        <w:snapToGrid w:val="0"/>
        <w:spacing w:after="0" w:line="360" w:lineRule="auto"/>
        <w:jc w:val="both"/>
        <w:rPr>
          <w:rFonts w:ascii="Book Antiqua" w:hAnsi="Book Antiqua"/>
          <w:sz w:val="24"/>
          <w:szCs w:val="24"/>
          <w:lang w:val="en-US" w:eastAsia="zh-CN"/>
        </w:rPr>
      </w:pPr>
      <w:r w:rsidRPr="002A2067">
        <w:rPr>
          <w:rFonts w:ascii="Book Antiqua" w:hAnsi="Book Antiqua"/>
          <w:b/>
          <w:sz w:val="24"/>
          <w:szCs w:val="24"/>
          <w:lang w:val="en-US"/>
        </w:rPr>
        <w:t>Supported by</w:t>
      </w:r>
      <w:r w:rsidRPr="002A2067">
        <w:rPr>
          <w:rFonts w:ascii="Book Antiqua" w:hAnsi="Book Antiqua"/>
          <w:sz w:val="24"/>
          <w:szCs w:val="24"/>
          <w:lang w:val="en-US"/>
        </w:rPr>
        <w:t xml:space="preserve"> University of Düsseldorf, Medical Faculty, </w:t>
      </w:r>
      <w:proofErr w:type="gramStart"/>
      <w:r w:rsidRPr="002A2067">
        <w:rPr>
          <w:rFonts w:ascii="Book Antiqua" w:hAnsi="Book Antiqua"/>
          <w:sz w:val="24"/>
          <w:szCs w:val="24"/>
          <w:lang w:val="en-US"/>
        </w:rPr>
        <w:t>Düsseldorf</w:t>
      </w:r>
      <w:proofErr w:type="gramEnd"/>
      <w:r w:rsidRPr="002A2067">
        <w:rPr>
          <w:rFonts w:ascii="Book Antiqua" w:hAnsi="Book Antiqua"/>
          <w:sz w:val="24"/>
          <w:szCs w:val="24"/>
          <w:lang w:val="en-US"/>
        </w:rPr>
        <w:t>, Germany</w:t>
      </w:r>
      <w:r w:rsidR="002A2067">
        <w:rPr>
          <w:rFonts w:ascii="Book Antiqua" w:hAnsi="Book Antiqua" w:hint="eastAsia"/>
          <w:sz w:val="24"/>
          <w:szCs w:val="24"/>
          <w:lang w:val="en-US" w:eastAsia="zh-CN"/>
        </w:rPr>
        <w:t>.</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lastRenderedPageBreak/>
        <w:t>Ethics approval:</w:t>
      </w:r>
      <w:r w:rsidRPr="002A2067">
        <w:rPr>
          <w:rFonts w:ascii="Book Antiqua" w:hAnsi="Book Antiqua"/>
          <w:sz w:val="24"/>
          <w:szCs w:val="24"/>
          <w:lang w:val="en-US"/>
        </w:rPr>
        <w:t xml:space="preserve"> This case report has been reviewed and approved by the Ethics Committee of the School of Medicine of the University of Düsseldorf, Düsseldorf, Germany.</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t>Informed consent:</w:t>
      </w:r>
      <w:r w:rsidRPr="002A2067">
        <w:rPr>
          <w:rFonts w:ascii="Book Antiqua" w:hAnsi="Book Antiqua"/>
          <w:sz w:val="24"/>
          <w:szCs w:val="24"/>
          <w:lang w:val="en-US"/>
        </w:rPr>
        <w:t xml:space="preserve"> The patients described in this case report provided informed written consent for publication of their data in regards to this study.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t>Conflict-of-interest statement:</w:t>
      </w:r>
      <w:r w:rsidRPr="002A2067">
        <w:rPr>
          <w:rFonts w:ascii="Book Antiqua" w:hAnsi="Book Antiqua"/>
          <w:sz w:val="24"/>
          <w:szCs w:val="24"/>
          <w:lang w:val="en-US"/>
        </w:rPr>
        <w:t xml:space="preserve"> The authors declare no conflicts of interest.</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0D15C1" w:rsidRPr="00F12222" w:rsidRDefault="000D15C1" w:rsidP="00B35EBD">
      <w:pPr>
        <w:adjustRightInd w:val="0"/>
        <w:snapToGrid w:val="0"/>
        <w:spacing w:after="0" w:line="360" w:lineRule="auto"/>
        <w:jc w:val="both"/>
        <w:rPr>
          <w:rFonts w:ascii="Book Antiqua" w:hAnsi="Book Antiqua" w:cs="宋体"/>
          <w:sz w:val="24"/>
        </w:rPr>
      </w:pPr>
      <w:r w:rsidRPr="005C30B0">
        <w:rPr>
          <w:rFonts w:ascii="Book Antiqua" w:hAnsi="Book Antiqua"/>
          <w:b/>
          <w:color w:val="000000"/>
          <w:sz w:val="24"/>
        </w:rPr>
        <w:t xml:space="preserve">Open-Access: </w:t>
      </w:r>
      <w:r w:rsidRPr="005C30B0">
        <w:rPr>
          <w:rFonts w:ascii="Book Antiqua" w:hAnsi="Book Antiqua"/>
          <w:color w:val="000000"/>
          <w:sz w:val="24"/>
        </w:rPr>
        <w:t xml:space="preserve">This article is an </w:t>
      </w:r>
      <w:r>
        <w:rPr>
          <w:rFonts w:ascii="Book Antiqua" w:hAnsi="Book Antiqua" w:cs="宋体"/>
          <w:sz w:val="24"/>
        </w:rPr>
        <w:t>open-access</w:t>
      </w:r>
      <w:r>
        <w:rPr>
          <w:rFonts w:ascii="Book Antiqua" w:hAnsi="Book Antiqua" w:cs="宋体" w:hint="eastAsia"/>
          <w:sz w:val="24"/>
        </w:rPr>
        <w:t xml:space="preserve"> </w:t>
      </w:r>
      <w:r>
        <w:rPr>
          <w:rFonts w:ascii="Book Antiqua" w:hAnsi="Book Antiqua" w:cs="宋体"/>
          <w:sz w:val="24"/>
        </w:rPr>
        <w:t>article</w:t>
      </w:r>
      <w:r>
        <w:rPr>
          <w:rFonts w:ascii="Book Antiqua" w:hAnsi="Book Antiqua" w:cs="宋体" w:hint="eastAsia"/>
          <w:sz w:val="24"/>
        </w:rPr>
        <w:t xml:space="preserve"> </w:t>
      </w:r>
      <w:r>
        <w:rPr>
          <w:rFonts w:ascii="Book Antiqua" w:hAnsi="Book Antiqua" w:cs="宋体"/>
          <w:sz w:val="24"/>
        </w:rPr>
        <w:t xml:space="preserve">which </w:t>
      </w:r>
      <w:r>
        <w:rPr>
          <w:rFonts w:ascii="Book Antiqua" w:hAnsi="Book Antiqua" w:cs="宋体" w:hint="eastAsia"/>
          <w:sz w:val="24"/>
        </w:rPr>
        <w:t xml:space="preserve">was </w:t>
      </w:r>
      <w:r w:rsidRPr="00D91F9A">
        <w:rPr>
          <w:rFonts w:ascii="Book Antiqua" w:hAnsi="Book Antiqua"/>
          <w:sz w:val="24"/>
        </w:rPr>
        <w:t xml:space="preserve">selected by an in-house editor and fully peer-reviewed by external reviewers. </w:t>
      </w:r>
      <w:r>
        <w:rPr>
          <w:rFonts w:ascii="Book Antiqua" w:hAnsi="Book Antiqua"/>
          <w:sz w:val="24"/>
        </w:rPr>
        <w:t xml:space="preserve">It </w:t>
      </w:r>
      <w:r>
        <w:rPr>
          <w:rFonts w:ascii="Book Antiqua" w:hAnsi="Book Antiqua" w:hint="eastAsia"/>
          <w:sz w:val="24"/>
        </w:rPr>
        <w:t xml:space="preserve">is </w:t>
      </w:r>
      <w:r>
        <w:rPr>
          <w:rFonts w:ascii="Book Antiqua" w:hAnsi="Book Antiqua" w:cs="宋体"/>
          <w:sz w:val="24"/>
        </w:rPr>
        <w:t>distributed</w:t>
      </w:r>
      <w:r>
        <w:rPr>
          <w:rFonts w:ascii="Book Antiqua" w:hAnsi="Book Antiqua" w:cs="宋体" w:hint="eastAsia"/>
          <w:sz w:val="24"/>
        </w:rPr>
        <w:t xml:space="preserve"> </w:t>
      </w:r>
      <w:r>
        <w:rPr>
          <w:rFonts w:ascii="Book Antiqua" w:hAnsi="Book Antiqua" w:cs="宋体"/>
          <w:sz w:val="24"/>
        </w:rPr>
        <w:t>in</w:t>
      </w:r>
      <w:r>
        <w:rPr>
          <w:rFonts w:ascii="Book Antiqua" w:hAnsi="Book Antiqua" w:cs="宋体" w:hint="eastAsia"/>
          <w:sz w:val="24"/>
        </w:rPr>
        <w:t xml:space="preserve"> </w:t>
      </w:r>
      <w:r>
        <w:rPr>
          <w:rFonts w:ascii="Book Antiqua" w:hAnsi="Book Antiqua" w:cs="宋体"/>
          <w:sz w:val="24"/>
        </w:rPr>
        <w:t>accordance</w:t>
      </w:r>
      <w:r>
        <w:rPr>
          <w:rFonts w:ascii="Book Antiqua" w:hAnsi="Book Antiqua" w:cs="宋体" w:hint="eastAsia"/>
          <w:sz w:val="24"/>
        </w:rPr>
        <w:t xml:space="preserve"> </w:t>
      </w:r>
      <w:r w:rsidRPr="00D91F9A">
        <w:rPr>
          <w:rFonts w:ascii="Book Antiqua" w:hAnsi="Book Antiqua" w:cs="宋体"/>
          <w:sz w:val="24"/>
        </w:rPr>
        <w:t xml:space="preserve">with </w:t>
      </w:r>
      <w:r w:rsidRPr="00D91F9A">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13789" w:rsidRPr="002A2067" w:rsidRDefault="00913789" w:rsidP="00B35EBD">
      <w:pPr>
        <w:autoSpaceDE w:val="0"/>
        <w:autoSpaceDN w:val="0"/>
        <w:adjustRightInd w:val="0"/>
        <w:snapToGrid w:val="0"/>
        <w:spacing w:after="0" w:line="360" w:lineRule="auto"/>
        <w:jc w:val="both"/>
        <w:rPr>
          <w:rFonts w:ascii="Book Antiqua" w:hAnsi="Book Antiqua"/>
          <w:b/>
          <w:color w:val="000000"/>
          <w:sz w:val="24"/>
          <w:szCs w:val="24"/>
          <w:lang w:val="en-US" w:eastAsia="de-DE"/>
        </w:rPr>
      </w:pPr>
    </w:p>
    <w:p w:rsidR="00913789" w:rsidRDefault="00913789" w:rsidP="00B35EBD">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2A2067">
        <w:rPr>
          <w:rFonts w:ascii="Book Antiqua" w:hAnsi="Book Antiqua"/>
          <w:b/>
          <w:color w:val="000000"/>
          <w:sz w:val="24"/>
          <w:szCs w:val="24"/>
          <w:lang w:val="en-US" w:eastAsia="de-DE"/>
        </w:rPr>
        <w:t>Correspondence to: Dirk Graf, P</w:t>
      </w:r>
      <w:r w:rsidR="00D44ECE">
        <w:rPr>
          <w:rFonts w:ascii="Book Antiqua" w:hAnsi="Book Antiqua" w:hint="eastAsia"/>
          <w:b/>
          <w:color w:val="000000"/>
          <w:sz w:val="24"/>
          <w:szCs w:val="24"/>
          <w:lang w:val="en-US" w:eastAsia="zh-CN"/>
        </w:rPr>
        <w:t>h</w:t>
      </w:r>
      <w:r w:rsidRPr="002A2067">
        <w:rPr>
          <w:rFonts w:ascii="Book Antiqua" w:hAnsi="Book Antiqua"/>
          <w:b/>
          <w:color w:val="000000"/>
          <w:sz w:val="24"/>
          <w:szCs w:val="24"/>
          <w:lang w:val="en-US" w:eastAsia="de-DE"/>
        </w:rPr>
        <w:t>D, Senior Consultant,</w:t>
      </w:r>
      <w:r w:rsidRPr="002A2067">
        <w:rPr>
          <w:rFonts w:ascii="Book Antiqua" w:hAnsi="Book Antiqua"/>
          <w:sz w:val="24"/>
          <w:szCs w:val="24"/>
          <w:lang w:val="en-US"/>
        </w:rPr>
        <w:t xml:space="preserve"> Department of Gastroenterology, </w:t>
      </w:r>
      <w:proofErr w:type="spellStart"/>
      <w:r w:rsidRPr="002A2067">
        <w:rPr>
          <w:rFonts w:ascii="Book Antiqua" w:hAnsi="Book Antiqua"/>
          <w:sz w:val="24"/>
          <w:szCs w:val="24"/>
          <w:lang w:val="en-US"/>
        </w:rPr>
        <w:t>Hepatology</w:t>
      </w:r>
      <w:proofErr w:type="spellEnd"/>
      <w:r w:rsidRPr="002A2067">
        <w:rPr>
          <w:rFonts w:ascii="Book Antiqua" w:hAnsi="Book Antiqua"/>
          <w:sz w:val="24"/>
          <w:szCs w:val="24"/>
          <w:lang w:val="en-US"/>
        </w:rPr>
        <w:t xml:space="preserve"> and Infectious Diseases, Heinrich-Heine-University Düsseldorf, Medical Faculty Düsseldorf, Germany,</w:t>
      </w:r>
      <w:r w:rsidR="00155B05">
        <w:rPr>
          <w:rFonts w:ascii="Book Antiqua" w:hAnsi="Book Antiqua"/>
          <w:sz w:val="24"/>
          <w:szCs w:val="24"/>
          <w:lang w:val="en-US"/>
        </w:rPr>
        <w:t xml:space="preserve"> </w:t>
      </w:r>
      <w:proofErr w:type="spellStart"/>
      <w:r w:rsidR="002C3EDB">
        <w:rPr>
          <w:rFonts w:ascii="Book Antiqua" w:hAnsi="Book Antiqua"/>
          <w:color w:val="000000"/>
          <w:sz w:val="24"/>
          <w:szCs w:val="24"/>
          <w:lang w:val="en-US" w:eastAsia="de-DE"/>
        </w:rPr>
        <w:t>Moorenstrasse</w:t>
      </w:r>
      <w:proofErr w:type="spellEnd"/>
      <w:r w:rsidR="002C3EDB">
        <w:rPr>
          <w:rFonts w:ascii="Book Antiqua" w:hAnsi="Book Antiqua"/>
          <w:color w:val="000000"/>
          <w:sz w:val="24"/>
          <w:szCs w:val="24"/>
          <w:lang w:val="en-US" w:eastAsia="de-DE"/>
        </w:rPr>
        <w:t xml:space="preserve"> 5, </w:t>
      </w:r>
      <w:r w:rsidR="002C3EDB" w:rsidRPr="002A2067">
        <w:rPr>
          <w:rFonts w:ascii="Book Antiqua" w:hAnsi="Book Antiqua"/>
          <w:color w:val="000000"/>
          <w:sz w:val="24"/>
          <w:szCs w:val="24"/>
          <w:lang w:val="en-US" w:eastAsia="de-DE"/>
        </w:rPr>
        <w:t>D-40225</w:t>
      </w:r>
      <w:r w:rsidR="002C3EDB">
        <w:rPr>
          <w:rFonts w:ascii="Book Antiqua" w:hAnsi="Book Antiqua" w:hint="eastAsia"/>
          <w:color w:val="000000"/>
          <w:sz w:val="24"/>
          <w:szCs w:val="24"/>
          <w:lang w:val="en-US" w:eastAsia="zh-CN"/>
        </w:rPr>
        <w:t xml:space="preserve"> </w:t>
      </w:r>
      <w:r w:rsidR="002C3EDB">
        <w:rPr>
          <w:rFonts w:ascii="Book Antiqua" w:hAnsi="Book Antiqua"/>
          <w:color w:val="000000"/>
          <w:sz w:val="24"/>
          <w:szCs w:val="24"/>
          <w:lang w:val="en-US" w:eastAsia="de-DE"/>
        </w:rPr>
        <w:t>Düsseldorf</w:t>
      </w:r>
      <w:r w:rsidRPr="002A2067">
        <w:rPr>
          <w:rFonts w:ascii="Book Antiqua" w:hAnsi="Book Antiqua"/>
          <w:color w:val="000000"/>
          <w:sz w:val="24"/>
          <w:szCs w:val="24"/>
          <w:lang w:val="en-US" w:eastAsia="de-DE"/>
        </w:rPr>
        <w:t xml:space="preserve">, Germany. </w:t>
      </w:r>
      <w:r w:rsidR="002C3EDB" w:rsidRPr="002C3EDB">
        <w:rPr>
          <w:rFonts w:ascii="Book Antiqua" w:hAnsi="Book Antiqua"/>
          <w:color w:val="000000"/>
          <w:sz w:val="24"/>
          <w:szCs w:val="24"/>
          <w:lang w:val="en-US" w:eastAsia="de-DE"/>
        </w:rPr>
        <w:t>dirk.graf@med.uni-duesseldorf.de</w:t>
      </w:r>
    </w:p>
    <w:p w:rsidR="002C3EDB" w:rsidRPr="002A2067" w:rsidRDefault="002C3EDB" w:rsidP="00B35EBD">
      <w:pPr>
        <w:autoSpaceDE w:val="0"/>
        <w:autoSpaceDN w:val="0"/>
        <w:adjustRightInd w:val="0"/>
        <w:snapToGrid w:val="0"/>
        <w:spacing w:after="0" w:line="360" w:lineRule="auto"/>
        <w:jc w:val="both"/>
        <w:rPr>
          <w:rFonts w:ascii="Book Antiqua" w:hAnsi="Book Antiqua"/>
          <w:color w:val="000000"/>
          <w:sz w:val="24"/>
          <w:szCs w:val="24"/>
          <w:lang w:val="en-US" w:eastAsia="zh-CN"/>
        </w:rPr>
      </w:pPr>
    </w:p>
    <w:p w:rsidR="00210103" w:rsidRDefault="00913789" w:rsidP="00B35EBD">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2A2067">
        <w:rPr>
          <w:rFonts w:ascii="Book Antiqua" w:hAnsi="Book Antiqua"/>
          <w:b/>
          <w:color w:val="000000"/>
          <w:sz w:val="24"/>
          <w:szCs w:val="24"/>
          <w:lang w:val="en-US" w:eastAsia="de-DE"/>
        </w:rPr>
        <w:t>Telephone:</w:t>
      </w:r>
      <w:r w:rsidRPr="002A2067">
        <w:rPr>
          <w:rFonts w:ascii="Book Antiqua" w:hAnsi="Book Antiqua"/>
          <w:color w:val="000000"/>
          <w:sz w:val="24"/>
          <w:szCs w:val="24"/>
          <w:lang w:val="en-US" w:eastAsia="de-DE"/>
        </w:rPr>
        <w:t xml:space="preserve"> </w:t>
      </w:r>
      <w:r w:rsidR="00210103">
        <w:rPr>
          <w:rFonts w:ascii="Book Antiqua" w:hAnsi="Book Antiqua" w:hint="eastAsia"/>
          <w:color w:val="000000"/>
          <w:sz w:val="24"/>
          <w:szCs w:val="24"/>
          <w:lang w:val="en-US" w:eastAsia="zh-CN"/>
        </w:rPr>
        <w:t>+</w:t>
      </w:r>
      <w:r w:rsidR="00210103">
        <w:rPr>
          <w:rFonts w:ascii="Book Antiqua" w:hAnsi="Book Antiqua"/>
          <w:color w:val="000000"/>
          <w:sz w:val="24"/>
          <w:szCs w:val="24"/>
          <w:lang w:val="en-US" w:eastAsia="de-DE"/>
        </w:rPr>
        <w:t>49-211- 81</w:t>
      </w:r>
      <w:r w:rsidRPr="002A2067">
        <w:rPr>
          <w:rFonts w:ascii="Book Antiqua" w:hAnsi="Book Antiqua"/>
          <w:color w:val="000000"/>
          <w:sz w:val="24"/>
          <w:szCs w:val="24"/>
          <w:lang w:val="en-US" w:eastAsia="de-DE"/>
        </w:rPr>
        <w:t>08122</w:t>
      </w:r>
    </w:p>
    <w:p w:rsidR="00913789" w:rsidRPr="00210103" w:rsidRDefault="00913789" w:rsidP="00B35EBD">
      <w:pPr>
        <w:autoSpaceDE w:val="0"/>
        <w:autoSpaceDN w:val="0"/>
        <w:adjustRightInd w:val="0"/>
        <w:snapToGrid w:val="0"/>
        <w:spacing w:after="0" w:line="360" w:lineRule="auto"/>
        <w:jc w:val="both"/>
        <w:rPr>
          <w:rFonts w:ascii="Book Antiqua" w:hAnsi="Book Antiqua"/>
          <w:color w:val="000000"/>
          <w:sz w:val="24"/>
          <w:szCs w:val="24"/>
          <w:lang w:val="en-US" w:eastAsia="zh-CN"/>
        </w:rPr>
      </w:pPr>
      <w:r w:rsidRPr="002A2067">
        <w:rPr>
          <w:rFonts w:ascii="Book Antiqua" w:hAnsi="Book Antiqua"/>
          <w:b/>
          <w:color w:val="000000"/>
          <w:sz w:val="24"/>
          <w:szCs w:val="24"/>
          <w:lang w:val="en-US" w:eastAsia="de-DE"/>
        </w:rPr>
        <w:t>Fax:</w:t>
      </w:r>
      <w:r w:rsidR="00210103">
        <w:rPr>
          <w:rFonts w:ascii="Book Antiqua" w:hAnsi="Book Antiqua"/>
          <w:color w:val="000000"/>
          <w:sz w:val="24"/>
          <w:szCs w:val="24"/>
          <w:lang w:val="en-US" w:eastAsia="de-DE"/>
        </w:rPr>
        <w:t xml:space="preserve"> </w:t>
      </w:r>
      <w:r w:rsidR="00210103" w:rsidRPr="00726580">
        <w:rPr>
          <w:rFonts w:ascii="Book Antiqua" w:hAnsi="Book Antiqua" w:hint="eastAsia"/>
          <w:color w:val="000000"/>
          <w:sz w:val="24"/>
          <w:szCs w:val="24"/>
          <w:lang w:val="en-US" w:eastAsia="zh-CN"/>
        </w:rPr>
        <w:t>+</w:t>
      </w:r>
      <w:r w:rsidR="00210103" w:rsidRPr="00726580">
        <w:rPr>
          <w:rFonts w:ascii="Book Antiqua" w:hAnsi="Book Antiqua"/>
          <w:color w:val="000000"/>
          <w:sz w:val="24"/>
          <w:szCs w:val="24"/>
          <w:lang w:val="en-US" w:eastAsia="de-DE"/>
        </w:rPr>
        <w:t>49</w:t>
      </w:r>
      <w:r w:rsidR="00210103">
        <w:rPr>
          <w:rFonts w:ascii="Book Antiqua" w:hAnsi="Book Antiqua"/>
          <w:color w:val="000000"/>
          <w:sz w:val="24"/>
          <w:szCs w:val="24"/>
          <w:lang w:val="en-US" w:eastAsia="de-DE"/>
        </w:rPr>
        <w:t>-211-81</w:t>
      </w:r>
      <w:r w:rsidRPr="002A2067">
        <w:rPr>
          <w:rFonts w:ascii="Book Antiqua" w:hAnsi="Book Antiqua"/>
          <w:color w:val="000000"/>
          <w:sz w:val="24"/>
          <w:szCs w:val="24"/>
          <w:lang w:val="en-US" w:eastAsia="de-DE"/>
        </w:rPr>
        <w:t>18132</w:t>
      </w:r>
    </w:p>
    <w:p w:rsidR="00913789" w:rsidRPr="002A2067" w:rsidRDefault="00913789" w:rsidP="00B35EBD">
      <w:pPr>
        <w:adjustRightInd w:val="0"/>
        <w:snapToGrid w:val="0"/>
        <w:spacing w:after="0" w:line="360" w:lineRule="auto"/>
        <w:rPr>
          <w:rFonts w:ascii="Book Antiqua" w:hAnsi="Book Antiqua"/>
          <w:b/>
          <w:sz w:val="24"/>
          <w:szCs w:val="24"/>
          <w:lang w:val="en-US" w:eastAsia="zh-CN"/>
        </w:rPr>
      </w:pPr>
      <w:r w:rsidRPr="002A2067">
        <w:rPr>
          <w:rFonts w:ascii="Book Antiqua" w:hAnsi="Book Antiqua"/>
          <w:b/>
          <w:sz w:val="24"/>
          <w:szCs w:val="24"/>
          <w:lang w:val="en-US"/>
        </w:rPr>
        <w:t xml:space="preserve">Received: </w:t>
      </w:r>
      <w:r w:rsidR="004D1BEA" w:rsidRPr="00A11C75">
        <w:rPr>
          <w:rFonts w:ascii="Book Antiqua" w:hAnsi="Book Antiqua"/>
          <w:sz w:val="24"/>
        </w:rPr>
        <w:t>December</w:t>
      </w:r>
      <w:r w:rsidR="004D1BEA">
        <w:rPr>
          <w:rFonts w:ascii="Book Antiqua" w:hAnsi="Book Antiqua" w:hint="eastAsia"/>
          <w:sz w:val="24"/>
          <w:lang w:eastAsia="zh-CN"/>
        </w:rPr>
        <w:t xml:space="preserve"> 8, 2014</w:t>
      </w:r>
    </w:p>
    <w:p w:rsidR="00913789" w:rsidRPr="002A2067" w:rsidRDefault="00913789" w:rsidP="00B35EBD">
      <w:pPr>
        <w:adjustRightInd w:val="0"/>
        <w:snapToGrid w:val="0"/>
        <w:spacing w:after="0" w:line="360" w:lineRule="auto"/>
        <w:rPr>
          <w:rFonts w:ascii="Book Antiqua" w:hAnsi="Book Antiqua"/>
          <w:b/>
          <w:sz w:val="24"/>
          <w:szCs w:val="24"/>
          <w:lang w:val="en-US" w:eastAsia="zh-CN"/>
        </w:rPr>
      </w:pPr>
      <w:r w:rsidRPr="002A2067">
        <w:rPr>
          <w:rFonts w:ascii="Book Antiqua" w:hAnsi="Book Antiqua"/>
          <w:b/>
          <w:sz w:val="24"/>
          <w:szCs w:val="24"/>
          <w:lang w:val="en-US"/>
        </w:rPr>
        <w:t>Peer-review started:</w:t>
      </w:r>
      <w:r w:rsidR="004D1BEA">
        <w:rPr>
          <w:rFonts w:ascii="Book Antiqua" w:hAnsi="Book Antiqua" w:hint="eastAsia"/>
          <w:b/>
          <w:sz w:val="24"/>
          <w:szCs w:val="24"/>
          <w:lang w:val="en-US" w:eastAsia="zh-CN"/>
        </w:rPr>
        <w:t xml:space="preserve"> </w:t>
      </w:r>
      <w:r w:rsidR="004D1BEA" w:rsidRPr="00A11C75">
        <w:rPr>
          <w:rFonts w:ascii="Book Antiqua" w:hAnsi="Book Antiqua"/>
          <w:sz w:val="24"/>
        </w:rPr>
        <w:t>December</w:t>
      </w:r>
      <w:r w:rsidR="004D1BEA">
        <w:rPr>
          <w:rFonts w:ascii="Book Antiqua" w:hAnsi="Book Antiqua" w:hint="eastAsia"/>
          <w:sz w:val="24"/>
          <w:lang w:eastAsia="zh-CN"/>
        </w:rPr>
        <w:t xml:space="preserve"> 9, 2014</w:t>
      </w:r>
    </w:p>
    <w:p w:rsidR="00913789" w:rsidRPr="002A2067" w:rsidRDefault="00913789" w:rsidP="00B35EBD">
      <w:pPr>
        <w:adjustRightInd w:val="0"/>
        <w:snapToGrid w:val="0"/>
        <w:spacing w:after="0" w:line="360" w:lineRule="auto"/>
        <w:rPr>
          <w:rFonts w:ascii="Book Antiqua" w:hAnsi="Book Antiqua"/>
          <w:b/>
          <w:sz w:val="24"/>
          <w:szCs w:val="24"/>
          <w:lang w:val="en-US" w:eastAsia="zh-CN"/>
        </w:rPr>
      </w:pPr>
      <w:r w:rsidRPr="002A2067">
        <w:rPr>
          <w:rFonts w:ascii="Book Antiqua" w:hAnsi="Book Antiqua"/>
          <w:b/>
          <w:sz w:val="24"/>
          <w:szCs w:val="24"/>
          <w:lang w:val="en-US"/>
        </w:rPr>
        <w:t>First decision:</w:t>
      </w:r>
      <w:r w:rsidR="0098156F">
        <w:rPr>
          <w:rFonts w:ascii="Book Antiqua" w:hAnsi="Book Antiqua" w:hint="eastAsia"/>
          <w:b/>
          <w:sz w:val="24"/>
          <w:szCs w:val="24"/>
          <w:lang w:val="en-US" w:eastAsia="zh-CN"/>
        </w:rPr>
        <w:t xml:space="preserve"> </w:t>
      </w:r>
      <w:r w:rsidR="0098156F" w:rsidRPr="00A11C75">
        <w:rPr>
          <w:rFonts w:ascii="Book Antiqua" w:hAnsi="Book Antiqua"/>
          <w:sz w:val="24"/>
        </w:rPr>
        <w:t>January</w:t>
      </w:r>
      <w:r w:rsidR="0098156F">
        <w:rPr>
          <w:rFonts w:ascii="Book Antiqua" w:hAnsi="Book Antiqua" w:hint="eastAsia"/>
          <w:sz w:val="24"/>
          <w:lang w:eastAsia="zh-CN"/>
        </w:rPr>
        <w:t xml:space="preserve"> 8, 2015</w:t>
      </w:r>
    </w:p>
    <w:p w:rsidR="00913789" w:rsidRPr="002A2067" w:rsidRDefault="00913789" w:rsidP="00B35EBD">
      <w:pPr>
        <w:adjustRightInd w:val="0"/>
        <w:snapToGrid w:val="0"/>
        <w:spacing w:after="0" w:line="360" w:lineRule="auto"/>
        <w:rPr>
          <w:rFonts w:ascii="Book Antiqua" w:hAnsi="Book Antiqua"/>
          <w:b/>
          <w:sz w:val="24"/>
          <w:szCs w:val="24"/>
          <w:lang w:val="en-US" w:eastAsia="zh-CN"/>
        </w:rPr>
      </w:pPr>
      <w:r w:rsidRPr="002A2067">
        <w:rPr>
          <w:rFonts w:ascii="Book Antiqua" w:hAnsi="Book Antiqua"/>
          <w:b/>
          <w:sz w:val="24"/>
          <w:szCs w:val="24"/>
          <w:lang w:val="en-US"/>
        </w:rPr>
        <w:t xml:space="preserve">Revised: </w:t>
      </w:r>
      <w:r w:rsidR="00486B8B" w:rsidRPr="00A11C75">
        <w:rPr>
          <w:rFonts w:ascii="Book Antiqua" w:hAnsi="Book Antiqua"/>
          <w:sz w:val="24"/>
        </w:rPr>
        <w:t>February</w:t>
      </w:r>
      <w:r w:rsidR="00486B8B">
        <w:rPr>
          <w:rFonts w:ascii="Book Antiqua" w:hAnsi="Book Antiqua" w:hint="eastAsia"/>
          <w:sz w:val="24"/>
          <w:lang w:eastAsia="zh-CN"/>
        </w:rPr>
        <w:t xml:space="preserve"> 7, 2015</w:t>
      </w:r>
    </w:p>
    <w:p w:rsidR="00BE1682" w:rsidRPr="000213AF" w:rsidRDefault="00913789" w:rsidP="00BE1682">
      <w:pPr>
        <w:rPr>
          <w:rFonts w:ascii="Book Antiqua" w:hAnsi="Book Antiqua"/>
          <w:color w:val="000000"/>
          <w:sz w:val="24"/>
        </w:rPr>
      </w:pPr>
      <w:r w:rsidRPr="002A2067">
        <w:rPr>
          <w:rFonts w:ascii="Book Antiqua" w:hAnsi="Book Antiqua"/>
          <w:b/>
          <w:sz w:val="24"/>
          <w:szCs w:val="24"/>
          <w:lang w:val="en-US"/>
        </w:rPr>
        <w:t>Accepted:</w:t>
      </w:r>
      <w:bookmarkStart w:id="0" w:name="OLE_LINK99"/>
      <w:bookmarkStart w:id="1" w:name="OLE_LINK104"/>
      <w:r w:rsidR="00BE1682" w:rsidRPr="00BE1682">
        <w:rPr>
          <w:rFonts w:ascii="Book Antiqua" w:hAnsi="Book Antiqua"/>
          <w:color w:val="000000"/>
          <w:sz w:val="24"/>
        </w:rPr>
        <w:t xml:space="preserve"> </w:t>
      </w:r>
      <w:r w:rsidR="00BE1682">
        <w:rPr>
          <w:rFonts w:ascii="Book Antiqua" w:hAnsi="Book Antiqua"/>
          <w:color w:val="000000"/>
          <w:sz w:val="24"/>
        </w:rPr>
        <w:t>March 18</w:t>
      </w:r>
      <w:r w:rsidR="00BE1682" w:rsidRPr="000213AF">
        <w:rPr>
          <w:rFonts w:ascii="Book Antiqua" w:hAnsi="Book Antiqua"/>
          <w:color w:val="000000"/>
          <w:sz w:val="24"/>
        </w:rPr>
        <w:t>, 2015</w:t>
      </w:r>
    </w:p>
    <w:p w:rsidR="00913789" w:rsidRPr="002A2067" w:rsidRDefault="00155B05" w:rsidP="00B35EBD">
      <w:pPr>
        <w:adjustRightInd w:val="0"/>
        <w:snapToGrid w:val="0"/>
        <w:spacing w:after="0" w:line="360" w:lineRule="auto"/>
        <w:rPr>
          <w:rFonts w:ascii="Book Antiqua" w:hAnsi="Book Antiqua"/>
          <w:b/>
          <w:sz w:val="24"/>
          <w:szCs w:val="24"/>
          <w:lang w:val="en-US"/>
        </w:rPr>
      </w:pPr>
      <w:bookmarkStart w:id="2" w:name="_GoBack"/>
      <w:bookmarkEnd w:id="0"/>
      <w:bookmarkEnd w:id="1"/>
      <w:bookmarkEnd w:id="2"/>
      <w:r>
        <w:rPr>
          <w:rFonts w:ascii="Book Antiqua" w:hAnsi="Book Antiqua"/>
          <w:b/>
          <w:sz w:val="24"/>
          <w:szCs w:val="24"/>
          <w:lang w:val="en-US"/>
        </w:rPr>
        <w:t xml:space="preserve"> </w:t>
      </w:r>
    </w:p>
    <w:p w:rsidR="00913789" w:rsidRPr="002A2067" w:rsidRDefault="00913789" w:rsidP="00B35EBD">
      <w:pPr>
        <w:adjustRightInd w:val="0"/>
        <w:snapToGrid w:val="0"/>
        <w:spacing w:after="0" w:line="360" w:lineRule="auto"/>
        <w:rPr>
          <w:rFonts w:ascii="Book Antiqua" w:hAnsi="Book Antiqua"/>
          <w:b/>
          <w:sz w:val="24"/>
          <w:szCs w:val="24"/>
          <w:lang w:val="en-US"/>
        </w:rPr>
      </w:pPr>
      <w:r w:rsidRPr="002A2067">
        <w:rPr>
          <w:rFonts w:ascii="Book Antiqua" w:hAnsi="Book Antiqua"/>
          <w:b/>
          <w:sz w:val="24"/>
          <w:szCs w:val="24"/>
          <w:lang w:val="en-US"/>
        </w:rPr>
        <w:t>Article in press:</w:t>
      </w:r>
    </w:p>
    <w:p w:rsidR="00913789" w:rsidRPr="002A2067" w:rsidRDefault="00913789" w:rsidP="00B35EBD">
      <w:pPr>
        <w:adjustRightInd w:val="0"/>
        <w:snapToGrid w:val="0"/>
        <w:spacing w:after="0" w:line="360" w:lineRule="auto"/>
        <w:rPr>
          <w:rFonts w:ascii="Book Antiqua" w:hAnsi="Book Antiqua"/>
          <w:sz w:val="24"/>
          <w:szCs w:val="24"/>
          <w:lang w:val="en-US"/>
        </w:rPr>
      </w:pPr>
      <w:r w:rsidRPr="002A2067">
        <w:rPr>
          <w:rFonts w:ascii="Book Antiqua" w:hAnsi="Book Antiqua"/>
          <w:b/>
          <w:sz w:val="24"/>
          <w:szCs w:val="24"/>
          <w:lang w:val="en-US"/>
        </w:rPr>
        <w:lastRenderedPageBreak/>
        <w:t>Published online:</w:t>
      </w:r>
    </w:p>
    <w:p w:rsidR="00913789" w:rsidRPr="002A2067" w:rsidRDefault="00913789" w:rsidP="00B35EBD">
      <w:pPr>
        <w:adjustRightInd w:val="0"/>
        <w:snapToGrid w:val="0"/>
        <w:spacing w:after="0" w:line="360" w:lineRule="auto"/>
        <w:rPr>
          <w:rFonts w:ascii="Book Antiqua" w:hAnsi="Book Antiqua"/>
          <w:b/>
          <w:sz w:val="24"/>
          <w:szCs w:val="24"/>
          <w:lang w:val="en-US" w:eastAsia="zh-CN"/>
        </w:rPr>
      </w:pPr>
    </w:p>
    <w:p w:rsidR="00913789" w:rsidRPr="002A2067" w:rsidRDefault="00210103" w:rsidP="00B35EBD">
      <w:pPr>
        <w:adjustRightInd w:val="0"/>
        <w:snapToGrid w:val="0"/>
        <w:spacing w:after="0" w:line="360" w:lineRule="auto"/>
        <w:jc w:val="both"/>
        <w:rPr>
          <w:rFonts w:ascii="Book Antiqua" w:hAnsi="Book Antiqua"/>
          <w:b/>
          <w:color w:val="92D050"/>
          <w:sz w:val="24"/>
          <w:szCs w:val="24"/>
          <w:lang w:val="en-US" w:eastAsia="zh-CN"/>
        </w:rPr>
      </w:pPr>
      <w:r>
        <w:rPr>
          <w:rFonts w:ascii="Book Antiqua" w:hAnsi="Book Antiqua"/>
          <w:b/>
          <w:sz w:val="24"/>
          <w:szCs w:val="24"/>
          <w:lang w:val="en-US"/>
        </w:rPr>
        <w:t>Abstract</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Patients with metastasized carcinoma of the pancreas have a very poor prognosis, and long-term survival cannot be expected. This case report describes two patients with an initial diagnosis of metastatic pancreatic cancer, both with hepatic metastases and one with an additional peritoneal </w:t>
      </w:r>
      <w:proofErr w:type="spellStart"/>
      <w:r w:rsidRPr="002A2067">
        <w:rPr>
          <w:rFonts w:ascii="Book Antiqua" w:hAnsi="Book Antiqua"/>
          <w:sz w:val="24"/>
          <w:szCs w:val="24"/>
          <w:lang w:val="en-US"/>
        </w:rPr>
        <w:t>carcinomatosis</w:t>
      </w:r>
      <w:proofErr w:type="spellEnd"/>
      <w:r w:rsidRPr="002A2067">
        <w:rPr>
          <w:rFonts w:ascii="Book Antiqua" w:hAnsi="Book Antiqua"/>
          <w:sz w:val="24"/>
          <w:szCs w:val="24"/>
          <w:lang w:val="en-US"/>
        </w:rPr>
        <w:t xml:space="preserve">. Initially, both patients were treated intravenously with the FOLFIRINOX chemotherapy regimen, consisting of 5-FU, </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xml:space="preserve"> and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 xml:space="preserve">. Surprisingly, the FOLFIRINOX treatment resulted in complete resolution of the hepatic metastases in both patients, with no lesions detectable by computed tomography scan. Furthermore, treatment response included decreased diameter of the primary tumor in the tail of the pancreas and disappearance of the additional peritoneal </w:t>
      </w:r>
      <w:proofErr w:type="spellStart"/>
      <w:r w:rsidRPr="002A2067">
        <w:rPr>
          <w:rFonts w:ascii="Book Antiqua" w:hAnsi="Book Antiqua"/>
          <w:sz w:val="24"/>
          <w:szCs w:val="24"/>
          <w:lang w:val="en-US"/>
        </w:rPr>
        <w:t>carcinomatosis</w:t>
      </w:r>
      <w:proofErr w:type="spellEnd"/>
      <w:r w:rsidRPr="002A2067">
        <w:rPr>
          <w:rFonts w:ascii="Book Antiqua" w:hAnsi="Book Antiqua"/>
          <w:sz w:val="24"/>
          <w:szCs w:val="24"/>
          <w:lang w:val="en-US"/>
        </w:rPr>
        <w:t>. Both patients were discussed by our multidisciplinary tumor board, which recommended surgical resections of the carcinoma</w:t>
      </w:r>
      <w:r w:rsidRPr="002A2067">
        <w:rPr>
          <w:rFonts w:ascii="Book Antiqua" w:hAnsi="Book Antiqua"/>
          <w:color w:val="000000"/>
          <w:sz w:val="24"/>
          <w:szCs w:val="24"/>
          <w:lang w:val="en-US"/>
        </w:rPr>
        <w:t xml:space="preserve">. The R0 resection of the primary tumor was successful in both cases and, interestingly, the resected tissues showed no evidence of the hepatic metastases </w:t>
      </w:r>
      <w:proofErr w:type="spellStart"/>
      <w:r w:rsidRPr="002A2067">
        <w:rPr>
          <w:rFonts w:ascii="Book Antiqua" w:hAnsi="Book Antiqua"/>
          <w:color w:val="000000"/>
          <w:sz w:val="24"/>
          <w:szCs w:val="24"/>
          <w:lang w:val="en-US"/>
        </w:rPr>
        <w:t>intraoperatively</w:t>
      </w:r>
      <w:proofErr w:type="spellEnd"/>
      <w:r w:rsidRPr="002A2067">
        <w:rPr>
          <w:rFonts w:ascii="Book Antiqua" w:hAnsi="Book Antiqua"/>
          <w:color w:val="000000"/>
          <w:sz w:val="24"/>
          <w:szCs w:val="24"/>
          <w:lang w:val="en-US"/>
        </w:rPr>
        <w:t>.</w:t>
      </w:r>
      <w:r w:rsidRPr="002A2067">
        <w:rPr>
          <w:rFonts w:ascii="Book Antiqua" w:hAnsi="Book Antiqua"/>
          <w:sz w:val="24"/>
          <w:szCs w:val="24"/>
          <w:lang w:val="en-US"/>
        </w:rPr>
        <w:t xml:space="preserve"> In the first case, the patient received a postoperative 6-mo course of adjuvant chemotherapy with gemcitabine. In the second case, the patient continued to receive the FOLFIRINOX regimen for an additional 6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postoperatively. At 12 </w:t>
      </w:r>
      <w:proofErr w:type="spellStart"/>
      <w:proofErr w:type="gramStart"/>
      <w:r w:rsidRPr="002A2067">
        <w:rPr>
          <w:rFonts w:ascii="Book Antiqua" w:hAnsi="Book Antiqua"/>
          <w:sz w:val="24"/>
          <w:szCs w:val="24"/>
          <w:lang w:val="en-US"/>
        </w:rPr>
        <w:t>mo</w:t>
      </w:r>
      <w:proofErr w:type="spellEnd"/>
      <w:proofErr w:type="gramEnd"/>
      <w:r w:rsidRPr="002A2067">
        <w:rPr>
          <w:rFonts w:ascii="Book Antiqua" w:hAnsi="Book Antiqua"/>
          <w:sz w:val="24"/>
          <w:szCs w:val="24"/>
          <w:lang w:val="en-US"/>
        </w:rPr>
        <w:t xml:space="preserve"> after the operation, a </w:t>
      </w:r>
      <w:proofErr w:type="spellStart"/>
      <w:r w:rsidRPr="002A2067">
        <w:rPr>
          <w:rFonts w:ascii="Book Antiqua" w:hAnsi="Book Antiqua"/>
          <w:sz w:val="24"/>
          <w:szCs w:val="24"/>
          <w:lang w:val="en-US"/>
        </w:rPr>
        <w:t>nonresectable</w:t>
      </w:r>
      <w:proofErr w:type="spellEnd"/>
      <w:r w:rsidRPr="002A2067">
        <w:rPr>
          <w:rFonts w:ascii="Book Antiqua" w:hAnsi="Book Antiqua"/>
          <w:sz w:val="24"/>
          <w:szCs w:val="24"/>
          <w:lang w:val="en-US"/>
        </w:rPr>
        <w:t xml:space="preserve"> retroperitoneal lymph node metastasis was detected in the first patient, whereas the second patient remained in complete remission at the time of this report (5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after the adjuvant therapy was discontinued). This case report is the first of its kind to describe two cases of hepatic metastatic pancreatic carcinoma that were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following treatment with FOLFIRINOX. Further studies are required to examine the role of FOLFIRINOX as a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 option in subgroups of patients with initially metastasized pancreatic carcinoma.</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roofErr w:type="gramStart"/>
      <w:r w:rsidRPr="002A2067">
        <w:rPr>
          <w:rFonts w:ascii="Book Antiqua" w:hAnsi="Book Antiqua"/>
          <w:b/>
          <w:sz w:val="24"/>
          <w:szCs w:val="24"/>
          <w:lang w:val="en-US"/>
        </w:rPr>
        <w:t>© The Author(s) 2015.</w:t>
      </w:r>
      <w:proofErr w:type="gramEnd"/>
      <w:r w:rsidRPr="002A2067">
        <w:rPr>
          <w:rFonts w:ascii="Book Antiqua" w:hAnsi="Book Antiqua"/>
          <w:b/>
          <w:sz w:val="24"/>
          <w:szCs w:val="24"/>
          <w:lang w:val="en-US"/>
        </w:rPr>
        <w:t xml:space="preserve"> </w:t>
      </w:r>
      <w:proofErr w:type="gramStart"/>
      <w:r w:rsidRPr="002A2067">
        <w:rPr>
          <w:rFonts w:ascii="Book Antiqua" w:hAnsi="Book Antiqua"/>
          <w:sz w:val="24"/>
          <w:szCs w:val="24"/>
          <w:lang w:val="en-US"/>
        </w:rPr>
        <w:t xml:space="preserve">Published by </w:t>
      </w:r>
      <w:proofErr w:type="spellStart"/>
      <w:r w:rsidRPr="002A2067">
        <w:rPr>
          <w:rFonts w:ascii="Book Antiqua" w:hAnsi="Book Antiqua"/>
          <w:sz w:val="24"/>
          <w:szCs w:val="24"/>
          <w:lang w:val="en-US"/>
        </w:rPr>
        <w:t>Baishideng</w:t>
      </w:r>
      <w:proofErr w:type="spellEnd"/>
      <w:r w:rsidRPr="002A2067">
        <w:rPr>
          <w:rFonts w:ascii="Book Antiqua" w:hAnsi="Book Antiqua"/>
          <w:sz w:val="24"/>
          <w:szCs w:val="24"/>
          <w:lang w:val="en-US"/>
        </w:rPr>
        <w:t xml:space="preserve"> Publishing Group Inc.</w:t>
      </w:r>
      <w:proofErr w:type="gramEnd"/>
      <w:r w:rsidRPr="002A2067">
        <w:rPr>
          <w:rFonts w:ascii="Book Antiqua" w:hAnsi="Book Antiqua"/>
          <w:sz w:val="24"/>
          <w:szCs w:val="24"/>
          <w:lang w:val="en-US"/>
        </w:rPr>
        <w:t xml:space="preserve"> All rights reserved.</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lastRenderedPageBreak/>
        <w:t xml:space="preserve">Key words: </w:t>
      </w:r>
      <w:r w:rsidRPr="002A2067">
        <w:rPr>
          <w:rFonts w:ascii="Book Antiqua" w:hAnsi="Book Antiqua"/>
          <w:sz w:val="24"/>
          <w:szCs w:val="24"/>
          <w:lang w:val="en-US"/>
        </w:rPr>
        <w:t xml:space="preserve">Metastatic pancreatic neoplasm; FOLFIRINOX;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 of pancreatic neoplasms; Chemotherapy; Curative operation</w:t>
      </w:r>
    </w:p>
    <w:p w:rsidR="00913789" w:rsidRDefault="00913789" w:rsidP="00B35EBD">
      <w:pPr>
        <w:adjustRightInd w:val="0"/>
        <w:snapToGrid w:val="0"/>
        <w:spacing w:after="0" w:line="360" w:lineRule="auto"/>
        <w:jc w:val="both"/>
        <w:rPr>
          <w:rFonts w:ascii="Book Antiqua" w:hAnsi="Book Antiqua"/>
          <w:b/>
          <w:sz w:val="24"/>
          <w:szCs w:val="24"/>
          <w:lang w:val="en-US" w:eastAsia="zh-CN"/>
        </w:rPr>
      </w:pPr>
    </w:p>
    <w:p w:rsidR="00AC4E69" w:rsidRDefault="00AC4E69" w:rsidP="00AC4E69">
      <w:pPr>
        <w:autoSpaceDE w:val="0"/>
        <w:autoSpaceDN w:val="0"/>
        <w:adjustRightInd w:val="0"/>
        <w:snapToGrid w:val="0"/>
        <w:spacing w:line="360" w:lineRule="auto"/>
        <w:rPr>
          <w:rFonts w:ascii="Book Antiqua" w:hAnsi="Book Antiqua" w:cs="Arial Unicode MS"/>
          <w:sz w:val="24"/>
        </w:rPr>
      </w:pPr>
      <w:bookmarkStart w:id="3" w:name="OLE_LINK98"/>
      <w:bookmarkStart w:id="4" w:name="OLE_LINK156"/>
      <w:bookmarkStart w:id="5" w:name="OLE_LINK196"/>
      <w:bookmarkStart w:id="6" w:name="OLE_LINK217"/>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514"/>
      <w:bookmarkStart w:id="15" w:name="OLE_LINK464"/>
      <w:bookmarkStart w:id="16" w:name="OLE_LINK465"/>
      <w:bookmarkStart w:id="17" w:name="OLE_LINK466"/>
      <w:bookmarkStart w:id="18" w:name="OLE_LINK470"/>
      <w:bookmarkStart w:id="19" w:name="OLE_LINK471"/>
      <w:bookmarkStart w:id="20" w:name="OLE_LINK472"/>
      <w:bookmarkStart w:id="21" w:name="OLE_LINK474"/>
      <w:bookmarkStart w:id="22" w:name="OLE_LINK512"/>
      <w:bookmarkStart w:id="23" w:name="OLE_LINK800"/>
      <w:bookmarkStart w:id="24" w:name="OLE_LINK982"/>
      <w:bookmarkStart w:id="25" w:name="OLE_LINK1027"/>
      <w:bookmarkStart w:id="26" w:name="OLE_LINK504"/>
      <w:bookmarkStart w:id="27" w:name="OLE_LINK546"/>
      <w:bookmarkStart w:id="28" w:name="OLE_LINK547"/>
      <w:bookmarkStart w:id="29" w:name="OLE_LINK575"/>
      <w:bookmarkStart w:id="30" w:name="OLE_LINK640"/>
      <w:bookmarkStart w:id="31" w:name="OLE_LINK672"/>
      <w:bookmarkStart w:id="32" w:name="OLE_LINK714"/>
      <w:bookmarkStart w:id="33" w:name="OLE_LINK651"/>
      <w:bookmarkStart w:id="34" w:name="OLE_LINK652"/>
      <w:bookmarkStart w:id="35" w:name="OLE_LINK744"/>
      <w:bookmarkStart w:id="36" w:name="OLE_LINK758"/>
      <w:bookmarkStart w:id="37" w:name="OLE_LINK787"/>
      <w:bookmarkStart w:id="38" w:name="OLE_LINK807"/>
      <w:bookmarkStart w:id="39" w:name="OLE_LINK820"/>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proofErr w:type="gramStart"/>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proofErr w:type="gramEnd"/>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C4E69" w:rsidRPr="002A2067" w:rsidRDefault="00AC4E69" w:rsidP="00B35EBD">
      <w:pPr>
        <w:adjustRightInd w:val="0"/>
        <w:snapToGrid w:val="0"/>
        <w:spacing w:after="0" w:line="360" w:lineRule="auto"/>
        <w:jc w:val="both"/>
        <w:rPr>
          <w:rFonts w:ascii="Book Antiqua" w:hAnsi="Book Antiqua"/>
          <w:b/>
          <w:sz w:val="24"/>
          <w:szCs w:val="24"/>
          <w:lang w:val="en-US" w:eastAsia="zh-CN"/>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b/>
          <w:sz w:val="24"/>
          <w:szCs w:val="24"/>
          <w:lang w:val="en-US"/>
        </w:rPr>
        <w:t xml:space="preserve">Core tip: </w:t>
      </w:r>
      <w:r w:rsidRPr="002A2067">
        <w:rPr>
          <w:rFonts w:ascii="Book Antiqua" w:hAnsi="Book Antiqua"/>
          <w:sz w:val="24"/>
          <w:szCs w:val="24"/>
          <w:lang w:val="en-US"/>
        </w:rPr>
        <w:t xml:space="preserve">The FOLFIRINOX regimen is a promising treatment option for metastatic pancreatic carcinoma. This case report describes two cases in which treating metastatic pancreatic carcinoma with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FOLFIRINOX therapy prior to R0 resection was possible. The positive outcomes for these patients provide hope that metastatic pancreatic neoplasms may be cured in certain cases. </w:t>
      </w:r>
    </w:p>
    <w:p w:rsidR="00913789" w:rsidRPr="002A2067" w:rsidRDefault="00913789" w:rsidP="00B35EBD">
      <w:pPr>
        <w:adjustRightInd w:val="0"/>
        <w:snapToGrid w:val="0"/>
        <w:spacing w:after="0" w:line="360" w:lineRule="auto"/>
        <w:jc w:val="both"/>
        <w:rPr>
          <w:rFonts w:ascii="Book Antiqua" w:hAnsi="Book Antiqua"/>
          <w:sz w:val="24"/>
          <w:szCs w:val="24"/>
          <w:lang w:val="en-US" w:eastAsia="zh-CN"/>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roofErr w:type="spellStart"/>
      <w:r w:rsidRPr="002A2067">
        <w:rPr>
          <w:rFonts w:ascii="Book Antiqua" w:hAnsi="Book Antiqua"/>
          <w:sz w:val="24"/>
          <w:szCs w:val="24"/>
          <w:lang w:val="en-US"/>
        </w:rPr>
        <w:t>Schneitler</w:t>
      </w:r>
      <w:proofErr w:type="spellEnd"/>
      <w:r w:rsidRPr="002A2067">
        <w:rPr>
          <w:rFonts w:ascii="Book Antiqua" w:hAnsi="Book Antiqua"/>
          <w:sz w:val="24"/>
          <w:szCs w:val="24"/>
          <w:lang w:val="en-US"/>
        </w:rPr>
        <w:t xml:space="preserve"> S, </w:t>
      </w:r>
      <w:proofErr w:type="spellStart"/>
      <w:r w:rsidRPr="002A2067">
        <w:rPr>
          <w:rFonts w:ascii="Book Antiqua" w:hAnsi="Book Antiqua"/>
          <w:sz w:val="24"/>
          <w:szCs w:val="24"/>
          <w:lang w:val="en-US"/>
        </w:rPr>
        <w:t>Kröpil</w:t>
      </w:r>
      <w:proofErr w:type="spellEnd"/>
      <w:r w:rsidRPr="002A2067">
        <w:rPr>
          <w:rFonts w:ascii="Book Antiqua" w:hAnsi="Book Antiqua"/>
          <w:sz w:val="24"/>
          <w:szCs w:val="24"/>
          <w:lang w:val="en-US"/>
        </w:rPr>
        <w:t xml:space="preserve"> P, </w:t>
      </w:r>
      <w:proofErr w:type="spellStart"/>
      <w:r w:rsidRPr="002A2067">
        <w:rPr>
          <w:rFonts w:ascii="Book Antiqua" w:hAnsi="Book Antiqua"/>
          <w:sz w:val="24"/>
          <w:szCs w:val="24"/>
          <w:lang w:val="en-US"/>
        </w:rPr>
        <w:t>Riemer</w:t>
      </w:r>
      <w:proofErr w:type="spellEnd"/>
      <w:r w:rsidRPr="002A2067">
        <w:rPr>
          <w:rFonts w:ascii="Book Antiqua" w:hAnsi="Book Antiqua"/>
          <w:sz w:val="24"/>
          <w:szCs w:val="24"/>
          <w:lang w:val="en-US"/>
        </w:rPr>
        <w:t xml:space="preserve"> J, </w:t>
      </w:r>
      <w:proofErr w:type="spellStart"/>
      <w:r w:rsidRPr="002A2067">
        <w:rPr>
          <w:rFonts w:ascii="Book Antiqua" w:hAnsi="Book Antiqua"/>
          <w:sz w:val="24"/>
          <w:szCs w:val="24"/>
          <w:lang w:val="en-US"/>
        </w:rPr>
        <w:t>Antoch</w:t>
      </w:r>
      <w:proofErr w:type="spellEnd"/>
      <w:r w:rsidRPr="002A2067">
        <w:rPr>
          <w:rFonts w:ascii="Book Antiqua" w:hAnsi="Book Antiqua"/>
          <w:sz w:val="24"/>
          <w:szCs w:val="24"/>
          <w:lang w:val="en-US"/>
        </w:rPr>
        <w:t xml:space="preserve"> G, </w:t>
      </w:r>
      <w:proofErr w:type="spellStart"/>
      <w:r w:rsidRPr="002A2067">
        <w:rPr>
          <w:rFonts w:ascii="Book Antiqua" w:hAnsi="Book Antiqua"/>
          <w:sz w:val="24"/>
          <w:szCs w:val="24"/>
          <w:lang w:val="en-US"/>
        </w:rPr>
        <w:t>Knoefel</w:t>
      </w:r>
      <w:proofErr w:type="spellEnd"/>
      <w:r w:rsidRPr="002A2067">
        <w:rPr>
          <w:rFonts w:ascii="Book Antiqua" w:hAnsi="Book Antiqua"/>
          <w:sz w:val="24"/>
          <w:szCs w:val="24"/>
          <w:lang w:val="en-US"/>
        </w:rPr>
        <w:t xml:space="preserve"> WT, </w:t>
      </w:r>
      <w:proofErr w:type="spellStart"/>
      <w:r w:rsidRPr="002A2067">
        <w:rPr>
          <w:rFonts w:ascii="Book Antiqua" w:hAnsi="Book Antiqua"/>
          <w:sz w:val="24"/>
          <w:szCs w:val="24"/>
          <w:lang w:val="en-US"/>
        </w:rPr>
        <w:t>Häussinger</w:t>
      </w:r>
      <w:proofErr w:type="spellEnd"/>
      <w:r w:rsidRPr="002A2067">
        <w:rPr>
          <w:rFonts w:ascii="Book Antiqua" w:hAnsi="Book Antiqua"/>
          <w:sz w:val="24"/>
          <w:szCs w:val="24"/>
          <w:lang w:val="en-US"/>
        </w:rPr>
        <w:t xml:space="preserve"> D, Graf D. Metastasized pancreatic carcinoma with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FOLFIRINOX therapy and R0 resection. </w:t>
      </w:r>
      <w:r w:rsidRPr="002A2067">
        <w:rPr>
          <w:rFonts w:ascii="Book Antiqua" w:hAnsi="Book Antiqua"/>
          <w:i/>
          <w:sz w:val="24"/>
          <w:szCs w:val="24"/>
          <w:lang w:val="en-US"/>
        </w:rPr>
        <w:t xml:space="preserve">World J </w:t>
      </w:r>
      <w:proofErr w:type="spellStart"/>
      <w:r w:rsidRPr="002A2067">
        <w:rPr>
          <w:rFonts w:ascii="Book Antiqua" w:hAnsi="Book Antiqua"/>
          <w:i/>
          <w:sz w:val="24"/>
          <w:szCs w:val="24"/>
          <w:lang w:val="en-US"/>
        </w:rPr>
        <w:t>Gastroenterol</w:t>
      </w:r>
      <w:proofErr w:type="spellEnd"/>
      <w:r w:rsidRPr="002A2067">
        <w:rPr>
          <w:rFonts w:ascii="Book Antiqua" w:hAnsi="Book Antiqua"/>
          <w:sz w:val="24"/>
          <w:szCs w:val="24"/>
          <w:lang w:val="en-US"/>
        </w:rPr>
        <w:t xml:space="preserve"> 2015; </w:t>
      </w:r>
      <w:proofErr w:type="gramStart"/>
      <w:r w:rsidRPr="002A2067">
        <w:rPr>
          <w:rFonts w:ascii="Book Antiqua" w:hAnsi="Book Antiqua"/>
          <w:sz w:val="24"/>
          <w:szCs w:val="24"/>
          <w:lang w:val="en-US"/>
        </w:rPr>
        <w:t>In</w:t>
      </w:r>
      <w:proofErr w:type="gramEnd"/>
      <w:r w:rsidRPr="002A2067">
        <w:rPr>
          <w:rFonts w:ascii="Book Antiqua" w:hAnsi="Book Antiqua"/>
          <w:sz w:val="24"/>
          <w:szCs w:val="24"/>
          <w:lang w:val="en-US"/>
        </w:rPr>
        <w:t xml:space="preserve"> press</w:t>
      </w:r>
    </w:p>
    <w:p w:rsidR="00913789" w:rsidRDefault="00913789" w:rsidP="00B35EBD">
      <w:pPr>
        <w:adjustRightInd w:val="0"/>
        <w:snapToGrid w:val="0"/>
        <w:spacing w:after="0" w:line="360" w:lineRule="auto"/>
        <w:rPr>
          <w:rFonts w:ascii="Book Antiqua" w:hAnsi="Book Antiqua"/>
          <w:b/>
          <w:sz w:val="24"/>
          <w:szCs w:val="24"/>
          <w:lang w:val="en-US" w:eastAsia="zh-CN"/>
        </w:rPr>
      </w:pPr>
    </w:p>
    <w:p w:rsidR="00FE0A6C" w:rsidRPr="002A2067" w:rsidRDefault="00FE0A6C" w:rsidP="00B35EBD">
      <w:pPr>
        <w:adjustRightInd w:val="0"/>
        <w:snapToGrid w:val="0"/>
        <w:spacing w:after="0" w:line="360" w:lineRule="auto"/>
        <w:rPr>
          <w:rFonts w:ascii="Book Antiqua" w:hAnsi="Book Antiqua"/>
          <w:b/>
          <w:sz w:val="24"/>
          <w:szCs w:val="24"/>
          <w:lang w:val="en-US" w:eastAsia="zh-CN"/>
        </w:rPr>
      </w:pPr>
    </w:p>
    <w:p w:rsidR="00913789" w:rsidRPr="002A2067" w:rsidRDefault="00913789"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INTRODUCTION</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It is generally accepted that the prognosis of pancreatic cancer is very poor, with 5-year survival rates of 8</w:t>
      </w:r>
      <w:proofErr w:type="gramStart"/>
      <w:r w:rsidRPr="002A2067">
        <w:rPr>
          <w:rFonts w:ascii="Book Antiqua" w:hAnsi="Book Antiqua"/>
          <w:sz w:val="24"/>
          <w:szCs w:val="24"/>
          <w:lang w:val="en-US"/>
        </w:rPr>
        <w:t>%</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1]</w:t>
      </w:r>
      <w:r w:rsidRPr="002A2067">
        <w:rPr>
          <w:rFonts w:ascii="Book Antiqua" w:hAnsi="Book Antiqua"/>
          <w:sz w:val="24"/>
          <w:szCs w:val="24"/>
          <w:lang w:val="en-US"/>
        </w:rPr>
        <w:t xml:space="preserve">. Since the disease onset manifests few symptoms, diagnosis of pancreatic carcinomas is frequently made after the cancer has already metastasized. Currently, the only curative option is radical surgery for patients with non-metastatic and locally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lesions. However, only 10% to 20%</w:t>
      </w:r>
      <w:r w:rsidRPr="002A2067">
        <w:rPr>
          <w:rFonts w:ascii="Book Antiqua" w:hAnsi="Book Antiqua"/>
          <w:color w:val="FF0000"/>
          <w:sz w:val="24"/>
          <w:szCs w:val="24"/>
          <w:lang w:val="en-US"/>
        </w:rPr>
        <w:t xml:space="preserve"> </w:t>
      </w:r>
      <w:r w:rsidRPr="002A2067">
        <w:rPr>
          <w:rFonts w:ascii="Book Antiqua" w:hAnsi="Book Antiqua"/>
          <w:sz w:val="24"/>
          <w:szCs w:val="24"/>
          <w:lang w:val="en-US"/>
        </w:rPr>
        <w:t xml:space="preserve">of the patients who undergo surgical intervention are </w:t>
      </w:r>
      <w:proofErr w:type="gramStart"/>
      <w:r w:rsidRPr="002A2067">
        <w:rPr>
          <w:rFonts w:ascii="Book Antiqua" w:hAnsi="Book Antiqua"/>
          <w:sz w:val="24"/>
          <w:szCs w:val="24"/>
          <w:lang w:val="en-US"/>
        </w:rPr>
        <w:t>cured</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In the palliative setting, gemcitabine (as a monotherapy or in combination with nab-paclitaxel or </w:t>
      </w:r>
      <w:proofErr w:type="spellStart"/>
      <w:r w:rsidRPr="002A2067">
        <w:rPr>
          <w:rFonts w:ascii="Book Antiqua" w:hAnsi="Book Antiqua"/>
          <w:sz w:val="24"/>
          <w:szCs w:val="24"/>
          <w:lang w:val="en-US"/>
        </w:rPr>
        <w:t>erlotinib</w:t>
      </w:r>
      <w:proofErr w:type="spellEnd"/>
      <w:r w:rsidRPr="002A2067">
        <w:rPr>
          <w:rFonts w:ascii="Book Antiqua" w:hAnsi="Book Antiqua"/>
          <w:sz w:val="24"/>
          <w:szCs w:val="24"/>
          <w:lang w:val="en-US"/>
        </w:rPr>
        <w:t xml:space="preserve">) is available as a treatment </w:t>
      </w:r>
      <w:proofErr w:type="gramStart"/>
      <w:r w:rsidRPr="002A2067">
        <w:rPr>
          <w:rFonts w:ascii="Book Antiqua" w:hAnsi="Book Antiqua"/>
          <w:sz w:val="24"/>
          <w:szCs w:val="24"/>
          <w:lang w:val="en-US"/>
        </w:rPr>
        <w:t>option</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3</w:t>
      </w:r>
      <w:r w:rsidR="00155B05">
        <w:rPr>
          <w:rFonts w:ascii="Book Antiqua" w:hAnsi="Book Antiqua" w:hint="eastAsia"/>
          <w:sz w:val="24"/>
          <w:szCs w:val="24"/>
          <w:vertAlign w:val="superscript"/>
          <w:lang w:val="en-US" w:eastAsia="zh-CN"/>
        </w:rPr>
        <w:t>-</w:t>
      </w:r>
      <w:r w:rsidRPr="002A2067">
        <w:rPr>
          <w:rFonts w:ascii="Book Antiqua" w:hAnsi="Book Antiqua"/>
          <w:sz w:val="24"/>
          <w:szCs w:val="24"/>
          <w:vertAlign w:val="superscript"/>
          <w:lang w:val="en-US"/>
        </w:rPr>
        <w:t>6]</w:t>
      </w:r>
      <w:r w:rsidRPr="002A2067">
        <w:rPr>
          <w:rFonts w:ascii="Book Antiqua" w:hAnsi="Book Antiqua"/>
          <w:sz w:val="24"/>
          <w:szCs w:val="24"/>
          <w:lang w:val="en-US"/>
        </w:rPr>
        <w:t>. In 2011, a new and effective form of chemotherapy was described for treating metastatic pancreatic cancer patients; this chemotherapy regimen, FOLFIRINOX (consisting of 5-FU/</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xml:space="preserve"> and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 xml:space="preserve">), was reported to achieve an average life extension of 11.1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compared to the extension of 6.8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that was achieved using gemcitabine </w:t>
      </w:r>
      <w:proofErr w:type="gramStart"/>
      <w:r w:rsidRPr="002A2067">
        <w:rPr>
          <w:rFonts w:ascii="Book Antiqua" w:hAnsi="Book Antiqua"/>
          <w:sz w:val="24"/>
          <w:szCs w:val="24"/>
          <w:lang w:val="en-US"/>
        </w:rPr>
        <w:t>monotherapy</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7]</w:t>
      </w:r>
      <w:r w:rsidRPr="002A2067">
        <w:rPr>
          <w:rFonts w:ascii="Book Antiqua" w:hAnsi="Book Antiqua"/>
          <w:sz w:val="24"/>
          <w:szCs w:val="24"/>
          <w:lang w:val="en-US"/>
        </w:rPr>
        <w:t xml:space="preserve">. Since then, several studies have reported interesting findings from </w:t>
      </w:r>
      <w:proofErr w:type="spellStart"/>
      <w:r w:rsidRPr="002A2067">
        <w:rPr>
          <w:rFonts w:ascii="Book Antiqua" w:hAnsi="Book Antiqua"/>
          <w:sz w:val="24"/>
          <w:szCs w:val="24"/>
          <w:lang w:val="en-US"/>
        </w:rPr>
        <w:lastRenderedPageBreak/>
        <w:t>neoadjuvant</w:t>
      </w:r>
      <w:proofErr w:type="spellEnd"/>
      <w:r w:rsidRPr="002A2067">
        <w:rPr>
          <w:rFonts w:ascii="Book Antiqua" w:hAnsi="Book Antiqua"/>
          <w:sz w:val="24"/>
          <w:szCs w:val="24"/>
          <w:lang w:val="en-US"/>
        </w:rPr>
        <w:t xml:space="preserve"> treatment with FOLFIRINOX in patients with borderline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pancreatic </w:t>
      </w:r>
      <w:proofErr w:type="gramStart"/>
      <w:r w:rsidRPr="002A2067">
        <w:rPr>
          <w:rFonts w:ascii="Book Antiqua" w:hAnsi="Book Antiqua"/>
          <w:sz w:val="24"/>
          <w:szCs w:val="24"/>
          <w:lang w:val="en-US"/>
        </w:rPr>
        <w:t>cancer</w:t>
      </w:r>
      <w:r w:rsidR="003B3C2F">
        <w:rPr>
          <w:rFonts w:ascii="Book Antiqua" w:hAnsi="Book Antiqua"/>
          <w:sz w:val="24"/>
          <w:szCs w:val="24"/>
          <w:vertAlign w:val="superscript"/>
          <w:lang w:val="en-US"/>
        </w:rPr>
        <w:t>[</w:t>
      </w:r>
      <w:proofErr w:type="gramEnd"/>
      <w:r w:rsidR="003B3C2F">
        <w:rPr>
          <w:rFonts w:ascii="Book Antiqua" w:hAnsi="Book Antiqua"/>
          <w:sz w:val="24"/>
          <w:szCs w:val="24"/>
          <w:vertAlign w:val="superscript"/>
          <w:lang w:val="en-US"/>
        </w:rPr>
        <w:t>2,8,</w:t>
      </w:r>
      <w:r w:rsidRPr="002A2067">
        <w:rPr>
          <w:rFonts w:ascii="Book Antiqua" w:hAnsi="Book Antiqua"/>
          <w:sz w:val="24"/>
          <w:szCs w:val="24"/>
          <w:vertAlign w:val="superscript"/>
          <w:lang w:val="en-US"/>
        </w:rPr>
        <w:t>9]</w:t>
      </w:r>
      <w:r w:rsidRPr="002A2067">
        <w:rPr>
          <w:rFonts w:ascii="Book Antiqua" w:hAnsi="Book Antiqua"/>
          <w:sz w:val="24"/>
          <w:szCs w:val="24"/>
          <w:lang w:val="en-US"/>
        </w:rPr>
        <w:t xml:space="preserve">. In terms of locally advanced pancreatic cancers,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therapy also provides an opportunity for </w:t>
      </w:r>
      <w:proofErr w:type="gramStart"/>
      <w:r w:rsidRPr="002A2067">
        <w:rPr>
          <w:rFonts w:ascii="Book Antiqua" w:hAnsi="Book Antiqua"/>
          <w:sz w:val="24"/>
          <w:szCs w:val="24"/>
          <w:lang w:val="en-US"/>
        </w:rPr>
        <w:t>resection</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8]</w:t>
      </w:r>
      <w:r w:rsidRPr="002A2067">
        <w:rPr>
          <w:rFonts w:ascii="Book Antiqua" w:hAnsi="Book Antiqua"/>
          <w:sz w:val="24"/>
          <w:szCs w:val="24"/>
          <w:lang w:val="en-US"/>
        </w:rPr>
        <w:t xml:space="preserve">. This report describes two patients with metastatic pancreatic neoplasms that became secondarily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following treatment with FOLFIRINOX.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CASE REPORT</w:t>
      </w: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Patient 1</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A routine check-up by ultrasound detected suspicious lesions in the liver of a 65-year-old Caucasian female, whose medical history included a case of pneumonia in 1985, as well as cervical cancer and subsequent hysterectomy in 1994, high blood pressure, hip arthrosis and the effects of chronic nicotine abuse. The patient was entirely symptom-free and had an unremarkable clinical examination. The patient had been taking medication to treat high blood pressure. Subsequent computed tomography (CT)-, magnetic resonance imaging (MRI)-scans and an endoscopic ultrasound (Figure 1 A, C, E) performed in August of 2012 indicated a carcinoma in the tail of the pancreas with metastasis to the liver. Liver biopsies confirmed the suspected diagnosis and showed liver metastases of a ductal pancreatic adenocarcinoma (G2). Tumor histological findings included a positive dye reaction to antibodies against </w:t>
      </w:r>
      <w:proofErr w:type="spellStart"/>
      <w:r w:rsidRPr="002A2067">
        <w:rPr>
          <w:rFonts w:ascii="Book Antiqua" w:hAnsi="Book Antiqua"/>
          <w:sz w:val="24"/>
          <w:szCs w:val="24"/>
          <w:lang w:val="en-US"/>
        </w:rPr>
        <w:t>cytoceratin</w:t>
      </w:r>
      <w:proofErr w:type="spellEnd"/>
      <w:r w:rsidRPr="002A2067">
        <w:rPr>
          <w:rFonts w:ascii="Book Antiqua" w:hAnsi="Book Antiqua"/>
          <w:sz w:val="24"/>
          <w:szCs w:val="24"/>
          <w:lang w:val="en-US"/>
        </w:rPr>
        <w:t xml:space="preserve"> 7, MUC1 (indicting partial </w:t>
      </w:r>
      <w:proofErr w:type="spellStart"/>
      <w:r w:rsidRPr="002A2067">
        <w:rPr>
          <w:rFonts w:ascii="Book Antiqua" w:hAnsi="Book Antiqua"/>
          <w:sz w:val="24"/>
          <w:szCs w:val="24"/>
          <w:lang w:val="en-US"/>
        </w:rPr>
        <w:t>coexpression</w:t>
      </w:r>
      <w:proofErr w:type="spellEnd"/>
      <w:r w:rsidRPr="002A2067">
        <w:rPr>
          <w:rFonts w:ascii="Book Antiqua" w:hAnsi="Book Antiqua"/>
          <w:sz w:val="24"/>
          <w:szCs w:val="24"/>
          <w:lang w:val="en-US"/>
        </w:rPr>
        <w:t xml:space="preserve">) and </w:t>
      </w:r>
      <w:proofErr w:type="spellStart"/>
      <w:r w:rsidRPr="002A2067">
        <w:rPr>
          <w:rFonts w:ascii="Book Antiqua" w:hAnsi="Book Antiqua"/>
          <w:sz w:val="24"/>
          <w:szCs w:val="24"/>
          <w:lang w:val="en-US"/>
        </w:rPr>
        <w:t>cytoceratin</w:t>
      </w:r>
      <w:proofErr w:type="spellEnd"/>
      <w:r w:rsidRPr="002A2067">
        <w:rPr>
          <w:rFonts w:ascii="Book Antiqua" w:hAnsi="Book Antiqua"/>
          <w:sz w:val="24"/>
          <w:szCs w:val="24"/>
          <w:lang w:val="en-US"/>
        </w:rPr>
        <w:t xml:space="preserve"> 20 (indicating </w:t>
      </w:r>
      <w:proofErr w:type="spellStart"/>
      <w:r w:rsidRPr="002A2067">
        <w:rPr>
          <w:rFonts w:ascii="Book Antiqua" w:hAnsi="Book Antiqua"/>
          <w:sz w:val="24"/>
          <w:szCs w:val="24"/>
          <w:lang w:val="en-US"/>
        </w:rPr>
        <w:t>coexpression</w:t>
      </w:r>
      <w:proofErr w:type="spellEnd"/>
      <w:r w:rsidRPr="002A2067">
        <w:rPr>
          <w:rFonts w:ascii="Book Antiqua" w:hAnsi="Book Antiqua"/>
          <w:sz w:val="24"/>
          <w:szCs w:val="24"/>
          <w:lang w:val="en-US"/>
        </w:rPr>
        <w:t xml:space="preserve"> in individual cells). Furthermore, there was a negative dye reaction with antibodies against CDX2, CA19-9 and TTF1. While there was no observed elevated level of the CA19-9 biomarker for pancreatic neoplasms, the </w:t>
      </w:r>
      <w:proofErr w:type="spellStart"/>
      <w:r w:rsidRPr="002A2067">
        <w:rPr>
          <w:rFonts w:ascii="Book Antiqua" w:hAnsi="Book Antiqua" w:cs="Arial"/>
          <w:color w:val="424242"/>
          <w:sz w:val="24"/>
          <w:szCs w:val="24"/>
          <w:lang w:val="en-US" w:eastAsia="de-DE"/>
        </w:rPr>
        <w:t>carcinoembryonic</w:t>
      </w:r>
      <w:proofErr w:type="spellEnd"/>
      <w:r w:rsidRPr="002A2067">
        <w:rPr>
          <w:rFonts w:ascii="Book Antiqua" w:hAnsi="Book Antiqua" w:cs="Arial"/>
          <w:color w:val="424242"/>
          <w:sz w:val="24"/>
          <w:szCs w:val="24"/>
          <w:lang w:val="en-US" w:eastAsia="de-DE"/>
        </w:rPr>
        <w:t xml:space="preserve"> antigen</w:t>
      </w:r>
      <w:r w:rsidRPr="002A2067">
        <w:rPr>
          <w:rFonts w:ascii="Book Antiqua" w:hAnsi="Book Antiqua"/>
          <w:sz w:val="24"/>
          <w:szCs w:val="24"/>
          <w:lang w:val="en-US"/>
        </w:rPr>
        <w:t xml:space="preserve"> (CEA) tumor marker was slightly elevated</w:t>
      </w:r>
      <w:r w:rsidR="00155B05">
        <w:rPr>
          <w:rFonts w:ascii="Book Antiqua" w:hAnsi="Book Antiqua"/>
          <w:sz w:val="24"/>
          <w:szCs w:val="24"/>
          <w:lang w:val="en-US"/>
        </w:rPr>
        <w:t xml:space="preserve"> </w:t>
      </w:r>
      <w:r w:rsidRPr="002A2067">
        <w:rPr>
          <w:rFonts w:ascii="Book Antiqua" w:hAnsi="Book Antiqua"/>
          <w:sz w:val="24"/>
          <w:szCs w:val="24"/>
          <w:lang w:val="en-US"/>
        </w:rPr>
        <w:t>(4.7 µg/L; normal: &lt;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3.4 µg/L). The patient was treated with FOLFIRINOX (85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w:t>
      </w:r>
      <w:r w:rsidRPr="002A2067">
        <w:rPr>
          <w:rFonts w:ascii="Book Antiqua" w:hAnsi="Book Antiqua"/>
          <w:sz w:val="24"/>
          <w:szCs w:val="24"/>
          <w:vertAlign w:val="superscript"/>
          <w:lang w:val="en-US"/>
        </w:rPr>
        <w:t xml:space="preserve"> </w:t>
      </w:r>
      <w:r w:rsidRPr="002A2067">
        <w:rPr>
          <w:rFonts w:ascii="Book Antiqua" w:hAnsi="Book Antiqua"/>
          <w:sz w:val="24"/>
          <w:szCs w:val="24"/>
          <w:lang w:val="en-US"/>
        </w:rPr>
        <w:t>180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bolus of 5-FU, with 2400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&gt;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46 h of 5-FU; 5 cycles of 100% dose) from October 2012 to January 2013.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ab/>
        <w:t>Subsequent to this treatment, the CT scan showed that the pancreatic carcinoma had decreased in size (Figure</w:t>
      </w:r>
      <w:r w:rsidR="00155B05">
        <w:rPr>
          <w:rFonts w:ascii="Book Antiqua" w:hAnsi="Book Antiqua"/>
          <w:sz w:val="24"/>
          <w:szCs w:val="24"/>
          <w:lang w:val="en-US"/>
        </w:rPr>
        <w:t xml:space="preserve"> 1</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F) and no signs of liver metastases (</w:t>
      </w:r>
      <w:r w:rsidR="003B3C2F">
        <w:rPr>
          <w:rFonts w:ascii="Book Antiqua" w:hAnsi="Book Antiqua"/>
          <w:sz w:val="24"/>
          <w:szCs w:val="24"/>
          <w:lang w:val="en-US"/>
        </w:rPr>
        <w:t>Figure 1 B</w:t>
      </w:r>
      <w:r w:rsidR="003B3C2F">
        <w:rPr>
          <w:rFonts w:ascii="Book Antiqua" w:hAnsi="Book Antiqua" w:hint="eastAsia"/>
          <w:sz w:val="24"/>
          <w:szCs w:val="24"/>
          <w:lang w:val="en-US" w:eastAsia="zh-CN"/>
        </w:rPr>
        <w:t xml:space="preserve"> and</w:t>
      </w:r>
      <w:r w:rsidRPr="002A2067">
        <w:rPr>
          <w:rFonts w:ascii="Book Antiqua" w:hAnsi="Book Antiqua"/>
          <w:sz w:val="24"/>
          <w:szCs w:val="24"/>
          <w:lang w:val="en-US"/>
        </w:rPr>
        <w:t xml:space="preserve"> D). The multidisciplinary tumor board recommended resection of the tail of the </w:t>
      </w:r>
      <w:r w:rsidRPr="002A2067">
        <w:rPr>
          <w:rFonts w:ascii="Book Antiqua" w:hAnsi="Book Antiqua"/>
          <w:sz w:val="24"/>
          <w:szCs w:val="24"/>
          <w:lang w:val="en-US"/>
        </w:rPr>
        <w:lastRenderedPageBreak/>
        <w:t>pancreas as an individual therapeutic strategy. The surgery was performed in February of 2013 and included a resection of the tail of the pancreas as well as of the spleen, a radical dissection of the lymph nodes, a gall bladder resection, and a non-anatomical resection of liver segments II, VI and VII (1.4</w:t>
      </w:r>
      <w:r w:rsidR="00155B05" w:rsidRPr="00155B05">
        <w:rPr>
          <w:rFonts w:ascii="Book Antiqua" w:hAnsi="Book Antiqua"/>
          <w:sz w:val="24"/>
          <w:szCs w:val="24"/>
          <w:lang w:val="en-US"/>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1.2</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0.9 cm, 2.7</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1.8</w:t>
      </w:r>
      <w:r w:rsidR="00155B05" w:rsidRPr="00155B05">
        <w:rPr>
          <w:rFonts w:ascii="Book Antiqua" w:hAnsi="Book Antiqua"/>
          <w:sz w:val="24"/>
          <w:szCs w:val="24"/>
          <w:lang w:val="en-US"/>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1.3 cm, 3.8</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4.4</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2.3 cm). The pathological stage was </w:t>
      </w:r>
      <w:r w:rsidRPr="002A2067">
        <w:rPr>
          <w:rFonts w:ascii="Book Antiqua" w:eastAsia="Times New Roman" w:hAnsi="Book Antiqua"/>
          <w:color w:val="000000"/>
          <w:kern w:val="24"/>
          <w:sz w:val="24"/>
          <w:szCs w:val="24"/>
          <w:lang w:val="en-US"/>
        </w:rPr>
        <w:t xml:space="preserve">ypT3 ypN0 (0/16), L0, V0, Pn1 G2 R0 M0 (Figure </w:t>
      </w:r>
      <w:r w:rsidR="001624C3">
        <w:rPr>
          <w:rFonts w:ascii="Book Antiqua" w:hAnsi="Book Antiqua" w:hint="eastAsia"/>
          <w:color w:val="000000"/>
          <w:kern w:val="24"/>
          <w:sz w:val="24"/>
          <w:szCs w:val="24"/>
          <w:lang w:val="en-US" w:eastAsia="zh-CN"/>
        </w:rPr>
        <w:t>2</w:t>
      </w:r>
      <w:r w:rsidR="001624C3" w:rsidRPr="002A2067">
        <w:rPr>
          <w:rFonts w:ascii="Book Antiqua" w:eastAsia="Times New Roman" w:hAnsi="Book Antiqua"/>
          <w:color w:val="000000"/>
          <w:kern w:val="24"/>
          <w:sz w:val="24"/>
          <w:szCs w:val="24"/>
          <w:lang w:val="en-US"/>
        </w:rPr>
        <w:t xml:space="preserve"> </w:t>
      </w:r>
      <w:r w:rsidRPr="002A2067">
        <w:rPr>
          <w:rFonts w:ascii="Book Antiqua" w:eastAsia="Times New Roman" w:hAnsi="Book Antiqua"/>
          <w:color w:val="000000"/>
          <w:kern w:val="24"/>
          <w:sz w:val="24"/>
          <w:szCs w:val="24"/>
          <w:lang w:val="en-US"/>
        </w:rPr>
        <w:t>A).</w:t>
      </w:r>
      <w:r w:rsidRPr="002A2067">
        <w:rPr>
          <w:rFonts w:ascii="Book Antiqua" w:hAnsi="Book Antiqua"/>
          <w:sz w:val="24"/>
          <w:szCs w:val="24"/>
          <w:lang w:val="en-US"/>
        </w:rPr>
        <w:t xml:space="preserve"> The resected liver tissue showed scars and fibrosis without any evidence of persistent cancer cells. Adjuvant treatment with gemcitabine was administered from April to October, 2013. The patient was cancer-free in subsequent check-ups with CT, the last of which was performed </w:t>
      </w:r>
      <w:r w:rsidR="003B3C2F">
        <w:rPr>
          <w:rFonts w:ascii="Book Antiqua" w:hAnsi="Book Antiqua"/>
          <w:sz w:val="24"/>
          <w:szCs w:val="24"/>
          <w:lang w:val="en-US"/>
        </w:rPr>
        <w:t>in November of 2013 (Figure 1 G</w:t>
      </w:r>
      <w:r w:rsidR="003B3C2F">
        <w:rPr>
          <w:rFonts w:ascii="Book Antiqua" w:hAnsi="Book Antiqua" w:hint="eastAsia"/>
          <w:sz w:val="24"/>
          <w:szCs w:val="24"/>
          <w:lang w:val="en-US" w:eastAsia="zh-CN"/>
        </w:rPr>
        <w:t xml:space="preserve"> and</w:t>
      </w:r>
      <w:r w:rsidRPr="002A2067">
        <w:rPr>
          <w:rFonts w:ascii="Book Antiqua" w:hAnsi="Book Antiqua"/>
          <w:sz w:val="24"/>
          <w:szCs w:val="24"/>
          <w:lang w:val="en-US"/>
        </w:rPr>
        <w:t xml:space="preserve"> H). The patient returned in April of 2014, due to a complaint of pain in her lower left side. CT scan showed metastases in a retroperitoneal lymph node and muscles of the back. The FOLFIRINOX</w:t>
      </w:r>
      <w:r w:rsidRPr="002A2067" w:rsidDel="00E50116">
        <w:rPr>
          <w:rFonts w:ascii="Book Antiqua" w:hAnsi="Book Antiqua"/>
          <w:sz w:val="24"/>
          <w:szCs w:val="24"/>
          <w:lang w:val="en-US"/>
        </w:rPr>
        <w:t xml:space="preserve"> </w:t>
      </w:r>
      <w:r w:rsidRPr="002A2067">
        <w:rPr>
          <w:rFonts w:ascii="Book Antiqua" w:hAnsi="Book Antiqua"/>
          <w:sz w:val="24"/>
          <w:szCs w:val="24"/>
          <w:lang w:val="en-US"/>
        </w:rPr>
        <w:t>chemotherapy regimen was resumed in May of 2014. The most recent CT scan (performed in August of 2014) showed partial remission of the retroperitoneal lymph node metastasis. No liver metastases have been detected since the initial diagnosis in January of 2013 (Table 1).</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Patient 2</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A 45-year-old Caucasian male was admitted to the hospital via the emergency room in January of 2013. The patient’s symptoms included increasing dyspnea, nausea and abdominal pain, and chronic pain in the left shoulder. The patient had been diagnosed with non-Hodgkin lymphoma in 1996, which had been resolved by treatment with rituximab and the standard </w:t>
      </w:r>
      <w:r w:rsidRPr="002A2067">
        <w:rPr>
          <w:rFonts w:ascii="Book Antiqua" w:hAnsi="Book Antiqua" w:cs="Arial"/>
          <w:sz w:val="24"/>
          <w:szCs w:val="24"/>
          <w:lang w:val="en-US" w:eastAsia="de-DE"/>
        </w:rPr>
        <w:t>cyclophosphamide, doxorubicin, vincristine and prednisone</w:t>
      </w:r>
      <w:r w:rsidRPr="002A2067">
        <w:rPr>
          <w:rFonts w:ascii="Book Antiqua" w:hAnsi="Book Antiqua"/>
          <w:sz w:val="24"/>
          <w:szCs w:val="24"/>
          <w:lang w:val="en-US"/>
        </w:rPr>
        <w:t xml:space="preserve"> (CHOP</w:t>
      </w:r>
      <w:r w:rsidRPr="002A2067">
        <w:rPr>
          <w:rFonts w:ascii="Book Antiqua" w:hAnsi="Book Antiqua" w:cs="Arial"/>
          <w:sz w:val="24"/>
          <w:szCs w:val="24"/>
          <w:lang w:val="en-US" w:eastAsia="de-DE"/>
        </w:rPr>
        <w:t>) regimen</w:t>
      </w:r>
      <w:r w:rsidRPr="002A2067">
        <w:rPr>
          <w:rFonts w:ascii="Book Antiqua" w:hAnsi="Book Antiqua"/>
          <w:sz w:val="24"/>
          <w:szCs w:val="24"/>
          <w:lang w:val="en-US"/>
        </w:rPr>
        <w:t xml:space="preserve">. Epigastric pain was the only pathological clinical finding during the clinical exam. The patient reported unintentional weight loss (2 kg) within the last 2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during which time he had been taking the following standard medications: </w:t>
      </w:r>
      <w:proofErr w:type="spellStart"/>
      <w:r w:rsidRPr="002A2067">
        <w:rPr>
          <w:rFonts w:ascii="Book Antiqua" w:hAnsi="Book Antiqua"/>
          <w:sz w:val="24"/>
          <w:szCs w:val="24"/>
          <w:lang w:val="en-US"/>
        </w:rPr>
        <w:t>Tilidin</w:t>
      </w:r>
      <w:proofErr w:type="spellEnd"/>
      <w:r w:rsidRPr="002A2067">
        <w:rPr>
          <w:rFonts w:ascii="Book Antiqua" w:hAnsi="Book Antiqua"/>
          <w:sz w:val="24"/>
          <w:szCs w:val="24"/>
          <w:lang w:val="en-US"/>
        </w:rPr>
        <w:t>/</w:t>
      </w:r>
      <w:proofErr w:type="spellStart"/>
      <w:r w:rsidRPr="002A2067">
        <w:rPr>
          <w:rFonts w:ascii="Book Antiqua" w:hAnsi="Book Antiqua"/>
          <w:sz w:val="24"/>
          <w:szCs w:val="24"/>
          <w:lang w:val="en-US"/>
        </w:rPr>
        <w:t>Naloxon</w:t>
      </w:r>
      <w:proofErr w:type="spellEnd"/>
      <w:r w:rsidRPr="002A2067">
        <w:rPr>
          <w:rFonts w:ascii="Book Antiqua" w:hAnsi="Book Antiqua"/>
          <w:sz w:val="24"/>
          <w:szCs w:val="24"/>
          <w:lang w:val="en-US"/>
        </w:rPr>
        <w:t xml:space="preserve"> (at 100 mg/8 mg; extended release tablet 1-0-1), ibuprofen (at 600 mg; 1-0-1), </w:t>
      </w:r>
      <w:proofErr w:type="spellStart"/>
      <w:r w:rsidRPr="002A2067">
        <w:rPr>
          <w:rFonts w:ascii="Book Antiqua" w:hAnsi="Book Antiqua"/>
          <w:sz w:val="24"/>
          <w:szCs w:val="24"/>
          <w:lang w:val="en-US"/>
        </w:rPr>
        <w:t>pantoprazol</w:t>
      </w:r>
      <w:proofErr w:type="spellEnd"/>
      <w:r w:rsidRPr="002A2067">
        <w:rPr>
          <w:rFonts w:ascii="Book Antiqua" w:hAnsi="Book Antiqua"/>
          <w:sz w:val="24"/>
          <w:szCs w:val="24"/>
          <w:lang w:val="en-US"/>
        </w:rPr>
        <w:t xml:space="preserve"> (at 40 mg; 0-0-1), </w:t>
      </w:r>
      <w:proofErr w:type="spellStart"/>
      <w:r w:rsidRPr="002A2067">
        <w:rPr>
          <w:rFonts w:ascii="Book Antiqua" w:hAnsi="Book Antiqua"/>
          <w:sz w:val="24"/>
          <w:szCs w:val="24"/>
          <w:lang w:val="en-US"/>
        </w:rPr>
        <w:t>metamizol</w:t>
      </w:r>
      <w:proofErr w:type="spellEnd"/>
      <w:r w:rsidRPr="002A2067">
        <w:rPr>
          <w:rFonts w:ascii="Book Antiqua" w:hAnsi="Book Antiqua"/>
          <w:sz w:val="24"/>
          <w:szCs w:val="24"/>
          <w:lang w:val="en-US"/>
        </w:rPr>
        <w:t xml:space="preserve"> as needed (at 4</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40°) and </w:t>
      </w:r>
      <w:proofErr w:type="spellStart"/>
      <w:r w:rsidRPr="002A2067">
        <w:rPr>
          <w:rFonts w:ascii="Book Antiqua" w:hAnsi="Book Antiqua"/>
          <w:sz w:val="24"/>
          <w:szCs w:val="24"/>
          <w:lang w:val="en-US"/>
        </w:rPr>
        <w:t>bromazepam</w:t>
      </w:r>
      <w:proofErr w:type="spellEnd"/>
      <w:r w:rsidRPr="002A2067">
        <w:rPr>
          <w:rFonts w:ascii="Book Antiqua" w:hAnsi="Book Antiqua"/>
          <w:sz w:val="24"/>
          <w:szCs w:val="24"/>
          <w:lang w:val="en-US"/>
        </w:rPr>
        <w:t xml:space="preserve"> as needed daily (¼ of a 3 mg tablet). The patient presented with elevated levels of C-reactive protein (CRP: 2.3 mg/</w:t>
      </w:r>
      <w:proofErr w:type="spellStart"/>
      <w:r w:rsidRPr="002A2067">
        <w:rPr>
          <w:rFonts w:ascii="Book Antiqua" w:hAnsi="Book Antiqua"/>
          <w:sz w:val="24"/>
          <w:szCs w:val="24"/>
          <w:lang w:val="en-US"/>
        </w:rPr>
        <w:t>dL</w:t>
      </w:r>
      <w:proofErr w:type="spellEnd"/>
      <w:r w:rsidRPr="002A2067">
        <w:rPr>
          <w:rFonts w:ascii="Book Antiqua" w:hAnsi="Book Antiqua"/>
          <w:sz w:val="24"/>
          <w:szCs w:val="24"/>
          <w:lang w:val="en-US"/>
        </w:rPr>
        <w:t>; normal: &lt;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0.5 mg/</w:t>
      </w:r>
      <w:proofErr w:type="spellStart"/>
      <w:r w:rsidRPr="002A2067">
        <w:rPr>
          <w:rFonts w:ascii="Book Antiqua" w:hAnsi="Book Antiqua"/>
          <w:sz w:val="24"/>
          <w:szCs w:val="24"/>
          <w:lang w:val="en-US"/>
        </w:rPr>
        <w:t>dL</w:t>
      </w:r>
      <w:proofErr w:type="spellEnd"/>
      <w:r w:rsidRPr="002A2067">
        <w:rPr>
          <w:rFonts w:ascii="Book Antiqua" w:hAnsi="Book Antiqua"/>
          <w:sz w:val="24"/>
          <w:szCs w:val="24"/>
          <w:lang w:val="en-US"/>
        </w:rPr>
        <w:t>), gamma–</w:t>
      </w:r>
      <w:proofErr w:type="spellStart"/>
      <w:r w:rsidRPr="002A2067">
        <w:rPr>
          <w:rFonts w:ascii="Book Antiqua" w:hAnsi="Book Antiqua"/>
          <w:sz w:val="24"/>
          <w:szCs w:val="24"/>
          <w:lang w:val="en-US"/>
        </w:rPr>
        <w:t>glutamyl</w:t>
      </w:r>
      <w:proofErr w:type="spellEnd"/>
      <w:r w:rsidRPr="002A2067">
        <w:rPr>
          <w:rFonts w:ascii="Book Antiqua" w:hAnsi="Book Antiqua"/>
          <w:sz w:val="24"/>
          <w:szCs w:val="24"/>
          <w:lang w:val="en-US"/>
        </w:rPr>
        <w:t xml:space="preserve"> </w:t>
      </w:r>
      <w:proofErr w:type="spellStart"/>
      <w:r w:rsidRPr="002A2067">
        <w:rPr>
          <w:rFonts w:ascii="Book Antiqua" w:hAnsi="Book Antiqua"/>
          <w:sz w:val="24"/>
          <w:szCs w:val="24"/>
          <w:lang w:val="en-US"/>
        </w:rPr>
        <w:t>transferase</w:t>
      </w:r>
      <w:proofErr w:type="spellEnd"/>
      <w:r w:rsidRPr="002A2067">
        <w:rPr>
          <w:rFonts w:ascii="Book Antiqua" w:hAnsi="Book Antiqua"/>
          <w:sz w:val="24"/>
          <w:szCs w:val="24"/>
          <w:lang w:val="en-US"/>
        </w:rPr>
        <w:t xml:space="preserve"> (99 U/L; normal: &lt;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55 </w:t>
      </w:r>
      <w:r w:rsidRPr="002A2067">
        <w:rPr>
          <w:rFonts w:ascii="Book Antiqua" w:hAnsi="Book Antiqua"/>
          <w:sz w:val="24"/>
          <w:szCs w:val="24"/>
          <w:lang w:val="en-US"/>
        </w:rPr>
        <w:lastRenderedPageBreak/>
        <w:t xml:space="preserve">U/L), </w:t>
      </w:r>
      <w:r w:rsidRPr="002A2067">
        <w:rPr>
          <w:rFonts w:ascii="Symbol" w:hAnsi="Symbol"/>
          <w:sz w:val="24"/>
          <w:szCs w:val="24"/>
          <w:lang w:val="en-US"/>
        </w:rPr>
        <w:t></w:t>
      </w:r>
      <w:r w:rsidRPr="002A2067">
        <w:rPr>
          <w:rFonts w:ascii="Book Antiqua" w:hAnsi="Book Antiqua"/>
          <w:sz w:val="24"/>
          <w:szCs w:val="24"/>
          <w:lang w:val="en-US"/>
        </w:rPr>
        <w:t>2-microglobulin (2.01 mg/L; normal: 0.8-1.8 mg/L), CEA (3.8 µg/L; normal: &lt;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3.4 µg/L), and D–dimer (1.61 mg/</w:t>
      </w:r>
      <w:proofErr w:type="spellStart"/>
      <w:r w:rsidRPr="002A2067">
        <w:rPr>
          <w:rFonts w:ascii="Book Antiqua" w:hAnsi="Book Antiqua"/>
          <w:sz w:val="24"/>
          <w:szCs w:val="24"/>
          <w:lang w:val="en-US"/>
        </w:rPr>
        <w:t>dL</w:t>
      </w:r>
      <w:proofErr w:type="spellEnd"/>
      <w:r w:rsidRPr="002A2067">
        <w:rPr>
          <w:rFonts w:ascii="Book Antiqua" w:hAnsi="Book Antiqua"/>
          <w:sz w:val="24"/>
          <w:szCs w:val="24"/>
          <w:lang w:val="en-US"/>
        </w:rPr>
        <w:t>; normal: &lt;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0.50 mg/L). However, the </w:t>
      </w:r>
      <w:r w:rsidRPr="002A2067">
        <w:rPr>
          <w:rFonts w:ascii="Book Antiqua" w:hAnsi="Book Antiqua"/>
          <w:color w:val="000000"/>
          <w:sz w:val="24"/>
          <w:szCs w:val="24"/>
          <w:lang w:val="en-US"/>
        </w:rPr>
        <w:t>CA19-9 marker level was within normal range (16.9 U/mL; normal: &lt;</w:t>
      </w:r>
      <w:r w:rsidR="00155B05">
        <w:rPr>
          <w:rFonts w:ascii="Book Antiqua" w:hAnsi="Book Antiqua" w:hint="eastAsia"/>
          <w:color w:val="000000"/>
          <w:sz w:val="24"/>
          <w:szCs w:val="24"/>
          <w:lang w:val="en-US" w:eastAsia="zh-CN"/>
        </w:rPr>
        <w:t xml:space="preserve"> </w:t>
      </w:r>
      <w:r w:rsidRPr="002A2067">
        <w:rPr>
          <w:rFonts w:ascii="Book Antiqua" w:hAnsi="Book Antiqua"/>
          <w:color w:val="000000"/>
          <w:sz w:val="24"/>
          <w:szCs w:val="24"/>
          <w:lang w:val="en-US"/>
        </w:rPr>
        <w:t xml:space="preserve">27 U/mL). A chest CT </w:t>
      </w:r>
      <w:r w:rsidRPr="002A2067">
        <w:rPr>
          <w:rFonts w:ascii="Book Antiqua" w:hAnsi="Book Antiqua"/>
          <w:sz w:val="24"/>
          <w:szCs w:val="24"/>
          <w:lang w:val="en-US"/>
        </w:rPr>
        <w:t>ruled out pulmonary embolism, but showed an area in the tail of the pancreas with possibility as a neoplasm, as well as positive lymph nodes and suspicious peritoneal areas. Subsequent ultrasound showed a tumor in the tail of the pancreas that was in contact with the splenic artery. An abdominal CT confirmed the presence of a 4.3</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5.4 cm neoplasm in the tail of the pancreas with infiltration of the spleen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 xml:space="preserve">F, G), as well as multiple hepatic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 xml:space="preserve">E), nodal and peritoneal metastases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A</w:t>
      </w:r>
      <w:r w:rsidR="001624C3">
        <w:rPr>
          <w:rFonts w:ascii="Book Antiqua" w:hAnsi="Book Antiqua" w:hint="eastAsia"/>
          <w:sz w:val="24"/>
          <w:szCs w:val="24"/>
          <w:lang w:val="en-US" w:eastAsia="zh-CN"/>
        </w:rPr>
        <w:t xml:space="preserve"> and</w:t>
      </w:r>
      <w:r w:rsidRPr="002A2067">
        <w:rPr>
          <w:rFonts w:ascii="Book Antiqua" w:hAnsi="Book Antiqua"/>
          <w:sz w:val="24"/>
          <w:szCs w:val="24"/>
          <w:lang w:val="en-US"/>
        </w:rPr>
        <w:t xml:space="preserve"> B). An endoscopic ultrasound indicated the stage was T4, N1, </w:t>
      </w:r>
      <w:proofErr w:type="spellStart"/>
      <w:r w:rsidRPr="002A2067">
        <w:rPr>
          <w:rFonts w:ascii="Book Antiqua" w:hAnsi="Book Antiqua"/>
          <w:sz w:val="24"/>
          <w:szCs w:val="24"/>
          <w:lang w:val="en-US"/>
        </w:rPr>
        <w:t>Mx</w:t>
      </w:r>
      <w:proofErr w:type="spellEnd"/>
      <w:r w:rsidRPr="002A2067">
        <w:rPr>
          <w:rFonts w:ascii="Book Antiqua" w:hAnsi="Book Antiqua"/>
          <w:sz w:val="24"/>
          <w:szCs w:val="24"/>
          <w:lang w:val="en-US"/>
        </w:rPr>
        <w:t xml:space="preserve">. Ultimately, fine needle biopsy of the lesion via oral endoscopic ultrasound led to the diagnosis of a ductal pancreatic adenocarcinoma (G2) in the tail of the pancreas. Immunohistochemistry analysis of the biopsied tissue showed a significant positive reaction to cytokeratin 7 antibodies, as well as a positive focal reaction to CA19-9 antibodies. </w:t>
      </w:r>
      <w:proofErr w:type="spellStart"/>
      <w:r w:rsidRPr="002A2067">
        <w:rPr>
          <w:rFonts w:ascii="Book Antiqua" w:hAnsi="Book Antiqua"/>
          <w:sz w:val="24"/>
          <w:szCs w:val="24"/>
          <w:lang w:val="en-US"/>
        </w:rPr>
        <w:t>Immunoreactivity</w:t>
      </w:r>
      <w:proofErr w:type="spellEnd"/>
      <w:r w:rsidRPr="002A2067">
        <w:rPr>
          <w:rFonts w:ascii="Book Antiqua" w:hAnsi="Book Antiqua"/>
          <w:sz w:val="24"/>
          <w:szCs w:val="24"/>
          <w:lang w:val="en-US"/>
        </w:rPr>
        <w:t xml:space="preserve"> to MIB1 antibodies showed expression in approximately 50% of the tumor tissue, and </w:t>
      </w:r>
      <w:proofErr w:type="spellStart"/>
      <w:r w:rsidRPr="002A2067">
        <w:rPr>
          <w:rFonts w:ascii="Book Antiqua" w:hAnsi="Book Antiqua"/>
          <w:sz w:val="24"/>
          <w:szCs w:val="24"/>
          <w:lang w:val="en-US"/>
        </w:rPr>
        <w:t>immunoreactivity</w:t>
      </w:r>
      <w:proofErr w:type="spellEnd"/>
      <w:r w:rsidRPr="002A2067">
        <w:rPr>
          <w:rFonts w:ascii="Book Antiqua" w:hAnsi="Book Antiqua"/>
          <w:sz w:val="24"/>
          <w:szCs w:val="24"/>
          <w:lang w:val="en-US"/>
        </w:rPr>
        <w:t xml:space="preserve"> to p53 antibodies showed moderate to strong expression throughout.</w:t>
      </w:r>
      <w:r w:rsidR="00155B05">
        <w:rPr>
          <w:rFonts w:ascii="Book Antiqua" w:hAnsi="Book Antiqua"/>
          <w:sz w:val="24"/>
          <w:szCs w:val="24"/>
          <w:lang w:val="en-US"/>
        </w:rPr>
        <w:t xml:space="preserve"> </w:t>
      </w:r>
      <w:r w:rsidRPr="002A2067">
        <w:rPr>
          <w:rFonts w:ascii="Book Antiqua" w:hAnsi="Book Antiqua"/>
          <w:sz w:val="24"/>
          <w:szCs w:val="24"/>
          <w:lang w:val="en-US"/>
        </w:rPr>
        <w:t>In February of 2013, the patient was started on the FOLFIRINOX regimen (85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 180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400 mg/m</w:t>
      </w:r>
      <w:r w:rsidRPr="002A2067">
        <w:rPr>
          <w:rFonts w:ascii="Book Antiqua" w:hAnsi="Book Antiqua"/>
          <w:sz w:val="24"/>
          <w:szCs w:val="24"/>
          <w:vertAlign w:val="superscript"/>
          <w:lang w:val="en-US"/>
        </w:rPr>
        <w:t xml:space="preserve">2 </w:t>
      </w:r>
      <w:r w:rsidRPr="002A2067">
        <w:rPr>
          <w:rFonts w:ascii="Book Antiqua" w:hAnsi="Book Antiqua"/>
          <w:sz w:val="24"/>
          <w:szCs w:val="24"/>
          <w:lang w:val="en-US"/>
        </w:rPr>
        <w:t>bolus of 5-FU, and 2400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&gt;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46 h of 5-FU; 6 cycles of 100% dose). The patient suffered from complications during chemotherapy, including pneumonia in the left lung and a deep vein thrombosis with pulmonary embolism.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ab/>
        <w:t xml:space="preserve">After 3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of the chemotherapy treatment, a decline in tumor growth was observed and the decision to continue treatment with FOLFIRINOX was made (6 cycles of 75</w:t>
      </w:r>
      <w:r w:rsidR="00155B05">
        <w:rPr>
          <w:rFonts w:ascii="Book Antiqua" w:hAnsi="Book Antiqua" w:hint="eastAsia"/>
          <w:sz w:val="24"/>
          <w:szCs w:val="24"/>
          <w:lang w:val="en-US" w:eastAsia="zh-CN"/>
        </w:rPr>
        <w:t>%</w:t>
      </w:r>
      <w:r w:rsidRPr="002A2067">
        <w:rPr>
          <w:rFonts w:ascii="Book Antiqua" w:hAnsi="Book Antiqua"/>
          <w:sz w:val="24"/>
          <w:szCs w:val="24"/>
          <w:lang w:val="en-US"/>
        </w:rPr>
        <w:t xml:space="preserve">-100% dose). A subsequent CT scan performed in August of 2013 showed neither liver nor peritoneal metastases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 xml:space="preserve">C), and these findings were confirmed by positron emission tomography (PET)-CT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G</w:t>
      </w:r>
      <w:r w:rsidR="001624C3">
        <w:rPr>
          <w:rFonts w:ascii="Book Antiqua" w:hAnsi="Book Antiqua" w:hint="eastAsia"/>
          <w:sz w:val="24"/>
          <w:szCs w:val="24"/>
          <w:lang w:val="en-US" w:eastAsia="zh-CN"/>
        </w:rPr>
        <w:t xml:space="preserve"> and</w:t>
      </w:r>
      <w:r w:rsidRPr="002A2067">
        <w:rPr>
          <w:rFonts w:ascii="Book Antiqua" w:hAnsi="Book Antiqua"/>
          <w:sz w:val="24"/>
          <w:szCs w:val="24"/>
          <w:lang w:val="en-US"/>
        </w:rPr>
        <w:t xml:space="preserve"> H). In September of 2013, the patient underwent surgery with a </w:t>
      </w:r>
      <w:proofErr w:type="spellStart"/>
      <w:r w:rsidRPr="002A2067">
        <w:rPr>
          <w:rFonts w:ascii="Book Antiqua" w:hAnsi="Book Antiqua"/>
          <w:sz w:val="24"/>
          <w:szCs w:val="24"/>
          <w:lang w:val="en-US"/>
        </w:rPr>
        <w:t>multivisceral</w:t>
      </w:r>
      <w:proofErr w:type="spellEnd"/>
      <w:r w:rsidRPr="002A2067">
        <w:rPr>
          <w:rFonts w:ascii="Book Antiqua" w:hAnsi="Book Antiqua"/>
          <w:sz w:val="24"/>
          <w:szCs w:val="24"/>
          <w:lang w:val="en-US"/>
        </w:rPr>
        <w:t xml:space="preserve"> resection of the tail and body of the pancreas, an adrenal gland resection on the left side, a resection of the spleen, a large bowel resection on the left side with </w:t>
      </w:r>
      <w:proofErr w:type="spellStart"/>
      <w:r w:rsidRPr="002A2067">
        <w:rPr>
          <w:rFonts w:ascii="Book Antiqua" w:hAnsi="Book Antiqua"/>
          <w:sz w:val="24"/>
          <w:szCs w:val="24"/>
          <w:lang w:val="en-US"/>
        </w:rPr>
        <w:t>transverso-descendostomy</w:t>
      </w:r>
      <w:proofErr w:type="spellEnd"/>
      <w:r w:rsidRPr="002A2067">
        <w:rPr>
          <w:rFonts w:ascii="Book Antiqua" w:hAnsi="Book Antiqua"/>
          <w:sz w:val="24"/>
          <w:szCs w:val="24"/>
          <w:lang w:val="en-US"/>
        </w:rPr>
        <w:t xml:space="preserve">, a resection of the cranial part of the kidney on the left </w:t>
      </w:r>
      <w:r w:rsidRPr="002A2067">
        <w:rPr>
          <w:rFonts w:ascii="Book Antiqua" w:hAnsi="Book Antiqua"/>
          <w:sz w:val="24"/>
          <w:szCs w:val="24"/>
          <w:lang w:val="en-US"/>
        </w:rPr>
        <w:lastRenderedPageBreak/>
        <w:t>side, a gall bladder resection, an atypical liver resection segment V (1.7</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1.5</w:t>
      </w:r>
      <w:r w:rsidR="00155B05" w:rsidRPr="00155B05">
        <w:rPr>
          <w:rFonts w:ascii="Book Antiqua" w:hAnsi="Book Antiqua"/>
          <w:sz w:val="24"/>
          <w:szCs w:val="24"/>
          <w:lang w:val="en-US"/>
        </w:rPr>
        <w:t xml:space="preserve"> </w:t>
      </w:r>
      <w:r w:rsidR="00155B05" w:rsidRPr="002A2067">
        <w:rPr>
          <w:rFonts w:ascii="Book Antiqua" w:hAnsi="Book Antiqua"/>
          <w:sz w:val="24"/>
          <w:szCs w:val="24"/>
          <w:lang w:val="en-US"/>
        </w:rPr>
        <w:t xml:space="preserve">cm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 xml:space="preserve">0.7 cm), an aortic lymph nodal dissection and a celiac lymph node dissection. Postoperatively, the patient’s stage was ypT3, ypN0 (0/10), V1, L0, Pn0, R0 and </w:t>
      </w:r>
      <w:proofErr w:type="spellStart"/>
      <w:r w:rsidRPr="002A2067">
        <w:rPr>
          <w:rFonts w:ascii="Book Antiqua" w:hAnsi="Book Antiqua"/>
          <w:sz w:val="24"/>
          <w:szCs w:val="24"/>
          <w:lang w:val="en-US"/>
        </w:rPr>
        <w:t>Dworak</w:t>
      </w:r>
      <w:proofErr w:type="spellEnd"/>
      <w:r w:rsidRPr="002A2067">
        <w:rPr>
          <w:rFonts w:ascii="Book Antiqua" w:hAnsi="Book Antiqua"/>
          <w:sz w:val="24"/>
          <w:szCs w:val="24"/>
          <w:lang w:val="en-US"/>
        </w:rPr>
        <w:t xml:space="preserve"> TRG 3 (Figure </w:t>
      </w:r>
      <w:r w:rsidR="001624C3">
        <w:rPr>
          <w:rFonts w:ascii="Book Antiqua" w:hAnsi="Book Antiqua" w:hint="eastAsia"/>
          <w:sz w:val="24"/>
          <w:szCs w:val="24"/>
          <w:lang w:val="en-US" w:eastAsia="zh-CN"/>
        </w:rPr>
        <w:t>2</w:t>
      </w:r>
      <w:r w:rsidR="001624C3" w:rsidRPr="002A2067">
        <w:rPr>
          <w:rFonts w:ascii="Book Antiqua" w:hAnsi="Book Antiqua"/>
          <w:sz w:val="24"/>
          <w:szCs w:val="24"/>
          <w:lang w:val="en-US"/>
        </w:rPr>
        <w:t xml:space="preserve"> </w:t>
      </w:r>
      <w:r w:rsidRPr="002A2067">
        <w:rPr>
          <w:rFonts w:ascii="Book Antiqua" w:hAnsi="Book Antiqua"/>
          <w:sz w:val="24"/>
          <w:szCs w:val="24"/>
          <w:lang w:val="en-US"/>
        </w:rPr>
        <w:t xml:space="preserve">B). As there were no previous cases for adjuvant treatment involving initial metastatic pancreatic carcinoma and an initially advanced metastatic stage, the decision was made in November of 2013 to continue treatment with FOLFIRINOX. The chemotherapy regimen, however, was delivered at 75% of the full dose to address the patient’s frequent presentation of leukopenia in the adjuvant phase. The FOLFIRINOX treatment was discontinued in May of 2014 (Table 1), and the last CT scan (performed in June of 2014) showed no metastatic lesions (Figure </w:t>
      </w:r>
      <w:r w:rsidR="001624C3">
        <w:rPr>
          <w:rFonts w:ascii="Book Antiqua" w:hAnsi="Book Antiqua" w:hint="eastAsia"/>
          <w:sz w:val="24"/>
          <w:szCs w:val="24"/>
          <w:lang w:val="en-US" w:eastAsia="zh-CN"/>
        </w:rPr>
        <w:t>3</w:t>
      </w:r>
      <w:r w:rsidR="001624C3" w:rsidRPr="002A2067">
        <w:rPr>
          <w:rFonts w:ascii="Book Antiqua" w:hAnsi="Book Antiqua"/>
          <w:sz w:val="24"/>
          <w:szCs w:val="24"/>
          <w:lang w:val="en-US"/>
        </w:rPr>
        <w:t xml:space="preserve"> </w:t>
      </w:r>
      <w:r w:rsidRPr="002A2067">
        <w:rPr>
          <w:rFonts w:ascii="Book Antiqua" w:hAnsi="Book Antiqua"/>
          <w:sz w:val="24"/>
          <w:szCs w:val="24"/>
          <w:lang w:val="en-US"/>
        </w:rPr>
        <w:t xml:space="preserve">D).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color w:val="FF0000"/>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DISCUSSION</w:t>
      </w:r>
    </w:p>
    <w:p w:rsidR="00913789" w:rsidRPr="002A2067" w:rsidRDefault="00913789" w:rsidP="00B35EBD">
      <w:pPr>
        <w:adjustRightInd w:val="0"/>
        <w:snapToGrid w:val="0"/>
        <w:spacing w:after="0" w:line="360" w:lineRule="auto"/>
        <w:jc w:val="both"/>
        <w:rPr>
          <w:rFonts w:ascii="Book Antiqua" w:hAnsi="Book Antiqua"/>
          <w:strike/>
          <w:sz w:val="24"/>
          <w:szCs w:val="24"/>
          <w:lang w:val="en-US"/>
        </w:rPr>
      </w:pPr>
      <w:r w:rsidRPr="002A2067">
        <w:rPr>
          <w:rFonts w:ascii="Book Antiqua" w:hAnsi="Book Antiqua"/>
          <w:sz w:val="24"/>
          <w:szCs w:val="24"/>
          <w:lang w:val="en-US"/>
        </w:rPr>
        <w:t>The prognosis of carcinoma of the pancreas is very poor, especially when metastasis has occurred. One-year survival rates of patients with metastatic pancreatic carcinoma treated with gemcitabine are between 18% and 20</w:t>
      </w:r>
      <w:proofErr w:type="gramStart"/>
      <w:r w:rsidRPr="002A2067">
        <w:rPr>
          <w:rFonts w:ascii="Book Antiqua" w:hAnsi="Book Antiqua"/>
          <w:sz w:val="24"/>
          <w:szCs w:val="24"/>
          <w:lang w:val="en-US"/>
        </w:rPr>
        <w:t>%</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3]</w:t>
      </w:r>
      <w:r w:rsidRPr="002A2067">
        <w:rPr>
          <w:rFonts w:ascii="Book Antiqua" w:hAnsi="Book Antiqua"/>
          <w:sz w:val="24"/>
          <w:szCs w:val="24"/>
          <w:lang w:val="en-US"/>
        </w:rPr>
        <w:t xml:space="preserve">. In recent years, new treatment options, such as </w:t>
      </w:r>
      <w:proofErr w:type="gramStart"/>
      <w:r w:rsidRPr="002A2067">
        <w:rPr>
          <w:rFonts w:ascii="Book Antiqua" w:hAnsi="Book Antiqua"/>
          <w:sz w:val="24"/>
          <w:szCs w:val="24"/>
          <w:lang w:val="en-US"/>
        </w:rPr>
        <w:t>FOLFIRINOX</w:t>
      </w:r>
      <w:r w:rsidR="00155B05">
        <w:rPr>
          <w:rFonts w:ascii="Book Antiqua" w:hAnsi="Book Antiqua"/>
          <w:sz w:val="24"/>
          <w:szCs w:val="24"/>
          <w:vertAlign w:val="superscript"/>
          <w:lang w:val="en-US"/>
        </w:rPr>
        <w:t>[</w:t>
      </w:r>
      <w:proofErr w:type="gramEnd"/>
      <w:r w:rsidR="00155B05">
        <w:rPr>
          <w:rFonts w:ascii="Book Antiqua" w:hAnsi="Book Antiqua"/>
          <w:sz w:val="24"/>
          <w:szCs w:val="24"/>
          <w:vertAlign w:val="superscript"/>
          <w:lang w:val="en-US"/>
        </w:rPr>
        <w:t>7,</w:t>
      </w:r>
      <w:r w:rsidRPr="002A2067">
        <w:rPr>
          <w:rFonts w:ascii="Book Antiqua" w:hAnsi="Book Antiqua"/>
          <w:sz w:val="24"/>
          <w:szCs w:val="24"/>
          <w:vertAlign w:val="superscript"/>
          <w:lang w:val="en-US"/>
        </w:rPr>
        <w:t>10]</w:t>
      </w:r>
      <w:r w:rsidRPr="002A2067">
        <w:rPr>
          <w:rFonts w:ascii="Book Antiqua" w:hAnsi="Book Antiqua"/>
          <w:sz w:val="24"/>
          <w:szCs w:val="24"/>
          <w:lang w:val="en-US"/>
        </w:rPr>
        <w:t xml:space="preserve"> or gemcitabine/nab-paclitaxel, have been introduced and have provided life-extending benefits for patients with metastasized pancreatic carcinomas</w:t>
      </w:r>
      <w:r w:rsidRPr="002A2067">
        <w:rPr>
          <w:rFonts w:ascii="Book Antiqua" w:hAnsi="Book Antiqua"/>
          <w:sz w:val="24"/>
          <w:szCs w:val="24"/>
          <w:vertAlign w:val="superscript"/>
          <w:lang w:val="en-US"/>
        </w:rPr>
        <w:t>[4]</w:t>
      </w:r>
      <w:r w:rsidRPr="002A2067">
        <w:rPr>
          <w:rFonts w:ascii="Book Antiqua" w:hAnsi="Book Antiqua"/>
          <w:sz w:val="24"/>
          <w:szCs w:val="24"/>
          <w:lang w:val="en-US"/>
        </w:rPr>
        <w:t xml:space="preserve">. The FOLFIRINOX chemotherapy regimen extends life by an average of 11.1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and prolongs progression-free survival rate to 6.4 </w:t>
      </w:r>
      <w:proofErr w:type="spellStart"/>
      <w:r w:rsidRPr="002A2067">
        <w:rPr>
          <w:rFonts w:ascii="Book Antiqua" w:hAnsi="Book Antiqua"/>
          <w:sz w:val="24"/>
          <w:szCs w:val="24"/>
          <w:lang w:val="en-US"/>
        </w:rPr>
        <w:t>mo</w:t>
      </w:r>
      <w:proofErr w:type="spellEnd"/>
      <w:r w:rsidRPr="002A2067">
        <w:rPr>
          <w:rFonts w:ascii="Book Antiqua" w:hAnsi="Book Antiqua"/>
          <w:sz w:val="24"/>
          <w:szCs w:val="24"/>
          <w:lang w:val="en-US"/>
        </w:rPr>
        <w:t xml:space="preserve"> longer than the gemcitabine </w:t>
      </w:r>
      <w:proofErr w:type="gramStart"/>
      <w:r w:rsidRPr="002A2067">
        <w:rPr>
          <w:rFonts w:ascii="Book Antiqua" w:hAnsi="Book Antiqua"/>
          <w:sz w:val="24"/>
          <w:szCs w:val="24"/>
          <w:lang w:val="en-US"/>
        </w:rPr>
        <w:t>therapy</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7]</w:t>
      </w:r>
      <w:r w:rsidRPr="002A2067">
        <w:rPr>
          <w:rFonts w:ascii="Book Antiqua" w:hAnsi="Book Antiqua"/>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ab/>
        <w:t xml:space="preserve">This report describes two patients with hepatic metastases who achieved complete remission following treatment with FOLFIRINOX and a subsequent R0 resection of the primary tumors in the tail of the pancreas. For the first case, the patient is still alive 26 </w:t>
      </w:r>
      <w:proofErr w:type="spellStart"/>
      <w:proofErr w:type="gramStart"/>
      <w:r w:rsidRPr="002A2067">
        <w:rPr>
          <w:rFonts w:ascii="Book Antiqua" w:hAnsi="Book Antiqua"/>
          <w:sz w:val="24"/>
          <w:szCs w:val="24"/>
          <w:lang w:val="en-US"/>
        </w:rPr>
        <w:t>mo</w:t>
      </w:r>
      <w:proofErr w:type="spellEnd"/>
      <w:proofErr w:type="gramEnd"/>
      <w:r w:rsidRPr="002A2067">
        <w:rPr>
          <w:rFonts w:ascii="Book Antiqua" w:hAnsi="Book Antiqua"/>
          <w:sz w:val="24"/>
          <w:szCs w:val="24"/>
          <w:lang w:val="en-US"/>
        </w:rPr>
        <w:t xml:space="preserve"> after the initial diagnosis; although the patient developed a new retroperitoneal lymph node metastasis at 1 year after the surgical resection. For the second case, the patient was still in complete remission at the time of this report (22 </w:t>
      </w:r>
      <w:proofErr w:type="spellStart"/>
      <w:proofErr w:type="gramStart"/>
      <w:r w:rsidRPr="002A2067">
        <w:rPr>
          <w:rFonts w:ascii="Book Antiqua" w:hAnsi="Book Antiqua"/>
          <w:sz w:val="24"/>
          <w:szCs w:val="24"/>
          <w:lang w:val="en-US"/>
        </w:rPr>
        <w:t>mo</w:t>
      </w:r>
      <w:proofErr w:type="spellEnd"/>
      <w:proofErr w:type="gramEnd"/>
      <w:r w:rsidRPr="002A2067">
        <w:rPr>
          <w:rFonts w:ascii="Book Antiqua" w:hAnsi="Book Antiqua"/>
          <w:sz w:val="24"/>
          <w:szCs w:val="24"/>
          <w:lang w:val="en-US"/>
        </w:rPr>
        <w:t xml:space="preserve"> after the initial diagnosis). Surgical resection may have provided a complete cure, but this conclusion is subject to the findings that will come from future clinical follow-ups. Interestingly, to date neither patient has shown recurrent hepatic metastases, though hepatic resections have not been taken.</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lastRenderedPageBreak/>
        <w:tab/>
        <w:t xml:space="preserve">A previously published case reported similar findings for a patient with pancreatic neoplasia and pathological findings in the lymph nodes near the superior mesenteric artery, as well as a </w:t>
      </w:r>
      <w:proofErr w:type="spellStart"/>
      <w:r w:rsidRPr="002A2067">
        <w:rPr>
          <w:rFonts w:ascii="Book Antiqua" w:hAnsi="Book Antiqua"/>
          <w:sz w:val="24"/>
          <w:szCs w:val="24"/>
          <w:lang w:val="en-US"/>
        </w:rPr>
        <w:t>paraaortal</w:t>
      </w:r>
      <w:proofErr w:type="spellEnd"/>
      <w:r w:rsidRPr="002A2067">
        <w:rPr>
          <w:rFonts w:ascii="Book Antiqua" w:hAnsi="Book Antiqua"/>
          <w:sz w:val="24"/>
          <w:szCs w:val="24"/>
          <w:lang w:val="en-US"/>
        </w:rPr>
        <w:t xml:space="preserve"> </w:t>
      </w:r>
      <w:proofErr w:type="gramStart"/>
      <w:r w:rsidRPr="002A2067">
        <w:rPr>
          <w:rFonts w:ascii="Book Antiqua" w:hAnsi="Book Antiqua"/>
          <w:sz w:val="24"/>
          <w:szCs w:val="24"/>
          <w:lang w:val="en-US"/>
        </w:rPr>
        <w:t>lesion</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11]</w:t>
      </w:r>
      <w:r w:rsidRPr="002A2067">
        <w:rPr>
          <w:rFonts w:ascii="Book Antiqua" w:hAnsi="Book Antiqua"/>
          <w:sz w:val="24"/>
          <w:szCs w:val="24"/>
          <w:lang w:val="en-US"/>
        </w:rPr>
        <w:t xml:space="preserve">. Among the few studies on borderline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or </w:t>
      </w:r>
      <w:proofErr w:type="spellStart"/>
      <w:r w:rsidRPr="002A2067">
        <w:rPr>
          <w:rFonts w:ascii="Book Antiqua" w:hAnsi="Book Antiqua"/>
          <w:sz w:val="24"/>
          <w:szCs w:val="24"/>
          <w:lang w:val="en-US"/>
        </w:rPr>
        <w:t>nonresectable</w:t>
      </w:r>
      <w:proofErr w:type="spellEnd"/>
      <w:r w:rsidRPr="002A2067">
        <w:rPr>
          <w:rFonts w:ascii="Book Antiqua" w:hAnsi="Book Antiqua"/>
          <w:sz w:val="24"/>
          <w:szCs w:val="24"/>
          <w:lang w:val="en-US"/>
        </w:rPr>
        <w:t xml:space="preserve"> locally advanced carcinomas in response to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chemotherapy or </w:t>
      </w:r>
      <w:proofErr w:type="spellStart"/>
      <w:r w:rsidRPr="002A2067">
        <w:rPr>
          <w:rFonts w:ascii="Book Antiqua" w:hAnsi="Book Antiqua"/>
          <w:sz w:val="24"/>
          <w:szCs w:val="24"/>
          <w:lang w:val="en-US"/>
        </w:rPr>
        <w:t>radiochemotherapy</w:t>
      </w:r>
      <w:proofErr w:type="spellEnd"/>
      <w:r w:rsidRPr="002A2067">
        <w:rPr>
          <w:rFonts w:ascii="Book Antiqua" w:hAnsi="Book Antiqua"/>
          <w:sz w:val="24"/>
          <w:szCs w:val="24"/>
          <w:lang w:val="en-US"/>
        </w:rPr>
        <w:t xml:space="preserve"> that have been described in the </w:t>
      </w:r>
      <w:proofErr w:type="gramStart"/>
      <w:r w:rsidRPr="002A2067">
        <w:rPr>
          <w:rFonts w:ascii="Book Antiqua" w:hAnsi="Book Antiqua"/>
          <w:sz w:val="24"/>
          <w:szCs w:val="24"/>
          <w:lang w:val="en-US"/>
        </w:rPr>
        <w:t>literature</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2,8,9,12]</w:t>
      </w:r>
      <w:r w:rsidRPr="002A2067">
        <w:rPr>
          <w:rFonts w:ascii="Book Antiqua" w:hAnsi="Book Antiqua"/>
          <w:sz w:val="24"/>
          <w:szCs w:val="24"/>
          <w:lang w:val="en-US"/>
        </w:rPr>
        <w:t xml:space="preserve">, none investigated the potential </w:t>
      </w:r>
      <w:proofErr w:type="spellStart"/>
      <w:r w:rsidRPr="002A2067">
        <w:rPr>
          <w:rFonts w:ascii="Book Antiqua" w:hAnsi="Book Antiqua"/>
          <w:sz w:val="24"/>
          <w:szCs w:val="24"/>
          <w:lang w:val="en-US"/>
        </w:rPr>
        <w:t>resectability</w:t>
      </w:r>
      <w:proofErr w:type="spellEnd"/>
      <w:r w:rsidRPr="002A2067">
        <w:rPr>
          <w:rFonts w:ascii="Book Antiqua" w:hAnsi="Book Antiqua"/>
          <w:sz w:val="24"/>
          <w:szCs w:val="24"/>
          <w:lang w:val="en-US"/>
        </w:rPr>
        <w:t xml:space="preserve"> for cases of pancreatic carcinomas diagnosed with hepatic metastases.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ab/>
        <w:t xml:space="preserve">Both of the cases described herein involved carcinomas in the tail of the pancreas. A study by </w:t>
      </w:r>
      <w:proofErr w:type="spellStart"/>
      <w:r w:rsidRPr="002A2067">
        <w:rPr>
          <w:rFonts w:ascii="Book Antiqua" w:hAnsi="Book Antiqua"/>
          <w:sz w:val="24"/>
          <w:szCs w:val="24"/>
          <w:lang w:val="en-US"/>
        </w:rPr>
        <w:t>Lorgis</w:t>
      </w:r>
      <w:proofErr w:type="spellEnd"/>
      <w:r w:rsidRPr="002A2067">
        <w:rPr>
          <w:rFonts w:ascii="Book Antiqua" w:hAnsi="Book Antiqua"/>
          <w:sz w:val="24"/>
          <w:szCs w:val="24"/>
          <w:lang w:val="en-US"/>
        </w:rPr>
        <w:t xml:space="preserve"> </w:t>
      </w:r>
      <w:r w:rsidRPr="002A2067">
        <w:rPr>
          <w:rFonts w:ascii="Book Antiqua" w:hAnsi="Book Antiqua"/>
          <w:i/>
          <w:sz w:val="24"/>
          <w:szCs w:val="24"/>
          <w:lang w:val="en-US"/>
        </w:rPr>
        <w:t xml:space="preserve">et </w:t>
      </w:r>
      <w:proofErr w:type="gramStart"/>
      <w:r w:rsidRPr="002A2067">
        <w:rPr>
          <w:rFonts w:ascii="Book Antiqua" w:hAnsi="Book Antiqua"/>
          <w:i/>
          <w:sz w:val="24"/>
          <w:szCs w:val="24"/>
          <w:lang w:val="en-US"/>
        </w:rPr>
        <w:t>al</w:t>
      </w:r>
      <w:r w:rsidR="00155B05" w:rsidRPr="002A2067">
        <w:rPr>
          <w:rFonts w:ascii="Book Antiqua" w:hAnsi="Book Antiqua"/>
          <w:sz w:val="24"/>
          <w:szCs w:val="24"/>
          <w:vertAlign w:val="superscript"/>
          <w:lang w:val="en-US"/>
        </w:rPr>
        <w:t>[</w:t>
      </w:r>
      <w:proofErr w:type="gramEnd"/>
      <w:r w:rsidR="00155B05" w:rsidRPr="002A2067">
        <w:rPr>
          <w:rFonts w:ascii="Book Antiqua" w:hAnsi="Book Antiqua"/>
          <w:sz w:val="24"/>
          <w:szCs w:val="24"/>
          <w:vertAlign w:val="superscript"/>
          <w:lang w:val="en-US"/>
        </w:rPr>
        <w:t>13]</w:t>
      </w:r>
      <w:r w:rsidRPr="002A2067">
        <w:rPr>
          <w:rFonts w:ascii="Book Antiqua" w:hAnsi="Book Antiqua"/>
          <w:sz w:val="24"/>
          <w:szCs w:val="24"/>
          <w:lang w:val="en-US"/>
        </w:rPr>
        <w:t xml:space="preserve"> examined the influence of tumor localization, as it relates to the effectiveness of chemotherapy, and found that carcinomas in the head of the pancreas are not as responsive to FOLFIRINOX treatment as carcinomas in other locations. In terms of the embryonic development of the pancreas, it is well known that development can be divergent between the head, body and tail, arguably resulting in varying malignant potential among the various kinds of cells present in each </w:t>
      </w:r>
      <w:proofErr w:type="gramStart"/>
      <w:r w:rsidRPr="002A2067">
        <w:rPr>
          <w:rFonts w:ascii="Book Antiqua" w:hAnsi="Book Antiqua"/>
          <w:sz w:val="24"/>
          <w:szCs w:val="24"/>
          <w:lang w:val="en-US"/>
        </w:rPr>
        <w:t>section</w:t>
      </w:r>
      <w:r w:rsidRPr="002A2067">
        <w:rPr>
          <w:rFonts w:ascii="Book Antiqua" w:hAnsi="Book Antiqua"/>
          <w:sz w:val="24"/>
          <w:szCs w:val="24"/>
          <w:vertAlign w:val="superscript"/>
          <w:lang w:val="en-US"/>
        </w:rPr>
        <w:t>[</w:t>
      </w:r>
      <w:proofErr w:type="gramEnd"/>
      <w:r w:rsidRPr="002A2067">
        <w:rPr>
          <w:rFonts w:ascii="Book Antiqua" w:hAnsi="Book Antiqua"/>
          <w:sz w:val="24"/>
          <w:szCs w:val="24"/>
          <w:vertAlign w:val="superscript"/>
          <w:lang w:val="en-US"/>
        </w:rPr>
        <w:t>14]</w:t>
      </w:r>
      <w:r w:rsidRPr="002A2067">
        <w:rPr>
          <w:rFonts w:ascii="Book Antiqua" w:hAnsi="Book Antiqua"/>
          <w:sz w:val="24"/>
          <w:szCs w:val="24"/>
          <w:lang w:val="en-US"/>
        </w:rPr>
        <w:t xml:space="preserve">. Therefore, varying responses to chemotherapy regimens may be expected depending on the location of the carcinoma within the pancreas. Independent of this feature, Lau </w:t>
      </w:r>
      <w:r w:rsidRPr="002A2067">
        <w:rPr>
          <w:rFonts w:ascii="Book Antiqua" w:hAnsi="Book Antiqua"/>
          <w:i/>
          <w:sz w:val="24"/>
          <w:szCs w:val="24"/>
          <w:lang w:val="en-US"/>
        </w:rPr>
        <w:t xml:space="preserve">et </w:t>
      </w:r>
      <w:proofErr w:type="gramStart"/>
      <w:r w:rsidRPr="002A2067">
        <w:rPr>
          <w:rFonts w:ascii="Book Antiqua" w:hAnsi="Book Antiqua"/>
          <w:i/>
          <w:sz w:val="24"/>
          <w:szCs w:val="24"/>
          <w:lang w:val="en-US"/>
        </w:rPr>
        <w:t>al</w:t>
      </w:r>
      <w:r w:rsidR="00155B05" w:rsidRPr="002A2067">
        <w:rPr>
          <w:rFonts w:ascii="Book Antiqua" w:hAnsi="Book Antiqua"/>
          <w:sz w:val="24"/>
          <w:szCs w:val="24"/>
          <w:vertAlign w:val="superscript"/>
          <w:lang w:val="en-US"/>
        </w:rPr>
        <w:t>[</w:t>
      </w:r>
      <w:proofErr w:type="gramEnd"/>
      <w:r w:rsidR="00155B05" w:rsidRPr="002A2067">
        <w:rPr>
          <w:rFonts w:ascii="Book Antiqua" w:hAnsi="Book Antiqua"/>
          <w:sz w:val="24"/>
          <w:szCs w:val="24"/>
          <w:vertAlign w:val="superscript"/>
          <w:lang w:val="en-US"/>
        </w:rPr>
        <w:t>15]</w:t>
      </w:r>
      <w:r w:rsidRPr="002A2067">
        <w:rPr>
          <w:rFonts w:ascii="Book Antiqua" w:hAnsi="Book Antiqua"/>
          <w:sz w:val="24"/>
          <w:szCs w:val="24"/>
          <w:lang w:val="en-US"/>
        </w:rPr>
        <w:t xml:space="preserve"> analyzed data from the Surveillance, Epidemiology and End RESULTS Program (SEER) of the National Cancer Institute in the USA and found that the incidence rates of pancreatic cancer in the body and tail of the pancreas are increasing, while the incidence rate of pancreatic cancer in the head of the pancreas has remained stable over time. Such a trend may lead to larger incidences of metastasizing carcinomas in the tail of the pancreas, which may respond positively to chemotherapy in a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setting. </w:t>
      </w:r>
    </w:p>
    <w:p w:rsidR="00913789" w:rsidRPr="002A2067" w:rsidRDefault="00913789" w:rsidP="00B35EBD">
      <w:pPr>
        <w:adjustRightInd w:val="0"/>
        <w:snapToGrid w:val="0"/>
        <w:spacing w:after="0" w:line="360" w:lineRule="auto"/>
        <w:jc w:val="both"/>
        <w:rPr>
          <w:rFonts w:ascii="Book Antiqua" w:hAnsi="Book Antiqua"/>
          <w:sz w:val="24"/>
          <w:szCs w:val="24"/>
          <w:vertAlign w:val="superscript"/>
          <w:lang w:val="en-US"/>
        </w:rPr>
      </w:pPr>
      <w:r w:rsidRPr="002A2067">
        <w:rPr>
          <w:rFonts w:ascii="Book Antiqua" w:hAnsi="Book Antiqua"/>
          <w:sz w:val="24"/>
          <w:szCs w:val="24"/>
          <w:lang w:val="en-US"/>
        </w:rPr>
        <w:tab/>
        <w:t xml:space="preserve">In summary, both patients described in this case report may be representative of a wider subgroup of pancreatic carcinoma patients with a better prognosis. Further studies must be undertaken to analyze the impact of tumor localization, biomarkers and the stage and progression of this disease, and to determine whether FOLFIRINOX as a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therapy with subsequent resection is a suitable treatment option for all patients within this subset. </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sz w:val="24"/>
          <w:szCs w:val="24"/>
          <w:lang w:val="en-US"/>
        </w:rPr>
        <w:t>COMMENTS</w:t>
      </w:r>
      <w:r w:rsidR="00155B05">
        <w:rPr>
          <w:rFonts w:ascii="Book Antiqua" w:hAnsi="Book Antiqua"/>
          <w:b/>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lastRenderedPageBreak/>
        <w:t>Case characteristics</w:t>
      </w:r>
    </w:p>
    <w:p w:rsidR="00913789" w:rsidRPr="002A2067" w:rsidRDefault="00913789" w:rsidP="00B35EBD">
      <w:pPr>
        <w:adjustRightInd w:val="0"/>
        <w:snapToGrid w:val="0"/>
        <w:spacing w:after="0" w:line="360" w:lineRule="auto"/>
        <w:jc w:val="both"/>
        <w:rPr>
          <w:rFonts w:ascii="Book Antiqua" w:hAnsi="Book Antiqua"/>
          <w:color w:val="FF0000"/>
          <w:sz w:val="24"/>
          <w:szCs w:val="24"/>
          <w:lang w:val="en-US"/>
        </w:rPr>
      </w:pPr>
      <w:r w:rsidRPr="002A2067">
        <w:rPr>
          <w:rFonts w:ascii="Book Antiqua" w:hAnsi="Book Antiqua"/>
          <w:sz w:val="24"/>
          <w:szCs w:val="24"/>
          <w:lang w:val="en-US"/>
        </w:rPr>
        <w:t xml:space="preserve">A symptom-free 65-year-old patient with suspected hepatic lesions (Case 1) and a 45-year-old male patient with increasing dyspnea, stomach pain and shoulder pain (Case 2).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Clinical diagnosis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The clinical examination was unremarkable for Case 1. Case 2 presented with pathological epigastric pain.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Differential diagnosis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There were no differential diagnoses pertaining to the unremarkable clinical examination for Case 1, who presented with no symptoms. For Case 2, the differential diagnoses were pulmonary embolism, atypical pneumonia, and lymphoma.</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Laboratory diagnosis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For Case 1, the level of CA19-9 was unremarkable, but the level of </w:t>
      </w:r>
      <w:proofErr w:type="spellStart"/>
      <w:r w:rsidRPr="002A2067">
        <w:rPr>
          <w:rFonts w:ascii="Book Antiqua" w:hAnsi="Book Antiqua" w:cs="Arial"/>
          <w:color w:val="424242"/>
          <w:sz w:val="24"/>
          <w:szCs w:val="24"/>
          <w:lang w:val="en-US" w:eastAsia="de-DE"/>
        </w:rPr>
        <w:t>carcinoembryonic</w:t>
      </w:r>
      <w:proofErr w:type="spellEnd"/>
      <w:r w:rsidRPr="002A2067">
        <w:rPr>
          <w:rFonts w:ascii="Book Antiqua" w:hAnsi="Book Antiqua" w:cs="Arial"/>
          <w:color w:val="424242"/>
          <w:sz w:val="24"/>
          <w:szCs w:val="24"/>
          <w:lang w:val="en-US" w:eastAsia="de-DE"/>
        </w:rPr>
        <w:t xml:space="preserve"> antigen</w:t>
      </w:r>
      <w:r w:rsidRPr="002A2067">
        <w:rPr>
          <w:rFonts w:ascii="Book Antiqua" w:hAnsi="Book Antiqua"/>
          <w:sz w:val="24"/>
          <w:szCs w:val="24"/>
          <w:lang w:val="en-US"/>
        </w:rPr>
        <w:t xml:space="preserve"> (CEA) was elevated (4.7 µg/L). Case 2 showed elevated levels of C-reactive protein (CRP; 2.3 mg/</w:t>
      </w:r>
      <w:proofErr w:type="spellStart"/>
      <w:r w:rsidRPr="002A2067">
        <w:rPr>
          <w:rFonts w:ascii="Book Antiqua" w:hAnsi="Book Antiqua"/>
          <w:sz w:val="24"/>
          <w:szCs w:val="24"/>
          <w:lang w:val="en-US"/>
        </w:rPr>
        <w:t>dL</w:t>
      </w:r>
      <w:proofErr w:type="spellEnd"/>
      <w:r w:rsidRPr="002A2067">
        <w:rPr>
          <w:rFonts w:ascii="Book Antiqua" w:hAnsi="Book Antiqua"/>
          <w:sz w:val="24"/>
          <w:szCs w:val="24"/>
          <w:lang w:val="en-US"/>
        </w:rPr>
        <w:t>), gamma-</w:t>
      </w:r>
      <w:proofErr w:type="spellStart"/>
      <w:r w:rsidRPr="002A2067">
        <w:rPr>
          <w:rFonts w:ascii="Book Antiqua" w:hAnsi="Book Antiqua"/>
          <w:sz w:val="24"/>
          <w:szCs w:val="24"/>
          <w:lang w:val="en-US"/>
        </w:rPr>
        <w:t>glutamyl</w:t>
      </w:r>
      <w:proofErr w:type="spellEnd"/>
      <w:r w:rsidRPr="002A2067">
        <w:rPr>
          <w:rFonts w:ascii="Book Antiqua" w:hAnsi="Book Antiqua"/>
          <w:sz w:val="24"/>
          <w:szCs w:val="24"/>
          <w:lang w:val="en-US"/>
        </w:rPr>
        <w:t xml:space="preserve"> </w:t>
      </w:r>
      <w:proofErr w:type="spellStart"/>
      <w:r w:rsidRPr="002A2067">
        <w:rPr>
          <w:rFonts w:ascii="Book Antiqua" w:hAnsi="Book Antiqua"/>
          <w:sz w:val="24"/>
          <w:szCs w:val="24"/>
          <w:lang w:val="en-US"/>
        </w:rPr>
        <w:t>transferase</w:t>
      </w:r>
      <w:proofErr w:type="spellEnd"/>
      <w:r w:rsidRPr="002A2067">
        <w:rPr>
          <w:rFonts w:ascii="Book Antiqua" w:hAnsi="Book Antiqua"/>
          <w:sz w:val="24"/>
          <w:szCs w:val="24"/>
          <w:lang w:val="en-US"/>
        </w:rPr>
        <w:t xml:space="preserve"> (99 U/L), CEA (3.8 µg/L) and D-dimer (1.61 mg/L), but the level of CA19-9 was unremarkable.</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Imaging diagnosis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For Case 1, computed tomography (CT), endoscopic ultrasound (EUS), magnetic resonance imaging (MRI) and contrast-enhanced ultrasound were performed. The findings showed distension (2 cm) in the tail of the pancreas, enlargement of the distal pancreatic duct, three suspected metastatic lesions in segments V and VI, and three hepatic </w:t>
      </w:r>
      <w:proofErr w:type="spellStart"/>
      <w:r w:rsidRPr="002A2067">
        <w:rPr>
          <w:rFonts w:ascii="Book Antiqua" w:hAnsi="Book Antiqua"/>
          <w:sz w:val="24"/>
          <w:szCs w:val="24"/>
          <w:lang w:val="en-US"/>
        </w:rPr>
        <w:t>hemangiomas</w:t>
      </w:r>
      <w:proofErr w:type="spellEnd"/>
      <w:r w:rsidRPr="002A2067">
        <w:rPr>
          <w:rFonts w:ascii="Book Antiqua" w:hAnsi="Book Antiqua"/>
          <w:sz w:val="24"/>
          <w:szCs w:val="24"/>
          <w:lang w:val="en-US"/>
        </w:rPr>
        <w:t>. For Case 2, the CT, EUS and contrast-enhanced ultrasound studies showed an invasive, growing carcinoma in the tail of the pancreas, with a size of approximately 45</w:t>
      </w:r>
      <w:r w:rsidR="00155B05">
        <w:rPr>
          <w:rFonts w:ascii="Book Antiqua" w:hAnsi="Book Antiqua" w:hint="eastAsia"/>
          <w:sz w:val="24"/>
          <w:szCs w:val="24"/>
          <w:lang w:val="en-US" w:eastAsia="zh-CN"/>
        </w:rPr>
        <w:t xml:space="preserve"> </w:t>
      </w:r>
      <w:r w:rsidR="00155B05" w:rsidRPr="002A2067">
        <w:rPr>
          <w:rFonts w:ascii="Book Antiqua" w:hAnsi="Book Antiqua"/>
          <w:sz w:val="24"/>
          <w:szCs w:val="24"/>
          <w:lang w:val="en-US"/>
        </w:rPr>
        <w:t xml:space="preserve">mm </w:t>
      </w:r>
      <w:r w:rsidRPr="002A2067">
        <w:rPr>
          <w:rFonts w:ascii="Book Antiqua" w:hAnsi="Book Antiqua"/>
          <w:sz w:val="24"/>
          <w:szCs w:val="24"/>
          <w:lang w:val="en-US"/>
        </w:rPr>
        <w:sym w:font="Symbol" w:char="F0B4"/>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34 mm and with hepatic metastases (8-11 mm in size) and peritoneal metastases.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lastRenderedPageBreak/>
        <w:t>Pathological diagnosis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For Case 1, liver biopsy showed moderately differentiated ductal adenocarcinoma (G2). For Case 2, the EUS-guided fine needle biopsy showed moderately differentiated ductal adenocarcinoma (G2).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Treatment</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Case 1 was given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 with FOLFIRINOX (85 mg/m</w:t>
      </w:r>
      <w:r w:rsidRPr="002A2067">
        <w:rPr>
          <w:rFonts w:ascii="Book Antiqua" w:hAnsi="Book Antiqua"/>
          <w:sz w:val="24"/>
          <w:szCs w:val="24"/>
          <w:vertAlign w:val="superscript"/>
          <w:lang w:val="en-US"/>
        </w:rPr>
        <w:t xml:space="preserve">2 </w:t>
      </w:r>
      <w:r w:rsidRPr="002A2067">
        <w:rPr>
          <w:rFonts w:ascii="Book Antiqua" w:hAnsi="Book Antiqua"/>
          <w:sz w:val="24"/>
          <w:szCs w:val="24"/>
          <w:lang w:val="en-US"/>
        </w:rPr>
        <w:t>of</w:t>
      </w:r>
      <w:r w:rsidRPr="002A2067">
        <w:rPr>
          <w:rFonts w:ascii="Book Antiqua" w:hAnsi="Book Antiqua"/>
          <w:sz w:val="24"/>
          <w:szCs w:val="24"/>
          <w:vertAlign w:val="superscript"/>
          <w:lang w:val="en-US"/>
        </w:rPr>
        <w:t xml:space="preserve">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 180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of </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a 400 mg/m</w:t>
      </w:r>
      <w:r w:rsidRPr="002A2067">
        <w:rPr>
          <w:rFonts w:ascii="Book Antiqua" w:hAnsi="Book Antiqua"/>
          <w:sz w:val="24"/>
          <w:szCs w:val="24"/>
          <w:vertAlign w:val="superscript"/>
          <w:lang w:val="en-US"/>
        </w:rPr>
        <w:t xml:space="preserve">2 </w:t>
      </w:r>
      <w:r w:rsidRPr="002A2067">
        <w:rPr>
          <w:rFonts w:ascii="Book Antiqua" w:hAnsi="Book Antiqua"/>
          <w:sz w:val="24"/>
          <w:szCs w:val="24"/>
          <w:lang w:val="en-US"/>
        </w:rPr>
        <w:t>bolus of 5-FU and 2400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&gt;</w:t>
      </w:r>
      <w:r w:rsidR="00155B05">
        <w:rPr>
          <w:rFonts w:ascii="Book Antiqua" w:hAnsi="Book Antiqua" w:hint="eastAsia"/>
          <w:sz w:val="24"/>
          <w:szCs w:val="24"/>
          <w:lang w:val="en-US" w:eastAsia="zh-CN"/>
        </w:rPr>
        <w:t xml:space="preserve"> </w:t>
      </w:r>
      <w:r w:rsidRPr="002A2067">
        <w:rPr>
          <w:rFonts w:ascii="Book Antiqua" w:hAnsi="Book Antiqua"/>
          <w:sz w:val="24"/>
          <w:szCs w:val="24"/>
          <w:lang w:val="en-US"/>
        </w:rPr>
        <w:t>46 h of 5-FU) followed by resection surgery with subsequent adjuvant treatment with gemcitabine (1000 mg/m</w:t>
      </w:r>
      <w:r w:rsidRPr="002A2067">
        <w:rPr>
          <w:rFonts w:ascii="Book Antiqua" w:hAnsi="Book Antiqua"/>
          <w:sz w:val="24"/>
          <w:szCs w:val="24"/>
          <w:vertAlign w:val="superscript"/>
          <w:lang w:val="en-US"/>
        </w:rPr>
        <w:t>2</w:t>
      </w:r>
      <w:r w:rsidRPr="002A2067">
        <w:rPr>
          <w:rFonts w:ascii="Book Antiqua" w:hAnsi="Book Antiqua"/>
          <w:sz w:val="24"/>
          <w:szCs w:val="24"/>
          <w:lang w:val="en-US"/>
        </w:rPr>
        <w:t xml:space="preserve">). The FOLFIRINOX treatment continued after recurrence. Case 2 was given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 with FOLFIRINOX and subsequent </w:t>
      </w:r>
      <w:proofErr w:type="spellStart"/>
      <w:r w:rsidRPr="002A2067">
        <w:rPr>
          <w:rFonts w:ascii="Book Antiqua" w:hAnsi="Book Antiqua"/>
          <w:sz w:val="24"/>
          <w:szCs w:val="24"/>
          <w:lang w:val="en-US"/>
        </w:rPr>
        <w:t>multivisceral</w:t>
      </w:r>
      <w:proofErr w:type="spellEnd"/>
      <w:r w:rsidRPr="002A2067">
        <w:rPr>
          <w:rFonts w:ascii="Book Antiqua" w:hAnsi="Book Antiqua"/>
          <w:sz w:val="24"/>
          <w:szCs w:val="24"/>
          <w:lang w:val="en-US"/>
        </w:rPr>
        <w:t xml:space="preserve"> resection that was followed by adjuvant treatment with FOLFIRINOX.</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Related reports</w:t>
      </w:r>
    </w:p>
    <w:p w:rsidR="00913789" w:rsidRPr="002A2067" w:rsidRDefault="00913789" w:rsidP="00B35EBD">
      <w:pPr>
        <w:adjustRightInd w:val="0"/>
        <w:snapToGrid w:val="0"/>
        <w:spacing w:after="0" w:line="360" w:lineRule="auto"/>
        <w:jc w:val="both"/>
        <w:rPr>
          <w:rFonts w:ascii="Book Antiqua" w:hAnsi="Book Antiqua"/>
          <w:color w:val="FF0000"/>
          <w:sz w:val="24"/>
          <w:szCs w:val="24"/>
          <w:lang w:val="en-US"/>
        </w:rPr>
      </w:pPr>
      <w:r w:rsidRPr="002A2067">
        <w:rPr>
          <w:rFonts w:ascii="Book Antiqua" w:hAnsi="Book Antiqua"/>
          <w:sz w:val="24"/>
          <w:szCs w:val="24"/>
          <w:lang w:val="en-US"/>
        </w:rPr>
        <w:t xml:space="preserve">This case report highlights the consideration of whether a subgroup of initially metastasized patients with pancreatic carcinoma may be treated effectively with chemotherapy in a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setting in order to achieve secondary </w:t>
      </w:r>
      <w:proofErr w:type="spellStart"/>
      <w:r w:rsidRPr="002A2067">
        <w:rPr>
          <w:rFonts w:ascii="Book Antiqua" w:hAnsi="Book Antiqua"/>
          <w:sz w:val="24"/>
          <w:szCs w:val="24"/>
          <w:lang w:val="en-US"/>
        </w:rPr>
        <w:t>resectability</w:t>
      </w:r>
      <w:proofErr w:type="spellEnd"/>
      <w:r w:rsidRPr="002A2067">
        <w:rPr>
          <w:rFonts w:ascii="Book Antiqua" w:hAnsi="Book Antiqua"/>
          <w:sz w:val="24"/>
          <w:szCs w:val="24"/>
          <w:lang w:val="en-US"/>
        </w:rPr>
        <w:t>.</w:t>
      </w:r>
      <w:r w:rsidR="00155B05">
        <w:rPr>
          <w:rFonts w:ascii="Book Antiqua" w:hAnsi="Book Antiqua"/>
          <w:sz w:val="24"/>
          <w:szCs w:val="24"/>
          <w:lang w:val="en-US"/>
        </w:rPr>
        <w:t xml:space="preserve">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Term explanation</w:t>
      </w:r>
    </w:p>
    <w:p w:rsidR="00913789" w:rsidRPr="002A2067" w:rsidRDefault="00913789" w:rsidP="00B35EBD">
      <w:pPr>
        <w:pStyle w:val="aa"/>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Pancreatic neoplasms have very poor prognosis since the disease onset is frequently asymptomatic, and diagnosis usually occurs after metastasis. FOLFIRINOX (5-FU, </w:t>
      </w:r>
      <w:proofErr w:type="spellStart"/>
      <w:r w:rsidRPr="002A2067">
        <w:rPr>
          <w:rFonts w:ascii="Book Antiqua" w:hAnsi="Book Antiqua"/>
          <w:sz w:val="24"/>
          <w:szCs w:val="24"/>
          <w:lang w:val="en-US"/>
        </w:rPr>
        <w:t>folinic</w:t>
      </w:r>
      <w:proofErr w:type="spellEnd"/>
      <w:r w:rsidRPr="002A2067">
        <w:rPr>
          <w:rFonts w:ascii="Book Antiqua" w:hAnsi="Book Antiqua"/>
          <w:sz w:val="24"/>
          <w:szCs w:val="24"/>
          <w:lang w:val="en-US"/>
        </w:rPr>
        <w:t xml:space="preserve"> acid, </w:t>
      </w:r>
      <w:proofErr w:type="spellStart"/>
      <w:r w:rsidRPr="002A2067">
        <w:rPr>
          <w:rFonts w:ascii="Book Antiqua" w:hAnsi="Book Antiqua"/>
          <w:sz w:val="24"/>
          <w:szCs w:val="24"/>
          <w:lang w:val="en-US"/>
        </w:rPr>
        <w:t>irinotecan</w:t>
      </w:r>
      <w:proofErr w:type="spellEnd"/>
      <w:r w:rsidRPr="002A2067">
        <w:rPr>
          <w:rFonts w:ascii="Book Antiqua" w:hAnsi="Book Antiqua"/>
          <w:sz w:val="24"/>
          <w:szCs w:val="24"/>
          <w:lang w:val="en-US"/>
        </w:rPr>
        <w:t xml:space="preserve"> and </w:t>
      </w:r>
      <w:proofErr w:type="spellStart"/>
      <w:r w:rsidRPr="002A2067">
        <w:rPr>
          <w:rFonts w:ascii="Book Antiqua" w:hAnsi="Book Antiqua"/>
          <w:sz w:val="24"/>
          <w:szCs w:val="24"/>
          <w:lang w:val="en-US"/>
        </w:rPr>
        <w:t>oxaliplatin</w:t>
      </w:r>
      <w:proofErr w:type="spellEnd"/>
      <w:r w:rsidRPr="002A2067">
        <w:rPr>
          <w:rFonts w:ascii="Book Antiqua" w:hAnsi="Book Antiqua"/>
          <w:sz w:val="24"/>
          <w:szCs w:val="24"/>
          <w:lang w:val="en-US"/>
        </w:rPr>
        <w:t xml:space="preserve">) is a new and promising chemotherapy regimen that has been shown to increase life expectancy in patients with metastatic pancreatic neoplasms.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treatments are administered with the aim of shrinking a tumor prior to administration of the primary treatment. Curative surgery involves the radical removal of a partial or entire organ in which a cancer has originated.</w:t>
      </w:r>
    </w:p>
    <w:p w:rsidR="00913789" w:rsidRPr="002A2067" w:rsidRDefault="00913789" w:rsidP="00B35EBD">
      <w:pPr>
        <w:pStyle w:val="aa"/>
        <w:adjustRightInd w:val="0"/>
        <w:snapToGrid w:val="0"/>
        <w:spacing w:after="0" w:line="360" w:lineRule="auto"/>
        <w:rPr>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Experiences and lessons</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lastRenderedPageBreak/>
        <w:t xml:space="preserve">This case report indicates that the treatment of pancreatic carcinomas may be at a turning point following decades of poor prognoses for patients. New treatment options have resulted in new clinical outcomes that could result in improved prognoses. </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b/>
          <w:i/>
          <w:sz w:val="24"/>
          <w:szCs w:val="24"/>
          <w:lang w:val="en-US"/>
        </w:rPr>
      </w:pPr>
      <w:r w:rsidRPr="002A2067">
        <w:rPr>
          <w:rFonts w:ascii="Book Antiqua" w:hAnsi="Book Antiqua"/>
          <w:b/>
          <w:i/>
          <w:sz w:val="24"/>
          <w:szCs w:val="24"/>
          <w:lang w:val="en-US"/>
        </w:rPr>
        <w:t>Peer</w:t>
      </w:r>
      <w:r w:rsidR="007D0589">
        <w:rPr>
          <w:rFonts w:ascii="Book Antiqua" w:hAnsi="Book Antiqua" w:hint="eastAsia"/>
          <w:b/>
          <w:i/>
          <w:sz w:val="24"/>
          <w:szCs w:val="24"/>
          <w:lang w:val="en-US" w:eastAsia="zh-CN"/>
        </w:rPr>
        <w:t>-</w:t>
      </w:r>
      <w:r w:rsidRPr="002A2067">
        <w:rPr>
          <w:rFonts w:ascii="Book Antiqua" w:hAnsi="Book Antiqua"/>
          <w:b/>
          <w:i/>
          <w:sz w:val="24"/>
          <w:szCs w:val="24"/>
          <w:lang w:val="en-US"/>
        </w:rPr>
        <w:t>review</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sz w:val="24"/>
          <w:szCs w:val="24"/>
          <w:lang w:val="en-US"/>
        </w:rPr>
        <w:t xml:space="preserve">The authors reported two cases of hepatic metastasized pancreatic carcinoma, both of which were </w:t>
      </w:r>
      <w:proofErr w:type="spellStart"/>
      <w:r w:rsidRPr="002A2067">
        <w:rPr>
          <w:rFonts w:ascii="Book Antiqua" w:hAnsi="Book Antiqua"/>
          <w:sz w:val="24"/>
          <w:szCs w:val="24"/>
          <w:lang w:val="en-US"/>
        </w:rPr>
        <w:t>resectable</w:t>
      </w:r>
      <w:proofErr w:type="spellEnd"/>
      <w:r w:rsidRPr="002A2067">
        <w:rPr>
          <w:rFonts w:ascii="Book Antiqua" w:hAnsi="Book Antiqua"/>
          <w:sz w:val="24"/>
          <w:szCs w:val="24"/>
          <w:lang w:val="en-US"/>
        </w:rPr>
        <w:t xml:space="preserve"> after </w:t>
      </w:r>
      <w:proofErr w:type="spellStart"/>
      <w:r w:rsidRPr="002A2067">
        <w:rPr>
          <w:rFonts w:ascii="Book Antiqua" w:hAnsi="Book Antiqua"/>
          <w:sz w:val="24"/>
          <w:szCs w:val="24"/>
          <w:lang w:val="en-US"/>
        </w:rPr>
        <w:t>neoadjuvant</w:t>
      </w:r>
      <w:proofErr w:type="spellEnd"/>
      <w:r w:rsidRPr="002A2067">
        <w:rPr>
          <w:rFonts w:ascii="Book Antiqua" w:hAnsi="Book Antiqua"/>
          <w:sz w:val="24"/>
          <w:szCs w:val="24"/>
          <w:lang w:val="en-US"/>
        </w:rPr>
        <w:t xml:space="preserve"> treatment with FOLFIRINOX. This finding emphasizes the importance of considering whether carcinomas in the tail of the pancreas differ from those with other localizations in the pancreas, especially in regards to their response to FOLFIRINOX.</w:t>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rPr>
          <w:rFonts w:ascii="Book Antiqua" w:hAnsi="Book Antiqua"/>
          <w:b/>
          <w:sz w:val="24"/>
          <w:szCs w:val="24"/>
          <w:lang w:val="en-US"/>
        </w:rPr>
      </w:pPr>
      <w:r w:rsidRPr="002A2067">
        <w:rPr>
          <w:rFonts w:ascii="Book Antiqua" w:hAnsi="Book Antiqua"/>
          <w:b/>
          <w:sz w:val="24"/>
          <w:szCs w:val="24"/>
          <w:lang w:val="en-US"/>
        </w:rPr>
        <w:br w:type="page"/>
      </w:r>
    </w:p>
    <w:p w:rsidR="00913789" w:rsidRDefault="00913789" w:rsidP="00B35EBD">
      <w:pPr>
        <w:adjustRightInd w:val="0"/>
        <w:snapToGrid w:val="0"/>
        <w:spacing w:after="0" w:line="360" w:lineRule="auto"/>
        <w:jc w:val="both"/>
        <w:rPr>
          <w:rFonts w:ascii="Book Antiqua" w:hAnsi="Book Antiqua"/>
          <w:b/>
          <w:sz w:val="21"/>
          <w:szCs w:val="24"/>
          <w:lang w:eastAsia="zh-CN"/>
        </w:rPr>
      </w:pPr>
      <w:r w:rsidRPr="00E03727">
        <w:rPr>
          <w:rFonts w:ascii="Book Antiqua" w:hAnsi="Book Antiqua"/>
          <w:b/>
          <w:sz w:val="21"/>
          <w:szCs w:val="24"/>
        </w:rPr>
        <w:lastRenderedPageBreak/>
        <w:t>REFERENCES</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 Gesellschaft der epidemiologischen Krebsregister in Deutschland e.V., RKI, Besundheitsberichterstattung des Bundes, Berlin: Robert Koch Institute. Available from: URL: http: //www.krebsdaten.de/Krebs/DE/Content/Krebsarten/Bauchspeicheldruesenkrebs/bauchspeicheldruesenkrebs_node.html vom 31.08.2014</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2 </w:t>
      </w:r>
      <w:r w:rsidRPr="006F2A14">
        <w:rPr>
          <w:rFonts w:ascii="Book Antiqua" w:eastAsia="宋体" w:hAnsi="Book Antiqua" w:cs="宋体"/>
          <w:b/>
          <w:bCs/>
          <w:color w:val="000000"/>
          <w:sz w:val="21"/>
          <w:szCs w:val="21"/>
        </w:rPr>
        <w:t>Hosein PJ</w:t>
      </w:r>
      <w:r w:rsidRPr="006F2A14">
        <w:rPr>
          <w:rFonts w:ascii="Book Antiqua" w:eastAsia="宋体" w:hAnsi="Book Antiqua" w:cs="宋体"/>
          <w:color w:val="000000"/>
          <w:sz w:val="21"/>
          <w:szCs w:val="21"/>
        </w:rPr>
        <w:t>, Macintyre J, Kawamura C, Maldonado JC, Ernani V, Loaiza-Bonilla A, Narayanan G, Ribeiro A, Portelance L, Merchan JR, Levi JU, Rocha-Lima CM. A retrospective study of neoadjuvant FOLFIRINOX in unresectable or borderline-resectable locally advanced pancreatic adenocarcinoma. </w:t>
      </w:r>
      <w:r w:rsidRPr="006F2A14">
        <w:rPr>
          <w:rFonts w:ascii="Book Antiqua" w:eastAsia="宋体" w:hAnsi="Book Antiqua" w:cs="宋体"/>
          <w:i/>
          <w:iCs/>
          <w:color w:val="000000"/>
          <w:sz w:val="21"/>
          <w:szCs w:val="21"/>
        </w:rPr>
        <w:t>BMC Cancer</w:t>
      </w:r>
      <w:r w:rsidRPr="006F2A14">
        <w:rPr>
          <w:rFonts w:ascii="Book Antiqua" w:eastAsia="宋体" w:hAnsi="Book Antiqua" w:cs="宋体"/>
          <w:color w:val="000000"/>
          <w:sz w:val="21"/>
          <w:szCs w:val="21"/>
        </w:rPr>
        <w:t> 2012; </w:t>
      </w:r>
      <w:r w:rsidRPr="006F2A14">
        <w:rPr>
          <w:rFonts w:ascii="Book Antiqua" w:eastAsia="宋体" w:hAnsi="Book Antiqua" w:cs="宋体"/>
          <w:b/>
          <w:bCs/>
          <w:color w:val="000000"/>
          <w:sz w:val="21"/>
          <w:szCs w:val="21"/>
        </w:rPr>
        <w:t>12</w:t>
      </w:r>
      <w:r w:rsidRPr="006F2A14">
        <w:rPr>
          <w:rFonts w:ascii="Book Antiqua" w:eastAsia="宋体" w:hAnsi="Book Antiqua" w:cs="宋体"/>
          <w:color w:val="000000"/>
          <w:sz w:val="21"/>
          <w:szCs w:val="21"/>
        </w:rPr>
        <w:t>: 199 [PMID: 22642850 DOI: 10.1186/1471-2407-12-199]</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3 </w:t>
      </w:r>
      <w:r w:rsidRPr="006F2A14">
        <w:rPr>
          <w:rFonts w:ascii="Book Antiqua" w:eastAsia="宋体" w:hAnsi="Book Antiqua" w:cs="宋体"/>
          <w:b/>
          <w:bCs/>
          <w:color w:val="000000"/>
          <w:sz w:val="21"/>
          <w:szCs w:val="21"/>
        </w:rPr>
        <w:t>Sultana A</w:t>
      </w:r>
      <w:r w:rsidRPr="006F2A14">
        <w:rPr>
          <w:rFonts w:ascii="Book Antiqua" w:eastAsia="宋体" w:hAnsi="Book Antiqua" w:cs="宋体"/>
          <w:color w:val="000000"/>
          <w:sz w:val="21"/>
          <w:szCs w:val="21"/>
        </w:rPr>
        <w:t>, Smith CT, Cunningham D, Starling N, Neoptolemos JP, Ghaneh P. Meta-analyses of chemotherapy for locally advanced and metastatic pancreatic cancer. </w:t>
      </w:r>
      <w:r w:rsidRPr="006F2A14">
        <w:rPr>
          <w:rFonts w:ascii="Book Antiqua" w:eastAsia="宋体" w:hAnsi="Book Antiqua" w:cs="宋体"/>
          <w:i/>
          <w:iCs/>
          <w:color w:val="000000"/>
          <w:sz w:val="21"/>
          <w:szCs w:val="21"/>
        </w:rPr>
        <w:t>J Clin Oncol</w:t>
      </w:r>
      <w:r w:rsidRPr="006F2A14">
        <w:rPr>
          <w:rFonts w:ascii="Book Antiqua" w:eastAsia="宋体" w:hAnsi="Book Antiqua" w:cs="宋体"/>
          <w:color w:val="000000"/>
          <w:sz w:val="21"/>
          <w:szCs w:val="21"/>
        </w:rPr>
        <w:t> 2007; </w:t>
      </w:r>
      <w:r w:rsidRPr="006F2A14">
        <w:rPr>
          <w:rFonts w:ascii="Book Antiqua" w:eastAsia="宋体" w:hAnsi="Book Antiqua" w:cs="宋体"/>
          <w:b/>
          <w:bCs/>
          <w:color w:val="000000"/>
          <w:sz w:val="21"/>
          <w:szCs w:val="21"/>
        </w:rPr>
        <w:t>25</w:t>
      </w:r>
      <w:r w:rsidRPr="006F2A14">
        <w:rPr>
          <w:rFonts w:ascii="Book Antiqua" w:eastAsia="宋体" w:hAnsi="Book Antiqua" w:cs="宋体"/>
          <w:color w:val="000000"/>
          <w:sz w:val="21"/>
          <w:szCs w:val="21"/>
        </w:rPr>
        <w:t>: 2607-2615 [PMID: 17577041]</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4 </w:t>
      </w:r>
      <w:r w:rsidRPr="006F2A14">
        <w:rPr>
          <w:rFonts w:ascii="Book Antiqua" w:eastAsia="宋体" w:hAnsi="Book Antiqua" w:cs="宋体"/>
          <w:b/>
          <w:bCs/>
          <w:color w:val="000000"/>
          <w:sz w:val="21"/>
          <w:szCs w:val="21"/>
        </w:rPr>
        <w:t>Von Hoff DD</w:t>
      </w:r>
      <w:r w:rsidRPr="006F2A14">
        <w:rPr>
          <w:rFonts w:ascii="Book Antiqua" w:eastAsia="宋体" w:hAnsi="Book Antiqua" w:cs="宋体"/>
          <w:color w:val="000000"/>
          <w:sz w:val="21"/>
          <w:szCs w:val="21"/>
        </w:rPr>
        <w:t>,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sidRPr="006F2A14">
        <w:rPr>
          <w:rFonts w:ascii="Book Antiqua" w:eastAsia="宋体" w:hAnsi="Book Antiqua" w:cs="宋体"/>
          <w:i/>
          <w:iCs/>
          <w:color w:val="000000"/>
          <w:sz w:val="21"/>
          <w:szCs w:val="21"/>
        </w:rPr>
        <w:t>N Engl J Med</w:t>
      </w:r>
      <w:r w:rsidRPr="006F2A14">
        <w:rPr>
          <w:rFonts w:ascii="Book Antiqua" w:eastAsia="宋体" w:hAnsi="Book Antiqua" w:cs="宋体"/>
          <w:color w:val="000000"/>
          <w:sz w:val="21"/>
          <w:szCs w:val="21"/>
        </w:rPr>
        <w:t> 2013; </w:t>
      </w:r>
      <w:r w:rsidRPr="006F2A14">
        <w:rPr>
          <w:rFonts w:ascii="Book Antiqua" w:eastAsia="宋体" w:hAnsi="Book Antiqua" w:cs="宋体"/>
          <w:b/>
          <w:bCs/>
          <w:color w:val="000000"/>
          <w:sz w:val="21"/>
          <w:szCs w:val="21"/>
        </w:rPr>
        <w:t>369</w:t>
      </w:r>
      <w:r w:rsidRPr="006F2A14">
        <w:rPr>
          <w:rFonts w:ascii="Book Antiqua" w:eastAsia="宋体" w:hAnsi="Book Antiqua" w:cs="宋体"/>
          <w:color w:val="000000"/>
          <w:sz w:val="21"/>
          <w:szCs w:val="21"/>
        </w:rPr>
        <w:t>: 1691-1703 [PMID: 24131140 DOI: 10.1056/NEJMoa1304369]</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5 </w:t>
      </w:r>
      <w:r w:rsidRPr="006F2A14">
        <w:rPr>
          <w:rFonts w:ascii="Book Antiqua" w:eastAsia="宋体" w:hAnsi="Book Antiqua" w:cs="宋体"/>
          <w:b/>
          <w:bCs/>
          <w:color w:val="000000"/>
          <w:sz w:val="21"/>
          <w:szCs w:val="21"/>
        </w:rPr>
        <w:t>Sun C</w:t>
      </w:r>
      <w:r w:rsidRPr="006F2A14">
        <w:rPr>
          <w:rFonts w:ascii="Book Antiqua" w:eastAsia="宋体" w:hAnsi="Book Antiqua" w:cs="宋体"/>
          <w:color w:val="000000"/>
          <w:sz w:val="21"/>
          <w:szCs w:val="21"/>
        </w:rPr>
        <w:t>, Ansari D, Andersson R, Wu DQ. Does gemcitabine-based combination therapy improve the prognosis of unresectable pancreatic cancer? </w:t>
      </w:r>
      <w:r w:rsidRPr="006F2A14">
        <w:rPr>
          <w:rFonts w:ascii="Book Antiqua" w:eastAsia="宋体" w:hAnsi="Book Antiqua" w:cs="宋体"/>
          <w:i/>
          <w:iCs/>
          <w:color w:val="000000"/>
          <w:sz w:val="21"/>
          <w:szCs w:val="21"/>
        </w:rPr>
        <w:t>World J Gastroenterol</w:t>
      </w:r>
      <w:r w:rsidRPr="006F2A14">
        <w:rPr>
          <w:rFonts w:ascii="Book Antiqua" w:eastAsia="宋体" w:hAnsi="Book Antiqua" w:cs="宋体"/>
          <w:color w:val="000000"/>
          <w:sz w:val="21"/>
          <w:szCs w:val="21"/>
        </w:rPr>
        <w:t> 2012; </w:t>
      </w:r>
      <w:r w:rsidRPr="006F2A14">
        <w:rPr>
          <w:rFonts w:ascii="Book Antiqua" w:eastAsia="宋体" w:hAnsi="Book Antiqua" w:cs="宋体"/>
          <w:b/>
          <w:bCs/>
          <w:color w:val="000000"/>
          <w:sz w:val="21"/>
          <w:szCs w:val="21"/>
        </w:rPr>
        <w:t>18</w:t>
      </w:r>
      <w:r w:rsidRPr="006F2A14">
        <w:rPr>
          <w:rFonts w:ascii="Book Antiqua" w:eastAsia="宋体" w:hAnsi="Book Antiqua" w:cs="宋体"/>
          <w:color w:val="000000"/>
          <w:sz w:val="21"/>
          <w:szCs w:val="21"/>
        </w:rPr>
        <w:t>: 4944-4958 [PMID: 23002368]</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6 </w:t>
      </w:r>
      <w:r w:rsidRPr="006F2A14">
        <w:rPr>
          <w:rFonts w:ascii="Book Antiqua" w:eastAsia="宋体" w:hAnsi="Book Antiqua" w:cs="宋体"/>
          <w:b/>
          <w:bCs/>
          <w:color w:val="000000"/>
          <w:sz w:val="21"/>
          <w:szCs w:val="21"/>
        </w:rPr>
        <w:t>Hu J</w:t>
      </w:r>
      <w:r w:rsidRPr="006F2A14">
        <w:rPr>
          <w:rFonts w:ascii="Book Antiqua" w:eastAsia="宋体" w:hAnsi="Book Antiqua" w:cs="宋体"/>
          <w:color w:val="000000"/>
          <w:sz w:val="21"/>
          <w:szCs w:val="21"/>
        </w:rPr>
        <w:t>, Zhao G, Wang HX, Tang L, Xu YC, Ma Y, Zhang FC. A meta-analysis of gemcitabine containing chemotherapy for locally advanced and metastatic pancreatic adenocarcinoma. </w:t>
      </w:r>
      <w:r w:rsidRPr="006F2A14">
        <w:rPr>
          <w:rFonts w:ascii="Book Antiqua" w:eastAsia="宋体" w:hAnsi="Book Antiqua" w:cs="宋体"/>
          <w:i/>
          <w:iCs/>
          <w:color w:val="000000"/>
          <w:sz w:val="21"/>
          <w:szCs w:val="21"/>
        </w:rPr>
        <w:t>J Hematol Oncol</w:t>
      </w:r>
      <w:r w:rsidRPr="006F2A14">
        <w:rPr>
          <w:rFonts w:ascii="Book Antiqua" w:eastAsia="宋体" w:hAnsi="Book Antiqua" w:cs="宋体"/>
          <w:color w:val="000000"/>
          <w:sz w:val="21"/>
          <w:szCs w:val="21"/>
        </w:rPr>
        <w:t> 2011; </w:t>
      </w:r>
      <w:r w:rsidRPr="006F2A14">
        <w:rPr>
          <w:rFonts w:ascii="Book Antiqua" w:eastAsia="宋体" w:hAnsi="Book Antiqua" w:cs="宋体"/>
          <w:b/>
          <w:bCs/>
          <w:color w:val="000000"/>
          <w:sz w:val="21"/>
          <w:szCs w:val="21"/>
        </w:rPr>
        <w:t>4</w:t>
      </w:r>
      <w:r w:rsidRPr="006F2A14">
        <w:rPr>
          <w:rFonts w:ascii="Book Antiqua" w:eastAsia="宋体" w:hAnsi="Book Antiqua" w:cs="宋体"/>
          <w:color w:val="000000"/>
          <w:sz w:val="21"/>
          <w:szCs w:val="21"/>
        </w:rPr>
        <w:t>: 11 [PMID: 21439076 DOI: 10.1186/1756-8722-4-11]</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7 </w:t>
      </w:r>
      <w:r w:rsidRPr="006F2A14">
        <w:rPr>
          <w:rFonts w:ascii="Book Antiqua" w:eastAsia="宋体" w:hAnsi="Book Antiqua" w:cs="宋体"/>
          <w:b/>
          <w:bCs/>
          <w:color w:val="000000"/>
          <w:sz w:val="21"/>
          <w:szCs w:val="21"/>
        </w:rPr>
        <w:t>Conroy T</w:t>
      </w:r>
      <w:r w:rsidRPr="006F2A14">
        <w:rPr>
          <w:rFonts w:ascii="Book Antiqua" w:eastAsia="宋体" w:hAnsi="Book Antiqua" w:cs="宋体"/>
          <w:color w:val="000000"/>
          <w:sz w:val="21"/>
          <w:szCs w:val="21"/>
        </w:rPr>
        <w:t>, Desseigne F, Ychou M, Bouché O, Guimbaud R, Bécouarn Y, Adenis A, Raoul JL, Gourgou-Bourgade S, de la Fouchardière C, Bennouna J, Bachet JB, Khemissa-Akouz F, Péré-Vergé D, Delbaldo C, Assenat E, Chauffert B, Michel P, Montoto-Grillot C, Ducreux M. FOLFIRINOX versus gemcitabine for metastatic pancreatic cancer. </w:t>
      </w:r>
      <w:r w:rsidRPr="006F2A14">
        <w:rPr>
          <w:rFonts w:ascii="Book Antiqua" w:eastAsia="宋体" w:hAnsi="Book Antiqua" w:cs="宋体"/>
          <w:i/>
          <w:iCs/>
          <w:color w:val="000000"/>
          <w:sz w:val="21"/>
          <w:szCs w:val="21"/>
        </w:rPr>
        <w:t>N Engl J Med</w:t>
      </w:r>
      <w:r w:rsidRPr="006F2A14">
        <w:rPr>
          <w:rFonts w:ascii="Book Antiqua" w:eastAsia="宋体" w:hAnsi="Book Antiqua" w:cs="宋体"/>
          <w:color w:val="000000"/>
          <w:sz w:val="21"/>
          <w:szCs w:val="21"/>
        </w:rPr>
        <w:t> 2011; </w:t>
      </w:r>
      <w:r w:rsidRPr="006F2A14">
        <w:rPr>
          <w:rFonts w:ascii="Book Antiqua" w:eastAsia="宋体" w:hAnsi="Book Antiqua" w:cs="宋体"/>
          <w:b/>
          <w:bCs/>
          <w:color w:val="000000"/>
          <w:sz w:val="21"/>
          <w:szCs w:val="21"/>
        </w:rPr>
        <w:t>364</w:t>
      </w:r>
      <w:r w:rsidRPr="006F2A14">
        <w:rPr>
          <w:rFonts w:ascii="Book Antiqua" w:eastAsia="宋体" w:hAnsi="Book Antiqua" w:cs="宋体"/>
          <w:color w:val="000000"/>
          <w:sz w:val="21"/>
          <w:szCs w:val="21"/>
        </w:rPr>
        <w:t>: 1817-1825 [PMID: 21561347 DOI: 10.1056/NEJMoa1011923]</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8 </w:t>
      </w:r>
      <w:r w:rsidRPr="006F2A14">
        <w:rPr>
          <w:rFonts w:ascii="Book Antiqua" w:eastAsia="宋体" w:hAnsi="Book Antiqua" w:cs="宋体"/>
          <w:b/>
          <w:bCs/>
          <w:color w:val="000000"/>
          <w:sz w:val="21"/>
          <w:szCs w:val="21"/>
        </w:rPr>
        <w:t>Heinemann V</w:t>
      </w:r>
      <w:r w:rsidRPr="006F2A14">
        <w:rPr>
          <w:rFonts w:ascii="Book Antiqua" w:eastAsia="宋体" w:hAnsi="Book Antiqua" w:cs="宋体"/>
          <w:color w:val="000000"/>
          <w:sz w:val="21"/>
          <w:szCs w:val="21"/>
        </w:rPr>
        <w:t>, Haas M, Boeck S. Neoadjuvant treatment of borderline resectable and non-resectable pancreatic cancer. </w:t>
      </w:r>
      <w:r w:rsidRPr="006F2A14">
        <w:rPr>
          <w:rFonts w:ascii="Book Antiqua" w:eastAsia="宋体" w:hAnsi="Book Antiqua" w:cs="宋体"/>
          <w:i/>
          <w:iCs/>
          <w:color w:val="000000"/>
          <w:sz w:val="21"/>
          <w:szCs w:val="21"/>
        </w:rPr>
        <w:t>Ann Oncol</w:t>
      </w:r>
      <w:r w:rsidRPr="006F2A14">
        <w:rPr>
          <w:rFonts w:ascii="Book Antiqua" w:eastAsia="宋体" w:hAnsi="Book Antiqua" w:cs="宋体"/>
          <w:color w:val="000000"/>
          <w:sz w:val="21"/>
          <w:szCs w:val="21"/>
        </w:rPr>
        <w:t> 2013; </w:t>
      </w:r>
      <w:r w:rsidRPr="006F2A14">
        <w:rPr>
          <w:rFonts w:ascii="Book Antiqua" w:eastAsia="宋体" w:hAnsi="Book Antiqua" w:cs="宋体"/>
          <w:b/>
          <w:bCs/>
          <w:color w:val="000000"/>
          <w:sz w:val="21"/>
          <w:szCs w:val="21"/>
        </w:rPr>
        <w:t>24</w:t>
      </w:r>
      <w:r w:rsidRPr="006F2A14">
        <w:rPr>
          <w:rFonts w:ascii="Book Antiqua" w:eastAsia="宋体" w:hAnsi="Book Antiqua" w:cs="宋体"/>
          <w:color w:val="000000"/>
          <w:sz w:val="21"/>
          <w:szCs w:val="21"/>
        </w:rPr>
        <w:t>: 2484-2492 [PMID: 23852311 DOI: 10.1093/annonc/mdt239]</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9 </w:t>
      </w:r>
      <w:r w:rsidRPr="006F2A14">
        <w:rPr>
          <w:rFonts w:ascii="Book Antiqua" w:eastAsia="宋体" w:hAnsi="Book Antiqua" w:cs="宋体"/>
          <w:b/>
          <w:bCs/>
          <w:color w:val="000000"/>
          <w:sz w:val="21"/>
          <w:szCs w:val="21"/>
        </w:rPr>
        <w:t>Marthey L</w:t>
      </w:r>
      <w:r w:rsidRPr="006F2A14">
        <w:rPr>
          <w:rFonts w:ascii="Book Antiqua" w:eastAsia="宋体" w:hAnsi="Book Antiqua" w:cs="宋体"/>
          <w:color w:val="000000"/>
          <w:sz w:val="21"/>
          <w:szCs w:val="21"/>
        </w:rPr>
        <w:t xml:space="preserve">, Sa-Cunha A, Blanc JF, Gauthier M, Cueff A, Francois E, Trouilloud I, Malka D, Bachet JB, Coriat R, Terrebonne E, De La Fouchardière C, Manfredi S, Solub D, Lécaille C, Thirot Bidault A, Carbonnel F, Taieb J. FOLFIRINOX for locally advanced pancreatic adenocarcinoma: </w:t>
      </w:r>
      <w:r w:rsidRPr="006F2A14">
        <w:rPr>
          <w:rFonts w:ascii="Book Antiqua" w:eastAsia="宋体" w:hAnsi="Book Antiqua" w:cs="宋体"/>
          <w:color w:val="000000"/>
          <w:sz w:val="21"/>
          <w:szCs w:val="21"/>
        </w:rPr>
        <w:lastRenderedPageBreak/>
        <w:t>results of an AGEO multicenter prospective observational cohort. </w:t>
      </w:r>
      <w:r w:rsidRPr="006F2A14">
        <w:rPr>
          <w:rFonts w:ascii="Book Antiqua" w:eastAsia="宋体" w:hAnsi="Book Antiqua" w:cs="宋体"/>
          <w:i/>
          <w:iCs/>
          <w:color w:val="000000"/>
          <w:sz w:val="21"/>
          <w:szCs w:val="21"/>
        </w:rPr>
        <w:t>Ann Surg Oncol</w:t>
      </w:r>
      <w:r w:rsidRPr="006F2A14">
        <w:rPr>
          <w:rFonts w:ascii="Book Antiqua" w:eastAsia="宋体" w:hAnsi="Book Antiqua" w:cs="宋体"/>
          <w:color w:val="000000"/>
          <w:sz w:val="21"/>
          <w:szCs w:val="21"/>
        </w:rPr>
        <w:t> 2015; </w:t>
      </w:r>
      <w:r w:rsidRPr="006F2A14">
        <w:rPr>
          <w:rFonts w:ascii="Book Antiqua" w:eastAsia="宋体" w:hAnsi="Book Antiqua" w:cs="宋体"/>
          <w:b/>
          <w:bCs/>
          <w:color w:val="000000"/>
          <w:sz w:val="21"/>
          <w:szCs w:val="21"/>
        </w:rPr>
        <w:t>22</w:t>
      </w:r>
      <w:r w:rsidRPr="006F2A14">
        <w:rPr>
          <w:rFonts w:ascii="Book Antiqua" w:eastAsia="宋体" w:hAnsi="Book Antiqua" w:cs="宋体"/>
          <w:color w:val="000000"/>
          <w:sz w:val="21"/>
          <w:szCs w:val="21"/>
        </w:rPr>
        <w:t>: 295-301 [PMID: 25037971]</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10 </w:t>
      </w:r>
      <w:r w:rsidRPr="006F2A14">
        <w:rPr>
          <w:rFonts w:ascii="Book Antiqua" w:eastAsia="宋体" w:hAnsi="Book Antiqua" w:cs="宋体"/>
          <w:b/>
          <w:bCs/>
          <w:color w:val="000000"/>
          <w:sz w:val="21"/>
          <w:szCs w:val="21"/>
        </w:rPr>
        <w:t>Conroy T</w:t>
      </w:r>
      <w:r w:rsidRPr="006F2A14">
        <w:rPr>
          <w:rFonts w:ascii="Book Antiqua" w:eastAsia="宋体" w:hAnsi="Book Antiqua" w:cs="宋体"/>
          <w:color w:val="000000"/>
          <w:sz w:val="21"/>
          <w:szCs w:val="21"/>
        </w:rPr>
        <w:t>, Gavoille C, Samalin E, Ychou M, Ducreux M. The role of the FOLFIRINOX regimen for advanced pancreatic cancer. </w:t>
      </w:r>
      <w:r w:rsidRPr="006F2A14">
        <w:rPr>
          <w:rFonts w:ascii="Book Antiqua" w:eastAsia="宋体" w:hAnsi="Book Antiqua" w:cs="宋体"/>
          <w:i/>
          <w:iCs/>
          <w:color w:val="000000"/>
          <w:sz w:val="21"/>
          <w:szCs w:val="21"/>
        </w:rPr>
        <w:t>Curr Oncol Rep</w:t>
      </w:r>
      <w:r w:rsidRPr="006F2A14">
        <w:rPr>
          <w:rFonts w:ascii="Book Antiqua" w:eastAsia="宋体" w:hAnsi="Book Antiqua" w:cs="宋体"/>
          <w:color w:val="000000"/>
          <w:sz w:val="21"/>
          <w:szCs w:val="21"/>
        </w:rPr>
        <w:t> 2013; </w:t>
      </w:r>
      <w:r w:rsidRPr="006F2A14">
        <w:rPr>
          <w:rFonts w:ascii="Book Antiqua" w:eastAsia="宋体" w:hAnsi="Book Antiqua" w:cs="宋体"/>
          <w:b/>
          <w:bCs/>
          <w:color w:val="000000"/>
          <w:sz w:val="21"/>
          <w:szCs w:val="21"/>
        </w:rPr>
        <w:t>15</w:t>
      </w:r>
      <w:r w:rsidRPr="006F2A14">
        <w:rPr>
          <w:rFonts w:ascii="Book Antiqua" w:eastAsia="宋体" w:hAnsi="Book Antiqua" w:cs="宋体"/>
          <w:color w:val="000000"/>
          <w:sz w:val="21"/>
          <w:szCs w:val="21"/>
        </w:rPr>
        <w:t>: 182-189 [PMID: 23341367 DOI: 10.1007/s11912-012-0290-4]</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11 </w:t>
      </w:r>
      <w:r w:rsidRPr="006F2A14">
        <w:rPr>
          <w:rFonts w:ascii="Book Antiqua" w:eastAsia="宋体" w:hAnsi="Book Antiqua" w:cs="宋体"/>
          <w:b/>
          <w:bCs/>
          <w:color w:val="000000"/>
          <w:sz w:val="21"/>
          <w:szCs w:val="21"/>
        </w:rPr>
        <w:t>Sasaki T</w:t>
      </w:r>
      <w:r w:rsidRPr="006F2A14">
        <w:rPr>
          <w:rFonts w:ascii="Book Antiqua" w:eastAsia="宋体" w:hAnsi="Book Antiqua" w:cs="宋体"/>
          <w:color w:val="000000"/>
          <w:sz w:val="21"/>
          <w:szCs w:val="21"/>
        </w:rPr>
        <w:t>, Isayama H, Aoki T, Tanaka M, Hamada T, Nakai Y, Sakamoto Y, Hasegawa K, Morikawa T, Fukayama M, Kokudo N, Koike K. A R0 resection case of initially unresectable metastatic pancreatic cancer downstaged by FOLFIRINOX therapy. </w:t>
      </w:r>
      <w:r w:rsidRPr="006F2A14">
        <w:rPr>
          <w:rFonts w:ascii="Book Antiqua" w:eastAsia="宋体" w:hAnsi="Book Antiqua" w:cs="宋体"/>
          <w:i/>
          <w:iCs/>
          <w:color w:val="000000"/>
          <w:sz w:val="21"/>
          <w:szCs w:val="21"/>
        </w:rPr>
        <w:t>Pancreas</w:t>
      </w:r>
      <w:r w:rsidRPr="006F2A14">
        <w:rPr>
          <w:rFonts w:ascii="Book Antiqua" w:eastAsia="宋体" w:hAnsi="Book Antiqua" w:cs="宋体"/>
          <w:color w:val="000000"/>
          <w:sz w:val="21"/>
          <w:szCs w:val="21"/>
        </w:rPr>
        <w:t> 2014; </w:t>
      </w:r>
      <w:r w:rsidRPr="006F2A14">
        <w:rPr>
          <w:rFonts w:ascii="Book Antiqua" w:eastAsia="宋体" w:hAnsi="Book Antiqua" w:cs="宋体"/>
          <w:b/>
          <w:bCs/>
          <w:color w:val="000000"/>
          <w:sz w:val="21"/>
          <w:szCs w:val="21"/>
        </w:rPr>
        <w:t>43</w:t>
      </w:r>
      <w:r w:rsidRPr="006F2A14">
        <w:rPr>
          <w:rFonts w:ascii="Book Antiqua" w:eastAsia="宋体" w:hAnsi="Book Antiqua" w:cs="宋体"/>
          <w:color w:val="000000"/>
          <w:sz w:val="21"/>
          <w:szCs w:val="21"/>
        </w:rPr>
        <w:t>: 972-974 [PMID: 25010709 DOI: 10.1097/MPA.0000000000000139]</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12 </w:t>
      </w:r>
      <w:r w:rsidRPr="006F2A14">
        <w:rPr>
          <w:rFonts w:ascii="Book Antiqua" w:eastAsia="宋体" w:hAnsi="Book Antiqua" w:cs="宋体"/>
          <w:b/>
          <w:bCs/>
          <w:color w:val="000000"/>
          <w:sz w:val="21"/>
          <w:szCs w:val="21"/>
        </w:rPr>
        <w:t>Satoi S</w:t>
      </w:r>
      <w:r w:rsidRPr="006F2A14">
        <w:rPr>
          <w:rFonts w:ascii="Book Antiqua" w:eastAsia="宋体" w:hAnsi="Book Antiqua" w:cs="宋体"/>
          <w:color w:val="000000"/>
          <w:sz w:val="21"/>
          <w:szCs w:val="21"/>
        </w:rPr>
        <w:t>, Yamaue H, Kato K, Takahashi S, Hirono S, Takeda S, Eguchi H, Sho M, Wada K, Shinchi H, Kwon AH, Hirano S, Kinoshita T, Nakao A, Nagano H, Nakajima Y, Sano K, Miyazaki M, Takada T. Role of adjuvant surgery for patients with initially unresectable pancreatic cancer with a long-term favorable response to non-surgical anti-cancer treatments: results of a project study for pancreatic surgery by the Japanese Society of Hepato-Biliary-Pancreatic Surgery. </w:t>
      </w:r>
      <w:r w:rsidRPr="006F2A14">
        <w:rPr>
          <w:rFonts w:ascii="Book Antiqua" w:eastAsia="宋体" w:hAnsi="Book Antiqua" w:cs="宋体"/>
          <w:i/>
          <w:iCs/>
          <w:color w:val="000000"/>
          <w:sz w:val="21"/>
          <w:szCs w:val="21"/>
        </w:rPr>
        <w:t>J Hepatobiliary Pancreat Sci</w:t>
      </w:r>
      <w:r w:rsidRPr="006F2A14">
        <w:rPr>
          <w:rFonts w:ascii="Book Antiqua" w:eastAsia="宋体" w:hAnsi="Book Antiqua" w:cs="宋体"/>
          <w:color w:val="000000"/>
          <w:sz w:val="21"/>
          <w:szCs w:val="21"/>
        </w:rPr>
        <w:t> 2013; </w:t>
      </w:r>
      <w:r w:rsidRPr="006F2A14">
        <w:rPr>
          <w:rFonts w:ascii="Book Antiqua" w:eastAsia="宋体" w:hAnsi="Book Antiqua" w:cs="宋体"/>
          <w:b/>
          <w:bCs/>
          <w:color w:val="000000"/>
          <w:sz w:val="21"/>
          <w:szCs w:val="21"/>
        </w:rPr>
        <w:t>20</w:t>
      </w:r>
      <w:r w:rsidRPr="006F2A14">
        <w:rPr>
          <w:rFonts w:ascii="Book Antiqua" w:eastAsia="宋体" w:hAnsi="Book Antiqua" w:cs="宋体"/>
          <w:color w:val="000000"/>
          <w:sz w:val="21"/>
          <w:szCs w:val="21"/>
        </w:rPr>
        <w:t>: 590-600 [PMID: 23660962]</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13 </w:t>
      </w:r>
      <w:r w:rsidRPr="006F2A14">
        <w:rPr>
          <w:rFonts w:ascii="Book Antiqua" w:eastAsia="宋体" w:hAnsi="Book Antiqua" w:cs="宋体"/>
          <w:b/>
          <w:bCs/>
          <w:color w:val="000000"/>
          <w:sz w:val="21"/>
          <w:szCs w:val="21"/>
        </w:rPr>
        <w:t>Lorgis V</w:t>
      </w:r>
      <w:r w:rsidRPr="006F2A14">
        <w:rPr>
          <w:rFonts w:ascii="Book Antiqua" w:eastAsia="宋体" w:hAnsi="Book Antiqua" w:cs="宋体"/>
          <w:color w:val="000000"/>
          <w:sz w:val="21"/>
          <w:szCs w:val="21"/>
        </w:rPr>
        <w:t>, Chauffert B, Gentil J, Ghiringhelli F. Influcence of localization of primary tumor on effectiveness of 5-fluorouracil/leucovorin combined with irinotecan and oxaliplatin (FOLFIRINOX) in patients with metastatic pancreatic adenocarcinoma: a retrospective study. </w:t>
      </w:r>
      <w:r w:rsidRPr="006F2A14">
        <w:rPr>
          <w:rFonts w:ascii="Book Antiqua" w:eastAsia="宋体" w:hAnsi="Book Antiqua" w:cs="宋体"/>
          <w:i/>
          <w:iCs/>
          <w:color w:val="000000"/>
          <w:sz w:val="21"/>
          <w:szCs w:val="21"/>
        </w:rPr>
        <w:t>Anticancer Res</w:t>
      </w:r>
      <w:r w:rsidRPr="006F2A14">
        <w:rPr>
          <w:rFonts w:ascii="Book Antiqua" w:eastAsia="宋体" w:hAnsi="Book Antiqua" w:cs="宋体"/>
          <w:color w:val="000000"/>
          <w:sz w:val="21"/>
          <w:szCs w:val="21"/>
        </w:rPr>
        <w:t> 2012; </w:t>
      </w:r>
      <w:r w:rsidRPr="006F2A14">
        <w:rPr>
          <w:rFonts w:ascii="Book Antiqua" w:eastAsia="宋体" w:hAnsi="Book Antiqua" w:cs="宋体"/>
          <w:b/>
          <w:bCs/>
          <w:color w:val="000000"/>
          <w:sz w:val="21"/>
          <w:szCs w:val="21"/>
        </w:rPr>
        <w:t>32</w:t>
      </w:r>
      <w:r w:rsidRPr="006F2A14">
        <w:rPr>
          <w:rFonts w:ascii="Book Antiqua" w:eastAsia="宋体" w:hAnsi="Book Antiqua" w:cs="宋体"/>
          <w:color w:val="000000"/>
          <w:sz w:val="21"/>
          <w:szCs w:val="21"/>
        </w:rPr>
        <w:t>: 4125-4130 [PMID: 22993372]</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14 </w:t>
      </w:r>
      <w:r w:rsidRPr="006F2A14">
        <w:rPr>
          <w:rFonts w:ascii="Book Antiqua" w:eastAsia="宋体" w:hAnsi="Book Antiqua" w:cs="宋体"/>
          <w:b/>
          <w:bCs/>
          <w:color w:val="000000"/>
          <w:sz w:val="21"/>
          <w:szCs w:val="21"/>
        </w:rPr>
        <w:t>Ling Q</w:t>
      </w:r>
      <w:r w:rsidRPr="006F2A14">
        <w:rPr>
          <w:rFonts w:ascii="Book Antiqua" w:eastAsia="宋体" w:hAnsi="Book Antiqua" w:cs="宋体"/>
          <w:color w:val="000000"/>
          <w:sz w:val="21"/>
          <w:szCs w:val="21"/>
        </w:rPr>
        <w:t>, Xu X, Zheng SS, Kalthoff H. The diversity between pancreatic head and body/tail cancers: clinical parameters and in vitro models. </w:t>
      </w:r>
      <w:r w:rsidRPr="006F2A14">
        <w:rPr>
          <w:rFonts w:ascii="Book Antiqua" w:eastAsia="宋体" w:hAnsi="Book Antiqua" w:cs="宋体"/>
          <w:i/>
          <w:iCs/>
          <w:color w:val="000000"/>
          <w:sz w:val="21"/>
          <w:szCs w:val="21"/>
        </w:rPr>
        <w:t>Hepatobiliary Pancreat Dis Int</w:t>
      </w:r>
      <w:r w:rsidRPr="006F2A14">
        <w:rPr>
          <w:rFonts w:ascii="Book Antiqua" w:eastAsia="宋体" w:hAnsi="Book Antiqua" w:cs="宋体"/>
          <w:color w:val="000000"/>
          <w:sz w:val="21"/>
          <w:szCs w:val="21"/>
        </w:rPr>
        <w:t> 2013; </w:t>
      </w:r>
      <w:r w:rsidRPr="006F2A14">
        <w:rPr>
          <w:rFonts w:ascii="Book Antiqua" w:eastAsia="宋体" w:hAnsi="Book Antiqua" w:cs="宋体"/>
          <w:b/>
          <w:bCs/>
          <w:color w:val="000000"/>
          <w:sz w:val="21"/>
          <w:szCs w:val="21"/>
        </w:rPr>
        <w:t>12</w:t>
      </w:r>
      <w:r w:rsidRPr="006F2A14">
        <w:rPr>
          <w:rFonts w:ascii="Book Antiqua" w:eastAsia="宋体" w:hAnsi="Book Antiqua" w:cs="宋体"/>
          <w:color w:val="000000"/>
          <w:sz w:val="21"/>
          <w:szCs w:val="21"/>
        </w:rPr>
        <w:t>: 480-487 [PMID: 24103277]</w:t>
      </w:r>
    </w:p>
    <w:p w:rsidR="002D4CD5" w:rsidRPr="006F2A14" w:rsidRDefault="002D4CD5" w:rsidP="00B35EBD">
      <w:pPr>
        <w:adjustRightInd w:val="0"/>
        <w:snapToGrid w:val="0"/>
        <w:spacing w:after="0" w:line="360" w:lineRule="auto"/>
        <w:jc w:val="both"/>
        <w:rPr>
          <w:rFonts w:ascii="Book Antiqua" w:eastAsia="宋体" w:hAnsi="Book Antiqua" w:cs="宋体"/>
          <w:color w:val="000000"/>
          <w:sz w:val="21"/>
          <w:szCs w:val="21"/>
        </w:rPr>
      </w:pPr>
      <w:r w:rsidRPr="006F2A14">
        <w:rPr>
          <w:rFonts w:ascii="Book Antiqua" w:eastAsia="宋体" w:hAnsi="Book Antiqua" w:cs="宋体"/>
          <w:color w:val="000000"/>
          <w:sz w:val="21"/>
          <w:szCs w:val="21"/>
        </w:rPr>
        <w:t>15 </w:t>
      </w:r>
      <w:r w:rsidRPr="006F2A14">
        <w:rPr>
          <w:rFonts w:ascii="Book Antiqua" w:eastAsia="宋体" w:hAnsi="Book Antiqua" w:cs="宋体"/>
          <w:b/>
          <w:bCs/>
          <w:color w:val="000000"/>
          <w:sz w:val="21"/>
          <w:szCs w:val="21"/>
        </w:rPr>
        <w:t>Lau MK</w:t>
      </w:r>
      <w:r w:rsidRPr="006F2A14">
        <w:rPr>
          <w:rFonts w:ascii="Book Antiqua" w:eastAsia="宋体" w:hAnsi="Book Antiqua" w:cs="宋体"/>
          <w:color w:val="000000"/>
          <w:sz w:val="21"/>
          <w:szCs w:val="21"/>
        </w:rPr>
        <w:t>, Davila JA, Shaib YH. Incidence and survival of pancreatic head and body and tail cancers: a population-based study in the United States. </w:t>
      </w:r>
      <w:r w:rsidRPr="006F2A14">
        <w:rPr>
          <w:rFonts w:ascii="Book Antiqua" w:eastAsia="宋体" w:hAnsi="Book Antiqua" w:cs="宋体"/>
          <w:i/>
          <w:iCs/>
          <w:color w:val="000000"/>
          <w:sz w:val="21"/>
          <w:szCs w:val="21"/>
        </w:rPr>
        <w:t>Pancreas</w:t>
      </w:r>
      <w:r w:rsidRPr="006F2A14">
        <w:rPr>
          <w:rFonts w:ascii="Book Antiqua" w:eastAsia="宋体" w:hAnsi="Book Antiqua" w:cs="宋体"/>
          <w:color w:val="000000"/>
          <w:sz w:val="21"/>
          <w:szCs w:val="21"/>
        </w:rPr>
        <w:t> 2010; </w:t>
      </w:r>
      <w:r w:rsidRPr="006F2A14">
        <w:rPr>
          <w:rFonts w:ascii="Book Antiqua" w:eastAsia="宋体" w:hAnsi="Book Antiqua" w:cs="宋体"/>
          <w:b/>
          <w:bCs/>
          <w:color w:val="000000"/>
          <w:sz w:val="21"/>
          <w:szCs w:val="21"/>
        </w:rPr>
        <w:t>39</w:t>
      </w:r>
      <w:r w:rsidRPr="006F2A14">
        <w:rPr>
          <w:rFonts w:ascii="Book Antiqua" w:eastAsia="宋体" w:hAnsi="Book Antiqua" w:cs="宋体"/>
          <w:color w:val="000000"/>
          <w:sz w:val="21"/>
          <w:szCs w:val="21"/>
        </w:rPr>
        <w:t>: 458-462 [PMID: 19924019 DOI: 10.1097/MPA.0b013e3181bd6489]</w:t>
      </w:r>
    </w:p>
    <w:p w:rsidR="002D4CD5" w:rsidRPr="006F2A14" w:rsidRDefault="002D4CD5" w:rsidP="00B35EBD">
      <w:pPr>
        <w:adjustRightInd w:val="0"/>
        <w:snapToGrid w:val="0"/>
        <w:spacing w:after="0" w:line="360" w:lineRule="auto"/>
        <w:jc w:val="both"/>
        <w:rPr>
          <w:rFonts w:ascii="Book Antiqua" w:hAnsi="Book Antiqua"/>
          <w:sz w:val="21"/>
          <w:szCs w:val="21"/>
        </w:rPr>
      </w:pPr>
    </w:p>
    <w:p w:rsidR="002D4CD5" w:rsidRPr="002E3E54" w:rsidRDefault="002D4CD5" w:rsidP="00B35EBD">
      <w:pPr>
        <w:adjustRightInd w:val="0"/>
        <w:snapToGrid w:val="0"/>
        <w:spacing w:after="0" w:line="360" w:lineRule="auto"/>
        <w:jc w:val="right"/>
        <w:rPr>
          <w:rFonts w:ascii="Book Antiqua" w:hAnsi="Book Antiqua"/>
          <w:b/>
          <w:bCs/>
          <w:sz w:val="21"/>
        </w:rPr>
      </w:pPr>
      <w:r w:rsidRPr="002E3E54">
        <w:rPr>
          <w:rFonts w:ascii="Book Antiqua" w:hAnsi="Book Antiqua"/>
          <w:b/>
          <w:bCs/>
          <w:sz w:val="21"/>
        </w:rPr>
        <w:t xml:space="preserve">P-Reviewer: </w:t>
      </w:r>
      <w:r w:rsidR="002E3E54" w:rsidRPr="002E3E54">
        <w:rPr>
          <w:rFonts w:ascii="Book Antiqua" w:hAnsi="Book Antiqua"/>
          <w:bCs/>
          <w:sz w:val="21"/>
        </w:rPr>
        <w:t>Hsieh</w:t>
      </w:r>
      <w:r w:rsidR="002E3E54" w:rsidRPr="002E3E54">
        <w:rPr>
          <w:rFonts w:ascii="Book Antiqua" w:hAnsi="Book Antiqua" w:hint="eastAsia"/>
          <w:bCs/>
          <w:sz w:val="21"/>
          <w:lang w:eastAsia="zh-CN"/>
        </w:rPr>
        <w:t xml:space="preserve"> </w:t>
      </w:r>
      <w:r w:rsidR="002E3E54" w:rsidRPr="002E3E54">
        <w:rPr>
          <w:rFonts w:ascii="Book Antiqua" w:hAnsi="Book Antiqua" w:hint="eastAsia"/>
          <w:bCs/>
          <w:caps/>
          <w:sz w:val="21"/>
          <w:lang w:eastAsia="zh-CN"/>
        </w:rPr>
        <w:t>cc,</w:t>
      </w:r>
      <w:r w:rsidRPr="002E3E54">
        <w:rPr>
          <w:rFonts w:ascii="Book Antiqua" w:hAnsi="Book Antiqua" w:hint="eastAsia"/>
          <w:bCs/>
          <w:sz w:val="21"/>
        </w:rPr>
        <w:t xml:space="preserve"> </w:t>
      </w:r>
      <w:r w:rsidR="002E3E54" w:rsidRPr="002E3E54">
        <w:rPr>
          <w:rFonts w:ascii="Book Antiqua" w:hAnsi="Book Antiqua"/>
          <w:bCs/>
          <w:sz w:val="21"/>
        </w:rPr>
        <w:t>Li</w:t>
      </w:r>
      <w:r w:rsidR="002E3E54" w:rsidRPr="002E3E54">
        <w:rPr>
          <w:rFonts w:ascii="Book Antiqua" w:hAnsi="Book Antiqua" w:hint="eastAsia"/>
          <w:bCs/>
          <w:sz w:val="21"/>
          <w:lang w:eastAsia="zh-CN"/>
        </w:rPr>
        <w:t xml:space="preserve"> </w:t>
      </w:r>
      <w:r w:rsidR="002E3E54" w:rsidRPr="002E3E54">
        <w:rPr>
          <w:rFonts w:ascii="Book Antiqua" w:hAnsi="Book Antiqua" w:hint="eastAsia"/>
          <w:bCs/>
          <w:caps/>
          <w:sz w:val="21"/>
          <w:lang w:eastAsia="zh-CN"/>
        </w:rPr>
        <w:t>sd</w:t>
      </w:r>
      <w:r w:rsidR="002E3E54" w:rsidRPr="002E3E54">
        <w:rPr>
          <w:rFonts w:ascii="Book Antiqua" w:hAnsi="Book Antiqua" w:hint="eastAsia"/>
          <w:bCs/>
          <w:sz w:val="21"/>
          <w:lang w:eastAsia="zh-CN"/>
        </w:rPr>
        <w:t>,</w:t>
      </w:r>
      <w:r w:rsidRPr="002E3E54">
        <w:rPr>
          <w:rFonts w:ascii="Book Antiqua" w:hAnsi="Book Antiqua" w:hint="eastAsia"/>
          <w:bCs/>
          <w:sz w:val="21"/>
        </w:rPr>
        <w:t xml:space="preserve"> </w:t>
      </w:r>
      <w:r w:rsidR="002E3E54" w:rsidRPr="002E3E54">
        <w:rPr>
          <w:rFonts w:ascii="Book Antiqua" w:hAnsi="Book Antiqua"/>
          <w:bCs/>
          <w:sz w:val="21"/>
        </w:rPr>
        <w:t>Makisalo H</w:t>
      </w:r>
      <w:r w:rsidR="002E3E54" w:rsidRPr="002E3E54">
        <w:rPr>
          <w:rFonts w:ascii="Book Antiqua" w:hAnsi="Book Antiqua" w:hint="eastAsia"/>
          <w:bCs/>
          <w:sz w:val="21"/>
          <w:lang w:eastAsia="zh-CN"/>
        </w:rPr>
        <w:t xml:space="preserve">, </w:t>
      </w:r>
      <w:r w:rsidR="002E3E54" w:rsidRPr="002E3E54">
        <w:rPr>
          <w:rFonts w:ascii="Book Antiqua" w:hAnsi="Book Antiqua"/>
          <w:bCs/>
          <w:sz w:val="21"/>
          <w:lang w:eastAsia="zh-CN"/>
        </w:rPr>
        <w:t>Wagener G</w:t>
      </w:r>
      <w:r w:rsidR="002E3E54" w:rsidRPr="002E3E54">
        <w:rPr>
          <w:rFonts w:ascii="Book Antiqua" w:hAnsi="Book Antiqua" w:hint="eastAsia"/>
          <w:bCs/>
          <w:sz w:val="21"/>
          <w:lang w:eastAsia="zh-CN"/>
        </w:rPr>
        <w:t xml:space="preserve">, </w:t>
      </w:r>
      <w:r w:rsidR="002E3E54" w:rsidRPr="002E3E54">
        <w:rPr>
          <w:rFonts w:ascii="Book Antiqua" w:hAnsi="Book Antiqua"/>
          <w:bCs/>
          <w:sz w:val="21"/>
          <w:lang w:eastAsia="zh-CN"/>
        </w:rPr>
        <w:t>Wang</w:t>
      </w:r>
      <w:r w:rsidR="002E3E54" w:rsidRPr="002E3E54">
        <w:rPr>
          <w:rFonts w:ascii="Book Antiqua" w:hAnsi="Book Antiqua" w:hint="eastAsia"/>
          <w:bCs/>
          <w:sz w:val="21"/>
          <w:lang w:eastAsia="zh-CN"/>
        </w:rPr>
        <w:t xml:space="preserve"> DS, </w:t>
      </w:r>
      <w:r w:rsidR="002E3E54" w:rsidRPr="002E3E54">
        <w:rPr>
          <w:rFonts w:ascii="Book Antiqua" w:hAnsi="Book Antiqua"/>
          <w:bCs/>
          <w:sz w:val="21"/>
          <w:lang w:eastAsia="zh-CN"/>
        </w:rPr>
        <w:t>Zhang ZM</w:t>
      </w:r>
      <w:r w:rsidR="002E3E54" w:rsidRPr="002E3E54">
        <w:rPr>
          <w:rFonts w:ascii="Book Antiqua" w:hAnsi="Book Antiqua" w:hint="eastAsia"/>
          <w:b/>
          <w:bCs/>
          <w:sz w:val="21"/>
          <w:lang w:eastAsia="zh-CN"/>
        </w:rPr>
        <w:t xml:space="preserve"> </w:t>
      </w:r>
      <w:r w:rsidRPr="002E3E54">
        <w:rPr>
          <w:rFonts w:ascii="Book Antiqua" w:hAnsi="Book Antiqua"/>
          <w:b/>
          <w:bCs/>
          <w:sz w:val="21"/>
        </w:rPr>
        <w:t>S-Editor:</w:t>
      </w:r>
      <w:r w:rsidRPr="002E3E54">
        <w:rPr>
          <w:rFonts w:ascii="Book Antiqua" w:hAnsi="Book Antiqua"/>
          <w:sz w:val="21"/>
        </w:rPr>
        <w:t xml:space="preserve"> </w:t>
      </w:r>
      <w:r w:rsidRPr="002E3E54">
        <w:rPr>
          <w:rFonts w:ascii="Book Antiqua" w:hAnsi="Book Antiqua" w:hint="eastAsia"/>
          <w:sz w:val="21"/>
          <w:lang w:eastAsia="zh-CN"/>
        </w:rPr>
        <w:t>Ma YJ</w:t>
      </w:r>
      <w:r w:rsidRPr="002E3E54">
        <w:rPr>
          <w:rFonts w:ascii="Book Antiqua" w:hAnsi="Book Antiqua" w:hint="eastAsia"/>
          <w:sz w:val="21"/>
        </w:rPr>
        <w:t xml:space="preserve"> </w:t>
      </w:r>
      <w:r w:rsidRPr="002E3E54">
        <w:rPr>
          <w:rFonts w:ascii="Book Antiqua" w:hAnsi="Book Antiqua"/>
          <w:b/>
          <w:bCs/>
          <w:sz w:val="21"/>
        </w:rPr>
        <w:t>L-Editor:</w:t>
      </w:r>
      <w:r w:rsidRPr="002E3E54">
        <w:rPr>
          <w:rFonts w:ascii="Book Antiqua" w:hAnsi="Book Antiqua"/>
          <w:sz w:val="21"/>
        </w:rPr>
        <w:t xml:space="preserve"> </w:t>
      </w:r>
      <w:r w:rsidRPr="002E3E54">
        <w:rPr>
          <w:rFonts w:ascii="Book Antiqua" w:hAnsi="Book Antiqua" w:hint="eastAsia"/>
          <w:sz w:val="21"/>
        </w:rPr>
        <w:t xml:space="preserve"> </w:t>
      </w:r>
      <w:r w:rsidRPr="002E3E54">
        <w:rPr>
          <w:rFonts w:ascii="Book Antiqua" w:hAnsi="Book Antiqua"/>
          <w:sz w:val="21"/>
        </w:rPr>
        <w:t xml:space="preserve"> </w:t>
      </w:r>
      <w:r w:rsidRPr="002E3E54">
        <w:rPr>
          <w:rFonts w:ascii="Book Antiqua" w:hAnsi="Book Antiqua"/>
          <w:b/>
          <w:bCs/>
          <w:sz w:val="21"/>
        </w:rPr>
        <w:t>E-Editor:</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rPr>
          <w:rFonts w:ascii="Book Antiqua" w:hAnsi="Book Antiqua"/>
          <w:b/>
          <w:sz w:val="24"/>
          <w:szCs w:val="24"/>
          <w:lang w:val="en-US"/>
        </w:rPr>
      </w:pPr>
      <w:r w:rsidRPr="002A2067">
        <w:rPr>
          <w:rFonts w:ascii="Book Antiqua" w:hAnsi="Book Antiqua"/>
          <w:b/>
          <w:sz w:val="24"/>
          <w:szCs w:val="24"/>
          <w:lang w:val="en-US"/>
        </w:rPr>
        <w:br w:type="page"/>
      </w:r>
    </w:p>
    <w:p w:rsidR="002E3E54" w:rsidRDefault="002E3E54" w:rsidP="00B35EBD">
      <w:pPr>
        <w:adjustRightInd w:val="0"/>
        <w:snapToGrid w:val="0"/>
        <w:spacing w:after="0" w:line="360" w:lineRule="auto"/>
        <w:jc w:val="both"/>
        <w:rPr>
          <w:rFonts w:ascii="Book Antiqua" w:hAnsi="Book Antiqua"/>
          <w:b/>
          <w:sz w:val="24"/>
          <w:szCs w:val="24"/>
          <w:lang w:val="en-US" w:eastAsia="zh-CN"/>
        </w:rPr>
      </w:pPr>
      <w:r w:rsidRPr="002A2067">
        <w:rPr>
          <w:rFonts w:ascii="Book Antiqua" w:hAnsi="Book Antiqua"/>
          <w:b/>
          <w:noProof/>
          <w:sz w:val="24"/>
          <w:szCs w:val="24"/>
          <w:lang w:val="en-US" w:eastAsia="zh-CN"/>
        </w:rPr>
        <w:lastRenderedPageBreak/>
        <w:drawing>
          <wp:inline distT="0" distB="0" distL="0" distR="0" wp14:anchorId="02B3DEA1" wp14:editId="497068BB">
            <wp:extent cx="5731510" cy="2313276"/>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13276"/>
                    </a:xfrm>
                    <a:prstGeom prst="rect">
                      <a:avLst/>
                    </a:prstGeom>
                    <a:noFill/>
                  </pic:spPr>
                </pic:pic>
              </a:graphicData>
            </a:graphic>
          </wp:inline>
        </w:drawing>
      </w:r>
    </w:p>
    <w:p w:rsidR="002E3E54" w:rsidRPr="002E3E54" w:rsidRDefault="001624C3" w:rsidP="00B35EBD">
      <w:pPr>
        <w:adjustRightInd w:val="0"/>
        <w:snapToGrid w:val="0"/>
        <w:spacing w:after="0" w:line="360" w:lineRule="auto"/>
        <w:jc w:val="both"/>
        <w:rPr>
          <w:lang w:eastAsia="zh-CN"/>
        </w:rPr>
      </w:pPr>
      <w:r w:rsidRPr="002A2067">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786EA825" wp14:editId="48359EF5">
                <wp:simplePos x="0" y="0"/>
                <wp:positionH relativeFrom="column">
                  <wp:posOffset>3144388</wp:posOffset>
                </wp:positionH>
                <wp:positionV relativeFrom="paragraph">
                  <wp:posOffset>1223711</wp:posOffset>
                </wp:positionV>
                <wp:extent cx="102235" cy="45720"/>
                <wp:effectExtent l="19050" t="0" r="31115" b="11430"/>
                <wp:wrapNone/>
                <wp:docPr id="29" name="Eingekerbter Richtungspfei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45720"/>
                        </a:xfrm>
                        <a:prstGeom prst="chevron">
                          <a:avLst/>
                        </a:prstGeom>
                        <a:solidFill>
                          <a:srgbClr val="00B0F0"/>
                        </a:solidFill>
                        <a:ln w="25400" cap="flat" cmpd="sng" algn="ctr">
                          <a:solidFill>
                            <a:srgbClr val="00B0F0"/>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Eingekerbter Richtungspfeil 28" o:spid="_x0000_s1026" type="#_x0000_t55" style="position:absolute;left:0;text-align:left;margin-left:247.6pt;margin-top:96.35pt;width:8.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" adj="16770" fillcolor="#00b0f0" strokecolor="#00b0f0" strokeweight="2pt">
                <v:path arrowok="t"/>
              </v:shape>
            </w:pict>
          </mc:Fallback>
        </mc:AlternateContent>
      </w:r>
      <w:r w:rsidR="00913789" w:rsidRPr="002A2067">
        <w:rPr>
          <w:rFonts w:ascii="Book Antiqua" w:hAnsi="Book Antiqua"/>
          <w:b/>
          <w:sz w:val="24"/>
          <w:szCs w:val="24"/>
          <w:lang w:val="en-US"/>
        </w:rPr>
        <w:t>Figure 1 Computed tomography</w:t>
      </w:r>
      <w:r w:rsidR="002E3E54">
        <w:rPr>
          <w:rFonts w:ascii="Book Antiqua" w:hAnsi="Book Antiqua"/>
          <w:b/>
          <w:sz w:val="24"/>
          <w:szCs w:val="24"/>
          <w:lang w:val="en-US"/>
        </w:rPr>
        <w:t>, magnetic resonance imaging</w:t>
      </w:r>
      <w:r w:rsidR="00913789" w:rsidRPr="002A2067">
        <w:rPr>
          <w:rFonts w:ascii="Book Antiqua" w:hAnsi="Book Antiqua"/>
          <w:b/>
          <w:sz w:val="24"/>
          <w:szCs w:val="24"/>
          <w:lang w:val="en-US"/>
        </w:rPr>
        <w:t xml:space="preserve"> a</w:t>
      </w:r>
      <w:r w:rsidR="002E3E54">
        <w:rPr>
          <w:rFonts w:ascii="Book Antiqua" w:hAnsi="Book Antiqua"/>
          <w:b/>
          <w:sz w:val="24"/>
          <w:szCs w:val="24"/>
          <w:lang w:val="en-US"/>
        </w:rPr>
        <w:t>nd positron emission tomography</w:t>
      </w:r>
      <w:r w:rsidR="00913789" w:rsidRPr="002A2067">
        <w:rPr>
          <w:rFonts w:ascii="Book Antiqua" w:hAnsi="Book Antiqua"/>
          <w:b/>
          <w:sz w:val="24"/>
          <w:szCs w:val="24"/>
          <w:lang w:val="en-US"/>
        </w:rPr>
        <w:t xml:space="preserve"> images of </w:t>
      </w:r>
      <w:r w:rsidR="002E3E54" w:rsidRPr="002A2067">
        <w:rPr>
          <w:rFonts w:ascii="Book Antiqua" w:hAnsi="Book Antiqua"/>
          <w:b/>
          <w:sz w:val="24"/>
          <w:szCs w:val="24"/>
          <w:lang w:val="en-US"/>
        </w:rPr>
        <w:t>p</w:t>
      </w:r>
      <w:r w:rsidR="00913789" w:rsidRPr="002A2067">
        <w:rPr>
          <w:rFonts w:ascii="Book Antiqua" w:hAnsi="Book Antiqua"/>
          <w:b/>
          <w:sz w:val="24"/>
          <w:szCs w:val="24"/>
          <w:lang w:val="en-US"/>
        </w:rPr>
        <w:t>atient 1.</w:t>
      </w:r>
      <w:r w:rsidR="00913789" w:rsidRPr="002A2067">
        <w:rPr>
          <w:rFonts w:ascii="Book Antiqua" w:hAnsi="Book Antiqua"/>
          <w:b/>
          <w:color w:val="FF0000"/>
          <w:sz w:val="24"/>
          <w:szCs w:val="24"/>
          <w:lang w:val="en-US"/>
        </w:rPr>
        <w:t xml:space="preserve"> </w:t>
      </w:r>
      <w:r w:rsidR="00913789" w:rsidRPr="002A2067">
        <w:rPr>
          <w:rFonts w:ascii="Book Antiqua" w:hAnsi="Book Antiqua"/>
          <w:sz w:val="24"/>
          <w:szCs w:val="24"/>
          <w:lang w:val="en-US"/>
        </w:rPr>
        <w:t>Coronal (A, B) and transversal (C-F) T1w contrast-enhanced MRI</w:t>
      </w:r>
      <w:r w:rsidR="00913789" w:rsidRPr="002A2067">
        <w:rPr>
          <w:rFonts w:ascii="Book Antiqua" w:hAnsi="Book Antiqua"/>
          <w:color w:val="FF0000"/>
          <w:sz w:val="24"/>
          <w:szCs w:val="24"/>
          <w:lang w:val="en-US"/>
        </w:rPr>
        <w:t xml:space="preserve"> </w:t>
      </w:r>
      <w:r w:rsidR="00913789" w:rsidRPr="002A2067">
        <w:rPr>
          <w:rFonts w:ascii="Book Antiqua" w:hAnsi="Book Antiqua"/>
          <w:sz w:val="24"/>
          <w:szCs w:val="24"/>
          <w:lang w:val="en-US"/>
        </w:rPr>
        <w:t xml:space="preserve">images demonstrated </w:t>
      </w:r>
      <w:proofErr w:type="spellStart"/>
      <w:r w:rsidR="00913789" w:rsidRPr="002A2067">
        <w:rPr>
          <w:rFonts w:ascii="Book Antiqua" w:hAnsi="Book Antiqua"/>
          <w:sz w:val="24"/>
          <w:szCs w:val="24"/>
          <w:lang w:val="en-US"/>
        </w:rPr>
        <w:t>regredient</w:t>
      </w:r>
      <w:proofErr w:type="spellEnd"/>
      <w:r w:rsidR="00913789" w:rsidRPr="002A2067">
        <w:rPr>
          <w:rFonts w:ascii="Book Antiqua" w:hAnsi="Book Antiqua"/>
          <w:sz w:val="24"/>
          <w:szCs w:val="24"/>
          <w:lang w:val="en-US"/>
        </w:rPr>
        <w:t xml:space="preserve"> primary malignancy (*) in the tail of pancreas (E, F) and </w:t>
      </w:r>
      <w:proofErr w:type="spellStart"/>
      <w:r w:rsidR="00913789" w:rsidRPr="002A2067">
        <w:rPr>
          <w:rFonts w:ascii="Book Antiqua" w:hAnsi="Book Antiqua"/>
          <w:sz w:val="24"/>
          <w:szCs w:val="24"/>
          <w:lang w:val="en-US"/>
        </w:rPr>
        <w:t>regredient</w:t>
      </w:r>
      <w:proofErr w:type="spellEnd"/>
      <w:r w:rsidR="00913789" w:rsidRPr="002A2067">
        <w:rPr>
          <w:rFonts w:ascii="Book Antiqua" w:hAnsi="Book Antiqua"/>
          <w:sz w:val="24"/>
          <w:szCs w:val="24"/>
          <w:lang w:val="en-US"/>
        </w:rPr>
        <w:t xml:space="preserve"> hepatic metastases (</w:t>
      </w:r>
      <w:r w:rsidR="00913789" w:rsidRPr="002A2067">
        <w:rPr>
          <w:rFonts w:ascii="Book Antiqua" w:hAnsi="Book Antiqua"/>
          <w:sz w:val="24"/>
          <w:szCs w:val="24"/>
          <w:lang w:val="en-US"/>
        </w:rPr>
        <w:sym w:font="Symbol" w:char="F0AE"/>
      </w:r>
      <w:r w:rsidR="00913789" w:rsidRPr="002A2067">
        <w:rPr>
          <w:rFonts w:ascii="Book Antiqua" w:hAnsi="Book Antiqua"/>
          <w:sz w:val="24"/>
          <w:szCs w:val="24"/>
          <w:lang w:val="en-US"/>
        </w:rPr>
        <w:t xml:space="preserve">, O) in the right liver lobe (A, B, C, D). An additional </w:t>
      </w:r>
      <w:proofErr w:type="spellStart"/>
      <w:r w:rsidR="00913789" w:rsidRPr="002A2067">
        <w:rPr>
          <w:rFonts w:ascii="Book Antiqua" w:hAnsi="Book Antiqua"/>
          <w:sz w:val="24"/>
          <w:szCs w:val="24"/>
          <w:lang w:val="en-US"/>
        </w:rPr>
        <w:t>hemangioma</w:t>
      </w:r>
      <w:proofErr w:type="spellEnd"/>
      <w:r w:rsidR="00913789" w:rsidRPr="002A2067">
        <w:rPr>
          <w:rFonts w:ascii="Book Antiqua" w:hAnsi="Book Antiqua"/>
          <w:sz w:val="24"/>
          <w:szCs w:val="24"/>
          <w:lang w:val="en-US"/>
        </w:rPr>
        <w:t xml:space="preserve"> (</w:t>
      </w:r>
      <w:r w:rsidR="00155B05">
        <w:rPr>
          <w:rFonts w:ascii="Book Antiqua" w:hAnsi="Book Antiqua"/>
          <w:sz w:val="24"/>
          <w:szCs w:val="24"/>
          <w:lang w:val="en-US"/>
        </w:rPr>
        <w:t xml:space="preserve"> </w:t>
      </w:r>
      <w:r w:rsidR="00913789" w:rsidRPr="002A2067">
        <w:rPr>
          <w:rFonts w:ascii="Book Antiqua" w:hAnsi="Book Antiqua"/>
          <w:sz w:val="24"/>
          <w:szCs w:val="24"/>
          <w:lang w:val="en-US"/>
        </w:rPr>
        <w:t xml:space="preserve"> ) was observed. Postoperative CT (G) and PET-CT (H) showed complete resection of the primary tumor and no visible metastasis.</w:t>
      </w:r>
      <w:r w:rsidR="002E3E54" w:rsidRPr="002E3E54">
        <w:rPr>
          <w:rFonts w:ascii="Book Antiqua" w:hAnsi="Book Antiqua" w:hint="eastAsia"/>
          <w:sz w:val="24"/>
          <w:szCs w:val="24"/>
          <w:lang w:val="en-US" w:eastAsia="zh-CN"/>
        </w:rPr>
        <w:t xml:space="preserve"> </w:t>
      </w:r>
      <w:r w:rsidR="002E3E54" w:rsidRPr="002E3E54">
        <w:rPr>
          <w:rFonts w:ascii="Book Antiqua" w:hAnsi="Book Antiqua"/>
          <w:sz w:val="24"/>
          <w:szCs w:val="24"/>
          <w:lang w:val="en-US"/>
        </w:rPr>
        <w:t>CT</w:t>
      </w:r>
      <w:r w:rsidR="002E3E54" w:rsidRPr="002E3E54">
        <w:rPr>
          <w:rFonts w:ascii="Book Antiqua" w:hAnsi="Book Antiqua" w:hint="eastAsia"/>
          <w:sz w:val="24"/>
          <w:szCs w:val="24"/>
          <w:lang w:val="en-US" w:eastAsia="zh-CN"/>
        </w:rPr>
        <w:t xml:space="preserve">: </w:t>
      </w:r>
      <w:r w:rsidR="002E3E54" w:rsidRPr="002E3E54">
        <w:rPr>
          <w:rFonts w:ascii="Book Antiqua" w:hAnsi="Book Antiqua"/>
          <w:sz w:val="24"/>
          <w:szCs w:val="24"/>
          <w:lang w:val="en-US"/>
        </w:rPr>
        <w:t>Computed tomography</w:t>
      </w:r>
      <w:r w:rsidR="002E3E54" w:rsidRPr="002E3E54">
        <w:rPr>
          <w:rFonts w:ascii="Book Antiqua" w:hAnsi="Book Antiqua" w:hint="eastAsia"/>
          <w:sz w:val="24"/>
          <w:szCs w:val="24"/>
          <w:lang w:val="en-US" w:eastAsia="zh-CN"/>
        </w:rPr>
        <w:t xml:space="preserve">; </w:t>
      </w:r>
      <w:r w:rsidR="002E3E54" w:rsidRPr="002E3E54">
        <w:rPr>
          <w:rFonts w:ascii="Book Antiqua" w:hAnsi="Book Antiqua"/>
          <w:sz w:val="24"/>
          <w:szCs w:val="24"/>
          <w:lang w:val="en-US"/>
        </w:rPr>
        <w:t>MRI</w:t>
      </w:r>
      <w:r w:rsidR="002E3E54" w:rsidRPr="002E3E54">
        <w:rPr>
          <w:rFonts w:ascii="Book Antiqua" w:hAnsi="Book Antiqua" w:hint="eastAsia"/>
          <w:sz w:val="24"/>
          <w:szCs w:val="24"/>
          <w:lang w:val="en-US" w:eastAsia="zh-CN"/>
        </w:rPr>
        <w:t xml:space="preserve">: </w:t>
      </w:r>
      <w:r w:rsidR="002E3E54" w:rsidRPr="002E3E54">
        <w:rPr>
          <w:rFonts w:ascii="Book Antiqua" w:hAnsi="Book Antiqua"/>
          <w:sz w:val="24"/>
          <w:szCs w:val="24"/>
          <w:lang w:val="en-US"/>
        </w:rPr>
        <w:t>Magnetic resonance imaging</w:t>
      </w:r>
      <w:r w:rsidR="002E3E54" w:rsidRPr="002E3E54">
        <w:rPr>
          <w:rFonts w:ascii="Book Antiqua" w:hAnsi="Book Antiqua" w:hint="eastAsia"/>
          <w:sz w:val="24"/>
          <w:szCs w:val="24"/>
          <w:lang w:val="en-US" w:eastAsia="zh-CN"/>
        </w:rPr>
        <w:t xml:space="preserve">; </w:t>
      </w:r>
      <w:r w:rsidR="002E3E54" w:rsidRPr="002E3E54">
        <w:rPr>
          <w:rFonts w:ascii="Book Antiqua" w:hAnsi="Book Antiqua"/>
          <w:sz w:val="24"/>
          <w:szCs w:val="24"/>
          <w:lang w:val="en-US"/>
        </w:rPr>
        <w:t>PET</w:t>
      </w:r>
      <w:r w:rsidR="002E3E54" w:rsidRPr="002E3E54">
        <w:rPr>
          <w:rFonts w:ascii="Book Antiqua" w:hAnsi="Book Antiqua" w:hint="eastAsia"/>
          <w:sz w:val="24"/>
          <w:szCs w:val="24"/>
          <w:lang w:val="en-US" w:eastAsia="zh-CN"/>
        </w:rPr>
        <w:t>:</w:t>
      </w:r>
      <w:r w:rsidR="002E3E54" w:rsidRPr="002E3E54">
        <w:rPr>
          <w:rFonts w:ascii="Book Antiqua" w:hAnsi="Book Antiqua"/>
          <w:sz w:val="24"/>
          <w:szCs w:val="24"/>
          <w:lang w:val="en-US"/>
        </w:rPr>
        <w:t xml:space="preserve"> Positron emission tomography</w:t>
      </w:r>
      <w:r w:rsidR="002E3E54" w:rsidRPr="002E3E54">
        <w:rPr>
          <w:rFonts w:ascii="Book Antiqua" w:hAnsi="Book Antiqua" w:hint="eastAsia"/>
          <w:sz w:val="24"/>
          <w:szCs w:val="24"/>
          <w:lang w:val="en-US" w:eastAsia="zh-CN"/>
        </w:rPr>
        <w:t>.</w:t>
      </w:r>
    </w:p>
    <w:p w:rsidR="00913789" w:rsidRPr="002E3E54" w:rsidRDefault="00913789" w:rsidP="00B35EBD">
      <w:pPr>
        <w:adjustRightInd w:val="0"/>
        <w:snapToGrid w:val="0"/>
        <w:spacing w:after="0" w:line="360" w:lineRule="auto"/>
        <w:jc w:val="both"/>
        <w:rPr>
          <w:rFonts w:ascii="Book Antiqua" w:hAnsi="Book Antiqua"/>
          <w:sz w:val="24"/>
          <w:szCs w:val="24"/>
          <w:lang w:eastAsia="zh-CN"/>
        </w:rPr>
      </w:pPr>
    </w:p>
    <w:p w:rsidR="001624C3" w:rsidRPr="002A2067" w:rsidRDefault="001624C3" w:rsidP="00B35EBD">
      <w:pPr>
        <w:adjustRightInd w:val="0"/>
        <w:snapToGrid w:val="0"/>
        <w:spacing w:after="0" w:line="360" w:lineRule="auto"/>
        <w:jc w:val="both"/>
        <w:rPr>
          <w:rFonts w:ascii="Book Antiqua" w:hAnsi="Book Antiqua"/>
          <w:sz w:val="24"/>
          <w:szCs w:val="24"/>
          <w:lang w:val="en-US" w:eastAsia="zh-CN"/>
        </w:rPr>
      </w:pPr>
      <w:r w:rsidRPr="002A2067">
        <w:rPr>
          <w:rFonts w:ascii="Book Antiqua" w:hAnsi="Book Antiqua"/>
          <w:noProof/>
          <w:sz w:val="24"/>
          <w:szCs w:val="24"/>
          <w:lang w:val="en-US" w:eastAsia="zh-CN"/>
        </w:rPr>
        <w:drawing>
          <wp:inline distT="0" distB="0" distL="0" distR="0" wp14:anchorId="4C1FFF16" wp14:editId="0289BFEB">
            <wp:extent cx="1597231" cy="1097254"/>
            <wp:effectExtent l="0" t="0" r="3175" b="825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369" cy="1102158"/>
                    </a:xfrm>
                    <a:prstGeom prst="rect">
                      <a:avLst/>
                    </a:prstGeom>
                    <a:noFill/>
                    <a:ln>
                      <a:noFill/>
                    </a:ln>
                  </pic:spPr>
                </pic:pic>
              </a:graphicData>
            </a:graphic>
          </wp:inline>
        </w:drawing>
      </w:r>
      <w:r>
        <w:rPr>
          <w:rFonts w:ascii="Book Antiqua" w:hAnsi="Book Antiqua" w:hint="eastAsia"/>
          <w:sz w:val="24"/>
          <w:szCs w:val="24"/>
          <w:lang w:val="en-US" w:eastAsia="zh-CN"/>
        </w:rPr>
        <w:t xml:space="preserve"> </w:t>
      </w:r>
      <w:r w:rsidRPr="002A2067">
        <w:rPr>
          <w:rFonts w:ascii="Book Antiqua" w:hAnsi="Book Antiqua"/>
          <w:noProof/>
          <w:sz w:val="24"/>
          <w:szCs w:val="24"/>
          <w:lang w:val="en-US" w:eastAsia="zh-CN"/>
        </w:rPr>
        <w:drawing>
          <wp:inline distT="0" distB="0" distL="0" distR="0" wp14:anchorId="79945470" wp14:editId="4A784420">
            <wp:extent cx="1638688" cy="1110856"/>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569" cy="1110775"/>
                    </a:xfrm>
                    <a:prstGeom prst="rect">
                      <a:avLst/>
                    </a:prstGeom>
                    <a:noFill/>
                    <a:ln>
                      <a:noFill/>
                    </a:ln>
                  </pic:spPr>
                </pic:pic>
              </a:graphicData>
            </a:graphic>
          </wp:inline>
        </w:drawing>
      </w:r>
    </w:p>
    <w:p w:rsidR="001624C3" w:rsidRPr="001624C3" w:rsidRDefault="001624C3"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A</w:t>
      </w:r>
      <w:r>
        <w:rPr>
          <w:rFonts w:ascii="Book Antiqua" w:hAnsi="Book Antiqua" w:hint="eastAsia"/>
          <w:b/>
          <w:sz w:val="24"/>
          <w:szCs w:val="24"/>
          <w:lang w:val="en-US" w:eastAsia="zh-CN"/>
        </w:rPr>
        <w:t xml:space="preserve">                    </w:t>
      </w:r>
      <w:r w:rsidRPr="002A2067">
        <w:rPr>
          <w:rFonts w:ascii="Book Antiqua" w:hAnsi="Book Antiqua"/>
          <w:sz w:val="24"/>
          <w:szCs w:val="24"/>
          <w:lang w:val="en-US"/>
        </w:rPr>
        <w:t>B</w:t>
      </w:r>
    </w:p>
    <w:p w:rsidR="00913789" w:rsidRPr="002A2067" w:rsidRDefault="001624C3"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t xml:space="preserve">Figure </w:t>
      </w:r>
      <w:r>
        <w:rPr>
          <w:rFonts w:ascii="Book Antiqua" w:hAnsi="Book Antiqua" w:hint="eastAsia"/>
          <w:b/>
          <w:sz w:val="24"/>
          <w:szCs w:val="24"/>
          <w:lang w:val="en-US" w:eastAsia="zh-CN"/>
        </w:rPr>
        <w:t>2</w:t>
      </w:r>
      <w:r w:rsidRPr="002A2067">
        <w:rPr>
          <w:rFonts w:ascii="Book Antiqua" w:hAnsi="Book Antiqua"/>
          <w:b/>
          <w:sz w:val="24"/>
          <w:szCs w:val="24"/>
          <w:lang w:val="en-US"/>
        </w:rPr>
        <w:t xml:space="preserve"> Resected carcinoma of the pancreas after </w:t>
      </w:r>
      <w:proofErr w:type="spellStart"/>
      <w:r w:rsidRPr="002A2067">
        <w:rPr>
          <w:rFonts w:ascii="Book Antiqua" w:hAnsi="Book Antiqua"/>
          <w:b/>
          <w:sz w:val="24"/>
          <w:szCs w:val="24"/>
          <w:lang w:val="en-US"/>
        </w:rPr>
        <w:t>neoadjuvant</w:t>
      </w:r>
      <w:proofErr w:type="spellEnd"/>
      <w:r w:rsidRPr="002A2067">
        <w:rPr>
          <w:rFonts w:ascii="Book Antiqua" w:hAnsi="Book Antiqua"/>
          <w:b/>
          <w:sz w:val="24"/>
          <w:szCs w:val="24"/>
          <w:lang w:val="en-US"/>
        </w:rPr>
        <w:t xml:space="preserve"> treatment from patient 1 (A) and patient 2 (B). </w:t>
      </w:r>
      <w:proofErr w:type="spellStart"/>
      <w:r w:rsidRPr="002A2067">
        <w:rPr>
          <w:rFonts w:ascii="Book Antiqua" w:hAnsi="Book Antiqua"/>
          <w:sz w:val="24"/>
          <w:szCs w:val="24"/>
          <w:lang w:val="en-US"/>
        </w:rPr>
        <w:t>Hematoxylin</w:t>
      </w:r>
      <w:proofErr w:type="spellEnd"/>
      <w:r w:rsidRPr="002A2067">
        <w:rPr>
          <w:rFonts w:ascii="Book Antiqua" w:hAnsi="Book Antiqua"/>
          <w:sz w:val="24"/>
          <w:szCs w:val="24"/>
          <w:lang w:val="en-US"/>
        </w:rPr>
        <w:t xml:space="preserve"> and eosin-stained sections are shown.</w:t>
      </w:r>
      <w:r w:rsidRPr="002A2067">
        <w:rPr>
          <w:rFonts w:ascii="Book Antiqua" w:hAnsi="Book Antiqua"/>
          <w:b/>
          <w:sz w:val="24"/>
          <w:szCs w:val="24"/>
          <w:lang w:val="en-US"/>
        </w:rPr>
        <w:t xml:space="preserve"> </w:t>
      </w:r>
      <w:proofErr w:type="gramStart"/>
      <w:r w:rsidRPr="002A2067">
        <w:rPr>
          <w:rFonts w:ascii="Book Antiqua" w:hAnsi="Book Antiqua"/>
          <w:b/>
          <w:sz w:val="24"/>
          <w:szCs w:val="24"/>
          <w:lang w:val="en-US"/>
        </w:rPr>
        <w:t>(</w:t>
      </w:r>
      <w:r w:rsidRPr="002A2067">
        <w:rPr>
          <w:rFonts w:ascii="Book Antiqua" w:hAnsi="Book Antiqua"/>
          <w:sz w:val="24"/>
          <w:szCs w:val="24"/>
          <w:lang w:val="en-US"/>
        </w:rPr>
        <w:t>A) 200</w:t>
      </w:r>
      <w:r>
        <w:rPr>
          <w:rFonts w:ascii="Book Antiqua" w:hAnsi="Book Antiqua" w:hint="eastAsia"/>
          <w:sz w:val="24"/>
          <w:szCs w:val="24"/>
          <w:lang w:val="en-US" w:eastAsia="zh-CN"/>
        </w:rPr>
        <w:t xml:space="preserve"> </w:t>
      </w:r>
      <w:r w:rsidRPr="002A2067">
        <w:rPr>
          <w:rFonts w:ascii="Book Antiqua" w:hAnsi="Book Antiqua"/>
          <w:b/>
          <w:sz w:val="24"/>
          <w:szCs w:val="24"/>
          <w:lang w:val="en-US"/>
        </w:rPr>
        <w:sym w:font="Symbol" w:char="F0B4"/>
      </w:r>
      <w:r w:rsidRPr="002A2067">
        <w:rPr>
          <w:rFonts w:ascii="Book Antiqua" w:hAnsi="Book Antiqua"/>
          <w:sz w:val="24"/>
          <w:szCs w:val="24"/>
          <w:lang w:val="en-US"/>
        </w:rPr>
        <w:t xml:space="preserve"> magnification</w:t>
      </w:r>
      <w:proofErr w:type="gramEnd"/>
      <w:r w:rsidRPr="002A2067">
        <w:rPr>
          <w:rFonts w:ascii="Book Antiqua" w:hAnsi="Book Antiqua"/>
          <w:sz w:val="24"/>
          <w:szCs w:val="24"/>
          <w:lang w:val="en-US"/>
        </w:rPr>
        <w:t>; (B) 100</w:t>
      </w:r>
      <w:r>
        <w:rPr>
          <w:rFonts w:ascii="Book Antiqua" w:hAnsi="Book Antiqua" w:hint="eastAsia"/>
          <w:sz w:val="24"/>
          <w:szCs w:val="24"/>
          <w:lang w:val="en-US" w:eastAsia="zh-CN"/>
        </w:rPr>
        <w:t xml:space="preserve"> </w:t>
      </w:r>
      <w:r w:rsidRPr="002A2067">
        <w:rPr>
          <w:rFonts w:ascii="Book Antiqua" w:hAnsi="Book Antiqua"/>
          <w:b/>
          <w:sz w:val="24"/>
          <w:szCs w:val="24"/>
          <w:lang w:val="en-US"/>
        </w:rPr>
        <w:sym w:font="Symbol" w:char="F0B4"/>
      </w:r>
      <w:r w:rsidRPr="002A2067">
        <w:rPr>
          <w:rFonts w:ascii="Book Antiqua" w:hAnsi="Book Antiqua"/>
          <w:sz w:val="24"/>
          <w:szCs w:val="24"/>
          <w:lang w:val="en-US"/>
        </w:rPr>
        <w:t xml:space="preserve"> magnification. Tumor tissue is indicated by the black arrow and the </w:t>
      </w:r>
      <w:proofErr w:type="spellStart"/>
      <w:r w:rsidRPr="002A2067">
        <w:rPr>
          <w:rFonts w:ascii="Book Antiqua" w:hAnsi="Book Antiqua"/>
          <w:sz w:val="24"/>
          <w:szCs w:val="24"/>
          <w:lang w:val="en-US"/>
        </w:rPr>
        <w:t>perineurium</w:t>
      </w:r>
      <w:proofErr w:type="spellEnd"/>
      <w:r w:rsidRPr="002A2067">
        <w:rPr>
          <w:rFonts w:ascii="Book Antiqua" w:hAnsi="Book Antiqua"/>
          <w:sz w:val="24"/>
          <w:szCs w:val="24"/>
          <w:lang w:val="en-US"/>
        </w:rPr>
        <w:t xml:space="preserve"> is indicated by the white arrow.</w:t>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rPr>
          <w:rFonts w:ascii="Book Antiqua" w:hAnsi="Book Antiqua"/>
          <w:b/>
          <w:sz w:val="24"/>
          <w:szCs w:val="24"/>
          <w:lang w:val="en-US"/>
        </w:rPr>
      </w:pPr>
      <w:r w:rsidRPr="002A2067">
        <w:rPr>
          <w:rFonts w:ascii="Book Antiqua" w:hAnsi="Book Antiqua"/>
          <w:b/>
          <w:sz w:val="24"/>
          <w:szCs w:val="24"/>
          <w:lang w:val="en-US"/>
        </w:rPr>
        <w:br w:type="page"/>
      </w:r>
    </w:p>
    <w:p w:rsidR="00913789" w:rsidRPr="002A2067" w:rsidRDefault="00913789" w:rsidP="00B35EBD">
      <w:pPr>
        <w:adjustRightInd w:val="0"/>
        <w:snapToGrid w:val="0"/>
        <w:spacing w:after="0" w:line="360" w:lineRule="auto"/>
        <w:jc w:val="both"/>
        <w:rPr>
          <w:rFonts w:ascii="Book Antiqua" w:hAnsi="Book Antiqua"/>
          <w:sz w:val="24"/>
          <w:szCs w:val="24"/>
          <w:lang w:val="en-US"/>
        </w:rPr>
      </w:pPr>
      <w:r w:rsidRPr="002A2067">
        <w:rPr>
          <w:rFonts w:ascii="Book Antiqua" w:hAnsi="Book Antiqua"/>
          <w:noProof/>
          <w:sz w:val="24"/>
          <w:szCs w:val="24"/>
          <w:lang w:val="en-US" w:eastAsia="zh-CN"/>
        </w:rPr>
        <w:lastRenderedPageBreak/>
        <w:drawing>
          <wp:inline distT="0" distB="0" distL="0" distR="0" wp14:anchorId="02DA5E90" wp14:editId="0E6A731D">
            <wp:extent cx="6182823" cy="2859785"/>
            <wp:effectExtent l="0" t="0" r="8890" b="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5196" cy="2860882"/>
                    </a:xfrm>
                    <a:prstGeom prst="rect">
                      <a:avLst/>
                    </a:prstGeom>
                    <a:noFill/>
                  </pic:spPr>
                </pic:pic>
              </a:graphicData>
            </a:graphic>
          </wp:inline>
        </w:drawing>
      </w: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1624C3" w:rsidRPr="002E3E54" w:rsidRDefault="001624C3" w:rsidP="00B35EBD">
      <w:pPr>
        <w:adjustRightInd w:val="0"/>
        <w:snapToGrid w:val="0"/>
        <w:spacing w:after="0" w:line="360" w:lineRule="auto"/>
        <w:jc w:val="both"/>
        <w:rPr>
          <w:lang w:eastAsia="zh-CN"/>
        </w:rPr>
      </w:pPr>
      <w:r>
        <w:rPr>
          <w:rFonts w:ascii="Book Antiqua" w:hAnsi="Book Antiqua"/>
          <w:b/>
          <w:sz w:val="24"/>
          <w:szCs w:val="24"/>
          <w:lang w:val="en-US"/>
        </w:rPr>
        <w:t xml:space="preserve">Figure </w:t>
      </w:r>
      <w:r>
        <w:rPr>
          <w:rFonts w:ascii="Book Antiqua" w:hAnsi="Book Antiqua" w:hint="eastAsia"/>
          <w:b/>
          <w:sz w:val="24"/>
          <w:szCs w:val="24"/>
          <w:lang w:val="en-US" w:eastAsia="zh-CN"/>
        </w:rPr>
        <w:t>3</w:t>
      </w:r>
      <w:r>
        <w:rPr>
          <w:rFonts w:ascii="Book Antiqua" w:hAnsi="Book Antiqua"/>
          <w:b/>
          <w:sz w:val="24"/>
          <w:szCs w:val="24"/>
          <w:lang w:val="en-US"/>
        </w:rPr>
        <w:t xml:space="preserve"> Computed tomography</w:t>
      </w:r>
      <w:r w:rsidRPr="002A2067">
        <w:rPr>
          <w:rFonts w:ascii="Book Antiqua" w:hAnsi="Book Antiqua"/>
          <w:b/>
          <w:sz w:val="24"/>
          <w:szCs w:val="24"/>
          <w:lang w:val="en-US"/>
        </w:rPr>
        <w:t xml:space="preserve"> a</w:t>
      </w:r>
      <w:r>
        <w:rPr>
          <w:rFonts w:ascii="Book Antiqua" w:hAnsi="Book Antiqua"/>
          <w:b/>
          <w:sz w:val="24"/>
          <w:szCs w:val="24"/>
          <w:lang w:val="en-US"/>
        </w:rPr>
        <w:t>nd positron emission tomography</w:t>
      </w:r>
      <w:r w:rsidRPr="002A2067">
        <w:rPr>
          <w:rFonts w:ascii="Book Antiqua" w:hAnsi="Book Antiqua"/>
          <w:b/>
          <w:sz w:val="24"/>
          <w:szCs w:val="24"/>
          <w:lang w:val="en-US"/>
        </w:rPr>
        <w:t xml:space="preserve"> images of patient 2.</w:t>
      </w:r>
      <w:r w:rsidRPr="002A2067">
        <w:rPr>
          <w:rFonts w:ascii="Book Antiqua" w:hAnsi="Book Antiqua"/>
          <w:sz w:val="24"/>
          <w:szCs w:val="24"/>
          <w:lang w:val="en-US"/>
        </w:rPr>
        <w:t xml:space="preserve"> Coronal (A, B, C) contrast-enhanced CT images demonstrated complete regression of multiple peritoneal metastases (</w:t>
      </w:r>
      <w:r w:rsidRPr="002A2067">
        <w:rPr>
          <w:rFonts w:ascii="Book Antiqua" w:hAnsi="Book Antiqua"/>
          <w:sz w:val="24"/>
          <w:szCs w:val="24"/>
          <w:lang w:val="en-US"/>
        </w:rPr>
        <w:sym w:font="Symbol" w:char="F0AE"/>
      </w:r>
      <w:r w:rsidRPr="002A2067">
        <w:rPr>
          <w:rFonts w:ascii="Book Antiqua" w:hAnsi="Book Antiqua"/>
          <w:sz w:val="24"/>
          <w:szCs w:val="24"/>
          <w:lang w:val="en-US"/>
        </w:rPr>
        <w:t xml:space="preserve">). Axial CT images (E, F, G) and PET-CT image (H) show a </w:t>
      </w:r>
      <w:proofErr w:type="spellStart"/>
      <w:r w:rsidRPr="002A2067">
        <w:rPr>
          <w:rFonts w:ascii="Book Antiqua" w:hAnsi="Book Antiqua"/>
          <w:sz w:val="24"/>
          <w:szCs w:val="24"/>
          <w:lang w:val="en-US"/>
        </w:rPr>
        <w:t>regredient</w:t>
      </w:r>
      <w:proofErr w:type="spellEnd"/>
      <w:r w:rsidRPr="002A2067">
        <w:rPr>
          <w:rFonts w:ascii="Book Antiqua" w:hAnsi="Book Antiqua"/>
          <w:sz w:val="24"/>
          <w:szCs w:val="24"/>
          <w:lang w:val="en-US"/>
        </w:rPr>
        <w:t xml:space="preserve"> mass (*) in the tail of the pancreas. Liver metastasis (curved arrow) was seen only in the initial CT-examination (E). Post-operative CT (D) showed complete resection of the primary tumor in the pancreatic tail and no visible metastases.</w:t>
      </w:r>
      <w:r>
        <w:rPr>
          <w:rFonts w:ascii="Book Antiqua" w:hAnsi="Book Antiqua" w:hint="eastAsia"/>
          <w:sz w:val="24"/>
          <w:szCs w:val="24"/>
          <w:lang w:val="en-US" w:eastAsia="zh-CN"/>
        </w:rPr>
        <w:t xml:space="preserve"> </w:t>
      </w:r>
      <w:r w:rsidRPr="002E3E54">
        <w:rPr>
          <w:rFonts w:ascii="Book Antiqua" w:hAnsi="Book Antiqua"/>
          <w:sz w:val="24"/>
          <w:szCs w:val="24"/>
          <w:lang w:val="en-US"/>
        </w:rPr>
        <w:t>CT</w:t>
      </w:r>
      <w:r w:rsidRPr="002E3E54">
        <w:rPr>
          <w:rFonts w:ascii="Book Antiqua" w:hAnsi="Book Antiqua" w:hint="eastAsia"/>
          <w:sz w:val="24"/>
          <w:szCs w:val="24"/>
          <w:lang w:val="en-US" w:eastAsia="zh-CN"/>
        </w:rPr>
        <w:t xml:space="preserve">: </w:t>
      </w:r>
      <w:r w:rsidRPr="002E3E54">
        <w:rPr>
          <w:rFonts w:ascii="Book Antiqua" w:hAnsi="Book Antiqua"/>
          <w:sz w:val="24"/>
          <w:szCs w:val="24"/>
          <w:lang w:val="en-US"/>
        </w:rPr>
        <w:t>Computed tomography</w:t>
      </w:r>
      <w:r w:rsidRPr="002E3E54">
        <w:rPr>
          <w:rFonts w:ascii="Book Antiqua" w:hAnsi="Book Antiqua" w:hint="eastAsia"/>
          <w:sz w:val="24"/>
          <w:szCs w:val="24"/>
          <w:lang w:val="en-US" w:eastAsia="zh-CN"/>
        </w:rPr>
        <w:t xml:space="preserve">; </w:t>
      </w:r>
      <w:r w:rsidRPr="002E3E54">
        <w:rPr>
          <w:rFonts w:ascii="Book Antiqua" w:hAnsi="Book Antiqua"/>
          <w:sz w:val="24"/>
          <w:szCs w:val="24"/>
          <w:lang w:val="en-US"/>
        </w:rPr>
        <w:t>PET</w:t>
      </w:r>
      <w:r w:rsidRPr="002E3E54">
        <w:rPr>
          <w:rFonts w:ascii="Book Antiqua" w:hAnsi="Book Antiqua" w:hint="eastAsia"/>
          <w:sz w:val="24"/>
          <w:szCs w:val="24"/>
          <w:lang w:val="en-US" w:eastAsia="zh-CN"/>
        </w:rPr>
        <w:t>:</w:t>
      </w:r>
      <w:r w:rsidRPr="002E3E54">
        <w:rPr>
          <w:rFonts w:ascii="Book Antiqua" w:hAnsi="Book Antiqua"/>
          <w:sz w:val="24"/>
          <w:szCs w:val="24"/>
          <w:lang w:val="en-US"/>
        </w:rPr>
        <w:t xml:space="preserve"> Positron emission tomography</w:t>
      </w:r>
      <w:r w:rsidRPr="002E3E54">
        <w:rPr>
          <w:rFonts w:ascii="Book Antiqua" w:hAnsi="Book Antiqua" w:hint="eastAsia"/>
          <w:sz w:val="24"/>
          <w:szCs w:val="24"/>
          <w:lang w:val="en-US" w:eastAsia="zh-CN"/>
        </w:rPr>
        <w:t>.</w:t>
      </w:r>
    </w:p>
    <w:p w:rsidR="001624C3" w:rsidRPr="001624C3" w:rsidRDefault="001624C3" w:rsidP="00B35EBD">
      <w:pPr>
        <w:adjustRightInd w:val="0"/>
        <w:snapToGrid w:val="0"/>
        <w:spacing w:after="0" w:line="360" w:lineRule="auto"/>
        <w:jc w:val="both"/>
        <w:rPr>
          <w:rFonts w:ascii="Book Antiqua" w:hAnsi="Book Antiqua"/>
          <w:sz w:val="24"/>
          <w:szCs w:val="24"/>
          <w:lang w:eastAsia="zh-CN"/>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1624C3" w:rsidRPr="002A2067" w:rsidRDefault="001624C3" w:rsidP="00B35EBD">
      <w:pPr>
        <w:adjustRightInd w:val="0"/>
        <w:snapToGrid w:val="0"/>
        <w:spacing w:after="0" w:line="360" w:lineRule="auto"/>
        <w:jc w:val="both"/>
        <w:rPr>
          <w:rFonts w:ascii="Book Antiqua" w:hAnsi="Book Antiqua"/>
          <w:b/>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jc w:val="both"/>
        <w:rPr>
          <w:rFonts w:ascii="Book Antiqua" w:hAnsi="Book Antiqua"/>
          <w:sz w:val="24"/>
          <w:szCs w:val="24"/>
          <w:lang w:val="en-US"/>
        </w:rPr>
      </w:pPr>
    </w:p>
    <w:p w:rsidR="00913789" w:rsidRPr="002A2067" w:rsidRDefault="00913789" w:rsidP="00B35EBD">
      <w:pPr>
        <w:adjustRightInd w:val="0"/>
        <w:snapToGrid w:val="0"/>
        <w:spacing w:after="0" w:line="360" w:lineRule="auto"/>
        <w:rPr>
          <w:rFonts w:ascii="Book Antiqua" w:hAnsi="Book Antiqua"/>
          <w:b/>
          <w:sz w:val="24"/>
          <w:szCs w:val="24"/>
          <w:lang w:val="en-US"/>
        </w:rPr>
      </w:pPr>
      <w:r w:rsidRPr="002A2067">
        <w:rPr>
          <w:rFonts w:ascii="Book Antiqua" w:hAnsi="Book Antiqua"/>
          <w:b/>
          <w:sz w:val="24"/>
          <w:szCs w:val="24"/>
          <w:lang w:val="en-US"/>
        </w:rPr>
        <w:br w:type="page"/>
      </w:r>
    </w:p>
    <w:p w:rsidR="00913789" w:rsidRPr="002A2067" w:rsidRDefault="00913789" w:rsidP="00B35EBD">
      <w:pPr>
        <w:adjustRightInd w:val="0"/>
        <w:snapToGrid w:val="0"/>
        <w:spacing w:after="0" w:line="360" w:lineRule="auto"/>
        <w:jc w:val="both"/>
        <w:rPr>
          <w:rFonts w:ascii="Book Antiqua" w:hAnsi="Book Antiqua"/>
          <w:b/>
          <w:sz w:val="24"/>
          <w:szCs w:val="24"/>
          <w:lang w:val="en-US"/>
        </w:rPr>
      </w:pPr>
      <w:r w:rsidRPr="002A2067">
        <w:rPr>
          <w:rFonts w:ascii="Book Antiqua" w:hAnsi="Book Antiqua"/>
          <w:b/>
          <w:sz w:val="24"/>
          <w:szCs w:val="24"/>
          <w:lang w:val="en-US"/>
        </w:rPr>
        <w:lastRenderedPageBreak/>
        <w:t>Table 1 Case timelines</w:t>
      </w:r>
    </w:p>
    <w:tbl>
      <w:tblPr>
        <w:tblStyle w:val="ad"/>
        <w:tblW w:w="9511" w:type="dxa"/>
        <w:tblBorders>
          <w:left w:val="none" w:sz="0" w:space="0" w:color="auto"/>
          <w:right w:val="none" w:sz="0" w:space="0" w:color="auto"/>
        </w:tblBorders>
        <w:tblLook w:val="04A0" w:firstRow="1" w:lastRow="0" w:firstColumn="1" w:lastColumn="0" w:noHBand="0" w:noVBand="1"/>
      </w:tblPr>
      <w:tblGrid>
        <w:gridCol w:w="3369"/>
        <w:gridCol w:w="3071"/>
        <w:gridCol w:w="3071"/>
      </w:tblGrid>
      <w:tr w:rsidR="00913789" w:rsidRPr="002A2067" w:rsidTr="00B72898">
        <w:tc>
          <w:tcPr>
            <w:tcW w:w="3369" w:type="dxa"/>
            <w:tcBorders>
              <w:bottom w:val="single" w:sz="4" w:space="0" w:color="auto"/>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b/>
                <w:sz w:val="24"/>
                <w:szCs w:val="24"/>
                <w:lang w:val="en-US"/>
              </w:rPr>
            </w:pPr>
            <w:r w:rsidRPr="002A2067">
              <w:rPr>
                <w:rFonts w:ascii="Book Antiqua" w:eastAsiaTheme="minorHAnsi" w:hAnsi="Book Antiqua" w:cstheme="minorBidi"/>
                <w:b/>
                <w:sz w:val="24"/>
                <w:szCs w:val="24"/>
                <w:lang w:val="en-US"/>
              </w:rPr>
              <w:t>Course</w:t>
            </w:r>
          </w:p>
        </w:tc>
        <w:tc>
          <w:tcPr>
            <w:tcW w:w="3071" w:type="dxa"/>
            <w:tcBorders>
              <w:left w:val="nil"/>
              <w:bottom w:val="single" w:sz="4" w:space="0" w:color="auto"/>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b/>
                <w:sz w:val="24"/>
                <w:szCs w:val="24"/>
                <w:lang w:val="en-US"/>
              </w:rPr>
            </w:pPr>
            <w:r w:rsidRPr="002A2067">
              <w:rPr>
                <w:rFonts w:ascii="Book Antiqua" w:eastAsiaTheme="minorHAnsi" w:hAnsi="Book Antiqua" w:cstheme="minorBidi"/>
                <w:b/>
                <w:sz w:val="24"/>
                <w:szCs w:val="24"/>
                <w:lang w:val="en-US"/>
              </w:rPr>
              <w:t>Patient 1</w:t>
            </w:r>
          </w:p>
        </w:tc>
        <w:tc>
          <w:tcPr>
            <w:tcW w:w="3071" w:type="dxa"/>
            <w:tcBorders>
              <w:left w:val="nil"/>
              <w:bottom w:val="single" w:sz="4" w:space="0" w:color="auto"/>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b/>
                <w:sz w:val="24"/>
                <w:szCs w:val="24"/>
                <w:lang w:val="en-US"/>
              </w:rPr>
            </w:pPr>
            <w:r w:rsidRPr="002A2067">
              <w:rPr>
                <w:rFonts w:ascii="Book Antiqua" w:eastAsiaTheme="minorHAnsi" w:hAnsi="Book Antiqua" w:cstheme="minorBidi"/>
                <w:b/>
                <w:sz w:val="24"/>
                <w:szCs w:val="24"/>
                <w:lang w:val="en-US"/>
              </w:rPr>
              <w:t>Patient 2</w:t>
            </w:r>
          </w:p>
        </w:tc>
      </w:tr>
      <w:tr w:rsidR="00913789" w:rsidRPr="002A2067" w:rsidTr="00B72898">
        <w:tc>
          <w:tcPr>
            <w:tcW w:w="3369" w:type="dxa"/>
            <w:tcBorders>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First diagnosis</w:t>
            </w:r>
          </w:p>
        </w:tc>
        <w:tc>
          <w:tcPr>
            <w:tcW w:w="3071" w:type="dxa"/>
            <w:tcBorders>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08/2012</w:t>
            </w:r>
          </w:p>
        </w:tc>
        <w:tc>
          <w:tcPr>
            <w:tcW w:w="3071" w:type="dxa"/>
            <w:tcBorders>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01/2013</w:t>
            </w:r>
          </w:p>
        </w:tc>
      </w:tr>
      <w:tr w:rsidR="00913789" w:rsidRPr="002A2067" w:rsidTr="00B72898">
        <w:tc>
          <w:tcPr>
            <w:tcW w:w="3369" w:type="dxa"/>
            <w:tcBorders>
              <w:top w:val="nil"/>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Start of </w:t>
            </w:r>
            <w:proofErr w:type="spellStart"/>
            <w:r w:rsidRPr="002A2067">
              <w:rPr>
                <w:rFonts w:ascii="Book Antiqua" w:eastAsiaTheme="minorHAnsi" w:hAnsi="Book Antiqua" w:cstheme="minorBidi"/>
                <w:sz w:val="24"/>
                <w:szCs w:val="24"/>
                <w:lang w:val="en-US"/>
              </w:rPr>
              <w:t>neoadjuvant</w:t>
            </w:r>
            <w:proofErr w:type="spellEnd"/>
            <w:r w:rsidRPr="002A2067">
              <w:rPr>
                <w:rFonts w:ascii="Book Antiqua" w:eastAsiaTheme="minorHAnsi" w:hAnsi="Book Antiqua" w:cstheme="minorBidi"/>
                <w:sz w:val="24"/>
                <w:szCs w:val="24"/>
                <w:lang w:val="en-US"/>
              </w:rPr>
              <w:t xml:space="preserve"> therapy</w:t>
            </w:r>
          </w:p>
        </w:tc>
        <w:tc>
          <w:tcPr>
            <w:tcW w:w="3071" w:type="dxa"/>
            <w:tcBorders>
              <w:top w:val="nil"/>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10/2012</w:t>
            </w:r>
          </w:p>
        </w:tc>
        <w:tc>
          <w:tcPr>
            <w:tcW w:w="3071" w:type="dxa"/>
            <w:tcBorders>
              <w:top w:val="nil"/>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02/2013</w:t>
            </w:r>
          </w:p>
        </w:tc>
      </w:tr>
      <w:tr w:rsidR="00913789" w:rsidRPr="002A2067" w:rsidTr="00B72898">
        <w:tc>
          <w:tcPr>
            <w:tcW w:w="3369" w:type="dxa"/>
            <w:tcBorders>
              <w:top w:val="nil"/>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Length of </w:t>
            </w:r>
            <w:proofErr w:type="spellStart"/>
            <w:r w:rsidRPr="002A2067">
              <w:rPr>
                <w:rFonts w:ascii="Book Antiqua" w:eastAsiaTheme="minorHAnsi" w:hAnsi="Book Antiqua" w:cstheme="minorBidi"/>
                <w:sz w:val="24"/>
                <w:szCs w:val="24"/>
                <w:lang w:val="en-US"/>
              </w:rPr>
              <w:t>neoadjuvant</w:t>
            </w:r>
            <w:proofErr w:type="spellEnd"/>
            <w:r w:rsidRPr="002A2067">
              <w:rPr>
                <w:rFonts w:ascii="Book Antiqua" w:eastAsiaTheme="minorHAnsi" w:hAnsi="Book Antiqua" w:cstheme="minorBidi"/>
                <w:sz w:val="24"/>
                <w:szCs w:val="24"/>
                <w:lang w:val="en-US"/>
              </w:rPr>
              <w:t xml:space="preserve"> therapy</w:t>
            </w:r>
          </w:p>
        </w:tc>
        <w:tc>
          <w:tcPr>
            <w:tcW w:w="3071" w:type="dxa"/>
            <w:tcBorders>
              <w:top w:val="nil"/>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3 </w:t>
            </w:r>
            <w:proofErr w:type="spellStart"/>
            <w:r w:rsidRPr="002A2067">
              <w:rPr>
                <w:rFonts w:ascii="Book Antiqua" w:eastAsiaTheme="minorHAnsi" w:hAnsi="Book Antiqua" w:cstheme="minorBidi"/>
                <w:sz w:val="24"/>
                <w:szCs w:val="24"/>
                <w:lang w:val="en-US"/>
              </w:rPr>
              <w:t>mo</w:t>
            </w:r>
            <w:proofErr w:type="spellEnd"/>
          </w:p>
        </w:tc>
        <w:tc>
          <w:tcPr>
            <w:tcW w:w="3071" w:type="dxa"/>
            <w:tcBorders>
              <w:top w:val="nil"/>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6 </w:t>
            </w:r>
            <w:proofErr w:type="spellStart"/>
            <w:r w:rsidRPr="002A2067">
              <w:rPr>
                <w:rFonts w:ascii="Book Antiqua" w:eastAsiaTheme="minorHAnsi" w:hAnsi="Book Antiqua" w:cstheme="minorBidi"/>
                <w:sz w:val="24"/>
                <w:szCs w:val="24"/>
                <w:lang w:val="en-US"/>
              </w:rPr>
              <w:t>mo</w:t>
            </w:r>
            <w:proofErr w:type="spellEnd"/>
          </w:p>
        </w:tc>
      </w:tr>
      <w:tr w:rsidR="00913789" w:rsidRPr="002A2067" w:rsidTr="00B72898">
        <w:tc>
          <w:tcPr>
            <w:tcW w:w="3369" w:type="dxa"/>
            <w:tcBorders>
              <w:top w:val="nil"/>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Operation</w:t>
            </w:r>
          </w:p>
        </w:tc>
        <w:tc>
          <w:tcPr>
            <w:tcW w:w="3071" w:type="dxa"/>
            <w:tcBorders>
              <w:top w:val="nil"/>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02/2013</w:t>
            </w:r>
          </w:p>
        </w:tc>
        <w:tc>
          <w:tcPr>
            <w:tcW w:w="3071" w:type="dxa"/>
            <w:tcBorders>
              <w:top w:val="nil"/>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09/2013</w:t>
            </w:r>
          </w:p>
        </w:tc>
      </w:tr>
      <w:tr w:rsidR="00913789" w:rsidRPr="002A2067" w:rsidTr="00B72898">
        <w:tc>
          <w:tcPr>
            <w:tcW w:w="3369" w:type="dxa"/>
            <w:tcBorders>
              <w:top w:val="nil"/>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Start of adjuvant therapy</w:t>
            </w:r>
          </w:p>
        </w:tc>
        <w:tc>
          <w:tcPr>
            <w:tcW w:w="3071" w:type="dxa"/>
            <w:tcBorders>
              <w:top w:val="nil"/>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04/2013</w:t>
            </w:r>
          </w:p>
        </w:tc>
        <w:tc>
          <w:tcPr>
            <w:tcW w:w="3071" w:type="dxa"/>
            <w:tcBorders>
              <w:top w:val="nil"/>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11/2013</w:t>
            </w:r>
          </w:p>
        </w:tc>
      </w:tr>
      <w:tr w:rsidR="00913789" w:rsidRPr="002A2067" w:rsidTr="00B72898">
        <w:tc>
          <w:tcPr>
            <w:tcW w:w="3369" w:type="dxa"/>
            <w:tcBorders>
              <w:top w:val="nil"/>
              <w:bottom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Length of adjuvant therapy</w:t>
            </w:r>
          </w:p>
        </w:tc>
        <w:tc>
          <w:tcPr>
            <w:tcW w:w="3071" w:type="dxa"/>
            <w:tcBorders>
              <w:top w:val="nil"/>
              <w:left w:val="nil"/>
              <w:bottom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6 </w:t>
            </w:r>
            <w:proofErr w:type="spellStart"/>
            <w:r w:rsidRPr="002A2067">
              <w:rPr>
                <w:rFonts w:ascii="Book Antiqua" w:eastAsiaTheme="minorHAnsi" w:hAnsi="Book Antiqua" w:cstheme="minorBidi"/>
                <w:sz w:val="24"/>
                <w:szCs w:val="24"/>
                <w:lang w:val="en-US"/>
              </w:rPr>
              <w:t>mo</w:t>
            </w:r>
            <w:proofErr w:type="spellEnd"/>
          </w:p>
        </w:tc>
        <w:tc>
          <w:tcPr>
            <w:tcW w:w="3071" w:type="dxa"/>
            <w:tcBorders>
              <w:top w:val="nil"/>
              <w:left w:val="nil"/>
              <w:bottom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 xml:space="preserve">6 </w:t>
            </w:r>
            <w:proofErr w:type="spellStart"/>
            <w:r w:rsidRPr="002A2067">
              <w:rPr>
                <w:rFonts w:ascii="Book Antiqua" w:eastAsiaTheme="minorHAnsi" w:hAnsi="Book Antiqua" w:cstheme="minorBidi"/>
                <w:sz w:val="24"/>
                <w:szCs w:val="24"/>
                <w:lang w:val="en-US"/>
              </w:rPr>
              <w:t>mo</w:t>
            </w:r>
            <w:proofErr w:type="spellEnd"/>
          </w:p>
        </w:tc>
      </w:tr>
      <w:tr w:rsidR="00913789" w:rsidRPr="00533095" w:rsidTr="00B72898">
        <w:tc>
          <w:tcPr>
            <w:tcW w:w="3369" w:type="dxa"/>
            <w:tcBorders>
              <w:top w:val="nil"/>
              <w:right w:val="nil"/>
            </w:tcBorders>
            <w:vAlign w:val="center"/>
          </w:tcPr>
          <w:p w:rsidR="00913789" w:rsidRPr="002A2067" w:rsidRDefault="00913789" w:rsidP="00B35EBD">
            <w:pPr>
              <w:adjustRightInd w:val="0"/>
              <w:snapToGrid w:val="0"/>
              <w:spacing w:after="0" w:line="360" w:lineRule="auto"/>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Relapse</w:t>
            </w:r>
          </w:p>
        </w:tc>
        <w:tc>
          <w:tcPr>
            <w:tcW w:w="3071" w:type="dxa"/>
            <w:tcBorders>
              <w:top w:val="nil"/>
              <w:left w:val="nil"/>
              <w:right w:val="nil"/>
            </w:tcBorders>
            <w:vAlign w:val="center"/>
          </w:tcPr>
          <w:p w:rsidR="00913789" w:rsidRPr="002A2067"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04/2014</w:t>
            </w:r>
          </w:p>
        </w:tc>
        <w:tc>
          <w:tcPr>
            <w:tcW w:w="3071" w:type="dxa"/>
            <w:tcBorders>
              <w:top w:val="nil"/>
              <w:left w:val="nil"/>
            </w:tcBorders>
            <w:vAlign w:val="center"/>
          </w:tcPr>
          <w:p w:rsidR="00913789" w:rsidRPr="00533095" w:rsidRDefault="00913789" w:rsidP="00B35EBD">
            <w:pPr>
              <w:adjustRightInd w:val="0"/>
              <w:snapToGrid w:val="0"/>
              <w:spacing w:after="0" w:line="360" w:lineRule="auto"/>
              <w:jc w:val="center"/>
              <w:rPr>
                <w:rFonts w:ascii="Book Antiqua" w:eastAsiaTheme="minorHAnsi" w:hAnsi="Book Antiqua" w:cstheme="minorBidi"/>
                <w:sz w:val="24"/>
                <w:szCs w:val="24"/>
                <w:lang w:val="en-US"/>
              </w:rPr>
            </w:pPr>
            <w:r w:rsidRPr="002A2067">
              <w:rPr>
                <w:rFonts w:ascii="Book Antiqua" w:eastAsiaTheme="minorHAnsi" w:hAnsi="Book Antiqua" w:cstheme="minorBidi"/>
                <w:sz w:val="24"/>
                <w:szCs w:val="24"/>
                <w:lang w:val="en-US"/>
              </w:rPr>
              <w:t>-</w:t>
            </w:r>
          </w:p>
        </w:tc>
      </w:tr>
    </w:tbl>
    <w:p w:rsidR="00913789" w:rsidRPr="00533095" w:rsidRDefault="00913789" w:rsidP="00B35EBD">
      <w:pPr>
        <w:adjustRightInd w:val="0"/>
        <w:snapToGrid w:val="0"/>
        <w:spacing w:after="0" w:line="360" w:lineRule="auto"/>
        <w:jc w:val="both"/>
        <w:rPr>
          <w:rFonts w:ascii="Book Antiqua" w:hAnsi="Book Antiqua"/>
          <w:sz w:val="24"/>
          <w:szCs w:val="24"/>
          <w:lang w:val="en-US"/>
        </w:rPr>
      </w:pPr>
    </w:p>
    <w:p w:rsidR="00A504CD" w:rsidRDefault="00A504CD" w:rsidP="00B35EBD">
      <w:pPr>
        <w:adjustRightInd w:val="0"/>
        <w:snapToGrid w:val="0"/>
        <w:spacing w:after="0" w:line="360" w:lineRule="auto"/>
      </w:pPr>
    </w:p>
    <w:sectPr w:rsidR="00A504CD" w:rsidSect="0053309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067" w:rsidRDefault="00EE7067" w:rsidP="00913789">
      <w:pPr>
        <w:spacing w:after="0" w:line="240" w:lineRule="auto"/>
      </w:pPr>
      <w:r>
        <w:separator/>
      </w:r>
    </w:p>
  </w:endnote>
  <w:endnote w:type="continuationSeparator" w:id="0">
    <w:p w:rsidR="00EE7067" w:rsidRDefault="00EE7067" w:rsidP="0091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宋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067" w:rsidRDefault="00EE7067" w:rsidP="00913789">
      <w:pPr>
        <w:spacing w:after="0" w:line="240" w:lineRule="auto"/>
      </w:pPr>
      <w:r>
        <w:separator/>
      </w:r>
    </w:p>
  </w:footnote>
  <w:footnote w:type="continuationSeparator" w:id="0">
    <w:p w:rsidR="00EE7067" w:rsidRDefault="00EE7067" w:rsidP="009137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8CB0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EE1F5E"/>
    <w:multiLevelType w:val="hybridMultilevel"/>
    <w:tmpl w:val="EFCAA5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FEC4A13"/>
    <w:multiLevelType w:val="hybridMultilevel"/>
    <w:tmpl w:val="B756F0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17B2BB3"/>
    <w:multiLevelType w:val="hybridMultilevel"/>
    <w:tmpl w:val="BA1E81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521FEF"/>
    <w:multiLevelType w:val="hybridMultilevel"/>
    <w:tmpl w:val="3C88BA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E755A2"/>
    <w:multiLevelType w:val="hybridMultilevel"/>
    <w:tmpl w:val="EC2278FC"/>
    <w:lvl w:ilvl="0" w:tplc="EAFEB942">
      <w:start w:val="1"/>
      <w:numFmt w:val="bullet"/>
      <w:lvlText w:val="-"/>
      <w:lvlJc w:val="left"/>
      <w:pPr>
        <w:tabs>
          <w:tab w:val="num" w:pos="720"/>
        </w:tabs>
        <w:ind w:left="720" w:hanging="360"/>
      </w:pPr>
      <w:rPr>
        <w:rFonts w:ascii="Times New Roman" w:hAnsi="Times New Roman" w:hint="default"/>
      </w:rPr>
    </w:lvl>
    <w:lvl w:ilvl="1" w:tplc="B5F4C29A" w:tentative="1">
      <w:start w:val="1"/>
      <w:numFmt w:val="bullet"/>
      <w:lvlText w:val="-"/>
      <w:lvlJc w:val="left"/>
      <w:pPr>
        <w:tabs>
          <w:tab w:val="num" w:pos="1440"/>
        </w:tabs>
        <w:ind w:left="1440" w:hanging="360"/>
      </w:pPr>
      <w:rPr>
        <w:rFonts w:ascii="Times New Roman" w:hAnsi="Times New Roman" w:hint="default"/>
      </w:rPr>
    </w:lvl>
    <w:lvl w:ilvl="2" w:tplc="07BE6590" w:tentative="1">
      <w:start w:val="1"/>
      <w:numFmt w:val="bullet"/>
      <w:lvlText w:val="-"/>
      <w:lvlJc w:val="left"/>
      <w:pPr>
        <w:tabs>
          <w:tab w:val="num" w:pos="2160"/>
        </w:tabs>
        <w:ind w:left="2160" w:hanging="360"/>
      </w:pPr>
      <w:rPr>
        <w:rFonts w:ascii="Times New Roman" w:hAnsi="Times New Roman" w:hint="default"/>
      </w:rPr>
    </w:lvl>
    <w:lvl w:ilvl="3" w:tplc="D294FA0A" w:tentative="1">
      <w:start w:val="1"/>
      <w:numFmt w:val="bullet"/>
      <w:lvlText w:val="-"/>
      <w:lvlJc w:val="left"/>
      <w:pPr>
        <w:tabs>
          <w:tab w:val="num" w:pos="2880"/>
        </w:tabs>
        <w:ind w:left="2880" w:hanging="360"/>
      </w:pPr>
      <w:rPr>
        <w:rFonts w:ascii="Times New Roman" w:hAnsi="Times New Roman" w:hint="default"/>
      </w:rPr>
    </w:lvl>
    <w:lvl w:ilvl="4" w:tplc="1ED4FE9C" w:tentative="1">
      <w:start w:val="1"/>
      <w:numFmt w:val="bullet"/>
      <w:lvlText w:val="-"/>
      <w:lvlJc w:val="left"/>
      <w:pPr>
        <w:tabs>
          <w:tab w:val="num" w:pos="3600"/>
        </w:tabs>
        <w:ind w:left="3600" w:hanging="360"/>
      </w:pPr>
      <w:rPr>
        <w:rFonts w:ascii="Times New Roman" w:hAnsi="Times New Roman" w:hint="default"/>
      </w:rPr>
    </w:lvl>
    <w:lvl w:ilvl="5" w:tplc="7262920E" w:tentative="1">
      <w:start w:val="1"/>
      <w:numFmt w:val="bullet"/>
      <w:lvlText w:val="-"/>
      <w:lvlJc w:val="left"/>
      <w:pPr>
        <w:tabs>
          <w:tab w:val="num" w:pos="4320"/>
        </w:tabs>
        <w:ind w:left="4320" w:hanging="360"/>
      </w:pPr>
      <w:rPr>
        <w:rFonts w:ascii="Times New Roman" w:hAnsi="Times New Roman" w:hint="default"/>
      </w:rPr>
    </w:lvl>
    <w:lvl w:ilvl="6" w:tplc="B4141B02" w:tentative="1">
      <w:start w:val="1"/>
      <w:numFmt w:val="bullet"/>
      <w:lvlText w:val="-"/>
      <w:lvlJc w:val="left"/>
      <w:pPr>
        <w:tabs>
          <w:tab w:val="num" w:pos="5040"/>
        </w:tabs>
        <w:ind w:left="5040" w:hanging="360"/>
      </w:pPr>
      <w:rPr>
        <w:rFonts w:ascii="Times New Roman" w:hAnsi="Times New Roman" w:hint="default"/>
      </w:rPr>
    </w:lvl>
    <w:lvl w:ilvl="7" w:tplc="A59852FC" w:tentative="1">
      <w:start w:val="1"/>
      <w:numFmt w:val="bullet"/>
      <w:lvlText w:val="-"/>
      <w:lvlJc w:val="left"/>
      <w:pPr>
        <w:tabs>
          <w:tab w:val="num" w:pos="5760"/>
        </w:tabs>
        <w:ind w:left="5760" w:hanging="360"/>
      </w:pPr>
      <w:rPr>
        <w:rFonts w:ascii="Times New Roman" w:hAnsi="Times New Roman" w:hint="default"/>
      </w:rPr>
    </w:lvl>
    <w:lvl w:ilvl="8" w:tplc="F1CA85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8846672"/>
    <w:multiLevelType w:val="hybridMultilevel"/>
    <w:tmpl w:val="3F5CF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9C370E"/>
    <w:multiLevelType w:val="hybridMultilevel"/>
    <w:tmpl w:val="F9FAAD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6144B9F"/>
    <w:multiLevelType w:val="hybridMultilevel"/>
    <w:tmpl w:val="3B385894"/>
    <w:lvl w:ilvl="0" w:tplc="9B7EDFB2">
      <w:start w:val="1"/>
      <w:numFmt w:val="decimal"/>
      <w:lvlText w:val="%1)"/>
      <w:lvlJc w:val="left"/>
      <w:pPr>
        <w:ind w:left="720" w:hanging="360"/>
      </w:pPr>
      <w:rPr>
        <w:rFonts w:hint="default"/>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3"/>
  </w:num>
  <w:num w:numId="6">
    <w:abstractNumId w:val="1"/>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A7E"/>
    <w:rsid w:val="0000449B"/>
    <w:rsid w:val="000C62DB"/>
    <w:rsid w:val="000D15C1"/>
    <w:rsid w:val="00155B05"/>
    <w:rsid w:val="001624C3"/>
    <w:rsid w:val="00210103"/>
    <w:rsid w:val="002A2067"/>
    <w:rsid w:val="002C3EDB"/>
    <w:rsid w:val="002D4CD5"/>
    <w:rsid w:val="002E3E54"/>
    <w:rsid w:val="00390484"/>
    <w:rsid w:val="003B3C2F"/>
    <w:rsid w:val="00486B8B"/>
    <w:rsid w:val="004D1BEA"/>
    <w:rsid w:val="0051206A"/>
    <w:rsid w:val="0068145D"/>
    <w:rsid w:val="006C12CB"/>
    <w:rsid w:val="00726580"/>
    <w:rsid w:val="0077136D"/>
    <w:rsid w:val="007D0589"/>
    <w:rsid w:val="00806B41"/>
    <w:rsid w:val="008F26C5"/>
    <w:rsid w:val="00913789"/>
    <w:rsid w:val="0098156F"/>
    <w:rsid w:val="00984CCD"/>
    <w:rsid w:val="00A504CD"/>
    <w:rsid w:val="00AC4E69"/>
    <w:rsid w:val="00B35EBD"/>
    <w:rsid w:val="00B76A7E"/>
    <w:rsid w:val="00B90891"/>
    <w:rsid w:val="00BE1682"/>
    <w:rsid w:val="00C36986"/>
    <w:rsid w:val="00D44ECE"/>
    <w:rsid w:val="00D84FB8"/>
    <w:rsid w:val="00DB28A0"/>
    <w:rsid w:val="00E03727"/>
    <w:rsid w:val="00E67A2A"/>
    <w:rsid w:val="00EA21BB"/>
    <w:rsid w:val="00EE7067"/>
    <w:rsid w:val="00EF7EE8"/>
    <w:rsid w:val="00F85C64"/>
    <w:rsid w:val="00FE0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789"/>
    <w:pPr>
      <w:spacing w:after="200" w:line="276" w:lineRule="auto"/>
    </w:pPr>
    <w:rPr>
      <w:rFonts w:ascii="Calibri" w:hAnsi="Calibri" w:cs="Times New Roman"/>
      <w:kern w:val="0"/>
      <w:sz w:val="22"/>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37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3789"/>
    <w:rPr>
      <w:sz w:val="18"/>
      <w:szCs w:val="18"/>
    </w:rPr>
  </w:style>
  <w:style w:type="paragraph" w:styleId="a4">
    <w:name w:val="footer"/>
    <w:basedOn w:val="a"/>
    <w:link w:val="Char0"/>
    <w:uiPriority w:val="99"/>
    <w:unhideWhenUsed/>
    <w:rsid w:val="00913789"/>
    <w:pPr>
      <w:tabs>
        <w:tab w:val="center" w:pos="4153"/>
        <w:tab w:val="right" w:pos="8306"/>
      </w:tabs>
      <w:snapToGrid w:val="0"/>
    </w:pPr>
    <w:rPr>
      <w:sz w:val="18"/>
      <w:szCs w:val="18"/>
    </w:rPr>
  </w:style>
  <w:style w:type="character" w:customStyle="1" w:styleId="Char0">
    <w:name w:val="页脚 Char"/>
    <w:basedOn w:val="a0"/>
    <w:link w:val="a4"/>
    <w:uiPriority w:val="99"/>
    <w:rsid w:val="00913789"/>
    <w:rPr>
      <w:sz w:val="18"/>
      <w:szCs w:val="18"/>
    </w:rPr>
  </w:style>
  <w:style w:type="paragraph" w:customStyle="1" w:styleId="FarbigeListe-Akzent11">
    <w:name w:val="Farbige Liste - Akzent 11"/>
    <w:basedOn w:val="a"/>
    <w:uiPriority w:val="34"/>
    <w:qFormat/>
    <w:rsid w:val="00913789"/>
    <w:pPr>
      <w:spacing w:after="0" w:line="240" w:lineRule="auto"/>
      <w:ind w:left="720"/>
      <w:contextualSpacing/>
    </w:pPr>
    <w:rPr>
      <w:rFonts w:ascii="Times New Roman" w:eastAsia="Times New Roman" w:hAnsi="Times New Roman"/>
      <w:sz w:val="24"/>
      <w:szCs w:val="24"/>
      <w:lang w:eastAsia="de-DE"/>
    </w:rPr>
  </w:style>
  <w:style w:type="paragraph" w:styleId="a5">
    <w:name w:val="Normal (Web)"/>
    <w:basedOn w:val="a"/>
    <w:uiPriority w:val="99"/>
    <w:semiHidden/>
    <w:unhideWhenUsed/>
    <w:rsid w:val="00913789"/>
    <w:pPr>
      <w:spacing w:before="100" w:beforeAutospacing="1" w:after="100" w:afterAutospacing="1" w:line="240" w:lineRule="auto"/>
    </w:pPr>
    <w:rPr>
      <w:rFonts w:ascii="Times New Roman" w:eastAsia="Times New Roman" w:hAnsi="Times New Roman"/>
      <w:sz w:val="24"/>
      <w:szCs w:val="24"/>
      <w:lang w:eastAsia="de-DE"/>
    </w:rPr>
  </w:style>
  <w:style w:type="character" w:styleId="a6">
    <w:name w:val="Hyperlink"/>
    <w:uiPriority w:val="99"/>
    <w:unhideWhenUsed/>
    <w:rsid w:val="00913789"/>
    <w:rPr>
      <w:color w:val="0000FF"/>
      <w:u w:val="single"/>
    </w:rPr>
  </w:style>
  <w:style w:type="paragraph" w:styleId="a7">
    <w:name w:val="Balloon Text"/>
    <w:basedOn w:val="a"/>
    <w:link w:val="Char1"/>
    <w:uiPriority w:val="99"/>
    <w:semiHidden/>
    <w:unhideWhenUsed/>
    <w:rsid w:val="00913789"/>
    <w:pPr>
      <w:spacing w:after="0" w:line="240" w:lineRule="auto"/>
    </w:pPr>
    <w:rPr>
      <w:rFonts w:ascii="Lucida Grande" w:hAnsi="Lucida Grande" w:cs="Lucida Grande"/>
      <w:sz w:val="18"/>
      <w:szCs w:val="18"/>
    </w:rPr>
  </w:style>
  <w:style w:type="character" w:customStyle="1" w:styleId="Char1">
    <w:name w:val="批注框文本 Char"/>
    <w:basedOn w:val="a0"/>
    <w:link w:val="a7"/>
    <w:uiPriority w:val="99"/>
    <w:semiHidden/>
    <w:rsid w:val="00913789"/>
    <w:rPr>
      <w:rFonts w:ascii="Lucida Grande" w:hAnsi="Lucida Grande" w:cs="Lucida Grande"/>
      <w:kern w:val="0"/>
      <w:sz w:val="18"/>
      <w:szCs w:val="18"/>
      <w:lang w:val="de-DE" w:eastAsia="en-US"/>
    </w:rPr>
  </w:style>
  <w:style w:type="paragraph" w:styleId="a8">
    <w:name w:val="Revision"/>
    <w:hidden/>
    <w:uiPriority w:val="99"/>
    <w:semiHidden/>
    <w:rsid w:val="00913789"/>
    <w:rPr>
      <w:rFonts w:ascii="Calibri" w:hAnsi="Calibri" w:cs="Times New Roman"/>
      <w:kern w:val="0"/>
      <w:sz w:val="22"/>
      <w:lang w:val="de-DE" w:eastAsia="en-US"/>
    </w:rPr>
  </w:style>
  <w:style w:type="character" w:customStyle="1" w:styleId="highlight2">
    <w:name w:val="highlight2"/>
    <w:rsid w:val="00913789"/>
  </w:style>
  <w:style w:type="character" w:styleId="a9">
    <w:name w:val="annotation reference"/>
    <w:uiPriority w:val="99"/>
    <w:semiHidden/>
    <w:unhideWhenUsed/>
    <w:rsid w:val="00913789"/>
    <w:rPr>
      <w:sz w:val="16"/>
      <w:szCs w:val="16"/>
    </w:rPr>
  </w:style>
  <w:style w:type="paragraph" w:styleId="aa">
    <w:name w:val="annotation text"/>
    <w:basedOn w:val="a"/>
    <w:link w:val="Char2"/>
    <w:uiPriority w:val="99"/>
    <w:unhideWhenUsed/>
    <w:rsid w:val="00913789"/>
    <w:rPr>
      <w:sz w:val="20"/>
      <w:szCs w:val="20"/>
    </w:rPr>
  </w:style>
  <w:style w:type="character" w:customStyle="1" w:styleId="Char2">
    <w:name w:val="批注文字 Char"/>
    <w:basedOn w:val="a0"/>
    <w:link w:val="aa"/>
    <w:uiPriority w:val="99"/>
    <w:rsid w:val="00913789"/>
    <w:rPr>
      <w:rFonts w:ascii="Calibri" w:hAnsi="Calibri" w:cs="Times New Roman"/>
      <w:kern w:val="0"/>
      <w:sz w:val="20"/>
      <w:szCs w:val="20"/>
      <w:lang w:val="de-DE" w:eastAsia="en-US"/>
    </w:rPr>
  </w:style>
  <w:style w:type="paragraph" w:styleId="ab">
    <w:name w:val="annotation subject"/>
    <w:basedOn w:val="aa"/>
    <w:next w:val="aa"/>
    <w:link w:val="Char3"/>
    <w:uiPriority w:val="99"/>
    <w:semiHidden/>
    <w:unhideWhenUsed/>
    <w:rsid w:val="00913789"/>
    <w:rPr>
      <w:b/>
      <w:bCs/>
    </w:rPr>
  </w:style>
  <w:style w:type="character" w:customStyle="1" w:styleId="Char3">
    <w:name w:val="批注主题 Char"/>
    <w:basedOn w:val="Char2"/>
    <w:link w:val="ab"/>
    <w:uiPriority w:val="99"/>
    <w:semiHidden/>
    <w:rsid w:val="00913789"/>
    <w:rPr>
      <w:rFonts w:ascii="Calibri" w:hAnsi="Calibri" w:cs="Times New Roman"/>
      <w:b/>
      <w:bCs/>
      <w:kern w:val="0"/>
      <w:sz w:val="20"/>
      <w:szCs w:val="20"/>
      <w:lang w:val="de-DE" w:eastAsia="en-US"/>
    </w:rPr>
  </w:style>
  <w:style w:type="table" w:styleId="ac">
    <w:name w:val="Light Grid"/>
    <w:basedOn w:val="a1"/>
    <w:uiPriority w:val="62"/>
    <w:rsid w:val="00913789"/>
    <w:rPr>
      <w:rFonts w:eastAsiaTheme="minorHAnsi"/>
      <w:kern w:val="0"/>
      <w:sz w:val="22"/>
      <w:lang w:val="de-D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d">
    <w:name w:val="Table Grid"/>
    <w:basedOn w:val="a1"/>
    <w:uiPriority w:val="59"/>
    <w:rsid w:val="00913789"/>
    <w:rPr>
      <w:rFonts w:ascii="Calibri" w:hAnsi="Calibri" w:cs="Times New Roman"/>
      <w:kern w:val="0"/>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913789"/>
    <w:rPr>
      <w:rFonts w:cs="Times New Roman"/>
      <w:b/>
      <w:bCs/>
    </w:rPr>
  </w:style>
  <w:style w:type="paragraph" w:customStyle="1" w:styleId="ListParagraph1">
    <w:name w:val="List Paragraph1"/>
    <w:basedOn w:val="a"/>
    <w:rsid w:val="00913789"/>
    <w:pPr>
      <w:spacing w:after="0" w:line="240" w:lineRule="auto"/>
      <w:ind w:left="720"/>
      <w:contextualSpacing/>
    </w:pPr>
    <w:rPr>
      <w:rFonts w:ascii="Cambria" w:eastAsia="宋体" w:hAnsi="Cambria"/>
      <w:sz w:val="24"/>
      <w:szCs w:val="24"/>
      <w:lang w:val="en-US" w:eastAsia="ja-JP"/>
    </w:rPr>
  </w:style>
  <w:style w:type="paragraph" w:styleId="af">
    <w:name w:val="List Paragraph"/>
    <w:basedOn w:val="a"/>
    <w:uiPriority w:val="34"/>
    <w:qFormat/>
    <w:rsid w:val="00913789"/>
    <w:pPr>
      <w:ind w:left="720"/>
      <w:contextualSpacing/>
    </w:pPr>
  </w:style>
  <w:style w:type="character" w:styleId="af0">
    <w:name w:val="FollowedHyperlink"/>
    <w:basedOn w:val="a0"/>
    <w:uiPriority w:val="99"/>
    <w:semiHidden/>
    <w:unhideWhenUsed/>
    <w:rsid w:val="002D4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789"/>
    <w:pPr>
      <w:spacing w:after="200" w:line="276" w:lineRule="auto"/>
    </w:pPr>
    <w:rPr>
      <w:rFonts w:ascii="Calibri" w:hAnsi="Calibri" w:cs="Times New Roman"/>
      <w:kern w:val="0"/>
      <w:sz w:val="22"/>
      <w:lang w:val="de-D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37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3789"/>
    <w:rPr>
      <w:sz w:val="18"/>
      <w:szCs w:val="18"/>
    </w:rPr>
  </w:style>
  <w:style w:type="paragraph" w:styleId="a4">
    <w:name w:val="footer"/>
    <w:basedOn w:val="a"/>
    <w:link w:val="Char0"/>
    <w:uiPriority w:val="99"/>
    <w:unhideWhenUsed/>
    <w:rsid w:val="00913789"/>
    <w:pPr>
      <w:tabs>
        <w:tab w:val="center" w:pos="4153"/>
        <w:tab w:val="right" w:pos="8306"/>
      </w:tabs>
      <w:snapToGrid w:val="0"/>
    </w:pPr>
    <w:rPr>
      <w:sz w:val="18"/>
      <w:szCs w:val="18"/>
    </w:rPr>
  </w:style>
  <w:style w:type="character" w:customStyle="1" w:styleId="Char0">
    <w:name w:val="页脚 Char"/>
    <w:basedOn w:val="a0"/>
    <w:link w:val="a4"/>
    <w:uiPriority w:val="99"/>
    <w:rsid w:val="00913789"/>
    <w:rPr>
      <w:sz w:val="18"/>
      <w:szCs w:val="18"/>
    </w:rPr>
  </w:style>
  <w:style w:type="paragraph" w:customStyle="1" w:styleId="FarbigeListe-Akzent11">
    <w:name w:val="Farbige Liste - Akzent 11"/>
    <w:basedOn w:val="a"/>
    <w:uiPriority w:val="34"/>
    <w:qFormat/>
    <w:rsid w:val="00913789"/>
    <w:pPr>
      <w:spacing w:after="0" w:line="240" w:lineRule="auto"/>
      <w:ind w:left="720"/>
      <w:contextualSpacing/>
    </w:pPr>
    <w:rPr>
      <w:rFonts w:ascii="Times New Roman" w:eastAsia="Times New Roman" w:hAnsi="Times New Roman"/>
      <w:sz w:val="24"/>
      <w:szCs w:val="24"/>
      <w:lang w:eastAsia="de-DE"/>
    </w:rPr>
  </w:style>
  <w:style w:type="paragraph" w:styleId="a5">
    <w:name w:val="Normal (Web)"/>
    <w:basedOn w:val="a"/>
    <w:uiPriority w:val="99"/>
    <w:semiHidden/>
    <w:unhideWhenUsed/>
    <w:rsid w:val="00913789"/>
    <w:pPr>
      <w:spacing w:before="100" w:beforeAutospacing="1" w:after="100" w:afterAutospacing="1" w:line="240" w:lineRule="auto"/>
    </w:pPr>
    <w:rPr>
      <w:rFonts w:ascii="Times New Roman" w:eastAsia="Times New Roman" w:hAnsi="Times New Roman"/>
      <w:sz w:val="24"/>
      <w:szCs w:val="24"/>
      <w:lang w:eastAsia="de-DE"/>
    </w:rPr>
  </w:style>
  <w:style w:type="character" w:styleId="a6">
    <w:name w:val="Hyperlink"/>
    <w:uiPriority w:val="99"/>
    <w:unhideWhenUsed/>
    <w:rsid w:val="00913789"/>
    <w:rPr>
      <w:color w:val="0000FF"/>
      <w:u w:val="single"/>
    </w:rPr>
  </w:style>
  <w:style w:type="paragraph" w:styleId="a7">
    <w:name w:val="Balloon Text"/>
    <w:basedOn w:val="a"/>
    <w:link w:val="Char1"/>
    <w:uiPriority w:val="99"/>
    <w:semiHidden/>
    <w:unhideWhenUsed/>
    <w:rsid w:val="00913789"/>
    <w:pPr>
      <w:spacing w:after="0" w:line="240" w:lineRule="auto"/>
    </w:pPr>
    <w:rPr>
      <w:rFonts w:ascii="Lucida Grande" w:hAnsi="Lucida Grande" w:cs="Lucida Grande"/>
      <w:sz w:val="18"/>
      <w:szCs w:val="18"/>
    </w:rPr>
  </w:style>
  <w:style w:type="character" w:customStyle="1" w:styleId="Char1">
    <w:name w:val="批注框文本 Char"/>
    <w:basedOn w:val="a0"/>
    <w:link w:val="a7"/>
    <w:uiPriority w:val="99"/>
    <w:semiHidden/>
    <w:rsid w:val="00913789"/>
    <w:rPr>
      <w:rFonts w:ascii="Lucida Grande" w:hAnsi="Lucida Grande" w:cs="Lucida Grande"/>
      <w:kern w:val="0"/>
      <w:sz w:val="18"/>
      <w:szCs w:val="18"/>
      <w:lang w:val="de-DE" w:eastAsia="en-US"/>
    </w:rPr>
  </w:style>
  <w:style w:type="paragraph" w:styleId="a8">
    <w:name w:val="Revision"/>
    <w:hidden/>
    <w:uiPriority w:val="99"/>
    <w:semiHidden/>
    <w:rsid w:val="00913789"/>
    <w:rPr>
      <w:rFonts w:ascii="Calibri" w:hAnsi="Calibri" w:cs="Times New Roman"/>
      <w:kern w:val="0"/>
      <w:sz w:val="22"/>
      <w:lang w:val="de-DE" w:eastAsia="en-US"/>
    </w:rPr>
  </w:style>
  <w:style w:type="character" w:customStyle="1" w:styleId="highlight2">
    <w:name w:val="highlight2"/>
    <w:rsid w:val="00913789"/>
  </w:style>
  <w:style w:type="character" w:styleId="a9">
    <w:name w:val="annotation reference"/>
    <w:uiPriority w:val="99"/>
    <w:semiHidden/>
    <w:unhideWhenUsed/>
    <w:rsid w:val="00913789"/>
    <w:rPr>
      <w:sz w:val="16"/>
      <w:szCs w:val="16"/>
    </w:rPr>
  </w:style>
  <w:style w:type="paragraph" w:styleId="aa">
    <w:name w:val="annotation text"/>
    <w:basedOn w:val="a"/>
    <w:link w:val="Char2"/>
    <w:uiPriority w:val="99"/>
    <w:unhideWhenUsed/>
    <w:rsid w:val="00913789"/>
    <w:rPr>
      <w:sz w:val="20"/>
      <w:szCs w:val="20"/>
    </w:rPr>
  </w:style>
  <w:style w:type="character" w:customStyle="1" w:styleId="Char2">
    <w:name w:val="批注文字 Char"/>
    <w:basedOn w:val="a0"/>
    <w:link w:val="aa"/>
    <w:uiPriority w:val="99"/>
    <w:rsid w:val="00913789"/>
    <w:rPr>
      <w:rFonts w:ascii="Calibri" w:hAnsi="Calibri" w:cs="Times New Roman"/>
      <w:kern w:val="0"/>
      <w:sz w:val="20"/>
      <w:szCs w:val="20"/>
      <w:lang w:val="de-DE" w:eastAsia="en-US"/>
    </w:rPr>
  </w:style>
  <w:style w:type="paragraph" w:styleId="ab">
    <w:name w:val="annotation subject"/>
    <w:basedOn w:val="aa"/>
    <w:next w:val="aa"/>
    <w:link w:val="Char3"/>
    <w:uiPriority w:val="99"/>
    <w:semiHidden/>
    <w:unhideWhenUsed/>
    <w:rsid w:val="00913789"/>
    <w:rPr>
      <w:b/>
      <w:bCs/>
    </w:rPr>
  </w:style>
  <w:style w:type="character" w:customStyle="1" w:styleId="Char3">
    <w:name w:val="批注主题 Char"/>
    <w:basedOn w:val="Char2"/>
    <w:link w:val="ab"/>
    <w:uiPriority w:val="99"/>
    <w:semiHidden/>
    <w:rsid w:val="00913789"/>
    <w:rPr>
      <w:rFonts w:ascii="Calibri" w:hAnsi="Calibri" w:cs="Times New Roman"/>
      <w:b/>
      <w:bCs/>
      <w:kern w:val="0"/>
      <w:sz w:val="20"/>
      <w:szCs w:val="20"/>
      <w:lang w:val="de-DE" w:eastAsia="en-US"/>
    </w:rPr>
  </w:style>
  <w:style w:type="table" w:styleId="ac">
    <w:name w:val="Light Grid"/>
    <w:basedOn w:val="a1"/>
    <w:uiPriority w:val="62"/>
    <w:rsid w:val="00913789"/>
    <w:rPr>
      <w:rFonts w:eastAsiaTheme="minorHAnsi"/>
      <w:kern w:val="0"/>
      <w:sz w:val="22"/>
      <w:lang w:val="de-D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d">
    <w:name w:val="Table Grid"/>
    <w:basedOn w:val="a1"/>
    <w:uiPriority w:val="59"/>
    <w:rsid w:val="00913789"/>
    <w:rPr>
      <w:rFonts w:ascii="Calibri" w:hAnsi="Calibri" w:cs="Times New Roman"/>
      <w:kern w:val="0"/>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913789"/>
    <w:rPr>
      <w:rFonts w:cs="Times New Roman"/>
      <w:b/>
      <w:bCs/>
    </w:rPr>
  </w:style>
  <w:style w:type="paragraph" w:customStyle="1" w:styleId="ListParagraph1">
    <w:name w:val="List Paragraph1"/>
    <w:basedOn w:val="a"/>
    <w:rsid w:val="00913789"/>
    <w:pPr>
      <w:spacing w:after="0" w:line="240" w:lineRule="auto"/>
      <w:ind w:left="720"/>
      <w:contextualSpacing/>
    </w:pPr>
    <w:rPr>
      <w:rFonts w:ascii="Cambria" w:eastAsia="宋体" w:hAnsi="Cambria"/>
      <w:sz w:val="24"/>
      <w:szCs w:val="24"/>
      <w:lang w:val="en-US" w:eastAsia="ja-JP"/>
    </w:rPr>
  </w:style>
  <w:style w:type="paragraph" w:styleId="af">
    <w:name w:val="List Paragraph"/>
    <w:basedOn w:val="a"/>
    <w:uiPriority w:val="34"/>
    <w:qFormat/>
    <w:rsid w:val="00913789"/>
    <w:pPr>
      <w:ind w:left="720"/>
      <w:contextualSpacing/>
    </w:pPr>
  </w:style>
  <w:style w:type="character" w:styleId="af0">
    <w:name w:val="FollowedHyperlink"/>
    <w:basedOn w:val="a0"/>
    <w:uiPriority w:val="99"/>
    <w:semiHidden/>
    <w:unhideWhenUsed/>
    <w:rsid w:val="002D4C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4224</Words>
  <Characters>24079</Characters>
  <Application>Microsoft Office Word</Application>
  <DocSecurity>0</DocSecurity>
  <Lines>200</Lines>
  <Paragraphs>56</Paragraphs>
  <ScaleCrop>false</ScaleCrop>
  <Company>微软中国</Company>
  <LinksUpToDate>false</LinksUpToDate>
  <CharactersWithSpaces>28247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2015-03-18T12:21:00Z</dcterms:created>
  <dcterms:modified xsi:type="dcterms:W3CDTF">2015-03-18T12:21:00Z</dcterms:modified>
</cp:coreProperties>
</file>