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F9" w:rsidRPr="00D65CB0" w:rsidRDefault="007732F9" w:rsidP="00B04C1B">
      <w:pPr>
        <w:adjustRightInd w:val="0"/>
        <w:snapToGrid w:val="0"/>
        <w:spacing w:after="0"/>
        <w:jc w:val="both"/>
        <w:rPr>
          <w:rFonts w:ascii="Book Antiqua" w:hAnsi="Book Antiqua" w:cs="Times New Roman"/>
          <w:b/>
          <w:lang w:val="en-US"/>
        </w:rPr>
      </w:pPr>
      <w:r w:rsidRPr="00D65CB0">
        <w:rPr>
          <w:rFonts w:ascii="Book Antiqua" w:hAnsi="Book Antiqua" w:cs="Times New Roman"/>
          <w:b/>
          <w:lang w:val="en-US"/>
        </w:rPr>
        <w:t xml:space="preserve">Name of journal: </w:t>
      </w:r>
      <w:r w:rsidR="005D664A" w:rsidRPr="00D65CB0">
        <w:rPr>
          <w:rFonts w:ascii="Book Antiqua" w:hAnsi="Book Antiqua" w:cs="Times New Roman"/>
          <w:b/>
          <w:lang w:val="en-US"/>
        </w:rPr>
        <w:t>World Journal of Meta-Analysis</w:t>
      </w:r>
    </w:p>
    <w:p w:rsidR="007732F9" w:rsidRPr="00D65CB0" w:rsidRDefault="007732F9" w:rsidP="00B04C1B">
      <w:pPr>
        <w:adjustRightInd w:val="0"/>
        <w:snapToGrid w:val="0"/>
        <w:spacing w:after="0"/>
        <w:jc w:val="both"/>
        <w:rPr>
          <w:rFonts w:ascii="Book Antiqua" w:hAnsi="Book Antiqua" w:cs="Times New Roman"/>
          <w:b/>
          <w:lang w:val="en-US"/>
        </w:rPr>
      </w:pPr>
      <w:r w:rsidRPr="00D65CB0">
        <w:rPr>
          <w:rFonts w:ascii="Book Antiqua" w:hAnsi="Book Antiqua" w:cs="Times New Roman"/>
          <w:b/>
          <w:lang w:val="en-US"/>
        </w:rPr>
        <w:t>ESPS Manuscript NO: 15875</w:t>
      </w:r>
    </w:p>
    <w:p w:rsidR="00BF7AAE" w:rsidRPr="00D65CB0" w:rsidRDefault="007732F9" w:rsidP="00B04C1B">
      <w:pPr>
        <w:adjustRightInd w:val="0"/>
        <w:snapToGrid w:val="0"/>
        <w:spacing w:after="0"/>
        <w:jc w:val="both"/>
        <w:rPr>
          <w:rFonts w:ascii="Book Antiqua" w:hAnsi="Book Antiqua" w:cs="Times New Roman"/>
          <w:b/>
          <w:lang w:val="en-US"/>
        </w:rPr>
      </w:pPr>
      <w:r w:rsidRPr="00D65CB0">
        <w:rPr>
          <w:rFonts w:ascii="Book Antiqua" w:hAnsi="Book Antiqua" w:cs="Times New Roman"/>
          <w:b/>
          <w:lang w:val="en-US"/>
        </w:rPr>
        <w:t>Columns: EDITORIAL</w:t>
      </w:r>
    </w:p>
    <w:p w:rsidR="003B3CB1" w:rsidRPr="00D65CB0" w:rsidRDefault="003B3CB1" w:rsidP="00B04C1B">
      <w:pPr>
        <w:adjustRightInd w:val="0"/>
        <w:snapToGrid w:val="0"/>
        <w:spacing w:after="0"/>
        <w:jc w:val="both"/>
        <w:rPr>
          <w:rFonts w:ascii="Book Antiqua" w:hAnsi="Book Antiqua" w:cs="Times New Roman"/>
          <w:b/>
          <w:lang w:val="en-US"/>
        </w:rPr>
      </w:pPr>
    </w:p>
    <w:p w:rsidR="003B3CB1" w:rsidRPr="00D65CB0" w:rsidRDefault="003B3CB1" w:rsidP="00B04C1B">
      <w:pPr>
        <w:adjustRightInd w:val="0"/>
        <w:snapToGrid w:val="0"/>
        <w:spacing w:after="0"/>
        <w:jc w:val="both"/>
        <w:rPr>
          <w:rFonts w:ascii="Book Antiqua" w:hAnsi="Book Antiqua" w:cs="Times New Roman"/>
          <w:b/>
          <w:lang w:val="en-US"/>
        </w:rPr>
      </w:pPr>
      <w:r w:rsidRPr="00D65CB0">
        <w:rPr>
          <w:rFonts w:ascii="Book Antiqua" w:hAnsi="Book Antiqua" w:cs="Times New Roman"/>
          <w:b/>
          <w:lang w:val="en-US"/>
        </w:rPr>
        <w:t xml:space="preserve">Unsaturation index and type 2 diabetes: </w:t>
      </w:r>
      <w:r w:rsidRPr="00D65CB0">
        <w:rPr>
          <w:rFonts w:ascii="Book Antiqua" w:hAnsi="Book Antiqua" w:cs="Times New Roman"/>
          <w:b/>
          <w:caps/>
          <w:lang w:val="en-US"/>
        </w:rPr>
        <w:t>u</w:t>
      </w:r>
      <w:r w:rsidRPr="00D65CB0">
        <w:rPr>
          <w:rFonts w:ascii="Book Antiqua" w:hAnsi="Book Antiqua" w:cs="Times New Roman"/>
          <w:b/>
          <w:lang w:val="en-US"/>
        </w:rPr>
        <w:t xml:space="preserve">nknown, unloved </w:t>
      </w:r>
    </w:p>
    <w:p w:rsidR="003B3CB1" w:rsidRPr="00D65CB0" w:rsidRDefault="003B3CB1" w:rsidP="00B04C1B">
      <w:pPr>
        <w:adjustRightInd w:val="0"/>
        <w:snapToGrid w:val="0"/>
        <w:spacing w:after="0"/>
        <w:jc w:val="both"/>
        <w:rPr>
          <w:rFonts w:ascii="Book Antiqua" w:hAnsi="Book Antiqua" w:cs="Times New Roman"/>
          <w:lang w:val="en-US"/>
        </w:rPr>
      </w:pPr>
    </w:p>
    <w:p w:rsidR="00BF7AAE" w:rsidRPr="00D65CB0" w:rsidRDefault="00C01A10" w:rsidP="00B04C1B">
      <w:pPr>
        <w:adjustRightInd w:val="0"/>
        <w:snapToGrid w:val="0"/>
        <w:spacing w:after="0"/>
        <w:jc w:val="both"/>
        <w:rPr>
          <w:rFonts w:ascii="Book Antiqua" w:hAnsi="Book Antiqua" w:cs="Times New Roman"/>
          <w:lang w:val="en-US"/>
        </w:rPr>
      </w:pPr>
      <w:r w:rsidRPr="00D65CB0">
        <w:rPr>
          <w:rFonts w:ascii="Book Antiqua" w:hAnsi="Book Antiqua" w:cs="Times New Roman"/>
          <w:lang w:val="en-US"/>
        </w:rPr>
        <w:t xml:space="preserve">Weijers RNM. </w:t>
      </w:r>
      <w:r w:rsidR="007732F9" w:rsidRPr="00D65CB0">
        <w:rPr>
          <w:rFonts w:ascii="Book Antiqua" w:hAnsi="Book Antiqua" w:cs="Times New Roman"/>
          <w:lang w:val="en-US"/>
        </w:rPr>
        <w:t>Unsaturation index and type 2 diabetes</w:t>
      </w:r>
    </w:p>
    <w:p w:rsidR="00205175" w:rsidRPr="00D65CB0" w:rsidRDefault="00205175" w:rsidP="00B04C1B">
      <w:pPr>
        <w:adjustRightInd w:val="0"/>
        <w:snapToGrid w:val="0"/>
        <w:spacing w:after="0"/>
        <w:jc w:val="both"/>
        <w:rPr>
          <w:rFonts w:ascii="Book Antiqua" w:hAnsi="Book Antiqua" w:cs="Times New Roman"/>
          <w:lang w:val="en-US"/>
        </w:rPr>
      </w:pPr>
    </w:p>
    <w:p w:rsidR="00BF7AAE" w:rsidRPr="00D65CB0" w:rsidRDefault="007732F9" w:rsidP="00B04C1B">
      <w:pPr>
        <w:adjustRightInd w:val="0"/>
        <w:snapToGrid w:val="0"/>
        <w:spacing w:after="0"/>
        <w:jc w:val="both"/>
        <w:rPr>
          <w:rFonts w:ascii="Book Antiqua" w:hAnsi="Book Antiqua" w:cs="Times New Roman"/>
        </w:rPr>
      </w:pPr>
      <w:r w:rsidRPr="00D65CB0">
        <w:rPr>
          <w:rFonts w:ascii="Book Antiqua" w:hAnsi="Book Antiqua" w:cs="Times New Roman"/>
        </w:rPr>
        <w:t xml:space="preserve">Rob </w:t>
      </w:r>
      <w:r w:rsidR="00C01A10" w:rsidRPr="00D65CB0">
        <w:rPr>
          <w:rFonts w:ascii="Book Antiqua" w:hAnsi="Book Antiqua" w:cs="Times New Roman"/>
        </w:rPr>
        <w:t xml:space="preserve">NM </w:t>
      </w:r>
      <w:r w:rsidRPr="00D65CB0">
        <w:rPr>
          <w:rFonts w:ascii="Book Antiqua" w:hAnsi="Book Antiqua" w:cs="Times New Roman"/>
        </w:rPr>
        <w:t>Weijers</w:t>
      </w:r>
    </w:p>
    <w:p w:rsidR="00500C0B" w:rsidRPr="00D65CB0" w:rsidRDefault="00500C0B" w:rsidP="00B04C1B">
      <w:pPr>
        <w:adjustRightInd w:val="0"/>
        <w:snapToGrid w:val="0"/>
        <w:spacing w:after="0"/>
        <w:jc w:val="both"/>
        <w:rPr>
          <w:rFonts w:ascii="Book Antiqua" w:hAnsi="Book Antiqua" w:cs="Times New Roman"/>
          <w:lang w:eastAsia="zh-CN"/>
        </w:rPr>
      </w:pPr>
    </w:p>
    <w:p w:rsidR="007732F9" w:rsidRPr="00D65CB0" w:rsidRDefault="00B21DB4" w:rsidP="00B04C1B">
      <w:pPr>
        <w:adjustRightInd w:val="0"/>
        <w:snapToGrid w:val="0"/>
        <w:spacing w:after="0"/>
        <w:jc w:val="both"/>
        <w:rPr>
          <w:rFonts w:ascii="Book Antiqua" w:hAnsi="Book Antiqua" w:cs="Times New Roman"/>
        </w:rPr>
      </w:pPr>
      <w:r w:rsidRPr="00D65CB0">
        <w:rPr>
          <w:rFonts w:ascii="Book Antiqua" w:hAnsi="Book Antiqua" w:cs="Times New Roman"/>
          <w:b/>
        </w:rPr>
        <w:t>R</w:t>
      </w:r>
      <w:r w:rsidR="007732F9" w:rsidRPr="00D65CB0">
        <w:rPr>
          <w:rFonts w:ascii="Book Antiqua" w:hAnsi="Book Antiqua" w:cs="Times New Roman"/>
          <w:b/>
        </w:rPr>
        <w:t xml:space="preserve">ob </w:t>
      </w:r>
      <w:r w:rsidRPr="00D65CB0">
        <w:rPr>
          <w:rFonts w:ascii="Book Antiqua" w:hAnsi="Book Antiqua" w:cs="Times New Roman"/>
          <w:b/>
        </w:rPr>
        <w:t>NM Weijers,</w:t>
      </w:r>
      <w:r w:rsidRPr="00D65CB0">
        <w:rPr>
          <w:rFonts w:ascii="Book Antiqua" w:hAnsi="Book Antiqua" w:cs="Times New Roman"/>
        </w:rPr>
        <w:t xml:space="preserve"> Teaching Hospital, Onze Lieve Vrouwe Gasthuis, 1090 HA, Amsterdam, The Netherlands</w:t>
      </w:r>
    </w:p>
    <w:p w:rsidR="00205175" w:rsidRPr="00D65CB0" w:rsidRDefault="00205175" w:rsidP="00B04C1B">
      <w:pPr>
        <w:adjustRightInd w:val="0"/>
        <w:snapToGrid w:val="0"/>
        <w:spacing w:after="0"/>
        <w:jc w:val="both"/>
        <w:rPr>
          <w:rFonts w:ascii="Book Antiqua" w:hAnsi="Book Antiqua" w:cs="Times New Roman"/>
        </w:rPr>
      </w:pPr>
    </w:p>
    <w:p w:rsidR="00205175" w:rsidRPr="00D65CB0" w:rsidRDefault="00205175" w:rsidP="00B04C1B">
      <w:pPr>
        <w:adjustRightInd w:val="0"/>
        <w:snapToGrid w:val="0"/>
        <w:spacing w:after="0"/>
        <w:jc w:val="both"/>
        <w:rPr>
          <w:rFonts w:ascii="Book Antiqua" w:hAnsi="Book Antiqua" w:cs="Times New Roman"/>
          <w:lang w:val="en-US"/>
        </w:rPr>
      </w:pPr>
      <w:r w:rsidRPr="00D65CB0">
        <w:rPr>
          <w:rFonts w:ascii="Book Antiqua" w:hAnsi="Book Antiqua" w:cs="Times New Roman"/>
          <w:b/>
          <w:lang w:val="en-US"/>
        </w:rPr>
        <w:t>Author contributions:</w:t>
      </w:r>
      <w:r w:rsidRPr="00D65CB0">
        <w:rPr>
          <w:rFonts w:ascii="Book Antiqua" w:hAnsi="Book Antiqua" w:cs="Times New Roman"/>
          <w:lang w:val="en-US"/>
        </w:rPr>
        <w:t xml:space="preserve">  Weijers RNM solely contributed to this paper. </w:t>
      </w:r>
    </w:p>
    <w:p w:rsidR="00205175" w:rsidRPr="00D65CB0" w:rsidRDefault="00205175" w:rsidP="00B04C1B">
      <w:pPr>
        <w:adjustRightInd w:val="0"/>
        <w:snapToGrid w:val="0"/>
        <w:spacing w:after="0"/>
        <w:jc w:val="both"/>
        <w:rPr>
          <w:rFonts w:ascii="Book Antiqua" w:hAnsi="Book Antiqua" w:cs="Times New Roman"/>
          <w:lang w:val="en-US"/>
        </w:rPr>
      </w:pPr>
    </w:p>
    <w:p w:rsidR="00205175" w:rsidRPr="00D65CB0" w:rsidRDefault="0039263C" w:rsidP="00B04C1B">
      <w:pPr>
        <w:autoSpaceDE w:val="0"/>
        <w:autoSpaceDN w:val="0"/>
        <w:adjustRightInd w:val="0"/>
        <w:snapToGrid w:val="0"/>
        <w:spacing w:after="0"/>
        <w:jc w:val="both"/>
        <w:rPr>
          <w:rFonts w:ascii="Book Antiqua" w:hAnsi="Book Antiqua" w:cs="TimesNewRomanPS-BoldItalicMT"/>
          <w:b/>
          <w:bCs/>
          <w:iCs/>
        </w:rPr>
      </w:pPr>
      <w:r w:rsidRPr="00D65CB0">
        <w:rPr>
          <w:rFonts w:ascii="Book Antiqua" w:hAnsi="Book Antiqua" w:cs="TimesNewRomanPS-BoldItalicMT"/>
          <w:b/>
          <w:bCs/>
          <w:iCs/>
        </w:rPr>
        <w:t>Conflict-of-interest:</w:t>
      </w:r>
      <w:r w:rsidR="00205175" w:rsidRPr="00D65CB0">
        <w:rPr>
          <w:rFonts w:ascii="Book Antiqua" w:hAnsi="Book Antiqua" w:cs="Times New Roman"/>
          <w:lang w:val="en-US"/>
        </w:rPr>
        <w:t xml:space="preserve"> </w:t>
      </w:r>
      <w:r w:rsidR="00DA490B" w:rsidRPr="00D65CB0">
        <w:rPr>
          <w:rFonts w:ascii="Book Antiqua" w:hAnsi="Book Antiqua" w:cs="Times New Roman"/>
          <w:lang w:val="en-US"/>
        </w:rPr>
        <w:t>The author d</w:t>
      </w:r>
      <w:r w:rsidR="00BA55FE" w:rsidRPr="00D65CB0">
        <w:rPr>
          <w:rFonts w:ascii="Book Antiqua" w:hAnsi="Book Antiqua" w:cs="Times New Roman"/>
          <w:lang w:val="en-US"/>
        </w:rPr>
        <w:t>eclare</w:t>
      </w:r>
      <w:r w:rsidR="00DA490B" w:rsidRPr="00D65CB0">
        <w:rPr>
          <w:rFonts w:ascii="Book Antiqua" w:hAnsi="Book Antiqua" w:cs="Times New Roman"/>
          <w:lang w:val="en-US"/>
        </w:rPr>
        <w:t>s</w:t>
      </w:r>
      <w:r w:rsidR="00BA55FE" w:rsidRPr="00D65CB0">
        <w:rPr>
          <w:rFonts w:ascii="Book Antiqua" w:hAnsi="Book Antiqua" w:cs="Times New Roman"/>
          <w:lang w:val="en-US"/>
        </w:rPr>
        <w:t xml:space="preserve"> that</w:t>
      </w:r>
      <w:r w:rsidR="00DA490B" w:rsidRPr="00D65CB0">
        <w:rPr>
          <w:rFonts w:ascii="Book Antiqua" w:hAnsi="Book Antiqua" w:cs="Times New Roman"/>
          <w:lang w:val="en-US"/>
        </w:rPr>
        <w:t xml:space="preserve"> the research was conducted in the absence of any commercial or </w:t>
      </w:r>
      <w:r w:rsidR="00805FAC" w:rsidRPr="00D65CB0">
        <w:rPr>
          <w:rFonts w:ascii="Book Antiqua" w:hAnsi="Book Antiqua" w:cs="Times New Roman"/>
          <w:lang w:val="en-US"/>
        </w:rPr>
        <w:t>financial</w:t>
      </w:r>
      <w:r w:rsidR="00DA490B" w:rsidRPr="00D65CB0">
        <w:rPr>
          <w:rFonts w:ascii="Book Antiqua" w:hAnsi="Book Antiqua" w:cs="Times New Roman"/>
          <w:lang w:val="en-US"/>
        </w:rPr>
        <w:t xml:space="preserve"> relationships that could be constructed as a potential conflict of</w:t>
      </w:r>
      <w:r w:rsidR="00805FAC" w:rsidRPr="00D65CB0">
        <w:rPr>
          <w:rFonts w:ascii="Book Antiqua" w:hAnsi="Book Antiqua" w:cs="Times New Roman"/>
          <w:lang w:val="en-US"/>
        </w:rPr>
        <w:t xml:space="preserve"> interest </w:t>
      </w:r>
      <w:r w:rsidR="00205175" w:rsidRPr="00D65CB0">
        <w:rPr>
          <w:rFonts w:ascii="Book Antiqua" w:hAnsi="Book Antiqua" w:cs="Times New Roman"/>
          <w:lang w:val="en-US"/>
        </w:rPr>
        <w:t xml:space="preserve"> </w:t>
      </w:r>
    </w:p>
    <w:p w:rsidR="007D5C4B" w:rsidRPr="00D65CB0" w:rsidRDefault="007D5C4B" w:rsidP="00B04C1B">
      <w:pPr>
        <w:adjustRightInd w:val="0"/>
        <w:snapToGrid w:val="0"/>
        <w:spacing w:after="0"/>
        <w:jc w:val="both"/>
        <w:rPr>
          <w:rFonts w:ascii="Book Antiqua" w:hAnsi="Book Antiqua" w:cs="Times New Roman"/>
          <w:lang w:val="en-US" w:eastAsia="zh-CN"/>
        </w:rPr>
      </w:pPr>
    </w:p>
    <w:p w:rsidR="0039263C" w:rsidRPr="00D65CB0" w:rsidRDefault="0039263C" w:rsidP="00B04C1B">
      <w:pPr>
        <w:adjustRightInd w:val="0"/>
        <w:snapToGrid w:val="0"/>
        <w:spacing w:after="0"/>
        <w:jc w:val="both"/>
        <w:rPr>
          <w:rFonts w:ascii="Book Antiqua" w:hAnsi="Book Antiqua" w:cs="宋体"/>
        </w:rPr>
      </w:pPr>
      <w:r w:rsidRPr="00D65CB0">
        <w:rPr>
          <w:rFonts w:ascii="Book Antiqua" w:hAnsi="Book Antiqua"/>
          <w:b/>
          <w:color w:val="000000"/>
        </w:rPr>
        <w:t xml:space="preserve">Open-Access: </w:t>
      </w:r>
      <w:r w:rsidRPr="00D65CB0">
        <w:rPr>
          <w:rFonts w:ascii="Book Antiqua" w:hAnsi="Book Antiqua"/>
          <w:color w:val="000000"/>
        </w:rPr>
        <w:t xml:space="preserve">This article is an </w:t>
      </w:r>
      <w:r w:rsidRPr="00D65CB0">
        <w:rPr>
          <w:rFonts w:ascii="Book Antiqua" w:hAnsi="Book Antiqua" w:cs="宋体"/>
        </w:rPr>
        <w:t>open-access</w:t>
      </w:r>
      <w:r w:rsidRPr="00D65CB0">
        <w:rPr>
          <w:rFonts w:ascii="Book Antiqua" w:hAnsi="Book Antiqua" w:cs="宋体" w:hint="eastAsia"/>
        </w:rPr>
        <w:t xml:space="preserve"> </w:t>
      </w:r>
      <w:r w:rsidRPr="00D65CB0">
        <w:rPr>
          <w:rFonts w:ascii="Book Antiqua" w:hAnsi="Book Antiqua" w:cs="宋体"/>
        </w:rPr>
        <w:t>article</w:t>
      </w:r>
      <w:r w:rsidRPr="00D65CB0">
        <w:rPr>
          <w:rFonts w:ascii="Book Antiqua" w:hAnsi="Book Antiqua" w:cs="宋体" w:hint="eastAsia"/>
        </w:rPr>
        <w:t xml:space="preserve"> </w:t>
      </w:r>
      <w:r w:rsidRPr="00D65CB0">
        <w:rPr>
          <w:rFonts w:ascii="Book Antiqua" w:hAnsi="Book Antiqua" w:cs="宋体"/>
        </w:rPr>
        <w:t xml:space="preserve">which </w:t>
      </w:r>
      <w:r w:rsidRPr="00D65CB0">
        <w:rPr>
          <w:rFonts w:ascii="Book Antiqua" w:hAnsi="Book Antiqua" w:cs="宋体" w:hint="eastAsia"/>
        </w:rPr>
        <w:t xml:space="preserve">was </w:t>
      </w:r>
      <w:r w:rsidRPr="00D65CB0">
        <w:rPr>
          <w:rFonts w:ascii="Book Antiqua" w:hAnsi="Book Antiqua"/>
        </w:rPr>
        <w:t xml:space="preserve">selected by an in-house editor and fully peer-reviewed by external reviewers. It </w:t>
      </w:r>
      <w:r w:rsidRPr="00D65CB0">
        <w:rPr>
          <w:rFonts w:ascii="Book Antiqua" w:hAnsi="Book Antiqua" w:hint="eastAsia"/>
        </w:rPr>
        <w:t xml:space="preserve">is </w:t>
      </w:r>
      <w:r w:rsidRPr="00D65CB0">
        <w:rPr>
          <w:rFonts w:ascii="Book Antiqua" w:hAnsi="Book Antiqua" w:cs="宋体"/>
        </w:rPr>
        <w:t>distributed</w:t>
      </w:r>
      <w:r w:rsidRPr="00D65CB0">
        <w:rPr>
          <w:rFonts w:ascii="Book Antiqua" w:hAnsi="Book Antiqua" w:cs="宋体" w:hint="eastAsia"/>
        </w:rPr>
        <w:t xml:space="preserve"> </w:t>
      </w:r>
      <w:r w:rsidRPr="00D65CB0">
        <w:rPr>
          <w:rFonts w:ascii="Book Antiqua" w:hAnsi="Book Antiqua" w:cs="宋体"/>
        </w:rPr>
        <w:t>in</w:t>
      </w:r>
      <w:r w:rsidRPr="00D65CB0">
        <w:rPr>
          <w:rFonts w:ascii="Book Antiqua" w:hAnsi="Book Antiqua" w:cs="宋体" w:hint="eastAsia"/>
        </w:rPr>
        <w:t xml:space="preserve"> </w:t>
      </w:r>
      <w:r w:rsidRPr="00D65CB0">
        <w:rPr>
          <w:rFonts w:ascii="Book Antiqua" w:hAnsi="Book Antiqua" w:cs="宋体"/>
        </w:rPr>
        <w:t>accordance</w:t>
      </w:r>
      <w:r w:rsidRPr="00D65CB0">
        <w:rPr>
          <w:rFonts w:ascii="Book Antiqua" w:hAnsi="Book Antiqua" w:cs="宋体" w:hint="eastAsia"/>
        </w:rPr>
        <w:t xml:space="preserve"> </w:t>
      </w:r>
      <w:r w:rsidRPr="00D65CB0">
        <w:rPr>
          <w:rFonts w:ascii="Book Antiqua" w:hAnsi="Book Antiqua" w:cs="宋体"/>
        </w:rPr>
        <w:t xml:space="preserve">with </w:t>
      </w:r>
      <w:r w:rsidRPr="00D65CB0">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9263C" w:rsidRPr="00D65CB0" w:rsidRDefault="0039263C" w:rsidP="00B04C1B">
      <w:pPr>
        <w:adjustRightInd w:val="0"/>
        <w:snapToGrid w:val="0"/>
        <w:spacing w:after="0"/>
        <w:jc w:val="both"/>
        <w:rPr>
          <w:rFonts w:ascii="Book Antiqua" w:hAnsi="Book Antiqua" w:cs="Times New Roman"/>
          <w:lang w:val="en-US" w:eastAsia="zh-CN"/>
        </w:rPr>
      </w:pPr>
    </w:p>
    <w:p w:rsidR="00BF7AAE" w:rsidRPr="00D65CB0" w:rsidRDefault="00205175" w:rsidP="00B04C1B">
      <w:pPr>
        <w:adjustRightInd w:val="0"/>
        <w:snapToGrid w:val="0"/>
        <w:spacing w:after="0"/>
        <w:jc w:val="both"/>
        <w:rPr>
          <w:rFonts w:ascii="Book Antiqua" w:hAnsi="Book Antiqua" w:cs="Times New Roman"/>
          <w:lang w:val="en-US"/>
        </w:rPr>
      </w:pPr>
      <w:r w:rsidRPr="00D65CB0">
        <w:rPr>
          <w:rFonts w:ascii="Book Antiqua" w:hAnsi="Book Antiqua" w:cs="Times New Roman"/>
          <w:b/>
          <w:lang w:val="en-US"/>
        </w:rPr>
        <w:t xml:space="preserve">Correspondence to: Rob NM Weijers, PhD, </w:t>
      </w:r>
      <w:r w:rsidR="007D5C4B" w:rsidRPr="00B24580">
        <w:rPr>
          <w:rFonts w:ascii="Book Antiqua" w:hAnsi="Book Antiqua" w:cs="Times New Roman"/>
          <w:lang w:val="en-US"/>
        </w:rPr>
        <w:t>Member of</w:t>
      </w:r>
      <w:r w:rsidR="007D5C4B" w:rsidRPr="00D65CB0">
        <w:rPr>
          <w:rFonts w:ascii="Book Antiqua" w:hAnsi="Book Antiqua" w:cs="Times New Roman"/>
          <w:lang w:val="en-US"/>
        </w:rPr>
        <w:t xml:space="preserve"> </w:t>
      </w:r>
      <w:r w:rsidRPr="00D65CB0">
        <w:rPr>
          <w:rFonts w:ascii="Book Antiqua" w:hAnsi="Book Antiqua" w:cs="Times New Roman"/>
          <w:lang w:val="en-US"/>
        </w:rPr>
        <w:t xml:space="preserve">Teaching Hospital, Onze Lieve Vrouwe Gasthuis, Oosterparkstraat 9, PO Box 95500, 1090 HA, Amsterdam, The Netherlands. </w:t>
      </w:r>
      <w:r w:rsidR="00BF7AAE" w:rsidRPr="00D65CB0">
        <w:rPr>
          <w:rFonts w:ascii="Book Antiqua" w:hAnsi="Book Antiqua" w:cs="Times New Roman"/>
          <w:lang w:val="en-US"/>
        </w:rPr>
        <w:t>robw01@xs4all.nl</w:t>
      </w:r>
    </w:p>
    <w:p w:rsidR="0039263C" w:rsidRPr="00D65CB0" w:rsidRDefault="0039263C" w:rsidP="00B04C1B">
      <w:pPr>
        <w:adjustRightInd w:val="0"/>
        <w:snapToGrid w:val="0"/>
        <w:spacing w:after="0"/>
        <w:jc w:val="both"/>
        <w:rPr>
          <w:rFonts w:ascii="Book Antiqua" w:hAnsi="Book Antiqua" w:cs="Times New Roman"/>
          <w:lang w:val="en-US" w:eastAsia="zh-CN"/>
        </w:rPr>
      </w:pPr>
    </w:p>
    <w:p w:rsidR="00555040" w:rsidRPr="00D65CB0" w:rsidRDefault="00555040" w:rsidP="00B04C1B">
      <w:pPr>
        <w:adjustRightInd w:val="0"/>
        <w:snapToGrid w:val="0"/>
        <w:spacing w:after="0"/>
        <w:rPr>
          <w:rFonts w:ascii="Book Antiqua" w:hAnsi="Book Antiqua"/>
          <w:lang w:val="en-GB"/>
        </w:rPr>
      </w:pPr>
      <w:r w:rsidRPr="00D65CB0">
        <w:rPr>
          <w:rFonts w:ascii="Book Antiqua" w:hAnsi="Book Antiqua"/>
          <w:b/>
          <w:lang w:val="en-GB"/>
        </w:rPr>
        <w:t>Telephone:</w:t>
      </w:r>
      <w:r w:rsidRPr="00D65CB0">
        <w:rPr>
          <w:rFonts w:ascii="Book Antiqua" w:hAnsi="Book Antiqua"/>
          <w:lang w:val="en-GB"/>
        </w:rPr>
        <w:t xml:space="preserve"> </w:t>
      </w:r>
      <w:r w:rsidRPr="00D65CB0">
        <w:rPr>
          <w:rFonts w:ascii="Book Antiqua" w:hAnsi="Book Antiqua" w:cs="Times New Roman"/>
          <w:lang w:val="en-US"/>
        </w:rPr>
        <w:t>+31-30-6362637</w:t>
      </w:r>
      <w:r w:rsidRPr="00D65CB0">
        <w:rPr>
          <w:rFonts w:ascii="Book Antiqua" w:hAnsi="Book Antiqua"/>
          <w:lang w:val="en-GB"/>
        </w:rPr>
        <w:t xml:space="preserve"> </w:t>
      </w:r>
    </w:p>
    <w:p w:rsidR="00555040" w:rsidRPr="00D65CB0" w:rsidRDefault="00555040" w:rsidP="00B04C1B">
      <w:pPr>
        <w:adjustRightInd w:val="0"/>
        <w:snapToGrid w:val="0"/>
        <w:spacing w:after="0"/>
        <w:rPr>
          <w:rFonts w:ascii="Book Antiqua" w:hAnsi="Book Antiqua"/>
          <w:b/>
          <w:lang w:eastAsia="zh-CN"/>
        </w:rPr>
      </w:pPr>
      <w:r w:rsidRPr="00D65CB0">
        <w:rPr>
          <w:rFonts w:ascii="Book Antiqua" w:hAnsi="Book Antiqua"/>
          <w:b/>
        </w:rPr>
        <w:lastRenderedPageBreak/>
        <w:t xml:space="preserve">Received: </w:t>
      </w:r>
      <w:r w:rsidR="002946C2" w:rsidRPr="00D65CB0">
        <w:rPr>
          <w:rFonts w:ascii="Book Antiqua" w:hAnsi="Book Antiqua"/>
        </w:rPr>
        <w:t>December</w:t>
      </w:r>
      <w:r w:rsidR="002946C2" w:rsidRPr="00D65CB0">
        <w:rPr>
          <w:rFonts w:ascii="Book Antiqua" w:hAnsi="Book Antiqua" w:hint="eastAsia"/>
          <w:lang w:eastAsia="zh-CN"/>
        </w:rPr>
        <w:t xml:space="preserve"> 14, 2014</w:t>
      </w:r>
    </w:p>
    <w:p w:rsidR="00555040" w:rsidRPr="00D65CB0" w:rsidRDefault="00555040" w:rsidP="00B04C1B">
      <w:pPr>
        <w:adjustRightInd w:val="0"/>
        <w:snapToGrid w:val="0"/>
        <w:spacing w:after="0"/>
        <w:rPr>
          <w:rFonts w:ascii="Book Antiqua" w:hAnsi="Book Antiqua"/>
          <w:b/>
          <w:lang w:eastAsia="zh-CN"/>
        </w:rPr>
      </w:pPr>
      <w:r w:rsidRPr="00D65CB0">
        <w:rPr>
          <w:rFonts w:ascii="Book Antiqua" w:hAnsi="Book Antiqua"/>
          <w:b/>
        </w:rPr>
        <w:t>Peer-review started:</w:t>
      </w:r>
      <w:r w:rsidR="002946C2" w:rsidRPr="00D65CB0">
        <w:rPr>
          <w:rFonts w:ascii="Book Antiqua" w:hAnsi="Book Antiqua" w:hint="eastAsia"/>
          <w:b/>
          <w:lang w:eastAsia="zh-CN"/>
        </w:rPr>
        <w:t xml:space="preserve"> </w:t>
      </w:r>
      <w:r w:rsidR="002946C2" w:rsidRPr="00D65CB0">
        <w:rPr>
          <w:rFonts w:ascii="Book Antiqua" w:hAnsi="Book Antiqua"/>
        </w:rPr>
        <w:t>December</w:t>
      </w:r>
      <w:r w:rsidR="002946C2" w:rsidRPr="00D65CB0">
        <w:rPr>
          <w:rFonts w:ascii="Book Antiqua" w:hAnsi="Book Antiqua" w:hint="eastAsia"/>
          <w:lang w:eastAsia="zh-CN"/>
        </w:rPr>
        <w:t xml:space="preserve"> 17, 2014</w:t>
      </w:r>
    </w:p>
    <w:p w:rsidR="00555040" w:rsidRPr="00D65CB0" w:rsidRDefault="00555040" w:rsidP="00B04C1B">
      <w:pPr>
        <w:adjustRightInd w:val="0"/>
        <w:snapToGrid w:val="0"/>
        <w:spacing w:after="0"/>
        <w:rPr>
          <w:rFonts w:ascii="Book Antiqua" w:hAnsi="Book Antiqua"/>
          <w:b/>
          <w:lang w:eastAsia="zh-CN"/>
        </w:rPr>
      </w:pPr>
      <w:r w:rsidRPr="00D65CB0">
        <w:rPr>
          <w:rFonts w:ascii="Book Antiqua" w:hAnsi="Book Antiqua"/>
          <w:b/>
        </w:rPr>
        <w:t>First decision:</w:t>
      </w:r>
      <w:r w:rsidR="00872C16" w:rsidRPr="00D65CB0">
        <w:rPr>
          <w:rFonts w:ascii="Book Antiqua" w:hAnsi="Book Antiqua" w:hint="eastAsia"/>
          <w:b/>
          <w:lang w:eastAsia="zh-CN"/>
        </w:rPr>
        <w:t xml:space="preserve"> </w:t>
      </w:r>
      <w:r w:rsidR="00872C16" w:rsidRPr="00D65CB0">
        <w:rPr>
          <w:rFonts w:ascii="Book Antiqua" w:hAnsi="Book Antiqua"/>
        </w:rPr>
        <w:t>January</w:t>
      </w:r>
      <w:r w:rsidR="00872C16" w:rsidRPr="00D65CB0">
        <w:rPr>
          <w:rFonts w:ascii="Book Antiqua" w:hAnsi="Book Antiqua" w:hint="eastAsia"/>
          <w:lang w:eastAsia="zh-CN"/>
        </w:rPr>
        <w:t xml:space="preserve"> 20, 2015</w:t>
      </w:r>
    </w:p>
    <w:p w:rsidR="00555040" w:rsidRPr="00D65CB0" w:rsidRDefault="00555040" w:rsidP="00B04C1B">
      <w:pPr>
        <w:adjustRightInd w:val="0"/>
        <w:snapToGrid w:val="0"/>
        <w:spacing w:after="0"/>
        <w:rPr>
          <w:rFonts w:ascii="Book Antiqua" w:hAnsi="Book Antiqua"/>
          <w:b/>
          <w:lang w:eastAsia="zh-CN"/>
        </w:rPr>
      </w:pPr>
      <w:r w:rsidRPr="00D65CB0">
        <w:rPr>
          <w:rFonts w:ascii="Book Antiqua" w:hAnsi="Book Antiqua"/>
          <w:b/>
        </w:rPr>
        <w:t xml:space="preserve">Revised: </w:t>
      </w:r>
      <w:r w:rsidR="00872C16" w:rsidRPr="00D65CB0">
        <w:rPr>
          <w:rFonts w:ascii="Book Antiqua" w:hAnsi="Book Antiqua"/>
        </w:rPr>
        <w:t>January</w:t>
      </w:r>
      <w:r w:rsidR="00872C16" w:rsidRPr="00D65CB0">
        <w:rPr>
          <w:rFonts w:ascii="Book Antiqua" w:hAnsi="Book Antiqua" w:hint="eastAsia"/>
          <w:lang w:eastAsia="zh-CN"/>
        </w:rPr>
        <w:t xml:space="preserve"> 28, 2015</w:t>
      </w:r>
    </w:p>
    <w:p w:rsidR="00555040" w:rsidRPr="00D65CB0" w:rsidRDefault="00555040" w:rsidP="00B04C1B">
      <w:pPr>
        <w:adjustRightInd w:val="0"/>
        <w:snapToGrid w:val="0"/>
        <w:spacing w:after="0"/>
        <w:rPr>
          <w:rFonts w:ascii="Book Antiqua" w:hAnsi="Book Antiqua"/>
          <w:b/>
        </w:rPr>
      </w:pPr>
      <w:r w:rsidRPr="00D65CB0">
        <w:rPr>
          <w:rFonts w:ascii="Book Antiqua" w:hAnsi="Book Antiqua"/>
          <w:b/>
        </w:rPr>
        <w:t xml:space="preserve">Accepted: </w:t>
      </w:r>
      <w:r w:rsidR="00B24580" w:rsidRPr="00B24580">
        <w:rPr>
          <w:rFonts w:ascii="Book Antiqua" w:hAnsi="Book Antiqua"/>
        </w:rPr>
        <w:t>April 1, 2015</w:t>
      </w:r>
    </w:p>
    <w:p w:rsidR="00555040" w:rsidRPr="00D65CB0" w:rsidRDefault="00555040" w:rsidP="00B04C1B">
      <w:pPr>
        <w:adjustRightInd w:val="0"/>
        <w:snapToGrid w:val="0"/>
        <w:spacing w:after="0"/>
        <w:rPr>
          <w:rFonts w:ascii="Book Antiqua" w:hAnsi="Book Antiqua"/>
          <w:b/>
        </w:rPr>
      </w:pPr>
      <w:r w:rsidRPr="00D65CB0">
        <w:rPr>
          <w:rFonts w:ascii="Book Antiqua" w:hAnsi="Book Antiqua"/>
          <w:b/>
        </w:rPr>
        <w:t>Article in press:</w:t>
      </w:r>
    </w:p>
    <w:p w:rsidR="00555040" w:rsidRPr="00D65CB0" w:rsidRDefault="00555040" w:rsidP="00B04C1B">
      <w:pPr>
        <w:adjustRightInd w:val="0"/>
        <w:snapToGrid w:val="0"/>
        <w:spacing w:after="0"/>
        <w:rPr>
          <w:rFonts w:ascii="Book Antiqua" w:hAnsi="Book Antiqua"/>
          <w:b/>
        </w:rPr>
      </w:pPr>
      <w:r w:rsidRPr="00D65CB0">
        <w:rPr>
          <w:rFonts w:ascii="Book Antiqua" w:hAnsi="Book Antiqua"/>
          <w:b/>
        </w:rPr>
        <w:t xml:space="preserve">Published online: </w:t>
      </w:r>
    </w:p>
    <w:p w:rsidR="00205175" w:rsidRPr="00D65CB0" w:rsidRDefault="00205175" w:rsidP="00B04C1B">
      <w:pPr>
        <w:adjustRightInd w:val="0"/>
        <w:snapToGrid w:val="0"/>
        <w:spacing w:after="0"/>
        <w:jc w:val="both"/>
        <w:rPr>
          <w:rFonts w:ascii="Book Antiqua" w:hAnsi="Book Antiqua" w:cs="Times New Roman"/>
          <w:lang w:val="en-US"/>
        </w:rPr>
      </w:pPr>
    </w:p>
    <w:p w:rsidR="002635AA" w:rsidRPr="00D65CB0" w:rsidRDefault="007D5C4B" w:rsidP="00B04C1B">
      <w:pPr>
        <w:adjustRightInd w:val="0"/>
        <w:snapToGrid w:val="0"/>
        <w:spacing w:after="0"/>
        <w:jc w:val="both"/>
        <w:rPr>
          <w:rFonts w:ascii="Book Antiqua" w:hAnsi="Book Antiqua" w:cs="Times New Roman"/>
          <w:b/>
          <w:lang w:val="en-US" w:eastAsia="zh-CN"/>
        </w:rPr>
      </w:pPr>
      <w:r w:rsidRPr="00D65CB0">
        <w:rPr>
          <w:rFonts w:ascii="Book Antiqua" w:hAnsi="Book Antiqua" w:cs="Times New Roman"/>
          <w:b/>
          <w:lang w:val="en-US"/>
        </w:rPr>
        <w:t>Abstract</w:t>
      </w:r>
    </w:p>
    <w:p w:rsidR="007D5C4B" w:rsidRPr="00D65CB0" w:rsidRDefault="007D5C4B" w:rsidP="00B04C1B">
      <w:pPr>
        <w:adjustRightInd w:val="0"/>
        <w:snapToGrid w:val="0"/>
        <w:spacing w:after="0"/>
        <w:jc w:val="both"/>
        <w:rPr>
          <w:rFonts w:ascii="Book Antiqua" w:hAnsi="Book Antiqua" w:cs="Times New Roman"/>
          <w:b/>
          <w:lang w:val="en-US"/>
        </w:rPr>
      </w:pPr>
      <w:r w:rsidRPr="00D65CB0">
        <w:rPr>
          <w:rFonts w:ascii="Book Antiqua" w:hAnsi="Book Antiqua" w:cs="Times New Roman"/>
          <w:lang w:val="en-US"/>
        </w:rPr>
        <w:t xml:space="preserve">A useful parameter for interpreting analyses of membrane fatty-acid composition is the unsaturation index (UI), a measure of unsaturation that is calculated as the mean number of </w:t>
      </w:r>
      <w:r w:rsidRPr="00D65CB0">
        <w:rPr>
          <w:rFonts w:ascii="Book Antiqua" w:hAnsi="Book Antiqua" w:cs="Times New Roman"/>
          <w:i/>
          <w:lang w:val="en-US"/>
        </w:rPr>
        <w:t xml:space="preserve">cis </w:t>
      </w:r>
      <w:r w:rsidRPr="00D65CB0">
        <w:rPr>
          <w:rFonts w:ascii="Book Antiqua" w:hAnsi="Book Antiqua" w:cs="Times New Roman"/>
          <w:lang w:val="en-US"/>
        </w:rPr>
        <w:t xml:space="preserve">double bonds per fatty-acid residue multiplied by 100. The UI is a fundamental parameter that contains information about many membrane biophysical properties and behavior. UI is a crucial index for </w:t>
      </w:r>
      <w:r w:rsidR="008D5068" w:rsidRPr="00D65CB0">
        <w:rPr>
          <w:rFonts w:ascii="Book Antiqua" w:hAnsi="Book Antiqua" w:cs="Times New Roman"/>
          <w:lang w:val="en-US"/>
        </w:rPr>
        <w:t>type 2 diabetes (T2D)</w:t>
      </w:r>
      <w:r w:rsidR="008D5068" w:rsidRPr="00D65CB0">
        <w:rPr>
          <w:rFonts w:ascii="Book Antiqua" w:hAnsi="Book Antiqua" w:cs="Times New Roman" w:hint="eastAsia"/>
          <w:lang w:val="en-US" w:eastAsia="zh-CN"/>
        </w:rPr>
        <w:t xml:space="preserve"> </w:t>
      </w:r>
      <w:r w:rsidRPr="00D65CB0">
        <w:rPr>
          <w:rFonts w:ascii="Book Antiqua" w:hAnsi="Book Antiqua" w:cs="Times New Roman"/>
          <w:lang w:val="en-US"/>
        </w:rPr>
        <w:t>and other disorders, yet it is not properly considered in the scientific community. The goal of the present editorial is to familiarize the scientific T2D community with the UI. The idea of early systemic cell-membrane disease necessitates new thinking and suggests that UI should feature prominently on the research agenda.</w:t>
      </w:r>
    </w:p>
    <w:p w:rsidR="003430F0" w:rsidRPr="00D65CB0" w:rsidRDefault="003430F0" w:rsidP="00B04C1B">
      <w:pPr>
        <w:adjustRightInd w:val="0"/>
        <w:snapToGrid w:val="0"/>
        <w:spacing w:after="0"/>
        <w:jc w:val="both"/>
        <w:rPr>
          <w:rFonts w:ascii="Book Antiqua" w:hAnsi="Book Antiqua" w:cs="Times New Roman"/>
          <w:lang w:val="en-US" w:eastAsia="zh-CN"/>
        </w:rPr>
      </w:pPr>
    </w:p>
    <w:p w:rsidR="00BF7AAE" w:rsidRPr="00D65CB0" w:rsidRDefault="003B3CB1" w:rsidP="00B04C1B">
      <w:pPr>
        <w:adjustRightInd w:val="0"/>
        <w:snapToGrid w:val="0"/>
        <w:spacing w:after="0"/>
        <w:jc w:val="both"/>
        <w:rPr>
          <w:rFonts w:ascii="Book Antiqua" w:hAnsi="Book Antiqua" w:cs="Times New Roman"/>
          <w:b/>
          <w:lang w:val="en-US"/>
        </w:rPr>
      </w:pPr>
      <w:r w:rsidRPr="00D65CB0">
        <w:rPr>
          <w:rFonts w:ascii="Book Antiqua" w:hAnsi="Book Antiqua" w:cs="Times New Roman"/>
          <w:b/>
          <w:lang w:val="en-US"/>
        </w:rPr>
        <w:t>Key</w:t>
      </w:r>
      <w:r w:rsidR="00736209" w:rsidRPr="00D65CB0">
        <w:rPr>
          <w:rFonts w:ascii="Book Antiqua" w:hAnsi="Book Antiqua" w:cs="Times New Roman"/>
          <w:b/>
          <w:lang w:val="en-US"/>
        </w:rPr>
        <w:t xml:space="preserve"> </w:t>
      </w:r>
      <w:r w:rsidRPr="00D65CB0">
        <w:rPr>
          <w:rFonts w:ascii="Book Antiqua" w:hAnsi="Book Antiqua" w:cs="Times New Roman"/>
          <w:b/>
          <w:lang w:val="en-US"/>
        </w:rPr>
        <w:t xml:space="preserve">words: </w:t>
      </w:r>
      <w:r w:rsidRPr="00D65CB0">
        <w:rPr>
          <w:rFonts w:ascii="Book Antiqua" w:hAnsi="Book Antiqua" w:cs="Times New Roman"/>
          <w:lang w:val="en-US"/>
        </w:rPr>
        <w:t>Type 2 diabetes</w:t>
      </w:r>
      <w:r w:rsidR="00B21DB4" w:rsidRPr="00D65CB0">
        <w:rPr>
          <w:rFonts w:ascii="Book Antiqua" w:hAnsi="Book Antiqua" w:cs="Times New Roman"/>
          <w:lang w:val="en-US"/>
        </w:rPr>
        <w:t>; C</w:t>
      </w:r>
      <w:r w:rsidR="00516212" w:rsidRPr="00D65CB0">
        <w:rPr>
          <w:rFonts w:ascii="Book Antiqua" w:hAnsi="Book Antiqua" w:cs="Times New Roman"/>
          <w:lang w:val="en-US"/>
        </w:rPr>
        <w:t xml:space="preserve">ell </w:t>
      </w:r>
      <w:r w:rsidRPr="00D65CB0">
        <w:rPr>
          <w:rFonts w:ascii="Book Antiqua" w:hAnsi="Book Antiqua" w:cs="Times New Roman"/>
          <w:lang w:val="en-US"/>
        </w:rPr>
        <w:t>membrane</w:t>
      </w:r>
      <w:r w:rsidR="00B21DB4" w:rsidRPr="00D65CB0">
        <w:rPr>
          <w:rFonts w:ascii="Book Antiqua" w:hAnsi="Book Antiqua" w:cs="Times New Roman"/>
          <w:lang w:val="en-US"/>
        </w:rPr>
        <w:t>;</w:t>
      </w:r>
      <w:r w:rsidRPr="00D65CB0">
        <w:rPr>
          <w:rFonts w:ascii="Book Antiqua" w:hAnsi="Book Antiqua" w:cs="Times New Roman"/>
          <w:lang w:val="en-US"/>
        </w:rPr>
        <w:t xml:space="preserve"> </w:t>
      </w:r>
      <w:r w:rsidR="00B21DB4" w:rsidRPr="00D65CB0">
        <w:rPr>
          <w:rFonts w:ascii="Book Antiqua" w:hAnsi="Book Antiqua" w:cs="Times New Roman"/>
          <w:lang w:val="en-US"/>
        </w:rPr>
        <w:t>U</w:t>
      </w:r>
      <w:r w:rsidRPr="00D65CB0">
        <w:rPr>
          <w:rFonts w:ascii="Book Antiqua" w:hAnsi="Book Antiqua" w:cs="Times New Roman"/>
          <w:lang w:val="en-US"/>
        </w:rPr>
        <w:t>nsaturation index</w:t>
      </w:r>
      <w:r w:rsidR="00B21DB4" w:rsidRPr="00D65CB0">
        <w:rPr>
          <w:rFonts w:ascii="Book Antiqua" w:hAnsi="Book Antiqua" w:cs="Times New Roman"/>
          <w:lang w:val="en-US"/>
        </w:rPr>
        <w:t>; P</w:t>
      </w:r>
      <w:r w:rsidR="00B24580">
        <w:rPr>
          <w:rFonts w:ascii="Book Antiqua" w:hAnsi="Book Antiqua" w:cs="Times New Roman"/>
          <w:lang w:val="en-US"/>
        </w:rPr>
        <w:t>hospholipid;</w:t>
      </w:r>
      <w:r w:rsidR="00F416AA" w:rsidRPr="00D65CB0">
        <w:rPr>
          <w:rFonts w:ascii="Book Antiqua" w:hAnsi="Book Antiqua" w:cs="Times New Roman"/>
          <w:lang w:val="en-US"/>
        </w:rPr>
        <w:t xml:space="preserve"> </w:t>
      </w:r>
      <w:r w:rsidR="00B21DB4" w:rsidRPr="00D65CB0">
        <w:rPr>
          <w:rFonts w:ascii="Book Antiqua" w:hAnsi="Book Antiqua" w:cs="Times New Roman"/>
          <w:lang w:val="en-US"/>
        </w:rPr>
        <w:t>F</w:t>
      </w:r>
      <w:r w:rsidR="00F416AA" w:rsidRPr="00D65CB0">
        <w:rPr>
          <w:rFonts w:ascii="Book Antiqua" w:hAnsi="Book Antiqua" w:cs="Times New Roman"/>
          <w:lang w:val="en-US"/>
        </w:rPr>
        <w:t>atty acid</w:t>
      </w:r>
      <w:r w:rsidRPr="00D65CB0">
        <w:rPr>
          <w:rFonts w:ascii="Book Antiqua" w:hAnsi="Book Antiqua" w:cs="Times New Roman"/>
          <w:b/>
          <w:lang w:val="en-US"/>
        </w:rPr>
        <w:t xml:space="preserve"> </w:t>
      </w:r>
    </w:p>
    <w:p w:rsidR="00BF7AAE" w:rsidRPr="00D65CB0" w:rsidRDefault="00B24580" w:rsidP="00B24580">
      <w:pPr>
        <w:tabs>
          <w:tab w:val="left" w:pos="7987"/>
        </w:tabs>
        <w:adjustRightInd w:val="0"/>
        <w:snapToGrid w:val="0"/>
        <w:spacing w:after="0"/>
        <w:jc w:val="both"/>
        <w:rPr>
          <w:rFonts w:ascii="Book Antiqua" w:hAnsi="Book Antiqua" w:cs="Times New Roman"/>
          <w:lang w:val="en-US"/>
        </w:rPr>
      </w:pPr>
      <w:r>
        <w:rPr>
          <w:rFonts w:ascii="Book Antiqua" w:hAnsi="Book Antiqua" w:cs="Times New Roman"/>
          <w:lang w:val="en-US"/>
        </w:rPr>
        <w:tab/>
      </w:r>
    </w:p>
    <w:p w:rsidR="00B55C8F" w:rsidRPr="00D65CB0" w:rsidRDefault="00B55C8F" w:rsidP="00B04C1B">
      <w:pPr>
        <w:adjustRightInd w:val="0"/>
        <w:snapToGrid w:val="0"/>
        <w:spacing w:after="0"/>
        <w:rPr>
          <w:rFonts w:ascii="Book Antiqua" w:hAnsi="Book Antiqua"/>
          <w:b/>
        </w:rPr>
      </w:pPr>
      <w:r w:rsidRPr="00D65CB0">
        <w:rPr>
          <w:rFonts w:ascii="Book Antiqua" w:hAnsi="Book Antiqua" w:cs="Tahoma" w:hint="eastAsia"/>
          <w:b/>
          <w:lang w:eastAsia="ja-JP"/>
        </w:rPr>
        <w:t>©</w:t>
      </w:r>
      <w:r w:rsidRPr="00D65CB0">
        <w:rPr>
          <w:rFonts w:ascii="Book Antiqua" w:hAnsi="Book Antiqua" w:cs="Tahoma"/>
          <w:b/>
          <w:lang w:eastAsia="ja-JP"/>
        </w:rPr>
        <w:t xml:space="preserve"> The Author(s) 2015. </w:t>
      </w:r>
      <w:r w:rsidRPr="00D65CB0">
        <w:rPr>
          <w:rFonts w:ascii="Book Antiqua" w:hAnsi="Book Antiqua" w:cs="Tahoma"/>
          <w:lang w:eastAsia="ja-JP"/>
        </w:rPr>
        <w:t>Published by Baishideng Publishing Group Inc. All rights reserved.</w:t>
      </w:r>
    </w:p>
    <w:p w:rsidR="00B55C8F" w:rsidRPr="00D65CB0" w:rsidRDefault="00B55C8F" w:rsidP="00B04C1B">
      <w:pPr>
        <w:adjustRightInd w:val="0"/>
        <w:snapToGrid w:val="0"/>
        <w:spacing w:after="0"/>
        <w:rPr>
          <w:rFonts w:ascii="Book Antiqua" w:eastAsia="ArialMT" w:hAnsi="Book Antiqua"/>
          <w:lang w:val="en-GB"/>
        </w:rPr>
      </w:pPr>
    </w:p>
    <w:p w:rsidR="00BF7AAE" w:rsidRPr="00D65CB0" w:rsidRDefault="00B55C8F" w:rsidP="00B04C1B">
      <w:pPr>
        <w:adjustRightInd w:val="0"/>
        <w:snapToGrid w:val="0"/>
        <w:spacing w:after="0"/>
        <w:jc w:val="both"/>
        <w:rPr>
          <w:rFonts w:ascii="Book Antiqua" w:hAnsi="Book Antiqua"/>
          <w:lang w:val="en-GB" w:eastAsia="zh-CN"/>
        </w:rPr>
      </w:pPr>
      <w:r w:rsidRPr="00D65CB0">
        <w:rPr>
          <w:rFonts w:ascii="Book Antiqua" w:eastAsia="ArialMT" w:hAnsi="Book Antiqua"/>
          <w:b/>
          <w:lang w:val="en-GB"/>
        </w:rPr>
        <w:t>Core tip</w:t>
      </w:r>
      <w:r w:rsidRPr="00D65CB0">
        <w:rPr>
          <w:rFonts w:ascii="Book Antiqua" w:hAnsi="Book Antiqua"/>
          <w:b/>
          <w:lang w:val="en-GB"/>
        </w:rPr>
        <w:t>:</w:t>
      </w:r>
      <w:r w:rsidR="002635AA" w:rsidRPr="00D65CB0">
        <w:t xml:space="preserve"> </w:t>
      </w:r>
      <w:r w:rsidR="002635AA" w:rsidRPr="00D65CB0">
        <w:rPr>
          <w:rFonts w:ascii="Book Antiqua" w:hAnsi="Book Antiqua"/>
          <w:lang w:val="en-GB"/>
        </w:rPr>
        <w:t xml:space="preserve">A useful parameter for interpreting analyses of membrane fatty-acid composition is the unsaturation index (UI), a mesure of unsaturationthat is calculated as the mean number of cis double bonds per fatty-acid residue multiplied by 100.The UI is a fundamental parameter that contains information about many membrane biophysical properties and behaviour. UI is a crucial index for </w:t>
      </w:r>
      <w:r w:rsidR="003E5D59" w:rsidRPr="00D65CB0">
        <w:rPr>
          <w:rFonts w:ascii="Book Antiqua" w:hAnsi="Book Antiqua" w:cs="Times New Roman"/>
          <w:lang w:val="en-US"/>
        </w:rPr>
        <w:t>type 2 diabetes (T2D)</w:t>
      </w:r>
      <w:r w:rsidR="003E5D59" w:rsidRPr="00D65CB0">
        <w:rPr>
          <w:rFonts w:ascii="Book Antiqua" w:hAnsi="Book Antiqua" w:cs="Times New Roman" w:hint="eastAsia"/>
          <w:lang w:val="en-US" w:eastAsia="zh-CN"/>
        </w:rPr>
        <w:t xml:space="preserve"> </w:t>
      </w:r>
      <w:r w:rsidR="002635AA" w:rsidRPr="00D65CB0">
        <w:rPr>
          <w:rFonts w:ascii="Book Antiqua" w:hAnsi="Book Antiqua"/>
          <w:lang w:val="en-GB"/>
        </w:rPr>
        <w:t>and other disorders, yet it is not properly considered in the scientific community. The goal of the present editorial is to familiarize the scientific T2D community with the UI.</w:t>
      </w:r>
    </w:p>
    <w:p w:rsidR="00B55C8F" w:rsidRPr="00D65CB0" w:rsidRDefault="00B55C8F" w:rsidP="00B04C1B">
      <w:pPr>
        <w:adjustRightInd w:val="0"/>
        <w:snapToGrid w:val="0"/>
        <w:spacing w:after="0"/>
        <w:jc w:val="both"/>
        <w:rPr>
          <w:rFonts w:ascii="Book Antiqua" w:hAnsi="Book Antiqua" w:cs="Times New Roman"/>
          <w:lang w:val="en-US" w:eastAsia="zh-CN"/>
        </w:rPr>
      </w:pPr>
    </w:p>
    <w:p w:rsidR="002635AA" w:rsidRPr="00D65CB0" w:rsidRDefault="002635AA" w:rsidP="00B04C1B">
      <w:pPr>
        <w:adjustRightInd w:val="0"/>
        <w:snapToGrid w:val="0"/>
        <w:spacing w:after="0"/>
        <w:rPr>
          <w:lang w:eastAsia="zh-CN"/>
        </w:rPr>
      </w:pPr>
      <w:r w:rsidRPr="00D65CB0">
        <w:rPr>
          <w:rFonts w:ascii="Book Antiqua" w:hAnsi="Book Antiqua" w:cs="Times New Roman"/>
          <w:lang w:val="en-US"/>
        </w:rPr>
        <w:t>Weijers RNM.</w:t>
      </w:r>
      <w:r w:rsidRPr="00D65CB0">
        <w:rPr>
          <w:rFonts w:hint="eastAsia"/>
          <w:lang w:eastAsia="zh-CN"/>
        </w:rPr>
        <w:t xml:space="preserve"> </w:t>
      </w:r>
      <w:r w:rsidRPr="00D65CB0">
        <w:rPr>
          <w:rFonts w:ascii="Book Antiqua" w:hAnsi="Book Antiqua" w:cs="Times New Roman"/>
          <w:lang w:val="en-US"/>
        </w:rPr>
        <w:t xml:space="preserve">Unsaturation index and type 2 diabetes: </w:t>
      </w:r>
      <w:r w:rsidRPr="00D65CB0">
        <w:rPr>
          <w:rFonts w:ascii="Book Antiqua" w:hAnsi="Book Antiqua" w:cs="Times New Roman"/>
          <w:caps/>
          <w:lang w:val="en-US"/>
        </w:rPr>
        <w:t>u</w:t>
      </w:r>
      <w:r w:rsidRPr="00D65CB0">
        <w:rPr>
          <w:rFonts w:ascii="Book Antiqua" w:hAnsi="Book Antiqua" w:cs="Times New Roman"/>
          <w:lang w:val="en-US"/>
        </w:rPr>
        <w:t>nknown, unloved</w:t>
      </w:r>
      <w:r w:rsidRPr="00D65CB0">
        <w:rPr>
          <w:rFonts w:ascii="Book Antiqua" w:hAnsi="Book Antiqua" w:cs="Times New Roman" w:hint="eastAsia"/>
          <w:lang w:val="en-US" w:eastAsia="zh-CN"/>
        </w:rPr>
        <w:t>.</w:t>
      </w:r>
      <w:r w:rsidR="00E416B3" w:rsidRPr="00D65CB0">
        <w:rPr>
          <w:rFonts w:ascii="Book Antiqua" w:hAnsi="Book Antiqua" w:cs="Times New Roman" w:hint="eastAsia"/>
          <w:lang w:val="en-US" w:eastAsia="zh-CN"/>
        </w:rPr>
        <w:t xml:space="preserve"> </w:t>
      </w:r>
      <w:r w:rsidR="00E416B3" w:rsidRPr="00D65CB0">
        <w:rPr>
          <w:rFonts w:ascii="Book Antiqua" w:hAnsi="Book Antiqua" w:cs="Times New Roman"/>
          <w:i/>
          <w:lang w:val="en-US" w:eastAsia="zh-CN"/>
        </w:rPr>
        <w:t>World J Meta-Anal</w:t>
      </w:r>
      <w:r w:rsidR="00E416B3" w:rsidRPr="00D65CB0">
        <w:rPr>
          <w:rFonts w:ascii="Book Antiqua" w:hAnsi="Book Antiqua" w:cs="Times New Roman" w:hint="eastAsia"/>
          <w:i/>
          <w:lang w:val="en-US" w:eastAsia="zh-CN"/>
        </w:rPr>
        <w:t xml:space="preserve"> </w:t>
      </w:r>
      <w:r w:rsidR="00E416B3" w:rsidRPr="00D65CB0">
        <w:rPr>
          <w:rFonts w:ascii="Book Antiqua" w:hAnsi="Book Antiqua" w:cs="Times New Roman" w:hint="eastAsia"/>
          <w:lang w:val="en-US" w:eastAsia="zh-CN"/>
        </w:rPr>
        <w:t>2015; In press</w:t>
      </w:r>
    </w:p>
    <w:p w:rsidR="002635AA" w:rsidRPr="00D65CB0" w:rsidRDefault="002635AA" w:rsidP="00B04C1B">
      <w:pPr>
        <w:adjustRightInd w:val="0"/>
        <w:snapToGrid w:val="0"/>
        <w:spacing w:after="0"/>
        <w:jc w:val="both"/>
        <w:rPr>
          <w:rFonts w:ascii="Book Antiqua" w:hAnsi="Book Antiqua" w:cs="Times New Roman"/>
          <w:lang w:val="en-US" w:eastAsia="zh-CN"/>
        </w:rPr>
      </w:pPr>
    </w:p>
    <w:p w:rsidR="00293988" w:rsidRPr="00D65CB0" w:rsidRDefault="004857ED" w:rsidP="00B04C1B">
      <w:pPr>
        <w:adjustRightInd w:val="0"/>
        <w:snapToGrid w:val="0"/>
        <w:spacing w:after="0"/>
        <w:jc w:val="both"/>
        <w:rPr>
          <w:rFonts w:ascii="Book Antiqua" w:hAnsi="Book Antiqua" w:cs="Times New Roman"/>
          <w:lang w:val="en-US"/>
        </w:rPr>
      </w:pPr>
      <w:r w:rsidRPr="00D65CB0">
        <w:rPr>
          <w:rFonts w:ascii="Book Antiqua" w:hAnsi="Book Antiqua" w:cs="Times New Roman"/>
          <w:lang w:val="en-US"/>
        </w:rPr>
        <w:t xml:space="preserve">A </w:t>
      </w:r>
      <w:r w:rsidR="00C33DAF" w:rsidRPr="00D65CB0">
        <w:rPr>
          <w:rFonts w:ascii="Book Antiqua" w:hAnsi="Book Antiqua" w:cs="Times New Roman"/>
          <w:lang w:val="en-US"/>
        </w:rPr>
        <w:t>use</w:t>
      </w:r>
      <w:r w:rsidR="00B20FB0" w:rsidRPr="00D65CB0">
        <w:rPr>
          <w:rFonts w:ascii="Book Antiqua" w:hAnsi="Book Antiqua" w:cs="Times New Roman"/>
          <w:lang w:val="en-US"/>
        </w:rPr>
        <w:t>ful</w:t>
      </w:r>
      <w:r w:rsidR="00922BE5" w:rsidRPr="00D65CB0">
        <w:rPr>
          <w:rFonts w:ascii="Book Antiqua" w:hAnsi="Book Antiqua" w:cs="Times New Roman"/>
          <w:lang w:val="en-US"/>
        </w:rPr>
        <w:t xml:space="preserve"> parameter</w:t>
      </w:r>
      <w:r w:rsidRPr="00D65CB0">
        <w:rPr>
          <w:rFonts w:ascii="Book Antiqua" w:hAnsi="Book Antiqua" w:cs="Times New Roman"/>
          <w:lang w:val="en-US"/>
        </w:rPr>
        <w:t xml:space="preserve"> </w:t>
      </w:r>
      <w:r w:rsidR="0038304D" w:rsidRPr="00D65CB0">
        <w:rPr>
          <w:rFonts w:ascii="Book Antiqua" w:hAnsi="Book Antiqua" w:cs="Times New Roman"/>
          <w:lang w:val="en-US"/>
        </w:rPr>
        <w:t>for interpreting analys</w:t>
      </w:r>
      <w:r w:rsidR="00471158" w:rsidRPr="00D65CB0">
        <w:rPr>
          <w:rFonts w:ascii="Book Antiqua" w:hAnsi="Book Antiqua" w:cs="Times New Roman"/>
          <w:lang w:val="en-US"/>
        </w:rPr>
        <w:t>e</w:t>
      </w:r>
      <w:r w:rsidR="0038304D" w:rsidRPr="00D65CB0">
        <w:rPr>
          <w:rFonts w:ascii="Book Antiqua" w:hAnsi="Book Antiqua" w:cs="Times New Roman"/>
          <w:lang w:val="en-US"/>
        </w:rPr>
        <w:t>s of membrane fatty</w:t>
      </w:r>
      <w:r w:rsidR="00471158" w:rsidRPr="00D65CB0">
        <w:rPr>
          <w:rFonts w:ascii="Book Antiqua" w:hAnsi="Book Antiqua" w:cs="Times New Roman"/>
          <w:lang w:val="en-US"/>
        </w:rPr>
        <w:t>-</w:t>
      </w:r>
      <w:r w:rsidR="0038304D" w:rsidRPr="00D65CB0">
        <w:rPr>
          <w:rFonts w:ascii="Book Antiqua" w:hAnsi="Book Antiqua" w:cs="Times New Roman"/>
          <w:lang w:val="en-US"/>
        </w:rPr>
        <w:t>acid composition is the unsaturation index</w:t>
      </w:r>
      <w:r w:rsidR="00471158" w:rsidRPr="00D65CB0">
        <w:rPr>
          <w:rFonts w:ascii="Book Antiqua" w:hAnsi="Book Antiqua" w:cs="Times New Roman"/>
          <w:lang w:val="en-US"/>
        </w:rPr>
        <w:t xml:space="preserve"> (U</w:t>
      </w:r>
      <w:r w:rsidR="003A7B18" w:rsidRPr="00D65CB0">
        <w:rPr>
          <w:rFonts w:ascii="Book Antiqua" w:hAnsi="Book Antiqua" w:cs="Times New Roman"/>
          <w:lang w:val="en-US"/>
        </w:rPr>
        <w:t>I)</w:t>
      </w:r>
      <w:r w:rsidR="0038304D" w:rsidRPr="00D65CB0">
        <w:rPr>
          <w:rFonts w:ascii="Book Antiqua" w:hAnsi="Book Antiqua" w:cs="Times New Roman"/>
          <w:lang w:val="en-US"/>
        </w:rPr>
        <w:t>, a measure of unsaturation</w:t>
      </w:r>
      <w:r w:rsidR="00471158" w:rsidRPr="00D65CB0">
        <w:rPr>
          <w:rFonts w:ascii="Book Antiqua" w:hAnsi="Book Antiqua" w:cs="Times New Roman"/>
          <w:lang w:val="en-US"/>
        </w:rPr>
        <w:t xml:space="preserve"> that is</w:t>
      </w:r>
      <w:r w:rsidR="0038304D" w:rsidRPr="00D65CB0">
        <w:rPr>
          <w:rFonts w:ascii="Book Antiqua" w:hAnsi="Book Antiqua" w:cs="Times New Roman"/>
          <w:lang w:val="en-US"/>
        </w:rPr>
        <w:t xml:space="preserve"> calculated as the mean number of </w:t>
      </w:r>
      <w:r w:rsidR="003A7B18" w:rsidRPr="00D65CB0">
        <w:rPr>
          <w:rFonts w:ascii="Book Antiqua" w:hAnsi="Book Antiqua" w:cs="Times New Roman"/>
          <w:i/>
          <w:lang w:val="en-US"/>
        </w:rPr>
        <w:t xml:space="preserve">cis </w:t>
      </w:r>
      <w:r w:rsidR="0038304D" w:rsidRPr="00D65CB0">
        <w:rPr>
          <w:rFonts w:ascii="Book Antiqua" w:hAnsi="Book Antiqua" w:cs="Times New Roman"/>
          <w:lang w:val="en-US"/>
        </w:rPr>
        <w:t>double bonds per fatty</w:t>
      </w:r>
      <w:r w:rsidR="00D01D3C" w:rsidRPr="00D65CB0">
        <w:rPr>
          <w:rFonts w:ascii="Book Antiqua" w:hAnsi="Book Antiqua" w:cs="Times New Roman"/>
          <w:lang w:val="en-US"/>
        </w:rPr>
        <w:t>-</w:t>
      </w:r>
      <w:r w:rsidR="0038304D" w:rsidRPr="00D65CB0">
        <w:rPr>
          <w:rFonts w:ascii="Book Antiqua" w:hAnsi="Book Antiqua" w:cs="Times New Roman"/>
          <w:lang w:val="en-US"/>
        </w:rPr>
        <w:t>acid residue multiplied by 100</w:t>
      </w:r>
      <w:r w:rsidR="005204CD" w:rsidRPr="00D65CB0">
        <w:rPr>
          <w:rFonts w:ascii="Book Antiqua" w:hAnsi="Book Antiqua" w:cs="Times New Roman"/>
          <w:vertAlign w:val="superscript"/>
          <w:lang w:val="en-US"/>
        </w:rPr>
        <w:t>[</w:t>
      </w:r>
      <w:r w:rsidR="0033071D" w:rsidRPr="00D65CB0">
        <w:rPr>
          <w:rFonts w:ascii="Book Antiqua" w:hAnsi="Book Antiqua" w:cs="Times New Roman"/>
          <w:vertAlign w:val="superscript"/>
          <w:lang w:val="en-US"/>
        </w:rPr>
        <w:t>1</w:t>
      </w:r>
      <w:r w:rsidR="005204CD" w:rsidRPr="00D65CB0">
        <w:rPr>
          <w:rFonts w:ascii="Book Antiqua" w:hAnsi="Book Antiqua" w:cs="Times New Roman"/>
          <w:vertAlign w:val="superscript"/>
          <w:lang w:val="en-US"/>
        </w:rPr>
        <w:t>]</w:t>
      </w:r>
      <w:r w:rsidR="0038304D" w:rsidRPr="00D65CB0">
        <w:rPr>
          <w:rFonts w:ascii="Book Antiqua" w:hAnsi="Book Antiqua" w:cs="Times New Roman"/>
          <w:lang w:val="en-US"/>
        </w:rPr>
        <w:t xml:space="preserve">. </w:t>
      </w:r>
      <w:r w:rsidR="003A7B18" w:rsidRPr="00D65CB0">
        <w:rPr>
          <w:rFonts w:ascii="Book Antiqua" w:hAnsi="Book Antiqua" w:cs="Times New Roman"/>
          <w:lang w:val="en-US"/>
        </w:rPr>
        <w:t>Th</w:t>
      </w:r>
      <w:r w:rsidR="00471158" w:rsidRPr="00D65CB0">
        <w:rPr>
          <w:rFonts w:ascii="Book Antiqua" w:hAnsi="Book Antiqua" w:cs="Times New Roman"/>
          <w:lang w:val="en-US"/>
        </w:rPr>
        <w:t>is</w:t>
      </w:r>
      <w:r w:rsidR="003A7B18" w:rsidRPr="00D65CB0">
        <w:rPr>
          <w:rFonts w:ascii="Book Antiqua" w:hAnsi="Book Antiqua" w:cs="Times New Roman"/>
          <w:lang w:val="en-US"/>
        </w:rPr>
        <w:t xml:space="preserve"> parameter characterizes a phospholipid bilayer and describes</w:t>
      </w:r>
      <w:r w:rsidR="00EA5D55" w:rsidRPr="00D65CB0">
        <w:rPr>
          <w:rFonts w:ascii="Book Antiqua" w:hAnsi="Book Antiqua" w:cs="Times New Roman"/>
          <w:lang w:val="en-US"/>
        </w:rPr>
        <w:t xml:space="preserve"> the fluidity, or</w:t>
      </w:r>
      <w:r w:rsidR="003A7B18" w:rsidRPr="00D65CB0">
        <w:rPr>
          <w:rFonts w:ascii="Book Antiqua" w:hAnsi="Book Antiqua" w:cs="Times New Roman"/>
          <w:lang w:val="en-US"/>
        </w:rPr>
        <w:t xml:space="preserve"> flexibility</w:t>
      </w:r>
      <w:r w:rsidR="00EA5D55" w:rsidRPr="00D65CB0">
        <w:rPr>
          <w:rFonts w:ascii="Book Antiqua" w:hAnsi="Book Antiqua" w:cs="Times New Roman"/>
          <w:lang w:val="en-US"/>
        </w:rPr>
        <w:t>,</w:t>
      </w:r>
      <w:r w:rsidR="003A7B18" w:rsidRPr="00D65CB0">
        <w:rPr>
          <w:rFonts w:ascii="Book Antiqua" w:hAnsi="Book Antiqua" w:cs="Times New Roman"/>
          <w:lang w:val="en-US"/>
        </w:rPr>
        <w:t xml:space="preserve"> of a biological membrane.</w:t>
      </w:r>
      <w:r w:rsidR="00377FE2" w:rsidRPr="00D65CB0">
        <w:rPr>
          <w:rFonts w:ascii="Book Antiqua" w:hAnsi="Book Antiqua" w:cs="Times New Roman"/>
          <w:lang w:val="en-US"/>
        </w:rPr>
        <w:t xml:space="preserve"> As the UI increases, so does the distance between </w:t>
      </w:r>
      <w:r w:rsidR="00261AAB" w:rsidRPr="00D65CB0">
        <w:rPr>
          <w:rFonts w:ascii="Book Antiqua" w:hAnsi="Book Antiqua" w:cs="Times New Roman"/>
          <w:lang w:val="en-US"/>
        </w:rPr>
        <w:t>plasma</w:t>
      </w:r>
      <w:r w:rsidR="00471158" w:rsidRPr="00D65CB0">
        <w:rPr>
          <w:rFonts w:ascii="Book Antiqua" w:hAnsi="Book Antiqua" w:cs="Times New Roman"/>
          <w:lang w:val="en-US"/>
        </w:rPr>
        <w:t>-</w:t>
      </w:r>
      <w:r w:rsidR="00377FE2" w:rsidRPr="00D65CB0">
        <w:rPr>
          <w:rFonts w:ascii="Book Antiqua" w:hAnsi="Book Antiqua" w:cs="Times New Roman"/>
          <w:lang w:val="en-US"/>
        </w:rPr>
        <w:t>membrane fatty</w:t>
      </w:r>
      <w:r w:rsidR="00471158" w:rsidRPr="00D65CB0">
        <w:rPr>
          <w:rFonts w:ascii="Book Antiqua" w:hAnsi="Book Antiqua" w:cs="Times New Roman"/>
          <w:lang w:val="en-US"/>
        </w:rPr>
        <w:t>-</w:t>
      </w:r>
      <w:r w:rsidR="00377FE2" w:rsidRPr="00D65CB0">
        <w:rPr>
          <w:rFonts w:ascii="Book Antiqua" w:hAnsi="Book Antiqua" w:cs="Times New Roman"/>
          <w:lang w:val="en-US"/>
        </w:rPr>
        <w:t>acyl chains</w:t>
      </w:r>
      <w:r w:rsidR="00471158" w:rsidRPr="00D65CB0">
        <w:rPr>
          <w:rFonts w:ascii="Book Antiqua" w:hAnsi="Book Antiqua" w:cs="Times New Roman"/>
          <w:lang w:val="en-US"/>
        </w:rPr>
        <w:t>,</w:t>
      </w:r>
      <w:r w:rsidR="00261AAB" w:rsidRPr="00D65CB0">
        <w:rPr>
          <w:rFonts w:ascii="Book Antiqua" w:hAnsi="Book Antiqua" w:cs="Times New Roman"/>
          <w:lang w:val="en-US"/>
        </w:rPr>
        <w:t xml:space="preserve"> decreas</w:t>
      </w:r>
      <w:r w:rsidR="00471158" w:rsidRPr="00D65CB0">
        <w:rPr>
          <w:rFonts w:ascii="Book Antiqua" w:hAnsi="Book Antiqua" w:cs="Times New Roman"/>
          <w:lang w:val="en-US"/>
        </w:rPr>
        <w:t>ing</w:t>
      </w:r>
      <w:r w:rsidR="00261AAB" w:rsidRPr="00D65CB0">
        <w:rPr>
          <w:rFonts w:ascii="Book Antiqua" w:hAnsi="Book Antiqua" w:cs="Times New Roman"/>
          <w:lang w:val="en-US"/>
        </w:rPr>
        <w:t xml:space="preserve"> their mutual attraction energy</w:t>
      </w:r>
      <w:r w:rsidR="009D6070" w:rsidRPr="00D65CB0">
        <w:rPr>
          <w:rFonts w:ascii="Book Antiqua" w:hAnsi="Book Antiqua" w:cs="Times New Roman"/>
          <w:lang w:val="en-US"/>
        </w:rPr>
        <w:t xml:space="preserve"> and</w:t>
      </w:r>
      <w:r w:rsidR="00F1411E" w:rsidRPr="00D65CB0">
        <w:rPr>
          <w:rFonts w:ascii="Book Antiqua" w:hAnsi="Book Antiqua" w:cs="Times New Roman"/>
          <w:lang w:val="en-US"/>
        </w:rPr>
        <w:t xml:space="preserve"> thus</w:t>
      </w:r>
      <w:r w:rsidR="009D6070" w:rsidRPr="00D65CB0">
        <w:rPr>
          <w:rFonts w:ascii="Book Antiqua" w:hAnsi="Book Antiqua" w:cs="Times New Roman"/>
          <w:lang w:val="en-US"/>
        </w:rPr>
        <w:t xml:space="preserve"> increas</w:t>
      </w:r>
      <w:r w:rsidR="00471158" w:rsidRPr="00D65CB0">
        <w:rPr>
          <w:rFonts w:ascii="Book Antiqua" w:hAnsi="Book Antiqua" w:cs="Times New Roman"/>
          <w:lang w:val="en-US"/>
        </w:rPr>
        <w:t>ing</w:t>
      </w:r>
      <w:r w:rsidR="009D6070" w:rsidRPr="00D65CB0">
        <w:rPr>
          <w:rFonts w:ascii="Book Antiqua" w:hAnsi="Book Antiqua" w:cs="Times New Roman"/>
          <w:lang w:val="en-US"/>
        </w:rPr>
        <w:t xml:space="preserve"> membrane flexibility</w:t>
      </w:r>
      <w:r w:rsidR="00471158" w:rsidRPr="00D65CB0">
        <w:rPr>
          <w:rFonts w:ascii="Book Antiqua" w:hAnsi="Book Antiqua" w:cs="Times New Roman"/>
          <w:lang w:val="en-US"/>
        </w:rPr>
        <w:t xml:space="preserve">, </w:t>
      </w:r>
      <w:r w:rsidR="00261AAB" w:rsidRPr="00D65CB0">
        <w:rPr>
          <w:rFonts w:ascii="Book Antiqua" w:hAnsi="Book Antiqua" w:cs="Times New Roman"/>
          <w:lang w:val="en-US"/>
        </w:rPr>
        <w:t>which promote</w:t>
      </w:r>
      <w:r w:rsidR="00471158" w:rsidRPr="00D65CB0">
        <w:rPr>
          <w:rFonts w:ascii="Book Antiqua" w:hAnsi="Book Antiqua" w:cs="Times New Roman"/>
          <w:lang w:val="en-US"/>
        </w:rPr>
        <w:t>s</w:t>
      </w:r>
      <w:r w:rsidR="00261AAB" w:rsidRPr="00D65CB0">
        <w:rPr>
          <w:rFonts w:ascii="Book Antiqua" w:hAnsi="Book Antiqua" w:cs="Times New Roman"/>
          <w:lang w:val="en-US"/>
        </w:rPr>
        <w:t xml:space="preserve"> an increase in</w:t>
      </w:r>
      <w:r w:rsidR="00471158" w:rsidRPr="00D65CB0">
        <w:rPr>
          <w:rFonts w:ascii="Book Antiqua" w:hAnsi="Book Antiqua" w:cs="Times New Roman"/>
          <w:lang w:val="en-US"/>
        </w:rPr>
        <w:t xml:space="preserve"> the number of </w:t>
      </w:r>
      <w:r w:rsidR="00261AAB" w:rsidRPr="00D65CB0">
        <w:rPr>
          <w:rFonts w:ascii="Book Antiqua" w:hAnsi="Book Antiqua" w:cs="Times New Roman"/>
          <w:lang w:val="en-US"/>
        </w:rPr>
        <w:t xml:space="preserve">all </w:t>
      </w:r>
      <w:r w:rsidR="0060589B" w:rsidRPr="00D65CB0">
        <w:rPr>
          <w:rFonts w:ascii="Book Antiqua" w:hAnsi="Book Antiqua" w:cs="Times New Roman"/>
          <w:lang w:val="en-US"/>
        </w:rPr>
        <w:t>functional C</w:t>
      </w:r>
      <w:r w:rsidR="00261AAB" w:rsidRPr="00D65CB0">
        <w:rPr>
          <w:rFonts w:ascii="Book Antiqua" w:hAnsi="Book Antiqua" w:cs="Times New Roman"/>
          <w:lang w:val="en-US"/>
        </w:rPr>
        <w:t>lass I glucose transporters per membrane surface area</w:t>
      </w:r>
      <w:r w:rsidR="00261AAB" w:rsidRPr="00D65CB0">
        <w:rPr>
          <w:rFonts w:ascii="Book Antiqua" w:hAnsi="Book Antiqua" w:cs="Times New Roman"/>
          <w:vertAlign w:val="superscript"/>
          <w:lang w:val="en-US"/>
        </w:rPr>
        <w:t>[</w:t>
      </w:r>
      <w:r w:rsidR="002865DD" w:rsidRPr="00D65CB0">
        <w:rPr>
          <w:rFonts w:ascii="Book Antiqua" w:hAnsi="Book Antiqua" w:cs="Times New Roman"/>
          <w:vertAlign w:val="superscript"/>
          <w:lang w:val="en-US"/>
        </w:rPr>
        <w:t>2</w:t>
      </w:r>
      <w:r w:rsidR="00261AAB" w:rsidRPr="00D65CB0">
        <w:rPr>
          <w:rFonts w:ascii="Book Antiqua" w:hAnsi="Book Antiqua" w:cs="Times New Roman"/>
          <w:vertAlign w:val="superscript"/>
          <w:lang w:val="en-US"/>
        </w:rPr>
        <w:t>]</w:t>
      </w:r>
      <w:r w:rsidR="002865DD" w:rsidRPr="00D65CB0">
        <w:rPr>
          <w:rFonts w:ascii="Book Antiqua" w:hAnsi="Book Antiqua" w:cs="Times New Roman"/>
          <w:lang w:val="en-US"/>
        </w:rPr>
        <w:t>.</w:t>
      </w:r>
      <w:r w:rsidR="003A7B18" w:rsidRPr="00D65CB0">
        <w:rPr>
          <w:rFonts w:ascii="Book Antiqua" w:hAnsi="Book Antiqua" w:cs="Times New Roman"/>
          <w:lang w:val="en-US"/>
        </w:rPr>
        <w:t xml:space="preserve"> </w:t>
      </w:r>
      <w:r w:rsidR="00293988" w:rsidRPr="00D65CB0">
        <w:rPr>
          <w:rFonts w:ascii="Book Antiqua" w:hAnsi="Book Antiqua" w:cs="Times New Roman"/>
          <w:lang w:val="en-US"/>
        </w:rPr>
        <w:t xml:space="preserve">At </w:t>
      </w:r>
      <w:r w:rsidR="00471158" w:rsidRPr="00D65CB0">
        <w:rPr>
          <w:rFonts w:ascii="Book Antiqua" w:hAnsi="Book Antiqua" w:cs="Times New Roman"/>
          <w:lang w:val="en-US"/>
        </w:rPr>
        <w:t>the</w:t>
      </w:r>
      <w:r w:rsidR="00293988" w:rsidRPr="00D65CB0">
        <w:rPr>
          <w:rFonts w:ascii="Book Antiqua" w:hAnsi="Book Antiqua" w:cs="Times New Roman"/>
          <w:lang w:val="en-US"/>
        </w:rPr>
        <w:t xml:space="preserve"> most basic level, the basal metabolic rate of a cell is</w:t>
      </w:r>
      <w:r w:rsidR="00DB0615" w:rsidRPr="00D65CB0">
        <w:rPr>
          <w:rFonts w:ascii="Book Antiqua" w:hAnsi="Book Antiqua" w:cs="Times New Roman"/>
          <w:lang w:val="en-US"/>
        </w:rPr>
        <w:t xml:space="preserve"> directly </w:t>
      </w:r>
      <w:r w:rsidR="00293988" w:rsidRPr="00D65CB0">
        <w:rPr>
          <w:rFonts w:ascii="Book Antiqua" w:hAnsi="Book Antiqua" w:cs="Times New Roman"/>
          <w:lang w:val="en-US"/>
        </w:rPr>
        <w:t xml:space="preserve">linked </w:t>
      </w:r>
      <w:r w:rsidR="00471158" w:rsidRPr="00D65CB0">
        <w:rPr>
          <w:rFonts w:ascii="Book Antiqua" w:hAnsi="Book Antiqua" w:cs="Times New Roman"/>
          <w:lang w:val="en-US"/>
        </w:rPr>
        <w:t>to</w:t>
      </w:r>
      <w:r w:rsidR="00293988" w:rsidRPr="00D65CB0">
        <w:rPr>
          <w:rFonts w:ascii="Book Antiqua" w:hAnsi="Book Antiqua" w:cs="Times New Roman"/>
          <w:lang w:val="en-US"/>
        </w:rPr>
        <w:t xml:space="preserve"> its cell membrane</w:t>
      </w:r>
      <w:r w:rsidR="00C95487" w:rsidRPr="00D65CB0">
        <w:rPr>
          <w:rFonts w:ascii="Book Antiqua" w:hAnsi="Book Antiqua" w:cs="Times New Roman"/>
          <w:lang w:val="en-US"/>
        </w:rPr>
        <w:t xml:space="preserve"> acyl composition, and thus </w:t>
      </w:r>
      <w:r w:rsidR="00D0134D" w:rsidRPr="00D65CB0">
        <w:rPr>
          <w:rFonts w:ascii="Book Antiqua" w:hAnsi="Book Antiqua" w:cs="Times New Roman"/>
          <w:lang w:val="en-US"/>
        </w:rPr>
        <w:t xml:space="preserve">to </w:t>
      </w:r>
      <w:r w:rsidR="00E467EB" w:rsidRPr="00D65CB0">
        <w:rPr>
          <w:rFonts w:ascii="Book Antiqua" w:hAnsi="Book Antiqua" w:cs="Times New Roman"/>
          <w:lang w:val="en-US"/>
        </w:rPr>
        <w:t xml:space="preserve"> </w:t>
      </w:r>
      <w:r w:rsidR="00696937" w:rsidRPr="00D65CB0">
        <w:rPr>
          <w:rFonts w:ascii="Book Antiqua" w:hAnsi="Book Antiqua" w:cs="Times New Roman"/>
          <w:lang w:val="en-US"/>
        </w:rPr>
        <w:t>i</w:t>
      </w:r>
      <w:r w:rsidR="00C95487" w:rsidRPr="00D65CB0">
        <w:rPr>
          <w:rFonts w:ascii="Book Antiqua" w:hAnsi="Book Antiqua" w:cs="Times New Roman"/>
          <w:lang w:val="en-US"/>
        </w:rPr>
        <w:t>ts</w:t>
      </w:r>
      <w:r w:rsidR="00293988" w:rsidRPr="00D65CB0">
        <w:rPr>
          <w:rFonts w:ascii="Book Antiqua" w:hAnsi="Book Antiqua" w:cs="Times New Roman"/>
          <w:lang w:val="en-US"/>
        </w:rPr>
        <w:t xml:space="preserve"> UI</w:t>
      </w:r>
      <w:r w:rsidR="00CB2D76" w:rsidRPr="00D65CB0">
        <w:rPr>
          <w:rFonts w:ascii="Book Antiqua" w:hAnsi="Book Antiqua" w:cs="Times New Roman"/>
          <w:vertAlign w:val="superscript"/>
          <w:lang w:val="en-US"/>
        </w:rPr>
        <w:t>[3]</w:t>
      </w:r>
      <w:r w:rsidR="00CB2D76" w:rsidRPr="00D65CB0">
        <w:rPr>
          <w:rFonts w:ascii="Book Antiqua" w:hAnsi="Book Antiqua" w:cs="Times New Roman"/>
          <w:lang w:val="en-US"/>
        </w:rPr>
        <w:t>.</w:t>
      </w:r>
      <w:r w:rsidR="007D0FBF" w:rsidRPr="00D65CB0">
        <w:rPr>
          <w:rFonts w:ascii="Book Antiqua" w:hAnsi="Book Antiqua" w:cs="Times New Roman"/>
          <w:lang w:val="en-US"/>
        </w:rPr>
        <w:t xml:space="preserve"> </w:t>
      </w:r>
      <w:r w:rsidR="00471158" w:rsidRPr="00D65CB0">
        <w:rPr>
          <w:rFonts w:ascii="Book Antiqua" w:hAnsi="Book Antiqua" w:cs="Times New Roman"/>
          <w:lang w:val="en-US"/>
        </w:rPr>
        <w:t>T</w:t>
      </w:r>
      <w:r w:rsidR="000024DC" w:rsidRPr="00D65CB0">
        <w:rPr>
          <w:rFonts w:ascii="Book Antiqua" w:hAnsi="Book Antiqua" w:cs="Times New Roman"/>
          <w:lang w:val="en-US"/>
        </w:rPr>
        <w:t xml:space="preserve">o </w:t>
      </w:r>
      <w:r w:rsidR="00471158" w:rsidRPr="00D65CB0">
        <w:rPr>
          <w:rFonts w:ascii="Book Antiqua" w:hAnsi="Book Antiqua" w:cs="Times New Roman"/>
          <w:lang w:val="en-US"/>
        </w:rPr>
        <w:t>date</w:t>
      </w:r>
      <w:r w:rsidR="000024DC" w:rsidRPr="00D65CB0">
        <w:rPr>
          <w:rFonts w:ascii="Book Antiqua" w:hAnsi="Book Antiqua" w:cs="Times New Roman"/>
          <w:lang w:val="en-US"/>
        </w:rPr>
        <w:t>, t</w:t>
      </w:r>
      <w:r w:rsidR="007D0FBF" w:rsidRPr="00D65CB0">
        <w:rPr>
          <w:rFonts w:ascii="Book Antiqua" w:hAnsi="Book Antiqua" w:cs="Times New Roman"/>
          <w:lang w:val="en-US"/>
        </w:rPr>
        <w:t xml:space="preserve">his relationship </w:t>
      </w:r>
      <w:r w:rsidR="000024DC" w:rsidRPr="00D65CB0">
        <w:rPr>
          <w:rFonts w:ascii="Book Antiqua" w:hAnsi="Book Antiqua" w:cs="Times New Roman"/>
          <w:lang w:val="en-US"/>
        </w:rPr>
        <w:t>has not received due attention</w:t>
      </w:r>
      <w:r w:rsidR="007D0FBF" w:rsidRPr="00D65CB0">
        <w:rPr>
          <w:rFonts w:ascii="Book Antiqua" w:hAnsi="Book Antiqua" w:cs="Times New Roman"/>
          <w:lang w:val="en-US"/>
        </w:rPr>
        <w:t xml:space="preserve"> in the </w:t>
      </w:r>
      <w:r w:rsidR="00AF6AE1" w:rsidRPr="00D65CB0">
        <w:rPr>
          <w:rFonts w:ascii="Book Antiqua" w:hAnsi="Book Antiqua" w:cs="Times New Roman"/>
          <w:lang w:val="en-US"/>
        </w:rPr>
        <w:t>treatment</w:t>
      </w:r>
      <w:r w:rsidR="007C6879" w:rsidRPr="00D65CB0">
        <w:rPr>
          <w:rFonts w:ascii="Book Antiqua" w:hAnsi="Book Antiqua" w:cs="Times New Roman"/>
          <w:lang w:val="en-US"/>
        </w:rPr>
        <w:t xml:space="preserve"> </w:t>
      </w:r>
      <w:r w:rsidR="00AF6AE1" w:rsidRPr="00D65CB0">
        <w:rPr>
          <w:rFonts w:ascii="Book Antiqua" w:hAnsi="Book Antiqua" w:cs="Times New Roman"/>
          <w:lang w:val="en-US"/>
        </w:rPr>
        <w:t>for</w:t>
      </w:r>
      <w:r w:rsidR="007D0FBF" w:rsidRPr="00D65CB0">
        <w:rPr>
          <w:rFonts w:ascii="Book Antiqua" w:hAnsi="Book Antiqua" w:cs="Times New Roman"/>
          <w:lang w:val="en-US"/>
        </w:rPr>
        <w:t xml:space="preserve"> </w:t>
      </w:r>
      <w:r w:rsidR="00471158" w:rsidRPr="00D65CB0">
        <w:rPr>
          <w:rFonts w:ascii="Book Antiqua" w:hAnsi="Book Antiqua" w:cs="Times New Roman"/>
          <w:lang w:val="en-US"/>
        </w:rPr>
        <w:t>type 2 diabetes (</w:t>
      </w:r>
      <w:r w:rsidR="007D0FBF" w:rsidRPr="00D65CB0">
        <w:rPr>
          <w:rFonts w:ascii="Book Antiqua" w:hAnsi="Book Antiqua" w:cs="Times New Roman"/>
          <w:lang w:val="en-US"/>
        </w:rPr>
        <w:t>T2D</w:t>
      </w:r>
      <w:r w:rsidR="00471158" w:rsidRPr="00D65CB0">
        <w:rPr>
          <w:rFonts w:ascii="Book Antiqua" w:hAnsi="Book Antiqua" w:cs="Times New Roman"/>
          <w:lang w:val="en-US"/>
        </w:rPr>
        <w:t>)</w:t>
      </w:r>
      <w:r w:rsidR="00F1411E" w:rsidRPr="00D65CB0">
        <w:rPr>
          <w:rFonts w:ascii="Book Antiqua" w:hAnsi="Book Antiqua" w:cs="Times New Roman"/>
          <w:lang w:val="en-US"/>
        </w:rPr>
        <w:t>.</w:t>
      </w:r>
    </w:p>
    <w:p w:rsidR="001B59D3" w:rsidRPr="00D65CB0" w:rsidRDefault="007C6879" w:rsidP="00B04C1B">
      <w:pPr>
        <w:adjustRightInd w:val="0"/>
        <w:snapToGrid w:val="0"/>
        <w:spacing w:after="0"/>
        <w:ind w:firstLineChars="100" w:firstLine="240"/>
        <w:jc w:val="both"/>
        <w:rPr>
          <w:rFonts w:ascii="Book Antiqua" w:hAnsi="Book Antiqua" w:cs="Times New Roman"/>
          <w:lang w:val="en-US"/>
        </w:rPr>
      </w:pPr>
      <w:r w:rsidRPr="00D65CB0">
        <w:rPr>
          <w:rFonts w:ascii="Book Antiqua" w:hAnsi="Book Antiqua" w:cs="Times New Roman"/>
          <w:lang w:val="en-US"/>
        </w:rPr>
        <w:t>T</w:t>
      </w:r>
      <w:r w:rsidR="003A7B18" w:rsidRPr="00D65CB0">
        <w:rPr>
          <w:rFonts w:ascii="Book Antiqua" w:hAnsi="Book Antiqua" w:cs="Times New Roman"/>
          <w:lang w:val="en-US"/>
        </w:rPr>
        <w:t>h</w:t>
      </w:r>
      <w:r w:rsidR="002865DD" w:rsidRPr="00D65CB0">
        <w:rPr>
          <w:rFonts w:ascii="Book Antiqua" w:hAnsi="Book Antiqua" w:cs="Times New Roman"/>
          <w:lang w:val="en-US"/>
        </w:rPr>
        <w:t>e UI</w:t>
      </w:r>
      <w:r w:rsidR="003A7B18" w:rsidRPr="00D65CB0">
        <w:rPr>
          <w:rFonts w:ascii="Book Antiqua" w:hAnsi="Book Antiqua" w:cs="Times New Roman"/>
          <w:lang w:val="en-US"/>
        </w:rPr>
        <w:t xml:space="preserve"> is a fundamental parameter </w:t>
      </w:r>
      <w:r w:rsidR="006C6166" w:rsidRPr="00D65CB0">
        <w:rPr>
          <w:rFonts w:ascii="Book Antiqua" w:hAnsi="Book Antiqua" w:cs="Times New Roman"/>
          <w:lang w:val="en-US"/>
        </w:rPr>
        <w:t xml:space="preserve">that </w:t>
      </w:r>
      <w:r w:rsidR="003A7B18" w:rsidRPr="00D65CB0">
        <w:rPr>
          <w:rFonts w:ascii="Book Antiqua" w:hAnsi="Book Antiqua" w:cs="Times New Roman"/>
          <w:lang w:val="en-US"/>
        </w:rPr>
        <w:t>contain</w:t>
      </w:r>
      <w:r w:rsidR="006C6166" w:rsidRPr="00D65CB0">
        <w:rPr>
          <w:rFonts w:ascii="Book Antiqua" w:hAnsi="Book Antiqua" w:cs="Times New Roman"/>
          <w:lang w:val="en-US"/>
        </w:rPr>
        <w:t>s</w:t>
      </w:r>
      <w:r w:rsidR="003A7B18" w:rsidRPr="00D65CB0">
        <w:rPr>
          <w:rFonts w:ascii="Book Antiqua" w:hAnsi="Book Antiqua" w:cs="Times New Roman"/>
          <w:lang w:val="en-US"/>
        </w:rPr>
        <w:t xml:space="preserve"> information </w:t>
      </w:r>
      <w:r w:rsidR="006C6166" w:rsidRPr="00D65CB0">
        <w:rPr>
          <w:rFonts w:ascii="Book Antiqua" w:hAnsi="Book Antiqua" w:cs="Times New Roman"/>
          <w:lang w:val="en-US"/>
        </w:rPr>
        <w:t>about</w:t>
      </w:r>
      <w:r w:rsidR="003A7B18" w:rsidRPr="00D65CB0">
        <w:rPr>
          <w:rFonts w:ascii="Book Antiqua" w:hAnsi="Book Antiqua" w:cs="Times New Roman"/>
          <w:lang w:val="en-US"/>
        </w:rPr>
        <w:t xml:space="preserve"> many membrane biophysical properties and behavior.</w:t>
      </w:r>
      <w:r w:rsidR="004C0421" w:rsidRPr="00D65CB0">
        <w:rPr>
          <w:rFonts w:ascii="Book Antiqua" w:hAnsi="Book Antiqua" w:cs="Times New Roman"/>
          <w:lang w:val="en-US"/>
        </w:rPr>
        <w:t xml:space="preserve"> </w:t>
      </w:r>
      <w:r w:rsidR="00786828" w:rsidRPr="00D65CB0">
        <w:rPr>
          <w:rFonts w:ascii="Book Antiqua" w:hAnsi="Book Antiqua" w:cs="Times New Roman"/>
          <w:lang w:val="en-US"/>
        </w:rPr>
        <w:t>Arachidonic acid and docosahexaenoic acid are key fatty acids</w:t>
      </w:r>
      <w:r w:rsidR="006C6166" w:rsidRPr="00D65CB0">
        <w:rPr>
          <w:rFonts w:ascii="Book Antiqua" w:hAnsi="Book Antiqua" w:cs="Times New Roman"/>
          <w:lang w:val="en-US"/>
        </w:rPr>
        <w:t>;</w:t>
      </w:r>
      <w:r w:rsidR="00786828" w:rsidRPr="00D65CB0">
        <w:rPr>
          <w:rFonts w:ascii="Book Antiqua" w:hAnsi="Book Antiqua" w:cs="Times New Roman"/>
          <w:lang w:val="en-US"/>
        </w:rPr>
        <w:t xml:space="preserve"> a</w:t>
      </w:r>
      <w:r w:rsidR="004C0421" w:rsidRPr="00D65CB0">
        <w:rPr>
          <w:rFonts w:ascii="Book Antiqua" w:hAnsi="Book Antiqua" w:cs="Times New Roman"/>
          <w:lang w:val="en-US"/>
        </w:rPr>
        <w:t xml:space="preserve"> minimal increase in the percentage of</w:t>
      </w:r>
      <w:r w:rsidR="006C6166" w:rsidRPr="00D65CB0">
        <w:rPr>
          <w:rFonts w:ascii="Book Antiqua" w:hAnsi="Book Antiqua" w:cs="Times New Roman"/>
          <w:lang w:val="en-US"/>
        </w:rPr>
        <w:t xml:space="preserve"> arachidonic acid</w:t>
      </w:r>
      <w:r w:rsidR="004C0421" w:rsidRPr="00D65CB0">
        <w:rPr>
          <w:rFonts w:ascii="Book Antiqua" w:hAnsi="Book Antiqua" w:cs="Times New Roman"/>
          <w:lang w:val="en-US"/>
        </w:rPr>
        <w:t xml:space="preserve"> in phospholipid tails improves membrane fl</w:t>
      </w:r>
      <w:r w:rsidR="00EA5D55" w:rsidRPr="00D65CB0">
        <w:rPr>
          <w:rFonts w:ascii="Book Antiqua" w:hAnsi="Book Antiqua" w:cs="Times New Roman"/>
          <w:lang w:val="en-US"/>
        </w:rPr>
        <w:t>exibility</w:t>
      </w:r>
      <w:r w:rsidR="004C0421" w:rsidRPr="00D65CB0">
        <w:rPr>
          <w:rFonts w:ascii="Book Antiqua" w:hAnsi="Book Antiqua" w:cs="Times New Roman"/>
          <w:lang w:val="en-US"/>
        </w:rPr>
        <w:t xml:space="preserve"> </w:t>
      </w:r>
      <w:r w:rsidR="006C6166" w:rsidRPr="00D65CB0">
        <w:rPr>
          <w:rFonts w:ascii="Book Antiqua" w:hAnsi="Book Antiqua" w:cs="Times New Roman"/>
          <w:lang w:val="en-US"/>
        </w:rPr>
        <w:t>due</w:t>
      </w:r>
      <w:r w:rsidR="004C0421" w:rsidRPr="00D65CB0">
        <w:rPr>
          <w:rFonts w:ascii="Book Antiqua" w:hAnsi="Book Antiqua" w:cs="Times New Roman"/>
          <w:lang w:val="en-US"/>
        </w:rPr>
        <w:t xml:space="preserve"> to its four double bonds</w:t>
      </w:r>
      <w:r w:rsidR="006C6166" w:rsidRPr="00D65CB0">
        <w:rPr>
          <w:rFonts w:ascii="Book Antiqua" w:hAnsi="Book Antiqua" w:cs="Times New Roman"/>
          <w:lang w:val="en-US"/>
        </w:rPr>
        <w:t xml:space="preserve">. A similar effect is seen for docosahexaenoic acid, with </w:t>
      </w:r>
      <w:r w:rsidR="004C0421" w:rsidRPr="00D65CB0">
        <w:rPr>
          <w:rFonts w:ascii="Book Antiqua" w:hAnsi="Book Antiqua" w:cs="Times New Roman"/>
          <w:lang w:val="en-US"/>
        </w:rPr>
        <w:t>its six unsaturat</w:t>
      </w:r>
      <w:r w:rsidR="006C6166" w:rsidRPr="00D65CB0">
        <w:rPr>
          <w:rFonts w:ascii="Book Antiqua" w:hAnsi="Book Antiqua" w:cs="Times New Roman"/>
          <w:lang w:val="en-US"/>
        </w:rPr>
        <w:t>ed bonds</w:t>
      </w:r>
      <w:r w:rsidR="004C0421" w:rsidRPr="00D65CB0">
        <w:rPr>
          <w:rFonts w:ascii="Book Antiqua" w:hAnsi="Book Antiqua" w:cs="Times New Roman"/>
          <w:lang w:val="en-US"/>
        </w:rPr>
        <w:t>.</w:t>
      </w:r>
      <w:r w:rsidR="003A7B18" w:rsidRPr="00D65CB0">
        <w:rPr>
          <w:rFonts w:ascii="Book Antiqua" w:hAnsi="Book Antiqua" w:cs="Times New Roman"/>
          <w:lang w:val="en-US"/>
        </w:rPr>
        <w:t xml:space="preserve"> </w:t>
      </w:r>
      <w:r w:rsidR="00136281" w:rsidRPr="00D65CB0">
        <w:rPr>
          <w:rFonts w:ascii="Book Antiqua" w:hAnsi="Book Antiqua" w:cs="Times New Roman"/>
          <w:lang w:val="en-US"/>
        </w:rPr>
        <w:t>UI</w:t>
      </w:r>
      <w:r w:rsidR="00D93041" w:rsidRPr="00D65CB0">
        <w:rPr>
          <w:rFonts w:ascii="Book Antiqua" w:hAnsi="Book Antiqua" w:cs="Times New Roman"/>
          <w:lang w:val="en-US"/>
        </w:rPr>
        <w:t xml:space="preserve"> is</w:t>
      </w:r>
      <w:r w:rsidR="00136281" w:rsidRPr="00D65CB0">
        <w:rPr>
          <w:rFonts w:ascii="Book Antiqua" w:hAnsi="Book Antiqua" w:cs="Times New Roman"/>
          <w:lang w:val="en-US"/>
        </w:rPr>
        <w:t xml:space="preserve"> a crucial index</w:t>
      </w:r>
      <w:r w:rsidR="00D93041" w:rsidRPr="00D65CB0">
        <w:rPr>
          <w:rFonts w:ascii="Book Antiqua" w:hAnsi="Book Antiqua" w:cs="Times New Roman"/>
          <w:lang w:val="en-US"/>
        </w:rPr>
        <w:t xml:space="preserve"> for T2D and other disorders</w:t>
      </w:r>
      <w:r w:rsidR="00136281" w:rsidRPr="00D65CB0">
        <w:rPr>
          <w:rFonts w:ascii="Book Antiqua" w:hAnsi="Book Antiqua" w:cs="Times New Roman"/>
          <w:lang w:val="en-US"/>
        </w:rPr>
        <w:t>,</w:t>
      </w:r>
      <w:r w:rsidR="00D93041" w:rsidRPr="00D65CB0">
        <w:rPr>
          <w:rFonts w:ascii="Book Antiqua" w:hAnsi="Book Antiqua" w:cs="Times New Roman"/>
          <w:lang w:val="en-US"/>
        </w:rPr>
        <w:t xml:space="preserve"> yet it is </w:t>
      </w:r>
      <w:r w:rsidR="00136281" w:rsidRPr="00D65CB0">
        <w:rPr>
          <w:rFonts w:ascii="Book Antiqua" w:hAnsi="Book Antiqua" w:cs="Times New Roman"/>
          <w:lang w:val="en-US"/>
        </w:rPr>
        <w:t>not properly considered in the scientific community</w:t>
      </w:r>
      <w:r w:rsidR="005204CD" w:rsidRPr="00D65CB0">
        <w:rPr>
          <w:rFonts w:ascii="Book Antiqua" w:hAnsi="Book Antiqua" w:cs="Times New Roman"/>
          <w:vertAlign w:val="superscript"/>
          <w:lang w:val="en-US"/>
        </w:rPr>
        <w:t>[</w:t>
      </w:r>
      <w:r w:rsidR="001C18F9" w:rsidRPr="00D65CB0">
        <w:rPr>
          <w:rFonts w:ascii="Book Antiqua" w:hAnsi="Book Antiqua" w:cs="Times New Roman"/>
          <w:vertAlign w:val="superscript"/>
          <w:lang w:val="en-US"/>
        </w:rPr>
        <w:t>4</w:t>
      </w:r>
      <w:r w:rsidR="005204CD" w:rsidRPr="00D65CB0">
        <w:rPr>
          <w:rFonts w:ascii="Book Antiqua" w:hAnsi="Book Antiqua" w:cs="Times New Roman"/>
          <w:vertAlign w:val="superscript"/>
          <w:lang w:val="en-US"/>
        </w:rPr>
        <w:t>]</w:t>
      </w:r>
      <w:r w:rsidR="00136281" w:rsidRPr="00D65CB0">
        <w:rPr>
          <w:rFonts w:ascii="Book Antiqua" w:hAnsi="Book Antiqua" w:cs="Times New Roman"/>
          <w:lang w:val="en-US"/>
        </w:rPr>
        <w:t xml:space="preserve">. </w:t>
      </w:r>
      <w:r w:rsidR="00EA5D55" w:rsidRPr="00D65CB0">
        <w:rPr>
          <w:rFonts w:ascii="Book Antiqua" w:hAnsi="Book Antiqua" w:cs="Times New Roman"/>
          <w:lang w:val="en-US"/>
        </w:rPr>
        <w:t>The</w:t>
      </w:r>
      <w:r w:rsidR="003B0BB4" w:rsidRPr="00D65CB0">
        <w:rPr>
          <w:rFonts w:ascii="Book Antiqua" w:hAnsi="Book Antiqua" w:cs="Times New Roman"/>
          <w:lang w:val="en-US"/>
        </w:rPr>
        <w:t xml:space="preserve"> goal </w:t>
      </w:r>
      <w:r w:rsidR="00D93041" w:rsidRPr="00D65CB0">
        <w:rPr>
          <w:rFonts w:ascii="Book Antiqua" w:hAnsi="Book Antiqua" w:cs="Times New Roman"/>
          <w:lang w:val="en-US"/>
        </w:rPr>
        <w:t>o</w:t>
      </w:r>
      <w:r w:rsidR="003B0BB4" w:rsidRPr="00D65CB0">
        <w:rPr>
          <w:rFonts w:ascii="Book Antiqua" w:hAnsi="Book Antiqua" w:cs="Times New Roman"/>
          <w:lang w:val="en-US"/>
        </w:rPr>
        <w:t>f the present</w:t>
      </w:r>
      <w:r w:rsidR="00D1544C" w:rsidRPr="00D65CB0">
        <w:rPr>
          <w:rFonts w:ascii="Book Antiqua" w:hAnsi="Book Antiqua" w:cs="Times New Roman"/>
          <w:lang w:val="en-US"/>
        </w:rPr>
        <w:t xml:space="preserve"> editorial</w:t>
      </w:r>
      <w:r w:rsidR="001B59D3" w:rsidRPr="00D65CB0">
        <w:rPr>
          <w:rFonts w:ascii="Book Antiqua" w:hAnsi="Book Antiqua" w:cs="Times New Roman"/>
          <w:lang w:val="en-US"/>
        </w:rPr>
        <w:t xml:space="preserve"> </w:t>
      </w:r>
      <w:r w:rsidR="00D93041" w:rsidRPr="00D65CB0">
        <w:rPr>
          <w:rFonts w:ascii="Book Antiqua" w:hAnsi="Book Antiqua" w:cs="Times New Roman"/>
          <w:lang w:val="en-US"/>
        </w:rPr>
        <w:t>i</w:t>
      </w:r>
      <w:r w:rsidR="003B0BB4" w:rsidRPr="00D65CB0">
        <w:rPr>
          <w:rFonts w:ascii="Book Antiqua" w:hAnsi="Book Antiqua" w:cs="Times New Roman"/>
          <w:lang w:val="en-US"/>
        </w:rPr>
        <w:t>s</w:t>
      </w:r>
      <w:r w:rsidR="001B59D3" w:rsidRPr="00D65CB0">
        <w:rPr>
          <w:rFonts w:ascii="Book Antiqua" w:hAnsi="Book Antiqua" w:cs="Times New Roman"/>
          <w:lang w:val="en-US"/>
        </w:rPr>
        <w:t xml:space="preserve"> to </w:t>
      </w:r>
      <w:r w:rsidR="00D93041" w:rsidRPr="00D65CB0">
        <w:rPr>
          <w:rFonts w:ascii="Book Antiqua" w:hAnsi="Book Antiqua" w:cs="Times New Roman"/>
          <w:lang w:val="en-US"/>
        </w:rPr>
        <w:t>familiarize the scientific</w:t>
      </w:r>
      <w:r w:rsidR="00D01D3C" w:rsidRPr="00D65CB0">
        <w:rPr>
          <w:rFonts w:ascii="Book Antiqua" w:hAnsi="Book Antiqua" w:cs="Times New Roman"/>
          <w:lang w:val="en-US"/>
        </w:rPr>
        <w:t xml:space="preserve"> T2D</w:t>
      </w:r>
      <w:r w:rsidR="00D93041" w:rsidRPr="00D65CB0">
        <w:rPr>
          <w:rFonts w:ascii="Book Antiqua" w:hAnsi="Book Antiqua" w:cs="Times New Roman"/>
          <w:lang w:val="en-US"/>
        </w:rPr>
        <w:t xml:space="preserve"> community with </w:t>
      </w:r>
      <w:r w:rsidR="003B0BB4" w:rsidRPr="00D65CB0">
        <w:rPr>
          <w:rFonts w:ascii="Book Antiqua" w:hAnsi="Book Antiqua" w:cs="Times New Roman"/>
          <w:lang w:val="en-US"/>
        </w:rPr>
        <w:t xml:space="preserve">the </w:t>
      </w:r>
      <w:r w:rsidR="001B59D3" w:rsidRPr="00D65CB0">
        <w:rPr>
          <w:rFonts w:ascii="Book Antiqua" w:hAnsi="Book Antiqua" w:cs="Times New Roman"/>
          <w:lang w:val="en-US"/>
        </w:rPr>
        <w:t>UI.</w:t>
      </w:r>
    </w:p>
    <w:p w:rsidR="00CC560C" w:rsidRPr="00D65CB0" w:rsidRDefault="001B59D3" w:rsidP="00B04C1B">
      <w:pPr>
        <w:adjustRightInd w:val="0"/>
        <w:snapToGrid w:val="0"/>
        <w:spacing w:after="0"/>
        <w:ind w:firstLineChars="100" w:firstLine="240"/>
        <w:jc w:val="both"/>
        <w:rPr>
          <w:rFonts w:ascii="Book Antiqua" w:hAnsi="Book Antiqua" w:cs="Times New Roman"/>
          <w:lang w:val="en-US"/>
        </w:rPr>
      </w:pPr>
      <w:r w:rsidRPr="00D65CB0">
        <w:rPr>
          <w:rFonts w:ascii="Book Antiqua" w:hAnsi="Book Antiqua" w:cs="Times New Roman"/>
          <w:lang w:val="en-US"/>
        </w:rPr>
        <w:t xml:space="preserve">In the September issue of </w:t>
      </w:r>
      <w:r w:rsidRPr="00D65CB0">
        <w:rPr>
          <w:rFonts w:ascii="Book Antiqua" w:hAnsi="Book Antiqua" w:cs="Times New Roman"/>
          <w:i/>
          <w:lang w:val="en-US"/>
        </w:rPr>
        <w:t>PL</w:t>
      </w:r>
      <w:r w:rsidR="00054F33" w:rsidRPr="00D65CB0">
        <w:rPr>
          <w:rFonts w:ascii="Book Antiqua" w:hAnsi="Book Antiqua" w:cs="Times New Roman"/>
          <w:i/>
          <w:lang w:val="en-US"/>
        </w:rPr>
        <w:t>o</w:t>
      </w:r>
      <w:r w:rsidRPr="00D65CB0">
        <w:rPr>
          <w:rFonts w:ascii="Book Antiqua" w:hAnsi="Book Antiqua" w:cs="Times New Roman"/>
          <w:i/>
          <w:lang w:val="en-US"/>
        </w:rPr>
        <w:t>S ONE</w:t>
      </w:r>
      <w:r w:rsidR="00DC621B" w:rsidRPr="00D65CB0">
        <w:rPr>
          <w:rFonts w:ascii="Book Antiqua" w:hAnsi="Book Antiqua" w:cs="Times New Roman"/>
          <w:lang w:val="en-US"/>
        </w:rPr>
        <w:t xml:space="preserve">, Koehrer </w:t>
      </w:r>
      <w:r w:rsidR="00DC621B" w:rsidRPr="00D65CB0">
        <w:rPr>
          <w:rFonts w:ascii="Book Antiqua" w:hAnsi="Book Antiqua" w:cs="Times New Roman"/>
          <w:i/>
          <w:lang w:val="en-US"/>
        </w:rPr>
        <w:t>et al</w:t>
      </w:r>
      <w:r w:rsidR="005204CD" w:rsidRPr="00D65CB0">
        <w:rPr>
          <w:rFonts w:ascii="Book Antiqua" w:hAnsi="Book Antiqua" w:cs="Times New Roman"/>
          <w:vertAlign w:val="superscript"/>
          <w:lang w:val="en-US"/>
        </w:rPr>
        <w:t>[</w:t>
      </w:r>
      <w:r w:rsidR="001C18F9" w:rsidRPr="00D65CB0">
        <w:rPr>
          <w:rFonts w:ascii="Book Antiqua" w:hAnsi="Book Antiqua" w:cs="Times New Roman"/>
          <w:vertAlign w:val="superscript"/>
          <w:lang w:val="en-US"/>
        </w:rPr>
        <w:t>5</w:t>
      </w:r>
      <w:r w:rsidR="005204CD" w:rsidRPr="00D65CB0">
        <w:rPr>
          <w:rFonts w:ascii="Book Antiqua" w:hAnsi="Book Antiqua" w:cs="Times New Roman"/>
          <w:vertAlign w:val="superscript"/>
          <w:lang w:val="en-US"/>
        </w:rPr>
        <w:t>]</w:t>
      </w:r>
      <w:r w:rsidRPr="00D65CB0">
        <w:rPr>
          <w:rFonts w:ascii="Book Antiqua" w:hAnsi="Book Antiqua" w:cs="Times New Roman"/>
          <w:lang w:val="en-US"/>
        </w:rPr>
        <w:t xml:space="preserve"> reported the erythrocyte phospholipid and polyunsaturated fatty</w:t>
      </w:r>
      <w:r w:rsidR="00E14213" w:rsidRPr="00D65CB0">
        <w:rPr>
          <w:rFonts w:ascii="Book Antiqua" w:hAnsi="Book Antiqua" w:cs="Times New Roman"/>
          <w:lang w:val="en-US"/>
        </w:rPr>
        <w:t>-</w:t>
      </w:r>
      <w:r w:rsidRPr="00D65CB0">
        <w:rPr>
          <w:rFonts w:ascii="Book Antiqua" w:hAnsi="Book Antiqua" w:cs="Times New Roman"/>
          <w:lang w:val="en-US"/>
        </w:rPr>
        <w:t>acid composition in diabetic retinopathy. S</w:t>
      </w:r>
      <w:r w:rsidR="00E14213" w:rsidRPr="00D65CB0">
        <w:rPr>
          <w:rFonts w:ascii="Book Antiqua" w:hAnsi="Book Antiqua" w:cs="Times New Roman"/>
          <w:lang w:val="en-US"/>
        </w:rPr>
        <w:t xml:space="preserve">everal </w:t>
      </w:r>
      <w:r w:rsidRPr="00D65CB0">
        <w:rPr>
          <w:rFonts w:ascii="Book Antiqua" w:hAnsi="Book Antiqua" w:cs="Times New Roman"/>
          <w:lang w:val="en-US"/>
        </w:rPr>
        <w:t>points in th</w:t>
      </w:r>
      <w:r w:rsidR="00E14213" w:rsidRPr="00D65CB0">
        <w:rPr>
          <w:rFonts w:ascii="Book Antiqua" w:hAnsi="Book Antiqua" w:cs="Times New Roman"/>
          <w:lang w:val="en-US"/>
        </w:rPr>
        <w:t>is</w:t>
      </w:r>
      <w:r w:rsidRPr="00D65CB0">
        <w:rPr>
          <w:rFonts w:ascii="Book Antiqua" w:hAnsi="Book Antiqua" w:cs="Times New Roman"/>
          <w:lang w:val="en-US"/>
        </w:rPr>
        <w:t xml:space="preserve"> article </w:t>
      </w:r>
      <w:r w:rsidR="00E14213" w:rsidRPr="00D65CB0">
        <w:rPr>
          <w:rFonts w:ascii="Book Antiqua" w:hAnsi="Book Antiqua" w:cs="Times New Roman"/>
          <w:lang w:val="en-US"/>
        </w:rPr>
        <w:t>require</w:t>
      </w:r>
      <w:r w:rsidRPr="00D65CB0">
        <w:rPr>
          <w:rFonts w:ascii="Book Antiqua" w:hAnsi="Book Antiqua" w:cs="Times New Roman"/>
          <w:lang w:val="en-US"/>
        </w:rPr>
        <w:t xml:space="preserve"> additional </w:t>
      </w:r>
      <w:r w:rsidR="00E14213" w:rsidRPr="00D65CB0">
        <w:rPr>
          <w:rFonts w:ascii="Book Antiqua" w:hAnsi="Book Antiqua" w:cs="Times New Roman"/>
          <w:lang w:val="en-US"/>
        </w:rPr>
        <w:t>clarification</w:t>
      </w:r>
      <w:r w:rsidRPr="00D65CB0">
        <w:rPr>
          <w:rFonts w:ascii="Book Antiqua" w:hAnsi="Book Antiqua" w:cs="Times New Roman"/>
          <w:lang w:val="en-US"/>
        </w:rPr>
        <w:t>.</w:t>
      </w:r>
      <w:r w:rsidR="00E315DF" w:rsidRPr="00D65CB0">
        <w:rPr>
          <w:rFonts w:ascii="Book Antiqua" w:hAnsi="Book Antiqua" w:cs="Times New Roman"/>
          <w:lang w:val="en-US"/>
        </w:rPr>
        <w:t xml:space="preserve"> Given that t</w:t>
      </w:r>
      <w:r w:rsidR="00786828" w:rsidRPr="00D65CB0">
        <w:rPr>
          <w:rFonts w:ascii="Book Antiqua" w:hAnsi="Book Antiqua" w:cs="Times New Roman"/>
          <w:lang w:val="en-US"/>
        </w:rPr>
        <w:t xml:space="preserve">he study </w:t>
      </w:r>
      <w:r w:rsidR="00E14213" w:rsidRPr="00D65CB0">
        <w:rPr>
          <w:rFonts w:ascii="Book Antiqua" w:hAnsi="Book Antiqua" w:cs="Times New Roman"/>
          <w:lang w:val="en-US"/>
        </w:rPr>
        <w:t>consisted</w:t>
      </w:r>
      <w:r w:rsidR="00786828" w:rsidRPr="00D65CB0">
        <w:rPr>
          <w:rFonts w:ascii="Book Antiqua" w:hAnsi="Book Antiqua" w:cs="Times New Roman"/>
          <w:lang w:val="en-US"/>
        </w:rPr>
        <w:t xml:space="preserve"> </w:t>
      </w:r>
      <w:r w:rsidR="00E14213" w:rsidRPr="00D65CB0">
        <w:rPr>
          <w:rFonts w:ascii="Book Antiqua" w:hAnsi="Book Antiqua" w:cs="Times New Roman"/>
          <w:lang w:val="en-US"/>
        </w:rPr>
        <w:t>nearly</w:t>
      </w:r>
      <w:r w:rsidR="00786828" w:rsidRPr="00D65CB0">
        <w:rPr>
          <w:rFonts w:ascii="Book Antiqua" w:hAnsi="Book Antiqua" w:cs="Times New Roman"/>
          <w:lang w:val="en-US"/>
        </w:rPr>
        <w:t xml:space="preserve"> exclusively </w:t>
      </w:r>
      <w:r w:rsidR="00F8239C" w:rsidRPr="00D65CB0">
        <w:rPr>
          <w:rFonts w:ascii="Book Antiqua" w:hAnsi="Book Antiqua" w:cs="Times New Roman"/>
          <w:lang w:val="en-US"/>
        </w:rPr>
        <w:t>T2D patients, the</w:t>
      </w:r>
      <w:r w:rsidR="00E14213" w:rsidRPr="00D65CB0">
        <w:rPr>
          <w:rFonts w:ascii="Book Antiqua" w:hAnsi="Book Antiqua" w:cs="Times New Roman"/>
          <w:lang w:val="en-US"/>
        </w:rPr>
        <w:t xml:space="preserve"> reported</w:t>
      </w:r>
      <w:r w:rsidR="00F8239C" w:rsidRPr="00D65CB0">
        <w:rPr>
          <w:rFonts w:ascii="Book Antiqua" w:hAnsi="Book Antiqua" w:cs="Times New Roman"/>
          <w:lang w:val="en-US"/>
        </w:rPr>
        <w:t xml:space="preserve"> observations are likely to be restricted to this type of diabetes.</w:t>
      </w:r>
      <w:r w:rsidR="00E14213" w:rsidRPr="00D65CB0">
        <w:rPr>
          <w:rFonts w:ascii="Book Antiqua" w:hAnsi="Book Antiqua" w:cs="Times New Roman"/>
          <w:lang w:val="en-US"/>
        </w:rPr>
        <w:t xml:space="preserve"> I</w:t>
      </w:r>
      <w:r w:rsidR="00F8239C" w:rsidRPr="00D65CB0">
        <w:rPr>
          <w:rFonts w:ascii="Book Antiqua" w:hAnsi="Book Antiqua" w:cs="Times New Roman"/>
          <w:lang w:val="en-US"/>
        </w:rPr>
        <w:t>n contrast to</w:t>
      </w:r>
      <w:r w:rsidR="00D14A05" w:rsidRPr="00D65CB0">
        <w:rPr>
          <w:rFonts w:ascii="Book Antiqua" w:hAnsi="Book Antiqua" w:cs="Times New Roman"/>
          <w:lang w:val="en-US"/>
        </w:rPr>
        <w:t xml:space="preserve"> one</w:t>
      </w:r>
      <w:r w:rsidR="00F8239C" w:rsidRPr="00D65CB0">
        <w:rPr>
          <w:rFonts w:ascii="Book Antiqua" w:hAnsi="Book Antiqua" w:cs="Times New Roman"/>
          <w:lang w:val="en-US"/>
        </w:rPr>
        <w:t xml:space="preserve"> pre</w:t>
      </w:r>
      <w:r w:rsidR="003B0BB4" w:rsidRPr="00D65CB0">
        <w:rPr>
          <w:rFonts w:ascii="Book Antiqua" w:hAnsi="Book Antiqua" w:cs="Times New Roman"/>
          <w:lang w:val="en-US"/>
        </w:rPr>
        <w:t>vious publication</w:t>
      </w:r>
      <w:r w:rsidR="00F8239C" w:rsidRPr="00D65CB0">
        <w:rPr>
          <w:rFonts w:ascii="Book Antiqua" w:hAnsi="Book Antiqua" w:cs="Times New Roman"/>
          <w:lang w:val="en-US"/>
        </w:rPr>
        <w:t>,</w:t>
      </w:r>
      <w:r w:rsidR="00E14213" w:rsidRPr="00D65CB0">
        <w:rPr>
          <w:rFonts w:ascii="Book Antiqua" w:hAnsi="Book Antiqua" w:cs="Times New Roman"/>
          <w:lang w:val="en-US"/>
        </w:rPr>
        <w:t xml:space="preserve"> Koehrer </w:t>
      </w:r>
      <w:r w:rsidR="00E14213" w:rsidRPr="00D65CB0">
        <w:rPr>
          <w:rFonts w:ascii="Book Antiqua" w:hAnsi="Book Antiqua" w:cs="Times New Roman"/>
          <w:i/>
          <w:lang w:val="en-US"/>
        </w:rPr>
        <w:t>et al</w:t>
      </w:r>
      <w:r w:rsidR="00DC621B" w:rsidRPr="00D65CB0">
        <w:rPr>
          <w:rFonts w:ascii="Book Antiqua" w:hAnsi="Book Antiqua" w:cs="Times New Roman"/>
          <w:vertAlign w:val="superscript"/>
          <w:lang w:val="en-US"/>
        </w:rPr>
        <w:t>[5]</w:t>
      </w:r>
      <w:r w:rsidR="00E14213" w:rsidRPr="00D65CB0">
        <w:rPr>
          <w:rFonts w:ascii="Book Antiqua" w:hAnsi="Book Antiqua" w:cs="Times New Roman"/>
          <w:lang w:val="en-US"/>
        </w:rPr>
        <w:t xml:space="preserve"> </w:t>
      </w:r>
      <w:r w:rsidR="00F8239C" w:rsidRPr="00D65CB0">
        <w:rPr>
          <w:rFonts w:ascii="Book Antiqua" w:hAnsi="Book Antiqua" w:cs="Times New Roman"/>
          <w:lang w:val="en-US"/>
        </w:rPr>
        <w:t xml:space="preserve">presented </w:t>
      </w:r>
      <w:r w:rsidR="00E14213" w:rsidRPr="00D65CB0">
        <w:rPr>
          <w:rFonts w:ascii="Book Antiqua" w:hAnsi="Book Antiqua" w:cs="Times New Roman"/>
          <w:lang w:val="en-US"/>
        </w:rPr>
        <w:t xml:space="preserve">measurements </w:t>
      </w:r>
      <w:r w:rsidR="00FE156C" w:rsidRPr="00D65CB0">
        <w:rPr>
          <w:rFonts w:ascii="Book Antiqua" w:hAnsi="Book Antiqua" w:cs="Times New Roman"/>
          <w:lang w:val="en-US"/>
        </w:rPr>
        <w:t>of total phospholipids from red blood cells</w:t>
      </w:r>
      <w:r w:rsidR="00E14213" w:rsidRPr="00D65CB0">
        <w:rPr>
          <w:rFonts w:ascii="Book Antiqua" w:hAnsi="Book Antiqua" w:cs="Times New Roman"/>
          <w:lang w:val="en-US"/>
        </w:rPr>
        <w:t>,</w:t>
      </w:r>
      <w:r w:rsidR="006046DF" w:rsidRPr="00D65CB0">
        <w:rPr>
          <w:rFonts w:ascii="Book Antiqua" w:hAnsi="Book Antiqua" w:cs="Times New Roman"/>
          <w:lang w:val="en-US"/>
        </w:rPr>
        <w:t xml:space="preserve"> </w:t>
      </w:r>
      <w:r w:rsidR="00413D25" w:rsidRPr="00D65CB0">
        <w:rPr>
          <w:rFonts w:ascii="Book Antiqua" w:hAnsi="Book Antiqua" w:cs="Times New Roman"/>
          <w:lang w:val="en-US"/>
        </w:rPr>
        <w:t>with</w:t>
      </w:r>
      <w:r w:rsidR="006046DF" w:rsidRPr="00D65CB0">
        <w:rPr>
          <w:rFonts w:ascii="Book Antiqua" w:hAnsi="Book Antiqua" w:cs="Times New Roman"/>
          <w:lang w:val="en-US"/>
        </w:rPr>
        <w:t xml:space="preserve"> fatty</w:t>
      </w:r>
      <w:r w:rsidR="004830D8" w:rsidRPr="00D65CB0">
        <w:rPr>
          <w:rFonts w:ascii="Book Antiqua" w:hAnsi="Book Antiqua" w:cs="Times New Roman"/>
          <w:lang w:val="en-US"/>
        </w:rPr>
        <w:t>-</w:t>
      </w:r>
      <w:r w:rsidR="006046DF" w:rsidRPr="00D65CB0">
        <w:rPr>
          <w:rFonts w:ascii="Book Antiqua" w:hAnsi="Book Antiqua" w:cs="Times New Roman"/>
          <w:lang w:val="en-US"/>
        </w:rPr>
        <w:t xml:space="preserve">acid composition </w:t>
      </w:r>
      <w:r w:rsidR="00413D25" w:rsidRPr="00D65CB0">
        <w:rPr>
          <w:rFonts w:ascii="Book Antiqua" w:hAnsi="Book Antiqua" w:cs="Times New Roman"/>
          <w:lang w:val="en-US"/>
        </w:rPr>
        <w:t xml:space="preserve">specified </w:t>
      </w:r>
      <w:r w:rsidR="00E14213" w:rsidRPr="00D65CB0">
        <w:rPr>
          <w:rFonts w:ascii="Book Antiqua" w:hAnsi="Book Antiqua" w:cs="Times New Roman"/>
          <w:lang w:val="en-US"/>
        </w:rPr>
        <w:t>for</w:t>
      </w:r>
      <w:r w:rsidR="00413D25" w:rsidRPr="00D65CB0">
        <w:rPr>
          <w:rFonts w:ascii="Book Antiqua" w:hAnsi="Book Antiqua" w:cs="Times New Roman"/>
          <w:lang w:val="en-US"/>
        </w:rPr>
        <w:t xml:space="preserve"> </w:t>
      </w:r>
      <w:r w:rsidR="006046DF" w:rsidRPr="00D65CB0">
        <w:rPr>
          <w:rFonts w:ascii="Book Antiqua" w:hAnsi="Book Antiqua" w:cs="Times New Roman"/>
          <w:lang w:val="en-US"/>
        </w:rPr>
        <w:t xml:space="preserve">a total of </w:t>
      </w:r>
      <w:r w:rsidR="00D14A05" w:rsidRPr="00D65CB0">
        <w:rPr>
          <w:rFonts w:ascii="Book Antiqua" w:hAnsi="Book Antiqua" w:cs="Times New Roman"/>
          <w:lang w:val="en-US"/>
        </w:rPr>
        <w:t>2</w:t>
      </w:r>
      <w:r w:rsidR="00D916CE" w:rsidRPr="00D65CB0">
        <w:rPr>
          <w:rFonts w:ascii="Book Antiqua" w:hAnsi="Book Antiqua" w:cs="Times New Roman"/>
          <w:lang w:val="en-US"/>
        </w:rPr>
        <w:t>6</w:t>
      </w:r>
      <w:r w:rsidR="00E14213" w:rsidRPr="00D65CB0">
        <w:rPr>
          <w:rFonts w:ascii="Book Antiqua" w:hAnsi="Book Antiqua" w:cs="Times New Roman"/>
          <w:lang w:val="en-US"/>
        </w:rPr>
        <w:t xml:space="preserve"> </w:t>
      </w:r>
      <w:r w:rsidR="006046DF" w:rsidRPr="00D65CB0">
        <w:rPr>
          <w:rFonts w:ascii="Book Antiqua" w:hAnsi="Book Antiqua" w:cs="Times New Roman"/>
          <w:lang w:val="en-US"/>
        </w:rPr>
        <w:t>fatty acids.</w:t>
      </w:r>
      <w:r w:rsidR="00D14A05" w:rsidRPr="00D65CB0">
        <w:rPr>
          <w:rFonts w:ascii="Book Antiqua" w:hAnsi="Book Antiqua" w:cs="Times New Roman"/>
          <w:lang w:val="en-US"/>
        </w:rPr>
        <w:t xml:space="preserve"> </w:t>
      </w:r>
      <w:r w:rsidR="003B32B9" w:rsidRPr="00D65CB0">
        <w:rPr>
          <w:rFonts w:ascii="Book Antiqua" w:hAnsi="Book Antiqua" w:cs="Times New Roman"/>
          <w:lang w:val="en-US"/>
        </w:rPr>
        <w:t>Based on the presented data, w</w:t>
      </w:r>
      <w:r w:rsidR="00ED3509" w:rsidRPr="00D65CB0">
        <w:rPr>
          <w:rFonts w:ascii="Book Antiqua" w:hAnsi="Book Antiqua" w:cs="Times New Roman"/>
          <w:lang w:val="en-US"/>
        </w:rPr>
        <w:t xml:space="preserve">e </w:t>
      </w:r>
      <w:r w:rsidR="00413D25" w:rsidRPr="00D65CB0">
        <w:rPr>
          <w:rFonts w:ascii="Book Antiqua" w:hAnsi="Book Antiqua" w:cs="Times New Roman"/>
          <w:lang w:val="en-US"/>
        </w:rPr>
        <w:t xml:space="preserve">calculated the </w:t>
      </w:r>
      <w:r w:rsidR="00EA5D55" w:rsidRPr="00D65CB0">
        <w:rPr>
          <w:rFonts w:ascii="Book Antiqua" w:hAnsi="Book Antiqua" w:cs="Times New Roman"/>
          <w:lang w:val="en-US"/>
        </w:rPr>
        <w:t>UIs</w:t>
      </w:r>
      <w:r w:rsidR="00413D25" w:rsidRPr="00D65CB0">
        <w:rPr>
          <w:rFonts w:ascii="Book Antiqua" w:hAnsi="Book Antiqua" w:cs="Times New Roman"/>
          <w:lang w:val="en-US"/>
        </w:rPr>
        <w:t xml:space="preserve"> </w:t>
      </w:r>
      <w:r w:rsidR="008239D3" w:rsidRPr="00D65CB0">
        <w:rPr>
          <w:rFonts w:ascii="Book Antiqua" w:hAnsi="Book Antiqua" w:cs="Times New Roman"/>
          <w:lang w:val="en-US"/>
        </w:rPr>
        <w:t xml:space="preserve">of membrane phospholipids from </w:t>
      </w:r>
      <w:r w:rsidR="00E14213" w:rsidRPr="00D65CB0">
        <w:rPr>
          <w:rFonts w:ascii="Book Antiqua" w:hAnsi="Book Antiqua" w:cs="Times New Roman"/>
          <w:lang w:val="en-US"/>
        </w:rPr>
        <w:t xml:space="preserve">control subjects, </w:t>
      </w:r>
      <w:r w:rsidR="008239D3" w:rsidRPr="00D65CB0">
        <w:rPr>
          <w:rFonts w:ascii="Book Antiqua" w:hAnsi="Book Antiqua" w:cs="Times New Roman"/>
          <w:lang w:val="en-US"/>
        </w:rPr>
        <w:t>T2D patients with and without retinopathy</w:t>
      </w:r>
      <w:r w:rsidR="004830D8" w:rsidRPr="00D65CB0">
        <w:rPr>
          <w:rFonts w:ascii="Book Antiqua" w:hAnsi="Book Antiqua" w:cs="Times New Roman"/>
          <w:lang w:val="en-US"/>
        </w:rPr>
        <w:t>,</w:t>
      </w:r>
      <w:r w:rsidR="003B32B9" w:rsidRPr="00D65CB0">
        <w:rPr>
          <w:rFonts w:ascii="Book Antiqua" w:hAnsi="Book Antiqua" w:cs="Times New Roman"/>
          <w:lang w:val="en-US"/>
        </w:rPr>
        <w:t xml:space="preserve"> and </w:t>
      </w:r>
      <w:r w:rsidR="008239D3" w:rsidRPr="00D65CB0">
        <w:rPr>
          <w:rFonts w:ascii="Book Antiqua" w:hAnsi="Book Antiqua" w:cs="Times New Roman"/>
          <w:lang w:val="en-US"/>
        </w:rPr>
        <w:t>patients with gestational diabetes</w:t>
      </w:r>
      <w:r w:rsidR="00771B0B" w:rsidRPr="00D65CB0">
        <w:rPr>
          <w:rFonts w:ascii="Book Antiqua" w:hAnsi="Book Antiqua" w:cs="Times New Roman"/>
          <w:lang w:val="en-US"/>
        </w:rPr>
        <w:t xml:space="preserve"> mellitus</w:t>
      </w:r>
      <w:r w:rsidR="00183BCA" w:rsidRPr="00D65CB0">
        <w:rPr>
          <w:rFonts w:ascii="Book Antiqua" w:hAnsi="Book Antiqua" w:cs="Times New Roman"/>
          <w:vertAlign w:val="superscript"/>
          <w:lang w:val="en-US"/>
        </w:rPr>
        <w:t>[6]</w:t>
      </w:r>
      <w:r w:rsidR="00183BCA" w:rsidRPr="00D65CB0">
        <w:rPr>
          <w:rFonts w:ascii="Book Antiqua" w:hAnsi="Book Antiqua" w:cs="Times New Roman"/>
          <w:lang w:val="en-US"/>
        </w:rPr>
        <w:t>.</w:t>
      </w:r>
      <w:r w:rsidR="009864E3" w:rsidRPr="00D65CB0">
        <w:rPr>
          <w:rFonts w:ascii="Book Antiqua" w:hAnsi="Book Antiqua" w:cs="Times New Roman"/>
          <w:lang w:val="en-US"/>
        </w:rPr>
        <w:t xml:space="preserve"> </w:t>
      </w:r>
      <w:r w:rsidR="00177AB0" w:rsidRPr="00D65CB0">
        <w:rPr>
          <w:rFonts w:ascii="Book Antiqua" w:hAnsi="Book Antiqua" w:cs="Times New Roman"/>
          <w:lang w:val="en-US"/>
        </w:rPr>
        <w:t xml:space="preserve">For example, Table 1 describes the calculation of the UIs for controls and T2D patients without retinopathy included in the study of Koehrer </w:t>
      </w:r>
      <w:r w:rsidR="00177AB0" w:rsidRPr="00D65CB0">
        <w:rPr>
          <w:rFonts w:ascii="Book Antiqua" w:hAnsi="Book Antiqua" w:cs="Times New Roman"/>
          <w:i/>
          <w:lang w:val="en-US"/>
        </w:rPr>
        <w:t>et al</w:t>
      </w:r>
      <w:r w:rsidR="00177AB0" w:rsidRPr="00D65CB0">
        <w:rPr>
          <w:rFonts w:ascii="Book Antiqua" w:hAnsi="Book Antiqua" w:cs="Times New Roman"/>
          <w:vertAlign w:val="superscript"/>
          <w:lang w:val="en-US"/>
        </w:rPr>
        <w:t>[5]</w:t>
      </w:r>
      <w:r w:rsidR="00177AB0" w:rsidRPr="00D65CB0">
        <w:rPr>
          <w:rFonts w:ascii="Book Antiqua" w:hAnsi="Book Antiqua" w:cs="Times New Roman"/>
          <w:lang w:val="en-US"/>
        </w:rPr>
        <w:t>.</w:t>
      </w:r>
      <w:r w:rsidR="00B83636" w:rsidRPr="00D65CB0">
        <w:rPr>
          <w:rFonts w:ascii="Book Antiqua" w:hAnsi="Book Antiqua" w:cs="Times New Roman"/>
          <w:lang w:val="en-US"/>
        </w:rPr>
        <w:t xml:space="preserve"> </w:t>
      </w:r>
    </w:p>
    <w:p w:rsidR="006B49A6" w:rsidRPr="00D65CB0" w:rsidRDefault="00CC560C" w:rsidP="00B04C1B">
      <w:pPr>
        <w:adjustRightInd w:val="0"/>
        <w:snapToGrid w:val="0"/>
        <w:spacing w:after="0"/>
        <w:ind w:firstLineChars="100" w:firstLine="240"/>
        <w:jc w:val="both"/>
        <w:rPr>
          <w:rFonts w:ascii="Book Antiqua" w:hAnsi="Book Antiqua" w:cs="Times New Roman"/>
          <w:lang w:val="en-US"/>
        </w:rPr>
      </w:pPr>
      <w:r w:rsidRPr="00D65CB0">
        <w:rPr>
          <w:rFonts w:ascii="Book Antiqua" w:hAnsi="Book Antiqua" w:cs="Times New Roman"/>
          <w:lang w:val="en-US"/>
        </w:rPr>
        <w:t xml:space="preserve">The </w:t>
      </w:r>
      <w:r w:rsidR="00C20D8E" w:rsidRPr="00D65CB0">
        <w:rPr>
          <w:rFonts w:ascii="Book Antiqua" w:hAnsi="Book Antiqua" w:cs="Times New Roman"/>
          <w:lang w:val="en-US"/>
        </w:rPr>
        <w:t>UI</w:t>
      </w:r>
      <w:r w:rsidR="00F577AA" w:rsidRPr="00D65CB0">
        <w:rPr>
          <w:rFonts w:ascii="Book Antiqua" w:hAnsi="Book Antiqua" w:cs="Times New Roman"/>
          <w:lang w:val="en-US"/>
        </w:rPr>
        <w:t>s</w:t>
      </w:r>
      <w:r w:rsidR="00235318" w:rsidRPr="00D65CB0">
        <w:rPr>
          <w:rFonts w:ascii="Book Antiqua" w:hAnsi="Book Antiqua" w:cs="Times New Roman"/>
          <w:lang w:val="en-US"/>
        </w:rPr>
        <w:t xml:space="preserve"> based on</w:t>
      </w:r>
      <w:r w:rsidR="00F577AA" w:rsidRPr="00D65CB0">
        <w:rPr>
          <w:rFonts w:ascii="Book Antiqua" w:hAnsi="Book Antiqua" w:cs="Times New Roman"/>
          <w:lang w:val="en-US"/>
        </w:rPr>
        <w:t xml:space="preserve"> the</w:t>
      </w:r>
      <w:r w:rsidRPr="00D65CB0">
        <w:rPr>
          <w:rFonts w:ascii="Book Antiqua" w:hAnsi="Book Antiqua" w:cs="Times New Roman"/>
          <w:lang w:val="en-US"/>
        </w:rPr>
        <w:t xml:space="preserve"> erythrocyte</w:t>
      </w:r>
      <w:r w:rsidR="00771B0B" w:rsidRPr="00D65CB0">
        <w:rPr>
          <w:rFonts w:ascii="Book Antiqua" w:hAnsi="Book Antiqua" w:cs="Times New Roman"/>
          <w:lang w:val="en-US"/>
        </w:rPr>
        <w:t xml:space="preserve"> membrane</w:t>
      </w:r>
      <w:r w:rsidRPr="00D65CB0">
        <w:rPr>
          <w:rFonts w:ascii="Book Antiqua" w:hAnsi="Book Antiqua" w:cs="Times New Roman"/>
          <w:lang w:val="en-US"/>
        </w:rPr>
        <w:t xml:space="preserve"> fatty</w:t>
      </w:r>
      <w:r w:rsidR="00392391" w:rsidRPr="00D65CB0">
        <w:rPr>
          <w:rFonts w:ascii="Book Antiqua" w:hAnsi="Book Antiqua" w:cs="Times New Roman"/>
          <w:lang w:val="en-US"/>
        </w:rPr>
        <w:t>-</w:t>
      </w:r>
      <w:r w:rsidRPr="00D65CB0">
        <w:rPr>
          <w:rFonts w:ascii="Book Antiqua" w:hAnsi="Book Antiqua" w:cs="Times New Roman"/>
          <w:lang w:val="en-US"/>
        </w:rPr>
        <w:t>acid compositions reported</w:t>
      </w:r>
      <w:r w:rsidR="00357D39" w:rsidRPr="00D65CB0">
        <w:rPr>
          <w:rFonts w:ascii="Book Antiqua" w:hAnsi="Book Antiqua" w:cs="Times New Roman"/>
          <w:lang w:val="en-US"/>
        </w:rPr>
        <w:t xml:space="preserve"> in</w:t>
      </w:r>
      <w:r w:rsidRPr="00D65CB0">
        <w:rPr>
          <w:rFonts w:ascii="Book Antiqua" w:hAnsi="Book Antiqua" w:cs="Times New Roman"/>
          <w:lang w:val="en-US"/>
        </w:rPr>
        <w:t xml:space="preserve"> these studies</w:t>
      </w:r>
      <w:r w:rsidR="00392391" w:rsidRPr="00D65CB0">
        <w:rPr>
          <w:rFonts w:ascii="Book Antiqua" w:hAnsi="Book Antiqua" w:cs="Times New Roman"/>
          <w:vertAlign w:val="superscript"/>
          <w:lang w:val="en-US"/>
        </w:rPr>
        <w:t>[5,6]</w:t>
      </w:r>
      <w:r w:rsidR="00392391" w:rsidRPr="00D65CB0">
        <w:rPr>
          <w:rFonts w:ascii="Book Antiqua" w:hAnsi="Book Antiqua" w:cs="Times New Roman"/>
          <w:lang w:val="en-US"/>
        </w:rPr>
        <w:t xml:space="preserve"> yielded</w:t>
      </w:r>
      <w:r w:rsidRPr="00D65CB0">
        <w:rPr>
          <w:rFonts w:ascii="Book Antiqua" w:hAnsi="Book Antiqua" w:cs="Times New Roman"/>
          <w:lang w:val="en-US"/>
        </w:rPr>
        <w:t xml:space="preserve"> novel information</w:t>
      </w:r>
      <w:r w:rsidR="001744CC" w:rsidRPr="00D65CB0">
        <w:rPr>
          <w:rFonts w:ascii="Book Antiqua" w:hAnsi="Book Antiqua" w:cs="Times New Roman"/>
          <w:lang w:val="en-US"/>
        </w:rPr>
        <w:t xml:space="preserve"> (Table </w:t>
      </w:r>
      <w:r w:rsidR="002B5F3B" w:rsidRPr="00D65CB0">
        <w:rPr>
          <w:rFonts w:ascii="Book Antiqua" w:hAnsi="Book Antiqua" w:cs="Times New Roman"/>
          <w:lang w:val="en-US"/>
        </w:rPr>
        <w:t>2</w:t>
      </w:r>
      <w:r w:rsidR="001744CC" w:rsidRPr="00D65CB0">
        <w:rPr>
          <w:rFonts w:ascii="Book Antiqua" w:hAnsi="Book Antiqua" w:cs="Times New Roman"/>
          <w:lang w:val="en-US"/>
        </w:rPr>
        <w:t>)</w:t>
      </w:r>
      <w:r w:rsidR="008239D3" w:rsidRPr="00D65CB0">
        <w:rPr>
          <w:rFonts w:ascii="Book Antiqua" w:hAnsi="Book Antiqua" w:cs="Times New Roman"/>
          <w:lang w:val="en-US"/>
        </w:rPr>
        <w:t>. First,</w:t>
      </w:r>
      <w:r w:rsidR="00357D39" w:rsidRPr="00D65CB0">
        <w:rPr>
          <w:rFonts w:ascii="Book Antiqua" w:hAnsi="Book Antiqua" w:cs="Times New Roman"/>
          <w:lang w:val="en-US"/>
        </w:rPr>
        <w:t xml:space="preserve"> although </w:t>
      </w:r>
      <w:r w:rsidR="00DC20C9" w:rsidRPr="00D65CB0">
        <w:rPr>
          <w:rFonts w:ascii="Book Antiqua" w:hAnsi="Book Antiqua" w:cs="Times New Roman"/>
          <w:lang w:val="en-US"/>
        </w:rPr>
        <w:t>phosphatidylcholine</w:t>
      </w:r>
      <w:r w:rsidR="00357D39" w:rsidRPr="00D65CB0">
        <w:rPr>
          <w:rFonts w:ascii="Book Antiqua" w:hAnsi="Book Antiqua" w:cs="Times New Roman"/>
          <w:lang w:val="en-US"/>
        </w:rPr>
        <w:t xml:space="preserve"> and</w:t>
      </w:r>
      <w:r w:rsidR="00DC20C9" w:rsidRPr="00D65CB0">
        <w:rPr>
          <w:rFonts w:ascii="Book Antiqua" w:hAnsi="Book Antiqua" w:cs="Times New Roman"/>
          <w:lang w:val="en-US"/>
        </w:rPr>
        <w:t xml:space="preserve"> phosphatidylethanolamine</w:t>
      </w:r>
      <w:r w:rsidR="00357D39" w:rsidRPr="00D65CB0">
        <w:rPr>
          <w:rFonts w:ascii="Book Antiqua" w:hAnsi="Book Antiqua" w:cs="Times New Roman"/>
          <w:lang w:val="en-US"/>
        </w:rPr>
        <w:t xml:space="preserve"> comprise</w:t>
      </w:r>
      <w:r w:rsidR="00392391" w:rsidRPr="00D65CB0">
        <w:rPr>
          <w:rFonts w:ascii="Book Antiqua" w:hAnsi="Book Antiqua" w:cs="Times New Roman"/>
          <w:lang w:val="en-US"/>
        </w:rPr>
        <w:t xml:space="preserve"> </w:t>
      </w:r>
      <w:r w:rsidR="00DC621B" w:rsidRPr="00D65CB0">
        <w:rPr>
          <w:rFonts w:ascii="Book Antiqua" w:hAnsi="Book Antiqua" w:cs="Times New Roman" w:hint="eastAsia"/>
          <w:lang w:val="en-US" w:eastAsia="zh-CN"/>
        </w:rPr>
        <w:t xml:space="preserve">about </w:t>
      </w:r>
      <w:r w:rsidR="007F24F5" w:rsidRPr="00D65CB0">
        <w:rPr>
          <w:rFonts w:ascii="Book Antiqua" w:hAnsi="Book Antiqua" w:cs="Times New Roman"/>
          <w:lang w:val="en-US"/>
        </w:rPr>
        <w:t>6</w:t>
      </w:r>
      <w:r w:rsidR="00357D39" w:rsidRPr="00D65CB0">
        <w:rPr>
          <w:rFonts w:ascii="Book Antiqua" w:hAnsi="Book Antiqua" w:cs="Times New Roman"/>
          <w:lang w:val="en-US"/>
        </w:rPr>
        <w:t>0% of the total phospholipid in the</w:t>
      </w:r>
      <w:r w:rsidR="001D69A4" w:rsidRPr="00D65CB0">
        <w:rPr>
          <w:rFonts w:ascii="Book Antiqua" w:hAnsi="Book Antiqua" w:cs="Times New Roman"/>
          <w:lang w:val="en-US"/>
        </w:rPr>
        <w:t xml:space="preserve"> bilayer</w:t>
      </w:r>
      <w:r w:rsidR="008F283B" w:rsidRPr="00D65CB0">
        <w:rPr>
          <w:rFonts w:ascii="Book Antiqua" w:hAnsi="Book Antiqua" w:cs="Times New Roman"/>
          <w:lang w:val="en-US"/>
        </w:rPr>
        <w:t xml:space="preserve"> </w:t>
      </w:r>
      <w:r w:rsidR="00357D39" w:rsidRPr="00D65CB0">
        <w:rPr>
          <w:rFonts w:ascii="Book Antiqua" w:hAnsi="Book Antiqua" w:cs="Times New Roman"/>
          <w:lang w:val="en-US"/>
        </w:rPr>
        <w:t>membrane</w:t>
      </w:r>
      <w:r w:rsidR="00392391" w:rsidRPr="00D65CB0">
        <w:rPr>
          <w:rFonts w:ascii="Book Antiqua" w:hAnsi="Book Antiqua" w:cs="Times New Roman"/>
          <w:lang w:val="en-US"/>
        </w:rPr>
        <w:t xml:space="preserve"> of human erythrocytes</w:t>
      </w:r>
      <w:r w:rsidR="00357D39" w:rsidRPr="00D65CB0">
        <w:rPr>
          <w:rFonts w:ascii="Book Antiqua" w:hAnsi="Book Antiqua" w:cs="Times New Roman"/>
          <w:lang w:val="en-US"/>
        </w:rPr>
        <w:t xml:space="preserve">, </w:t>
      </w:r>
      <w:r w:rsidR="00FB02D9" w:rsidRPr="00D65CB0">
        <w:rPr>
          <w:rFonts w:ascii="Book Antiqua" w:hAnsi="Book Antiqua" w:cs="Times New Roman"/>
          <w:lang w:val="en-US"/>
        </w:rPr>
        <w:t>the</w:t>
      </w:r>
      <w:r w:rsidR="00F577AA" w:rsidRPr="00D65CB0">
        <w:rPr>
          <w:rFonts w:ascii="Book Antiqua" w:hAnsi="Book Antiqua" w:cs="Times New Roman"/>
          <w:lang w:val="en-US"/>
        </w:rPr>
        <w:t xml:space="preserve"> </w:t>
      </w:r>
      <w:r w:rsidR="00FB02D9" w:rsidRPr="00D65CB0">
        <w:rPr>
          <w:rFonts w:ascii="Book Antiqua" w:hAnsi="Book Antiqua" w:cs="Times New Roman"/>
          <w:lang w:val="en-US"/>
        </w:rPr>
        <w:t xml:space="preserve">red cell </w:t>
      </w:r>
      <w:r w:rsidR="00392391" w:rsidRPr="00D65CB0">
        <w:rPr>
          <w:rFonts w:ascii="Book Antiqua" w:hAnsi="Book Antiqua" w:cs="Times New Roman"/>
          <w:lang w:val="en-US"/>
        </w:rPr>
        <w:t xml:space="preserve">phosphatidylcholine </w:t>
      </w:r>
      <w:r w:rsidR="00FB02D9" w:rsidRPr="00D65CB0">
        <w:rPr>
          <w:rFonts w:ascii="Book Antiqua" w:hAnsi="Book Antiqua" w:cs="Times New Roman"/>
          <w:lang w:val="en-US"/>
        </w:rPr>
        <w:t xml:space="preserve">and </w:t>
      </w:r>
      <w:r w:rsidR="00392391" w:rsidRPr="00D65CB0">
        <w:rPr>
          <w:rFonts w:ascii="Book Antiqua" w:hAnsi="Book Antiqua" w:cs="Times New Roman"/>
          <w:lang w:val="en-US"/>
        </w:rPr>
        <w:t xml:space="preserve">phosphatidylethanolamine </w:t>
      </w:r>
      <w:r w:rsidR="003B32B9" w:rsidRPr="00D65CB0">
        <w:rPr>
          <w:rFonts w:ascii="Book Antiqua" w:hAnsi="Book Antiqua" w:cs="Times New Roman"/>
          <w:lang w:val="en-US"/>
        </w:rPr>
        <w:t xml:space="preserve">UI </w:t>
      </w:r>
      <w:r w:rsidR="00F577AA" w:rsidRPr="00D65CB0">
        <w:rPr>
          <w:rFonts w:ascii="Book Antiqua" w:hAnsi="Book Antiqua" w:cs="Times New Roman"/>
          <w:lang w:val="en-US"/>
        </w:rPr>
        <w:t xml:space="preserve">of </w:t>
      </w:r>
      <w:r w:rsidR="00FB02D9" w:rsidRPr="00D65CB0">
        <w:rPr>
          <w:rFonts w:ascii="Book Antiqua" w:hAnsi="Book Antiqua" w:cs="Times New Roman"/>
          <w:lang w:val="en-US"/>
        </w:rPr>
        <w:t>subjects with normal glucose</w:t>
      </w:r>
      <w:r w:rsidR="008F283B" w:rsidRPr="00D65CB0">
        <w:rPr>
          <w:rFonts w:ascii="Book Antiqua" w:hAnsi="Book Antiqua" w:cs="Times New Roman"/>
          <w:lang w:val="en-US"/>
        </w:rPr>
        <w:t xml:space="preserve"> </w:t>
      </w:r>
      <w:r w:rsidR="00FB02D9" w:rsidRPr="00D65CB0">
        <w:rPr>
          <w:rFonts w:ascii="Book Antiqua" w:hAnsi="Book Antiqua" w:cs="Times New Roman"/>
          <w:lang w:val="en-US"/>
        </w:rPr>
        <w:t xml:space="preserve">tolerance in the </w:t>
      </w:r>
      <w:r w:rsidR="00392391" w:rsidRPr="00D65CB0">
        <w:rPr>
          <w:rFonts w:ascii="Book Antiqua" w:hAnsi="Book Antiqua" w:cs="Times New Roman"/>
          <w:lang w:val="en-US"/>
        </w:rPr>
        <w:t>gestational</w:t>
      </w:r>
      <w:r w:rsidR="00A678F0" w:rsidRPr="00D65CB0">
        <w:rPr>
          <w:rFonts w:ascii="Book Antiqua" w:hAnsi="Book Antiqua" w:cs="Times New Roman"/>
          <w:lang w:val="en-US"/>
        </w:rPr>
        <w:t xml:space="preserve"> </w:t>
      </w:r>
      <w:r w:rsidR="00392391" w:rsidRPr="00D65CB0">
        <w:rPr>
          <w:rFonts w:ascii="Book Antiqua" w:hAnsi="Book Antiqua" w:cs="Times New Roman"/>
          <w:lang w:val="en-US"/>
        </w:rPr>
        <w:t xml:space="preserve">diabetes mellitus </w:t>
      </w:r>
      <w:r w:rsidR="00FB02D9" w:rsidRPr="00D65CB0">
        <w:rPr>
          <w:rFonts w:ascii="Book Antiqua" w:hAnsi="Book Antiqua" w:cs="Times New Roman"/>
          <w:lang w:val="en-US"/>
        </w:rPr>
        <w:t>stud</w:t>
      </w:r>
      <w:r w:rsidR="00D14A05" w:rsidRPr="00D65CB0">
        <w:rPr>
          <w:rFonts w:ascii="Book Antiqua" w:hAnsi="Book Antiqua" w:cs="Times New Roman"/>
          <w:lang w:val="en-US"/>
        </w:rPr>
        <w:t>y</w:t>
      </w:r>
      <w:r w:rsidR="00392391" w:rsidRPr="00D65CB0">
        <w:rPr>
          <w:rFonts w:ascii="Book Antiqua" w:hAnsi="Book Antiqua" w:cs="Times New Roman"/>
          <w:vertAlign w:val="superscript"/>
          <w:lang w:val="en-US"/>
        </w:rPr>
        <w:t>[6]</w:t>
      </w:r>
      <w:r w:rsidR="00392391" w:rsidRPr="00D65CB0">
        <w:rPr>
          <w:rFonts w:ascii="Book Antiqua" w:hAnsi="Book Antiqua" w:cs="Times New Roman"/>
          <w:lang w:val="en-US"/>
        </w:rPr>
        <w:t xml:space="preserve"> </w:t>
      </w:r>
      <w:r w:rsidR="007A572A" w:rsidRPr="00D65CB0">
        <w:rPr>
          <w:rFonts w:ascii="Book Antiqua" w:hAnsi="Book Antiqua" w:cs="Times New Roman"/>
          <w:lang w:val="en-US"/>
        </w:rPr>
        <w:t xml:space="preserve">are in line with </w:t>
      </w:r>
      <w:r w:rsidR="00DC096A" w:rsidRPr="00D65CB0">
        <w:rPr>
          <w:rFonts w:ascii="Book Antiqua" w:hAnsi="Book Antiqua" w:cs="Times New Roman"/>
          <w:lang w:val="en-US"/>
        </w:rPr>
        <w:t>the total phospholipid UI</w:t>
      </w:r>
      <w:r w:rsidR="00C20D8E" w:rsidRPr="00D65CB0">
        <w:rPr>
          <w:rFonts w:ascii="Book Antiqua" w:hAnsi="Book Antiqua" w:cs="Times New Roman"/>
          <w:lang w:val="en-US"/>
        </w:rPr>
        <w:t xml:space="preserve"> of the reference</w:t>
      </w:r>
      <w:r w:rsidR="008F283B" w:rsidRPr="00D65CB0">
        <w:rPr>
          <w:rFonts w:ascii="Book Antiqua" w:hAnsi="Book Antiqua" w:cs="Times New Roman"/>
          <w:lang w:val="en-US"/>
        </w:rPr>
        <w:t xml:space="preserve"> </w:t>
      </w:r>
      <w:r w:rsidR="00C20D8E" w:rsidRPr="00D65CB0">
        <w:rPr>
          <w:rFonts w:ascii="Book Antiqua" w:hAnsi="Book Antiqua" w:cs="Times New Roman"/>
          <w:lang w:val="en-US"/>
        </w:rPr>
        <w:t>population in the diabetic retinopathy study</w:t>
      </w:r>
      <w:r w:rsidR="00A678F0" w:rsidRPr="00D65CB0">
        <w:rPr>
          <w:rFonts w:ascii="Book Antiqua" w:hAnsi="Book Antiqua" w:cs="Times New Roman"/>
          <w:vertAlign w:val="superscript"/>
          <w:lang w:val="en-US"/>
        </w:rPr>
        <w:t>[5]</w:t>
      </w:r>
      <w:r w:rsidR="006079E6" w:rsidRPr="00D65CB0">
        <w:rPr>
          <w:rFonts w:ascii="Book Antiqua" w:hAnsi="Book Antiqua" w:cs="Times New Roman"/>
          <w:lang w:val="en-US"/>
        </w:rPr>
        <w:t xml:space="preserve"> (162.8 and 155.4, respectively; Δ = 4.5%)</w:t>
      </w:r>
      <w:r w:rsidR="00AA0FD6" w:rsidRPr="00D65CB0">
        <w:rPr>
          <w:rFonts w:ascii="Book Antiqua" w:hAnsi="Book Antiqua" w:cs="Times New Roman"/>
          <w:lang w:val="en-US"/>
        </w:rPr>
        <w:t>.</w:t>
      </w:r>
      <w:r w:rsidR="00136281" w:rsidRPr="00D65CB0">
        <w:rPr>
          <w:rFonts w:ascii="Book Antiqua" w:hAnsi="Book Antiqua" w:cs="Times New Roman"/>
          <w:lang w:val="en-US"/>
        </w:rPr>
        <w:t xml:space="preserve"> </w:t>
      </w:r>
      <w:r w:rsidR="00867C30" w:rsidRPr="00D65CB0">
        <w:rPr>
          <w:rFonts w:ascii="Book Antiqua" w:hAnsi="Book Antiqua" w:cs="Times New Roman"/>
          <w:lang w:val="en-US"/>
        </w:rPr>
        <w:t>Second,</w:t>
      </w:r>
      <w:r w:rsidR="00B960C1" w:rsidRPr="00D65CB0">
        <w:rPr>
          <w:rFonts w:ascii="Book Antiqua" w:hAnsi="Book Antiqua" w:cs="Times New Roman"/>
          <w:lang w:val="en-US"/>
        </w:rPr>
        <w:t xml:space="preserve"> the </w:t>
      </w:r>
      <w:r w:rsidR="00FE0950" w:rsidRPr="00D65CB0">
        <w:rPr>
          <w:rFonts w:ascii="Book Antiqua" w:hAnsi="Book Antiqua" w:cs="Times New Roman"/>
          <w:lang w:val="en-US"/>
        </w:rPr>
        <w:t>d</w:t>
      </w:r>
      <w:r w:rsidR="00B960C1" w:rsidRPr="00D65CB0">
        <w:rPr>
          <w:rFonts w:ascii="Book Antiqua" w:hAnsi="Book Antiqua" w:cs="Times New Roman"/>
          <w:lang w:val="en-US"/>
        </w:rPr>
        <w:t>ecrease</w:t>
      </w:r>
      <w:r w:rsidR="00613A3C" w:rsidRPr="00D65CB0">
        <w:rPr>
          <w:rFonts w:ascii="Book Antiqua" w:hAnsi="Book Antiqua" w:cs="Times New Roman"/>
          <w:lang w:val="en-US"/>
        </w:rPr>
        <w:t xml:space="preserve"> </w:t>
      </w:r>
      <w:r w:rsidR="00A678F0" w:rsidRPr="00D65CB0">
        <w:rPr>
          <w:rFonts w:ascii="Book Antiqua" w:hAnsi="Book Antiqua" w:cs="Times New Roman"/>
          <w:lang w:val="en-US"/>
        </w:rPr>
        <w:t>in</w:t>
      </w:r>
      <w:r w:rsidR="00F56E47" w:rsidRPr="00D65CB0">
        <w:rPr>
          <w:rFonts w:ascii="Book Antiqua" w:hAnsi="Book Antiqua" w:cs="Times New Roman"/>
          <w:lang w:val="en-US"/>
        </w:rPr>
        <w:t xml:space="preserve"> the UI</w:t>
      </w:r>
      <w:r w:rsidR="00A678F0" w:rsidRPr="00D65CB0">
        <w:rPr>
          <w:rFonts w:ascii="Book Antiqua" w:hAnsi="Book Antiqua" w:cs="Times New Roman"/>
          <w:lang w:val="en-US"/>
        </w:rPr>
        <w:t xml:space="preserve"> </w:t>
      </w:r>
      <w:r w:rsidR="00613A3C" w:rsidRPr="00D65CB0">
        <w:rPr>
          <w:rFonts w:ascii="Book Antiqua" w:hAnsi="Book Antiqua" w:cs="Times New Roman"/>
          <w:lang w:val="en-US"/>
        </w:rPr>
        <w:t xml:space="preserve">of </w:t>
      </w:r>
      <w:r w:rsidR="00F56E47" w:rsidRPr="00D65CB0">
        <w:rPr>
          <w:rFonts w:ascii="Book Antiqua" w:hAnsi="Book Antiqua" w:cs="Times New Roman"/>
          <w:lang w:val="en-US"/>
        </w:rPr>
        <w:t>phosphatidylcholine</w:t>
      </w:r>
      <w:r w:rsidR="00613A3C" w:rsidRPr="00D65CB0">
        <w:rPr>
          <w:rFonts w:ascii="Book Antiqua" w:hAnsi="Book Antiqua" w:cs="Times New Roman"/>
          <w:lang w:val="en-US"/>
        </w:rPr>
        <w:t xml:space="preserve"> and </w:t>
      </w:r>
      <w:r w:rsidR="00B06B02" w:rsidRPr="00D65CB0">
        <w:rPr>
          <w:rFonts w:ascii="Book Antiqua" w:hAnsi="Book Antiqua" w:cs="Times New Roman"/>
          <w:lang w:val="en-US"/>
        </w:rPr>
        <w:t xml:space="preserve">phosphatidylethanolamine </w:t>
      </w:r>
      <w:r w:rsidR="00F56E47" w:rsidRPr="00D65CB0">
        <w:rPr>
          <w:rFonts w:ascii="Book Antiqua" w:hAnsi="Book Antiqua" w:cs="Times New Roman"/>
          <w:lang w:val="en-US"/>
        </w:rPr>
        <w:t>for gestational diabetes mellitus p</w:t>
      </w:r>
      <w:r w:rsidR="00751E24" w:rsidRPr="00D65CB0">
        <w:rPr>
          <w:rFonts w:ascii="Book Antiqua" w:hAnsi="Book Antiqua" w:cs="Times New Roman"/>
          <w:lang w:val="en-US"/>
        </w:rPr>
        <w:t>atients</w:t>
      </w:r>
      <w:r w:rsidR="003B32B9" w:rsidRPr="00D65CB0">
        <w:rPr>
          <w:rFonts w:ascii="Book Antiqua" w:hAnsi="Book Antiqua" w:cs="Times New Roman"/>
          <w:lang w:val="en-US"/>
        </w:rPr>
        <w:t xml:space="preserve"> </w:t>
      </w:r>
      <w:r w:rsidR="00F56E47" w:rsidRPr="00D65CB0">
        <w:rPr>
          <w:rFonts w:ascii="Book Antiqua" w:hAnsi="Book Antiqua" w:cs="Times New Roman"/>
          <w:lang w:val="en-US"/>
        </w:rPr>
        <w:t xml:space="preserve">relative to </w:t>
      </w:r>
      <w:r w:rsidR="003B32B9" w:rsidRPr="00D65CB0">
        <w:rPr>
          <w:rFonts w:ascii="Book Antiqua" w:hAnsi="Book Antiqua" w:cs="Times New Roman"/>
          <w:lang w:val="en-US"/>
        </w:rPr>
        <w:t>controls</w:t>
      </w:r>
      <w:r w:rsidR="00B960C1" w:rsidRPr="00D65CB0">
        <w:rPr>
          <w:rFonts w:ascii="Book Antiqua" w:hAnsi="Book Antiqua" w:cs="Times New Roman"/>
          <w:lang w:val="en-US"/>
        </w:rPr>
        <w:t xml:space="preserve"> w</w:t>
      </w:r>
      <w:r w:rsidR="00FE0950" w:rsidRPr="00D65CB0">
        <w:rPr>
          <w:rFonts w:ascii="Book Antiqua" w:hAnsi="Book Antiqua" w:cs="Times New Roman"/>
          <w:lang w:val="en-US"/>
        </w:rPr>
        <w:t>as</w:t>
      </w:r>
      <w:r w:rsidR="00235318" w:rsidRPr="00D65CB0">
        <w:rPr>
          <w:rFonts w:ascii="Book Antiqua" w:hAnsi="Book Antiqua" w:cs="Times New Roman"/>
          <w:lang w:val="en-US"/>
        </w:rPr>
        <w:t xml:space="preserve"> </w:t>
      </w:r>
      <w:r w:rsidR="0062065A" w:rsidRPr="00D65CB0">
        <w:rPr>
          <w:rFonts w:ascii="Book Antiqua" w:hAnsi="Book Antiqua" w:cs="Times New Roman"/>
          <w:lang w:val="en-US"/>
        </w:rPr>
        <w:t xml:space="preserve">substantially higher than </w:t>
      </w:r>
      <w:r w:rsidR="00B960C1" w:rsidRPr="00D65CB0">
        <w:rPr>
          <w:rFonts w:ascii="Book Antiqua" w:hAnsi="Book Antiqua" w:cs="Times New Roman"/>
          <w:lang w:val="en-US"/>
        </w:rPr>
        <w:t>the</w:t>
      </w:r>
      <w:r w:rsidR="00FE0950" w:rsidRPr="00D65CB0">
        <w:rPr>
          <w:rFonts w:ascii="Book Antiqua" w:hAnsi="Book Antiqua" w:cs="Times New Roman"/>
          <w:lang w:val="en-US"/>
        </w:rPr>
        <w:t xml:space="preserve"> total phospholipid UI</w:t>
      </w:r>
      <w:r w:rsidR="00B960C1" w:rsidRPr="00D65CB0">
        <w:rPr>
          <w:rFonts w:ascii="Book Antiqua" w:hAnsi="Book Antiqua" w:cs="Times New Roman"/>
          <w:lang w:val="en-US"/>
        </w:rPr>
        <w:t xml:space="preserve"> decrease </w:t>
      </w:r>
      <w:r w:rsidR="00F56E47" w:rsidRPr="00D65CB0">
        <w:rPr>
          <w:rFonts w:ascii="Book Antiqua" w:hAnsi="Book Antiqua" w:cs="Times New Roman"/>
          <w:lang w:val="en-US"/>
        </w:rPr>
        <w:t xml:space="preserve">for </w:t>
      </w:r>
      <w:r w:rsidR="00423F3C" w:rsidRPr="00D65CB0">
        <w:rPr>
          <w:rFonts w:ascii="Book Antiqua" w:hAnsi="Book Antiqua" w:cs="Times New Roman"/>
          <w:lang w:val="en-US"/>
        </w:rPr>
        <w:t>T2D individuals without</w:t>
      </w:r>
      <w:r w:rsidR="008F283B" w:rsidRPr="00D65CB0">
        <w:rPr>
          <w:rFonts w:ascii="Book Antiqua" w:hAnsi="Book Antiqua" w:cs="Times New Roman"/>
          <w:lang w:val="en-US"/>
        </w:rPr>
        <w:t xml:space="preserve"> </w:t>
      </w:r>
      <w:r w:rsidR="00423F3C" w:rsidRPr="00D65CB0">
        <w:rPr>
          <w:rFonts w:ascii="Book Antiqua" w:hAnsi="Book Antiqua" w:cs="Times New Roman"/>
          <w:lang w:val="en-US"/>
        </w:rPr>
        <w:t xml:space="preserve">diabetic retinopathy compared </w:t>
      </w:r>
      <w:r w:rsidR="00613A3C" w:rsidRPr="00D65CB0">
        <w:rPr>
          <w:rFonts w:ascii="Book Antiqua" w:hAnsi="Book Antiqua" w:cs="Times New Roman"/>
          <w:lang w:val="en-US"/>
        </w:rPr>
        <w:t>with</w:t>
      </w:r>
      <w:r w:rsidR="00FE0950" w:rsidRPr="00D65CB0">
        <w:rPr>
          <w:rFonts w:ascii="Book Antiqua" w:hAnsi="Book Antiqua" w:cs="Times New Roman"/>
          <w:lang w:val="en-US"/>
        </w:rPr>
        <w:t xml:space="preserve"> </w:t>
      </w:r>
      <w:r w:rsidR="00423F3C" w:rsidRPr="00D65CB0">
        <w:rPr>
          <w:rFonts w:ascii="Book Antiqua" w:hAnsi="Book Antiqua" w:cs="Times New Roman"/>
          <w:lang w:val="en-US"/>
        </w:rPr>
        <w:t>controls</w:t>
      </w:r>
      <w:r w:rsidR="006079E6" w:rsidRPr="00D65CB0">
        <w:rPr>
          <w:rFonts w:ascii="Book Antiqua" w:hAnsi="Book Antiqua" w:cs="Times New Roman"/>
          <w:lang w:val="en-US"/>
        </w:rPr>
        <w:t xml:space="preserve"> (16.3% and 13.</w:t>
      </w:r>
      <w:r w:rsidR="001F51F2" w:rsidRPr="00D65CB0">
        <w:rPr>
          <w:rFonts w:ascii="Book Antiqua" w:hAnsi="Book Antiqua" w:cs="Times New Roman"/>
          <w:lang w:val="en-US"/>
        </w:rPr>
        <w:t>5</w:t>
      </w:r>
      <w:r w:rsidR="006079E6" w:rsidRPr="00D65CB0">
        <w:rPr>
          <w:rFonts w:ascii="Book Antiqua" w:hAnsi="Book Antiqua" w:cs="Times New Roman"/>
          <w:lang w:val="en-US"/>
        </w:rPr>
        <w:t xml:space="preserve">%, respectively; Δ = </w:t>
      </w:r>
      <w:r w:rsidR="006E0DFE" w:rsidRPr="00D65CB0">
        <w:rPr>
          <w:rFonts w:ascii="Book Antiqua" w:hAnsi="Book Antiqua" w:cs="Times New Roman"/>
          <w:lang w:val="en-US"/>
        </w:rPr>
        <w:t>17.2</w:t>
      </w:r>
      <w:r w:rsidR="006079E6" w:rsidRPr="00D65CB0">
        <w:rPr>
          <w:rFonts w:ascii="Book Antiqua" w:hAnsi="Book Antiqua" w:cs="Times New Roman"/>
          <w:lang w:val="en-US"/>
        </w:rPr>
        <w:t>%)</w:t>
      </w:r>
      <w:r w:rsidR="0062065A" w:rsidRPr="00D65CB0">
        <w:rPr>
          <w:rFonts w:ascii="Book Antiqua" w:hAnsi="Book Antiqua" w:cs="Times New Roman"/>
          <w:lang w:val="en-US"/>
        </w:rPr>
        <w:t xml:space="preserve">, due to two underlying phenomena, </w:t>
      </w:r>
      <w:r w:rsidR="0062065A" w:rsidRPr="00D65CB0">
        <w:rPr>
          <w:rFonts w:ascii="Book Antiqua" w:hAnsi="Book Antiqua" w:cs="Times New Roman"/>
          <w:i/>
          <w:lang w:val="en-US"/>
        </w:rPr>
        <w:t>i.e.</w:t>
      </w:r>
      <w:r w:rsidR="00DC621B" w:rsidRPr="00D65CB0">
        <w:rPr>
          <w:rFonts w:ascii="Book Antiqua" w:hAnsi="Book Antiqua" w:cs="Times New Roman" w:hint="eastAsia"/>
          <w:i/>
          <w:lang w:val="en-US" w:eastAsia="zh-CN"/>
        </w:rPr>
        <w:t>,</w:t>
      </w:r>
      <w:r w:rsidR="0062065A" w:rsidRPr="00D65CB0">
        <w:rPr>
          <w:rFonts w:ascii="Book Antiqua" w:hAnsi="Book Antiqua" w:cs="Times New Roman"/>
          <w:lang w:val="en-US"/>
        </w:rPr>
        <w:t xml:space="preserve"> a temporary</w:t>
      </w:r>
      <w:r w:rsidR="008838EE" w:rsidRPr="00D65CB0">
        <w:rPr>
          <w:rFonts w:ascii="Book Antiqua" w:hAnsi="Book Antiqua" w:cs="Times New Roman"/>
          <w:lang w:val="en-US"/>
        </w:rPr>
        <w:t xml:space="preserve"> gestational </w:t>
      </w:r>
      <w:r w:rsidR="0062065A" w:rsidRPr="00D65CB0">
        <w:rPr>
          <w:rFonts w:ascii="Book Antiqua" w:hAnsi="Book Antiqua" w:cs="Times New Roman"/>
          <w:lang w:val="en-US"/>
        </w:rPr>
        <w:t>and a chronic</w:t>
      </w:r>
      <w:r w:rsidR="008838EE" w:rsidRPr="00D65CB0">
        <w:rPr>
          <w:rFonts w:ascii="Book Antiqua" w:hAnsi="Book Antiqua" w:cs="Times New Roman"/>
          <w:lang w:val="en-US"/>
        </w:rPr>
        <w:t xml:space="preserve"> prediabetic</w:t>
      </w:r>
      <w:r w:rsidR="0062065A" w:rsidRPr="00D65CB0">
        <w:rPr>
          <w:rFonts w:ascii="Book Antiqua" w:hAnsi="Book Antiqua" w:cs="Times New Roman"/>
          <w:lang w:val="en-US"/>
        </w:rPr>
        <w:t xml:space="preserve"> increase in plasma FFA</w:t>
      </w:r>
      <w:r w:rsidR="0062065A" w:rsidRPr="00D65CB0">
        <w:rPr>
          <w:rFonts w:ascii="Book Antiqua" w:hAnsi="Book Antiqua" w:cs="Times New Roman"/>
          <w:vertAlign w:val="superscript"/>
          <w:lang w:val="en-US"/>
        </w:rPr>
        <w:t>[</w:t>
      </w:r>
      <w:r w:rsidR="006857FA" w:rsidRPr="00D65CB0">
        <w:rPr>
          <w:rFonts w:ascii="Book Antiqua" w:hAnsi="Book Antiqua" w:cs="Times New Roman"/>
          <w:vertAlign w:val="superscript"/>
          <w:lang w:val="en-US"/>
        </w:rPr>
        <w:t>7</w:t>
      </w:r>
      <w:r w:rsidR="0062065A" w:rsidRPr="00D65CB0">
        <w:rPr>
          <w:rFonts w:ascii="Book Antiqua" w:hAnsi="Book Antiqua" w:cs="Times New Roman"/>
          <w:vertAlign w:val="superscript"/>
          <w:lang w:val="en-US"/>
        </w:rPr>
        <w:t>]</w:t>
      </w:r>
      <w:r w:rsidR="006079E6" w:rsidRPr="00D65CB0">
        <w:rPr>
          <w:rFonts w:ascii="Book Antiqua" w:hAnsi="Book Antiqua" w:cs="Times New Roman"/>
          <w:lang w:val="en-US"/>
        </w:rPr>
        <w:t xml:space="preserve">. </w:t>
      </w:r>
      <w:r w:rsidR="00293E84" w:rsidRPr="00D65CB0">
        <w:rPr>
          <w:rFonts w:ascii="Book Antiqua" w:hAnsi="Book Antiqua" w:cs="Times New Roman"/>
          <w:lang w:val="en-US"/>
        </w:rPr>
        <w:t>Third,</w:t>
      </w:r>
      <w:r w:rsidR="003201DB" w:rsidRPr="00D65CB0">
        <w:rPr>
          <w:rFonts w:ascii="Book Antiqua" w:hAnsi="Book Antiqua" w:cs="Times New Roman"/>
          <w:lang w:val="en-US"/>
        </w:rPr>
        <w:t xml:space="preserve"> the</w:t>
      </w:r>
      <w:r w:rsidR="00293E84" w:rsidRPr="00D65CB0">
        <w:rPr>
          <w:rFonts w:ascii="Book Antiqua" w:hAnsi="Book Antiqua" w:cs="Times New Roman"/>
          <w:lang w:val="en-US"/>
        </w:rPr>
        <w:t xml:space="preserve"> total phospholipid UI was </w:t>
      </w:r>
      <w:r w:rsidR="003201DB" w:rsidRPr="00D65CB0">
        <w:rPr>
          <w:rFonts w:ascii="Book Antiqua" w:hAnsi="Book Antiqua" w:cs="Times New Roman"/>
          <w:lang w:val="en-US"/>
        </w:rPr>
        <w:t xml:space="preserve">substantially lower </w:t>
      </w:r>
      <w:r w:rsidR="00293E84" w:rsidRPr="00D65CB0">
        <w:rPr>
          <w:rFonts w:ascii="Book Antiqua" w:hAnsi="Book Antiqua" w:cs="Times New Roman"/>
          <w:lang w:val="en-US"/>
        </w:rPr>
        <w:t xml:space="preserve">in T2D individuals </w:t>
      </w:r>
      <w:r w:rsidR="003201DB" w:rsidRPr="00D65CB0">
        <w:rPr>
          <w:rFonts w:ascii="Book Antiqua" w:hAnsi="Book Antiqua" w:cs="Times New Roman"/>
          <w:lang w:val="en-US"/>
        </w:rPr>
        <w:t xml:space="preserve">than in </w:t>
      </w:r>
      <w:r w:rsidR="00293E84" w:rsidRPr="00D65CB0">
        <w:rPr>
          <w:rFonts w:ascii="Book Antiqua" w:hAnsi="Book Antiqua" w:cs="Times New Roman"/>
          <w:lang w:val="en-US"/>
        </w:rPr>
        <w:t>healthy controls</w:t>
      </w:r>
      <w:r w:rsidR="006E0DFE" w:rsidRPr="00D65CB0">
        <w:rPr>
          <w:rFonts w:ascii="Book Antiqua" w:hAnsi="Book Antiqua" w:cs="Times New Roman"/>
          <w:lang w:val="en-US"/>
        </w:rPr>
        <w:t xml:space="preserve"> (134.3 and 155.4, respectively; Δ = 13.</w:t>
      </w:r>
      <w:r w:rsidR="001F51F2" w:rsidRPr="00D65CB0">
        <w:rPr>
          <w:rFonts w:ascii="Book Antiqua" w:hAnsi="Book Antiqua" w:cs="Times New Roman"/>
          <w:lang w:val="en-US"/>
        </w:rPr>
        <w:t>5</w:t>
      </w:r>
      <w:r w:rsidR="006E0DFE" w:rsidRPr="00D65CB0">
        <w:rPr>
          <w:rFonts w:ascii="Book Antiqua" w:hAnsi="Book Antiqua" w:cs="Times New Roman"/>
          <w:lang w:val="en-US"/>
        </w:rPr>
        <w:t>%).</w:t>
      </w:r>
      <w:r w:rsidR="00293E84" w:rsidRPr="00D65CB0">
        <w:rPr>
          <w:rFonts w:ascii="Book Antiqua" w:hAnsi="Book Antiqua" w:cs="Times New Roman"/>
          <w:lang w:val="en-US"/>
        </w:rPr>
        <w:t xml:space="preserve"> </w:t>
      </w:r>
      <w:r w:rsidR="00FE0950" w:rsidRPr="00D65CB0">
        <w:rPr>
          <w:rFonts w:ascii="Book Antiqua" w:hAnsi="Book Antiqua" w:cs="Times New Roman"/>
          <w:lang w:val="en-US"/>
        </w:rPr>
        <w:t>Finally,</w:t>
      </w:r>
      <w:r w:rsidR="003B0BB4" w:rsidRPr="00D65CB0">
        <w:rPr>
          <w:rFonts w:ascii="Book Antiqua" w:hAnsi="Book Antiqua" w:cs="Times New Roman"/>
          <w:lang w:val="en-US"/>
        </w:rPr>
        <w:t xml:space="preserve"> </w:t>
      </w:r>
      <w:r w:rsidR="0047453F" w:rsidRPr="00D65CB0">
        <w:rPr>
          <w:rFonts w:ascii="Book Antiqua" w:hAnsi="Book Antiqua" w:cs="Times New Roman"/>
          <w:lang w:val="en-US"/>
        </w:rPr>
        <w:t>the</w:t>
      </w:r>
      <w:r w:rsidR="003B0BB4" w:rsidRPr="00D65CB0">
        <w:rPr>
          <w:rFonts w:ascii="Book Antiqua" w:hAnsi="Book Antiqua" w:cs="Times New Roman"/>
          <w:lang w:val="en-US"/>
        </w:rPr>
        <w:t xml:space="preserve"> </w:t>
      </w:r>
      <w:r w:rsidR="00D27DA9" w:rsidRPr="00D65CB0">
        <w:rPr>
          <w:rFonts w:ascii="Book Antiqua" w:hAnsi="Book Antiqua" w:cs="Times New Roman"/>
          <w:lang w:val="en-US"/>
        </w:rPr>
        <w:t xml:space="preserve">mean </w:t>
      </w:r>
      <w:r w:rsidR="003B0BB4" w:rsidRPr="00D65CB0">
        <w:rPr>
          <w:rFonts w:ascii="Book Antiqua" w:hAnsi="Book Antiqua" w:cs="Times New Roman"/>
          <w:lang w:val="en-US"/>
        </w:rPr>
        <w:t>total</w:t>
      </w:r>
      <w:r w:rsidR="008F283B" w:rsidRPr="00D65CB0">
        <w:rPr>
          <w:rFonts w:ascii="Book Antiqua" w:hAnsi="Book Antiqua" w:cs="Times New Roman"/>
          <w:lang w:val="en-US"/>
        </w:rPr>
        <w:t xml:space="preserve"> </w:t>
      </w:r>
      <w:r w:rsidR="003B0BB4" w:rsidRPr="00D65CB0">
        <w:rPr>
          <w:rFonts w:ascii="Book Antiqua" w:hAnsi="Book Antiqua" w:cs="Times New Roman"/>
          <w:lang w:val="en-US"/>
        </w:rPr>
        <w:t>phospholipid UI</w:t>
      </w:r>
      <w:r w:rsidR="005A59C7" w:rsidRPr="00D65CB0">
        <w:rPr>
          <w:rFonts w:ascii="Book Antiqua" w:hAnsi="Book Antiqua" w:cs="Times New Roman"/>
          <w:lang w:val="en-US"/>
        </w:rPr>
        <w:t xml:space="preserve"> was</w:t>
      </w:r>
      <w:r w:rsidR="0047453F" w:rsidRPr="00D65CB0">
        <w:rPr>
          <w:rFonts w:ascii="Book Antiqua" w:hAnsi="Book Antiqua" w:cs="Times New Roman"/>
          <w:lang w:val="en-US"/>
        </w:rPr>
        <w:t xml:space="preserve"> substantially lower </w:t>
      </w:r>
      <w:r w:rsidR="003B0BB4" w:rsidRPr="00D65CB0">
        <w:rPr>
          <w:rFonts w:ascii="Book Antiqua" w:hAnsi="Book Antiqua" w:cs="Times New Roman"/>
          <w:lang w:val="en-US"/>
        </w:rPr>
        <w:t>in T2D</w:t>
      </w:r>
      <w:r w:rsidR="005A59C7" w:rsidRPr="00D65CB0">
        <w:rPr>
          <w:rFonts w:ascii="Book Antiqua" w:hAnsi="Book Antiqua" w:cs="Times New Roman"/>
          <w:lang w:val="en-US"/>
        </w:rPr>
        <w:t xml:space="preserve"> individuals with</w:t>
      </w:r>
      <w:r w:rsidR="00D27DA9" w:rsidRPr="00D65CB0">
        <w:rPr>
          <w:rFonts w:ascii="Book Antiqua" w:hAnsi="Book Antiqua" w:cs="Times New Roman"/>
          <w:lang w:val="en-US"/>
        </w:rPr>
        <w:t xml:space="preserve"> mild, moderate, and severe</w:t>
      </w:r>
      <w:r w:rsidR="005A59C7" w:rsidRPr="00D65CB0">
        <w:rPr>
          <w:rFonts w:ascii="Book Antiqua" w:hAnsi="Book Antiqua" w:cs="Times New Roman"/>
          <w:lang w:val="en-US"/>
        </w:rPr>
        <w:t xml:space="preserve"> </w:t>
      </w:r>
      <w:r w:rsidR="00FC15FB" w:rsidRPr="00D65CB0">
        <w:rPr>
          <w:rFonts w:ascii="Book Antiqua" w:hAnsi="Book Antiqua" w:cs="Times New Roman"/>
          <w:lang w:val="en-US"/>
        </w:rPr>
        <w:t>diabetic retinopathy</w:t>
      </w:r>
      <w:r w:rsidR="0047453F" w:rsidRPr="00D65CB0">
        <w:rPr>
          <w:rFonts w:ascii="Book Antiqua" w:hAnsi="Book Antiqua" w:cs="Times New Roman"/>
          <w:lang w:val="en-US"/>
        </w:rPr>
        <w:t xml:space="preserve"> than in </w:t>
      </w:r>
      <w:r w:rsidR="00FE0950" w:rsidRPr="00D65CB0">
        <w:rPr>
          <w:rFonts w:ascii="Book Antiqua" w:hAnsi="Book Antiqua" w:cs="Times New Roman"/>
          <w:lang w:val="en-US"/>
        </w:rPr>
        <w:t>T2D</w:t>
      </w:r>
      <w:r w:rsidR="008F283B" w:rsidRPr="00D65CB0">
        <w:rPr>
          <w:rFonts w:ascii="Book Antiqua" w:hAnsi="Book Antiqua" w:cs="Times New Roman"/>
          <w:lang w:val="en-US"/>
        </w:rPr>
        <w:t xml:space="preserve"> </w:t>
      </w:r>
      <w:r w:rsidR="00FE0950" w:rsidRPr="00D65CB0">
        <w:rPr>
          <w:rFonts w:ascii="Book Antiqua" w:hAnsi="Book Antiqua" w:cs="Times New Roman"/>
          <w:lang w:val="en-US"/>
        </w:rPr>
        <w:t xml:space="preserve">individuals </w:t>
      </w:r>
      <w:r w:rsidR="005A59C7" w:rsidRPr="00D65CB0">
        <w:rPr>
          <w:rFonts w:ascii="Book Antiqua" w:hAnsi="Book Antiqua" w:cs="Times New Roman"/>
          <w:lang w:val="en-US"/>
        </w:rPr>
        <w:t>with</w:t>
      </w:r>
      <w:r w:rsidR="00FE0950" w:rsidRPr="00D65CB0">
        <w:rPr>
          <w:rFonts w:ascii="Book Antiqua" w:hAnsi="Book Antiqua" w:cs="Times New Roman"/>
          <w:lang w:val="en-US"/>
        </w:rPr>
        <w:t xml:space="preserve">out </w:t>
      </w:r>
      <w:r w:rsidR="005A59C7" w:rsidRPr="00D65CB0">
        <w:rPr>
          <w:rFonts w:ascii="Book Antiqua" w:hAnsi="Book Antiqua" w:cs="Times New Roman"/>
          <w:lang w:val="en-US"/>
        </w:rPr>
        <w:t>diabetic retinopathy</w:t>
      </w:r>
      <w:r w:rsidR="00D27DA9" w:rsidRPr="00D65CB0">
        <w:rPr>
          <w:rFonts w:ascii="Book Antiqua" w:hAnsi="Book Antiqua" w:cs="Times New Roman"/>
          <w:lang w:val="en-US"/>
        </w:rPr>
        <w:t xml:space="preserve"> (123.4 and 134.3, respectively; Δ = 8.1%).</w:t>
      </w:r>
      <w:r w:rsidR="00C50CB0" w:rsidRPr="00D65CB0">
        <w:rPr>
          <w:rFonts w:ascii="Book Antiqua" w:hAnsi="Book Antiqua" w:cs="Times New Roman"/>
          <w:lang w:val="en-US"/>
        </w:rPr>
        <w:t xml:space="preserve"> The</w:t>
      </w:r>
      <w:r w:rsidR="00C20E2D" w:rsidRPr="00D65CB0">
        <w:rPr>
          <w:rFonts w:ascii="Book Antiqua" w:hAnsi="Book Antiqua" w:cs="Times New Roman"/>
          <w:lang w:val="en-US"/>
        </w:rPr>
        <w:t>se</w:t>
      </w:r>
      <w:r w:rsidR="00C50CB0" w:rsidRPr="00D65CB0">
        <w:rPr>
          <w:rFonts w:ascii="Book Antiqua" w:hAnsi="Book Antiqua" w:cs="Times New Roman"/>
          <w:lang w:val="en-US"/>
        </w:rPr>
        <w:t xml:space="preserve"> </w:t>
      </w:r>
      <w:r w:rsidR="00C20E2D" w:rsidRPr="00D65CB0">
        <w:rPr>
          <w:rFonts w:ascii="Book Antiqua" w:hAnsi="Book Antiqua" w:cs="Times New Roman"/>
          <w:lang w:val="en-US"/>
        </w:rPr>
        <w:t xml:space="preserve">experimental </w:t>
      </w:r>
      <w:r w:rsidR="00C50CB0" w:rsidRPr="00D65CB0">
        <w:rPr>
          <w:rFonts w:ascii="Book Antiqua" w:hAnsi="Book Antiqua" w:cs="Times New Roman"/>
          <w:lang w:val="en-US"/>
        </w:rPr>
        <w:t xml:space="preserve">outcomes </w:t>
      </w:r>
      <w:r w:rsidR="0047453F" w:rsidRPr="00D65CB0">
        <w:rPr>
          <w:rFonts w:ascii="Book Antiqua" w:hAnsi="Book Antiqua" w:cs="Times New Roman"/>
          <w:lang w:val="en-US"/>
        </w:rPr>
        <w:t xml:space="preserve">indicate </w:t>
      </w:r>
      <w:r w:rsidR="00C50CB0" w:rsidRPr="00D65CB0">
        <w:rPr>
          <w:rFonts w:ascii="Book Antiqua" w:hAnsi="Book Antiqua" w:cs="Times New Roman"/>
          <w:lang w:val="en-US"/>
        </w:rPr>
        <w:t>that membrane flexibility plays an important role in microvascular complications of T2D</w:t>
      </w:r>
      <w:r w:rsidR="0047453F" w:rsidRPr="00D65CB0">
        <w:rPr>
          <w:rFonts w:ascii="Book Antiqua" w:hAnsi="Book Antiqua" w:cs="Times New Roman"/>
          <w:lang w:val="en-US"/>
        </w:rPr>
        <w:t xml:space="preserve">. Further, these data support </w:t>
      </w:r>
      <w:r w:rsidR="00C50CB0" w:rsidRPr="00D65CB0">
        <w:rPr>
          <w:rFonts w:ascii="Book Antiqua" w:hAnsi="Book Antiqua" w:cs="Times New Roman"/>
          <w:lang w:val="en-US"/>
        </w:rPr>
        <w:t>our working hypothesis</w:t>
      </w:r>
      <w:r w:rsidR="00C32AFC" w:rsidRPr="00D65CB0">
        <w:rPr>
          <w:rFonts w:ascii="Book Antiqua" w:hAnsi="Book Antiqua" w:cs="Times New Roman"/>
          <w:lang w:val="en-US"/>
        </w:rPr>
        <w:t>:</w:t>
      </w:r>
      <w:r w:rsidR="00633ED1" w:rsidRPr="00D65CB0">
        <w:rPr>
          <w:rFonts w:ascii="Book Antiqua" w:hAnsi="Book Antiqua" w:cs="Times New Roman"/>
          <w:lang w:val="en-US"/>
        </w:rPr>
        <w:t xml:space="preserve"> </w:t>
      </w:r>
      <w:r w:rsidR="00ED4924" w:rsidRPr="00D65CB0">
        <w:rPr>
          <w:rFonts w:ascii="Book Antiqua" w:hAnsi="Book Antiqua" w:cs="Times New Roman"/>
          <w:lang w:val="en-US"/>
        </w:rPr>
        <w:t xml:space="preserve">a </w:t>
      </w:r>
      <w:r w:rsidR="00633ED1" w:rsidRPr="00D65CB0">
        <w:rPr>
          <w:rFonts w:ascii="Book Antiqua" w:hAnsi="Book Antiqua" w:cs="Times New Roman"/>
          <w:lang w:val="en-US"/>
        </w:rPr>
        <w:t>gradual elevation of</w:t>
      </w:r>
      <w:r w:rsidR="00C32AFC" w:rsidRPr="00D65CB0">
        <w:rPr>
          <w:rFonts w:ascii="Book Antiqua" w:hAnsi="Book Antiqua" w:cs="Times New Roman"/>
          <w:lang w:val="en-US"/>
        </w:rPr>
        <w:t xml:space="preserve"> the</w:t>
      </w:r>
      <w:r w:rsidR="00633ED1" w:rsidRPr="00D65CB0">
        <w:rPr>
          <w:rFonts w:ascii="Book Antiqua" w:hAnsi="Book Antiqua" w:cs="Times New Roman"/>
          <w:lang w:val="en-US"/>
        </w:rPr>
        <w:t xml:space="preserve"> plasma</w:t>
      </w:r>
      <w:r w:rsidR="00C32AFC" w:rsidRPr="00D65CB0">
        <w:rPr>
          <w:rFonts w:ascii="Book Antiqua" w:hAnsi="Book Antiqua" w:cs="Times New Roman"/>
          <w:lang w:val="en-US"/>
        </w:rPr>
        <w:t xml:space="preserve"> levels of</w:t>
      </w:r>
      <w:r w:rsidR="00633ED1" w:rsidRPr="00D65CB0">
        <w:rPr>
          <w:rFonts w:ascii="Book Antiqua" w:hAnsi="Book Antiqua" w:cs="Times New Roman"/>
          <w:lang w:val="en-US"/>
        </w:rPr>
        <w:t xml:space="preserve"> saturated and monounsaturated free fatty acids causes </w:t>
      </w:r>
      <w:r w:rsidR="00ED4924" w:rsidRPr="00D65CB0">
        <w:rPr>
          <w:rFonts w:ascii="Book Antiqua" w:hAnsi="Book Antiqua" w:cs="Times New Roman"/>
          <w:lang w:val="en-US"/>
        </w:rPr>
        <w:t xml:space="preserve">a decrease in </w:t>
      </w:r>
      <w:r w:rsidR="00C32AFC" w:rsidRPr="00D65CB0">
        <w:rPr>
          <w:rFonts w:ascii="Book Antiqua" w:hAnsi="Book Antiqua" w:cs="Times New Roman"/>
          <w:lang w:val="en-US"/>
        </w:rPr>
        <w:t xml:space="preserve">the number of </w:t>
      </w:r>
      <w:r w:rsidR="00ED4924" w:rsidRPr="00D65CB0">
        <w:rPr>
          <w:rFonts w:ascii="Book Antiqua" w:hAnsi="Book Antiqua" w:cs="Times New Roman"/>
          <w:lang w:val="en-US"/>
        </w:rPr>
        <w:t>polyunsaturated fatty</w:t>
      </w:r>
      <w:r w:rsidR="004830D8" w:rsidRPr="00D65CB0">
        <w:rPr>
          <w:rFonts w:ascii="Book Antiqua" w:hAnsi="Book Antiqua" w:cs="Times New Roman"/>
          <w:lang w:val="en-US"/>
        </w:rPr>
        <w:t>-</w:t>
      </w:r>
      <w:r w:rsidR="00ED4924" w:rsidRPr="00D65CB0">
        <w:rPr>
          <w:rFonts w:ascii="Book Antiqua" w:hAnsi="Book Antiqua" w:cs="Times New Roman"/>
          <w:lang w:val="en-US"/>
        </w:rPr>
        <w:t xml:space="preserve">acyl chains </w:t>
      </w:r>
      <w:r w:rsidR="00C32AFC" w:rsidRPr="00D65CB0">
        <w:rPr>
          <w:rFonts w:ascii="Book Antiqua" w:hAnsi="Book Antiqua" w:cs="Times New Roman"/>
          <w:lang w:val="en-US"/>
        </w:rPr>
        <w:t>in</w:t>
      </w:r>
      <w:r w:rsidR="00ED4924" w:rsidRPr="00D65CB0">
        <w:rPr>
          <w:rFonts w:ascii="Book Antiqua" w:hAnsi="Book Antiqua" w:cs="Times New Roman"/>
          <w:lang w:val="en-US"/>
        </w:rPr>
        <w:t xml:space="preserve"> membrane</w:t>
      </w:r>
      <w:r w:rsidR="00633ED1" w:rsidRPr="00D65CB0">
        <w:rPr>
          <w:rFonts w:ascii="Book Antiqua" w:hAnsi="Book Antiqua" w:cs="Times New Roman"/>
          <w:lang w:val="en-US"/>
        </w:rPr>
        <w:t xml:space="preserve"> </w:t>
      </w:r>
      <w:r w:rsidR="00ED4924" w:rsidRPr="00D65CB0">
        <w:rPr>
          <w:rFonts w:ascii="Book Antiqua" w:hAnsi="Book Antiqua" w:cs="Times New Roman"/>
          <w:lang w:val="en-US"/>
        </w:rPr>
        <w:t>phospholipids</w:t>
      </w:r>
      <w:r w:rsidR="00C5131C" w:rsidRPr="00D65CB0">
        <w:rPr>
          <w:rFonts w:ascii="Book Antiqua" w:hAnsi="Book Antiqua" w:cs="Times New Roman"/>
          <w:vertAlign w:val="superscript"/>
          <w:lang w:val="en-US"/>
        </w:rPr>
        <w:t>[2]</w:t>
      </w:r>
      <w:r w:rsidR="00ED4924" w:rsidRPr="00D65CB0">
        <w:rPr>
          <w:rFonts w:ascii="Book Antiqua" w:hAnsi="Book Antiqua" w:cs="Times New Roman"/>
          <w:lang w:val="en-US"/>
        </w:rPr>
        <w:t xml:space="preserve">, </w:t>
      </w:r>
      <w:r w:rsidR="00C32AFC" w:rsidRPr="00D65CB0">
        <w:rPr>
          <w:rFonts w:ascii="Book Antiqua" w:hAnsi="Book Antiqua" w:cs="Times New Roman"/>
          <w:lang w:val="en-US"/>
        </w:rPr>
        <w:t>a classical</w:t>
      </w:r>
      <w:r w:rsidR="00ED4924" w:rsidRPr="00D65CB0">
        <w:rPr>
          <w:rFonts w:ascii="Book Antiqua" w:hAnsi="Book Antiqua" w:cs="Times New Roman"/>
          <w:lang w:val="en-US"/>
        </w:rPr>
        <w:t xml:space="preserve"> principle of membrane biogenesis</w:t>
      </w:r>
      <w:r w:rsidR="00C50CB0" w:rsidRPr="00D65CB0">
        <w:rPr>
          <w:rFonts w:ascii="Book Antiqua" w:hAnsi="Book Antiqua" w:cs="Times New Roman"/>
          <w:vertAlign w:val="superscript"/>
          <w:lang w:val="en-US"/>
        </w:rPr>
        <w:t>[</w:t>
      </w:r>
      <w:r w:rsidR="00B06B02" w:rsidRPr="00D65CB0">
        <w:rPr>
          <w:rFonts w:ascii="Book Antiqua" w:hAnsi="Book Antiqua" w:cs="Times New Roman"/>
          <w:vertAlign w:val="superscript"/>
          <w:lang w:val="en-US"/>
        </w:rPr>
        <w:t>3,</w:t>
      </w:r>
      <w:r w:rsidR="006857FA" w:rsidRPr="00D65CB0">
        <w:rPr>
          <w:rFonts w:ascii="Book Antiqua" w:hAnsi="Book Antiqua" w:cs="Times New Roman"/>
          <w:vertAlign w:val="superscript"/>
          <w:lang w:val="en-US"/>
        </w:rPr>
        <w:t>8</w:t>
      </w:r>
      <w:r w:rsidR="00C50CB0" w:rsidRPr="00D65CB0">
        <w:rPr>
          <w:rFonts w:ascii="Book Antiqua" w:hAnsi="Book Antiqua" w:cs="Times New Roman"/>
          <w:vertAlign w:val="superscript"/>
          <w:lang w:val="en-US"/>
        </w:rPr>
        <w:t>]</w:t>
      </w:r>
      <w:r w:rsidR="00C50CB0" w:rsidRPr="00D65CB0">
        <w:rPr>
          <w:rFonts w:ascii="Book Antiqua" w:hAnsi="Book Antiqua" w:cs="Times New Roman"/>
          <w:lang w:val="en-US"/>
        </w:rPr>
        <w:t>.</w:t>
      </w:r>
      <w:r w:rsidR="00C32AFC" w:rsidRPr="00D65CB0">
        <w:rPr>
          <w:rFonts w:ascii="Book Antiqua" w:hAnsi="Book Antiqua" w:cs="Times New Roman"/>
          <w:lang w:val="en-US"/>
        </w:rPr>
        <w:t xml:space="preserve"> </w:t>
      </w:r>
      <w:r w:rsidR="006B49A6" w:rsidRPr="00D65CB0">
        <w:rPr>
          <w:rFonts w:ascii="Book Antiqua" w:hAnsi="Book Antiqua" w:cs="Times New Roman"/>
          <w:lang w:val="en-US"/>
        </w:rPr>
        <w:t>In this context, it is noteworthy that our working hypothesis predicts that the transition from a healthy condition to a state with T2D will be matched by a decrease in UI</w:t>
      </w:r>
      <w:r w:rsidR="00C32AFC" w:rsidRPr="00D65CB0">
        <w:rPr>
          <w:rFonts w:ascii="Book Antiqua" w:hAnsi="Book Antiqua" w:cs="Times New Roman"/>
          <w:lang w:val="en-US"/>
        </w:rPr>
        <w:t>,</w:t>
      </w:r>
      <w:r w:rsidR="006B49A6" w:rsidRPr="00D65CB0">
        <w:rPr>
          <w:rFonts w:ascii="Book Antiqua" w:hAnsi="Book Antiqua" w:cs="Times New Roman"/>
          <w:lang w:val="en-US"/>
        </w:rPr>
        <w:t xml:space="preserve"> as w</w:t>
      </w:r>
      <w:r w:rsidR="00C32AFC" w:rsidRPr="00D65CB0">
        <w:rPr>
          <w:rFonts w:ascii="Book Antiqua" w:hAnsi="Book Antiqua" w:cs="Times New Roman"/>
          <w:lang w:val="en-US"/>
        </w:rPr>
        <w:t>i</w:t>
      </w:r>
      <w:r w:rsidR="006B49A6" w:rsidRPr="00D65CB0">
        <w:rPr>
          <w:rFonts w:ascii="Book Antiqua" w:hAnsi="Book Antiqua" w:cs="Times New Roman"/>
          <w:lang w:val="en-US"/>
        </w:rPr>
        <w:t>ll the transition from T2D without diabetic retinopathy to T2D with retinopathy</w:t>
      </w:r>
      <w:r w:rsidR="006B49A6" w:rsidRPr="00D65CB0">
        <w:rPr>
          <w:rFonts w:ascii="Book Antiqua" w:hAnsi="Book Antiqua" w:cs="Times New Roman"/>
          <w:vertAlign w:val="superscript"/>
          <w:lang w:val="en-US"/>
        </w:rPr>
        <w:t>[2]</w:t>
      </w:r>
      <w:r w:rsidR="006B49A6" w:rsidRPr="00D65CB0">
        <w:rPr>
          <w:rFonts w:ascii="Book Antiqua" w:hAnsi="Book Antiqua" w:cs="Times New Roman"/>
          <w:lang w:val="en-US"/>
        </w:rPr>
        <w:t>.</w:t>
      </w:r>
    </w:p>
    <w:p w:rsidR="00F36EFD" w:rsidRPr="00D65CB0" w:rsidRDefault="00BB7ABC" w:rsidP="00B04C1B">
      <w:pPr>
        <w:adjustRightInd w:val="0"/>
        <w:snapToGrid w:val="0"/>
        <w:spacing w:after="0"/>
        <w:ind w:firstLineChars="100" w:firstLine="240"/>
        <w:jc w:val="both"/>
        <w:rPr>
          <w:rFonts w:ascii="Book Antiqua" w:hAnsi="Book Antiqua" w:cs="Times New Roman"/>
          <w:lang w:val="en-US"/>
        </w:rPr>
      </w:pPr>
      <w:r w:rsidRPr="00D65CB0">
        <w:rPr>
          <w:rFonts w:ascii="Book Antiqua" w:hAnsi="Book Antiqua" w:cs="Times New Roman"/>
          <w:lang w:val="en-US"/>
        </w:rPr>
        <w:t>I</w:t>
      </w:r>
      <w:r w:rsidR="00CA5A04" w:rsidRPr="00D65CB0">
        <w:rPr>
          <w:rFonts w:ascii="Book Antiqua" w:hAnsi="Book Antiqua" w:cs="Times New Roman"/>
          <w:lang w:val="en-US"/>
        </w:rPr>
        <w:t>n a study of the relation</w:t>
      </w:r>
      <w:r w:rsidRPr="00D65CB0">
        <w:rPr>
          <w:rFonts w:ascii="Book Antiqua" w:hAnsi="Book Antiqua" w:cs="Times New Roman"/>
          <w:lang w:val="en-US"/>
        </w:rPr>
        <w:t>ship</w:t>
      </w:r>
      <w:r w:rsidR="00CA5A04" w:rsidRPr="00D65CB0">
        <w:rPr>
          <w:rFonts w:ascii="Book Antiqua" w:hAnsi="Book Antiqua" w:cs="Times New Roman"/>
          <w:lang w:val="en-US"/>
        </w:rPr>
        <w:t xml:space="preserve"> between insulin sensitivity and the fatty-acid composition of skeletal-muscle phospholipids</w:t>
      </w:r>
      <w:r w:rsidR="00DC621B" w:rsidRPr="00D65CB0">
        <w:rPr>
          <w:rFonts w:ascii="Book Antiqua" w:hAnsi="Book Antiqua" w:cs="Times New Roman"/>
          <w:lang w:val="en-US"/>
        </w:rPr>
        <w:t xml:space="preserve">, Borkman </w:t>
      </w:r>
      <w:r w:rsidR="00DC621B" w:rsidRPr="00D65CB0">
        <w:rPr>
          <w:rFonts w:ascii="Book Antiqua" w:hAnsi="Book Antiqua" w:cs="Times New Roman"/>
          <w:i/>
          <w:lang w:val="en-US"/>
        </w:rPr>
        <w:t>et al</w:t>
      </w:r>
      <w:r w:rsidRPr="00D65CB0">
        <w:rPr>
          <w:rFonts w:ascii="Book Antiqua" w:hAnsi="Book Antiqua" w:cs="Times New Roman"/>
          <w:vertAlign w:val="superscript"/>
          <w:lang w:val="en-US"/>
        </w:rPr>
        <w:t>[</w:t>
      </w:r>
      <w:r w:rsidR="006857FA" w:rsidRPr="00D65CB0">
        <w:rPr>
          <w:rFonts w:ascii="Book Antiqua" w:hAnsi="Book Antiqua" w:cs="Times New Roman"/>
          <w:vertAlign w:val="superscript"/>
          <w:lang w:val="en-US"/>
        </w:rPr>
        <w:t>9</w:t>
      </w:r>
      <w:r w:rsidRPr="00D65CB0">
        <w:rPr>
          <w:rFonts w:ascii="Book Antiqua" w:hAnsi="Book Antiqua" w:cs="Times New Roman"/>
          <w:vertAlign w:val="superscript"/>
          <w:lang w:val="en-US"/>
        </w:rPr>
        <w:t>]</w:t>
      </w:r>
      <w:r w:rsidRPr="00D65CB0">
        <w:rPr>
          <w:rFonts w:ascii="Book Antiqua" w:hAnsi="Book Antiqua" w:cs="Times New Roman"/>
          <w:lang w:val="en-US"/>
        </w:rPr>
        <w:t xml:space="preserve"> concluded</w:t>
      </w:r>
      <w:r w:rsidR="00CA5A04" w:rsidRPr="00D65CB0">
        <w:rPr>
          <w:rFonts w:ascii="Book Antiqua" w:hAnsi="Book Antiqua" w:cs="Times New Roman"/>
          <w:lang w:val="en-US"/>
        </w:rPr>
        <w:t xml:space="preserve"> that reduced levels of unsaturated fatty acids in the membrane may be due to a net reduction in the action of insulin, as a consequence of either insulin resistance o</w:t>
      </w:r>
      <w:r w:rsidR="002E7919" w:rsidRPr="00D65CB0">
        <w:rPr>
          <w:rFonts w:ascii="Book Antiqua" w:hAnsi="Book Antiqua" w:cs="Times New Roman"/>
          <w:lang w:val="en-US"/>
        </w:rPr>
        <w:t>r</w:t>
      </w:r>
      <w:r w:rsidR="00CA5A04" w:rsidRPr="00D65CB0">
        <w:rPr>
          <w:rFonts w:ascii="Book Antiqua" w:hAnsi="Book Antiqua" w:cs="Times New Roman"/>
          <w:lang w:val="en-US"/>
        </w:rPr>
        <w:t xml:space="preserve"> insulin deficiency or</w:t>
      </w:r>
      <w:r w:rsidR="002E7919" w:rsidRPr="00D65CB0">
        <w:rPr>
          <w:rFonts w:ascii="Book Antiqua" w:hAnsi="Book Antiqua" w:cs="Times New Roman"/>
          <w:lang w:val="en-US"/>
        </w:rPr>
        <w:t>, alternatively,</w:t>
      </w:r>
      <w:r w:rsidR="00CA5A04" w:rsidRPr="00D65CB0">
        <w:rPr>
          <w:rFonts w:ascii="Book Antiqua" w:hAnsi="Book Antiqua" w:cs="Times New Roman"/>
          <w:lang w:val="en-US"/>
        </w:rPr>
        <w:t xml:space="preserve"> </w:t>
      </w:r>
      <w:r w:rsidRPr="00D65CB0">
        <w:rPr>
          <w:rFonts w:ascii="Book Antiqua" w:hAnsi="Book Antiqua" w:cs="Times New Roman"/>
          <w:lang w:val="en-US"/>
        </w:rPr>
        <w:t>as a consequence of hyperinsulin</w:t>
      </w:r>
      <w:r w:rsidR="002D6C53" w:rsidRPr="00D65CB0">
        <w:rPr>
          <w:rFonts w:ascii="Book Antiqua" w:hAnsi="Book Antiqua" w:cs="Times New Roman"/>
          <w:lang w:val="en-US"/>
        </w:rPr>
        <w:t>a</w:t>
      </w:r>
      <w:r w:rsidR="00CA5A04" w:rsidRPr="00D65CB0">
        <w:rPr>
          <w:rFonts w:ascii="Book Antiqua" w:hAnsi="Book Antiqua" w:cs="Times New Roman"/>
          <w:lang w:val="en-US"/>
        </w:rPr>
        <w:t>emia</w:t>
      </w:r>
      <w:r w:rsidRPr="00D65CB0">
        <w:rPr>
          <w:rFonts w:ascii="Book Antiqua" w:hAnsi="Book Antiqua" w:cs="Times New Roman"/>
          <w:lang w:val="en-US"/>
        </w:rPr>
        <w:t>.</w:t>
      </w:r>
      <w:r w:rsidR="00CA5A04" w:rsidRPr="00D65CB0">
        <w:rPr>
          <w:rFonts w:ascii="Book Antiqua" w:hAnsi="Book Antiqua" w:cs="Times New Roman"/>
          <w:lang w:val="en-US"/>
        </w:rPr>
        <w:t xml:space="preserve"> </w:t>
      </w:r>
      <w:r w:rsidR="00CF6A9C" w:rsidRPr="00D65CB0">
        <w:rPr>
          <w:rFonts w:ascii="Book Antiqua" w:hAnsi="Book Antiqua" w:cs="Times New Roman"/>
          <w:lang w:val="en-US"/>
        </w:rPr>
        <w:t>T</w:t>
      </w:r>
      <w:r w:rsidR="00DA48E6" w:rsidRPr="00D65CB0">
        <w:rPr>
          <w:rFonts w:ascii="Book Antiqua" w:hAnsi="Book Antiqua" w:cs="Times New Roman"/>
          <w:lang w:val="en-US"/>
        </w:rPr>
        <w:t xml:space="preserve">his </w:t>
      </w:r>
      <w:r w:rsidR="005C2BD5" w:rsidRPr="00D65CB0">
        <w:rPr>
          <w:rFonts w:ascii="Book Antiqua" w:hAnsi="Book Antiqua" w:cs="Times New Roman"/>
          <w:lang w:val="en-US"/>
        </w:rPr>
        <w:t xml:space="preserve">interpretation seems unlikely for the following reasons: </w:t>
      </w:r>
      <w:r w:rsidR="00C5131C" w:rsidRPr="00D65CB0">
        <w:rPr>
          <w:rFonts w:ascii="Book Antiqua" w:hAnsi="Book Antiqua" w:cs="Times New Roman"/>
          <w:lang w:val="en-US"/>
        </w:rPr>
        <w:t>f</w:t>
      </w:r>
      <w:r w:rsidR="005C2BD5" w:rsidRPr="00D65CB0">
        <w:rPr>
          <w:rFonts w:ascii="Book Antiqua" w:hAnsi="Book Antiqua" w:cs="Times New Roman"/>
          <w:lang w:val="en-US"/>
        </w:rPr>
        <w:t xml:space="preserve">irst, </w:t>
      </w:r>
      <w:r w:rsidRPr="00D65CB0">
        <w:rPr>
          <w:rFonts w:ascii="Book Antiqua" w:hAnsi="Book Antiqua" w:cs="Times New Roman"/>
          <w:lang w:val="en-US"/>
        </w:rPr>
        <w:t xml:space="preserve">gestational diabetes mellitus </w:t>
      </w:r>
      <w:r w:rsidR="00D14A05" w:rsidRPr="00D65CB0">
        <w:rPr>
          <w:rFonts w:ascii="Book Antiqua" w:hAnsi="Book Antiqua" w:cs="Times New Roman"/>
          <w:lang w:val="en-US"/>
        </w:rPr>
        <w:t>is a</w:t>
      </w:r>
      <w:r w:rsidR="00345AF2" w:rsidRPr="00D65CB0">
        <w:rPr>
          <w:rFonts w:ascii="Book Antiqua" w:hAnsi="Book Antiqua" w:cs="Times New Roman"/>
          <w:lang w:val="en-US"/>
        </w:rPr>
        <w:t xml:space="preserve"> marker of a prediabetic phase</w:t>
      </w:r>
      <w:r w:rsidRPr="00D65CB0">
        <w:rPr>
          <w:rFonts w:ascii="Book Antiqua" w:hAnsi="Book Antiqua" w:cs="Times New Roman"/>
          <w:lang w:val="en-US"/>
        </w:rPr>
        <w:t xml:space="preserve"> characterized by </w:t>
      </w:r>
      <w:r w:rsidR="00345AF2" w:rsidRPr="00D65CB0">
        <w:rPr>
          <w:rFonts w:ascii="Book Antiqua" w:hAnsi="Book Antiqua" w:cs="Times New Roman"/>
          <w:lang w:val="en-US"/>
        </w:rPr>
        <w:t>time-dependent increase in insulin level</w:t>
      </w:r>
      <w:r w:rsidRPr="00D65CB0">
        <w:rPr>
          <w:rFonts w:ascii="Book Antiqua" w:hAnsi="Book Antiqua" w:cs="Times New Roman"/>
          <w:lang w:val="en-US"/>
        </w:rPr>
        <w:t>s</w:t>
      </w:r>
      <w:r w:rsidR="0039326E" w:rsidRPr="00D65CB0">
        <w:rPr>
          <w:rFonts w:ascii="Book Antiqua" w:hAnsi="Book Antiqua" w:cs="Times New Roman"/>
          <w:vertAlign w:val="superscript"/>
          <w:lang w:val="en-US"/>
        </w:rPr>
        <w:t>[</w:t>
      </w:r>
      <w:r w:rsidR="00E96DA9" w:rsidRPr="00D65CB0">
        <w:rPr>
          <w:rFonts w:ascii="Book Antiqua" w:hAnsi="Book Antiqua" w:cs="Times New Roman"/>
          <w:vertAlign w:val="superscript"/>
          <w:lang w:val="en-US"/>
        </w:rPr>
        <w:t>10</w:t>
      </w:r>
      <w:r w:rsidR="006857FA" w:rsidRPr="00D65CB0">
        <w:rPr>
          <w:rFonts w:ascii="Book Antiqua" w:hAnsi="Book Antiqua" w:cs="Times New Roman"/>
          <w:vertAlign w:val="superscript"/>
          <w:lang w:val="en-US"/>
        </w:rPr>
        <w:t>,11</w:t>
      </w:r>
      <w:r w:rsidR="000B698F" w:rsidRPr="00D65CB0">
        <w:rPr>
          <w:rFonts w:ascii="Book Antiqua" w:hAnsi="Book Antiqua" w:cs="Times New Roman"/>
          <w:vertAlign w:val="superscript"/>
          <w:lang w:val="en-US"/>
        </w:rPr>
        <w:t>]</w:t>
      </w:r>
      <w:r w:rsidRPr="00D65CB0">
        <w:rPr>
          <w:rFonts w:ascii="Book Antiqua" w:hAnsi="Book Antiqua" w:cs="Times New Roman"/>
          <w:lang w:val="en-US"/>
        </w:rPr>
        <w:t>,</w:t>
      </w:r>
      <w:r w:rsidR="00345AF2" w:rsidRPr="00D65CB0">
        <w:rPr>
          <w:rFonts w:ascii="Book Antiqua" w:hAnsi="Book Antiqua" w:cs="Times New Roman"/>
          <w:lang w:val="en-US"/>
        </w:rPr>
        <w:t xml:space="preserve"> where the T2D phase is </w:t>
      </w:r>
      <w:r w:rsidRPr="00D65CB0">
        <w:rPr>
          <w:rFonts w:ascii="Book Antiqua" w:hAnsi="Book Antiqua" w:cs="Times New Roman"/>
          <w:lang w:val="en-US"/>
        </w:rPr>
        <w:t>marked by</w:t>
      </w:r>
      <w:r w:rsidR="00345AF2" w:rsidRPr="00D65CB0">
        <w:rPr>
          <w:rFonts w:ascii="Book Antiqua" w:hAnsi="Book Antiqua" w:cs="Times New Roman"/>
          <w:lang w:val="en-US"/>
        </w:rPr>
        <w:t xml:space="preserve"> a time-dependent </w:t>
      </w:r>
      <w:r w:rsidR="00A9077F" w:rsidRPr="00D65CB0">
        <w:rPr>
          <w:rFonts w:ascii="Book Antiqua" w:hAnsi="Book Antiqua" w:cs="Times New Roman"/>
          <w:lang w:val="en-US"/>
        </w:rPr>
        <w:t xml:space="preserve">decrease </w:t>
      </w:r>
      <w:r w:rsidR="00D3242D" w:rsidRPr="00D65CB0">
        <w:rPr>
          <w:rFonts w:ascii="Book Antiqua" w:hAnsi="Book Antiqua" w:cs="Times New Roman"/>
          <w:lang w:val="en-US"/>
        </w:rPr>
        <w:t>in</w:t>
      </w:r>
      <w:r w:rsidR="00A9077F" w:rsidRPr="00D65CB0">
        <w:rPr>
          <w:rFonts w:ascii="Book Antiqua" w:hAnsi="Book Antiqua" w:cs="Times New Roman"/>
          <w:lang w:val="en-US"/>
        </w:rPr>
        <w:t xml:space="preserve"> insulin level</w:t>
      </w:r>
      <w:r w:rsidR="00F90620" w:rsidRPr="00D65CB0">
        <w:rPr>
          <w:rFonts w:ascii="Book Antiqua" w:hAnsi="Book Antiqua" w:cs="Times New Roman"/>
          <w:lang w:val="en-US"/>
        </w:rPr>
        <w:t>s</w:t>
      </w:r>
      <w:r w:rsidR="0039326E" w:rsidRPr="00D65CB0">
        <w:rPr>
          <w:rFonts w:ascii="Book Antiqua" w:hAnsi="Book Antiqua" w:cs="Times New Roman"/>
          <w:vertAlign w:val="superscript"/>
          <w:lang w:val="en-US"/>
        </w:rPr>
        <w:t>[</w:t>
      </w:r>
      <w:r w:rsidR="00E96DA9" w:rsidRPr="00D65CB0">
        <w:rPr>
          <w:rFonts w:ascii="Book Antiqua" w:hAnsi="Book Antiqua" w:cs="Times New Roman"/>
          <w:vertAlign w:val="superscript"/>
          <w:lang w:val="en-US"/>
        </w:rPr>
        <w:t>1</w:t>
      </w:r>
      <w:r w:rsidR="006857FA" w:rsidRPr="00D65CB0">
        <w:rPr>
          <w:rFonts w:ascii="Book Antiqua" w:hAnsi="Book Antiqua" w:cs="Times New Roman"/>
          <w:vertAlign w:val="superscript"/>
          <w:lang w:val="en-US"/>
        </w:rPr>
        <w:t>1</w:t>
      </w:r>
      <w:r w:rsidR="0039326E" w:rsidRPr="00D65CB0">
        <w:rPr>
          <w:rFonts w:ascii="Book Antiqua" w:hAnsi="Book Antiqua" w:cs="Times New Roman"/>
          <w:vertAlign w:val="superscript"/>
          <w:lang w:val="en-US"/>
        </w:rPr>
        <w:t>]</w:t>
      </w:r>
      <w:r w:rsidR="00CF6A9C" w:rsidRPr="00D65CB0">
        <w:rPr>
          <w:rFonts w:ascii="Book Antiqua" w:hAnsi="Book Antiqua" w:cs="Times New Roman"/>
          <w:lang w:val="en-US"/>
        </w:rPr>
        <w:t xml:space="preserve">. </w:t>
      </w:r>
      <w:r w:rsidR="00D83730" w:rsidRPr="00D65CB0">
        <w:rPr>
          <w:rFonts w:ascii="Book Antiqua" w:hAnsi="Book Antiqua" w:cs="Times New Roman"/>
          <w:lang w:val="en-US"/>
        </w:rPr>
        <w:t>Second,</w:t>
      </w:r>
      <w:r w:rsidR="00CF6A9C" w:rsidRPr="00D65CB0">
        <w:rPr>
          <w:rFonts w:ascii="Book Antiqua" w:hAnsi="Book Antiqua" w:cs="Times New Roman"/>
          <w:lang w:val="en-US"/>
        </w:rPr>
        <w:t xml:space="preserve"> </w:t>
      </w:r>
      <w:r w:rsidR="0079712E" w:rsidRPr="00D65CB0">
        <w:rPr>
          <w:rFonts w:ascii="Book Antiqua" w:hAnsi="Book Antiqua" w:cs="Times New Roman"/>
          <w:lang w:val="en-US"/>
        </w:rPr>
        <w:t xml:space="preserve">we demonstrated that patients in both phases </w:t>
      </w:r>
      <w:r w:rsidR="00F90620" w:rsidRPr="00D65CB0">
        <w:rPr>
          <w:rFonts w:ascii="Book Antiqua" w:hAnsi="Book Antiqua" w:cs="Times New Roman"/>
          <w:lang w:val="en-US"/>
        </w:rPr>
        <w:t xml:space="preserve">were associated with lower </w:t>
      </w:r>
      <w:r w:rsidR="00A9077F" w:rsidRPr="00D65CB0">
        <w:rPr>
          <w:rFonts w:ascii="Book Antiqua" w:hAnsi="Book Antiqua" w:cs="Times New Roman"/>
          <w:lang w:val="en-US"/>
        </w:rPr>
        <w:t>UI</w:t>
      </w:r>
      <w:r w:rsidR="00F90620" w:rsidRPr="00D65CB0">
        <w:rPr>
          <w:rFonts w:ascii="Book Antiqua" w:hAnsi="Book Antiqua" w:cs="Times New Roman"/>
          <w:lang w:val="en-US"/>
        </w:rPr>
        <w:t xml:space="preserve">s than were </w:t>
      </w:r>
      <w:r w:rsidR="008E762A" w:rsidRPr="00D65CB0">
        <w:rPr>
          <w:rFonts w:ascii="Book Antiqua" w:hAnsi="Book Antiqua" w:cs="Times New Roman"/>
          <w:lang w:val="en-US"/>
        </w:rPr>
        <w:t>healthy con</w:t>
      </w:r>
      <w:r w:rsidR="00D923A5" w:rsidRPr="00D65CB0">
        <w:rPr>
          <w:rFonts w:ascii="Book Antiqua" w:hAnsi="Book Antiqua" w:cs="Times New Roman"/>
          <w:lang w:val="en-US"/>
        </w:rPr>
        <w:t>trols</w:t>
      </w:r>
      <w:r w:rsidR="0059649C" w:rsidRPr="00D65CB0">
        <w:rPr>
          <w:rFonts w:ascii="Book Antiqua" w:hAnsi="Book Antiqua" w:cs="Times New Roman"/>
          <w:lang w:val="en-US"/>
        </w:rPr>
        <w:t xml:space="preserve">, </w:t>
      </w:r>
      <w:r w:rsidR="00225226" w:rsidRPr="00D65CB0">
        <w:rPr>
          <w:rFonts w:ascii="Book Antiqua" w:hAnsi="Book Antiqua" w:cs="Times New Roman"/>
          <w:lang w:val="en-US"/>
        </w:rPr>
        <w:t xml:space="preserve">which </w:t>
      </w:r>
      <w:r w:rsidR="0059649C" w:rsidRPr="00D65CB0">
        <w:rPr>
          <w:rFonts w:ascii="Book Antiqua" w:hAnsi="Book Antiqua" w:cs="Times New Roman"/>
          <w:lang w:val="en-US"/>
        </w:rPr>
        <w:t>suggest</w:t>
      </w:r>
      <w:r w:rsidR="00225226" w:rsidRPr="00D65CB0">
        <w:rPr>
          <w:rFonts w:ascii="Book Antiqua" w:hAnsi="Book Antiqua" w:cs="Times New Roman"/>
          <w:lang w:val="en-US"/>
        </w:rPr>
        <w:t>s that</w:t>
      </w:r>
      <w:r w:rsidR="00F90620" w:rsidRPr="00D65CB0">
        <w:rPr>
          <w:rFonts w:ascii="Book Antiqua" w:hAnsi="Book Antiqua" w:cs="Times New Roman"/>
          <w:lang w:val="en-US"/>
        </w:rPr>
        <w:t xml:space="preserve"> </w:t>
      </w:r>
      <w:r w:rsidR="00225226" w:rsidRPr="00D65CB0">
        <w:rPr>
          <w:rFonts w:ascii="Book Antiqua" w:hAnsi="Book Antiqua" w:cs="Times New Roman"/>
          <w:lang w:val="en-US"/>
        </w:rPr>
        <w:t>insulin level</w:t>
      </w:r>
      <w:r w:rsidR="00F90620" w:rsidRPr="00D65CB0">
        <w:rPr>
          <w:rFonts w:ascii="Book Antiqua" w:hAnsi="Book Antiqua" w:cs="Times New Roman"/>
          <w:lang w:val="en-US"/>
        </w:rPr>
        <w:t>s</w:t>
      </w:r>
      <w:r w:rsidR="00225226" w:rsidRPr="00D65CB0">
        <w:rPr>
          <w:rFonts w:ascii="Book Antiqua" w:hAnsi="Book Antiqua" w:cs="Times New Roman"/>
          <w:lang w:val="en-US"/>
        </w:rPr>
        <w:t xml:space="preserve"> do not have a</w:t>
      </w:r>
      <w:r w:rsidR="007A74C6" w:rsidRPr="00D65CB0">
        <w:rPr>
          <w:rFonts w:ascii="Book Antiqua" w:hAnsi="Book Antiqua" w:cs="Times New Roman"/>
          <w:lang w:val="en-US"/>
        </w:rPr>
        <w:t xml:space="preserve">n important causative role in </w:t>
      </w:r>
      <w:r w:rsidR="00F90620" w:rsidRPr="00D65CB0">
        <w:rPr>
          <w:rFonts w:ascii="Book Antiqua" w:hAnsi="Book Antiqua" w:cs="Times New Roman"/>
          <w:lang w:val="en-US"/>
        </w:rPr>
        <w:t>l</w:t>
      </w:r>
      <w:r w:rsidR="00D3242D" w:rsidRPr="00D65CB0">
        <w:rPr>
          <w:rFonts w:ascii="Book Antiqua" w:hAnsi="Book Antiqua" w:cs="Times New Roman"/>
          <w:lang w:val="en-US"/>
        </w:rPr>
        <w:t xml:space="preserve">owering the </w:t>
      </w:r>
      <w:r w:rsidR="00DC621B" w:rsidRPr="00D65CB0">
        <w:rPr>
          <w:rFonts w:ascii="Book Antiqua" w:hAnsi="Book Antiqua" w:cs="Times New Roman"/>
          <w:lang w:val="en-US"/>
        </w:rPr>
        <w:t>U</w:t>
      </w:r>
      <w:r w:rsidR="00995937" w:rsidRPr="00D65CB0">
        <w:rPr>
          <w:rFonts w:ascii="Book Antiqua" w:hAnsi="Book Antiqua" w:cs="Times New Roman"/>
          <w:lang w:val="en-US"/>
        </w:rPr>
        <w:t>I.</w:t>
      </w:r>
      <w:r w:rsidR="001971F4" w:rsidRPr="00D65CB0">
        <w:rPr>
          <w:rFonts w:ascii="Book Antiqua" w:hAnsi="Book Antiqua" w:cs="Times New Roman"/>
          <w:lang w:val="en-US"/>
        </w:rPr>
        <w:t xml:space="preserve"> </w:t>
      </w:r>
      <w:r w:rsidR="00CE0CB3" w:rsidRPr="00D65CB0">
        <w:rPr>
          <w:rFonts w:ascii="Book Antiqua" w:hAnsi="Book Antiqua" w:cs="Times New Roman"/>
          <w:lang w:val="en-US"/>
        </w:rPr>
        <w:t>We hypothesize that a g</w:t>
      </w:r>
      <w:r w:rsidR="00D22ACC" w:rsidRPr="00D65CB0">
        <w:rPr>
          <w:rFonts w:ascii="Book Antiqua" w:hAnsi="Book Antiqua" w:cs="Times New Roman"/>
          <w:lang w:val="en-US"/>
        </w:rPr>
        <w:t xml:space="preserve">radual increase </w:t>
      </w:r>
      <w:r w:rsidR="00D923A5" w:rsidRPr="00D65CB0">
        <w:rPr>
          <w:rFonts w:ascii="Book Antiqua" w:hAnsi="Book Antiqua" w:cs="Times New Roman"/>
          <w:lang w:val="en-US"/>
        </w:rPr>
        <w:t>in</w:t>
      </w:r>
      <w:r w:rsidR="00D22ACC" w:rsidRPr="00D65CB0">
        <w:rPr>
          <w:rFonts w:ascii="Book Antiqua" w:hAnsi="Book Antiqua" w:cs="Times New Roman"/>
          <w:lang w:val="en-US"/>
        </w:rPr>
        <w:t xml:space="preserve"> </w:t>
      </w:r>
      <w:r w:rsidR="00E7228C" w:rsidRPr="00D65CB0">
        <w:rPr>
          <w:rFonts w:ascii="Book Antiqua" w:hAnsi="Book Antiqua" w:cs="Times New Roman"/>
          <w:lang w:val="en-US"/>
        </w:rPr>
        <w:t>plasma</w:t>
      </w:r>
      <w:r w:rsidR="00C33DAF" w:rsidRPr="00D65CB0">
        <w:rPr>
          <w:rFonts w:ascii="Book Antiqua" w:hAnsi="Book Antiqua" w:cs="Times New Roman"/>
          <w:lang w:val="en-US"/>
        </w:rPr>
        <w:t xml:space="preserve"> free </w:t>
      </w:r>
      <w:r w:rsidR="00CE0CB3" w:rsidRPr="00D65CB0">
        <w:rPr>
          <w:rFonts w:ascii="Book Antiqua" w:hAnsi="Book Antiqua" w:cs="Times New Roman"/>
          <w:lang w:val="en-US"/>
        </w:rPr>
        <w:t>fatty</w:t>
      </w:r>
      <w:r w:rsidR="004830D8" w:rsidRPr="00D65CB0">
        <w:rPr>
          <w:rFonts w:ascii="Book Antiqua" w:hAnsi="Book Antiqua" w:cs="Times New Roman"/>
          <w:lang w:val="en-US"/>
        </w:rPr>
        <w:t>-</w:t>
      </w:r>
      <w:r w:rsidR="00CE0CB3" w:rsidRPr="00D65CB0">
        <w:rPr>
          <w:rFonts w:ascii="Book Antiqua" w:hAnsi="Book Antiqua" w:cs="Times New Roman"/>
          <w:lang w:val="en-US"/>
        </w:rPr>
        <w:t>acid</w:t>
      </w:r>
      <w:r w:rsidR="00E7228C" w:rsidRPr="00D65CB0">
        <w:rPr>
          <w:rFonts w:ascii="Book Antiqua" w:hAnsi="Book Antiqua" w:cs="Times New Roman"/>
          <w:lang w:val="en-US"/>
        </w:rPr>
        <w:t xml:space="preserve"> </w:t>
      </w:r>
      <w:r w:rsidR="00CE0CB3" w:rsidRPr="00D65CB0">
        <w:rPr>
          <w:rFonts w:ascii="Book Antiqua" w:hAnsi="Book Antiqua" w:cs="Times New Roman"/>
          <w:lang w:val="en-US"/>
        </w:rPr>
        <w:t>concentration during the prediabetic phase and after overt T2D</w:t>
      </w:r>
      <w:r w:rsidR="009D499C" w:rsidRPr="00D65CB0">
        <w:rPr>
          <w:rFonts w:ascii="Book Antiqua" w:hAnsi="Book Antiqua" w:cs="Times New Roman"/>
          <w:vertAlign w:val="superscript"/>
          <w:lang w:val="en-US"/>
        </w:rPr>
        <w:t>[</w:t>
      </w:r>
      <w:r w:rsidR="00E96DA9" w:rsidRPr="00D65CB0">
        <w:rPr>
          <w:rFonts w:ascii="Book Antiqua" w:hAnsi="Book Antiqua" w:cs="Times New Roman"/>
          <w:vertAlign w:val="superscript"/>
          <w:lang w:val="en-US"/>
        </w:rPr>
        <w:t>12</w:t>
      </w:r>
      <w:r w:rsidR="006857FA" w:rsidRPr="00D65CB0">
        <w:rPr>
          <w:rFonts w:ascii="Book Antiqua" w:hAnsi="Book Antiqua" w:cs="Times New Roman"/>
          <w:vertAlign w:val="superscript"/>
          <w:lang w:val="en-US"/>
        </w:rPr>
        <w:t>,13</w:t>
      </w:r>
      <w:r w:rsidR="009D499C" w:rsidRPr="00D65CB0">
        <w:rPr>
          <w:rFonts w:ascii="Book Antiqua" w:hAnsi="Book Antiqua" w:cs="Times New Roman"/>
          <w:vertAlign w:val="superscript"/>
          <w:lang w:val="en-US"/>
        </w:rPr>
        <w:t>]</w:t>
      </w:r>
      <w:r w:rsidR="00CE0CB3" w:rsidRPr="00D65CB0">
        <w:rPr>
          <w:rFonts w:ascii="Book Antiqua" w:hAnsi="Book Antiqua" w:cs="Times New Roman"/>
          <w:lang w:val="en-US"/>
        </w:rPr>
        <w:t xml:space="preserve"> </w:t>
      </w:r>
      <w:r w:rsidR="00CA46E7" w:rsidRPr="00D65CB0">
        <w:rPr>
          <w:rFonts w:ascii="Book Antiqua" w:hAnsi="Book Antiqua" w:cs="Times New Roman"/>
          <w:lang w:val="en-US"/>
        </w:rPr>
        <w:t>decreases</w:t>
      </w:r>
      <w:r w:rsidR="00B017FF" w:rsidRPr="00D65CB0">
        <w:rPr>
          <w:rFonts w:ascii="Book Antiqua" w:hAnsi="Book Antiqua" w:cs="Times New Roman"/>
          <w:lang w:val="en-US"/>
        </w:rPr>
        <w:t xml:space="preserve"> the</w:t>
      </w:r>
      <w:r w:rsidR="00CE0CB3" w:rsidRPr="00D65CB0">
        <w:rPr>
          <w:rFonts w:ascii="Book Antiqua" w:hAnsi="Book Antiqua" w:cs="Times New Roman"/>
          <w:lang w:val="en-US"/>
        </w:rPr>
        <w:t xml:space="preserve"> UI</w:t>
      </w:r>
      <w:r w:rsidR="005204CD" w:rsidRPr="00D65CB0">
        <w:rPr>
          <w:rFonts w:ascii="Book Antiqua" w:hAnsi="Book Antiqua" w:cs="Times New Roman"/>
          <w:vertAlign w:val="superscript"/>
          <w:lang w:val="en-US"/>
        </w:rPr>
        <w:t>[</w:t>
      </w:r>
      <w:r w:rsidR="006857FA" w:rsidRPr="00D65CB0">
        <w:rPr>
          <w:rFonts w:ascii="Book Antiqua" w:hAnsi="Book Antiqua" w:cs="Times New Roman"/>
          <w:vertAlign w:val="superscript"/>
          <w:lang w:val="en-US"/>
        </w:rPr>
        <w:t>7</w:t>
      </w:r>
      <w:r w:rsidR="005204CD" w:rsidRPr="00D65CB0">
        <w:rPr>
          <w:rFonts w:ascii="Book Antiqua" w:hAnsi="Book Antiqua" w:cs="Times New Roman"/>
          <w:vertAlign w:val="superscript"/>
          <w:lang w:val="en-US"/>
        </w:rPr>
        <w:t>]</w:t>
      </w:r>
      <w:r w:rsidR="00F36EFD" w:rsidRPr="00D65CB0">
        <w:rPr>
          <w:rFonts w:ascii="Book Antiqua" w:hAnsi="Book Antiqua" w:cs="Times New Roman"/>
          <w:lang w:val="en-US"/>
        </w:rPr>
        <w:t>.</w:t>
      </w:r>
    </w:p>
    <w:p w:rsidR="000F14BE" w:rsidRPr="00D65CB0" w:rsidRDefault="00B040E4" w:rsidP="00B04C1B">
      <w:pPr>
        <w:adjustRightInd w:val="0"/>
        <w:snapToGrid w:val="0"/>
        <w:spacing w:after="0"/>
        <w:ind w:firstLineChars="100" w:firstLine="240"/>
        <w:jc w:val="both"/>
        <w:rPr>
          <w:rFonts w:ascii="Book Antiqua" w:hAnsi="Book Antiqua" w:cs="Times New Roman"/>
          <w:lang w:val="en-US"/>
        </w:rPr>
      </w:pPr>
      <w:r w:rsidRPr="00D65CB0">
        <w:rPr>
          <w:rFonts w:ascii="Book Antiqua" w:hAnsi="Book Antiqua" w:cs="Times New Roman"/>
          <w:lang w:val="en-US"/>
        </w:rPr>
        <w:t>A well-known characteristic of the euglycaemic hyperinsulinaemic clamp is its</w:t>
      </w:r>
      <w:r w:rsidR="0052480D" w:rsidRPr="00D65CB0">
        <w:rPr>
          <w:rFonts w:ascii="Book Antiqua" w:hAnsi="Book Antiqua" w:cs="Times New Roman"/>
          <w:lang w:val="en-US"/>
        </w:rPr>
        <w:t xml:space="preserve"> wide inter-subject variability in insulin sensitivity. </w:t>
      </w:r>
      <w:r w:rsidR="00486074" w:rsidRPr="00D65CB0">
        <w:rPr>
          <w:rFonts w:ascii="Book Antiqua" w:hAnsi="Book Antiqua" w:cs="Times New Roman"/>
          <w:lang w:val="en-US"/>
        </w:rPr>
        <w:t xml:space="preserve">In a study of </w:t>
      </w:r>
      <w:r w:rsidR="0052480D" w:rsidRPr="00D65CB0">
        <w:rPr>
          <w:rFonts w:ascii="Book Antiqua" w:hAnsi="Book Antiqua" w:cs="Times New Roman"/>
          <w:lang w:val="en-US"/>
        </w:rPr>
        <w:t>metabolic effects of lacidipine: a placebo-controlled study using the euglycaemic hyperinsulinaemic clamp</w:t>
      </w:r>
      <w:r w:rsidR="00486074" w:rsidRPr="00D65CB0">
        <w:rPr>
          <w:rFonts w:ascii="Book Antiqua" w:hAnsi="Book Antiqua" w:cs="Times New Roman"/>
          <w:lang w:val="en-US"/>
        </w:rPr>
        <w:t xml:space="preserve">, </w:t>
      </w:r>
      <w:r w:rsidR="00DC621B" w:rsidRPr="00D65CB0">
        <w:rPr>
          <w:rFonts w:ascii="Book Antiqua" w:hAnsi="Book Antiqua" w:cs="Times New Roman"/>
          <w:lang w:val="en-US"/>
        </w:rPr>
        <w:t>Morris</w:t>
      </w:r>
      <w:r w:rsidR="00DC621B" w:rsidRPr="00D65CB0">
        <w:rPr>
          <w:rFonts w:ascii="Book Antiqua" w:hAnsi="Book Antiqua" w:cs="Times New Roman"/>
          <w:i/>
          <w:lang w:val="en-US"/>
        </w:rPr>
        <w:t xml:space="preserve"> et al</w:t>
      </w:r>
      <w:r w:rsidR="0052480D" w:rsidRPr="00D65CB0">
        <w:rPr>
          <w:rFonts w:ascii="Book Antiqua" w:hAnsi="Book Antiqua" w:cs="Times New Roman"/>
          <w:vertAlign w:val="superscript"/>
          <w:lang w:val="en-US"/>
        </w:rPr>
        <w:t>[14]</w:t>
      </w:r>
      <w:r w:rsidR="0052480D" w:rsidRPr="00D65CB0">
        <w:rPr>
          <w:rFonts w:ascii="Book Antiqua" w:hAnsi="Book Antiqua" w:cs="Times New Roman"/>
          <w:lang w:val="en-US"/>
        </w:rPr>
        <w:t xml:space="preserve"> reported </w:t>
      </w:r>
      <w:r w:rsidR="00486074" w:rsidRPr="00D65CB0">
        <w:rPr>
          <w:rFonts w:ascii="Book Antiqua" w:hAnsi="Book Antiqua" w:cs="Times New Roman"/>
          <w:lang w:val="en-US"/>
        </w:rPr>
        <w:t>that even amongst non-diabetic subjects</w:t>
      </w:r>
      <w:r w:rsidR="0052480D" w:rsidRPr="00D65CB0">
        <w:rPr>
          <w:rFonts w:ascii="Book Antiqua" w:hAnsi="Book Antiqua" w:cs="Times New Roman"/>
          <w:lang w:val="en-US"/>
        </w:rPr>
        <w:t xml:space="preserve"> who were homogeneous for age, sex and body weight</w:t>
      </w:r>
      <w:r w:rsidR="00486074" w:rsidRPr="00D65CB0">
        <w:rPr>
          <w:rFonts w:ascii="Book Antiqua" w:hAnsi="Book Antiqua" w:cs="Times New Roman"/>
          <w:lang w:val="en-US"/>
        </w:rPr>
        <w:t xml:space="preserve"> there </w:t>
      </w:r>
      <w:r w:rsidR="0052480D" w:rsidRPr="00D65CB0">
        <w:rPr>
          <w:rFonts w:ascii="Book Antiqua" w:hAnsi="Book Antiqua" w:cs="Times New Roman"/>
          <w:lang w:val="en-US"/>
        </w:rPr>
        <w:t>was</w:t>
      </w:r>
      <w:r w:rsidR="00486074" w:rsidRPr="00D65CB0">
        <w:rPr>
          <w:rFonts w:ascii="Book Antiqua" w:hAnsi="Book Antiqua" w:cs="Times New Roman"/>
          <w:lang w:val="en-US"/>
        </w:rPr>
        <w:t xml:space="preserve"> a wide inter-subject variability in insulin sensitivity</w:t>
      </w:r>
      <w:r w:rsidR="0052480D" w:rsidRPr="00D65CB0">
        <w:rPr>
          <w:rFonts w:ascii="Book Antiqua" w:hAnsi="Book Antiqua" w:cs="Times New Roman"/>
          <w:lang w:val="en-US"/>
        </w:rPr>
        <w:t>,</w:t>
      </w:r>
      <w:r w:rsidR="00486074" w:rsidRPr="00D65CB0">
        <w:rPr>
          <w:rFonts w:ascii="Book Antiqua" w:hAnsi="Book Antiqua" w:cs="Times New Roman"/>
          <w:lang w:val="en-US"/>
        </w:rPr>
        <w:t xml:space="preserve"> </w:t>
      </w:r>
      <w:r w:rsidR="00F32657" w:rsidRPr="00D65CB0">
        <w:rPr>
          <w:rFonts w:ascii="Book Antiqua" w:hAnsi="Book Antiqua" w:cs="Times New Roman"/>
          <w:i/>
          <w:lang w:val="en-US"/>
        </w:rPr>
        <w:t>i.e</w:t>
      </w:r>
      <w:r w:rsidR="00F32657" w:rsidRPr="00D65CB0">
        <w:rPr>
          <w:rFonts w:ascii="Book Antiqua" w:hAnsi="Book Antiqua" w:cs="Times New Roman"/>
          <w:lang w:val="en-US"/>
        </w:rPr>
        <w:t>.</w:t>
      </w:r>
      <w:r w:rsidR="00DC621B" w:rsidRPr="00D65CB0">
        <w:rPr>
          <w:rFonts w:ascii="Book Antiqua" w:hAnsi="Book Antiqua" w:cs="Times New Roman" w:hint="eastAsia"/>
          <w:lang w:val="en-US" w:eastAsia="zh-CN"/>
        </w:rPr>
        <w:t>,</w:t>
      </w:r>
      <w:r w:rsidR="00DC621B" w:rsidRPr="00D65CB0">
        <w:rPr>
          <w:rFonts w:ascii="Book Antiqua" w:hAnsi="Book Antiqua" w:cs="Times New Roman"/>
          <w:lang w:val="en-US"/>
        </w:rPr>
        <w:t xml:space="preserve"> 5.6–</w:t>
      </w:r>
      <w:r w:rsidR="00F32657" w:rsidRPr="00D65CB0">
        <w:rPr>
          <w:rFonts w:ascii="Book Antiqua" w:hAnsi="Book Antiqua" w:cs="Times New Roman"/>
          <w:lang w:val="en-US"/>
        </w:rPr>
        <w:t>16.2 mg</w:t>
      </w:r>
      <w:r w:rsidR="00DC621B" w:rsidRPr="00D65CB0">
        <w:rPr>
          <w:rFonts w:ascii="Book Antiqua" w:hAnsi="Book Antiqua" w:cs="Times New Roman" w:hint="eastAsia"/>
          <w:lang w:val="en-US" w:eastAsia="zh-CN"/>
        </w:rPr>
        <w:t>/</w:t>
      </w:r>
      <w:r w:rsidR="00F32657" w:rsidRPr="00D65CB0">
        <w:rPr>
          <w:rFonts w:ascii="Book Antiqua" w:hAnsi="Book Antiqua" w:cs="Times New Roman"/>
          <w:lang w:val="en-US"/>
        </w:rPr>
        <w:t>kg</w:t>
      </w:r>
      <w:r w:rsidR="00DC621B" w:rsidRPr="00D65CB0">
        <w:rPr>
          <w:rFonts w:ascii="Book Antiqua" w:hAnsi="Book Antiqua" w:cs="Times New Roman"/>
          <w:lang w:val="en-US"/>
        </w:rPr>
        <w:t>·</w:t>
      </w:r>
      <w:r w:rsidR="00DC621B" w:rsidRPr="00D65CB0">
        <w:rPr>
          <w:rFonts w:ascii="Book Antiqua" w:hAnsi="Book Antiqua" w:cs="Times New Roman" w:hint="eastAsia"/>
          <w:lang w:val="en-US" w:eastAsia="zh-CN"/>
        </w:rPr>
        <w:t xml:space="preserve">per </w:t>
      </w:r>
      <w:r w:rsidR="00F32657" w:rsidRPr="00D65CB0">
        <w:rPr>
          <w:rFonts w:ascii="Book Antiqua" w:hAnsi="Book Antiqua" w:cs="Times New Roman"/>
          <w:lang w:val="en-US"/>
        </w:rPr>
        <w:t>min</w:t>
      </w:r>
      <w:r w:rsidR="00DC621B" w:rsidRPr="00D65CB0">
        <w:rPr>
          <w:rFonts w:ascii="Book Antiqua" w:hAnsi="Book Antiqua" w:cs="Times New Roman"/>
          <w:lang w:val="en-US" w:eastAsia="zh-CN"/>
        </w:rPr>
        <w:t>ute</w:t>
      </w:r>
      <w:r w:rsidR="00192C79" w:rsidRPr="00D65CB0">
        <w:rPr>
          <w:rFonts w:ascii="Book Antiqua" w:hAnsi="Book Antiqua" w:cs="Times New Roman"/>
          <w:lang w:val="en-US"/>
        </w:rPr>
        <w:t xml:space="preserve"> where the intra-subject variability in insulin sensitivity on the two placebo study days was 9%. </w:t>
      </w:r>
      <w:r w:rsidR="00486074" w:rsidRPr="00D65CB0">
        <w:rPr>
          <w:rFonts w:ascii="Book Antiqua" w:hAnsi="Book Antiqua" w:cs="Times New Roman"/>
          <w:lang w:val="en-US"/>
        </w:rPr>
        <w:t xml:space="preserve"> </w:t>
      </w:r>
      <w:r w:rsidR="00961FD4" w:rsidRPr="00D65CB0">
        <w:rPr>
          <w:rFonts w:ascii="Book Antiqua" w:hAnsi="Book Antiqua" w:cs="Times New Roman"/>
          <w:lang w:val="en-US"/>
        </w:rPr>
        <w:t xml:space="preserve">Since physical activity and caloric intake are individual entities, which significantly affect a persons’ free fatty acid concentration, </w:t>
      </w:r>
      <w:r w:rsidR="00B0390E" w:rsidRPr="00D65CB0">
        <w:rPr>
          <w:rFonts w:ascii="Book Antiqua" w:hAnsi="Book Antiqua" w:cs="Times New Roman"/>
          <w:lang w:val="en-US"/>
        </w:rPr>
        <w:t>w</w:t>
      </w:r>
      <w:r w:rsidR="00486074" w:rsidRPr="00D65CB0">
        <w:rPr>
          <w:rFonts w:ascii="Book Antiqua" w:hAnsi="Book Antiqua" w:cs="Times New Roman"/>
          <w:lang w:val="en-US"/>
        </w:rPr>
        <w:t>e suggest that th</w:t>
      </w:r>
      <w:r w:rsidR="002C2B02" w:rsidRPr="00D65CB0">
        <w:rPr>
          <w:rFonts w:ascii="Book Antiqua" w:hAnsi="Book Antiqua" w:cs="Times New Roman"/>
          <w:lang w:val="en-US"/>
        </w:rPr>
        <w:t>e</w:t>
      </w:r>
      <w:r w:rsidR="00486074" w:rsidRPr="00D65CB0">
        <w:rPr>
          <w:rFonts w:ascii="Book Antiqua" w:hAnsi="Book Antiqua" w:cs="Times New Roman"/>
          <w:lang w:val="en-US"/>
        </w:rPr>
        <w:t xml:space="preserve"> wide inter-subject variability </w:t>
      </w:r>
      <w:r w:rsidR="000F14BE" w:rsidRPr="00D65CB0">
        <w:rPr>
          <w:rFonts w:ascii="Book Antiqua" w:hAnsi="Book Antiqua" w:cs="Times New Roman"/>
          <w:lang w:val="en-US"/>
        </w:rPr>
        <w:t>may be</w:t>
      </w:r>
      <w:r w:rsidR="00486074" w:rsidRPr="00D65CB0">
        <w:rPr>
          <w:rFonts w:ascii="Book Antiqua" w:hAnsi="Book Antiqua" w:cs="Times New Roman"/>
          <w:lang w:val="en-US"/>
        </w:rPr>
        <w:t xml:space="preserve"> attributable to the inter-subject variability </w:t>
      </w:r>
      <w:r w:rsidR="00961FD4" w:rsidRPr="00D65CB0">
        <w:rPr>
          <w:rFonts w:ascii="Book Antiqua" w:hAnsi="Book Antiqua" w:cs="Times New Roman"/>
          <w:lang w:val="en-US"/>
        </w:rPr>
        <w:t>in</w:t>
      </w:r>
      <w:r w:rsidR="00486074" w:rsidRPr="00D65CB0">
        <w:rPr>
          <w:rFonts w:ascii="Book Antiqua" w:hAnsi="Book Antiqua" w:cs="Times New Roman"/>
          <w:lang w:val="en-US"/>
        </w:rPr>
        <w:t xml:space="preserve"> </w:t>
      </w:r>
      <w:r w:rsidR="002C2B02" w:rsidRPr="00D65CB0">
        <w:rPr>
          <w:rFonts w:ascii="Book Antiqua" w:hAnsi="Book Antiqua" w:cs="Times New Roman"/>
          <w:lang w:val="en-US"/>
        </w:rPr>
        <w:t>free fatty acid concentration</w:t>
      </w:r>
      <w:r w:rsidR="00B0390E" w:rsidRPr="00D65CB0">
        <w:rPr>
          <w:rFonts w:ascii="Book Antiqua" w:hAnsi="Book Antiqua" w:cs="Times New Roman"/>
          <w:lang w:val="en-US"/>
        </w:rPr>
        <w:t>,</w:t>
      </w:r>
      <w:r w:rsidR="00486074" w:rsidRPr="00D65CB0">
        <w:rPr>
          <w:rFonts w:ascii="Book Antiqua" w:hAnsi="Book Antiqua" w:cs="Times New Roman"/>
          <w:lang w:val="en-US"/>
        </w:rPr>
        <w:t xml:space="preserve"> </w:t>
      </w:r>
      <w:r w:rsidR="00806EB9" w:rsidRPr="00D65CB0">
        <w:rPr>
          <w:rFonts w:ascii="Book Antiqua" w:hAnsi="Book Antiqua" w:cs="Times New Roman"/>
          <w:lang w:val="en-US"/>
        </w:rPr>
        <w:t>and thus</w:t>
      </w:r>
      <w:r w:rsidR="00B06B02" w:rsidRPr="00D65CB0">
        <w:rPr>
          <w:rFonts w:ascii="Book Antiqua" w:hAnsi="Book Antiqua" w:cs="Times New Roman"/>
          <w:lang w:val="en-US"/>
        </w:rPr>
        <w:t xml:space="preserve"> in the</w:t>
      </w:r>
      <w:r w:rsidR="00545E82" w:rsidRPr="00D65CB0">
        <w:rPr>
          <w:rFonts w:ascii="Book Antiqua" w:hAnsi="Book Antiqua" w:cs="Times New Roman"/>
          <w:lang w:val="en-US"/>
        </w:rPr>
        <w:t xml:space="preserve"> individual UI</w:t>
      </w:r>
      <w:r w:rsidR="00545E82" w:rsidRPr="00D65CB0">
        <w:rPr>
          <w:rFonts w:ascii="Book Antiqua" w:hAnsi="Book Antiqua" w:cs="Times New Roman"/>
          <w:vertAlign w:val="superscript"/>
          <w:lang w:val="en-US"/>
        </w:rPr>
        <w:t>[</w:t>
      </w:r>
      <w:r w:rsidR="00B24556" w:rsidRPr="00D65CB0">
        <w:rPr>
          <w:rFonts w:ascii="Book Antiqua" w:hAnsi="Book Antiqua" w:cs="Times New Roman"/>
          <w:vertAlign w:val="superscript"/>
          <w:lang w:val="en-US"/>
        </w:rPr>
        <w:t>13</w:t>
      </w:r>
      <w:r w:rsidR="00545E82" w:rsidRPr="00D65CB0">
        <w:rPr>
          <w:rFonts w:ascii="Book Antiqua" w:hAnsi="Book Antiqua" w:cs="Times New Roman"/>
          <w:vertAlign w:val="superscript"/>
          <w:lang w:val="en-US"/>
        </w:rPr>
        <w:t>]</w:t>
      </w:r>
      <w:r w:rsidR="00545E82" w:rsidRPr="00D65CB0">
        <w:rPr>
          <w:rFonts w:ascii="Book Antiqua" w:hAnsi="Book Antiqua" w:cs="Times New Roman"/>
          <w:lang w:val="en-US"/>
        </w:rPr>
        <w:t>.</w:t>
      </w:r>
      <w:r w:rsidR="000F14BE" w:rsidRPr="00D65CB0">
        <w:rPr>
          <w:rFonts w:ascii="Book Antiqua" w:hAnsi="Book Antiqua" w:cs="Times New Roman"/>
          <w:lang w:val="en-US"/>
        </w:rPr>
        <w:t xml:space="preserve"> </w:t>
      </w:r>
    </w:p>
    <w:p w:rsidR="005204CD" w:rsidRPr="00D65CB0" w:rsidRDefault="00534CE3" w:rsidP="00B04C1B">
      <w:pPr>
        <w:adjustRightInd w:val="0"/>
        <w:snapToGrid w:val="0"/>
        <w:spacing w:after="0"/>
        <w:ind w:firstLineChars="100" w:firstLine="240"/>
        <w:jc w:val="both"/>
        <w:rPr>
          <w:rFonts w:ascii="Book Antiqua" w:hAnsi="Book Antiqua" w:cs="Times New Roman"/>
          <w:lang w:val="en-US"/>
        </w:rPr>
      </w:pPr>
      <w:r w:rsidRPr="00D65CB0">
        <w:rPr>
          <w:rFonts w:ascii="Book Antiqua" w:hAnsi="Book Antiqua" w:cs="Times New Roman"/>
          <w:lang w:val="en-US"/>
        </w:rPr>
        <w:t>Despite</w:t>
      </w:r>
      <w:r w:rsidR="00357D4B" w:rsidRPr="00D65CB0">
        <w:rPr>
          <w:rFonts w:ascii="Book Antiqua" w:hAnsi="Book Antiqua" w:cs="Times New Roman"/>
          <w:lang w:val="en-US"/>
        </w:rPr>
        <w:t xml:space="preserve"> extensive guidelines for managing T2D</w:t>
      </w:r>
      <w:r w:rsidRPr="00D65CB0">
        <w:rPr>
          <w:rFonts w:ascii="Book Antiqua" w:hAnsi="Book Antiqua" w:cs="Times New Roman"/>
          <w:lang w:val="en-US"/>
        </w:rPr>
        <w:t>, in the United States during the years 2005-2008, 28.5%</w:t>
      </w:r>
      <w:r w:rsidR="00357D4B" w:rsidRPr="00D65CB0">
        <w:rPr>
          <w:rFonts w:ascii="Book Antiqua" w:hAnsi="Book Antiqua" w:cs="Times New Roman"/>
          <w:lang w:val="en-US"/>
        </w:rPr>
        <w:t xml:space="preserve"> </w:t>
      </w:r>
      <w:r w:rsidR="00AD1DF2" w:rsidRPr="00D65CB0">
        <w:rPr>
          <w:rFonts w:ascii="Book Antiqua" w:hAnsi="Book Antiqua" w:cs="Times New Roman"/>
          <w:lang w:val="en-US"/>
        </w:rPr>
        <w:t>of adults with diabetes aged 40 years or older</w:t>
      </w:r>
      <w:r w:rsidRPr="00D65CB0">
        <w:rPr>
          <w:rFonts w:ascii="Book Antiqua" w:hAnsi="Book Antiqua" w:cs="Times New Roman"/>
          <w:lang w:val="en-US"/>
        </w:rPr>
        <w:t xml:space="preserve"> </w:t>
      </w:r>
      <w:r w:rsidR="00AD1DF2" w:rsidRPr="00D65CB0">
        <w:rPr>
          <w:rFonts w:ascii="Book Antiqua" w:hAnsi="Book Antiqua" w:cs="Times New Roman"/>
          <w:lang w:val="en-US"/>
        </w:rPr>
        <w:t xml:space="preserve">had diabetic retinopathy and 4.4% </w:t>
      </w:r>
      <w:r w:rsidRPr="00D65CB0">
        <w:rPr>
          <w:rFonts w:ascii="Book Antiqua" w:hAnsi="Book Antiqua" w:cs="Times New Roman"/>
          <w:lang w:val="en-US"/>
        </w:rPr>
        <w:t xml:space="preserve">had </w:t>
      </w:r>
      <w:r w:rsidR="00AD1DF2" w:rsidRPr="00D65CB0">
        <w:rPr>
          <w:rFonts w:ascii="Book Antiqua" w:hAnsi="Book Antiqua" w:cs="Times New Roman"/>
          <w:lang w:val="en-US"/>
        </w:rPr>
        <w:t>advanced diabetic retinopathy</w:t>
      </w:r>
      <w:r w:rsidRPr="00D65CB0">
        <w:rPr>
          <w:rFonts w:ascii="Book Antiqua" w:hAnsi="Book Antiqua" w:cs="Times New Roman"/>
          <w:vertAlign w:val="superscript"/>
          <w:lang w:val="en-US"/>
        </w:rPr>
        <w:t>[1</w:t>
      </w:r>
      <w:r w:rsidR="00A053B0" w:rsidRPr="00D65CB0">
        <w:rPr>
          <w:rFonts w:ascii="Book Antiqua" w:hAnsi="Book Antiqua" w:cs="Times New Roman"/>
          <w:vertAlign w:val="superscript"/>
          <w:lang w:val="en-US"/>
        </w:rPr>
        <w:t>5</w:t>
      </w:r>
      <w:r w:rsidRPr="00D65CB0">
        <w:rPr>
          <w:rFonts w:ascii="Book Antiqua" w:hAnsi="Book Antiqua" w:cs="Times New Roman"/>
          <w:vertAlign w:val="superscript"/>
          <w:lang w:val="en-US"/>
        </w:rPr>
        <w:t>]</w:t>
      </w:r>
      <w:r w:rsidRPr="00D65CB0">
        <w:rPr>
          <w:rFonts w:ascii="Book Antiqua" w:hAnsi="Book Antiqua" w:cs="Times New Roman"/>
          <w:lang w:val="en-US"/>
        </w:rPr>
        <w:t>. These incidences are</w:t>
      </w:r>
      <w:r w:rsidR="005C1C5F" w:rsidRPr="00D65CB0">
        <w:rPr>
          <w:rFonts w:ascii="Book Antiqua" w:hAnsi="Book Antiqua" w:cs="Times New Roman"/>
          <w:lang w:val="en-US"/>
        </w:rPr>
        <w:t xml:space="preserve"> probably</w:t>
      </w:r>
      <w:r w:rsidRPr="00D65CB0">
        <w:rPr>
          <w:rFonts w:ascii="Book Antiqua" w:hAnsi="Book Antiqua" w:cs="Times New Roman"/>
          <w:lang w:val="en-US"/>
        </w:rPr>
        <w:t xml:space="preserve"> due to </w:t>
      </w:r>
      <w:r w:rsidR="005C1C5F" w:rsidRPr="00D65CB0">
        <w:rPr>
          <w:rFonts w:ascii="Book Antiqua" w:hAnsi="Book Antiqua" w:cs="Times New Roman"/>
          <w:lang w:val="en-US"/>
        </w:rPr>
        <w:t>a</w:t>
      </w:r>
      <w:r w:rsidRPr="00D65CB0">
        <w:rPr>
          <w:rFonts w:ascii="Book Antiqua" w:hAnsi="Book Antiqua" w:cs="Times New Roman"/>
          <w:lang w:val="en-US"/>
        </w:rPr>
        <w:t xml:space="preserve"> </w:t>
      </w:r>
      <w:r w:rsidR="005C1C5F" w:rsidRPr="00D65CB0">
        <w:rPr>
          <w:rFonts w:ascii="Book Antiqua" w:hAnsi="Book Antiqua" w:cs="Times New Roman"/>
          <w:lang w:val="en-US"/>
        </w:rPr>
        <w:t>longstanding period of</w:t>
      </w:r>
      <w:r w:rsidR="00B017FF" w:rsidRPr="00D65CB0">
        <w:rPr>
          <w:rFonts w:ascii="Book Antiqua" w:hAnsi="Book Antiqua" w:cs="Times New Roman"/>
          <w:lang w:val="en-US"/>
        </w:rPr>
        <w:t xml:space="preserve"> </w:t>
      </w:r>
      <w:r w:rsidR="005C1C5F" w:rsidRPr="00D65CB0">
        <w:rPr>
          <w:rFonts w:ascii="Book Antiqua" w:hAnsi="Book Antiqua" w:cs="Times New Roman"/>
          <w:lang w:val="en-US"/>
        </w:rPr>
        <w:t>decreased UI</w:t>
      </w:r>
      <w:r w:rsidRPr="00D65CB0">
        <w:rPr>
          <w:rFonts w:ascii="Book Antiqua" w:hAnsi="Book Antiqua" w:cs="Times New Roman"/>
          <w:lang w:val="en-US"/>
        </w:rPr>
        <w:t xml:space="preserve">, increasing the </w:t>
      </w:r>
      <w:r w:rsidR="005C1C5F" w:rsidRPr="00D65CB0">
        <w:rPr>
          <w:rFonts w:ascii="Book Antiqua" w:hAnsi="Book Antiqua" w:cs="Times New Roman"/>
          <w:lang w:val="en-US"/>
        </w:rPr>
        <w:t>stiffness of both</w:t>
      </w:r>
      <w:r w:rsidRPr="00D65CB0">
        <w:rPr>
          <w:rFonts w:ascii="Book Antiqua" w:hAnsi="Book Antiqua" w:cs="Times New Roman"/>
          <w:lang w:val="en-US"/>
        </w:rPr>
        <w:t xml:space="preserve"> the</w:t>
      </w:r>
      <w:r w:rsidR="005C1C5F" w:rsidRPr="00D65CB0">
        <w:rPr>
          <w:rFonts w:ascii="Book Antiqua" w:hAnsi="Book Antiqua" w:cs="Times New Roman"/>
          <w:lang w:val="en-US"/>
        </w:rPr>
        <w:t xml:space="preserve"> erythrocyte and plasma membranes</w:t>
      </w:r>
      <w:r w:rsidR="005E6F0F" w:rsidRPr="00D65CB0">
        <w:rPr>
          <w:rFonts w:ascii="Book Antiqua" w:hAnsi="Book Antiqua" w:cs="Times New Roman"/>
          <w:lang w:val="en-US"/>
        </w:rPr>
        <w:t xml:space="preserve"> and, as a consequence,</w:t>
      </w:r>
      <w:r w:rsidR="005645D0" w:rsidRPr="00D65CB0">
        <w:rPr>
          <w:rFonts w:ascii="Book Antiqua" w:hAnsi="Book Antiqua" w:cs="Times New Roman"/>
          <w:lang w:val="en-US"/>
        </w:rPr>
        <w:t xml:space="preserve"> </w:t>
      </w:r>
      <w:r w:rsidR="0059270F" w:rsidRPr="00D65CB0">
        <w:rPr>
          <w:rFonts w:ascii="Book Antiqua" w:hAnsi="Book Antiqua" w:cs="Times New Roman"/>
          <w:lang w:val="en-US"/>
        </w:rPr>
        <w:t>decreas</w:t>
      </w:r>
      <w:r w:rsidRPr="00D65CB0">
        <w:rPr>
          <w:rFonts w:ascii="Book Antiqua" w:hAnsi="Book Antiqua" w:cs="Times New Roman"/>
          <w:lang w:val="en-US"/>
        </w:rPr>
        <w:t>ing</w:t>
      </w:r>
      <w:r w:rsidR="0059270F" w:rsidRPr="00D65CB0">
        <w:rPr>
          <w:rFonts w:ascii="Book Antiqua" w:hAnsi="Book Antiqua" w:cs="Times New Roman"/>
          <w:lang w:val="en-US"/>
        </w:rPr>
        <w:t xml:space="preserve"> microcirculatory flow,</w:t>
      </w:r>
      <w:r w:rsidRPr="00D65CB0">
        <w:rPr>
          <w:rFonts w:ascii="Book Antiqua" w:hAnsi="Book Antiqua" w:cs="Times New Roman"/>
          <w:lang w:val="en-US"/>
        </w:rPr>
        <w:t xml:space="preserve"> </w:t>
      </w:r>
      <w:r w:rsidR="0059270F" w:rsidRPr="00D65CB0">
        <w:rPr>
          <w:rFonts w:ascii="Book Antiqua" w:hAnsi="Book Antiqua" w:cs="Times New Roman"/>
          <w:lang w:val="en-US"/>
        </w:rPr>
        <w:t>ultimately</w:t>
      </w:r>
      <w:r w:rsidRPr="00D65CB0">
        <w:rPr>
          <w:rFonts w:ascii="Book Antiqua" w:hAnsi="Book Antiqua" w:cs="Times New Roman"/>
          <w:lang w:val="en-US"/>
        </w:rPr>
        <w:t xml:space="preserve"> leading </w:t>
      </w:r>
      <w:r w:rsidR="0059270F" w:rsidRPr="00D65CB0">
        <w:rPr>
          <w:rFonts w:ascii="Book Antiqua" w:hAnsi="Book Antiqua" w:cs="Times New Roman"/>
          <w:lang w:val="en-US"/>
        </w:rPr>
        <w:t xml:space="preserve">to chronic tissue </w:t>
      </w:r>
      <w:r w:rsidR="005C1C5F" w:rsidRPr="00D65CB0">
        <w:rPr>
          <w:rFonts w:ascii="Book Antiqua" w:hAnsi="Book Antiqua" w:cs="Times New Roman"/>
          <w:lang w:val="en-US"/>
        </w:rPr>
        <w:t>hypoxia</w:t>
      </w:r>
      <w:r w:rsidR="0059270F" w:rsidRPr="00D65CB0">
        <w:rPr>
          <w:rFonts w:ascii="Book Antiqua" w:hAnsi="Book Antiqua" w:cs="Times New Roman"/>
          <w:lang w:val="en-US"/>
        </w:rPr>
        <w:t>, insufficient tissue nutrition, and diabetes-specific microvascular pathology</w:t>
      </w:r>
      <w:r w:rsidR="0086391F" w:rsidRPr="00D65CB0">
        <w:rPr>
          <w:rFonts w:ascii="Book Antiqua" w:hAnsi="Book Antiqua" w:cs="Times New Roman"/>
          <w:vertAlign w:val="superscript"/>
          <w:lang w:val="en-US"/>
        </w:rPr>
        <w:t>[</w:t>
      </w:r>
      <w:r w:rsidR="0060589B" w:rsidRPr="00D65CB0">
        <w:rPr>
          <w:rFonts w:ascii="Book Antiqua" w:hAnsi="Book Antiqua" w:cs="Times New Roman"/>
          <w:vertAlign w:val="superscript"/>
          <w:lang w:val="en-US"/>
        </w:rPr>
        <w:t>2</w:t>
      </w:r>
      <w:r w:rsidR="0086391F" w:rsidRPr="00D65CB0">
        <w:rPr>
          <w:rFonts w:ascii="Book Antiqua" w:hAnsi="Book Antiqua" w:cs="Times New Roman"/>
          <w:vertAlign w:val="superscript"/>
          <w:lang w:val="en-US"/>
        </w:rPr>
        <w:t>]</w:t>
      </w:r>
      <w:r w:rsidR="0059270F" w:rsidRPr="00D65CB0">
        <w:rPr>
          <w:rFonts w:ascii="Book Antiqua" w:hAnsi="Book Antiqua" w:cs="Times New Roman"/>
          <w:lang w:val="en-US"/>
        </w:rPr>
        <w:t>.</w:t>
      </w:r>
      <w:r w:rsidR="00707CC5" w:rsidRPr="00D65CB0">
        <w:rPr>
          <w:rFonts w:ascii="Book Antiqua" w:hAnsi="Book Antiqua" w:cs="Times New Roman"/>
          <w:lang w:val="en-US"/>
        </w:rPr>
        <w:t xml:space="preserve"> Thus, t</w:t>
      </w:r>
      <w:r w:rsidR="005645D0" w:rsidRPr="00D65CB0">
        <w:rPr>
          <w:rFonts w:ascii="Book Antiqua" w:hAnsi="Book Antiqua" w:cs="Times New Roman"/>
          <w:lang w:val="en-US"/>
        </w:rPr>
        <w:t>h</w:t>
      </w:r>
      <w:r w:rsidR="00206AFA" w:rsidRPr="00D65CB0">
        <w:rPr>
          <w:rFonts w:ascii="Book Antiqua" w:hAnsi="Book Antiqua" w:cs="Times New Roman"/>
          <w:lang w:val="en-US"/>
        </w:rPr>
        <w:t>e</w:t>
      </w:r>
      <w:r w:rsidR="005645D0" w:rsidRPr="00D65CB0">
        <w:rPr>
          <w:rFonts w:ascii="Book Antiqua" w:hAnsi="Book Antiqua" w:cs="Times New Roman"/>
          <w:lang w:val="en-US"/>
        </w:rPr>
        <w:t xml:space="preserve"> idea of early systemic</w:t>
      </w:r>
      <w:r w:rsidR="00206AFA" w:rsidRPr="00D65CB0">
        <w:rPr>
          <w:rFonts w:ascii="Book Antiqua" w:hAnsi="Book Antiqua" w:cs="Times New Roman"/>
          <w:lang w:val="en-US"/>
        </w:rPr>
        <w:t xml:space="preserve"> cell</w:t>
      </w:r>
      <w:r w:rsidR="00707CC5" w:rsidRPr="00D65CB0">
        <w:rPr>
          <w:rFonts w:ascii="Book Antiqua" w:hAnsi="Book Antiqua" w:cs="Times New Roman"/>
          <w:lang w:val="en-US"/>
        </w:rPr>
        <w:t>-</w:t>
      </w:r>
      <w:r w:rsidR="00206AFA" w:rsidRPr="00D65CB0">
        <w:rPr>
          <w:rFonts w:ascii="Book Antiqua" w:hAnsi="Book Antiqua" w:cs="Times New Roman"/>
          <w:lang w:val="en-US"/>
        </w:rPr>
        <w:t>membrane</w:t>
      </w:r>
      <w:r w:rsidR="005645D0" w:rsidRPr="00D65CB0">
        <w:rPr>
          <w:rFonts w:ascii="Book Antiqua" w:hAnsi="Book Antiqua" w:cs="Times New Roman"/>
          <w:lang w:val="en-US"/>
        </w:rPr>
        <w:t xml:space="preserve"> disease</w:t>
      </w:r>
      <w:r w:rsidR="00707CC5" w:rsidRPr="00D65CB0">
        <w:rPr>
          <w:rFonts w:ascii="Book Antiqua" w:hAnsi="Book Antiqua" w:cs="Times New Roman"/>
          <w:lang w:val="en-US"/>
        </w:rPr>
        <w:t xml:space="preserve"> necessitates </w:t>
      </w:r>
      <w:r w:rsidR="00FB5D49" w:rsidRPr="00D65CB0">
        <w:rPr>
          <w:rFonts w:ascii="Book Antiqua" w:hAnsi="Book Antiqua" w:cs="Times New Roman"/>
          <w:lang w:val="en-US"/>
        </w:rPr>
        <w:t xml:space="preserve">new thinking and </w:t>
      </w:r>
      <w:r w:rsidR="00707CC5" w:rsidRPr="00D65CB0">
        <w:rPr>
          <w:rFonts w:ascii="Book Antiqua" w:hAnsi="Book Antiqua" w:cs="Times New Roman"/>
          <w:lang w:val="en-US"/>
        </w:rPr>
        <w:t xml:space="preserve">suggests that </w:t>
      </w:r>
      <w:r w:rsidR="00FB5D49" w:rsidRPr="00D65CB0">
        <w:rPr>
          <w:rFonts w:ascii="Book Antiqua" w:hAnsi="Book Antiqua" w:cs="Times New Roman"/>
          <w:lang w:val="en-US"/>
        </w:rPr>
        <w:t>UI</w:t>
      </w:r>
      <w:r w:rsidR="00707CC5" w:rsidRPr="00D65CB0">
        <w:rPr>
          <w:rFonts w:ascii="Book Antiqua" w:hAnsi="Book Antiqua" w:cs="Times New Roman"/>
          <w:lang w:val="en-US"/>
        </w:rPr>
        <w:t xml:space="preserve"> should feature prominently </w:t>
      </w:r>
      <w:r w:rsidR="00FB5D49" w:rsidRPr="00D65CB0">
        <w:rPr>
          <w:rFonts w:ascii="Book Antiqua" w:hAnsi="Book Antiqua" w:cs="Times New Roman"/>
          <w:lang w:val="en-US"/>
        </w:rPr>
        <w:t>on the</w:t>
      </w:r>
      <w:r w:rsidR="00707CC5" w:rsidRPr="00D65CB0">
        <w:rPr>
          <w:rFonts w:ascii="Book Antiqua" w:hAnsi="Book Antiqua" w:cs="Times New Roman"/>
          <w:lang w:val="en-US"/>
        </w:rPr>
        <w:t xml:space="preserve"> research </w:t>
      </w:r>
      <w:r w:rsidR="00FB5D49" w:rsidRPr="00D65CB0">
        <w:rPr>
          <w:rFonts w:ascii="Book Antiqua" w:hAnsi="Book Antiqua" w:cs="Times New Roman"/>
          <w:lang w:val="en-US"/>
        </w:rPr>
        <w:t>agenda.</w:t>
      </w:r>
    </w:p>
    <w:p w:rsidR="005204CD" w:rsidRPr="00D65CB0" w:rsidRDefault="005204CD" w:rsidP="00B04C1B">
      <w:pPr>
        <w:adjustRightInd w:val="0"/>
        <w:snapToGrid w:val="0"/>
        <w:spacing w:after="0"/>
        <w:jc w:val="both"/>
        <w:rPr>
          <w:rFonts w:ascii="Book Antiqua" w:hAnsi="Book Antiqua" w:cs="Times New Roman"/>
          <w:lang w:val="en-US"/>
        </w:rPr>
      </w:pPr>
    </w:p>
    <w:p w:rsidR="0082269E" w:rsidRPr="00D65CB0" w:rsidRDefault="006A2427" w:rsidP="00B04C1B">
      <w:pPr>
        <w:adjustRightInd w:val="0"/>
        <w:snapToGrid w:val="0"/>
        <w:spacing w:after="0"/>
        <w:jc w:val="both"/>
        <w:rPr>
          <w:rFonts w:ascii="Book Antiqua" w:hAnsi="Book Antiqua" w:cs="Times New Roman"/>
          <w:b/>
          <w:lang w:val="en-US" w:eastAsia="zh-CN"/>
        </w:rPr>
      </w:pPr>
      <w:r w:rsidRPr="00D65CB0">
        <w:rPr>
          <w:rFonts w:ascii="Book Antiqua" w:hAnsi="Book Antiqua" w:cs="Times New Roman"/>
          <w:b/>
          <w:lang w:val="en-US"/>
        </w:rPr>
        <w:t>R</w:t>
      </w:r>
      <w:r w:rsidR="00BA5E12" w:rsidRPr="00D65CB0">
        <w:rPr>
          <w:rFonts w:ascii="Book Antiqua" w:hAnsi="Book Antiqua" w:cs="Times New Roman"/>
          <w:b/>
          <w:lang w:val="en-US"/>
        </w:rPr>
        <w:t>EFERENCES</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1 </w:t>
      </w:r>
      <w:r w:rsidRPr="00D65CB0">
        <w:rPr>
          <w:rFonts w:ascii="Book Antiqua" w:eastAsia="宋体" w:hAnsi="Book Antiqua" w:cs="宋体"/>
          <w:b/>
          <w:bCs/>
          <w:color w:val="000000"/>
        </w:rPr>
        <w:t>Baur LA</w:t>
      </w:r>
      <w:r w:rsidRPr="00D65CB0">
        <w:rPr>
          <w:rFonts w:ascii="Book Antiqua" w:eastAsia="宋体" w:hAnsi="Book Antiqua" w:cs="宋体"/>
          <w:color w:val="000000"/>
        </w:rPr>
        <w:t>, O'Connor J, Pan DA, Storlien LH. Relationships between maternal risk of insulin resistance and the child's muscle membrane fatty acid composition. </w:t>
      </w:r>
      <w:r w:rsidRPr="00D65CB0">
        <w:rPr>
          <w:rFonts w:ascii="Book Antiqua" w:eastAsia="宋体" w:hAnsi="Book Antiqua" w:cs="宋体"/>
          <w:i/>
          <w:iCs/>
          <w:color w:val="000000"/>
        </w:rPr>
        <w:t>Diabetes</w:t>
      </w:r>
      <w:r w:rsidRPr="00D65CB0">
        <w:rPr>
          <w:rFonts w:ascii="Book Antiqua" w:eastAsia="宋体" w:hAnsi="Book Antiqua" w:cs="宋体"/>
          <w:color w:val="000000"/>
        </w:rPr>
        <w:t> 1999; </w:t>
      </w:r>
      <w:r w:rsidRPr="00D65CB0">
        <w:rPr>
          <w:rFonts w:ascii="Book Antiqua" w:eastAsia="宋体" w:hAnsi="Book Antiqua" w:cs="宋体"/>
          <w:b/>
          <w:bCs/>
          <w:color w:val="000000"/>
        </w:rPr>
        <w:t>48</w:t>
      </w:r>
      <w:r w:rsidRPr="00D65CB0">
        <w:rPr>
          <w:rFonts w:ascii="Book Antiqua" w:eastAsia="宋体" w:hAnsi="Book Antiqua" w:cs="宋体"/>
          <w:color w:val="000000"/>
        </w:rPr>
        <w:t>: 112-116 [PMID: 9892230 DOI: 10.2337/diabetes.48.1.112]</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2 </w:t>
      </w:r>
      <w:r w:rsidRPr="00D65CB0">
        <w:rPr>
          <w:rFonts w:ascii="Book Antiqua" w:eastAsia="宋体" w:hAnsi="Book Antiqua" w:cs="宋体"/>
          <w:b/>
          <w:bCs/>
          <w:color w:val="000000"/>
        </w:rPr>
        <w:t>Weijers RN</w:t>
      </w:r>
      <w:r w:rsidRPr="00D65CB0">
        <w:rPr>
          <w:rFonts w:ascii="Book Antiqua" w:eastAsia="宋体" w:hAnsi="Book Antiqua" w:cs="宋体"/>
          <w:color w:val="000000"/>
        </w:rPr>
        <w:t>. Lipid composition of cell membranes and its relevance in type 2 diabetes mellitus. </w:t>
      </w:r>
      <w:r w:rsidRPr="00D65CB0">
        <w:rPr>
          <w:rFonts w:ascii="Book Antiqua" w:eastAsia="宋体" w:hAnsi="Book Antiqua" w:cs="宋体"/>
          <w:i/>
          <w:iCs/>
          <w:color w:val="000000"/>
        </w:rPr>
        <w:t>Curr Diabetes Rev</w:t>
      </w:r>
      <w:r w:rsidRPr="00D65CB0">
        <w:rPr>
          <w:rFonts w:ascii="Book Antiqua" w:eastAsia="宋体" w:hAnsi="Book Antiqua" w:cs="宋体"/>
          <w:color w:val="000000"/>
        </w:rPr>
        <w:t> 2012; </w:t>
      </w:r>
      <w:r w:rsidRPr="00D65CB0">
        <w:rPr>
          <w:rFonts w:ascii="Book Antiqua" w:eastAsia="宋体" w:hAnsi="Book Antiqua" w:cs="宋体"/>
          <w:b/>
          <w:bCs/>
          <w:color w:val="000000"/>
        </w:rPr>
        <w:t>8</w:t>
      </w:r>
      <w:r w:rsidRPr="00D65CB0">
        <w:rPr>
          <w:rFonts w:ascii="Book Antiqua" w:eastAsia="宋体" w:hAnsi="Book Antiqua" w:cs="宋体"/>
          <w:color w:val="000000"/>
        </w:rPr>
        <w:t>: 390-400 [PMID: 22698081 DOI: 10.2174/157339912802083531]</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3 </w:t>
      </w:r>
      <w:r w:rsidRPr="00D65CB0">
        <w:rPr>
          <w:rFonts w:ascii="Book Antiqua" w:eastAsia="宋体" w:hAnsi="Book Antiqua" w:cs="宋体"/>
          <w:b/>
          <w:bCs/>
          <w:color w:val="000000"/>
        </w:rPr>
        <w:t>Hulbert AJ</w:t>
      </w:r>
      <w:r w:rsidRPr="00D65CB0">
        <w:rPr>
          <w:rFonts w:ascii="Book Antiqua" w:eastAsia="宋体" w:hAnsi="Book Antiqua" w:cs="宋体"/>
          <w:color w:val="000000"/>
        </w:rPr>
        <w:t>. Life, death and membrane bilayers. </w:t>
      </w:r>
      <w:r w:rsidRPr="00D65CB0">
        <w:rPr>
          <w:rFonts w:ascii="Book Antiqua" w:eastAsia="宋体" w:hAnsi="Book Antiqua" w:cs="宋体"/>
          <w:i/>
          <w:iCs/>
          <w:color w:val="000000"/>
        </w:rPr>
        <w:t>J Exp Biol</w:t>
      </w:r>
      <w:r w:rsidRPr="00D65CB0">
        <w:rPr>
          <w:rFonts w:ascii="Book Antiqua" w:eastAsia="宋体" w:hAnsi="Book Antiqua" w:cs="宋体"/>
          <w:color w:val="000000"/>
        </w:rPr>
        <w:t> 2003; </w:t>
      </w:r>
      <w:r w:rsidRPr="00D65CB0">
        <w:rPr>
          <w:rFonts w:ascii="Book Antiqua" w:eastAsia="宋体" w:hAnsi="Book Antiqua" w:cs="宋体"/>
          <w:b/>
          <w:bCs/>
          <w:color w:val="000000"/>
        </w:rPr>
        <w:t>206</w:t>
      </w:r>
      <w:r w:rsidRPr="00D65CB0">
        <w:rPr>
          <w:rFonts w:ascii="Book Antiqua" w:eastAsia="宋体" w:hAnsi="Book Antiqua" w:cs="宋体"/>
          <w:color w:val="000000"/>
        </w:rPr>
        <w:t>: 2303-2311 [PMID: 12796449 DOI: 10.1242/jeb.00399]</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 xml:space="preserve">4 </w:t>
      </w:r>
      <w:r w:rsidRPr="00D65CB0">
        <w:rPr>
          <w:rFonts w:ascii="Book Antiqua" w:eastAsia="宋体" w:hAnsi="Book Antiqua" w:cs="宋体"/>
          <w:b/>
          <w:color w:val="000000"/>
        </w:rPr>
        <w:t>Chatgilialogou A</w:t>
      </w:r>
      <w:r w:rsidRPr="00D65CB0">
        <w:rPr>
          <w:rFonts w:ascii="Book Antiqua" w:eastAsia="宋体" w:hAnsi="Book Antiqua" w:cs="宋体"/>
          <w:color w:val="000000"/>
        </w:rPr>
        <w:t xml:space="preserve">. U.I. arm in arm with </w:t>
      </w:r>
      <w:r w:rsidR="00B24580">
        <w:rPr>
          <w:rFonts w:ascii="Book Antiqua" w:eastAsia="宋体" w:hAnsi="Book Antiqua" w:cs="宋体"/>
          <w:color w:val="000000"/>
        </w:rPr>
        <w:t>Diabetes. Remembrane Blog, 2014 May 17</w:t>
      </w:r>
      <w:bookmarkStart w:id="0" w:name="_GoBack"/>
      <w:bookmarkEnd w:id="0"/>
      <w:r w:rsidRPr="00D65CB0">
        <w:rPr>
          <w:rFonts w:ascii="Book Antiqua" w:eastAsia="宋体" w:hAnsi="Book Antiqua" w:cs="宋体"/>
          <w:color w:val="000000"/>
        </w:rPr>
        <w:t>. Available from: URL: http: //www.remembrane.com/en/n//u-i-arm-in-arm-with-diabetes/</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5 </w:t>
      </w:r>
      <w:r w:rsidRPr="00D65CB0">
        <w:rPr>
          <w:rFonts w:ascii="Book Antiqua" w:eastAsia="宋体" w:hAnsi="Book Antiqua" w:cs="宋体"/>
          <w:b/>
          <w:bCs/>
          <w:color w:val="000000"/>
        </w:rPr>
        <w:t>Koehrer P</w:t>
      </w:r>
      <w:r w:rsidRPr="00D65CB0">
        <w:rPr>
          <w:rFonts w:ascii="Book Antiqua" w:eastAsia="宋体" w:hAnsi="Book Antiqua" w:cs="宋体"/>
          <w:color w:val="000000"/>
        </w:rPr>
        <w:t>, Saab S, Berdeaux O, Isaïco R, Grégoire S, Cabaret S, Bron AM, Creuzot-Garcher CP, Bretillon L, Acar N. Erythrocyte phospholipid and polyunsaturated fatty acid composition in diabetic retinopathy. </w:t>
      </w:r>
      <w:r w:rsidRPr="00D65CB0">
        <w:rPr>
          <w:rFonts w:ascii="Book Antiqua" w:eastAsia="宋体" w:hAnsi="Book Antiqua" w:cs="宋体"/>
          <w:i/>
          <w:iCs/>
          <w:color w:val="000000"/>
        </w:rPr>
        <w:t>PLoS One</w:t>
      </w:r>
      <w:r w:rsidRPr="00D65CB0">
        <w:rPr>
          <w:rFonts w:ascii="Book Antiqua" w:eastAsia="宋体" w:hAnsi="Book Antiqua" w:cs="宋体"/>
          <w:color w:val="000000"/>
        </w:rPr>
        <w:t> 2014; </w:t>
      </w:r>
      <w:r w:rsidRPr="00D65CB0">
        <w:rPr>
          <w:rFonts w:ascii="Book Antiqua" w:eastAsia="宋体" w:hAnsi="Book Antiqua" w:cs="宋体"/>
          <w:b/>
          <w:bCs/>
          <w:color w:val="000000"/>
        </w:rPr>
        <w:t>9</w:t>
      </w:r>
      <w:r w:rsidRPr="00D65CB0">
        <w:rPr>
          <w:rFonts w:ascii="Book Antiqua" w:eastAsia="宋体" w:hAnsi="Book Antiqua" w:cs="宋体"/>
          <w:color w:val="000000"/>
        </w:rPr>
        <w:t>: e106912 [PMID: 25188352 DOI: 10.1371/journal.pone.0106912]</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6 </w:t>
      </w:r>
      <w:r w:rsidRPr="00D65CB0">
        <w:rPr>
          <w:rFonts w:ascii="Book Antiqua" w:eastAsia="宋体" w:hAnsi="Book Antiqua" w:cs="宋体"/>
          <w:b/>
          <w:bCs/>
          <w:color w:val="000000"/>
        </w:rPr>
        <w:t>Min Y</w:t>
      </w:r>
      <w:r w:rsidRPr="00D65CB0">
        <w:rPr>
          <w:rFonts w:ascii="Book Antiqua" w:eastAsia="宋体" w:hAnsi="Book Antiqua" w:cs="宋体"/>
          <w:color w:val="000000"/>
        </w:rPr>
        <w:t>, Ghebremeskel K, Lowy C, Thomas B, Crawford MA. Adverse effect of obesity on red cell membrane arachidonic and docosahexaenoic acids in gestational diabetes. </w:t>
      </w:r>
      <w:r w:rsidRPr="00D65CB0">
        <w:rPr>
          <w:rFonts w:ascii="Book Antiqua" w:eastAsia="宋体" w:hAnsi="Book Antiqua" w:cs="宋体"/>
          <w:i/>
          <w:iCs/>
          <w:color w:val="000000"/>
        </w:rPr>
        <w:t>Diabetologia</w:t>
      </w:r>
      <w:r w:rsidRPr="00D65CB0">
        <w:rPr>
          <w:rFonts w:ascii="Book Antiqua" w:eastAsia="宋体" w:hAnsi="Book Antiqua" w:cs="宋体"/>
          <w:color w:val="000000"/>
        </w:rPr>
        <w:t> 2004; </w:t>
      </w:r>
      <w:r w:rsidRPr="00D65CB0">
        <w:rPr>
          <w:rFonts w:ascii="Book Antiqua" w:eastAsia="宋体" w:hAnsi="Book Antiqua" w:cs="宋体"/>
          <w:b/>
          <w:bCs/>
          <w:color w:val="000000"/>
        </w:rPr>
        <w:t>47</w:t>
      </w:r>
      <w:r w:rsidRPr="00D65CB0">
        <w:rPr>
          <w:rFonts w:ascii="Book Antiqua" w:eastAsia="宋体" w:hAnsi="Book Antiqua" w:cs="宋体"/>
          <w:color w:val="000000"/>
        </w:rPr>
        <w:t>: 75-81 [PMID: 14634727 DOI: 10.1007/s00125-003-1275-5]</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 xml:space="preserve">7 </w:t>
      </w:r>
      <w:r w:rsidRPr="00D65CB0">
        <w:rPr>
          <w:rFonts w:ascii="Book Antiqua" w:eastAsia="宋体" w:hAnsi="Book Antiqua" w:cs="宋体"/>
          <w:b/>
          <w:color w:val="000000"/>
        </w:rPr>
        <w:t>Weijers RNM</w:t>
      </w:r>
      <w:r w:rsidRPr="00D65CB0">
        <w:rPr>
          <w:rFonts w:ascii="Book Antiqua" w:eastAsia="宋体" w:hAnsi="Book Antiqua" w:cs="宋体"/>
          <w:color w:val="000000"/>
        </w:rPr>
        <w:t xml:space="preserve">. Membrane flexibility and cellular energy management in type 2 diabetes, gestational diabetes, and obesity. </w:t>
      </w:r>
      <w:r w:rsidRPr="00D65CB0">
        <w:rPr>
          <w:rFonts w:ascii="Book Antiqua" w:eastAsia="宋体" w:hAnsi="Book Antiqua" w:cs="宋体"/>
          <w:i/>
          <w:color w:val="000000"/>
        </w:rPr>
        <w:t>EMJ Diabet</w:t>
      </w:r>
      <w:r w:rsidRPr="00D65CB0">
        <w:rPr>
          <w:rFonts w:ascii="Book Antiqua" w:eastAsia="宋体" w:hAnsi="Book Antiqua" w:cs="宋体"/>
          <w:color w:val="000000"/>
        </w:rPr>
        <w:t xml:space="preserve"> 2014; </w:t>
      </w:r>
      <w:r w:rsidRPr="00D65CB0">
        <w:rPr>
          <w:rFonts w:ascii="Book Antiqua" w:eastAsia="宋体" w:hAnsi="Book Antiqua" w:cs="宋体"/>
          <w:b/>
          <w:color w:val="000000"/>
        </w:rPr>
        <w:t>2</w:t>
      </w:r>
      <w:r w:rsidRPr="00D65CB0">
        <w:rPr>
          <w:rFonts w:ascii="Book Antiqua" w:eastAsia="宋体" w:hAnsi="Book Antiqua" w:cs="宋体"/>
          <w:color w:val="000000"/>
        </w:rPr>
        <w:t>: 65-72 [DOI: 10.13140/2.1.1027.6803]</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8 </w:t>
      </w:r>
      <w:r w:rsidRPr="00D65CB0">
        <w:rPr>
          <w:rFonts w:ascii="Book Antiqua" w:eastAsia="宋体" w:hAnsi="Book Antiqua" w:cs="宋体"/>
          <w:b/>
          <w:bCs/>
          <w:color w:val="000000"/>
        </w:rPr>
        <w:t>Gramling C</w:t>
      </w:r>
      <w:r w:rsidRPr="00D65CB0">
        <w:rPr>
          <w:rFonts w:ascii="Book Antiqua" w:eastAsia="宋体" w:hAnsi="Book Antiqua" w:cs="宋体"/>
          <w:color w:val="000000"/>
        </w:rPr>
        <w:t>. Geochemistry. Low oxygen stifled animals' emergence, study says. </w:t>
      </w:r>
      <w:r w:rsidRPr="00D65CB0">
        <w:rPr>
          <w:rFonts w:ascii="Book Antiqua" w:eastAsia="宋体" w:hAnsi="Book Antiqua" w:cs="宋体"/>
          <w:i/>
          <w:iCs/>
          <w:color w:val="000000"/>
        </w:rPr>
        <w:t>Science</w:t>
      </w:r>
      <w:r w:rsidRPr="00D65CB0">
        <w:rPr>
          <w:rFonts w:ascii="Book Antiqua" w:eastAsia="宋体" w:hAnsi="Book Antiqua" w:cs="宋体"/>
          <w:color w:val="000000"/>
        </w:rPr>
        <w:t> 2014; </w:t>
      </w:r>
      <w:r w:rsidRPr="00D65CB0">
        <w:rPr>
          <w:rFonts w:ascii="Book Antiqua" w:eastAsia="宋体" w:hAnsi="Book Antiqua" w:cs="宋体"/>
          <w:b/>
          <w:bCs/>
          <w:color w:val="000000"/>
        </w:rPr>
        <w:t>346</w:t>
      </w:r>
      <w:r w:rsidRPr="00D65CB0">
        <w:rPr>
          <w:rFonts w:ascii="Book Antiqua" w:eastAsia="宋体" w:hAnsi="Book Antiqua" w:cs="宋体"/>
          <w:color w:val="000000"/>
        </w:rPr>
        <w:t>: 537 [PMID: 25359946 DOI: 10.1126/science.346.6209.537]</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9 </w:t>
      </w:r>
      <w:r w:rsidRPr="00D65CB0">
        <w:rPr>
          <w:rFonts w:ascii="Book Antiqua" w:eastAsia="宋体" w:hAnsi="Book Antiqua" w:cs="宋体"/>
          <w:b/>
          <w:bCs/>
          <w:color w:val="000000"/>
        </w:rPr>
        <w:t>Borkman M</w:t>
      </w:r>
      <w:r w:rsidRPr="00D65CB0">
        <w:rPr>
          <w:rFonts w:ascii="Book Antiqua" w:eastAsia="宋体" w:hAnsi="Book Antiqua" w:cs="宋体"/>
          <w:color w:val="000000"/>
        </w:rPr>
        <w:t>, Storlien LH, Pan DA, Jenkins AB, Chisholm DJ, Campbell LV. The relation between insulin sensitivity and the fatty-acid composition of skeletal-muscle phospholipids. </w:t>
      </w:r>
      <w:r w:rsidRPr="00D65CB0">
        <w:rPr>
          <w:rFonts w:ascii="Book Antiqua" w:eastAsia="宋体" w:hAnsi="Book Antiqua" w:cs="宋体"/>
          <w:i/>
          <w:iCs/>
          <w:color w:val="000000"/>
        </w:rPr>
        <w:t>N Engl J Med</w:t>
      </w:r>
      <w:r w:rsidRPr="00D65CB0">
        <w:rPr>
          <w:rFonts w:ascii="Book Antiqua" w:eastAsia="宋体" w:hAnsi="Book Antiqua" w:cs="宋体"/>
          <w:color w:val="000000"/>
        </w:rPr>
        <w:t> 1993; </w:t>
      </w:r>
      <w:r w:rsidRPr="00D65CB0">
        <w:rPr>
          <w:rFonts w:ascii="Book Antiqua" w:eastAsia="宋体" w:hAnsi="Book Antiqua" w:cs="宋体"/>
          <w:b/>
          <w:bCs/>
          <w:color w:val="000000"/>
        </w:rPr>
        <w:t>328</w:t>
      </w:r>
      <w:r w:rsidRPr="00D65CB0">
        <w:rPr>
          <w:rFonts w:ascii="Book Antiqua" w:eastAsia="宋体" w:hAnsi="Book Antiqua" w:cs="宋体"/>
          <w:color w:val="000000"/>
        </w:rPr>
        <w:t>: 238-244 [PMID: 8418404 DOI: 10.1056/NEJM199301283280404]</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10 </w:t>
      </w:r>
      <w:r w:rsidRPr="00D65CB0">
        <w:rPr>
          <w:rFonts w:ascii="Book Antiqua" w:eastAsia="宋体" w:hAnsi="Book Antiqua" w:cs="宋体"/>
          <w:b/>
          <w:bCs/>
          <w:color w:val="000000"/>
        </w:rPr>
        <w:t>Weijers RN</w:t>
      </w:r>
      <w:r w:rsidRPr="00D65CB0">
        <w:rPr>
          <w:rFonts w:ascii="Book Antiqua" w:eastAsia="宋体" w:hAnsi="Book Antiqua" w:cs="宋体"/>
          <w:color w:val="000000"/>
        </w:rPr>
        <w:t>, Bekedam DJ, Smulders YM. Determinants of mild gestational hyperglycemia and gestational diabetes mellitus in a large dutch multiethnic cohort. </w:t>
      </w:r>
      <w:r w:rsidRPr="00D65CB0">
        <w:rPr>
          <w:rFonts w:ascii="Book Antiqua" w:eastAsia="宋体" w:hAnsi="Book Antiqua" w:cs="宋体"/>
          <w:i/>
          <w:iCs/>
          <w:color w:val="000000"/>
        </w:rPr>
        <w:t>Diabetes Care</w:t>
      </w:r>
      <w:r w:rsidRPr="00D65CB0">
        <w:rPr>
          <w:rFonts w:ascii="Book Antiqua" w:eastAsia="宋体" w:hAnsi="Book Antiqua" w:cs="宋体"/>
          <w:color w:val="000000"/>
        </w:rPr>
        <w:t> 2002; </w:t>
      </w:r>
      <w:r w:rsidRPr="00D65CB0">
        <w:rPr>
          <w:rFonts w:ascii="Book Antiqua" w:eastAsia="宋体" w:hAnsi="Book Antiqua" w:cs="宋体"/>
          <w:b/>
          <w:bCs/>
          <w:color w:val="000000"/>
        </w:rPr>
        <w:t>25</w:t>
      </w:r>
      <w:r w:rsidRPr="00D65CB0">
        <w:rPr>
          <w:rFonts w:ascii="Book Antiqua" w:eastAsia="宋体" w:hAnsi="Book Antiqua" w:cs="宋体"/>
          <w:color w:val="000000"/>
        </w:rPr>
        <w:t>: 72-77 [PMID: 11772904 DOI: 10.2337/diacare.25.1.72]</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11 </w:t>
      </w:r>
      <w:r w:rsidRPr="00D65CB0">
        <w:rPr>
          <w:rFonts w:ascii="Book Antiqua" w:eastAsia="宋体" w:hAnsi="Book Antiqua" w:cs="宋体"/>
          <w:b/>
          <w:bCs/>
          <w:color w:val="000000"/>
        </w:rPr>
        <w:t>Yki-Järvinen H</w:t>
      </w:r>
      <w:r w:rsidRPr="00D65CB0">
        <w:rPr>
          <w:rFonts w:ascii="Book Antiqua" w:eastAsia="宋体" w:hAnsi="Book Antiqua" w:cs="宋体"/>
          <w:color w:val="000000"/>
        </w:rPr>
        <w:t>. Pathogenesis of non-insulin-dependent diabetes mellitus. </w:t>
      </w:r>
      <w:r w:rsidRPr="00D65CB0">
        <w:rPr>
          <w:rFonts w:ascii="Book Antiqua" w:eastAsia="宋体" w:hAnsi="Book Antiqua" w:cs="宋体"/>
          <w:i/>
          <w:iCs/>
          <w:color w:val="000000"/>
        </w:rPr>
        <w:t>Lancet</w:t>
      </w:r>
      <w:r w:rsidRPr="00D65CB0">
        <w:rPr>
          <w:rFonts w:ascii="Book Antiqua" w:eastAsia="宋体" w:hAnsi="Book Antiqua" w:cs="宋体"/>
          <w:color w:val="000000"/>
        </w:rPr>
        <w:t> 1994; </w:t>
      </w:r>
      <w:r w:rsidRPr="00D65CB0">
        <w:rPr>
          <w:rFonts w:ascii="Book Antiqua" w:eastAsia="宋体" w:hAnsi="Book Antiqua" w:cs="宋体"/>
          <w:b/>
          <w:bCs/>
          <w:color w:val="000000"/>
        </w:rPr>
        <w:t>343</w:t>
      </w:r>
      <w:r w:rsidRPr="00D65CB0">
        <w:rPr>
          <w:rFonts w:ascii="Book Antiqua" w:eastAsia="宋体" w:hAnsi="Book Antiqua" w:cs="宋体"/>
          <w:color w:val="000000"/>
        </w:rPr>
        <w:t>: 91-95 [PMID: 7903784 DOI: 10.1016/S0140-6736(94)90821-4]</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12 </w:t>
      </w:r>
      <w:r w:rsidRPr="00D65CB0">
        <w:rPr>
          <w:rFonts w:ascii="Book Antiqua" w:eastAsia="宋体" w:hAnsi="Book Antiqua" w:cs="宋体"/>
          <w:b/>
          <w:bCs/>
          <w:color w:val="000000"/>
        </w:rPr>
        <w:t>Laws A</w:t>
      </w:r>
      <w:r w:rsidRPr="00D65CB0">
        <w:rPr>
          <w:rFonts w:ascii="Book Antiqua" w:eastAsia="宋体" w:hAnsi="Book Antiqua" w:cs="宋体"/>
          <w:color w:val="000000"/>
        </w:rPr>
        <w:t>, Hoen HM, Selby JV, Saad MF, Haffner SM, Howard BV. Differences in insulin suppression of free fatty acid levels by gender and glucose tolerance status. Relation to plasma triglyceride and apolipoprotein B concentrations. Insulin Resistance Atherosclerosis Study (IRAS) Investigators. </w:t>
      </w:r>
      <w:r w:rsidRPr="00D65CB0">
        <w:rPr>
          <w:rFonts w:ascii="Book Antiqua" w:eastAsia="宋体" w:hAnsi="Book Antiqua" w:cs="宋体"/>
          <w:i/>
          <w:iCs/>
          <w:color w:val="000000"/>
        </w:rPr>
        <w:t>Arterioscler Thromb Vasc Biol</w:t>
      </w:r>
      <w:r w:rsidRPr="00D65CB0">
        <w:rPr>
          <w:rFonts w:ascii="Book Antiqua" w:eastAsia="宋体" w:hAnsi="Book Antiqua" w:cs="宋体"/>
          <w:color w:val="000000"/>
        </w:rPr>
        <w:t> 1997; </w:t>
      </w:r>
      <w:r w:rsidRPr="00D65CB0">
        <w:rPr>
          <w:rFonts w:ascii="Book Antiqua" w:eastAsia="宋体" w:hAnsi="Book Antiqua" w:cs="宋体"/>
          <w:b/>
          <w:bCs/>
          <w:color w:val="000000"/>
        </w:rPr>
        <w:t>17</w:t>
      </w:r>
      <w:r w:rsidRPr="00D65CB0">
        <w:rPr>
          <w:rFonts w:ascii="Book Antiqua" w:eastAsia="宋体" w:hAnsi="Book Antiqua" w:cs="宋体"/>
          <w:color w:val="000000"/>
        </w:rPr>
        <w:t>: 64-71 [PMID: 9012639 DOI: 10.1161/01.ATV.17.1.64]</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13 </w:t>
      </w:r>
      <w:r w:rsidRPr="00D65CB0">
        <w:rPr>
          <w:rFonts w:ascii="Book Antiqua" w:eastAsia="宋体" w:hAnsi="Book Antiqua" w:cs="宋体"/>
          <w:b/>
          <w:bCs/>
          <w:color w:val="000000"/>
        </w:rPr>
        <w:t>Reaven GM</w:t>
      </w:r>
      <w:r w:rsidRPr="00D65CB0">
        <w:rPr>
          <w:rFonts w:ascii="Book Antiqua" w:eastAsia="宋体" w:hAnsi="Book Antiqua" w:cs="宋体"/>
          <w:color w:val="000000"/>
        </w:rPr>
        <w:t>, Hollenbeck C, Jeng CY, Wu MS, Chen YD. Measurement of plasma glucose, free fatty acid, lactate, and insulin for 24 h in patients with NIDDM. </w:t>
      </w:r>
      <w:r w:rsidRPr="00D65CB0">
        <w:rPr>
          <w:rFonts w:ascii="Book Antiqua" w:eastAsia="宋体" w:hAnsi="Book Antiqua" w:cs="宋体"/>
          <w:i/>
          <w:iCs/>
          <w:color w:val="000000"/>
        </w:rPr>
        <w:t>Diabetes</w:t>
      </w:r>
      <w:r w:rsidRPr="00D65CB0">
        <w:rPr>
          <w:rFonts w:ascii="Book Antiqua" w:eastAsia="宋体" w:hAnsi="Book Antiqua" w:cs="宋体"/>
          <w:color w:val="000000"/>
        </w:rPr>
        <w:t> 1988; </w:t>
      </w:r>
      <w:r w:rsidRPr="00D65CB0">
        <w:rPr>
          <w:rFonts w:ascii="Book Antiqua" w:eastAsia="宋体" w:hAnsi="Book Antiqua" w:cs="宋体"/>
          <w:b/>
          <w:bCs/>
          <w:color w:val="000000"/>
        </w:rPr>
        <w:t>37</w:t>
      </w:r>
      <w:r w:rsidRPr="00D65CB0">
        <w:rPr>
          <w:rFonts w:ascii="Book Antiqua" w:eastAsia="宋体" w:hAnsi="Book Antiqua" w:cs="宋体"/>
          <w:color w:val="000000"/>
        </w:rPr>
        <w:t>: 1020-1024 [PMID: 3292322 DOI: 10.2337/diab.37.8.1020]</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14 </w:t>
      </w:r>
      <w:r w:rsidRPr="00D65CB0">
        <w:rPr>
          <w:rFonts w:ascii="Book Antiqua" w:eastAsia="宋体" w:hAnsi="Book Antiqua" w:cs="宋体"/>
          <w:b/>
          <w:bCs/>
          <w:color w:val="000000"/>
        </w:rPr>
        <w:t>Morris AD</w:t>
      </w:r>
      <w:r w:rsidRPr="00D65CB0">
        <w:rPr>
          <w:rFonts w:ascii="Book Antiqua" w:eastAsia="宋体" w:hAnsi="Book Antiqua" w:cs="宋体"/>
          <w:color w:val="000000"/>
        </w:rPr>
        <w:t>, Donnelly R, Connell JM, Reid JL. Metabolic effects of lacidipine: a placebo-controlled study using the euglycaemic hyperinsulinaemic clamp. </w:t>
      </w:r>
      <w:r w:rsidRPr="00D65CB0">
        <w:rPr>
          <w:rFonts w:ascii="Book Antiqua" w:eastAsia="宋体" w:hAnsi="Book Antiqua" w:cs="宋体"/>
          <w:i/>
          <w:iCs/>
          <w:color w:val="000000"/>
        </w:rPr>
        <w:t>Br J Clin Pharmacol</w:t>
      </w:r>
      <w:r w:rsidRPr="00D65CB0">
        <w:rPr>
          <w:rFonts w:ascii="Book Antiqua" w:eastAsia="宋体" w:hAnsi="Book Antiqua" w:cs="宋体"/>
          <w:color w:val="000000"/>
        </w:rPr>
        <w:t> 1993; </w:t>
      </w:r>
      <w:r w:rsidRPr="00D65CB0">
        <w:rPr>
          <w:rFonts w:ascii="Book Antiqua" w:eastAsia="宋体" w:hAnsi="Book Antiqua" w:cs="宋体"/>
          <w:b/>
          <w:bCs/>
          <w:color w:val="000000"/>
        </w:rPr>
        <w:t>35</w:t>
      </w:r>
      <w:r w:rsidRPr="00D65CB0">
        <w:rPr>
          <w:rFonts w:ascii="Book Antiqua" w:eastAsia="宋体" w:hAnsi="Book Antiqua" w:cs="宋体"/>
          <w:color w:val="000000"/>
        </w:rPr>
        <w:t>: 40-45 [PMID: 8448066]</w:t>
      </w:r>
    </w:p>
    <w:p w:rsidR="00AF42B8" w:rsidRPr="00D65CB0" w:rsidRDefault="00AF42B8" w:rsidP="00B04C1B">
      <w:pPr>
        <w:adjustRightInd w:val="0"/>
        <w:snapToGrid w:val="0"/>
        <w:spacing w:after="0"/>
        <w:jc w:val="both"/>
        <w:rPr>
          <w:rFonts w:ascii="Book Antiqua" w:eastAsia="宋体" w:hAnsi="Book Antiqua" w:cs="宋体"/>
          <w:color w:val="000000"/>
        </w:rPr>
      </w:pPr>
      <w:r w:rsidRPr="00D65CB0">
        <w:rPr>
          <w:rFonts w:ascii="Book Antiqua" w:eastAsia="宋体" w:hAnsi="Book Antiqua" w:cs="宋体"/>
          <w:color w:val="000000"/>
        </w:rPr>
        <w:t xml:space="preserve">15 </w:t>
      </w:r>
      <w:r w:rsidRPr="00D65CB0">
        <w:rPr>
          <w:rFonts w:ascii="Book Antiqua" w:eastAsia="宋体" w:hAnsi="Book Antiqua" w:cs="宋体"/>
          <w:b/>
          <w:color w:val="000000"/>
        </w:rPr>
        <w:t>Centers for disease control and prevention</w:t>
      </w:r>
      <w:r w:rsidRPr="00D65CB0">
        <w:rPr>
          <w:rFonts w:ascii="Book Antiqua" w:eastAsia="宋体" w:hAnsi="Book Antiqua" w:cs="宋体"/>
          <w:color w:val="000000"/>
        </w:rPr>
        <w:t>. National diabetes statistics report; estimates of diabetes and its burden in the United States. Available from: URL: http: //www.cdc.gov/diabetes/pubs/estimates14.htm</w:t>
      </w:r>
    </w:p>
    <w:p w:rsidR="00AF42B8" w:rsidRPr="00D65CB0" w:rsidRDefault="00AF42B8" w:rsidP="00B04C1B">
      <w:pPr>
        <w:adjustRightInd w:val="0"/>
        <w:snapToGrid w:val="0"/>
        <w:spacing w:after="0"/>
        <w:jc w:val="both"/>
        <w:rPr>
          <w:rFonts w:ascii="Book Antiqua" w:hAnsi="Book Antiqua"/>
          <w:lang w:val="en-US"/>
        </w:rPr>
      </w:pPr>
    </w:p>
    <w:p w:rsidR="00AF42B8" w:rsidRPr="00D65CB0" w:rsidRDefault="00AF42B8" w:rsidP="00B04C1B">
      <w:pPr>
        <w:adjustRightInd w:val="0"/>
        <w:snapToGrid w:val="0"/>
        <w:spacing w:after="0"/>
        <w:jc w:val="right"/>
        <w:rPr>
          <w:rFonts w:ascii="Book Antiqua" w:hAnsi="Book Antiqua"/>
          <w:b/>
          <w:bCs/>
        </w:rPr>
      </w:pPr>
      <w:r w:rsidRPr="00D65CB0">
        <w:rPr>
          <w:rFonts w:ascii="Book Antiqua" w:hAnsi="Book Antiqua"/>
          <w:b/>
          <w:bCs/>
        </w:rPr>
        <w:t xml:space="preserve">P-Reviewer: </w:t>
      </w:r>
      <w:r w:rsidR="00F544EB" w:rsidRPr="00D65CB0">
        <w:rPr>
          <w:rFonts w:ascii="Book Antiqua" w:hAnsi="Book Antiqua"/>
          <w:bCs/>
        </w:rPr>
        <w:t>Biondi-Zoccai G</w:t>
      </w:r>
      <w:r w:rsidR="00F544EB" w:rsidRPr="00D65CB0">
        <w:rPr>
          <w:rFonts w:ascii="Book Antiqua" w:hAnsi="Book Antiqua" w:hint="eastAsia"/>
          <w:bCs/>
          <w:lang w:eastAsia="zh-CN"/>
        </w:rPr>
        <w:t>,</w:t>
      </w:r>
      <w:r w:rsidRPr="00D65CB0">
        <w:rPr>
          <w:rFonts w:ascii="Book Antiqua" w:hAnsi="Book Antiqua" w:hint="eastAsia"/>
          <w:bCs/>
        </w:rPr>
        <w:t xml:space="preserve"> </w:t>
      </w:r>
      <w:r w:rsidR="00F544EB" w:rsidRPr="00D65CB0">
        <w:rPr>
          <w:rFonts w:ascii="Book Antiqua" w:hAnsi="Book Antiqua"/>
          <w:bCs/>
        </w:rPr>
        <w:t>Brigo F</w:t>
      </w:r>
      <w:r w:rsidR="00F544EB" w:rsidRPr="00D65CB0">
        <w:rPr>
          <w:rFonts w:ascii="Book Antiqua" w:hAnsi="Book Antiqua" w:hint="eastAsia"/>
          <w:bCs/>
          <w:lang w:eastAsia="zh-CN"/>
        </w:rPr>
        <w:t xml:space="preserve">, </w:t>
      </w:r>
      <w:r w:rsidR="00F544EB" w:rsidRPr="00D65CB0">
        <w:rPr>
          <w:rFonts w:ascii="Book Antiqua" w:hAnsi="Book Antiqua"/>
          <w:bCs/>
          <w:lang w:eastAsia="zh-CN"/>
        </w:rPr>
        <w:t>Loffredo</w:t>
      </w:r>
      <w:r w:rsidR="00F544EB" w:rsidRPr="00D65CB0">
        <w:rPr>
          <w:rFonts w:ascii="Book Antiqua" w:hAnsi="Book Antiqua" w:hint="eastAsia"/>
          <w:bCs/>
          <w:lang w:eastAsia="zh-CN"/>
        </w:rPr>
        <w:t xml:space="preserve"> </w:t>
      </w:r>
      <w:r w:rsidR="00F544EB" w:rsidRPr="00D65CB0">
        <w:rPr>
          <w:rFonts w:ascii="Book Antiqua" w:hAnsi="Book Antiqua" w:hint="eastAsia"/>
          <w:bCs/>
          <w:caps/>
          <w:lang w:eastAsia="zh-CN"/>
        </w:rPr>
        <w:t>l</w:t>
      </w:r>
      <w:r w:rsidR="00F544EB" w:rsidRPr="00D65CB0">
        <w:rPr>
          <w:rFonts w:ascii="Book Antiqua" w:hAnsi="Book Antiqua" w:hint="eastAsia"/>
          <w:b/>
          <w:bCs/>
          <w:lang w:eastAsia="zh-CN"/>
        </w:rPr>
        <w:t xml:space="preserve"> </w:t>
      </w:r>
      <w:r w:rsidRPr="00D65CB0">
        <w:rPr>
          <w:rFonts w:ascii="Book Antiqua" w:hAnsi="Book Antiqua"/>
          <w:b/>
          <w:bCs/>
        </w:rPr>
        <w:t>S-Editor:</w:t>
      </w:r>
      <w:r w:rsidRPr="00D65CB0">
        <w:rPr>
          <w:rFonts w:ascii="Book Antiqua" w:hAnsi="Book Antiqua"/>
        </w:rPr>
        <w:t xml:space="preserve"> </w:t>
      </w:r>
      <w:r w:rsidRPr="00D65CB0">
        <w:rPr>
          <w:rFonts w:ascii="Book Antiqua" w:hAnsi="Book Antiqua" w:hint="eastAsia"/>
          <w:lang w:eastAsia="zh-CN"/>
        </w:rPr>
        <w:t>Ma YJ</w:t>
      </w:r>
      <w:r w:rsidRPr="00D65CB0">
        <w:rPr>
          <w:rFonts w:ascii="Book Antiqua" w:hAnsi="Book Antiqua" w:hint="eastAsia"/>
        </w:rPr>
        <w:t xml:space="preserve"> </w:t>
      </w:r>
      <w:r w:rsidRPr="00D65CB0">
        <w:rPr>
          <w:rFonts w:ascii="Book Antiqua" w:hAnsi="Book Antiqua"/>
          <w:b/>
          <w:bCs/>
        </w:rPr>
        <w:t>L-Editor:</w:t>
      </w:r>
      <w:r w:rsidRPr="00D65CB0">
        <w:rPr>
          <w:rFonts w:ascii="Book Antiqua" w:hAnsi="Book Antiqua"/>
        </w:rPr>
        <w:t xml:space="preserve"> </w:t>
      </w:r>
      <w:r w:rsidRPr="00D65CB0">
        <w:rPr>
          <w:rFonts w:ascii="Book Antiqua" w:hAnsi="Book Antiqua" w:hint="eastAsia"/>
        </w:rPr>
        <w:t xml:space="preserve"> </w:t>
      </w:r>
      <w:r w:rsidRPr="00D65CB0">
        <w:rPr>
          <w:rFonts w:ascii="Book Antiqua" w:hAnsi="Book Antiqua"/>
        </w:rPr>
        <w:t xml:space="preserve"> </w:t>
      </w:r>
      <w:r w:rsidRPr="00D65CB0">
        <w:rPr>
          <w:rFonts w:ascii="Book Antiqua" w:hAnsi="Book Antiqua"/>
          <w:b/>
          <w:bCs/>
        </w:rPr>
        <w:t>E-Editor:</w:t>
      </w:r>
    </w:p>
    <w:p w:rsidR="002B5F3B" w:rsidRPr="00D65CB0" w:rsidRDefault="002B5F3B" w:rsidP="00B04C1B">
      <w:pPr>
        <w:adjustRightInd w:val="0"/>
        <w:snapToGrid w:val="0"/>
        <w:spacing w:after="0"/>
        <w:jc w:val="both"/>
        <w:rPr>
          <w:rFonts w:ascii="Book Antiqua" w:hAnsi="Book Antiqua" w:cs="Times New Roman"/>
          <w:lang w:val="en-US"/>
        </w:rPr>
      </w:pPr>
      <w:r w:rsidRPr="00D65CB0">
        <w:rPr>
          <w:rFonts w:ascii="Book Antiqua" w:hAnsi="Book Antiqua" w:cs="Times New Roman"/>
          <w:lang w:val="en-US"/>
        </w:rPr>
        <w:br w:type="page"/>
      </w:r>
    </w:p>
    <w:p w:rsidR="006F6A20" w:rsidRPr="00D65CB0" w:rsidRDefault="002B5F3B" w:rsidP="00B04C1B">
      <w:pPr>
        <w:adjustRightInd w:val="0"/>
        <w:snapToGrid w:val="0"/>
        <w:spacing w:after="0"/>
        <w:jc w:val="both"/>
        <w:rPr>
          <w:rFonts w:ascii="Book Antiqua" w:hAnsi="Book Antiqua" w:cs="Times New Roman"/>
          <w:b/>
          <w:lang w:val="en-US"/>
        </w:rPr>
      </w:pPr>
      <w:r w:rsidRPr="00D65CB0">
        <w:rPr>
          <w:rFonts w:ascii="Book Antiqua" w:hAnsi="Book Antiqua" w:cs="Times New Roman"/>
          <w:b/>
          <w:lang w:val="en-US"/>
        </w:rPr>
        <w:t>Table 1</w:t>
      </w:r>
      <w:r w:rsidR="00F544EB" w:rsidRPr="00D65CB0">
        <w:rPr>
          <w:rFonts w:ascii="Book Antiqua" w:hAnsi="Book Antiqua" w:cs="Times New Roman" w:hint="eastAsia"/>
          <w:b/>
          <w:lang w:val="en-US" w:eastAsia="zh-CN"/>
        </w:rPr>
        <w:t xml:space="preserve"> </w:t>
      </w:r>
      <w:r w:rsidR="00F55B76" w:rsidRPr="00D65CB0">
        <w:rPr>
          <w:rFonts w:ascii="Book Antiqua" w:hAnsi="Book Antiqua" w:cs="Times New Roman"/>
          <w:b/>
          <w:lang w:val="en-US"/>
        </w:rPr>
        <w:t>Unsaturation index of e</w:t>
      </w:r>
      <w:r w:rsidRPr="00D65CB0">
        <w:rPr>
          <w:rFonts w:ascii="Book Antiqua" w:hAnsi="Book Antiqua" w:cs="Times New Roman"/>
          <w:b/>
          <w:lang w:val="en-US"/>
        </w:rPr>
        <w:t xml:space="preserve">rythrocyte </w:t>
      </w:r>
      <w:r w:rsidR="00F55B76" w:rsidRPr="00D65CB0">
        <w:rPr>
          <w:rFonts w:ascii="Book Antiqua" w:hAnsi="Book Antiqua" w:cs="Times New Roman"/>
          <w:b/>
          <w:lang w:val="en-US"/>
        </w:rPr>
        <w:t xml:space="preserve">membrane </w:t>
      </w:r>
      <w:r w:rsidRPr="00D65CB0">
        <w:rPr>
          <w:rFonts w:ascii="Book Antiqua" w:hAnsi="Book Antiqua" w:cs="Times New Roman"/>
          <w:b/>
          <w:lang w:val="en-US"/>
        </w:rPr>
        <w:t>fatty</w:t>
      </w:r>
      <w:r w:rsidR="00F55B76" w:rsidRPr="00D65CB0">
        <w:rPr>
          <w:rFonts w:ascii="Book Antiqua" w:hAnsi="Book Antiqua" w:cs="Times New Roman"/>
          <w:b/>
          <w:lang w:val="en-US"/>
        </w:rPr>
        <w:t>-</w:t>
      </w:r>
      <w:r w:rsidRPr="00D65CB0">
        <w:rPr>
          <w:rFonts w:ascii="Book Antiqua" w:hAnsi="Book Antiqua" w:cs="Times New Roman"/>
          <w:b/>
          <w:lang w:val="en-US"/>
        </w:rPr>
        <w:t>acid composition</w:t>
      </w:r>
    </w:p>
    <w:p w:rsidR="00F55B76" w:rsidRPr="00D65CB0" w:rsidRDefault="002B5F3B" w:rsidP="00B04C1B">
      <w:pPr>
        <w:adjustRightInd w:val="0"/>
        <w:snapToGrid w:val="0"/>
        <w:spacing w:after="0"/>
        <w:jc w:val="both"/>
        <w:rPr>
          <w:rFonts w:ascii="Book Antiqua" w:hAnsi="Book Antiqua" w:cs="Times New Roman"/>
          <w:b/>
          <w:lang w:val="en-US"/>
        </w:rPr>
      </w:pPr>
      <w:r w:rsidRPr="00D65CB0">
        <w:rPr>
          <w:rFonts w:ascii="Book Antiqua" w:hAnsi="Book Antiqua" w:cs="Times New Roman"/>
          <w:b/>
          <w:lang w:val="en-US"/>
        </w:rPr>
        <w:t xml:space="preserve">of controls and </w:t>
      </w:r>
      <w:r w:rsidR="00F544EB" w:rsidRPr="00D65CB0">
        <w:rPr>
          <w:rFonts w:ascii="Book Antiqua" w:hAnsi="Book Antiqua" w:cs="Times New Roman"/>
          <w:b/>
          <w:lang w:val="en-US"/>
        </w:rPr>
        <w:t xml:space="preserve">type 2 diabetes </w:t>
      </w:r>
      <w:r w:rsidRPr="00D65CB0">
        <w:rPr>
          <w:rFonts w:ascii="Book Antiqua" w:hAnsi="Book Antiqua" w:cs="Times New Roman"/>
          <w:b/>
          <w:lang w:val="en-US"/>
        </w:rPr>
        <w:t>patients without diabetic retino</w:t>
      </w:r>
      <w:r w:rsidR="00F55B76" w:rsidRPr="00D65CB0">
        <w:rPr>
          <w:rFonts w:ascii="Book Antiqua" w:hAnsi="Book Antiqua" w:cs="Times New Roman"/>
          <w:b/>
          <w:lang w:val="en-US"/>
        </w:rPr>
        <w:t>pathy</w:t>
      </w:r>
    </w:p>
    <w:tbl>
      <w:tblPr>
        <w:tblStyle w:val="TableGrid"/>
        <w:tblW w:w="0" w:type="auto"/>
        <w:tblLook w:val="04A0" w:firstRow="1" w:lastRow="0" w:firstColumn="1" w:lastColumn="0" w:noHBand="0" w:noVBand="1"/>
      </w:tblPr>
      <w:tblGrid>
        <w:gridCol w:w="1676"/>
        <w:gridCol w:w="764"/>
        <w:gridCol w:w="1666"/>
        <w:gridCol w:w="284"/>
        <w:gridCol w:w="850"/>
        <w:gridCol w:w="1843"/>
      </w:tblGrid>
      <w:tr w:rsidR="001336AA" w:rsidRPr="00D65CB0" w:rsidTr="006F6A20">
        <w:tc>
          <w:tcPr>
            <w:tcW w:w="1676" w:type="dxa"/>
            <w:tcBorders>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Fatty acids</w:t>
            </w:r>
          </w:p>
        </w:tc>
        <w:tc>
          <w:tcPr>
            <w:tcW w:w="2430" w:type="dxa"/>
            <w:gridSpan w:val="2"/>
            <w:tcBorders>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xml:space="preserve">    Controls (</w:t>
            </w:r>
            <w:r w:rsidRPr="00D65CB0">
              <w:rPr>
                <w:rFonts w:ascii="Book Antiqua" w:hAnsi="Book Antiqua" w:cs="Times New Roman"/>
                <w:b/>
                <w:i/>
                <w:lang w:val="en-US"/>
              </w:rPr>
              <w:t>n</w:t>
            </w:r>
            <w:r w:rsidRPr="00D65CB0">
              <w:rPr>
                <w:rFonts w:ascii="Book Antiqua" w:hAnsi="Book Antiqua" w:cs="Times New Roman"/>
                <w:b/>
                <w:lang w:val="en-US"/>
              </w:rPr>
              <w:t xml:space="preserve"> = 18)</w:t>
            </w:r>
          </w:p>
        </w:tc>
        <w:tc>
          <w:tcPr>
            <w:tcW w:w="284" w:type="dxa"/>
            <w:tcBorders>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p>
        </w:tc>
        <w:tc>
          <w:tcPr>
            <w:tcW w:w="2693" w:type="dxa"/>
            <w:gridSpan w:val="2"/>
            <w:tcBorders>
              <w:left w:val="nil"/>
              <w:bottom w:val="nil"/>
              <w:right w:val="nil"/>
            </w:tcBorders>
          </w:tcPr>
          <w:p w:rsidR="002F7781" w:rsidRPr="00D65CB0" w:rsidRDefault="001336AA" w:rsidP="00B04C1B">
            <w:pPr>
              <w:pBdr>
                <w:left w:val="single" w:sz="4" w:space="4" w:color="auto"/>
              </w:pBd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T2D patients without</w:t>
            </w:r>
          </w:p>
          <w:p w:rsidR="002F7781" w:rsidRPr="00D65CB0" w:rsidRDefault="001336AA" w:rsidP="00B04C1B">
            <w:pPr>
              <w:pBdr>
                <w:left w:val="single" w:sz="4" w:space="4" w:color="auto"/>
              </w:pBd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xml:space="preserve"> diabetic retinopathy</w:t>
            </w:r>
          </w:p>
          <w:p w:rsidR="001336AA" w:rsidRPr="00D65CB0" w:rsidRDefault="001336AA" w:rsidP="00B04C1B">
            <w:pPr>
              <w:pBdr>
                <w:left w:val="single" w:sz="4" w:space="4" w:color="auto"/>
              </w:pBd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xml:space="preserve"> (</w:t>
            </w:r>
            <w:r w:rsidRPr="00D65CB0">
              <w:rPr>
                <w:rFonts w:ascii="Book Antiqua" w:hAnsi="Book Antiqua" w:cs="Times New Roman"/>
                <w:b/>
                <w:i/>
                <w:lang w:val="en-US"/>
              </w:rPr>
              <w:t>n</w:t>
            </w:r>
            <w:r w:rsidRPr="00D65CB0">
              <w:rPr>
                <w:rFonts w:ascii="Book Antiqua" w:hAnsi="Book Antiqua" w:cs="Times New Roman"/>
                <w:b/>
                <w:lang w:val="en-US"/>
              </w:rPr>
              <w:t xml:space="preserve"> = 14)</w:t>
            </w:r>
          </w:p>
        </w:tc>
      </w:tr>
      <w:tr w:rsidR="001336AA" w:rsidRPr="00D65CB0" w:rsidTr="006F6A20">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p>
        </w:tc>
        <w:tc>
          <w:tcPr>
            <w:tcW w:w="2430" w:type="dxa"/>
            <w:gridSpan w:val="2"/>
            <w:tcBorders>
              <w:top w:val="nil"/>
              <w:left w:val="nil"/>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of total fatty acids</w:t>
            </w:r>
            <w:r w:rsidR="00F544EB" w:rsidRPr="00D65CB0">
              <w:rPr>
                <w:rFonts w:ascii="Book Antiqua" w:hAnsi="Book Antiqua" w:cs="Times New Roman" w:hint="eastAsia"/>
                <w:b/>
                <w:vertAlign w:val="superscript"/>
                <w:lang w:val="en-US" w:eastAsia="zh-CN"/>
              </w:rPr>
              <w:t>1</w:t>
            </w:r>
            <w:r w:rsidRPr="00D65CB0">
              <w:rPr>
                <w:rFonts w:ascii="Book Antiqua" w:hAnsi="Book Antiqua" w:cs="Times New Roman"/>
                <w:b/>
                <w:lang w:val="en-US"/>
              </w:rPr>
              <w:t xml:space="preserve"> </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p>
        </w:tc>
        <w:tc>
          <w:tcPr>
            <w:tcW w:w="2693" w:type="dxa"/>
            <w:gridSpan w:val="2"/>
            <w:tcBorders>
              <w:top w:val="nil"/>
              <w:left w:val="nil"/>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xml:space="preserve">   % of total fatty acids</w:t>
            </w:r>
            <w:r w:rsidR="00F544EB" w:rsidRPr="00D65CB0">
              <w:rPr>
                <w:rFonts w:ascii="Book Antiqua" w:hAnsi="Book Antiqua" w:cs="Times New Roman" w:hint="eastAsia"/>
                <w:b/>
                <w:vertAlign w:val="superscript"/>
                <w:lang w:val="en-US" w:eastAsia="zh-CN"/>
              </w:rPr>
              <w:t>1</w:t>
            </w:r>
          </w:p>
        </w:tc>
      </w:tr>
      <w:tr w:rsidR="006F6A20" w:rsidRPr="00D65CB0" w:rsidTr="00462667">
        <w:tc>
          <w:tcPr>
            <w:tcW w:w="1676" w:type="dxa"/>
            <w:tcBorders>
              <w:top w:val="nil"/>
              <w:left w:val="nil"/>
              <w:bottom w:val="single" w:sz="4" w:space="0" w:color="auto"/>
              <w:right w:val="nil"/>
            </w:tcBorders>
          </w:tcPr>
          <w:p w:rsidR="001336AA" w:rsidRPr="00D65CB0" w:rsidRDefault="00CE2838"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xml:space="preserve"> </w:t>
            </w:r>
          </w:p>
        </w:tc>
        <w:tc>
          <w:tcPr>
            <w:tcW w:w="764" w:type="dxa"/>
            <w:tcBorders>
              <w:left w:val="nil"/>
              <w:bottom w:val="single" w:sz="4" w:space="0" w:color="auto"/>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p>
        </w:tc>
        <w:tc>
          <w:tcPr>
            <w:tcW w:w="1666" w:type="dxa"/>
            <w:tcBorders>
              <w:left w:val="nil"/>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number of double bonds</w:t>
            </w:r>
          </w:p>
        </w:tc>
        <w:tc>
          <w:tcPr>
            <w:tcW w:w="284" w:type="dxa"/>
            <w:tcBorders>
              <w:top w:val="nil"/>
              <w:left w:val="nil"/>
              <w:bottom w:val="single" w:sz="4" w:space="0" w:color="auto"/>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p>
        </w:tc>
        <w:tc>
          <w:tcPr>
            <w:tcW w:w="850" w:type="dxa"/>
            <w:tcBorders>
              <w:left w:val="nil"/>
              <w:bottom w:val="single" w:sz="4" w:space="0" w:color="auto"/>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p>
        </w:tc>
        <w:tc>
          <w:tcPr>
            <w:tcW w:w="1843" w:type="dxa"/>
            <w:tcBorders>
              <w:top w:val="nil"/>
              <w:left w:val="nil"/>
              <w:bottom w:val="single" w:sz="4" w:space="0" w:color="auto"/>
              <w:right w:val="nil"/>
            </w:tcBorders>
          </w:tcPr>
          <w:p w:rsidR="001336AA" w:rsidRPr="00D65CB0" w:rsidRDefault="001336AA"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number of double bonds</w:t>
            </w:r>
          </w:p>
        </w:tc>
      </w:tr>
      <w:tr w:rsidR="006F6A20" w:rsidRPr="00D65CB0" w:rsidTr="00462667">
        <w:tc>
          <w:tcPr>
            <w:tcW w:w="1676" w:type="dxa"/>
            <w:tcBorders>
              <w:top w:val="single" w:sz="4" w:space="0" w:color="auto"/>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C14:0</w:t>
            </w:r>
          </w:p>
        </w:tc>
        <w:tc>
          <w:tcPr>
            <w:tcW w:w="764" w:type="dxa"/>
            <w:tcBorders>
              <w:top w:val="single" w:sz="4" w:space="0" w:color="auto"/>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0.43</w:t>
            </w:r>
          </w:p>
        </w:tc>
        <w:tc>
          <w:tcPr>
            <w:tcW w:w="1666" w:type="dxa"/>
            <w:tcBorders>
              <w:top w:val="single" w:sz="4" w:space="0" w:color="auto"/>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w:t>
            </w:r>
          </w:p>
        </w:tc>
        <w:tc>
          <w:tcPr>
            <w:tcW w:w="284" w:type="dxa"/>
            <w:tcBorders>
              <w:top w:val="single" w:sz="4" w:space="0" w:color="auto"/>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single" w:sz="4" w:space="0" w:color="auto"/>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0.48</w:t>
            </w:r>
          </w:p>
        </w:tc>
        <w:tc>
          <w:tcPr>
            <w:tcW w:w="1843" w:type="dxa"/>
            <w:tcBorders>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2F7781"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C15:0</w:t>
            </w:r>
          </w:p>
        </w:tc>
        <w:tc>
          <w:tcPr>
            <w:tcW w:w="76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0.17</w:t>
            </w:r>
          </w:p>
        </w:tc>
        <w:tc>
          <w:tcPr>
            <w:tcW w:w="166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0.22</w:t>
            </w:r>
          </w:p>
        </w:tc>
        <w:tc>
          <w:tcPr>
            <w:tcW w:w="1843"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2F7781"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C16:0</w:t>
            </w:r>
          </w:p>
        </w:tc>
        <w:tc>
          <w:tcPr>
            <w:tcW w:w="76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22.41</w:t>
            </w:r>
          </w:p>
        </w:tc>
        <w:tc>
          <w:tcPr>
            <w:tcW w:w="166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 xml:space="preserve">  -</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23.75</w:t>
            </w:r>
          </w:p>
        </w:tc>
        <w:tc>
          <w:tcPr>
            <w:tcW w:w="1843"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 xml:space="preserve"> </w:t>
            </w:r>
            <w:r w:rsidR="002F7781" w:rsidRPr="00D65CB0">
              <w:rPr>
                <w:rFonts w:ascii="Book Antiqua" w:hAnsi="Book Antiqua" w:cs="Times New Roman"/>
                <w:lang w:val="en-US"/>
              </w:rPr>
              <w:t xml:space="preserve"> </w:t>
            </w:r>
            <w:r w:rsidRPr="00D65CB0">
              <w:rPr>
                <w:rFonts w:ascii="Book Antiqua" w:hAnsi="Book Antiqua" w:cs="Times New Roman"/>
                <w:lang w:val="en-US"/>
              </w:rPr>
              <w:t>-</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C17:0</w:t>
            </w:r>
          </w:p>
        </w:tc>
        <w:tc>
          <w:tcPr>
            <w:tcW w:w="76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0.38</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1336AA" w:rsidRPr="00D65CB0">
              <w:rPr>
                <w:rFonts w:ascii="Book Antiqua" w:hAnsi="Book Antiqua" w:cs="Times New Roman"/>
                <w:lang w:val="en-US"/>
              </w:rPr>
              <w:t xml:space="preserve">    -</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0.44</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1336AA" w:rsidRPr="00D65CB0">
              <w:rPr>
                <w:rFonts w:ascii="Book Antiqua" w:hAnsi="Book Antiqua" w:cs="Times New Roman"/>
                <w:lang w:val="en-US"/>
              </w:rPr>
              <w:t xml:space="preserve">   </w:t>
            </w:r>
            <w:r w:rsidR="002F7781" w:rsidRPr="00D65CB0">
              <w:rPr>
                <w:rFonts w:ascii="Book Antiqua" w:hAnsi="Book Antiqua" w:cs="Times New Roman"/>
                <w:lang w:val="en-US"/>
              </w:rPr>
              <w:t xml:space="preserve"> </w:t>
            </w:r>
            <w:r w:rsidR="001336AA" w:rsidRPr="00D65CB0">
              <w:rPr>
                <w:rFonts w:ascii="Book Antiqua" w:hAnsi="Book Antiqua" w:cs="Times New Roman"/>
                <w:lang w:val="en-US"/>
              </w:rPr>
              <w:t>-</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C18:0</w:t>
            </w:r>
          </w:p>
        </w:tc>
        <w:tc>
          <w:tcPr>
            <w:tcW w:w="76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17.22</w:t>
            </w:r>
          </w:p>
        </w:tc>
        <w:tc>
          <w:tcPr>
            <w:tcW w:w="166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17.72</w:t>
            </w:r>
          </w:p>
        </w:tc>
        <w:tc>
          <w:tcPr>
            <w:tcW w:w="1843"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C20:0</w:t>
            </w:r>
          </w:p>
        </w:tc>
        <w:tc>
          <w:tcPr>
            <w:tcW w:w="764"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0.15</w:t>
            </w:r>
          </w:p>
        </w:tc>
        <w:tc>
          <w:tcPr>
            <w:tcW w:w="1666"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 xml:space="preserve">  -</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0.18</w:t>
            </w:r>
          </w:p>
        </w:tc>
        <w:tc>
          <w:tcPr>
            <w:tcW w:w="1843"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 xml:space="preserve">  -</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C22:0</w:t>
            </w:r>
          </w:p>
        </w:tc>
        <w:tc>
          <w:tcPr>
            <w:tcW w:w="764"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0.33</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2F7781" w:rsidRPr="00D65CB0">
              <w:rPr>
                <w:rFonts w:ascii="Book Antiqua" w:hAnsi="Book Antiqua" w:cs="Times New Roman"/>
                <w:lang w:val="en-US"/>
              </w:rPr>
              <w:t xml:space="preserve">    -</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0.42</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2F7781" w:rsidRPr="00D65CB0">
              <w:rPr>
                <w:rFonts w:ascii="Book Antiqua" w:hAnsi="Book Antiqua" w:cs="Times New Roman"/>
                <w:lang w:val="en-US"/>
              </w:rPr>
              <w:t xml:space="preserve">    -</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C24:0</w:t>
            </w:r>
          </w:p>
        </w:tc>
        <w:tc>
          <w:tcPr>
            <w:tcW w:w="764"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0.74</w:t>
            </w:r>
          </w:p>
        </w:tc>
        <w:tc>
          <w:tcPr>
            <w:tcW w:w="1666"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0.78</w:t>
            </w:r>
          </w:p>
        </w:tc>
        <w:tc>
          <w:tcPr>
            <w:tcW w:w="1843"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C16:1</w:t>
            </w:r>
          </w:p>
        </w:tc>
        <w:tc>
          <w:tcPr>
            <w:tcW w:w="764"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0.73</w:t>
            </w:r>
          </w:p>
        </w:tc>
        <w:tc>
          <w:tcPr>
            <w:tcW w:w="1666"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0.73</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1.03</w:t>
            </w:r>
          </w:p>
        </w:tc>
        <w:tc>
          <w:tcPr>
            <w:tcW w:w="1843"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1.03</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C18:1 (trans)</w:t>
            </w:r>
          </w:p>
        </w:tc>
        <w:tc>
          <w:tcPr>
            <w:tcW w:w="764"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0.22</w:t>
            </w:r>
          </w:p>
        </w:tc>
        <w:tc>
          <w:tcPr>
            <w:tcW w:w="1666"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 xml:space="preserve">  -</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0.20</w:t>
            </w:r>
          </w:p>
        </w:tc>
        <w:tc>
          <w:tcPr>
            <w:tcW w:w="1843"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 xml:space="preserve">  -</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C18:1</w:t>
            </w:r>
          </w:p>
        </w:tc>
        <w:tc>
          <w:tcPr>
            <w:tcW w:w="764"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17.16</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2F7781" w:rsidRPr="00D65CB0">
              <w:rPr>
                <w:rFonts w:ascii="Book Antiqua" w:hAnsi="Book Antiqua" w:cs="Times New Roman"/>
                <w:lang w:val="en-US"/>
              </w:rPr>
              <w:t>17.16</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19.15</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2F7781" w:rsidRPr="00D65CB0">
              <w:rPr>
                <w:rFonts w:ascii="Book Antiqua" w:hAnsi="Book Antiqua" w:cs="Times New Roman"/>
                <w:lang w:val="en-US"/>
              </w:rPr>
              <w:t>19.15</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C20:1 n-9</w:t>
            </w:r>
          </w:p>
        </w:tc>
        <w:tc>
          <w:tcPr>
            <w:tcW w:w="764"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0.21</w:t>
            </w:r>
          </w:p>
        </w:tc>
        <w:tc>
          <w:tcPr>
            <w:tcW w:w="1666"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0.21</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0.26</w:t>
            </w:r>
          </w:p>
        </w:tc>
        <w:tc>
          <w:tcPr>
            <w:tcW w:w="1843"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0.26</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C20:3 n-9</w:t>
            </w:r>
          </w:p>
        </w:tc>
        <w:tc>
          <w:tcPr>
            <w:tcW w:w="764"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0.19</w:t>
            </w:r>
          </w:p>
        </w:tc>
        <w:tc>
          <w:tcPr>
            <w:tcW w:w="1666"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0.57</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0.20</w:t>
            </w:r>
          </w:p>
        </w:tc>
        <w:tc>
          <w:tcPr>
            <w:tcW w:w="1843"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0.60</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C22:1 n-9</w:t>
            </w:r>
          </w:p>
        </w:tc>
        <w:tc>
          <w:tcPr>
            <w:tcW w:w="764"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0.06</w:t>
            </w:r>
          </w:p>
        </w:tc>
        <w:tc>
          <w:tcPr>
            <w:tcW w:w="1666"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0.06</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0.09</w:t>
            </w:r>
          </w:p>
        </w:tc>
        <w:tc>
          <w:tcPr>
            <w:tcW w:w="1843"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0.09</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C24:1 n-9</w:t>
            </w:r>
          </w:p>
        </w:tc>
        <w:tc>
          <w:tcPr>
            <w:tcW w:w="764"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0.69</w:t>
            </w:r>
          </w:p>
        </w:tc>
        <w:tc>
          <w:tcPr>
            <w:tcW w:w="1666"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0.69</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1.15</w:t>
            </w:r>
          </w:p>
        </w:tc>
        <w:tc>
          <w:tcPr>
            <w:tcW w:w="1843" w:type="dxa"/>
            <w:tcBorders>
              <w:top w:val="nil"/>
              <w:left w:val="nil"/>
              <w:bottom w:val="nil"/>
              <w:right w:val="nil"/>
            </w:tcBorders>
          </w:tcPr>
          <w:p w:rsidR="001336AA" w:rsidRPr="00D65CB0" w:rsidRDefault="002F7781"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A8233F" w:rsidRPr="00D65CB0">
              <w:rPr>
                <w:rFonts w:ascii="Book Antiqua" w:hAnsi="Book Antiqua" w:cs="Times New Roman"/>
                <w:lang w:val="en-US"/>
              </w:rPr>
              <w:t xml:space="preserve">  </w:t>
            </w:r>
            <w:r w:rsidRPr="00D65CB0">
              <w:rPr>
                <w:rFonts w:ascii="Book Antiqua" w:hAnsi="Book Antiqua" w:cs="Times New Roman"/>
                <w:lang w:val="en-US"/>
              </w:rPr>
              <w:t>1.15</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C18:2 n-6</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12.87</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25.74</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10.58</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21.16</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C18:3 n-6</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0.09</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0.27</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0.12</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0.36</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C20:2 n-6</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0.20</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0.40</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0.23</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0.46</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C20:3 n-6</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1.30</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3.90</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1.50</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4.50</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C20:4 n-6</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13.04</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52.16</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11.33</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45.32</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C22:4 n-6 </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2.00</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8.00</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2.01</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8.04</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C22:5 n-6</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0.35</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1.75</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0.30</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1.50</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C18:3 n-3</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0.22</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0.66</w:t>
            </w:r>
          </w:p>
        </w:tc>
        <w:tc>
          <w:tcPr>
            <w:tcW w:w="28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0.21</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0.63</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C20:5 n-3</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0.97</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4.85</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1.03</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5.15</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C22:5 n-3</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2.23</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11.15</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1.56</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7.80</w:t>
            </w:r>
          </w:p>
        </w:tc>
      </w:tr>
      <w:tr w:rsidR="006F6A20" w:rsidRPr="00D65CB0" w:rsidTr="00462667">
        <w:tc>
          <w:tcPr>
            <w:tcW w:w="1676"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C22:6 n-3</w:t>
            </w:r>
          </w:p>
        </w:tc>
        <w:tc>
          <w:tcPr>
            <w:tcW w:w="764"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4.51</w:t>
            </w:r>
          </w:p>
        </w:tc>
        <w:tc>
          <w:tcPr>
            <w:tcW w:w="1666"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27.06</w:t>
            </w:r>
          </w:p>
        </w:tc>
        <w:tc>
          <w:tcPr>
            <w:tcW w:w="284" w:type="dxa"/>
            <w:tcBorders>
              <w:top w:val="nil"/>
              <w:left w:val="nil"/>
              <w:bottom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2.85</w:t>
            </w:r>
          </w:p>
        </w:tc>
        <w:tc>
          <w:tcPr>
            <w:tcW w:w="1843" w:type="dxa"/>
            <w:tcBorders>
              <w:top w:val="nil"/>
              <w:left w:val="nil"/>
              <w:bottom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17.10</w:t>
            </w:r>
          </w:p>
        </w:tc>
      </w:tr>
      <w:tr w:rsidR="00462667" w:rsidRPr="00D65CB0" w:rsidTr="00462667">
        <w:tc>
          <w:tcPr>
            <w:tcW w:w="1676" w:type="dxa"/>
            <w:tcBorders>
              <w:top w:val="nil"/>
              <w:left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eastAsia="zh-CN"/>
              </w:rPr>
            </w:pPr>
            <w:r w:rsidRPr="00D65CB0">
              <w:rPr>
                <w:rFonts w:ascii="Book Antiqua" w:hAnsi="Book Antiqua" w:cs="Times New Roman"/>
                <w:lang w:val="en-US"/>
              </w:rPr>
              <w:t>Unsaturation index</w:t>
            </w:r>
            <w:r w:rsidR="0043041C" w:rsidRPr="00D65CB0">
              <w:rPr>
                <w:rFonts w:ascii="Book Antiqua" w:hAnsi="Book Antiqua" w:cs="Times New Roman" w:hint="eastAsia"/>
                <w:vertAlign w:val="superscript"/>
                <w:lang w:val="en-US" w:eastAsia="zh-CN"/>
              </w:rPr>
              <w:t>2</w:t>
            </w:r>
          </w:p>
        </w:tc>
        <w:tc>
          <w:tcPr>
            <w:tcW w:w="764" w:type="dxa"/>
            <w:tcBorders>
              <w:top w:val="nil"/>
              <w:left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1666" w:type="dxa"/>
            <w:tcBorders>
              <w:top w:val="nil"/>
              <w:left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155.36</w:t>
            </w:r>
          </w:p>
        </w:tc>
        <w:tc>
          <w:tcPr>
            <w:tcW w:w="284" w:type="dxa"/>
            <w:tcBorders>
              <w:top w:val="nil"/>
              <w:left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850" w:type="dxa"/>
            <w:tcBorders>
              <w:top w:val="nil"/>
              <w:left w:val="nil"/>
              <w:right w:val="nil"/>
            </w:tcBorders>
          </w:tcPr>
          <w:p w:rsidR="001336AA" w:rsidRPr="00D65CB0" w:rsidRDefault="001336AA" w:rsidP="00B04C1B">
            <w:pPr>
              <w:adjustRightInd w:val="0"/>
              <w:snapToGrid w:val="0"/>
              <w:spacing w:line="360" w:lineRule="auto"/>
              <w:jc w:val="both"/>
              <w:rPr>
                <w:rFonts w:ascii="Book Antiqua" w:hAnsi="Book Antiqua" w:cs="Times New Roman"/>
                <w:lang w:val="en-US"/>
              </w:rPr>
            </w:pPr>
          </w:p>
        </w:tc>
        <w:tc>
          <w:tcPr>
            <w:tcW w:w="1843" w:type="dxa"/>
            <w:tcBorders>
              <w:top w:val="nil"/>
              <w:left w:val="nil"/>
              <w:right w:val="nil"/>
            </w:tcBorders>
          </w:tcPr>
          <w:p w:rsidR="001336AA" w:rsidRPr="00D65CB0" w:rsidRDefault="00A8233F"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134.30</w:t>
            </w:r>
          </w:p>
        </w:tc>
      </w:tr>
    </w:tbl>
    <w:p w:rsidR="00B616FE" w:rsidRPr="00D65CB0" w:rsidRDefault="0043041C" w:rsidP="00B04C1B">
      <w:pPr>
        <w:adjustRightInd w:val="0"/>
        <w:snapToGrid w:val="0"/>
        <w:spacing w:after="0"/>
        <w:jc w:val="both"/>
        <w:rPr>
          <w:rFonts w:ascii="Book Antiqua" w:hAnsi="Book Antiqua" w:cs="Times New Roman"/>
          <w:lang w:val="en-US"/>
        </w:rPr>
      </w:pPr>
      <w:r w:rsidRPr="00D65CB0">
        <w:rPr>
          <w:rFonts w:ascii="Book Antiqua" w:hAnsi="Book Antiqua" w:cs="Times New Roman" w:hint="eastAsia"/>
          <w:vertAlign w:val="superscript"/>
          <w:lang w:val="en-US" w:eastAsia="zh-CN"/>
        </w:rPr>
        <w:t>1</w:t>
      </w:r>
      <w:r w:rsidR="00462667" w:rsidRPr="00D65CB0">
        <w:rPr>
          <w:rFonts w:ascii="Book Antiqua" w:hAnsi="Book Antiqua" w:cs="Times New Roman"/>
          <w:lang w:val="en-US"/>
        </w:rPr>
        <w:t>Data published</w:t>
      </w:r>
      <w:r w:rsidRPr="00D65CB0">
        <w:rPr>
          <w:rFonts w:ascii="Book Antiqua" w:hAnsi="Book Antiqua" w:cs="Times New Roman"/>
          <w:lang w:val="en-US"/>
        </w:rPr>
        <w:t xml:space="preserve"> by Koehrer </w:t>
      </w:r>
      <w:r w:rsidRPr="00D65CB0">
        <w:rPr>
          <w:rFonts w:ascii="Book Antiqua" w:hAnsi="Book Antiqua" w:cs="Times New Roman"/>
          <w:i/>
          <w:lang w:val="en-US"/>
        </w:rPr>
        <w:t>et al</w:t>
      </w:r>
      <w:r w:rsidR="00462667" w:rsidRPr="00D65CB0">
        <w:rPr>
          <w:rFonts w:ascii="Book Antiqua" w:hAnsi="Book Antiqua" w:cs="Times New Roman"/>
          <w:vertAlign w:val="superscript"/>
          <w:lang w:val="en-US"/>
        </w:rPr>
        <w:t>[5]</w:t>
      </w:r>
      <w:r w:rsidRPr="00D65CB0">
        <w:rPr>
          <w:rFonts w:ascii="Book Antiqua" w:hAnsi="Book Antiqua" w:cs="Times New Roman" w:hint="eastAsia"/>
          <w:lang w:val="en-US" w:eastAsia="zh-CN"/>
        </w:rPr>
        <w:t>;</w:t>
      </w:r>
      <w:r w:rsidR="00DF5887" w:rsidRPr="00D65CB0">
        <w:rPr>
          <w:rFonts w:ascii="Book Antiqua" w:hAnsi="Book Antiqua" w:cs="Times New Roman"/>
          <w:lang w:val="en-US"/>
        </w:rPr>
        <w:t xml:space="preserve"> </w:t>
      </w:r>
      <w:r w:rsidRPr="00D65CB0">
        <w:rPr>
          <w:rFonts w:ascii="Book Antiqua" w:hAnsi="Book Antiqua" w:cs="Times New Roman" w:hint="eastAsia"/>
          <w:vertAlign w:val="superscript"/>
          <w:lang w:val="en-US" w:eastAsia="zh-CN"/>
        </w:rPr>
        <w:t>2</w:t>
      </w:r>
      <w:r w:rsidR="00B616FE" w:rsidRPr="00D65CB0">
        <w:rPr>
          <w:rFonts w:ascii="Book Antiqua" w:hAnsi="Book Antiqua" w:cs="Times New Roman"/>
          <w:lang w:val="en-US"/>
        </w:rPr>
        <w:t>The unsaturation index was calculated</w:t>
      </w:r>
    </w:p>
    <w:p w:rsidR="0043041C" w:rsidRPr="00D65CB0" w:rsidRDefault="00B616FE" w:rsidP="00B04C1B">
      <w:pPr>
        <w:adjustRightInd w:val="0"/>
        <w:snapToGrid w:val="0"/>
        <w:spacing w:after="0"/>
        <w:jc w:val="both"/>
        <w:rPr>
          <w:rFonts w:ascii="Book Antiqua" w:hAnsi="Book Antiqua" w:cs="Times New Roman"/>
          <w:lang w:val="en-US" w:eastAsia="zh-CN"/>
        </w:rPr>
      </w:pPr>
      <w:r w:rsidRPr="00D65CB0">
        <w:rPr>
          <w:rFonts w:ascii="Book Antiqua" w:hAnsi="Book Antiqua" w:cs="Times New Roman"/>
          <w:lang w:val="en-US"/>
        </w:rPr>
        <w:t>as the mean number of double bonds per fatty acid residue multiplied by 100.</w:t>
      </w:r>
    </w:p>
    <w:p w:rsidR="006A2427" w:rsidRPr="00D65CB0" w:rsidRDefault="006A2427" w:rsidP="00B04C1B">
      <w:pPr>
        <w:adjustRightInd w:val="0"/>
        <w:snapToGrid w:val="0"/>
        <w:spacing w:after="0"/>
        <w:jc w:val="both"/>
        <w:rPr>
          <w:rFonts w:ascii="Book Antiqua" w:hAnsi="Book Antiqua" w:cs="Times New Roman"/>
          <w:lang w:val="en-US"/>
        </w:rPr>
      </w:pPr>
      <w:r w:rsidRPr="00D65CB0">
        <w:rPr>
          <w:rFonts w:ascii="Book Antiqua" w:hAnsi="Book Antiqua" w:cs="Times New Roman"/>
          <w:lang w:val="en-US"/>
        </w:rPr>
        <w:br w:type="page"/>
      </w:r>
    </w:p>
    <w:p w:rsidR="006A2427" w:rsidRPr="00D65CB0" w:rsidRDefault="006A2427" w:rsidP="00B04C1B">
      <w:pPr>
        <w:adjustRightInd w:val="0"/>
        <w:snapToGrid w:val="0"/>
        <w:spacing w:after="0"/>
        <w:jc w:val="both"/>
        <w:rPr>
          <w:rFonts w:ascii="Book Antiqua" w:hAnsi="Book Antiqua" w:cs="Times New Roman"/>
          <w:lang w:val="en-US"/>
        </w:rPr>
      </w:pPr>
    </w:p>
    <w:p w:rsidR="006A2427" w:rsidRPr="00D65CB0" w:rsidRDefault="006A2427" w:rsidP="00B04C1B">
      <w:pPr>
        <w:adjustRightInd w:val="0"/>
        <w:snapToGrid w:val="0"/>
        <w:spacing w:after="0"/>
        <w:jc w:val="both"/>
        <w:rPr>
          <w:rFonts w:ascii="Book Antiqua" w:hAnsi="Book Antiqua" w:cs="Times New Roman"/>
          <w:b/>
          <w:lang w:val="en-US"/>
        </w:rPr>
      </w:pPr>
      <w:r w:rsidRPr="00D65CB0">
        <w:rPr>
          <w:rFonts w:ascii="Book Antiqua" w:hAnsi="Book Antiqua" w:cs="Times New Roman"/>
          <w:b/>
          <w:lang w:val="en-US"/>
        </w:rPr>
        <w:t xml:space="preserve">Table </w:t>
      </w:r>
      <w:r w:rsidR="002B5F3B" w:rsidRPr="00D65CB0">
        <w:rPr>
          <w:rFonts w:ascii="Book Antiqua" w:hAnsi="Book Antiqua" w:cs="Times New Roman"/>
          <w:b/>
          <w:lang w:val="en-US"/>
        </w:rPr>
        <w:t>2</w:t>
      </w:r>
      <w:r w:rsidR="0043041C" w:rsidRPr="00D65CB0">
        <w:rPr>
          <w:rFonts w:ascii="Book Antiqua" w:hAnsi="Book Antiqua" w:cs="Times New Roman" w:hint="eastAsia"/>
          <w:b/>
          <w:lang w:val="en-US" w:eastAsia="zh-CN"/>
        </w:rPr>
        <w:t xml:space="preserve"> </w:t>
      </w:r>
      <w:r w:rsidRPr="00D65CB0">
        <w:rPr>
          <w:rFonts w:ascii="Book Antiqua" w:hAnsi="Book Antiqua" w:cs="Times New Roman"/>
          <w:b/>
          <w:lang w:val="en-US"/>
        </w:rPr>
        <w:t>Calculated unsaturation indices based on erythrocyte fatty acid compositions reported by several studies</w:t>
      </w:r>
    </w:p>
    <w:tbl>
      <w:tblPr>
        <w:tblStyle w:val="TableGrid"/>
        <w:tblW w:w="10921" w:type="dxa"/>
        <w:tblInd w:w="-289" w:type="dxa"/>
        <w:tblLayout w:type="fixed"/>
        <w:tblLook w:val="04A0" w:firstRow="1" w:lastRow="0" w:firstColumn="1" w:lastColumn="0" w:noHBand="0" w:noVBand="1"/>
      </w:tblPr>
      <w:tblGrid>
        <w:gridCol w:w="147"/>
        <w:gridCol w:w="2552"/>
        <w:gridCol w:w="992"/>
        <w:gridCol w:w="1276"/>
        <w:gridCol w:w="1985"/>
        <w:gridCol w:w="992"/>
        <w:gridCol w:w="1134"/>
        <w:gridCol w:w="1134"/>
        <w:gridCol w:w="283"/>
        <w:gridCol w:w="426"/>
      </w:tblGrid>
      <w:tr w:rsidR="00D615A4" w:rsidRPr="00D65CB0" w:rsidTr="005A774B">
        <w:tc>
          <w:tcPr>
            <w:tcW w:w="2699" w:type="dxa"/>
            <w:gridSpan w:val="2"/>
            <w:tcBorders>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Disease</w:t>
            </w:r>
          </w:p>
        </w:tc>
        <w:tc>
          <w:tcPr>
            <w:tcW w:w="2268" w:type="dxa"/>
            <w:gridSpan w:val="2"/>
            <w:tcBorders>
              <w:left w:val="nil"/>
              <w:right w:val="nil"/>
            </w:tcBorders>
          </w:tcPr>
          <w:p w:rsidR="006A2427" w:rsidRPr="00D65CB0" w:rsidRDefault="005A774B"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xml:space="preserve">       </w:t>
            </w:r>
            <w:r w:rsidR="006A2427" w:rsidRPr="00D65CB0">
              <w:rPr>
                <w:rFonts w:ascii="Book Antiqua" w:hAnsi="Book Antiqua" w:cs="Times New Roman"/>
                <w:b/>
                <w:lang w:val="en-US"/>
              </w:rPr>
              <w:t>Participants (</w:t>
            </w:r>
            <w:r w:rsidR="006A2427" w:rsidRPr="00D65CB0">
              <w:rPr>
                <w:rFonts w:ascii="Book Antiqua" w:hAnsi="Book Antiqua" w:cs="Times New Roman"/>
                <w:b/>
                <w:i/>
                <w:lang w:val="en-US"/>
              </w:rPr>
              <w:t>n</w:t>
            </w:r>
            <w:r w:rsidR="006A2427" w:rsidRPr="00D65CB0">
              <w:rPr>
                <w:rFonts w:ascii="Book Antiqua" w:hAnsi="Book Antiqua" w:cs="Times New Roman"/>
                <w:b/>
                <w:lang w:val="en-US"/>
              </w:rPr>
              <w:t>)</w:t>
            </w:r>
          </w:p>
        </w:tc>
        <w:tc>
          <w:tcPr>
            <w:tcW w:w="1985" w:type="dxa"/>
            <w:tcBorders>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xml:space="preserve">     Erythrocyte</w:t>
            </w:r>
          </w:p>
          <w:p w:rsidR="006A2427" w:rsidRPr="00D65CB0" w:rsidRDefault="006A2427"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xml:space="preserve">      membrane</w:t>
            </w:r>
          </w:p>
        </w:tc>
        <w:tc>
          <w:tcPr>
            <w:tcW w:w="2126" w:type="dxa"/>
            <w:gridSpan w:val="2"/>
            <w:tcBorders>
              <w:left w:val="nil"/>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eastAsia="zh-CN"/>
              </w:rPr>
            </w:pPr>
            <w:r w:rsidRPr="00D65CB0">
              <w:rPr>
                <w:rFonts w:ascii="Book Antiqua" w:hAnsi="Book Antiqua" w:cs="Times New Roman"/>
                <w:b/>
                <w:lang w:val="en-US"/>
              </w:rPr>
              <w:t>Unsaturation index</w:t>
            </w:r>
            <w:r w:rsidR="00B04C1B" w:rsidRPr="00D65CB0">
              <w:rPr>
                <w:rFonts w:ascii="Book Antiqua" w:hAnsi="Book Antiqua" w:cs="Times New Roman" w:hint="eastAsia"/>
                <w:b/>
                <w:vertAlign w:val="superscript"/>
                <w:lang w:val="en-US" w:eastAsia="zh-CN"/>
              </w:rPr>
              <w:t>1</w:t>
            </w:r>
          </w:p>
        </w:tc>
        <w:tc>
          <w:tcPr>
            <w:tcW w:w="1134" w:type="dxa"/>
            <w:tcBorders>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Decrease (%)</w:t>
            </w:r>
          </w:p>
        </w:tc>
        <w:tc>
          <w:tcPr>
            <w:tcW w:w="709" w:type="dxa"/>
            <w:gridSpan w:val="2"/>
            <w:tcBorders>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Ref.</w:t>
            </w:r>
          </w:p>
        </w:tc>
      </w:tr>
      <w:tr w:rsidR="00206165" w:rsidRPr="00D65CB0" w:rsidTr="005A774B">
        <w:trPr>
          <w:gridBefore w:val="1"/>
          <w:wBefore w:w="147" w:type="dxa"/>
        </w:trPr>
        <w:tc>
          <w:tcPr>
            <w:tcW w:w="2552" w:type="dxa"/>
            <w:tcBorders>
              <w:top w:val="nil"/>
              <w:left w:val="nil"/>
              <w:bottom w:val="single" w:sz="4" w:space="0" w:color="auto"/>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p>
        </w:tc>
        <w:tc>
          <w:tcPr>
            <w:tcW w:w="992" w:type="dxa"/>
            <w:tcBorders>
              <w:left w:val="nil"/>
              <w:bottom w:val="single" w:sz="4" w:space="0" w:color="auto"/>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Controls</w:t>
            </w:r>
          </w:p>
        </w:tc>
        <w:tc>
          <w:tcPr>
            <w:tcW w:w="1276" w:type="dxa"/>
            <w:tcBorders>
              <w:left w:val="nil"/>
              <w:bottom w:val="single" w:sz="4" w:space="0" w:color="auto"/>
              <w:right w:val="nil"/>
            </w:tcBorders>
          </w:tcPr>
          <w:p w:rsidR="006A2427" w:rsidRPr="00D65CB0" w:rsidRDefault="005A774B"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 xml:space="preserve">     </w:t>
            </w:r>
            <w:r w:rsidR="006A2427" w:rsidRPr="00D65CB0">
              <w:rPr>
                <w:rFonts w:ascii="Book Antiqua" w:hAnsi="Book Antiqua" w:cs="Times New Roman"/>
                <w:b/>
                <w:lang w:val="en-US"/>
              </w:rPr>
              <w:t>Disease</w:t>
            </w:r>
          </w:p>
        </w:tc>
        <w:tc>
          <w:tcPr>
            <w:tcW w:w="1985" w:type="dxa"/>
            <w:tcBorders>
              <w:top w:val="nil"/>
              <w:left w:val="nil"/>
              <w:bottom w:val="single" w:sz="4" w:space="0" w:color="auto"/>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p>
        </w:tc>
        <w:tc>
          <w:tcPr>
            <w:tcW w:w="992" w:type="dxa"/>
            <w:tcBorders>
              <w:left w:val="nil"/>
              <w:bottom w:val="single" w:sz="4" w:space="0" w:color="auto"/>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Controls</w:t>
            </w:r>
          </w:p>
        </w:tc>
        <w:tc>
          <w:tcPr>
            <w:tcW w:w="1134" w:type="dxa"/>
            <w:tcBorders>
              <w:left w:val="nil"/>
              <w:bottom w:val="single" w:sz="4" w:space="0" w:color="auto"/>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r w:rsidRPr="00D65CB0">
              <w:rPr>
                <w:rFonts w:ascii="Book Antiqua" w:hAnsi="Book Antiqua" w:cs="Times New Roman"/>
                <w:b/>
                <w:lang w:val="en-US"/>
              </w:rPr>
              <w:t>Diabetic subjects</w:t>
            </w:r>
          </w:p>
        </w:tc>
        <w:tc>
          <w:tcPr>
            <w:tcW w:w="1417" w:type="dxa"/>
            <w:gridSpan w:val="2"/>
            <w:tcBorders>
              <w:top w:val="nil"/>
              <w:left w:val="nil"/>
              <w:bottom w:val="single" w:sz="4" w:space="0" w:color="auto"/>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p>
        </w:tc>
        <w:tc>
          <w:tcPr>
            <w:tcW w:w="426" w:type="dxa"/>
            <w:tcBorders>
              <w:top w:val="nil"/>
              <w:left w:val="nil"/>
              <w:bottom w:val="single" w:sz="4" w:space="0" w:color="auto"/>
              <w:right w:val="nil"/>
            </w:tcBorders>
          </w:tcPr>
          <w:p w:rsidR="006A2427" w:rsidRPr="00D65CB0" w:rsidRDefault="006A2427" w:rsidP="00B04C1B">
            <w:pPr>
              <w:adjustRightInd w:val="0"/>
              <w:snapToGrid w:val="0"/>
              <w:spacing w:line="360" w:lineRule="auto"/>
              <w:jc w:val="both"/>
              <w:rPr>
                <w:rFonts w:ascii="Book Antiqua" w:hAnsi="Book Antiqua" w:cs="Times New Roman"/>
                <w:b/>
                <w:lang w:val="en-US"/>
              </w:rPr>
            </w:pPr>
          </w:p>
        </w:tc>
      </w:tr>
      <w:tr w:rsidR="005A774B" w:rsidRPr="00D65CB0" w:rsidTr="005A774B">
        <w:tc>
          <w:tcPr>
            <w:tcW w:w="2699" w:type="dxa"/>
            <w:gridSpan w:val="2"/>
            <w:tcBorders>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T2D/T1D</w:t>
            </w:r>
          </w:p>
        </w:tc>
        <w:tc>
          <w:tcPr>
            <w:tcW w:w="992" w:type="dxa"/>
            <w:tcBorders>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18</w:t>
            </w:r>
          </w:p>
        </w:tc>
        <w:tc>
          <w:tcPr>
            <w:tcW w:w="1276" w:type="dxa"/>
            <w:tcBorders>
              <w:left w:val="nil"/>
              <w:bottom w:val="nil"/>
              <w:right w:val="nil"/>
            </w:tcBorders>
          </w:tcPr>
          <w:p w:rsidR="006A2427" w:rsidRPr="00D65CB0" w:rsidRDefault="005A774B"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6A2427" w:rsidRPr="00D65CB0">
              <w:rPr>
                <w:rFonts w:ascii="Book Antiqua" w:hAnsi="Book Antiqua" w:cs="Times New Roman"/>
                <w:lang w:val="en-US"/>
              </w:rPr>
              <w:t>13/1</w:t>
            </w:r>
          </w:p>
        </w:tc>
        <w:tc>
          <w:tcPr>
            <w:tcW w:w="1985" w:type="dxa"/>
            <w:tcBorders>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Total phospholipid</w:t>
            </w:r>
          </w:p>
        </w:tc>
        <w:tc>
          <w:tcPr>
            <w:tcW w:w="992" w:type="dxa"/>
            <w:tcBorders>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155.4</w:t>
            </w:r>
          </w:p>
        </w:tc>
        <w:tc>
          <w:tcPr>
            <w:tcW w:w="1134" w:type="dxa"/>
            <w:tcBorders>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134.3</w:t>
            </w:r>
          </w:p>
        </w:tc>
        <w:tc>
          <w:tcPr>
            <w:tcW w:w="1134" w:type="dxa"/>
            <w:tcBorders>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13.</w:t>
            </w:r>
            <w:r w:rsidR="001F51F2" w:rsidRPr="00D65CB0">
              <w:rPr>
                <w:rFonts w:ascii="Book Antiqua" w:hAnsi="Book Antiqua" w:cs="Times New Roman"/>
                <w:lang w:val="en-US"/>
              </w:rPr>
              <w:t>5</w:t>
            </w:r>
          </w:p>
        </w:tc>
        <w:tc>
          <w:tcPr>
            <w:tcW w:w="709" w:type="dxa"/>
            <w:gridSpan w:val="2"/>
            <w:tcBorders>
              <w:left w:val="nil"/>
              <w:bottom w:val="nil"/>
              <w:right w:val="nil"/>
            </w:tcBorders>
          </w:tcPr>
          <w:p w:rsidR="006A2427" w:rsidRPr="00D65CB0" w:rsidRDefault="00B04C1B" w:rsidP="00B04C1B">
            <w:pPr>
              <w:adjustRightInd w:val="0"/>
              <w:snapToGrid w:val="0"/>
              <w:spacing w:line="360" w:lineRule="auto"/>
              <w:jc w:val="both"/>
              <w:rPr>
                <w:rFonts w:ascii="Book Antiqua" w:hAnsi="Book Antiqua" w:cs="Times New Roman"/>
                <w:lang w:val="en-US" w:eastAsia="zh-CN"/>
              </w:rPr>
            </w:pPr>
            <w:r w:rsidRPr="00D65CB0">
              <w:rPr>
                <w:rFonts w:ascii="Book Antiqua" w:hAnsi="Book Antiqua" w:cs="Times New Roman" w:hint="eastAsia"/>
                <w:lang w:val="en-US" w:eastAsia="zh-CN"/>
              </w:rPr>
              <w:t>[</w:t>
            </w:r>
            <w:r w:rsidR="00D14A05" w:rsidRPr="00D65CB0">
              <w:rPr>
                <w:rFonts w:ascii="Book Antiqua" w:hAnsi="Book Antiqua" w:cs="Times New Roman"/>
                <w:lang w:val="en-US"/>
              </w:rPr>
              <w:t>5</w:t>
            </w:r>
            <w:r w:rsidRPr="00D65CB0">
              <w:rPr>
                <w:rFonts w:ascii="Book Antiqua" w:hAnsi="Book Antiqua" w:cs="Times New Roman" w:hint="eastAsia"/>
                <w:lang w:val="en-US" w:eastAsia="zh-CN"/>
              </w:rPr>
              <w:t>]</w:t>
            </w:r>
          </w:p>
        </w:tc>
      </w:tr>
      <w:tr w:rsidR="005A774B" w:rsidRPr="00D65CB0" w:rsidTr="005A774B">
        <w:tc>
          <w:tcPr>
            <w:tcW w:w="2699" w:type="dxa"/>
            <w:gridSpan w:val="2"/>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T2D/T1D + mild DR      </w:t>
            </w:r>
          </w:p>
        </w:tc>
        <w:tc>
          <w:tcPr>
            <w:tcW w:w="992"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18</w:t>
            </w:r>
          </w:p>
        </w:tc>
        <w:tc>
          <w:tcPr>
            <w:tcW w:w="1276" w:type="dxa"/>
            <w:tcBorders>
              <w:top w:val="nil"/>
              <w:left w:val="nil"/>
              <w:bottom w:val="nil"/>
              <w:right w:val="nil"/>
            </w:tcBorders>
          </w:tcPr>
          <w:p w:rsidR="006A2427" w:rsidRPr="00D65CB0" w:rsidRDefault="005A774B"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6A2427" w:rsidRPr="00D65CB0">
              <w:rPr>
                <w:rFonts w:ascii="Book Antiqua" w:hAnsi="Book Antiqua" w:cs="Times New Roman"/>
                <w:lang w:val="en-US"/>
              </w:rPr>
              <w:t>11/1</w:t>
            </w:r>
          </w:p>
        </w:tc>
        <w:tc>
          <w:tcPr>
            <w:tcW w:w="1985"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Total phospholipid</w:t>
            </w:r>
          </w:p>
        </w:tc>
        <w:tc>
          <w:tcPr>
            <w:tcW w:w="992"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155.4</w:t>
            </w:r>
          </w:p>
        </w:tc>
        <w:tc>
          <w:tcPr>
            <w:tcW w:w="1134"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125.9</w:t>
            </w:r>
          </w:p>
        </w:tc>
        <w:tc>
          <w:tcPr>
            <w:tcW w:w="1134"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19.0</w:t>
            </w:r>
          </w:p>
        </w:tc>
        <w:tc>
          <w:tcPr>
            <w:tcW w:w="709" w:type="dxa"/>
            <w:gridSpan w:val="2"/>
            <w:tcBorders>
              <w:top w:val="nil"/>
              <w:left w:val="nil"/>
              <w:bottom w:val="nil"/>
              <w:right w:val="nil"/>
            </w:tcBorders>
          </w:tcPr>
          <w:p w:rsidR="006A2427" w:rsidRPr="00D65CB0" w:rsidRDefault="00B04C1B"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hint="eastAsia"/>
                <w:lang w:val="en-US" w:eastAsia="zh-CN"/>
              </w:rPr>
              <w:t>[</w:t>
            </w:r>
            <w:r w:rsidRPr="00D65CB0">
              <w:rPr>
                <w:rFonts w:ascii="Book Antiqua" w:hAnsi="Book Antiqua" w:cs="Times New Roman"/>
                <w:lang w:val="en-US"/>
              </w:rPr>
              <w:t>5</w:t>
            </w:r>
            <w:r w:rsidRPr="00D65CB0">
              <w:rPr>
                <w:rFonts w:ascii="Book Antiqua" w:hAnsi="Book Antiqua" w:cs="Times New Roman" w:hint="eastAsia"/>
                <w:lang w:val="en-US" w:eastAsia="zh-CN"/>
              </w:rPr>
              <w:t>]</w:t>
            </w:r>
          </w:p>
        </w:tc>
      </w:tr>
      <w:tr w:rsidR="005A774B" w:rsidRPr="00D65CB0" w:rsidTr="005A774B">
        <w:tc>
          <w:tcPr>
            <w:tcW w:w="2699" w:type="dxa"/>
            <w:gridSpan w:val="2"/>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T2D/T1D + moderate DR</w:t>
            </w:r>
          </w:p>
        </w:tc>
        <w:tc>
          <w:tcPr>
            <w:tcW w:w="992"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18</w:t>
            </w:r>
          </w:p>
        </w:tc>
        <w:tc>
          <w:tcPr>
            <w:tcW w:w="1276" w:type="dxa"/>
            <w:tcBorders>
              <w:top w:val="nil"/>
              <w:left w:val="nil"/>
              <w:bottom w:val="nil"/>
              <w:right w:val="nil"/>
            </w:tcBorders>
          </w:tcPr>
          <w:p w:rsidR="006A2427" w:rsidRPr="00D65CB0" w:rsidRDefault="005A774B"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6A2427" w:rsidRPr="00D65CB0">
              <w:rPr>
                <w:rFonts w:ascii="Book Antiqua" w:hAnsi="Book Antiqua" w:cs="Times New Roman"/>
                <w:lang w:val="en-US"/>
              </w:rPr>
              <w:t>11/1</w:t>
            </w:r>
          </w:p>
        </w:tc>
        <w:tc>
          <w:tcPr>
            <w:tcW w:w="1985"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Total phospholipid</w:t>
            </w:r>
          </w:p>
        </w:tc>
        <w:tc>
          <w:tcPr>
            <w:tcW w:w="992"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155.4</w:t>
            </w:r>
          </w:p>
        </w:tc>
        <w:tc>
          <w:tcPr>
            <w:tcW w:w="1134"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119.5</w:t>
            </w:r>
          </w:p>
        </w:tc>
        <w:tc>
          <w:tcPr>
            <w:tcW w:w="1134"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23.1</w:t>
            </w:r>
          </w:p>
        </w:tc>
        <w:tc>
          <w:tcPr>
            <w:tcW w:w="709" w:type="dxa"/>
            <w:gridSpan w:val="2"/>
            <w:tcBorders>
              <w:top w:val="nil"/>
              <w:left w:val="nil"/>
              <w:bottom w:val="nil"/>
              <w:right w:val="nil"/>
            </w:tcBorders>
          </w:tcPr>
          <w:p w:rsidR="006A2427" w:rsidRPr="00D65CB0" w:rsidRDefault="00B04C1B"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hint="eastAsia"/>
                <w:lang w:val="en-US" w:eastAsia="zh-CN"/>
              </w:rPr>
              <w:t>[</w:t>
            </w:r>
            <w:r w:rsidRPr="00D65CB0">
              <w:rPr>
                <w:rFonts w:ascii="Book Antiqua" w:hAnsi="Book Antiqua" w:cs="Times New Roman"/>
                <w:lang w:val="en-US"/>
              </w:rPr>
              <w:t>5</w:t>
            </w:r>
            <w:r w:rsidRPr="00D65CB0">
              <w:rPr>
                <w:rFonts w:ascii="Book Antiqua" w:hAnsi="Book Antiqua" w:cs="Times New Roman" w:hint="eastAsia"/>
                <w:lang w:val="en-US" w:eastAsia="zh-CN"/>
              </w:rPr>
              <w:t>]</w:t>
            </w:r>
          </w:p>
        </w:tc>
      </w:tr>
      <w:tr w:rsidR="005A774B" w:rsidRPr="00D65CB0" w:rsidTr="005A774B">
        <w:tc>
          <w:tcPr>
            <w:tcW w:w="2699" w:type="dxa"/>
            <w:gridSpan w:val="2"/>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T2D/T1D + severe DR</w:t>
            </w:r>
          </w:p>
        </w:tc>
        <w:tc>
          <w:tcPr>
            <w:tcW w:w="992"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18</w:t>
            </w:r>
          </w:p>
        </w:tc>
        <w:tc>
          <w:tcPr>
            <w:tcW w:w="1276" w:type="dxa"/>
            <w:tcBorders>
              <w:top w:val="nil"/>
              <w:left w:val="nil"/>
              <w:bottom w:val="nil"/>
              <w:right w:val="nil"/>
            </w:tcBorders>
          </w:tcPr>
          <w:p w:rsidR="006A2427" w:rsidRPr="00D65CB0" w:rsidRDefault="005A774B"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6A2427" w:rsidRPr="00D65CB0">
              <w:rPr>
                <w:rFonts w:ascii="Book Antiqua" w:hAnsi="Book Antiqua" w:cs="Times New Roman"/>
                <w:lang w:val="en-US"/>
              </w:rPr>
              <w:t>19/3</w:t>
            </w:r>
          </w:p>
        </w:tc>
        <w:tc>
          <w:tcPr>
            <w:tcW w:w="1985"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Total phospholipid</w:t>
            </w:r>
          </w:p>
        </w:tc>
        <w:tc>
          <w:tcPr>
            <w:tcW w:w="992"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155.4</w:t>
            </w:r>
          </w:p>
        </w:tc>
        <w:tc>
          <w:tcPr>
            <w:tcW w:w="1134"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124.7</w:t>
            </w:r>
          </w:p>
        </w:tc>
        <w:tc>
          <w:tcPr>
            <w:tcW w:w="1134"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19.7</w:t>
            </w:r>
          </w:p>
        </w:tc>
        <w:tc>
          <w:tcPr>
            <w:tcW w:w="709" w:type="dxa"/>
            <w:gridSpan w:val="2"/>
            <w:tcBorders>
              <w:top w:val="nil"/>
              <w:left w:val="nil"/>
              <w:bottom w:val="nil"/>
              <w:right w:val="nil"/>
            </w:tcBorders>
          </w:tcPr>
          <w:p w:rsidR="006A2427" w:rsidRPr="00D65CB0" w:rsidRDefault="00B04C1B"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hint="eastAsia"/>
                <w:lang w:val="en-US" w:eastAsia="zh-CN"/>
              </w:rPr>
              <w:t>[</w:t>
            </w:r>
            <w:r w:rsidRPr="00D65CB0">
              <w:rPr>
                <w:rFonts w:ascii="Book Antiqua" w:hAnsi="Book Antiqua" w:cs="Times New Roman"/>
                <w:lang w:val="en-US"/>
              </w:rPr>
              <w:t>5</w:t>
            </w:r>
            <w:r w:rsidRPr="00D65CB0">
              <w:rPr>
                <w:rFonts w:ascii="Book Antiqua" w:hAnsi="Book Antiqua" w:cs="Times New Roman" w:hint="eastAsia"/>
                <w:lang w:val="en-US" w:eastAsia="zh-CN"/>
              </w:rPr>
              <w:t>]</w:t>
            </w:r>
          </w:p>
        </w:tc>
      </w:tr>
      <w:tr w:rsidR="005A774B" w:rsidRPr="00D65CB0" w:rsidTr="005A774B">
        <w:tc>
          <w:tcPr>
            <w:tcW w:w="2699" w:type="dxa"/>
            <w:gridSpan w:val="2"/>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T2D/T1D + proliferative DR</w:t>
            </w:r>
          </w:p>
        </w:tc>
        <w:tc>
          <w:tcPr>
            <w:tcW w:w="992"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18</w:t>
            </w:r>
          </w:p>
        </w:tc>
        <w:tc>
          <w:tcPr>
            <w:tcW w:w="1276" w:type="dxa"/>
            <w:tcBorders>
              <w:top w:val="nil"/>
              <w:left w:val="nil"/>
              <w:bottom w:val="nil"/>
              <w:right w:val="nil"/>
            </w:tcBorders>
          </w:tcPr>
          <w:p w:rsidR="006A2427" w:rsidRPr="00D65CB0" w:rsidRDefault="005A774B"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6A2427" w:rsidRPr="00D65CB0">
              <w:rPr>
                <w:rFonts w:ascii="Book Antiqua" w:hAnsi="Book Antiqua" w:cs="Times New Roman"/>
                <w:lang w:val="en-US"/>
              </w:rPr>
              <w:t>17/7</w:t>
            </w:r>
          </w:p>
        </w:tc>
        <w:tc>
          <w:tcPr>
            <w:tcW w:w="1985"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Total phospholipid</w:t>
            </w:r>
          </w:p>
        </w:tc>
        <w:tc>
          <w:tcPr>
            <w:tcW w:w="992"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155.4</w:t>
            </w:r>
          </w:p>
        </w:tc>
        <w:tc>
          <w:tcPr>
            <w:tcW w:w="1134"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136.9</w:t>
            </w:r>
          </w:p>
        </w:tc>
        <w:tc>
          <w:tcPr>
            <w:tcW w:w="1134" w:type="dxa"/>
            <w:tcBorders>
              <w:top w:val="nil"/>
              <w:left w:val="nil"/>
              <w:bottom w:val="nil"/>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11.9</w:t>
            </w:r>
          </w:p>
        </w:tc>
        <w:tc>
          <w:tcPr>
            <w:tcW w:w="709" w:type="dxa"/>
            <w:gridSpan w:val="2"/>
            <w:tcBorders>
              <w:top w:val="nil"/>
              <w:left w:val="nil"/>
              <w:bottom w:val="nil"/>
              <w:right w:val="nil"/>
            </w:tcBorders>
          </w:tcPr>
          <w:p w:rsidR="006A2427" w:rsidRPr="00D65CB0" w:rsidRDefault="00B04C1B"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hint="eastAsia"/>
                <w:lang w:val="en-US" w:eastAsia="zh-CN"/>
              </w:rPr>
              <w:t>[</w:t>
            </w:r>
            <w:r w:rsidRPr="00D65CB0">
              <w:rPr>
                <w:rFonts w:ascii="Book Antiqua" w:hAnsi="Book Antiqua" w:cs="Times New Roman"/>
                <w:lang w:val="en-US"/>
              </w:rPr>
              <w:t>5</w:t>
            </w:r>
            <w:r w:rsidRPr="00D65CB0">
              <w:rPr>
                <w:rFonts w:ascii="Book Antiqua" w:hAnsi="Book Antiqua" w:cs="Times New Roman" w:hint="eastAsia"/>
                <w:lang w:val="en-US" w:eastAsia="zh-CN"/>
              </w:rPr>
              <w:t>]</w:t>
            </w:r>
          </w:p>
        </w:tc>
      </w:tr>
      <w:tr w:rsidR="005A774B" w:rsidRPr="00D65CB0" w:rsidTr="005A774B">
        <w:tc>
          <w:tcPr>
            <w:tcW w:w="2699" w:type="dxa"/>
            <w:gridSpan w:val="2"/>
            <w:tcBorders>
              <w:top w:val="nil"/>
              <w:left w:val="nil"/>
              <w:bottom w:val="single" w:sz="4" w:space="0" w:color="auto"/>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Gestational Diabetes</w:t>
            </w:r>
          </w:p>
        </w:tc>
        <w:tc>
          <w:tcPr>
            <w:tcW w:w="992" w:type="dxa"/>
            <w:tcBorders>
              <w:top w:val="nil"/>
              <w:left w:val="nil"/>
              <w:bottom w:val="single" w:sz="4" w:space="0" w:color="auto"/>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61</w:t>
            </w:r>
          </w:p>
        </w:tc>
        <w:tc>
          <w:tcPr>
            <w:tcW w:w="1276" w:type="dxa"/>
            <w:tcBorders>
              <w:top w:val="nil"/>
              <w:left w:val="nil"/>
              <w:bottom w:val="single" w:sz="4" w:space="0" w:color="auto"/>
              <w:right w:val="nil"/>
            </w:tcBorders>
          </w:tcPr>
          <w:p w:rsidR="006A2427" w:rsidRPr="00D65CB0" w:rsidRDefault="005A774B"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 xml:space="preserve">     </w:t>
            </w:r>
            <w:r w:rsidR="006A2427" w:rsidRPr="00D65CB0">
              <w:rPr>
                <w:rFonts w:ascii="Book Antiqua" w:hAnsi="Book Antiqua" w:cs="Times New Roman"/>
                <w:lang w:val="en-US"/>
              </w:rPr>
              <w:t>53</w:t>
            </w:r>
          </w:p>
        </w:tc>
        <w:tc>
          <w:tcPr>
            <w:tcW w:w="1985" w:type="dxa"/>
            <w:tcBorders>
              <w:top w:val="nil"/>
              <w:left w:val="nil"/>
              <w:bottom w:val="single" w:sz="4" w:space="0" w:color="auto"/>
              <w:right w:val="nil"/>
            </w:tcBorders>
          </w:tcPr>
          <w:p w:rsidR="006A2427" w:rsidRPr="00D65CB0" w:rsidRDefault="00206165"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PC + PE</w:t>
            </w:r>
          </w:p>
        </w:tc>
        <w:tc>
          <w:tcPr>
            <w:tcW w:w="992" w:type="dxa"/>
            <w:tcBorders>
              <w:top w:val="nil"/>
              <w:left w:val="nil"/>
              <w:bottom w:val="single" w:sz="4" w:space="0" w:color="auto"/>
              <w:right w:val="nil"/>
            </w:tcBorders>
          </w:tcPr>
          <w:p w:rsidR="006A2427" w:rsidRPr="00D65CB0" w:rsidRDefault="006A2427"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w:t>
            </w:r>
            <w:r w:rsidR="007F24F5" w:rsidRPr="00D65CB0">
              <w:rPr>
                <w:rFonts w:ascii="Book Antiqua" w:hAnsi="Book Antiqua" w:cs="Times New Roman"/>
                <w:lang w:val="en-US"/>
              </w:rPr>
              <w:t>62.8</w:t>
            </w:r>
          </w:p>
        </w:tc>
        <w:tc>
          <w:tcPr>
            <w:tcW w:w="1134" w:type="dxa"/>
            <w:tcBorders>
              <w:top w:val="nil"/>
              <w:left w:val="nil"/>
              <w:bottom w:val="single" w:sz="4" w:space="0" w:color="auto"/>
              <w:right w:val="nil"/>
            </w:tcBorders>
          </w:tcPr>
          <w:p w:rsidR="006A2427" w:rsidRPr="00D65CB0" w:rsidRDefault="007F24F5"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137.1</w:t>
            </w:r>
          </w:p>
        </w:tc>
        <w:tc>
          <w:tcPr>
            <w:tcW w:w="1134" w:type="dxa"/>
            <w:tcBorders>
              <w:top w:val="nil"/>
              <w:left w:val="nil"/>
              <w:bottom w:val="single" w:sz="4" w:space="0" w:color="auto"/>
              <w:right w:val="nil"/>
            </w:tcBorders>
          </w:tcPr>
          <w:p w:rsidR="006A2427" w:rsidRPr="00D65CB0" w:rsidRDefault="007F24F5" w:rsidP="00B04C1B">
            <w:pPr>
              <w:adjustRightInd w:val="0"/>
              <w:snapToGrid w:val="0"/>
              <w:spacing w:line="360" w:lineRule="auto"/>
              <w:jc w:val="both"/>
              <w:rPr>
                <w:rFonts w:ascii="Book Antiqua" w:hAnsi="Book Antiqua" w:cs="Times New Roman"/>
                <w:lang w:val="en-US"/>
              </w:rPr>
            </w:pPr>
            <w:r w:rsidRPr="00D65CB0">
              <w:rPr>
                <w:rFonts w:ascii="Book Antiqua" w:hAnsi="Book Antiqua" w:cs="Times New Roman"/>
                <w:lang w:val="en-US"/>
              </w:rPr>
              <w:t>16.3</w:t>
            </w:r>
          </w:p>
        </w:tc>
        <w:tc>
          <w:tcPr>
            <w:tcW w:w="709" w:type="dxa"/>
            <w:gridSpan w:val="2"/>
            <w:tcBorders>
              <w:top w:val="nil"/>
              <w:left w:val="nil"/>
              <w:bottom w:val="single" w:sz="4" w:space="0" w:color="auto"/>
              <w:right w:val="nil"/>
            </w:tcBorders>
          </w:tcPr>
          <w:p w:rsidR="006A2427" w:rsidRPr="00D65CB0" w:rsidRDefault="00B04C1B" w:rsidP="00B04C1B">
            <w:pPr>
              <w:adjustRightInd w:val="0"/>
              <w:snapToGrid w:val="0"/>
              <w:spacing w:line="360" w:lineRule="auto"/>
              <w:jc w:val="both"/>
              <w:rPr>
                <w:rFonts w:ascii="Book Antiqua" w:hAnsi="Book Antiqua" w:cs="Times New Roman"/>
                <w:lang w:val="en-US" w:eastAsia="zh-CN"/>
              </w:rPr>
            </w:pPr>
            <w:r w:rsidRPr="00D65CB0">
              <w:rPr>
                <w:rFonts w:ascii="Book Antiqua" w:hAnsi="Book Antiqua" w:cs="Times New Roman" w:hint="eastAsia"/>
                <w:lang w:val="en-US" w:eastAsia="zh-CN"/>
              </w:rPr>
              <w:t>[</w:t>
            </w:r>
            <w:r w:rsidR="00D14A05" w:rsidRPr="00D65CB0">
              <w:rPr>
                <w:rFonts w:ascii="Book Antiqua" w:hAnsi="Book Antiqua" w:cs="Times New Roman"/>
                <w:lang w:val="en-US"/>
              </w:rPr>
              <w:t>6</w:t>
            </w:r>
            <w:r w:rsidRPr="00D65CB0">
              <w:rPr>
                <w:rFonts w:ascii="Book Antiqua" w:hAnsi="Book Antiqua" w:cs="Times New Roman" w:hint="eastAsia"/>
                <w:lang w:val="en-US" w:eastAsia="zh-CN"/>
              </w:rPr>
              <w:t>]</w:t>
            </w:r>
          </w:p>
        </w:tc>
      </w:tr>
    </w:tbl>
    <w:p w:rsidR="006A2427" w:rsidRPr="00D65CB0" w:rsidRDefault="00B04C1B" w:rsidP="00B04C1B">
      <w:pPr>
        <w:adjustRightInd w:val="0"/>
        <w:snapToGrid w:val="0"/>
        <w:spacing w:after="0"/>
        <w:jc w:val="both"/>
        <w:rPr>
          <w:rFonts w:ascii="Book Antiqua" w:hAnsi="Book Antiqua" w:cs="Times New Roman"/>
          <w:lang w:val="en-US" w:eastAsia="zh-CN"/>
        </w:rPr>
      </w:pPr>
      <w:r w:rsidRPr="00D65CB0">
        <w:rPr>
          <w:rFonts w:ascii="Book Antiqua" w:hAnsi="Book Antiqua" w:cs="Times New Roman" w:hint="eastAsia"/>
          <w:b/>
          <w:vertAlign w:val="superscript"/>
          <w:lang w:val="en-US" w:eastAsia="zh-CN"/>
        </w:rPr>
        <w:t>1</w:t>
      </w:r>
      <w:r w:rsidR="006A2427" w:rsidRPr="00D65CB0">
        <w:rPr>
          <w:rFonts w:ascii="Book Antiqua" w:hAnsi="Book Antiqua" w:cs="Times New Roman"/>
          <w:lang w:val="en-US"/>
        </w:rPr>
        <w:t>The unsaturation index was calculated as the mean number of double bonds per fatty acid residue multiplied by 100</w:t>
      </w:r>
      <w:r w:rsidR="002D3F4A" w:rsidRPr="00D65CB0">
        <w:rPr>
          <w:rFonts w:ascii="Book Antiqua" w:hAnsi="Book Antiqua" w:cs="Times New Roman"/>
          <w:vertAlign w:val="superscript"/>
          <w:lang w:val="en-US"/>
        </w:rPr>
        <w:t>[</w:t>
      </w:r>
      <w:r w:rsidR="006A2427" w:rsidRPr="00D65CB0">
        <w:rPr>
          <w:rFonts w:ascii="Book Antiqua" w:hAnsi="Book Antiqua" w:cs="Times New Roman"/>
          <w:vertAlign w:val="superscript"/>
          <w:lang w:val="en-US"/>
        </w:rPr>
        <w:t>4</w:t>
      </w:r>
      <w:r w:rsidR="002D3F4A" w:rsidRPr="00D65CB0">
        <w:rPr>
          <w:rFonts w:ascii="Book Antiqua" w:hAnsi="Book Antiqua" w:cs="Times New Roman"/>
          <w:vertAlign w:val="superscript"/>
          <w:lang w:val="en-US"/>
        </w:rPr>
        <w:t>]</w:t>
      </w:r>
      <w:r w:rsidR="006A2427" w:rsidRPr="00D65CB0">
        <w:rPr>
          <w:rFonts w:ascii="Book Antiqua" w:hAnsi="Book Antiqua" w:cs="Times New Roman"/>
          <w:lang w:val="en-US"/>
        </w:rPr>
        <w:t xml:space="preserve">. DR: </w:t>
      </w:r>
      <w:r w:rsidRPr="00D65CB0">
        <w:rPr>
          <w:rFonts w:ascii="Book Antiqua" w:hAnsi="Book Antiqua" w:cs="Times New Roman"/>
          <w:lang w:val="en-US"/>
        </w:rPr>
        <w:t xml:space="preserve">Diabetic </w:t>
      </w:r>
      <w:r w:rsidR="006A2427" w:rsidRPr="00D65CB0">
        <w:rPr>
          <w:rFonts w:ascii="Book Antiqua" w:hAnsi="Book Antiqua" w:cs="Times New Roman"/>
          <w:lang w:val="en-US"/>
        </w:rPr>
        <w:t xml:space="preserve">retinopathy; RBC: </w:t>
      </w:r>
      <w:r w:rsidRPr="00D65CB0">
        <w:rPr>
          <w:rFonts w:ascii="Book Antiqua" w:hAnsi="Book Antiqua" w:cs="Times New Roman"/>
          <w:lang w:val="en-US"/>
        </w:rPr>
        <w:t xml:space="preserve">Red </w:t>
      </w:r>
      <w:r w:rsidR="006A2427" w:rsidRPr="00D65CB0">
        <w:rPr>
          <w:rFonts w:ascii="Book Antiqua" w:hAnsi="Book Antiqua" w:cs="Times New Roman"/>
          <w:lang w:val="en-US"/>
        </w:rPr>
        <w:t>blood cell</w:t>
      </w:r>
      <w:r w:rsidR="007F24F5" w:rsidRPr="00D65CB0">
        <w:rPr>
          <w:rFonts w:ascii="Book Antiqua" w:hAnsi="Book Antiqua" w:cs="Times New Roman"/>
          <w:lang w:val="en-US"/>
        </w:rPr>
        <w:t xml:space="preserve">; PC: </w:t>
      </w:r>
      <w:r w:rsidRPr="00D65CB0">
        <w:rPr>
          <w:rFonts w:ascii="Book Antiqua" w:hAnsi="Book Antiqua" w:cs="Times New Roman"/>
          <w:lang w:val="en-US"/>
        </w:rPr>
        <w:t>Phosphatidylcholine</w:t>
      </w:r>
      <w:r w:rsidR="007F24F5" w:rsidRPr="00D65CB0">
        <w:rPr>
          <w:rFonts w:ascii="Book Antiqua" w:hAnsi="Book Antiqua" w:cs="Times New Roman"/>
          <w:lang w:val="en-US"/>
        </w:rPr>
        <w:t xml:space="preserve">; PE: </w:t>
      </w:r>
      <w:r w:rsidRPr="00D65CB0">
        <w:rPr>
          <w:rFonts w:ascii="Book Antiqua" w:hAnsi="Book Antiqua" w:cs="Times New Roman"/>
          <w:lang w:val="en-US"/>
        </w:rPr>
        <w:t>Phosphatidylethanolamine</w:t>
      </w:r>
      <w:r w:rsidRPr="00D65CB0">
        <w:rPr>
          <w:rFonts w:ascii="Book Antiqua" w:hAnsi="Book Antiqua" w:cs="Times New Roman" w:hint="eastAsia"/>
          <w:lang w:val="en-US" w:eastAsia="zh-CN"/>
        </w:rPr>
        <w:t>.</w:t>
      </w:r>
    </w:p>
    <w:p w:rsidR="006A2427" w:rsidRPr="00D65CB0" w:rsidRDefault="006A2427" w:rsidP="00B04C1B">
      <w:pPr>
        <w:adjustRightInd w:val="0"/>
        <w:snapToGrid w:val="0"/>
        <w:spacing w:after="0"/>
        <w:jc w:val="both"/>
        <w:rPr>
          <w:rFonts w:ascii="Book Antiqua" w:hAnsi="Book Antiqua" w:cs="Times New Roman"/>
          <w:lang w:val="en-US"/>
        </w:rPr>
      </w:pPr>
    </w:p>
    <w:sectPr w:rsidR="006A2427" w:rsidRPr="00D65CB0" w:rsidSect="004D071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BD" w:rsidRDefault="004262BD" w:rsidP="006933F4">
      <w:pPr>
        <w:spacing w:after="0" w:line="240" w:lineRule="auto"/>
      </w:pPr>
      <w:r>
        <w:separator/>
      </w:r>
    </w:p>
  </w:endnote>
  <w:endnote w:type="continuationSeparator" w:id="0">
    <w:p w:rsidR="004262BD" w:rsidRDefault="004262BD" w:rsidP="0069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BD" w:rsidRDefault="004262BD" w:rsidP="006933F4">
      <w:pPr>
        <w:spacing w:after="0" w:line="240" w:lineRule="auto"/>
      </w:pPr>
      <w:r>
        <w:separator/>
      </w:r>
    </w:p>
  </w:footnote>
  <w:footnote w:type="continuationSeparator" w:id="0">
    <w:p w:rsidR="004262BD" w:rsidRDefault="004262BD" w:rsidP="006933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97707"/>
      <w:docPartObj>
        <w:docPartGallery w:val="Page Numbers (Top of Page)"/>
        <w:docPartUnique/>
      </w:docPartObj>
    </w:sdtPr>
    <w:sdtEndPr/>
    <w:sdtContent>
      <w:p w:rsidR="004D0710" w:rsidRDefault="004D0710">
        <w:pPr>
          <w:pStyle w:val="Header"/>
          <w:jc w:val="right"/>
        </w:pPr>
        <w:r>
          <w:fldChar w:fldCharType="begin"/>
        </w:r>
        <w:r>
          <w:instrText>PAGE   \* MERGEFORMAT</w:instrText>
        </w:r>
        <w:r>
          <w:fldChar w:fldCharType="separate"/>
        </w:r>
        <w:r w:rsidR="00B24580">
          <w:rPr>
            <w:noProof/>
          </w:rPr>
          <w:t>1</w:t>
        </w:r>
        <w:r>
          <w:fldChar w:fldCharType="end"/>
        </w:r>
      </w:p>
    </w:sdtContent>
  </w:sdt>
  <w:p w:rsidR="006933F4" w:rsidRDefault="006933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579C"/>
    <w:multiLevelType w:val="hybridMultilevel"/>
    <w:tmpl w:val="C7AC8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6C"/>
    <w:rsid w:val="000024DC"/>
    <w:rsid w:val="000035DE"/>
    <w:rsid w:val="00006AD6"/>
    <w:rsid w:val="000072F6"/>
    <w:rsid w:val="000330ED"/>
    <w:rsid w:val="00041550"/>
    <w:rsid w:val="00054F33"/>
    <w:rsid w:val="00063C74"/>
    <w:rsid w:val="00080740"/>
    <w:rsid w:val="00084C22"/>
    <w:rsid w:val="000B0D9A"/>
    <w:rsid w:val="000B698F"/>
    <w:rsid w:val="000C71DC"/>
    <w:rsid w:val="000E2EFC"/>
    <w:rsid w:val="000E40C0"/>
    <w:rsid w:val="000E5A22"/>
    <w:rsid w:val="000F14BE"/>
    <w:rsid w:val="00105B7C"/>
    <w:rsid w:val="00106558"/>
    <w:rsid w:val="00133023"/>
    <w:rsid w:val="001336AA"/>
    <w:rsid w:val="001352F8"/>
    <w:rsid w:val="00136281"/>
    <w:rsid w:val="0014469E"/>
    <w:rsid w:val="00145505"/>
    <w:rsid w:val="001744CC"/>
    <w:rsid w:val="00177AB0"/>
    <w:rsid w:val="00183BCA"/>
    <w:rsid w:val="00184EB2"/>
    <w:rsid w:val="00185B6C"/>
    <w:rsid w:val="00192C79"/>
    <w:rsid w:val="00193014"/>
    <w:rsid w:val="001971F4"/>
    <w:rsid w:val="001A0750"/>
    <w:rsid w:val="001B2ABA"/>
    <w:rsid w:val="001B59D3"/>
    <w:rsid w:val="001B71A2"/>
    <w:rsid w:val="001C15C9"/>
    <w:rsid w:val="001C18F9"/>
    <w:rsid w:val="001C5074"/>
    <w:rsid w:val="001D69A4"/>
    <w:rsid w:val="001E08A8"/>
    <w:rsid w:val="001E724A"/>
    <w:rsid w:val="001F1ADE"/>
    <w:rsid w:val="001F51F2"/>
    <w:rsid w:val="00205175"/>
    <w:rsid w:val="00206165"/>
    <w:rsid w:val="00206AFA"/>
    <w:rsid w:val="002131FB"/>
    <w:rsid w:val="00225226"/>
    <w:rsid w:val="002277DE"/>
    <w:rsid w:val="002302FE"/>
    <w:rsid w:val="00235318"/>
    <w:rsid w:val="00237424"/>
    <w:rsid w:val="00240C95"/>
    <w:rsid w:val="0025034E"/>
    <w:rsid w:val="0026153D"/>
    <w:rsid w:val="00261AAB"/>
    <w:rsid w:val="00261EDB"/>
    <w:rsid w:val="002635AA"/>
    <w:rsid w:val="002865DD"/>
    <w:rsid w:val="00293988"/>
    <w:rsid w:val="00293E84"/>
    <w:rsid w:val="002946C2"/>
    <w:rsid w:val="002B5F3B"/>
    <w:rsid w:val="002C2B02"/>
    <w:rsid w:val="002C6DA0"/>
    <w:rsid w:val="002D3F4A"/>
    <w:rsid w:val="002D6C53"/>
    <w:rsid w:val="002E580D"/>
    <w:rsid w:val="002E70C9"/>
    <w:rsid w:val="002E7919"/>
    <w:rsid w:val="002F14A1"/>
    <w:rsid w:val="002F7781"/>
    <w:rsid w:val="003201DB"/>
    <w:rsid w:val="00327816"/>
    <w:rsid w:val="0033071D"/>
    <w:rsid w:val="00334515"/>
    <w:rsid w:val="003430F0"/>
    <w:rsid w:val="00345AF2"/>
    <w:rsid w:val="003460FE"/>
    <w:rsid w:val="0035213B"/>
    <w:rsid w:val="003576AD"/>
    <w:rsid w:val="00357D39"/>
    <w:rsid w:val="00357D4B"/>
    <w:rsid w:val="0036281C"/>
    <w:rsid w:val="00374D28"/>
    <w:rsid w:val="003769BE"/>
    <w:rsid w:val="00377FE2"/>
    <w:rsid w:val="0038304D"/>
    <w:rsid w:val="00391309"/>
    <w:rsid w:val="00392391"/>
    <w:rsid w:val="0039263C"/>
    <w:rsid w:val="0039326E"/>
    <w:rsid w:val="00397580"/>
    <w:rsid w:val="003A21DE"/>
    <w:rsid w:val="003A6805"/>
    <w:rsid w:val="003A7B18"/>
    <w:rsid w:val="003B0BB4"/>
    <w:rsid w:val="003B32B9"/>
    <w:rsid w:val="003B3CB1"/>
    <w:rsid w:val="003B66F7"/>
    <w:rsid w:val="003C4746"/>
    <w:rsid w:val="003D03FF"/>
    <w:rsid w:val="003D55AB"/>
    <w:rsid w:val="003E5D59"/>
    <w:rsid w:val="00407596"/>
    <w:rsid w:val="00413D25"/>
    <w:rsid w:val="004203B0"/>
    <w:rsid w:val="00422992"/>
    <w:rsid w:val="00423F3C"/>
    <w:rsid w:val="0042586D"/>
    <w:rsid w:val="004262BD"/>
    <w:rsid w:val="0043041C"/>
    <w:rsid w:val="00447706"/>
    <w:rsid w:val="00456F58"/>
    <w:rsid w:val="00462667"/>
    <w:rsid w:val="00471158"/>
    <w:rsid w:val="0047453F"/>
    <w:rsid w:val="004830D8"/>
    <w:rsid w:val="004857ED"/>
    <w:rsid w:val="00486074"/>
    <w:rsid w:val="00496175"/>
    <w:rsid w:val="004C0421"/>
    <w:rsid w:val="004D0710"/>
    <w:rsid w:val="004E04F6"/>
    <w:rsid w:val="004E5900"/>
    <w:rsid w:val="004E6815"/>
    <w:rsid w:val="004F0F60"/>
    <w:rsid w:val="00500C0B"/>
    <w:rsid w:val="0051470C"/>
    <w:rsid w:val="00516212"/>
    <w:rsid w:val="005204CD"/>
    <w:rsid w:val="0052480D"/>
    <w:rsid w:val="005310D3"/>
    <w:rsid w:val="00534CE3"/>
    <w:rsid w:val="00545E82"/>
    <w:rsid w:val="005468BC"/>
    <w:rsid w:val="0055182A"/>
    <w:rsid w:val="00555040"/>
    <w:rsid w:val="00561D20"/>
    <w:rsid w:val="005645D0"/>
    <w:rsid w:val="005647AF"/>
    <w:rsid w:val="00565247"/>
    <w:rsid w:val="00565DC7"/>
    <w:rsid w:val="005668D3"/>
    <w:rsid w:val="005918CE"/>
    <w:rsid w:val="0059270F"/>
    <w:rsid w:val="00595B33"/>
    <w:rsid w:val="0059649C"/>
    <w:rsid w:val="005A3AFC"/>
    <w:rsid w:val="005A59C7"/>
    <w:rsid w:val="005A774B"/>
    <w:rsid w:val="005A7F87"/>
    <w:rsid w:val="005C1C5F"/>
    <w:rsid w:val="005C2BD5"/>
    <w:rsid w:val="005C786A"/>
    <w:rsid w:val="005D664A"/>
    <w:rsid w:val="005D737C"/>
    <w:rsid w:val="005E6F0F"/>
    <w:rsid w:val="005F29A6"/>
    <w:rsid w:val="005F70C5"/>
    <w:rsid w:val="006046DF"/>
    <w:rsid w:val="0060589B"/>
    <w:rsid w:val="006079E6"/>
    <w:rsid w:val="00613A3C"/>
    <w:rsid w:val="0062065A"/>
    <w:rsid w:val="00625DF6"/>
    <w:rsid w:val="0062611C"/>
    <w:rsid w:val="00627C65"/>
    <w:rsid w:val="00632669"/>
    <w:rsid w:val="00633ED1"/>
    <w:rsid w:val="00682D59"/>
    <w:rsid w:val="006857FA"/>
    <w:rsid w:val="00685C73"/>
    <w:rsid w:val="00692DCB"/>
    <w:rsid w:val="006933F4"/>
    <w:rsid w:val="00696937"/>
    <w:rsid w:val="00697B88"/>
    <w:rsid w:val="006A2427"/>
    <w:rsid w:val="006A6A92"/>
    <w:rsid w:val="006A73F6"/>
    <w:rsid w:val="006B49A6"/>
    <w:rsid w:val="006C00B0"/>
    <w:rsid w:val="006C3104"/>
    <w:rsid w:val="006C6166"/>
    <w:rsid w:val="006E0DFE"/>
    <w:rsid w:val="006E3C81"/>
    <w:rsid w:val="006F29D5"/>
    <w:rsid w:val="006F6A20"/>
    <w:rsid w:val="007027D6"/>
    <w:rsid w:val="00707CC5"/>
    <w:rsid w:val="0071221D"/>
    <w:rsid w:val="007309DA"/>
    <w:rsid w:val="00731D16"/>
    <w:rsid w:val="00733C9E"/>
    <w:rsid w:val="00736209"/>
    <w:rsid w:val="00750957"/>
    <w:rsid w:val="00751E24"/>
    <w:rsid w:val="007658CD"/>
    <w:rsid w:val="00771B0B"/>
    <w:rsid w:val="007732F9"/>
    <w:rsid w:val="0078163D"/>
    <w:rsid w:val="00783310"/>
    <w:rsid w:val="00783316"/>
    <w:rsid w:val="00786828"/>
    <w:rsid w:val="0078725C"/>
    <w:rsid w:val="00790E90"/>
    <w:rsid w:val="0079712E"/>
    <w:rsid w:val="007A2DE2"/>
    <w:rsid w:val="007A572A"/>
    <w:rsid w:val="007A74C6"/>
    <w:rsid w:val="007C055C"/>
    <w:rsid w:val="007C21AE"/>
    <w:rsid w:val="007C36B7"/>
    <w:rsid w:val="007C6879"/>
    <w:rsid w:val="007D0FBF"/>
    <w:rsid w:val="007D5C4B"/>
    <w:rsid w:val="007E634B"/>
    <w:rsid w:val="007F24F5"/>
    <w:rsid w:val="00805FAC"/>
    <w:rsid w:val="00806A22"/>
    <w:rsid w:val="00806B28"/>
    <w:rsid w:val="00806EB9"/>
    <w:rsid w:val="0082059F"/>
    <w:rsid w:val="00822585"/>
    <w:rsid w:val="0082269E"/>
    <w:rsid w:val="008239D3"/>
    <w:rsid w:val="0083054E"/>
    <w:rsid w:val="0083779C"/>
    <w:rsid w:val="00857FA6"/>
    <w:rsid w:val="0086391F"/>
    <w:rsid w:val="00867C30"/>
    <w:rsid w:val="00872C16"/>
    <w:rsid w:val="0088254A"/>
    <w:rsid w:val="008838EE"/>
    <w:rsid w:val="00885DBD"/>
    <w:rsid w:val="00886515"/>
    <w:rsid w:val="008A11FA"/>
    <w:rsid w:val="008B4C04"/>
    <w:rsid w:val="008D152B"/>
    <w:rsid w:val="008D485B"/>
    <w:rsid w:val="008D5068"/>
    <w:rsid w:val="008E762A"/>
    <w:rsid w:val="008F283B"/>
    <w:rsid w:val="008F3532"/>
    <w:rsid w:val="00904539"/>
    <w:rsid w:val="00912837"/>
    <w:rsid w:val="00920DA5"/>
    <w:rsid w:val="00922BE5"/>
    <w:rsid w:val="00926812"/>
    <w:rsid w:val="009303D0"/>
    <w:rsid w:val="00931AE4"/>
    <w:rsid w:val="00941E56"/>
    <w:rsid w:val="0094640F"/>
    <w:rsid w:val="009551E0"/>
    <w:rsid w:val="00955DEA"/>
    <w:rsid w:val="00961FD4"/>
    <w:rsid w:val="00977C28"/>
    <w:rsid w:val="009814C5"/>
    <w:rsid w:val="009852A8"/>
    <w:rsid w:val="009864E3"/>
    <w:rsid w:val="00995937"/>
    <w:rsid w:val="009A1BCF"/>
    <w:rsid w:val="009A2235"/>
    <w:rsid w:val="009B718D"/>
    <w:rsid w:val="009C0636"/>
    <w:rsid w:val="009C2609"/>
    <w:rsid w:val="009C47EB"/>
    <w:rsid w:val="009C6077"/>
    <w:rsid w:val="009D080D"/>
    <w:rsid w:val="009D0AAE"/>
    <w:rsid w:val="009D499C"/>
    <w:rsid w:val="009D6070"/>
    <w:rsid w:val="009E2F88"/>
    <w:rsid w:val="009E5B4B"/>
    <w:rsid w:val="00A053B0"/>
    <w:rsid w:val="00A31955"/>
    <w:rsid w:val="00A354C2"/>
    <w:rsid w:val="00A43F9B"/>
    <w:rsid w:val="00A44A88"/>
    <w:rsid w:val="00A55AB0"/>
    <w:rsid w:val="00A64FCD"/>
    <w:rsid w:val="00A678F0"/>
    <w:rsid w:val="00A77224"/>
    <w:rsid w:val="00A80CE7"/>
    <w:rsid w:val="00A8233F"/>
    <w:rsid w:val="00A9077F"/>
    <w:rsid w:val="00A93239"/>
    <w:rsid w:val="00AA0FD6"/>
    <w:rsid w:val="00AA7E4C"/>
    <w:rsid w:val="00AB3350"/>
    <w:rsid w:val="00AB71BA"/>
    <w:rsid w:val="00AD1DF2"/>
    <w:rsid w:val="00AF42B8"/>
    <w:rsid w:val="00AF6AE1"/>
    <w:rsid w:val="00B017FF"/>
    <w:rsid w:val="00B03865"/>
    <w:rsid w:val="00B0390E"/>
    <w:rsid w:val="00B040E4"/>
    <w:rsid w:val="00B04C1B"/>
    <w:rsid w:val="00B06B02"/>
    <w:rsid w:val="00B10656"/>
    <w:rsid w:val="00B1465E"/>
    <w:rsid w:val="00B20FB0"/>
    <w:rsid w:val="00B21DB4"/>
    <w:rsid w:val="00B24556"/>
    <w:rsid w:val="00B24580"/>
    <w:rsid w:val="00B37410"/>
    <w:rsid w:val="00B37CDE"/>
    <w:rsid w:val="00B37E2B"/>
    <w:rsid w:val="00B55C8F"/>
    <w:rsid w:val="00B616FE"/>
    <w:rsid w:val="00B74D20"/>
    <w:rsid w:val="00B83636"/>
    <w:rsid w:val="00B83DCA"/>
    <w:rsid w:val="00B960C1"/>
    <w:rsid w:val="00BA55FE"/>
    <w:rsid w:val="00BA5E12"/>
    <w:rsid w:val="00BB7ABC"/>
    <w:rsid w:val="00BC35A4"/>
    <w:rsid w:val="00BC3B7B"/>
    <w:rsid w:val="00BD4633"/>
    <w:rsid w:val="00BE4538"/>
    <w:rsid w:val="00BF0757"/>
    <w:rsid w:val="00BF7AAE"/>
    <w:rsid w:val="00C01696"/>
    <w:rsid w:val="00C01A10"/>
    <w:rsid w:val="00C05933"/>
    <w:rsid w:val="00C20D8E"/>
    <w:rsid w:val="00C20E2D"/>
    <w:rsid w:val="00C25238"/>
    <w:rsid w:val="00C32AFC"/>
    <w:rsid w:val="00C3347B"/>
    <w:rsid w:val="00C33DAF"/>
    <w:rsid w:val="00C50CB0"/>
    <w:rsid w:val="00C5131C"/>
    <w:rsid w:val="00C5477D"/>
    <w:rsid w:val="00C6251D"/>
    <w:rsid w:val="00C81403"/>
    <w:rsid w:val="00C83B7B"/>
    <w:rsid w:val="00C95487"/>
    <w:rsid w:val="00CA46E7"/>
    <w:rsid w:val="00CA5A04"/>
    <w:rsid w:val="00CB2D76"/>
    <w:rsid w:val="00CC00C3"/>
    <w:rsid w:val="00CC28BF"/>
    <w:rsid w:val="00CC560C"/>
    <w:rsid w:val="00CE004C"/>
    <w:rsid w:val="00CE0CB3"/>
    <w:rsid w:val="00CE2838"/>
    <w:rsid w:val="00CE31CB"/>
    <w:rsid w:val="00CF6A9C"/>
    <w:rsid w:val="00D0134D"/>
    <w:rsid w:val="00D01D3C"/>
    <w:rsid w:val="00D14A05"/>
    <w:rsid w:val="00D1544C"/>
    <w:rsid w:val="00D20CB5"/>
    <w:rsid w:val="00D22A33"/>
    <w:rsid w:val="00D22ACC"/>
    <w:rsid w:val="00D23FE8"/>
    <w:rsid w:val="00D27DA9"/>
    <w:rsid w:val="00D3242D"/>
    <w:rsid w:val="00D54CC9"/>
    <w:rsid w:val="00D615A4"/>
    <w:rsid w:val="00D65CB0"/>
    <w:rsid w:val="00D7543E"/>
    <w:rsid w:val="00D83730"/>
    <w:rsid w:val="00D916CE"/>
    <w:rsid w:val="00D923A5"/>
    <w:rsid w:val="00D93041"/>
    <w:rsid w:val="00DA48E6"/>
    <w:rsid w:val="00DA490B"/>
    <w:rsid w:val="00DB0615"/>
    <w:rsid w:val="00DC096A"/>
    <w:rsid w:val="00DC20C9"/>
    <w:rsid w:val="00DC621B"/>
    <w:rsid w:val="00DD6E91"/>
    <w:rsid w:val="00DF5887"/>
    <w:rsid w:val="00E01B17"/>
    <w:rsid w:val="00E04515"/>
    <w:rsid w:val="00E14213"/>
    <w:rsid w:val="00E315DF"/>
    <w:rsid w:val="00E416B3"/>
    <w:rsid w:val="00E42DE4"/>
    <w:rsid w:val="00E467EB"/>
    <w:rsid w:val="00E47C98"/>
    <w:rsid w:val="00E52687"/>
    <w:rsid w:val="00E556FF"/>
    <w:rsid w:val="00E5737C"/>
    <w:rsid w:val="00E70B2D"/>
    <w:rsid w:val="00E7228C"/>
    <w:rsid w:val="00E84C11"/>
    <w:rsid w:val="00E90DA6"/>
    <w:rsid w:val="00E91AB6"/>
    <w:rsid w:val="00E95985"/>
    <w:rsid w:val="00E96DA9"/>
    <w:rsid w:val="00EA5D55"/>
    <w:rsid w:val="00EA69E3"/>
    <w:rsid w:val="00EC0978"/>
    <w:rsid w:val="00ED3509"/>
    <w:rsid w:val="00ED4924"/>
    <w:rsid w:val="00EF574C"/>
    <w:rsid w:val="00F031CD"/>
    <w:rsid w:val="00F07077"/>
    <w:rsid w:val="00F1411E"/>
    <w:rsid w:val="00F32657"/>
    <w:rsid w:val="00F36EFD"/>
    <w:rsid w:val="00F4088D"/>
    <w:rsid w:val="00F416AA"/>
    <w:rsid w:val="00F53BFC"/>
    <w:rsid w:val="00F544EB"/>
    <w:rsid w:val="00F55B76"/>
    <w:rsid w:val="00F56E47"/>
    <w:rsid w:val="00F577AA"/>
    <w:rsid w:val="00F8239C"/>
    <w:rsid w:val="00F83ED4"/>
    <w:rsid w:val="00F90620"/>
    <w:rsid w:val="00F91FA1"/>
    <w:rsid w:val="00FA0CCE"/>
    <w:rsid w:val="00FB02D9"/>
    <w:rsid w:val="00FB5D49"/>
    <w:rsid w:val="00FC0F4E"/>
    <w:rsid w:val="00FC15FB"/>
    <w:rsid w:val="00FD5BD2"/>
    <w:rsid w:val="00FE0950"/>
    <w:rsid w:val="00FE12C4"/>
    <w:rsid w:val="00FE156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pPr>
        <w:spacing w:after="16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69E"/>
    <w:pPr>
      <w:ind w:left="720"/>
      <w:contextualSpacing/>
    </w:pPr>
  </w:style>
  <w:style w:type="paragraph" w:styleId="BalloonText">
    <w:name w:val="Balloon Text"/>
    <w:basedOn w:val="Normal"/>
    <w:link w:val="BalloonTextChar"/>
    <w:uiPriority w:val="99"/>
    <w:semiHidden/>
    <w:unhideWhenUsed/>
    <w:rsid w:val="00240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95"/>
    <w:rPr>
      <w:rFonts w:ascii="Segoe UI" w:hAnsi="Segoe UI" w:cs="Segoe UI"/>
      <w:sz w:val="18"/>
      <w:szCs w:val="18"/>
    </w:rPr>
  </w:style>
  <w:style w:type="character" w:styleId="Hyperlink">
    <w:name w:val="Hyperlink"/>
    <w:basedOn w:val="DefaultParagraphFont"/>
    <w:uiPriority w:val="99"/>
    <w:unhideWhenUsed/>
    <w:rsid w:val="00413D25"/>
    <w:rPr>
      <w:color w:val="0563C1" w:themeColor="hyperlink"/>
      <w:u w:val="single"/>
    </w:rPr>
  </w:style>
  <w:style w:type="paragraph" w:styleId="Header">
    <w:name w:val="header"/>
    <w:basedOn w:val="Normal"/>
    <w:link w:val="HeaderChar"/>
    <w:uiPriority w:val="99"/>
    <w:unhideWhenUsed/>
    <w:rsid w:val="006933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3F4"/>
  </w:style>
  <w:style w:type="paragraph" w:styleId="Footer">
    <w:name w:val="footer"/>
    <w:basedOn w:val="Normal"/>
    <w:link w:val="FooterChar"/>
    <w:uiPriority w:val="99"/>
    <w:unhideWhenUsed/>
    <w:rsid w:val="006933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3F4"/>
  </w:style>
  <w:style w:type="character" w:styleId="FollowedHyperlink">
    <w:name w:val="FollowedHyperlink"/>
    <w:basedOn w:val="DefaultParagraphFont"/>
    <w:uiPriority w:val="99"/>
    <w:semiHidden/>
    <w:unhideWhenUsed/>
    <w:rsid w:val="001E724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pPr>
        <w:spacing w:after="16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69E"/>
    <w:pPr>
      <w:ind w:left="720"/>
      <w:contextualSpacing/>
    </w:pPr>
  </w:style>
  <w:style w:type="paragraph" w:styleId="BalloonText">
    <w:name w:val="Balloon Text"/>
    <w:basedOn w:val="Normal"/>
    <w:link w:val="BalloonTextChar"/>
    <w:uiPriority w:val="99"/>
    <w:semiHidden/>
    <w:unhideWhenUsed/>
    <w:rsid w:val="00240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95"/>
    <w:rPr>
      <w:rFonts w:ascii="Segoe UI" w:hAnsi="Segoe UI" w:cs="Segoe UI"/>
      <w:sz w:val="18"/>
      <w:szCs w:val="18"/>
    </w:rPr>
  </w:style>
  <w:style w:type="character" w:styleId="Hyperlink">
    <w:name w:val="Hyperlink"/>
    <w:basedOn w:val="DefaultParagraphFont"/>
    <w:uiPriority w:val="99"/>
    <w:unhideWhenUsed/>
    <w:rsid w:val="00413D25"/>
    <w:rPr>
      <w:color w:val="0563C1" w:themeColor="hyperlink"/>
      <w:u w:val="single"/>
    </w:rPr>
  </w:style>
  <w:style w:type="paragraph" w:styleId="Header">
    <w:name w:val="header"/>
    <w:basedOn w:val="Normal"/>
    <w:link w:val="HeaderChar"/>
    <w:uiPriority w:val="99"/>
    <w:unhideWhenUsed/>
    <w:rsid w:val="006933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3F4"/>
  </w:style>
  <w:style w:type="paragraph" w:styleId="Footer">
    <w:name w:val="footer"/>
    <w:basedOn w:val="Normal"/>
    <w:link w:val="FooterChar"/>
    <w:uiPriority w:val="99"/>
    <w:unhideWhenUsed/>
    <w:rsid w:val="006933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3F4"/>
  </w:style>
  <w:style w:type="character" w:styleId="FollowedHyperlink">
    <w:name w:val="FollowedHyperlink"/>
    <w:basedOn w:val="DefaultParagraphFont"/>
    <w:uiPriority w:val="99"/>
    <w:semiHidden/>
    <w:unhideWhenUsed/>
    <w:rsid w:val="001E7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366770">
      <w:bodyDiv w:val="1"/>
      <w:marLeft w:val="0"/>
      <w:marRight w:val="0"/>
      <w:marTop w:val="0"/>
      <w:marBottom w:val="0"/>
      <w:divBdr>
        <w:top w:val="none" w:sz="0" w:space="0" w:color="auto"/>
        <w:left w:val="none" w:sz="0" w:space="0" w:color="auto"/>
        <w:bottom w:val="none" w:sz="0" w:space="0" w:color="auto"/>
        <w:right w:val="none" w:sz="0" w:space="0" w:color="auto"/>
      </w:divBdr>
    </w:div>
    <w:div w:id="20751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A461-408E-C542-B0ED-87452664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2409</Words>
  <Characters>13734</Characters>
  <Application>Microsoft Macintosh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NA MA</cp:lastModifiedBy>
  <cp:revision>2</cp:revision>
  <cp:lastPrinted>2015-02-17T09:56:00Z</cp:lastPrinted>
  <dcterms:created xsi:type="dcterms:W3CDTF">2015-04-02T22:37:00Z</dcterms:created>
  <dcterms:modified xsi:type="dcterms:W3CDTF">2015-04-02T22:37:00Z</dcterms:modified>
</cp:coreProperties>
</file>