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77" w:rsidRPr="00712F63" w:rsidRDefault="00951777" w:rsidP="00785D97">
      <w:pPr>
        <w:spacing w:after="0" w:line="360" w:lineRule="auto"/>
        <w:jc w:val="both"/>
        <w:rPr>
          <w:rFonts w:ascii="Book Antiqua" w:hAnsi="Book Antiqua" w:cs="Tahoma"/>
          <w:b/>
          <w:color w:val="000000"/>
          <w:sz w:val="24"/>
        </w:rPr>
      </w:pPr>
      <w:bookmarkStart w:id="0" w:name="OLE_LINK507"/>
      <w:bookmarkStart w:id="1" w:name="OLE_LINK508"/>
      <w:r w:rsidRPr="00712F63">
        <w:rPr>
          <w:rFonts w:ascii="Book Antiqua" w:hAnsi="Book Antiqua" w:cs="Tahoma"/>
          <w:b/>
          <w:color w:val="0000FF"/>
          <w:sz w:val="24"/>
        </w:rPr>
        <w:t xml:space="preserve">Name of journal: </w:t>
      </w:r>
      <w:r w:rsidRPr="00712F63">
        <w:rPr>
          <w:rFonts w:ascii="Book Antiqua" w:hAnsi="Book Antiqua" w:cs="Tahoma"/>
          <w:b/>
          <w:color w:val="000000"/>
          <w:sz w:val="24"/>
        </w:rPr>
        <w:t>World Journal of Gastroenterology</w:t>
      </w:r>
    </w:p>
    <w:p w:rsidR="00951777" w:rsidRPr="00712F63" w:rsidRDefault="00951777" w:rsidP="00785D97">
      <w:pPr>
        <w:spacing w:after="0" w:line="360" w:lineRule="auto"/>
        <w:jc w:val="both"/>
        <w:rPr>
          <w:rFonts w:ascii="Book Antiqua" w:hAnsi="Book Antiqua" w:cs="Tahoma"/>
          <w:b/>
          <w:color w:val="0000FF"/>
          <w:sz w:val="24"/>
          <w:lang w:eastAsia="zh-CN"/>
        </w:rPr>
      </w:pPr>
      <w:r w:rsidRPr="00712F63">
        <w:rPr>
          <w:rFonts w:ascii="Book Antiqua" w:hAnsi="Book Antiqua" w:cs="Tahoma"/>
          <w:b/>
          <w:color w:val="0000FF"/>
          <w:sz w:val="24"/>
        </w:rPr>
        <w:t>ESPS Manuscript NO:</w:t>
      </w:r>
      <w:r>
        <w:rPr>
          <w:rFonts w:ascii="Book Antiqua" w:hAnsi="Book Antiqua" w:cs="Tahoma" w:hint="eastAsia"/>
          <w:b/>
          <w:color w:val="0000FF"/>
          <w:sz w:val="24"/>
        </w:rPr>
        <w:t xml:space="preserve"> </w:t>
      </w:r>
      <w:r>
        <w:rPr>
          <w:rFonts w:ascii="Book Antiqua" w:hAnsi="Book Antiqua" w:cs="Tahoma" w:hint="eastAsia"/>
          <w:b/>
          <w:color w:val="0000FF"/>
          <w:sz w:val="24"/>
          <w:lang w:eastAsia="zh-CN"/>
        </w:rPr>
        <w:t>15957</w:t>
      </w:r>
    </w:p>
    <w:p w:rsidR="00951777" w:rsidRDefault="00951777" w:rsidP="00785D97">
      <w:pPr>
        <w:spacing w:after="0" w:line="360" w:lineRule="auto"/>
        <w:jc w:val="both"/>
        <w:rPr>
          <w:rFonts w:ascii="Book Antiqua" w:hAnsi="Book Antiqua"/>
          <w:b/>
          <w:lang w:eastAsia="zh-CN"/>
        </w:rPr>
      </w:pPr>
      <w:r w:rsidRPr="00712F63">
        <w:rPr>
          <w:rFonts w:ascii="Book Antiqua" w:hAnsi="Book Antiqua" w:cs="Tahoma"/>
          <w:b/>
          <w:color w:val="0000FF"/>
          <w:sz w:val="24"/>
        </w:rPr>
        <w:t>Columns:</w:t>
      </w:r>
      <w:r w:rsidR="00A926F8">
        <w:rPr>
          <w:rFonts w:ascii="Book Antiqua" w:hAnsi="Book Antiqua"/>
          <w:b/>
        </w:rPr>
        <w:t xml:space="preserve"> ORIGINAL ARTICLE</w:t>
      </w:r>
    </w:p>
    <w:p w:rsidR="00951777" w:rsidRDefault="00951777" w:rsidP="00785D97">
      <w:pPr>
        <w:spacing w:after="0" w:line="360" w:lineRule="auto"/>
        <w:jc w:val="both"/>
        <w:rPr>
          <w:rFonts w:ascii="Book Antiqua" w:hAnsi="Book Antiqua"/>
          <w:b/>
          <w:lang w:eastAsia="zh-CN"/>
        </w:rPr>
      </w:pPr>
    </w:p>
    <w:p w:rsidR="00951777" w:rsidRPr="00951777" w:rsidRDefault="00951777" w:rsidP="00785D97">
      <w:pPr>
        <w:spacing w:after="0" w:line="360" w:lineRule="auto"/>
        <w:jc w:val="both"/>
        <w:rPr>
          <w:rFonts w:ascii="Book Antiqua" w:hAnsi="Book Antiqua"/>
          <w:b/>
          <w:i/>
          <w:lang w:eastAsia="zh-CN"/>
        </w:rPr>
      </w:pPr>
      <w:r w:rsidRPr="00951777">
        <w:rPr>
          <w:rFonts w:ascii="Book Antiqua" w:hAnsi="Book Antiqua"/>
          <w:b/>
          <w:i/>
          <w:lang w:eastAsia="zh-CN"/>
        </w:rPr>
        <w:t>Randomized Clinical Trial</w:t>
      </w:r>
    </w:p>
    <w:bookmarkEnd w:id="0"/>
    <w:bookmarkEnd w:id="1"/>
    <w:p w:rsidR="00C071D1" w:rsidRDefault="00C071D1" w:rsidP="00785D97">
      <w:pPr>
        <w:spacing w:after="0" w:line="360" w:lineRule="auto"/>
        <w:jc w:val="both"/>
        <w:rPr>
          <w:rFonts w:ascii="Book Antiqua" w:hAnsi="Book Antiqua"/>
          <w:b/>
          <w:sz w:val="24"/>
          <w:szCs w:val="24"/>
          <w:lang w:eastAsia="zh-CN"/>
        </w:rPr>
      </w:pPr>
      <w:r w:rsidRPr="00951777">
        <w:rPr>
          <w:rFonts w:ascii="Book Antiqua" w:hAnsi="Book Antiqua"/>
          <w:b/>
          <w:sz w:val="24"/>
          <w:szCs w:val="24"/>
        </w:rPr>
        <w:t>Gastrointestinal perforation in metastatic colorectal cancer patients with peritoneal m</w:t>
      </w:r>
      <w:r w:rsidR="00951777" w:rsidRPr="00951777">
        <w:rPr>
          <w:rFonts w:ascii="Book Antiqua" w:hAnsi="Book Antiqua"/>
          <w:b/>
          <w:sz w:val="24"/>
          <w:szCs w:val="24"/>
        </w:rPr>
        <w:t xml:space="preserve">etastases receiving </w:t>
      </w:r>
      <w:proofErr w:type="spellStart"/>
      <w:r w:rsidR="00951777" w:rsidRPr="00951777">
        <w:rPr>
          <w:rFonts w:ascii="Book Antiqua" w:hAnsi="Book Antiqua"/>
          <w:b/>
          <w:sz w:val="24"/>
          <w:szCs w:val="24"/>
        </w:rPr>
        <w:t>bevacizumab</w:t>
      </w:r>
      <w:proofErr w:type="spellEnd"/>
    </w:p>
    <w:p w:rsidR="00951777" w:rsidRDefault="00951777" w:rsidP="00785D97">
      <w:pPr>
        <w:spacing w:after="0" w:line="360" w:lineRule="auto"/>
        <w:jc w:val="both"/>
        <w:rPr>
          <w:rFonts w:ascii="Book Antiqua" w:hAnsi="Book Antiqua"/>
          <w:b/>
          <w:sz w:val="24"/>
          <w:szCs w:val="24"/>
          <w:lang w:eastAsia="zh-CN"/>
        </w:rPr>
      </w:pPr>
    </w:p>
    <w:p w:rsidR="00951777" w:rsidRDefault="00A926F8" w:rsidP="00785D97">
      <w:pPr>
        <w:spacing w:after="0" w:line="360" w:lineRule="auto"/>
        <w:jc w:val="both"/>
        <w:rPr>
          <w:rFonts w:ascii="Book Antiqua" w:hAnsi="Book Antiqua"/>
          <w:sz w:val="24"/>
          <w:szCs w:val="24"/>
          <w:lang w:eastAsia="zh-CN"/>
        </w:rPr>
      </w:pPr>
      <w:proofErr w:type="spellStart"/>
      <w:proofErr w:type="gramStart"/>
      <w:r w:rsidRPr="00951777">
        <w:rPr>
          <w:rFonts w:ascii="Book Antiqua" w:hAnsi="Book Antiqua"/>
          <w:sz w:val="24"/>
          <w:szCs w:val="24"/>
        </w:rPr>
        <w:t>Roohullah</w:t>
      </w:r>
      <w:proofErr w:type="spellEnd"/>
      <w:r w:rsidRPr="00951777">
        <w:rPr>
          <w:rFonts w:ascii="Book Antiqua" w:hAnsi="Book Antiqua"/>
          <w:sz w:val="24"/>
          <w:szCs w:val="24"/>
        </w:rPr>
        <w:t xml:space="preserve"> </w:t>
      </w:r>
      <w:r>
        <w:rPr>
          <w:rFonts w:ascii="Book Antiqua" w:hAnsi="Book Antiqua" w:hint="eastAsia"/>
          <w:sz w:val="24"/>
          <w:szCs w:val="24"/>
          <w:lang w:eastAsia="zh-CN"/>
        </w:rPr>
        <w:t xml:space="preserve"> A</w:t>
      </w:r>
      <w:proofErr w:type="gramEnd"/>
      <w:r w:rsidRPr="00A926F8">
        <w:rPr>
          <w:rFonts w:ascii="Book Antiqua" w:hAnsi="Book Antiqua" w:hint="eastAsia"/>
          <w:i/>
          <w:sz w:val="24"/>
          <w:szCs w:val="24"/>
          <w:lang w:eastAsia="zh-CN"/>
        </w:rPr>
        <w:t xml:space="preserve"> et al. </w:t>
      </w:r>
      <w:proofErr w:type="spellStart"/>
      <w:r w:rsidR="00951777" w:rsidRPr="00951777">
        <w:rPr>
          <w:rFonts w:ascii="Book Antiqua" w:hAnsi="Book Antiqua"/>
          <w:sz w:val="24"/>
          <w:szCs w:val="24"/>
        </w:rPr>
        <w:t>Bevacizumab</w:t>
      </w:r>
      <w:proofErr w:type="spellEnd"/>
      <w:r w:rsidR="00951777" w:rsidRPr="00951777">
        <w:rPr>
          <w:rFonts w:ascii="Book Antiqua" w:hAnsi="Book Antiqua"/>
          <w:sz w:val="24"/>
          <w:szCs w:val="24"/>
        </w:rPr>
        <w:t xml:space="preserve"> and peritoneal metastases from </w:t>
      </w:r>
      <w:r>
        <w:rPr>
          <w:rFonts w:ascii="Book Antiqua" w:hAnsi="Book Antiqua" w:hint="eastAsia"/>
          <w:sz w:val="24"/>
          <w:szCs w:val="24"/>
          <w:lang w:eastAsia="zh-CN"/>
        </w:rPr>
        <w:t>CRC</w:t>
      </w:r>
    </w:p>
    <w:p w:rsidR="00A926F8" w:rsidRPr="00A926F8" w:rsidRDefault="00A926F8" w:rsidP="00785D97">
      <w:pPr>
        <w:spacing w:after="0" w:line="360" w:lineRule="auto"/>
        <w:jc w:val="both"/>
        <w:rPr>
          <w:rFonts w:ascii="Book Antiqua" w:hAnsi="Book Antiqua"/>
          <w:sz w:val="24"/>
          <w:szCs w:val="24"/>
          <w:u w:val="single"/>
          <w:lang w:eastAsia="zh-CN"/>
        </w:rPr>
      </w:pPr>
    </w:p>
    <w:p w:rsidR="00C2324C" w:rsidRPr="00C2324C" w:rsidRDefault="00C071D1" w:rsidP="00785D97">
      <w:pPr>
        <w:spacing w:after="0" w:line="360" w:lineRule="auto"/>
        <w:jc w:val="both"/>
        <w:rPr>
          <w:rFonts w:ascii="Book Antiqua" w:hAnsi="Book Antiqua"/>
          <w:sz w:val="24"/>
          <w:szCs w:val="24"/>
          <w:lang w:eastAsia="zh-CN"/>
        </w:rPr>
      </w:pPr>
      <w:proofErr w:type="spellStart"/>
      <w:r w:rsidRPr="00951777">
        <w:rPr>
          <w:rFonts w:ascii="Book Antiqua" w:hAnsi="Book Antiqua"/>
          <w:sz w:val="24"/>
          <w:szCs w:val="24"/>
        </w:rPr>
        <w:t>Aflah</w:t>
      </w:r>
      <w:proofErr w:type="spellEnd"/>
      <w:r w:rsidRPr="00951777">
        <w:rPr>
          <w:rFonts w:ascii="Book Antiqua" w:hAnsi="Book Antiqua"/>
          <w:sz w:val="24"/>
          <w:szCs w:val="24"/>
        </w:rPr>
        <w:t xml:space="preserve"> </w:t>
      </w:r>
      <w:proofErr w:type="spellStart"/>
      <w:r w:rsidRPr="00951777">
        <w:rPr>
          <w:rFonts w:ascii="Book Antiqua" w:hAnsi="Book Antiqua"/>
          <w:sz w:val="24"/>
          <w:szCs w:val="24"/>
        </w:rPr>
        <w:t>Roohullah</w:t>
      </w:r>
      <w:proofErr w:type="spellEnd"/>
      <w:r w:rsidR="00785D97">
        <w:rPr>
          <w:rFonts w:ascii="Book Antiqua" w:hAnsi="Book Antiqua" w:hint="eastAsia"/>
          <w:sz w:val="24"/>
          <w:szCs w:val="24"/>
          <w:lang w:eastAsia="zh-CN"/>
        </w:rPr>
        <w:t>,</w:t>
      </w:r>
      <w:r w:rsidRPr="00951777">
        <w:rPr>
          <w:rFonts w:ascii="Book Antiqua" w:hAnsi="Book Antiqua"/>
          <w:sz w:val="24"/>
          <w:szCs w:val="24"/>
        </w:rPr>
        <w:t xml:space="preserve"> Hui-Li Wong</w:t>
      </w:r>
      <w:r w:rsidR="00785D97">
        <w:rPr>
          <w:rFonts w:ascii="Book Antiqua" w:hAnsi="Book Antiqua" w:hint="eastAsia"/>
          <w:sz w:val="24"/>
          <w:szCs w:val="24"/>
          <w:lang w:eastAsia="zh-CN"/>
        </w:rPr>
        <w:t>,</w:t>
      </w:r>
      <w:r w:rsidRPr="00951777">
        <w:rPr>
          <w:rFonts w:ascii="Book Antiqua" w:hAnsi="Book Antiqua"/>
          <w:sz w:val="24"/>
          <w:szCs w:val="24"/>
        </w:rPr>
        <w:t xml:space="preserve"> </w:t>
      </w:r>
      <w:proofErr w:type="spellStart"/>
      <w:r w:rsidRPr="00951777">
        <w:rPr>
          <w:rFonts w:ascii="Book Antiqua" w:hAnsi="Book Antiqua"/>
          <w:sz w:val="24"/>
          <w:szCs w:val="24"/>
        </w:rPr>
        <w:t>Katrin</w:t>
      </w:r>
      <w:proofErr w:type="spellEnd"/>
      <w:r w:rsidRPr="00951777">
        <w:rPr>
          <w:rFonts w:ascii="Book Antiqua" w:hAnsi="Book Antiqua"/>
          <w:sz w:val="24"/>
          <w:szCs w:val="24"/>
        </w:rPr>
        <w:t xml:space="preserve"> M </w:t>
      </w:r>
      <w:proofErr w:type="spellStart"/>
      <w:r w:rsidRPr="00951777">
        <w:rPr>
          <w:rFonts w:ascii="Book Antiqua" w:hAnsi="Book Antiqua"/>
          <w:sz w:val="24"/>
          <w:szCs w:val="24"/>
        </w:rPr>
        <w:t>Sjoquist</w:t>
      </w:r>
      <w:proofErr w:type="spellEnd"/>
      <w:r w:rsidR="00785D97">
        <w:rPr>
          <w:rFonts w:ascii="Book Antiqua" w:hAnsi="Book Antiqua" w:hint="eastAsia"/>
          <w:sz w:val="24"/>
          <w:szCs w:val="24"/>
          <w:lang w:eastAsia="zh-CN"/>
        </w:rPr>
        <w:t>,</w:t>
      </w:r>
      <w:r w:rsidRPr="00951777">
        <w:rPr>
          <w:rFonts w:ascii="Book Antiqua" w:hAnsi="Book Antiqua"/>
          <w:sz w:val="24"/>
          <w:szCs w:val="24"/>
        </w:rPr>
        <w:t xml:space="preserve"> Peter Gibbs</w:t>
      </w:r>
      <w:r w:rsidR="00785D97">
        <w:rPr>
          <w:rFonts w:ascii="Book Antiqua" w:hAnsi="Book Antiqua" w:hint="eastAsia"/>
          <w:sz w:val="24"/>
          <w:szCs w:val="24"/>
          <w:lang w:eastAsia="zh-CN"/>
        </w:rPr>
        <w:t>,</w:t>
      </w:r>
      <w:r w:rsidRPr="00951777">
        <w:rPr>
          <w:rFonts w:ascii="Book Antiqua" w:hAnsi="Book Antiqua"/>
          <w:i/>
          <w:sz w:val="24"/>
          <w:szCs w:val="24"/>
        </w:rPr>
        <w:t xml:space="preserve"> </w:t>
      </w:r>
      <w:r w:rsidRPr="00951777">
        <w:rPr>
          <w:rFonts w:ascii="Book Antiqua" w:hAnsi="Book Antiqua"/>
          <w:sz w:val="24"/>
          <w:szCs w:val="24"/>
        </w:rPr>
        <w:t>Kathryn Field</w:t>
      </w:r>
      <w:r w:rsidR="00785D97">
        <w:rPr>
          <w:rFonts w:ascii="Book Antiqua" w:hAnsi="Book Antiqua" w:hint="eastAsia"/>
          <w:sz w:val="24"/>
          <w:szCs w:val="24"/>
          <w:lang w:eastAsia="zh-CN"/>
        </w:rPr>
        <w:t>,</w:t>
      </w:r>
      <w:r w:rsidRPr="00951777">
        <w:rPr>
          <w:rFonts w:ascii="Book Antiqua" w:hAnsi="Book Antiqua"/>
          <w:sz w:val="24"/>
          <w:szCs w:val="24"/>
        </w:rPr>
        <w:t xml:space="preserve"> Ben Tran</w:t>
      </w:r>
      <w:r w:rsidR="00785D97">
        <w:rPr>
          <w:rFonts w:ascii="Book Antiqua" w:hAnsi="Book Antiqua" w:hint="eastAsia"/>
          <w:sz w:val="24"/>
          <w:szCs w:val="24"/>
          <w:lang w:eastAsia="zh-CN"/>
        </w:rPr>
        <w:t>,</w:t>
      </w:r>
      <w:r w:rsidRPr="00951777">
        <w:rPr>
          <w:rFonts w:ascii="Book Antiqua" w:hAnsi="Book Antiqua"/>
          <w:sz w:val="24"/>
          <w:szCs w:val="24"/>
        </w:rPr>
        <w:t xml:space="preserve"> Jeremy Shapiro</w:t>
      </w:r>
      <w:r w:rsidR="00785D97">
        <w:rPr>
          <w:rFonts w:ascii="Book Antiqua" w:hAnsi="Book Antiqua" w:hint="eastAsia"/>
          <w:sz w:val="24"/>
          <w:szCs w:val="24"/>
          <w:lang w:eastAsia="zh-CN"/>
        </w:rPr>
        <w:t>,</w:t>
      </w:r>
      <w:r w:rsidRPr="00951777">
        <w:rPr>
          <w:rFonts w:ascii="Book Antiqua" w:hAnsi="Book Antiqua"/>
          <w:sz w:val="24"/>
          <w:szCs w:val="24"/>
        </w:rPr>
        <w:t xml:space="preserve"> Joe </w:t>
      </w:r>
      <w:proofErr w:type="spellStart"/>
      <w:r w:rsidRPr="00951777">
        <w:rPr>
          <w:rFonts w:ascii="Book Antiqua" w:hAnsi="Book Antiqua"/>
          <w:sz w:val="24"/>
          <w:szCs w:val="24"/>
        </w:rPr>
        <w:t>Mckendrick</w:t>
      </w:r>
      <w:proofErr w:type="spellEnd"/>
      <w:r w:rsidR="00785D97">
        <w:rPr>
          <w:rFonts w:ascii="Book Antiqua" w:hAnsi="Book Antiqua" w:hint="eastAsia"/>
          <w:sz w:val="24"/>
          <w:szCs w:val="24"/>
          <w:lang w:eastAsia="zh-CN"/>
        </w:rPr>
        <w:t>,</w:t>
      </w:r>
      <w:r w:rsidRPr="00951777">
        <w:rPr>
          <w:rFonts w:ascii="Book Antiqua" w:hAnsi="Book Antiqua"/>
          <w:sz w:val="24"/>
          <w:szCs w:val="24"/>
        </w:rPr>
        <w:t xml:space="preserve"> Desmond Yip</w:t>
      </w:r>
      <w:r w:rsidR="00785D97">
        <w:rPr>
          <w:rFonts w:ascii="Book Antiqua" w:hAnsi="Book Antiqua" w:hint="eastAsia"/>
          <w:sz w:val="24"/>
          <w:szCs w:val="24"/>
          <w:lang w:eastAsia="zh-CN"/>
        </w:rPr>
        <w:t>,</w:t>
      </w:r>
      <w:r w:rsidRPr="00951777">
        <w:rPr>
          <w:rFonts w:ascii="Book Antiqua" w:hAnsi="Book Antiqua"/>
          <w:sz w:val="24"/>
          <w:szCs w:val="24"/>
        </w:rPr>
        <w:t xml:space="preserve"> Louise Nott</w:t>
      </w:r>
      <w:r w:rsidR="00785D97">
        <w:rPr>
          <w:rFonts w:ascii="Book Antiqua" w:hAnsi="Book Antiqua" w:hint="eastAsia"/>
          <w:sz w:val="24"/>
          <w:szCs w:val="24"/>
          <w:lang w:eastAsia="zh-CN"/>
        </w:rPr>
        <w:t>,</w:t>
      </w:r>
      <w:r w:rsidRPr="00951777">
        <w:rPr>
          <w:rFonts w:ascii="Book Antiqua" w:hAnsi="Book Antiqua"/>
          <w:sz w:val="24"/>
          <w:szCs w:val="24"/>
        </w:rPr>
        <w:t xml:space="preserve"> Val </w:t>
      </w:r>
      <w:proofErr w:type="spellStart"/>
      <w:r w:rsidRPr="00951777">
        <w:rPr>
          <w:rFonts w:ascii="Book Antiqua" w:hAnsi="Book Antiqua"/>
          <w:sz w:val="24"/>
          <w:szCs w:val="24"/>
        </w:rPr>
        <w:t>Gebski</w:t>
      </w:r>
      <w:proofErr w:type="spellEnd"/>
      <w:r w:rsidR="00785D97">
        <w:rPr>
          <w:rFonts w:ascii="Book Antiqua" w:hAnsi="Book Antiqua" w:hint="eastAsia"/>
          <w:sz w:val="24"/>
          <w:szCs w:val="24"/>
          <w:lang w:eastAsia="zh-CN"/>
        </w:rPr>
        <w:t>,</w:t>
      </w:r>
      <w:r w:rsidRPr="00951777">
        <w:rPr>
          <w:rFonts w:ascii="Book Antiqua" w:hAnsi="Book Antiqua"/>
          <w:sz w:val="24"/>
          <w:szCs w:val="24"/>
        </w:rPr>
        <w:t xml:space="preserve"> </w:t>
      </w:r>
      <w:proofErr w:type="spellStart"/>
      <w:r w:rsidRPr="00951777">
        <w:rPr>
          <w:rFonts w:ascii="Book Antiqua" w:hAnsi="Book Antiqua"/>
          <w:sz w:val="24"/>
          <w:szCs w:val="24"/>
        </w:rPr>
        <w:t>Weng</w:t>
      </w:r>
      <w:proofErr w:type="spellEnd"/>
      <w:r w:rsidRPr="00951777">
        <w:rPr>
          <w:rFonts w:ascii="Book Antiqua" w:hAnsi="Book Antiqua"/>
          <w:sz w:val="24"/>
          <w:szCs w:val="24"/>
        </w:rPr>
        <w:t xml:space="preserve"> Ng</w:t>
      </w:r>
      <w:r w:rsidR="00785D97">
        <w:rPr>
          <w:rFonts w:ascii="Book Antiqua" w:hAnsi="Book Antiqua" w:hint="eastAsia"/>
          <w:sz w:val="24"/>
          <w:szCs w:val="24"/>
          <w:lang w:eastAsia="zh-CN"/>
        </w:rPr>
        <w:t>,</w:t>
      </w:r>
      <w:r w:rsidRPr="00951777">
        <w:rPr>
          <w:rFonts w:ascii="Book Antiqua" w:hAnsi="Book Antiqua"/>
          <w:sz w:val="24"/>
          <w:szCs w:val="24"/>
        </w:rPr>
        <w:t xml:space="preserve"> Wei Chua</w:t>
      </w:r>
      <w:r w:rsidR="00785D97">
        <w:rPr>
          <w:rFonts w:ascii="Book Antiqua" w:hAnsi="Book Antiqua" w:hint="eastAsia"/>
          <w:sz w:val="24"/>
          <w:szCs w:val="24"/>
          <w:lang w:eastAsia="zh-CN"/>
        </w:rPr>
        <w:t xml:space="preserve">, </w:t>
      </w:r>
      <w:r w:rsidRPr="00951777">
        <w:rPr>
          <w:rFonts w:ascii="Book Antiqua" w:hAnsi="Book Antiqua"/>
          <w:sz w:val="24"/>
          <w:szCs w:val="24"/>
        </w:rPr>
        <w:t>Timothy Price</w:t>
      </w:r>
      <w:r w:rsidR="00785D97">
        <w:rPr>
          <w:rFonts w:ascii="Book Antiqua" w:hAnsi="Book Antiqua" w:hint="eastAsia"/>
          <w:sz w:val="24"/>
          <w:szCs w:val="24"/>
          <w:lang w:eastAsia="zh-CN"/>
        </w:rPr>
        <w:t>,</w:t>
      </w:r>
      <w:r w:rsidRPr="00951777">
        <w:rPr>
          <w:rFonts w:ascii="Book Antiqua" w:hAnsi="Book Antiqua"/>
          <w:sz w:val="24"/>
          <w:szCs w:val="24"/>
        </w:rPr>
        <w:t xml:space="preserve"> Niall </w:t>
      </w:r>
      <w:proofErr w:type="spellStart"/>
      <w:r w:rsidRPr="00951777">
        <w:rPr>
          <w:rFonts w:ascii="Book Antiqua" w:hAnsi="Book Antiqua"/>
          <w:sz w:val="24"/>
          <w:szCs w:val="24"/>
        </w:rPr>
        <w:t>Tebbutt</w:t>
      </w:r>
      <w:proofErr w:type="spellEnd"/>
      <w:r w:rsidR="00785D97">
        <w:rPr>
          <w:rFonts w:ascii="Book Antiqua" w:hAnsi="Book Antiqua" w:hint="eastAsia"/>
          <w:sz w:val="24"/>
          <w:szCs w:val="24"/>
          <w:lang w:eastAsia="zh-CN"/>
        </w:rPr>
        <w:t>,</w:t>
      </w:r>
      <w:r w:rsidRPr="00951777">
        <w:rPr>
          <w:rFonts w:ascii="Book Antiqua" w:hAnsi="Book Antiqua"/>
          <w:sz w:val="24"/>
          <w:szCs w:val="24"/>
        </w:rPr>
        <w:t xml:space="preserve"> Lorraine </w:t>
      </w:r>
      <w:proofErr w:type="spellStart"/>
      <w:r w:rsidRPr="00951777">
        <w:rPr>
          <w:rFonts w:ascii="Book Antiqua" w:hAnsi="Book Antiqua"/>
          <w:sz w:val="24"/>
          <w:szCs w:val="24"/>
        </w:rPr>
        <w:t>Chantrill</w:t>
      </w:r>
      <w:proofErr w:type="spellEnd"/>
    </w:p>
    <w:p w:rsidR="00951777" w:rsidRDefault="00951777" w:rsidP="00785D97">
      <w:pPr>
        <w:spacing w:after="0" w:line="360" w:lineRule="auto"/>
        <w:jc w:val="both"/>
        <w:rPr>
          <w:rFonts w:ascii="Book Antiqua" w:hAnsi="Book Antiqua"/>
          <w:sz w:val="24"/>
          <w:szCs w:val="24"/>
          <w:vertAlign w:val="superscript"/>
          <w:lang w:eastAsia="zh-CN"/>
        </w:rPr>
      </w:pPr>
    </w:p>
    <w:p w:rsidR="00C071D1" w:rsidRDefault="00A926F8" w:rsidP="00785D97">
      <w:pPr>
        <w:spacing w:after="0" w:line="360" w:lineRule="auto"/>
        <w:jc w:val="both"/>
        <w:rPr>
          <w:rFonts w:ascii="Book Antiqua" w:hAnsi="Book Antiqua"/>
          <w:sz w:val="24"/>
          <w:szCs w:val="24"/>
          <w:lang w:eastAsia="zh-CN"/>
        </w:rPr>
      </w:pPr>
      <w:proofErr w:type="spellStart"/>
      <w:r w:rsidRPr="00A926F8">
        <w:rPr>
          <w:rFonts w:ascii="Book Antiqua" w:hAnsi="Book Antiqua"/>
          <w:b/>
          <w:sz w:val="24"/>
          <w:szCs w:val="24"/>
        </w:rPr>
        <w:t>Aflah</w:t>
      </w:r>
      <w:proofErr w:type="spellEnd"/>
      <w:r w:rsidRPr="00A926F8">
        <w:rPr>
          <w:rFonts w:ascii="Book Antiqua" w:hAnsi="Book Antiqua"/>
          <w:b/>
          <w:sz w:val="24"/>
          <w:szCs w:val="24"/>
        </w:rPr>
        <w:t xml:space="preserve"> </w:t>
      </w:r>
      <w:proofErr w:type="spellStart"/>
      <w:r w:rsidRPr="00A926F8">
        <w:rPr>
          <w:rFonts w:ascii="Book Antiqua" w:hAnsi="Book Antiqua"/>
          <w:b/>
          <w:sz w:val="24"/>
          <w:szCs w:val="24"/>
        </w:rPr>
        <w:t>Roohullah</w:t>
      </w:r>
      <w:proofErr w:type="spellEnd"/>
      <w:r w:rsidRPr="00A926F8">
        <w:rPr>
          <w:rFonts w:ascii="Book Antiqua" w:hAnsi="Book Antiqua" w:hint="eastAsia"/>
          <w:b/>
          <w:sz w:val="24"/>
          <w:szCs w:val="24"/>
          <w:lang w:eastAsia="zh-CN"/>
        </w:rPr>
        <w:t>,</w:t>
      </w:r>
      <w:r w:rsidRPr="00A926F8">
        <w:rPr>
          <w:rFonts w:ascii="Book Antiqua" w:hAnsi="Book Antiqua"/>
          <w:b/>
          <w:sz w:val="24"/>
          <w:szCs w:val="24"/>
        </w:rPr>
        <w:t xml:space="preserve"> Lorraine </w:t>
      </w:r>
      <w:proofErr w:type="spellStart"/>
      <w:r w:rsidRPr="00A926F8">
        <w:rPr>
          <w:rFonts w:ascii="Book Antiqua" w:hAnsi="Book Antiqua"/>
          <w:b/>
          <w:sz w:val="24"/>
          <w:szCs w:val="24"/>
        </w:rPr>
        <w:t>Chantrill</w:t>
      </w:r>
      <w:proofErr w:type="spellEnd"/>
      <w:r w:rsidRPr="00A926F8">
        <w:rPr>
          <w:rFonts w:ascii="Book Antiqua" w:hAnsi="Book Antiqua" w:hint="eastAsia"/>
          <w:b/>
          <w:sz w:val="24"/>
          <w:szCs w:val="24"/>
          <w:lang w:eastAsia="zh-CN"/>
        </w:rPr>
        <w:t>,</w:t>
      </w:r>
      <w:r w:rsidR="00C071D1" w:rsidRPr="00951777">
        <w:rPr>
          <w:rFonts w:ascii="Book Antiqua" w:hAnsi="Book Antiqua"/>
          <w:sz w:val="24"/>
          <w:szCs w:val="24"/>
        </w:rPr>
        <w:t xml:space="preserve"> Macarthur Cancer Therapy Centre, Campbelltown NSW 2560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proofErr w:type="spellStart"/>
      <w:r w:rsidRPr="00A926F8">
        <w:rPr>
          <w:rFonts w:ascii="Book Antiqua" w:hAnsi="Book Antiqua"/>
          <w:b/>
          <w:sz w:val="24"/>
          <w:szCs w:val="24"/>
        </w:rPr>
        <w:t>Aflah</w:t>
      </w:r>
      <w:proofErr w:type="spellEnd"/>
      <w:r w:rsidRPr="00A926F8">
        <w:rPr>
          <w:rFonts w:ascii="Book Antiqua" w:hAnsi="Book Antiqua"/>
          <w:b/>
          <w:sz w:val="24"/>
          <w:szCs w:val="24"/>
        </w:rPr>
        <w:t xml:space="preserve"> </w:t>
      </w:r>
      <w:proofErr w:type="spellStart"/>
      <w:r w:rsidRPr="00A926F8">
        <w:rPr>
          <w:rFonts w:ascii="Book Antiqua" w:hAnsi="Book Antiqua"/>
          <w:b/>
          <w:sz w:val="24"/>
          <w:szCs w:val="24"/>
        </w:rPr>
        <w:t>Roohullah</w:t>
      </w:r>
      <w:proofErr w:type="spellEnd"/>
      <w:r w:rsidRPr="00A926F8">
        <w:rPr>
          <w:rFonts w:ascii="Book Antiqua" w:hAnsi="Book Antiqua" w:hint="eastAsia"/>
          <w:b/>
          <w:sz w:val="24"/>
          <w:szCs w:val="24"/>
          <w:lang w:eastAsia="zh-CN"/>
        </w:rPr>
        <w:t>,</w:t>
      </w:r>
      <w:r w:rsidRPr="00A926F8">
        <w:rPr>
          <w:rFonts w:ascii="Book Antiqua" w:hAnsi="Book Antiqua"/>
          <w:b/>
          <w:sz w:val="24"/>
          <w:szCs w:val="24"/>
        </w:rPr>
        <w:t xml:space="preserve"> </w:t>
      </w:r>
      <w:proofErr w:type="spellStart"/>
      <w:r w:rsidRPr="00A926F8">
        <w:rPr>
          <w:rFonts w:ascii="Book Antiqua" w:hAnsi="Book Antiqua"/>
          <w:b/>
          <w:sz w:val="24"/>
          <w:szCs w:val="24"/>
        </w:rPr>
        <w:t>Katrin</w:t>
      </w:r>
      <w:proofErr w:type="spellEnd"/>
      <w:r w:rsidRPr="00A926F8">
        <w:rPr>
          <w:rFonts w:ascii="Book Antiqua" w:hAnsi="Book Antiqua"/>
          <w:b/>
          <w:sz w:val="24"/>
          <w:szCs w:val="24"/>
        </w:rPr>
        <w:t xml:space="preserve"> M </w:t>
      </w:r>
      <w:proofErr w:type="spellStart"/>
      <w:r w:rsidRPr="00A926F8">
        <w:rPr>
          <w:rFonts w:ascii="Book Antiqua" w:hAnsi="Book Antiqua"/>
          <w:b/>
          <w:sz w:val="24"/>
          <w:szCs w:val="24"/>
        </w:rPr>
        <w:t>Sjoquist</w:t>
      </w:r>
      <w:proofErr w:type="spellEnd"/>
      <w:r w:rsidRPr="00A926F8">
        <w:rPr>
          <w:rFonts w:ascii="Book Antiqua" w:hAnsi="Book Antiqua" w:hint="eastAsia"/>
          <w:b/>
          <w:sz w:val="24"/>
          <w:szCs w:val="24"/>
          <w:lang w:eastAsia="zh-CN"/>
        </w:rPr>
        <w:t>,</w:t>
      </w:r>
      <w:r w:rsidRPr="00A926F8">
        <w:rPr>
          <w:rFonts w:ascii="Book Antiqua" w:hAnsi="Book Antiqua"/>
          <w:b/>
          <w:sz w:val="24"/>
          <w:szCs w:val="24"/>
        </w:rPr>
        <w:t xml:space="preserve"> Val </w:t>
      </w:r>
      <w:proofErr w:type="spellStart"/>
      <w:r w:rsidRPr="00A926F8">
        <w:rPr>
          <w:rFonts w:ascii="Book Antiqua" w:hAnsi="Book Antiqua"/>
          <w:b/>
          <w:sz w:val="24"/>
          <w:szCs w:val="24"/>
        </w:rPr>
        <w:t>Gebski</w:t>
      </w:r>
      <w:proofErr w:type="spellEnd"/>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C071D1" w:rsidRPr="00951777">
        <w:rPr>
          <w:rFonts w:ascii="Book Antiqua" w:hAnsi="Book Antiqua"/>
          <w:sz w:val="24"/>
          <w:szCs w:val="24"/>
        </w:rPr>
        <w:t>NHMRC Clinical Trials Centre, Camperdown NSW 2050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Hui-Li Wong</w:t>
      </w:r>
      <w:r w:rsidRPr="00A926F8">
        <w:rPr>
          <w:rFonts w:ascii="Book Antiqua" w:hAnsi="Book Antiqua" w:hint="eastAsia"/>
          <w:b/>
          <w:sz w:val="24"/>
          <w:szCs w:val="24"/>
          <w:lang w:eastAsia="zh-CN"/>
        </w:rPr>
        <w:t>,</w:t>
      </w:r>
      <w:r w:rsidR="00C071D1" w:rsidRPr="00A926F8">
        <w:rPr>
          <w:rFonts w:ascii="Book Antiqua" w:hAnsi="Book Antiqua"/>
          <w:b/>
          <w:sz w:val="24"/>
          <w:szCs w:val="24"/>
        </w:rPr>
        <w:t xml:space="preserve"> </w:t>
      </w:r>
      <w:r w:rsidRPr="00A926F8">
        <w:rPr>
          <w:rFonts w:ascii="Book Antiqua" w:hAnsi="Book Antiqua"/>
          <w:b/>
          <w:sz w:val="24"/>
          <w:szCs w:val="24"/>
        </w:rPr>
        <w:t>Peter Gibbs</w:t>
      </w:r>
      <w:r w:rsidRPr="00A926F8">
        <w:rPr>
          <w:rFonts w:ascii="Book Antiqua" w:hAnsi="Book Antiqua" w:hint="eastAsia"/>
          <w:b/>
          <w:sz w:val="24"/>
          <w:szCs w:val="24"/>
          <w:lang w:eastAsia="zh-CN"/>
        </w:rPr>
        <w:t>,</w:t>
      </w:r>
      <w:r w:rsidRPr="00A926F8">
        <w:rPr>
          <w:rFonts w:ascii="Book Antiqua" w:hAnsi="Book Antiqua"/>
          <w:b/>
          <w:i/>
          <w:sz w:val="24"/>
          <w:szCs w:val="24"/>
        </w:rPr>
        <w:t xml:space="preserve"> </w:t>
      </w:r>
      <w:r w:rsidRPr="00A926F8">
        <w:rPr>
          <w:rFonts w:ascii="Book Antiqua" w:hAnsi="Book Antiqua"/>
          <w:b/>
          <w:sz w:val="24"/>
          <w:szCs w:val="24"/>
        </w:rPr>
        <w:t>Kathryn Field</w:t>
      </w:r>
      <w:r w:rsidRPr="00A926F8">
        <w:rPr>
          <w:rFonts w:ascii="Book Antiqua" w:hAnsi="Book Antiqua" w:hint="eastAsia"/>
          <w:b/>
          <w:sz w:val="24"/>
          <w:szCs w:val="24"/>
          <w:lang w:eastAsia="zh-CN"/>
        </w:rPr>
        <w:t>,</w:t>
      </w:r>
      <w:r w:rsidRPr="00A926F8">
        <w:rPr>
          <w:rFonts w:ascii="Book Antiqua" w:hAnsi="Book Antiqua"/>
          <w:b/>
          <w:sz w:val="24"/>
          <w:szCs w:val="24"/>
        </w:rPr>
        <w:t xml:space="preserve"> Ben Tran</w:t>
      </w:r>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Royal Melbourne Hospital, Parkville VIC 3052</w:t>
      </w:r>
      <w:r w:rsidR="00617974">
        <w:rPr>
          <w:rFonts w:ascii="Book Antiqua" w:hAnsi="Book Antiqua"/>
          <w:sz w:val="24"/>
          <w:szCs w:val="24"/>
        </w:rPr>
        <w:t>, Australia</w:t>
      </w:r>
    </w:p>
    <w:p w:rsidR="00785D97" w:rsidRPr="00951777" w:rsidRDefault="00785D97"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Hui-Li Wong</w:t>
      </w:r>
      <w:r w:rsidRPr="00A926F8">
        <w:rPr>
          <w:rFonts w:ascii="Book Antiqua" w:hAnsi="Book Antiqua" w:hint="eastAsia"/>
          <w:b/>
          <w:sz w:val="24"/>
          <w:szCs w:val="24"/>
          <w:lang w:eastAsia="zh-CN"/>
        </w:rPr>
        <w:t xml:space="preserve">, </w:t>
      </w:r>
      <w:r w:rsidRPr="00A926F8">
        <w:rPr>
          <w:rFonts w:ascii="Book Antiqua" w:hAnsi="Book Antiqua"/>
          <w:b/>
          <w:sz w:val="24"/>
          <w:szCs w:val="24"/>
        </w:rPr>
        <w:t xml:space="preserve">Joe </w:t>
      </w:r>
      <w:proofErr w:type="spellStart"/>
      <w:r w:rsidRPr="00A926F8">
        <w:rPr>
          <w:rFonts w:ascii="Book Antiqua" w:hAnsi="Book Antiqua"/>
          <w:b/>
          <w:sz w:val="24"/>
          <w:szCs w:val="24"/>
        </w:rPr>
        <w:t>Mckendrick</w:t>
      </w:r>
      <w:proofErr w:type="spellEnd"/>
      <w:r w:rsidRPr="00A926F8">
        <w:rPr>
          <w:rFonts w:ascii="Book Antiqua" w:hAnsi="Book Antiqua" w:hint="eastAsia"/>
          <w:b/>
          <w:sz w:val="24"/>
          <w:szCs w:val="24"/>
          <w:lang w:eastAsia="zh-CN"/>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Box Hill Hospital, Box Hill VIC 3128</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Hui-Li Wong</w:t>
      </w:r>
      <w:r w:rsidRPr="00A926F8">
        <w:rPr>
          <w:rFonts w:ascii="Book Antiqua" w:hAnsi="Book Antiqua" w:hint="eastAsia"/>
          <w:b/>
          <w:sz w:val="24"/>
          <w:szCs w:val="24"/>
          <w:lang w:eastAsia="zh-CN"/>
        </w:rPr>
        <w:t xml:space="preserve">, </w:t>
      </w:r>
      <w:r w:rsidRPr="00A926F8">
        <w:rPr>
          <w:rFonts w:ascii="Book Antiqua" w:hAnsi="Book Antiqua"/>
          <w:b/>
          <w:sz w:val="24"/>
          <w:szCs w:val="24"/>
        </w:rPr>
        <w:t>Peter Gibbs</w:t>
      </w:r>
      <w:r w:rsidRPr="00A926F8">
        <w:rPr>
          <w:rFonts w:ascii="Book Antiqua" w:hAnsi="Book Antiqua" w:hint="eastAsia"/>
          <w:b/>
          <w:sz w:val="24"/>
          <w:szCs w:val="24"/>
          <w:lang w:eastAsia="zh-CN"/>
        </w:rPr>
        <w:t xml:space="preserve">, </w:t>
      </w:r>
      <w:r w:rsidRPr="00A926F8">
        <w:rPr>
          <w:rFonts w:ascii="Book Antiqua" w:hAnsi="Book Antiqua"/>
          <w:b/>
          <w:sz w:val="24"/>
          <w:szCs w:val="24"/>
        </w:rPr>
        <w:t>Ben Tran</w:t>
      </w:r>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617974">
        <w:rPr>
          <w:rFonts w:ascii="Book Antiqua" w:hAnsi="Book Antiqua"/>
          <w:sz w:val="24"/>
          <w:szCs w:val="24"/>
        </w:rPr>
        <w:t xml:space="preserve">Melbourne Medical School, </w:t>
      </w:r>
      <w:r w:rsidR="00C071D1" w:rsidRPr="00951777">
        <w:rPr>
          <w:rFonts w:ascii="Book Antiqua" w:hAnsi="Book Antiqua"/>
          <w:sz w:val="24"/>
          <w:szCs w:val="24"/>
        </w:rPr>
        <w:t>University of Melbourne, Melbourne VIC 3000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proofErr w:type="spellStart"/>
      <w:r w:rsidRPr="00A926F8">
        <w:rPr>
          <w:rFonts w:ascii="Book Antiqua" w:hAnsi="Book Antiqua"/>
          <w:b/>
          <w:sz w:val="24"/>
          <w:szCs w:val="24"/>
        </w:rPr>
        <w:t>Katrin</w:t>
      </w:r>
      <w:proofErr w:type="spellEnd"/>
      <w:r w:rsidRPr="00A926F8">
        <w:rPr>
          <w:rFonts w:ascii="Book Antiqua" w:hAnsi="Book Antiqua"/>
          <w:b/>
          <w:sz w:val="24"/>
          <w:szCs w:val="24"/>
        </w:rPr>
        <w:t xml:space="preserve"> M </w:t>
      </w:r>
      <w:proofErr w:type="spellStart"/>
      <w:r w:rsidRPr="00A926F8">
        <w:rPr>
          <w:rFonts w:ascii="Book Antiqua" w:hAnsi="Book Antiqua"/>
          <w:b/>
          <w:sz w:val="24"/>
          <w:szCs w:val="24"/>
        </w:rPr>
        <w:t>Sjoquist</w:t>
      </w:r>
      <w:proofErr w:type="spellEnd"/>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C071D1" w:rsidRPr="00951777">
        <w:rPr>
          <w:rFonts w:ascii="Book Antiqua" w:hAnsi="Book Antiqua"/>
          <w:sz w:val="24"/>
          <w:szCs w:val="24"/>
        </w:rPr>
        <w:t>St George Cancer Care Centre, Kogarah NSW 2217</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lastRenderedPageBreak/>
        <w:t>Peter Gibbs</w:t>
      </w:r>
      <w:r w:rsidRPr="00A926F8">
        <w:rPr>
          <w:rFonts w:ascii="Book Antiqua" w:hAnsi="Book Antiqua" w:hint="eastAsia"/>
          <w:b/>
          <w:sz w:val="24"/>
          <w:szCs w:val="24"/>
          <w:lang w:eastAsia="zh-CN"/>
        </w:rPr>
        <w:t xml:space="preserve">, </w:t>
      </w:r>
      <w:r w:rsidRPr="00A926F8">
        <w:rPr>
          <w:rFonts w:ascii="Book Antiqua" w:hAnsi="Book Antiqua"/>
          <w:b/>
          <w:sz w:val="24"/>
          <w:szCs w:val="24"/>
        </w:rPr>
        <w:t>Ben Tran</w:t>
      </w:r>
      <w:r w:rsidRPr="00A926F8">
        <w:rPr>
          <w:rFonts w:ascii="Book Antiqua" w:hAnsi="Book Antiqua" w:hint="eastAsia"/>
          <w:b/>
          <w:sz w:val="24"/>
          <w:szCs w:val="24"/>
          <w:lang w:eastAsia="zh-CN"/>
        </w:rPr>
        <w:t>,</w:t>
      </w:r>
      <w:r w:rsidR="00C071D1" w:rsidRPr="00951777">
        <w:rPr>
          <w:rFonts w:ascii="Book Antiqua" w:hAnsi="Book Antiqua"/>
          <w:sz w:val="24"/>
          <w:szCs w:val="24"/>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Western Hospital, Footscray VIC 3011</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Jeremy Shapiro</w:t>
      </w:r>
      <w:r w:rsidRPr="00A926F8">
        <w:rPr>
          <w:rFonts w:ascii="Book Antiqua" w:hAnsi="Book Antiqua" w:hint="eastAsia"/>
          <w:b/>
          <w:sz w:val="24"/>
          <w:szCs w:val="24"/>
          <w:lang w:eastAsia="zh-CN"/>
        </w:rPr>
        <w:t>,</w:t>
      </w:r>
      <w:r w:rsidR="00C071D1" w:rsidRPr="00951777">
        <w:rPr>
          <w:rFonts w:ascii="Book Antiqua" w:hAnsi="Book Antiqua"/>
          <w:sz w:val="24"/>
          <w:szCs w:val="24"/>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Cabrini Health, Melbourne VIC 3000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Desmond Yip</w:t>
      </w:r>
      <w:r w:rsidRPr="00A926F8">
        <w:rPr>
          <w:rFonts w:ascii="Book Antiqua" w:hAnsi="Book Antiqua" w:hint="eastAsia"/>
          <w:b/>
          <w:sz w:val="24"/>
          <w:szCs w:val="24"/>
          <w:lang w:eastAsia="zh-CN"/>
        </w:rPr>
        <w:t>,</w:t>
      </w:r>
      <w:r w:rsidR="00C071D1" w:rsidRPr="00951777">
        <w:rPr>
          <w:rFonts w:ascii="Book Antiqua" w:hAnsi="Book Antiqua"/>
          <w:sz w:val="24"/>
          <w:szCs w:val="24"/>
        </w:rPr>
        <w:t xml:space="preserve"> </w:t>
      </w:r>
      <w:r w:rsidR="00617974">
        <w:rPr>
          <w:rFonts w:ascii="Book Antiqua" w:hAnsi="Book Antiqua"/>
          <w:sz w:val="24"/>
          <w:szCs w:val="24"/>
        </w:rPr>
        <w:t>Department of Medical Oncology,</w:t>
      </w:r>
      <w:r w:rsidR="0079772F">
        <w:rPr>
          <w:rFonts w:ascii="Book Antiqua" w:hAnsi="Book Antiqua"/>
          <w:sz w:val="24"/>
          <w:szCs w:val="24"/>
        </w:rPr>
        <w:t xml:space="preserve"> </w:t>
      </w:r>
      <w:r w:rsidR="00785D97" w:rsidRPr="00951777">
        <w:rPr>
          <w:rFonts w:ascii="Book Antiqua" w:hAnsi="Book Antiqua"/>
          <w:sz w:val="24"/>
          <w:szCs w:val="24"/>
        </w:rPr>
        <w:t>the</w:t>
      </w:r>
      <w:r w:rsidR="00C071D1" w:rsidRPr="00951777">
        <w:rPr>
          <w:rFonts w:ascii="Book Antiqua" w:hAnsi="Book Antiqua"/>
          <w:sz w:val="24"/>
          <w:szCs w:val="24"/>
        </w:rPr>
        <w:t xml:space="preserve"> Canberra Hospital, Garran ACT 2605</w:t>
      </w:r>
      <w:r w:rsidR="00617974">
        <w:rPr>
          <w:rFonts w:ascii="Book Antiqua" w:hAnsi="Book Antiqua"/>
          <w:sz w:val="24"/>
          <w:szCs w:val="24"/>
        </w:rPr>
        <w:t>, Australia</w:t>
      </w:r>
      <w:r w:rsidR="00C071D1" w:rsidRPr="00951777">
        <w:rPr>
          <w:rFonts w:ascii="Book Antiqua" w:hAnsi="Book Antiqua"/>
          <w:sz w:val="24"/>
          <w:szCs w:val="24"/>
        </w:rPr>
        <w:t xml:space="preserve"> </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Desmond Yip</w:t>
      </w:r>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C071D1" w:rsidRPr="00951777">
        <w:rPr>
          <w:rFonts w:ascii="Book Antiqua" w:hAnsi="Book Antiqua"/>
          <w:sz w:val="24"/>
          <w:szCs w:val="24"/>
        </w:rPr>
        <w:t>ANU Medical School, Australia National University, Canberra ACT 2600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Louise Nott</w:t>
      </w:r>
      <w:r w:rsidRPr="00A926F8">
        <w:rPr>
          <w:rFonts w:ascii="Book Antiqua" w:hAnsi="Book Antiqua" w:hint="eastAsia"/>
          <w:b/>
          <w:sz w:val="24"/>
          <w:szCs w:val="24"/>
          <w:lang w:eastAsia="zh-CN"/>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Royal Hobart Hospital, Hobart TAS 7000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proofErr w:type="spellStart"/>
      <w:r w:rsidRPr="00A926F8">
        <w:rPr>
          <w:rFonts w:ascii="Book Antiqua" w:hAnsi="Book Antiqua"/>
          <w:b/>
          <w:sz w:val="24"/>
          <w:szCs w:val="24"/>
        </w:rPr>
        <w:t>Weng</w:t>
      </w:r>
      <w:proofErr w:type="spellEnd"/>
      <w:r w:rsidRPr="00A926F8">
        <w:rPr>
          <w:rFonts w:ascii="Book Antiqua" w:hAnsi="Book Antiqua"/>
          <w:b/>
          <w:sz w:val="24"/>
          <w:szCs w:val="24"/>
        </w:rPr>
        <w:t xml:space="preserve"> Ng</w:t>
      </w:r>
      <w:r w:rsidRPr="00A926F8">
        <w:rPr>
          <w:rFonts w:ascii="Book Antiqua" w:hAnsi="Book Antiqua" w:hint="eastAsia"/>
          <w:b/>
          <w:sz w:val="24"/>
          <w:szCs w:val="24"/>
          <w:lang w:eastAsia="zh-CN"/>
        </w:rPr>
        <w:t>,</w:t>
      </w:r>
      <w:r w:rsidRPr="00A926F8">
        <w:rPr>
          <w:rFonts w:ascii="Book Antiqua" w:hAnsi="Book Antiqua"/>
          <w:b/>
          <w:sz w:val="24"/>
          <w:szCs w:val="24"/>
        </w:rPr>
        <w:t xml:space="preserve"> Wei Chua</w:t>
      </w:r>
      <w:r w:rsidRPr="00A926F8">
        <w:rPr>
          <w:rFonts w:ascii="Book Antiqua" w:hAnsi="Book Antiqua" w:hint="eastAsia"/>
          <w:b/>
          <w:sz w:val="24"/>
          <w:szCs w:val="24"/>
          <w:lang w:eastAsia="zh-CN"/>
        </w:rPr>
        <w:t>,</w:t>
      </w:r>
      <w:r w:rsidR="00C071D1" w:rsidRPr="00951777">
        <w:rPr>
          <w:rFonts w:ascii="Book Antiqua" w:hAnsi="Book Antiqua"/>
          <w:sz w:val="24"/>
          <w:szCs w:val="24"/>
        </w:rPr>
        <w:t xml:space="preserve"> Liverpool Cancer Therapy Centre, Liverpool NSW 2170</w:t>
      </w:r>
      <w:r w:rsidR="00617974">
        <w:rPr>
          <w:rFonts w:ascii="Book Antiqua" w:hAnsi="Book Antiqua"/>
          <w:sz w:val="24"/>
          <w:szCs w:val="24"/>
        </w:rPr>
        <w:t>, Australia</w:t>
      </w:r>
    </w:p>
    <w:p w:rsidR="00A926F8" w:rsidRPr="00951777" w:rsidRDefault="00A926F8" w:rsidP="00785D97">
      <w:pPr>
        <w:spacing w:after="0" w:line="360" w:lineRule="auto"/>
        <w:jc w:val="both"/>
        <w:rPr>
          <w:rFonts w:ascii="Book Antiqua" w:hAnsi="Book Antiqua"/>
          <w:sz w:val="24"/>
          <w:szCs w:val="24"/>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Timothy Price</w:t>
      </w:r>
      <w:r w:rsidRPr="00A926F8">
        <w:rPr>
          <w:rFonts w:ascii="Book Antiqua" w:hAnsi="Book Antiqua" w:hint="eastAsia"/>
          <w:b/>
          <w:sz w:val="24"/>
          <w:szCs w:val="24"/>
          <w:lang w:eastAsia="zh-CN"/>
        </w:rPr>
        <w:t>,</w:t>
      </w:r>
      <w:r>
        <w:rPr>
          <w:rFonts w:ascii="Book Antiqua" w:hAnsi="Book Antiqua" w:hint="eastAsia"/>
          <w:sz w:val="24"/>
          <w:szCs w:val="24"/>
          <w:lang w:eastAsia="zh-CN"/>
        </w:rPr>
        <w:t xml:space="preserve"> </w:t>
      </w:r>
      <w:r w:rsidR="00617974">
        <w:rPr>
          <w:rFonts w:ascii="Book Antiqua" w:hAnsi="Book Antiqua"/>
          <w:sz w:val="24"/>
          <w:szCs w:val="24"/>
        </w:rPr>
        <w:t xml:space="preserve">Department of Medical Oncology, </w:t>
      </w:r>
      <w:r w:rsidR="00785D97" w:rsidRPr="00951777">
        <w:rPr>
          <w:rFonts w:ascii="Book Antiqua" w:hAnsi="Book Antiqua"/>
          <w:sz w:val="24"/>
          <w:szCs w:val="24"/>
        </w:rPr>
        <w:t>the</w:t>
      </w:r>
      <w:r w:rsidR="00C071D1" w:rsidRPr="00951777">
        <w:rPr>
          <w:rFonts w:ascii="Book Antiqua" w:hAnsi="Book Antiqua"/>
          <w:sz w:val="24"/>
          <w:szCs w:val="24"/>
        </w:rPr>
        <w:t xml:space="preserve"> Queen Elizabeth Hospital, Woodville SA 5011</w:t>
      </w:r>
      <w:r w:rsidR="00617974">
        <w:rPr>
          <w:rFonts w:ascii="Book Antiqua" w:hAnsi="Book Antiqua"/>
          <w:sz w:val="24"/>
          <w:szCs w:val="24"/>
        </w:rPr>
        <w:t xml:space="preserve">, Australia </w:t>
      </w:r>
    </w:p>
    <w:p w:rsidR="00A926F8" w:rsidRPr="00A926F8" w:rsidRDefault="00A926F8" w:rsidP="00785D97">
      <w:pPr>
        <w:spacing w:after="0" w:line="360" w:lineRule="auto"/>
        <w:jc w:val="both"/>
        <w:rPr>
          <w:rFonts w:ascii="Book Antiqua" w:hAnsi="Book Antiqua"/>
          <w:sz w:val="24"/>
          <w:szCs w:val="24"/>
          <w:vertAlign w:val="superscript"/>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 xml:space="preserve">Niall </w:t>
      </w:r>
      <w:proofErr w:type="spellStart"/>
      <w:r w:rsidRPr="00A926F8">
        <w:rPr>
          <w:rFonts w:ascii="Book Antiqua" w:hAnsi="Book Antiqua"/>
          <w:b/>
          <w:sz w:val="24"/>
          <w:szCs w:val="24"/>
        </w:rPr>
        <w:t>Tebbutt</w:t>
      </w:r>
      <w:proofErr w:type="spellEnd"/>
      <w:r w:rsidRPr="00A926F8">
        <w:rPr>
          <w:rFonts w:ascii="Book Antiqua" w:hAnsi="Book Antiqua" w:hint="eastAsia"/>
          <w:b/>
          <w:sz w:val="24"/>
          <w:szCs w:val="24"/>
          <w:lang w:eastAsia="zh-CN"/>
        </w:rPr>
        <w:t>,</w:t>
      </w:r>
      <w:r w:rsidRPr="00951777">
        <w:rPr>
          <w:rFonts w:ascii="Book Antiqua" w:hAnsi="Book Antiqua"/>
          <w:sz w:val="24"/>
          <w:szCs w:val="24"/>
        </w:rPr>
        <w:t xml:space="preserve"> </w:t>
      </w:r>
      <w:r w:rsidR="00617974">
        <w:rPr>
          <w:rFonts w:ascii="Book Antiqua" w:hAnsi="Book Antiqua"/>
          <w:sz w:val="24"/>
          <w:szCs w:val="24"/>
        </w:rPr>
        <w:t xml:space="preserve">Department of Medical Oncology, </w:t>
      </w:r>
      <w:r w:rsidR="00C071D1" w:rsidRPr="00951777">
        <w:rPr>
          <w:rFonts w:ascii="Book Antiqua" w:hAnsi="Book Antiqua"/>
          <w:sz w:val="24"/>
          <w:szCs w:val="24"/>
        </w:rPr>
        <w:t>Austin Health, Heidelberg VIC 3084</w:t>
      </w:r>
      <w:r w:rsidR="00617974">
        <w:rPr>
          <w:rFonts w:ascii="Book Antiqua" w:hAnsi="Book Antiqua"/>
          <w:sz w:val="24"/>
          <w:szCs w:val="24"/>
        </w:rPr>
        <w:t>, Australia</w:t>
      </w:r>
    </w:p>
    <w:p w:rsidR="00A926F8" w:rsidRPr="00A926F8" w:rsidRDefault="00A926F8" w:rsidP="00785D97">
      <w:pPr>
        <w:spacing w:after="0" w:line="360" w:lineRule="auto"/>
        <w:jc w:val="both"/>
        <w:rPr>
          <w:rFonts w:ascii="Book Antiqua" w:hAnsi="Book Antiqua"/>
          <w:sz w:val="24"/>
          <w:szCs w:val="24"/>
          <w:vertAlign w:val="superscript"/>
          <w:lang w:eastAsia="zh-CN"/>
        </w:rPr>
      </w:pPr>
    </w:p>
    <w:p w:rsidR="00C071D1" w:rsidRDefault="00A926F8"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 xml:space="preserve">Lorraine </w:t>
      </w:r>
      <w:proofErr w:type="spellStart"/>
      <w:r w:rsidRPr="00A926F8">
        <w:rPr>
          <w:rFonts w:ascii="Book Antiqua" w:hAnsi="Book Antiqua"/>
          <w:b/>
          <w:sz w:val="24"/>
          <w:szCs w:val="24"/>
        </w:rPr>
        <w:t>Chantrill</w:t>
      </w:r>
      <w:proofErr w:type="spellEnd"/>
      <w:r w:rsidRPr="00A926F8">
        <w:rPr>
          <w:rFonts w:ascii="Book Antiqua" w:hAnsi="Book Antiqua" w:hint="eastAsia"/>
          <w:b/>
          <w:sz w:val="24"/>
          <w:szCs w:val="24"/>
          <w:lang w:eastAsia="zh-CN"/>
        </w:rPr>
        <w:t>,</w:t>
      </w:r>
      <w:r w:rsidR="00C071D1" w:rsidRPr="00A926F8">
        <w:rPr>
          <w:rFonts w:ascii="Book Antiqua" w:hAnsi="Book Antiqua"/>
          <w:b/>
          <w:sz w:val="24"/>
          <w:szCs w:val="24"/>
        </w:rPr>
        <w:t xml:space="preserve"> </w:t>
      </w:r>
      <w:r w:rsidRPr="00951777">
        <w:rPr>
          <w:rFonts w:ascii="Book Antiqua" w:hAnsi="Book Antiqua"/>
          <w:sz w:val="24"/>
          <w:szCs w:val="24"/>
        </w:rPr>
        <w:t>the</w:t>
      </w:r>
      <w:r w:rsidR="00C071D1" w:rsidRPr="00951777">
        <w:rPr>
          <w:rFonts w:ascii="Book Antiqua" w:hAnsi="Book Antiqua"/>
          <w:sz w:val="24"/>
          <w:szCs w:val="24"/>
        </w:rPr>
        <w:t xml:space="preserve"> </w:t>
      </w:r>
      <w:proofErr w:type="spellStart"/>
      <w:r w:rsidR="00C071D1" w:rsidRPr="00951777">
        <w:rPr>
          <w:rFonts w:ascii="Book Antiqua" w:hAnsi="Book Antiqua"/>
          <w:sz w:val="24"/>
          <w:szCs w:val="24"/>
        </w:rPr>
        <w:t>Kinghorn</w:t>
      </w:r>
      <w:proofErr w:type="spellEnd"/>
      <w:r w:rsidR="00C071D1" w:rsidRPr="00951777">
        <w:rPr>
          <w:rFonts w:ascii="Book Antiqua" w:hAnsi="Book Antiqua"/>
          <w:sz w:val="24"/>
          <w:szCs w:val="24"/>
        </w:rPr>
        <w:t xml:space="preserve"> Cancer Centre, </w:t>
      </w:r>
      <w:proofErr w:type="spellStart"/>
      <w:r w:rsidR="00C071D1" w:rsidRPr="00951777">
        <w:rPr>
          <w:rFonts w:ascii="Book Antiqua" w:hAnsi="Book Antiqua"/>
          <w:sz w:val="24"/>
          <w:szCs w:val="24"/>
        </w:rPr>
        <w:t>Garvan</w:t>
      </w:r>
      <w:proofErr w:type="spellEnd"/>
      <w:r w:rsidR="00C071D1" w:rsidRPr="00951777">
        <w:rPr>
          <w:rFonts w:ascii="Book Antiqua" w:hAnsi="Book Antiqua"/>
          <w:sz w:val="24"/>
          <w:szCs w:val="24"/>
        </w:rPr>
        <w:t xml:space="preserve"> Institute of Medical Research, Darlinghurst NSW 2010</w:t>
      </w:r>
      <w:r w:rsidR="00617974">
        <w:rPr>
          <w:rFonts w:ascii="Book Antiqua" w:hAnsi="Book Antiqua"/>
          <w:sz w:val="24"/>
          <w:szCs w:val="24"/>
        </w:rPr>
        <w:t>, Australia</w:t>
      </w:r>
    </w:p>
    <w:p w:rsidR="00951777" w:rsidRDefault="00951777" w:rsidP="00785D97">
      <w:pPr>
        <w:spacing w:after="0" w:line="360" w:lineRule="auto"/>
        <w:jc w:val="both"/>
        <w:rPr>
          <w:rFonts w:ascii="Book Antiqua" w:hAnsi="Book Antiqua"/>
          <w:sz w:val="24"/>
          <w:szCs w:val="24"/>
          <w:lang w:eastAsia="zh-CN"/>
        </w:rPr>
      </w:pPr>
    </w:p>
    <w:p w:rsidR="00951777" w:rsidRDefault="00951777" w:rsidP="00785D97">
      <w:pPr>
        <w:spacing w:after="0" w:line="360" w:lineRule="auto"/>
        <w:jc w:val="both"/>
        <w:rPr>
          <w:rFonts w:ascii="Book Antiqua" w:hAnsi="Book Antiqua"/>
          <w:sz w:val="24"/>
          <w:szCs w:val="24"/>
          <w:lang w:eastAsia="zh-CN"/>
        </w:rPr>
      </w:pPr>
      <w:bookmarkStart w:id="2" w:name="OLE_LINK231"/>
      <w:bookmarkStart w:id="3" w:name="OLE_LINK234"/>
      <w:bookmarkStart w:id="4" w:name="OLE_LINK342"/>
      <w:bookmarkStart w:id="5" w:name="OLE_LINK473"/>
      <w:r w:rsidRPr="00A926F8">
        <w:rPr>
          <w:rFonts w:ascii="Book Antiqua" w:hAnsi="Book Antiqua"/>
          <w:b/>
          <w:sz w:val="24"/>
          <w:szCs w:val="24"/>
        </w:rPr>
        <w:t>Author contributions:</w:t>
      </w:r>
      <w:r w:rsidR="00A926F8" w:rsidRPr="00A926F8">
        <w:rPr>
          <w:rFonts w:ascii="Book Antiqua" w:hAnsi="Book Antiqua" w:hint="eastAsia"/>
          <w:b/>
          <w:sz w:val="24"/>
          <w:szCs w:val="24"/>
          <w:lang w:eastAsia="zh-CN"/>
        </w:rPr>
        <w:t xml:space="preserve"> </w:t>
      </w:r>
      <w:proofErr w:type="spellStart"/>
      <w:r w:rsidRPr="00951777">
        <w:rPr>
          <w:rFonts w:ascii="Book Antiqua" w:hAnsi="Book Antiqua"/>
          <w:sz w:val="24"/>
          <w:szCs w:val="24"/>
        </w:rPr>
        <w:t>Roohullah</w:t>
      </w:r>
      <w:proofErr w:type="spellEnd"/>
      <w:r w:rsidRPr="00951777">
        <w:rPr>
          <w:rFonts w:ascii="Book Antiqua" w:hAnsi="Book Antiqua"/>
          <w:sz w:val="24"/>
          <w:szCs w:val="24"/>
        </w:rPr>
        <w:t xml:space="preserve"> A, </w:t>
      </w:r>
      <w:proofErr w:type="spellStart"/>
      <w:r w:rsidRPr="00951777">
        <w:rPr>
          <w:rFonts w:ascii="Book Antiqua" w:hAnsi="Book Antiqua"/>
          <w:sz w:val="24"/>
          <w:szCs w:val="24"/>
        </w:rPr>
        <w:t>Chantrill</w:t>
      </w:r>
      <w:proofErr w:type="spellEnd"/>
      <w:r w:rsidRPr="00951777">
        <w:rPr>
          <w:rFonts w:ascii="Book Antiqua" w:hAnsi="Book Antiqua"/>
          <w:sz w:val="24"/>
          <w:szCs w:val="24"/>
        </w:rPr>
        <w:t xml:space="preserve"> L, </w:t>
      </w:r>
      <w:proofErr w:type="spellStart"/>
      <w:r w:rsidRPr="00951777">
        <w:rPr>
          <w:rFonts w:ascii="Book Antiqua" w:hAnsi="Book Antiqua"/>
          <w:sz w:val="24"/>
          <w:szCs w:val="24"/>
        </w:rPr>
        <w:t>Sjoquist</w:t>
      </w:r>
      <w:proofErr w:type="spellEnd"/>
      <w:r w:rsidRPr="00951777">
        <w:rPr>
          <w:rFonts w:ascii="Book Antiqua" w:hAnsi="Book Antiqua"/>
          <w:sz w:val="24"/>
          <w:szCs w:val="24"/>
        </w:rPr>
        <w:t xml:space="preserve"> KM and </w:t>
      </w:r>
      <w:proofErr w:type="spellStart"/>
      <w:r w:rsidRPr="00951777">
        <w:rPr>
          <w:rFonts w:ascii="Book Antiqua" w:hAnsi="Book Antiqua"/>
          <w:sz w:val="24"/>
          <w:szCs w:val="24"/>
        </w:rPr>
        <w:t>Gebski</w:t>
      </w:r>
      <w:proofErr w:type="spellEnd"/>
      <w:r w:rsidRPr="00951777">
        <w:rPr>
          <w:rFonts w:ascii="Book Antiqua" w:hAnsi="Book Antiqua"/>
          <w:sz w:val="24"/>
          <w:szCs w:val="24"/>
        </w:rPr>
        <w:t xml:space="preserve"> V designed the research</w:t>
      </w:r>
      <w:r w:rsidR="00A926F8">
        <w:rPr>
          <w:rFonts w:ascii="Book Antiqua" w:hAnsi="Book Antiqua" w:hint="eastAsia"/>
          <w:sz w:val="24"/>
          <w:szCs w:val="24"/>
          <w:lang w:eastAsia="zh-CN"/>
        </w:rPr>
        <w:t>;</w:t>
      </w:r>
      <w:r w:rsidRPr="00951777">
        <w:rPr>
          <w:rFonts w:ascii="Book Antiqua" w:hAnsi="Book Antiqua"/>
          <w:sz w:val="24"/>
          <w:szCs w:val="24"/>
        </w:rPr>
        <w:t xml:space="preserve"> </w:t>
      </w:r>
      <w:proofErr w:type="spellStart"/>
      <w:r w:rsidRPr="00951777">
        <w:rPr>
          <w:rFonts w:ascii="Book Antiqua" w:hAnsi="Book Antiqua"/>
          <w:sz w:val="24"/>
          <w:szCs w:val="24"/>
        </w:rPr>
        <w:t>Roohullah</w:t>
      </w:r>
      <w:proofErr w:type="spellEnd"/>
      <w:r w:rsidRPr="00951777">
        <w:rPr>
          <w:rFonts w:ascii="Book Antiqua" w:hAnsi="Book Antiqua"/>
          <w:sz w:val="24"/>
          <w:szCs w:val="24"/>
        </w:rPr>
        <w:t xml:space="preserve"> A and </w:t>
      </w:r>
      <w:proofErr w:type="spellStart"/>
      <w:r w:rsidRPr="00951777">
        <w:rPr>
          <w:rFonts w:ascii="Book Antiqua" w:hAnsi="Book Antiqua"/>
          <w:sz w:val="24"/>
          <w:szCs w:val="24"/>
        </w:rPr>
        <w:t>Gebski</w:t>
      </w:r>
      <w:proofErr w:type="spellEnd"/>
      <w:r w:rsidRPr="00951777">
        <w:rPr>
          <w:rFonts w:ascii="Book Antiqua" w:hAnsi="Book Antiqua"/>
          <w:sz w:val="24"/>
          <w:szCs w:val="24"/>
        </w:rPr>
        <w:t xml:space="preserve"> V analysed the data</w:t>
      </w:r>
      <w:r w:rsidR="00A926F8">
        <w:rPr>
          <w:rFonts w:ascii="Book Antiqua" w:hAnsi="Book Antiqua" w:hint="eastAsia"/>
          <w:sz w:val="24"/>
          <w:szCs w:val="24"/>
          <w:lang w:eastAsia="zh-CN"/>
        </w:rPr>
        <w:t>;</w:t>
      </w:r>
      <w:r w:rsidRPr="00951777">
        <w:rPr>
          <w:rFonts w:ascii="Book Antiqua" w:hAnsi="Book Antiqua"/>
          <w:sz w:val="24"/>
          <w:szCs w:val="24"/>
        </w:rPr>
        <w:t xml:space="preserve"> </w:t>
      </w:r>
      <w:r w:rsidR="00A926F8" w:rsidRPr="00951777">
        <w:rPr>
          <w:rFonts w:ascii="Book Antiqua" w:hAnsi="Book Antiqua"/>
          <w:sz w:val="24"/>
          <w:szCs w:val="24"/>
        </w:rPr>
        <w:t>all authors performed the research</w:t>
      </w:r>
      <w:r w:rsidR="00A926F8">
        <w:rPr>
          <w:rFonts w:ascii="Book Antiqua" w:hAnsi="Book Antiqua" w:hint="eastAsia"/>
          <w:sz w:val="24"/>
          <w:szCs w:val="24"/>
          <w:lang w:eastAsia="zh-CN"/>
        </w:rPr>
        <w:t xml:space="preserve"> and</w:t>
      </w:r>
      <w:r w:rsidRPr="00951777">
        <w:rPr>
          <w:rFonts w:ascii="Book Antiqua" w:hAnsi="Book Antiqua"/>
          <w:sz w:val="24"/>
          <w:szCs w:val="24"/>
        </w:rPr>
        <w:t xml:space="preserve"> contributed to writing the paper.</w:t>
      </w:r>
    </w:p>
    <w:p w:rsidR="00A926F8" w:rsidRPr="00951777" w:rsidRDefault="00A926F8" w:rsidP="00785D97">
      <w:pPr>
        <w:spacing w:after="0" w:line="360" w:lineRule="auto"/>
        <w:jc w:val="both"/>
        <w:rPr>
          <w:rFonts w:ascii="Book Antiqua" w:hAnsi="Book Antiqua"/>
          <w:sz w:val="24"/>
          <w:szCs w:val="24"/>
          <w:u w:val="single"/>
          <w:lang w:eastAsia="zh-CN"/>
        </w:rPr>
      </w:pPr>
    </w:p>
    <w:p w:rsidR="00A926F8" w:rsidRPr="00A926F8" w:rsidRDefault="00A926F8" w:rsidP="00785D97">
      <w:pPr>
        <w:spacing w:after="0" w:line="360" w:lineRule="auto"/>
        <w:jc w:val="both"/>
        <w:rPr>
          <w:rFonts w:ascii="Book Antiqua" w:hAnsi="Book Antiqua"/>
          <w:b/>
          <w:sz w:val="24"/>
        </w:rPr>
      </w:pPr>
      <w:bookmarkStart w:id="6" w:name="OLE_LINK330"/>
      <w:bookmarkStart w:id="7" w:name="OLE_LINK331"/>
      <w:r w:rsidRPr="00712F63">
        <w:rPr>
          <w:rFonts w:ascii="Book Antiqua" w:hAnsi="Book Antiqua"/>
          <w:b/>
          <w:sz w:val="24"/>
        </w:rPr>
        <w:lastRenderedPageBreak/>
        <w:t>Supported by</w:t>
      </w:r>
      <w:bookmarkEnd w:id="6"/>
      <w:bookmarkEnd w:id="7"/>
      <w:r w:rsidRPr="00951777">
        <w:rPr>
          <w:rFonts w:ascii="Book Antiqua" w:hAnsi="Book Antiqua"/>
          <w:sz w:val="24"/>
          <w:szCs w:val="24"/>
        </w:rPr>
        <w:t xml:space="preserve"> the National Health and Medical Research Council Clinical Trials Centre were received from Cancer Australia and the Cancer Institute New South Wales for the AGITG MAX Trial.</w:t>
      </w:r>
    </w:p>
    <w:p w:rsidR="00951777" w:rsidRPr="00A926F8" w:rsidRDefault="00951777" w:rsidP="00785D97">
      <w:pPr>
        <w:spacing w:after="0" w:line="360" w:lineRule="auto"/>
        <w:jc w:val="both"/>
        <w:rPr>
          <w:rFonts w:ascii="Book Antiqua" w:hAnsi="Book Antiqua"/>
          <w:b/>
          <w:sz w:val="24"/>
          <w:lang w:eastAsia="zh-CN"/>
        </w:rPr>
      </w:pPr>
    </w:p>
    <w:p w:rsidR="00ED1936" w:rsidRPr="00A926F8" w:rsidRDefault="00951777" w:rsidP="00785D97">
      <w:pPr>
        <w:autoSpaceDE w:val="0"/>
        <w:autoSpaceDN w:val="0"/>
        <w:adjustRightInd w:val="0"/>
        <w:spacing w:after="0" w:line="360" w:lineRule="auto"/>
        <w:jc w:val="both"/>
        <w:rPr>
          <w:rFonts w:ascii="Book Antiqua" w:hAnsi="Book Antiqua"/>
          <w:b/>
          <w:bCs/>
          <w:iCs/>
          <w:color w:val="000000"/>
          <w:sz w:val="24"/>
        </w:rPr>
      </w:pPr>
      <w:bookmarkStart w:id="8" w:name="OLE_LINK4"/>
      <w:bookmarkStart w:id="9" w:name="OLE_LINK5"/>
      <w:bookmarkStart w:id="10" w:name="OLE_LINK379"/>
      <w:bookmarkStart w:id="11" w:name="OLE_LINK380"/>
      <w:bookmarkStart w:id="12" w:name="OLE_LINK498"/>
      <w:bookmarkStart w:id="13" w:name="OLE_LINK499"/>
      <w:bookmarkStart w:id="14" w:name="OLE_LINK513"/>
      <w:bookmarkStart w:id="15" w:name="OLE_LINK521"/>
      <w:bookmarkEnd w:id="2"/>
      <w:bookmarkEnd w:id="3"/>
      <w:bookmarkEnd w:id="4"/>
      <w:bookmarkEnd w:id="5"/>
      <w:r w:rsidRPr="00484F59">
        <w:rPr>
          <w:rFonts w:ascii="Book Antiqua" w:hAnsi="Book Antiqua"/>
          <w:b/>
          <w:bCs/>
          <w:iCs/>
          <w:color w:val="000000"/>
          <w:sz w:val="24"/>
        </w:rPr>
        <w:t>Ethics approval</w:t>
      </w:r>
      <w:r w:rsidRPr="00484F59">
        <w:rPr>
          <w:rFonts w:ascii="Book Antiqua" w:hAnsi="Book Antiqua" w:hint="eastAsia"/>
          <w:b/>
          <w:bCs/>
          <w:iCs/>
          <w:color w:val="000000"/>
          <w:sz w:val="24"/>
        </w:rPr>
        <w:t>:</w:t>
      </w:r>
      <w:r w:rsidR="00A926F8">
        <w:rPr>
          <w:rFonts w:ascii="Book Antiqua" w:hAnsi="Book Antiqua" w:hint="eastAsia"/>
          <w:b/>
          <w:bCs/>
          <w:iCs/>
          <w:color w:val="000000"/>
          <w:sz w:val="24"/>
          <w:lang w:eastAsia="zh-CN"/>
        </w:rPr>
        <w:t xml:space="preserve"> </w:t>
      </w:r>
      <w:r w:rsidR="00ED1936" w:rsidRPr="00A926F8">
        <w:rPr>
          <w:rFonts w:ascii="Book Antiqua" w:hAnsi="Book Antiqua"/>
          <w:bCs/>
          <w:iCs/>
          <w:color w:val="000000"/>
          <w:sz w:val="24"/>
        </w:rPr>
        <w:t xml:space="preserve">The AGITG MAX Trial has ethics approval and all patients were consented for the trial and any future analysis. </w:t>
      </w:r>
      <w:r w:rsidR="00ED1936" w:rsidRPr="00ED1936">
        <w:rPr>
          <w:rFonts w:ascii="Book Antiqua" w:eastAsiaTheme="minorHAnsi" w:hAnsi="Book Antiqua"/>
          <w:sz w:val="24"/>
        </w:rPr>
        <w:t>The TRACC registry has IRB ethics approval for the registry and consent was not required for the registry.</w:t>
      </w:r>
      <w:r w:rsidR="00ED1936">
        <w:rPr>
          <w:rFonts w:ascii="Book Antiqua" w:eastAsiaTheme="minorHAnsi" w:hAnsi="Book Antiqua"/>
          <w:sz w:val="24"/>
        </w:rPr>
        <w:t xml:space="preserve"> </w:t>
      </w:r>
      <w:r w:rsidR="00ED1936" w:rsidRPr="00ED1936">
        <w:rPr>
          <w:rFonts w:ascii="Book Antiqua" w:eastAsiaTheme="minorHAnsi" w:hAnsi="Book Antiqua"/>
          <w:sz w:val="24"/>
        </w:rPr>
        <w:t xml:space="preserve">The South Western Sydney Local Health </w:t>
      </w:r>
      <w:r w:rsidR="0079772F">
        <w:rPr>
          <w:rFonts w:ascii="Book Antiqua" w:eastAsiaTheme="minorHAnsi" w:hAnsi="Book Antiqua"/>
          <w:sz w:val="24"/>
        </w:rPr>
        <w:t>Dis</w:t>
      </w:r>
      <w:r w:rsidR="00ED1936" w:rsidRPr="00ED1936">
        <w:rPr>
          <w:rFonts w:ascii="Book Antiqua" w:eastAsiaTheme="minorHAnsi" w:hAnsi="Book Antiqua"/>
          <w:sz w:val="24"/>
        </w:rPr>
        <w:t>trict Research and Ethics Board approved the “Low or negligible risk” ethics application for the two cancer centres in New South Wales and decided that consent was not required from the patients in the analysis</w:t>
      </w:r>
      <w:r w:rsidR="006A4A06">
        <w:rPr>
          <w:rFonts w:ascii="Book Antiqua" w:hAnsi="Book Antiqua" w:hint="eastAsia"/>
          <w:sz w:val="24"/>
          <w:lang w:eastAsia="zh-CN"/>
        </w:rPr>
        <w:t>; a</w:t>
      </w:r>
      <w:r w:rsidR="0079772F">
        <w:rPr>
          <w:rFonts w:ascii="Book Antiqua" w:eastAsiaTheme="minorHAnsi" w:hAnsi="Book Antiqua"/>
          <w:sz w:val="24"/>
        </w:rPr>
        <w:t>ll patients were de-identified for the analysis.</w:t>
      </w:r>
    </w:p>
    <w:bookmarkEnd w:id="8"/>
    <w:bookmarkEnd w:id="9"/>
    <w:p w:rsidR="00951777" w:rsidRPr="00BB4403" w:rsidRDefault="00951777" w:rsidP="00785D97">
      <w:pPr>
        <w:autoSpaceDE w:val="0"/>
        <w:autoSpaceDN w:val="0"/>
        <w:adjustRightInd w:val="0"/>
        <w:spacing w:after="0" w:line="360" w:lineRule="auto"/>
        <w:jc w:val="both"/>
        <w:rPr>
          <w:rFonts w:ascii="Book Antiqua" w:hAnsi="Book Antiqua"/>
          <w:b/>
          <w:bCs/>
          <w:iCs/>
          <w:color w:val="000000"/>
          <w:sz w:val="24"/>
          <w:lang w:eastAsia="zh-CN"/>
        </w:rPr>
      </w:pPr>
    </w:p>
    <w:p w:rsidR="00ED1936" w:rsidRDefault="00951777" w:rsidP="00785D97">
      <w:pPr>
        <w:autoSpaceDE w:val="0"/>
        <w:autoSpaceDN w:val="0"/>
        <w:adjustRightInd w:val="0"/>
        <w:spacing w:after="0" w:line="360" w:lineRule="auto"/>
        <w:jc w:val="both"/>
        <w:rPr>
          <w:rFonts w:ascii="Book Antiqua" w:hAnsi="Book Antiqua"/>
          <w:sz w:val="24"/>
          <w:szCs w:val="24"/>
          <w:lang w:eastAsia="zh-CN"/>
        </w:rPr>
      </w:pPr>
      <w:r w:rsidRPr="003F122D">
        <w:rPr>
          <w:rFonts w:ascii="Book Antiqua" w:hAnsi="Book Antiqua"/>
          <w:b/>
          <w:bCs/>
          <w:iCs/>
          <w:color w:val="000000"/>
          <w:sz w:val="24"/>
        </w:rPr>
        <w:t>Clinical trial registration</w:t>
      </w:r>
      <w:r>
        <w:rPr>
          <w:rFonts w:ascii="Book Antiqua" w:hAnsi="Book Antiqua"/>
          <w:b/>
          <w:bCs/>
          <w:iCs/>
          <w:color w:val="000000"/>
          <w:sz w:val="24"/>
        </w:rPr>
        <w:t>:</w:t>
      </w:r>
      <w:r w:rsidR="0028488C">
        <w:rPr>
          <w:rFonts w:ascii="Book Antiqua" w:hAnsi="Book Antiqua" w:hint="eastAsia"/>
          <w:b/>
          <w:bCs/>
          <w:iCs/>
          <w:color w:val="000000"/>
          <w:sz w:val="24"/>
          <w:lang w:eastAsia="zh-CN"/>
        </w:rPr>
        <w:t xml:space="preserve"> </w:t>
      </w:r>
      <w:r w:rsidR="00A926F8">
        <w:rPr>
          <w:rFonts w:ascii="Book Antiqua" w:hAnsi="Book Antiqua"/>
          <w:sz w:val="24"/>
          <w:szCs w:val="24"/>
        </w:rPr>
        <w:t>This study is registered at</w:t>
      </w:r>
      <w:r w:rsidR="00A926F8">
        <w:rPr>
          <w:rFonts w:ascii="Book Antiqua" w:hAnsi="Book Antiqua" w:hint="eastAsia"/>
          <w:sz w:val="24"/>
          <w:szCs w:val="24"/>
          <w:lang w:eastAsia="zh-CN"/>
        </w:rPr>
        <w:t xml:space="preserve"> </w:t>
      </w:r>
      <w:hyperlink r:id="rId8" w:history="1">
        <w:r w:rsidR="00ED1936" w:rsidRPr="00785D97">
          <w:rPr>
            <w:rStyle w:val="a6"/>
            <w:rFonts w:ascii="Book Antiqua" w:hAnsi="Book Antiqua"/>
            <w:color w:val="auto"/>
            <w:sz w:val="24"/>
            <w:szCs w:val="24"/>
            <w:u w:val="none"/>
          </w:rPr>
          <w:t>https://clinicaltrials.gov/show/NCT00294359</w:t>
        </w:r>
      </w:hyperlink>
      <w:r w:rsidR="0028488C" w:rsidRPr="0028488C">
        <w:rPr>
          <w:rStyle w:val="a6"/>
          <w:rFonts w:ascii="Book Antiqua" w:hAnsi="Book Antiqua" w:hint="eastAsia"/>
          <w:bCs/>
          <w:iCs/>
          <w:color w:val="auto"/>
          <w:sz w:val="24"/>
          <w:u w:val="none"/>
          <w:lang w:eastAsia="zh-CN"/>
        </w:rPr>
        <w:t>;</w:t>
      </w:r>
      <w:r w:rsidR="00A926F8" w:rsidRPr="00785D97">
        <w:rPr>
          <w:rStyle w:val="a6"/>
          <w:rFonts w:ascii="Book Antiqua" w:hAnsi="Book Antiqua" w:hint="eastAsia"/>
          <w:b/>
          <w:bCs/>
          <w:iCs/>
          <w:color w:val="auto"/>
          <w:sz w:val="24"/>
          <w:u w:val="none"/>
          <w:lang w:eastAsia="zh-CN"/>
        </w:rPr>
        <w:t xml:space="preserve"> </w:t>
      </w:r>
      <w:r w:rsidR="0028488C" w:rsidRPr="00A926F8">
        <w:rPr>
          <w:rStyle w:val="a6"/>
          <w:rFonts w:ascii="Book Antiqua" w:hAnsi="Book Antiqua"/>
          <w:color w:val="auto"/>
          <w:sz w:val="24"/>
          <w:szCs w:val="24"/>
          <w:u w:val="none"/>
        </w:rPr>
        <w:t>the</w:t>
      </w:r>
      <w:r w:rsidR="00ED1936" w:rsidRPr="00A926F8">
        <w:rPr>
          <w:rStyle w:val="a6"/>
          <w:rFonts w:ascii="Book Antiqua" w:hAnsi="Book Antiqua"/>
          <w:color w:val="auto"/>
          <w:sz w:val="24"/>
          <w:szCs w:val="24"/>
          <w:u w:val="none"/>
        </w:rPr>
        <w:t xml:space="preserve"> registration identification number is </w:t>
      </w:r>
      <w:r w:rsidR="00ED1936" w:rsidRPr="00A926F8">
        <w:rPr>
          <w:rFonts w:ascii="Book Antiqua" w:hAnsi="Book Antiqua"/>
          <w:sz w:val="24"/>
          <w:szCs w:val="24"/>
        </w:rPr>
        <w:t>NCT00294359</w:t>
      </w:r>
      <w:r w:rsidR="00A926F8">
        <w:rPr>
          <w:rFonts w:ascii="Book Antiqua" w:hAnsi="Book Antiqua" w:hint="eastAsia"/>
          <w:sz w:val="24"/>
          <w:szCs w:val="24"/>
          <w:lang w:eastAsia="zh-CN"/>
        </w:rPr>
        <w:t>.</w:t>
      </w:r>
    </w:p>
    <w:p w:rsidR="00A926F8" w:rsidRPr="00A926F8" w:rsidRDefault="00A926F8" w:rsidP="00785D97">
      <w:pPr>
        <w:autoSpaceDE w:val="0"/>
        <w:autoSpaceDN w:val="0"/>
        <w:adjustRightInd w:val="0"/>
        <w:spacing w:after="0" w:line="360" w:lineRule="auto"/>
        <w:jc w:val="both"/>
        <w:rPr>
          <w:rFonts w:ascii="Book Antiqua" w:hAnsi="Book Antiqua"/>
          <w:b/>
          <w:bCs/>
          <w:iCs/>
          <w:sz w:val="24"/>
          <w:lang w:eastAsia="zh-CN"/>
        </w:rPr>
      </w:pPr>
    </w:p>
    <w:p w:rsidR="00951777" w:rsidRDefault="00951777" w:rsidP="00785D97">
      <w:pPr>
        <w:autoSpaceDE w:val="0"/>
        <w:autoSpaceDN w:val="0"/>
        <w:adjustRightInd w:val="0"/>
        <w:spacing w:after="0" w:line="360" w:lineRule="auto"/>
        <w:jc w:val="both"/>
        <w:rPr>
          <w:rFonts w:ascii="Book Antiqua" w:hAnsi="Book Antiqua" w:cs="TimesNewRomanPS-BoldItalicMT"/>
          <w:bCs/>
          <w:iCs/>
          <w:color w:val="000000"/>
          <w:sz w:val="24"/>
          <w:lang w:eastAsia="zh-CN"/>
        </w:rPr>
      </w:pPr>
      <w:r w:rsidRPr="00BB4403">
        <w:rPr>
          <w:rFonts w:ascii="Book Antiqua" w:hAnsi="Book Antiqua"/>
          <w:b/>
          <w:bCs/>
          <w:iCs/>
          <w:color w:val="000000"/>
          <w:sz w:val="24"/>
        </w:rPr>
        <w:t>Informed consent</w:t>
      </w:r>
      <w:r w:rsidRPr="00BB4403">
        <w:rPr>
          <w:rFonts w:ascii="Book Antiqua" w:hAnsi="Book Antiqua" w:hint="eastAsia"/>
          <w:b/>
          <w:bCs/>
          <w:iCs/>
          <w:color w:val="000000"/>
          <w:sz w:val="24"/>
        </w:rPr>
        <w:t>:</w:t>
      </w:r>
      <w:r w:rsidRPr="00BB4403">
        <w:rPr>
          <w:rFonts w:ascii="Book Antiqua" w:hAnsi="Book Antiqua"/>
          <w:b/>
          <w:bCs/>
          <w:iCs/>
          <w:color w:val="000000"/>
          <w:sz w:val="24"/>
        </w:rPr>
        <w:t xml:space="preserve"> </w:t>
      </w:r>
      <w:r w:rsidR="00A926F8">
        <w:rPr>
          <w:rFonts w:ascii="Book Antiqua" w:hAnsi="Book Antiqua" w:hint="eastAsia"/>
          <w:b/>
          <w:bCs/>
          <w:iCs/>
          <w:color w:val="000000"/>
          <w:sz w:val="24"/>
          <w:lang w:eastAsia="zh-CN"/>
        </w:rPr>
        <w:t xml:space="preserve"> </w:t>
      </w:r>
      <w:r w:rsidR="00ED1936">
        <w:rPr>
          <w:rFonts w:ascii="Book Antiqua" w:hAnsi="Book Antiqua" w:cs="TimesNewRomanPS-BoldItalicMT"/>
          <w:bCs/>
          <w:iCs/>
          <w:color w:val="000000"/>
          <w:sz w:val="24"/>
        </w:rPr>
        <w:t>All study participants in the AGITG MAX trial provided written informed consent prior to study enrolment</w:t>
      </w:r>
      <w:r w:rsidR="00A926F8">
        <w:rPr>
          <w:rFonts w:ascii="Book Antiqua" w:hAnsi="Book Antiqua" w:cs="TimesNewRomanPS-BoldItalicMT" w:hint="eastAsia"/>
          <w:bCs/>
          <w:iCs/>
          <w:color w:val="000000"/>
          <w:sz w:val="24"/>
          <w:lang w:eastAsia="zh-CN"/>
        </w:rPr>
        <w:t>.</w:t>
      </w:r>
    </w:p>
    <w:p w:rsidR="00A926F8" w:rsidRPr="00A926F8" w:rsidRDefault="00A926F8" w:rsidP="00785D97">
      <w:pPr>
        <w:autoSpaceDE w:val="0"/>
        <w:autoSpaceDN w:val="0"/>
        <w:adjustRightInd w:val="0"/>
        <w:spacing w:after="0" w:line="360" w:lineRule="auto"/>
        <w:jc w:val="both"/>
        <w:rPr>
          <w:rFonts w:ascii="Book Antiqua" w:hAnsi="Book Antiqua"/>
          <w:b/>
          <w:bCs/>
          <w:iCs/>
          <w:color w:val="000000"/>
          <w:sz w:val="24"/>
          <w:lang w:eastAsia="zh-CN"/>
        </w:rPr>
      </w:pPr>
    </w:p>
    <w:p w:rsidR="00951777" w:rsidRDefault="00951777" w:rsidP="00785D97">
      <w:pPr>
        <w:autoSpaceDE w:val="0"/>
        <w:autoSpaceDN w:val="0"/>
        <w:adjustRightInd w:val="0"/>
        <w:spacing w:after="0" w:line="360" w:lineRule="auto"/>
        <w:jc w:val="both"/>
        <w:rPr>
          <w:rFonts w:ascii="Book Antiqua" w:hAnsi="Book Antiqua" w:cs="TimesNewRomanPS-BoldItalicMT"/>
          <w:bCs/>
          <w:iCs/>
          <w:color w:val="000000"/>
          <w:sz w:val="24"/>
          <w:lang w:eastAsia="zh-CN"/>
        </w:rPr>
      </w:pPr>
      <w:bookmarkStart w:id="16" w:name="OLE_LINK526"/>
      <w:bookmarkStart w:id="17" w:name="OLE_LINK527"/>
      <w:r w:rsidRPr="00BB4403">
        <w:rPr>
          <w:rFonts w:ascii="Book Antiqua" w:hAnsi="Book Antiqua" w:cs="TimesNewRomanPS-BoldItalicMT"/>
          <w:b/>
          <w:bCs/>
          <w:iCs/>
          <w:color w:val="000000"/>
          <w:sz w:val="24"/>
        </w:rPr>
        <w:t>Conflict-of-interest</w:t>
      </w:r>
      <w:r w:rsidRPr="00BB4403">
        <w:rPr>
          <w:rFonts w:ascii="Book Antiqua" w:hAnsi="Book Antiqua" w:cs="TimesNewRomanPS-BoldItalicMT" w:hint="eastAsia"/>
          <w:b/>
          <w:bCs/>
          <w:iCs/>
          <w:color w:val="000000"/>
          <w:sz w:val="24"/>
        </w:rPr>
        <w:t>:</w:t>
      </w:r>
      <w:bookmarkEnd w:id="10"/>
      <w:bookmarkEnd w:id="11"/>
      <w:bookmarkEnd w:id="16"/>
      <w:bookmarkEnd w:id="17"/>
      <w:r w:rsidR="00A926F8">
        <w:rPr>
          <w:rFonts w:ascii="Book Antiqua" w:hAnsi="Book Antiqua" w:cs="TimesNewRomanPS-BoldItalicMT" w:hint="eastAsia"/>
          <w:b/>
          <w:bCs/>
          <w:iCs/>
          <w:color w:val="000000"/>
          <w:sz w:val="24"/>
          <w:lang w:eastAsia="zh-CN"/>
        </w:rPr>
        <w:t xml:space="preserve"> </w:t>
      </w:r>
      <w:r w:rsidR="00ED1936">
        <w:rPr>
          <w:rFonts w:ascii="Book Antiqua" w:hAnsi="Book Antiqua" w:cs="TimesNewRomanPS-BoldItalicMT"/>
          <w:bCs/>
          <w:iCs/>
          <w:color w:val="000000"/>
          <w:sz w:val="24"/>
        </w:rPr>
        <w:t>All authors have disclosed an untied educational grant from Roche Products Pty Ltd (Australia). Roche has provided financial assistance for the development, installation and maintenance of the TRACC database.</w:t>
      </w:r>
    </w:p>
    <w:p w:rsidR="00A926F8" w:rsidRPr="00A926F8" w:rsidRDefault="00A926F8" w:rsidP="00785D97">
      <w:pPr>
        <w:autoSpaceDE w:val="0"/>
        <w:autoSpaceDN w:val="0"/>
        <w:adjustRightInd w:val="0"/>
        <w:spacing w:after="0" w:line="360" w:lineRule="auto"/>
        <w:jc w:val="both"/>
        <w:rPr>
          <w:rFonts w:ascii="Book Antiqua" w:hAnsi="Book Antiqua" w:cs="TimesNewRomanPS-BoldItalicMT"/>
          <w:b/>
          <w:bCs/>
          <w:iCs/>
          <w:color w:val="000000"/>
          <w:sz w:val="24"/>
          <w:lang w:eastAsia="zh-CN"/>
        </w:rPr>
      </w:pPr>
    </w:p>
    <w:p w:rsidR="00ED1936" w:rsidRPr="00A926F8" w:rsidRDefault="00951777" w:rsidP="00785D97">
      <w:pPr>
        <w:autoSpaceDE w:val="0"/>
        <w:autoSpaceDN w:val="0"/>
        <w:adjustRightInd w:val="0"/>
        <w:spacing w:after="0" w:line="360" w:lineRule="auto"/>
        <w:jc w:val="both"/>
        <w:rPr>
          <w:rFonts w:ascii="Book Antiqua" w:hAnsi="Book Antiqua" w:cs="TimesNewRomanPS-BoldItalicMT"/>
          <w:b/>
          <w:bCs/>
          <w:iCs/>
          <w:color w:val="000000"/>
          <w:sz w:val="24"/>
        </w:rPr>
      </w:pPr>
      <w:r w:rsidRPr="00BB4403">
        <w:rPr>
          <w:rFonts w:ascii="Book Antiqua" w:hAnsi="Book Antiqua" w:cs="TimesNewRomanPS-BoldItalicMT"/>
          <w:b/>
          <w:bCs/>
          <w:iCs/>
          <w:color w:val="000000"/>
          <w:sz w:val="24"/>
        </w:rPr>
        <w:t>Data sharing</w:t>
      </w:r>
      <w:r w:rsidRPr="00BB4403">
        <w:rPr>
          <w:rFonts w:ascii="Book Antiqua" w:hAnsi="Book Antiqua" w:cs="TimesNewRomanPS-BoldItalicMT" w:hint="eastAsia"/>
          <w:b/>
          <w:bCs/>
          <w:iCs/>
          <w:color w:val="000000"/>
          <w:sz w:val="24"/>
        </w:rPr>
        <w:t>:</w:t>
      </w:r>
      <w:r w:rsidR="00A926F8">
        <w:rPr>
          <w:rFonts w:ascii="Book Antiqua" w:hAnsi="Book Antiqua" w:cs="TimesNewRomanPS-BoldItalicMT" w:hint="eastAsia"/>
          <w:b/>
          <w:bCs/>
          <w:iCs/>
          <w:color w:val="000000"/>
          <w:sz w:val="24"/>
          <w:lang w:eastAsia="zh-CN"/>
        </w:rPr>
        <w:t xml:space="preserve"> </w:t>
      </w:r>
      <w:r w:rsidR="00ED1936">
        <w:rPr>
          <w:rFonts w:ascii="Book Antiqua" w:hAnsi="Book Antiqua" w:cs="TimesNewRomanPS-BoldItalicMT"/>
          <w:bCs/>
          <w:iCs/>
          <w:color w:val="000000"/>
          <w:sz w:val="24"/>
        </w:rPr>
        <w:t>No further data is available.</w:t>
      </w:r>
    </w:p>
    <w:p w:rsidR="00951777" w:rsidRPr="00BB4403" w:rsidRDefault="00951777" w:rsidP="00785D97">
      <w:pPr>
        <w:autoSpaceDE w:val="0"/>
        <w:autoSpaceDN w:val="0"/>
        <w:adjustRightInd w:val="0"/>
        <w:spacing w:after="0" w:line="360" w:lineRule="auto"/>
        <w:jc w:val="both"/>
        <w:rPr>
          <w:rFonts w:ascii="Book Antiqua" w:hAnsi="Book Antiqua" w:cs="TimesNewRomanPS-BoldItalicMT"/>
          <w:bCs/>
          <w:iCs/>
          <w:color w:val="000000"/>
          <w:sz w:val="24"/>
          <w:lang w:eastAsia="zh-CN"/>
        </w:rPr>
      </w:pPr>
    </w:p>
    <w:bookmarkEnd w:id="12"/>
    <w:bookmarkEnd w:id="13"/>
    <w:bookmarkEnd w:id="14"/>
    <w:bookmarkEnd w:id="15"/>
    <w:p w:rsidR="00951777" w:rsidRPr="00164EDB" w:rsidRDefault="00951777" w:rsidP="00785D97">
      <w:pPr>
        <w:spacing w:after="0" w:line="360" w:lineRule="auto"/>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64EDB">
        <w:rPr>
          <w:rFonts w:ascii="Book Antiqua" w:hAnsi="Book Antiqua"/>
          <w:color w:val="000000"/>
          <w:sz w:val="24"/>
        </w:rPr>
        <w:lastRenderedPageBreak/>
        <w:t>the original work is properly cited and the use is non-commercial. See: http://creativecommons.org/licenses/by-nc/4.0/</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951777" w:rsidP="00785D97">
      <w:pPr>
        <w:spacing w:after="0" w:line="360" w:lineRule="auto"/>
        <w:jc w:val="both"/>
        <w:rPr>
          <w:rFonts w:ascii="Book Antiqua" w:hAnsi="Book Antiqua"/>
          <w:b/>
          <w:color w:val="000000"/>
          <w:sz w:val="24"/>
          <w:lang w:eastAsia="zh-CN"/>
        </w:rPr>
      </w:pPr>
      <w:r w:rsidRPr="00712F63">
        <w:rPr>
          <w:rFonts w:ascii="Book Antiqua" w:hAnsi="Book Antiqua"/>
          <w:b/>
          <w:color w:val="000000"/>
          <w:sz w:val="24"/>
        </w:rPr>
        <w:t>Correspondence to:</w:t>
      </w:r>
      <w:r>
        <w:rPr>
          <w:rFonts w:ascii="Book Antiqua" w:hAnsi="Book Antiqua" w:hint="eastAsia"/>
          <w:b/>
          <w:color w:val="000000"/>
          <w:sz w:val="24"/>
          <w:lang w:eastAsia="zh-CN"/>
        </w:rPr>
        <w:t xml:space="preserve"> </w:t>
      </w:r>
      <w:bookmarkStart w:id="18" w:name="OLE_LINK73"/>
      <w:bookmarkStart w:id="19" w:name="OLE_LINK74"/>
      <w:proofErr w:type="spellStart"/>
      <w:r w:rsidR="00C071D1" w:rsidRPr="00A926F8">
        <w:rPr>
          <w:rFonts w:ascii="Book Antiqua" w:hAnsi="Book Antiqua"/>
          <w:b/>
          <w:sz w:val="24"/>
          <w:szCs w:val="24"/>
        </w:rPr>
        <w:t>Aflah</w:t>
      </w:r>
      <w:proofErr w:type="spellEnd"/>
      <w:r w:rsidR="00C071D1" w:rsidRPr="00A926F8">
        <w:rPr>
          <w:rFonts w:ascii="Book Antiqua" w:hAnsi="Book Antiqua"/>
          <w:b/>
          <w:sz w:val="24"/>
          <w:szCs w:val="24"/>
        </w:rPr>
        <w:t xml:space="preserve"> </w:t>
      </w:r>
      <w:proofErr w:type="spellStart"/>
      <w:r w:rsidR="00C071D1" w:rsidRPr="00A926F8">
        <w:rPr>
          <w:rFonts w:ascii="Book Antiqua" w:hAnsi="Book Antiqua"/>
          <w:b/>
          <w:sz w:val="24"/>
          <w:szCs w:val="24"/>
        </w:rPr>
        <w:t>Roohullah</w:t>
      </w:r>
      <w:bookmarkEnd w:id="18"/>
      <w:bookmarkEnd w:id="19"/>
      <w:proofErr w:type="spellEnd"/>
      <w:r w:rsidRPr="00A926F8">
        <w:rPr>
          <w:rFonts w:ascii="Book Antiqua" w:hAnsi="Book Antiqua" w:hint="eastAsia"/>
          <w:b/>
          <w:sz w:val="24"/>
          <w:szCs w:val="24"/>
          <w:lang w:eastAsia="zh-CN"/>
        </w:rPr>
        <w:t xml:space="preserve">, </w:t>
      </w:r>
      <w:proofErr w:type="spellStart"/>
      <w:r w:rsidR="00C071D1" w:rsidRPr="00A926F8">
        <w:rPr>
          <w:rFonts w:ascii="Book Antiqua" w:hAnsi="Book Antiqua"/>
          <w:b/>
          <w:sz w:val="24"/>
          <w:szCs w:val="24"/>
        </w:rPr>
        <w:t>MBChB</w:t>
      </w:r>
      <w:proofErr w:type="spellEnd"/>
      <w:r w:rsidRPr="00A926F8">
        <w:rPr>
          <w:rFonts w:ascii="Book Antiqua" w:hAnsi="Book Antiqua" w:hint="eastAsia"/>
          <w:b/>
          <w:sz w:val="24"/>
          <w:szCs w:val="24"/>
          <w:lang w:eastAsia="zh-CN"/>
        </w:rPr>
        <w:t>,</w:t>
      </w:r>
      <w:r w:rsidR="00C071D1" w:rsidRPr="00A926F8">
        <w:rPr>
          <w:rFonts w:ascii="Book Antiqua" w:hAnsi="Book Antiqua"/>
          <w:b/>
          <w:sz w:val="24"/>
          <w:szCs w:val="24"/>
        </w:rPr>
        <w:t xml:space="preserve"> FRACP</w:t>
      </w:r>
      <w:r w:rsidRPr="00A926F8">
        <w:rPr>
          <w:rFonts w:ascii="Book Antiqua" w:hAnsi="Book Antiqua" w:hint="eastAsia"/>
          <w:b/>
          <w:color w:val="000000"/>
          <w:sz w:val="24"/>
          <w:lang w:eastAsia="zh-CN"/>
        </w:rPr>
        <w:t xml:space="preserve">, </w:t>
      </w:r>
      <w:r w:rsidR="00C071D1" w:rsidRPr="00951777">
        <w:rPr>
          <w:rFonts w:ascii="Book Antiqua" w:hAnsi="Book Antiqua"/>
          <w:sz w:val="24"/>
          <w:szCs w:val="24"/>
        </w:rPr>
        <w:t xml:space="preserve">Macarthur Cancer Therapy </w:t>
      </w:r>
      <w:r w:rsidR="00C071D1" w:rsidRPr="00A926F8">
        <w:rPr>
          <w:rFonts w:ascii="Book Antiqua" w:hAnsi="Book Antiqua"/>
          <w:sz w:val="24"/>
          <w:szCs w:val="24"/>
        </w:rPr>
        <w:t>Centre</w:t>
      </w:r>
      <w:r w:rsidRPr="00A926F8">
        <w:rPr>
          <w:rFonts w:ascii="Book Antiqua" w:hAnsi="Book Antiqua" w:hint="eastAsia"/>
          <w:sz w:val="24"/>
          <w:szCs w:val="24"/>
          <w:lang w:eastAsia="zh-CN"/>
        </w:rPr>
        <w:t>,</w:t>
      </w:r>
      <w:r w:rsidR="00C071D1" w:rsidRPr="00A926F8">
        <w:rPr>
          <w:rFonts w:ascii="Book Antiqua" w:hAnsi="Book Antiqua"/>
          <w:sz w:val="24"/>
          <w:szCs w:val="24"/>
        </w:rPr>
        <w:t xml:space="preserve"> Campbelltown Hospital, </w:t>
      </w:r>
      <w:proofErr w:type="spellStart"/>
      <w:r w:rsidR="00C071D1" w:rsidRPr="00A926F8">
        <w:rPr>
          <w:rFonts w:ascii="Book Antiqua" w:hAnsi="Book Antiqua"/>
          <w:sz w:val="24"/>
          <w:szCs w:val="24"/>
        </w:rPr>
        <w:t>Therry</w:t>
      </w:r>
      <w:proofErr w:type="spellEnd"/>
      <w:r w:rsidR="00C071D1" w:rsidRPr="00A926F8">
        <w:rPr>
          <w:rFonts w:ascii="Book Antiqua" w:hAnsi="Book Antiqua"/>
          <w:sz w:val="24"/>
          <w:szCs w:val="24"/>
        </w:rPr>
        <w:t xml:space="preserve"> Road, Campbelltown NSW 2560, Australia</w:t>
      </w:r>
      <w:r w:rsidRPr="00A926F8">
        <w:rPr>
          <w:rFonts w:ascii="Book Antiqua" w:hAnsi="Book Antiqua" w:hint="eastAsia"/>
          <w:sz w:val="24"/>
          <w:szCs w:val="24"/>
          <w:lang w:eastAsia="zh-CN"/>
        </w:rPr>
        <w:t>.</w:t>
      </w:r>
      <w:r w:rsidRPr="00A926F8">
        <w:rPr>
          <w:rFonts w:ascii="Book Antiqua" w:hAnsi="Book Antiqua"/>
          <w:sz w:val="24"/>
          <w:szCs w:val="24"/>
        </w:rPr>
        <w:t xml:space="preserve"> </w:t>
      </w:r>
      <w:hyperlink r:id="rId9" w:history="1">
        <w:r w:rsidR="00953585" w:rsidRPr="00A926F8">
          <w:rPr>
            <w:rStyle w:val="a6"/>
            <w:rFonts w:ascii="Book Antiqua" w:hAnsi="Book Antiqua"/>
            <w:color w:val="auto"/>
            <w:sz w:val="24"/>
            <w:szCs w:val="24"/>
            <w:u w:val="none"/>
          </w:rPr>
          <w:t>aflah.roohullah@sswahs.nsw.gov.au</w:t>
        </w:r>
      </w:hyperlink>
    </w:p>
    <w:p w:rsidR="00C071D1" w:rsidRPr="00951777" w:rsidRDefault="00A926F8" w:rsidP="00785D97">
      <w:pPr>
        <w:spacing w:after="0" w:line="360" w:lineRule="auto"/>
        <w:jc w:val="both"/>
        <w:rPr>
          <w:rFonts w:ascii="Book Antiqua" w:hAnsi="Book Antiqua"/>
          <w:sz w:val="24"/>
          <w:szCs w:val="24"/>
        </w:rPr>
      </w:pPr>
      <w:r w:rsidRPr="00A926F8">
        <w:rPr>
          <w:rFonts w:ascii="Book Antiqua" w:hAnsi="Book Antiqua" w:hint="eastAsia"/>
          <w:b/>
          <w:sz w:val="24"/>
          <w:szCs w:val="24"/>
          <w:lang w:eastAsia="zh-CN"/>
        </w:rPr>
        <w:t>Tele</w:t>
      </w:r>
      <w:r w:rsidRPr="00A926F8">
        <w:rPr>
          <w:rFonts w:ascii="Book Antiqua" w:hAnsi="Book Antiqua"/>
          <w:b/>
          <w:sz w:val="24"/>
          <w:szCs w:val="24"/>
        </w:rPr>
        <w:t>p</w:t>
      </w:r>
      <w:r w:rsidR="00C071D1" w:rsidRPr="00A926F8">
        <w:rPr>
          <w:rFonts w:ascii="Book Antiqua" w:hAnsi="Book Antiqua"/>
          <w:b/>
          <w:sz w:val="24"/>
          <w:szCs w:val="24"/>
        </w:rPr>
        <w:t>hone</w:t>
      </w:r>
      <w:r w:rsidR="00C071D1" w:rsidRPr="00951777">
        <w:rPr>
          <w:rFonts w:ascii="Book Antiqua" w:hAnsi="Book Antiqua"/>
          <w:sz w:val="24"/>
          <w:szCs w:val="24"/>
        </w:rPr>
        <w:t>: +61</w:t>
      </w:r>
      <w:r>
        <w:rPr>
          <w:rFonts w:ascii="Book Antiqua" w:hAnsi="Book Antiqua" w:hint="eastAsia"/>
          <w:sz w:val="24"/>
          <w:szCs w:val="24"/>
          <w:lang w:eastAsia="zh-CN"/>
        </w:rPr>
        <w:t>-</w:t>
      </w:r>
      <w:r w:rsidR="00C071D1" w:rsidRPr="00951777">
        <w:rPr>
          <w:rFonts w:ascii="Book Antiqua" w:hAnsi="Book Antiqua"/>
          <w:sz w:val="24"/>
          <w:szCs w:val="24"/>
        </w:rPr>
        <w:t>2</w:t>
      </w:r>
      <w:r>
        <w:rPr>
          <w:rFonts w:ascii="Book Antiqua" w:hAnsi="Book Antiqua" w:hint="eastAsia"/>
          <w:sz w:val="24"/>
          <w:szCs w:val="24"/>
          <w:lang w:eastAsia="zh-CN"/>
        </w:rPr>
        <w:t>-</w:t>
      </w:r>
      <w:r>
        <w:rPr>
          <w:rFonts w:ascii="Book Antiqua" w:hAnsi="Book Antiqua"/>
          <w:sz w:val="24"/>
          <w:szCs w:val="24"/>
        </w:rPr>
        <w:t>4634</w:t>
      </w:r>
      <w:r w:rsidR="00C071D1" w:rsidRPr="00951777">
        <w:rPr>
          <w:rFonts w:ascii="Book Antiqua" w:hAnsi="Book Antiqua"/>
          <w:sz w:val="24"/>
          <w:szCs w:val="24"/>
        </w:rPr>
        <w:t>4355</w:t>
      </w:r>
    </w:p>
    <w:p w:rsidR="00951777" w:rsidRDefault="00C071D1" w:rsidP="00785D97">
      <w:pPr>
        <w:spacing w:after="0" w:line="360" w:lineRule="auto"/>
        <w:jc w:val="both"/>
        <w:rPr>
          <w:rFonts w:ascii="Book Antiqua" w:hAnsi="Book Antiqua"/>
          <w:sz w:val="24"/>
          <w:szCs w:val="24"/>
          <w:lang w:eastAsia="zh-CN"/>
        </w:rPr>
      </w:pPr>
      <w:r w:rsidRPr="00A926F8">
        <w:rPr>
          <w:rFonts w:ascii="Book Antiqua" w:hAnsi="Book Antiqua"/>
          <w:b/>
          <w:sz w:val="24"/>
          <w:szCs w:val="24"/>
        </w:rPr>
        <w:t>Fax</w:t>
      </w:r>
      <w:r w:rsidRPr="00951777">
        <w:rPr>
          <w:rFonts w:ascii="Book Antiqua" w:hAnsi="Book Antiqua"/>
          <w:sz w:val="24"/>
          <w:szCs w:val="24"/>
        </w:rPr>
        <w:t>: +61</w:t>
      </w:r>
      <w:r w:rsidR="00A926F8">
        <w:rPr>
          <w:rFonts w:ascii="Book Antiqua" w:hAnsi="Book Antiqua" w:hint="eastAsia"/>
          <w:sz w:val="24"/>
          <w:szCs w:val="24"/>
          <w:lang w:eastAsia="zh-CN"/>
        </w:rPr>
        <w:t>-</w:t>
      </w:r>
      <w:r w:rsidRPr="00951777">
        <w:rPr>
          <w:rFonts w:ascii="Book Antiqua" w:hAnsi="Book Antiqua"/>
          <w:sz w:val="24"/>
          <w:szCs w:val="24"/>
        </w:rPr>
        <w:t>2</w:t>
      </w:r>
      <w:r w:rsidR="00A926F8">
        <w:rPr>
          <w:rFonts w:ascii="Book Antiqua" w:hAnsi="Book Antiqua" w:hint="eastAsia"/>
          <w:sz w:val="24"/>
          <w:szCs w:val="24"/>
          <w:lang w:eastAsia="zh-CN"/>
        </w:rPr>
        <w:t>-</w:t>
      </w:r>
      <w:r w:rsidR="00A926F8">
        <w:rPr>
          <w:rFonts w:ascii="Book Antiqua" w:hAnsi="Book Antiqua"/>
          <w:sz w:val="24"/>
          <w:szCs w:val="24"/>
        </w:rPr>
        <w:t>4634</w:t>
      </w:r>
      <w:r w:rsidRPr="00951777">
        <w:rPr>
          <w:rFonts w:ascii="Book Antiqua" w:hAnsi="Book Antiqua"/>
          <w:sz w:val="24"/>
          <w:szCs w:val="24"/>
        </w:rPr>
        <w:t>4311</w:t>
      </w:r>
    </w:p>
    <w:p w:rsidR="00951777" w:rsidRPr="00343383" w:rsidRDefault="00343383" w:rsidP="00785D97">
      <w:pPr>
        <w:spacing w:after="0" w:line="360" w:lineRule="auto"/>
        <w:jc w:val="both"/>
        <w:rPr>
          <w:rFonts w:ascii="Book Antiqua" w:hAnsi="Book Antiqua"/>
          <w:sz w:val="24"/>
          <w:lang w:eastAsia="zh-CN"/>
        </w:rPr>
      </w:pPr>
      <w:bookmarkStart w:id="20" w:name="OLE_LINK476"/>
      <w:bookmarkStart w:id="21" w:name="OLE_LINK477"/>
      <w:r>
        <w:rPr>
          <w:rFonts w:ascii="Book Antiqua" w:hAnsi="Book Antiqua"/>
          <w:b/>
          <w:sz w:val="24"/>
        </w:rPr>
        <w:t>Received:</w:t>
      </w:r>
      <w:r>
        <w:rPr>
          <w:rFonts w:ascii="Book Antiqua" w:hAnsi="Book Antiqua" w:hint="eastAsia"/>
          <w:b/>
          <w:sz w:val="24"/>
          <w:lang w:eastAsia="zh-CN"/>
        </w:rPr>
        <w:t xml:space="preserve"> </w:t>
      </w:r>
      <w:r w:rsidRPr="00343383">
        <w:rPr>
          <w:rFonts w:ascii="Book Antiqua" w:hAnsi="Book Antiqua" w:hint="eastAsia"/>
          <w:sz w:val="24"/>
          <w:lang w:eastAsia="zh-CN"/>
        </w:rPr>
        <w:t>December 18, 201</w:t>
      </w:r>
      <w:r w:rsidR="006A4A06">
        <w:rPr>
          <w:rFonts w:ascii="Book Antiqua" w:hAnsi="Book Antiqua" w:hint="eastAsia"/>
          <w:sz w:val="24"/>
          <w:lang w:eastAsia="zh-CN"/>
        </w:rPr>
        <w:t>4</w:t>
      </w:r>
    </w:p>
    <w:p w:rsidR="00951777" w:rsidRPr="00343383" w:rsidRDefault="00951777" w:rsidP="00785D97">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343383" w:rsidRPr="00343383">
        <w:rPr>
          <w:rFonts w:ascii="Book Antiqua" w:hAnsi="Book Antiqua" w:hint="eastAsia"/>
          <w:sz w:val="24"/>
          <w:lang w:eastAsia="zh-CN"/>
        </w:rPr>
        <w:t xml:space="preserve"> December </w:t>
      </w:r>
      <w:r w:rsidR="00343383">
        <w:rPr>
          <w:rFonts w:ascii="Book Antiqua" w:hAnsi="Book Antiqua" w:hint="eastAsia"/>
          <w:sz w:val="24"/>
          <w:lang w:eastAsia="zh-CN"/>
        </w:rPr>
        <w:t>19</w:t>
      </w:r>
      <w:r w:rsidR="00343383" w:rsidRPr="00343383">
        <w:rPr>
          <w:rFonts w:ascii="Book Antiqua" w:hAnsi="Book Antiqua" w:hint="eastAsia"/>
          <w:sz w:val="24"/>
          <w:lang w:eastAsia="zh-CN"/>
        </w:rPr>
        <w:t>, 201</w:t>
      </w:r>
      <w:r w:rsidR="006A4A06">
        <w:rPr>
          <w:rFonts w:ascii="Book Antiqua" w:hAnsi="Book Antiqua" w:hint="eastAsia"/>
          <w:sz w:val="24"/>
          <w:lang w:eastAsia="zh-CN"/>
        </w:rPr>
        <w:t>4</w:t>
      </w:r>
    </w:p>
    <w:p w:rsidR="00951777" w:rsidRPr="00343383" w:rsidRDefault="00951777" w:rsidP="00785D97">
      <w:pPr>
        <w:spacing w:after="0" w:line="360" w:lineRule="auto"/>
        <w:jc w:val="both"/>
        <w:rPr>
          <w:rFonts w:ascii="Book Antiqua" w:hAnsi="Book Antiqua"/>
          <w:sz w:val="24"/>
          <w:lang w:eastAsia="zh-CN"/>
        </w:rPr>
      </w:pPr>
      <w:r w:rsidRPr="009659DA">
        <w:rPr>
          <w:rFonts w:ascii="Book Antiqua" w:hAnsi="Book Antiqua"/>
          <w:b/>
          <w:sz w:val="24"/>
        </w:rPr>
        <w:t>First decision:</w:t>
      </w:r>
      <w:r w:rsidR="00343383">
        <w:rPr>
          <w:rFonts w:ascii="Book Antiqua" w:hAnsi="Book Antiqua" w:hint="eastAsia"/>
          <w:b/>
          <w:sz w:val="24"/>
          <w:lang w:eastAsia="zh-CN"/>
        </w:rPr>
        <w:t xml:space="preserve"> </w:t>
      </w:r>
      <w:r w:rsidR="00343383" w:rsidRPr="00343383">
        <w:rPr>
          <w:rFonts w:ascii="Book Antiqua" w:hAnsi="Book Antiqua" w:hint="eastAsia"/>
          <w:sz w:val="24"/>
          <w:lang w:eastAsia="zh-CN"/>
        </w:rPr>
        <w:t>January 8, 2015</w:t>
      </w:r>
    </w:p>
    <w:p w:rsidR="00951777" w:rsidRPr="00343383" w:rsidRDefault="00951777" w:rsidP="00785D97">
      <w:pPr>
        <w:spacing w:after="0" w:line="360" w:lineRule="auto"/>
        <w:jc w:val="both"/>
        <w:rPr>
          <w:rFonts w:ascii="Book Antiqua" w:hAnsi="Book Antiqua"/>
          <w:sz w:val="24"/>
          <w:lang w:eastAsia="zh-CN"/>
        </w:rPr>
      </w:pPr>
      <w:r>
        <w:rPr>
          <w:rFonts w:ascii="Book Antiqua" w:hAnsi="Book Antiqua"/>
          <w:b/>
          <w:sz w:val="24"/>
        </w:rPr>
        <w:t xml:space="preserve">Revised:  </w:t>
      </w:r>
      <w:r w:rsidR="00343383" w:rsidRPr="00343383">
        <w:rPr>
          <w:rFonts w:ascii="Book Antiqua" w:hAnsi="Book Antiqua" w:hint="eastAsia"/>
          <w:sz w:val="24"/>
          <w:lang w:eastAsia="zh-CN"/>
        </w:rPr>
        <w:t xml:space="preserve">January </w:t>
      </w:r>
      <w:r w:rsidR="00343383">
        <w:rPr>
          <w:rFonts w:ascii="Book Antiqua" w:hAnsi="Book Antiqua" w:hint="eastAsia"/>
          <w:sz w:val="24"/>
          <w:lang w:eastAsia="zh-CN"/>
        </w:rPr>
        <w:t>27</w:t>
      </w:r>
      <w:r w:rsidR="00343383" w:rsidRPr="00343383">
        <w:rPr>
          <w:rFonts w:ascii="Book Antiqua" w:hAnsi="Book Antiqua" w:hint="eastAsia"/>
          <w:sz w:val="24"/>
          <w:lang w:eastAsia="zh-CN"/>
        </w:rPr>
        <w:t>, 2015</w:t>
      </w:r>
    </w:p>
    <w:p w:rsidR="004138CC" w:rsidRDefault="00951777" w:rsidP="004138CC">
      <w:pPr>
        <w:rPr>
          <w:rFonts w:ascii="Book Antiqua" w:hAnsi="Book Antiqua"/>
          <w:color w:val="000000"/>
          <w:sz w:val="24"/>
        </w:rPr>
      </w:pPr>
      <w:r>
        <w:rPr>
          <w:rFonts w:ascii="Book Antiqua" w:hAnsi="Book Antiqua"/>
          <w:b/>
          <w:sz w:val="24"/>
        </w:rPr>
        <w:t xml:space="preserve">Accepted: </w:t>
      </w:r>
      <w:bookmarkStart w:id="22" w:name="OLE_LINK104"/>
      <w:bookmarkStart w:id="23" w:name="OLE_LINK99"/>
      <w:bookmarkStart w:id="24" w:name="OLE_LINK98"/>
      <w:r w:rsidR="004138CC">
        <w:rPr>
          <w:rFonts w:ascii="Book Antiqua" w:hAnsi="Book Antiqua"/>
          <w:color w:val="000000"/>
          <w:sz w:val="24"/>
        </w:rPr>
        <w:t>March 12, 2015</w:t>
      </w:r>
      <w:bookmarkEnd w:id="22"/>
      <w:bookmarkEnd w:id="23"/>
      <w:bookmarkEnd w:id="24"/>
    </w:p>
    <w:p w:rsidR="00951777" w:rsidRDefault="00951777" w:rsidP="00785D97">
      <w:pPr>
        <w:spacing w:after="0" w:line="360" w:lineRule="auto"/>
        <w:jc w:val="both"/>
        <w:rPr>
          <w:rFonts w:ascii="Book Antiqua" w:hAnsi="Book Antiqua"/>
          <w:b/>
          <w:sz w:val="24"/>
        </w:rPr>
      </w:pPr>
      <w:bookmarkStart w:id="25" w:name="_GoBack"/>
      <w:bookmarkEnd w:id="25"/>
      <w:r>
        <w:rPr>
          <w:rFonts w:ascii="Book Antiqua" w:hAnsi="Book Antiqua"/>
          <w:b/>
          <w:sz w:val="24"/>
        </w:rPr>
        <w:t xml:space="preserve"> </w:t>
      </w:r>
    </w:p>
    <w:p w:rsidR="00951777" w:rsidRDefault="00951777" w:rsidP="00785D97">
      <w:pPr>
        <w:spacing w:after="0" w:line="360" w:lineRule="auto"/>
        <w:jc w:val="both"/>
        <w:rPr>
          <w:rFonts w:ascii="Book Antiqua" w:hAnsi="Book Antiqua"/>
          <w:b/>
          <w:sz w:val="24"/>
        </w:rPr>
      </w:pPr>
      <w:r w:rsidRPr="009659DA">
        <w:rPr>
          <w:rFonts w:ascii="Book Antiqua" w:hAnsi="Book Antiqua"/>
          <w:b/>
          <w:sz w:val="24"/>
        </w:rPr>
        <w:t>Article in press:</w:t>
      </w:r>
    </w:p>
    <w:p w:rsidR="00951777" w:rsidRPr="00ED7CB9" w:rsidRDefault="00951777" w:rsidP="00785D97">
      <w:pPr>
        <w:spacing w:after="0" w:line="360" w:lineRule="auto"/>
        <w:jc w:val="both"/>
        <w:rPr>
          <w:rFonts w:ascii="Book Antiqua" w:hAnsi="Book Antiqua"/>
          <w:b/>
          <w:sz w:val="24"/>
        </w:rPr>
      </w:pPr>
      <w:r>
        <w:rPr>
          <w:rFonts w:ascii="Book Antiqua" w:hAnsi="Book Antiqua"/>
          <w:b/>
          <w:sz w:val="24"/>
        </w:rPr>
        <w:t xml:space="preserve">Published online: </w:t>
      </w:r>
    </w:p>
    <w:bookmarkEnd w:id="20"/>
    <w:bookmarkEnd w:id="21"/>
    <w:p w:rsidR="00C071D1" w:rsidRPr="00951777" w:rsidRDefault="00C071D1" w:rsidP="00785D97">
      <w:pPr>
        <w:spacing w:after="0" w:line="360" w:lineRule="auto"/>
        <w:jc w:val="both"/>
        <w:rPr>
          <w:rFonts w:ascii="Book Antiqua" w:hAnsi="Book Antiqua"/>
          <w:sz w:val="24"/>
          <w:szCs w:val="24"/>
          <w:u w:val="single"/>
        </w:rPr>
      </w:pPr>
      <w:r w:rsidRPr="00951777">
        <w:rPr>
          <w:rFonts w:ascii="Book Antiqua" w:hAnsi="Book Antiqua"/>
          <w:sz w:val="24"/>
          <w:szCs w:val="24"/>
          <w:u w:val="single"/>
        </w:rPr>
        <w:br w:type="page"/>
      </w:r>
    </w:p>
    <w:p w:rsidR="00C071D1" w:rsidRPr="00343383" w:rsidRDefault="00C071D1" w:rsidP="00785D97">
      <w:pPr>
        <w:spacing w:after="0" w:line="360" w:lineRule="auto"/>
        <w:jc w:val="both"/>
        <w:rPr>
          <w:rFonts w:ascii="Book Antiqua" w:hAnsi="Book Antiqua"/>
          <w:b/>
          <w:sz w:val="24"/>
          <w:szCs w:val="24"/>
        </w:rPr>
      </w:pPr>
      <w:r w:rsidRPr="00343383">
        <w:rPr>
          <w:rFonts w:ascii="Book Antiqua" w:hAnsi="Book Antiqua"/>
          <w:b/>
          <w:sz w:val="24"/>
          <w:szCs w:val="24"/>
        </w:rPr>
        <w:lastRenderedPageBreak/>
        <w:t xml:space="preserve">Abstract </w:t>
      </w: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b/>
          <w:sz w:val="24"/>
          <w:szCs w:val="24"/>
        </w:rPr>
        <w:t>AIM</w:t>
      </w:r>
      <w:r w:rsidR="00951777">
        <w:rPr>
          <w:rFonts w:ascii="Book Antiqua" w:hAnsi="Book Antiqua" w:hint="eastAsia"/>
          <w:sz w:val="24"/>
          <w:szCs w:val="24"/>
          <w:lang w:eastAsia="zh-CN"/>
        </w:rPr>
        <w:t xml:space="preserve">: </w:t>
      </w:r>
      <w:r w:rsidRPr="00951777">
        <w:rPr>
          <w:rFonts w:ascii="Book Antiqua" w:hAnsi="Book Antiqua"/>
          <w:sz w:val="24"/>
          <w:szCs w:val="24"/>
        </w:rPr>
        <w:t xml:space="preserve">To investigate the safety and efficacy of adding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to first-line chemotherapy in metastatic colorectal cancer patients with peritoneal disease.</w:t>
      </w:r>
    </w:p>
    <w:p w:rsidR="00951777" w:rsidRPr="00951777" w:rsidRDefault="00951777" w:rsidP="00785D97">
      <w:pPr>
        <w:spacing w:after="0" w:line="360" w:lineRule="auto"/>
        <w:jc w:val="both"/>
        <w:rPr>
          <w:rFonts w:ascii="Book Antiqua" w:hAnsi="Book Antiqua"/>
          <w:sz w:val="24"/>
          <w:szCs w:val="24"/>
          <w:lang w:eastAsia="zh-CN"/>
        </w:rPr>
      </w:pP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b/>
          <w:sz w:val="24"/>
          <w:szCs w:val="24"/>
        </w:rPr>
        <w:t>METHODS</w:t>
      </w:r>
      <w:r w:rsidR="00951777">
        <w:rPr>
          <w:rFonts w:ascii="Book Antiqua" w:hAnsi="Book Antiqua" w:hint="eastAsia"/>
          <w:sz w:val="24"/>
          <w:szCs w:val="24"/>
          <w:lang w:eastAsia="zh-CN"/>
        </w:rPr>
        <w:t xml:space="preserve">: </w:t>
      </w:r>
      <w:r w:rsidRPr="00951777">
        <w:rPr>
          <w:rFonts w:ascii="Book Antiqua" w:hAnsi="Book Antiqua"/>
          <w:sz w:val="24"/>
          <w:szCs w:val="24"/>
        </w:rPr>
        <w:t xml:space="preserve">We compared rates of gastrointestinal perforation  in patients with metastatic colorectal cancer and peritoneal disease receiving first-line chemotherapy with and without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in three distinct cohorts: (1) the AGITG MAX trial (Phase III randomised clinical trial comparing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vs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and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vs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and </w:t>
      </w:r>
      <w:proofErr w:type="spellStart"/>
      <w:r w:rsidRPr="00951777">
        <w:rPr>
          <w:rFonts w:ascii="Book Antiqua" w:hAnsi="Book Antiqua"/>
          <w:sz w:val="24"/>
          <w:szCs w:val="24"/>
        </w:rPr>
        <w:t>mitomycinC</w:t>
      </w:r>
      <w:proofErr w:type="spellEnd"/>
      <w:r w:rsidRPr="00951777">
        <w:rPr>
          <w:rFonts w:ascii="Book Antiqua" w:hAnsi="Book Antiqua"/>
          <w:sz w:val="24"/>
          <w:szCs w:val="24"/>
        </w:rPr>
        <w:t xml:space="preserve">); (2) the prospective Treatment of Recurrent and Advanced Colorectal Cancer </w:t>
      </w:r>
      <w:r w:rsidR="00633AE8">
        <w:rPr>
          <w:rFonts w:ascii="Book Antiqua" w:hAnsi="Book Antiqua" w:hint="eastAsia"/>
          <w:sz w:val="24"/>
          <w:szCs w:val="24"/>
          <w:lang w:eastAsia="zh-CN"/>
        </w:rPr>
        <w:t>(</w:t>
      </w:r>
      <w:r w:rsidRPr="00951777">
        <w:rPr>
          <w:rFonts w:ascii="Book Antiqua" w:hAnsi="Book Antiqua"/>
          <w:sz w:val="24"/>
          <w:szCs w:val="24"/>
        </w:rPr>
        <w:t>TRACC</w:t>
      </w:r>
      <w:r w:rsidR="00633AE8">
        <w:rPr>
          <w:rFonts w:ascii="Book Antiqua" w:hAnsi="Book Antiqua" w:hint="eastAsia"/>
          <w:sz w:val="24"/>
          <w:szCs w:val="24"/>
          <w:lang w:eastAsia="zh-CN"/>
        </w:rPr>
        <w:t>)</w:t>
      </w:r>
      <w:r w:rsidRPr="00951777">
        <w:rPr>
          <w:rFonts w:ascii="Book Antiqua" w:hAnsi="Book Antiqua"/>
          <w:sz w:val="24"/>
          <w:szCs w:val="24"/>
        </w:rPr>
        <w:t xml:space="preserve"> registry (any first-line regimen +/- </w:t>
      </w:r>
      <w:proofErr w:type="spellStart"/>
      <w:r w:rsidRPr="00951777">
        <w:rPr>
          <w:rFonts w:ascii="Book Antiqua" w:hAnsi="Book Antiqua"/>
          <w:sz w:val="24"/>
          <w:szCs w:val="24"/>
        </w:rPr>
        <w:t>bevacizumab</w:t>
      </w:r>
      <w:proofErr w:type="spellEnd"/>
      <w:r w:rsidRPr="00951777">
        <w:rPr>
          <w:rFonts w:ascii="Book Antiqua" w:hAnsi="Book Antiqua"/>
          <w:sz w:val="24"/>
          <w:szCs w:val="24"/>
        </w:rPr>
        <w:t>)</w:t>
      </w:r>
      <w:r w:rsidR="0028488C">
        <w:rPr>
          <w:rFonts w:ascii="Book Antiqua" w:hAnsi="Book Antiqua" w:hint="eastAsia"/>
          <w:sz w:val="24"/>
          <w:szCs w:val="24"/>
          <w:lang w:eastAsia="zh-CN"/>
        </w:rPr>
        <w:t>;</w:t>
      </w:r>
      <w:r w:rsidRPr="00951777">
        <w:rPr>
          <w:rFonts w:ascii="Book Antiqua" w:hAnsi="Book Antiqua"/>
          <w:sz w:val="24"/>
          <w:szCs w:val="24"/>
        </w:rPr>
        <w:t xml:space="preserve"> and (3) two cancer centres in New South Wales, Australia </w:t>
      </w:r>
      <w:r w:rsidR="00633AE8">
        <w:rPr>
          <w:rFonts w:ascii="Book Antiqua" w:hAnsi="Book Antiqua" w:hint="eastAsia"/>
          <w:sz w:val="24"/>
          <w:szCs w:val="24"/>
          <w:lang w:eastAsia="zh-CN"/>
        </w:rPr>
        <w:t>[</w:t>
      </w:r>
      <w:r w:rsidRPr="00951777">
        <w:rPr>
          <w:rFonts w:ascii="Book Antiqua" w:hAnsi="Book Antiqua"/>
          <w:sz w:val="24"/>
          <w:szCs w:val="24"/>
        </w:rPr>
        <w:t xml:space="preserve">Macarthur Cancer Therapy Centre and Liverpool Cancer Therapy Centre </w:t>
      </w:r>
      <w:r w:rsidR="00633AE8">
        <w:rPr>
          <w:rFonts w:ascii="Book Antiqua" w:hAnsi="Book Antiqua" w:hint="eastAsia"/>
          <w:sz w:val="24"/>
          <w:szCs w:val="24"/>
          <w:lang w:eastAsia="zh-CN"/>
        </w:rPr>
        <w:t>(</w:t>
      </w:r>
      <w:r w:rsidRPr="00951777">
        <w:rPr>
          <w:rFonts w:ascii="Book Antiqua" w:hAnsi="Book Antiqua"/>
          <w:sz w:val="24"/>
          <w:szCs w:val="24"/>
        </w:rPr>
        <w:t>NSWCC</w:t>
      </w:r>
      <w:r w:rsidR="00633AE8">
        <w:rPr>
          <w:rFonts w:ascii="Book Antiqua" w:hAnsi="Book Antiqua" w:hint="eastAsia"/>
          <w:sz w:val="24"/>
          <w:szCs w:val="24"/>
          <w:lang w:eastAsia="zh-CN"/>
        </w:rPr>
        <w:t>)</w:t>
      </w:r>
      <w:r w:rsidRPr="00951777">
        <w:rPr>
          <w:rFonts w:ascii="Book Antiqua" w:hAnsi="Book Antiqua"/>
          <w:sz w:val="24"/>
          <w:szCs w:val="24"/>
        </w:rPr>
        <w:t xml:space="preserve"> from Jan 2005 to Dec 2012, (any first-line regimen +/- </w:t>
      </w:r>
      <w:proofErr w:type="spellStart"/>
      <w:r w:rsidRPr="00951777">
        <w:rPr>
          <w:rFonts w:ascii="Book Antiqua" w:hAnsi="Book Antiqua"/>
          <w:sz w:val="24"/>
          <w:szCs w:val="24"/>
        </w:rPr>
        <w:t>bevacizumab</w:t>
      </w:r>
      <w:proofErr w:type="spellEnd"/>
      <w:r w:rsidR="00633AE8">
        <w:rPr>
          <w:rFonts w:ascii="Book Antiqua" w:hAnsi="Book Antiqua"/>
          <w:sz w:val="24"/>
          <w:szCs w:val="24"/>
          <w:lang w:eastAsia="zh-CN"/>
        </w:rPr>
        <w:t>)</w:t>
      </w:r>
      <w:r w:rsidRPr="00951777">
        <w:rPr>
          <w:rFonts w:ascii="Book Antiqua" w:hAnsi="Book Antiqua"/>
          <w:sz w:val="24"/>
          <w:szCs w:val="24"/>
        </w:rPr>
        <w:t xml:space="preserve">. For the AGITG MAX trial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was compared to the other two arms (</w:t>
      </w:r>
      <w:proofErr w:type="spellStart"/>
      <w:r w:rsidRPr="00951777">
        <w:rPr>
          <w:rFonts w:ascii="Book Antiqua" w:hAnsi="Book Antiqua"/>
          <w:sz w:val="24"/>
          <w:szCs w:val="24"/>
        </w:rPr>
        <w:t>capecitabine</w:t>
      </w:r>
      <w:proofErr w:type="spellEnd"/>
      <w:r w:rsidRPr="00951777">
        <w:rPr>
          <w:rFonts w:ascii="Book Antiqua" w:hAnsi="Book Antiqua"/>
          <w:sz w:val="24"/>
          <w:szCs w:val="24"/>
        </w:rPr>
        <w:t>/</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and </w:t>
      </w:r>
      <w:proofErr w:type="spellStart"/>
      <w:r w:rsidRPr="00951777">
        <w:rPr>
          <w:rFonts w:ascii="Book Antiqua" w:hAnsi="Book Antiqua"/>
          <w:sz w:val="24"/>
          <w:szCs w:val="24"/>
        </w:rPr>
        <w:t>capecitabine</w:t>
      </w:r>
      <w:proofErr w:type="spellEnd"/>
      <w:r w:rsidRPr="00951777">
        <w:rPr>
          <w:rFonts w:ascii="Book Antiqua" w:hAnsi="Book Antiqua"/>
          <w:sz w:val="24"/>
          <w:szCs w:val="24"/>
        </w:rPr>
        <w:t>/</w:t>
      </w:r>
      <w:proofErr w:type="spellStart"/>
      <w:r w:rsidRPr="00951777">
        <w:rPr>
          <w:rFonts w:ascii="Book Antiqua" w:hAnsi="Book Antiqua"/>
          <w:sz w:val="24"/>
          <w:szCs w:val="24"/>
        </w:rPr>
        <w:t>bevacizumab</w:t>
      </w:r>
      <w:proofErr w:type="spellEnd"/>
      <w:r w:rsidRPr="00951777">
        <w:rPr>
          <w:rFonts w:ascii="Book Antiqua" w:hAnsi="Book Antiqua"/>
          <w:sz w:val="24"/>
          <w:szCs w:val="24"/>
        </w:rPr>
        <w:t>/</w:t>
      </w:r>
      <w:proofErr w:type="spellStart"/>
      <w:r w:rsidRPr="00951777">
        <w:rPr>
          <w:rFonts w:ascii="Book Antiqua" w:hAnsi="Book Antiqua"/>
          <w:sz w:val="24"/>
          <w:szCs w:val="24"/>
        </w:rPr>
        <w:t>mitomycinC</w:t>
      </w:r>
      <w:proofErr w:type="spellEnd"/>
      <w:r w:rsidRPr="00951777">
        <w:rPr>
          <w:rFonts w:ascii="Book Antiqua" w:hAnsi="Book Antiqua"/>
          <w:sz w:val="24"/>
          <w:szCs w:val="24"/>
        </w:rPr>
        <w:t xml:space="preserve">). In the AGITG MAX trial and the TRACC registry rates of </w:t>
      </w:r>
      <w:r w:rsidR="00484C01">
        <w:rPr>
          <w:rFonts w:ascii="Book Antiqua" w:hAnsi="Book Antiqua"/>
          <w:sz w:val="24"/>
          <w:szCs w:val="24"/>
        </w:rPr>
        <w:t>gastrointestinal perforation</w:t>
      </w:r>
      <w:r w:rsidRPr="00951777">
        <w:rPr>
          <w:rFonts w:ascii="Book Antiqua" w:hAnsi="Book Antiqua"/>
          <w:sz w:val="24"/>
          <w:szCs w:val="24"/>
        </w:rPr>
        <w:t xml:space="preserve"> were also collected in patients who did not have peritoneal metastases. Secondary endpoints included progression-free survival, chemotherapy duration, and overall survival. Time-to-event outcomes were estimated using the Kaplan-Meier method and compared using the log-rank test. </w:t>
      </w:r>
    </w:p>
    <w:p w:rsidR="00951777" w:rsidRPr="00951777" w:rsidRDefault="00951777" w:rsidP="00785D97">
      <w:pPr>
        <w:spacing w:after="0" w:line="360" w:lineRule="auto"/>
        <w:jc w:val="both"/>
        <w:rPr>
          <w:rFonts w:ascii="Book Antiqua" w:hAnsi="Book Antiqua"/>
          <w:b/>
          <w:sz w:val="24"/>
          <w:szCs w:val="24"/>
          <w:lang w:eastAsia="zh-CN"/>
        </w:rPr>
      </w:pP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b/>
          <w:sz w:val="24"/>
          <w:szCs w:val="24"/>
        </w:rPr>
        <w:t>RESULTS</w:t>
      </w:r>
      <w:r w:rsidR="00951777">
        <w:rPr>
          <w:rFonts w:ascii="Book Antiqua" w:hAnsi="Book Antiqua" w:hint="eastAsia"/>
          <w:b/>
          <w:sz w:val="24"/>
          <w:szCs w:val="24"/>
          <w:lang w:eastAsia="zh-CN"/>
        </w:rPr>
        <w:t xml:space="preserve">: </w:t>
      </w:r>
      <w:r w:rsidRPr="00951777">
        <w:rPr>
          <w:rFonts w:ascii="Book Antiqua" w:hAnsi="Book Antiqua"/>
          <w:b/>
          <w:sz w:val="24"/>
          <w:szCs w:val="24"/>
        </w:rPr>
        <w:t xml:space="preserve"> </w:t>
      </w:r>
      <w:r w:rsidR="0028488C" w:rsidRPr="0028488C">
        <w:rPr>
          <w:rFonts w:ascii="Book Antiqua" w:hAnsi="Book Antiqua"/>
          <w:sz w:val="24"/>
          <w:szCs w:val="24"/>
        </w:rPr>
        <w:t>Eighty-four</w:t>
      </w:r>
      <w:r w:rsidRPr="00951777">
        <w:rPr>
          <w:rFonts w:ascii="Book Antiqua" w:hAnsi="Book Antiqua"/>
          <w:sz w:val="24"/>
          <w:szCs w:val="24"/>
        </w:rPr>
        <w:t xml:space="preserve"> MAX, 179 TRACC and 69 NSWCC patients had peritoneal disease. There were no </w:t>
      </w:r>
      <w:r w:rsidR="00484C01">
        <w:rPr>
          <w:rFonts w:ascii="Book Antiqua" w:hAnsi="Book Antiqua"/>
          <w:sz w:val="24"/>
          <w:szCs w:val="24"/>
        </w:rPr>
        <w:t>gastrointestinal perforations</w:t>
      </w:r>
      <w:r w:rsidRPr="00951777">
        <w:rPr>
          <w:rFonts w:ascii="Book Antiqua" w:hAnsi="Book Antiqua"/>
          <w:sz w:val="24"/>
          <w:szCs w:val="24"/>
        </w:rPr>
        <w:t xml:space="preserve"> recorded in either the MAX subgroup or the NSWCC cohorts. Of the patients without peritoneal disease in the MAX trial, 4/300 (1.3%) in the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had </w:t>
      </w:r>
      <w:r w:rsidR="00484C01">
        <w:rPr>
          <w:rFonts w:ascii="Book Antiqua" w:hAnsi="Book Antiqua"/>
          <w:sz w:val="24"/>
          <w:szCs w:val="24"/>
        </w:rPr>
        <w:t>gastrointestinal perforation</w:t>
      </w:r>
      <w:r w:rsidRPr="00951777">
        <w:rPr>
          <w:rFonts w:ascii="Book Antiqua" w:hAnsi="Book Antiqua"/>
          <w:sz w:val="24"/>
          <w:szCs w:val="24"/>
        </w:rPr>
        <w:t xml:space="preserve">s compared to 1/123 (0.8%)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alone arm. In the TRACC registry 3/126 (2.4%) patients who had received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had a </w:t>
      </w:r>
      <w:r w:rsidR="00484C01">
        <w:rPr>
          <w:rFonts w:ascii="Book Antiqua" w:hAnsi="Book Antiqua"/>
          <w:sz w:val="24"/>
          <w:szCs w:val="24"/>
        </w:rPr>
        <w:t>gastrointestinal perforation</w:t>
      </w:r>
      <w:r w:rsidRPr="00951777">
        <w:rPr>
          <w:rFonts w:ascii="Book Antiqua" w:hAnsi="Book Antiqua"/>
          <w:sz w:val="24"/>
          <w:szCs w:val="24"/>
        </w:rPr>
        <w:t xml:space="preserve"> compared to 1/53 (1.9%) in the chemotherapy alone arm. In a further analysis of patients without peritoneal metastases in the TRACC registry, the rate of </w:t>
      </w:r>
      <w:r w:rsidR="00484C01">
        <w:rPr>
          <w:rFonts w:ascii="Book Antiqua" w:hAnsi="Book Antiqua"/>
          <w:sz w:val="24"/>
          <w:szCs w:val="24"/>
        </w:rPr>
        <w:t>gastrointestinal perforation</w:t>
      </w:r>
      <w:r w:rsidRPr="00951777">
        <w:rPr>
          <w:rFonts w:ascii="Book Antiqua" w:hAnsi="Book Antiqua"/>
          <w:sz w:val="24"/>
          <w:szCs w:val="24"/>
        </w:rPr>
        <w:t>s was 9/369 (2.4%) in the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group and 5/177 (2.8%) in the chemotherapy alone group. The addition of </w:t>
      </w:r>
      <w:proofErr w:type="spellStart"/>
      <w:r w:rsidRPr="00951777">
        <w:rPr>
          <w:rFonts w:ascii="Book Antiqua" w:hAnsi="Book Antiqua"/>
          <w:sz w:val="24"/>
          <w:szCs w:val="24"/>
        </w:rPr>
        <w:lastRenderedPageBreak/>
        <w:t>bevacizumab</w:t>
      </w:r>
      <w:proofErr w:type="spellEnd"/>
      <w:r w:rsidRPr="00951777">
        <w:rPr>
          <w:rFonts w:ascii="Book Antiqua" w:hAnsi="Book Antiqua"/>
          <w:sz w:val="24"/>
          <w:szCs w:val="24"/>
        </w:rPr>
        <w:t xml:space="preserve"> to chemotherapy was associated with improved </w:t>
      </w:r>
      <w:r w:rsidR="008973D3" w:rsidRPr="008973D3">
        <w:rPr>
          <w:rFonts w:ascii="Book Antiqua" w:hAnsi="Book Antiqua"/>
          <w:sz w:val="24"/>
          <w:szCs w:val="24"/>
        </w:rPr>
        <w:t>progression-free survival</w:t>
      </w:r>
      <w:r w:rsidR="008973D3" w:rsidRPr="00951777">
        <w:rPr>
          <w:rFonts w:ascii="Book Antiqua" w:hAnsi="Book Antiqua"/>
          <w:sz w:val="24"/>
          <w:szCs w:val="24"/>
        </w:rPr>
        <w:t xml:space="preserve"> </w:t>
      </w:r>
      <w:r w:rsidRPr="00951777">
        <w:rPr>
          <w:rFonts w:ascii="Book Antiqua" w:hAnsi="Book Antiqua"/>
          <w:sz w:val="24"/>
          <w:szCs w:val="24"/>
        </w:rPr>
        <w:t>in all three cohorts: MAX 6.9</w:t>
      </w:r>
      <w:r w:rsidR="00633AE8">
        <w:rPr>
          <w:rFonts w:ascii="Book Antiqua" w:hAnsi="Book Antiqua" w:hint="eastAsia"/>
          <w:sz w:val="24"/>
          <w:szCs w:val="24"/>
          <w:lang w:eastAsia="zh-CN"/>
        </w:rPr>
        <w:t xml:space="preserve"> </w:t>
      </w:r>
      <w:r w:rsidRPr="00951777">
        <w:rPr>
          <w:rFonts w:ascii="Book Antiqua" w:hAnsi="Book Antiqua"/>
          <w:sz w:val="24"/>
          <w:szCs w:val="24"/>
        </w:rPr>
        <w:t xml:space="preserve">m </w:t>
      </w:r>
      <w:r w:rsidRPr="00633AE8">
        <w:rPr>
          <w:rFonts w:ascii="Book Antiqua" w:hAnsi="Book Antiqua"/>
          <w:i/>
          <w:sz w:val="24"/>
          <w:szCs w:val="24"/>
        </w:rPr>
        <w:t>vs</w:t>
      </w:r>
      <w:r w:rsidRPr="00951777">
        <w:rPr>
          <w:rFonts w:ascii="Book Antiqua" w:hAnsi="Book Antiqua"/>
          <w:sz w:val="24"/>
          <w:szCs w:val="24"/>
        </w:rPr>
        <w:t xml:space="preserve"> 4.9</w:t>
      </w:r>
      <w:r w:rsidR="00633AE8">
        <w:rPr>
          <w:rFonts w:ascii="Book Antiqua" w:hAnsi="Book Antiqua" w:hint="eastAsia"/>
          <w:sz w:val="24"/>
          <w:szCs w:val="24"/>
          <w:lang w:eastAsia="zh-CN"/>
        </w:rPr>
        <w:t xml:space="preserve"> </w:t>
      </w:r>
      <w:r w:rsidRPr="00951777">
        <w:rPr>
          <w:rFonts w:ascii="Book Antiqua" w:hAnsi="Book Antiqua"/>
          <w:sz w:val="24"/>
          <w:szCs w:val="24"/>
        </w:rPr>
        <w:t>m</w:t>
      </w:r>
      <w:r w:rsidR="00633AE8">
        <w:rPr>
          <w:rFonts w:ascii="Book Antiqua" w:hAnsi="Book Antiqua" w:hint="eastAsia"/>
          <w:sz w:val="24"/>
          <w:szCs w:val="24"/>
          <w:lang w:eastAsia="zh-CN"/>
        </w:rPr>
        <w:t>,</w:t>
      </w:r>
      <w:r w:rsidRPr="00951777">
        <w:rPr>
          <w:rFonts w:ascii="Book Antiqua" w:hAnsi="Book Antiqua"/>
          <w:sz w:val="24"/>
          <w:szCs w:val="24"/>
        </w:rPr>
        <w:t xml:space="preserve"> HR</w:t>
      </w:r>
      <w:r w:rsidR="00633AE8">
        <w:rPr>
          <w:rFonts w:ascii="Book Antiqua" w:hAnsi="Book Antiqua" w:hint="eastAsia"/>
          <w:sz w:val="24"/>
          <w:szCs w:val="24"/>
          <w:lang w:eastAsia="zh-CN"/>
        </w:rPr>
        <w:t xml:space="preserve"> </w:t>
      </w:r>
      <w:r w:rsidRPr="00951777">
        <w:rPr>
          <w:rFonts w:ascii="Book Antiqua" w:hAnsi="Book Antiqua"/>
          <w:sz w:val="24"/>
          <w:szCs w:val="24"/>
        </w:rPr>
        <w:t>=</w:t>
      </w:r>
      <w:r w:rsidR="00633AE8">
        <w:rPr>
          <w:rFonts w:ascii="Book Antiqua" w:hAnsi="Book Antiqua" w:hint="eastAsia"/>
          <w:sz w:val="24"/>
          <w:szCs w:val="24"/>
          <w:lang w:eastAsia="zh-CN"/>
        </w:rPr>
        <w:t xml:space="preserve"> </w:t>
      </w:r>
      <w:r w:rsidR="00633AE8">
        <w:rPr>
          <w:rFonts w:ascii="Book Antiqua" w:hAnsi="Book Antiqua"/>
          <w:sz w:val="24"/>
          <w:szCs w:val="24"/>
        </w:rPr>
        <w:t>0.64 (95%</w:t>
      </w:r>
      <w:r w:rsidRPr="00951777">
        <w:rPr>
          <w:rFonts w:ascii="Book Antiqua" w:hAnsi="Book Antiqua"/>
          <w:sz w:val="24"/>
          <w:szCs w:val="24"/>
        </w:rPr>
        <w:t>CI: 0.42-1.02)</w:t>
      </w:r>
      <w:r w:rsidR="00633AE8">
        <w:rPr>
          <w:rFonts w:ascii="Book Antiqua" w:hAnsi="Book Antiqua" w:hint="eastAsia"/>
          <w:sz w:val="24"/>
          <w:szCs w:val="24"/>
          <w:lang w:eastAsia="zh-CN"/>
        </w:rPr>
        <w:t>;</w:t>
      </w:r>
      <w:r w:rsidRPr="00951777">
        <w:rPr>
          <w:rFonts w:ascii="Book Antiqua" w:hAnsi="Book Antiqua"/>
          <w:sz w:val="24"/>
          <w:szCs w:val="24"/>
        </w:rPr>
        <w:t xml:space="preserve"> </w:t>
      </w:r>
      <w:r w:rsidR="00633AE8" w:rsidRPr="00633AE8">
        <w:rPr>
          <w:rFonts w:ascii="Book Antiqua" w:hAnsi="Book Antiqua" w:hint="eastAsia"/>
          <w:i/>
          <w:sz w:val="24"/>
          <w:szCs w:val="24"/>
          <w:lang w:eastAsia="zh-CN"/>
        </w:rPr>
        <w:t>P</w:t>
      </w:r>
      <w:r w:rsidR="00633AE8">
        <w:rPr>
          <w:rFonts w:ascii="Book Antiqua" w:hAnsi="Book Antiqua" w:hint="eastAsia"/>
          <w:sz w:val="24"/>
          <w:szCs w:val="24"/>
          <w:lang w:eastAsia="zh-CN"/>
        </w:rPr>
        <w:t xml:space="preserve"> </w:t>
      </w:r>
      <w:r w:rsidRPr="00951777">
        <w:rPr>
          <w:rFonts w:ascii="Book Antiqua" w:hAnsi="Book Antiqua"/>
          <w:sz w:val="24"/>
          <w:szCs w:val="24"/>
        </w:rPr>
        <w:t>=</w:t>
      </w:r>
      <w:r w:rsidR="00633AE8">
        <w:rPr>
          <w:rFonts w:ascii="Book Antiqua" w:hAnsi="Book Antiqua" w:hint="eastAsia"/>
          <w:sz w:val="24"/>
          <w:szCs w:val="24"/>
          <w:lang w:eastAsia="zh-CN"/>
        </w:rPr>
        <w:t xml:space="preserve"> </w:t>
      </w:r>
      <w:r w:rsidRPr="00951777">
        <w:rPr>
          <w:rFonts w:ascii="Book Antiqua" w:hAnsi="Book Antiqua"/>
          <w:sz w:val="24"/>
          <w:szCs w:val="24"/>
        </w:rPr>
        <w:t>0.063; TRACC 9.1</w:t>
      </w:r>
      <w:r w:rsidR="00633AE8">
        <w:rPr>
          <w:rFonts w:ascii="Book Antiqua" w:hAnsi="Book Antiqua" w:hint="eastAsia"/>
          <w:sz w:val="24"/>
          <w:szCs w:val="24"/>
          <w:lang w:eastAsia="zh-CN"/>
        </w:rPr>
        <w:t xml:space="preserve"> </w:t>
      </w:r>
      <w:r w:rsidRPr="00951777">
        <w:rPr>
          <w:rFonts w:ascii="Book Antiqua" w:hAnsi="Book Antiqua"/>
          <w:sz w:val="24"/>
          <w:szCs w:val="24"/>
        </w:rPr>
        <w:t xml:space="preserve">m </w:t>
      </w:r>
      <w:r w:rsidRPr="00633AE8">
        <w:rPr>
          <w:rFonts w:ascii="Book Antiqua" w:hAnsi="Book Antiqua"/>
          <w:i/>
          <w:sz w:val="24"/>
          <w:szCs w:val="24"/>
        </w:rPr>
        <w:t>vs</w:t>
      </w:r>
      <w:r w:rsidRPr="00951777">
        <w:rPr>
          <w:rFonts w:ascii="Book Antiqua" w:hAnsi="Book Antiqua"/>
          <w:sz w:val="24"/>
          <w:szCs w:val="24"/>
        </w:rPr>
        <w:t xml:space="preserve"> 5.5</w:t>
      </w:r>
      <w:r w:rsidR="00633AE8">
        <w:rPr>
          <w:rFonts w:ascii="Book Antiqua" w:hAnsi="Book Antiqua" w:hint="eastAsia"/>
          <w:sz w:val="24"/>
          <w:szCs w:val="24"/>
          <w:lang w:eastAsia="zh-CN"/>
        </w:rPr>
        <w:t xml:space="preserve"> </w:t>
      </w:r>
      <w:r w:rsidRPr="00951777">
        <w:rPr>
          <w:rFonts w:ascii="Book Antiqua" w:hAnsi="Book Antiqua"/>
          <w:sz w:val="24"/>
          <w:szCs w:val="24"/>
        </w:rPr>
        <w:t>m</w:t>
      </w:r>
      <w:r w:rsidR="00633AE8">
        <w:rPr>
          <w:rFonts w:ascii="Book Antiqua" w:hAnsi="Book Antiqua" w:hint="eastAsia"/>
          <w:sz w:val="24"/>
          <w:szCs w:val="24"/>
          <w:lang w:eastAsia="zh-CN"/>
        </w:rPr>
        <w:t>,</w:t>
      </w:r>
      <w:r w:rsidR="00633AE8">
        <w:rPr>
          <w:rFonts w:ascii="Book Antiqua" w:hAnsi="Book Antiqua"/>
          <w:sz w:val="24"/>
          <w:szCs w:val="24"/>
        </w:rPr>
        <w:t xml:space="preserve"> HR</w:t>
      </w:r>
      <w:r w:rsidR="00633AE8">
        <w:rPr>
          <w:rFonts w:ascii="Book Antiqua" w:hAnsi="Book Antiqua" w:hint="eastAsia"/>
          <w:sz w:val="24"/>
          <w:szCs w:val="24"/>
          <w:lang w:eastAsia="zh-CN"/>
        </w:rPr>
        <w:t xml:space="preserve"> </w:t>
      </w:r>
      <w:r w:rsidR="00633AE8">
        <w:rPr>
          <w:rFonts w:ascii="Book Antiqua" w:hAnsi="Book Antiqua"/>
          <w:sz w:val="24"/>
          <w:szCs w:val="24"/>
        </w:rPr>
        <w:t>=</w:t>
      </w:r>
      <w:r w:rsidR="00633AE8">
        <w:rPr>
          <w:rFonts w:ascii="Book Antiqua" w:hAnsi="Book Antiqua" w:hint="eastAsia"/>
          <w:sz w:val="24"/>
          <w:szCs w:val="24"/>
          <w:lang w:eastAsia="zh-CN"/>
        </w:rPr>
        <w:t xml:space="preserve"> </w:t>
      </w:r>
      <w:r w:rsidR="00633AE8">
        <w:rPr>
          <w:rFonts w:ascii="Book Antiqua" w:hAnsi="Book Antiqua"/>
          <w:sz w:val="24"/>
          <w:szCs w:val="24"/>
        </w:rPr>
        <w:t>0.61 (95%</w:t>
      </w:r>
      <w:r w:rsidRPr="00951777">
        <w:rPr>
          <w:rFonts w:ascii="Book Antiqua" w:hAnsi="Book Antiqua"/>
          <w:sz w:val="24"/>
          <w:szCs w:val="24"/>
        </w:rPr>
        <w:t>CI: 0.37-0.86)</w:t>
      </w:r>
      <w:r w:rsidR="00633AE8">
        <w:rPr>
          <w:rFonts w:ascii="Book Antiqua" w:hAnsi="Book Antiqua" w:hint="eastAsia"/>
          <w:sz w:val="24"/>
          <w:szCs w:val="24"/>
          <w:lang w:eastAsia="zh-CN"/>
        </w:rPr>
        <w:t>;</w:t>
      </w:r>
      <w:r w:rsidRPr="00951777">
        <w:rPr>
          <w:rFonts w:ascii="Book Antiqua" w:hAnsi="Book Antiqua"/>
          <w:sz w:val="24"/>
          <w:szCs w:val="24"/>
        </w:rPr>
        <w:t xml:space="preserve"> </w:t>
      </w:r>
      <w:r w:rsidR="00633AE8" w:rsidRPr="00633AE8">
        <w:rPr>
          <w:rFonts w:ascii="Book Antiqua" w:hAnsi="Book Antiqua" w:hint="eastAsia"/>
          <w:i/>
          <w:sz w:val="24"/>
          <w:szCs w:val="24"/>
          <w:lang w:eastAsia="zh-CN"/>
        </w:rPr>
        <w:t>P</w:t>
      </w:r>
      <w:r w:rsidR="00633AE8">
        <w:rPr>
          <w:rFonts w:ascii="Book Antiqua" w:hAnsi="Book Antiqua" w:hint="eastAsia"/>
          <w:sz w:val="24"/>
          <w:szCs w:val="24"/>
          <w:lang w:eastAsia="zh-CN"/>
        </w:rPr>
        <w:t xml:space="preserve"> </w:t>
      </w:r>
      <w:r w:rsidRPr="00951777">
        <w:rPr>
          <w:rFonts w:ascii="Book Antiqua" w:hAnsi="Book Antiqua"/>
          <w:sz w:val="24"/>
          <w:szCs w:val="24"/>
        </w:rPr>
        <w:t>=</w:t>
      </w:r>
      <w:r w:rsidR="00633AE8">
        <w:rPr>
          <w:rFonts w:ascii="Book Antiqua" w:hAnsi="Book Antiqua" w:hint="eastAsia"/>
          <w:sz w:val="24"/>
          <w:szCs w:val="24"/>
          <w:lang w:eastAsia="zh-CN"/>
        </w:rPr>
        <w:t xml:space="preserve"> </w:t>
      </w:r>
      <w:r w:rsidRPr="00951777">
        <w:rPr>
          <w:rFonts w:ascii="Book Antiqua" w:hAnsi="Book Antiqua"/>
          <w:sz w:val="24"/>
          <w:szCs w:val="24"/>
        </w:rPr>
        <w:t>0.009; NSWCC 8.7</w:t>
      </w:r>
      <w:r w:rsidR="00633AE8">
        <w:rPr>
          <w:rFonts w:ascii="Book Antiqua" w:hAnsi="Book Antiqua" w:hint="eastAsia"/>
          <w:sz w:val="24"/>
          <w:szCs w:val="24"/>
          <w:lang w:eastAsia="zh-CN"/>
        </w:rPr>
        <w:t xml:space="preserve"> </w:t>
      </w:r>
      <w:r w:rsidRPr="00951777">
        <w:rPr>
          <w:rFonts w:ascii="Book Antiqua" w:hAnsi="Book Antiqua"/>
          <w:sz w:val="24"/>
          <w:szCs w:val="24"/>
        </w:rPr>
        <w:t xml:space="preserve">m </w:t>
      </w:r>
      <w:r w:rsidRPr="00633AE8">
        <w:rPr>
          <w:rFonts w:ascii="Book Antiqua" w:hAnsi="Book Antiqua"/>
          <w:i/>
          <w:sz w:val="24"/>
          <w:szCs w:val="24"/>
        </w:rPr>
        <w:t>vs</w:t>
      </w:r>
      <w:r w:rsidRPr="00951777">
        <w:rPr>
          <w:rFonts w:ascii="Book Antiqua" w:hAnsi="Book Antiqua"/>
          <w:sz w:val="24"/>
          <w:szCs w:val="24"/>
        </w:rPr>
        <w:t xml:space="preserve"> 6.8</w:t>
      </w:r>
      <w:r w:rsidR="00633AE8">
        <w:rPr>
          <w:rFonts w:ascii="Book Antiqua" w:hAnsi="Book Antiqua" w:hint="eastAsia"/>
          <w:sz w:val="24"/>
          <w:szCs w:val="24"/>
          <w:lang w:eastAsia="zh-CN"/>
        </w:rPr>
        <w:t xml:space="preserve"> </w:t>
      </w:r>
      <w:r w:rsidRPr="00951777">
        <w:rPr>
          <w:rFonts w:ascii="Book Antiqua" w:hAnsi="Book Antiqua"/>
          <w:sz w:val="24"/>
          <w:szCs w:val="24"/>
        </w:rPr>
        <w:t>m</w:t>
      </w:r>
      <w:r w:rsidR="00633AE8">
        <w:rPr>
          <w:rFonts w:ascii="Book Antiqua" w:hAnsi="Book Antiqua" w:hint="eastAsia"/>
          <w:sz w:val="24"/>
          <w:szCs w:val="24"/>
          <w:lang w:eastAsia="zh-CN"/>
        </w:rPr>
        <w:t>,</w:t>
      </w:r>
      <w:r w:rsidR="00633AE8">
        <w:rPr>
          <w:rFonts w:ascii="Book Antiqua" w:hAnsi="Book Antiqua"/>
          <w:sz w:val="24"/>
          <w:szCs w:val="24"/>
        </w:rPr>
        <w:t xml:space="preserve"> HR</w:t>
      </w:r>
      <w:r w:rsidR="00633AE8">
        <w:rPr>
          <w:rFonts w:ascii="Book Antiqua" w:hAnsi="Book Antiqua" w:hint="eastAsia"/>
          <w:sz w:val="24"/>
          <w:szCs w:val="24"/>
          <w:lang w:eastAsia="zh-CN"/>
        </w:rPr>
        <w:t xml:space="preserve"> </w:t>
      </w:r>
      <w:r w:rsidR="00633AE8">
        <w:rPr>
          <w:rFonts w:ascii="Book Antiqua" w:hAnsi="Book Antiqua"/>
          <w:sz w:val="24"/>
          <w:szCs w:val="24"/>
        </w:rPr>
        <w:t>=</w:t>
      </w:r>
      <w:r w:rsidR="00633AE8">
        <w:rPr>
          <w:rFonts w:ascii="Book Antiqua" w:hAnsi="Book Antiqua" w:hint="eastAsia"/>
          <w:sz w:val="24"/>
          <w:szCs w:val="24"/>
          <w:lang w:eastAsia="zh-CN"/>
        </w:rPr>
        <w:t xml:space="preserve"> </w:t>
      </w:r>
      <w:r w:rsidR="00633AE8">
        <w:rPr>
          <w:rFonts w:ascii="Book Antiqua" w:hAnsi="Book Antiqua"/>
          <w:sz w:val="24"/>
          <w:szCs w:val="24"/>
        </w:rPr>
        <w:t>0.75 (95%</w:t>
      </w:r>
      <w:r w:rsidRPr="00951777">
        <w:rPr>
          <w:rFonts w:ascii="Book Antiqua" w:hAnsi="Book Antiqua"/>
          <w:sz w:val="24"/>
          <w:szCs w:val="24"/>
        </w:rPr>
        <w:t>CI: 0.43-1.32)</w:t>
      </w:r>
      <w:r w:rsidR="00633AE8">
        <w:rPr>
          <w:rFonts w:ascii="Book Antiqua" w:hAnsi="Book Antiqua" w:hint="eastAsia"/>
          <w:sz w:val="24"/>
          <w:szCs w:val="24"/>
          <w:lang w:eastAsia="zh-CN"/>
        </w:rPr>
        <w:t>;</w:t>
      </w:r>
      <w:r w:rsidR="00633AE8" w:rsidRPr="00633AE8">
        <w:rPr>
          <w:rFonts w:ascii="Book Antiqua" w:hAnsi="Book Antiqua" w:hint="eastAsia"/>
          <w:i/>
          <w:sz w:val="24"/>
          <w:szCs w:val="24"/>
          <w:lang w:eastAsia="zh-CN"/>
        </w:rPr>
        <w:t xml:space="preserve"> P</w:t>
      </w:r>
      <w:r w:rsidR="00633AE8">
        <w:rPr>
          <w:rFonts w:ascii="Book Antiqua" w:hAnsi="Book Antiqua" w:hint="eastAsia"/>
          <w:sz w:val="24"/>
          <w:szCs w:val="24"/>
          <w:lang w:eastAsia="zh-CN"/>
        </w:rPr>
        <w:t xml:space="preserve"> </w:t>
      </w:r>
      <w:r w:rsidR="00633AE8" w:rsidRPr="00951777">
        <w:rPr>
          <w:rFonts w:ascii="Book Antiqua" w:hAnsi="Book Antiqua"/>
          <w:sz w:val="24"/>
          <w:szCs w:val="24"/>
        </w:rPr>
        <w:t xml:space="preserve">= </w:t>
      </w:r>
      <w:r w:rsidRPr="00951777">
        <w:rPr>
          <w:rFonts w:ascii="Book Antiqua" w:hAnsi="Book Antiqua"/>
          <w:sz w:val="24"/>
          <w:szCs w:val="24"/>
        </w:rPr>
        <w:t xml:space="preserve">0.32. Chemotherapy duration was similar across the groups. </w:t>
      </w:r>
    </w:p>
    <w:p w:rsidR="00951777" w:rsidRPr="00951777" w:rsidRDefault="00951777" w:rsidP="00785D97">
      <w:pPr>
        <w:spacing w:after="0" w:line="360" w:lineRule="auto"/>
        <w:jc w:val="both"/>
        <w:rPr>
          <w:rFonts w:ascii="Book Antiqua" w:hAnsi="Book Antiqua"/>
          <w:b/>
          <w:sz w:val="24"/>
          <w:szCs w:val="24"/>
          <w:lang w:eastAsia="zh-CN"/>
        </w:rPr>
      </w:pP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b/>
          <w:sz w:val="24"/>
          <w:szCs w:val="24"/>
        </w:rPr>
        <w:t>CONCLUSION</w:t>
      </w:r>
      <w:r w:rsidR="00951777">
        <w:rPr>
          <w:rFonts w:ascii="Book Antiqua" w:hAnsi="Book Antiqua" w:hint="eastAsia"/>
          <w:b/>
          <w:sz w:val="24"/>
          <w:szCs w:val="24"/>
          <w:lang w:eastAsia="zh-CN"/>
        </w:rPr>
        <w:t xml:space="preserve">: </w:t>
      </w:r>
      <w:r w:rsidRPr="00951777">
        <w:rPr>
          <w:rFonts w:ascii="Book Antiqua" w:hAnsi="Book Antiqua"/>
          <w:sz w:val="24"/>
          <w:szCs w:val="24"/>
        </w:rPr>
        <w:t xml:space="preserve">Patients with peritoneal disease do not appear to have an increased risk of gastrointestinal perforations when receiving first-line therapy with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compared to systemic therapy alone. </w:t>
      </w:r>
    </w:p>
    <w:p w:rsidR="00951777" w:rsidRPr="00951777" w:rsidRDefault="00951777" w:rsidP="00785D97">
      <w:pPr>
        <w:spacing w:after="0" w:line="360" w:lineRule="auto"/>
        <w:jc w:val="both"/>
        <w:rPr>
          <w:rFonts w:ascii="Book Antiqua" w:hAnsi="Book Antiqua"/>
          <w:b/>
          <w:sz w:val="24"/>
          <w:szCs w:val="24"/>
          <w:lang w:eastAsia="zh-CN"/>
        </w:rPr>
      </w:pPr>
    </w:p>
    <w:p w:rsidR="00951777" w:rsidRDefault="00C071D1" w:rsidP="00785D97">
      <w:pPr>
        <w:spacing w:after="0" w:line="360" w:lineRule="auto"/>
        <w:jc w:val="both"/>
        <w:rPr>
          <w:rFonts w:ascii="Book Antiqua" w:hAnsi="Book Antiqua"/>
          <w:sz w:val="24"/>
          <w:szCs w:val="24"/>
          <w:lang w:eastAsia="zh-CN"/>
        </w:rPr>
      </w:pPr>
      <w:r w:rsidRPr="00343383">
        <w:rPr>
          <w:rFonts w:ascii="Book Antiqua" w:hAnsi="Book Antiqua"/>
          <w:b/>
          <w:sz w:val="24"/>
          <w:szCs w:val="24"/>
        </w:rPr>
        <w:t>Key</w:t>
      </w:r>
      <w:r w:rsidR="00951777" w:rsidRPr="00343383">
        <w:rPr>
          <w:rFonts w:ascii="Book Antiqua" w:hAnsi="Book Antiqua" w:hint="eastAsia"/>
          <w:b/>
          <w:sz w:val="24"/>
          <w:szCs w:val="24"/>
          <w:lang w:eastAsia="zh-CN"/>
        </w:rPr>
        <w:t xml:space="preserve"> </w:t>
      </w:r>
      <w:r w:rsidRPr="00343383">
        <w:rPr>
          <w:rFonts w:ascii="Book Antiqua" w:hAnsi="Book Antiqua"/>
          <w:b/>
          <w:sz w:val="24"/>
          <w:szCs w:val="24"/>
        </w:rPr>
        <w:t>words</w:t>
      </w:r>
      <w:r w:rsidR="00951777" w:rsidRPr="00343383">
        <w:rPr>
          <w:rFonts w:ascii="Book Antiqua" w:hAnsi="Book Antiqua" w:hint="eastAsia"/>
          <w:b/>
          <w:sz w:val="24"/>
          <w:szCs w:val="24"/>
          <w:lang w:eastAsia="zh-CN"/>
        </w:rPr>
        <w:t xml:space="preserve">: </w:t>
      </w:r>
      <w:r w:rsidRPr="00343383">
        <w:rPr>
          <w:rFonts w:ascii="Book Antiqua" w:hAnsi="Book Antiqua"/>
          <w:sz w:val="24"/>
          <w:szCs w:val="24"/>
        </w:rPr>
        <w:t>P</w:t>
      </w:r>
      <w:r w:rsidRPr="00951777">
        <w:rPr>
          <w:rFonts w:ascii="Book Antiqua" w:hAnsi="Book Antiqua"/>
          <w:sz w:val="24"/>
          <w:szCs w:val="24"/>
        </w:rPr>
        <w:t xml:space="preserve">eritoneal neoplasms; </w:t>
      </w:r>
      <w:proofErr w:type="gramStart"/>
      <w:r w:rsidR="00343383" w:rsidRPr="00951777">
        <w:rPr>
          <w:rFonts w:ascii="Book Antiqua" w:hAnsi="Book Antiqua"/>
          <w:sz w:val="24"/>
          <w:szCs w:val="24"/>
        </w:rPr>
        <w:t>Colorectal</w:t>
      </w:r>
      <w:proofErr w:type="gramEnd"/>
      <w:r w:rsidR="00343383" w:rsidRPr="00951777">
        <w:rPr>
          <w:rFonts w:ascii="Book Antiqua" w:hAnsi="Book Antiqua"/>
          <w:sz w:val="24"/>
          <w:szCs w:val="24"/>
        </w:rPr>
        <w:t xml:space="preserve"> </w:t>
      </w:r>
      <w:r w:rsidRPr="00951777">
        <w:rPr>
          <w:rFonts w:ascii="Book Antiqua" w:hAnsi="Book Antiqua"/>
          <w:sz w:val="24"/>
          <w:szCs w:val="24"/>
        </w:rPr>
        <w:t xml:space="preserve">neoplasms; </w:t>
      </w:r>
      <w:proofErr w:type="spellStart"/>
      <w:r w:rsidR="00343383" w:rsidRPr="00951777">
        <w:rPr>
          <w:rFonts w:ascii="Book Antiqua" w:hAnsi="Book Antiqua"/>
          <w:sz w:val="24"/>
          <w:szCs w:val="24"/>
        </w:rPr>
        <w:t>Bevacizumab</w:t>
      </w:r>
      <w:proofErr w:type="spellEnd"/>
      <w:r w:rsidRPr="00951777">
        <w:rPr>
          <w:rFonts w:ascii="Book Antiqua" w:hAnsi="Book Antiqua"/>
          <w:sz w:val="24"/>
          <w:szCs w:val="24"/>
        </w:rPr>
        <w:t xml:space="preserve">; </w:t>
      </w:r>
      <w:r w:rsidR="00343383" w:rsidRPr="00951777">
        <w:rPr>
          <w:rFonts w:ascii="Book Antiqua" w:hAnsi="Book Antiqua"/>
          <w:sz w:val="24"/>
          <w:szCs w:val="24"/>
        </w:rPr>
        <w:t xml:space="preserve">Intestinal </w:t>
      </w:r>
      <w:r w:rsidRPr="00951777">
        <w:rPr>
          <w:rFonts w:ascii="Book Antiqua" w:hAnsi="Book Antiqua"/>
          <w:sz w:val="24"/>
          <w:szCs w:val="24"/>
        </w:rPr>
        <w:t xml:space="preserve">perforation; </w:t>
      </w:r>
      <w:proofErr w:type="spellStart"/>
      <w:r w:rsidR="00343383" w:rsidRPr="00951777">
        <w:rPr>
          <w:rFonts w:ascii="Book Antiqua" w:hAnsi="Book Antiqua"/>
          <w:sz w:val="24"/>
          <w:szCs w:val="24"/>
        </w:rPr>
        <w:t>Capecitabine</w:t>
      </w:r>
      <w:proofErr w:type="spellEnd"/>
    </w:p>
    <w:p w:rsidR="00951777" w:rsidRDefault="00951777" w:rsidP="00785D97">
      <w:pPr>
        <w:spacing w:after="0" w:line="360" w:lineRule="auto"/>
        <w:jc w:val="both"/>
        <w:rPr>
          <w:rFonts w:ascii="Book Antiqua" w:hAnsi="Book Antiqua"/>
          <w:sz w:val="24"/>
          <w:szCs w:val="24"/>
          <w:lang w:eastAsia="zh-CN"/>
        </w:rPr>
      </w:pPr>
    </w:p>
    <w:p w:rsidR="00951777" w:rsidRDefault="00951777" w:rsidP="00785D97">
      <w:pPr>
        <w:spacing w:after="0" w:line="360" w:lineRule="auto"/>
        <w:jc w:val="both"/>
        <w:rPr>
          <w:rFonts w:ascii="Book Antiqua" w:hAnsi="Book Antiqua" w:cs="Arial"/>
          <w:sz w:val="24"/>
        </w:rPr>
      </w:pPr>
      <w:bookmarkStart w:id="26" w:name="OLE_LINK105"/>
      <w:bookmarkStart w:id="27" w:name="OLE_LINK116"/>
      <w:bookmarkStart w:id="28" w:name="OLE_LINK489"/>
      <w:bookmarkStart w:id="29" w:name="OLE_LINK490"/>
      <w:bookmarkStart w:id="30" w:name="OLE_LINK101"/>
      <w:bookmarkStart w:id="31" w:name="OLE_LINK107"/>
      <w:bookmarkStart w:id="32" w:name="OLE_LINK412"/>
      <w:bookmarkStart w:id="33" w:name="OLE_LINK413"/>
      <w:bookmarkStart w:id="34" w:name="OLE_LINK434"/>
      <w:bookmarkStart w:id="35" w:name="OLE_LINK442"/>
      <w:bookmarkStart w:id="36" w:name="OLE_LINK504"/>
      <w:bookmarkStart w:id="37" w:name="OLE_LINK481"/>
      <w:bookmarkStart w:id="38" w:name="OLE_LINK482"/>
      <w:bookmarkStart w:id="39" w:name="OLE_LINK509"/>
      <w:proofErr w:type="gramStart"/>
      <w:r w:rsidRPr="00343383">
        <w:rPr>
          <w:rFonts w:ascii="Book Antiqua" w:hAnsi="Book Antiqua"/>
          <w:b/>
          <w:sz w:val="24"/>
        </w:rPr>
        <w:t>©</w:t>
      </w:r>
      <w:r w:rsidRPr="00343383">
        <w:rPr>
          <w:rFonts w:ascii="Book Antiqua" w:hAnsi="Book Antiqua" w:hint="eastAsia"/>
          <w:b/>
          <w:sz w:val="24"/>
        </w:rPr>
        <w:t xml:space="preserve"> </w:t>
      </w:r>
      <w:r w:rsidRPr="00343383">
        <w:rPr>
          <w:rFonts w:ascii="Book Antiqua" w:hAnsi="Book Antiqua" w:cs="Arial"/>
          <w:b/>
          <w:sz w:val="24"/>
        </w:rPr>
        <w:t>The Author(s) 2015.</w:t>
      </w:r>
      <w:proofErr w:type="gramEnd"/>
      <w:r w:rsidRPr="00B55A90">
        <w:rPr>
          <w:rFonts w:ascii="Book Antiqua" w:hAnsi="Book Antiqua" w:cs="Arial"/>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26"/>
    <w:bookmarkEnd w:id="27"/>
    <w:p w:rsidR="00951777" w:rsidRPr="00B55A90" w:rsidRDefault="00951777" w:rsidP="00785D97">
      <w:pPr>
        <w:spacing w:after="0" w:line="360" w:lineRule="auto"/>
        <w:jc w:val="both"/>
        <w:rPr>
          <w:rFonts w:ascii="Book Antiqua" w:hAnsi="Book Antiqua" w:cs="Arial"/>
          <w:sz w:val="24"/>
        </w:rPr>
      </w:pPr>
    </w:p>
    <w:bookmarkEnd w:id="28"/>
    <w:bookmarkEnd w:id="29"/>
    <w:p w:rsidR="00951777" w:rsidRPr="00343383" w:rsidRDefault="00951777" w:rsidP="00785D97">
      <w:pPr>
        <w:spacing w:after="0" w:line="360" w:lineRule="auto"/>
        <w:jc w:val="both"/>
        <w:rPr>
          <w:rFonts w:ascii="Book Antiqua" w:eastAsia="Times New Roman" w:hAnsi="Book Antiqua" w:cs="Arial Unicode MS"/>
          <w:b/>
          <w:sz w:val="24"/>
        </w:rPr>
      </w:pPr>
      <w:r w:rsidRPr="00712F63">
        <w:rPr>
          <w:rFonts w:ascii="Book Antiqua" w:eastAsia="Times New Roman" w:hAnsi="Book Antiqua" w:cs="Arial Unicode MS"/>
          <w:b/>
          <w:sz w:val="24"/>
        </w:rPr>
        <w:t>Core tip:</w:t>
      </w:r>
      <w:bookmarkEnd w:id="30"/>
      <w:bookmarkEnd w:id="31"/>
      <w:r w:rsidR="00343383">
        <w:rPr>
          <w:rFonts w:ascii="Book Antiqua" w:hAnsi="Book Antiqua" w:cs="Arial Unicode MS" w:hint="eastAsia"/>
          <w:b/>
          <w:sz w:val="24"/>
          <w:lang w:eastAsia="zh-CN"/>
        </w:rPr>
        <w:t xml:space="preserve"> </w:t>
      </w:r>
      <w:r w:rsidR="0079000F">
        <w:rPr>
          <w:rFonts w:ascii="Book Antiqua" w:hAnsi="Book Antiqua" w:cs="Arial Unicode MS"/>
          <w:sz w:val="24"/>
        </w:rPr>
        <w:t xml:space="preserve">This report is an analysis of three prospective studies including a randomized clinical trial. We analysed the rates of gastrointestinal perforation in patients with metastatic colorectal cancer and peritoneal disease receiving </w:t>
      </w:r>
      <w:proofErr w:type="spellStart"/>
      <w:r w:rsidR="0079000F">
        <w:rPr>
          <w:rFonts w:ascii="Book Antiqua" w:hAnsi="Book Antiqua" w:cs="Arial Unicode MS"/>
          <w:sz w:val="24"/>
        </w:rPr>
        <w:t>bevacizumab</w:t>
      </w:r>
      <w:proofErr w:type="spellEnd"/>
      <w:r w:rsidR="0079000F">
        <w:rPr>
          <w:rFonts w:ascii="Book Antiqua" w:hAnsi="Book Antiqua" w:cs="Arial Unicode MS"/>
          <w:sz w:val="24"/>
        </w:rPr>
        <w:t xml:space="preserve"> and systemic therapy. Previous reports had raised concerns regarding the risk of gastrointestinal perforation </w:t>
      </w:r>
      <w:r w:rsidR="001E7A71">
        <w:rPr>
          <w:rFonts w:ascii="Book Antiqua" w:hAnsi="Book Antiqua" w:cs="Arial Unicode MS"/>
          <w:sz w:val="24"/>
        </w:rPr>
        <w:t>in this</w:t>
      </w:r>
      <w:r w:rsidR="0079000F">
        <w:rPr>
          <w:rFonts w:ascii="Book Antiqua" w:hAnsi="Book Antiqua" w:cs="Arial Unicode MS"/>
          <w:sz w:val="24"/>
        </w:rPr>
        <w:t xml:space="preserve"> population. Our </w:t>
      </w:r>
      <w:r w:rsidR="0028488C">
        <w:rPr>
          <w:rFonts w:ascii="Book Antiqua" w:hAnsi="Book Antiqua" w:cs="Arial Unicode MS"/>
          <w:sz w:val="24"/>
        </w:rPr>
        <w:t>reports suggest</w:t>
      </w:r>
      <w:r w:rsidR="0079000F">
        <w:rPr>
          <w:rFonts w:ascii="Book Antiqua" w:hAnsi="Book Antiqua" w:cs="Arial Unicode MS"/>
          <w:sz w:val="24"/>
        </w:rPr>
        <w:t xml:space="preserve"> that the absolute risk is not elevated and in addition clinicians appear to </w:t>
      </w:r>
      <w:r w:rsidR="001E7A71">
        <w:rPr>
          <w:rFonts w:ascii="Book Antiqua" w:hAnsi="Book Antiqua" w:cs="Arial Unicode MS"/>
          <w:sz w:val="24"/>
        </w:rPr>
        <w:t xml:space="preserve">be </w:t>
      </w:r>
      <w:r w:rsidR="0079000F">
        <w:rPr>
          <w:rFonts w:ascii="Book Antiqua" w:hAnsi="Book Antiqua" w:cs="Arial Unicode MS"/>
          <w:sz w:val="24"/>
        </w:rPr>
        <w:t xml:space="preserve">confident in using </w:t>
      </w:r>
      <w:proofErr w:type="spellStart"/>
      <w:r w:rsidR="0079000F">
        <w:rPr>
          <w:rFonts w:ascii="Book Antiqua" w:hAnsi="Book Antiqua" w:cs="Arial Unicode MS"/>
          <w:sz w:val="24"/>
        </w:rPr>
        <w:t>bevacizumab</w:t>
      </w:r>
      <w:proofErr w:type="spellEnd"/>
      <w:r w:rsidR="0079000F">
        <w:rPr>
          <w:rFonts w:ascii="Book Antiqua" w:hAnsi="Book Antiqua" w:cs="Arial Unicode MS"/>
          <w:sz w:val="24"/>
        </w:rPr>
        <w:t xml:space="preserve"> in patients with colorectal cancer and peritoneal disease. We recommend that the presence of peritoneal disease is not a contraindication to the use of </w:t>
      </w:r>
      <w:proofErr w:type="spellStart"/>
      <w:r w:rsidR="0079000F">
        <w:rPr>
          <w:rFonts w:ascii="Book Antiqua" w:hAnsi="Book Antiqua" w:cs="Arial Unicode MS"/>
          <w:sz w:val="24"/>
        </w:rPr>
        <w:t>bevacizumab</w:t>
      </w:r>
      <w:proofErr w:type="spellEnd"/>
      <w:r w:rsidR="0079000F">
        <w:rPr>
          <w:rFonts w:ascii="Book Antiqua" w:hAnsi="Book Antiqua" w:cs="Arial Unicode MS"/>
          <w:sz w:val="24"/>
        </w:rPr>
        <w:t xml:space="preserve"> and systemic therapy.</w:t>
      </w:r>
    </w:p>
    <w:bookmarkEnd w:id="32"/>
    <w:bookmarkEnd w:id="33"/>
    <w:bookmarkEnd w:id="34"/>
    <w:bookmarkEnd w:id="35"/>
    <w:bookmarkEnd w:id="36"/>
    <w:p w:rsidR="00951777" w:rsidRPr="00951777" w:rsidRDefault="00951777" w:rsidP="00785D97">
      <w:pPr>
        <w:adjustRightInd w:val="0"/>
        <w:snapToGrid w:val="0"/>
        <w:spacing w:after="0" w:line="360" w:lineRule="auto"/>
        <w:jc w:val="both"/>
        <w:rPr>
          <w:rFonts w:ascii="Book Antiqua" w:hAnsi="Book Antiqua" w:cs="Tahoma"/>
          <w:sz w:val="24"/>
          <w:lang w:eastAsia="zh-CN"/>
        </w:rPr>
      </w:pPr>
    </w:p>
    <w:bookmarkEnd w:id="37"/>
    <w:bookmarkEnd w:id="38"/>
    <w:bookmarkEnd w:id="39"/>
    <w:p w:rsidR="00C2324C" w:rsidRPr="00343383" w:rsidRDefault="00C2324C" w:rsidP="00C2324C">
      <w:pPr>
        <w:spacing w:after="0" w:line="360" w:lineRule="auto"/>
        <w:jc w:val="both"/>
        <w:rPr>
          <w:rFonts w:ascii="Book Antiqua" w:hAnsi="Book Antiqua"/>
          <w:sz w:val="24"/>
          <w:szCs w:val="24"/>
          <w:vertAlign w:val="superscript"/>
          <w:lang w:eastAsia="zh-CN"/>
        </w:rPr>
      </w:pPr>
      <w:proofErr w:type="spellStart"/>
      <w:r w:rsidRPr="00951777">
        <w:rPr>
          <w:rFonts w:ascii="Book Antiqua" w:hAnsi="Book Antiqua"/>
          <w:sz w:val="24"/>
          <w:szCs w:val="24"/>
        </w:rPr>
        <w:t>Roohullah</w:t>
      </w:r>
      <w:proofErr w:type="spellEnd"/>
      <w:r>
        <w:rPr>
          <w:rFonts w:ascii="Book Antiqua" w:hAnsi="Book Antiqua"/>
          <w:sz w:val="24"/>
          <w:szCs w:val="24"/>
        </w:rPr>
        <w:t xml:space="preserve"> A</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Wong</w:t>
      </w:r>
      <w:r>
        <w:rPr>
          <w:rFonts w:ascii="Book Antiqua" w:hAnsi="Book Antiqua"/>
          <w:sz w:val="24"/>
          <w:szCs w:val="24"/>
        </w:rPr>
        <w:t xml:space="preserve"> HL</w:t>
      </w:r>
      <w:r>
        <w:rPr>
          <w:rFonts w:ascii="Book Antiqua" w:hAnsi="Book Antiqua" w:hint="eastAsia"/>
          <w:sz w:val="24"/>
          <w:szCs w:val="24"/>
          <w:lang w:eastAsia="zh-CN"/>
        </w:rPr>
        <w:t>,</w:t>
      </w:r>
      <w:r>
        <w:rPr>
          <w:rFonts w:ascii="Book Antiqua" w:hAnsi="Book Antiqua"/>
          <w:sz w:val="24"/>
          <w:szCs w:val="24"/>
        </w:rPr>
        <w:t xml:space="preserve"> </w:t>
      </w:r>
      <w:proofErr w:type="spellStart"/>
      <w:r w:rsidRPr="00951777">
        <w:rPr>
          <w:rFonts w:ascii="Book Antiqua" w:hAnsi="Book Antiqua"/>
          <w:sz w:val="24"/>
          <w:szCs w:val="24"/>
        </w:rPr>
        <w:t>Sjoquist</w:t>
      </w:r>
      <w:proofErr w:type="spellEnd"/>
      <w:r>
        <w:rPr>
          <w:rFonts w:ascii="Book Antiqua" w:hAnsi="Book Antiqua"/>
          <w:sz w:val="24"/>
          <w:szCs w:val="24"/>
        </w:rPr>
        <w:t xml:space="preserve"> KM</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Gibbs</w:t>
      </w:r>
      <w:r>
        <w:rPr>
          <w:rFonts w:ascii="Book Antiqua" w:hAnsi="Book Antiqua"/>
          <w:sz w:val="24"/>
          <w:szCs w:val="24"/>
        </w:rPr>
        <w:t xml:space="preserve"> P</w:t>
      </w:r>
      <w:r>
        <w:rPr>
          <w:rFonts w:ascii="Book Antiqua" w:hAnsi="Book Antiqua" w:hint="eastAsia"/>
          <w:sz w:val="24"/>
          <w:szCs w:val="24"/>
          <w:lang w:eastAsia="zh-CN"/>
        </w:rPr>
        <w:t>,</w:t>
      </w:r>
      <w:r w:rsidRPr="00951777">
        <w:rPr>
          <w:rFonts w:ascii="Book Antiqua" w:hAnsi="Book Antiqua"/>
          <w:i/>
          <w:sz w:val="24"/>
          <w:szCs w:val="24"/>
        </w:rPr>
        <w:t xml:space="preserve"> </w:t>
      </w:r>
      <w:r w:rsidRPr="00951777">
        <w:rPr>
          <w:rFonts w:ascii="Book Antiqua" w:hAnsi="Book Antiqua"/>
          <w:sz w:val="24"/>
          <w:szCs w:val="24"/>
        </w:rPr>
        <w:t>Field</w:t>
      </w:r>
      <w:r>
        <w:rPr>
          <w:rFonts w:ascii="Book Antiqua" w:hAnsi="Book Antiqua"/>
          <w:sz w:val="24"/>
          <w:szCs w:val="24"/>
        </w:rPr>
        <w:t xml:space="preserve"> K</w:t>
      </w:r>
      <w:r>
        <w:rPr>
          <w:rFonts w:ascii="Book Antiqua" w:hAnsi="Book Antiqua" w:hint="eastAsia"/>
          <w:sz w:val="24"/>
          <w:szCs w:val="24"/>
          <w:lang w:eastAsia="zh-CN"/>
        </w:rPr>
        <w:t>,</w:t>
      </w:r>
      <w:r>
        <w:rPr>
          <w:rFonts w:ascii="Book Antiqua" w:hAnsi="Book Antiqua"/>
          <w:sz w:val="24"/>
          <w:szCs w:val="24"/>
        </w:rPr>
        <w:t xml:space="preserve"> Tran B</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Shapiro</w:t>
      </w:r>
      <w:r>
        <w:rPr>
          <w:rFonts w:ascii="Book Antiqua" w:hAnsi="Book Antiqua"/>
          <w:sz w:val="24"/>
          <w:szCs w:val="24"/>
        </w:rPr>
        <w:t xml:space="preserve"> J</w:t>
      </w:r>
      <w:r>
        <w:rPr>
          <w:rFonts w:ascii="Book Antiqua" w:hAnsi="Book Antiqua" w:hint="eastAsia"/>
          <w:sz w:val="24"/>
          <w:szCs w:val="24"/>
          <w:lang w:eastAsia="zh-CN"/>
        </w:rPr>
        <w:t>,</w:t>
      </w:r>
      <w:r>
        <w:rPr>
          <w:rFonts w:ascii="Book Antiqua" w:hAnsi="Book Antiqua"/>
          <w:sz w:val="24"/>
          <w:szCs w:val="24"/>
        </w:rPr>
        <w:t xml:space="preserve"> </w:t>
      </w:r>
      <w:proofErr w:type="spellStart"/>
      <w:r w:rsidRPr="00951777">
        <w:rPr>
          <w:rFonts w:ascii="Book Antiqua" w:hAnsi="Book Antiqua"/>
          <w:sz w:val="24"/>
          <w:szCs w:val="24"/>
        </w:rPr>
        <w:t>Mckendrick</w:t>
      </w:r>
      <w:proofErr w:type="spellEnd"/>
      <w:r>
        <w:rPr>
          <w:rFonts w:ascii="Book Antiqua" w:hAnsi="Book Antiqua"/>
          <w:sz w:val="24"/>
          <w:szCs w:val="24"/>
        </w:rPr>
        <w:t xml:space="preserve"> J</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Yip</w:t>
      </w:r>
      <w:r>
        <w:rPr>
          <w:rFonts w:ascii="Book Antiqua" w:hAnsi="Book Antiqua"/>
          <w:sz w:val="24"/>
          <w:szCs w:val="24"/>
        </w:rPr>
        <w:t xml:space="preserve"> D</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Nott</w:t>
      </w:r>
      <w:r>
        <w:rPr>
          <w:rFonts w:ascii="Book Antiqua" w:hAnsi="Book Antiqua"/>
          <w:sz w:val="24"/>
          <w:szCs w:val="24"/>
        </w:rPr>
        <w:t xml:space="preserve"> L</w:t>
      </w:r>
      <w:r>
        <w:rPr>
          <w:rFonts w:ascii="Book Antiqua" w:hAnsi="Book Antiqua" w:hint="eastAsia"/>
          <w:sz w:val="24"/>
          <w:szCs w:val="24"/>
          <w:lang w:eastAsia="zh-CN"/>
        </w:rPr>
        <w:t>,</w:t>
      </w:r>
      <w:r>
        <w:rPr>
          <w:rFonts w:ascii="Book Antiqua" w:hAnsi="Book Antiqua"/>
          <w:sz w:val="24"/>
          <w:szCs w:val="24"/>
        </w:rPr>
        <w:t xml:space="preserve"> </w:t>
      </w:r>
      <w:proofErr w:type="spellStart"/>
      <w:r w:rsidRPr="00951777">
        <w:rPr>
          <w:rFonts w:ascii="Book Antiqua" w:hAnsi="Book Antiqua"/>
          <w:sz w:val="24"/>
          <w:szCs w:val="24"/>
        </w:rPr>
        <w:t>Gebski</w:t>
      </w:r>
      <w:proofErr w:type="spellEnd"/>
      <w:r>
        <w:rPr>
          <w:rFonts w:ascii="Book Antiqua" w:hAnsi="Book Antiqua"/>
          <w:sz w:val="24"/>
          <w:szCs w:val="24"/>
        </w:rPr>
        <w:t xml:space="preserve"> V</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Ng</w:t>
      </w:r>
      <w:r>
        <w:rPr>
          <w:rFonts w:ascii="Book Antiqua" w:hAnsi="Book Antiqua"/>
          <w:sz w:val="24"/>
          <w:szCs w:val="24"/>
        </w:rPr>
        <w:t xml:space="preserve"> W</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Chua</w:t>
      </w:r>
      <w:r>
        <w:rPr>
          <w:rFonts w:ascii="Book Antiqua" w:hAnsi="Book Antiqua"/>
          <w:sz w:val="24"/>
          <w:szCs w:val="24"/>
        </w:rPr>
        <w:t xml:space="preserve"> W</w:t>
      </w:r>
      <w:r>
        <w:rPr>
          <w:rFonts w:ascii="Book Antiqua" w:hAnsi="Book Antiqua" w:hint="eastAsia"/>
          <w:sz w:val="24"/>
          <w:szCs w:val="24"/>
          <w:lang w:eastAsia="zh-CN"/>
        </w:rPr>
        <w:t>,</w:t>
      </w:r>
      <w:r>
        <w:rPr>
          <w:rFonts w:ascii="Book Antiqua" w:hAnsi="Book Antiqua"/>
          <w:sz w:val="24"/>
          <w:szCs w:val="24"/>
        </w:rPr>
        <w:t xml:space="preserve"> </w:t>
      </w:r>
      <w:r w:rsidRPr="00951777">
        <w:rPr>
          <w:rFonts w:ascii="Book Antiqua" w:hAnsi="Book Antiqua"/>
          <w:sz w:val="24"/>
          <w:szCs w:val="24"/>
        </w:rPr>
        <w:t>Price</w:t>
      </w:r>
      <w:r>
        <w:rPr>
          <w:rFonts w:ascii="Book Antiqua" w:hAnsi="Book Antiqua"/>
          <w:sz w:val="24"/>
          <w:szCs w:val="24"/>
        </w:rPr>
        <w:t xml:space="preserve"> </w:t>
      </w:r>
      <w:r>
        <w:rPr>
          <w:rFonts w:ascii="Book Antiqua" w:hAnsi="Book Antiqua" w:hint="eastAsia"/>
          <w:sz w:val="24"/>
          <w:szCs w:val="24"/>
          <w:lang w:eastAsia="zh-CN"/>
        </w:rPr>
        <w:t>T,</w:t>
      </w:r>
      <w:r>
        <w:rPr>
          <w:rFonts w:ascii="Book Antiqua" w:hAnsi="Book Antiqua"/>
          <w:sz w:val="24"/>
          <w:szCs w:val="24"/>
        </w:rPr>
        <w:t xml:space="preserve"> </w:t>
      </w:r>
      <w:proofErr w:type="spellStart"/>
      <w:r w:rsidRPr="00951777">
        <w:rPr>
          <w:rFonts w:ascii="Book Antiqua" w:hAnsi="Book Antiqua"/>
          <w:sz w:val="24"/>
          <w:szCs w:val="24"/>
        </w:rPr>
        <w:t>Tebbutt</w:t>
      </w:r>
      <w:proofErr w:type="spellEnd"/>
      <w:r>
        <w:rPr>
          <w:rFonts w:ascii="Book Antiqua" w:hAnsi="Book Antiqua"/>
          <w:sz w:val="24"/>
          <w:szCs w:val="24"/>
        </w:rPr>
        <w:t xml:space="preserve"> N</w:t>
      </w:r>
      <w:r>
        <w:rPr>
          <w:rFonts w:ascii="Book Antiqua" w:hAnsi="Book Antiqua" w:hint="eastAsia"/>
          <w:sz w:val="24"/>
          <w:szCs w:val="24"/>
          <w:lang w:eastAsia="zh-CN"/>
        </w:rPr>
        <w:t>,</w:t>
      </w:r>
      <w:r w:rsidRPr="00951777">
        <w:rPr>
          <w:rFonts w:ascii="Book Antiqua" w:hAnsi="Book Antiqua"/>
          <w:sz w:val="24"/>
          <w:szCs w:val="24"/>
        </w:rPr>
        <w:t xml:space="preserve"> </w:t>
      </w:r>
      <w:proofErr w:type="spellStart"/>
      <w:r w:rsidRPr="00951777">
        <w:rPr>
          <w:rFonts w:ascii="Book Antiqua" w:hAnsi="Book Antiqua"/>
          <w:sz w:val="24"/>
          <w:szCs w:val="24"/>
        </w:rPr>
        <w:t>Chantrill</w:t>
      </w:r>
      <w:proofErr w:type="spellEnd"/>
      <w:r>
        <w:rPr>
          <w:rFonts w:ascii="Book Antiqua" w:hAnsi="Book Antiqua"/>
          <w:sz w:val="24"/>
          <w:szCs w:val="24"/>
        </w:rPr>
        <w:t xml:space="preserve"> L</w:t>
      </w:r>
      <w:r>
        <w:rPr>
          <w:rFonts w:ascii="Book Antiqua" w:hAnsi="Book Antiqua" w:hint="eastAsia"/>
          <w:sz w:val="24"/>
          <w:szCs w:val="24"/>
          <w:lang w:eastAsia="zh-CN"/>
        </w:rPr>
        <w:t xml:space="preserve">. </w:t>
      </w:r>
      <w:r w:rsidRPr="00C2324C">
        <w:rPr>
          <w:rFonts w:ascii="Book Antiqua" w:hAnsi="Book Antiqua"/>
          <w:sz w:val="24"/>
          <w:szCs w:val="24"/>
          <w:lang w:eastAsia="zh-CN"/>
        </w:rPr>
        <w:t xml:space="preserve">Gastrointestinal perforation in metastatic colorectal cancer patients with peritoneal metastases receiving </w:t>
      </w:r>
      <w:proofErr w:type="spellStart"/>
      <w:r w:rsidRPr="00C2324C">
        <w:rPr>
          <w:rFonts w:ascii="Book Antiqua" w:hAnsi="Book Antiqua"/>
          <w:sz w:val="24"/>
          <w:szCs w:val="24"/>
          <w:lang w:eastAsia="zh-CN"/>
        </w:rPr>
        <w:t>bevacizumab</w:t>
      </w:r>
      <w:proofErr w:type="spellEnd"/>
      <w:r>
        <w:rPr>
          <w:rFonts w:ascii="Book Antiqua" w:hAnsi="Book Antiqua" w:hint="eastAsia"/>
          <w:sz w:val="24"/>
          <w:szCs w:val="24"/>
          <w:lang w:eastAsia="zh-CN"/>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proofErr w:type="gramStart"/>
      <w:r w:rsidRPr="00712F63">
        <w:rPr>
          <w:rFonts w:ascii="Book Antiqua" w:hAnsi="Book Antiqua"/>
          <w:sz w:val="24"/>
        </w:rPr>
        <w:t>In</w:t>
      </w:r>
      <w:proofErr w:type="gramEnd"/>
      <w:r w:rsidRPr="00712F63">
        <w:rPr>
          <w:rFonts w:ascii="Book Antiqua" w:hAnsi="Book Antiqua"/>
          <w:sz w:val="24"/>
        </w:rPr>
        <w:t xml:space="preserve"> press</w:t>
      </w:r>
    </w:p>
    <w:p w:rsidR="00C071D1" w:rsidRPr="00951777" w:rsidRDefault="00C071D1" w:rsidP="00785D97">
      <w:pPr>
        <w:spacing w:after="0" w:line="360" w:lineRule="auto"/>
        <w:jc w:val="both"/>
        <w:rPr>
          <w:rFonts w:ascii="Book Antiqua" w:hAnsi="Book Antiqua"/>
          <w:b/>
          <w:sz w:val="24"/>
          <w:szCs w:val="24"/>
          <w:u w:val="single"/>
        </w:rPr>
      </w:pPr>
      <w:r w:rsidRPr="00951777">
        <w:rPr>
          <w:rFonts w:ascii="Book Antiqua" w:hAnsi="Book Antiqua"/>
          <w:sz w:val="24"/>
          <w:szCs w:val="24"/>
          <w:u w:val="single"/>
        </w:rPr>
        <w:br w:type="page"/>
      </w:r>
    </w:p>
    <w:p w:rsidR="00C071D1" w:rsidRPr="00951777" w:rsidRDefault="00C071D1" w:rsidP="00785D97">
      <w:pPr>
        <w:spacing w:after="0" w:line="360" w:lineRule="auto"/>
        <w:jc w:val="both"/>
        <w:rPr>
          <w:rFonts w:ascii="Book Antiqua" w:hAnsi="Book Antiqua"/>
          <w:b/>
          <w:sz w:val="24"/>
          <w:szCs w:val="24"/>
        </w:rPr>
      </w:pPr>
      <w:r w:rsidRPr="00951777">
        <w:rPr>
          <w:rFonts w:ascii="Book Antiqua" w:hAnsi="Book Antiqua"/>
          <w:b/>
          <w:sz w:val="24"/>
          <w:szCs w:val="24"/>
        </w:rPr>
        <w:lastRenderedPageBreak/>
        <w:t xml:space="preserve">INTRODUCTION </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Peritoneal spread from colorectal cancer occurs in 10</w:t>
      </w:r>
      <w:r w:rsidR="00C2324C">
        <w:rPr>
          <w:rFonts w:ascii="Book Antiqua" w:hAnsi="Book Antiqua" w:hint="eastAsia"/>
          <w:sz w:val="24"/>
          <w:szCs w:val="24"/>
          <w:lang w:eastAsia="zh-CN"/>
        </w:rPr>
        <w:t>%</w:t>
      </w:r>
      <w:r w:rsidRPr="00951777">
        <w:rPr>
          <w:rFonts w:ascii="Book Antiqua" w:hAnsi="Book Antiqua"/>
          <w:sz w:val="24"/>
          <w:szCs w:val="24"/>
        </w:rPr>
        <w:t>-15% of patients with metastatic colorectal cancer (</w:t>
      </w:r>
      <w:proofErr w:type="spellStart"/>
      <w:r w:rsidRPr="00951777">
        <w:rPr>
          <w:rFonts w:ascii="Book Antiqua" w:hAnsi="Book Antiqua"/>
          <w:sz w:val="24"/>
          <w:szCs w:val="24"/>
        </w:rPr>
        <w:t>mCRC</w:t>
      </w:r>
      <w:proofErr w:type="spellEnd"/>
      <w:proofErr w:type="gramStart"/>
      <w:r w:rsidRPr="00951777">
        <w:rPr>
          <w:rFonts w:ascii="Book Antiqua" w:hAnsi="Book Antiqua"/>
          <w:sz w:val="24"/>
          <w:szCs w:val="24"/>
        </w:rPr>
        <w:t>)</w:t>
      </w:r>
      <w:r w:rsidRPr="00951777">
        <w:rPr>
          <w:rFonts w:ascii="Book Antiqua" w:hAnsi="Book Antiqua"/>
          <w:noProof/>
          <w:sz w:val="24"/>
          <w:szCs w:val="24"/>
          <w:vertAlign w:val="superscript"/>
        </w:rPr>
        <w:t>[</w:t>
      </w:r>
      <w:proofErr w:type="gramEnd"/>
      <w:r w:rsidRPr="00951777">
        <w:rPr>
          <w:rFonts w:ascii="Book Antiqua" w:hAnsi="Book Antiqua"/>
          <w:noProof/>
          <w:sz w:val="24"/>
          <w:szCs w:val="24"/>
          <w:vertAlign w:val="superscript"/>
        </w:rPr>
        <w:t>1]</w:t>
      </w:r>
      <w:r w:rsidRPr="00951777">
        <w:rPr>
          <w:rFonts w:ascii="Book Antiqua" w:hAnsi="Book Antiqua"/>
          <w:sz w:val="24"/>
          <w:szCs w:val="24"/>
        </w:rPr>
        <w:t xml:space="preserve">. These patients typically have a high disease burden with increased morbidity and a worse prognosis than patients without peritoneal </w:t>
      </w:r>
      <w:proofErr w:type="gramStart"/>
      <w:r w:rsidRPr="00951777">
        <w:rPr>
          <w:rFonts w:ascii="Book Antiqua" w:hAnsi="Book Antiqua"/>
          <w:sz w:val="24"/>
          <w:szCs w:val="24"/>
        </w:rPr>
        <w:t>disease</w:t>
      </w:r>
      <w:r w:rsidRPr="00951777">
        <w:rPr>
          <w:rFonts w:ascii="Book Antiqua" w:hAnsi="Book Antiqua"/>
          <w:noProof/>
          <w:sz w:val="24"/>
          <w:szCs w:val="24"/>
          <w:vertAlign w:val="superscript"/>
        </w:rPr>
        <w:t>[</w:t>
      </w:r>
      <w:proofErr w:type="gramEnd"/>
      <w:r w:rsidRPr="00951777">
        <w:rPr>
          <w:rFonts w:ascii="Book Antiqua" w:hAnsi="Book Antiqua"/>
          <w:noProof/>
          <w:sz w:val="24"/>
          <w:szCs w:val="24"/>
          <w:vertAlign w:val="superscript"/>
        </w:rPr>
        <w:t>2-4]</w:t>
      </w:r>
      <w:r w:rsidRPr="00951777">
        <w:rPr>
          <w:rFonts w:ascii="Book Antiqua" w:hAnsi="Book Antiqua"/>
          <w:sz w:val="24"/>
          <w:szCs w:val="24"/>
        </w:rPr>
        <w:t xml:space="preserve">. </w:t>
      </w:r>
      <w:hyperlink w:anchor="_ENREF_11" w:tooltip="Tebbutt, 2010 #31" w:history="1"/>
      <w:hyperlink w:anchor="_ENREF_12" w:tooltip="Giantonio, 2007 #13" w:history="1"/>
      <w:r w:rsidRPr="00951777">
        <w:rPr>
          <w:rFonts w:ascii="Book Antiqua" w:hAnsi="Book Antiqua"/>
          <w:sz w:val="24"/>
          <w:szCs w:val="24"/>
        </w:rPr>
        <w:t xml:space="preserve"> </w:t>
      </w:r>
    </w:p>
    <w:p w:rsidR="00C071D1" w:rsidRPr="00951777" w:rsidRDefault="00C071D1" w:rsidP="00C2324C">
      <w:pPr>
        <w:spacing w:after="0" w:line="360" w:lineRule="auto"/>
        <w:ind w:firstLineChars="150" w:firstLine="360"/>
        <w:jc w:val="both"/>
        <w:rPr>
          <w:rFonts w:ascii="Book Antiqua" w:hAnsi="Book Antiqua"/>
          <w:sz w:val="24"/>
          <w:szCs w:val="24"/>
        </w:rPr>
      </w:pPr>
      <w:r w:rsidRPr="00951777">
        <w:rPr>
          <w:rFonts w:ascii="Book Antiqua" w:hAnsi="Book Antiqua"/>
          <w:sz w:val="24"/>
          <w:szCs w:val="24"/>
        </w:rPr>
        <w:t xml:space="preserve">Gastrointestinal perforation is a well-documented side effect of </w:t>
      </w:r>
      <w:proofErr w:type="spellStart"/>
      <w:r w:rsidRPr="00951777">
        <w:rPr>
          <w:rFonts w:ascii="Book Antiqua" w:hAnsi="Book Antiqua"/>
          <w:sz w:val="24"/>
          <w:szCs w:val="24"/>
        </w:rPr>
        <w:t>bevacizumab</w:t>
      </w:r>
      <w:proofErr w:type="spellEnd"/>
      <w:r w:rsidR="00D068C9">
        <w:rPr>
          <w:rFonts w:ascii="Book Antiqua" w:hAnsi="Book Antiqua"/>
          <w:sz w:val="24"/>
          <w:szCs w:val="24"/>
        </w:rPr>
        <w:t>, a humanized monoclonal antibody</w:t>
      </w:r>
      <w:r w:rsidRPr="00951777">
        <w:rPr>
          <w:rFonts w:ascii="Book Antiqua" w:hAnsi="Book Antiqua"/>
          <w:sz w:val="24"/>
          <w:szCs w:val="24"/>
        </w:rPr>
        <w:t xml:space="preserve"> and occurs at a rate of 1</w:t>
      </w:r>
      <w:r w:rsidR="00C2324C">
        <w:rPr>
          <w:rFonts w:ascii="Book Antiqua" w:hAnsi="Book Antiqua" w:hint="eastAsia"/>
          <w:sz w:val="24"/>
          <w:szCs w:val="24"/>
          <w:lang w:eastAsia="zh-CN"/>
        </w:rPr>
        <w:t>%</w:t>
      </w:r>
      <w:r w:rsidRPr="00951777">
        <w:rPr>
          <w:rFonts w:ascii="Book Antiqua" w:hAnsi="Book Antiqua"/>
          <w:sz w:val="24"/>
          <w:szCs w:val="24"/>
        </w:rPr>
        <w:t xml:space="preserve">-2%. In the BRITE </w:t>
      </w:r>
      <w:proofErr w:type="gramStart"/>
      <w:r w:rsidRPr="00951777">
        <w:rPr>
          <w:rFonts w:ascii="Book Antiqua" w:hAnsi="Book Antiqua"/>
          <w:sz w:val="24"/>
          <w:szCs w:val="24"/>
        </w:rPr>
        <w:t>registry</w:t>
      </w:r>
      <w:r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5</w:t>
      </w:r>
      <w:r w:rsidRPr="00951777">
        <w:rPr>
          <w:rFonts w:ascii="Book Antiqua" w:hAnsi="Book Antiqua"/>
          <w:noProof/>
          <w:sz w:val="24"/>
          <w:szCs w:val="24"/>
          <w:vertAlign w:val="superscript"/>
        </w:rPr>
        <w:t>]</w:t>
      </w:r>
      <w:r w:rsidRPr="00951777">
        <w:rPr>
          <w:rFonts w:ascii="Book Antiqua" w:hAnsi="Book Antiqua"/>
          <w:sz w:val="24"/>
          <w:szCs w:val="24"/>
        </w:rPr>
        <w:t xml:space="preserve">, 37 of 1953 metastatic colorectal patients had a gastrointestinal perforation. On multivariate analysis, risk factors associated with </w:t>
      </w:r>
      <w:r w:rsidR="00484C01">
        <w:rPr>
          <w:rFonts w:ascii="Book Antiqua" w:hAnsi="Book Antiqua"/>
          <w:sz w:val="24"/>
          <w:szCs w:val="24"/>
        </w:rPr>
        <w:t>gastrointestinal perforation</w:t>
      </w:r>
      <w:r w:rsidRPr="00951777">
        <w:rPr>
          <w:rFonts w:ascii="Book Antiqua" w:hAnsi="Book Antiqua"/>
          <w:sz w:val="24"/>
          <w:szCs w:val="24"/>
        </w:rPr>
        <w:t xml:space="preserve"> included intact primary tumour and prior adjuvant radiotherapy. The risk of </w:t>
      </w:r>
      <w:r w:rsidR="00484C01">
        <w:rPr>
          <w:rFonts w:ascii="Book Antiqua" w:hAnsi="Book Antiqua"/>
          <w:sz w:val="24"/>
          <w:szCs w:val="24"/>
        </w:rPr>
        <w:t>gastrointestinal perforation</w:t>
      </w:r>
      <w:r w:rsidRPr="00951777">
        <w:rPr>
          <w:rFonts w:ascii="Book Antiqua" w:hAnsi="Book Antiqua"/>
          <w:sz w:val="24"/>
          <w:szCs w:val="24"/>
        </w:rPr>
        <w:t xml:space="preserve"> may be enhanced in the presence of chemotherapy related </w:t>
      </w:r>
      <w:r w:rsidR="00484C01">
        <w:rPr>
          <w:rFonts w:ascii="Book Antiqua" w:hAnsi="Book Antiqua"/>
          <w:sz w:val="24"/>
          <w:szCs w:val="24"/>
        </w:rPr>
        <w:t>gastrointestinal</w:t>
      </w:r>
      <w:r w:rsidRPr="00951777">
        <w:rPr>
          <w:rFonts w:ascii="Book Antiqua" w:hAnsi="Book Antiqua"/>
          <w:sz w:val="24"/>
          <w:szCs w:val="24"/>
        </w:rPr>
        <w:t xml:space="preserve"> toxicity or by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induced changes in tumour vasculature. A meta-analysis found </w:t>
      </w:r>
      <w:r w:rsidR="00484C01">
        <w:rPr>
          <w:rFonts w:ascii="Book Antiqua" w:hAnsi="Book Antiqua"/>
          <w:sz w:val="24"/>
          <w:szCs w:val="24"/>
        </w:rPr>
        <w:t>gastrointestinal perforation</w:t>
      </w:r>
      <w:r w:rsidRPr="00951777">
        <w:rPr>
          <w:rFonts w:ascii="Book Antiqua" w:hAnsi="Book Antiqua"/>
          <w:sz w:val="24"/>
          <w:szCs w:val="24"/>
        </w:rPr>
        <w:t xml:space="preserve"> occurs with the use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in other tumour types with the highest relative risk seen with intra-abdominal cancers including colorectal, ovarian, pancreatic and renal cell cancers compared to breast, lung and </w:t>
      </w:r>
      <w:proofErr w:type="spellStart"/>
      <w:proofErr w:type="gramStart"/>
      <w:r w:rsidRPr="00951777">
        <w:rPr>
          <w:rFonts w:ascii="Book Antiqua" w:hAnsi="Book Antiqua"/>
          <w:sz w:val="24"/>
          <w:szCs w:val="24"/>
        </w:rPr>
        <w:t>glioblastoma</w:t>
      </w:r>
      <w:proofErr w:type="spellEnd"/>
      <w:r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6</w:t>
      </w:r>
      <w:r w:rsidRPr="00951777">
        <w:rPr>
          <w:rFonts w:ascii="Book Antiqua" w:hAnsi="Book Antiqua"/>
          <w:noProof/>
          <w:sz w:val="24"/>
          <w:szCs w:val="24"/>
          <w:vertAlign w:val="superscript"/>
        </w:rPr>
        <w:t>]</w:t>
      </w:r>
      <w:r w:rsidRPr="00951777">
        <w:rPr>
          <w:rFonts w:ascii="Book Antiqua" w:hAnsi="Book Antiqua"/>
          <w:sz w:val="24"/>
          <w:szCs w:val="24"/>
        </w:rPr>
        <w:t xml:space="preserve">. </w:t>
      </w:r>
    </w:p>
    <w:p w:rsidR="00C071D1" w:rsidRPr="00951777" w:rsidRDefault="00D068C9" w:rsidP="00C2324C">
      <w:pPr>
        <w:spacing w:after="0" w:line="360" w:lineRule="auto"/>
        <w:ind w:firstLineChars="200" w:firstLine="480"/>
        <w:jc w:val="both"/>
        <w:rPr>
          <w:rFonts w:ascii="Book Antiqua" w:hAnsi="Book Antiqua"/>
          <w:sz w:val="24"/>
          <w:szCs w:val="24"/>
        </w:rPr>
      </w:pPr>
      <w:r>
        <w:rPr>
          <w:rFonts w:ascii="Book Antiqua" w:hAnsi="Book Antiqua"/>
          <w:sz w:val="24"/>
          <w:szCs w:val="24"/>
        </w:rPr>
        <w:t>The rates of gastrointestinal perforation</w:t>
      </w:r>
      <w:r w:rsidR="00D35D48">
        <w:rPr>
          <w:rFonts w:ascii="Book Antiqua" w:hAnsi="Book Antiqua"/>
          <w:sz w:val="24"/>
          <w:szCs w:val="24"/>
        </w:rPr>
        <w:t xml:space="preserve"> in phase III trials</w:t>
      </w:r>
      <w:r>
        <w:rPr>
          <w:rFonts w:ascii="Book Antiqua" w:hAnsi="Book Antiqua"/>
          <w:sz w:val="24"/>
          <w:szCs w:val="24"/>
        </w:rPr>
        <w:t xml:space="preserve"> have been reported in ovarian cancer which like colorectal cancer has a predilection for peritoneal spread. </w:t>
      </w:r>
      <w:r w:rsidR="00D35D48">
        <w:rPr>
          <w:rFonts w:ascii="Book Antiqua" w:hAnsi="Book Antiqua"/>
          <w:sz w:val="24"/>
          <w:szCs w:val="24"/>
        </w:rPr>
        <w:t xml:space="preserve">In the OCEANS </w:t>
      </w:r>
      <w:proofErr w:type="gramStart"/>
      <w:r w:rsidR="00D35D48">
        <w:rPr>
          <w:rFonts w:ascii="Book Antiqua" w:hAnsi="Book Antiqua"/>
          <w:sz w:val="24"/>
          <w:szCs w:val="24"/>
        </w:rPr>
        <w:t>trial</w:t>
      </w:r>
      <w:r w:rsidR="00413D8E" w:rsidRPr="00A926F8">
        <w:rPr>
          <w:rFonts w:ascii="Book Antiqua" w:hAnsi="Book Antiqua"/>
          <w:sz w:val="24"/>
          <w:szCs w:val="24"/>
          <w:vertAlign w:val="superscript"/>
        </w:rPr>
        <w:t>[</w:t>
      </w:r>
      <w:proofErr w:type="gramEnd"/>
      <w:r w:rsidR="00413D8E" w:rsidRPr="00A926F8">
        <w:rPr>
          <w:rFonts w:ascii="Book Antiqua" w:hAnsi="Book Antiqua"/>
          <w:sz w:val="24"/>
          <w:szCs w:val="24"/>
          <w:vertAlign w:val="superscript"/>
        </w:rPr>
        <w:t>7</w:t>
      </w:r>
      <w:r w:rsidR="00D35D48" w:rsidRPr="00A926F8">
        <w:rPr>
          <w:rFonts w:ascii="Book Antiqua" w:hAnsi="Book Antiqua"/>
          <w:sz w:val="24"/>
          <w:szCs w:val="24"/>
          <w:vertAlign w:val="superscript"/>
        </w:rPr>
        <w:t>]</w:t>
      </w:r>
      <w:r w:rsidR="00D35D48">
        <w:rPr>
          <w:rFonts w:ascii="Book Antiqua" w:hAnsi="Book Antiqua"/>
          <w:sz w:val="24"/>
          <w:szCs w:val="24"/>
        </w:rPr>
        <w:t xml:space="preserve"> and the AURELIA trial</w:t>
      </w:r>
      <w:r w:rsidR="00413D8E" w:rsidRPr="00A926F8">
        <w:rPr>
          <w:rFonts w:ascii="Book Antiqua" w:hAnsi="Book Antiqua"/>
          <w:sz w:val="24"/>
          <w:szCs w:val="24"/>
          <w:vertAlign w:val="superscript"/>
        </w:rPr>
        <w:t>[8</w:t>
      </w:r>
      <w:r w:rsidR="00D35D48" w:rsidRPr="00A926F8">
        <w:rPr>
          <w:rFonts w:ascii="Book Antiqua" w:hAnsi="Book Antiqua"/>
          <w:sz w:val="24"/>
          <w:szCs w:val="24"/>
          <w:vertAlign w:val="superscript"/>
        </w:rPr>
        <w:t>]</w:t>
      </w:r>
      <w:r w:rsidR="00D35D48">
        <w:rPr>
          <w:rFonts w:ascii="Book Antiqua" w:hAnsi="Book Antiqua"/>
          <w:sz w:val="24"/>
          <w:szCs w:val="24"/>
        </w:rPr>
        <w:t xml:space="preserve"> the rate of </w:t>
      </w:r>
      <w:r>
        <w:rPr>
          <w:rFonts w:ascii="Book Antiqua" w:hAnsi="Book Antiqua"/>
          <w:sz w:val="24"/>
          <w:szCs w:val="24"/>
        </w:rPr>
        <w:t xml:space="preserve">gastrointestinal perforation </w:t>
      </w:r>
      <w:r w:rsidR="00D35D48">
        <w:rPr>
          <w:rFonts w:ascii="Book Antiqua" w:hAnsi="Book Antiqua"/>
          <w:sz w:val="24"/>
          <w:szCs w:val="24"/>
        </w:rPr>
        <w:t xml:space="preserve">was 0.8% </w:t>
      </w:r>
      <w:r>
        <w:rPr>
          <w:rFonts w:ascii="Book Antiqua" w:hAnsi="Book Antiqua"/>
          <w:sz w:val="24"/>
          <w:szCs w:val="24"/>
        </w:rPr>
        <w:t>and 2.2%</w:t>
      </w:r>
      <w:r w:rsidR="00D35D48">
        <w:rPr>
          <w:rFonts w:ascii="Book Antiqua" w:hAnsi="Book Antiqua"/>
          <w:sz w:val="24"/>
          <w:szCs w:val="24"/>
        </w:rPr>
        <w:t xml:space="preserve"> respectively, in patients receiving </w:t>
      </w:r>
      <w:proofErr w:type="spellStart"/>
      <w:r w:rsidR="00D35D48">
        <w:rPr>
          <w:rFonts w:ascii="Book Antiqua" w:hAnsi="Book Antiqua"/>
          <w:sz w:val="24"/>
          <w:szCs w:val="24"/>
        </w:rPr>
        <w:t>bevacizumab</w:t>
      </w:r>
      <w:proofErr w:type="spellEnd"/>
      <w:r w:rsidR="00D35D48">
        <w:rPr>
          <w:rFonts w:ascii="Book Antiqua" w:hAnsi="Book Antiqua"/>
          <w:sz w:val="24"/>
          <w:szCs w:val="24"/>
        </w:rPr>
        <w:t xml:space="preserve"> and chemotherapy</w:t>
      </w:r>
      <w:r>
        <w:rPr>
          <w:rFonts w:ascii="Book Antiqua" w:hAnsi="Book Antiqua"/>
          <w:sz w:val="24"/>
          <w:szCs w:val="24"/>
        </w:rPr>
        <w:t xml:space="preserve">. </w:t>
      </w:r>
      <w:r w:rsidR="00C071D1" w:rsidRPr="00951777">
        <w:rPr>
          <w:rFonts w:ascii="Book Antiqua" w:hAnsi="Book Antiqua"/>
          <w:sz w:val="24"/>
          <w:szCs w:val="24"/>
        </w:rPr>
        <w:t xml:space="preserve">In a </w:t>
      </w:r>
      <w:proofErr w:type="spellStart"/>
      <w:r w:rsidR="00C071D1" w:rsidRPr="00951777">
        <w:rPr>
          <w:rFonts w:ascii="Book Antiqua" w:hAnsi="Book Antiqua"/>
          <w:sz w:val="24"/>
          <w:szCs w:val="24"/>
        </w:rPr>
        <w:t>univariate</w:t>
      </w:r>
      <w:proofErr w:type="spellEnd"/>
      <w:r w:rsidR="00C071D1" w:rsidRPr="00951777">
        <w:rPr>
          <w:rFonts w:ascii="Book Antiqua" w:hAnsi="Book Antiqua"/>
          <w:sz w:val="24"/>
          <w:szCs w:val="24"/>
        </w:rPr>
        <w:t xml:space="preserve"> analysis of patients receiving </w:t>
      </w:r>
      <w:proofErr w:type="spellStart"/>
      <w:r w:rsidR="00C071D1" w:rsidRPr="00951777">
        <w:rPr>
          <w:rFonts w:ascii="Book Antiqua" w:hAnsi="Book Antiqua"/>
          <w:sz w:val="24"/>
          <w:szCs w:val="24"/>
        </w:rPr>
        <w:t>bevacizumab</w:t>
      </w:r>
      <w:proofErr w:type="spellEnd"/>
      <w:r w:rsidR="00C071D1" w:rsidRPr="00951777">
        <w:rPr>
          <w:rFonts w:ascii="Book Antiqua" w:hAnsi="Book Antiqua"/>
          <w:sz w:val="24"/>
          <w:szCs w:val="24"/>
        </w:rPr>
        <w:t xml:space="preserve"> in the GOG 0218 </w:t>
      </w:r>
      <w:proofErr w:type="gramStart"/>
      <w:r w:rsidR="00C071D1" w:rsidRPr="00951777">
        <w:rPr>
          <w:rFonts w:ascii="Book Antiqua" w:hAnsi="Book Antiqua"/>
          <w:sz w:val="24"/>
          <w:szCs w:val="24"/>
        </w:rPr>
        <w:t>trial</w:t>
      </w:r>
      <w:r w:rsidR="00C071D1"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9</w:t>
      </w:r>
      <w:r w:rsidR="00C071D1" w:rsidRPr="00951777">
        <w:rPr>
          <w:rFonts w:ascii="Book Antiqua" w:hAnsi="Book Antiqua"/>
          <w:noProof/>
          <w:sz w:val="24"/>
          <w:szCs w:val="24"/>
          <w:vertAlign w:val="superscript"/>
        </w:rPr>
        <w:t>]</w:t>
      </w:r>
      <w:r w:rsidR="00677840">
        <w:rPr>
          <w:rFonts w:ascii="Book Antiqua" w:hAnsi="Book Antiqua" w:hint="eastAsia"/>
          <w:sz w:val="24"/>
          <w:szCs w:val="24"/>
          <w:lang w:eastAsia="zh-CN"/>
        </w:rPr>
        <w:t>-</w:t>
      </w:r>
      <w:r w:rsidR="00C071D1" w:rsidRPr="00951777">
        <w:rPr>
          <w:rFonts w:ascii="Book Antiqua" w:hAnsi="Book Antiqua"/>
          <w:sz w:val="24"/>
          <w:szCs w:val="24"/>
        </w:rPr>
        <w:t xml:space="preserve">inflammatory bowel disease, small bowel surgery or large bowel surgery at time of primary resection was associated with an increased risk of </w:t>
      </w:r>
      <w:r w:rsidR="00484C01">
        <w:rPr>
          <w:rFonts w:ascii="Book Antiqua" w:hAnsi="Book Antiqua"/>
          <w:sz w:val="24"/>
          <w:szCs w:val="24"/>
        </w:rPr>
        <w:t>gastrointestinal perforation</w:t>
      </w:r>
      <w:r w:rsidR="00C071D1" w:rsidRPr="00951777">
        <w:rPr>
          <w:rFonts w:ascii="Book Antiqua" w:hAnsi="Book Antiqua"/>
          <w:sz w:val="24"/>
          <w:szCs w:val="24"/>
        </w:rPr>
        <w:t xml:space="preserve">. The increased risk of </w:t>
      </w:r>
      <w:r w:rsidR="00484C01">
        <w:rPr>
          <w:rFonts w:ascii="Book Antiqua" w:hAnsi="Book Antiqua"/>
          <w:sz w:val="24"/>
          <w:szCs w:val="24"/>
        </w:rPr>
        <w:t>gastrointestinal perforation</w:t>
      </w:r>
      <w:r w:rsidR="00C071D1" w:rsidRPr="00951777">
        <w:rPr>
          <w:rFonts w:ascii="Book Antiqua" w:hAnsi="Book Antiqua"/>
          <w:sz w:val="24"/>
          <w:szCs w:val="24"/>
        </w:rPr>
        <w:t xml:space="preserve"> in patients with intra-abdominal tumours, bowel surgery or bowel obstruction have led some investigators to urge caution in using </w:t>
      </w:r>
      <w:proofErr w:type="spellStart"/>
      <w:r w:rsidR="00C071D1" w:rsidRPr="00951777">
        <w:rPr>
          <w:rFonts w:ascii="Book Antiqua" w:hAnsi="Book Antiqua"/>
          <w:sz w:val="24"/>
          <w:szCs w:val="24"/>
        </w:rPr>
        <w:t>bevacizumab</w:t>
      </w:r>
      <w:proofErr w:type="spellEnd"/>
      <w:r w:rsidR="00C071D1" w:rsidRPr="00951777">
        <w:rPr>
          <w:rFonts w:ascii="Book Antiqua" w:hAnsi="Book Antiqua"/>
          <w:sz w:val="24"/>
          <w:szCs w:val="24"/>
        </w:rPr>
        <w:t xml:space="preserve"> in patients with peritoneal </w:t>
      </w:r>
      <w:proofErr w:type="gramStart"/>
      <w:r w:rsidR="00C071D1" w:rsidRPr="00951777">
        <w:rPr>
          <w:rFonts w:ascii="Book Antiqua" w:hAnsi="Book Antiqua"/>
          <w:sz w:val="24"/>
          <w:szCs w:val="24"/>
        </w:rPr>
        <w:t>metastases</w:t>
      </w:r>
      <w:r w:rsidR="00C071D1"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6,10,11</w:t>
      </w:r>
      <w:r w:rsidR="00C071D1" w:rsidRPr="00951777">
        <w:rPr>
          <w:rFonts w:ascii="Book Antiqua" w:hAnsi="Book Antiqua"/>
          <w:noProof/>
          <w:sz w:val="24"/>
          <w:szCs w:val="24"/>
          <w:vertAlign w:val="superscript"/>
        </w:rPr>
        <w:t>]</w:t>
      </w:r>
      <w:r w:rsidR="00C071D1" w:rsidRPr="00951777">
        <w:rPr>
          <w:rFonts w:ascii="Book Antiqua" w:hAnsi="Book Antiqua"/>
          <w:sz w:val="24"/>
          <w:szCs w:val="24"/>
        </w:rPr>
        <w:t>.</w:t>
      </w:r>
    </w:p>
    <w:p w:rsidR="00C071D1" w:rsidRDefault="00D068C9" w:rsidP="00C2324C">
      <w:pPr>
        <w:spacing w:after="0" w:line="360" w:lineRule="auto"/>
        <w:ind w:firstLineChars="150" w:firstLine="360"/>
        <w:jc w:val="both"/>
        <w:rPr>
          <w:rFonts w:ascii="Book Antiqua" w:hAnsi="Book Antiqua"/>
          <w:sz w:val="24"/>
          <w:szCs w:val="24"/>
          <w:lang w:eastAsia="zh-CN"/>
        </w:rPr>
      </w:pPr>
      <w:r>
        <w:rPr>
          <w:rFonts w:ascii="Book Antiqua" w:hAnsi="Book Antiqua"/>
          <w:sz w:val="24"/>
          <w:szCs w:val="24"/>
        </w:rPr>
        <w:t>O</w:t>
      </w:r>
      <w:r w:rsidR="00C071D1" w:rsidRPr="00951777">
        <w:rPr>
          <w:rFonts w:ascii="Book Antiqua" w:hAnsi="Book Antiqua"/>
          <w:sz w:val="24"/>
          <w:szCs w:val="24"/>
        </w:rPr>
        <w:t xml:space="preserve">ur study aimed to assess the gastrointestinal safety outcomes of </w:t>
      </w:r>
      <w:proofErr w:type="spellStart"/>
      <w:r w:rsidR="00C071D1" w:rsidRPr="00951777">
        <w:rPr>
          <w:rFonts w:ascii="Book Antiqua" w:hAnsi="Book Antiqua"/>
          <w:sz w:val="24"/>
          <w:szCs w:val="24"/>
        </w:rPr>
        <w:t>bevacizumab</w:t>
      </w:r>
      <w:proofErr w:type="spellEnd"/>
      <w:r w:rsidR="00C071D1" w:rsidRPr="00951777">
        <w:rPr>
          <w:rFonts w:ascii="Book Antiqua" w:hAnsi="Book Antiqua"/>
          <w:sz w:val="24"/>
          <w:szCs w:val="24"/>
        </w:rPr>
        <w:t xml:space="preserve"> and systemic chemotherapy in </w:t>
      </w:r>
      <w:proofErr w:type="spellStart"/>
      <w:r w:rsidR="00C071D1" w:rsidRPr="00951777">
        <w:rPr>
          <w:rFonts w:ascii="Book Antiqua" w:hAnsi="Book Antiqua"/>
          <w:sz w:val="24"/>
          <w:szCs w:val="24"/>
        </w:rPr>
        <w:t>mCRC</w:t>
      </w:r>
      <w:proofErr w:type="spellEnd"/>
      <w:r w:rsidR="00C071D1" w:rsidRPr="00951777">
        <w:rPr>
          <w:rFonts w:ascii="Book Antiqua" w:hAnsi="Book Antiqua"/>
          <w:sz w:val="24"/>
          <w:szCs w:val="24"/>
        </w:rPr>
        <w:t xml:space="preserve"> patients with peritoneal disease in three cohorts, including both clinical trial and non-trial patients. The Australasian </w:t>
      </w:r>
      <w:r w:rsidR="00C071D1" w:rsidRPr="00951777">
        <w:rPr>
          <w:rFonts w:ascii="Book Antiqua" w:hAnsi="Book Antiqua"/>
          <w:sz w:val="24"/>
          <w:szCs w:val="24"/>
        </w:rPr>
        <w:lastRenderedPageBreak/>
        <w:t xml:space="preserve">Gastrointestinal Trials Group (AGITG) MAX </w:t>
      </w:r>
      <w:proofErr w:type="gramStart"/>
      <w:r w:rsidR="00C071D1" w:rsidRPr="00951777">
        <w:rPr>
          <w:rFonts w:ascii="Book Antiqua" w:hAnsi="Book Antiqua"/>
          <w:sz w:val="24"/>
          <w:szCs w:val="24"/>
        </w:rPr>
        <w:t>trial</w:t>
      </w:r>
      <w:r w:rsidR="00C071D1"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12</w:t>
      </w:r>
      <w:r w:rsidR="00C071D1" w:rsidRPr="00951777">
        <w:rPr>
          <w:rFonts w:ascii="Book Antiqua" w:hAnsi="Book Antiqua"/>
          <w:noProof/>
          <w:sz w:val="24"/>
          <w:szCs w:val="24"/>
          <w:vertAlign w:val="superscript"/>
        </w:rPr>
        <w:t>]</w:t>
      </w:r>
      <w:r w:rsidR="00C071D1" w:rsidRPr="00951777">
        <w:rPr>
          <w:rFonts w:ascii="Book Antiqua" w:hAnsi="Book Antiqua"/>
          <w:sz w:val="24"/>
          <w:szCs w:val="24"/>
        </w:rPr>
        <w:t xml:space="preserve"> included patients with peritoneal disease and hence was an ideal study for our analysis.</w:t>
      </w:r>
    </w:p>
    <w:p w:rsidR="00951777" w:rsidRPr="00951777" w:rsidRDefault="00951777" w:rsidP="00785D97">
      <w:pPr>
        <w:spacing w:after="0" w:line="360" w:lineRule="auto"/>
        <w:jc w:val="both"/>
        <w:rPr>
          <w:rFonts w:ascii="Book Antiqua" w:hAnsi="Book Antiqua"/>
          <w:sz w:val="24"/>
          <w:szCs w:val="24"/>
          <w:lang w:eastAsia="zh-CN"/>
        </w:rPr>
      </w:pPr>
    </w:p>
    <w:p w:rsidR="00951777" w:rsidRPr="00712F63" w:rsidRDefault="00951777" w:rsidP="00785D97">
      <w:pPr>
        <w:spacing w:after="0" w:line="360" w:lineRule="auto"/>
        <w:jc w:val="both"/>
        <w:rPr>
          <w:rFonts w:ascii="Book Antiqua" w:hAnsi="Book Antiqua"/>
          <w:b/>
          <w:sz w:val="24"/>
        </w:rPr>
      </w:pPr>
      <w:bookmarkStart w:id="40" w:name="OLE_LINK337"/>
      <w:bookmarkStart w:id="41" w:name="OLE_LINK338"/>
      <w:bookmarkStart w:id="42" w:name="OLE_LINK378"/>
      <w:bookmarkStart w:id="43" w:name="OLE_LINK388"/>
      <w:r w:rsidRPr="00712F63">
        <w:rPr>
          <w:rFonts w:ascii="Book Antiqua" w:hAnsi="Book Antiqua"/>
          <w:b/>
          <w:sz w:val="24"/>
        </w:rPr>
        <w:t>MATERIALS AND METHODS</w:t>
      </w:r>
    </w:p>
    <w:bookmarkEnd w:id="40"/>
    <w:bookmarkEnd w:id="41"/>
    <w:bookmarkEnd w:id="42"/>
    <w:bookmarkEnd w:id="43"/>
    <w:p w:rsidR="00D068C9" w:rsidRPr="00A926F8" w:rsidRDefault="00D068C9" w:rsidP="00785D97">
      <w:pPr>
        <w:spacing w:after="0" w:line="360" w:lineRule="auto"/>
        <w:jc w:val="both"/>
        <w:rPr>
          <w:rFonts w:ascii="Book Antiqua" w:hAnsi="Book Antiqua"/>
          <w:b/>
          <w:i/>
          <w:sz w:val="24"/>
          <w:szCs w:val="24"/>
        </w:rPr>
      </w:pPr>
      <w:r w:rsidRPr="00A926F8">
        <w:rPr>
          <w:rFonts w:ascii="Book Antiqua" w:hAnsi="Book Antiqua"/>
          <w:b/>
          <w:i/>
          <w:sz w:val="24"/>
          <w:szCs w:val="24"/>
        </w:rPr>
        <w:t>Patient population</w:t>
      </w: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sz w:val="24"/>
          <w:szCs w:val="24"/>
        </w:rPr>
        <w:t xml:space="preserve">Adult patients with histological or radiological evidence of colorectal peritoneal metastases were identified from three sources: the AGITG MAX </w:t>
      </w:r>
      <w:proofErr w:type="gramStart"/>
      <w:r w:rsidRPr="00951777">
        <w:rPr>
          <w:rFonts w:ascii="Book Antiqua" w:hAnsi="Book Antiqua"/>
          <w:sz w:val="24"/>
          <w:szCs w:val="24"/>
        </w:rPr>
        <w:t>study</w:t>
      </w:r>
      <w:r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12</w:t>
      </w:r>
      <w:r w:rsidRPr="00951777">
        <w:rPr>
          <w:rFonts w:ascii="Book Antiqua" w:hAnsi="Book Antiqua"/>
          <w:noProof/>
          <w:sz w:val="24"/>
          <w:szCs w:val="24"/>
          <w:vertAlign w:val="superscript"/>
        </w:rPr>
        <w:t>]</w:t>
      </w:r>
      <w:r w:rsidRPr="00951777">
        <w:rPr>
          <w:rFonts w:ascii="Book Antiqua" w:hAnsi="Book Antiqua"/>
          <w:sz w:val="24"/>
          <w:szCs w:val="24"/>
        </w:rPr>
        <w:t xml:space="preserve">, the TRACC registry (Treatment of Recurrent and Advanced Colorectal Cancer) and two community cancer centres in New South Wales, Australia (NSWCC).  </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C071D1" w:rsidP="00785D97">
      <w:pPr>
        <w:spacing w:after="0" w:line="360" w:lineRule="auto"/>
        <w:jc w:val="both"/>
        <w:rPr>
          <w:rFonts w:ascii="Book Antiqua" w:hAnsi="Book Antiqua"/>
          <w:b/>
          <w:i/>
          <w:sz w:val="24"/>
          <w:szCs w:val="24"/>
        </w:rPr>
      </w:pPr>
      <w:r w:rsidRPr="00951777">
        <w:rPr>
          <w:rFonts w:ascii="Book Antiqua" w:hAnsi="Book Antiqua"/>
          <w:b/>
          <w:i/>
          <w:sz w:val="24"/>
          <w:szCs w:val="24"/>
        </w:rPr>
        <w:t xml:space="preserve">AGITG MAX </w:t>
      </w:r>
      <w:r w:rsidR="00633AE8" w:rsidRPr="00951777">
        <w:rPr>
          <w:rFonts w:ascii="Book Antiqua" w:hAnsi="Book Antiqua"/>
          <w:b/>
          <w:i/>
          <w:sz w:val="24"/>
          <w:szCs w:val="24"/>
        </w:rPr>
        <w:t>study</w:t>
      </w: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sz w:val="24"/>
          <w:szCs w:val="24"/>
        </w:rPr>
        <w:t xml:space="preserve">The MAX study was an international phase III, open label, randomised clinical trial with three arms: </w:t>
      </w:r>
      <w:r w:rsidR="00C2324C">
        <w:rPr>
          <w:rFonts w:ascii="Book Antiqua" w:hAnsi="Book Antiqua" w:hint="eastAsia"/>
          <w:sz w:val="24"/>
          <w:szCs w:val="24"/>
          <w:lang w:eastAsia="zh-CN"/>
        </w:rPr>
        <w:t>(1</w:t>
      </w:r>
      <w:r w:rsidRPr="00951777">
        <w:rPr>
          <w:rFonts w:ascii="Book Antiqua" w:hAnsi="Book Antiqua"/>
          <w:sz w:val="24"/>
          <w:szCs w:val="24"/>
        </w:rPr>
        <w:t xml:space="preserv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w:t>
      </w:r>
      <w:r w:rsidR="00C2324C">
        <w:rPr>
          <w:rFonts w:ascii="Book Antiqua" w:hAnsi="Book Antiqua" w:hint="eastAsia"/>
          <w:sz w:val="24"/>
          <w:szCs w:val="24"/>
          <w:lang w:eastAsia="zh-CN"/>
        </w:rPr>
        <w:t>(2</w:t>
      </w:r>
      <w:r w:rsidRPr="00951777">
        <w:rPr>
          <w:rFonts w:ascii="Book Antiqua" w:hAnsi="Book Antiqua"/>
          <w:sz w:val="24"/>
          <w:szCs w:val="24"/>
        </w:rPr>
        <w:t xml:space="preserv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and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and </w:t>
      </w:r>
      <w:r w:rsidR="00C2324C">
        <w:rPr>
          <w:rFonts w:ascii="Book Antiqua" w:hAnsi="Book Antiqua" w:hint="eastAsia"/>
          <w:sz w:val="24"/>
          <w:szCs w:val="24"/>
          <w:lang w:eastAsia="zh-CN"/>
        </w:rPr>
        <w:t>(3</w:t>
      </w:r>
      <w:r w:rsidRPr="00951777">
        <w:rPr>
          <w:rFonts w:ascii="Book Antiqua" w:hAnsi="Book Antiqua"/>
          <w:sz w:val="24"/>
          <w:szCs w:val="24"/>
        </w:rPr>
        <w:t xml:space="preserv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w:t>
      </w:r>
      <w:proofErr w:type="spellStart"/>
      <w:r w:rsidRPr="00951777">
        <w:rPr>
          <w:rFonts w:ascii="Book Antiqua" w:hAnsi="Book Antiqua"/>
          <w:sz w:val="24"/>
          <w:szCs w:val="24"/>
        </w:rPr>
        <w:t>mitomycinC</w:t>
      </w:r>
      <w:proofErr w:type="spellEnd"/>
      <w:r w:rsidRPr="00951777">
        <w:rPr>
          <w:rFonts w:ascii="Book Antiqua" w:hAnsi="Book Antiqua"/>
          <w:sz w:val="24"/>
          <w:szCs w:val="24"/>
        </w:rPr>
        <w:t xml:space="preserve"> and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Data was collected prospectively in detailed case report forms and patients were recruited between July 2005 and June 2007.</w:t>
      </w:r>
      <w:r w:rsidR="000E651B">
        <w:rPr>
          <w:rFonts w:ascii="Book Antiqua" w:hAnsi="Book Antiqua"/>
          <w:sz w:val="24"/>
          <w:szCs w:val="24"/>
        </w:rPr>
        <w:t xml:space="preserve"> Inclusion and exclusion criteria</w:t>
      </w:r>
      <w:r w:rsidR="00D068C9">
        <w:rPr>
          <w:rFonts w:ascii="Book Antiqua" w:hAnsi="Book Antiqua"/>
          <w:sz w:val="24"/>
          <w:szCs w:val="24"/>
        </w:rPr>
        <w:t xml:space="preserve"> have been previously </w:t>
      </w:r>
      <w:proofErr w:type="gramStart"/>
      <w:r w:rsidR="00D068C9">
        <w:rPr>
          <w:rFonts w:ascii="Book Antiqua" w:hAnsi="Book Antiqua"/>
          <w:sz w:val="24"/>
          <w:szCs w:val="24"/>
        </w:rPr>
        <w:t>published</w:t>
      </w:r>
      <w:r w:rsidR="00D068C9" w:rsidRPr="00A926F8">
        <w:rPr>
          <w:rFonts w:ascii="Book Antiqua" w:hAnsi="Book Antiqua"/>
          <w:sz w:val="24"/>
          <w:szCs w:val="24"/>
          <w:vertAlign w:val="superscript"/>
        </w:rPr>
        <w:t>[</w:t>
      </w:r>
      <w:proofErr w:type="gramEnd"/>
      <w:r w:rsidR="00D068C9" w:rsidRPr="00A926F8">
        <w:rPr>
          <w:rFonts w:ascii="Book Antiqua" w:hAnsi="Book Antiqua"/>
          <w:sz w:val="24"/>
          <w:szCs w:val="24"/>
          <w:vertAlign w:val="superscript"/>
        </w:rPr>
        <w:t>12]</w:t>
      </w:r>
      <w:r w:rsidR="00D068C9">
        <w:rPr>
          <w:rFonts w:ascii="Book Antiqua" w:hAnsi="Book Antiqua"/>
          <w:sz w:val="24"/>
          <w:szCs w:val="24"/>
        </w:rPr>
        <w:t>.</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C071D1" w:rsidP="00785D97">
      <w:pPr>
        <w:spacing w:after="0" w:line="360" w:lineRule="auto"/>
        <w:jc w:val="both"/>
        <w:rPr>
          <w:rFonts w:ascii="Book Antiqua" w:hAnsi="Book Antiqua"/>
          <w:b/>
          <w:i/>
          <w:sz w:val="24"/>
          <w:szCs w:val="24"/>
        </w:rPr>
      </w:pPr>
      <w:r w:rsidRPr="00951777">
        <w:rPr>
          <w:rFonts w:ascii="Book Antiqua" w:hAnsi="Book Antiqua"/>
          <w:b/>
          <w:i/>
          <w:sz w:val="24"/>
          <w:szCs w:val="24"/>
        </w:rPr>
        <w:t>TRACC registry</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 xml:space="preserve">The TRACC registry is a multi-site prospective clinical registry established by </w:t>
      </w:r>
      <w:proofErr w:type="spellStart"/>
      <w:r w:rsidRPr="00951777">
        <w:rPr>
          <w:rFonts w:ascii="Book Antiqua" w:hAnsi="Book Antiqua"/>
          <w:sz w:val="24"/>
          <w:szCs w:val="24"/>
        </w:rPr>
        <w:t>BioGrid</w:t>
      </w:r>
      <w:proofErr w:type="spellEnd"/>
      <w:r w:rsidRPr="00951777">
        <w:rPr>
          <w:rFonts w:ascii="Book Antiqua" w:hAnsi="Book Antiqua"/>
          <w:sz w:val="24"/>
          <w:szCs w:val="24"/>
        </w:rPr>
        <w:t xml:space="preserve"> Australia in 2009 and supported by Roche Australia Pty Ltd. A consensus dataset, developed by a panel of clinicians, is used to capture comprehensive clinical, treatment and outcome data for consecutive patients with </w:t>
      </w:r>
      <w:proofErr w:type="spellStart"/>
      <w:r w:rsidRPr="00951777">
        <w:rPr>
          <w:rFonts w:ascii="Book Antiqua" w:hAnsi="Book Antiqua"/>
          <w:sz w:val="24"/>
          <w:szCs w:val="24"/>
        </w:rPr>
        <w:t>mCRC</w:t>
      </w:r>
      <w:proofErr w:type="spellEnd"/>
      <w:r w:rsidRPr="00951777">
        <w:rPr>
          <w:rFonts w:ascii="Book Antiqua" w:hAnsi="Book Antiqua"/>
          <w:sz w:val="24"/>
          <w:szCs w:val="24"/>
        </w:rPr>
        <w:t xml:space="preserve">. Data are entered directly by clinicians into an electronic </w:t>
      </w:r>
      <w:proofErr w:type="gramStart"/>
      <w:r w:rsidRPr="00951777">
        <w:rPr>
          <w:rFonts w:ascii="Book Antiqua" w:hAnsi="Book Antiqua"/>
          <w:sz w:val="24"/>
          <w:szCs w:val="24"/>
        </w:rPr>
        <w:t>database</w:t>
      </w:r>
      <w:r w:rsidRPr="00951777">
        <w:rPr>
          <w:rFonts w:ascii="Book Antiqua" w:hAnsi="Book Antiqua"/>
          <w:noProof/>
          <w:sz w:val="24"/>
          <w:szCs w:val="24"/>
          <w:vertAlign w:val="superscript"/>
        </w:rPr>
        <w:t>[</w:t>
      </w:r>
      <w:proofErr w:type="gramEnd"/>
      <w:r w:rsidR="00413D8E">
        <w:rPr>
          <w:rFonts w:ascii="Book Antiqua" w:hAnsi="Book Antiqua"/>
          <w:noProof/>
          <w:sz w:val="24"/>
          <w:szCs w:val="24"/>
          <w:vertAlign w:val="superscript"/>
        </w:rPr>
        <w:t>13</w:t>
      </w:r>
      <w:r w:rsidRPr="00951777">
        <w:rPr>
          <w:rFonts w:ascii="Book Antiqua" w:hAnsi="Book Antiqua"/>
          <w:noProof/>
          <w:sz w:val="24"/>
          <w:szCs w:val="24"/>
          <w:vertAlign w:val="superscript"/>
        </w:rPr>
        <w:t>]</w:t>
      </w:r>
      <w:r w:rsidRPr="00951777">
        <w:rPr>
          <w:rFonts w:ascii="Book Antiqua" w:hAnsi="Book Antiqua"/>
          <w:sz w:val="24"/>
          <w:szCs w:val="24"/>
        </w:rPr>
        <w:t>. Patient enrolment is ongoing at 24 sites across Australia. For this analysis, data was available from 16 sites.</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C071D1" w:rsidP="00785D97">
      <w:pPr>
        <w:spacing w:after="0" w:line="360" w:lineRule="auto"/>
        <w:jc w:val="both"/>
        <w:rPr>
          <w:rFonts w:ascii="Book Antiqua" w:hAnsi="Book Antiqua"/>
          <w:b/>
          <w:i/>
          <w:sz w:val="24"/>
          <w:szCs w:val="24"/>
        </w:rPr>
      </w:pPr>
      <w:r w:rsidRPr="00951777">
        <w:rPr>
          <w:rFonts w:ascii="Book Antiqua" w:hAnsi="Book Antiqua"/>
          <w:b/>
          <w:i/>
          <w:sz w:val="24"/>
          <w:szCs w:val="24"/>
        </w:rPr>
        <w:t>NSWCC cohort</w:t>
      </w: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sz w:val="24"/>
          <w:szCs w:val="24"/>
        </w:rPr>
        <w:t xml:space="preserve">The NSWCC cohort was identified from two cancer centres in New South Wales – Macarthur Cancer Therapy Centre and Liverpool Cancer Therapy Centre. A search of the electronic medical records was performed to identify patients who had started any first line chemotherapy between Jan 2005 and Dec 2012. </w:t>
      </w:r>
    </w:p>
    <w:p w:rsidR="00C2324C" w:rsidRPr="00951777" w:rsidRDefault="00C2324C" w:rsidP="00785D97">
      <w:pPr>
        <w:spacing w:after="0" w:line="360" w:lineRule="auto"/>
        <w:jc w:val="both"/>
        <w:rPr>
          <w:rFonts w:ascii="Book Antiqua" w:hAnsi="Book Antiqua"/>
          <w:sz w:val="24"/>
          <w:szCs w:val="24"/>
          <w:lang w:eastAsia="zh-CN"/>
        </w:rPr>
      </w:pPr>
    </w:p>
    <w:p w:rsidR="000E651B" w:rsidRPr="00A926F8" w:rsidRDefault="000E651B" w:rsidP="00785D97">
      <w:pPr>
        <w:spacing w:after="0" w:line="360" w:lineRule="auto"/>
        <w:jc w:val="both"/>
        <w:rPr>
          <w:rFonts w:ascii="Book Antiqua" w:hAnsi="Book Antiqua"/>
          <w:b/>
          <w:i/>
          <w:sz w:val="24"/>
          <w:szCs w:val="24"/>
        </w:rPr>
      </w:pPr>
      <w:r w:rsidRPr="00A926F8">
        <w:rPr>
          <w:rFonts w:ascii="Book Antiqua" w:hAnsi="Book Antiqua"/>
          <w:b/>
          <w:i/>
          <w:sz w:val="24"/>
          <w:szCs w:val="24"/>
        </w:rPr>
        <w:lastRenderedPageBreak/>
        <w:t xml:space="preserve">Data </w:t>
      </w:r>
      <w:r w:rsidR="00633AE8" w:rsidRPr="00A926F8">
        <w:rPr>
          <w:rFonts w:ascii="Book Antiqua" w:hAnsi="Book Antiqua"/>
          <w:b/>
          <w:i/>
          <w:sz w:val="24"/>
          <w:szCs w:val="24"/>
        </w:rPr>
        <w:t>collection</w:t>
      </w:r>
    </w:p>
    <w:p w:rsidR="00C071D1" w:rsidRDefault="00C071D1" w:rsidP="00785D97">
      <w:pPr>
        <w:spacing w:after="0" w:line="360" w:lineRule="auto"/>
        <w:jc w:val="both"/>
        <w:rPr>
          <w:rFonts w:ascii="Book Antiqua" w:hAnsi="Book Antiqua"/>
          <w:sz w:val="24"/>
          <w:szCs w:val="24"/>
          <w:lang w:eastAsia="zh-CN"/>
        </w:rPr>
      </w:pPr>
      <w:r w:rsidRPr="00951777">
        <w:rPr>
          <w:rFonts w:ascii="Book Antiqua" w:hAnsi="Book Antiqua"/>
          <w:sz w:val="24"/>
          <w:szCs w:val="24"/>
        </w:rPr>
        <w:t xml:space="preserve">Baseline information was collected including site of tumour, distribution of metastatic disease, height, weight, age, </w:t>
      </w:r>
      <w:proofErr w:type="gramStart"/>
      <w:r w:rsidRPr="00951777">
        <w:rPr>
          <w:rFonts w:ascii="Book Antiqua" w:hAnsi="Book Antiqua"/>
          <w:sz w:val="24"/>
          <w:szCs w:val="24"/>
        </w:rPr>
        <w:t>gender</w:t>
      </w:r>
      <w:proofErr w:type="gramEnd"/>
      <w:r w:rsidRPr="00951777">
        <w:rPr>
          <w:rFonts w:ascii="Book Antiqua" w:hAnsi="Book Antiqua"/>
          <w:sz w:val="24"/>
          <w:szCs w:val="24"/>
        </w:rPr>
        <w:t xml:space="preserve"> and performance status. Treatment information was collected: chemotherapy regimen, number of completed chemotherapy cycles (≥</w:t>
      </w:r>
      <w:r w:rsidR="00C2324C">
        <w:rPr>
          <w:rFonts w:ascii="Book Antiqua" w:hAnsi="Book Antiqua" w:hint="eastAsia"/>
          <w:sz w:val="24"/>
          <w:szCs w:val="24"/>
          <w:lang w:eastAsia="zh-CN"/>
        </w:rPr>
        <w:t xml:space="preserve"> </w:t>
      </w:r>
      <w:r w:rsidRPr="00951777">
        <w:rPr>
          <w:rFonts w:ascii="Book Antiqua" w:hAnsi="Book Antiqua"/>
          <w:sz w:val="24"/>
          <w:szCs w:val="24"/>
        </w:rPr>
        <w:t>90% of each prescribed dose), abdominal adverse events of grade ≥</w:t>
      </w:r>
      <w:r w:rsidR="00C2324C">
        <w:rPr>
          <w:rFonts w:ascii="Book Antiqua" w:hAnsi="Book Antiqua" w:hint="eastAsia"/>
          <w:sz w:val="24"/>
          <w:szCs w:val="24"/>
          <w:lang w:eastAsia="zh-CN"/>
        </w:rPr>
        <w:t xml:space="preserve"> </w:t>
      </w:r>
      <w:r w:rsidRPr="00951777">
        <w:rPr>
          <w:rFonts w:ascii="Book Antiqua" w:hAnsi="Book Antiqua"/>
          <w:sz w:val="24"/>
          <w:szCs w:val="24"/>
        </w:rPr>
        <w:t>2 occurring during first line treatment (abdominal pain, ascites, fistula, gastrointestinal perforations, gastrointestinal obstruction and tumour related haemorrhage) and CT assessments. Progression was determined by radiological or clinical progression using RECIST 1.0 Criteria.</w:t>
      </w:r>
    </w:p>
    <w:p w:rsidR="00951777" w:rsidRPr="00951777" w:rsidRDefault="00951777" w:rsidP="00785D97">
      <w:pPr>
        <w:spacing w:after="0" w:line="360" w:lineRule="auto"/>
        <w:jc w:val="both"/>
        <w:rPr>
          <w:rFonts w:ascii="Book Antiqua" w:hAnsi="Book Antiqua"/>
          <w:sz w:val="24"/>
          <w:szCs w:val="24"/>
          <w:lang w:eastAsia="zh-CN"/>
        </w:rPr>
      </w:pPr>
    </w:p>
    <w:p w:rsidR="00C2324C" w:rsidRPr="00712F63" w:rsidRDefault="00C2324C" w:rsidP="00C2324C">
      <w:pPr>
        <w:spacing w:line="360" w:lineRule="auto"/>
        <w:rPr>
          <w:rFonts w:ascii="Book Antiqua" w:hAnsi="Book Antiqua"/>
          <w:b/>
          <w:i/>
          <w:sz w:val="24"/>
        </w:rPr>
      </w:pPr>
      <w:bookmarkStart w:id="44" w:name="OLE_LINK356"/>
      <w:bookmarkStart w:id="45" w:name="OLE_LINK357"/>
      <w:bookmarkStart w:id="46" w:name="OLE_LINK384"/>
      <w:r w:rsidRPr="00712F63">
        <w:rPr>
          <w:rFonts w:ascii="Book Antiqua" w:hAnsi="Book Antiqua"/>
          <w:b/>
          <w:i/>
          <w:sz w:val="24"/>
        </w:rPr>
        <w:t>Statistical analysis</w:t>
      </w:r>
    </w:p>
    <w:bookmarkEnd w:id="44"/>
    <w:bookmarkEnd w:id="45"/>
    <w:bookmarkEnd w:id="46"/>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 xml:space="preserve">The primary endpoint </w:t>
      </w:r>
      <w:r w:rsidR="000E651B">
        <w:rPr>
          <w:rFonts w:ascii="Book Antiqua" w:hAnsi="Book Antiqua"/>
          <w:sz w:val="24"/>
          <w:szCs w:val="24"/>
        </w:rPr>
        <w:t xml:space="preserve">of </w:t>
      </w:r>
      <w:r w:rsidRPr="00951777">
        <w:rPr>
          <w:rFonts w:ascii="Book Antiqua" w:hAnsi="Book Antiqua"/>
          <w:sz w:val="24"/>
          <w:szCs w:val="24"/>
        </w:rPr>
        <w:t xml:space="preserve">this analysis of all three cohorts was the rate of gastrointestinal perforation. Secondary endpoints included </w:t>
      </w:r>
      <w:r w:rsidR="00705473" w:rsidRPr="008973D3">
        <w:rPr>
          <w:rFonts w:ascii="Book Antiqua" w:hAnsi="Book Antiqua"/>
          <w:sz w:val="24"/>
          <w:szCs w:val="24"/>
        </w:rPr>
        <w:t>progression-free survival</w:t>
      </w:r>
      <w:r w:rsidR="00705473" w:rsidRPr="00951777">
        <w:rPr>
          <w:rFonts w:ascii="Book Antiqua" w:hAnsi="Book Antiqua"/>
          <w:sz w:val="24"/>
          <w:szCs w:val="24"/>
        </w:rPr>
        <w:t xml:space="preserve"> </w:t>
      </w:r>
      <w:r w:rsidR="00705473">
        <w:rPr>
          <w:rFonts w:ascii="Book Antiqua" w:hAnsi="Book Antiqua" w:hint="eastAsia"/>
          <w:sz w:val="24"/>
          <w:szCs w:val="24"/>
          <w:lang w:eastAsia="zh-CN"/>
        </w:rPr>
        <w:t>(</w:t>
      </w:r>
      <w:r w:rsidRPr="00951777">
        <w:rPr>
          <w:rFonts w:ascii="Book Antiqua" w:hAnsi="Book Antiqua"/>
          <w:sz w:val="24"/>
          <w:szCs w:val="24"/>
        </w:rPr>
        <w:t>PFS</w:t>
      </w:r>
      <w:r w:rsidR="00705473">
        <w:rPr>
          <w:rFonts w:ascii="Book Antiqua" w:hAnsi="Book Antiqua" w:hint="eastAsia"/>
          <w:sz w:val="24"/>
          <w:szCs w:val="24"/>
          <w:lang w:eastAsia="zh-CN"/>
        </w:rPr>
        <w:t>)</w:t>
      </w:r>
      <w:r w:rsidRPr="00951777">
        <w:rPr>
          <w:rFonts w:ascii="Book Antiqua" w:hAnsi="Book Antiqua"/>
          <w:sz w:val="24"/>
          <w:szCs w:val="24"/>
        </w:rPr>
        <w:t xml:space="preserve">, duration of chemotherapy and </w:t>
      </w:r>
      <w:r w:rsidR="00EC4950" w:rsidRPr="00EC4950">
        <w:rPr>
          <w:rFonts w:ascii="Book Antiqua" w:hAnsi="Book Antiqua"/>
          <w:sz w:val="24"/>
          <w:szCs w:val="24"/>
        </w:rPr>
        <w:t>overall survival</w:t>
      </w:r>
      <w:r w:rsidR="00EC4950" w:rsidRPr="00951777">
        <w:rPr>
          <w:rFonts w:ascii="Book Antiqua" w:hAnsi="Book Antiqua"/>
          <w:sz w:val="24"/>
          <w:szCs w:val="24"/>
        </w:rPr>
        <w:t xml:space="preserve"> </w:t>
      </w:r>
      <w:r w:rsidR="00EC4950">
        <w:rPr>
          <w:rFonts w:ascii="Book Antiqua" w:hAnsi="Book Antiqua" w:hint="eastAsia"/>
          <w:sz w:val="24"/>
          <w:szCs w:val="24"/>
          <w:lang w:eastAsia="zh-CN"/>
        </w:rPr>
        <w:t>(</w:t>
      </w:r>
      <w:r w:rsidRPr="00951777">
        <w:rPr>
          <w:rFonts w:ascii="Book Antiqua" w:hAnsi="Book Antiqua"/>
          <w:sz w:val="24"/>
          <w:szCs w:val="24"/>
        </w:rPr>
        <w:t>OS</w:t>
      </w:r>
      <w:r w:rsidR="00EC4950">
        <w:rPr>
          <w:rFonts w:ascii="Book Antiqua" w:hAnsi="Book Antiqua" w:hint="eastAsia"/>
          <w:sz w:val="24"/>
          <w:szCs w:val="24"/>
          <w:lang w:eastAsia="zh-CN"/>
        </w:rPr>
        <w:t>)</w:t>
      </w:r>
      <w:r w:rsidRPr="00951777">
        <w:rPr>
          <w:rFonts w:ascii="Book Antiqua" w:hAnsi="Book Antiqua"/>
          <w:sz w:val="24"/>
          <w:szCs w:val="24"/>
        </w:rPr>
        <w:t xml:space="preserve">. </w:t>
      </w:r>
      <w:r w:rsidR="000E651B">
        <w:rPr>
          <w:rFonts w:ascii="Book Antiqua" w:hAnsi="Book Antiqua"/>
          <w:sz w:val="24"/>
          <w:szCs w:val="24"/>
        </w:rPr>
        <w:t xml:space="preserve">PFS was defined as the time from baseline to progression or death. For all cohorts </w:t>
      </w:r>
      <w:proofErr w:type="spellStart"/>
      <w:r w:rsidR="000E651B">
        <w:rPr>
          <w:rFonts w:ascii="Book Antiqua" w:hAnsi="Book Antiqua"/>
          <w:sz w:val="24"/>
          <w:szCs w:val="24"/>
        </w:rPr>
        <w:t>bevacizumab</w:t>
      </w:r>
      <w:proofErr w:type="spellEnd"/>
      <w:r w:rsidR="000E651B">
        <w:rPr>
          <w:rFonts w:ascii="Book Antiqua" w:hAnsi="Book Antiqua"/>
          <w:sz w:val="24"/>
          <w:szCs w:val="24"/>
        </w:rPr>
        <w:t xml:space="preserve"> and chemotherapy was compared to chemotherapy alone. </w:t>
      </w:r>
    </w:p>
    <w:p w:rsidR="000E651B" w:rsidRDefault="000E651B" w:rsidP="00C2324C">
      <w:pPr>
        <w:spacing w:after="0" w:line="360" w:lineRule="auto"/>
        <w:ind w:firstLineChars="150" w:firstLine="360"/>
        <w:jc w:val="both"/>
        <w:rPr>
          <w:rFonts w:ascii="Book Antiqua" w:hAnsi="Book Antiqua"/>
          <w:sz w:val="24"/>
          <w:szCs w:val="24"/>
        </w:rPr>
      </w:pPr>
      <w:r>
        <w:rPr>
          <w:rFonts w:ascii="Book Antiqua" w:hAnsi="Book Antiqua"/>
          <w:sz w:val="24"/>
          <w:szCs w:val="24"/>
        </w:rPr>
        <w:t xml:space="preserve">Toxicity and treatment duration were analysed by treatment received. </w:t>
      </w:r>
      <w:r w:rsidR="00C071D1" w:rsidRPr="00951777">
        <w:rPr>
          <w:rFonts w:ascii="Book Antiqua" w:hAnsi="Book Antiqua"/>
          <w:sz w:val="24"/>
          <w:szCs w:val="24"/>
        </w:rPr>
        <w:t xml:space="preserve">Survival analyses were by intention-to-treat in the MAX trial and by treatment received in the other cohorts. Survival endpoints were analysed by Kaplan-Meier curves and compared using unadjusted log rank tests. </w:t>
      </w:r>
      <w:r>
        <w:rPr>
          <w:rFonts w:ascii="Book Antiqua" w:hAnsi="Book Antiqua"/>
          <w:sz w:val="24"/>
          <w:szCs w:val="24"/>
        </w:rPr>
        <w:t>The statistical methods of this study were reviewed by the biostatistician</w:t>
      </w:r>
      <w:r w:rsidR="00C2324C">
        <w:rPr>
          <w:rFonts w:ascii="Book Antiqua" w:hAnsi="Book Antiqua" w:hint="eastAsia"/>
          <w:sz w:val="24"/>
          <w:szCs w:val="24"/>
          <w:lang w:eastAsia="zh-CN"/>
        </w:rPr>
        <w:t>-</w:t>
      </w:r>
      <w:r>
        <w:rPr>
          <w:rFonts w:ascii="Book Antiqua" w:hAnsi="Book Antiqua"/>
          <w:sz w:val="24"/>
          <w:szCs w:val="24"/>
        </w:rPr>
        <w:t xml:space="preserve">Prof Val </w:t>
      </w:r>
      <w:proofErr w:type="spellStart"/>
      <w:r>
        <w:rPr>
          <w:rFonts w:ascii="Book Antiqua" w:hAnsi="Book Antiqua"/>
          <w:sz w:val="24"/>
          <w:szCs w:val="24"/>
        </w:rPr>
        <w:t>Gebski</w:t>
      </w:r>
      <w:proofErr w:type="spellEnd"/>
      <w:r>
        <w:rPr>
          <w:rFonts w:ascii="Book Antiqua" w:hAnsi="Book Antiqua"/>
          <w:sz w:val="24"/>
          <w:szCs w:val="24"/>
        </w:rPr>
        <w:t xml:space="preserve"> of the NHMRC Clinical Trials Centre. </w:t>
      </w:r>
    </w:p>
    <w:p w:rsidR="00951777" w:rsidRPr="00951777" w:rsidRDefault="00951777" w:rsidP="00785D97">
      <w:pPr>
        <w:spacing w:after="0" w:line="360" w:lineRule="auto"/>
        <w:jc w:val="both"/>
        <w:rPr>
          <w:rFonts w:ascii="Book Antiqua" w:hAnsi="Book Antiqua"/>
          <w:sz w:val="24"/>
          <w:szCs w:val="24"/>
          <w:lang w:eastAsia="zh-CN"/>
        </w:rPr>
      </w:pPr>
    </w:p>
    <w:p w:rsidR="00C071D1" w:rsidRDefault="00C071D1" w:rsidP="00785D97">
      <w:pPr>
        <w:spacing w:after="0" w:line="360" w:lineRule="auto"/>
        <w:jc w:val="both"/>
        <w:rPr>
          <w:rFonts w:ascii="Book Antiqua" w:hAnsi="Book Antiqua"/>
          <w:b/>
          <w:sz w:val="24"/>
          <w:szCs w:val="24"/>
        </w:rPr>
      </w:pPr>
      <w:r w:rsidRPr="00951777">
        <w:rPr>
          <w:rFonts w:ascii="Book Antiqua" w:hAnsi="Book Antiqua"/>
          <w:b/>
          <w:sz w:val="24"/>
          <w:szCs w:val="24"/>
        </w:rPr>
        <w:t xml:space="preserve">RESULTS </w:t>
      </w:r>
    </w:p>
    <w:p w:rsidR="000E651B" w:rsidRPr="00A926F8" w:rsidRDefault="00C2324C" w:rsidP="00785D97">
      <w:pPr>
        <w:spacing w:after="0" w:line="360" w:lineRule="auto"/>
        <w:jc w:val="both"/>
        <w:rPr>
          <w:rFonts w:ascii="Book Antiqua" w:hAnsi="Book Antiqua"/>
          <w:b/>
          <w:i/>
          <w:color w:val="FF0000"/>
          <w:sz w:val="24"/>
          <w:szCs w:val="24"/>
          <w:lang w:eastAsia="zh-CN"/>
        </w:rPr>
      </w:pPr>
      <w:r>
        <w:rPr>
          <w:rFonts w:ascii="Book Antiqua" w:hAnsi="Book Antiqua"/>
          <w:b/>
          <w:i/>
          <w:sz w:val="24"/>
          <w:szCs w:val="24"/>
        </w:rPr>
        <w:t>Patient population</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 xml:space="preserve">In the MAX trial there were 84 patients with peritoneal disease with a median follow up of 30.8 mo. </w:t>
      </w:r>
      <w:r w:rsidR="00C2324C" w:rsidRPr="00C2324C">
        <w:rPr>
          <w:rFonts w:ascii="Book Antiqua" w:hAnsi="Book Antiqua"/>
          <w:sz w:val="24"/>
          <w:szCs w:val="24"/>
        </w:rPr>
        <w:t>Thirty-three</w:t>
      </w:r>
      <w:r w:rsidRPr="00951777">
        <w:rPr>
          <w:rFonts w:ascii="Book Antiqua" w:hAnsi="Book Antiqua"/>
          <w:sz w:val="24"/>
          <w:szCs w:val="24"/>
        </w:rPr>
        <w:t xml:space="preserve"> received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alone and 51 received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There were no significant </w:t>
      </w:r>
      <w:proofErr w:type="spellStart"/>
      <w:r w:rsidRPr="00951777">
        <w:rPr>
          <w:rFonts w:ascii="Book Antiqua" w:hAnsi="Book Antiqua"/>
          <w:sz w:val="24"/>
          <w:szCs w:val="24"/>
        </w:rPr>
        <w:t>clinicopathological</w:t>
      </w:r>
      <w:proofErr w:type="spellEnd"/>
      <w:r w:rsidRPr="00951777">
        <w:rPr>
          <w:rFonts w:ascii="Book Antiqua" w:hAnsi="Book Antiqua"/>
          <w:sz w:val="24"/>
          <w:szCs w:val="24"/>
        </w:rPr>
        <w:t xml:space="preserve"> differences between the two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and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arm. </w:t>
      </w:r>
    </w:p>
    <w:p w:rsidR="00C071D1" w:rsidRPr="00951777" w:rsidRDefault="00C071D1" w:rsidP="00C2324C">
      <w:pPr>
        <w:spacing w:after="0" w:line="360" w:lineRule="auto"/>
        <w:ind w:firstLineChars="200" w:firstLine="480"/>
        <w:jc w:val="both"/>
        <w:rPr>
          <w:rFonts w:ascii="Book Antiqua" w:hAnsi="Book Antiqua"/>
          <w:sz w:val="24"/>
          <w:szCs w:val="24"/>
        </w:rPr>
      </w:pPr>
      <w:r w:rsidRPr="00951777">
        <w:rPr>
          <w:rFonts w:ascii="Book Antiqua" w:hAnsi="Book Antiqua"/>
          <w:sz w:val="24"/>
          <w:szCs w:val="24"/>
        </w:rPr>
        <w:t>In the TRACC registry, 179 patients with peritoneal disease were identified with a</w:t>
      </w:r>
      <w:r w:rsidR="00B26F03">
        <w:rPr>
          <w:rFonts w:ascii="Book Antiqua" w:hAnsi="Book Antiqua"/>
          <w:sz w:val="24"/>
          <w:szCs w:val="24"/>
        </w:rPr>
        <w:t xml:space="preserve"> median follow up of 26.3 mo</w:t>
      </w:r>
      <w:r w:rsidRPr="00951777">
        <w:rPr>
          <w:rFonts w:ascii="Book Antiqua" w:hAnsi="Book Antiqua"/>
          <w:sz w:val="24"/>
          <w:szCs w:val="24"/>
        </w:rPr>
        <w:t xml:space="preserve">. </w:t>
      </w:r>
      <w:r w:rsidR="00C2324C" w:rsidRPr="00C2324C">
        <w:rPr>
          <w:rFonts w:ascii="Book Antiqua" w:hAnsi="Book Antiqua"/>
          <w:sz w:val="24"/>
          <w:szCs w:val="24"/>
        </w:rPr>
        <w:t>Fifty-three</w:t>
      </w:r>
      <w:r w:rsidRPr="00951777">
        <w:rPr>
          <w:rFonts w:ascii="Book Antiqua" w:hAnsi="Book Antiqua"/>
          <w:sz w:val="24"/>
          <w:szCs w:val="24"/>
        </w:rPr>
        <w:t xml:space="preserve"> patients had chemotherapy alone and 126 </w:t>
      </w:r>
      <w:r w:rsidRPr="00951777">
        <w:rPr>
          <w:rFonts w:ascii="Book Antiqua" w:hAnsi="Book Antiqua"/>
          <w:sz w:val="24"/>
          <w:szCs w:val="24"/>
        </w:rPr>
        <w:lastRenderedPageBreak/>
        <w:t>patients had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There were relevant differences in </w:t>
      </w:r>
      <w:proofErr w:type="spellStart"/>
      <w:r w:rsidRPr="00951777">
        <w:rPr>
          <w:rFonts w:ascii="Book Antiqua" w:hAnsi="Book Antiqua"/>
          <w:sz w:val="24"/>
          <w:szCs w:val="24"/>
        </w:rPr>
        <w:t>clinicopathological</w:t>
      </w:r>
      <w:proofErr w:type="spellEnd"/>
      <w:r w:rsidRPr="00951777">
        <w:rPr>
          <w:rFonts w:ascii="Book Antiqua" w:hAnsi="Book Antiqua"/>
          <w:sz w:val="24"/>
          <w:szCs w:val="24"/>
        </w:rPr>
        <w:t xml:space="preserve"> factors such as higher age, worse performance status, less use of doublet chemotherapy and more non- resected primaries in the chemotherapy alone arm (Table 1).</w:t>
      </w:r>
    </w:p>
    <w:p w:rsidR="00C071D1" w:rsidRDefault="00C071D1" w:rsidP="00C2324C">
      <w:pPr>
        <w:spacing w:after="0" w:line="360" w:lineRule="auto"/>
        <w:ind w:firstLineChars="150" w:firstLine="360"/>
        <w:jc w:val="both"/>
        <w:rPr>
          <w:rFonts w:ascii="Book Antiqua" w:hAnsi="Book Antiqua"/>
          <w:sz w:val="24"/>
          <w:szCs w:val="24"/>
          <w:lang w:eastAsia="zh-CN"/>
        </w:rPr>
      </w:pPr>
      <w:r w:rsidRPr="00951777">
        <w:rPr>
          <w:rFonts w:ascii="Book Antiqua" w:hAnsi="Book Antiqua"/>
          <w:sz w:val="24"/>
          <w:szCs w:val="24"/>
        </w:rPr>
        <w:t>In the NSWCC patients there were 69 patients identified, 52 received chemotherapy alone and 17 received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w:t>
      </w:r>
      <w:r w:rsidRPr="00951777">
        <w:rPr>
          <w:rFonts w:ascii="Book Antiqua" w:hAnsi="Book Antiqua"/>
          <w:color w:val="000000" w:themeColor="dark1"/>
          <w:kern w:val="24"/>
          <w:sz w:val="24"/>
          <w:szCs w:val="24"/>
        </w:rPr>
        <w:t xml:space="preserve">In the NSWCC patients who received chemotherapy alone, 23/52 (44.2%) had a documented relative contraindication to </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Of those without a contraindication 16/29 (55.2%) were treated with chemotherapy alone prior to 2009 when </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was not publicly funded. </w:t>
      </w:r>
      <w:r w:rsidRPr="00951777">
        <w:rPr>
          <w:rFonts w:ascii="Book Antiqua" w:hAnsi="Book Antiqua"/>
          <w:sz w:val="24"/>
          <w:szCs w:val="24"/>
        </w:rPr>
        <w:t xml:space="preserve">Table 1 summarises the baseline characteristics. </w:t>
      </w:r>
    </w:p>
    <w:p w:rsidR="00C2324C" w:rsidRPr="00951777" w:rsidRDefault="00C2324C" w:rsidP="00C2324C">
      <w:pPr>
        <w:spacing w:after="0" w:line="360" w:lineRule="auto"/>
        <w:ind w:firstLineChars="150" w:firstLine="360"/>
        <w:jc w:val="both"/>
        <w:rPr>
          <w:rFonts w:ascii="Book Antiqua" w:hAnsi="Book Antiqua"/>
          <w:sz w:val="24"/>
          <w:szCs w:val="24"/>
          <w:lang w:eastAsia="zh-CN"/>
        </w:rPr>
      </w:pPr>
    </w:p>
    <w:p w:rsidR="00C071D1" w:rsidRPr="00A926F8" w:rsidRDefault="00C071D1" w:rsidP="00785D97">
      <w:pPr>
        <w:spacing w:after="0" w:line="360" w:lineRule="auto"/>
        <w:jc w:val="both"/>
        <w:rPr>
          <w:rFonts w:ascii="Book Antiqua" w:hAnsi="Book Antiqua"/>
          <w:b/>
          <w:i/>
          <w:sz w:val="24"/>
          <w:szCs w:val="24"/>
        </w:rPr>
      </w:pPr>
      <w:r w:rsidRPr="00A926F8">
        <w:rPr>
          <w:rFonts w:ascii="Book Antiqua" w:hAnsi="Book Antiqua"/>
          <w:b/>
          <w:i/>
          <w:sz w:val="24"/>
          <w:szCs w:val="24"/>
        </w:rPr>
        <w:t xml:space="preserve">Gastrointestinal perforations </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 xml:space="preserve">There were no gastrointestinal perforations recorded in either the MAX subgroup or the NSWCC cohorts. Of the patients without peritoneal disease in the MAX trial, 4/300 (1.3%) in the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had </w:t>
      </w:r>
      <w:r w:rsidR="00484C01">
        <w:rPr>
          <w:rFonts w:ascii="Book Antiqua" w:hAnsi="Book Antiqua"/>
          <w:sz w:val="24"/>
          <w:szCs w:val="24"/>
        </w:rPr>
        <w:t>gastrointestinal perforation</w:t>
      </w:r>
      <w:r w:rsidRPr="00951777">
        <w:rPr>
          <w:rFonts w:ascii="Book Antiqua" w:hAnsi="Book Antiqua"/>
          <w:sz w:val="24"/>
          <w:szCs w:val="24"/>
        </w:rPr>
        <w:t xml:space="preserve">s compared to 1/123 (0.8%)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alone arm. In the TRACC registry 3/126 (2.4%) patients who had received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had a </w:t>
      </w:r>
      <w:r w:rsidR="00484C01">
        <w:rPr>
          <w:rFonts w:ascii="Book Antiqua" w:hAnsi="Book Antiqua"/>
          <w:sz w:val="24"/>
          <w:szCs w:val="24"/>
        </w:rPr>
        <w:t>gastrointestinal perforation</w:t>
      </w:r>
      <w:r w:rsidRPr="00951777">
        <w:rPr>
          <w:rFonts w:ascii="Book Antiqua" w:hAnsi="Book Antiqua"/>
          <w:sz w:val="24"/>
          <w:szCs w:val="24"/>
        </w:rPr>
        <w:t xml:space="preserve"> compared to 1/53 (1.9%) in the chemotherapy alone arm. In a further analysis of patients without peritoneal metastases in the TRACC registry, the rate of gastrointestinal perforations was 9/369 (2.4%) in the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group and 5/177 (2.8%) in the chemotherapy alone group</w:t>
      </w:r>
      <w:r w:rsidR="00D42134">
        <w:rPr>
          <w:rFonts w:ascii="Book Antiqua" w:hAnsi="Book Antiqua"/>
          <w:sz w:val="24"/>
          <w:szCs w:val="24"/>
        </w:rPr>
        <w:t xml:space="preserve"> (Figure 1)</w:t>
      </w:r>
      <w:r w:rsidRPr="00951777">
        <w:rPr>
          <w:rFonts w:ascii="Book Antiqua" w:hAnsi="Book Antiqua"/>
          <w:sz w:val="24"/>
          <w:szCs w:val="24"/>
        </w:rPr>
        <w:t xml:space="preserve">. </w:t>
      </w:r>
    </w:p>
    <w:p w:rsidR="00C071D1" w:rsidRDefault="00C071D1" w:rsidP="00C2324C">
      <w:pPr>
        <w:spacing w:after="0" w:line="360" w:lineRule="auto"/>
        <w:ind w:firstLineChars="150" w:firstLine="360"/>
        <w:jc w:val="both"/>
        <w:rPr>
          <w:rFonts w:ascii="Book Antiqua" w:hAnsi="Book Antiqua"/>
          <w:sz w:val="24"/>
          <w:szCs w:val="24"/>
          <w:lang w:eastAsia="zh-CN"/>
        </w:rPr>
      </w:pPr>
      <w:r w:rsidRPr="00951777">
        <w:rPr>
          <w:rFonts w:ascii="Book Antiqua" w:hAnsi="Book Antiqua"/>
          <w:sz w:val="24"/>
          <w:szCs w:val="24"/>
        </w:rPr>
        <w:t xml:space="preserve">In the MAX trial 9/33 (27.3%) patients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arm had grade ≥2 diarrhoea compared to 21/51 (41.2%) in the two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There was one patient with tumour associated haemorrhage event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arm and one patient in the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C071D1" w:rsidP="00785D97">
      <w:pPr>
        <w:spacing w:after="0" w:line="360" w:lineRule="auto"/>
        <w:jc w:val="both"/>
        <w:rPr>
          <w:rFonts w:ascii="Book Antiqua" w:hAnsi="Book Antiqua"/>
          <w:b/>
          <w:i/>
          <w:sz w:val="24"/>
          <w:szCs w:val="24"/>
        </w:rPr>
      </w:pPr>
      <w:r w:rsidRPr="00951777">
        <w:rPr>
          <w:rFonts w:ascii="Book Antiqua" w:hAnsi="Book Antiqua"/>
          <w:b/>
          <w:i/>
          <w:sz w:val="24"/>
          <w:szCs w:val="24"/>
        </w:rPr>
        <w:t>Survival outcomes</w:t>
      </w:r>
    </w:p>
    <w:p w:rsidR="00C071D1" w:rsidRPr="00951777" w:rsidRDefault="00C071D1" w:rsidP="00785D97">
      <w:pPr>
        <w:spacing w:after="0" w:line="360" w:lineRule="auto"/>
        <w:jc w:val="both"/>
        <w:rPr>
          <w:rFonts w:ascii="Book Antiqua" w:hAnsi="Book Antiqua"/>
          <w:color w:val="000000" w:themeColor="dark1"/>
          <w:kern w:val="24"/>
          <w:sz w:val="24"/>
          <w:szCs w:val="24"/>
        </w:rPr>
      </w:pPr>
      <w:r w:rsidRPr="00951777">
        <w:rPr>
          <w:rFonts w:ascii="Book Antiqua" w:hAnsi="Book Antiqua"/>
          <w:sz w:val="24"/>
          <w:szCs w:val="24"/>
        </w:rPr>
        <w:t xml:space="preserve">In the MAX trial median PFS was 6.9 </w:t>
      </w:r>
      <w:proofErr w:type="spellStart"/>
      <w:r w:rsidRPr="00951777">
        <w:rPr>
          <w:rFonts w:ascii="Book Antiqua" w:hAnsi="Book Antiqua"/>
          <w:sz w:val="24"/>
          <w:szCs w:val="24"/>
        </w:rPr>
        <w:t>mo</w:t>
      </w:r>
      <w:proofErr w:type="spellEnd"/>
      <w:r w:rsidRPr="00951777">
        <w:rPr>
          <w:rFonts w:ascii="Book Antiqua" w:hAnsi="Book Antiqua"/>
          <w:sz w:val="24"/>
          <w:szCs w:val="24"/>
        </w:rPr>
        <w:t xml:space="preserve"> in the two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compared to 4.9 </w:t>
      </w:r>
      <w:proofErr w:type="spellStart"/>
      <w:r w:rsidRPr="00951777">
        <w:rPr>
          <w:rFonts w:ascii="Book Antiqua" w:hAnsi="Book Antiqua"/>
          <w:sz w:val="24"/>
          <w:szCs w:val="24"/>
        </w:rPr>
        <w:t>mo</w:t>
      </w:r>
      <w:proofErr w:type="spellEnd"/>
      <w:r w:rsidRPr="00951777">
        <w:rPr>
          <w:rFonts w:ascii="Book Antiqua" w:hAnsi="Book Antiqua"/>
          <w:sz w:val="24"/>
          <w:szCs w:val="24"/>
        </w:rPr>
        <w:t xml:space="preserve">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w:t>
      </w:r>
      <w:r w:rsidR="00C2324C">
        <w:rPr>
          <w:rFonts w:ascii="Book Antiqua" w:hAnsi="Book Antiqua"/>
          <w:sz w:val="24"/>
          <w:szCs w:val="24"/>
        </w:rPr>
        <w:t>lone arm with a HR</w:t>
      </w:r>
      <w:r w:rsidR="00C2324C">
        <w:rPr>
          <w:rFonts w:ascii="Book Antiqua" w:hAnsi="Book Antiqua" w:hint="eastAsia"/>
          <w:sz w:val="24"/>
          <w:szCs w:val="24"/>
          <w:lang w:eastAsia="zh-CN"/>
        </w:rPr>
        <w:t xml:space="preserve"> = </w:t>
      </w:r>
      <w:r w:rsidR="00C2324C">
        <w:rPr>
          <w:rFonts w:ascii="Book Antiqua" w:hAnsi="Book Antiqua"/>
          <w:sz w:val="24"/>
          <w:szCs w:val="24"/>
        </w:rPr>
        <w:t>0.64</w:t>
      </w:r>
      <w:r w:rsidR="00C2324C">
        <w:rPr>
          <w:rFonts w:ascii="Book Antiqua" w:hAnsi="Book Antiqua" w:hint="eastAsia"/>
          <w:sz w:val="24"/>
          <w:szCs w:val="24"/>
          <w:lang w:eastAsia="zh-CN"/>
        </w:rPr>
        <w:t>,</w:t>
      </w:r>
      <w:r w:rsidR="00C2324C">
        <w:rPr>
          <w:rFonts w:ascii="Book Antiqua" w:hAnsi="Book Antiqua"/>
          <w:sz w:val="24"/>
          <w:szCs w:val="24"/>
        </w:rPr>
        <w:t xml:space="preserve"> (95%</w:t>
      </w:r>
      <w:r w:rsidRPr="00951777">
        <w:rPr>
          <w:rFonts w:ascii="Book Antiqua" w:hAnsi="Book Antiqua"/>
          <w:sz w:val="24"/>
          <w:szCs w:val="24"/>
        </w:rPr>
        <w:t>CI: 0.42-1.02)</w:t>
      </w:r>
      <w:r w:rsidR="00C2324C">
        <w:rPr>
          <w:rFonts w:ascii="Book Antiqua" w:hAnsi="Book Antiqua" w:hint="eastAsia"/>
          <w:sz w:val="24"/>
          <w:szCs w:val="24"/>
          <w:lang w:eastAsia="zh-CN"/>
        </w:rPr>
        <w:t>;</w:t>
      </w:r>
      <w:r w:rsidRPr="00951777">
        <w:rPr>
          <w:rFonts w:ascii="Book Antiqua" w:hAnsi="Book Antiqua"/>
          <w:sz w:val="24"/>
          <w:szCs w:val="24"/>
        </w:rPr>
        <w:t xml:space="preserve"> </w:t>
      </w:r>
      <w:r w:rsidR="00C2324C" w:rsidRPr="00C2324C">
        <w:rPr>
          <w:rFonts w:ascii="Book Antiqua" w:hAnsi="Book Antiqua"/>
          <w:i/>
          <w:color w:val="000000" w:themeColor="dark1"/>
          <w:kern w:val="24"/>
          <w:sz w:val="24"/>
          <w:szCs w:val="24"/>
        </w:rPr>
        <w:t>P</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sz w:val="24"/>
          <w:szCs w:val="24"/>
        </w:rPr>
        <w:t>=</w:t>
      </w:r>
      <w:r w:rsidR="00C2324C">
        <w:rPr>
          <w:rFonts w:ascii="Book Antiqua" w:hAnsi="Book Antiqua" w:hint="eastAsia"/>
          <w:sz w:val="24"/>
          <w:szCs w:val="24"/>
          <w:lang w:eastAsia="zh-CN"/>
        </w:rPr>
        <w:t xml:space="preserve"> </w:t>
      </w:r>
      <w:r w:rsidRPr="00951777">
        <w:rPr>
          <w:rFonts w:ascii="Book Antiqua" w:hAnsi="Book Antiqua"/>
          <w:sz w:val="24"/>
          <w:szCs w:val="24"/>
        </w:rPr>
        <w:t xml:space="preserve">0.063 (Figure </w:t>
      </w:r>
      <w:r w:rsidR="004510CE">
        <w:rPr>
          <w:rFonts w:ascii="Book Antiqua" w:hAnsi="Book Antiqua"/>
          <w:sz w:val="24"/>
          <w:szCs w:val="24"/>
        </w:rPr>
        <w:t>2</w:t>
      </w:r>
      <w:r w:rsidR="005A1DBE">
        <w:rPr>
          <w:rFonts w:ascii="Book Antiqua" w:hAnsi="Book Antiqua" w:hint="eastAsia"/>
          <w:sz w:val="24"/>
          <w:szCs w:val="24"/>
          <w:lang w:eastAsia="zh-CN"/>
        </w:rPr>
        <w:t>A</w:t>
      </w:r>
      <w:r w:rsidRPr="00951777">
        <w:rPr>
          <w:rFonts w:ascii="Book Antiqua" w:hAnsi="Book Antiqua"/>
          <w:sz w:val="24"/>
          <w:szCs w:val="24"/>
        </w:rPr>
        <w:t xml:space="preserve">). In the TRACC registry </w:t>
      </w:r>
      <w:r w:rsidRPr="00951777">
        <w:rPr>
          <w:rFonts w:ascii="Book Antiqua" w:hAnsi="Book Antiqua"/>
          <w:color w:val="000000" w:themeColor="dark1"/>
          <w:kern w:val="24"/>
          <w:sz w:val="24"/>
          <w:szCs w:val="24"/>
        </w:rPr>
        <w:t xml:space="preserve">the median PFS was 9.1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chemotherapy/</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group compared to 5.5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chemotherapy alone </w:t>
      </w:r>
      <w:r w:rsidR="00C2324C">
        <w:rPr>
          <w:rFonts w:ascii="Book Antiqua" w:hAnsi="Book Antiqua"/>
          <w:color w:val="000000" w:themeColor="dark1"/>
          <w:kern w:val="24"/>
          <w:sz w:val="24"/>
          <w:szCs w:val="24"/>
        </w:rPr>
        <w:lastRenderedPageBreak/>
        <w:t xml:space="preserve">group; HR </w:t>
      </w:r>
      <w:r w:rsidR="00C2324C">
        <w:rPr>
          <w:rFonts w:ascii="Book Antiqua" w:hAnsi="Book Antiqua" w:hint="eastAsia"/>
          <w:color w:val="000000" w:themeColor="dark1"/>
          <w:kern w:val="24"/>
          <w:sz w:val="24"/>
          <w:szCs w:val="24"/>
          <w:lang w:eastAsia="zh-CN"/>
        </w:rPr>
        <w:t xml:space="preserve">= </w:t>
      </w:r>
      <w:r w:rsidR="00C2324C">
        <w:rPr>
          <w:rFonts w:ascii="Book Antiqua" w:hAnsi="Book Antiqua"/>
          <w:color w:val="000000" w:themeColor="dark1"/>
          <w:kern w:val="24"/>
          <w:sz w:val="24"/>
          <w:szCs w:val="24"/>
        </w:rPr>
        <w:t>0.61</w:t>
      </w:r>
      <w:r w:rsidR="00C2324C">
        <w:rPr>
          <w:rFonts w:ascii="Book Antiqua" w:hAnsi="Book Antiqua" w:hint="eastAsia"/>
          <w:color w:val="000000" w:themeColor="dark1"/>
          <w:kern w:val="24"/>
          <w:sz w:val="24"/>
          <w:szCs w:val="24"/>
          <w:lang w:eastAsia="zh-CN"/>
        </w:rPr>
        <w:t>,</w:t>
      </w:r>
      <w:r w:rsidR="00C2324C">
        <w:rPr>
          <w:rFonts w:ascii="Book Antiqua" w:hAnsi="Book Antiqua"/>
          <w:color w:val="000000" w:themeColor="dark1"/>
          <w:kern w:val="24"/>
          <w:sz w:val="24"/>
          <w:szCs w:val="24"/>
        </w:rPr>
        <w:t xml:space="preserve"> (95%</w:t>
      </w:r>
      <w:r w:rsidRPr="00951777">
        <w:rPr>
          <w:rFonts w:ascii="Book Antiqua" w:hAnsi="Book Antiqua"/>
          <w:color w:val="000000" w:themeColor="dark1"/>
          <w:kern w:val="24"/>
          <w:sz w:val="24"/>
          <w:szCs w:val="24"/>
        </w:rPr>
        <w:t>CI: 0.37-0.86)</w:t>
      </w:r>
      <w:r w:rsidR="00C2324C">
        <w:rPr>
          <w:rFonts w:ascii="Book Antiqua" w:hAnsi="Book Antiqua" w:hint="eastAsia"/>
          <w:color w:val="000000" w:themeColor="dark1"/>
          <w:kern w:val="24"/>
          <w:sz w:val="24"/>
          <w:szCs w:val="24"/>
          <w:lang w:eastAsia="zh-CN"/>
        </w:rPr>
        <w:t xml:space="preserve">; </w:t>
      </w:r>
      <w:r w:rsidR="00C2324C" w:rsidRPr="00C2324C">
        <w:rPr>
          <w:rFonts w:ascii="Book Antiqua" w:hAnsi="Book Antiqua"/>
          <w:i/>
          <w:color w:val="000000" w:themeColor="dark1"/>
          <w:kern w:val="24"/>
          <w:sz w:val="24"/>
          <w:szCs w:val="24"/>
        </w:rPr>
        <w:t>P</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color w:val="000000" w:themeColor="dark1"/>
          <w:kern w:val="24"/>
          <w:sz w:val="24"/>
          <w:szCs w:val="24"/>
        </w:rPr>
        <w:t>=</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color w:val="000000" w:themeColor="dark1"/>
          <w:kern w:val="24"/>
          <w:sz w:val="24"/>
          <w:szCs w:val="24"/>
        </w:rPr>
        <w:t xml:space="preserve">0.009. In the NSWCC cohort the median PFS was 8.7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chemotherapy/</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group compared to 6.8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w:t>
      </w:r>
      <w:r w:rsidR="00C2324C">
        <w:rPr>
          <w:rFonts w:ascii="Book Antiqua" w:hAnsi="Book Antiqua"/>
          <w:color w:val="000000" w:themeColor="dark1"/>
          <w:kern w:val="24"/>
          <w:sz w:val="24"/>
          <w:szCs w:val="24"/>
        </w:rPr>
        <w:t>erapy alone group</w:t>
      </w:r>
      <w:r w:rsidR="00C2324C">
        <w:rPr>
          <w:rFonts w:ascii="Book Antiqua" w:hAnsi="Book Antiqua" w:hint="eastAsia"/>
          <w:color w:val="000000" w:themeColor="dark1"/>
          <w:kern w:val="24"/>
          <w:sz w:val="24"/>
          <w:szCs w:val="24"/>
          <w:lang w:eastAsia="zh-CN"/>
        </w:rPr>
        <w:t>;</w:t>
      </w:r>
      <w:r w:rsidR="00C2324C">
        <w:rPr>
          <w:rFonts w:ascii="Book Antiqua" w:hAnsi="Book Antiqua"/>
          <w:color w:val="000000" w:themeColor="dark1"/>
          <w:kern w:val="24"/>
          <w:sz w:val="24"/>
          <w:szCs w:val="24"/>
        </w:rPr>
        <w:t xml:space="preserve"> HR </w:t>
      </w:r>
      <w:r w:rsidR="00C2324C">
        <w:rPr>
          <w:rFonts w:ascii="Book Antiqua" w:hAnsi="Book Antiqua" w:hint="eastAsia"/>
          <w:color w:val="000000" w:themeColor="dark1"/>
          <w:kern w:val="24"/>
          <w:sz w:val="24"/>
          <w:szCs w:val="24"/>
          <w:lang w:eastAsia="zh-CN"/>
        </w:rPr>
        <w:t xml:space="preserve">= </w:t>
      </w:r>
      <w:r w:rsidR="00C2324C">
        <w:rPr>
          <w:rFonts w:ascii="Book Antiqua" w:hAnsi="Book Antiqua"/>
          <w:color w:val="000000" w:themeColor="dark1"/>
          <w:kern w:val="24"/>
          <w:sz w:val="24"/>
          <w:szCs w:val="24"/>
        </w:rPr>
        <w:t>0.75</w:t>
      </w:r>
      <w:r w:rsidR="00C2324C">
        <w:rPr>
          <w:rFonts w:ascii="Book Antiqua" w:hAnsi="Book Antiqua" w:hint="eastAsia"/>
          <w:color w:val="000000" w:themeColor="dark1"/>
          <w:kern w:val="24"/>
          <w:sz w:val="24"/>
          <w:szCs w:val="24"/>
          <w:lang w:eastAsia="zh-CN"/>
        </w:rPr>
        <w:t>,</w:t>
      </w:r>
      <w:r w:rsidR="00C2324C">
        <w:rPr>
          <w:rFonts w:ascii="Book Antiqua" w:hAnsi="Book Antiqua"/>
          <w:color w:val="000000" w:themeColor="dark1"/>
          <w:kern w:val="24"/>
          <w:sz w:val="24"/>
          <w:szCs w:val="24"/>
        </w:rPr>
        <w:t xml:space="preserve"> (95%</w:t>
      </w:r>
      <w:r w:rsidRPr="00951777">
        <w:rPr>
          <w:rFonts w:ascii="Book Antiqua" w:hAnsi="Book Antiqua"/>
          <w:color w:val="000000" w:themeColor="dark1"/>
          <w:kern w:val="24"/>
          <w:sz w:val="24"/>
          <w:szCs w:val="24"/>
        </w:rPr>
        <w:t xml:space="preserve">CI: 0.43-1.32); </w:t>
      </w:r>
      <w:r w:rsidR="00C2324C" w:rsidRPr="00C2324C">
        <w:rPr>
          <w:rFonts w:ascii="Book Antiqua" w:hAnsi="Book Antiqua"/>
          <w:i/>
          <w:color w:val="000000" w:themeColor="dark1"/>
          <w:kern w:val="24"/>
          <w:sz w:val="24"/>
          <w:szCs w:val="24"/>
        </w:rPr>
        <w:t>P</w:t>
      </w:r>
      <w:r w:rsidR="00C2324C">
        <w:rPr>
          <w:rFonts w:ascii="Book Antiqua" w:hAnsi="Book Antiqua" w:hint="eastAsia"/>
          <w:i/>
          <w:color w:val="000000" w:themeColor="dark1"/>
          <w:kern w:val="24"/>
          <w:sz w:val="24"/>
          <w:szCs w:val="24"/>
          <w:lang w:eastAsia="zh-CN"/>
        </w:rPr>
        <w:t xml:space="preserve"> </w:t>
      </w:r>
      <w:r w:rsidRPr="00951777">
        <w:rPr>
          <w:rFonts w:ascii="Book Antiqua" w:hAnsi="Book Antiqua"/>
          <w:color w:val="000000" w:themeColor="dark1"/>
          <w:kern w:val="24"/>
          <w:sz w:val="24"/>
          <w:szCs w:val="24"/>
        </w:rPr>
        <w:t>=</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color w:val="000000" w:themeColor="dark1"/>
          <w:kern w:val="24"/>
          <w:sz w:val="24"/>
          <w:szCs w:val="24"/>
        </w:rPr>
        <w:t xml:space="preserve">0.32. </w:t>
      </w:r>
    </w:p>
    <w:p w:rsidR="00C071D1" w:rsidRPr="00951777" w:rsidRDefault="00C071D1" w:rsidP="00785D97">
      <w:pPr>
        <w:spacing w:after="0" w:line="360" w:lineRule="auto"/>
        <w:ind w:firstLineChars="150" w:firstLine="360"/>
        <w:jc w:val="both"/>
        <w:rPr>
          <w:rFonts w:ascii="Book Antiqua" w:hAnsi="Book Antiqua"/>
          <w:sz w:val="24"/>
          <w:szCs w:val="24"/>
        </w:rPr>
      </w:pPr>
      <w:r w:rsidRPr="00951777">
        <w:rPr>
          <w:rFonts w:ascii="Book Antiqua" w:hAnsi="Book Antiqua"/>
          <w:sz w:val="24"/>
          <w:szCs w:val="24"/>
        </w:rPr>
        <w:t xml:space="preserve">In the MAX trial median OS was 14.3 </w:t>
      </w:r>
      <w:proofErr w:type="spellStart"/>
      <w:r w:rsidRPr="00951777">
        <w:rPr>
          <w:rFonts w:ascii="Book Antiqua" w:hAnsi="Book Antiqua"/>
          <w:sz w:val="24"/>
          <w:szCs w:val="24"/>
        </w:rPr>
        <w:t>mo</w:t>
      </w:r>
      <w:proofErr w:type="spellEnd"/>
      <w:r w:rsidRPr="00951777">
        <w:rPr>
          <w:rFonts w:ascii="Book Antiqua" w:hAnsi="Book Antiqua"/>
          <w:sz w:val="24"/>
          <w:szCs w:val="24"/>
        </w:rPr>
        <w:t xml:space="preserve"> in the two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compared to 17.3 </w:t>
      </w:r>
      <w:proofErr w:type="spellStart"/>
      <w:r w:rsidRPr="00951777">
        <w:rPr>
          <w:rFonts w:ascii="Book Antiqua" w:hAnsi="Book Antiqua"/>
          <w:sz w:val="24"/>
          <w:szCs w:val="24"/>
        </w:rPr>
        <w:t>mo</w:t>
      </w:r>
      <w:proofErr w:type="spellEnd"/>
      <w:r w:rsidRPr="00951777">
        <w:rPr>
          <w:rFonts w:ascii="Book Antiqua" w:hAnsi="Book Antiqua"/>
          <w:sz w:val="24"/>
          <w:szCs w:val="24"/>
        </w:rPr>
        <w:t xml:space="preserve"> in the </w:t>
      </w:r>
      <w:proofErr w:type="spellStart"/>
      <w:r w:rsidRPr="00951777">
        <w:rPr>
          <w:rFonts w:ascii="Book Antiqua" w:hAnsi="Book Antiqua"/>
          <w:sz w:val="24"/>
          <w:szCs w:val="24"/>
        </w:rPr>
        <w:t>capec</w:t>
      </w:r>
      <w:r w:rsidR="00C2324C">
        <w:rPr>
          <w:rFonts w:ascii="Book Antiqua" w:hAnsi="Book Antiqua"/>
          <w:sz w:val="24"/>
          <w:szCs w:val="24"/>
        </w:rPr>
        <w:t>itabine</w:t>
      </w:r>
      <w:proofErr w:type="spellEnd"/>
      <w:r w:rsidR="00C2324C">
        <w:rPr>
          <w:rFonts w:ascii="Book Antiqua" w:hAnsi="Book Antiqua"/>
          <w:sz w:val="24"/>
          <w:szCs w:val="24"/>
        </w:rPr>
        <w:t xml:space="preserve"> alone arm; HR </w:t>
      </w:r>
      <w:r w:rsidR="00C2324C">
        <w:rPr>
          <w:rFonts w:ascii="Book Antiqua" w:hAnsi="Book Antiqua" w:hint="eastAsia"/>
          <w:sz w:val="24"/>
          <w:szCs w:val="24"/>
          <w:lang w:eastAsia="zh-CN"/>
        </w:rPr>
        <w:t xml:space="preserve">= </w:t>
      </w:r>
      <w:r w:rsidR="00C2324C">
        <w:rPr>
          <w:rFonts w:ascii="Book Antiqua" w:hAnsi="Book Antiqua"/>
          <w:sz w:val="24"/>
          <w:szCs w:val="24"/>
        </w:rPr>
        <w:t>0.89</w:t>
      </w:r>
      <w:r w:rsidR="00C2324C">
        <w:rPr>
          <w:rFonts w:ascii="Book Antiqua" w:hAnsi="Book Antiqua" w:hint="eastAsia"/>
          <w:sz w:val="24"/>
          <w:szCs w:val="24"/>
          <w:lang w:eastAsia="zh-CN"/>
        </w:rPr>
        <w:t>,</w:t>
      </w:r>
      <w:r w:rsidR="00C2324C">
        <w:rPr>
          <w:rFonts w:ascii="Book Antiqua" w:hAnsi="Book Antiqua"/>
          <w:sz w:val="24"/>
          <w:szCs w:val="24"/>
        </w:rPr>
        <w:t xml:space="preserve"> (95%</w:t>
      </w:r>
      <w:r w:rsidRPr="00951777">
        <w:rPr>
          <w:rFonts w:ascii="Book Antiqua" w:hAnsi="Book Antiqua"/>
          <w:sz w:val="24"/>
          <w:szCs w:val="24"/>
        </w:rPr>
        <w:t>CI: 0.55-1.45)</w:t>
      </w:r>
      <w:r w:rsidR="00C2324C">
        <w:rPr>
          <w:rFonts w:ascii="Book Antiqua" w:hAnsi="Book Antiqua" w:hint="eastAsia"/>
          <w:sz w:val="24"/>
          <w:szCs w:val="24"/>
          <w:lang w:eastAsia="zh-CN"/>
        </w:rPr>
        <w:t>;</w:t>
      </w:r>
      <w:r w:rsidRPr="00951777">
        <w:rPr>
          <w:rFonts w:ascii="Book Antiqua" w:hAnsi="Book Antiqua"/>
          <w:sz w:val="24"/>
          <w:szCs w:val="24"/>
        </w:rPr>
        <w:t xml:space="preserve"> </w:t>
      </w:r>
      <w:r w:rsidR="00C2324C" w:rsidRPr="00C2324C">
        <w:rPr>
          <w:rFonts w:ascii="Book Antiqua" w:hAnsi="Book Antiqua"/>
          <w:i/>
          <w:sz w:val="24"/>
          <w:szCs w:val="24"/>
        </w:rPr>
        <w:t>P</w:t>
      </w:r>
      <w:r w:rsidR="00C2324C">
        <w:rPr>
          <w:rFonts w:ascii="Book Antiqua" w:hAnsi="Book Antiqua" w:hint="eastAsia"/>
          <w:sz w:val="24"/>
          <w:szCs w:val="24"/>
          <w:lang w:eastAsia="zh-CN"/>
        </w:rPr>
        <w:t xml:space="preserve"> </w:t>
      </w:r>
      <w:r w:rsidRPr="00951777">
        <w:rPr>
          <w:rFonts w:ascii="Book Antiqua" w:hAnsi="Book Antiqua"/>
          <w:sz w:val="24"/>
          <w:szCs w:val="24"/>
        </w:rPr>
        <w:t>=</w:t>
      </w:r>
      <w:r w:rsidR="00C2324C">
        <w:rPr>
          <w:rFonts w:ascii="Book Antiqua" w:hAnsi="Book Antiqua" w:hint="eastAsia"/>
          <w:sz w:val="24"/>
          <w:szCs w:val="24"/>
          <w:lang w:eastAsia="zh-CN"/>
        </w:rPr>
        <w:t xml:space="preserve"> </w:t>
      </w:r>
      <w:r w:rsidRPr="00951777">
        <w:rPr>
          <w:rFonts w:ascii="Book Antiqua" w:hAnsi="Book Antiqua"/>
          <w:sz w:val="24"/>
          <w:szCs w:val="24"/>
        </w:rPr>
        <w:t xml:space="preserve">0.65 (Figure </w:t>
      </w:r>
      <w:r w:rsidR="005A1DBE">
        <w:rPr>
          <w:rFonts w:ascii="Book Antiqua" w:hAnsi="Book Antiqua" w:hint="eastAsia"/>
          <w:sz w:val="24"/>
          <w:szCs w:val="24"/>
          <w:lang w:eastAsia="zh-CN"/>
        </w:rPr>
        <w:t>2B</w:t>
      </w:r>
      <w:r w:rsidRPr="00951777">
        <w:rPr>
          <w:rFonts w:ascii="Book Antiqua" w:hAnsi="Book Antiqua"/>
          <w:sz w:val="24"/>
          <w:szCs w:val="24"/>
        </w:rPr>
        <w:t xml:space="preserve">). </w:t>
      </w:r>
      <w:r w:rsidRPr="00951777">
        <w:rPr>
          <w:rFonts w:ascii="Book Antiqua" w:hAnsi="Book Antiqua"/>
          <w:color w:val="000000" w:themeColor="dark1"/>
          <w:kern w:val="24"/>
          <w:sz w:val="24"/>
          <w:szCs w:val="24"/>
        </w:rPr>
        <w:t xml:space="preserve">In the TRACC registry the median OS was 20.0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chemotherapy/</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group compared to 14.7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w:t>
      </w:r>
      <w:r w:rsidR="00C2324C">
        <w:rPr>
          <w:rFonts w:ascii="Book Antiqua" w:hAnsi="Book Antiqua"/>
          <w:color w:val="000000" w:themeColor="dark1"/>
          <w:kern w:val="24"/>
          <w:sz w:val="24"/>
          <w:szCs w:val="24"/>
        </w:rPr>
        <w:t xml:space="preserve">therapy alone arm; HR </w:t>
      </w:r>
      <w:r w:rsidR="00C2324C">
        <w:rPr>
          <w:rFonts w:ascii="Book Antiqua" w:hAnsi="Book Antiqua" w:hint="eastAsia"/>
          <w:color w:val="000000" w:themeColor="dark1"/>
          <w:kern w:val="24"/>
          <w:sz w:val="24"/>
          <w:szCs w:val="24"/>
          <w:lang w:eastAsia="zh-CN"/>
        </w:rPr>
        <w:t xml:space="preserve">= </w:t>
      </w:r>
      <w:r w:rsidR="00C2324C">
        <w:rPr>
          <w:rFonts w:ascii="Book Antiqua" w:hAnsi="Book Antiqua"/>
          <w:color w:val="000000" w:themeColor="dark1"/>
          <w:kern w:val="24"/>
          <w:sz w:val="24"/>
          <w:szCs w:val="24"/>
        </w:rPr>
        <w:t>0.60</w:t>
      </w:r>
      <w:r w:rsidR="00C2324C">
        <w:rPr>
          <w:rFonts w:ascii="Book Antiqua" w:hAnsi="Book Antiqua" w:hint="eastAsia"/>
          <w:color w:val="000000" w:themeColor="dark1"/>
          <w:kern w:val="24"/>
          <w:sz w:val="24"/>
          <w:szCs w:val="24"/>
          <w:lang w:eastAsia="zh-CN"/>
        </w:rPr>
        <w:t>,</w:t>
      </w:r>
      <w:r w:rsidR="00C2324C">
        <w:rPr>
          <w:rFonts w:ascii="Book Antiqua" w:hAnsi="Book Antiqua"/>
          <w:color w:val="000000" w:themeColor="dark1"/>
          <w:kern w:val="24"/>
          <w:sz w:val="24"/>
          <w:szCs w:val="24"/>
        </w:rPr>
        <w:t xml:space="preserve"> (95%</w:t>
      </w:r>
      <w:r w:rsidRPr="00951777">
        <w:rPr>
          <w:rFonts w:ascii="Book Antiqua" w:hAnsi="Book Antiqua"/>
          <w:color w:val="000000" w:themeColor="dark1"/>
          <w:kern w:val="24"/>
          <w:sz w:val="24"/>
          <w:szCs w:val="24"/>
        </w:rPr>
        <w:t>CI: 0.34-0.88)</w:t>
      </w:r>
      <w:r w:rsidR="00C2324C">
        <w:rPr>
          <w:rFonts w:ascii="Book Antiqua" w:hAnsi="Book Antiqua" w:hint="eastAsia"/>
          <w:color w:val="000000" w:themeColor="dark1"/>
          <w:kern w:val="24"/>
          <w:sz w:val="24"/>
          <w:szCs w:val="24"/>
          <w:lang w:eastAsia="zh-CN"/>
        </w:rPr>
        <w:t>;</w:t>
      </w:r>
      <w:r w:rsidRPr="00951777">
        <w:rPr>
          <w:rFonts w:ascii="Book Antiqua" w:hAnsi="Book Antiqua"/>
          <w:color w:val="000000" w:themeColor="dark1"/>
          <w:kern w:val="24"/>
          <w:sz w:val="24"/>
          <w:szCs w:val="24"/>
        </w:rPr>
        <w:t xml:space="preserve"> </w:t>
      </w:r>
      <w:r w:rsidR="00C2324C" w:rsidRPr="00C2324C">
        <w:rPr>
          <w:rFonts w:ascii="Book Antiqua" w:hAnsi="Book Antiqua"/>
          <w:i/>
          <w:color w:val="000000" w:themeColor="dark1"/>
          <w:kern w:val="24"/>
          <w:sz w:val="24"/>
          <w:szCs w:val="24"/>
        </w:rPr>
        <w:t>P</w:t>
      </w:r>
      <w:r w:rsidR="00C2324C" w:rsidRPr="00951777">
        <w:rPr>
          <w:rFonts w:ascii="Book Antiqua" w:hAnsi="Book Antiqua"/>
          <w:color w:val="000000" w:themeColor="dark1"/>
          <w:kern w:val="24"/>
          <w:sz w:val="24"/>
          <w:szCs w:val="24"/>
        </w:rPr>
        <w:t xml:space="preserve"> </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color w:val="000000" w:themeColor="dark1"/>
          <w:kern w:val="24"/>
          <w:sz w:val="24"/>
          <w:szCs w:val="24"/>
        </w:rPr>
        <w:t xml:space="preserve">0.013. In the NSWCC cohort the median OS was 23.4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chemotherapy/</w:t>
      </w:r>
      <w:proofErr w:type="spellStart"/>
      <w:r w:rsidRPr="00951777">
        <w:rPr>
          <w:rFonts w:ascii="Book Antiqua" w:hAnsi="Book Antiqua"/>
          <w:color w:val="000000" w:themeColor="dark1"/>
          <w:kern w:val="24"/>
          <w:sz w:val="24"/>
          <w:szCs w:val="24"/>
        </w:rPr>
        <w:t>bevacizumab</w:t>
      </w:r>
      <w:proofErr w:type="spellEnd"/>
      <w:r w:rsidRPr="00951777">
        <w:rPr>
          <w:rFonts w:ascii="Book Antiqua" w:hAnsi="Book Antiqua"/>
          <w:color w:val="000000" w:themeColor="dark1"/>
          <w:kern w:val="24"/>
          <w:sz w:val="24"/>
          <w:szCs w:val="24"/>
        </w:rPr>
        <w:t xml:space="preserve"> group compared to 13.7 </w:t>
      </w:r>
      <w:proofErr w:type="spellStart"/>
      <w:r w:rsidRPr="00951777">
        <w:rPr>
          <w:rFonts w:ascii="Book Antiqua" w:hAnsi="Book Antiqua"/>
          <w:color w:val="000000" w:themeColor="dark1"/>
          <w:kern w:val="24"/>
          <w:sz w:val="24"/>
          <w:szCs w:val="24"/>
        </w:rPr>
        <w:t>mo</w:t>
      </w:r>
      <w:proofErr w:type="spellEnd"/>
      <w:r w:rsidRPr="00951777">
        <w:rPr>
          <w:rFonts w:ascii="Book Antiqua" w:hAnsi="Book Antiqua"/>
          <w:color w:val="000000" w:themeColor="dark1"/>
          <w:kern w:val="24"/>
          <w:sz w:val="24"/>
          <w:szCs w:val="24"/>
        </w:rPr>
        <w:t xml:space="preserve"> in the chemoth</w:t>
      </w:r>
      <w:r w:rsidR="00C2324C">
        <w:rPr>
          <w:rFonts w:ascii="Book Antiqua" w:hAnsi="Book Antiqua"/>
          <w:color w:val="000000" w:themeColor="dark1"/>
          <w:kern w:val="24"/>
          <w:sz w:val="24"/>
          <w:szCs w:val="24"/>
        </w:rPr>
        <w:t xml:space="preserve">erapy alone group, HR </w:t>
      </w:r>
      <w:r w:rsidR="00C2324C">
        <w:rPr>
          <w:rFonts w:ascii="Book Antiqua" w:hAnsi="Book Antiqua" w:hint="eastAsia"/>
          <w:color w:val="000000" w:themeColor="dark1"/>
          <w:kern w:val="24"/>
          <w:sz w:val="24"/>
          <w:szCs w:val="24"/>
          <w:lang w:eastAsia="zh-CN"/>
        </w:rPr>
        <w:t xml:space="preserve">= </w:t>
      </w:r>
      <w:r w:rsidR="00C2324C">
        <w:rPr>
          <w:rFonts w:ascii="Book Antiqua" w:hAnsi="Book Antiqua"/>
          <w:color w:val="000000" w:themeColor="dark1"/>
          <w:kern w:val="24"/>
          <w:sz w:val="24"/>
          <w:szCs w:val="24"/>
        </w:rPr>
        <w:t>0.62</w:t>
      </w:r>
      <w:r w:rsidR="00C2324C">
        <w:rPr>
          <w:rFonts w:ascii="Book Antiqua" w:hAnsi="Book Antiqua" w:hint="eastAsia"/>
          <w:color w:val="000000" w:themeColor="dark1"/>
          <w:kern w:val="24"/>
          <w:sz w:val="24"/>
          <w:szCs w:val="24"/>
          <w:lang w:eastAsia="zh-CN"/>
        </w:rPr>
        <w:t>,</w:t>
      </w:r>
      <w:r w:rsidR="00C2324C">
        <w:rPr>
          <w:rFonts w:ascii="Book Antiqua" w:hAnsi="Book Antiqua"/>
          <w:color w:val="000000" w:themeColor="dark1"/>
          <w:kern w:val="24"/>
          <w:sz w:val="24"/>
          <w:szCs w:val="24"/>
        </w:rPr>
        <w:t xml:space="preserve"> (95%</w:t>
      </w:r>
      <w:r w:rsidRPr="00951777">
        <w:rPr>
          <w:rFonts w:ascii="Book Antiqua" w:hAnsi="Book Antiqua"/>
          <w:color w:val="000000" w:themeColor="dark1"/>
          <w:kern w:val="24"/>
          <w:sz w:val="24"/>
          <w:szCs w:val="24"/>
        </w:rPr>
        <w:t xml:space="preserve">CI: 0.33-1.17); </w:t>
      </w:r>
      <w:r w:rsidR="00C2324C" w:rsidRPr="00C2324C">
        <w:rPr>
          <w:rFonts w:ascii="Book Antiqua" w:hAnsi="Book Antiqua"/>
          <w:i/>
          <w:color w:val="000000" w:themeColor="dark1"/>
          <w:kern w:val="24"/>
          <w:sz w:val="24"/>
          <w:szCs w:val="24"/>
        </w:rPr>
        <w:t>P</w:t>
      </w:r>
      <w:r w:rsidR="00C2324C" w:rsidRPr="00951777">
        <w:rPr>
          <w:rFonts w:ascii="Book Antiqua" w:hAnsi="Book Antiqua"/>
          <w:color w:val="000000" w:themeColor="dark1"/>
          <w:kern w:val="24"/>
          <w:sz w:val="24"/>
          <w:szCs w:val="24"/>
        </w:rPr>
        <w:t xml:space="preserve"> </w:t>
      </w:r>
      <w:r w:rsidRPr="00951777">
        <w:rPr>
          <w:rFonts w:ascii="Book Antiqua" w:hAnsi="Book Antiqua"/>
          <w:color w:val="000000" w:themeColor="dark1"/>
          <w:kern w:val="24"/>
          <w:sz w:val="24"/>
          <w:szCs w:val="24"/>
        </w:rPr>
        <w:t>=</w:t>
      </w:r>
      <w:r w:rsidR="00C2324C">
        <w:rPr>
          <w:rFonts w:ascii="Book Antiqua" w:hAnsi="Book Antiqua" w:hint="eastAsia"/>
          <w:color w:val="000000" w:themeColor="dark1"/>
          <w:kern w:val="24"/>
          <w:sz w:val="24"/>
          <w:szCs w:val="24"/>
          <w:lang w:eastAsia="zh-CN"/>
        </w:rPr>
        <w:t xml:space="preserve"> </w:t>
      </w:r>
      <w:r w:rsidRPr="00951777">
        <w:rPr>
          <w:rFonts w:ascii="Book Antiqua" w:hAnsi="Book Antiqua"/>
          <w:color w:val="000000" w:themeColor="dark1"/>
          <w:kern w:val="24"/>
          <w:sz w:val="24"/>
          <w:szCs w:val="24"/>
        </w:rPr>
        <w:t xml:space="preserve">0.14.  </w:t>
      </w:r>
    </w:p>
    <w:p w:rsidR="00C071D1" w:rsidRDefault="00C071D1" w:rsidP="00C2324C">
      <w:pPr>
        <w:spacing w:after="0" w:line="360" w:lineRule="auto"/>
        <w:ind w:firstLineChars="150" w:firstLine="360"/>
        <w:jc w:val="both"/>
        <w:rPr>
          <w:rFonts w:ascii="Book Antiqua" w:hAnsi="Book Antiqua"/>
          <w:sz w:val="24"/>
          <w:szCs w:val="24"/>
          <w:lang w:eastAsia="zh-CN"/>
        </w:rPr>
      </w:pPr>
      <w:r w:rsidRPr="00951777">
        <w:rPr>
          <w:rFonts w:ascii="Book Antiqua" w:hAnsi="Book Antiqua"/>
          <w:sz w:val="24"/>
          <w:szCs w:val="24"/>
        </w:rPr>
        <w:t xml:space="preserve">In the MAX trial the median number of chemotherapy cycles in the two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arms was 8 cycles and 6 cycles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arm. In the NSWCC cohort the median duration of chemotherapy in the chemotherapy/</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group was 21 </w:t>
      </w:r>
      <w:proofErr w:type="spellStart"/>
      <w:r w:rsidRPr="00951777">
        <w:rPr>
          <w:rFonts w:ascii="Book Antiqua" w:hAnsi="Book Antiqua"/>
          <w:sz w:val="24"/>
          <w:szCs w:val="24"/>
        </w:rPr>
        <w:t>w</w:t>
      </w:r>
      <w:r w:rsidR="00C2324C">
        <w:rPr>
          <w:rFonts w:ascii="Book Antiqua" w:hAnsi="Book Antiqua"/>
          <w:sz w:val="24"/>
          <w:szCs w:val="24"/>
        </w:rPr>
        <w:t>k</w:t>
      </w:r>
      <w:proofErr w:type="spellEnd"/>
      <w:r w:rsidRPr="00951777">
        <w:rPr>
          <w:rFonts w:ascii="Book Antiqua" w:hAnsi="Book Antiqua"/>
          <w:sz w:val="24"/>
          <w:szCs w:val="24"/>
        </w:rPr>
        <w:t xml:space="preserve"> compared to 14 </w:t>
      </w:r>
      <w:proofErr w:type="spellStart"/>
      <w:r w:rsidRPr="00951777">
        <w:rPr>
          <w:rFonts w:ascii="Book Antiqua" w:hAnsi="Book Antiqua"/>
          <w:sz w:val="24"/>
          <w:szCs w:val="24"/>
        </w:rPr>
        <w:t>w</w:t>
      </w:r>
      <w:r w:rsidR="00C2324C">
        <w:rPr>
          <w:rFonts w:ascii="Book Antiqua" w:hAnsi="Book Antiqua"/>
          <w:sz w:val="24"/>
          <w:szCs w:val="24"/>
        </w:rPr>
        <w:t>k</w:t>
      </w:r>
      <w:proofErr w:type="spellEnd"/>
      <w:r w:rsidRPr="00951777">
        <w:rPr>
          <w:rFonts w:ascii="Book Antiqua" w:hAnsi="Book Antiqua"/>
          <w:sz w:val="24"/>
          <w:szCs w:val="24"/>
        </w:rPr>
        <w:t xml:space="preserve"> chemotherapy alone group.</w:t>
      </w:r>
    </w:p>
    <w:p w:rsidR="00951777" w:rsidRPr="00951777" w:rsidRDefault="00951777" w:rsidP="00785D97">
      <w:pPr>
        <w:spacing w:after="0" w:line="360" w:lineRule="auto"/>
        <w:jc w:val="both"/>
        <w:rPr>
          <w:rFonts w:ascii="Book Antiqua" w:hAnsi="Book Antiqua"/>
          <w:sz w:val="24"/>
          <w:szCs w:val="24"/>
          <w:lang w:eastAsia="zh-CN"/>
        </w:rPr>
      </w:pPr>
    </w:p>
    <w:p w:rsidR="00C071D1" w:rsidRPr="00951777" w:rsidRDefault="00C071D1" w:rsidP="00785D97">
      <w:pPr>
        <w:spacing w:after="0" w:line="360" w:lineRule="auto"/>
        <w:jc w:val="both"/>
        <w:rPr>
          <w:rFonts w:ascii="Book Antiqua" w:hAnsi="Book Antiqua"/>
          <w:b/>
          <w:sz w:val="24"/>
          <w:szCs w:val="24"/>
        </w:rPr>
      </w:pPr>
      <w:r w:rsidRPr="00951777">
        <w:rPr>
          <w:rFonts w:ascii="Book Antiqua" w:hAnsi="Book Antiqua"/>
          <w:b/>
          <w:sz w:val="24"/>
          <w:szCs w:val="24"/>
        </w:rPr>
        <w:t xml:space="preserve">DISCUSSION </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sz w:val="24"/>
          <w:szCs w:val="24"/>
        </w:rPr>
        <w:t xml:space="preserve">Despite the advances in the treatment of metastatic colorectal cancer, the prognosis of patients with peritoneal disease remains poor. This analysis suggests that the addition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to chemotherapy does not increase the rate of gastrointestinal perforations in patients with metastatic colorectal cancer and peritoneal metastases. Specifically, no gastrointestinal perforations were seen in the patients with peritoneal disease in the MAX study and the NSWCC cohort, and in the TRACC registry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use was not associated with an increased rate of gastrointestinal perforation. The addition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to standard first-line chemotherapy is associated with longer PFS in patients with peritoneal disease treated in the trial and non-trial settings. There was a consistent PFS benefit seen across studies, with the hazard ratios ranging from 0.61 to 0.75, with statistical significance only seen in the TRACC registry. However, the AGITG MAX clinical trial was not powered to detect statistically significant improvements in PFS within the peritoneal subgroup. Significant differences in prognostic variables, as well as selection bias may have led to the significant survival differences associated with </w:t>
      </w:r>
      <w:proofErr w:type="spellStart"/>
      <w:r w:rsidRPr="00951777">
        <w:rPr>
          <w:rFonts w:ascii="Book Antiqua" w:hAnsi="Book Antiqua"/>
          <w:sz w:val="24"/>
          <w:szCs w:val="24"/>
        </w:rPr>
        <w:lastRenderedPageBreak/>
        <w:t>bevacizumab</w:t>
      </w:r>
      <w:proofErr w:type="spellEnd"/>
      <w:r w:rsidRPr="00951777">
        <w:rPr>
          <w:rFonts w:ascii="Book Antiqua" w:hAnsi="Book Antiqua"/>
          <w:sz w:val="24"/>
          <w:szCs w:val="24"/>
        </w:rPr>
        <w:t xml:space="preserve"> use in the TRACC registry and the NSWCC cohort. Both the TRACC registry and NSWCC cohorts demonstrated a &gt;</w:t>
      </w:r>
      <w:r w:rsidR="00C2324C">
        <w:rPr>
          <w:rFonts w:ascii="Book Antiqua" w:hAnsi="Book Antiqua" w:hint="eastAsia"/>
          <w:sz w:val="24"/>
          <w:szCs w:val="24"/>
          <w:lang w:eastAsia="zh-CN"/>
        </w:rPr>
        <w:t xml:space="preserve"> </w:t>
      </w:r>
      <w:r w:rsidRPr="00951777">
        <w:rPr>
          <w:rFonts w:ascii="Book Antiqua" w:hAnsi="Book Antiqua"/>
          <w:sz w:val="24"/>
          <w:szCs w:val="24"/>
        </w:rPr>
        <w:t xml:space="preserve">50% usage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alongside a range of chemotherapy regimens by clinicians. </w:t>
      </w:r>
    </w:p>
    <w:p w:rsidR="00C071D1" w:rsidRPr="00951777" w:rsidRDefault="00C071D1" w:rsidP="00C2324C">
      <w:pPr>
        <w:spacing w:after="0" w:line="360" w:lineRule="auto"/>
        <w:ind w:firstLineChars="150" w:firstLine="360"/>
        <w:jc w:val="both"/>
        <w:rPr>
          <w:rFonts w:ascii="Book Antiqua" w:hAnsi="Book Antiqua"/>
          <w:sz w:val="24"/>
          <w:szCs w:val="24"/>
        </w:rPr>
      </w:pPr>
      <w:r w:rsidRPr="00951777">
        <w:rPr>
          <w:rFonts w:ascii="Book Antiqua" w:hAnsi="Book Antiqua"/>
          <w:sz w:val="24"/>
          <w:szCs w:val="24"/>
        </w:rPr>
        <w:t xml:space="preserve">Multiple risk factors have been associated with an increased risk of gastrointestinal perforations. Intra-abdominal tumours such colorectal, ovarian, pancreatic and renal cell cancers have been associated with an elevated risk of gastrointestinal perforation compared to non-abdominal cancers such as breast and lung </w:t>
      </w:r>
      <w:proofErr w:type="gramStart"/>
      <w:r w:rsidRPr="00951777">
        <w:rPr>
          <w:rFonts w:ascii="Book Antiqua" w:hAnsi="Book Antiqua"/>
          <w:sz w:val="24"/>
          <w:szCs w:val="24"/>
        </w:rPr>
        <w:t>cancers</w:t>
      </w:r>
      <w:r w:rsidRPr="00951777">
        <w:rPr>
          <w:rFonts w:ascii="Book Antiqua" w:hAnsi="Book Antiqua"/>
          <w:noProof/>
          <w:sz w:val="24"/>
          <w:szCs w:val="24"/>
          <w:vertAlign w:val="superscript"/>
        </w:rPr>
        <w:t>[</w:t>
      </w:r>
      <w:proofErr w:type="gramEnd"/>
      <w:r w:rsidR="00C2324C">
        <w:rPr>
          <w:rFonts w:ascii="Book Antiqua" w:hAnsi="Book Antiqua"/>
          <w:noProof/>
          <w:sz w:val="24"/>
          <w:szCs w:val="24"/>
          <w:vertAlign w:val="superscript"/>
        </w:rPr>
        <w:t>6,</w:t>
      </w:r>
      <w:r w:rsidR="00697244">
        <w:rPr>
          <w:rFonts w:ascii="Book Antiqua" w:hAnsi="Book Antiqua"/>
          <w:noProof/>
          <w:sz w:val="24"/>
          <w:szCs w:val="24"/>
          <w:vertAlign w:val="superscript"/>
        </w:rPr>
        <w:t>11</w:t>
      </w:r>
      <w:r w:rsidRPr="00951777">
        <w:rPr>
          <w:rFonts w:ascii="Book Antiqua" w:hAnsi="Book Antiqua"/>
          <w:noProof/>
          <w:sz w:val="24"/>
          <w:szCs w:val="24"/>
          <w:vertAlign w:val="superscript"/>
        </w:rPr>
        <w:t>]</w:t>
      </w:r>
      <w:r w:rsidRPr="00951777">
        <w:rPr>
          <w:rFonts w:ascii="Book Antiqua" w:hAnsi="Book Antiqua"/>
          <w:sz w:val="24"/>
          <w:szCs w:val="24"/>
        </w:rPr>
        <w:t xml:space="preserve">. In the BRITE </w:t>
      </w:r>
      <w:proofErr w:type="gramStart"/>
      <w:r w:rsidRPr="00951777">
        <w:rPr>
          <w:rFonts w:ascii="Book Antiqua" w:hAnsi="Book Antiqua"/>
          <w:sz w:val="24"/>
          <w:szCs w:val="24"/>
        </w:rPr>
        <w:t>registry</w:t>
      </w:r>
      <w:r w:rsidRPr="00951777">
        <w:rPr>
          <w:rFonts w:ascii="Book Antiqua" w:hAnsi="Book Antiqua"/>
          <w:noProof/>
          <w:sz w:val="24"/>
          <w:szCs w:val="24"/>
          <w:vertAlign w:val="superscript"/>
        </w:rPr>
        <w:t>[</w:t>
      </w:r>
      <w:proofErr w:type="gramEnd"/>
      <w:r w:rsidR="00697244">
        <w:rPr>
          <w:rFonts w:ascii="Book Antiqua" w:hAnsi="Book Antiqua"/>
          <w:noProof/>
          <w:sz w:val="24"/>
          <w:szCs w:val="24"/>
          <w:vertAlign w:val="superscript"/>
        </w:rPr>
        <w:t>5</w:t>
      </w:r>
      <w:r w:rsidRPr="00951777">
        <w:rPr>
          <w:rFonts w:ascii="Book Antiqua" w:hAnsi="Book Antiqua"/>
          <w:noProof/>
          <w:sz w:val="24"/>
          <w:szCs w:val="24"/>
          <w:vertAlign w:val="superscript"/>
        </w:rPr>
        <w:t>]</w:t>
      </w:r>
      <w:r w:rsidRPr="00951777">
        <w:rPr>
          <w:rFonts w:ascii="Book Antiqua" w:hAnsi="Book Antiqua"/>
          <w:sz w:val="24"/>
          <w:szCs w:val="24"/>
        </w:rPr>
        <w:t xml:space="preserve"> the rate of </w:t>
      </w:r>
      <w:r w:rsidR="00484C01">
        <w:rPr>
          <w:rFonts w:ascii="Book Antiqua" w:hAnsi="Book Antiqua"/>
          <w:sz w:val="24"/>
          <w:szCs w:val="24"/>
        </w:rPr>
        <w:t>gastrointestinal perforation</w:t>
      </w:r>
      <w:r w:rsidRPr="00951777">
        <w:rPr>
          <w:rFonts w:ascii="Book Antiqua" w:hAnsi="Book Antiqua"/>
          <w:sz w:val="24"/>
          <w:szCs w:val="24"/>
        </w:rPr>
        <w:t xml:space="preserve"> in all patients with </w:t>
      </w:r>
      <w:proofErr w:type="spellStart"/>
      <w:r w:rsidRPr="00951777">
        <w:rPr>
          <w:rFonts w:ascii="Book Antiqua" w:hAnsi="Book Antiqua"/>
          <w:sz w:val="24"/>
          <w:szCs w:val="24"/>
        </w:rPr>
        <w:t>mCRC</w:t>
      </w:r>
      <w:proofErr w:type="spellEnd"/>
      <w:r w:rsidRPr="00951777">
        <w:rPr>
          <w:rFonts w:ascii="Book Antiqua" w:hAnsi="Book Antiqua"/>
          <w:sz w:val="24"/>
          <w:szCs w:val="24"/>
        </w:rPr>
        <w:t xml:space="preserve"> was 1.9% with an elevated risk on multivariate analysis seen in patients with an intact primary tumour and prior adjuvant radiation. Given the increased risk of gastrointestinal perforations in patients with </w:t>
      </w:r>
      <w:proofErr w:type="spellStart"/>
      <w:r w:rsidRPr="00951777">
        <w:rPr>
          <w:rFonts w:ascii="Book Antiqua" w:hAnsi="Book Antiqua"/>
          <w:sz w:val="24"/>
          <w:szCs w:val="24"/>
        </w:rPr>
        <w:t>mCRC</w:t>
      </w:r>
      <w:proofErr w:type="spellEnd"/>
      <w:r w:rsidRPr="00951777">
        <w:rPr>
          <w:rFonts w:ascii="Book Antiqua" w:hAnsi="Book Antiqua"/>
          <w:sz w:val="24"/>
          <w:szCs w:val="24"/>
        </w:rPr>
        <w:t xml:space="preserve"> investigators have postulated various mechanisms including predisposing GI toxicity from chemotherapy, pelvic irradiation, intact primary tumour, peritoneal metastases and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-induced changes in tumour vasculature. To our knowledge the risk of </w:t>
      </w:r>
      <w:r w:rsidR="00484C01">
        <w:rPr>
          <w:rFonts w:ascii="Book Antiqua" w:hAnsi="Book Antiqua"/>
          <w:sz w:val="24"/>
          <w:szCs w:val="24"/>
        </w:rPr>
        <w:t>gastrointestinal perforation</w:t>
      </w:r>
      <w:r w:rsidRPr="00951777">
        <w:rPr>
          <w:rFonts w:ascii="Book Antiqua" w:hAnsi="Book Antiqua"/>
          <w:sz w:val="24"/>
          <w:szCs w:val="24"/>
        </w:rPr>
        <w:t xml:space="preserve"> in patients with peritoneal disease has been poorly described. The AGITG MAX trial is the only randomised Phase III trial comparing a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containing arm to a non-</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containing arm where the outcomes of peritoneal disease patients are described. Although others have performed analyses of patients with peritoneal metastases in randomised trials, these were not comparisons of the addition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to </w:t>
      </w:r>
      <w:proofErr w:type="gramStart"/>
      <w:r w:rsidRPr="00951777">
        <w:rPr>
          <w:rFonts w:ascii="Book Antiqua" w:hAnsi="Book Antiqua"/>
          <w:sz w:val="24"/>
          <w:szCs w:val="24"/>
        </w:rPr>
        <w:t>chemotherapy</w:t>
      </w:r>
      <w:r w:rsidR="00C2324C">
        <w:rPr>
          <w:rFonts w:ascii="Book Antiqua" w:hAnsi="Book Antiqua"/>
          <w:noProof/>
          <w:sz w:val="24"/>
          <w:szCs w:val="24"/>
          <w:vertAlign w:val="superscript"/>
        </w:rPr>
        <w:t>[</w:t>
      </w:r>
      <w:proofErr w:type="gramEnd"/>
      <w:r w:rsidR="00C2324C">
        <w:rPr>
          <w:rFonts w:ascii="Book Antiqua" w:hAnsi="Book Antiqua"/>
          <w:noProof/>
          <w:sz w:val="24"/>
          <w:szCs w:val="24"/>
          <w:vertAlign w:val="superscript"/>
        </w:rPr>
        <w:t>3,4,</w:t>
      </w:r>
      <w:r w:rsidR="00697244">
        <w:rPr>
          <w:rFonts w:ascii="Book Antiqua" w:hAnsi="Book Antiqua"/>
          <w:noProof/>
          <w:sz w:val="24"/>
          <w:szCs w:val="24"/>
          <w:vertAlign w:val="superscript"/>
        </w:rPr>
        <w:t>14</w:t>
      </w:r>
      <w:r w:rsidRPr="00951777">
        <w:rPr>
          <w:rFonts w:ascii="Book Antiqua" w:hAnsi="Book Antiqua"/>
          <w:noProof/>
          <w:sz w:val="24"/>
          <w:szCs w:val="24"/>
          <w:vertAlign w:val="superscript"/>
        </w:rPr>
        <w:t>]</w:t>
      </w:r>
      <w:r w:rsidRPr="00951777">
        <w:rPr>
          <w:rFonts w:ascii="Book Antiqua" w:hAnsi="Book Antiqua"/>
          <w:sz w:val="24"/>
          <w:szCs w:val="24"/>
        </w:rPr>
        <w:t xml:space="preserve">. In most cases safety analyses were not reported. </w:t>
      </w:r>
    </w:p>
    <w:p w:rsidR="000E651B" w:rsidRDefault="00C071D1" w:rsidP="00C2324C">
      <w:pPr>
        <w:spacing w:after="0" w:line="360" w:lineRule="auto"/>
        <w:ind w:firstLineChars="200" w:firstLine="480"/>
        <w:jc w:val="both"/>
        <w:rPr>
          <w:rFonts w:ascii="Book Antiqua" w:hAnsi="Book Antiqua"/>
          <w:sz w:val="24"/>
          <w:szCs w:val="24"/>
        </w:rPr>
      </w:pPr>
      <w:r w:rsidRPr="00951777">
        <w:rPr>
          <w:rFonts w:ascii="Book Antiqua" w:hAnsi="Book Antiqua"/>
          <w:sz w:val="24"/>
          <w:szCs w:val="24"/>
        </w:rPr>
        <w:t xml:space="preserve">Our analysis presents outcomes of patients in a clinical trial as well as outcomes in patients treated in typical community cancer centres. Rates of gastrointestinal perforations were available from all three cohorts and indicate that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appears to be as safe in the peritoneal disease subgroup as compared to patients without peritoneal disease. Furthermore, despite previous series suggesting an elevated risk</w:t>
      </w:r>
      <w:r w:rsidRPr="00951777">
        <w:rPr>
          <w:rFonts w:ascii="Book Antiqua" w:hAnsi="Book Antiqua"/>
          <w:noProof/>
          <w:sz w:val="24"/>
          <w:szCs w:val="24"/>
          <w:vertAlign w:val="superscript"/>
        </w:rPr>
        <w:t>[</w:t>
      </w:r>
      <w:r w:rsidR="00C2324C">
        <w:rPr>
          <w:rFonts w:ascii="Book Antiqua" w:hAnsi="Book Antiqua"/>
          <w:noProof/>
          <w:sz w:val="24"/>
          <w:szCs w:val="24"/>
          <w:vertAlign w:val="superscript"/>
        </w:rPr>
        <w:t>6,10,</w:t>
      </w:r>
      <w:r w:rsidR="00697244">
        <w:rPr>
          <w:rFonts w:ascii="Book Antiqua" w:hAnsi="Book Antiqua"/>
          <w:noProof/>
          <w:sz w:val="24"/>
          <w:szCs w:val="24"/>
          <w:vertAlign w:val="superscript"/>
        </w:rPr>
        <w:t>11</w:t>
      </w:r>
      <w:r w:rsidRPr="00951777">
        <w:rPr>
          <w:rFonts w:ascii="Book Antiqua" w:hAnsi="Book Antiqua"/>
          <w:noProof/>
          <w:sz w:val="24"/>
          <w:szCs w:val="24"/>
          <w:vertAlign w:val="superscript"/>
        </w:rPr>
        <w:t>]</w:t>
      </w:r>
      <w:r w:rsidRPr="00951777">
        <w:rPr>
          <w:rFonts w:ascii="Book Antiqua" w:hAnsi="Book Antiqua"/>
          <w:sz w:val="24"/>
          <w:szCs w:val="24"/>
        </w:rPr>
        <w:t xml:space="preserve">, clinicians appear to be comfortable in using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in patients with peritoneal disease as reflected in the number of patients with peritoneal disease recruited to MAX and the proportion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-treated patients in the TRACC registry not being impacted by the presence or absence of peritoneal disease. The weaknesses of the analysis include the small patient numbers </w:t>
      </w:r>
      <w:r w:rsidRPr="00951777">
        <w:rPr>
          <w:rFonts w:ascii="Book Antiqua" w:hAnsi="Book Antiqua"/>
          <w:sz w:val="24"/>
          <w:szCs w:val="24"/>
        </w:rPr>
        <w:lastRenderedPageBreak/>
        <w:t xml:space="preserve">in each cohort. In Australia,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has been publicly funded since 2009 and thus the numbers of patients with peritoneal disease who had access to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in the NSWCC were small. </w:t>
      </w:r>
      <w:r w:rsidR="000E651B">
        <w:rPr>
          <w:rFonts w:ascii="Book Antiqua" w:hAnsi="Book Antiqua"/>
          <w:sz w:val="24"/>
          <w:szCs w:val="24"/>
        </w:rPr>
        <w:t>Nevertheless, this analysis represents the largest analysis of gastrointestinal perforations in patients with peritoneal disease.</w:t>
      </w:r>
    </w:p>
    <w:p w:rsidR="00C071D1" w:rsidRPr="00951777" w:rsidRDefault="00C071D1" w:rsidP="00C2324C">
      <w:pPr>
        <w:spacing w:after="0" w:line="360" w:lineRule="auto"/>
        <w:ind w:firstLineChars="200" w:firstLine="480"/>
        <w:jc w:val="both"/>
        <w:rPr>
          <w:rFonts w:ascii="Book Antiqua" w:hAnsi="Book Antiqua"/>
          <w:sz w:val="24"/>
          <w:szCs w:val="24"/>
        </w:rPr>
      </w:pPr>
      <w:r w:rsidRPr="00951777">
        <w:rPr>
          <w:rFonts w:ascii="Book Antiqua" w:hAnsi="Book Antiqua"/>
          <w:sz w:val="24"/>
          <w:szCs w:val="24"/>
        </w:rPr>
        <w:t xml:space="preserve">There is significant discordance seen in the OS effects. The median OS in the MAX trial is longer in the </w:t>
      </w:r>
      <w:proofErr w:type="spellStart"/>
      <w:r w:rsidRPr="00951777">
        <w:rPr>
          <w:rFonts w:ascii="Book Antiqua" w:hAnsi="Book Antiqua"/>
          <w:sz w:val="24"/>
          <w:szCs w:val="24"/>
        </w:rPr>
        <w:t>capecitabine</w:t>
      </w:r>
      <w:proofErr w:type="spellEnd"/>
      <w:r w:rsidRPr="00951777">
        <w:rPr>
          <w:rFonts w:ascii="Book Antiqua" w:hAnsi="Book Antiqua"/>
          <w:sz w:val="24"/>
          <w:szCs w:val="24"/>
        </w:rPr>
        <w:t xml:space="preserve"> alone arm, however, the curves cross before and after the median with a </w:t>
      </w:r>
      <w:r w:rsidR="00C2324C">
        <w:rPr>
          <w:rFonts w:ascii="Book Antiqua" w:hAnsi="Book Antiqua" w:hint="eastAsia"/>
          <w:sz w:val="24"/>
          <w:szCs w:val="24"/>
          <w:lang w:eastAsia="zh-CN"/>
        </w:rPr>
        <w:t>HR =</w:t>
      </w:r>
      <w:r w:rsidRPr="00951777">
        <w:rPr>
          <w:rFonts w:ascii="Book Antiqua" w:hAnsi="Book Antiqua"/>
          <w:sz w:val="24"/>
          <w:szCs w:val="24"/>
        </w:rPr>
        <w:t xml:space="preserve"> 0.89. Use of post-progression therapy was minimal in the MAX trial, suggesting imbalances in subsequent therapy do not explain the discordance between the impact on PFS and OS. Nonetheless, the OS findings of the subgroup of patients with peritoneal metastases are consistent with the overall MAX trial results. While a statistically significant improvement in OS was seen in the TRACC registry, this may be due to differences in prognostic factors between the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and non-</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treated patients given the non-randomised nature of the registry, which likely account for at least some of this gain. Such an imbalance in patient prognostic factors may also have explained the inconsistency in data from the BRITE registry</w:t>
      </w:r>
      <w:r w:rsidRPr="00951777">
        <w:rPr>
          <w:rFonts w:ascii="Book Antiqua" w:hAnsi="Book Antiqua"/>
          <w:noProof/>
          <w:sz w:val="24"/>
          <w:szCs w:val="24"/>
          <w:vertAlign w:val="superscript"/>
        </w:rPr>
        <w:t>[</w:t>
      </w:r>
      <w:r w:rsidR="00697244">
        <w:rPr>
          <w:rFonts w:ascii="Book Antiqua" w:hAnsi="Book Antiqua"/>
          <w:noProof/>
          <w:sz w:val="24"/>
          <w:szCs w:val="24"/>
          <w:vertAlign w:val="superscript"/>
        </w:rPr>
        <w:t>15</w:t>
      </w:r>
      <w:r w:rsidRPr="00951777">
        <w:rPr>
          <w:rFonts w:ascii="Book Antiqua" w:hAnsi="Book Antiqua"/>
          <w:noProof/>
          <w:sz w:val="24"/>
          <w:szCs w:val="24"/>
          <w:vertAlign w:val="superscript"/>
        </w:rPr>
        <w:t>]</w:t>
      </w:r>
      <w:r w:rsidRPr="00951777">
        <w:rPr>
          <w:rFonts w:ascii="Book Antiqua" w:hAnsi="Book Antiqua"/>
          <w:sz w:val="24"/>
          <w:szCs w:val="24"/>
        </w:rPr>
        <w:t xml:space="preserve">, which showed a far larger survival gain with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beyond progression in all patients with metastatic colorectal cancer than was seen in the randomised TML trial</w:t>
      </w:r>
      <w:r w:rsidRPr="00951777">
        <w:rPr>
          <w:rFonts w:ascii="Book Antiqua" w:hAnsi="Book Antiqua"/>
          <w:noProof/>
          <w:sz w:val="24"/>
          <w:szCs w:val="24"/>
          <w:vertAlign w:val="superscript"/>
        </w:rPr>
        <w:t>[</w:t>
      </w:r>
      <w:r w:rsidR="00697244">
        <w:rPr>
          <w:rFonts w:ascii="Book Antiqua" w:hAnsi="Book Antiqua"/>
          <w:noProof/>
          <w:sz w:val="24"/>
          <w:szCs w:val="24"/>
          <w:vertAlign w:val="superscript"/>
        </w:rPr>
        <w:t>16</w:t>
      </w:r>
      <w:r w:rsidRPr="00951777">
        <w:rPr>
          <w:rFonts w:ascii="Book Antiqua" w:hAnsi="Book Antiqua"/>
          <w:noProof/>
          <w:sz w:val="24"/>
          <w:szCs w:val="24"/>
          <w:vertAlign w:val="superscript"/>
        </w:rPr>
        <w:t>]</w:t>
      </w:r>
      <w:r w:rsidRPr="00951777">
        <w:rPr>
          <w:rFonts w:ascii="Book Antiqua" w:hAnsi="Book Antiqua"/>
          <w:sz w:val="24"/>
          <w:szCs w:val="24"/>
        </w:rPr>
        <w:t>. Although the difference in survival is large in the NSWCC cohort there are known significant baseline differences between the groups and these factors may account for the difference seen.</w:t>
      </w:r>
    </w:p>
    <w:p w:rsidR="00C071D1" w:rsidRPr="00951777" w:rsidRDefault="00C071D1" w:rsidP="00C2324C">
      <w:pPr>
        <w:spacing w:after="0" w:line="360" w:lineRule="auto"/>
        <w:ind w:firstLineChars="150" w:firstLine="360"/>
        <w:jc w:val="both"/>
        <w:rPr>
          <w:rFonts w:ascii="Book Antiqua" w:hAnsi="Book Antiqua"/>
          <w:sz w:val="24"/>
          <w:szCs w:val="24"/>
        </w:rPr>
      </w:pPr>
      <w:r w:rsidRPr="00951777">
        <w:rPr>
          <w:rFonts w:ascii="Book Antiqua" w:hAnsi="Book Antiqua"/>
          <w:sz w:val="24"/>
          <w:szCs w:val="24"/>
        </w:rPr>
        <w:t xml:space="preserve">Alternative routes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administration may be helpful for patients with peritoneal disease, with case reports of intraperitoneal administration of </w:t>
      </w:r>
      <w:proofErr w:type="spellStart"/>
      <w:r w:rsidRPr="00951777">
        <w:rPr>
          <w:rFonts w:ascii="Book Antiqua" w:hAnsi="Book Antiqua"/>
          <w:sz w:val="24"/>
          <w:szCs w:val="24"/>
        </w:rPr>
        <w:t>bevacizumab</w:t>
      </w:r>
      <w:proofErr w:type="spellEnd"/>
      <w:r w:rsidRPr="00951777">
        <w:rPr>
          <w:rFonts w:ascii="Book Antiqua" w:hAnsi="Book Antiqua"/>
          <w:sz w:val="24"/>
          <w:szCs w:val="24"/>
        </w:rPr>
        <w:t xml:space="preserve"> with significant symptomatic benefit mainly in ovarian cancer </w:t>
      </w:r>
      <w:proofErr w:type="gramStart"/>
      <w:r w:rsidRPr="00951777">
        <w:rPr>
          <w:rFonts w:ascii="Book Antiqua" w:hAnsi="Book Antiqua"/>
          <w:sz w:val="24"/>
          <w:szCs w:val="24"/>
        </w:rPr>
        <w:t>patients</w:t>
      </w:r>
      <w:r w:rsidRPr="00951777">
        <w:rPr>
          <w:rFonts w:ascii="Book Antiqua" w:hAnsi="Book Antiqua"/>
          <w:noProof/>
          <w:sz w:val="24"/>
          <w:szCs w:val="24"/>
          <w:vertAlign w:val="superscript"/>
        </w:rPr>
        <w:t>[</w:t>
      </w:r>
      <w:proofErr w:type="gramEnd"/>
      <w:r w:rsidR="00697244">
        <w:rPr>
          <w:rFonts w:ascii="Book Antiqua" w:hAnsi="Book Antiqua"/>
          <w:noProof/>
          <w:sz w:val="24"/>
          <w:szCs w:val="24"/>
          <w:vertAlign w:val="superscript"/>
        </w:rPr>
        <w:t>17-19</w:t>
      </w:r>
      <w:r w:rsidRPr="00951777">
        <w:rPr>
          <w:rFonts w:ascii="Book Antiqua" w:hAnsi="Book Antiqua"/>
          <w:noProof/>
          <w:sz w:val="24"/>
          <w:szCs w:val="24"/>
          <w:vertAlign w:val="superscript"/>
        </w:rPr>
        <w:t>]</w:t>
      </w:r>
      <w:r w:rsidRPr="00951777">
        <w:rPr>
          <w:rFonts w:ascii="Book Antiqua" w:hAnsi="Book Antiqua"/>
          <w:sz w:val="24"/>
          <w:szCs w:val="24"/>
        </w:rPr>
        <w:t>.</w:t>
      </w:r>
      <w:hyperlink w:anchor="_ENREF_10" w:tooltip="Hamilton, 2008 #37" w:history="1"/>
      <w:r w:rsidRPr="00951777">
        <w:rPr>
          <w:rFonts w:ascii="Book Antiqua" w:hAnsi="Book Antiqua"/>
          <w:sz w:val="24"/>
          <w:szCs w:val="24"/>
        </w:rPr>
        <w:t xml:space="preserve"> However, we are unaware of any data related to the safety and efficacy of this approach in metastatic colorectal cancer. The results of ongoing trials are eagerly </w:t>
      </w:r>
      <w:proofErr w:type="gramStart"/>
      <w:r w:rsidRPr="00951777">
        <w:rPr>
          <w:rFonts w:ascii="Book Antiqua" w:hAnsi="Book Antiqua"/>
          <w:sz w:val="24"/>
          <w:szCs w:val="24"/>
        </w:rPr>
        <w:t>awaited</w:t>
      </w:r>
      <w:r w:rsidRPr="00951777">
        <w:rPr>
          <w:rFonts w:ascii="Book Antiqua" w:hAnsi="Book Antiqua"/>
          <w:noProof/>
          <w:sz w:val="24"/>
          <w:szCs w:val="24"/>
          <w:vertAlign w:val="superscript"/>
        </w:rPr>
        <w:t>[</w:t>
      </w:r>
      <w:proofErr w:type="gramEnd"/>
      <w:r w:rsidR="00697244">
        <w:rPr>
          <w:rFonts w:ascii="Book Antiqua" w:hAnsi="Book Antiqua"/>
          <w:noProof/>
          <w:sz w:val="24"/>
          <w:szCs w:val="24"/>
          <w:vertAlign w:val="superscript"/>
        </w:rPr>
        <w:t>20</w:t>
      </w:r>
      <w:r w:rsidRPr="00951777">
        <w:rPr>
          <w:rFonts w:ascii="Book Antiqua" w:hAnsi="Book Antiqua"/>
          <w:noProof/>
          <w:sz w:val="24"/>
          <w:szCs w:val="24"/>
          <w:vertAlign w:val="superscript"/>
        </w:rPr>
        <w:t>]</w:t>
      </w:r>
      <w:r w:rsidRPr="00951777">
        <w:rPr>
          <w:rFonts w:ascii="Book Antiqua" w:hAnsi="Book Antiqua"/>
          <w:sz w:val="24"/>
          <w:szCs w:val="24"/>
        </w:rPr>
        <w:t xml:space="preserve">.  </w:t>
      </w:r>
    </w:p>
    <w:p w:rsidR="00951777" w:rsidRDefault="00C071D1" w:rsidP="00C2324C">
      <w:pPr>
        <w:spacing w:after="0" w:line="360" w:lineRule="auto"/>
        <w:ind w:firstLineChars="150" w:firstLine="360"/>
        <w:jc w:val="both"/>
        <w:rPr>
          <w:rFonts w:ascii="Book Antiqua" w:hAnsi="Book Antiqua"/>
          <w:sz w:val="24"/>
          <w:szCs w:val="24"/>
          <w:lang w:eastAsia="zh-CN"/>
        </w:rPr>
      </w:pPr>
      <w:r w:rsidRPr="00951777">
        <w:rPr>
          <w:rFonts w:ascii="Book Antiqua" w:hAnsi="Book Antiqua"/>
          <w:sz w:val="24"/>
          <w:szCs w:val="24"/>
        </w:rPr>
        <w:t xml:space="preserve">In conclusion, this analysis of metastatic colorectal cancer patients with peritoneal disease reveals similar findings across a clinical trial and routine practice cohorts. The combination appears to be safe to use, without an increase in rate of gastrointestinal perforations observed in any of the cohorts. From our analysis, </w:t>
      </w:r>
      <w:r w:rsidRPr="00951777">
        <w:rPr>
          <w:rFonts w:ascii="Book Antiqua" w:hAnsi="Book Antiqua"/>
          <w:sz w:val="24"/>
          <w:szCs w:val="24"/>
        </w:rPr>
        <w:lastRenderedPageBreak/>
        <w:t xml:space="preserve">patients with metastatic colorectal cancer to the peritoneum should not be excluded from receiving </w:t>
      </w:r>
      <w:proofErr w:type="spellStart"/>
      <w:r w:rsidRPr="00951777">
        <w:rPr>
          <w:rFonts w:ascii="Book Antiqua" w:hAnsi="Book Antiqua"/>
          <w:sz w:val="24"/>
          <w:szCs w:val="24"/>
        </w:rPr>
        <w:t>bevacizumab</w:t>
      </w:r>
      <w:proofErr w:type="spellEnd"/>
      <w:r w:rsidRPr="00951777">
        <w:rPr>
          <w:rFonts w:ascii="Book Antiqua" w:hAnsi="Book Antiqua"/>
          <w:sz w:val="24"/>
          <w:szCs w:val="24"/>
        </w:rPr>
        <w:t>.</w:t>
      </w:r>
    </w:p>
    <w:p w:rsidR="00951777" w:rsidRDefault="00951777" w:rsidP="00785D97">
      <w:pPr>
        <w:spacing w:after="0" w:line="360" w:lineRule="auto"/>
        <w:jc w:val="both"/>
        <w:rPr>
          <w:rFonts w:ascii="Book Antiqua" w:hAnsi="Book Antiqua"/>
          <w:sz w:val="24"/>
          <w:szCs w:val="24"/>
          <w:lang w:eastAsia="zh-CN"/>
        </w:rPr>
      </w:pPr>
    </w:p>
    <w:p w:rsidR="00951777" w:rsidRPr="00712F63" w:rsidRDefault="00951777" w:rsidP="00785D97">
      <w:pPr>
        <w:spacing w:after="0" w:line="360" w:lineRule="auto"/>
        <w:jc w:val="both"/>
        <w:rPr>
          <w:rFonts w:ascii="Book Antiqua" w:hAnsi="Book Antiqua"/>
          <w:b/>
          <w:sz w:val="24"/>
        </w:rPr>
      </w:pPr>
      <w:bookmarkStart w:id="47" w:name="OLE_LINK13"/>
      <w:bookmarkStart w:id="48" w:name="OLE_LINK323"/>
      <w:bookmarkStart w:id="49" w:name="OLE_LINK349"/>
      <w:bookmarkStart w:id="50" w:name="OLE_LINK377"/>
      <w:bookmarkStart w:id="51" w:name="OLE_LINK386"/>
      <w:bookmarkStart w:id="52" w:name="OLE_LINK400"/>
      <w:bookmarkStart w:id="53" w:name="OLE_LINK416"/>
      <w:bookmarkStart w:id="54" w:name="OLE_LINK512"/>
      <w:r w:rsidRPr="00712F63">
        <w:rPr>
          <w:rFonts w:ascii="Book Antiqua" w:hAnsi="Book Antiqua"/>
          <w:b/>
          <w:sz w:val="24"/>
        </w:rPr>
        <w:t>COMMENTS</w:t>
      </w:r>
    </w:p>
    <w:p w:rsidR="00951777" w:rsidRDefault="00951777" w:rsidP="00785D97">
      <w:pPr>
        <w:spacing w:after="0" w:line="360" w:lineRule="auto"/>
        <w:jc w:val="both"/>
        <w:rPr>
          <w:rFonts w:ascii="Book Antiqua" w:hAnsi="Book Antiqua"/>
          <w:b/>
          <w:i/>
          <w:sz w:val="24"/>
        </w:rPr>
      </w:pPr>
      <w:r w:rsidRPr="00712F63">
        <w:rPr>
          <w:rFonts w:ascii="Book Antiqua" w:hAnsi="Book Antiqua"/>
          <w:b/>
          <w:i/>
          <w:sz w:val="24"/>
        </w:rPr>
        <w:t>Background</w:t>
      </w:r>
    </w:p>
    <w:p w:rsidR="00553E0F" w:rsidRPr="00A926F8" w:rsidRDefault="00553E0F" w:rsidP="00785D97">
      <w:pPr>
        <w:spacing w:after="0" w:line="360" w:lineRule="auto"/>
        <w:jc w:val="both"/>
        <w:rPr>
          <w:rFonts w:ascii="Book Antiqua" w:hAnsi="Book Antiqua"/>
          <w:sz w:val="24"/>
        </w:rPr>
      </w:pPr>
      <w:proofErr w:type="spellStart"/>
      <w:r w:rsidRPr="00A926F8">
        <w:rPr>
          <w:rFonts w:ascii="Book Antiqua" w:hAnsi="Book Antiqua"/>
          <w:sz w:val="24"/>
        </w:rPr>
        <w:t>Bevacizumab</w:t>
      </w:r>
      <w:proofErr w:type="spellEnd"/>
      <w:r w:rsidRPr="00A926F8">
        <w:rPr>
          <w:rFonts w:ascii="Book Antiqua" w:hAnsi="Book Antiqua"/>
          <w:sz w:val="24"/>
        </w:rPr>
        <w:t xml:space="preserve"> is associated with gastrointestinal perforation with </w:t>
      </w:r>
      <w:r w:rsidR="0092567C" w:rsidRPr="00A926F8">
        <w:rPr>
          <w:rFonts w:ascii="Book Antiqua" w:hAnsi="Book Antiqua"/>
          <w:sz w:val="24"/>
        </w:rPr>
        <w:t>known risk factors such as</w:t>
      </w:r>
      <w:r w:rsidRPr="00A926F8">
        <w:rPr>
          <w:rFonts w:ascii="Book Antiqua" w:hAnsi="Book Antiqua"/>
          <w:sz w:val="24"/>
        </w:rPr>
        <w:t xml:space="preserve"> intra-abdominal cancers, intact primary tumours and bowel obstruction. </w:t>
      </w:r>
      <w:r w:rsidR="0010188F">
        <w:rPr>
          <w:rFonts w:ascii="Book Antiqua" w:hAnsi="Book Antiqua"/>
          <w:sz w:val="24"/>
        </w:rPr>
        <w:t>Initial</w:t>
      </w:r>
      <w:r w:rsidR="0092567C" w:rsidRPr="00A926F8">
        <w:rPr>
          <w:rFonts w:ascii="Book Antiqua" w:hAnsi="Book Antiqua"/>
          <w:sz w:val="24"/>
        </w:rPr>
        <w:t xml:space="preserve"> use of </w:t>
      </w:r>
      <w:proofErr w:type="spellStart"/>
      <w:r w:rsidR="0092567C" w:rsidRPr="00A926F8">
        <w:rPr>
          <w:rFonts w:ascii="Book Antiqua" w:hAnsi="Book Antiqua"/>
          <w:sz w:val="24"/>
        </w:rPr>
        <w:t>bevacizumab</w:t>
      </w:r>
      <w:proofErr w:type="spellEnd"/>
      <w:r w:rsidR="0092567C" w:rsidRPr="00A926F8">
        <w:rPr>
          <w:rFonts w:ascii="Book Antiqua" w:hAnsi="Book Antiqua"/>
          <w:sz w:val="24"/>
        </w:rPr>
        <w:t xml:space="preserve"> in ovarian cancer was associated with a higher than expected rate of gastrointestinal perforation however rates in</w:t>
      </w:r>
      <w:r w:rsidR="0010188F" w:rsidRPr="0010188F">
        <w:rPr>
          <w:rFonts w:ascii="Book Antiqua" w:hAnsi="Book Antiqua"/>
          <w:sz w:val="24"/>
        </w:rPr>
        <w:t xml:space="preserve"> recent clinical trials are</w:t>
      </w:r>
      <w:r w:rsidR="0010188F">
        <w:rPr>
          <w:rFonts w:ascii="Book Antiqua" w:hAnsi="Book Antiqua"/>
          <w:sz w:val="24"/>
        </w:rPr>
        <w:t xml:space="preserve"> not elevated compared to rates in </w:t>
      </w:r>
      <w:r w:rsidR="0092567C" w:rsidRPr="00A926F8">
        <w:rPr>
          <w:rFonts w:ascii="Book Antiqua" w:hAnsi="Book Antiqua"/>
          <w:sz w:val="24"/>
        </w:rPr>
        <w:t>other malignancies. However, t</w:t>
      </w:r>
      <w:r w:rsidRPr="00A926F8">
        <w:rPr>
          <w:rFonts w:ascii="Book Antiqua" w:hAnsi="Book Antiqua"/>
          <w:sz w:val="24"/>
        </w:rPr>
        <w:t xml:space="preserve">here </w:t>
      </w:r>
      <w:r w:rsidR="0092567C" w:rsidRPr="00A926F8">
        <w:rPr>
          <w:rFonts w:ascii="Book Antiqua" w:hAnsi="Book Antiqua"/>
          <w:sz w:val="24"/>
        </w:rPr>
        <w:t xml:space="preserve">remains </w:t>
      </w:r>
      <w:r w:rsidRPr="00A926F8">
        <w:rPr>
          <w:rFonts w:ascii="Book Antiqua" w:hAnsi="Book Antiqua"/>
          <w:sz w:val="24"/>
        </w:rPr>
        <w:t>a concern of gastrointestinal perforations in patients with metastatic colorectal cancer and peritoneal metastases.</w:t>
      </w:r>
    </w:p>
    <w:p w:rsidR="00951777" w:rsidRPr="00712F63" w:rsidRDefault="00951777" w:rsidP="00785D97">
      <w:pPr>
        <w:spacing w:after="0" w:line="360" w:lineRule="auto"/>
        <w:jc w:val="both"/>
        <w:rPr>
          <w:rFonts w:ascii="Book Antiqua" w:hAnsi="Book Antiqua"/>
          <w:b/>
          <w:i/>
          <w:sz w:val="24"/>
        </w:rPr>
      </w:pPr>
    </w:p>
    <w:p w:rsidR="00951777" w:rsidRDefault="00951777" w:rsidP="00785D97">
      <w:pPr>
        <w:spacing w:after="0" w:line="360" w:lineRule="auto"/>
        <w:jc w:val="both"/>
        <w:rPr>
          <w:rFonts w:ascii="Book Antiqua" w:hAnsi="Book Antiqua"/>
          <w:b/>
          <w:i/>
          <w:sz w:val="24"/>
        </w:rPr>
      </w:pPr>
      <w:r w:rsidRPr="00712F63">
        <w:rPr>
          <w:rFonts w:ascii="Book Antiqua" w:hAnsi="Book Antiqua"/>
          <w:b/>
          <w:i/>
          <w:sz w:val="24"/>
        </w:rPr>
        <w:t>Research frontiers</w:t>
      </w:r>
    </w:p>
    <w:p w:rsidR="00553E0F" w:rsidRPr="00A926F8" w:rsidRDefault="00553E0F" w:rsidP="00785D97">
      <w:pPr>
        <w:spacing w:after="0" w:line="360" w:lineRule="auto"/>
        <w:jc w:val="both"/>
        <w:rPr>
          <w:rFonts w:ascii="Book Antiqua" w:hAnsi="Book Antiqua"/>
          <w:sz w:val="24"/>
        </w:rPr>
      </w:pPr>
      <w:r w:rsidRPr="00A926F8">
        <w:rPr>
          <w:rFonts w:ascii="Book Antiqua" w:hAnsi="Book Antiqua"/>
          <w:sz w:val="24"/>
        </w:rPr>
        <w:t xml:space="preserve">There are currently no reports in the literature to our knowledge that have looked solely at </w:t>
      </w:r>
      <w:r w:rsidR="0092567C" w:rsidRPr="00A926F8">
        <w:rPr>
          <w:rFonts w:ascii="Book Antiqua" w:hAnsi="Book Antiqua"/>
          <w:sz w:val="24"/>
        </w:rPr>
        <w:t>metastatic colorectal cancer with peritoneal metastases</w:t>
      </w:r>
      <w:r w:rsidRPr="00A926F8">
        <w:rPr>
          <w:rFonts w:ascii="Book Antiqua" w:hAnsi="Book Antiqua"/>
          <w:sz w:val="24"/>
        </w:rPr>
        <w:t xml:space="preserve"> and </w:t>
      </w:r>
      <w:r w:rsidR="0092567C" w:rsidRPr="00A926F8">
        <w:rPr>
          <w:rFonts w:ascii="Book Antiqua" w:hAnsi="Book Antiqua"/>
          <w:sz w:val="24"/>
        </w:rPr>
        <w:t xml:space="preserve">the </w:t>
      </w:r>
      <w:r w:rsidRPr="00A926F8">
        <w:rPr>
          <w:rFonts w:ascii="Book Antiqua" w:hAnsi="Book Antiqua"/>
          <w:sz w:val="24"/>
        </w:rPr>
        <w:t xml:space="preserve">risk of gastrointestinal perforations with the use of </w:t>
      </w:r>
      <w:proofErr w:type="spellStart"/>
      <w:r w:rsidRPr="00A926F8">
        <w:rPr>
          <w:rFonts w:ascii="Book Antiqua" w:hAnsi="Book Antiqua"/>
          <w:sz w:val="24"/>
        </w:rPr>
        <w:t>bevacizumab</w:t>
      </w:r>
      <w:proofErr w:type="spellEnd"/>
      <w:r w:rsidRPr="00A926F8">
        <w:rPr>
          <w:rFonts w:ascii="Book Antiqua" w:hAnsi="Book Antiqua"/>
          <w:sz w:val="24"/>
        </w:rPr>
        <w:t xml:space="preserve"> and chemotherapy.</w:t>
      </w:r>
      <w:r w:rsidR="00D86951" w:rsidRPr="00A926F8">
        <w:rPr>
          <w:rFonts w:ascii="Book Antiqua" w:hAnsi="Book Antiqua"/>
          <w:sz w:val="24"/>
        </w:rPr>
        <w:t xml:space="preserve"> There have been reports that have looked at other risk</w:t>
      </w:r>
      <w:r w:rsidR="0092567C" w:rsidRPr="00A926F8">
        <w:rPr>
          <w:rFonts w:ascii="Book Antiqua" w:hAnsi="Book Antiqua"/>
          <w:sz w:val="24"/>
        </w:rPr>
        <w:t xml:space="preserve"> factors for this adverse event</w:t>
      </w:r>
      <w:r w:rsidR="00D86951" w:rsidRPr="00A926F8">
        <w:rPr>
          <w:rFonts w:ascii="Book Antiqua" w:hAnsi="Book Antiqua"/>
          <w:sz w:val="24"/>
        </w:rPr>
        <w:t xml:space="preserve"> including registry reports and clinical trial results.</w:t>
      </w:r>
    </w:p>
    <w:p w:rsidR="00951777" w:rsidRPr="00712F63" w:rsidRDefault="00951777" w:rsidP="00785D97">
      <w:pPr>
        <w:spacing w:after="0" w:line="360" w:lineRule="auto"/>
        <w:jc w:val="both"/>
        <w:rPr>
          <w:rFonts w:ascii="Book Antiqua" w:hAnsi="Book Antiqua"/>
          <w:b/>
          <w:i/>
          <w:sz w:val="24"/>
        </w:rPr>
      </w:pPr>
    </w:p>
    <w:p w:rsidR="00951777" w:rsidRDefault="00951777" w:rsidP="00785D97">
      <w:pPr>
        <w:spacing w:after="0" w:line="360" w:lineRule="auto"/>
        <w:jc w:val="both"/>
        <w:rPr>
          <w:rFonts w:ascii="Book Antiqua" w:hAnsi="Book Antiqua"/>
          <w:b/>
          <w:i/>
          <w:sz w:val="24"/>
        </w:rPr>
      </w:pPr>
      <w:r w:rsidRPr="00712F63">
        <w:rPr>
          <w:rFonts w:ascii="Book Antiqua" w:hAnsi="Book Antiqua"/>
          <w:b/>
          <w:i/>
          <w:sz w:val="24"/>
        </w:rPr>
        <w:t>Innovations and breakthroughs</w:t>
      </w:r>
    </w:p>
    <w:p w:rsidR="00D86951" w:rsidRPr="00A926F8" w:rsidRDefault="001F1D3F" w:rsidP="00785D97">
      <w:pPr>
        <w:spacing w:after="0" w:line="360" w:lineRule="auto"/>
        <w:jc w:val="both"/>
        <w:rPr>
          <w:rFonts w:ascii="Book Antiqua" w:hAnsi="Book Antiqua"/>
          <w:sz w:val="24"/>
        </w:rPr>
      </w:pPr>
      <w:r>
        <w:rPr>
          <w:rFonts w:ascii="Book Antiqua" w:hAnsi="Book Antiqua" w:hint="eastAsia"/>
          <w:sz w:val="24"/>
          <w:lang w:eastAsia="zh-CN"/>
        </w:rPr>
        <w:t>The authors</w:t>
      </w:r>
      <w:r w:rsidR="0092567C" w:rsidRPr="00A926F8">
        <w:rPr>
          <w:rFonts w:ascii="Book Antiqua" w:hAnsi="Book Antiqua"/>
          <w:sz w:val="24"/>
        </w:rPr>
        <w:t xml:space="preserve"> used three prospective sources of data to shows results in clinical trial and community settings. This allowed a higher number of patients with exposure to </w:t>
      </w:r>
      <w:proofErr w:type="spellStart"/>
      <w:r w:rsidR="0092567C" w:rsidRPr="00A926F8">
        <w:rPr>
          <w:rFonts w:ascii="Book Antiqua" w:hAnsi="Book Antiqua"/>
          <w:sz w:val="24"/>
        </w:rPr>
        <w:t>bevacizumab</w:t>
      </w:r>
      <w:proofErr w:type="spellEnd"/>
      <w:r w:rsidR="0092567C" w:rsidRPr="00A926F8">
        <w:rPr>
          <w:rFonts w:ascii="Book Antiqua" w:hAnsi="Book Antiqua"/>
          <w:sz w:val="24"/>
        </w:rPr>
        <w:t xml:space="preserve"> and chemotherapy and increases the confidence that the rate of gastrointestinal perforation in patients with metastatic colorectal cancer and peritoneal metastases is not elevated. </w:t>
      </w:r>
      <w:r w:rsidR="00D86951" w:rsidRPr="00A926F8">
        <w:rPr>
          <w:rFonts w:ascii="Book Antiqua" w:hAnsi="Book Antiqua"/>
          <w:sz w:val="24"/>
        </w:rPr>
        <w:t xml:space="preserve">The results of this study are consistent with </w:t>
      </w:r>
      <w:r w:rsidR="0092567C" w:rsidRPr="00A926F8">
        <w:rPr>
          <w:rFonts w:ascii="Book Antiqua" w:hAnsi="Book Antiqua"/>
          <w:sz w:val="24"/>
        </w:rPr>
        <w:t xml:space="preserve">recent </w:t>
      </w:r>
      <w:r w:rsidR="00D86951" w:rsidRPr="00A926F8">
        <w:rPr>
          <w:rFonts w:ascii="Book Antiqua" w:hAnsi="Book Antiqua"/>
          <w:sz w:val="24"/>
        </w:rPr>
        <w:t xml:space="preserve">clinical trial results in ovarian cancer which also has a predilection for peritoneal disease. </w:t>
      </w:r>
    </w:p>
    <w:p w:rsidR="00951777" w:rsidRPr="00712F63" w:rsidRDefault="00951777" w:rsidP="00785D97">
      <w:pPr>
        <w:spacing w:after="0" w:line="360" w:lineRule="auto"/>
        <w:jc w:val="both"/>
        <w:rPr>
          <w:rFonts w:ascii="Book Antiqua" w:hAnsi="Book Antiqua"/>
          <w:b/>
          <w:i/>
          <w:sz w:val="24"/>
        </w:rPr>
      </w:pPr>
    </w:p>
    <w:p w:rsidR="00951777" w:rsidRPr="00712F63" w:rsidRDefault="00951777" w:rsidP="00785D97">
      <w:pPr>
        <w:spacing w:after="0" w:line="360" w:lineRule="auto"/>
        <w:jc w:val="both"/>
        <w:rPr>
          <w:rFonts w:ascii="Book Antiqua" w:hAnsi="Book Antiqua"/>
          <w:b/>
          <w:i/>
          <w:sz w:val="24"/>
        </w:rPr>
      </w:pPr>
      <w:r w:rsidRPr="00712F63">
        <w:rPr>
          <w:rFonts w:ascii="Book Antiqua" w:hAnsi="Book Antiqua"/>
          <w:b/>
          <w:i/>
          <w:sz w:val="24"/>
        </w:rPr>
        <w:t>Applications</w:t>
      </w:r>
    </w:p>
    <w:p w:rsidR="00951777" w:rsidRDefault="00D86951" w:rsidP="00785D97">
      <w:pPr>
        <w:spacing w:after="0" w:line="360" w:lineRule="auto"/>
        <w:jc w:val="both"/>
        <w:rPr>
          <w:rFonts w:ascii="Book Antiqua" w:hAnsi="Book Antiqua"/>
          <w:sz w:val="24"/>
          <w:lang w:eastAsia="zh-CN"/>
        </w:rPr>
      </w:pPr>
      <w:r w:rsidRPr="00A926F8">
        <w:rPr>
          <w:rFonts w:ascii="Book Antiqua" w:hAnsi="Book Antiqua"/>
          <w:sz w:val="24"/>
        </w:rPr>
        <w:lastRenderedPageBreak/>
        <w:t>Clinicians should be</w:t>
      </w:r>
      <w:r w:rsidR="006754EA" w:rsidRPr="006754EA">
        <w:rPr>
          <w:rFonts w:ascii="Book Antiqua" w:hAnsi="Book Antiqua"/>
          <w:sz w:val="24"/>
        </w:rPr>
        <w:t xml:space="preserve"> co</w:t>
      </w:r>
      <w:r w:rsidR="006754EA">
        <w:rPr>
          <w:rFonts w:ascii="Book Antiqua" w:hAnsi="Book Antiqua"/>
          <w:sz w:val="24"/>
        </w:rPr>
        <w:t>nfident</w:t>
      </w:r>
      <w:r w:rsidRPr="00A926F8">
        <w:rPr>
          <w:rFonts w:ascii="Book Antiqua" w:hAnsi="Book Antiqua"/>
          <w:sz w:val="24"/>
        </w:rPr>
        <w:t xml:space="preserve"> using </w:t>
      </w:r>
      <w:proofErr w:type="spellStart"/>
      <w:r w:rsidRPr="00A926F8">
        <w:rPr>
          <w:rFonts w:ascii="Book Antiqua" w:hAnsi="Book Antiqua"/>
          <w:sz w:val="24"/>
        </w:rPr>
        <w:t>bevacizumab</w:t>
      </w:r>
      <w:proofErr w:type="spellEnd"/>
      <w:r w:rsidRPr="00A926F8">
        <w:rPr>
          <w:rFonts w:ascii="Book Antiqua" w:hAnsi="Book Antiqua"/>
          <w:sz w:val="24"/>
        </w:rPr>
        <w:t xml:space="preserve"> and chemotherapy in patients with metastatic colorectal cancer and peritoneal disease who do not have other contraindications.</w:t>
      </w:r>
    </w:p>
    <w:p w:rsidR="00C2324C" w:rsidRPr="00DC0739" w:rsidRDefault="00C2324C" w:rsidP="00785D97">
      <w:pPr>
        <w:spacing w:after="0" w:line="360" w:lineRule="auto"/>
        <w:jc w:val="both"/>
        <w:rPr>
          <w:rFonts w:ascii="Book Antiqua" w:hAnsi="Book Antiqua"/>
          <w:sz w:val="24"/>
          <w:lang w:eastAsia="zh-CN"/>
        </w:rPr>
      </w:pPr>
    </w:p>
    <w:p w:rsidR="00951777" w:rsidRPr="00712F63" w:rsidRDefault="00951777" w:rsidP="00785D97">
      <w:pPr>
        <w:spacing w:after="0" w:line="360" w:lineRule="auto"/>
        <w:jc w:val="both"/>
        <w:rPr>
          <w:rFonts w:ascii="Book Antiqua" w:hAnsi="Book Antiqua"/>
          <w:b/>
          <w:i/>
          <w:sz w:val="24"/>
        </w:rPr>
      </w:pPr>
      <w:r w:rsidRPr="00712F63">
        <w:rPr>
          <w:rFonts w:ascii="Book Antiqua" w:hAnsi="Book Antiqua"/>
          <w:b/>
          <w:i/>
          <w:sz w:val="24"/>
        </w:rPr>
        <w:t>Terminology</w:t>
      </w:r>
    </w:p>
    <w:p w:rsidR="00951777" w:rsidRDefault="0092567C" w:rsidP="00785D97">
      <w:pPr>
        <w:spacing w:after="0" w:line="360" w:lineRule="auto"/>
        <w:jc w:val="both"/>
        <w:rPr>
          <w:rFonts w:ascii="Book Antiqua" w:hAnsi="Book Antiqua"/>
          <w:sz w:val="24"/>
          <w:lang w:eastAsia="zh-CN"/>
        </w:rPr>
      </w:pPr>
      <w:r w:rsidRPr="00A926F8">
        <w:rPr>
          <w:rFonts w:ascii="Book Antiqua" w:hAnsi="Book Antiqua"/>
          <w:sz w:val="24"/>
        </w:rPr>
        <w:t>Gastrointestinal perforation i</w:t>
      </w:r>
      <w:r w:rsidR="00D86951" w:rsidRPr="00A926F8">
        <w:rPr>
          <w:rFonts w:ascii="Book Antiqua" w:hAnsi="Book Antiqua"/>
          <w:sz w:val="24"/>
        </w:rPr>
        <w:t>ncludes perforation of</w:t>
      </w:r>
      <w:r w:rsidR="00DC0739" w:rsidRPr="00A926F8">
        <w:rPr>
          <w:rFonts w:ascii="Book Antiqua" w:hAnsi="Book Antiqua"/>
          <w:sz w:val="24"/>
        </w:rPr>
        <w:t xml:space="preserve"> the</w:t>
      </w:r>
      <w:r w:rsidR="00D86951" w:rsidRPr="00A926F8">
        <w:rPr>
          <w:rFonts w:ascii="Book Antiqua" w:hAnsi="Book Antiqua"/>
          <w:sz w:val="24"/>
        </w:rPr>
        <w:t xml:space="preserve"> </w:t>
      </w:r>
      <w:r w:rsidR="00DC0739" w:rsidRPr="00A926F8">
        <w:rPr>
          <w:rFonts w:ascii="Book Antiqua" w:hAnsi="Book Antiqua"/>
          <w:sz w:val="24"/>
        </w:rPr>
        <w:t xml:space="preserve">oesophagus, </w:t>
      </w:r>
      <w:r w:rsidR="00D86951" w:rsidRPr="00A926F8">
        <w:rPr>
          <w:rFonts w:ascii="Book Antiqua" w:hAnsi="Book Antiqua"/>
          <w:sz w:val="24"/>
        </w:rPr>
        <w:t>stomach, small bowel or large bowel which is usually life threatening or fatal.</w:t>
      </w:r>
      <w:r w:rsidRPr="00A926F8">
        <w:rPr>
          <w:rFonts w:ascii="Book Antiqua" w:hAnsi="Book Antiqua"/>
          <w:sz w:val="24"/>
        </w:rPr>
        <w:t xml:space="preserve"> </w:t>
      </w:r>
      <w:r w:rsidR="00DC0739" w:rsidRPr="00A926F8">
        <w:rPr>
          <w:rFonts w:ascii="Book Antiqua" w:hAnsi="Book Antiqua"/>
          <w:sz w:val="24"/>
        </w:rPr>
        <w:t>A grade 3 perforation is defined as the presence of serious symptoms and surgical intervention is indicated.</w:t>
      </w:r>
      <w:r w:rsidRPr="00A926F8">
        <w:rPr>
          <w:rFonts w:ascii="Book Antiqua" w:hAnsi="Book Antiqua"/>
          <w:sz w:val="24"/>
        </w:rPr>
        <w:t xml:space="preserve"> </w:t>
      </w:r>
    </w:p>
    <w:p w:rsidR="00C2324C" w:rsidRPr="00A926F8" w:rsidRDefault="00C2324C" w:rsidP="00785D97">
      <w:pPr>
        <w:spacing w:after="0" w:line="360" w:lineRule="auto"/>
        <w:jc w:val="both"/>
        <w:rPr>
          <w:rFonts w:ascii="Book Antiqua" w:hAnsi="Book Antiqua"/>
          <w:sz w:val="24"/>
          <w:lang w:eastAsia="zh-CN"/>
        </w:rPr>
      </w:pPr>
    </w:p>
    <w:p w:rsidR="00951777" w:rsidRDefault="00951777" w:rsidP="00785D97">
      <w:pPr>
        <w:spacing w:after="0" w:line="360" w:lineRule="auto"/>
        <w:jc w:val="both"/>
        <w:rPr>
          <w:rFonts w:ascii="Book Antiqua" w:hAnsi="Book Antiqua"/>
          <w:b/>
          <w:i/>
          <w:sz w:val="24"/>
        </w:rPr>
      </w:pPr>
      <w:r w:rsidRPr="00712F63">
        <w:rPr>
          <w:rFonts w:ascii="Book Antiqua" w:hAnsi="Book Antiqua"/>
          <w:b/>
          <w:i/>
          <w:sz w:val="24"/>
        </w:rPr>
        <w:t>Peer</w:t>
      </w:r>
      <w:r w:rsidR="00C2324C">
        <w:rPr>
          <w:rFonts w:ascii="Book Antiqua" w:hAnsi="Book Antiqua" w:hint="eastAsia"/>
          <w:b/>
          <w:i/>
          <w:sz w:val="24"/>
          <w:lang w:eastAsia="zh-CN"/>
        </w:rPr>
        <w:t>-</w:t>
      </w:r>
      <w:r w:rsidRPr="00712F63">
        <w:rPr>
          <w:rFonts w:ascii="Book Antiqua" w:hAnsi="Book Antiqua"/>
          <w:b/>
          <w:i/>
          <w:sz w:val="24"/>
        </w:rPr>
        <w:t>review</w:t>
      </w:r>
    </w:p>
    <w:p w:rsidR="00C071D1" w:rsidRPr="00951777" w:rsidRDefault="00DC0739" w:rsidP="00785D97">
      <w:pPr>
        <w:spacing w:after="0" w:line="360" w:lineRule="auto"/>
        <w:jc w:val="both"/>
        <w:rPr>
          <w:rFonts w:ascii="Book Antiqua" w:hAnsi="Book Antiqua"/>
          <w:sz w:val="24"/>
          <w:szCs w:val="24"/>
        </w:rPr>
      </w:pPr>
      <w:r>
        <w:rPr>
          <w:rFonts w:ascii="Book Antiqua" w:hAnsi="Book Antiqua"/>
          <w:sz w:val="24"/>
        </w:rPr>
        <w:t xml:space="preserve">The authors contribute their meaningful work regarding a side effect of </w:t>
      </w:r>
      <w:proofErr w:type="spellStart"/>
      <w:r>
        <w:rPr>
          <w:rFonts w:ascii="Book Antiqua" w:hAnsi="Book Antiqua"/>
          <w:sz w:val="24"/>
        </w:rPr>
        <w:t>bevacizumab</w:t>
      </w:r>
      <w:proofErr w:type="spellEnd"/>
      <w:r>
        <w:rPr>
          <w:rFonts w:ascii="Book Antiqua" w:hAnsi="Book Antiqua"/>
          <w:sz w:val="24"/>
        </w:rPr>
        <w:t>. The data was extracted from trials, prospective registry and data set from cancer centres and was analysed thoroughly</w:t>
      </w:r>
      <w:bookmarkEnd w:id="47"/>
      <w:bookmarkEnd w:id="48"/>
      <w:bookmarkEnd w:id="49"/>
      <w:bookmarkEnd w:id="50"/>
      <w:bookmarkEnd w:id="51"/>
      <w:bookmarkEnd w:id="52"/>
      <w:bookmarkEnd w:id="53"/>
      <w:bookmarkEnd w:id="54"/>
      <w:r w:rsidR="003577ED">
        <w:rPr>
          <w:rFonts w:ascii="Book Antiqua" w:hAnsi="Book Antiqua" w:hint="eastAsia"/>
          <w:sz w:val="24"/>
          <w:lang w:eastAsia="zh-CN"/>
        </w:rPr>
        <w:t>.</w:t>
      </w:r>
      <w:r w:rsidR="00C071D1" w:rsidRPr="00951777">
        <w:rPr>
          <w:rFonts w:ascii="Book Antiqua" w:hAnsi="Book Antiqua"/>
          <w:sz w:val="24"/>
          <w:szCs w:val="24"/>
          <w:u w:val="single"/>
        </w:rPr>
        <w:br w:type="page"/>
      </w:r>
    </w:p>
    <w:p w:rsidR="00C071D1" w:rsidRDefault="00951777" w:rsidP="00785D97">
      <w:pPr>
        <w:spacing w:after="0" w:line="360" w:lineRule="auto"/>
        <w:jc w:val="both"/>
        <w:rPr>
          <w:rFonts w:ascii="Book Antiqua" w:hAnsi="Book Antiqua"/>
          <w:b/>
          <w:sz w:val="24"/>
          <w:szCs w:val="24"/>
        </w:rPr>
      </w:pPr>
      <w:r w:rsidRPr="00951777">
        <w:rPr>
          <w:rFonts w:ascii="Book Antiqua" w:hAnsi="Book Antiqua"/>
          <w:b/>
          <w:sz w:val="24"/>
          <w:szCs w:val="24"/>
        </w:rPr>
        <w:lastRenderedPageBreak/>
        <w:t>REFERENCES</w:t>
      </w:r>
      <w:bookmarkStart w:id="55" w:name="OLE_LINK75"/>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1 </w:t>
      </w:r>
      <w:proofErr w:type="spellStart"/>
      <w:r w:rsidRPr="00F01227">
        <w:rPr>
          <w:rFonts w:ascii="Book Antiqua" w:eastAsia="宋体" w:hAnsi="Book Antiqua" w:cs="宋体"/>
          <w:b/>
          <w:bCs/>
          <w:sz w:val="24"/>
          <w:szCs w:val="24"/>
        </w:rPr>
        <w:t>Koppe</w:t>
      </w:r>
      <w:proofErr w:type="spellEnd"/>
      <w:r w:rsidRPr="00F01227">
        <w:rPr>
          <w:rFonts w:ascii="Book Antiqua" w:eastAsia="宋体" w:hAnsi="Book Antiqua" w:cs="宋体"/>
          <w:b/>
          <w:bCs/>
          <w:sz w:val="24"/>
          <w:szCs w:val="24"/>
        </w:rPr>
        <w:t xml:space="preserve"> MJ</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Boerman</w:t>
      </w:r>
      <w:proofErr w:type="spellEnd"/>
      <w:r w:rsidRPr="00F01227">
        <w:rPr>
          <w:rFonts w:ascii="Book Antiqua" w:eastAsia="宋体" w:hAnsi="Book Antiqua" w:cs="宋体"/>
          <w:sz w:val="24"/>
          <w:szCs w:val="24"/>
        </w:rPr>
        <w:t xml:space="preserve"> OC, </w:t>
      </w:r>
      <w:proofErr w:type="spellStart"/>
      <w:r w:rsidRPr="00F01227">
        <w:rPr>
          <w:rFonts w:ascii="Book Antiqua" w:eastAsia="宋体" w:hAnsi="Book Antiqua" w:cs="宋体"/>
          <w:sz w:val="24"/>
          <w:szCs w:val="24"/>
        </w:rPr>
        <w:t>Oyen</w:t>
      </w:r>
      <w:proofErr w:type="spellEnd"/>
      <w:r w:rsidRPr="00F01227">
        <w:rPr>
          <w:rFonts w:ascii="Book Antiqua" w:eastAsia="宋体" w:hAnsi="Book Antiqua" w:cs="宋体"/>
          <w:sz w:val="24"/>
          <w:szCs w:val="24"/>
        </w:rPr>
        <w:t xml:space="preserve"> WJ, </w:t>
      </w:r>
      <w:proofErr w:type="spellStart"/>
      <w:r w:rsidRPr="00F01227">
        <w:rPr>
          <w:rFonts w:ascii="Book Antiqua" w:eastAsia="宋体" w:hAnsi="Book Antiqua" w:cs="宋体"/>
          <w:sz w:val="24"/>
          <w:szCs w:val="24"/>
        </w:rPr>
        <w:t>Bleichrodt</w:t>
      </w:r>
      <w:proofErr w:type="spellEnd"/>
      <w:r w:rsidRPr="00F01227">
        <w:rPr>
          <w:rFonts w:ascii="Book Antiqua" w:eastAsia="宋体" w:hAnsi="Book Antiqua" w:cs="宋体"/>
          <w:sz w:val="24"/>
          <w:szCs w:val="24"/>
        </w:rPr>
        <w:t xml:space="preserve"> RP. Peritoneal </w:t>
      </w:r>
      <w:proofErr w:type="spellStart"/>
      <w:r w:rsidRPr="00F01227">
        <w:rPr>
          <w:rFonts w:ascii="Book Antiqua" w:eastAsia="宋体" w:hAnsi="Book Antiqua" w:cs="宋体"/>
          <w:sz w:val="24"/>
          <w:szCs w:val="24"/>
        </w:rPr>
        <w:t>carcinomatosis</w:t>
      </w:r>
      <w:proofErr w:type="spellEnd"/>
      <w:r w:rsidRPr="00F01227">
        <w:rPr>
          <w:rFonts w:ascii="Book Antiqua" w:eastAsia="宋体" w:hAnsi="Book Antiqua" w:cs="宋体"/>
          <w:sz w:val="24"/>
          <w:szCs w:val="24"/>
        </w:rPr>
        <w:t xml:space="preserve"> of colorectal origin: incidence and current treatment strategies. </w:t>
      </w:r>
      <w:r w:rsidRPr="00F01227">
        <w:rPr>
          <w:rFonts w:ascii="Book Antiqua" w:eastAsia="宋体" w:hAnsi="Book Antiqua" w:cs="宋体"/>
          <w:i/>
          <w:iCs/>
          <w:sz w:val="24"/>
          <w:szCs w:val="24"/>
        </w:rPr>
        <w:t xml:space="preserve">Ann </w:t>
      </w:r>
      <w:proofErr w:type="spellStart"/>
      <w:r w:rsidRPr="00F01227">
        <w:rPr>
          <w:rFonts w:ascii="Book Antiqua" w:eastAsia="宋体" w:hAnsi="Book Antiqua" w:cs="宋体"/>
          <w:i/>
          <w:iCs/>
          <w:sz w:val="24"/>
          <w:szCs w:val="24"/>
        </w:rPr>
        <w:t>Surg</w:t>
      </w:r>
      <w:proofErr w:type="spellEnd"/>
      <w:r w:rsidRPr="00F01227">
        <w:rPr>
          <w:rFonts w:ascii="Book Antiqua" w:eastAsia="宋体" w:hAnsi="Book Antiqua" w:cs="宋体"/>
          <w:sz w:val="24"/>
          <w:szCs w:val="24"/>
        </w:rPr>
        <w:t> 2006; </w:t>
      </w:r>
      <w:r w:rsidRPr="00F01227">
        <w:rPr>
          <w:rFonts w:ascii="Book Antiqua" w:eastAsia="宋体" w:hAnsi="Book Antiqua" w:cs="宋体"/>
          <w:b/>
          <w:bCs/>
          <w:sz w:val="24"/>
          <w:szCs w:val="24"/>
        </w:rPr>
        <w:t>243</w:t>
      </w:r>
      <w:r w:rsidRPr="00F01227">
        <w:rPr>
          <w:rFonts w:ascii="Book Antiqua" w:eastAsia="宋体" w:hAnsi="Book Antiqua" w:cs="宋体"/>
          <w:sz w:val="24"/>
          <w:szCs w:val="24"/>
        </w:rPr>
        <w:t>: 212-222 [PMID: 16432354 DOI: 10.1097/01.sla.0000197702.46394.16]</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2 </w:t>
      </w:r>
      <w:proofErr w:type="spellStart"/>
      <w:r w:rsidRPr="00F01227">
        <w:rPr>
          <w:rFonts w:ascii="Book Antiqua" w:eastAsia="宋体" w:hAnsi="Book Antiqua" w:cs="宋体"/>
          <w:b/>
          <w:bCs/>
          <w:sz w:val="24"/>
          <w:szCs w:val="24"/>
        </w:rPr>
        <w:t>Lemmens</w:t>
      </w:r>
      <w:proofErr w:type="spellEnd"/>
      <w:r w:rsidRPr="00F01227">
        <w:rPr>
          <w:rFonts w:ascii="Book Antiqua" w:eastAsia="宋体" w:hAnsi="Book Antiqua" w:cs="宋体"/>
          <w:b/>
          <w:bCs/>
          <w:sz w:val="24"/>
          <w:szCs w:val="24"/>
        </w:rPr>
        <w:t xml:space="preserve"> VE</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Klaver</w:t>
      </w:r>
      <w:proofErr w:type="spellEnd"/>
      <w:r w:rsidRPr="00F01227">
        <w:rPr>
          <w:rFonts w:ascii="Book Antiqua" w:eastAsia="宋体" w:hAnsi="Book Antiqua" w:cs="宋体"/>
          <w:sz w:val="24"/>
          <w:szCs w:val="24"/>
        </w:rPr>
        <w:t xml:space="preserve"> YL, </w:t>
      </w:r>
      <w:proofErr w:type="spellStart"/>
      <w:r w:rsidRPr="00F01227">
        <w:rPr>
          <w:rFonts w:ascii="Book Antiqua" w:eastAsia="宋体" w:hAnsi="Book Antiqua" w:cs="宋体"/>
          <w:sz w:val="24"/>
          <w:szCs w:val="24"/>
        </w:rPr>
        <w:t>Verwaal</w:t>
      </w:r>
      <w:proofErr w:type="spellEnd"/>
      <w:r w:rsidRPr="00F01227">
        <w:rPr>
          <w:rFonts w:ascii="Book Antiqua" w:eastAsia="宋体" w:hAnsi="Book Antiqua" w:cs="宋体"/>
          <w:sz w:val="24"/>
          <w:szCs w:val="24"/>
        </w:rPr>
        <w:t xml:space="preserve"> VJ, </w:t>
      </w:r>
      <w:proofErr w:type="spellStart"/>
      <w:r w:rsidRPr="00F01227">
        <w:rPr>
          <w:rFonts w:ascii="Book Antiqua" w:eastAsia="宋体" w:hAnsi="Book Antiqua" w:cs="宋体"/>
          <w:sz w:val="24"/>
          <w:szCs w:val="24"/>
        </w:rPr>
        <w:t>Rutten</w:t>
      </w:r>
      <w:proofErr w:type="spellEnd"/>
      <w:r w:rsidRPr="00F01227">
        <w:rPr>
          <w:rFonts w:ascii="Book Antiqua" w:eastAsia="宋体" w:hAnsi="Book Antiqua" w:cs="宋体"/>
          <w:sz w:val="24"/>
          <w:szCs w:val="24"/>
        </w:rPr>
        <w:t xml:space="preserve"> HJ, </w:t>
      </w:r>
      <w:proofErr w:type="spellStart"/>
      <w:r w:rsidRPr="00F01227">
        <w:rPr>
          <w:rFonts w:ascii="Book Antiqua" w:eastAsia="宋体" w:hAnsi="Book Antiqua" w:cs="宋体"/>
          <w:sz w:val="24"/>
          <w:szCs w:val="24"/>
        </w:rPr>
        <w:t>Coebergh</w:t>
      </w:r>
      <w:proofErr w:type="spellEnd"/>
      <w:r w:rsidRPr="00F01227">
        <w:rPr>
          <w:rFonts w:ascii="Book Antiqua" w:eastAsia="宋体" w:hAnsi="Book Antiqua" w:cs="宋体"/>
          <w:sz w:val="24"/>
          <w:szCs w:val="24"/>
        </w:rPr>
        <w:t xml:space="preserve"> JW, de </w:t>
      </w:r>
      <w:proofErr w:type="spellStart"/>
      <w:r w:rsidRPr="00F01227">
        <w:rPr>
          <w:rFonts w:ascii="Book Antiqua" w:eastAsia="宋体" w:hAnsi="Book Antiqua" w:cs="宋体"/>
          <w:sz w:val="24"/>
          <w:szCs w:val="24"/>
        </w:rPr>
        <w:t>Hingh</w:t>
      </w:r>
      <w:proofErr w:type="spellEnd"/>
      <w:r w:rsidRPr="00F01227">
        <w:rPr>
          <w:rFonts w:ascii="Book Antiqua" w:eastAsia="宋体" w:hAnsi="Book Antiqua" w:cs="宋体"/>
          <w:sz w:val="24"/>
          <w:szCs w:val="24"/>
        </w:rPr>
        <w:t xml:space="preserve"> IH. Predictors and survival of synchronous peritoneal </w:t>
      </w:r>
      <w:proofErr w:type="spellStart"/>
      <w:r w:rsidRPr="00F01227">
        <w:rPr>
          <w:rFonts w:ascii="Book Antiqua" w:eastAsia="宋体" w:hAnsi="Book Antiqua" w:cs="宋体"/>
          <w:sz w:val="24"/>
          <w:szCs w:val="24"/>
        </w:rPr>
        <w:t>carcinomatosis</w:t>
      </w:r>
      <w:proofErr w:type="spellEnd"/>
      <w:r w:rsidRPr="00F01227">
        <w:rPr>
          <w:rFonts w:ascii="Book Antiqua" w:eastAsia="宋体" w:hAnsi="Book Antiqua" w:cs="宋体"/>
          <w:sz w:val="24"/>
          <w:szCs w:val="24"/>
        </w:rPr>
        <w:t xml:space="preserve"> of colorectal origin: a population-based study. </w:t>
      </w:r>
      <w:proofErr w:type="spellStart"/>
      <w:r w:rsidRPr="00F01227">
        <w:rPr>
          <w:rFonts w:ascii="Book Antiqua" w:eastAsia="宋体" w:hAnsi="Book Antiqua" w:cs="宋体"/>
          <w:i/>
          <w:iCs/>
          <w:sz w:val="24"/>
          <w:szCs w:val="24"/>
        </w:rPr>
        <w:t>Int</w:t>
      </w:r>
      <w:proofErr w:type="spellEnd"/>
      <w:r w:rsidRPr="00F01227">
        <w:rPr>
          <w:rFonts w:ascii="Book Antiqua" w:eastAsia="宋体" w:hAnsi="Book Antiqua" w:cs="宋体"/>
          <w:i/>
          <w:iCs/>
          <w:sz w:val="24"/>
          <w:szCs w:val="24"/>
        </w:rPr>
        <w:t xml:space="preserve"> J Cancer</w:t>
      </w:r>
      <w:r w:rsidRPr="00F01227">
        <w:rPr>
          <w:rFonts w:ascii="Book Antiqua" w:eastAsia="宋体" w:hAnsi="Book Antiqua" w:cs="宋体"/>
          <w:sz w:val="24"/>
          <w:szCs w:val="24"/>
        </w:rPr>
        <w:t> 2011; </w:t>
      </w:r>
      <w:r w:rsidRPr="00F01227">
        <w:rPr>
          <w:rFonts w:ascii="Book Antiqua" w:eastAsia="宋体" w:hAnsi="Book Antiqua" w:cs="宋体"/>
          <w:b/>
          <w:bCs/>
          <w:sz w:val="24"/>
          <w:szCs w:val="24"/>
        </w:rPr>
        <w:t>128</w:t>
      </w:r>
      <w:r w:rsidRPr="00F01227">
        <w:rPr>
          <w:rFonts w:ascii="Book Antiqua" w:eastAsia="宋体" w:hAnsi="Book Antiqua" w:cs="宋体"/>
          <w:sz w:val="24"/>
          <w:szCs w:val="24"/>
        </w:rPr>
        <w:t>: 2717-2725 [PMID: 20715167 DOI: 10.1002/ijc.25596]</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3 </w:t>
      </w:r>
      <w:proofErr w:type="spellStart"/>
      <w:r w:rsidRPr="00F01227">
        <w:rPr>
          <w:rFonts w:ascii="Book Antiqua" w:eastAsia="宋体" w:hAnsi="Book Antiqua" w:cs="宋体"/>
          <w:b/>
          <w:bCs/>
          <w:sz w:val="24"/>
          <w:szCs w:val="24"/>
        </w:rPr>
        <w:t>Franko</w:t>
      </w:r>
      <w:proofErr w:type="spellEnd"/>
      <w:r w:rsidRPr="00F01227">
        <w:rPr>
          <w:rFonts w:ascii="Book Antiqua" w:eastAsia="宋体" w:hAnsi="Book Antiqua" w:cs="宋体"/>
          <w:b/>
          <w:bCs/>
          <w:sz w:val="24"/>
          <w:szCs w:val="24"/>
        </w:rPr>
        <w:t xml:space="preserve"> J</w:t>
      </w:r>
      <w:r w:rsidRPr="00F01227">
        <w:rPr>
          <w:rFonts w:ascii="Book Antiqua" w:eastAsia="宋体" w:hAnsi="Book Antiqua" w:cs="宋体"/>
          <w:sz w:val="24"/>
          <w:szCs w:val="24"/>
        </w:rPr>
        <w:t xml:space="preserve">, Shi Q, Goldman CD, </w:t>
      </w:r>
      <w:proofErr w:type="spellStart"/>
      <w:r w:rsidRPr="00F01227">
        <w:rPr>
          <w:rFonts w:ascii="Book Antiqua" w:eastAsia="宋体" w:hAnsi="Book Antiqua" w:cs="宋体"/>
          <w:sz w:val="24"/>
          <w:szCs w:val="24"/>
        </w:rPr>
        <w:t>Pockaj</w:t>
      </w:r>
      <w:proofErr w:type="spellEnd"/>
      <w:r w:rsidRPr="00F01227">
        <w:rPr>
          <w:rFonts w:ascii="Book Antiqua" w:eastAsia="宋体" w:hAnsi="Book Antiqua" w:cs="宋体"/>
          <w:sz w:val="24"/>
          <w:szCs w:val="24"/>
        </w:rPr>
        <w:t xml:space="preserve"> BA, Nelson GD, Goldberg RM, Pitot HC, </w:t>
      </w:r>
      <w:proofErr w:type="spellStart"/>
      <w:r w:rsidRPr="00F01227">
        <w:rPr>
          <w:rFonts w:ascii="Book Antiqua" w:eastAsia="宋体" w:hAnsi="Book Antiqua" w:cs="宋体"/>
          <w:sz w:val="24"/>
          <w:szCs w:val="24"/>
        </w:rPr>
        <w:t>Grothey</w:t>
      </w:r>
      <w:proofErr w:type="spellEnd"/>
      <w:r w:rsidRPr="00F01227">
        <w:rPr>
          <w:rFonts w:ascii="Book Antiqua" w:eastAsia="宋体" w:hAnsi="Book Antiqua" w:cs="宋体"/>
          <w:sz w:val="24"/>
          <w:szCs w:val="24"/>
        </w:rPr>
        <w:t xml:space="preserve"> A, Alberts SR, Sargent DJ. Treatment of colorectal peritoneal </w:t>
      </w:r>
      <w:proofErr w:type="spellStart"/>
      <w:r w:rsidRPr="00F01227">
        <w:rPr>
          <w:rFonts w:ascii="Book Antiqua" w:eastAsia="宋体" w:hAnsi="Book Antiqua" w:cs="宋体"/>
          <w:sz w:val="24"/>
          <w:szCs w:val="24"/>
        </w:rPr>
        <w:t>carcinomatosis</w:t>
      </w:r>
      <w:proofErr w:type="spellEnd"/>
      <w:r w:rsidRPr="00F01227">
        <w:rPr>
          <w:rFonts w:ascii="Book Antiqua" w:eastAsia="宋体" w:hAnsi="Book Antiqua" w:cs="宋体"/>
          <w:sz w:val="24"/>
          <w:szCs w:val="24"/>
        </w:rPr>
        <w:t xml:space="preserve"> with systemic chemotherapy: a pooled analysis of north central cancer treatment group phase III trials N9741 and N9841.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2012; </w:t>
      </w:r>
      <w:r w:rsidRPr="00F01227">
        <w:rPr>
          <w:rFonts w:ascii="Book Antiqua" w:eastAsia="宋体" w:hAnsi="Book Antiqua" w:cs="宋体"/>
          <w:b/>
          <w:bCs/>
          <w:sz w:val="24"/>
          <w:szCs w:val="24"/>
        </w:rPr>
        <w:t>30</w:t>
      </w:r>
      <w:r w:rsidRPr="00F01227">
        <w:rPr>
          <w:rFonts w:ascii="Book Antiqua" w:eastAsia="宋体" w:hAnsi="Book Antiqua" w:cs="宋体"/>
          <w:sz w:val="24"/>
          <w:szCs w:val="24"/>
        </w:rPr>
        <w:t>: 263-267 [PMID: 22162570 DOI: 10.1200/JCO.2011.37.1039]</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4 </w:t>
      </w:r>
      <w:proofErr w:type="spellStart"/>
      <w:r w:rsidRPr="00F01227">
        <w:rPr>
          <w:rFonts w:ascii="Book Antiqua" w:eastAsia="宋体" w:hAnsi="Book Antiqua" w:cs="宋体"/>
          <w:b/>
          <w:bCs/>
          <w:sz w:val="24"/>
          <w:szCs w:val="24"/>
        </w:rPr>
        <w:t>Klaver</w:t>
      </w:r>
      <w:proofErr w:type="spellEnd"/>
      <w:r w:rsidRPr="00F01227">
        <w:rPr>
          <w:rFonts w:ascii="Book Antiqua" w:eastAsia="宋体" w:hAnsi="Book Antiqua" w:cs="宋体"/>
          <w:b/>
          <w:bCs/>
          <w:sz w:val="24"/>
          <w:szCs w:val="24"/>
        </w:rPr>
        <w:t xml:space="preserve"> YL</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Simkens</w:t>
      </w:r>
      <w:proofErr w:type="spellEnd"/>
      <w:r w:rsidRPr="00F01227">
        <w:rPr>
          <w:rFonts w:ascii="Book Antiqua" w:eastAsia="宋体" w:hAnsi="Book Antiqua" w:cs="宋体"/>
          <w:sz w:val="24"/>
          <w:szCs w:val="24"/>
        </w:rPr>
        <w:t xml:space="preserve"> LH, </w:t>
      </w:r>
      <w:proofErr w:type="spellStart"/>
      <w:r w:rsidRPr="00F01227">
        <w:rPr>
          <w:rFonts w:ascii="Book Antiqua" w:eastAsia="宋体" w:hAnsi="Book Antiqua" w:cs="宋体"/>
          <w:sz w:val="24"/>
          <w:szCs w:val="24"/>
        </w:rPr>
        <w:t>Lemmens</w:t>
      </w:r>
      <w:proofErr w:type="spellEnd"/>
      <w:r w:rsidRPr="00F01227">
        <w:rPr>
          <w:rFonts w:ascii="Book Antiqua" w:eastAsia="宋体" w:hAnsi="Book Antiqua" w:cs="宋体"/>
          <w:sz w:val="24"/>
          <w:szCs w:val="24"/>
        </w:rPr>
        <w:t xml:space="preserve"> VE, </w:t>
      </w:r>
      <w:proofErr w:type="spellStart"/>
      <w:r w:rsidRPr="00F01227">
        <w:rPr>
          <w:rFonts w:ascii="Book Antiqua" w:eastAsia="宋体" w:hAnsi="Book Antiqua" w:cs="宋体"/>
          <w:sz w:val="24"/>
          <w:szCs w:val="24"/>
        </w:rPr>
        <w:t>Koopman</w:t>
      </w:r>
      <w:proofErr w:type="spellEnd"/>
      <w:r w:rsidRPr="00F01227">
        <w:rPr>
          <w:rFonts w:ascii="Book Antiqua" w:eastAsia="宋体" w:hAnsi="Book Antiqua" w:cs="宋体"/>
          <w:sz w:val="24"/>
          <w:szCs w:val="24"/>
        </w:rPr>
        <w:t xml:space="preserve"> M, </w:t>
      </w:r>
      <w:proofErr w:type="spellStart"/>
      <w:r w:rsidRPr="00F01227">
        <w:rPr>
          <w:rFonts w:ascii="Book Antiqua" w:eastAsia="宋体" w:hAnsi="Book Antiqua" w:cs="宋体"/>
          <w:sz w:val="24"/>
          <w:szCs w:val="24"/>
        </w:rPr>
        <w:t>Teerenstra</w:t>
      </w:r>
      <w:proofErr w:type="spellEnd"/>
      <w:r w:rsidRPr="00F01227">
        <w:rPr>
          <w:rFonts w:ascii="Book Antiqua" w:eastAsia="宋体" w:hAnsi="Book Antiqua" w:cs="宋体"/>
          <w:sz w:val="24"/>
          <w:szCs w:val="24"/>
        </w:rPr>
        <w:t xml:space="preserve"> S, </w:t>
      </w:r>
      <w:proofErr w:type="spellStart"/>
      <w:r w:rsidRPr="00F01227">
        <w:rPr>
          <w:rFonts w:ascii="Book Antiqua" w:eastAsia="宋体" w:hAnsi="Book Antiqua" w:cs="宋体"/>
          <w:sz w:val="24"/>
          <w:szCs w:val="24"/>
        </w:rPr>
        <w:t>Bleichrodt</w:t>
      </w:r>
      <w:proofErr w:type="spellEnd"/>
      <w:r w:rsidRPr="00F01227">
        <w:rPr>
          <w:rFonts w:ascii="Book Antiqua" w:eastAsia="宋体" w:hAnsi="Book Antiqua" w:cs="宋体"/>
          <w:sz w:val="24"/>
          <w:szCs w:val="24"/>
        </w:rPr>
        <w:t xml:space="preserve"> RP, de </w:t>
      </w:r>
      <w:proofErr w:type="spellStart"/>
      <w:r w:rsidRPr="00F01227">
        <w:rPr>
          <w:rFonts w:ascii="Book Antiqua" w:eastAsia="宋体" w:hAnsi="Book Antiqua" w:cs="宋体"/>
          <w:sz w:val="24"/>
          <w:szCs w:val="24"/>
        </w:rPr>
        <w:t>Hingh</w:t>
      </w:r>
      <w:proofErr w:type="spellEnd"/>
      <w:r w:rsidRPr="00F01227">
        <w:rPr>
          <w:rFonts w:ascii="Book Antiqua" w:eastAsia="宋体" w:hAnsi="Book Antiqua" w:cs="宋体"/>
          <w:sz w:val="24"/>
          <w:szCs w:val="24"/>
        </w:rPr>
        <w:t xml:space="preserve"> IH, Punt CJ. Outcomes of colorectal cancer patients with peritoneal </w:t>
      </w:r>
      <w:proofErr w:type="spellStart"/>
      <w:r w:rsidRPr="00F01227">
        <w:rPr>
          <w:rFonts w:ascii="Book Antiqua" w:eastAsia="宋体" w:hAnsi="Book Antiqua" w:cs="宋体"/>
          <w:sz w:val="24"/>
          <w:szCs w:val="24"/>
        </w:rPr>
        <w:t>carcinomatosis</w:t>
      </w:r>
      <w:proofErr w:type="spellEnd"/>
      <w:r w:rsidRPr="00F01227">
        <w:rPr>
          <w:rFonts w:ascii="Book Antiqua" w:eastAsia="宋体" w:hAnsi="Book Antiqua" w:cs="宋体"/>
          <w:sz w:val="24"/>
          <w:szCs w:val="24"/>
        </w:rPr>
        <w:t xml:space="preserve"> treated with chemotherapy with and without targeted therapy. </w:t>
      </w:r>
      <w:proofErr w:type="spellStart"/>
      <w:r w:rsidRPr="00F01227">
        <w:rPr>
          <w:rFonts w:ascii="Book Antiqua" w:eastAsia="宋体" w:hAnsi="Book Antiqua" w:cs="宋体"/>
          <w:i/>
          <w:iCs/>
          <w:sz w:val="24"/>
          <w:szCs w:val="24"/>
        </w:rPr>
        <w:t>Eur</w:t>
      </w:r>
      <w:proofErr w:type="spellEnd"/>
      <w:r w:rsidRPr="00F01227">
        <w:rPr>
          <w:rFonts w:ascii="Book Antiqua" w:eastAsia="宋体" w:hAnsi="Book Antiqua" w:cs="宋体"/>
          <w:i/>
          <w:iCs/>
          <w:sz w:val="24"/>
          <w:szCs w:val="24"/>
        </w:rPr>
        <w:t xml:space="preserve"> J </w:t>
      </w:r>
      <w:proofErr w:type="spellStart"/>
      <w:r w:rsidRPr="00F01227">
        <w:rPr>
          <w:rFonts w:ascii="Book Antiqua" w:eastAsia="宋体" w:hAnsi="Book Antiqua" w:cs="宋体"/>
          <w:i/>
          <w:iCs/>
          <w:sz w:val="24"/>
          <w:szCs w:val="24"/>
        </w:rPr>
        <w:t>Surg</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2012; </w:t>
      </w:r>
      <w:r w:rsidRPr="00F01227">
        <w:rPr>
          <w:rFonts w:ascii="Book Antiqua" w:eastAsia="宋体" w:hAnsi="Book Antiqua" w:cs="宋体"/>
          <w:b/>
          <w:bCs/>
          <w:sz w:val="24"/>
          <w:szCs w:val="24"/>
        </w:rPr>
        <w:t>38</w:t>
      </w:r>
      <w:r w:rsidRPr="00F01227">
        <w:rPr>
          <w:rFonts w:ascii="Book Antiqua" w:eastAsia="宋体" w:hAnsi="Book Antiqua" w:cs="宋体"/>
          <w:sz w:val="24"/>
          <w:szCs w:val="24"/>
        </w:rPr>
        <w:t>: 617-623 [PMID: 22572106 DOI: 10.1016/j.ejso.2012.03.008]</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5 </w:t>
      </w:r>
      <w:proofErr w:type="spellStart"/>
      <w:r w:rsidRPr="00F01227">
        <w:rPr>
          <w:rFonts w:ascii="Book Antiqua" w:eastAsia="宋体" w:hAnsi="Book Antiqua" w:cs="宋体"/>
          <w:b/>
          <w:bCs/>
          <w:sz w:val="24"/>
          <w:szCs w:val="24"/>
        </w:rPr>
        <w:t>Kabbinavar</w:t>
      </w:r>
      <w:proofErr w:type="spellEnd"/>
      <w:r w:rsidRPr="00F01227">
        <w:rPr>
          <w:rFonts w:ascii="Book Antiqua" w:eastAsia="宋体" w:hAnsi="Book Antiqua" w:cs="宋体"/>
          <w:b/>
          <w:bCs/>
          <w:sz w:val="24"/>
          <w:szCs w:val="24"/>
        </w:rPr>
        <w:t xml:space="preserve"> FF</w:t>
      </w:r>
      <w:r w:rsidRPr="00F01227">
        <w:rPr>
          <w:rFonts w:ascii="Book Antiqua" w:eastAsia="宋体" w:hAnsi="Book Antiqua" w:cs="宋体"/>
          <w:sz w:val="24"/>
          <w:szCs w:val="24"/>
        </w:rPr>
        <w:t xml:space="preserve">, Flynn PJ, </w:t>
      </w:r>
      <w:proofErr w:type="spellStart"/>
      <w:r w:rsidRPr="00F01227">
        <w:rPr>
          <w:rFonts w:ascii="Book Antiqua" w:eastAsia="宋体" w:hAnsi="Book Antiqua" w:cs="宋体"/>
          <w:sz w:val="24"/>
          <w:szCs w:val="24"/>
        </w:rPr>
        <w:t>Kozloff</w:t>
      </w:r>
      <w:proofErr w:type="spellEnd"/>
      <w:r w:rsidRPr="00F01227">
        <w:rPr>
          <w:rFonts w:ascii="Book Antiqua" w:eastAsia="宋体" w:hAnsi="Book Antiqua" w:cs="宋体"/>
          <w:sz w:val="24"/>
          <w:szCs w:val="24"/>
        </w:rPr>
        <w:t xml:space="preserve"> M, Ashby MA, Sing A, Barr CE, </w:t>
      </w:r>
      <w:proofErr w:type="spellStart"/>
      <w:r w:rsidRPr="00F01227">
        <w:rPr>
          <w:rFonts w:ascii="Book Antiqua" w:eastAsia="宋体" w:hAnsi="Book Antiqua" w:cs="宋体"/>
          <w:sz w:val="24"/>
          <w:szCs w:val="24"/>
        </w:rPr>
        <w:t>Grothey</w:t>
      </w:r>
      <w:proofErr w:type="spellEnd"/>
      <w:r w:rsidRPr="00F01227">
        <w:rPr>
          <w:rFonts w:ascii="Book Antiqua" w:eastAsia="宋体" w:hAnsi="Book Antiqua" w:cs="宋体"/>
          <w:sz w:val="24"/>
          <w:szCs w:val="24"/>
        </w:rPr>
        <w:t xml:space="preserve"> A. Gastrointestinal perforation associated with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use in metastatic colorectal cancer: results from a large treatment observational cohort study. </w:t>
      </w:r>
      <w:proofErr w:type="spellStart"/>
      <w:r w:rsidRPr="00F01227">
        <w:rPr>
          <w:rFonts w:ascii="Book Antiqua" w:eastAsia="宋体" w:hAnsi="Book Antiqua" w:cs="宋体"/>
          <w:i/>
          <w:iCs/>
          <w:sz w:val="24"/>
          <w:szCs w:val="24"/>
        </w:rPr>
        <w:t>Eur</w:t>
      </w:r>
      <w:proofErr w:type="spellEnd"/>
      <w:r w:rsidRPr="00F01227">
        <w:rPr>
          <w:rFonts w:ascii="Book Antiqua" w:eastAsia="宋体" w:hAnsi="Book Antiqua" w:cs="宋体"/>
          <w:i/>
          <w:iCs/>
          <w:sz w:val="24"/>
          <w:szCs w:val="24"/>
        </w:rPr>
        <w:t xml:space="preserve"> J Cancer</w:t>
      </w:r>
      <w:r w:rsidRPr="00F01227">
        <w:rPr>
          <w:rFonts w:ascii="Book Antiqua" w:eastAsia="宋体" w:hAnsi="Book Antiqua" w:cs="宋体"/>
          <w:sz w:val="24"/>
          <w:szCs w:val="24"/>
        </w:rPr>
        <w:t> 2012; </w:t>
      </w:r>
      <w:r w:rsidRPr="00F01227">
        <w:rPr>
          <w:rFonts w:ascii="Book Antiqua" w:eastAsia="宋体" w:hAnsi="Book Antiqua" w:cs="宋体"/>
          <w:b/>
          <w:bCs/>
          <w:sz w:val="24"/>
          <w:szCs w:val="24"/>
        </w:rPr>
        <w:t>48</w:t>
      </w:r>
      <w:r w:rsidRPr="00F01227">
        <w:rPr>
          <w:rFonts w:ascii="Book Antiqua" w:eastAsia="宋体" w:hAnsi="Book Antiqua" w:cs="宋体"/>
          <w:sz w:val="24"/>
          <w:szCs w:val="24"/>
        </w:rPr>
        <w:t>: 1126-1132 [PMID: 22424880 DOI: 10.1016/j.ejca.2012.02.052]</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6 </w:t>
      </w:r>
      <w:proofErr w:type="spellStart"/>
      <w:r w:rsidRPr="00F01227">
        <w:rPr>
          <w:rFonts w:ascii="Book Antiqua" w:eastAsia="宋体" w:hAnsi="Book Antiqua" w:cs="宋体"/>
          <w:b/>
          <w:bCs/>
          <w:sz w:val="24"/>
          <w:szCs w:val="24"/>
        </w:rPr>
        <w:t>Hapani</w:t>
      </w:r>
      <w:proofErr w:type="spellEnd"/>
      <w:r w:rsidRPr="00F01227">
        <w:rPr>
          <w:rFonts w:ascii="Book Antiqua" w:eastAsia="宋体" w:hAnsi="Book Antiqua" w:cs="宋体"/>
          <w:b/>
          <w:bCs/>
          <w:sz w:val="24"/>
          <w:szCs w:val="24"/>
        </w:rPr>
        <w:t xml:space="preserve"> S</w:t>
      </w:r>
      <w:r w:rsidRPr="00F01227">
        <w:rPr>
          <w:rFonts w:ascii="Book Antiqua" w:eastAsia="宋体" w:hAnsi="Book Antiqua" w:cs="宋体"/>
          <w:sz w:val="24"/>
          <w:szCs w:val="24"/>
        </w:rPr>
        <w:t xml:space="preserve">, Chu D, Wu S. Risk of gastrointestinal perforation in patients with cancer treated with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a meta-analysis. </w:t>
      </w:r>
      <w:r w:rsidRPr="00F01227">
        <w:rPr>
          <w:rFonts w:ascii="Book Antiqua" w:eastAsia="宋体" w:hAnsi="Book Antiqua" w:cs="宋体"/>
          <w:i/>
          <w:iCs/>
          <w:sz w:val="24"/>
          <w:szCs w:val="24"/>
        </w:rPr>
        <w:t xml:space="preserve">Lancet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2009; </w:t>
      </w:r>
      <w:r w:rsidRPr="00F01227">
        <w:rPr>
          <w:rFonts w:ascii="Book Antiqua" w:eastAsia="宋体" w:hAnsi="Book Antiqua" w:cs="宋体"/>
          <w:b/>
          <w:bCs/>
          <w:sz w:val="24"/>
          <w:szCs w:val="24"/>
        </w:rPr>
        <w:t>10</w:t>
      </w:r>
      <w:r w:rsidRPr="00F01227">
        <w:rPr>
          <w:rFonts w:ascii="Book Antiqua" w:eastAsia="宋体" w:hAnsi="Book Antiqua" w:cs="宋体"/>
          <w:sz w:val="24"/>
          <w:szCs w:val="24"/>
        </w:rPr>
        <w:t>: 559-568 [PMID: 19482548 DOI: 10.1016/S1470-2045(09)70112-3]</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7 </w:t>
      </w:r>
      <w:proofErr w:type="spellStart"/>
      <w:r w:rsidRPr="00F01227">
        <w:rPr>
          <w:rFonts w:ascii="Book Antiqua" w:eastAsia="宋体" w:hAnsi="Book Antiqua" w:cs="宋体"/>
          <w:b/>
          <w:bCs/>
          <w:sz w:val="24"/>
          <w:szCs w:val="24"/>
        </w:rPr>
        <w:t>Aghajanian</w:t>
      </w:r>
      <w:proofErr w:type="spellEnd"/>
      <w:r w:rsidRPr="00F01227">
        <w:rPr>
          <w:rFonts w:ascii="Book Antiqua" w:eastAsia="宋体" w:hAnsi="Book Antiqua" w:cs="宋体"/>
          <w:b/>
          <w:bCs/>
          <w:sz w:val="24"/>
          <w:szCs w:val="24"/>
        </w:rPr>
        <w:t xml:space="preserve"> C</w:t>
      </w:r>
      <w:r w:rsidRPr="00F01227">
        <w:rPr>
          <w:rFonts w:ascii="Book Antiqua" w:eastAsia="宋体" w:hAnsi="Book Antiqua" w:cs="宋体"/>
          <w:sz w:val="24"/>
          <w:szCs w:val="24"/>
        </w:rPr>
        <w:t xml:space="preserve">, Blank SV, Goff BA, Judson PL, </w:t>
      </w:r>
      <w:proofErr w:type="spellStart"/>
      <w:r w:rsidRPr="00F01227">
        <w:rPr>
          <w:rFonts w:ascii="Book Antiqua" w:eastAsia="宋体" w:hAnsi="Book Antiqua" w:cs="宋体"/>
          <w:sz w:val="24"/>
          <w:szCs w:val="24"/>
        </w:rPr>
        <w:t>Teneriello</w:t>
      </w:r>
      <w:proofErr w:type="spellEnd"/>
      <w:r w:rsidRPr="00F01227">
        <w:rPr>
          <w:rFonts w:ascii="Book Antiqua" w:eastAsia="宋体" w:hAnsi="Book Antiqua" w:cs="宋体"/>
          <w:sz w:val="24"/>
          <w:szCs w:val="24"/>
        </w:rPr>
        <w:t xml:space="preserve"> MG, Husain A, </w:t>
      </w:r>
      <w:proofErr w:type="spellStart"/>
      <w:r w:rsidRPr="00F01227">
        <w:rPr>
          <w:rFonts w:ascii="Book Antiqua" w:eastAsia="宋体" w:hAnsi="Book Antiqua" w:cs="宋体"/>
          <w:sz w:val="24"/>
          <w:szCs w:val="24"/>
        </w:rPr>
        <w:t>Sovak</w:t>
      </w:r>
      <w:proofErr w:type="spellEnd"/>
      <w:r w:rsidRPr="00F01227">
        <w:rPr>
          <w:rFonts w:ascii="Book Antiqua" w:eastAsia="宋体" w:hAnsi="Book Antiqua" w:cs="宋体"/>
          <w:sz w:val="24"/>
          <w:szCs w:val="24"/>
        </w:rPr>
        <w:t xml:space="preserve"> MA, Yi J, </w:t>
      </w:r>
      <w:proofErr w:type="spellStart"/>
      <w:r w:rsidRPr="00F01227">
        <w:rPr>
          <w:rFonts w:ascii="Book Antiqua" w:eastAsia="宋体" w:hAnsi="Book Antiqua" w:cs="宋体"/>
          <w:sz w:val="24"/>
          <w:szCs w:val="24"/>
        </w:rPr>
        <w:t>Nycum</w:t>
      </w:r>
      <w:proofErr w:type="spellEnd"/>
      <w:r w:rsidRPr="00F01227">
        <w:rPr>
          <w:rFonts w:ascii="Book Antiqua" w:eastAsia="宋体" w:hAnsi="Book Antiqua" w:cs="宋体"/>
          <w:sz w:val="24"/>
          <w:szCs w:val="24"/>
        </w:rPr>
        <w:t xml:space="preserve"> LR. OCEANS: a randomized, double-blind, placebo-controlled phase III trial of chemotherapy with or without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in patients with platinum-sensitive recurrent epithelial ovarian, primary </w:t>
      </w:r>
      <w:proofErr w:type="gramStart"/>
      <w:r w:rsidRPr="00F01227">
        <w:rPr>
          <w:rFonts w:ascii="Book Antiqua" w:eastAsia="宋体" w:hAnsi="Book Antiqua" w:cs="宋体"/>
          <w:sz w:val="24"/>
          <w:szCs w:val="24"/>
        </w:rPr>
        <w:t>peritoneal,</w:t>
      </w:r>
      <w:proofErr w:type="gramEnd"/>
      <w:r w:rsidRPr="00F01227">
        <w:rPr>
          <w:rFonts w:ascii="Book Antiqua" w:eastAsia="宋体" w:hAnsi="Book Antiqua" w:cs="宋体"/>
          <w:sz w:val="24"/>
          <w:szCs w:val="24"/>
        </w:rPr>
        <w:t xml:space="preserve"> or fallopian tube </w:t>
      </w:r>
      <w:r w:rsidRPr="00F01227">
        <w:rPr>
          <w:rFonts w:ascii="Book Antiqua" w:eastAsia="宋体" w:hAnsi="Book Antiqua" w:cs="宋体"/>
          <w:sz w:val="24"/>
          <w:szCs w:val="24"/>
        </w:rPr>
        <w:lastRenderedPageBreak/>
        <w:t>cancer.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2012; </w:t>
      </w:r>
      <w:r w:rsidRPr="00F01227">
        <w:rPr>
          <w:rFonts w:ascii="Book Antiqua" w:eastAsia="宋体" w:hAnsi="Book Antiqua" w:cs="宋体"/>
          <w:b/>
          <w:bCs/>
          <w:sz w:val="24"/>
          <w:szCs w:val="24"/>
        </w:rPr>
        <w:t>30</w:t>
      </w:r>
      <w:r w:rsidRPr="00F01227">
        <w:rPr>
          <w:rFonts w:ascii="Book Antiqua" w:eastAsia="宋体" w:hAnsi="Book Antiqua" w:cs="宋体"/>
          <w:sz w:val="24"/>
          <w:szCs w:val="24"/>
        </w:rPr>
        <w:t>: 2039-2045 [PMID: 22529265 DOI: 10.1200/JCO.2012.42.0505]</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8 </w:t>
      </w:r>
      <w:proofErr w:type="spellStart"/>
      <w:r w:rsidRPr="00F01227">
        <w:rPr>
          <w:rFonts w:ascii="Book Antiqua" w:eastAsia="宋体" w:hAnsi="Book Antiqua" w:cs="宋体"/>
          <w:b/>
          <w:bCs/>
          <w:sz w:val="24"/>
          <w:szCs w:val="24"/>
        </w:rPr>
        <w:t>Pujade-Lauraine</w:t>
      </w:r>
      <w:proofErr w:type="spellEnd"/>
      <w:r w:rsidRPr="00F01227">
        <w:rPr>
          <w:rFonts w:ascii="Book Antiqua" w:eastAsia="宋体" w:hAnsi="Book Antiqua" w:cs="宋体"/>
          <w:b/>
          <w:bCs/>
          <w:sz w:val="24"/>
          <w:szCs w:val="24"/>
        </w:rPr>
        <w:t xml:space="preserve"> E</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Hilpert</w:t>
      </w:r>
      <w:proofErr w:type="spellEnd"/>
      <w:r w:rsidRPr="00F01227">
        <w:rPr>
          <w:rFonts w:ascii="Book Antiqua" w:eastAsia="宋体" w:hAnsi="Book Antiqua" w:cs="宋体"/>
          <w:sz w:val="24"/>
          <w:szCs w:val="24"/>
        </w:rPr>
        <w:t xml:space="preserve"> F, Weber B, </w:t>
      </w:r>
      <w:proofErr w:type="spellStart"/>
      <w:r w:rsidRPr="00F01227">
        <w:rPr>
          <w:rFonts w:ascii="Book Antiqua" w:eastAsia="宋体" w:hAnsi="Book Antiqua" w:cs="宋体"/>
          <w:sz w:val="24"/>
          <w:szCs w:val="24"/>
        </w:rPr>
        <w:t>Reuss</w:t>
      </w:r>
      <w:proofErr w:type="spellEnd"/>
      <w:r w:rsidRPr="00F01227">
        <w:rPr>
          <w:rFonts w:ascii="Book Antiqua" w:eastAsia="宋体" w:hAnsi="Book Antiqua" w:cs="宋体"/>
          <w:sz w:val="24"/>
          <w:szCs w:val="24"/>
        </w:rPr>
        <w:t xml:space="preserve"> A, </w:t>
      </w:r>
      <w:proofErr w:type="spellStart"/>
      <w:r w:rsidRPr="00F01227">
        <w:rPr>
          <w:rFonts w:ascii="Book Antiqua" w:eastAsia="宋体" w:hAnsi="Book Antiqua" w:cs="宋体"/>
          <w:sz w:val="24"/>
          <w:szCs w:val="24"/>
        </w:rPr>
        <w:t>Poveda</w:t>
      </w:r>
      <w:proofErr w:type="spellEnd"/>
      <w:r w:rsidRPr="00F01227">
        <w:rPr>
          <w:rFonts w:ascii="Book Antiqua" w:eastAsia="宋体" w:hAnsi="Book Antiqua" w:cs="宋体"/>
          <w:sz w:val="24"/>
          <w:szCs w:val="24"/>
        </w:rPr>
        <w:t xml:space="preserve"> A, </w:t>
      </w:r>
      <w:proofErr w:type="spellStart"/>
      <w:r w:rsidRPr="00F01227">
        <w:rPr>
          <w:rFonts w:ascii="Book Antiqua" w:eastAsia="宋体" w:hAnsi="Book Antiqua" w:cs="宋体"/>
          <w:sz w:val="24"/>
          <w:szCs w:val="24"/>
        </w:rPr>
        <w:t>Kristensen</w:t>
      </w:r>
      <w:proofErr w:type="spellEnd"/>
      <w:r w:rsidRPr="00F01227">
        <w:rPr>
          <w:rFonts w:ascii="Book Antiqua" w:eastAsia="宋体" w:hAnsi="Book Antiqua" w:cs="宋体"/>
          <w:sz w:val="24"/>
          <w:szCs w:val="24"/>
        </w:rPr>
        <w:t xml:space="preserve"> G, </w:t>
      </w:r>
      <w:proofErr w:type="spellStart"/>
      <w:r w:rsidRPr="00F01227">
        <w:rPr>
          <w:rFonts w:ascii="Book Antiqua" w:eastAsia="宋体" w:hAnsi="Book Antiqua" w:cs="宋体"/>
          <w:sz w:val="24"/>
          <w:szCs w:val="24"/>
        </w:rPr>
        <w:t>Sorio</w:t>
      </w:r>
      <w:proofErr w:type="spellEnd"/>
      <w:r w:rsidRPr="00F01227">
        <w:rPr>
          <w:rFonts w:ascii="Book Antiqua" w:eastAsia="宋体" w:hAnsi="Book Antiqua" w:cs="宋体"/>
          <w:sz w:val="24"/>
          <w:szCs w:val="24"/>
        </w:rPr>
        <w:t xml:space="preserve"> R, </w:t>
      </w:r>
      <w:proofErr w:type="spellStart"/>
      <w:r w:rsidRPr="00F01227">
        <w:rPr>
          <w:rFonts w:ascii="Book Antiqua" w:eastAsia="宋体" w:hAnsi="Book Antiqua" w:cs="宋体"/>
          <w:sz w:val="24"/>
          <w:szCs w:val="24"/>
        </w:rPr>
        <w:t>Vergote</w:t>
      </w:r>
      <w:proofErr w:type="spellEnd"/>
      <w:r w:rsidRPr="00F01227">
        <w:rPr>
          <w:rFonts w:ascii="Book Antiqua" w:eastAsia="宋体" w:hAnsi="Book Antiqua" w:cs="宋体"/>
          <w:sz w:val="24"/>
          <w:szCs w:val="24"/>
        </w:rPr>
        <w:t xml:space="preserve"> I, </w:t>
      </w:r>
      <w:proofErr w:type="spellStart"/>
      <w:r w:rsidRPr="00F01227">
        <w:rPr>
          <w:rFonts w:ascii="Book Antiqua" w:eastAsia="宋体" w:hAnsi="Book Antiqua" w:cs="宋体"/>
          <w:sz w:val="24"/>
          <w:szCs w:val="24"/>
        </w:rPr>
        <w:t>Witteveen</w:t>
      </w:r>
      <w:proofErr w:type="spellEnd"/>
      <w:r w:rsidRPr="00F01227">
        <w:rPr>
          <w:rFonts w:ascii="Book Antiqua" w:eastAsia="宋体" w:hAnsi="Book Antiqua" w:cs="宋体"/>
          <w:sz w:val="24"/>
          <w:szCs w:val="24"/>
        </w:rPr>
        <w:t xml:space="preserve"> P, </w:t>
      </w:r>
      <w:proofErr w:type="spellStart"/>
      <w:r w:rsidRPr="00F01227">
        <w:rPr>
          <w:rFonts w:ascii="Book Antiqua" w:eastAsia="宋体" w:hAnsi="Book Antiqua" w:cs="宋体"/>
          <w:sz w:val="24"/>
          <w:szCs w:val="24"/>
        </w:rPr>
        <w:t>Bamias</w:t>
      </w:r>
      <w:proofErr w:type="spellEnd"/>
      <w:r w:rsidRPr="00F01227">
        <w:rPr>
          <w:rFonts w:ascii="Book Antiqua" w:eastAsia="宋体" w:hAnsi="Book Antiqua" w:cs="宋体"/>
          <w:sz w:val="24"/>
          <w:szCs w:val="24"/>
        </w:rPr>
        <w:t xml:space="preserve"> A, Pereira D, </w:t>
      </w:r>
      <w:proofErr w:type="spellStart"/>
      <w:r w:rsidRPr="00F01227">
        <w:rPr>
          <w:rFonts w:ascii="Book Antiqua" w:eastAsia="宋体" w:hAnsi="Book Antiqua" w:cs="宋体"/>
          <w:sz w:val="24"/>
          <w:szCs w:val="24"/>
        </w:rPr>
        <w:t>Wimberger</w:t>
      </w:r>
      <w:proofErr w:type="spellEnd"/>
      <w:r w:rsidRPr="00F01227">
        <w:rPr>
          <w:rFonts w:ascii="Book Antiqua" w:eastAsia="宋体" w:hAnsi="Book Antiqua" w:cs="宋体"/>
          <w:sz w:val="24"/>
          <w:szCs w:val="24"/>
        </w:rPr>
        <w:t xml:space="preserve"> P, </w:t>
      </w:r>
      <w:proofErr w:type="spellStart"/>
      <w:r w:rsidRPr="00F01227">
        <w:rPr>
          <w:rFonts w:ascii="Book Antiqua" w:eastAsia="宋体" w:hAnsi="Book Antiqua" w:cs="宋体"/>
          <w:sz w:val="24"/>
          <w:szCs w:val="24"/>
        </w:rPr>
        <w:t>Oaknin</w:t>
      </w:r>
      <w:proofErr w:type="spellEnd"/>
      <w:r w:rsidRPr="00F01227">
        <w:rPr>
          <w:rFonts w:ascii="Book Antiqua" w:eastAsia="宋体" w:hAnsi="Book Antiqua" w:cs="宋体"/>
          <w:sz w:val="24"/>
          <w:szCs w:val="24"/>
        </w:rPr>
        <w:t xml:space="preserve"> A, Mirza MR, </w:t>
      </w:r>
      <w:proofErr w:type="spellStart"/>
      <w:r w:rsidRPr="00F01227">
        <w:rPr>
          <w:rFonts w:ascii="Book Antiqua" w:eastAsia="宋体" w:hAnsi="Book Antiqua" w:cs="宋体"/>
          <w:sz w:val="24"/>
          <w:szCs w:val="24"/>
        </w:rPr>
        <w:t>Follana</w:t>
      </w:r>
      <w:proofErr w:type="spellEnd"/>
      <w:r w:rsidRPr="00F01227">
        <w:rPr>
          <w:rFonts w:ascii="Book Antiqua" w:eastAsia="宋体" w:hAnsi="Book Antiqua" w:cs="宋体"/>
          <w:sz w:val="24"/>
          <w:szCs w:val="24"/>
        </w:rPr>
        <w:t xml:space="preserve"> P, </w:t>
      </w:r>
      <w:proofErr w:type="spellStart"/>
      <w:r w:rsidRPr="00F01227">
        <w:rPr>
          <w:rFonts w:ascii="Book Antiqua" w:eastAsia="宋体" w:hAnsi="Book Antiqua" w:cs="宋体"/>
          <w:sz w:val="24"/>
          <w:szCs w:val="24"/>
        </w:rPr>
        <w:t>Bollag</w:t>
      </w:r>
      <w:proofErr w:type="spellEnd"/>
      <w:r w:rsidRPr="00F01227">
        <w:rPr>
          <w:rFonts w:ascii="Book Antiqua" w:eastAsia="宋体" w:hAnsi="Book Antiqua" w:cs="宋体"/>
          <w:sz w:val="24"/>
          <w:szCs w:val="24"/>
        </w:rPr>
        <w:t xml:space="preserve"> D, Ray-</w:t>
      </w:r>
      <w:proofErr w:type="spellStart"/>
      <w:r w:rsidRPr="00F01227">
        <w:rPr>
          <w:rFonts w:ascii="Book Antiqua" w:eastAsia="宋体" w:hAnsi="Book Antiqua" w:cs="宋体"/>
          <w:sz w:val="24"/>
          <w:szCs w:val="24"/>
        </w:rPr>
        <w:t>Coquard</w:t>
      </w:r>
      <w:proofErr w:type="spellEnd"/>
      <w:r w:rsidRPr="00F01227">
        <w:rPr>
          <w:rFonts w:ascii="Book Antiqua" w:eastAsia="宋体" w:hAnsi="Book Antiqua" w:cs="宋体"/>
          <w:sz w:val="24"/>
          <w:szCs w:val="24"/>
        </w:rPr>
        <w:t xml:space="preserve"> I.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combined with chemotherapy for platinum-resistant recurrent ovarian cancer: The AURELIA open-label randomized phase III trial.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2014; </w:t>
      </w:r>
      <w:r w:rsidRPr="00F01227">
        <w:rPr>
          <w:rFonts w:ascii="Book Antiqua" w:eastAsia="宋体" w:hAnsi="Book Antiqua" w:cs="宋体"/>
          <w:b/>
          <w:bCs/>
          <w:sz w:val="24"/>
          <w:szCs w:val="24"/>
        </w:rPr>
        <w:t>32</w:t>
      </w:r>
      <w:r w:rsidRPr="00F01227">
        <w:rPr>
          <w:rFonts w:ascii="Book Antiqua" w:eastAsia="宋体" w:hAnsi="Book Antiqua" w:cs="宋体"/>
          <w:sz w:val="24"/>
          <w:szCs w:val="24"/>
        </w:rPr>
        <w:t>: 1302-1308 [PMID: 24637997 DOI: 10.1200/JCO.2013.51.4489]</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9 </w:t>
      </w:r>
      <w:r w:rsidRPr="00F01227">
        <w:rPr>
          <w:rFonts w:ascii="Book Antiqua" w:eastAsia="宋体" w:hAnsi="Book Antiqua" w:cs="宋体"/>
          <w:b/>
          <w:bCs/>
          <w:sz w:val="24"/>
          <w:szCs w:val="24"/>
        </w:rPr>
        <w:t>Burger RA</w:t>
      </w:r>
      <w:r w:rsidRPr="00F01227">
        <w:rPr>
          <w:rFonts w:ascii="Book Antiqua" w:eastAsia="宋体" w:hAnsi="Book Antiqua" w:cs="宋体"/>
          <w:sz w:val="24"/>
          <w:szCs w:val="24"/>
        </w:rPr>
        <w:t xml:space="preserve">, Brady MF, Bookman MA, Monk BJ, Walker JL, </w:t>
      </w:r>
      <w:proofErr w:type="spellStart"/>
      <w:r w:rsidRPr="00F01227">
        <w:rPr>
          <w:rFonts w:ascii="Book Antiqua" w:eastAsia="宋体" w:hAnsi="Book Antiqua" w:cs="宋体"/>
          <w:sz w:val="24"/>
          <w:szCs w:val="24"/>
        </w:rPr>
        <w:t>Homesley</w:t>
      </w:r>
      <w:proofErr w:type="spellEnd"/>
      <w:r w:rsidRPr="00F01227">
        <w:rPr>
          <w:rFonts w:ascii="Book Antiqua" w:eastAsia="宋体" w:hAnsi="Book Antiqua" w:cs="宋体"/>
          <w:sz w:val="24"/>
          <w:szCs w:val="24"/>
        </w:rPr>
        <w:t xml:space="preserve"> HD, Fowler J, Greer BE, </w:t>
      </w:r>
      <w:proofErr w:type="spellStart"/>
      <w:r w:rsidRPr="00F01227">
        <w:rPr>
          <w:rFonts w:ascii="Book Antiqua" w:eastAsia="宋体" w:hAnsi="Book Antiqua" w:cs="宋体"/>
          <w:sz w:val="24"/>
          <w:szCs w:val="24"/>
        </w:rPr>
        <w:t>Boente</w:t>
      </w:r>
      <w:proofErr w:type="spellEnd"/>
      <w:r w:rsidRPr="00F01227">
        <w:rPr>
          <w:rFonts w:ascii="Book Antiqua" w:eastAsia="宋体" w:hAnsi="Book Antiqua" w:cs="宋体"/>
          <w:sz w:val="24"/>
          <w:szCs w:val="24"/>
        </w:rPr>
        <w:t xml:space="preserve"> M, Fleming GF, Lim PC, Rubin SC, Katsumata N, Liang SX. Risk factors for GI adverse events in a phase III randomized trial of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in first-line therapy of advanced ovarian cancer: A </w:t>
      </w:r>
      <w:proofErr w:type="spellStart"/>
      <w:r w:rsidRPr="00F01227">
        <w:rPr>
          <w:rFonts w:ascii="Book Antiqua" w:eastAsia="宋体" w:hAnsi="Book Antiqua" w:cs="宋体"/>
          <w:sz w:val="24"/>
          <w:szCs w:val="24"/>
        </w:rPr>
        <w:t>Gynecologic</w:t>
      </w:r>
      <w:proofErr w:type="spellEnd"/>
      <w:r w:rsidRPr="00F01227">
        <w:rPr>
          <w:rFonts w:ascii="Book Antiqua" w:eastAsia="宋体" w:hAnsi="Book Antiqua" w:cs="宋体"/>
          <w:sz w:val="24"/>
          <w:szCs w:val="24"/>
        </w:rPr>
        <w:t xml:space="preserve"> Oncology Group Study.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2014; </w:t>
      </w:r>
      <w:r w:rsidRPr="00F01227">
        <w:rPr>
          <w:rFonts w:ascii="Book Antiqua" w:eastAsia="宋体" w:hAnsi="Book Antiqua" w:cs="宋体"/>
          <w:b/>
          <w:bCs/>
          <w:sz w:val="24"/>
          <w:szCs w:val="24"/>
        </w:rPr>
        <w:t>32</w:t>
      </w:r>
      <w:r w:rsidRPr="00F01227">
        <w:rPr>
          <w:rFonts w:ascii="Book Antiqua" w:eastAsia="宋体" w:hAnsi="Book Antiqua" w:cs="宋体"/>
          <w:sz w:val="24"/>
          <w:szCs w:val="24"/>
        </w:rPr>
        <w:t>: 1210-1217 [PMID: 24637999 DOI: 10.1200/JCO.2013.53.6524]</w:t>
      </w:r>
    </w:p>
    <w:p w:rsidR="00866080" w:rsidRPr="00F01227" w:rsidRDefault="00866080" w:rsidP="00866080">
      <w:pPr>
        <w:spacing w:line="360" w:lineRule="auto"/>
        <w:jc w:val="both"/>
        <w:rPr>
          <w:rFonts w:ascii="Book Antiqua" w:eastAsia="宋体" w:hAnsi="Book Antiqua" w:cs="宋体"/>
          <w:sz w:val="24"/>
          <w:szCs w:val="24"/>
        </w:rPr>
      </w:pPr>
      <w:proofErr w:type="gramStart"/>
      <w:r w:rsidRPr="00F01227">
        <w:rPr>
          <w:rFonts w:ascii="Book Antiqua" w:eastAsia="宋体" w:hAnsi="Book Antiqua" w:cs="宋体"/>
          <w:sz w:val="24"/>
          <w:szCs w:val="24"/>
        </w:rPr>
        <w:t>10 </w:t>
      </w:r>
      <w:r w:rsidRPr="00F01227">
        <w:rPr>
          <w:rFonts w:ascii="Book Antiqua" w:eastAsia="宋体" w:hAnsi="Book Antiqua" w:cs="宋体"/>
          <w:b/>
          <w:bCs/>
          <w:sz w:val="24"/>
          <w:szCs w:val="24"/>
        </w:rPr>
        <w:t>Abu-</w:t>
      </w:r>
      <w:proofErr w:type="spellStart"/>
      <w:r w:rsidRPr="00F01227">
        <w:rPr>
          <w:rFonts w:ascii="Book Antiqua" w:eastAsia="宋体" w:hAnsi="Book Antiqua" w:cs="宋体"/>
          <w:b/>
          <w:bCs/>
          <w:sz w:val="24"/>
          <w:szCs w:val="24"/>
        </w:rPr>
        <w:t>Hejleh</w:t>
      </w:r>
      <w:proofErr w:type="spellEnd"/>
      <w:r w:rsidRPr="00F01227">
        <w:rPr>
          <w:rFonts w:ascii="Book Antiqua" w:eastAsia="宋体" w:hAnsi="Book Antiqua" w:cs="宋体"/>
          <w:b/>
          <w:bCs/>
          <w:sz w:val="24"/>
          <w:szCs w:val="24"/>
        </w:rPr>
        <w:t xml:space="preserve"> T</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Mezhir</w:t>
      </w:r>
      <w:proofErr w:type="spellEnd"/>
      <w:r w:rsidRPr="00F01227">
        <w:rPr>
          <w:rFonts w:ascii="Book Antiqua" w:eastAsia="宋体" w:hAnsi="Book Antiqua" w:cs="宋体"/>
          <w:sz w:val="24"/>
          <w:szCs w:val="24"/>
        </w:rPr>
        <w:t xml:space="preserve"> JJ, </w:t>
      </w:r>
      <w:proofErr w:type="spellStart"/>
      <w:r w:rsidRPr="00F01227">
        <w:rPr>
          <w:rFonts w:ascii="Book Antiqua" w:eastAsia="宋体" w:hAnsi="Book Antiqua" w:cs="宋体"/>
          <w:sz w:val="24"/>
          <w:szCs w:val="24"/>
        </w:rPr>
        <w:t>Goodheart</w:t>
      </w:r>
      <w:proofErr w:type="spellEnd"/>
      <w:r w:rsidRPr="00F01227">
        <w:rPr>
          <w:rFonts w:ascii="Book Antiqua" w:eastAsia="宋体" w:hAnsi="Book Antiqua" w:cs="宋体"/>
          <w:sz w:val="24"/>
          <w:szCs w:val="24"/>
        </w:rPr>
        <w:t xml:space="preserve"> MJ, </w:t>
      </w:r>
      <w:proofErr w:type="spellStart"/>
      <w:r w:rsidRPr="00F01227">
        <w:rPr>
          <w:rFonts w:ascii="Book Antiqua" w:eastAsia="宋体" w:hAnsi="Book Antiqua" w:cs="宋体"/>
          <w:sz w:val="24"/>
          <w:szCs w:val="24"/>
        </w:rPr>
        <w:t>Halfdanarson</w:t>
      </w:r>
      <w:proofErr w:type="spellEnd"/>
      <w:r w:rsidRPr="00F01227">
        <w:rPr>
          <w:rFonts w:ascii="Book Antiqua" w:eastAsia="宋体" w:hAnsi="Book Antiqua" w:cs="宋体"/>
          <w:sz w:val="24"/>
          <w:szCs w:val="24"/>
        </w:rPr>
        <w:t xml:space="preserve"> TR. Incidence and management of gastrointestinal perforation from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in advanced cancers.</w:t>
      </w:r>
      <w:proofErr w:type="gramEnd"/>
      <w:r w:rsidRPr="00F01227">
        <w:rPr>
          <w:rFonts w:ascii="Book Antiqua" w:eastAsia="宋体" w:hAnsi="Book Antiqua" w:cs="宋体"/>
          <w:sz w:val="24"/>
          <w:szCs w:val="24"/>
        </w:rPr>
        <w:t> </w:t>
      </w:r>
      <w:proofErr w:type="spellStart"/>
      <w:r w:rsidRPr="00F01227">
        <w:rPr>
          <w:rFonts w:ascii="Book Antiqua" w:eastAsia="宋体" w:hAnsi="Book Antiqua" w:cs="宋体"/>
          <w:i/>
          <w:iCs/>
          <w:sz w:val="24"/>
          <w:szCs w:val="24"/>
        </w:rPr>
        <w:t>Curr</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i/>
          <w:iCs/>
          <w:sz w:val="24"/>
          <w:szCs w:val="24"/>
        </w:rPr>
        <w:t xml:space="preserve"> Rep</w:t>
      </w:r>
      <w:r w:rsidRPr="00F01227">
        <w:rPr>
          <w:rFonts w:ascii="Book Antiqua" w:eastAsia="宋体" w:hAnsi="Book Antiqua" w:cs="宋体"/>
          <w:sz w:val="24"/>
          <w:szCs w:val="24"/>
        </w:rPr>
        <w:t> 2012; </w:t>
      </w:r>
      <w:r w:rsidRPr="00F01227">
        <w:rPr>
          <w:rFonts w:ascii="Book Antiqua" w:eastAsia="宋体" w:hAnsi="Book Antiqua" w:cs="宋体"/>
          <w:b/>
          <w:bCs/>
          <w:sz w:val="24"/>
          <w:szCs w:val="24"/>
        </w:rPr>
        <w:t>14</w:t>
      </w:r>
      <w:r w:rsidRPr="00F01227">
        <w:rPr>
          <w:rFonts w:ascii="Book Antiqua" w:eastAsia="宋体" w:hAnsi="Book Antiqua" w:cs="宋体"/>
          <w:sz w:val="24"/>
          <w:szCs w:val="24"/>
        </w:rPr>
        <w:t>: 277-284 [PMID: 22532266 DOI: 10.1007/s11912-012-0238-8]</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11 </w:t>
      </w:r>
      <w:r w:rsidRPr="00F01227">
        <w:rPr>
          <w:rFonts w:ascii="Book Antiqua" w:eastAsia="宋体" w:hAnsi="Book Antiqua" w:cs="宋体"/>
          <w:b/>
          <w:bCs/>
          <w:sz w:val="24"/>
          <w:szCs w:val="24"/>
        </w:rPr>
        <w:t>Qi WX</w:t>
      </w:r>
      <w:r w:rsidRPr="00F01227">
        <w:rPr>
          <w:rFonts w:ascii="Book Antiqua" w:eastAsia="宋体" w:hAnsi="Book Antiqua" w:cs="宋体"/>
          <w:sz w:val="24"/>
          <w:szCs w:val="24"/>
        </w:rPr>
        <w:t xml:space="preserve">, Shen Z, </w:t>
      </w:r>
      <w:proofErr w:type="gramStart"/>
      <w:r w:rsidRPr="00F01227">
        <w:rPr>
          <w:rFonts w:ascii="Book Antiqua" w:eastAsia="宋体" w:hAnsi="Book Antiqua" w:cs="宋体"/>
          <w:sz w:val="24"/>
          <w:szCs w:val="24"/>
        </w:rPr>
        <w:t>Tang</w:t>
      </w:r>
      <w:proofErr w:type="gramEnd"/>
      <w:r w:rsidRPr="00F01227">
        <w:rPr>
          <w:rFonts w:ascii="Book Antiqua" w:eastAsia="宋体" w:hAnsi="Book Antiqua" w:cs="宋体"/>
          <w:sz w:val="24"/>
          <w:szCs w:val="24"/>
        </w:rPr>
        <w:t xml:space="preserve"> LN, Yao Y.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increases the risk of gastrointestinal perforation in cancer patients: a meta-analysis with a focus on different subgroups. </w:t>
      </w:r>
      <w:proofErr w:type="spellStart"/>
      <w:r w:rsidRPr="00F01227">
        <w:rPr>
          <w:rFonts w:ascii="Book Antiqua" w:eastAsia="宋体" w:hAnsi="Book Antiqua" w:cs="宋体"/>
          <w:i/>
          <w:iCs/>
          <w:sz w:val="24"/>
          <w:szCs w:val="24"/>
        </w:rPr>
        <w:t>Eur</w:t>
      </w:r>
      <w:proofErr w:type="spellEnd"/>
      <w:r w:rsidRPr="00F01227">
        <w:rPr>
          <w:rFonts w:ascii="Book Antiqua" w:eastAsia="宋体" w:hAnsi="Book Antiqua" w:cs="宋体"/>
          <w:i/>
          <w:iCs/>
          <w:sz w:val="24"/>
          <w:szCs w:val="24"/>
        </w:rPr>
        <w:t xml:space="preserve"> 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Pharmacol</w:t>
      </w:r>
      <w:proofErr w:type="spellEnd"/>
      <w:r w:rsidRPr="00F01227">
        <w:rPr>
          <w:rFonts w:ascii="Book Antiqua" w:eastAsia="宋体" w:hAnsi="Book Antiqua" w:cs="宋体"/>
          <w:sz w:val="24"/>
          <w:szCs w:val="24"/>
        </w:rPr>
        <w:t> 2014; </w:t>
      </w:r>
      <w:r w:rsidRPr="00F01227">
        <w:rPr>
          <w:rFonts w:ascii="Book Antiqua" w:eastAsia="宋体" w:hAnsi="Book Antiqua" w:cs="宋体"/>
          <w:b/>
          <w:bCs/>
          <w:sz w:val="24"/>
          <w:szCs w:val="24"/>
        </w:rPr>
        <w:t>70</w:t>
      </w:r>
      <w:r w:rsidRPr="00F01227">
        <w:rPr>
          <w:rFonts w:ascii="Book Antiqua" w:eastAsia="宋体" w:hAnsi="Book Antiqua" w:cs="宋体"/>
          <w:sz w:val="24"/>
          <w:szCs w:val="24"/>
        </w:rPr>
        <w:t>: 893-906 [PMID: 24858820 DOI: 10.1007/s00228-014-1687-9]</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12 </w:t>
      </w:r>
      <w:proofErr w:type="spellStart"/>
      <w:r w:rsidRPr="00F01227">
        <w:rPr>
          <w:rFonts w:ascii="Book Antiqua" w:eastAsia="宋体" w:hAnsi="Book Antiqua" w:cs="宋体"/>
          <w:b/>
          <w:bCs/>
          <w:sz w:val="24"/>
          <w:szCs w:val="24"/>
        </w:rPr>
        <w:t>Tebbutt</w:t>
      </w:r>
      <w:proofErr w:type="spellEnd"/>
      <w:r w:rsidRPr="00F01227">
        <w:rPr>
          <w:rFonts w:ascii="Book Antiqua" w:eastAsia="宋体" w:hAnsi="Book Antiqua" w:cs="宋体"/>
          <w:b/>
          <w:bCs/>
          <w:sz w:val="24"/>
          <w:szCs w:val="24"/>
        </w:rPr>
        <w:t xml:space="preserve"> NC</w:t>
      </w:r>
      <w:r w:rsidRPr="00F01227">
        <w:rPr>
          <w:rFonts w:ascii="Book Antiqua" w:eastAsia="宋体" w:hAnsi="Book Antiqua" w:cs="宋体"/>
          <w:sz w:val="24"/>
          <w:szCs w:val="24"/>
        </w:rPr>
        <w:t xml:space="preserve">, Wilson K, </w:t>
      </w:r>
      <w:proofErr w:type="spellStart"/>
      <w:r w:rsidRPr="00F01227">
        <w:rPr>
          <w:rFonts w:ascii="Book Antiqua" w:eastAsia="宋体" w:hAnsi="Book Antiqua" w:cs="宋体"/>
          <w:sz w:val="24"/>
          <w:szCs w:val="24"/>
        </w:rPr>
        <w:t>Gebski</w:t>
      </w:r>
      <w:proofErr w:type="spellEnd"/>
      <w:r w:rsidRPr="00F01227">
        <w:rPr>
          <w:rFonts w:ascii="Book Antiqua" w:eastAsia="宋体" w:hAnsi="Book Antiqua" w:cs="宋体"/>
          <w:sz w:val="24"/>
          <w:szCs w:val="24"/>
        </w:rPr>
        <w:t xml:space="preserve"> VJ, Cummins MM, </w:t>
      </w:r>
      <w:proofErr w:type="spellStart"/>
      <w:r w:rsidRPr="00F01227">
        <w:rPr>
          <w:rFonts w:ascii="Book Antiqua" w:eastAsia="宋体" w:hAnsi="Book Antiqua" w:cs="宋体"/>
          <w:sz w:val="24"/>
          <w:szCs w:val="24"/>
        </w:rPr>
        <w:t>Zannino</w:t>
      </w:r>
      <w:proofErr w:type="spellEnd"/>
      <w:r w:rsidRPr="00F01227">
        <w:rPr>
          <w:rFonts w:ascii="Book Antiqua" w:eastAsia="宋体" w:hAnsi="Book Antiqua" w:cs="宋体"/>
          <w:sz w:val="24"/>
          <w:szCs w:val="24"/>
        </w:rPr>
        <w:t xml:space="preserve"> D, van Hazel GA, Robinson B, Broad A, </w:t>
      </w:r>
      <w:proofErr w:type="spellStart"/>
      <w:r w:rsidRPr="00F01227">
        <w:rPr>
          <w:rFonts w:ascii="Book Antiqua" w:eastAsia="宋体" w:hAnsi="Book Antiqua" w:cs="宋体"/>
          <w:sz w:val="24"/>
          <w:szCs w:val="24"/>
        </w:rPr>
        <w:t>Ganju</w:t>
      </w:r>
      <w:proofErr w:type="spellEnd"/>
      <w:r w:rsidRPr="00F01227">
        <w:rPr>
          <w:rFonts w:ascii="Book Antiqua" w:eastAsia="宋体" w:hAnsi="Book Antiqua" w:cs="宋体"/>
          <w:sz w:val="24"/>
          <w:szCs w:val="24"/>
        </w:rPr>
        <w:t xml:space="preserve"> V, </w:t>
      </w:r>
      <w:proofErr w:type="spellStart"/>
      <w:r w:rsidRPr="00F01227">
        <w:rPr>
          <w:rFonts w:ascii="Book Antiqua" w:eastAsia="宋体" w:hAnsi="Book Antiqua" w:cs="宋体"/>
          <w:sz w:val="24"/>
          <w:szCs w:val="24"/>
        </w:rPr>
        <w:t>Ackland</w:t>
      </w:r>
      <w:proofErr w:type="spellEnd"/>
      <w:r w:rsidRPr="00F01227">
        <w:rPr>
          <w:rFonts w:ascii="Book Antiqua" w:eastAsia="宋体" w:hAnsi="Book Antiqua" w:cs="宋体"/>
          <w:sz w:val="24"/>
          <w:szCs w:val="24"/>
        </w:rPr>
        <w:t xml:space="preserve"> SP, </w:t>
      </w:r>
      <w:proofErr w:type="spellStart"/>
      <w:r w:rsidRPr="00F01227">
        <w:rPr>
          <w:rFonts w:ascii="Book Antiqua" w:eastAsia="宋体" w:hAnsi="Book Antiqua" w:cs="宋体"/>
          <w:sz w:val="24"/>
          <w:szCs w:val="24"/>
        </w:rPr>
        <w:t>Forgeson</w:t>
      </w:r>
      <w:proofErr w:type="spellEnd"/>
      <w:r w:rsidRPr="00F01227">
        <w:rPr>
          <w:rFonts w:ascii="Book Antiqua" w:eastAsia="宋体" w:hAnsi="Book Antiqua" w:cs="宋体"/>
          <w:sz w:val="24"/>
          <w:szCs w:val="24"/>
        </w:rPr>
        <w:t xml:space="preserve"> G, Cunningham D, Saunders MP, </w:t>
      </w:r>
      <w:proofErr w:type="spellStart"/>
      <w:r w:rsidRPr="00F01227">
        <w:rPr>
          <w:rFonts w:ascii="Book Antiqua" w:eastAsia="宋体" w:hAnsi="Book Antiqua" w:cs="宋体"/>
          <w:sz w:val="24"/>
          <w:szCs w:val="24"/>
        </w:rPr>
        <w:t>Stockler</w:t>
      </w:r>
      <w:proofErr w:type="spellEnd"/>
      <w:r w:rsidRPr="00F01227">
        <w:rPr>
          <w:rFonts w:ascii="Book Antiqua" w:eastAsia="宋体" w:hAnsi="Book Antiqua" w:cs="宋体"/>
          <w:sz w:val="24"/>
          <w:szCs w:val="24"/>
        </w:rPr>
        <w:t xml:space="preserve"> MR, Chua Y, </w:t>
      </w:r>
      <w:proofErr w:type="spellStart"/>
      <w:r w:rsidRPr="00F01227">
        <w:rPr>
          <w:rFonts w:ascii="Book Antiqua" w:eastAsia="宋体" w:hAnsi="Book Antiqua" w:cs="宋体"/>
          <w:sz w:val="24"/>
          <w:szCs w:val="24"/>
        </w:rPr>
        <w:t>Zalcberg</w:t>
      </w:r>
      <w:proofErr w:type="spellEnd"/>
      <w:r w:rsidRPr="00F01227">
        <w:rPr>
          <w:rFonts w:ascii="Book Antiqua" w:eastAsia="宋体" w:hAnsi="Book Antiqua" w:cs="宋体"/>
          <w:sz w:val="24"/>
          <w:szCs w:val="24"/>
        </w:rPr>
        <w:t xml:space="preserve"> JR, </w:t>
      </w:r>
      <w:proofErr w:type="spellStart"/>
      <w:r w:rsidRPr="00F01227">
        <w:rPr>
          <w:rFonts w:ascii="Book Antiqua" w:eastAsia="宋体" w:hAnsi="Book Antiqua" w:cs="宋体"/>
          <w:sz w:val="24"/>
          <w:szCs w:val="24"/>
        </w:rPr>
        <w:t>Simes</w:t>
      </w:r>
      <w:proofErr w:type="spellEnd"/>
      <w:r w:rsidRPr="00F01227">
        <w:rPr>
          <w:rFonts w:ascii="Book Antiqua" w:eastAsia="宋体" w:hAnsi="Book Antiqua" w:cs="宋体"/>
          <w:sz w:val="24"/>
          <w:szCs w:val="24"/>
        </w:rPr>
        <w:t xml:space="preserve"> RJ, Price TJ. </w:t>
      </w:r>
      <w:proofErr w:type="spellStart"/>
      <w:r w:rsidRPr="00F01227">
        <w:rPr>
          <w:rFonts w:ascii="Book Antiqua" w:eastAsia="宋体" w:hAnsi="Book Antiqua" w:cs="宋体"/>
          <w:sz w:val="24"/>
          <w:szCs w:val="24"/>
        </w:rPr>
        <w:t>Capecitabine</w:t>
      </w:r>
      <w:proofErr w:type="spellEnd"/>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and </w:t>
      </w:r>
      <w:proofErr w:type="spellStart"/>
      <w:r w:rsidRPr="00F01227">
        <w:rPr>
          <w:rFonts w:ascii="Book Antiqua" w:eastAsia="宋体" w:hAnsi="Book Antiqua" w:cs="宋体"/>
          <w:sz w:val="24"/>
          <w:szCs w:val="24"/>
        </w:rPr>
        <w:t>mitomycin</w:t>
      </w:r>
      <w:proofErr w:type="spellEnd"/>
      <w:r w:rsidRPr="00F01227">
        <w:rPr>
          <w:rFonts w:ascii="Book Antiqua" w:eastAsia="宋体" w:hAnsi="Book Antiqua" w:cs="宋体"/>
          <w:sz w:val="24"/>
          <w:szCs w:val="24"/>
        </w:rPr>
        <w:t xml:space="preserve"> in first-line treatment of metastatic colorectal cancer: results of the Australasian Gastrointestinal Trials Group Randomized Phase III MAX Study.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2010; </w:t>
      </w:r>
      <w:r w:rsidRPr="00F01227">
        <w:rPr>
          <w:rFonts w:ascii="Book Antiqua" w:eastAsia="宋体" w:hAnsi="Book Antiqua" w:cs="宋体"/>
          <w:b/>
          <w:bCs/>
          <w:sz w:val="24"/>
          <w:szCs w:val="24"/>
        </w:rPr>
        <w:t>28</w:t>
      </w:r>
      <w:r w:rsidRPr="00F01227">
        <w:rPr>
          <w:rFonts w:ascii="Book Antiqua" w:eastAsia="宋体" w:hAnsi="Book Antiqua" w:cs="宋体"/>
          <w:sz w:val="24"/>
          <w:szCs w:val="24"/>
        </w:rPr>
        <w:t>: 3191-3198 [PMID: 20516443 DOI: 10.1200/JCO.2009.27.7723]</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lastRenderedPageBreak/>
        <w:t>13 </w:t>
      </w:r>
      <w:r w:rsidRPr="00F01227">
        <w:rPr>
          <w:rFonts w:ascii="Book Antiqua" w:eastAsia="宋体" w:hAnsi="Book Antiqua" w:cs="宋体"/>
          <w:b/>
          <w:bCs/>
          <w:sz w:val="24"/>
          <w:szCs w:val="24"/>
        </w:rPr>
        <w:t>Field K</w:t>
      </w:r>
      <w:r w:rsidRPr="00F01227">
        <w:rPr>
          <w:rFonts w:ascii="Book Antiqua" w:eastAsia="宋体" w:hAnsi="Book Antiqua" w:cs="宋体"/>
          <w:sz w:val="24"/>
          <w:szCs w:val="24"/>
        </w:rPr>
        <w:t xml:space="preserve">, Wong HL, Shapiro J, </w:t>
      </w:r>
      <w:proofErr w:type="spellStart"/>
      <w:r w:rsidRPr="00F01227">
        <w:rPr>
          <w:rFonts w:ascii="Book Antiqua" w:eastAsia="宋体" w:hAnsi="Book Antiqua" w:cs="宋体"/>
          <w:sz w:val="24"/>
          <w:szCs w:val="24"/>
        </w:rPr>
        <w:t>Kosmider</w:t>
      </w:r>
      <w:proofErr w:type="spellEnd"/>
      <w:r w:rsidRPr="00F01227">
        <w:rPr>
          <w:rFonts w:ascii="Book Antiqua" w:eastAsia="宋体" w:hAnsi="Book Antiqua" w:cs="宋体"/>
          <w:sz w:val="24"/>
          <w:szCs w:val="24"/>
        </w:rPr>
        <w:t xml:space="preserve"> S, Tie J, </w:t>
      </w:r>
      <w:proofErr w:type="spellStart"/>
      <w:r w:rsidRPr="00F01227">
        <w:rPr>
          <w:rFonts w:ascii="Book Antiqua" w:eastAsia="宋体" w:hAnsi="Book Antiqua" w:cs="宋体"/>
          <w:sz w:val="24"/>
          <w:szCs w:val="24"/>
        </w:rPr>
        <w:t>Bae</w:t>
      </w:r>
      <w:proofErr w:type="spellEnd"/>
      <w:r w:rsidRPr="00F01227">
        <w:rPr>
          <w:rFonts w:ascii="Book Antiqua" w:eastAsia="宋体" w:hAnsi="Book Antiqua" w:cs="宋体"/>
          <w:sz w:val="24"/>
          <w:szCs w:val="24"/>
        </w:rPr>
        <w:t xml:space="preserve"> S, Yip D, </w:t>
      </w:r>
      <w:proofErr w:type="spellStart"/>
      <w:r w:rsidRPr="00F01227">
        <w:rPr>
          <w:rFonts w:ascii="Book Antiqua" w:eastAsia="宋体" w:hAnsi="Book Antiqua" w:cs="宋体"/>
          <w:sz w:val="24"/>
          <w:szCs w:val="24"/>
        </w:rPr>
        <w:t>McKendrick</w:t>
      </w:r>
      <w:proofErr w:type="spellEnd"/>
      <w:r w:rsidRPr="00F01227">
        <w:rPr>
          <w:rFonts w:ascii="Book Antiqua" w:eastAsia="宋体" w:hAnsi="Book Antiqua" w:cs="宋体"/>
          <w:sz w:val="24"/>
          <w:szCs w:val="24"/>
        </w:rPr>
        <w:t xml:space="preserve"> J, Nott L, Desai J, Harold M, Lipton L, </w:t>
      </w:r>
      <w:proofErr w:type="spellStart"/>
      <w:r w:rsidRPr="00F01227">
        <w:rPr>
          <w:rFonts w:ascii="Book Antiqua" w:eastAsia="宋体" w:hAnsi="Book Antiqua" w:cs="宋体"/>
          <w:sz w:val="24"/>
          <w:szCs w:val="24"/>
        </w:rPr>
        <w:t>Stefanou</w:t>
      </w:r>
      <w:proofErr w:type="spellEnd"/>
      <w:r w:rsidRPr="00F01227">
        <w:rPr>
          <w:rFonts w:ascii="Book Antiqua" w:eastAsia="宋体" w:hAnsi="Book Antiqua" w:cs="宋体"/>
          <w:sz w:val="24"/>
          <w:szCs w:val="24"/>
        </w:rPr>
        <w:t xml:space="preserve"> G, Lim L, </w:t>
      </w:r>
      <w:proofErr w:type="spellStart"/>
      <w:r w:rsidRPr="00F01227">
        <w:rPr>
          <w:rFonts w:ascii="Book Antiqua" w:eastAsia="宋体" w:hAnsi="Book Antiqua" w:cs="宋体"/>
          <w:sz w:val="24"/>
          <w:szCs w:val="24"/>
        </w:rPr>
        <w:t>Parente</w:t>
      </w:r>
      <w:proofErr w:type="spellEnd"/>
      <w:r w:rsidRPr="00F01227">
        <w:rPr>
          <w:rFonts w:ascii="Book Antiqua" w:eastAsia="宋体" w:hAnsi="Book Antiqua" w:cs="宋体"/>
          <w:sz w:val="24"/>
          <w:szCs w:val="24"/>
        </w:rPr>
        <w:t xml:space="preserve"> P, Gibbs P. Developing a national database for metastatic colorectal cancer management: perspectives and challenges. </w:t>
      </w:r>
      <w:r w:rsidRPr="00F01227">
        <w:rPr>
          <w:rFonts w:ascii="Book Antiqua" w:eastAsia="宋体" w:hAnsi="Book Antiqua" w:cs="宋体"/>
          <w:i/>
          <w:iCs/>
          <w:sz w:val="24"/>
          <w:szCs w:val="24"/>
        </w:rPr>
        <w:t>Intern Med J</w:t>
      </w:r>
      <w:r w:rsidRPr="00F01227">
        <w:rPr>
          <w:rFonts w:ascii="Book Antiqua" w:eastAsia="宋体" w:hAnsi="Book Antiqua" w:cs="宋体"/>
          <w:sz w:val="24"/>
          <w:szCs w:val="24"/>
        </w:rPr>
        <w:t> 2013; </w:t>
      </w:r>
      <w:r w:rsidRPr="00F01227">
        <w:rPr>
          <w:rFonts w:ascii="Book Antiqua" w:eastAsia="宋体" w:hAnsi="Book Antiqua" w:cs="宋体"/>
          <w:b/>
          <w:bCs/>
          <w:sz w:val="24"/>
          <w:szCs w:val="24"/>
        </w:rPr>
        <w:t>43</w:t>
      </w:r>
      <w:r w:rsidRPr="00F01227">
        <w:rPr>
          <w:rFonts w:ascii="Book Antiqua" w:eastAsia="宋体" w:hAnsi="Book Antiqua" w:cs="宋体"/>
          <w:sz w:val="24"/>
          <w:szCs w:val="24"/>
        </w:rPr>
        <w:t>: 1224-1231 [PMID: 23834128 DOI: 10.1111/imj.12230]</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14 </w:t>
      </w:r>
      <w:r w:rsidRPr="00F01227">
        <w:rPr>
          <w:rFonts w:ascii="Book Antiqua" w:eastAsia="宋体" w:hAnsi="Book Antiqua" w:cs="宋体"/>
          <w:b/>
          <w:bCs/>
          <w:sz w:val="24"/>
          <w:szCs w:val="24"/>
        </w:rPr>
        <w:t>Chua TC</w:t>
      </w:r>
      <w:r w:rsidRPr="00F01227">
        <w:rPr>
          <w:rFonts w:ascii="Book Antiqua" w:eastAsia="宋体" w:hAnsi="Book Antiqua" w:cs="宋体"/>
          <w:sz w:val="24"/>
          <w:szCs w:val="24"/>
        </w:rPr>
        <w:t xml:space="preserve">, Morris DL, </w:t>
      </w:r>
      <w:proofErr w:type="spellStart"/>
      <w:r w:rsidRPr="00F01227">
        <w:rPr>
          <w:rFonts w:ascii="Book Antiqua" w:eastAsia="宋体" w:hAnsi="Book Antiqua" w:cs="宋体"/>
          <w:sz w:val="24"/>
          <w:szCs w:val="24"/>
        </w:rPr>
        <w:t>Saxena</w:t>
      </w:r>
      <w:proofErr w:type="spellEnd"/>
      <w:r w:rsidRPr="00F01227">
        <w:rPr>
          <w:rFonts w:ascii="Book Antiqua" w:eastAsia="宋体" w:hAnsi="Book Antiqua" w:cs="宋体"/>
          <w:sz w:val="24"/>
          <w:szCs w:val="24"/>
        </w:rPr>
        <w:t xml:space="preserve"> A, Esquivel J, </w:t>
      </w:r>
      <w:proofErr w:type="spellStart"/>
      <w:r w:rsidRPr="00F01227">
        <w:rPr>
          <w:rFonts w:ascii="Book Antiqua" w:eastAsia="宋体" w:hAnsi="Book Antiqua" w:cs="宋体"/>
          <w:sz w:val="24"/>
          <w:szCs w:val="24"/>
        </w:rPr>
        <w:t>Liauw</w:t>
      </w:r>
      <w:proofErr w:type="spellEnd"/>
      <w:r w:rsidRPr="00F01227">
        <w:rPr>
          <w:rFonts w:ascii="Book Antiqua" w:eastAsia="宋体" w:hAnsi="Book Antiqua" w:cs="宋体"/>
          <w:sz w:val="24"/>
          <w:szCs w:val="24"/>
        </w:rPr>
        <w:t xml:space="preserve"> W, </w:t>
      </w:r>
      <w:proofErr w:type="spellStart"/>
      <w:r w:rsidRPr="00F01227">
        <w:rPr>
          <w:rFonts w:ascii="Book Antiqua" w:eastAsia="宋体" w:hAnsi="Book Antiqua" w:cs="宋体"/>
          <w:sz w:val="24"/>
          <w:szCs w:val="24"/>
        </w:rPr>
        <w:t>Doerfer</w:t>
      </w:r>
      <w:proofErr w:type="spellEnd"/>
      <w:r w:rsidRPr="00F01227">
        <w:rPr>
          <w:rFonts w:ascii="Book Antiqua" w:eastAsia="宋体" w:hAnsi="Book Antiqua" w:cs="宋体"/>
          <w:sz w:val="24"/>
          <w:szCs w:val="24"/>
        </w:rPr>
        <w:t xml:space="preserve"> J, </w:t>
      </w:r>
      <w:proofErr w:type="spellStart"/>
      <w:r w:rsidRPr="00F01227">
        <w:rPr>
          <w:rFonts w:ascii="Book Antiqua" w:eastAsia="宋体" w:hAnsi="Book Antiqua" w:cs="宋体"/>
          <w:sz w:val="24"/>
          <w:szCs w:val="24"/>
        </w:rPr>
        <w:t>Germer</w:t>
      </w:r>
      <w:proofErr w:type="spellEnd"/>
      <w:r w:rsidRPr="00F01227">
        <w:rPr>
          <w:rFonts w:ascii="Book Antiqua" w:eastAsia="宋体" w:hAnsi="Book Antiqua" w:cs="宋体"/>
          <w:sz w:val="24"/>
          <w:szCs w:val="24"/>
        </w:rPr>
        <w:t xml:space="preserve"> CT, </w:t>
      </w:r>
      <w:proofErr w:type="spellStart"/>
      <w:r w:rsidRPr="00F01227">
        <w:rPr>
          <w:rFonts w:ascii="Book Antiqua" w:eastAsia="宋体" w:hAnsi="Book Antiqua" w:cs="宋体"/>
          <w:sz w:val="24"/>
          <w:szCs w:val="24"/>
        </w:rPr>
        <w:t>Kerscher</w:t>
      </w:r>
      <w:proofErr w:type="spellEnd"/>
      <w:r w:rsidRPr="00F01227">
        <w:rPr>
          <w:rFonts w:ascii="Book Antiqua" w:eastAsia="宋体" w:hAnsi="Book Antiqua" w:cs="宋体"/>
          <w:sz w:val="24"/>
          <w:szCs w:val="24"/>
        </w:rPr>
        <w:t xml:space="preserve"> AG, </w:t>
      </w:r>
      <w:proofErr w:type="spellStart"/>
      <w:r w:rsidRPr="00F01227">
        <w:rPr>
          <w:rFonts w:ascii="Book Antiqua" w:eastAsia="宋体" w:hAnsi="Book Antiqua" w:cs="宋体"/>
          <w:sz w:val="24"/>
          <w:szCs w:val="24"/>
        </w:rPr>
        <w:t>Pelz</w:t>
      </w:r>
      <w:proofErr w:type="spellEnd"/>
      <w:r w:rsidRPr="00F01227">
        <w:rPr>
          <w:rFonts w:ascii="Book Antiqua" w:eastAsia="宋体" w:hAnsi="Book Antiqua" w:cs="宋体"/>
          <w:sz w:val="24"/>
          <w:szCs w:val="24"/>
        </w:rPr>
        <w:t xml:space="preserve"> JO. Influence of modern systemic therapies as adjunct to </w:t>
      </w:r>
      <w:proofErr w:type="spellStart"/>
      <w:r w:rsidRPr="00F01227">
        <w:rPr>
          <w:rFonts w:ascii="Book Antiqua" w:eastAsia="宋体" w:hAnsi="Book Antiqua" w:cs="宋体"/>
          <w:sz w:val="24"/>
          <w:szCs w:val="24"/>
        </w:rPr>
        <w:t>cytoreduction</w:t>
      </w:r>
      <w:proofErr w:type="spellEnd"/>
      <w:r w:rsidRPr="00F01227">
        <w:rPr>
          <w:rFonts w:ascii="Book Antiqua" w:eastAsia="宋体" w:hAnsi="Book Antiqua" w:cs="宋体"/>
          <w:sz w:val="24"/>
          <w:szCs w:val="24"/>
        </w:rPr>
        <w:t xml:space="preserve"> and perioperative intraperitoneal chemotherapy for patients with colorectal peritoneal </w:t>
      </w:r>
      <w:proofErr w:type="spellStart"/>
      <w:r w:rsidRPr="00F01227">
        <w:rPr>
          <w:rFonts w:ascii="Book Antiqua" w:eastAsia="宋体" w:hAnsi="Book Antiqua" w:cs="宋体"/>
          <w:sz w:val="24"/>
          <w:szCs w:val="24"/>
        </w:rPr>
        <w:t>carcinomatosis</w:t>
      </w:r>
      <w:proofErr w:type="spellEnd"/>
      <w:r w:rsidRPr="00F01227">
        <w:rPr>
          <w:rFonts w:ascii="Book Antiqua" w:eastAsia="宋体" w:hAnsi="Book Antiqua" w:cs="宋体"/>
          <w:sz w:val="24"/>
          <w:szCs w:val="24"/>
        </w:rPr>
        <w:t xml:space="preserve">: a </w:t>
      </w:r>
      <w:proofErr w:type="spellStart"/>
      <w:r w:rsidRPr="00F01227">
        <w:rPr>
          <w:rFonts w:ascii="Book Antiqua" w:eastAsia="宋体" w:hAnsi="Book Antiqua" w:cs="宋体"/>
          <w:sz w:val="24"/>
          <w:szCs w:val="24"/>
        </w:rPr>
        <w:t>multicenter</w:t>
      </w:r>
      <w:proofErr w:type="spellEnd"/>
      <w:r w:rsidRPr="00F01227">
        <w:rPr>
          <w:rFonts w:ascii="Book Antiqua" w:eastAsia="宋体" w:hAnsi="Book Antiqua" w:cs="宋体"/>
          <w:sz w:val="24"/>
          <w:szCs w:val="24"/>
        </w:rPr>
        <w:t xml:space="preserve"> study. </w:t>
      </w:r>
      <w:r w:rsidRPr="00F01227">
        <w:rPr>
          <w:rFonts w:ascii="Book Antiqua" w:eastAsia="宋体" w:hAnsi="Book Antiqua" w:cs="宋体"/>
          <w:i/>
          <w:iCs/>
          <w:sz w:val="24"/>
          <w:szCs w:val="24"/>
        </w:rPr>
        <w:t xml:space="preserve">Ann </w:t>
      </w:r>
      <w:proofErr w:type="spellStart"/>
      <w:r w:rsidRPr="00F01227">
        <w:rPr>
          <w:rFonts w:ascii="Book Antiqua" w:eastAsia="宋体" w:hAnsi="Book Antiqua" w:cs="宋体"/>
          <w:i/>
          <w:iCs/>
          <w:sz w:val="24"/>
          <w:szCs w:val="24"/>
        </w:rPr>
        <w:t>Surg</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2011; </w:t>
      </w:r>
      <w:r w:rsidRPr="00F01227">
        <w:rPr>
          <w:rFonts w:ascii="Book Antiqua" w:eastAsia="宋体" w:hAnsi="Book Antiqua" w:cs="宋体"/>
          <w:b/>
          <w:bCs/>
          <w:sz w:val="24"/>
          <w:szCs w:val="24"/>
        </w:rPr>
        <w:t>18</w:t>
      </w:r>
      <w:r w:rsidRPr="00F01227">
        <w:rPr>
          <w:rFonts w:ascii="Book Antiqua" w:eastAsia="宋体" w:hAnsi="Book Antiqua" w:cs="宋体"/>
          <w:sz w:val="24"/>
          <w:szCs w:val="24"/>
        </w:rPr>
        <w:t>: 1560-1567 [PMID: 21203904 DOI: 10.1245/s10434-010-1522-1]</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15 </w:t>
      </w:r>
      <w:proofErr w:type="spellStart"/>
      <w:r w:rsidRPr="00F01227">
        <w:rPr>
          <w:rFonts w:ascii="Book Antiqua" w:eastAsia="宋体" w:hAnsi="Book Antiqua" w:cs="宋体"/>
          <w:b/>
          <w:bCs/>
          <w:sz w:val="24"/>
          <w:szCs w:val="24"/>
        </w:rPr>
        <w:t>Grothey</w:t>
      </w:r>
      <w:proofErr w:type="spellEnd"/>
      <w:r w:rsidRPr="00F01227">
        <w:rPr>
          <w:rFonts w:ascii="Book Antiqua" w:eastAsia="宋体" w:hAnsi="Book Antiqua" w:cs="宋体"/>
          <w:b/>
          <w:bCs/>
          <w:sz w:val="24"/>
          <w:szCs w:val="24"/>
        </w:rPr>
        <w:t xml:space="preserve"> A</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Sugrue</w:t>
      </w:r>
      <w:proofErr w:type="spellEnd"/>
      <w:r w:rsidRPr="00F01227">
        <w:rPr>
          <w:rFonts w:ascii="Book Antiqua" w:eastAsia="宋体" w:hAnsi="Book Antiqua" w:cs="宋体"/>
          <w:sz w:val="24"/>
          <w:szCs w:val="24"/>
        </w:rPr>
        <w:t xml:space="preserve"> MM, Purdie DM, Dong W, Sargent D, Hedrick E, </w:t>
      </w:r>
      <w:proofErr w:type="spellStart"/>
      <w:r w:rsidRPr="00F01227">
        <w:rPr>
          <w:rFonts w:ascii="Book Antiqua" w:eastAsia="宋体" w:hAnsi="Book Antiqua" w:cs="宋体"/>
          <w:sz w:val="24"/>
          <w:szCs w:val="24"/>
        </w:rPr>
        <w:t>Kozloff</w:t>
      </w:r>
      <w:proofErr w:type="spellEnd"/>
      <w:r w:rsidRPr="00F01227">
        <w:rPr>
          <w:rFonts w:ascii="Book Antiqua" w:eastAsia="宋体" w:hAnsi="Book Antiqua" w:cs="宋体"/>
          <w:sz w:val="24"/>
          <w:szCs w:val="24"/>
        </w:rPr>
        <w:t xml:space="preserve"> M.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beyond first progression is associated with prolonged overall survival in metastatic colorectal cancer: results from a large observational cohort study (</w:t>
      </w:r>
      <w:proofErr w:type="spellStart"/>
      <w:r w:rsidRPr="00F01227">
        <w:rPr>
          <w:rFonts w:ascii="Book Antiqua" w:eastAsia="宋体" w:hAnsi="Book Antiqua" w:cs="宋体"/>
          <w:sz w:val="24"/>
          <w:szCs w:val="24"/>
        </w:rPr>
        <w:t>BRiTE</w:t>
      </w:r>
      <w:proofErr w:type="spellEnd"/>
      <w:r w:rsidRPr="00F01227">
        <w:rPr>
          <w:rFonts w:ascii="Book Antiqua" w:eastAsia="宋体" w:hAnsi="Book Antiqua" w:cs="宋体"/>
          <w:sz w:val="24"/>
          <w:szCs w:val="24"/>
        </w:rPr>
        <w:t>). </w:t>
      </w:r>
      <w:r w:rsidRPr="00F01227">
        <w:rPr>
          <w:rFonts w:ascii="Book Antiqua" w:eastAsia="宋体" w:hAnsi="Book Antiqua" w:cs="宋体"/>
          <w:i/>
          <w:iCs/>
          <w:sz w:val="24"/>
          <w:szCs w:val="24"/>
        </w:rPr>
        <w:t xml:space="preserve">J </w:t>
      </w:r>
      <w:proofErr w:type="spellStart"/>
      <w:r w:rsidRPr="00F01227">
        <w:rPr>
          <w:rFonts w:ascii="Book Antiqua" w:eastAsia="宋体" w:hAnsi="Book Antiqua" w:cs="宋体"/>
          <w:i/>
          <w:iCs/>
          <w:sz w:val="24"/>
          <w:szCs w:val="24"/>
        </w:rPr>
        <w:t>Clin</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2008; </w:t>
      </w:r>
      <w:r w:rsidRPr="00F01227">
        <w:rPr>
          <w:rFonts w:ascii="Book Antiqua" w:eastAsia="宋体" w:hAnsi="Book Antiqua" w:cs="宋体"/>
          <w:b/>
          <w:bCs/>
          <w:sz w:val="24"/>
          <w:szCs w:val="24"/>
        </w:rPr>
        <w:t>26</w:t>
      </w:r>
      <w:r w:rsidRPr="00F01227">
        <w:rPr>
          <w:rFonts w:ascii="Book Antiqua" w:eastAsia="宋体" w:hAnsi="Book Antiqua" w:cs="宋体"/>
          <w:sz w:val="24"/>
          <w:szCs w:val="24"/>
        </w:rPr>
        <w:t>: 5326-5334 [PMID: 18854571 DOI: 10.1200/JCO.2008.16.3212]</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16 </w:t>
      </w:r>
      <w:proofErr w:type="spellStart"/>
      <w:r w:rsidRPr="00F01227">
        <w:rPr>
          <w:rFonts w:ascii="Book Antiqua" w:eastAsia="宋体" w:hAnsi="Book Antiqua" w:cs="宋体"/>
          <w:b/>
          <w:bCs/>
          <w:sz w:val="24"/>
          <w:szCs w:val="24"/>
        </w:rPr>
        <w:t>Bennouna</w:t>
      </w:r>
      <w:proofErr w:type="spellEnd"/>
      <w:r w:rsidRPr="00F01227">
        <w:rPr>
          <w:rFonts w:ascii="Book Antiqua" w:eastAsia="宋体" w:hAnsi="Book Antiqua" w:cs="宋体"/>
          <w:b/>
          <w:bCs/>
          <w:sz w:val="24"/>
          <w:szCs w:val="24"/>
        </w:rPr>
        <w:t xml:space="preserve"> J</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Sastre</w:t>
      </w:r>
      <w:proofErr w:type="spellEnd"/>
      <w:r w:rsidRPr="00F01227">
        <w:rPr>
          <w:rFonts w:ascii="Book Antiqua" w:eastAsia="宋体" w:hAnsi="Book Antiqua" w:cs="宋体"/>
          <w:sz w:val="24"/>
          <w:szCs w:val="24"/>
        </w:rPr>
        <w:t xml:space="preserve"> J, Arnold D, </w:t>
      </w:r>
      <w:proofErr w:type="spellStart"/>
      <w:r w:rsidRPr="00F01227">
        <w:rPr>
          <w:rFonts w:ascii="Book Antiqua" w:eastAsia="宋体" w:hAnsi="Book Antiqua" w:cs="宋体"/>
          <w:sz w:val="24"/>
          <w:szCs w:val="24"/>
        </w:rPr>
        <w:t>Österlund</w:t>
      </w:r>
      <w:proofErr w:type="spellEnd"/>
      <w:r w:rsidRPr="00F01227">
        <w:rPr>
          <w:rFonts w:ascii="Book Antiqua" w:eastAsia="宋体" w:hAnsi="Book Antiqua" w:cs="宋体"/>
          <w:sz w:val="24"/>
          <w:szCs w:val="24"/>
        </w:rPr>
        <w:t xml:space="preserve"> P, </w:t>
      </w:r>
      <w:proofErr w:type="spellStart"/>
      <w:r w:rsidRPr="00F01227">
        <w:rPr>
          <w:rFonts w:ascii="Book Antiqua" w:eastAsia="宋体" w:hAnsi="Book Antiqua" w:cs="宋体"/>
          <w:sz w:val="24"/>
          <w:szCs w:val="24"/>
        </w:rPr>
        <w:t>Greil</w:t>
      </w:r>
      <w:proofErr w:type="spellEnd"/>
      <w:r w:rsidRPr="00F01227">
        <w:rPr>
          <w:rFonts w:ascii="Book Antiqua" w:eastAsia="宋体" w:hAnsi="Book Antiqua" w:cs="宋体"/>
          <w:sz w:val="24"/>
          <w:szCs w:val="24"/>
        </w:rPr>
        <w:t xml:space="preserve"> R, Van </w:t>
      </w:r>
      <w:proofErr w:type="spellStart"/>
      <w:r w:rsidRPr="00F01227">
        <w:rPr>
          <w:rFonts w:ascii="Book Antiqua" w:eastAsia="宋体" w:hAnsi="Book Antiqua" w:cs="宋体"/>
          <w:sz w:val="24"/>
          <w:szCs w:val="24"/>
        </w:rPr>
        <w:t>Cutsem</w:t>
      </w:r>
      <w:proofErr w:type="spellEnd"/>
      <w:r w:rsidRPr="00F01227">
        <w:rPr>
          <w:rFonts w:ascii="Book Antiqua" w:eastAsia="宋体" w:hAnsi="Book Antiqua" w:cs="宋体"/>
          <w:sz w:val="24"/>
          <w:szCs w:val="24"/>
        </w:rPr>
        <w:t xml:space="preserve"> E, von Moos R, </w:t>
      </w:r>
      <w:proofErr w:type="spellStart"/>
      <w:r w:rsidRPr="00F01227">
        <w:rPr>
          <w:rFonts w:ascii="Book Antiqua" w:eastAsia="宋体" w:hAnsi="Book Antiqua" w:cs="宋体"/>
          <w:sz w:val="24"/>
          <w:szCs w:val="24"/>
        </w:rPr>
        <w:t>Viéitez</w:t>
      </w:r>
      <w:proofErr w:type="spellEnd"/>
      <w:r w:rsidRPr="00F01227">
        <w:rPr>
          <w:rFonts w:ascii="Book Antiqua" w:eastAsia="宋体" w:hAnsi="Book Antiqua" w:cs="宋体"/>
          <w:sz w:val="24"/>
          <w:szCs w:val="24"/>
        </w:rPr>
        <w:t xml:space="preserve"> JM, </w:t>
      </w:r>
      <w:proofErr w:type="spellStart"/>
      <w:r w:rsidRPr="00F01227">
        <w:rPr>
          <w:rFonts w:ascii="Book Antiqua" w:eastAsia="宋体" w:hAnsi="Book Antiqua" w:cs="宋体"/>
          <w:sz w:val="24"/>
          <w:szCs w:val="24"/>
        </w:rPr>
        <w:t>Bouché</w:t>
      </w:r>
      <w:proofErr w:type="spellEnd"/>
      <w:r w:rsidRPr="00F01227">
        <w:rPr>
          <w:rFonts w:ascii="Book Antiqua" w:eastAsia="宋体" w:hAnsi="Book Antiqua" w:cs="宋体"/>
          <w:sz w:val="24"/>
          <w:szCs w:val="24"/>
        </w:rPr>
        <w:t xml:space="preserve"> O, Borg C, Steffens CC, Alonso-</w:t>
      </w:r>
      <w:proofErr w:type="spellStart"/>
      <w:r w:rsidRPr="00F01227">
        <w:rPr>
          <w:rFonts w:ascii="Book Antiqua" w:eastAsia="宋体" w:hAnsi="Book Antiqua" w:cs="宋体"/>
          <w:sz w:val="24"/>
          <w:szCs w:val="24"/>
        </w:rPr>
        <w:t>Orduña</w:t>
      </w:r>
      <w:proofErr w:type="spellEnd"/>
      <w:r w:rsidRPr="00F01227">
        <w:rPr>
          <w:rFonts w:ascii="Book Antiqua" w:eastAsia="宋体" w:hAnsi="Book Antiqua" w:cs="宋体"/>
          <w:sz w:val="24"/>
          <w:szCs w:val="24"/>
        </w:rPr>
        <w:t xml:space="preserve"> V, </w:t>
      </w:r>
      <w:proofErr w:type="spellStart"/>
      <w:r w:rsidRPr="00F01227">
        <w:rPr>
          <w:rFonts w:ascii="Book Antiqua" w:eastAsia="宋体" w:hAnsi="Book Antiqua" w:cs="宋体"/>
          <w:sz w:val="24"/>
          <w:szCs w:val="24"/>
        </w:rPr>
        <w:t>Schlichting</w:t>
      </w:r>
      <w:proofErr w:type="spellEnd"/>
      <w:r w:rsidRPr="00F01227">
        <w:rPr>
          <w:rFonts w:ascii="Book Antiqua" w:eastAsia="宋体" w:hAnsi="Book Antiqua" w:cs="宋体"/>
          <w:sz w:val="24"/>
          <w:szCs w:val="24"/>
        </w:rPr>
        <w:t xml:space="preserve"> C, Reyes-Rivera I, </w:t>
      </w:r>
      <w:proofErr w:type="spellStart"/>
      <w:r w:rsidRPr="00F01227">
        <w:rPr>
          <w:rFonts w:ascii="Book Antiqua" w:eastAsia="宋体" w:hAnsi="Book Antiqua" w:cs="宋体"/>
          <w:sz w:val="24"/>
          <w:szCs w:val="24"/>
        </w:rPr>
        <w:t>Bendahmane</w:t>
      </w:r>
      <w:proofErr w:type="spellEnd"/>
      <w:r w:rsidRPr="00F01227">
        <w:rPr>
          <w:rFonts w:ascii="Book Antiqua" w:eastAsia="宋体" w:hAnsi="Book Antiqua" w:cs="宋体"/>
          <w:sz w:val="24"/>
          <w:szCs w:val="24"/>
        </w:rPr>
        <w:t xml:space="preserve"> B, André T, </w:t>
      </w:r>
      <w:proofErr w:type="spellStart"/>
      <w:r w:rsidRPr="00F01227">
        <w:rPr>
          <w:rFonts w:ascii="Book Antiqua" w:eastAsia="宋体" w:hAnsi="Book Antiqua" w:cs="宋体"/>
          <w:sz w:val="24"/>
          <w:szCs w:val="24"/>
        </w:rPr>
        <w:t>Kubicka</w:t>
      </w:r>
      <w:proofErr w:type="spellEnd"/>
      <w:r w:rsidRPr="00F01227">
        <w:rPr>
          <w:rFonts w:ascii="Book Antiqua" w:eastAsia="宋体" w:hAnsi="Book Antiqua" w:cs="宋体"/>
          <w:sz w:val="24"/>
          <w:szCs w:val="24"/>
        </w:rPr>
        <w:t xml:space="preserve"> S. Continuation of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after first progression in metastatic colorectal cancer (ML18147): a randomised phase 3 trial. </w:t>
      </w:r>
      <w:r w:rsidRPr="00F01227">
        <w:rPr>
          <w:rFonts w:ascii="Book Antiqua" w:eastAsia="宋体" w:hAnsi="Book Antiqua" w:cs="宋体"/>
          <w:i/>
          <w:iCs/>
          <w:sz w:val="24"/>
          <w:szCs w:val="24"/>
        </w:rPr>
        <w:t xml:space="preserve">Lancet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2013; </w:t>
      </w:r>
      <w:r w:rsidRPr="00F01227">
        <w:rPr>
          <w:rFonts w:ascii="Book Antiqua" w:eastAsia="宋体" w:hAnsi="Book Antiqua" w:cs="宋体"/>
          <w:b/>
          <w:bCs/>
          <w:sz w:val="24"/>
          <w:szCs w:val="24"/>
        </w:rPr>
        <w:t>14</w:t>
      </w:r>
      <w:r w:rsidRPr="00F01227">
        <w:rPr>
          <w:rFonts w:ascii="Book Antiqua" w:eastAsia="宋体" w:hAnsi="Book Antiqua" w:cs="宋体"/>
          <w:sz w:val="24"/>
          <w:szCs w:val="24"/>
        </w:rPr>
        <w:t>: 29-37 [PMID: 23168366 DOI: 10.1016/S1470-2045(12)70477-1]</w:t>
      </w:r>
    </w:p>
    <w:p w:rsidR="00866080" w:rsidRPr="00F01227" w:rsidRDefault="00866080" w:rsidP="00866080">
      <w:pPr>
        <w:spacing w:line="360" w:lineRule="auto"/>
        <w:jc w:val="both"/>
        <w:rPr>
          <w:rFonts w:ascii="Book Antiqua" w:eastAsia="宋体" w:hAnsi="Book Antiqua" w:cs="宋体"/>
          <w:sz w:val="24"/>
          <w:szCs w:val="24"/>
        </w:rPr>
      </w:pPr>
      <w:proofErr w:type="gramStart"/>
      <w:r w:rsidRPr="00F01227">
        <w:rPr>
          <w:rFonts w:ascii="Book Antiqua" w:eastAsia="宋体" w:hAnsi="Book Antiqua" w:cs="宋体"/>
          <w:sz w:val="24"/>
          <w:szCs w:val="24"/>
        </w:rPr>
        <w:t>17 </w:t>
      </w:r>
      <w:r w:rsidRPr="00F01227">
        <w:rPr>
          <w:rFonts w:ascii="Book Antiqua" w:eastAsia="宋体" w:hAnsi="Book Antiqua" w:cs="宋体"/>
          <w:b/>
          <w:bCs/>
          <w:sz w:val="24"/>
          <w:szCs w:val="24"/>
        </w:rPr>
        <w:t>Hamilton CA</w:t>
      </w:r>
      <w:r w:rsidRPr="00F01227">
        <w:rPr>
          <w:rFonts w:ascii="Book Antiqua" w:eastAsia="宋体" w:hAnsi="Book Antiqua" w:cs="宋体"/>
          <w:sz w:val="24"/>
          <w:szCs w:val="24"/>
        </w:rPr>
        <w:t xml:space="preserve">, Maxwell GL, </w:t>
      </w:r>
      <w:proofErr w:type="spellStart"/>
      <w:r w:rsidRPr="00F01227">
        <w:rPr>
          <w:rFonts w:ascii="Book Antiqua" w:eastAsia="宋体" w:hAnsi="Book Antiqua" w:cs="宋体"/>
          <w:sz w:val="24"/>
          <w:szCs w:val="24"/>
        </w:rPr>
        <w:t>Chernofsky</w:t>
      </w:r>
      <w:proofErr w:type="spellEnd"/>
      <w:r w:rsidRPr="00F01227">
        <w:rPr>
          <w:rFonts w:ascii="Book Antiqua" w:eastAsia="宋体" w:hAnsi="Book Antiqua" w:cs="宋体"/>
          <w:sz w:val="24"/>
          <w:szCs w:val="24"/>
        </w:rPr>
        <w:t xml:space="preserve"> MR, Bernstein SA, Farley JH, Rose GS.</w:t>
      </w:r>
      <w:proofErr w:type="gramEnd"/>
      <w:r w:rsidRPr="00F01227">
        <w:rPr>
          <w:rFonts w:ascii="Book Antiqua" w:eastAsia="宋体" w:hAnsi="Book Antiqua" w:cs="宋体"/>
          <w:sz w:val="24"/>
          <w:szCs w:val="24"/>
        </w:rPr>
        <w:t xml:space="preserve"> </w:t>
      </w:r>
      <w:proofErr w:type="gramStart"/>
      <w:r w:rsidRPr="00F01227">
        <w:rPr>
          <w:rFonts w:ascii="Book Antiqua" w:eastAsia="宋体" w:hAnsi="Book Antiqua" w:cs="宋体"/>
          <w:sz w:val="24"/>
          <w:szCs w:val="24"/>
        </w:rPr>
        <w:t xml:space="preserve">Intraperitoneal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for the palliation of malignant ascites in refractory ovarian cancer.</w:t>
      </w:r>
      <w:proofErr w:type="gramEnd"/>
      <w:r w:rsidRPr="00F01227">
        <w:rPr>
          <w:rFonts w:ascii="Book Antiqua" w:eastAsia="宋体" w:hAnsi="Book Antiqua" w:cs="宋体"/>
          <w:sz w:val="24"/>
          <w:szCs w:val="24"/>
        </w:rPr>
        <w:t> </w:t>
      </w:r>
      <w:proofErr w:type="spellStart"/>
      <w:r w:rsidRPr="00F01227">
        <w:rPr>
          <w:rFonts w:ascii="Book Antiqua" w:eastAsia="宋体" w:hAnsi="Book Antiqua" w:cs="宋体"/>
          <w:i/>
          <w:iCs/>
          <w:sz w:val="24"/>
          <w:szCs w:val="24"/>
        </w:rPr>
        <w:t>Gynecol</w:t>
      </w:r>
      <w:proofErr w:type="spellEnd"/>
      <w:r w:rsidRPr="00F01227">
        <w:rPr>
          <w:rFonts w:ascii="Book Antiqua" w:eastAsia="宋体" w:hAnsi="Book Antiqua" w:cs="宋体"/>
          <w:i/>
          <w:iCs/>
          <w:sz w:val="24"/>
          <w:szCs w:val="24"/>
        </w:rPr>
        <w:t xml:space="preserve"> </w:t>
      </w:r>
      <w:proofErr w:type="spellStart"/>
      <w:r w:rsidRPr="00F01227">
        <w:rPr>
          <w:rFonts w:ascii="Book Antiqua" w:eastAsia="宋体" w:hAnsi="Book Antiqua" w:cs="宋体"/>
          <w:i/>
          <w:iCs/>
          <w:sz w:val="24"/>
          <w:szCs w:val="24"/>
        </w:rPr>
        <w:t>Oncol</w:t>
      </w:r>
      <w:proofErr w:type="spellEnd"/>
      <w:r w:rsidRPr="00F01227">
        <w:rPr>
          <w:rFonts w:ascii="Book Antiqua" w:eastAsia="宋体" w:hAnsi="Book Antiqua" w:cs="宋体"/>
          <w:sz w:val="24"/>
          <w:szCs w:val="24"/>
        </w:rPr>
        <w:t> 2008; </w:t>
      </w:r>
      <w:r w:rsidRPr="00F01227">
        <w:rPr>
          <w:rFonts w:ascii="Book Antiqua" w:eastAsia="宋体" w:hAnsi="Book Antiqua" w:cs="宋体"/>
          <w:b/>
          <w:bCs/>
          <w:sz w:val="24"/>
          <w:szCs w:val="24"/>
        </w:rPr>
        <w:t>111</w:t>
      </w:r>
      <w:r w:rsidRPr="00F01227">
        <w:rPr>
          <w:rFonts w:ascii="Book Antiqua" w:eastAsia="宋体" w:hAnsi="Book Antiqua" w:cs="宋体"/>
          <w:sz w:val="24"/>
          <w:szCs w:val="24"/>
        </w:rPr>
        <w:t>: 530-532 [PMID: 18561992 DOI: 10.1016/j.ygyno.2008.04.028]</w:t>
      </w:r>
    </w:p>
    <w:p w:rsidR="00866080" w:rsidRPr="00F01227" w:rsidRDefault="00866080" w:rsidP="00866080">
      <w:pPr>
        <w:spacing w:line="360" w:lineRule="auto"/>
        <w:jc w:val="both"/>
        <w:rPr>
          <w:rFonts w:ascii="Book Antiqua" w:eastAsia="宋体" w:hAnsi="Book Antiqua" w:cs="宋体"/>
          <w:sz w:val="24"/>
          <w:szCs w:val="24"/>
        </w:rPr>
      </w:pPr>
      <w:r w:rsidRPr="00F01227">
        <w:rPr>
          <w:rFonts w:ascii="Book Antiqua" w:eastAsia="宋体" w:hAnsi="Book Antiqua" w:cs="宋体"/>
          <w:sz w:val="24"/>
          <w:szCs w:val="24"/>
        </w:rPr>
        <w:t>18 </w:t>
      </w:r>
      <w:proofErr w:type="spellStart"/>
      <w:r w:rsidRPr="00F01227">
        <w:rPr>
          <w:rFonts w:ascii="Book Antiqua" w:eastAsia="宋体" w:hAnsi="Book Antiqua" w:cs="宋体"/>
          <w:b/>
          <w:bCs/>
          <w:sz w:val="24"/>
          <w:szCs w:val="24"/>
        </w:rPr>
        <w:t>Bellati</w:t>
      </w:r>
      <w:proofErr w:type="spellEnd"/>
      <w:r w:rsidRPr="00F01227">
        <w:rPr>
          <w:rFonts w:ascii="Book Antiqua" w:eastAsia="宋体" w:hAnsi="Book Antiqua" w:cs="宋体"/>
          <w:b/>
          <w:bCs/>
          <w:sz w:val="24"/>
          <w:szCs w:val="24"/>
        </w:rPr>
        <w:t xml:space="preserve"> F</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Napoletano</w:t>
      </w:r>
      <w:proofErr w:type="spellEnd"/>
      <w:r w:rsidRPr="00F01227">
        <w:rPr>
          <w:rFonts w:ascii="Book Antiqua" w:eastAsia="宋体" w:hAnsi="Book Antiqua" w:cs="宋体"/>
          <w:sz w:val="24"/>
          <w:szCs w:val="24"/>
        </w:rPr>
        <w:t xml:space="preserve"> C, </w:t>
      </w:r>
      <w:proofErr w:type="spellStart"/>
      <w:r w:rsidRPr="00F01227">
        <w:rPr>
          <w:rFonts w:ascii="Book Antiqua" w:eastAsia="宋体" w:hAnsi="Book Antiqua" w:cs="宋体"/>
          <w:sz w:val="24"/>
          <w:szCs w:val="24"/>
        </w:rPr>
        <w:t>Ruscito</w:t>
      </w:r>
      <w:proofErr w:type="spellEnd"/>
      <w:r w:rsidRPr="00F01227">
        <w:rPr>
          <w:rFonts w:ascii="Book Antiqua" w:eastAsia="宋体" w:hAnsi="Book Antiqua" w:cs="宋体"/>
          <w:sz w:val="24"/>
          <w:szCs w:val="24"/>
        </w:rPr>
        <w:t xml:space="preserve"> I, </w:t>
      </w:r>
      <w:proofErr w:type="spellStart"/>
      <w:r w:rsidRPr="00F01227">
        <w:rPr>
          <w:rFonts w:ascii="Book Antiqua" w:eastAsia="宋体" w:hAnsi="Book Antiqua" w:cs="宋体"/>
          <w:sz w:val="24"/>
          <w:szCs w:val="24"/>
        </w:rPr>
        <w:t>Pastore</w:t>
      </w:r>
      <w:proofErr w:type="spellEnd"/>
      <w:r w:rsidRPr="00F01227">
        <w:rPr>
          <w:rFonts w:ascii="Book Antiqua" w:eastAsia="宋体" w:hAnsi="Book Antiqua" w:cs="宋体"/>
          <w:sz w:val="24"/>
          <w:szCs w:val="24"/>
        </w:rPr>
        <w:t xml:space="preserve"> M, </w:t>
      </w:r>
      <w:proofErr w:type="spellStart"/>
      <w:r w:rsidRPr="00F01227">
        <w:rPr>
          <w:rFonts w:ascii="Book Antiqua" w:eastAsia="宋体" w:hAnsi="Book Antiqua" w:cs="宋体"/>
          <w:sz w:val="24"/>
          <w:szCs w:val="24"/>
        </w:rPr>
        <w:t>Pernice</w:t>
      </w:r>
      <w:proofErr w:type="spellEnd"/>
      <w:r w:rsidRPr="00F01227">
        <w:rPr>
          <w:rFonts w:ascii="Book Antiqua" w:eastAsia="宋体" w:hAnsi="Book Antiqua" w:cs="宋体"/>
          <w:sz w:val="24"/>
          <w:szCs w:val="24"/>
        </w:rPr>
        <w:t xml:space="preserve"> M, </w:t>
      </w:r>
      <w:proofErr w:type="spellStart"/>
      <w:r w:rsidRPr="00F01227">
        <w:rPr>
          <w:rFonts w:ascii="Book Antiqua" w:eastAsia="宋体" w:hAnsi="Book Antiqua" w:cs="宋体"/>
          <w:sz w:val="24"/>
          <w:szCs w:val="24"/>
        </w:rPr>
        <w:t>Antonilli</w:t>
      </w:r>
      <w:proofErr w:type="spellEnd"/>
      <w:r w:rsidRPr="00F01227">
        <w:rPr>
          <w:rFonts w:ascii="Book Antiqua" w:eastAsia="宋体" w:hAnsi="Book Antiqua" w:cs="宋体"/>
          <w:sz w:val="24"/>
          <w:szCs w:val="24"/>
        </w:rPr>
        <w:t xml:space="preserve"> M, </w:t>
      </w:r>
      <w:proofErr w:type="spellStart"/>
      <w:r w:rsidRPr="00F01227">
        <w:rPr>
          <w:rFonts w:ascii="Book Antiqua" w:eastAsia="宋体" w:hAnsi="Book Antiqua" w:cs="宋体"/>
          <w:sz w:val="24"/>
          <w:szCs w:val="24"/>
        </w:rPr>
        <w:t>Nuti</w:t>
      </w:r>
      <w:proofErr w:type="spellEnd"/>
      <w:r w:rsidRPr="00F01227">
        <w:rPr>
          <w:rFonts w:ascii="Book Antiqua" w:eastAsia="宋体" w:hAnsi="Book Antiqua" w:cs="宋体"/>
          <w:sz w:val="24"/>
          <w:szCs w:val="24"/>
        </w:rPr>
        <w:t xml:space="preserve"> M, Benedetti </w:t>
      </w:r>
      <w:proofErr w:type="spellStart"/>
      <w:r w:rsidRPr="00F01227">
        <w:rPr>
          <w:rFonts w:ascii="Book Antiqua" w:eastAsia="宋体" w:hAnsi="Book Antiqua" w:cs="宋体"/>
          <w:sz w:val="24"/>
          <w:szCs w:val="24"/>
        </w:rPr>
        <w:t>Panici</w:t>
      </w:r>
      <w:proofErr w:type="spellEnd"/>
      <w:r w:rsidRPr="00F01227">
        <w:rPr>
          <w:rFonts w:ascii="Book Antiqua" w:eastAsia="宋体" w:hAnsi="Book Antiqua" w:cs="宋体"/>
          <w:sz w:val="24"/>
          <w:szCs w:val="24"/>
        </w:rPr>
        <w:t xml:space="preserve"> P. Complete remission of ovarian cancer induced intractable malignant ascites with intraperitoneal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Immunological observations </w:t>
      </w:r>
      <w:r w:rsidRPr="00F01227">
        <w:rPr>
          <w:rFonts w:ascii="Book Antiqua" w:eastAsia="宋体" w:hAnsi="Book Antiqua" w:cs="宋体"/>
          <w:sz w:val="24"/>
          <w:szCs w:val="24"/>
        </w:rPr>
        <w:lastRenderedPageBreak/>
        <w:t>and a literature review. </w:t>
      </w:r>
      <w:r w:rsidRPr="00F01227">
        <w:rPr>
          <w:rFonts w:ascii="Book Antiqua" w:eastAsia="宋体" w:hAnsi="Book Antiqua" w:cs="宋体"/>
          <w:i/>
          <w:iCs/>
          <w:sz w:val="24"/>
          <w:szCs w:val="24"/>
        </w:rPr>
        <w:t>Invest New Drugs</w:t>
      </w:r>
      <w:r w:rsidRPr="00F01227">
        <w:rPr>
          <w:rFonts w:ascii="Book Antiqua" w:eastAsia="宋体" w:hAnsi="Book Antiqua" w:cs="宋体"/>
          <w:sz w:val="24"/>
          <w:szCs w:val="24"/>
        </w:rPr>
        <w:t> 2010; </w:t>
      </w:r>
      <w:r w:rsidRPr="00F01227">
        <w:rPr>
          <w:rFonts w:ascii="Book Antiqua" w:eastAsia="宋体" w:hAnsi="Book Antiqua" w:cs="宋体"/>
          <w:b/>
          <w:bCs/>
          <w:sz w:val="24"/>
          <w:szCs w:val="24"/>
        </w:rPr>
        <w:t>28</w:t>
      </w:r>
      <w:r w:rsidRPr="00F01227">
        <w:rPr>
          <w:rFonts w:ascii="Book Antiqua" w:eastAsia="宋体" w:hAnsi="Book Antiqua" w:cs="宋体"/>
          <w:sz w:val="24"/>
          <w:szCs w:val="24"/>
        </w:rPr>
        <w:t>: 887-894 [PMID: 19936983 DOI: 10.1007/s10637-009-9351-4]</w:t>
      </w:r>
    </w:p>
    <w:p w:rsidR="00866080" w:rsidRPr="00F01227" w:rsidRDefault="00866080" w:rsidP="00866080">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19</w:t>
      </w:r>
      <w:r w:rsidRPr="00F01227">
        <w:rPr>
          <w:rFonts w:ascii="Book Antiqua" w:eastAsia="宋体" w:hAnsi="Book Antiqua" w:cs="宋体"/>
          <w:b/>
          <w:sz w:val="24"/>
          <w:szCs w:val="24"/>
        </w:rPr>
        <w:t xml:space="preserve"> El-</w:t>
      </w:r>
      <w:proofErr w:type="spellStart"/>
      <w:r w:rsidRPr="00F01227">
        <w:rPr>
          <w:rFonts w:ascii="Book Antiqua" w:eastAsia="宋体" w:hAnsi="Book Antiqua" w:cs="宋体"/>
          <w:b/>
          <w:sz w:val="24"/>
          <w:szCs w:val="24"/>
        </w:rPr>
        <w:t>Shami</w:t>
      </w:r>
      <w:proofErr w:type="spellEnd"/>
      <w:r w:rsidRPr="00F01227">
        <w:rPr>
          <w:rFonts w:ascii="Book Antiqua" w:eastAsia="宋体" w:hAnsi="Book Antiqua" w:cs="宋体"/>
          <w:b/>
          <w:sz w:val="24"/>
          <w:szCs w:val="24"/>
        </w:rPr>
        <w:t xml:space="preserve"> K,</w:t>
      </w:r>
      <w:r w:rsidRPr="00F01227">
        <w:rPr>
          <w:rFonts w:ascii="Book Antiqua" w:eastAsia="宋体" w:hAnsi="Book Antiqua" w:cs="宋体"/>
          <w:sz w:val="24"/>
          <w:szCs w:val="24"/>
        </w:rPr>
        <w:t xml:space="preserve"> </w:t>
      </w:r>
      <w:proofErr w:type="spellStart"/>
      <w:r w:rsidRPr="00F01227">
        <w:rPr>
          <w:rFonts w:ascii="Book Antiqua" w:eastAsia="宋体" w:hAnsi="Book Antiqua" w:cs="宋体"/>
          <w:sz w:val="24"/>
          <w:szCs w:val="24"/>
        </w:rPr>
        <w:t>Elsaid</w:t>
      </w:r>
      <w:proofErr w:type="spellEnd"/>
      <w:r w:rsidRPr="00F01227">
        <w:rPr>
          <w:rFonts w:ascii="Book Antiqua" w:eastAsia="宋体" w:hAnsi="Book Antiqua" w:cs="宋体"/>
          <w:sz w:val="24"/>
          <w:szCs w:val="24"/>
        </w:rPr>
        <w:t xml:space="preserve"> A, El-</w:t>
      </w:r>
      <w:proofErr w:type="spellStart"/>
      <w:r w:rsidRPr="00F01227">
        <w:rPr>
          <w:rFonts w:ascii="Book Antiqua" w:eastAsia="宋体" w:hAnsi="Book Antiqua" w:cs="宋体"/>
          <w:sz w:val="24"/>
          <w:szCs w:val="24"/>
        </w:rPr>
        <w:t>Kerm</w:t>
      </w:r>
      <w:proofErr w:type="spellEnd"/>
      <w:r w:rsidRPr="00F01227">
        <w:rPr>
          <w:rFonts w:ascii="Book Antiqua" w:eastAsia="宋体" w:hAnsi="Book Antiqua" w:cs="宋体"/>
          <w:sz w:val="24"/>
          <w:szCs w:val="24"/>
        </w:rPr>
        <w:t xml:space="preserve"> Y. Open-label safety and efficacy pilot trial of intraperitoneal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as palliative treatment in refractory malignant ascite</w:t>
      </w:r>
      <w:r>
        <w:rPr>
          <w:rFonts w:ascii="Book Antiqua" w:eastAsia="宋体" w:hAnsi="Book Antiqua" w:cs="宋体"/>
          <w:sz w:val="24"/>
          <w:szCs w:val="24"/>
        </w:rPr>
        <w:t>s (Abstract only).</w:t>
      </w:r>
      <w:proofErr w:type="gramEnd"/>
      <w:r>
        <w:rPr>
          <w:rFonts w:ascii="Book Antiqua" w:eastAsia="宋体" w:hAnsi="Book Antiqua" w:cs="宋体"/>
          <w:sz w:val="24"/>
          <w:szCs w:val="24"/>
        </w:rPr>
        <w:t xml:space="preserve"> </w:t>
      </w:r>
      <w:r w:rsidRPr="00F01227">
        <w:rPr>
          <w:rFonts w:ascii="Book Antiqua" w:eastAsia="宋体" w:hAnsi="Book Antiqua" w:cs="宋体"/>
          <w:i/>
          <w:sz w:val="24"/>
          <w:szCs w:val="24"/>
        </w:rPr>
        <w:t xml:space="preserve">J </w:t>
      </w:r>
      <w:proofErr w:type="spellStart"/>
      <w:r w:rsidRPr="00F01227">
        <w:rPr>
          <w:rFonts w:ascii="Book Antiqua" w:eastAsia="宋体" w:hAnsi="Book Antiqua" w:cs="宋体"/>
          <w:i/>
          <w:sz w:val="24"/>
          <w:szCs w:val="24"/>
        </w:rPr>
        <w:t>Clin</w:t>
      </w:r>
      <w:proofErr w:type="spellEnd"/>
      <w:r w:rsidRPr="00F01227">
        <w:rPr>
          <w:rFonts w:ascii="Book Antiqua" w:eastAsia="宋体" w:hAnsi="Book Antiqua" w:cs="宋体"/>
          <w:i/>
          <w:sz w:val="24"/>
          <w:szCs w:val="24"/>
        </w:rPr>
        <w:t xml:space="preserve"> </w:t>
      </w:r>
      <w:proofErr w:type="spellStart"/>
      <w:r w:rsidRPr="00F01227">
        <w:rPr>
          <w:rFonts w:ascii="Book Antiqua" w:eastAsia="宋体" w:hAnsi="Book Antiqua" w:cs="宋体"/>
          <w:i/>
          <w:sz w:val="24"/>
          <w:szCs w:val="24"/>
        </w:rPr>
        <w:t>Onco</w:t>
      </w:r>
      <w:r>
        <w:rPr>
          <w:rFonts w:ascii="Book Antiqua" w:eastAsia="宋体" w:hAnsi="Book Antiqua" w:cs="宋体"/>
          <w:sz w:val="24"/>
          <w:szCs w:val="24"/>
        </w:rPr>
        <w:t>l</w:t>
      </w:r>
      <w:proofErr w:type="spellEnd"/>
      <w:r w:rsidRPr="00F01227">
        <w:rPr>
          <w:rFonts w:ascii="Book Antiqua" w:eastAsia="宋体" w:hAnsi="Book Antiqua" w:cs="宋体"/>
          <w:sz w:val="24"/>
          <w:szCs w:val="24"/>
        </w:rPr>
        <w:t xml:space="preserve"> 2007; </w:t>
      </w:r>
      <w:r w:rsidRPr="00F01227">
        <w:rPr>
          <w:rFonts w:ascii="Book Antiqua" w:eastAsia="宋体" w:hAnsi="Book Antiqua" w:cs="宋体"/>
          <w:b/>
          <w:sz w:val="24"/>
          <w:szCs w:val="24"/>
        </w:rPr>
        <w:t>25</w:t>
      </w:r>
      <w:r>
        <w:rPr>
          <w:rFonts w:ascii="Book Antiqua" w:eastAsia="宋体" w:hAnsi="Book Antiqua" w:cs="宋体"/>
          <w:sz w:val="24"/>
          <w:szCs w:val="24"/>
        </w:rPr>
        <w:t xml:space="preserve"> (18Supp): Abstract 9043</w:t>
      </w:r>
    </w:p>
    <w:p w:rsidR="00866080" w:rsidRPr="00F01227" w:rsidRDefault="00866080" w:rsidP="00866080">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20 </w:t>
      </w:r>
      <w:bookmarkStart w:id="56" w:name="OLE_LINK78"/>
      <w:bookmarkStart w:id="57" w:name="OLE_LINK79"/>
      <w:proofErr w:type="spellStart"/>
      <w:r w:rsidRPr="00F01227">
        <w:rPr>
          <w:rFonts w:ascii="Book Antiqua" w:eastAsia="宋体" w:hAnsi="Book Antiqua" w:cs="宋体"/>
          <w:b/>
          <w:sz w:val="24"/>
          <w:szCs w:val="24"/>
        </w:rPr>
        <w:t>Sjoquist</w:t>
      </w:r>
      <w:proofErr w:type="spellEnd"/>
      <w:r w:rsidRPr="00F01227">
        <w:rPr>
          <w:rFonts w:ascii="Book Antiqua" w:eastAsia="宋体" w:hAnsi="Book Antiqua" w:cs="宋体"/>
          <w:b/>
          <w:sz w:val="24"/>
          <w:szCs w:val="24"/>
        </w:rPr>
        <w:t xml:space="preserve"> KM, </w:t>
      </w:r>
      <w:r w:rsidRPr="00F01227">
        <w:rPr>
          <w:rFonts w:ascii="Book Antiqua" w:eastAsia="宋体" w:hAnsi="Book Antiqua" w:cs="宋体"/>
          <w:sz w:val="24"/>
          <w:szCs w:val="24"/>
        </w:rPr>
        <w:t xml:space="preserve">Friedlander M, </w:t>
      </w:r>
      <w:proofErr w:type="spellStart"/>
      <w:r w:rsidRPr="00F01227">
        <w:rPr>
          <w:rFonts w:ascii="Book Antiqua" w:eastAsia="宋体" w:hAnsi="Book Antiqua" w:cs="宋体"/>
          <w:sz w:val="24"/>
          <w:szCs w:val="24"/>
        </w:rPr>
        <w:t>Mileshkin</w:t>
      </w:r>
      <w:proofErr w:type="spellEnd"/>
      <w:r w:rsidRPr="00F01227">
        <w:rPr>
          <w:rFonts w:ascii="Book Antiqua" w:eastAsia="宋体" w:hAnsi="Book Antiqua" w:cs="宋体"/>
          <w:sz w:val="24"/>
          <w:szCs w:val="24"/>
        </w:rPr>
        <w:t xml:space="preserve"> LR, Quinn M, Goh JC, Shannon CM, </w:t>
      </w:r>
      <w:proofErr w:type="spellStart"/>
      <w:r w:rsidRPr="00F01227">
        <w:rPr>
          <w:rFonts w:ascii="Book Antiqua" w:eastAsia="宋体" w:hAnsi="Book Antiqua" w:cs="宋体"/>
          <w:sz w:val="24"/>
          <w:szCs w:val="24"/>
        </w:rPr>
        <w:t>Bowtell</w:t>
      </w:r>
      <w:proofErr w:type="spellEnd"/>
      <w:r w:rsidRPr="00F01227">
        <w:rPr>
          <w:rFonts w:ascii="Book Antiqua" w:eastAsia="宋体" w:hAnsi="Book Antiqua" w:cs="宋体"/>
          <w:sz w:val="24"/>
          <w:szCs w:val="24"/>
        </w:rPr>
        <w:t xml:space="preserve"> D, </w:t>
      </w:r>
      <w:proofErr w:type="spellStart"/>
      <w:r w:rsidRPr="00F01227">
        <w:rPr>
          <w:rFonts w:ascii="Book Antiqua" w:eastAsia="宋体" w:hAnsi="Book Antiqua" w:cs="宋体"/>
          <w:sz w:val="24"/>
          <w:szCs w:val="24"/>
        </w:rPr>
        <w:t>Plebanski</w:t>
      </w:r>
      <w:proofErr w:type="spellEnd"/>
      <w:r w:rsidRPr="00F01227">
        <w:rPr>
          <w:rFonts w:ascii="Book Antiqua" w:eastAsia="宋体" w:hAnsi="Book Antiqua" w:cs="宋体"/>
          <w:sz w:val="24"/>
          <w:szCs w:val="24"/>
        </w:rPr>
        <w:t xml:space="preserve"> M, Yip S, Carlton K, </w:t>
      </w:r>
      <w:proofErr w:type="spellStart"/>
      <w:r w:rsidRPr="00F01227">
        <w:rPr>
          <w:rFonts w:ascii="Book Antiqua" w:eastAsia="宋体" w:hAnsi="Book Antiqua" w:cs="宋体"/>
          <w:sz w:val="24"/>
          <w:szCs w:val="24"/>
        </w:rPr>
        <w:t>Gillies</w:t>
      </w:r>
      <w:proofErr w:type="spellEnd"/>
      <w:r w:rsidRPr="00F01227">
        <w:rPr>
          <w:rFonts w:ascii="Book Antiqua" w:eastAsia="宋体" w:hAnsi="Book Antiqua" w:cs="宋体"/>
          <w:sz w:val="24"/>
          <w:szCs w:val="24"/>
        </w:rPr>
        <w:t xml:space="preserve"> K, Martyn J, </w:t>
      </w:r>
      <w:proofErr w:type="spellStart"/>
      <w:r w:rsidRPr="00F01227">
        <w:rPr>
          <w:rFonts w:ascii="Book Antiqua" w:eastAsia="宋体" w:hAnsi="Book Antiqua" w:cs="宋体"/>
          <w:sz w:val="24"/>
          <w:szCs w:val="24"/>
        </w:rPr>
        <w:t>Gebski</w:t>
      </w:r>
      <w:proofErr w:type="spellEnd"/>
      <w:r w:rsidRPr="00F01227">
        <w:rPr>
          <w:rFonts w:ascii="Book Antiqua" w:eastAsia="宋体" w:hAnsi="Book Antiqua" w:cs="宋体"/>
          <w:sz w:val="24"/>
          <w:szCs w:val="24"/>
        </w:rPr>
        <w:t xml:space="preserve"> V, ANZGOG a. The REZOLVE phase II trial to evaluate the safety and potential palliative benefit of intraperitoneal </w:t>
      </w:r>
      <w:proofErr w:type="spellStart"/>
      <w:r w:rsidRPr="00F01227">
        <w:rPr>
          <w:rFonts w:ascii="Book Antiqua" w:eastAsia="宋体" w:hAnsi="Book Antiqua" w:cs="宋体"/>
          <w:sz w:val="24"/>
          <w:szCs w:val="24"/>
        </w:rPr>
        <w:t>bevacizumab</w:t>
      </w:r>
      <w:proofErr w:type="spellEnd"/>
      <w:r w:rsidRPr="00F01227">
        <w:rPr>
          <w:rFonts w:ascii="Book Antiqua" w:eastAsia="宋体" w:hAnsi="Book Antiqua" w:cs="宋体"/>
          <w:sz w:val="24"/>
          <w:szCs w:val="24"/>
        </w:rPr>
        <w:t xml:space="preserve"> in patients with symptomatic ascites due to advanced, chemotherapy-resistant ovarian cancer (Abstract only). </w:t>
      </w:r>
      <w:r w:rsidRPr="00F01227">
        <w:rPr>
          <w:rFonts w:ascii="Book Antiqua" w:eastAsia="宋体" w:hAnsi="Book Antiqua" w:cs="宋体"/>
          <w:i/>
          <w:sz w:val="24"/>
          <w:szCs w:val="24"/>
        </w:rPr>
        <w:t xml:space="preserve">J </w:t>
      </w:r>
      <w:proofErr w:type="spellStart"/>
      <w:r w:rsidRPr="00F01227">
        <w:rPr>
          <w:rFonts w:ascii="Book Antiqua" w:eastAsia="宋体" w:hAnsi="Book Antiqua" w:cs="宋体"/>
          <w:i/>
          <w:sz w:val="24"/>
          <w:szCs w:val="24"/>
        </w:rPr>
        <w:t>Clin</w:t>
      </w:r>
      <w:proofErr w:type="spellEnd"/>
      <w:r w:rsidRPr="00F01227">
        <w:rPr>
          <w:rFonts w:ascii="Book Antiqua" w:eastAsia="宋体" w:hAnsi="Book Antiqua" w:cs="宋体"/>
          <w:i/>
          <w:sz w:val="24"/>
          <w:szCs w:val="24"/>
        </w:rPr>
        <w:t xml:space="preserve"> </w:t>
      </w:r>
      <w:proofErr w:type="spellStart"/>
      <w:r w:rsidRPr="00F01227">
        <w:rPr>
          <w:rFonts w:ascii="Book Antiqua" w:eastAsia="宋体" w:hAnsi="Book Antiqua" w:cs="宋体"/>
          <w:i/>
          <w:sz w:val="24"/>
          <w:szCs w:val="24"/>
        </w:rPr>
        <w:t>Oncol</w:t>
      </w:r>
      <w:proofErr w:type="spellEnd"/>
      <w:r w:rsidRPr="00F01227">
        <w:rPr>
          <w:rFonts w:ascii="Book Antiqua" w:eastAsia="宋体" w:hAnsi="Book Antiqua" w:cs="宋体"/>
          <w:sz w:val="24"/>
          <w:szCs w:val="24"/>
        </w:rPr>
        <w:t xml:space="preserve"> 2014; </w:t>
      </w:r>
      <w:r w:rsidRPr="00F01227">
        <w:rPr>
          <w:rFonts w:ascii="Book Antiqua" w:eastAsia="宋体" w:hAnsi="Book Antiqua" w:cs="宋体"/>
          <w:b/>
          <w:sz w:val="24"/>
          <w:szCs w:val="24"/>
        </w:rPr>
        <w:t>32</w:t>
      </w:r>
      <w:r>
        <w:rPr>
          <w:rFonts w:ascii="Book Antiqua" w:eastAsia="宋体" w:hAnsi="Book Antiqua" w:cs="宋体"/>
          <w:sz w:val="24"/>
          <w:szCs w:val="24"/>
        </w:rPr>
        <w:t xml:space="preserve"> (15Supp)</w:t>
      </w:r>
      <w:bookmarkEnd w:id="56"/>
      <w:bookmarkEnd w:id="57"/>
      <w:r>
        <w:rPr>
          <w:rFonts w:ascii="Book Antiqua" w:eastAsia="宋体" w:hAnsi="Book Antiqua" w:cs="宋体"/>
          <w:sz w:val="24"/>
          <w:szCs w:val="24"/>
        </w:rPr>
        <w:t>: Abstract TPS5627</w:t>
      </w:r>
    </w:p>
    <w:p w:rsidR="00554C56" w:rsidRPr="00866080" w:rsidRDefault="00554C56" w:rsidP="00785D97">
      <w:pPr>
        <w:spacing w:after="0" w:line="360" w:lineRule="auto"/>
        <w:jc w:val="both"/>
        <w:rPr>
          <w:rFonts w:ascii="Book Antiqua" w:hAnsi="Book Antiqua"/>
          <w:b/>
          <w:sz w:val="24"/>
          <w:szCs w:val="24"/>
          <w:lang w:eastAsia="zh-CN"/>
        </w:rPr>
      </w:pPr>
    </w:p>
    <w:p w:rsidR="00951777" w:rsidRPr="00712F63" w:rsidRDefault="00951777" w:rsidP="00C2324C">
      <w:pPr>
        <w:pStyle w:val="a3"/>
        <w:spacing w:line="360" w:lineRule="auto"/>
        <w:ind w:left="0"/>
        <w:jc w:val="right"/>
        <w:rPr>
          <w:rFonts w:ascii="Book Antiqua" w:eastAsia="宋体" w:hAnsi="Book Antiqua"/>
          <w:b/>
          <w:bCs/>
          <w:color w:val="000000"/>
          <w:lang w:eastAsia="zh-CN"/>
        </w:rPr>
      </w:pPr>
      <w:bookmarkStart w:id="58" w:name="OLE_LINK277"/>
      <w:bookmarkStart w:id="59" w:name="OLE_LINK278"/>
      <w:bookmarkStart w:id="60" w:name="OLE_LINK279"/>
      <w:bookmarkStart w:id="61" w:name="OLE_LINK290"/>
      <w:bookmarkStart w:id="62" w:name="OLE_LINK301"/>
      <w:bookmarkStart w:id="63" w:name="OLE_LINK312"/>
      <w:bookmarkStart w:id="64" w:name="OLE_LINK315"/>
      <w:bookmarkStart w:id="65" w:name="OLE_LINK316"/>
      <w:bookmarkStart w:id="66" w:name="OLE_LINK317"/>
      <w:bookmarkStart w:id="67" w:name="OLE_LINK318"/>
      <w:bookmarkStart w:id="68" w:name="OLE_LINK326"/>
      <w:bookmarkStart w:id="69" w:name="OLE_LINK335"/>
      <w:bookmarkStart w:id="70" w:name="OLE_LINK339"/>
      <w:bookmarkStart w:id="71" w:name="OLE_LINK348"/>
      <w:bookmarkStart w:id="72" w:name="OLE_LINK399"/>
      <w:bookmarkStart w:id="73" w:name="OLE_LINK419"/>
      <w:bookmarkStart w:id="74" w:name="OLE_LINK420"/>
      <w:bookmarkStart w:id="75" w:name="OLE_LINK423"/>
      <w:bookmarkStart w:id="76" w:name="OLE_LINK449"/>
      <w:bookmarkStart w:id="77" w:name="OLE_LINK450"/>
      <w:bookmarkStart w:id="78" w:name="OLE_LINK454"/>
      <w:bookmarkStart w:id="79" w:name="OLE_LINK461"/>
      <w:bookmarkStart w:id="80" w:name="OLE_LINK471"/>
      <w:bookmarkStart w:id="81" w:name="OLE_LINK474"/>
      <w:bookmarkStart w:id="82" w:name="OLE_LINK407"/>
      <w:bookmarkStart w:id="83" w:name="OLE_LINK494"/>
      <w:bookmarkStart w:id="84" w:name="OLE_LINK506"/>
      <w:bookmarkStart w:id="85" w:name="OLE_LINK519"/>
      <w:bookmarkStart w:id="86" w:name="OLE_LINK8"/>
      <w:bookmarkEnd w:id="55"/>
      <w:r w:rsidRPr="00712F63">
        <w:rPr>
          <w:rStyle w:val="af0"/>
          <w:rFonts w:ascii="Book Antiqua" w:hAnsi="Book Antiqua" w:cs="Arial"/>
          <w:bCs w:val="0"/>
          <w:noProof/>
          <w:color w:val="000000"/>
        </w:rPr>
        <w:t>P-Reviewer</w:t>
      </w:r>
      <w:r w:rsidRPr="00712F63">
        <w:rPr>
          <w:rStyle w:val="af0"/>
          <w:rFonts w:ascii="Book Antiqua" w:eastAsia="宋体" w:hAnsi="Book Antiqua" w:cs="Arial"/>
          <w:bCs w:val="0"/>
          <w:noProof/>
          <w:color w:val="000000"/>
          <w:lang w:eastAsia="zh-CN"/>
        </w:rPr>
        <w:t>:</w:t>
      </w:r>
      <w:r w:rsidRPr="00712F63">
        <w:rPr>
          <w:rFonts w:ascii="Book Antiqua" w:hAnsi="Book Antiqua"/>
          <w:bCs/>
          <w:color w:val="000000"/>
        </w:rPr>
        <w:t xml:space="preserve"> </w:t>
      </w:r>
      <w:r w:rsidR="00C2324C">
        <w:rPr>
          <w:rFonts w:ascii="Book Antiqua" w:hAnsi="Book Antiqua"/>
          <w:bCs/>
          <w:color w:val="000000"/>
        </w:rPr>
        <w:t>Lu</w:t>
      </w:r>
      <w:r w:rsidR="00C2324C" w:rsidRPr="00C2324C">
        <w:rPr>
          <w:rFonts w:ascii="Book Antiqua" w:hAnsi="Book Antiqua"/>
          <w:bCs/>
          <w:color w:val="000000"/>
        </w:rPr>
        <w:t xml:space="preserve"> XF</w:t>
      </w:r>
      <w:r w:rsidR="00C2324C">
        <w:rPr>
          <w:rFonts w:ascii="Book Antiqua" w:eastAsiaTheme="minorEastAsia" w:hAnsi="Book Antiqua" w:hint="eastAsia"/>
          <w:bCs/>
          <w:color w:val="000000"/>
          <w:lang w:eastAsia="zh-CN"/>
        </w:rPr>
        <w:t>,</w:t>
      </w:r>
      <w:r w:rsidRPr="00712F63">
        <w:rPr>
          <w:rFonts w:ascii="Book Antiqua" w:hAnsi="Book Antiqua"/>
          <w:bCs/>
          <w:color w:val="000000"/>
        </w:rPr>
        <w:t xml:space="preserve"> </w:t>
      </w:r>
      <w:proofErr w:type="spellStart"/>
      <w:r w:rsidR="00C2324C">
        <w:rPr>
          <w:rFonts w:ascii="Book Antiqua" w:hAnsi="Book Antiqua"/>
          <w:bCs/>
          <w:color w:val="000000"/>
        </w:rPr>
        <w:t>Tanriverdi</w:t>
      </w:r>
      <w:proofErr w:type="spellEnd"/>
      <w:r w:rsidR="00C2324C" w:rsidRPr="00C2324C">
        <w:rPr>
          <w:rFonts w:ascii="Book Antiqua" w:hAnsi="Book Antiqua"/>
          <w:bCs/>
          <w:color w:val="000000"/>
        </w:rPr>
        <w:t xml:space="preserve"> O</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rsidR="00C071D1" w:rsidRPr="00951777" w:rsidRDefault="00C071D1" w:rsidP="00785D97">
      <w:pPr>
        <w:pStyle w:val="EndNoteBibliography"/>
        <w:spacing w:after="0" w:line="360" w:lineRule="auto"/>
        <w:jc w:val="both"/>
        <w:rPr>
          <w:rFonts w:ascii="Book Antiqua" w:hAnsi="Book Antiqua"/>
          <w:sz w:val="24"/>
          <w:szCs w:val="24"/>
          <w:lang w:val="en-AU"/>
        </w:rPr>
      </w:pPr>
    </w:p>
    <w:p w:rsidR="00C2324C" w:rsidRDefault="00C2324C">
      <w:pPr>
        <w:rPr>
          <w:rFonts w:ascii="Book Antiqua" w:hAnsi="Book Antiqua"/>
          <w:sz w:val="24"/>
          <w:szCs w:val="24"/>
          <w:u w:val="single"/>
        </w:rPr>
      </w:pPr>
      <w:r>
        <w:rPr>
          <w:rFonts w:ascii="Book Antiqua" w:hAnsi="Book Antiqua"/>
          <w:sz w:val="24"/>
          <w:szCs w:val="24"/>
          <w:u w:val="single"/>
        </w:rPr>
        <w:br w:type="page"/>
      </w:r>
    </w:p>
    <w:p w:rsidR="00C071D1" w:rsidRPr="00C2324C" w:rsidRDefault="00C2324C" w:rsidP="00785D97">
      <w:pPr>
        <w:spacing w:after="0" w:line="360" w:lineRule="auto"/>
        <w:jc w:val="both"/>
        <w:rPr>
          <w:rFonts w:ascii="Book Antiqua" w:hAnsi="Book Antiqua"/>
          <w:b/>
          <w:sz w:val="24"/>
          <w:szCs w:val="24"/>
        </w:rPr>
      </w:pPr>
      <w:r w:rsidRPr="00C2324C">
        <w:rPr>
          <w:rFonts w:ascii="Book Antiqua" w:hAnsi="Book Antiqua"/>
          <w:b/>
          <w:sz w:val="24"/>
          <w:szCs w:val="24"/>
        </w:rPr>
        <w:lastRenderedPageBreak/>
        <w:t>Table 1</w:t>
      </w:r>
      <w:r w:rsidRPr="00C2324C">
        <w:rPr>
          <w:rFonts w:ascii="Book Antiqua" w:hAnsi="Book Antiqua" w:hint="eastAsia"/>
          <w:b/>
          <w:sz w:val="24"/>
          <w:szCs w:val="24"/>
          <w:lang w:eastAsia="zh-CN"/>
        </w:rPr>
        <w:t xml:space="preserve"> </w:t>
      </w:r>
      <w:r w:rsidR="00C071D1" w:rsidRPr="00C2324C">
        <w:rPr>
          <w:rFonts w:ascii="Book Antiqua" w:hAnsi="Book Antiqua"/>
          <w:b/>
          <w:sz w:val="24"/>
          <w:szCs w:val="24"/>
        </w:rPr>
        <w:t xml:space="preserve">Baseline </w:t>
      </w:r>
      <w:r w:rsidR="009A01ED" w:rsidRPr="00C2324C">
        <w:rPr>
          <w:rFonts w:ascii="Book Antiqua" w:hAnsi="Book Antiqua"/>
          <w:b/>
          <w:sz w:val="24"/>
          <w:szCs w:val="24"/>
        </w:rPr>
        <w:t xml:space="preserve">characteristics </w:t>
      </w:r>
      <w:r w:rsidR="00C071D1" w:rsidRPr="00C2324C">
        <w:rPr>
          <w:rFonts w:ascii="Book Antiqua" w:hAnsi="Book Antiqua"/>
          <w:b/>
          <w:sz w:val="24"/>
          <w:szCs w:val="24"/>
        </w:rPr>
        <w:t>of all three cohorts</w:t>
      </w:r>
    </w:p>
    <w:tbl>
      <w:tblPr>
        <w:tblW w:w="9302" w:type="dxa"/>
        <w:jc w:val="center"/>
        <w:tblInd w:w="-1114" w:type="dxa"/>
        <w:tblBorders>
          <w:top w:val="single" w:sz="8" w:space="0" w:color="auto"/>
          <w:bottom w:val="single" w:sz="4" w:space="0" w:color="auto"/>
        </w:tblBorders>
        <w:tblLook w:val="04A0" w:firstRow="1" w:lastRow="0" w:firstColumn="1" w:lastColumn="0" w:noHBand="0" w:noVBand="1"/>
      </w:tblPr>
      <w:tblGrid>
        <w:gridCol w:w="2356"/>
        <w:gridCol w:w="1134"/>
        <w:gridCol w:w="1120"/>
        <w:gridCol w:w="1148"/>
        <w:gridCol w:w="1120"/>
        <w:gridCol w:w="1275"/>
        <w:gridCol w:w="1149"/>
      </w:tblGrid>
      <w:tr w:rsidR="00C071D1" w:rsidRPr="00951777" w:rsidTr="00C2324C">
        <w:trPr>
          <w:trHeight w:val="360"/>
          <w:jc w:val="center"/>
        </w:trPr>
        <w:tc>
          <w:tcPr>
            <w:tcW w:w="2356" w:type="dxa"/>
            <w:tcBorders>
              <w:top w:val="single" w:sz="8" w:space="0" w:color="auto"/>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2254" w:type="dxa"/>
            <w:gridSpan w:val="2"/>
            <w:tcBorders>
              <w:top w:val="single" w:sz="8" w:space="0" w:color="auto"/>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MAX</w:t>
            </w:r>
          </w:p>
        </w:tc>
        <w:tc>
          <w:tcPr>
            <w:tcW w:w="2268" w:type="dxa"/>
            <w:gridSpan w:val="2"/>
            <w:tcBorders>
              <w:top w:val="single" w:sz="8" w:space="0" w:color="auto"/>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TRACC</w:t>
            </w:r>
          </w:p>
        </w:tc>
        <w:tc>
          <w:tcPr>
            <w:tcW w:w="2424" w:type="dxa"/>
            <w:gridSpan w:val="2"/>
            <w:tcBorders>
              <w:top w:val="single" w:sz="8" w:space="0" w:color="auto"/>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NSWCC cohort</w:t>
            </w:r>
          </w:p>
        </w:tc>
      </w:tr>
      <w:tr w:rsidR="00C071D1" w:rsidRPr="00951777" w:rsidTr="00C2324C">
        <w:trPr>
          <w:trHeight w:val="360"/>
          <w:jc w:val="center"/>
        </w:trPr>
        <w:tc>
          <w:tcPr>
            <w:tcW w:w="2356" w:type="dxa"/>
            <w:tcBorders>
              <w:top w:val="nil"/>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2254" w:type="dxa"/>
            <w:gridSpan w:val="2"/>
            <w:tcBorders>
              <w:top w:val="nil"/>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July 2005 to June 2007</w:t>
            </w:r>
          </w:p>
        </w:tc>
        <w:tc>
          <w:tcPr>
            <w:tcW w:w="2268" w:type="dxa"/>
            <w:gridSpan w:val="2"/>
            <w:tcBorders>
              <w:top w:val="nil"/>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July 2009 to June 2014</w:t>
            </w:r>
          </w:p>
        </w:tc>
        <w:tc>
          <w:tcPr>
            <w:tcW w:w="2424" w:type="dxa"/>
            <w:gridSpan w:val="2"/>
            <w:tcBorders>
              <w:top w:val="nil"/>
              <w:bottom w:val="nil"/>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Jan 2005 to Dec 2012</w:t>
            </w:r>
          </w:p>
        </w:tc>
      </w:tr>
      <w:tr w:rsidR="00C071D1" w:rsidRPr="00951777" w:rsidTr="00C2324C">
        <w:trPr>
          <w:trHeight w:val="615"/>
          <w:jc w:val="center"/>
        </w:trPr>
        <w:tc>
          <w:tcPr>
            <w:tcW w:w="2356" w:type="dxa"/>
            <w:tcBorders>
              <w:top w:val="nil"/>
              <w:bottom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34"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alone</w:t>
            </w:r>
          </w:p>
        </w:tc>
        <w:tc>
          <w:tcPr>
            <w:tcW w:w="1120"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 Bev</w:t>
            </w:r>
          </w:p>
        </w:tc>
        <w:tc>
          <w:tcPr>
            <w:tcW w:w="1148"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alone</w:t>
            </w:r>
          </w:p>
        </w:tc>
        <w:tc>
          <w:tcPr>
            <w:tcW w:w="1120"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 Bev</w:t>
            </w:r>
          </w:p>
        </w:tc>
        <w:tc>
          <w:tcPr>
            <w:tcW w:w="1275"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alone</w:t>
            </w:r>
          </w:p>
        </w:tc>
        <w:tc>
          <w:tcPr>
            <w:tcW w:w="1149" w:type="dxa"/>
            <w:tcBorders>
              <w:top w:val="nil"/>
              <w:bottom w:val="single" w:sz="8" w:space="0" w:color="auto"/>
            </w:tcBorders>
            <w:shd w:val="clear" w:color="auto" w:fill="auto"/>
            <w:vAlign w:val="bottom"/>
            <w:hideMark/>
          </w:tcPr>
          <w:p w:rsidR="00C071D1" w:rsidRPr="00951777" w:rsidRDefault="00C071D1" w:rsidP="00785D97">
            <w:pPr>
              <w:spacing w:after="0" w:line="360" w:lineRule="auto"/>
              <w:jc w:val="both"/>
              <w:rPr>
                <w:rFonts w:ascii="Book Antiqua" w:eastAsia="Times New Roman" w:hAnsi="Book Antiqua" w:cs="Times New Roman"/>
                <w:b/>
                <w:bCs/>
                <w:color w:val="000000"/>
                <w:sz w:val="24"/>
                <w:szCs w:val="24"/>
                <w:lang w:eastAsia="en-AU"/>
              </w:rPr>
            </w:pPr>
            <w:r w:rsidRPr="00951777">
              <w:rPr>
                <w:rFonts w:ascii="Book Antiqua" w:eastAsia="Times New Roman" w:hAnsi="Book Antiqua" w:cs="Times New Roman"/>
                <w:b/>
                <w:bCs/>
                <w:color w:val="000000"/>
                <w:sz w:val="24"/>
                <w:szCs w:val="24"/>
                <w:lang w:eastAsia="en-AU"/>
              </w:rPr>
              <w:t>Chemo + Bev</w:t>
            </w:r>
          </w:p>
        </w:tc>
      </w:tr>
      <w:tr w:rsidR="00C071D1" w:rsidRPr="00951777" w:rsidTr="00C2324C">
        <w:trPr>
          <w:trHeight w:val="315"/>
          <w:jc w:val="center"/>
        </w:trPr>
        <w:tc>
          <w:tcPr>
            <w:tcW w:w="2356" w:type="dxa"/>
            <w:tcBorders>
              <w:top w:val="single" w:sz="8" w:space="0" w:color="auto"/>
            </w:tcBorders>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i/>
                <w:color w:val="000000"/>
                <w:sz w:val="24"/>
                <w:szCs w:val="24"/>
                <w:lang w:eastAsia="en-AU"/>
              </w:rPr>
            </w:pPr>
            <w:r w:rsidRPr="00C2324C">
              <w:rPr>
                <w:rFonts w:ascii="Book Antiqua" w:eastAsia="Times New Roman" w:hAnsi="Book Antiqua" w:cs="Times New Roman"/>
                <w:i/>
                <w:color w:val="000000"/>
                <w:sz w:val="24"/>
                <w:szCs w:val="24"/>
                <w:lang w:eastAsia="en-AU"/>
              </w:rPr>
              <w:t>n</w:t>
            </w:r>
          </w:p>
        </w:tc>
        <w:tc>
          <w:tcPr>
            <w:tcW w:w="1134"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33</w:t>
            </w:r>
          </w:p>
        </w:tc>
        <w:tc>
          <w:tcPr>
            <w:tcW w:w="1120"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51</w:t>
            </w:r>
          </w:p>
        </w:tc>
        <w:tc>
          <w:tcPr>
            <w:tcW w:w="1148"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53</w:t>
            </w:r>
          </w:p>
        </w:tc>
        <w:tc>
          <w:tcPr>
            <w:tcW w:w="1120"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126</w:t>
            </w:r>
          </w:p>
        </w:tc>
        <w:tc>
          <w:tcPr>
            <w:tcW w:w="1275"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52</w:t>
            </w:r>
          </w:p>
        </w:tc>
        <w:tc>
          <w:tcPr>
            <w:tcW w:w="1149" w:type="dxa"/>
            <w:tcBorders>
              <w:top w:val="single" w:sz="8" w:space="0" w:color="auto"/>
            </w:tcBorders>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17</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Age</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Median</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70</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67</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72</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64</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66</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60</w:t>
            </w:r>
          </w:p>
        </w:tc>
      </w:tr>
      <w:tr w:rsidR="00C071D1" w:rsidRPr="00951777" w:rsidTr="00C2324C">
        <w:trPr>
          <w:trHeight w:val="315"/>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Range</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47-84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39-83</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31-91</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30-87</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38-83</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21-79</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Sex</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Male</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30</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22</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71</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35</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11</w:t>
            </w:r>
          </w:p>
        </w:tc>
      </w:tr>
      <w:tr w:rsidR="00C071D1" w:rsidRPr="00951777" w:rsidTr="00C2324C">
        <w:trPr>
          <w:trHeight w:val="315"/>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Female</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21</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31</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55</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17</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ECOG</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PS 0</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29</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45</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35</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13</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PS 1</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17</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15</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61</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12</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PS 2</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7</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17</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w:t>
            </w:r>
          </w:p>
        </w:tc>
      </w:tr>
      <w:tr w:rsidR="00C071D1" w:rsidRPr="00951777" w:rsidTr="00C2324C">
        <w:trPr>
          <w:trHeight w:val="315"/>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PS 3</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CCI</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0</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33</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89</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1-2</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33</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15"/>
          <w:jc w:val="center"/>
        </w:trPr>
        <w:tc>
          <w:tcPr>
            <w:tcW w:w="2356" w:type="dxa"/>
            <w:shd w:val="clear" w:color="auto" w:fill="auto"/>
            <w:noWrap/>
            <w:vAlign w:val="bottom"/>
            <w:hideMark/>
          </w:tcPr>
          <w:p w:rsidR="00C071D1" w:rsidRPr="00C2324C" w:rsidRDefault="00C2324C"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sym w:font="Symbol" w:char="F0B3"/>
            </w:r>
            <w:r w:rsidRPr="00C2324C">
              <w:rPr>
                <w:rFonts w:ascii="Book Antiqua" w:hAnsi="Book Antiqua" w:cs="Times New Roman" w:hint="eastAsia"/>
                <w:color w:val="000000"/>
                <w:sz w:val="24"/>
                <w:szCs w:val="24"/>
                <w:lang w:eastAsia="zh-CN"/>
              </w:rPr>
              <w:t xml:space="preserve"> </w:t>
            </w:r>
            <w:r w:rsidR="00C071D1" w:rsidRPr="00C2324C">
              <w:rPr>
                <w:rFonts w:ascii="Book Antiqua" w:eastAsia="Times New Roman" w:hAnsi="Book Antiqua" w:cs="Times New Roman"/>
                <w:color w:val="000000"/>
                <w:sz w:val="24"/>
                <w:szCs w:val="24"/>
                <w:lang w:eastAsia="en-AU"/>
              </w:rPr>
              <w:t>3</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Primary site</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Colon</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29</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44</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107</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47</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15</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Rectum</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7</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14</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w:t>
            </w:r>
          </w:p>
        </w:tc>
      </w:tr>
      <w:tr w:rsidR="00C071D1" w:rsidRPr="00951777" w:rsidTr="00C2324C">
        <w:trPr>
          <w:trHeight w:val="315"/>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Occult</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Prior adjuvant Rx</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Yes</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11</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10</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34</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11</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w:t>
            </w:r>
          </w:p>
        </w:tc>
      </w:tr>
      <w:tr w:rsidR="00C071D1" w:rsidRPr="00951777" w:rsidTr="00C2324C">
        <w:trPr>
          <w:trHeight w:val="315"/>
          <w:jc w:val="center"/>
        </w:trPr>
        <w:tc>
          <w:tcPr>
            <w:tcW w:w="2356" w:type="dxa"/>
            <w:shd w:val="clear" w:color="auto" w:fill="auto"/>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No</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40</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43</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92</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41</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13</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Primary resected</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hAnsi="Book Antiqua" w:cs="Times New Roman"/>
                <w:color w:val="000000"/>
                <w:sz w:val="24"/>
                <w:szCs w:val="24"/>
                <w:lang w:eastAsia="zh-CN"/>
              </w:rPr>
            </w:pPr>
            <w:r w:rsidRPr="00C2324C">
              <w:rPr>
                <w:rFonts w:ascii="Book Antiqua" w:eastAsia="Times New Roman" w:hAnsi="Book Antiqua" w:cs="Times New Roman"/>
                <w:color w:val="000000"/>
                <w:sz w:val="24"/>
                <w:szCs w:val="24"/>
                <w:lang w:eastAsia="en-AU"/>
              </w:rPr>
              <w:t>Yes</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28</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39</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24</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80</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34</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16</w:t>
            </w:r>
          </w:p>
        </w:tc>
      </w:tr>
      <w:tr w:rsidR="00C071D1" w:rsidRPr="00951777" w:rsidTr="00C2324C">
        <w:trPr>
          <w:trHeight w:val="315"/>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lastRenderedPageBreak/>
              <w:t>No</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12</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29</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46</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18</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No. of met sites</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1</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30</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2</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17</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45</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15"/>
          <w:jc w:val="center"/>
        </w:trPr>
        <w:tc>
          <w:tcPr>
            <w:tcW w:w="2356" w:type="dxa"/>
            <w:shd w:val="clear" w:color="auto" w:fill="auto"/>
            <w:noWrap/>
            <w:vAlign w:val="bottom"/>
            <w:hideMark/>
          </w:tcPr>
          <w:p w:rsidR="00C071D1" w:rsidRPr="00C2324C" w:rsidRDefault="00C2324C"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sym w:font="Symbol" w:char="F0B3"/>
            </w:r>
            <w:r w:rsidRPr="00C2324C">
              <w:rPr>
                <w:rFonts w:ascii="Book Antiqua" w:hAnsi="Book Antiqua" w:cs="Times New Roman" w:hint="eastAsia"/>
                <w:color w:val="000000"/>
                <w:sz w:val="24"/>
                <w:szCs w:val="24"/>
                <w:lang w:eastAsia="zh-CN"/>
              </w:rPr>
              <w:t xml:space="preserve"> </w:t>
            </w:r>
            <w:r w:rsidR="00C071D1" w:rsidRPr="00C2324C">
              <w:rPr>
                <w:rFonts w:ascii="Book Antiqua" w:eastAsia="Times New Roman" w:hAnsi="Book Antiqua" w:cs="Times New Roman"/>
                <w:color w:val="000000"/>
                <w:sz w:val="24"/>
                <w:szCs w:val="24"/>
                <w:lang w:eastAsia="en-AU"/>
              </w:rPr>
              <w:t>3</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21</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51</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785D97">
            <w:pPr>
              <w:spacing w:after="0" w:line="360" w:lineRule="auto"/>
              <w:jc w:val="both"/>
              <w:rPr>
                <w:rFonts w:ascii="Book Antiqua" w:eastAsia="Times New Roman" w:hAnsi="Book Antiqua" w:cs="Times New Roman"/>
                <w:bCs/>
                <w:color w:val="000000"/>
                <w:sz w:val="24"/>
                <w:szCs w:val="24"/>
                <w:lang w:eastAsia="en-AU"/>
              </w:rPr>
            </w:pPr>
            <w:r w:rsidRPr="00C2324C">
              <w:rPr>
                <w:rFonts w:ascii="Book Antiqua" w:eastAsia="Times New Roman" w:hAnsi="Book Antiqua" w:cs="Times New Roman"/>
                <w:bCs/>
                <w:color w:val="000000"/>
                <w:sz w:val="24"/>
                <w:szCs w:val="24"/>
                <w:lang w:eastAsia="en-AU"/>
              </w:rPr>
              <w:t>Chemo regimen</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N/A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Single-agent FP</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19</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12</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proofErr w:type="spellStart"/>
            <w:r w:rsidRPr="00C2324C">
              <w:rPr>
                <w:rFonts w:ascii="Book Antiqua" w:eastAsia="Times New Roman" w:hAnsi="Book Antiqua" w:cs="Times New Roman"/>
                <w:color w:val="000000"/>
                <w:sz w:val="24"/>
                <w:szCs w:val="24"/>
                <w:lang w:eastAsia="en-AU"/>
              </w:rPr>
              <w:t>Oxaliplatin</w:t>
            </w:r>
            <w:proofErr w:type="spellEnd"/>
            <w:r w:rsidRPr="00C2324C">
              <w:rPr>
                <w:rFonts w:ascii="Book Antiqua" w:eastAsia="Times New Roman" w:hAnsi="Book Antiqua" w:cs="Times New Roman"/>
                <w:color w:val="000000"/>
                <w:sz w:val="24"/>
                <w:szCs w:val="24"/>
                <w:lang w:eastAsia="en-AU"/>
              </w:rPr>
              <w:t>-based doublet</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25</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87</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proofErr w:type="spellStart"/>
            <w:r w:rsidRPr="00C2324C">
              <w:rPr>
                <w:rFonts w:ascii="Book Antiqua" w:eastAsia="Times New Roman" w:hAnsi="Book Antiqua" w:cs="Times New Roman"/>
                <w:color w:val="000000"/>
                <w:sz w:val="24"/>
                <w:szCs w:val="24"/>
                <w:lang w:eastAsia="en-AU"/>
              </w:rPr>
              <w:t>Irinotecan</w:t>
            </w:r>
            <w:proofErr w:type="spellEnd"/>
            <w:r w:rsidRPr="00C2324C">
              <w:rPr>
                <w:rFonts w:ascii="Book Antiqua" w:eastAsia="Times New Roman" w:hAnsi="Book Antiqua" w:cs="Times New Roman"/>
                <w:color w:val="000000"/>
                <w:sz w:val="24"/>
                <w:szCs w:val="24"/>
                <w:lang w:eastAsia="en-AU"/>
              </w:rPr>
              <w:t>-based doublet</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18</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noWrap/>
            <w:vAlign w:val="bottom"/>
            <w:hideMark/>
          </w:tcPr>
          <w:p w:rsidR="00C071D1" w:rsidRPr="00C2324C" w:rsidRDefault="00C071D1" w:rsidP="00C2324C">
            <w:pPr>
              <w:spacing w:after="0" w:line="360" w:lineRule="auto"/>
              <w:ind w:leftChars="55" w:left="121"/>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 xml:space="preserve">Single-agent </w:t>
            </w:r>
            <w:proofErr w:type="spellStart"/>
            <w:r w:rsidRPr="00C2324C">
              <w:rPr>
                <w:rFonts w:ascii="Book Antiqua" w:eastAsia="Times New Roman" w:hAnsi="Book Antiqua" w:cs="Times New Roman"/>
                <w:color w:val="000000"/>
                <w:sz w:val="24"/>
                <w:szCs w:val="24"/>
                <w:lang w:eastAsia="en-AU"/>
              </w:rPr>
              <w:t>Irinotecan</w:t>
            </w:r>
            <w:proofErr w:type="spellEnd"/>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0</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r w:rsidR="00C071D1" w:rsidRPr="00951777" w:rsidTr="00C2324C">
        <w:trPr>
          <w:trHeight w:val="300"/>
          <w:jc w:val="center"/>
        </w:trPr>
        <w:tc>
          <w:tcPr>
            <w:tcW w:w="2356" w:type="dxa"/>
            <w:shd w:val="clear" w:color="auto" w:fill="auto"/>
            <w:vAlign w:val="bottom"/>
            <w:hideMark/>
          </w:tcPr>
          <w:p w:rsidR="00C071D1" w:rsidRPr="00C2324C" w:rsidRDefault="00C071D1" w:rsidP="00C2324C">
            <w:pPr>
              <w:spacing w:after="0" w:line="360" w:lineRule="auto"/>
              <w:ind w:firstLineChars="50" w:firstLine="120"/>
              <w:jc w:val="both"/>
              <w:rPr>
                <w:rFonts w:ascii="Book Antiqua" w:eastAsia="Times New Roman" w:hAnsi="Book Antiqua" w:cs="Times New Roman"/>
                <w:color w:val="000000"/>
                <w:sz w:val="24"/>
                <w:szCs w:val="24"/>
                <w:lang w:eastAsia="en-AU"/>
              </w:rPr>
            </w:pPr>
            <w:r w:rsidRPr="00C2324C">
              <w:rPr>
                <w:rFonts w:ascii="Book Antiqua" w:eastAsia="Times New Roman" w:hAnsi="Book Antiqua" w:cs="Times New Roman"/>
                <w:color w:val="000000"/>
                <w:sz w:val="24"/>
                <w:szCs w:val="24"/>
                <w:lang w:eastAsia="en-AU"/>
              </w:rPr>
              <w:t>Other</w:t>
            </w:r>
          </w:p>
        </w:tc>
        <w:tc>
          <w:tcPr>
            <w:tcW w:w="1134"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8"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3</w:t>
            </w:r>
          </w:p>
        </w:tc>
        <w:tc>
          <w:tcPr>
            <w:tcW w:w="1120"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6</w:t>
            </w:r>
          </w:p>
        </w:tc>
        <w:tc>
          <w:tcPr>
            <w:tcW w:w="1275"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c>
          <w:tcPr>
            <w:tcW w:w="1149" w:type="dxa"/>
            <w:shd w:val="clear" w:color="auto" w:fill="auto"/>
            <w:noWrap/>
            <w:vAlign w:val="bottom"/>
            <w:hideMark/>
          </w:tcPr>
          <w:p w:rsidR="00C071D1" w:rsidRPr="00951777" w:rsidRDefault="00C071D1" w:rsidP="00785D97">
            <w:pPr>
              <w:spacing w:after="0" w:line="360" w:lineRule="auto"/>
              <w:jc w:val="both"/>
              <w:rPr>
                <w:rFonts w:ascii="Book Antiqua" w:eastAsia="Times New Roman" w:hAnsi="Book Antiqua" w:cs="Times New Roman"/>
                <w:color w:val="000000"/>
                <w:sz w:val="24"/>
                <w:szCs w:val="24"/>
                <w:lang w:eastAsia="en-AU"/>
              </w:rPr>
            </w:pPr>
            <w:r w:rsidRPr="00951777">
              <w:rPr>
                <w:rFonts w:ascii="Book Antiqua" w:eastAsia="Times New Roman" w:hAnsi="Book Antiqua" w:cs="Times New Roman"/>
                <w:color w:val="000000"/>
                <w:sz w:val="24"/>
                <w:szCs w:val="24"/>
                <w:lang w:eastAsia="en-AU"/>
              </w:rPr>
              <w:t> </w:t>
            </w:r>
          </w:p>
        </w:tc>
      </w:tr>
    </w:tbl>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C2324C" w:rsidRDefault="00C2324C">
      <w:pPr>
        <w:rPr>
          <w:rFonts w:ascii="Book Antiqua" w:hAnsi="Book Antiqua"/>
          <w:b/>
          <w:bCs/>
          <w:sz w:val="24"/>
          <w:szCs w:val="24"/>
        </w:rPr>
      </w:pPr>
      <w:r>
        <w:rPr>
          <w:rFonts w:ascii="Book Antiqua" w:hAnsi="Book Antiqua"/>
          <w:sz w:val="24"/>
          <w:szCs w:val="24"/>
        </w:rPr>
        <w:br w:type="page"/>
      </w:r>
    </w:p>
    <w:p w:rsidR="004510CE" w:rsidRDefault="004510CE" w:rsidP="00785D97">
      <w:pPr>
        <w:pStyle w:val="af2"/>
        <w:keepNext/>
        <w:spacing w:after="0"/>
        <w:jc w:val="both"/>
        <w:rPr>
          <w:rFonts w:ascii="Book Antiqua" w:hAnsi="Book Antiqua"/>
          <w:color w:val="auto"/>
          <w:sz w:val="24"/>
          <w:szCs w:val="24"/>
          <w:lang w:eastAsia="zh-CN"/>
        </w:rPr>
      </w:pPr>
      <w:r w:rsidRPr="00C2324C">
        <w:rPr>
          <w:rFonts w:ascii="Book Antiqua" w:hAnsi="Book Antiqua"/>
          <w:color w:val="auto"/>
          <w:sz w:val="24"/>
          <w:szCs w:val="24"/>
        </w:rPr>
        <w:lastRenderedPageBreak/>
        <w:t xml:space="preserve">Figure </w:t>
      </w:r>
      <w:r w:rsidRPr="00C2324C">
        <w:rPr>
          <w:rFonts w:ascii="Book Antiqua" w:hAnsi="Book Antiqua"/>
          <w:color w:val="auto"/>
          <w:sz w:val="24"/>
          <w:szCs w:val="24"/>
        </w:rPr>
        <w:fldChar w:fldCharType="begin"/>
      </w:r>
      <w:r w:rsidRPr="00C2324C">
        <w:rPr>
          <w:rFonts w:ascii="Book Antiqua" w:hAnsi="Book Antiqua"/>
          <w:color w:val="auto"/>
          <w:sz w:val="24"/>
          <w:szCs w:val="24"/>
        </w:rPr>
        <w:instrText xml:space="preserve"> SEQ Figure \* ARABIC </w:instrText>
      </w:r>
      <w:r w:rsidRPr="00C2324C">
        <w:rPr>
          <w:rFonts w:ascii="Book Antiqua" w:hAnsi="Book Antiqua"/>
          <w:color w:val="auto"/>
          <w:sz w:val="24"/>
          <w:szCs w:val="24"/>
        </w:rPr>
        <w:fldChar w:fldCharType="separate"/>
      </w:r>
      <w:r w:rsidRPr="00C2324C">
        <w:rPr>
          <w:rFonts w:ascii="Book Antiqua" w:hAnsi="Book Antiqua"/>
          <w:noProof/>
          <w:color w:val="auto"/>
          <w:sz w:val="24"/>
          <w:szCs w:val="24"/>
        </w:rPr>
        <w:t>1</w:t>
      </w:r>
      <w:r w:rsidRPr="00C2324C">
        <w:rPr>
          <w:rFonts w:ascii="Book Antiqua" w:hAnsi="Book Antiqua"/>
          <w:color w:val="auto"/>
          <w:sz w:val="24"/>
          <w:szCs w:val="24"/>
        </w:rPr>
        <w:fldChar w:fldCharType="end"/>
      </w:r>
      <w:r w:rsidR="00C2324C">
        <w:rPr>
          <w:rFonts w:ascii="Book Antiqua" w:hAnsi="Book Antiqua" w:hint="eastAsia"/>
          <w:color w:val="auto"/>
          <w:sz w:val="24"/>
          <w:szCs w:val="24"/>
          <w:lang w:eastAsia="zh-CN"/>
        </w:rPr>
        <w:t xml:space="preserve"> </w:t>
      </w:r>
      <w:r w:rsidRPr="00C2324C">
        <w:rPr>
          <w:rFonts w:ascii="Book Antiqua" w:hAnsi="Book Antiqua"/>
          <w:color w:val="auto"/>
          <w:sz w:val="24"/>
          <w:szCs w:val="24"/>
        </w:rPr>
        <w:t>Rate of gastrointestinal perforation</w:t>
      </w:r>
      <w:r w:rsidR="00C2324C">
        <w:rPr>
          <w:rFonts w:ascii="Book Antiqua" w:hAnsi="Book Antiqua" w:hint="eastAsia"/>
          <w:color w:val="auto"/>
          <w:sz w:val="24"/>
          <w:szCs w:val="24"/>
          <w:lang w:eastAsia="zh-CN"/>
        </w:rPr>
        <w:t>.</w:t>
      </w:r>
    </w:p>
    <w:p w:rsidR="00C2324C" w:rsidRPr="00C2324C" w:rsidRDefault="00C2324C" w:rsidP="00C2324C">
      <w:pPr>
        <w:rPr>
          <w:lang w:eastAsia="zh-CN"/>
        </w:rPr>
      </w:pPr>
    </w:p>
    <w:p w:rsidR="004510CE" w:rsidRDefault="004510CE" w:rsidP="00785D97">
      <w:pPr>
        <w:spacing w:after="0" w:line="360" w:lineRule="auto"/>
        <w:jc w:val="both"/>
        <w:rPr>
          <w:rFonts w:ascii="Book Antiqua" w:hAnsi="Book Antiqua"/>
          <w:b/>
          <w:sz w:val="24"/>
          <w:szCs w:val="24"/>
        </w:rPr>
      </w:pPr>
      <w:r w:rsidRPr="00A926F8">
        <w:rPr>
          <w:rFonts w:ascii="Book Antiqua" w:hAnsi="Book Antiqua"/>
          <w:noProof/>
          <w:sz w:val="24"/>
          <w:szCs w:val="24"/>
          <w:lang w:val="en-US" w:eastAsia="zh-CN"/>
        </w:rPr>
        <w:drawing>
          <wp:inline distT="0" distB="0" distL="0" distR="0" wp14:anchorId="16046561" wp14:editId="41B1FC66">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4510CE" w:rsidRDefault="004510CE" w:rsidP="00785D97">
      <w:pPr>
        <w:spacing w:after="0" w:line="360" w:lineRule="auto"/>
        <w:jc w:val="both"/>
        <w:rPr>
          <w:rFonts w:ascii="Book Antiqua" w:hAnsi="Book Antiqua"/>
          <w:b/>
          <w:sz w:val="24"/>
          <w:szCs w:val="24"/>
        </w:rPr>
      </w:pPr>
    </w:p>
    <w:p w:rsidR="00C2324C" w:rsidRDefault="00C2324C">
      <w:pPr>
        <w:rPr>
          <w:rFonts w:ascii="Book Antiqua" w:hAnsi="Book Antiqua"/>
          <w:b/>
          <w:sz w:val="24"/>
          <w:szCs w:val="24"/>
        </w:rPr>
      </w:pPr>
      <w:r>
        <w:rPr>
          <w:rFonts w:ascii="Book Antiqua" w:hAnsi="Book Antiqua"/>
          <w:b/>
          <w:sz w:val="24"/>
          <w:szCs w:val="24"/>
        </w:rPr>
        <w:br w:type="page"/>
      </w:r>
    </w:p>
    <w:p w:rsidR="00C071D1" w:rsidRDefault="00C071D1" w:rsidP="00785D97">
      <w:pPr>
        <w:spacing w:after="0" w:line="360" w:lineRule="auto"/>
        <w:jc w:val="both"/>
        <w:rPr>
          <w:rFonts w:ascii="Book Antiqua" w:hAnsi="Book Antiqua"/>
          <w:b/>
          <w:sz w:val="24"/>
          <w:szCs w:val="24"/>
          <w:lang w:eastAsia="zh-CN"/>
        </w:rPr>
      </w:pPr>
      <w:r w:rsidRPr="00951777">
        <w:rPr>
          <w:rFonts w:ascii="Book Antiqua" w:hAnsi="Book Antiqua"/>
          <w:b/>
          <w:sz w:val="24"/>
          <w:szCs w:val="24"/>
        </w:rPr>
        <w:lastRenderedPageBreak/>
        <w:t xml:space="preserve">Figure </w:t>
      </w:r>
      <w:r w:rsidR="004510CE">
        <w:rPr>
          <w:rFonts w:ascii="Book Antiqua" w:hAnsi="Book Antiqua"/>
          <w:b/>
          <w:sz w:val="24"/>
          <w:szCs w:val="24"/>
        </w:rPr>
        <w:t>2</w:t>
      </w:r>
      <w:r w:rsidRPr="009A01ED">
        <w:rPr>
          <w:rFonts w:ascii="Book Antiqua" w:hAnsi="Book Antiqua"/>
          <w:b/>
          <w:sz w:val="24"/>
          <w:szCs w:val="24"/>
        </w:rPr>
        <w:t xml:space="preserve"> </w:t>
      </w:r>
      <w:r w:rsidR="009A01ED" w:rsidRPr="009A01ED">
        <w:rPr>
          <w:rFonts w:ascii="Book Antiqua" w:hAnsi="Book Antiqua"/>
          <w:b/>
          <w:sz w:val="24"/>
          <w:szCs w:val="24"/>
        </w:rPr>
        <w:t xml:space="preserve">Progression-free survival </w:t>
      </w:r>
      <w:r w:rsidR="0062353D">
        <w:rPr>
          <w:rFonts w:ascii="Book Antiqua" w:hAnsi="Book Antiqua" w:hint="eastAsia"/>
          <w:b/>
          <w:sz w:val="24"/>
          <w:szCs w:val="24"/>
          <w:lang w:eastAsia="zh-CN"/>
        </w:rPr>
        <w:t xml:space="preserve">(A) and </w:t>
      </w:r>
      <w:r w:rsidR="0062353D" w:rsidRPr="00B71E15">
        <w:rPr>
          <w:rFonts w:ascii="Book Antiqua" w:hAnsi="Book Antiqua"/>
          <w:b/>
          <w:sz w:val="24"/>
          <w:szCs w:val="24"/>
        </w:rPr>
        <w:t>overall survival</w:t>
      </w:r>
      <w:r w:rsidR="0062353D" w:rsidRPr="00C2324C">
        <w:rPr>
          <w:rFonts w:ascii="Book Antiqua" w:hAnsi="Book Antiqua"/>
          <w:b/>
          <w:sz w:val="24"/>
          <w:szCs w:val="24"/>
        </w:rPr>
        <w:t xml:space="preserve"> </w:t>
      </w:r>
      <w:r w:rsidR="0062353D">
        <w:rPr>
          <w:rFonts w:ascii="Book Antiqua" w:hAnsi="Book Antiqua" w:hint="eastAsia"/>
          <w:b/>
          <w:sz w:val="24"/>
          <w:szCs w:val="24"/>
          <w:lang w:eastAsia="zh-CN"/>
        </w:rPr>
        <w:t xml:space="preserve">(B) </w:t>
      </w:r>
      <w:r w:rsidRPr="00C2324C">
        <w:rPr>
          <w:rFonts w:ascii="Book Antiqua" w:hAnsi="Book Antiqua"/>
          <w:b/>
          <w:sz w:val="24"/>
          <w:szCs w:val="24"/>
        </w:rPr>
        <w:t xml:space="preserve">in the MAX trial patients with peritoneal disease: chemotherapy and </w:t>
      </w:r>
      <w:proofErr w:type="spellStart"/>
      <w:r w:rsidRPr="00C2324C">
        <w:rPr>
          <w:rFonts w:ascii="Book Antiqua" w:hAnsi="Book Antiqua"/>
          <w:b/>
          <w:sz w:val="24"/>
          <w:szCs w:val="24"/>
        </w:rPr>
        <w:t>bevacizumab</w:t>
      </w:r>
      <w:proofErr w:type="spellEnd"/>
      <w:r w:rsidRPr="00C2324C">
        <w:rPr>
          <w:rFonts w:ascii="Book Antiqua" w:hAnsi="Book Antiqua"/>
          <w:b/>
          <w:sz w:val="24"/>
          <w:szCs w:val="24"/>
        </w:rPr>
        <w:t xml:space="preserve"> </w:t>
      </w:r>
      <w:r w:rsidRPr="006A4A06">
        <w:rPr>
          <w:rFonts w:ascii="Book Antiqua" w:hAnsi="Book Antiqua"/>
          <w:b/>
          <w:i/>
          <w:sz w:val="24"/>
          <w:szCs w:val="24"/>
        </w:rPr>
        <w:t>vs</w:t>
      </w:r>
      <w:r w:rsidRPr="00C2324C">
        <w:rPr>
          <w:rFonts w:ascii="Book Antiqua" w:hAnsi="Book Antiqua"/>
          <w:b/>
          <w:sz w:val="24"/>
          <w:szCs w:val="24"/>
        </w:rPr>
        <w:t xml:space="preserve"> chemotherapy alone</w:t>
      </w:r>
      <w:r w:rsidR="00C2324C" w:rsidRPr="00C2324C">
        <w:rPr>
          <w:rFonts w:ascii="Book Antiqua" w:hAnsi="Book Antiqua" w:hint="eastAsia"/>
          <w:b/>
          <w:sz w:val="24"/>
          <w:szCs w:val="24"/>
          <w:lang w:eastAsia="zh-CN"/>
        </w:rPr>
        <w:t>.</w:t>
      </w:r>
    </w:p>
    <w:p w:rsidR="0062353D" w:rsidRDefault="0062353D" w:rsidP="00785D97">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A</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noProof/>
          <w:sz w:val="24"/>
          <w:szCs w:val="24"/>
          <w:lang w:val="en-US" w:eastAsia="zh-CN"/>
        </w:rPr>
        <w:drawing>
          <wp:inline distT="0" distB="0" distL="0" distR="0" wp14:anchorId="642CBDCD" wp14:editId="237A5F21">
            <wp:extent cx="5343099" cy="4273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645" cy="4273849"/>
                    </a:xfrm>
                    <a:prstGeom prst="rect">
                      <a:avLst/>
                    </a:prstGeom>
                    <a:noFill/>
                    <a:ln>
                      <a:noFill/>
                    </a:ln>
                  </pic:spPr>
                </pic:pic>
              </a:graphicData>
            </a:graphic>
          </wp:inline>
        </w:drawing>
      </w:r>
      <w:r w:rsidRPr="00951777">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28A03FEB" wp14:editId="26C0E66D">
                <wp:simplePos x="0" y="0"/>
                <wp:positionH relativeFrom="column">
                  <wp:posOffset>608330</wp:posOffset>
                </wp:positionH>
                <wp:positionV relativeFrom="paragraph">
                  <wp:posOffset>2195176</wp:posOffset>
                </wp:positionV>
                <wp:extent cx="2376170" cy="276860"/>
                <wp:effectExtent l="0" t="0" r="0" b="0"/>
                <wp:wrapNone/>
                <wp:docPr id="21" name="TextBox 4"/>
                <wp:cNvGraphicFramePr/>
                <a:graphic xmlns:a="http://schemas.openxmlformats.org/drawingml/2006/main">
                  <a:graphicData uri="http://schemas.microsoft.com/office/word/2010/wordprocessingShape">
                    <wps:wsp>
                      <wps:cNvSpPr txBox="1"/>
                      <wps:spPr>
                        <a:xfrm>
                          <a:off x="0" y="0"/>
                          <a:ext cx="2376170" cy="276860"/>
                        </a:xfrm>
                        <a:prstGeom prst="rect">
                          <a:avLst/>
                        </a:prstGeom>
                        <a:noFill/>
                      </wps:spPr>
                      <wps:txbx>
                        <w:txbxContent>
                          <w:p w:rsidR="00373369" w:rsidRPr="005817EA" w:rsidRDefault="00373369" w:rsidP="00617974">
                            <w:pPr>
                              <w:pStyle w:val="a8"/>
                              <w:spacing w:before="0" w:beforeAutospacing="0" w:after="0" w:afterAutospacing="0"/>
                              <w:rPr>
                                <w:sz w:val="22"/>
                                <w:szCs w:val="22"/>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47.9pt;margin-top:172.85pt;width:187.1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" filled="f" stroked="f">
                <v:textbox style="mso-fit-shape-to-text:t">
                  <w:txbxContent>
                    <w:p w:rsidR="00373369" w:rsidRPr="005817EA" w:rsidRDefault="00373369" w:rsidP="00617974">
                      <w:pPr>
                        <w:pStyle w:val="a8"/>
                        <w:spacing w:before="0" w:beforeAutospacing="0" w:after="0" w:afterAutospacing="0"/>
                        <w:rPr>
                          <w:sz w:val="22"/>
                          <w:szCs w:val="22"/>
                        </w:rPr>
                      </w:pPr>
                    </w:p>
                  </w:txbxContent>
                </v:textbox>
              </v:shape>
            </w:pict>
          </mc:Fallback>
        </mc:AlternateContent>
      </w:r>
    </w:p>
    <w:p w:rsidR="00C071D1" w:rsidRPr="00951777" w:rsidRDefault="00C071D1" w:rsidP="00785D97">
      <w:pPr>
        <w:spacing w:after="0" w:line="360" w:lineRule="auto"/>
        <w:jc w:val="both"/>
        <w:rPr>
          <w:rFonts w:ascii="Book Antiqua" w:eastAsia="Times New Roman" w:hAnsi="Book Antiqua" w:cs="Times New Roman"/>
          <w:noProof/>
          <w:color w:val="000000"/>
          <w:w w:val="0"/>
          <w:sz w:val="24"/>
          <w:szCs w:val="24"/>
          <w:u w:color="000000"/>
          <w:bdr w:val="none" w:sz="0" w:space="0" w:color="000000"/>
          <w:shd w:val="clear" w:color="000000" w:fill="000000"/>
          <w:lang w:eastAsia="en-AU"/>
        </w:rPr>
      </w:pPr>
      <w:r w:rsidRPr="00951777">
        <w:rPr>
          <w:rFonts w:ascii="Book Antiqua" w:eastAsia="Times New Roman" w:hAnsi="Book Antiqua" w:cs="Times New Roman"/>
          <w:snapToGrid w:val="0"/>
          <w:color w:val="000000"/>
          <w:w w:val="0"/>
          <w:sz w:val="24"/>
          <w:szCs w:val="24"/>
          <w:u w:color="000000"/>
          <w:bdr w:val="none" w:sz="0" w:space="0" w:color="000000"/>
          <w:shd w:val="clear" w:color="000000" w:fill="000000"/>
          <w:lang w:val="x-none" w:eastAsia="x-none" w:bidi="x-none"/>
        </w:rPr>
        <w:t xml:space="preserve"> </w:t>
      </w:r>
    </w:p>
    <w:p w:rsidR="00C071D1" w:rsidRPr="00951777" w:rsidRDefault="00C071D1" w:rsidP="00785D97">
      <w:pPr>
        <w:spacing w:after="0" w:line="360" w:lineRule="auto"/>
        <w:jc w:val="both"/>
        <w:rPr>
          <w:rFonts w:ascii="Book Antiqua" w:eastAsia="Times New Roman" w:hAnsi="Book Antiqua" w:cs="Times New Roman"/>
          <w:noProof/>
          <w:color w:val="000000"/>
          <w:w w:val="0"/>
          <w:sz w:val="24"/>
          <w:szCs w:val="24"/>
          <w:u w:color="000000"/>
          <w:bdr w:val="none" w:sz="0" w:space="0" w:color="000000"/>
          <w:shd w:val="clear" w:color="000000" w:fill="000000"/>
          <w:lang w:eastAsia="en-AU"/>
        </w:rPr>
      </w:pPr>
      <w:r w:rsidRPr="00951777">
        <w:rPr>
          <w:rFonts w:ascii="Book Antiqua" w:eastAsia="Times New Roman" w:hAnsi="Book Antiqua" w:cs="Times New Roman"/>
          <w:noProof/>
          <w:color w:val="000000"/>
          <w:w w:val="0"/>
          <w:sz w:val="24"/>
          <w:szCs w:val="24"/>
          <w:u w:color="000000"/>
          <w:bdr w:val="none" w:sz="0" w:space="0" w:color="000000"/>
          <w:shd w:val="clear" w:color="000000" w:fill="000000"/>
          <w:lang w:eastAsia="en-AU"/>
        </w:rPr>
        <w:br w:type="page"/>
      </w:r>
    </w:p>
    <w:p w:rsidR="00C2324C" w:rsidRPr="00B71E15" w:rsidRDefault="0062353D" w:rsidP="00785D97">
      <w:pPr>
        <w:spacing w:after="0" w:line="360" w:lineRule="auto"/>
        <w:jc w:val="both"/>
        <w:rPr>
          <w:rFonts w:ascii="Book Antiqua" w:hAnsi="Book Antiqua"/>
          <w:sz w:val="24"/>
          <w:szCs w:val="24"/>
          <w:lang w:eastAsia="zh-CN"/>
        </w:rPr>
      </w:pPr>
      <w:r>
        <w:rPr>
          <w:rFonts w:ascii="Book Antiqua" w:hAnsi="Book Antiqua" w:hint="eastAsia"/>
          <w:b/>
          <w:sz w:val="24"/>
          <w:szCs w:val="24"/>
          <w:lang w:eastAsia="zh-CN"/>
        </w:rPr>
        <w:lastRenderedPageBreak/>
        <w:t>B</w:t>
      </w:r>
    </w:p>
    <w:p w:rsidR="00C071D1" w:rsidRPr="00951777" w:rsidRDefault="00C071D1" w:rsidP="00785D97">
      <w:pPr>
        <w:spacing w:after="0" w:line="360" w:lineRule="auto"/>
        <w:jc w:val="both"/>
        <w:rPr>
          <w:rFonts w:ascii="Book Antiqua" w:hAnsi="Book Antiqua"/>
          <w:sz w:val="24"/>
          <w:szCs w:val="24"/>
        </w:rPr>
      </w:pPr>
      <w:r w:rsidRPr="00951777">
        <w:rPr>
          <w:rFonts w:ascii="Book Antiqua" w:hAnsi="Book Antiqua"/>
          <w:noProof/>
          <w:sz w:val="24"/>
          <w:szCs w:val="24"/>
          <w:lang w:val="en-US" w:eastAsia="zh-CN"/>
        </w:rPr>
        <w:drawing>
          <wp:inline distT="0" distB="0" distL="0" distR="0" wp14:anchorId="5154A516" wp14:editId="374E0D64">
            <wp:extent cx="5365722" cy="429222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802" cy="4292285"/>
                    </a:xfrm>
                    <a:prstGeom prst="rect">
                      <a:avLst/>
                    </a:prstGeom>
                    <a:noFill/>
                    <a:ln>
                      <a:noFill/>
                    </a:ln>
                  </pic:spPr>
                </pic:pic>
              </a:graphicData>
            </a:graphic>
          </wp:inline>
        </w:drawing>
      </w:r>
      <w:r w:rsidRPr="00951777">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48648B58" wp14:editId="54429CE3">
                <wp:simplePos x="0" y="0"/>
                <wp:positionH relativeFrom="column">
                  <wp:posOffset>328134</wp:posOffset>
                </wp:positionH>
                <wp:positionV relativeFrom="paragraph">
                  <wp:posOffset>396875</wp:posOffset>
                </wp:positionV>
                <wp:extent cx="4961890" cy="773430"/>
                <wp:effectExtent l="0" t="0" r="0" b="0"/>
                <wp:wrapNone/>
                <wp:docPr id="37" name="TextBox 51"/>
                <wp:cNvGraphicFramePr/>
                <a:graphic xmlns:a="http://schemas.openxmlformats.org/drawingml/2006/main">
                  <a:graphicData uri="http://schemas.microsoft.com/office/word/2010/wordprocessingShape">
                    <wps:wsp>
                      <wps:cNvSpPr txBox="1"/>
                      <wps:spPr>
                        <a:xfrm>
                          <a:off x="0" y="0"/>
                          <a:ext cx="4961890" cy="773430"/>
                        </a:xfrm>
                        <a:prstGeom prst="rect">
                          <a:avLst/>
                        </a:prstGeom>
                        <a:noFill/>
                      </wps:spPr>
                      <wps:txbx>
                        <w:txbxContent>
                          <w:p w:rsidR="00373369" w:rsidRPr="005817EA" w:rsidRDefault="00373369" w:rsidP="00617974">
                            <w:pPr>
                              <w:pStyle w:val="af"/>
                              <w:jc w:val="center"/>
                              <w:rPr>
                                <w:sz w:val="24"/>
                                <w:szCs w:val="24"/>
                              </w:rPr>
                            </w:pPr>
                            <w:r>
                              <w:rPr>
                                <w:sz w:val="24"/>
                                <w:szCs w:val="24"/>
                              </w:rPr>
                              <w:t xml:space="preserve"> </w:t>
                            </w:r>
                          </w:p>
                        </w:txbxContent>
                      </wps:txbx>
                      <wps:bodyPr wrap="square" lIns="91431" tIns="45713" rIns="91431" bIns="45713" rtlCol="0">
                        <a:noAutofit/>
                      </wps:bodyPr>
                    </wps:wsp>
                  </a:graphicData>
                </a:graphic>
              </wp:anchor>
            </w:drawing>
          </mc:Choice>
          <mc:Fallback>
            <w:pict>
              <v:shape id="TextBox 51" o:spid="_x0000_s1027" type="#_x0000_t202" style="position:absolute;left:0;text-align:left;margin-left:25.85pt;margin-top:31.25pt;width:390.7pt;height:6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" filled="f" stroked="f">
                <v:textbox inset="2.53975mm,1.2698mm,2.53975mm,1.2698mm">
                  <w:txbxContent>
                    <w:p w:rsidR="00373369" w:rsidRPr="005817EA" w:rsidRDefault="00373369" w:rsidP="00617974">
                      <w:pPr>
                        <w:pStyle w:val="af"/>
                        <w:jc w:val="center"/>
                        <w:rPr>
                          <w:sz w:val="24"/>
                          <w:szCs w:val="24"/>
                        </w:rPr>
                      </w:pPr>
                      <w:r>
                        <w:rPr>
                          <w:sz w:val="24"/>
                          <w:szCs w:val="24"/>
                        </w:rPr>
                        <w:t xml:space="preserve"> </w:t>
                      </w:r>
                    </w:p>
                  </w:txbxContent>
                </v:textbox>
              </v:shape>
            </w:pict>
          </mc:Fallback>
        </mc:AlternateContent>
      </w:r>
    </w:p>
    <w:p w:rsidR="00C071D1" w:rsidRPr="00951777" w:rsidRDefault="00C071D1" w:rsidP="00785D97">
      <w:pPr>
        <w:spacing w:after="0" w:line="360" w:lineRule="auto"/>
        <w:jc w:val="both"/>
        <w:rPr>
          <w:rFonts w:ascii="Book Antiqua" w:hAnsi="Book Antiqua"/>
          <w:sz w:val="24"/>
          <w:szCs w:val="24"/>
        </w:rPr>
      </w:pPr>
    </w:p>
    <w:p w:rsidR="00C071D1" w:rsidRPr="00951777" w:rsidRDefault="00C071D1" w:rsidP="00785D97">
      <w:pPr>
        <w:spacing w:after="0" w:line="360" w:lineRule="auto"/>
        <w:jc w:val="both"/>
        <w:rPr>
          <w:rFonts w:ascii="Book Antiqua" w:hAnsi="Book Antiqua"/>
          <w:sz w:val="24"/>
          <w:szCs w:val="24"/>
        </w:rPr>
      </w:pPr>
    </w:p>
    <w:p w:rsidR="00506A30" w:rsidRDefault="00506A30" w:rsidP="00785D97">
      <w:pPr>
        <w:spacing w:after="0" w:line="360" w:lineRule="auto"/>
        <w:jc w:val="both"/>
        <w:rPr>
          <w:rFonts w:ascii="Book Antiqua" w:hAnsi="Book Antiqua"/>
          <w:sz w:val="24"/>
          <w:szCs w:val="24"/>
          <w:lang w:eastAsia="zh-CN"/>
        </w:rPr>
      </w:pPr>
    </w:p>
    <w:p w:rsidR="00554C56" w:rsidRPr="00951777" w:rsidRDefault="00554C56" w:rsidP="00785D97">
      <w:pPr>
        <w:spacing w:after="0" w:line="360" w:lineRule="auto"/>
        <w:jc w:val="both"/>
        <w:rPr>
          <w:rFonts w:ascii="Book Antiqua" w:hAnsi="Book Antiqua"/>
          <w:sz w:val="24"/>
          <w:szCs w:val="24"/>
          <w:lang w:eastAsia="zh-CN"/>
        </w:rPr>
      </w:pPr>
    </w:p>
    <w:sectPr w:rsidR="00554C56" w:rsidRPr="00951777" w:rsidSect="006179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31" w:rsidRDefault="00FD2A31">
      <w:pPr>
        <w:spacing w:after="0" w:line="240" w:lineRule="auto"/>
      </w:pPr>
      <w:r>
        <w:separator/>
      </w:r>
    </w:p>
  </w:endnote>
  <w:endnote w:type="continuationSeparator" w:id="0">
    <w:p w:rsidR="00FD2A31" w:rsidRDefault="00FD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69" w:rsidRDefault="00373369" w:rsidP="0088472C">
    <w:pPr>
      <w:pStyle w:val="ab"/>
      <w:ind w:right="110"/>
      <w:jc w:val="right"/>
    </w:pPr>
  </w:p>
  <w:p w:rsidR="00373369" w:rsidRDefault="003733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31" w:rsidRDefault="00FD2A31">
      <w:pPr>
        <w:spacing w:after="0" w:line="240" w:lineRule="auto"/>
      </w:pPr>
      <w:r>
        <w:separator/>
      </w:r>
    </w:p>
  </w:footnote>
  <w:footnote w:type="continuationSeparator" w:id="0">
    <w:p w:rsidR="00FD2A31" w:rsidRDefault="00FD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83"/>
    <w:multiLevelType w:val="hybridMultilevel"/>
    <w:tmpl w:val="9F90F764"/>
    <w:lvl w:ilvl="0" w:tplc="5BAC6730">
      <w:start w:val="1"/>
      <w:numFmt w:val="bullet"/>
      <w:lvlText w:val="•"/>
      <w:lvlJc w:val="left"/>
      <w:pPr>
        <w:tabs>
          <w:tab w:val="num" w:pos="720"/>
        </w:tabs>
        <w:ind w:left="720" w:hanging="360"/>
      </w:pPr>
      <w:rPr>
        <w:rFonts w:ascii="Arial" w:hAnsi="Arial" w:hint="default"/>
      </w:rPr>
    </w:lvl>
    <w:lvl w:ilvl="1" w:tplc="FB64CCBA" w:tentative="1">
      <w:start w:val="1"/>
      <w:numFmt w:val="bullet"/>
      <w:lvlText w:val="•"/>
      <w:lvlJc w:val="left"/>
      <w:pPr>
        <w:tabs>
          <w:tab w:val="num" w:pos="1440"/>
        </w:tabs>
        <w:ind w:left="1440" w:hanging="360"/>
      </w:pPr>
      <w:rPr>
        <w:rFonts w:ascii="Arial" w:hAnsi="Arial" w:hint="default"/>
      </w:rPr>
    </w:lvl>
    <w:lvl w:ilvl="2" w:tplc="AC00EED2" w:tentative="1">
      <w:start w:val="1"/>
      <w:numFmt w:val="bullet"/>
      <w:lvlText w:val="•"/>
      <w:lvlJc w:val="left"/>
      <w:pPr>
        <w:tabs>
          <w:tab w:val="num" w:pos="2160"/>
        </w:tabs>
        <w:ind w:left="2160" w:hanging="360"/>
      </w:pPr>
      <w:rPr>
        <w:rFonts w:ascii="Arial" w:hAnsi="Arial" w:hint="default"/>
      </w:rPr>
    </w:lvl>
    <w:lvl w:ilvl="3" w:tplc="B34014AE" w:tentative="1">
      <w:start w:val="1"/>
      <w:numFmt w:val="bullet"/>
      <w:lvlText w:val="•"/>
      <w:lvlJc w:val="left"/>
      <w:pPr>
        <w:tabs>
          <w:tab w:val="num" w:pos="2880"/>
        </w:tabs>
        <w:ind w:left="2880" w:hanging="360"/>
      </w:pPr>
      <w:rPr>
        <w:rFonts w:ascii="Arial" w:hAnsi="Arial" w:hint="default"/>
      </w:rPr>
    </w:lvl>
    <w:lvl w:ilvl="4" w:tplc="BC8A8CAC" w:tentative="1">
      <w:start w:val="1"/>
      <w:numFmt w:val="bullet"/>
      <w:lvlText w:val="•"/>
      <w:lvlJc w:val="left"/>
      <w:pPr>
        <w:tabs>
          <w:tab w:val="num" w:pos="3600"/>
        </w:tabs>
        <w:ind w:left="3600" w:hanging="360"/>
      </w:pPr>
      <w:rPr>
        <w:rFonts w:ascii="Arial" w:hAnsi="Arial" w:hint="default"/>
      </w:rPr>
    </w:lvl>
    <w:lvl w:ilvl="5" w:tplc="269488B0" w:tentative="1">
      <w:start w:val="1"/>
      <w:numFmt w:val="bullet"/>
      <w:lvlText w:val="•"/>
      <w:lvlJc w:val="left"/>
      <w:pPr>
        <w:tabs>
          <w:tab w:val="num" w:pos="4320"/>
        </w:tabs>
        <w:ind w:left="4320" w:hanging="360"/>
      </w:pPr>
      <w:rPr>
        <w:rFonts w:ascii="Arial" w:hAnsi="Arial" w:hint="default"/>
      </w:rPr>
    </w:lvl>
    <w:lvl w:ilvl="6" w:tplc="44E21778" w:tentative="1">
      <w:start w:val="1"/>
      <w:numFmt w:val="bullet"/>
      <w:lvlText w:val="•"/>
      <w:lvlJc w:val="left"/>
      <w:pPr>
        <w:tabs>
          <w:tab w:val="num" w:pos="5040"/>
        </w:tabs>
        <w:ind w:left="5040" w:hanging="360"/>
      </w:pPr>
      <w:rPr>
        <w:rFonts w:ascii="Arial" w:hAnsi="Arial" w:hint="default"/>
      </w:rPr>
    </w:lvl>
    <w:lvl w:ilvl="7" w:tplc="969A2374" w:tentative="1">
      <w:start w:val="1"/>
      <w:numFmt w:val="bullet"/>
      <w:lvlText w:val="•"/>
      <w:lvlJc w:val="left"/>
      <w:pPr>
        <w:tabs>
          <w:tab w:val="num" w:pos="5760"/>
        </w:tabs>
        <w:ind w:left="5760" w:hanging="360"/>
      </w:pPr>
      <w:rPr>
        <w:rFonts w:ascii="Arial" w:hAnsi="Arial" w:hint="default"/>
      </w:rPr>
    </w:lvl>
    <w:lvl w:ilvl="8" w:tplc="6B96F59E" w:tentative="1">
      <w:start w:val="1"/>
      <w:numFmt w:val="bullet"/>
      <w:lvlText w:val="•"/>
      <w:lvlJc w:val="left"/>
      <w:pPr>
        <w:tabs>
          <w:tab w:val="num" w:pos="6480"/>
        </w:tabs>
        <w:ind w:left="6480" w:hanging="360"/>
      </w:pPr>
      <w:rPr>
        <w:rFonts w:ascii="Arial" w:hAnsi="Arial" w:hint="default"/>
      </w:rPr>
    </w:lvl>
  </w:abstractNum>
  <w:abstractNum w:abstractNumId="1">
    <w:nsid w:val="3EE05D9F"/>
    <w:multiLevelType w:val="hybridMultilevel"/>
    <w:tmpl w:val="BEC28A24"/>
    <w:lvl w:ilvl="0" w:tplc="2040788A">
      <w:start w:val="1"/>
      <w:numFmt w:val="bullet"/>
      <w:lvlText w:val="•"/>
      <w:lvlJc w:val="left"/>
      <w:pPr>
        <w:tabs>
          <w:tab w:val="num" w:pos="720"/>
        </w:tabs>
        <w:ind w:left="720" w:hanging="360"/>
      </w:pPr>
      <w:rPr>
        <w:rFonts w:ascii="Arial" w:hAnsi="Arial" w:hint="default"/>
      </w:rPr>
    </w:lvl>
    <w:lvl w:ilvl="1" w:tplc="E6D4DCB4" w:tentative="1">
      <w:start w:val="1"/>
      <w:numFmt w:val="bullet"/>
      <w:lvlText w:val="•"/>
      <w:lvlJc w:val="left"/>
      <w:pPr>
        <w:tabs>
          <w:tab w:val="num" w:pos="1440"/>
        </w:tabs>
        <w:ind w:left="1440" w:hanging="360"/>
      </w:pPr>
      <w:rPr>
        <w:rFonts w:ascii="Arial" w:hAnsi="Arial" w:hint="default"/>
      </w:rPr>
    </w:lvl>
    <w:lvl w:ilvl="2" w:tplc="8528D71E" w:tentative="1">
      <w:start w:val="1"/>
      <w:numFmt w:val="bullet"/>
      <w:lvlText w:val="•"/>
      <w:lvlJc w:val="left"/>
      <w:pPr>
        <w:tabs>
          <w:tab w:val="num" w:pos="2160"/>
        </w:tabs>
        <w:ind w:left="2160" w:hanging="360"/>
      </w:pPr>
      <w:rPr>
        <w:rFonts w:ascii="Arial" w:hAnsi="Arial" w:hint="default"/>
      </w:rPr>
    </w:lvl>
    <w:lvl w:ilvl="3" w:tplc="3EBAFADA" w:tentative="1">
      <w:start w:val="1"/>
      <w:numFmt w:val="bullet"/>
      <w:lvlText w:val="•"/>
      <w:lvlJc w:val="left"/>
      <w:pPr>
        <w:tabs>
          <w:tab w:val="num" w:pos="2880"/>
        </w:tabs>
        <w:ind w:left="2880" w:hanging="360"/>
      </w:pPr>
      <w:rPr>
        <w:rFonts w:ascii="Arial" w:hAnsi="Arial" w:hint="default"/>
      </w:rPr>
    </w:lvl>
    <w:lvl w:ilvl="4" w:tplc="3E8A9E5E" w:tentative="1">
      <w:start w:val="1"/>
      <w:numFmt w:val="bullet"/>
      <w:lvlText w:val="•"/>
      <w:lvlJc w:val="left"/>
      <w:pPr>
        <w:tabs>
          <w:tab w:val="num" w:pos="3600"/>
        </w:tabs>
        <w:ind w:left="3600" w:hanging="360"/>
      </w:pPr>
      <w:rPr>
        <w:rFonts w:ascii="Arial" w:hAnsi="Arial" w:hint="default"/>
      </w:rPr>
    </w:lvl>
    <w:lvl w:ilvl="5" w:tplc="E4263C4A" w:tentative="1">
      <w:start w:val="1"/>
      <w:numFmt w:val="bullet"/>
      <w:lvlText w:val="•"/>
      <w:lvlJc w:val="left"/>
      <w:pPr>
        <w:tabs>
          <w:tab w:val="num" w:pos="4320"/>
        </w:tabs>
        <w:ind w:left="4320" w:hanging="360"/>
      </w:pPr>
      <w:rPr>
        <w:rFonts w:ascii="Arial" w:hAnsi="Arial" w:hint="default"/>
      </w:rPr>
    </w:lvl>
    <w:lvl w:ilvl="6" w:tplc="72907316" w:tentative="1">
      <w:start w:val="1"/>
      <w:numFmt w:val="bullet"/>
      <w:lvlText w:val="•"/>
      <w:lvlJc w:val="left"/>
      <w:pPr>
        <w:tabs>
          <w:tab w:val="num" w:pos="5040"/>
        </w:tabs>
        <w:ind w:left="5040" w:hanging="360"/>
      </w:pPr>
      <w:rPr>
        <w:rFonts w:ascii="Arial" w:hAnsi="Arial" w:hint="default"/>
      </w:rPr>
    </w:lvl>
    <w:lvl w:ilvl="7" w:tplc="9142FB3E" w:tentative="1">
      <w:start w:val="1"/>
      <w:numFmt w:val="bullet"/>
      <w:lvlText w:val="•"/>
      <w:lvlJc w:val="left"/>
      <w:pPr>
        <w:tabs>
          <w:tab w:val="num" w:pos="5760"/>
        </w:tabs>
        <w:ind w:left="5760" w:hanging="360"/>
      </w:pPr>
      <w:rPr>
        <w:rFonts w:ascii="Arial" w:hAnsi="Arial" w:hint="default"/>
      </w:rPr>
    </w:lvl>
    <w:lvl w:ilvl="8" w:tplc="096E1D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071D1"/>
    <w:rsid w:val="0006690D"/>
    <w:rsid w:val="000E651B"/>
    <w:rsid w:val="0010188F"/>
    <w:rsid w:val="001037D9"/>
    <w:rsid w:val="001E7A71"/>
    <w:rsid w:val="001F1D3F"/>
    <w:rsid w:val="00214598"/>
    <w:rsid w:val="0024431B"/>
    <w:rsid w:val="0028488C"/>
    <w:rsid w:val="00303FDD"/>
    <w:rsid w:val="00306AC3"/>
    <w:rsid w:val="00343383"/>
    <w:rsid w:val="00351FB0"/>
    <w:rsid w:val="003577ED"/>
    <w:rsid w:val="00373369"/>
    <w:rsid w:val="004138CC"/>
    <w:rsid w:val="00413D8E"/>
    <w:rsid w:val="004510CE"/>
    <w:rsid w:val="00484C01"/>
    <w:rsid w:val="004E569A"/>
    <w:rsid w:val="00506A30"/>
    <w:rsid w:val="00553E0F"/>
    <w:rsid w:val="00554C56"/>
    <w:rsid w:val="005A1DBE"/>
    <w:rsid w:val="00617974"/>
    <w:rsid w:val="0062353D"/>
    <w:rsid w:val="00633AE8"/>
    <w:rsid w:val="006754EA"/>
    <w:rsid w:val="00677840"/>
    <w:rsid w:val="00697244"/>
    <w:rsid w:val="006A4A06"/>
    <w:rsid w:val="00705473"/>
    <w:rsid w:val="0074280F"/>
    <w:rsid w:val="00785D97"/>
    <w:rsid w:val="0079000F"/>
    <w:rsid w:val="0079772F"/>
    <w:rsid w:val="00866080"/>
    <w:rsid w:val="0088472C"/>
    <w:rsid w:val="008973D3"/>
    <w:rsid w:val="0091008A"/>
    <w:rsid w:val="0092567C"/>
    <w:rsid w:val="00951777"/>
    <w:rsid w:val="00953585"/>
    <w:rsid w:val="009A01ED"/>
    <w:rsid w:val="009B6BF0"/>
    <w:rsid w:val="00A926F8"/>
    <w:rsid w:val="00AB7AF2"/>
    <w:rsid w:val="00B26F03"/>
    <w:rsid w:val="00B325DA"/>
    <w:rsid w:val="00B71E15"/>
    <w:rsid w:val="00C071D1"/>
    <w:rsid w:val="00C2324C"/>
    <w:rsid w:val="00C96F08"/>
    <w:rsid w:val="00D068C9"/>
    <w:rsid w:val="00D11442"/>
    <w:rsid w:val="00D35D48"/>
    <w:rsid w:val="00D42134"/>
    <w:rsid w:val="00D86951"/>
    <w:rsid w:val="00DC012C"/>
    <w:rsid w:val="00DC0739"/>
    <w:rsid w:val="00DE7F0E"/>
    <w:rsid w:val="00EC4950"/>
    <w:rsid w:val="00ED1936"/>
    <w:rsid w:val="00F9062C"/>
    <w:rsid w:val="00FD2A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D1"/>
  </w:style>
  <w:style w:type="paragraph" w:styleId="1">
    <w:name w:val="heading 1"/>
    <w:basedOn w:val="a"/>
    <w:next w:val="a"/>
    <w:link w:val="1Char"/>
    <w:uiPriority w:val="9"/>
    <w:qFormat/>
    <w:rsid w:val="00C071D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71D1"/>
    <w:rPr>
      <w:rFonts w:asciiTheme="majorHAnsi" w:eastAsiaTheme="majorEastAsia" w:hAnsiTheme="majorHAnsi" w:cstheme="majorBidi"/>
      <w:b/>
      <w:bCs/>
      <w:color w:val="365F91" w:themeColor="accent1" w:themeShade="BF"/>
      <w:sz w:val="28"/>
      <w:szCs w:val="28"/>
      <w:lang w:val="en-US" w:eastAsia="ja-JP"/>
    </w:rPr>
  </w:style>
  <w:style w:type="paragraph" w:styleId="a3">
    <w:name w:val="List Paragraph"/>
    <w:basedOn w:val="a"/>
    <w:uiPriority w:val="34"/>
    <w:qFormat/>
    <w:rsid w:val="00C071D1"/>
    <w:pPr>
      <w:spacing w:after="0" w:line="240" w:lineRule="auto"/>
      <w:ind w:left="720"/>
      <w:contextualSpacing/>
    </w:pPr>
    <w:rPr>
      <w:rFonts w:ascii="Times New Roman" w:eastAsia="Times New Roman" w:hAnsi="Times New Roman" w:cs="Times New Roman"/>
      <w:sz w:val="24"/>
      <w:szCs w:val="24"/>
      <w:lang w:eastAsia="en-AU"/>
    </w:rPr>
  </w:style>
  <w:style w:type="paragraph" w:styleId="a4">
    <w:name w:val="endnote text"/>
    <w:basedOn w:val="a"/>
    <w:link w:val="Char"/>
    <w:uiPriority w:val="99"/>
    <w:semiHidden/>
    <w:unhideWhenUsed/>
    <w:rsid w:val="00C071D1"/>
    <w:pPr>
      <w:spacing w:after="0" w:line="240" w:lineRule="auto"/>
    </w:pPr>
    <w:rPr>
      <w:sz w:val="20"/>
      <w:szCs w:val="20"/>
    </w:rPr>
  </w:style>
  <w:style w:type="character" w:customStyle="1" w:styleId="Char">
    <w:name w:val="尾注文本 Char"/>
    <w:basedOn w:val="a0"/>
    <w:link w:val="a4"/>
    <w:uiPriority w:val="99"/>
    <w:semiHidden/>
    <w:rsid w:val="00C071D1"/>
    <w:rPr>
      <w:sz w:val="20"/>
      <w:szCs w:val="20"/>
    </w:rPr>
  </w:style>
  <w:style w:type="character" w:styleId="a5">
    <w:name w:val="endnote reference"/>
    <w:basedOn w:val="a0"/>
    <w:uiPriority w:val="99"/>
    <w:semiHidden/>
    <w:unhideWhenUsed/>
    <w:rsid w:val="00C071D1"/>
    <w:rPr>
      <w:vertAlign w:val="superscript"/>
    </w:rPr>
  </w:style>
  <w:style w:type="paragraph" w:customStyle="1" w:styleId="EndNoteBibliographyTitle">
    <w:name w:val="EndNote Bibliography Title"/>
    <w:basedOn w:val="a"/>
    <w:link w:val="EndNoteBibliographyTitleChar"/>
    <w:rsid w:val="00C071D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C071D1"/>
    <w:rPr>
      <w:rFonts w:ascii="Calibri" w:hAnsi="Calibri"/>
      <w:noProof/>
      <w:lang w:val="en-US"/>
    </w:rPr>
  </w:style>
  <w:style w:type="paragraph" w:customStyle="1" w:styleId="EndNoteBibliography">
    <w:name w:val="EndNote Bibliography"/>
    <w:basedOn w:val="a"/>
    <w:link w:val="EndNoteBibliographyChar"/>
    <w:rsid w:val="00C071D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C071D1"/>
    <w:rPr>
      <w:rFonts w:ascii="Calibri" w:hAnsi="Calibri"/>
      <w:noProof/>
      <w:lang w:val="en-US"/>
    </w:rPr>
  </w:style>
  <w:style w:type="character" w:styleId="a6">
    <w:name w:val="Hyperlink"/>
    <w:basedOn w:val="a0"/>
    <w:uiPriority w:val="99"/>
    <w:unhideWhenUsed/>
    <w:rsid w:val="00C071D1"/>
    <w:rPr>
      <w:color w:val="0000FF" w:themeColor="hyperlink"/>
      <w:u w:val="single"/>
    </w:rPr>
  </w:style>
  <w:style w:type="paragraph" w:styleId="a7">
    <w:name w:val="Balloon Text"/>
    <w:basedOn w:val="a"/>
    <w:link w:val="Char0"/>
    <w:uiPriority w:val="99"/>
    <w:semiHidden/>
    <w:unhideWhenUsed/>
    <w:rsid w:val="00C071D1"/>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C071D1"/>
    <w:rPr>
      <w:rFonts w:ascii="Tahoma" w:hAnsi="Tahoma" w:cs="Tahoma"/>
      <w:sz w:val="16"/>
      <w:szCs w:val="16"/>
    </w:rPr>
  </w:style>
  <w:style w:type="paragraph" w:styleId="a8">
    <w:name w:val="Normal (Web)"/>
    <w:basedOn w:val="a"/>
    <w:uiPriority w:val="99"/>
    <w:unhideWhenUsed/>
    <w:rsid w:val="00C071D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a9">
    <w:name w:val="Table Grid"/>
    <w:basedOn w:val="a1"/>
    <w:uiPriority w:val="59"/>
    <w:rsid w:val="00C0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C071D1"/>
    <w:pPr>
      <w:tabs>
        <w:tab w:val="center" w:pos="4513"/>
        <w:tab w:val="right" w:pos="9026"/>
      </w:tabs>
      <w:spacing w:after="0" w:line="240" w:lineRule="auto"/>
    </w:pPr>
  </w:style>
  <w:style w:type="character" w:customStyle="1" w:styleId="Char1">
    <w:name w:val="页眉 Char"/>
    <w:basedOn w:val="a0"/>
    <w:link w:val="aa"/>
    <w:uiPriority w:val="99"/>
    <w:rsid w:val="00C071D1"/>
  </w:style>
  <w:style w:type="paragraph" w:styleId="ab">
    <w:name w:val="footer"/>
    <w:basedOn w:val="a"/>
    <w:link w:val="Char2"/>
    <w:uiPriority w:val="99"/>
    <w:unhideWhenUsed/>
    <w:rsid w:val="00C071D1"/>
    <w:pPr>
      <w:tabs>
        <w:tab w:val="center" w:pos="4513"/>
        <w:tab w:val="right" w:pos="9026"/>
      </w:tabs>
      <w:spacing w:after="0" w:line="240" w:lineRule="auto"/>
    </w:pPr>
  </w:style>
  <w:style w:type="character" w:customStyle="1" w:styleId="Char2">
    <w:name w:val="页脚 Char"/>
    <w:basedOn w:val="a0"/>
    <w:link w:val="ab"/>
    <w:uiPriority w:val="99"/>
    <w:rsid w:val="00C071D1"/>
  </w:style>
  <w:style w:type="character" w:styleId="ac">
    <w:name w:val="annotation reference"/>
    <w:basedOn w:val="a0"/>
    <w:unhideWhenUsed/>
    <w:rsid w:val="00C071D1"/>
    <w:rPr>
      <w:sz w:val="16"/>
      <w:szCs w:val="16"/>
    </w:rPr>
  </w:style>
  <w:style w:type="paragraph" w:styleId="ad">
    <w:name w:val="annotation text"/>
    <w:basedOn w:val="a"/>
    <w:link w:val="Char3"/>
    <w:unhideWhenUsed/>
    <w:rsid w:val="00C071D1"/>
    <w:pPr>
      <w:spacing w:line="240" w:lineRule="auto"/>
    </w:pPr>
    <w:rPr>
      <w:sz w:val="20"/>
      <w:szCs w:val="20"/>
    </w:rPr>
  </w:style>
  <w:style w:type="character" w:customStyle="1" w:styleId="Char3">
    <w:name w:val="批注文字 Char"/>
    <w:basedOn w:val="a0"/>
    <w:link w:val="ad"/>
    <w:rsid w:val="00C071D1"/>
    <w:rPr>
      <w:sz w:val="20"/>
      <w:szCs w:val="20"/>
    </w:rPr>
  </w:style>
  <w:style w:type="paragraph" w:styleId="ae">
    <w:name w:val="annotation subject"/>
    <w:basedOn w:val="ad"/>
    <w:next w:val="ad"/>
    <w:link w:val="Char4"/>
    <w:uiPriority w:val="99"/>
    <w:semiHidden/>
    <w:unhideWhenUsed/>
    <w:rsid w:val="00C071D1"/>
    <w:rPr>
      <w:b/>
      <w:bCs/>
    </w:rPr>
  </w:style>
  <w:style w:type="character" w:customStyle="1" w:styleId="Char4">
    <w:name w:val="批注主题 Char"/>
    <w:basedOn w:val="Char3"/>
    <w:link w:val="ae"/>
    <w:uiPriority w:val="99"/>
    <w:semiHidden/>
    <w:rsid w:val="00C071D1"/>
    <w:rPr>
      <w:b/>
      <w:bCs/>
      <w:sz w:val="20"/>
      <w:szCs w:val="20"/>
    </w:rPr>
  </w:style>
  <w:style w:type="paragraph" w:styleId="af">
    <w:name w:val="No Spacing"/>
    <w:uiPriority w:val="1"/>
    <w:qFormat/>
    <w:rsid w:val="00C071D1"/>
    <w:pPr>
      <w:spacing w:after="0" w:line="240" w:lineRule="auto"/>
    </w:pPr>
  </w:style>
  <w:style w:type="character" w:styleId="af0">
    <w:name w:val="Strong"/>
    <w:uiPriority w:val="22"/>
    <w:qFormat/>
    <w:rsid w:val="00951777"/>
    <w:rPr>
      <w:b/>
      <w:bCs/>
    </w:rPr>
  </w:style>
  <w:style w:type="paragraph" w:styleId="af1">
    <w:name w:val="Revision"/>
    <w:hidden/>
    <w:uiPriority w:val="99"/>
    <w:semiHidden/>
    <w:rsid w:val="00ED1936"/>
    <w:pPr>
      <w:spacing w:after="0" w:line="240" w:lineRule="auto"/>
    </w:pPr>
  </w:style>
  <w:style w:type="paragraph" w:styleId="af2">
    <w:name w:val="caption"/>
    <w:basedOn w:val="a"/>
    <w:next w:val="a"/>
    <w:uiPriority w:val="35"/>
    <w:semiHidden/>
    <w:unhideWhenUsed/>
    <w:qFormat/>
    <w:rsid w:val="004510C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D1"/>
  </w:style>
  <w:style w:type="paragraph" w:styleId="1">
    <w:name w:val="heading 1"/>
    <w:basedOn w:val="a"/>
    <w:next w:val="a"/>
    <w:link w:val="1Char"/>
    <w:uiPriority w:val="9"/>
    <w:qFormat/>
    <w:rsid w:val="00C071D1"/>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071D1"/>
    <w:rPr>
      <w:rFonts w:asciiTheme="majorHAnsi" w:eastAsiaTheme="majorEastAsia" w:hAnsiTheme="majorHAnsi" w:cstheme="majorBidi"/>
      <w:b/>
      <w:bCs/>
      <w:color w:val="365F91" w:themeColor="accent1" w:themeShade="BF"/>
      <w:sz w:val="28"/>
      <w:szCs w:val="28"/>
      <w:lang w:val="en-US" w:eastAsia="ja-JP"/>
    </w:rPr>
  </w:style>
  <w:style w:type="paragraph" w:styleId="a3">
    <w:name w:val="List Paragraph"/>
    <w:basedOn w:val="a"/>
    <w:uiPriority w:val="34"/>
    <w:qFormat/>
    <w:rsid w:val="00C071D1"/>
    <w:pPr>
      <w:spacing w:after="0" w:line="240" w:lineRule="auto"/>
      <w:ind w:left="720"/>
      <w:contextualSpacing/>
    </w:pPr>
    <w:rPr>
      <w:rFonts w:ascii="Times New Roman" w:eastAsia="Times New Roman" w:hAnsi="Times New Roman" w:cs="Times New Roman"/>
      <w:sz w:val="24"/>
      <w:szCs w:val="24"/>
      <w:lang w:eastAsia="en-AU"/>
    </w:rPr>
  </w:style>
  <w:style w:type="paragraph" w:styleId="a4">
    <w:name w:val="endnote text"/>
    <w:basedOn w:val="a"/>
    <w:link w:val="Char"/>
    <w:uiPriority w:val="99"/>
    <w:semiHidden/>
    <w:unhideWhenUsed/>
    <w:rsid w:val="00C071D1"/>
    <w:pPr>
      <w:spacing w:after="0" w:line="240" w:lineRule="auto"/>
    </w:pPr>
    <w:rPr>
      <w:sz w:val="20"/>
      <w:szCs w:val="20"/>
    </w:rPr>
  </w:style>
  <w:style w:type="character" w:customStyle="1" w:styleId="Char">
    <w:name w:val="尾注文本 Char"/>
    <w:basedOn w:val="a0"/>
    <w:link w:val="a4"/>
    <w:uiPriority w:val="99"/>
    <w:semiHidden/>
    <w:rsid w:val="00C071D1"/>
    <w:rPr>
      <w:sz w:val="20"/>
      <w:szCs w:val="20"/>
    </w:rPr>
  </w:style>
  <w:style w:type="character" w:styleId="a5">
    <w:name w:val="endnote reference"/>
    <w:basedOn w:val="a0"/>
    <w:uiPriority w:val="99"/>
    <w:semiHidden/>
    <w:unhideWhenUsed/>
    <w:rsid w:val="00C071D1"/>
    <w:rPr>
      <w:vertAlign w:val="superscript"/>
    </w:rPr>
  </w:style>
  <w:style w:type="paragraph" w:customStyle="1" w:styleId="EndNoteBibliographyTitle">
    <w:name w:val="EndNote Bibliography Title"/>
    <w:basedOn w:val="a"/>
    <w:link w:val="EndNoteBibliographyTitleChar"/>
    <w:rsid w:val="00C071D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C071D1"/>
    <w:rPr>
      <w:rFonts w:ascii="Calibri" w:hAnsi="Calibri"/>
      <w:noProof/>
      <w:lang w:val="en-US"/>
    </w:rPr>
  </w:style>
  <w:style w:type="paragraph" w:customStyle="1" w:styleId="EndNoteBibliography">
    <w:name w:val="EndNote Bibliography"/>
    <w:basedOn w:val="a"/>
    <w:link w:val="EndNoteBibliographyChar"/>
    <w:rsid w:val="00C071D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C071D1"/>
    <w:rPr>
      <w:rFonts w:ascii="Calibri" w:hAnsi="Calibri"/>
      <w:noProof/>
      <w:lang w:val="en-US"/>
    </w:rPr>
  </w:style>
  <w:style w:type="character" w:styleId="a6">
    <w:name w:val="Hyperlink"/>
    <w:basedOn w:val="a0"/>
    <w:uiPriority w:val="99"/>
    <w:unhideWhenUsed/>
    <w:rsid w:val="00C071D1"/>
    <w:rPr>
      <w:color w:val="0000FF" w:themeColor="hyperlink"/>
      <w:u w:val="single"/>
    </w:rPr>
  </w:style>
  <w:style w:type="paragraph" w:styleId="a7">
    <w:name w:val="Balloon Text"/>
    <w:basedOn w:val="a"/>
    <w:link w:val="Char0"/>
    <w:uiPriority w:val="99"/>
    <w:semiHidden/>
    <w:unhideWhenUsed/>
    <w:rsid w:val="00C071D1"/>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C071D1"/>
    <w:rPr>
      <w:rFonts w:ascii="Tahoma" w:hAnsi="Tahoma" w:cs="Tahoma"/>
      <w:sz w:val="16"/>
      <w:szCs w:val="16"/>
    </w:rPr>
  </w:style>
  <w:style w:type="paragraph" w:styleId="a8">
    <w:name w:val="Normal (Web)"/>
    <w:basedOn w:val="a"/>
    <w:uiPriority w:val="99"/>
    <w:unhideWhenUsed/>
    <w:rsid w:val="00C071D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a9">
    <w:name w:val="Table Grid"/>
    <w:basedOn w:val="a1"/>
    <w:uiPriority w:val="59"/>
    <w:rsid w:val="00C0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1"/>
    <w:uiPriority w:val="99"/>
    <w:unhideWhenUsed/>
    <w:rsid w:val="00C071D1"/>
    <w:pPr>
      <w:tabs>
        <w:tab w:val="center" w:pos="4513"/>
        <w:tab w:val="right" w:pos="9026"/>
      </w:tabs>
      <w:spacing w:after="0" w:line="240" w:lineRule="auto"/>
    </w:pPr>
  </w:style>
  <w:style w:type="character" w:customStyle="1" w:styleId="Char1">
    <w:name w:val="页眉 Char"/>
    <w:basedOn w:val="a0"/>
    <w:link w:val="aa"/>
    <w:uiPriority w:val="99"/>
    <w:rsid w:val="00C071D1"/>
  </w:style>
  <w:style w:type="paragraph" w:styleId="ab">
    <w:name w:val="footer"/>
    <w:basedOn w:val="a"/>
    <w:link w:val="Char2"/>
    <w:uiPriority w:val="99"/>
    <w:unhideWhenUsed/>
    <w:rsid w:val="00C071D1"/>
    <w:pPr>
      <w:tabs>
        <w:tab w:val="center" w:pos="4513"/>
        <w:tab w:val="right" w:pos="9026"/>
      </w:tabs>
      <w:spacing w:after="0" w:line="240" w:lineRule="auto"/>
    </w:pPr>
  </w:style>
  <w:style w:type="character" w:customStyle="1" w:styleId="Char2">
    <w:name w:val="页脚 Char"/>
    <w:basedOn w:val="a0"/>
    <w:link w:val="ab"/>
    <w:uiPriority w:val="99"/>
    <w:rsid w:val="00C071D1"/>
  </w:style>
  <w:style w:type="character" w:styleId="ac">
    <w:name w:val="annotation reference"/>
    <w:basedOn w:val="a0"/>
    <w:unhideWhenUsed/>
    <w:rsid w:val="00C071D1"/>
    <w:rPr>
      <w:sz w:val="16"/>
      <w:szCs w:val="16"/>
    </w:rPr>
  </w:style>
  <w:style w:type="paragraph" w:styleId="ad">
    <w:name w:val="annotation text"/>
    <w:basedOn w:val="a"/>
    <w:link w:val="Char3"/>
    <w:unhideWhenUsed/>
    <w:rsid w:val="00C071D1"/>
    <w:pPr>
      <w:spacing w:line="240" w:lineRule="auto"/>
    </w:pPr>
    <w:rPr>
      <w:sz w:val="20"/>
      <w:szCs w:val="20"/>
    </w:rPr>
  </w:style>
  <w:style w:type="character" w:customStyle="1" w:styleId="Char3">
    <w:name w:val="批注文字 Char"/>
    <w:basedOn w:val="a0"/>
    <w:link w:val="ad"/>
    <w:rsid w:val="00C071D1"/>
    <w:rPr>
      <w:sz w:val="20"/>
      <w:szCs w:val="20"/>
    </w:rPr>
  </w:style>
  <w:style w:type="paragraph" w:styleId="ae">
    <w:name w:val="annotation subject"/>
    <w:basedOn w:val="ad"/>
    <w:next w:val="ad"/>
    <w:link w:val="Char4"/>
    <w:uiPriority w:val="99"/>
    <w:semiHidden/>
    <w:unhideWhenUsed/>
    <w:rsid w:val="00C071D1"/>
    <w:rPr>
      <w:b/>
      <w:bCs/>
    </w:rPr>
  </w:style>
  <w:style w:type="character" w:customStyle="1" w:styleId="Char4">
    <w:name w:val="批注主题 Char"/>
    <w:basedOn w:val="Char3"/>
    <w:link w:val="ae"/>
    <w:uiPriority w:val="99"/>
    <w:semiHidden/>
    <w:rsid w:val="00C071D1"/>
    <w:rPr>
      <w:b/>
      <w:bCs/>
      <w:sz w:val="20"/>
      <w:szCs w:val="20"/>
    </w:rPr>
  </w:style>
  <w:style w:type="paragraph" w:styleId="af">
    <w:name w:val="No Spacing"/>
    <w:uiPriority w:val="1"/>
    <w:qFormat/>
    <w:rsid w:val="00C071D1"/>
    <w:pPr>
      <w:spacing w:after="0" w:line="240" w:lineRule="auto"/>
    </w:pPr>
  </w:style>
  <w:style w:type="character" w:styleId="af0">
    <w:name w:val="Strong"/>
    <w:uiPriority w:val="22"/>
    <w:qFormat/>
    <w:rsid w:val="00951777"/>
    <w:rPr>
      <w:b/>
      <w:bCs/>
    </w:rPr>
  </w:style>
  <w:style w:type="paragraph" w:styleId="af1">
    <w:name w:val="Revision"/>
    <w:hidden/>
    <w:uiPriority w:val="99"/>
    <w:semiHidden/>
    <w:rsid w:val="00ED1936"/>
    <w:pPr>
      <w:spacing w:after="0" w:line="240" w:lineRule="auto"/>
    </w:pPr>
  </w:style>
  <w:style w:type="paragraph" w:styleId="af2">
    <w:name w:val="caption"/>
    <w:basedOn w:val="a"/>
    <w:next w:val="a"/>
    <w:uiPriority w:val="35"/>
    <w:semiHidden/>
    <w:unhideWhenUsed/>
    <w:qFormat/>
    <w:rsid w:val="004510C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show/NCT0029435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flah.Roohullah@sswahs.nsw.gov.a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Chemotherapy</c:v>
                </c:pt>
              </c:strCache>
            </c:strRef>
          </c:tx>
          <c:invertIfNegative val="0"/>
          <c:cat>
            <c:strRef>
              <c:f>Sheet1!$A$2:$A$6</c:f>
              <c:strCache>
                <c:ptCount val="5"/>
                <c:pt idx="0">
                  <c:v>MAX Peritoneal</c:v>
                </c:pt>
                <c:pt idx="1">
                  <c:v>MAX Non-peritoneal</c:v>
                </c:pt>
                <c:pt idx="2">
                  <c:v>TRACC Peritoneal</c:v>
                </c:pt>
                <c:pt idx="3">
                  <c:v>TRACC Non-Peritoneal</c:v>
                </c:pt>
                <c:pt idx="4">
                  <c:v>NSWCC</c:v>
                </c:pt>
              </c:strCache>
            </c:strRef>
          </c:cat>
          <c:val>
            <c:numRef>
              <c:f>Sheet1!$B$2:$B$6</c:f>
              <c:numCache>
                <c:formatCode>0.00%</c:formatCode>
                <c:ptCount val="5"/>
                <c:pt idx="0" formatCode="0%">
                  <c:v>0</c:v>
                </c:pt>
                <c:pt idx="1">
                  <c:v>8.0000000000000002E-3</c:v>
                </c:pt>
                <c:pt idx="2">
                  <c:v>1.9E-2</c:v>
                </c:pt>
                <c:pt idx="3">
                  <c:v>2.8000000000000001E-2</c:v>
                </c:pt>
                <c:pt idx="4" formatCode="General">
                  <c:v>0</c:v>
                </c:pt>
              </c:numCache>
            </c:numRef>
          </c:val>
        </c:ser>
        <c:ser>
          <c:idx val="1"/>
          <c:order val="1"/>
          <c:tx>
            <c:strRef>
              <c:f>Sheet1!$C$1</c:f>
              <c:strCache>
                <c:ptCount val="1"/>
                <c:pt idx="0">
                  <c:v>Chemotherapy/Bevacizumab</c:v>
                </c:pt>
              </c:strCache>
            </c:strRef>
          </c:tx>
          <c:invertIfNegative val="0"/>
          <c:cat>
            <c:strRef>
              <c:f>Sheet1!$A$2:$A$6</c:f>
              <c:strCache>
                <c:ptCount val="5"/>
                <c:pt idx="0">
                  <c:v>MAX Peritoneal</c:v>
                </c:pt>
                <c:pt idx="1">
                  <c:v>MAX Non-peritoneal</c:v>
                </c:pt>
                <c:pt idx="2">
                  <c:v>TRACC Peritoneal</c:v>
                </c:pt>
                <c:pt idx="3">
                  <c:v>TRACC Non-Peritoneal</c:v>
                </c:pt>
                <c:pt idx="4">
                  <c:v>NSWCC</c:v>
                </c:pt>
              </c:strCache>
            </c:strRef>
          </c:cat>
          <c:val>
            <c:numRef>
              <c:f>Sheet1!$C$2:$C$6</c:f>
              <c:numCache>
                <c:formatCode>0.00%</c:formatCode>
                <c:ptCount val="5"/>
                <c:pt idx="0" formatCode="0%">
                  <c:v>0</c:v>
                </c:pt>
                <c:pt idx="1">
                  <c:v>1.2999999999999999E-2</c:v>
                </c:pt>
                <c:pt idx="2">
                  <c:v>2.4E-2</c:v>
                </c:pt>
                <c:pt idx="3">
                  <c:v>2.4E-2</c:v>
                </c:pt>
                <c:pt idx="4" formatCode="General">
                  <c:v>0</c:v>
                </c:pt>
              </c:numCache>
            </c:numRef>
          </c:val>
        </c:ser>
        <c:dLbls>
          <c:showLegendKey val="0"/>
          <c:showVal val="0"/>
          <c:showCatName val="0"/>
          <c:showSerName val="0"/>
          <c:showPercent val="0"/>
          <c:showBubbleSize val="0"/>
        </c:dLbls>
        <c:gapWidth val="150"/>
        <c:axId val="139601408"/>
        <c:axId val="139602944"/>
      </c:barChart>
      <c:catAx>
        <c:axId val="139601408"/>
        <c:scaling>
          <c:orientation val="minMax"/>
        </c:scaling>
        <c:delete val="0"/>
        <c:axPos val="b"/>
        <c:majorTickMark val="out"/>
        <c:minorTickMark val="none"/>
        <c:tickLblPos val="nextTo"/>
        <c:crossAx val="139602944"/>
        <c:crosses val="autoZero"/>
        <c:auto val="1"/>
        <c:lblAlgn val="ctr"/>
        <c:lblOffset val="100"/>
        <c:noMultiLvlLbl val="0"/>
      </c:catAx>
      <c:valAx>
        <c:axId val="139602944"/>
        <c:scaling>
          <c:orientation val="minMax"/>
          <c:max val="6.0000000000000012E-2"/>
          <c:min val="0"/>
        </c:scaling>
        <c:delete val="0"/>
        <c:axPos val="l"/>
        <c:majorGridlines/>
        <c:numFmt formatCode="0%" sourceLinked="1"/>
        <c:majorTickMark val="out"/>
        <c:minorTickMark val="none"/>
        <c:tickLblPos val="nextTo"/>
        <c:crossAx val="139601408"/>
        <c:crosses val="autoZero"/>
        <c:crossBetween val="between"/>
        <c:majorUnit val="1.0000000000000002E-2"/>
        <c:minorUnit val="1.0000000000000002E-2"/>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24</Pages>
  <Words>5082</Words>
  <Characters>28969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Aflah Roohullah</dc:creator>
  <cp:lastModifiedBy>LS Ma</cp:lastModifiedBy>
  <cp:revision>2</cp:revision>
  <dcterms:created xsi:type="dcterms:W3CDTF">2015-03-12T02:26:00Z</dcterms:created>
  <dcterms:modified xsi:type="dcterms:W3CDTF">2015-03-12T02:26:00Z</dcterms:modified>
</cp:coreProperties>
</file>