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4F1" w:rsidRPr="00C13450" w:rsidRDefault="00DF44F1" w:rsidP="0033257B">
      <w:pPr>
        <w:adjustRightInd w:val="0"/>
        <w:snapToGrid w:val="0"/>
        <w:spacing w:line="360" w:lineRule="auto"/>
        <w:rPr>
          <w:rFonts w:ascii="Book Antiqua" w:eastAsia="Times New Roman" w:hAnsi="Book Antiqua" w:cs="宋体"/>
          <w:i/>
          <w:color w:val="000000"/>
          <w:sz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r w:rsidRPr="00C13450">
        <w:rPr>
          <w:rFonts w:ascii="Book Antiqua" w:eastAsia="Times New Roman" w:hAnsi="Book Antiqua" w:cs="宋体"/>
          <w:b/>
          <w:color w:val="0033CC"/>
          <w:sz w:val="24"/>
        </w:rPr>
        <w:t>Name of journal:</w:t>
      </w:r>
      <w:r w:rsidRPr="00C13450">
        <w:rPr>
          <w:rFonts w:ascii="Book Antiqua" w:eastAsia="Times New Roman" w:hAnsi="Book Antiqua" w:cs="宋体"/>
          <w:b/>
          <w:color w:val="000000"/>
          <w:sz w:val="24"/>
        </w:rPr>
        <w:t xml:space="preserve"> </w:t>
      </w:r>
      <w:bookmarkEnd w:id="0"/>
      <w:r w:rsidRPr="00C13450">
        <w:rPr>
          <w:rFonts w:ascii="Book Antiqua" w:eastAsia="Times New Roman" w:hAnsi="Book Antiqua"/>
          <w:i/>
          <w:color w:val="000000"/>
          <w:sz w:val="24"/>
        </w:rPr>
        <w:t>World Journal of Gastrointestinal Surgery</w:t>
      </w:r>
    </w:p>
    <w:p w:rsidR="00DF44F1" w:rsidRPr="00C13450" w:rsidRDefault="00DF44F1" w:rsidP="0033257B">
      <w:pPr>
        <w:adjustRightInd w:val="0"/>
        <w:snapToGrid w:val="0"/>
        <w:spacing w:line="360" w:lineRule="auto"/>
        <w:rPr>
          <w:rFonts w:ascii="Book Antiqua" w:hAnsi="Book Antiqua" w:cs="宋体"/>
          <w:b/>
          <w:i/>
          <w:color w:val="000000"/>
          <w:sz w:val="24"/>
        </w:rPr>
      </w:pPr>
      <w:r w:rsidRPr="00C13450">
        <w:rPr>
          <w:rFonts w:ascii="Book Antiqua" w:eastAsia="Times New Roman" w:hAnsi="Book Antiqua" w:cs="Arial"/>
          <w:b/>
          <w:color w:val="0033CC"/>
          <w:sz w:val="24"/>
        </w:rPr>
        <w:t>ESPS Manuscript NO:</w:t>
      </w:r>
      <w:r w:rsidRPr="00C13450">
        <w:rPr>
          <w:rFonts w:ascii="Book Antiqua" w:eastAsia="Times New Roman" w:hAnsi="Book Antiqua" w:cs="Arial"/>
          <w:b/>
          <w:color w:val="222222"/>
          <w:sz w:val="24"/>
        </w:rPr>
        <w:t xml:space="preserve"> </w:t>
      </w:r>
      <w:r w:rsidRPr="00C13450">
        <w:rPr>
          <w:rFonts w:ascii="Book Antiqua" w:hAnsi="Book Antiqua" w:cs="Arial"/>
          <w:b/>
          <w:color w:val="222222"/>
          <w:sz w:val="24"/>
        </w:rPr>
        <w:t>1618</w:t>
      </w:r>
    </w:p>
    <w:p w:rsidR="00DF44F1" w:rsidRPr="00C13450" w:rsidRDefault="00DF44F1" w:rsidP="0033257B">
      <w:pPr>
        <w:suppressAutoHyphens/>
        <w:autoSpaceDE w:val="0"/>
        <w:autoSpaceDN w:val="0"/>
        <w:adjustRightInd w:val="0"/>
        <w:snapToGrid w:val="0"/>
        <w:spacing w:line="360" w:lineRule="auto"/>
        <w:rPr>
          <w:rFonts w:ascii="Book Antiqua" w:eastAsia="Times New Roman" w:hAnsi="Book Antiqua"/>
          <w:b/>
          <w:color w:val="000000"/>
          <w:kern w:val="0"/>
          <w:sz w:val="24"/>
        </w:rPr>
      </w:pPr>
      <w:bookmarkStart w:id="131" w:name="OLE_LINK1617"/>
      <w:bookmarkStart w:id="132" w:name="OLE_LINK1618"/>
      <w:r w:rsidRPr="00C13450">
        <w:rPr>
          <w:rFonts w:ascii="Book Antiqua" w:eastAsia="Times New Roman" w:hAnsi="Book Antiqua"/>
          <w:b/>
          <w:color w:val="0033CC"/>
          <w:kern w:val="0"/>
          <w:sz w:val="24"/>
        </w:rPr>
        <w:t>Columns:</w:t>
      </w:r>
      <w:r w:rsidRPr="00C13450">
        <w:rPr>
          <w:rFonts w:ascii="Book Antiqua" w:eastAsia="Times New Roman" w:hAnsi="Book Antiqua"/>
          <w:b/>
          <w:color w:val="000000"/>
          <w:kern w:val="0"/>
          <w:sz w:val="24"/>
        </w:rPr>
        <w:t xml:space="preserve"> </w:t>
      </w:r>
      <w:r w:rsidRPr="00C13450">
        <w:rPr>
          <w:rFonts w:ascii="Book Antiqua" w:eastAsia="Times New Roman" w:hAnsi="Book Antiqua"/>
          <w:b/>
          <w:color w:val="000000"/>
          <w:sz w:val="24"/>
        </w:rPr>
        <w:t>CASE REPORT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rsidR="00DF44F1" w:rsidRPr="00C13450" w:rsidRDefault="00DF44F1" w:rsidP="0033257B">
      <w:pPr>
        <w:adjustRightInd w:val="0"/>
        <w:snapToGrid w:val="0"/>
        <w:spacing w:line="360" w:lineRule="auto"/>
        <w:rPr>
          <w:rFonts w:ascii="Book Antiqua" w:eastAsia="Times New Roman" w:hAnsi="Book Antiqua" w:cs="Tahoma"/>
          <w:b/>
          <w:color w:val="000000"/>
          <w:sz w:val="24"/>
        </w:rPr>
      </w:pPr>
      <w:r w:rsidRPr="00C13450">
        <w:rPr>
          <w:rFonts w:ascii="Book Antiqua" w:eastAsia="Times New Roman" w:hAnsi="Book Antiqua"/>
          <w:b/>
          <w:color w:val="000000"/>
          <w:sz w:val="24"/>
        </w:rPr>
        <w:t xml:space="preserve">                         </w:t>
      </w:r>
      <w:r w:rsidRPr="00C13450">
        <w:rPr>
          <w:rFonts w:ascii="Book Antiqua" w:eastAsia="Times New Roman" w:hAnsi="Book Antiqua"/>
          <w:b/>
          <w:color w:val="000000"/>
          <w:sz w:val="24"/>
        </w:rPr>
        <w:tab/>
      </w:r>
      <w:r w:rsidRPr="00C13450">
        <w:rPr>
          <w:rFonts w:ascii="Book Antiqua" w:eastAsia="Times New Roman" w:hAnsi="Book Antiqua"/>
          <w:b/>
          <w:color w:val="000000"/>
          <w:sz w:val="24"/>
        </w:rPr>
        <w:tab/>
      </w:r>
      <w:r w:rsidRPr="00C13450">
        <w:rPr>
          <w:rFonts w:ascii="Book Antiqua" w:eastAsia="Times New Roman" w:hAnsi="Book Antiqua"/>
          <w:b/>
          <w:color w:val="000000"/>
          <w:sz w:val="24"/>
        </w:rPr>
        <w:tab/>
      </w:r>
      <w:r w:rsidRPr="00C13450">
        <w:rPr>
          <w:rFonts w:ascii="Book Antiqua" w:eastAsia="Times New Roman" w:hAnsi="Book Antiqua"/>
          <w:b/>
          <w:color w:val="000000"/>
          <w:sz w:val="24"/>
        </w:rPr>
        <w:tab/>
      </w:r>
    </w:p>
    <w:p w:rsidR="00DF44F1" w:rsidRPr="00C13450" w:rsidRDefault="00DF44F1" w:rsidP="0033257B">
      <w:pPr>
        <w:adjustRightInd w:val="0"/>
        <w:snapToGrid w:val="0"/>
        <w:spacing w:line="360" w:lineRule="auto"/>
        <w:rPr>
          <w:rFonts w:ascii="Book Antiqua" w:hAnsi="Book Antiqua"/>
          <w:b/>
          <w:sz w:val="24"/>
        </w:rPr>
      </w:pPr>
      <w:r w:rsidRPr="00C13450">
        <w:rPr>
          <w:rFonts w:ascii="Book Antiqua" w:eastAsia="Times New Roman" w:hAnsi="Book Antiqua"/>
          <w:b/>
          <w:sz w:val="24"/>
        </w:rPr>
        <w:t>Intrathoracic major duodenal papilla with transhiatal herniation of the pancreas and duodenum</w:t>
      </w:r>
      <w:r w:rsidRPr="00C13450">
        <w:rPr>
          <w:rFonts w:ascii="Book Antiqua" w:hAnsi="Book Antiqua"/>
          <w:b/>
          <w:sz w:val="24"/>
        </w:rPr>
        <w:t xml:space="preserve">: </w:t>
      </w:r>
      <w:r w:rsidRPr="00C13450">
        <w:rPr>
          <w:rFonts w:ascii="Book Antiqua" w:eastAsia="Times New Roman" w:hAnsi="Book Antiqua"/>
          <w:b/>
          <w:sz w:val="24"/>
        </w:rPr>
        <w:t>A case report and review of the literature</w:t>
      </w:r>
    </w:p>
    <w:p w:rsidR="00DF44F1" w:rsidRPr="00C13450" w:rsidRDefault="00DF44F1" w:rsidP="0033257B">
      <w:pPr>
        <w:adjustRightInd w:val="0"/>
        <w:snapToGrid w:val="0"/>
        <w:spacing w:line="360" w:lineRule="auto"/>
        <w:rPr>
          <w:rFonts w:ascii="Book Antiqua" w:eastAsia="Times New Roman" w:hAnsi="Book Antiqua"/>
          <w:sz w:val="24"/>
        </w:rPr>
      </w:pPr>
    </w:p>
    <w:p w:rsidR="00DF44F1" w:rsidRPr="00C13450" w:rsidRDefault="00DF44F1" w:rsidP="0033257B">
      <w:pPr>
        <w:adjustRightInd w:val="0"/>
        <w:snapToGrid w:val="0"/>
        <w:spacing w:line="360" w:lineRule="auto"/>
        <w:rPr>
          <w:rFonts w:ascii="Book Antiqua" w:eastAsia="Times New Roman" w:hAnsi="Book Antiqua"/>
          <w:sz w:val="24"/>
        </w:rPr>
      </w:pPr>
      <w:r w:rsidRPr="00C13450">
        <w:rPr>
          <w:rFonts w:ascii="Book Antiqua" w:eastAsia="Times New Roman" w:hAnsi="Book Antiqua"/>
          <w:b/>
          <w:sz w:val="24"/>
        </w:rPr>
        <w:t xml:space="preserve">Jäger T </w:t>
      </w:r>
      <w:r w:rsidRPr="00C13450">
        <w:rPr>
          <w:rFonts w:ascii="Book Antiqua" w:eastAsia="Times New Roman" w:hAnsi="Book Antiqua"/>
          <w:b/>
          <w:i/>
          <w:sz w:val="24"/>
        </w:rPr>
        <w:t>et al.</w:t>
      </w:r>
      <w:r w:rsidRPr="00C13450">
        <w:rPr>
          <w:rFonts w:ascii="Book Antiqua" w:eastAsia="Times New Roman" w:hAnsi="Book Antiqua"/>
          <w:b/>
          <w:sz w:val="24"/>
        </w:rPr>
        <w:t xml:space="preserve"> </w:t>
      </w:r>
      <w:r w:rsidRPr="00C13450">
        <w:rPr>
          <w:rFonts w:ascii="Book Antiqua" w:eastAsia="Times New Roman" w:hAnsi="Book Antiqua"/>
          <w:sz w:val="24"/>
        </w:rPr>
        <w:t>Transhiatal herniation of duodenum and pancreas</w:t>
      </w:r>
    </w:p>
    <w:p w:rsidR="00DF44F1" w:rsidRPr="00C13450" w:rsidRDefault="00DF44F1" w:rsidP="0033257B">
      <w:pPr>
        <w:adjustRightInd w:val="0"/>
        <w:snapToGrid w:val="0"/>
        <w:spacing w:line="360" w:lineRule="auto"/>
        <w:rPr>
          <w:rFonts w:ascii="Book Antiqua" w:eastAsia="Times New Roman" w:hAnsi="Book Antiqua"/>
          <w:sz w:val="24"/>
        </w:rPr>
      </w:pPr>
    </w:p>
    <w:p w:rsidR="00DF44F1" w:rsidRPr="00C13450" w:rsidRDefault="00DF44F1" w:rsidP="0033257B">
      <w:pPr>
        <w:adjustRightInd w:val="0"/>
        <w:snapToGrid w:val="0"/>
        <w:spacing w:line="360" w:lineRule="auto"/>
        <w:rPr>
          <w:rFonts w:ascii="Book Antiqua" w:eastAsia="Times New Roman" w:hAnsi="Book Antiqua"/>
          <w:sz w:val="24"/>
          <w:lang w:val="de-AT"/>
        </w:rPr>
      </w:pPr>
      <w:r w:rsidRPr="00C13450">
        <w:rPr>
          <w:rFonts w:ascii="Book Antiqua" w:eastAsia="Times New Roman" w:hAnsi="Book Antiqua"/>
          <w:sz w:val="24"/>
          <w:lang w:val="de-AT"/>
        </w:rPr>
        <w:t>Tarkan Jäger, Daniel Neureiter, Clemens Nawara, Adam Dinnewitzer, Dietmar Öfner, Wolfram Lamadé</w:t>
      </w:r>
    </w:p>
    <w:p w:rsidR="00DF44F1" w:rsidRPr="00B232EA" w:rsidRDefault="0012480F" w:rsidP="0033257B">
      <w:pPr>
        <w:adjustRightInd w:val="0"/>
        <w:snapToGrid w:val="0"/>
        <w:spacing w:line="360" w:lineRule="auto"/>
        <w:rPr>
          <w:rFonts w:ascii="Book Antiqua" w:hAnsi="Book Antiqua"/>
          <w:sz w:val="24"/>
          <w:lang w:val="de-AT"/>
        </w:rPr>
      </w:pPr>
      <w:r>
        <w:rPr>
          <w:noProof/>
        </w:rPr>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62865</wp:posOffset>
                </wp:positionV>
                <wp:extent cx="5724525" cy="9525"/>
                <wp:effectExtent l="24130" t="24765" r="23495" b="2286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9525"/>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5pt;margin-top:4.95pt;width:450.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" strokecolor="gray" strokeweight="3pt"/>
            </w:pict>
          </mc:Fallback>
        </mc:AlternateContent>
      </w:r>
    </w:p>
    <w:p w:rsidR="00DF44F1" w:rsidRPr="00C13450" w:rsidRDefault="00DF44F1" w:rsidP="0033257B">
      <w:pPr>
        <w:adjustRightInd w:val="0"/>
        <w:snapToGrid w:val="0"/>
        <w:spacing w:line="360" w:lineRule="auto"/>
        <w:rPr>
          <w:rFonts w:ascii="Book Antiqua" w:eastAsia="Times New Roman" w:hAnsi="Book Antiqua"/>
          <w:sz w:val="24"/>
          <w:lang w:val="de-AT"/>
        </w:rPr>
      </w:pPr>
      <w:r w:rsidRPr="00C13450">
        <w:rPr>
          <w:rFonts w:ascii="Book Antiqua" w:eastAsia="Times New Roman" w:hAnsi="Book Antiqua"/>
          <w:b/>
          <w:sz w:val="24"/>
          <w:lang w:val="de-AT"/>
        </w:rPr>
        <w:t xml:space="preserve">Tarkan Jäger, Clemens Nawara, Adam Dinnewitzer, Dietmar Öfner, </w:t>
      </w:r>
      <w:r w:rsidRPr="00C13450">
        <w:rPr>
          <w:rFonts w:ascii="Book Antiqua" w:eastAsia="Times New Roman" w:hAnsi="Book Antiqua"/>
          <w:sz w:val="24"/>
          <w:lang w:val="de-AT"/>
        </w:rPr>
        <w:t xml:space="preserve">Department of Surgery, Paracelsus Medical University, 5020 Salzburg, Austria </w:t>
      </w:r>
    </w:p>
    <w:p w:rsidR="00DF44F1" w:rsidRPr="00C13450" w:rsidRDefault="00DF44F1" w:rsidP="0033257B">
      <w:pPr>
        <w:adjustRightInd w:val="0"/>
        <w:snapToGrid w:val="0"/>
        <w:spacing w:line="360" w:lineRule="auto"/>
        <w:rPr>
          <w:rFonts w:ascii="Book Antiqua" w:eastAsia="Times New Roman" w:hAnsi="Book Antiqua"/>
          <w:b/>
          <w:sz w:val="24"/>
          <w:lang w:val="de-AT"/>
        </w:rPr>
      </w:pPr>
    </w:p>
    <w:p w:rsidR="00DF44F1" w:rsidRPr="00C13450" w:rsidRDefault="00DF44F1" w:rsidP="0033257B">
      <w:pPr>
        <w:adjustRightInd w:val="0"/>
        <w:snapToGrid w:val="0"/>
        <w:spacing w:line="360" w:lineRule="auto"/>
        <w:rPr>
          <w:rFonts w:ascii="Book Antiqua" w:eastAsia="Times New Roman" w:hAnsi="Book Antiqua"/>
          <w:sz w:val="24"/>
          <w:lang w:val="de-AT"/>
        </w:rPr>
      </w:pPr>
      <w:bookmarkStart w:id="133" w:name="OLE_LINK1898"/>
      <w:bookmarkStart w:id="134" w:name="OLE_LINK1899"/>
      <w:bookmarkStart w:id="135" w:name="OLE_LINK1900"/>
      <w:r w:rsidRPr="00C13450">
        <w:rPr>
          <w:rFonts w:ascii="Book Antiqua" w:eastAsia="Times New Roman" w:hAnsi="Book Antiqua"/>
          <w:b/>
          <w:sz w:val="24"/>
          <w:lang w:val="de-AT"/>
        </w:rPr>
        <w:t>Daniel Neureiter,</w:t>
      </w:r>
      <w:bookmarkEnd w:id="133"/>
      <w:bookmarkEnd w:id="134"/>
      <w:bookmarkEnd w:id="135"/>
      <w:r w:rsidRPr="00C13450">
        <w:rPr>
          <w:rFonts w:ascii="Book Antiqua" w:eastAsia="Times New Roman" w:hAnsi="Book Antiqua"/>
          <w:b/>
          <w:sz w:val="24"/>
          <w:lang w:val="de-AT"/>
        </w:rPr>
        <w:t xml:space="preserve"> </w:t>
      </w:r>
      <w:r w:rsidRPr="00C13450">
        <w:rPr>
          <w:rFonts w:ascii="Book Antiqua" w:eastAsia="Times New Roman" w:hAnsi="Book Antiqua"/>
          <w:sz w:val="24"/>
          <w:lang w:val="de-AT"/>
        </w:rPr>
        <w:t>Institute of Pathology, Paracelsus Medical University/Salzburger Landeskliniken, 5020 Salzburg, Austria</w:t>
      </w:r>
    </w:p>
    <w:p w:rsidR="00DF44F1" w:rsidRPr="00C13450" w:rsidRDefault="00DF44F1" w:rsidP="0033257B">
      <w:pPr>
        <w:adjustRightInd w:val="0"/>
        <w:snapToGrid w:val="0"/>
        <w:spacing w:line="360" w:lineRule="auto"/>
        <w:rPr>
          <w:rFonts w:ascii="Book Antiqua" w:eastAsia="Times New Roman" w:hAnsi="Book Antiqua"/>
          <w:b/>
          <w:sz w:val="24"/>
          <w:lang w:val="de-AT"/>
        </w:rPr>
      </w:pPr>
    </w:p>
    <w:p w:rsidR="00DF44F1" w:rsidRPr="00C13450" w:rsidRDefault="00DF44F1" w:rsidP="0033257B">
      <w:pPr>
        <w:adjustRightInd w:val="0"/>
        <w:snapToGrid w:val="0"/>
        <w:spacing w:line="360" w:lineRule="auto"/>
        <w:rPr>
          <w:rFonts w:ascii="Book Antiqua" w:eastAsia="Times New Roman" w:hAnsi="Book Antiqua"/>
          <w:sz w:val="24"/>
        </w:rPr>
      </w:pPr>
      <w:r w:rsidRPr="00C13450">
        <w:rPr>
          <w:rFonts w:ascii="Book Antiqua" w:eastAsia="Times New Roman" w:hAnsi="Book Antiqua"/>
          <w:b/>
          <w:sz w:val="24"/>
        </w:rPr>
        <w:t>Wolfram Lamadé</w:t>
      </w:r>
      <w:r w:rsidRPr="00C13450">
        <w:rPr>
          <w:rFonts w:ascii="Book Antiqua" w:eastAsia="Times New Roman" w:hAnsi="Book Antiqua"/>
          <w:sz w:val="24"/>
        </w:rPr>
        <w:t xml:space="preserve">, Department of Surgery, Helios Spital, Härlenweg 1, 88662 </w:t>
      </w:r>
      <w:smartTag w:uri="urn:schemas-microsoft-com:office:smarttags" w:element="place">
        <w:smartTag w:uri="urn:schemas-microsoft-com:office:smarttags" w:element="City">
          <w:r w:rsidRPr="00C13450">
            <w:rPr>
              <w:rFonts w:ascii="Book Antiqua" w:eastAsia="Times New Roman" w:hAnsi="Book Antiqua"/>
              <w:sz w:val="24"/>
            </w:rPr>
            <w:t>Überlingen</w:t>
          </w:r>
        </w:smartTag>
        <w:r w:rsidRPr="00C13450">
          <w:rPr>
            <w:rFonts w:ascii="Book Antiqua" w:eastAsia="Times New Roman" w:hAnsi="Book Antiqua"/>
            <w:sz w:val="24"/>
          </w:rPr>
          <w:t xml:space="preserve">, </w:t>
        </w:r>
        <w:smartTag w:uri="urn:schemas-microsoft-com:office:smarttags" w:element="country-region">
          <w:r w:rsidRPr="00C13450">
            <w:rPr>
              <w:rFonts w:ascii="Book Antiqua" w:eastAsia="Times New Roman" w:hAnsi="Book Antiqua"/>
              <w:sz w:val="24"/>
            </w:rPr>
            <w:t>Germany</w:t>
          </w:r>
        </w:smartTag>
      </w:smartTag>
    </w:p>
    <w:p w:rsidR="00DF44F1" w:rsidRPr="00C13450" w:rsidRDefault="00DF44F1" w:rsidP="0033257B">
      <w:pPr>
        <w:adjustRightInd w:val="0"/>
        <w:snapToGrid w:val="0"/>
        <w:spacing w:line="360" w:lineRule="auto"/>
        <w:rPr>
          <w:rFonts w:ascii="Book Antiqua" w:eastAsia="Times New Roman" w:hAnsi="Book Antiqua"/>
          <w:b/>
          <w:sz w:val="24"/>
        </w:rPr>
      </w:pPr>
    </w:p>
    <w:p w:rsidR="00DF44F1" w:rsidRPr="00C13450" w:rsidRDefault="00DF44F1" w:rsidP="0033257B">
      <w:pPr>
        <w:widowControl/>
        <w:autoSpaceDE w:val="0"/>
        <w:autoSpaceDN w:val="0"/>
        <w:adjustRightInd w:val="0"/>
        <w:snapToGrid w:val="0"/>
        <w:spacing w:line="360" w:lineRule="auto"/>
        <w:rPr>
          <w:rFonts w:ascii="Book Antiqua" w:eastAsia="Times New Roman" w:hAnsi="Book Antiqua" w:cs="TimesNewRomanPSMT"/>
          <w:kern w:val="0"/>
          <w:sz w:val="24"/>
          <w:lang w:eastAsia="en-US"/>
        </w:rPr>
      </w:pPr>
      <w:r w:rsidRPr="00C13450">
        <w:rPr>
          <w:rFonts w:ascii="Book Antiqua" w:eastAsia="Times New Roman" w:hAnsi="Book Antiqua"/>
          <w:b/>
          <w:sz w:val="24"/>
        </w:rPr>
        <w:t xml:space="preserve">Author contributions: </w:t>
      </w:r>
      <w:r w:rsidRPr="00C13450">
        <w:rPr>
          <w:rFonts w:ascii="Book Antiqua" w:eastAsia="Times New Roman" w:hAnsi="Book Antiqua"/>
          <w:sz w:val="24"/>
        </w:rPr>
        <w:t>Jäger T wrote the manuscript, carried out the literature review and organized the figures</w:t>
      </w:r>
      <w:r w:rsidRPr="00C13450">
        <w:rPr>
          <w:rFonts w:ascii="Book Antiqua" w:hAnsi="Book Antiqua"/>
          <w:sz w:val="24"/>
        </w:rPr>
        <w:t>;</w:t>
      </w:r>
      <w:r w:rsidRPr="00C13450">
        <w:rPr>
          <w:rFonts w:ascii="Book Antiqua" w:eastAsia="Times New Roman" w:hAnsi="Book Antiqua"/>
          <w:sz w:val="24"/>
        </w:rPr>
        <w:t xml:space="preserve"> Öfner D, Neureiter D performed research and contributed new aspects</w:t>
      </w:r>
      <w:r w:rsidRPr="00C13450">
        <w:rPr>
          <w:rFonts w:ascii="Book Antiqua" w:hAnsi="Book Antiqua"/>
          <w:sz w:val="24"/>
        </w:rPr>
        <w:t>;</w:t>
      </w:r>
      <w:r w:rsidRPr="00C13450">
        <w:rPr>
          <w:rFonts w:ascii="Book Antiqua" w:eastAsia="Times New Roman" w:hAnsi="Book Antiqua"/>
          <w:sz w:val="24"/>
        </w:rPr>
        <w:t xml:space="preserve"> Dinnewitzer A and Nawara C </w:t>
      </w:r>
      <w:r w:rsidRPr="00C13450">
        <w:rPr>
          <w:rFonts w:ascii="Book Antiqua" w:eastAsia="Times New Roman" w:hAnsi="Book Antiqua" w:cs="TimesNewRomanPSMT"/>
          <w:kern w:val="0"/>
          <w:sz w:val="24"/>
          <w:lang w:eastAsia="en-US"/>
        </w:rPr>
        <w:t>helped carry out the literature analysis and assisted in writing the manuscript</w:t>
      </w:r>
      <w:r w:rsidRPr="00C13450">
        <w:rPr>
          <w:rFonts w:ascii="Book Antiqua" w:hAnsi="Book Antiqua" w:cs="TimesNewRomanPSMT"/>
          <w:kern w:val="0"/>
          <w:sz w:val="24"/>
        </w:rPr>
        <w:t>;</w:t>
      </w:r>
      <w:r w:rsidRPr="00C13450">
        <w:rPr>
          <w:rFonts w:ascii="Book Antiqua" w:eastAsia="Times New Roman" w:hAnsi="Book Antiqua" w:cs="TimesNewRomanPSMT"/>
          <w:kern w:val="0"/>
          <w:sz w:val="24"/>
          <w:lang w:eastAsia="en-US"/>
        </w:rPr>
        <w:t xml:space="preserve"> Lamadé W made substantial contributions to conception, design and revised for final approval. </w:t>
      </w:r>
    </w:p>
    <w:p w:rsidR="00DF44F1" w:rsidRPr="00C13450" w:rsidRDefault="00DF44F1" w:rsidP="0033257B">
      <w:pPr>
        <w:widowControl/>
        <w:autoSpaceDE w:val="0"/>
        <w:autoSpaceDN w:val="0"/>
        <w:adjustRightInd w:val="0"/>
        <w:snapToGrid w:val="0"/>
        <w:spacing w:line="360" w:lineRule="auto"/>
        <w:rPr>
          <w:rFonts w:ascii="Book Antiqua" w:eastAsia="Times New Roman" w:hAnsi="Book Antiqua" w:cs="TimesNewRomanPSMT"/>
          <w:kern w:val="0"/>
          <w:sz w:val="24"/>
          <w:lang w:eastAsia="en-US"/>
        </w:rPr>
      </w:pPr>
    </w:p>
    <w:p w:rsidR="00DF44F1" w:rsidRPr="00C13450" w:rsidRDefault="00DF44F1" w:rsidP="0033257B">
      <w:pPr>
        <w:widowControl/>
        <w:autoSpaceDE w:val="0"/>
        <w:autoSpaceDN w:val="0"/>
        <w:adjustRightInd w:val="0"/>
        <w:snapToGrid w:val="0"/>
        <w:spacing w:line="360" w:lineRule="auto"/>
        <w:rPr>
          <w:rFonts w:ascii="Book Antiqua" w:eastAsia="Times New Roman" w:hAnsi="Book Antiqua" w:cs="TimesNewRomanPSMT"/>
          <w:kern w:val="0"/>
          <w:sz w:val="24"/>
          <w:lang w:eastAsia="en-US"/>
        </w:rPr>
      </w:pPr>
      <w:r w:rsidRPr="00C13450">
        <w:rPr>
          <w:rFonts w:ascii="Book Antiqua" w:eastAsia="Times New Roman" w:hAnsi="Book Antiqua"/>
          <w:b/>
          <w:sz w:val="24"/>
        </w:rPr>
        <w:t>Correspondence to: Tarkan Jäger, MD,</w:t>
      </w:r>
      <w:r w:rsidRPr="00C13450">
        <w:rPr>
          <w:rFonts w:ascii="Book Antiqua" w:eastAsia="Times New Roman" w:hAnsi="Book Antiqua"/>
          <w:sz w:val="24"/>
        </w:rPr>
        <w:t xml:space="preserve"> Department Surgery, Paracelsus Medical University, Müllner Hauptstraße 48, 5020 Salzburg, Austria. ta.jaeger@salk.at</w:t>
      </w:r>
    </w:p>
    <w:p w:rsidR="00DF44F1" w:rsidRPr="00C13450" w:rsidRDefault="00DF44F1" w:rsidP="0033257B">
      <w:pPr>
        <w:adjustRightInd w:val="0"/>
        <w:snapToGrid w:val="0"/>
        <w:spacing w:line="360" w:lineRule="auto"/>
        <w:rPr>
          <w:rFonts w:ascii="Book Antiqua" w:eastAsia="Times New Roman" w:hAnsi="Book Antiqua"/>
          <w:b/>
          <w:sz w:val="24"/>
        </w:rPr>
      </w:pPr>
    </w:p>
    <w:p w:rsidR="00DF44F1" w:rsidRPr="00C13450" w:rsidRDefault="00DF44F1" w:rsidP="0033257B">
      <w:pPr>
        <w:adjustRightInd w:val="0"/>
        <w:snapToGrid w:val="0"/>
        <w:spacing w:line="360" w:lineRule="auto"/>
        <w:rPr>
          <w:rFonts w:ascii="Book Antiqua" w:eastAsia="Times New Roman" w:hAnsi="Book Antiqua"/>
          <w:b/>
          <w:sz w:val="24"/>
        </w:rPr>
      </w:pPr>
      <w:r w:rsidRPr="00C13450">
        <w:rPr>
          <w:rFonts w:ascii="Book Antiqua" w:eastAsia="Times New Roman" w:hAnsi="Book Antiqua"/>
          <w:b/>
          <w:sz w:val="24"/>
        </w:rPr>
        <w:t xml:space="preserve">Telephone: </w:t>
      </w:r>
      <w:r w:rsidRPr="00C13450">
        <w:rPr>
          <w:rFonts w:ascii="Book Antiqua" w:eastAsia="Times New Roman" w:hAnsi="Book Antiqua"/>
          <w:sz w:val="24"/>
        </w:rPr>
        <w:t>+43-662</w:t>
      </w:r>
      <w:r w:rsidRPr="00C13450">
        <w:rPr>
          <w:rFonts w:ascii="Book Antiqua" w:hAnsi="Book Antiqua"/>
          <w:sz w:val="24"/>
        </w:rPr>
        <w:t>-</w:t>
      </w:r>
      <w:r w:rsidRPr="00C13450">
        <w:rPr>
          <w:rFonts w:ascii="Book Antiqua" w:eastAsia="Times New Roman" w:hAnsi="Book Antiqua"/>
          <w:sz w:val="24"/>
        </w:rPr>
        <w:t xml:space="preserve">448251086 </w:t>
      </w:r>
      <w:r w:rsidRPr="00C13450">
        <w:rPr>
          <w:rFonts w:ascii="Book Antiqua" w:eastAsia="Times New Roman" w:hAnsi="Book Antiqua"/>
          <w:sz w:val="24"/>
        </w:rPr>
        <w:tab/>
      </w:r>
      <w:r w:rsidRPr="00C13450">
        <w:rPr>
          <w:rFonts w:ascii="Book Antiqua" w:eastAsia="Times New Roman" w:hAnsi="Book Antiqua"/>
          <w:sz w:val="24"/>
        </w:rPr>
        <w:tab/>
      </w:r>
      <w:r w:rsidRPr="00C13450">
        <w:rPr>
          <w:rFonts w:ascii="Book Antiqua" w:eastAsia="Times New Roman" w:hAnsi="Book Antiqua"/>
          <w:b/>
          <w:sz w:val="24"/>
        </w:rPr>
        <w:t xml:space="preserve">Fax: </w:t>
      </w:r>
      <w:r w:rsidRPr="00C13450">
        <w:rPr>
          <w:rFonts w:ascii="Book Antiqua" w:eastAsia="Times New Roman" w:hAnsi="Book Antiqua"/>
          <w:sz w:val="24"/>
        </w:rPr>
        <w:t>+43-662</w:t>
      </w:r>
      <w:r w:rsidRPr="00C13450">
        <w:rPr>
          <w:rFonts w:ascii="Book Antiqua" w:hAnsi="Book Antiqua"/>
          <w:sz w:val="24"/>
        </w:rPr>
        <w:t>-</w:t>
      </w:r>
      <w:r w:rsidRPr="00C13450">
        <w:rPr>
          <w:rFonts w:ascii="Book Antiqua" w:eastAsia="Times New Roman" w:hAnsi="Book Antiqua"/>
          <w:sz w:val="24"/>
        </w:rPr>
        <w:t>448251008</w:t>
      </w:r>
    </w:p>
    <w:p w:rsidR="00DF44F1" w:rsidRPr="00C13450" w:rsidRDefault="00DF44F1" w:rsidP="0033257B">
      <w:pPr>
        <w:adjustRightInd w:val="0"/>
        <w:snapToGrid w:val="0"/>
        <w:spacing w:line="360" w:lineRule="auto"/>
        <w:rPr>
          <w:rFonts w:ascii="Book Antiqua" w:eastAsia="Times New Roman" w:hAnsi="Book Antiqua"/>
          <w:sz w:val="24"/>
        </w:rPr>
      </w:pPr>
      <w:r w:rsidRPr="00C13450">
        <w:rPr>
          <w:rFonts w:ascii="Book Antiqua" w:eastAsia="Times New Roman" w:hAnsi="Book Antiqua"/>
          <w:b/>
          <w:sz w:val="24"/>
        </w:rPr>
        <w:t>Received:</w:t>
      </w:r>
      <w:r w:rsidRPr="00C13450">
        <w:rPr>
          <w:rFonts w:ascii="Book Antiqua" w:hAnsi="Book Antiqua"/>
          <w:b/>
          <w:sz w:val="24"/>
        </w:rPr>
        <w:t xml:space="preserve"> </w:t>
      </w:r>
      <w:r w:rsidRPr="00C13450">
        <w:rPr>
          <w:rFonts w:ascii="Book Antiqua" w:hAnsi="Book Antiqua"/>
          <w:sz w:val="24"/>
        </w:rPr>
        <w:t>December 24, 2012</w:t>
      </w:r>
      <w:r w:rsidRPr="00C13450">
        <w:rPr>
          <w:rFonts w:ascii="Book Antiqua" w:eastAsia="Times New Roman" w:hAnsi="Book Antiqua"/>
          <w:sz w:val="24"/>
        </w:rPr>
        <w:tab/>
      </w:r>
      <w:r w:rsidRPr="00C13450">
        <w:rPr>
          <w:rFonts w:ascii="Book Antiqua" w:hAnsi="Book Antiqua"/>
          <w:sz w:val="24"/>
        </w:rPr>
        <w:t xml:space="preserve">  </w:t>
      </w:r>
      <w:r w:rsidRPr="00C13450">
        <w:rPr>
          <w:rFonts w:ascii="Book Antiqua" w:eastAsia="Times New Roman" w:hAnsi="Book Antiqua"/>
          <w:b/>
          <w:sz w:val="24"/>
        </w:rPr>
        <w:t xml:space="preserve">Revised: </w:t>
      </w:r>
      <w:bookmarkStart w:id="136" w:name="OLE_LINK1954"/>
      <w:bookmarkStart w:id="137" w:name="OLE_LINK1955"/>
      <w:bookmarkStart w:id="138" w:name="OLE_LINK1956"/>
      <w:r w:rsidRPr="00C13450">
        <w:rPr>
          <w:rFonts w:ascii="Book Antiqua" w:hAnsi="Book Antiqua"/>
          <w:sz w:val="24"/>
        </w:rPr>
        <w:t>April 9, 2013</w:t>
      </w:r>
      <w:bookmarkEnd w:id="136"/>
      <w:bookmarkEnd w:id="137"/>
      <w:bookmarkEnd w:id="138"/>
      <w:r w:rsidRPr="00C13450">
        <w:rPr>
          <w:rFonts w:ascii="Book Antiqua" w:eastAsia="Times New Roman" w:hAnsi="Book Antiqua"/>
          <w:sz w:val="24"/>
        </w:rPr>
        <w:t xml:space="preserve"> </w:t>
      </w:r>
    </w:p>
    <w:p w:rsidR="0012480F" w:rsidRPr="003C0AE4" w:rsidRDefault="00DF44F1" w:rsidP="0012480F">
      <w:pPr>
        <w:rPr>
          <w:rFonts w:ascii="Book Antiqua" w:hAnsi="Book Antiqua"/>
          <w:sz w:val="24"/>
        </w:rPr>
      </w:pPr>
      <w:r w:rsidRPr="00C13450">
        <w:rPr>
          <w:rFonts w:ascii="Book Antiqua" w:eastAsia="Times New Roman" w:hAnsi="Book Antiqua"/>
          <w:b/>
          <w:sz w:val="24"/>
        </w:rPr>
        <w:lastRenderedPageBreak/>
        <w:t xml:space="preserve">Accepted: </w:t>
      </w:r>
      <w:r w:rsidR="0012480F" w:rsidRPr="003C0AE4">
        <w:rPr>
          <w:rFonts w:ascii="Book Antiqua" w:hAnsi="Book Antiqua"/>
          <w:sz w:val="24"/>
        </w:rPr>
        <w:t>May 8, 2013</w:t>
      </w:r>
    </w:p>
    <w:p w:rsidR="00DF44F1" w:rsidRDefault="00DF44F1" w:rsidP="00796AAA">
      <w:pPr>
        <w:adjustRightInd w:val="0"/>
        <w:snapToGrid w:val="0"/>
        <w:spacing w:line="360" w:lineRule="auto"/>
        <w:rPr>
          <w:rFonts w:ascii="Book Antiqua" w:hAnsi="Book Antiqua"/>
          <w:b/>
          <w:sz w:val="24"/>
        </w:rPr>
      </w:pPr>
      <w:bookmarkStart w:id="139" w:name="_GoBack"/>
      <w:bookmarkEnd w:id="139"/>
    </w:p>
    <w:p w:rsidR="00DF44F1" w:rsidRPr="00C13450" w:rsidRDefault="00DF44F1" w:rsidP="00796AAA">
      <w:pPr>
        <w:adjustRightInd w:val="0"/>
        <w:snapToGrid w:val="0"/>
        <w:spacing w:line="360" w:lineRule="auto"/>
        <w:rPr>
          <w:rFonts w:ascii="Book Antiqua" w:eastAsia="Times New Roman" w:hAnsi="Book Antiqua"/>
          <w:b/>
          <w:sz w:val="24"/>
        </w:rPr>
      </w:pPr>
      <w:r w:rsidRPr="00C13450">
        <w:rPr>
          <w:rFonts w:ascii="Book Antiqua" w:eastAsia="Times New Roman" w:hAnsi="Book Antiqua"/>
          <w:b/>
          <w:sz w:val="24"/>
        </w:rPr>
        <w:t xml:space="preserve">Published online: </w:t>
      </w:r>
    </w:p>
    <w:p w:rsidR="00DF44F1" w:rsidRPr="00C13450" w:rsidRDefault="00DF44F1" w:rsidP="0033257B">
      <w:pPr>
        <w:adjustRightInd w:val="0"/>
        <w:snapToGrid w:val="0"/>
        <w:spacing w:line="360" w:lineRule="auto"/>
        <w:rPr>
          <w:rFonts w:ascii="Book Antiqua" w:eastAsia="Times New Roman" w:hAnsi="Book Antiqua"/>
          <w:b/>
          <w:sz w:val="24"/>
        </w:rPr>
      </w:pPr>
    </w:p>
    <w:p w:rsidR="00DF44F1" w:rsidRPr="00C13450" w:rsidRDefault="00DF44F1" w:rsidP="0033257B">
      <w:pPr>
        <w:adjustRightInd w:val="0"/>
        <w:snapToGrid w:val="0"/>
        <w:spacing w:line="360" w:lineRule="auto"/>
        <w:rPr>
          <w:rFonts w:ascii="Book Antiqua" w:eastAsia="Times New Roman" w:hAnsi="Book Antiqua"/>
          <w:b/>
          <w:sz w:val="24"/>
        </w:rPr>
      </w:pPr>
    </w:p>
    <w:p w:rsidR="00DF44F1" w:rsidRPr="00C13450" w:rsidRDefault="00DF44F1" w:rsidP="0033257B">
      <w:pPr>
        <w:adjustRightInd w:val="0"/>
        <w:snapToGrid w:val="0"/>
        <w:spacing w:line="360" w:lineRule="auto"/>
        <w:rPr>
          <w:rFonts w:ascii="Book Antiqua" w:eastAsia="Times New Roman" w:hAnsi="Book Antiqua"/>
          <w:b/>
          <w:sz w:val="24"/>
        </w:rPr>
      </w:pPr>
      <w:r w:rsidRPr="00C13450">
        <w:rPr>
          <w:rFonts w:ascii="Book Antiqua" w:eastAsia="Times New Roman" w:hAnsi="Book Antiqua"/>
          <w:b/>
          <w:sz w:val="24"/>
        </w:rPr>
        <w:t>Abstract</w:t>
      </w:r>
    </w:p>
    <w:p w:rsidR="00DF44F1" w:rsidRPr="00C13450" w:rsidRDefault="00DF44F1" w:rsidP="0033257B">
      <w:pPr>
        <w:adjustRightInd w:val="0"/>
        <w:snapToGrid w:val="0"/>
        <w:spacing w:line="360" w:lineRule="auto"/>
        <w:rPr>
          <w:rFonts w:ascii="Book Antiqua" w:eastAsia="Times New Roman" w:hAnsi="Book Antiqua"/>
          <w:sz w:val="24"/>
        </w:rPr>
      </w:pPr>
      <w:r w:rsidRPr="00C13450">
        <w:rPr>
          <w:rFonts w:ascii="Book Antiqua" w:eastAsia="Times New Roman" w:hAnsi="Book Antiqua"/>
          <w:sz w:val="24"/>
        </w:rPr>
        <w:t>Transhiatal herniation of the pancreas is an extremely rare condition. In the published literature we found only eleven cases reported in the period of 1958 to 2011. A coincidental hiatal herniation of the duodenum is described in two cases only.</w:t>
      </w:r>
    </w:p>
    <w:p w:rsidR="00DF44F1" w:rsidRPr="00C13450" w:rsidRDefault="00DF44F1" w:rsidP="0033257B">
      <w:pPr>
        <w:adjustRightInd w:val="0"/>
        <w:snapToGrid w:val="0"/>
        <w:spacing w:line="360" w:lineRule="auto"/>
        <w:rPr>
          <w:rFonts w:ascii="Book Antiqua" w:eastAsia="Times New Roman" w:hAnsi="Book Antiqua"/>
          <w:sz w:val="24"/>
        </w:rPr>
      </w:pPr>
      <w:r w:rsidRPr="00C13450">
        <w:rPr>
          <w:rFonts w:ascii="Book Antiqua" w:eastAsia="Times New Roman" w:hAnsi="Book Antiqua"/>
          <w:sz w:val="24"/>
        </w:rPr>
        <w:t xml:space="preserve">To our knowledge, we report the first case with a hiatal herniation of the complete duodenum and proximal pancreas presenting an intrathoracic major duodenal papilla with consecutive intrahepatic and extrahepatic cholestasis. A 72-year-old Caucasian woman was admitted to our department with a hiatal hernia grade IV for further evaluation. According to our recommendation of surgical hernia repair soon after the diagnosis of a transhiatal herniation of the proximal pancreas and entire duodenum, we had to respect the declared intention of the patient for a conservative procedure. So we were forced to wait for surgical repair within an emergency situation complicated by a myocardial infarction and reduced general condition. We discuss the therapeutic decision making process and a complete literature review of this rare entity. </w:t>
      </w:r>
    </w:p>
    <w:p w:rsidR="00DF44F1" w:rsidRPr="00C13450" w:rsidRDefault="00DF44F1" w:rsidP="0033257B">
      <w:pPr>
        <w:adjustRightInd w:val="0"/>
        <w:snapToGrid w:val="0"/>
        <w:spacing w:line="360" w:lineRule="auto"/>
        <w:rPr>
          <w:rFonts w:ascii="Book Antiqua" w:hAnsi="Book Antiqua"/>
          <w:sz w:val="24"/>
        </w:rPr>
      </w:pPr>
    </w:p>
    <w:p w:rsidR="00DF44F1" w:rsidRPr="00C13450" w:rsidRDefault="00DF44F1" w:rsidP="00C03B8B">
      <w:pPr>
        <w:adjustRightInd w:val="0"/>
        <w:snapToGrid w:val="0"/>
        <w:spacing w:line="360" w:lineRule="auto"/>
        <w:rPr>
          <w:rFonts w:ascii="Book Antiqua" w:eastAsia="Times New Roman" w:hAnsi="Book Antiqua"/>
          <w:sz w:val="24"/>
        </w:rPr>
      </w:pPr>
      <w:bookmarkStart w:id="140" w:name="OLE_LINK98"/>
      <w:bookmarkStart w:id="141" w:name="OLE_LINK156"/>
      <w:bookmarkStart w:id="142" w:name="OLE_LINK196"/>
      <w:bookmarkStart w:id="143" w:name="OLE_LINK217"/>
      <w:bookmarkStart w:id="144" w:name="OLE_LINK242"/>
      <w:bookmarkStart w:id="145" w:name="OLE_LINK247"/>
      <w:bookmarkStart w:id="146" w:name="OLE_LINK311"/>
      <w:bookmarkStart w:id="147" w:name="OLE_LINK312"/>
      <w:bookmarkStart w:id="148" w:name="OLE_LINK325"/>
      <w:bookmarkStart w:id="149" w:name="OLE_LINK330"/>
      <w:bookmarkStart w:id="150" w:name="OLE_LINK513"/>
      <w:bookmarkStart w:id="151" w:name="OLE_LINK514"/>
      <w:bookmarkStart w:id="152" w:name="OLE_LINK464"/>
      <w:bookmarkStart w:id="153" w:name="OLE_LINK465"/>
      <w:bookmarkStart w:id="154" w:name="OLE_LINK466"/>
      <w:bookmarkStart w:id="155" w:name="OLE_LINK470"/>
      <w:bookmarkStart w:id="156" w:name="OLE_LINK471"/>
      <w:bookmarkStart w:id="157" w:name="OLE_LINK472"/>
      <w:bookmarkStart w:id="158" w:name="OLE_LINK474"/>
      <w:bookmarkStart w:id="159" w:name="OLE_LINK512"/>
      <w:bookmarkStart w:id="160" w:name="OLE_LINK800"/>
      <w:bookmarkStart w:id="161" w:name="OLE_LINK982"/>
      <w:bookmarkStart w:id="162" w:name="OLE_LINK1027"/>
      <w:bookmarkStart w:id="163" w:name="OLE_LINK504"/>
      <w:bookmarkStart w:id="164" w:name="OLE_LINK546"/>
      <w:bookmarkStart w:id="165" w:name="OLE_LINK547"/>
      <w:bookmarkStart w:id="166" w:name="OLE_LINK575"/>
      <w:bookmarkStart w:id="167" w:name="OLE_LINK640"/>
      <w:bookmarkStart w:id="168" w:name="OLE_LINK672"/>
      <w:bookmarkStart w:id="169" w:name="OLE_LINK714"/>
      <w:bookmarkStart w:id="170" w:name="OLE_LINK651"/>
      <w:bookmarkStart w:id="171" w:name="OLE_LINK652"/>
      <w:bookmarkStart w:id="172" w:name="OLE_LINK744"/>
      <w:bookmarkStart w:id="173" w:name="OLE_LINK758"/>
      <w:bookmarkStart w:id="174" w:name="OLE_LINK787"/>
      <w:bookmarkStart w:id="175" w:name="OLE_LINK807"/>
      <w:bookmarkStart w:id="176" w:name="OLE_LINK820"/>
      <w:bookmarkStart w:id="177" w:name="OLE_LINK862"/>
      <w:bookmarkStart w:id="178" w:name="OLE_LINK879"/>
      <w:bookmarkStart w:id="179" w:name="OLE_LINK906"/>
      <w:bookmarkStart w:id="180" w:name="OLE_LINK928"/>
      <w:bookmarkStart w:id="181" w:name="OLE_LINK960"/>
      <w:bookmarkStart w:id="182" w:name="OLE_LINK861"/>
      <w:bookmarkStart w:id="183" w:name="OLE_LINK983"/>
      <w:bookmarkStart w:id="184" w:name="OLE_LINK1334"/>
      <w:bookmarkStart w:id="185" w:name="OLE_LINK1029"/>
      <w:bookmarkStart w:id="186" w:name="OLE_LINK1060"/>
      <w:bookmarkStart w:id="187" w:name="OLE_LINK1061"/>
      <w:bookmarkStart w:id="188" w:name="OLE_LINK1348"/>
      <w:bookmarkStart w:id="189" w:name="OLE_LINK1086"/>
      <w:bookmarkStart w:id="190" w:name="OLE_LINK1100"/>
      <w:bookmarkStart w:id="191" w:name="OLE_LINK1125"/>
      <w:bookmarkStart w:id="192" w:name="OLE_LINK1163"/>
      <w:bookmarkStart w:id="193" w:name="OLE_LINK1193"/>
      <w:bookmarkStart w:id="194" w:name="OLE_LINK1219"/>
      <w:bookmarkStart w:id="195" w:name="OLE_LINK1247"/>
      <w:bookmarkStart w:id="196" w:name="OLE_LINK1284"/>
      <w:bookmarkStart w:id="197" w:name="OLE_LINK1313"/>
      <w:bookmarkStart w:id="198" w:name="OLE_LINK1361"/>
      <w:bookmarkStart w:id="199" w:name="OLE_LINK1384"/>
      <w:bookmarkStart w:id="200" w:name="OLE_LINK1403"/>
      <w:bookmarkStart w:id="201" w:name="OLE_LINK1437"/>
      <w:bookmarkStart w:id="202" w:name="OLE_LINK1454"/>
      <w:bookmarkStart w:id="203" w:name="OLE_LINK1480"/>
      <w:bookmarkStart w:id="204" w:name="OLE_LINK1504"/>
      <w:bookmarkStart w:id="205" w:name="OLE_LINK1516"/>
      <w:bookmarkStart w:id="206" w:name="OLE_LINK135"/>
      <w:bookmarkStart w:id="207" w:name="OLE_LINK216"/>
      <w:bookmarkStart w:id="208" w:name="OLE_LINK259"/>
      <w:bookmarkStart w:id="209" w:name="OLE_LINK1186"/>
      <w:bookmarkStart w:id="210" w:name="OLE_LINK1265"/>
      <w:bookmarkStart w:id="211" w:name="OLE_LINK1373"/>
      <w:bookmarkStart w:id="212" w:name="OLE_LINK1478"/>
      <w:bookmarkStart w:id="213" w:name="OLE_LINK1644"/>
      <w:bookmarkStart w:id="214" w:name="OLE_LINK1884"/>
      <w:bookmarkStart w:id="215" w:name="OLE_LINK1885"/>
      <w:bookmarkStart w:id="216" w:name="OLE_LINK1538"/>
      <w:bookmarkStart w:id="217" w:name="OLE_LINK1539"/>
      <w:bookmarkStart w:id="218" w:name="OLE_LINK1543"/>
      <w:bookmarkStart w:id="219" w:name="OLE_LINK1549"/>
      <w:bookmarkStart w:id="220" w:name="OLE_LINK1778"/>
      <w:bookmarkStart w:id="221" w:name="OLE_LINK1756"/>
      <w:bookmarkStart w:id="222" w:name="OLE_LINK1776"/>
      <w:bookmarkStart w:id="223" w:name="OLE_LINK1777"/>
      <w:bookmarkStart w:id="224" w:name="OLE_LINK1868"/>
      <w:bookmarkStart w:id="225" w:name="OLE_LINK1744"/>
      <w:bookmarkStart w:id="226" w:name="OLE_LINK1817"/>
      <w:bookmarkStart w:id="227" w:name="OLE_LINK1835"/>
      <w:bookmarkStart w:id="228" w:name="OLE_LINK1866"/>
      <w:bookmarkStart w:id="229" w:name="OLE_LINK1882"/>
      <w:r w:rsidRPr="00C13450">
        <w:rPr>
          <w:rFonts w:ascii="Book Antiqua" w:eastAsia="Times New Roman" w:hAnsi="Book Antiqua"/>
          <w:sz w:val="24"/>
        </w:rPr>
        <w:t xml:space="preserve">© 2013 Baishideng. All rights reserved. </w:t>
      </w:r>
    </w:p>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rsidR="00DF44F1" w:rsidRPr="00C13450" w:rsidRDefault="00DF44F1" w:rsidP="0033257B">
      <w:pPr>
        <w:adjustRightInd w:val="0"/>
        <w:snapToGrid w:val="0"/>
        <w:spacing w:line="360" w:lineRule="auto"/>
        <w:rPr>
          <w:rFonts w:ascii="Book Antiqua" w:hAnsi="Book Antiqua"/>
          <w:sz w:val="24"/>
        </w:rPr>
      </w:pPr>
    </w:p>
    <w:p w:rsidR="00DF44F1" w:rsidRPr="00C13450" w:rsidRDefault="00DF44F1" w:rsidP="0033257B">
      <w:pPr>
        <w:adjustRightInd w:val="0"/>
        <w:snapToGrid w:val="0"/>
        <w:spacing w:line="360" w:lineRule="auto"/>
        <w:rPr>
          <w:rFonts w:ascii="Book Antiqua" w:eastAsia="Times New Roman" w:hAnsi="Book Antiqua"/>
          <w:sz w:val="24"/>
        </w:rPr>
      </w:pPr>
      <w:r w:rsidRPr="00C13450">
        <w:rPr>
          <w:rFonts w:ascii="Book Antiqua" w:eastAsia="Times New Roman" w:hAnsi="Book Antiqua"/>
          <w:b/>
          <w:sz w:val="24"/>
        </w:rPr>
        <w:t>Key words:</w:t>
      </w:r>
      <w:r w:rsidRPr="00C13450">
        <w:rPr>
          <w:rFonts w:ascii="Book Antiqua" w:eastAsia="Times New Roman" w:hAnsi="Book Antiqua"/>
          <w:sz w:val="24"/>
        </w:rPr>
        <w:t xml:space="preserve"> </w:t>
      </w:r>
      <w:bookmarkStart w:id="230" w:name="OLE_LINK1910"/>
      <w:bookmarkStart w:id="231" w:name="OLE_LINK1911"/>
      <w:r w:rsidRPr="00C13450">
        <w:rPr>
          <w:rFonts w:ascii="Book Antiqua" w:eastAsia="Times New Roman" w:hAnsi="Book Antiqua"/>
          <w:sz w:val="24"/>
        </w:rPr>
        <w:t>Hiatal hernia</w:t>
      </w:r>
      <w:bookmarkEnd w:id="230"/>
      <w:bookmarkEnd w:id="231"/>
      <w:r w:rsidRPr="00C13450">
        <w:rPr>
          <w:rFonts w:ascii="Book Antiqua" w:eastAsia="Times New Roman" w:hAnsi="Book Antiqua"/>
          <w:sz w:val="24"/>
        </w:rPr>
        <w:t>; Paraesophageal hernia; Intrathoracic pancreas; Intrathoracic duodenum; Diaphragmatic hernia</w:t>
      </w:r>
    </w:p>
    <w:p w:rsidR="00DF44F1" w:rsidRPr="00C13450" w:rsidRDefault="00DF44F1" w:rsidP="0033257B">
      <w:pPr>
        <w:adjustRightInd w:val="0"/>
        <w:snapToGrid w:val="0"/>
        <w:spacing w:line="360" w:lineRule="auto"/>
        <w:rPr>
          <w:rFonts w:ascii="Book Antiqua" w:hAnsi="Book Antiqua"/>
          <w:sz w:val="24"/>
        </w:rPr>
      </w:pPr>
    </w:p>
    <w:p w:rsidR="00DF44F1" w:rsidRPr="00C13450" w:rsidRDefault="00DF44F1" w:rsidP="00C03B8B">
      <w:pPr>
        <w:adjustRightInd w:val="0"/>
        <w:snapToGrid w:val="0"/>
        <w:spacing w:line="360" w:lineRule="auto"/>
        <w:rPr>
          <w:rFonts w:ascii="Book Antiqua" w:eastAsia="Times New Roman" w:hAnsi="Book Antiqua"/>
          <w:sz w:val="24"/>
        </w:rPr>
      </w:pPr>
      <w:bookmarkStart w:id="232" w:name="OLE_LINK576"/>
      <w:bookmarkStart w:id="233" w:name="OLE_LINK579"/>
      <w:bookmarkStart w:id="234" w:name="OLE_LINK580"/>
      <w:bookmarkStart w:id="235" w:name="OLE_LINK521"/>
      <w:bookmarkStart w:id="236" w:name="OLE_LINK1196"/>
      <w:bookmarkStart w:id="237" w:name="OLE_LINK1154"/>
      <w:bookmarkStart w:id="238" w:name="OLE_LINK1155"/>
      <w:bookmarkStart w:id="239" w:name="OLE_LINK1043"/>
      <w:bookmarkStart w:id="240" w:name="OLE_LINK1322"/>
      <w:bookmarkStart w:id="241" w:name="OLE_LINK1044"/>
      <w:bookmarkStart w:id="242" w:name="OLE_LINK1224"/>
      <w:bookmarkStart w:id="243" w:name="OLE_LINK1225"/>
      <w:bookmarkStart w:id="244" w:name="OLE_LINK1886"/>
      <w:bookmarkStart w:id="245" w:name="OLE_LINK1887"/>
      <w:bookmarkStart w:id="246" w:name="OLE_LINK1888"/>
      <w:bookmarkStart w:id="247" w:name="OLE_LINK1889"/>
      <w:bookmarkStart w:id="248" w:name="OLE_LINK1634"/>
      <w:bookmarkStart w:id="249" w:name="OLE_LINK1635"/>
      <w:bookmarkStart w:id="250" w:name="OLE_LINK1762"/>
      <w:bookmarkStart w:id="251" w:name="OLE_LINK1763"/>
      <w:bookmarkStart w:id="252" w:name="OLE_LINK1764"/>
      <w:r w:rsidRPr="00C13450">
        <w:rPr>
          <w:rFonts w:ascii="Book Antiqua" w:eastAsia="Times New Roman" w:hAnsi="Book Antiqua" w:cs="宋体"/>
          <w:b/>
          <w:kern w:val="0"/>
          <w:sz w:val="24"/>
        </w:rPr>
        <w:t>Core tip:</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C13450">
        <w:rPr>
          <w:rFonts w:ascii="Book Antiqua" w:hAnsi="Book Antiqua" w:cs="宋体"/>
          <w:b/>
          <w:kern w:val="0"/>
          <w:sz w:val="24"/>
        </w:rPr>
        <w:t xml:space="preserve"> </w:t>
      </w:r>
      <w:r w:rsidRPr="00C13450">
        <w:rPr>
          <w:rFonts w:ascii="Book Antiqua" w:eastAsia="Times New Roman" w:hAnsi="Book Antiqua"/>
          <w:sz w:val="24"/>
        </w:rPr>
        <w:t>Hiatal herniation of the pancreas is a rarity. In the world literature we identified 11 cases reported from 1958 to 2011</w:t>
      </w:r>
      <w:r w:rsidRPr="00C13450">
        <w:rPr>
          <w:rFonts w:ascii="Book Antiqua" w:hAnsi="Book Antiqua"/>
          <w:sz w:val="24"/>
        </w:rPr>
        <w:t xml:space="preserve">. </w:t>
      </w:r>
      <w:r w:rsidRPr="00C13450">
        <w:rPr>
          <w:rFonts w:ascii="Book Antiqua" w:eastAsia="Times New Roman" w:hAnsi="Book Antiqua"/>
          <w:sz w:val="24"/>
        </w:rPr>
        <w:t xml:space="preserve">A 72-year-old Caucasian woman was admitted to the hospital with symptoms of mechanical cholestasis such as mild jaundice, pruritus, diarrhea and fatigue. Our case illustrates the serious sequelae of a hiatal hernia </w:t>
      </w:r>
      <w:r w:rsidRPr="00C13450">
        <w:rPr>
          <w:rFonts w:ascii="Book Antiqua" w:hAnsi="Book Antiqua"/>
          <w:sz w:val="24"/>
        </w:rPr>
        <w:t>(</w:t>
      </w:r>
      <w:r w:rsidRPr="00C13450">
        <w:rPr>
          <w:rFonts w:ascii="Book Antiqua" w:eastAsia="Times New Roman" w:hAnsi="Book Antiqua"/>
          <w:sz w:val="24"/>
        </w:rPr>
        <w:t>HH</w:t>
      </w:r>
      <w:r w:rsidRPr="00C13450">
        <w:rPr>
          <w:rFonts w:ascii="Book Antiqua" w:hAnsi="Book Antiqua"/>
          <w:sz w:val="24"/>
        </w:rPr>
        <w:t>)</w:t>
      </w:r>
      <w:r w:rsidRPr="00C13450">
        <w:rPr>
          <w:rFonts w:ascii="Book Antiqua" w:eastAsia="Times New Roman" w:hAnsi="Book Antiqua"/>
          <w:sz w:val="24"/>
        </w:rPr>
        <w:t xml:space="preserve"> type IV that can occur when treated conservatively and therefore we recommend that all HH type IV should be repaired as soon as possible after the </w:t>
      </w:r>
      <w:r w:rsidRPr="00C13450">
        <w:rPr>
          <w:rFonts w:ascii="Book Antiqua" w:eastAsia="Times New Roman" w:hAnsi="Book Antiqua"/>
          <w:sz w:val="24"/>
        </w:rPr>
        <w:lastRenderedPageBreak/>
        <w:t>diagnosis. Despite of the fatal outcome we were encouraged to publish this case to improve future decision finding processes in similar cases.</w:t>
      </w:r>
    </w:p>
    <w:p w:rsidR="00DF44F1" w:rsidRDefault="00DF44F1" w:rsidP="00820C75">
      <w:pPr>
        <w:adjustRightInd w:val="0"/>
        <w:snapToGrid w:val="0"/>
        <w:spacing w:line="360" w:lineRule="auto"/>
        <w:rPr>
          <w:rFonts w:ascii="Book Antiqua" w:hAnsi="Book Antiqua"/>
          <w:sz w:val="24"/>
          <w:lang w:val="de-AT"/>
        </w:rPr>
      </w:pPr>
    </w:p>
    <w:p w:rsidR="00DF44F1" w:rsidRPr="00C13450" w:rsidRDefault="00DF44F1" w:rsidP="00820C75">
      <w:pPr>
        <w:adjustRightInd w:val="0"/>
        <w:snapToGrid w:val="0"/>
        <w:spacing w:line="360" w:lineRule="auto"/>
        <w:rPr>
          <w:rFonts w:ascii="Book Antiqua" w:hAnsi="Book Antiqua"/>
          <w:sz w:val="24"/>
        </w:rPr>
      </w:pPr>
      <w:r w:rsidRPr="00C13450">
        <w:rPr>
          <w:rFonts w:ascii="Book Antiqua" w:eastAsia="Times New Roman" w:hAnsi="Book Antiqua"/>
          <w:sz w:val="24"/>
          <w:lang w:val="de-AT"/>
        </w:rPr>
        <w:t>Jäger</w:t>
      </w:r>
      <w:r w:rsidRPr="00C13450">
        <w:rPr>
          <w:rFonts w:ascii="Book Antiqua" w:hAnsi="Book Antiqua"/>
          <w:sz w:val="24"/>
          <w:lang w:val="de-AT"/>
        </w:rPr>
        <w:t xml:space="preserve"> </w:t>
      </w:r>
      <w:r w:rsidRPr="00C13450">
        <w:rPr>
          <w:rFonts w:ascii="Book Antiqua" w:eastAsia="Times New Roman" w:hAnsi="Book Antiqua"/>
          <w:sz w:val="24"/>
          <w:lang w:val="de-AT"/>
        </w:rPr>
        <w:t>T, Neureiter D, Nawara C, Dinnewitzer A, Öfner D, Lamadé</w:t>
      </w:r>
      <w:r w:rsidRPr="00C13450">
        <w:rPr>
          <w:rFonts w:ascii="Book Antiqua" w:hAnsi="Book Antiqua"/>
          <w:sz w:val="24"/>
          <w:lang w:val="de-AT"/>
        </w:rPr>
        <w:t xml:space="preserve"> </w:t>
      </w:r>
      <w:r w:rsidRPr="00C13450">
        <w:rPr>
          <w:rFonts w:ascii="Book Antiqua" w:eastAsia="Times New Roman" w:hAnsi="Book Antiqua"/>
          <w:sz w:val="24"/>
          <w:lang w:val="de-AT"/>
        </w:rPr>
        <w:t>W</w:t>
      </w:r>
      <w:r w:rsidRPr="00C13450">
        <w:rPr>
          <w:rFonts w:ascii="Book Antiqua" w:hAnsi="Book Antiqua"/>
          <w:sz w:val="24"/>
          <w:lang w:val="de-AT"/>
        </w:rPr>
        <w:t xml:space="preserve">. </w:t>
      </w:r>
      <w:r w:rsidRPr="00C13450">
        <w:rPr>
          <w:rFonts w:ascii="Book Antiqua" w:eastAsia="Times New Roman" w:hAnsi="Book Antiqua"/>
          <w:sz w:val="24"/>
        </w:rPr>
        <w:t>Intrathoracic major duodenal papilla with transhiatal herniation of the pancreas and duodenum</w:t>
      </w:r>
      <w:r w:rsidRPr="00C13450">
        <w:rPr>
          <w:rFonts w:ascii="Book Antiqua" w:hAnsi="Book Antiqua"/>
          <w:sz w:val="24"/>
        </w:rPr>
        <w:t xml:space="preserve">: </w:t>
      </w:r>
      <w:r w:rsidRPr="00C13450">
        <w:rPr>
          <w:rFonts w:ascii="Book Antiqua" w:eastAsia="Times New Roman" w:hAnsi="Book Antiqua"/>
          <w:sz w:val="24"/>
        </w:rPr>
        <w:t>A case report and review of the literature</w:t>
      </w:r>
      <w:r w:rsidRPr="00C13450">
        <w:rPr>
          <w:rFonts w:ascii="Book Antiqua" w:hAnsi="Book Antiqua"/>
          <w:sz w:val="24"/>
        </w:rPr>
        <w:t>.</w:t>
      </w:r>
    </w:p>
    <w:p w:rsidR="00DF44F1" w:rsidRPr="00C13450" w:rsidRDefault="00DF44F1" w:rsidP="00820C75">
      <w:pPr>
        <w:adjustRightInd w:val="0"/>
        <w:snapToGrid w:val="0"/>
        <w:spacing w:line="360" w:lineRule="auto"/>
        <w:rPr>
          <w:rFonts w:ascii="Book Antiqua" w:eastAsia="Times New Roman" w:hAnsi="Book Antiqua"/>
          <w:i/>
          <w:snapToGrid w:val="0"/>
          <w:sz w:val="24"/>
        </w:rPr>
      </w:pPr>
      <w:bookmarkStart w:id="253" w:name="OLE_LINK1547"/>
      <w:bookmarkStart w:id="254" w:name="OLE_LINK1548"/>
      <w:bookmarkStart w:id="255" w:name="OLE_LINK1824"/>
      <w:bookmarkStart w:id="256" w:name="OLE_LINK1825"/>
      <w:bookmarkStart w:id="257" w:name="OLE_LINK1945"/>
      <w:bookmarkStart w:id="258" w:name="OLE_LINK1826"/>
      <w:bookmarkStart w:id="259" w:name="OLE_LINK1921"/>
      <w:r w:rsidRPr="00C13450">
        <w:rPr>
          <w:rFonts w:ascii="Book Antiqua" w:eastAsia="Times New Roman" w:hAnsi="Book Antiqua"/>
          <w:i/>
          <w:snapToGrid w:val="0"/>
          <w:sz w:val="24"/>
        </w:rPr>
        <w:t>World J Gastrointest</w:t>
      </w:r>
      <w:r w:rsidRPr="00C13450">
        <w:rPr>
          <w:rFonts w:ascii="Book Antiqua" w:hAnsi="Book Antiqua"/>
          <w:i/>
          <w:snapToGrid w:val="0"/>
          <w:sz w:val="24"/>
        </w:rPr>
        <w:t xml:space="preserve"> </w:t>
      </w:r>
      <w:r w:rsidRPr="00C13450">
        <w:rPr>
          <w:rFonts w:ascii="Book Antiqua" w:eastAsia="Times New Roman" w:hAnsi="Book Antiqua"/>
          <w:i/>
          <w:snapToGrid w:val="0"/>
          <w:sz w:val="24"/>
        </w:rPr>
        <w:t xml:space="preserve">Surg </w:t>
      </w:r>
      <w:r w:rsidRPr="00C13450">
        <w:rPr>
          <w:rFonts w:ascii="Book Antiqua" w:eastAsia="Times New Roman" w:hAnsi="Book Antiqua"/>
          <w:snapToGrid w:val="0"/>
          <w:sz w:val="24"/>
        </w:rPr>
        <w:t>2013</w:t>
      </w:r>
      <w:r w:rsidRPr="00C13450">
        <w:rPr>
          <w:rFonts w:ascii="Book Antiqua" w:eastAsia="Times New Roman" w:hAnsi="Book Antiqua"/>
          <w:i/>
          <w:snapToGrid w:val="0"/>
          <w:sz w:val="24"/>
        </w:rPr>
        <w:t>;</w:t>
      </w:r>
    </w:p>
    <w:p w:rsidR="00DF44F1" w:rsidRPr="00C13450" w:rsidRDefault="00DF44F1" w:rsidP="00820C75">
      <w:pPr>
        <w:pStyle w:val="p0"/>
        <w:adjustRightInd w:val="0"/>
        <w:snapToGrid w:val="0"/>
        <w:spacing w:line="360" w:lineRule="auto"/>
        <w:jc w:val="both"/>
        <w:rPr>
          <w:rFonts w:ascii="Book Antiqua" w:hAnsi="Book Antiqua"/>
          <w:sz w:val="24"/>
          <w:szCs w:val="24"/>
        </w:rPr>
      </w:pPr>
      <w:bookmarkStart w:id="260" w:name="OLE_LINK404"/>
      <w:bookmarkStart w:id="261" w:name="OLE_LINK405"/>
      <w:bookmarkStart w:id="262" w:name="OLE_LINK406"/>
      <w:bookmarkStart w:id="263" w:name="OLE_LINK407"/>
      <w:bookmarkStart w:id="264" w:name="OLE_LINK629"/>
      <w:bookmarkStart w:id="265" w:name="OLE_LINK630"/>
      <w:bookmarkStart w:id="266" w:name="OLE_LINK401"/>
      <w:bookmarkStart w:id="267" w:name="OLE_LINK402"/>
      <w:bookmarkStart w:id="268" w:name="OLE_LINK99"/>
      <w:bookmarkStart w:id="269" w:name="OLE_LINK100"/>
      <w:bookmarkStart w:id="270" w:name="OLE_LINK271"/>
      <w:bookmarkStart w:id="271" w:name="OLE_LINK272"/>
      <w:bookmarkStart w:id="272" w:name="OLE_LINK300"/>
      <w:bookmarkStart w:id="273" w:name="OLE_LINK302"/>
      <w:bookmarkStart w:id="274" w:name="OLE_LINK449"/>
      <w:bookmarkStart w:id="275" w:name="OLE_LINK450"/>
      <w:bookmarkStart w:id="276" w:name="OLE_LINK456"/>
      <w:bookmarkStart w:id="277" w:name="OLE_LINK705"/>
      <w:bookmarkStart w:id="278" w:name="OLE_LINK522"/>
      <w:bookmarkStart w:id="279" w:name="OLE_LINK621"/>
      <w:bookmarkStart w:id="280" w:name="OLE_LINK1242"/>
      <w:bookmarkStart w:id="281" w:name="OLE_LINK1102"/>
      <w:bookmarkStart w:id="282" w:name="OLE_LINK1103"/>
      <w:bookmarkStart w:id="283" w:name="OLE_LINK1546"/>
      <w:bookmarkEnd w:id="253"/>
      <w:bookmarkEnd w:id="254"/>
      <w:r w:rsidRPr="00C13450">
        <w:rPr>
          <w:rFonts w:ascii="Book Antiqua" w:hAnsi="Book Antiqua"/>
          <w:b/>
          <w:bCs/>
          <w:sz w:val="24"/>
          <w:szCs w:val="24"/>
        </w:rPr>
        <w:t>Available from:</w:t>
      </w:r>
      <w:r w:rsidRPr="00C13450">
        <w:rPr>
          <w:rFonts w:ascii="Book Antiqua" w:hAnsi="Book Antiqua"/>
          <w:sz w:val="24"/>
          <w:szCs w:val="24"/>
        </w:rPr>
        <w:t xml:space="preserve"> </w:t>
      </w:r>
      <w:bookmarkEnd w:id="260"/>
      <w:bookmarkEnd w:id="261"/>
      <w:r w:rsidRPr="00C13450">
        <w:rPr>
          <w:rFonts w:ascii="Book Antiqua" w:hAnsi="Book Antiqua"/>
          <w:color w:val="000000"/>
          <w:sz w:val="24"/>
          <w:szCs w:val="24"/>
        </w:rPr>
        <w:t>URL:</w:t>
      </w:r>
      <w:bookmarkEnd w:id="262"/>
      <w:bookmarkEnd w:id="263"/>
      <w:bookmarkEnd w:id="264"/>
      <w:bookmarkEnd w:id="265"/>
      <w:r w:rsidRPr="00C13450">
        <w:rPr>
          <w:rFonts w:ascii="Book Antiqua" w:hAnsi="Book Antiqua"/>
          <w:color w:val="000000"/>
          <w:sz w:val="24"/>
          <w:szCs w:val="24"/>
        </w:rPr>
        <w:t xml:space="preserve"> http://</w:t>
      </w:r>
      <w:bookmarkEnd w:id="266"/>
      <w:bookmarkEnd w:id="267"/>
      <w:r w:rsidRPr="00C13450">
        <w:rPr>
          <w:rFonts w:ascii="Book Antiqua" w:hAnsi="Book Antiqua"/>
          <w:color w:val="000000"/>
          <w:sz w:val="24"/>
          <w:szCs w:val="24"/>
        </w:rPr>
        <w:t xml:space="preserve">www.wjgnet.com/esps/ </w:t>
      </w:r>
    </w:p>
    <w:p w:rsidR="00DF44F1" w:rsidRPr="00C13450" w:rsidRDefault="00DF44F1" w:rsidP="00820C75">
      <w:pPr>
        <w:pStyle w:val="p0"/>
        <w:adjustRightInd w:val="0"/>
        <w:snapToGrid w:val="0"/>
        <w:spacing w:line="360" w:lineRule="auto"/>
        <w:jc w:val="both"/>
        <w:rPr>
          <w:rFonts w:ascii="Book Antiqua" w:hAnsi="Book Antiqua"/>
          <w:bCs/>
          <w:sz w:val="24"/>
          <w:szCs w:val="24"/>
        </w:rPr>
      </w:pPr>
      <w:bookmarkStart w:id="284" w:name="OLE_LINK399"/>
      <w:bookmarkStart w:id="285" w:name="OLE_LINK400"/>
      <w:bookmarkStart w:id="286" w:name="OLE_LINK494"/>
      <w:bookmarkStart w:id="287" w:name="OLE_LINK495"/>
      <w:bookmarkStart w:id="288" w:name="OLE_LINK607"/>
      <w:bookmarkStart w:id="289" w:name="OLE_LINK608"/>
      <w:bookmarkStart w:id="290" w:name="OLE_LINK609"/>
      <w:bookmarkStart w:id="291" w:name="OLE_LINK727"/>
      <w:bookmarkStart w:id="292" w:name="OLE_LINK853"/>
      <w:bookmarkStart w:id="293" w:name="OLE_LINK585"/>
      <w:bookmarkStart w:id="294" w:name="OLE_LINK689"/>
      <w:bookmarkStart w:id="295" w:name="OLE_LINK539"/>
      <w:bookmarkEnd w:id="268"/>
      <w:bookmarkEnd w:id="269"/>
      <w:bookmarkEnd w:id="270"/>
      <w:bookmarkEnd w:id="271"/>
      <w:bookmarkEnd w:id="272"/>
      <w:bookmarkEnd w:id="273"/>
      <w:r w:rsidRPr="00C13450">
        <w:rPr>
          <w:rFonts w:ascii="Book Antiqua" w:hAnsi="Book Antiqua" w:cs="Times New Roman"/>
          <w:b/>
          <w:bCs/>
          <w:kern w:val="2"/>
          <w:sz w:val="24"/>
          <w:szCs w:val="24"/>
        </w:rPr>
        <w:t xml:space="preserve">DOI: </w:t>
      </w:r>
      <w:r w:rsidRPr="00C13450">
        <w:rPr>
          <w:rFonts w:ascii="Book Antiqua" w:hAnsi="Book Antiqua" w:cs="Times New Roman"/>
          <w:bCs/>
          <w:kern w:val="2"/>
          <w:sz w:val="24"/>
          <w:szCs w:val="24"/>
        </w:rPr>
        <w:t>http://dx.doi.org/10.4240/wjgs.v0.i0.0000</w:t>
      </w:r>
    </w:p>
    <w:bookmarkEnd w:id="255"/>
    <w:bookmarkEnd w:id="256"/>
    <w:bookmarkEnd w:id="257"/>
    <w:bookmarkEnd w:id="258"/>
    <w:bookmarkEnd w:id="259"/>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rsidR="00DF44F1" w:rsidRPr="00C13450" w:rsidRDefault="00DF44F1" w:rsidP="00820C75">
      <w:pPr>
        <w:adjustRightInd w:val="0"/>
        <w:snapToGrid w:val="0"/>
        <w:spacing w:line="360" w:lineRule="auto"/>
        <w:rPr>
          <w:rFonts w:ascii="Book Antiqua" w:hAnsi="Book Antiqua"/>
          <w:sz w:val="24"/>
        </w:rPr>
      </w:pPr>
    </w:p>
    <w:p w:rsidR="00DF44F1" w:rsidRPr="00C13450" w:rsidRDefault="00DF44F1" w:rsidP="0033257B">
      <w:pPr>
        <w:adjustRightInd w:val="0"/>
        <w:snapToGrid w:val="0"/>
        <w:spacing w:line="360" w:lineRule="auto"/>
        <w:rPr>
          <w:rFonts w:ascii="Book Antiqua" w:hAnsi="Book Antiqua"/>
          <w:sz w:val="24"/>
        </w:rPr>
      </w:pPr>
    </w:p>
    <w:p w:rsidR="00DF44F1" w:rsidRPr="00C13450" w:rsidRDefault="00DF44F1" w:rsidP="00820C75">
      <w:pPr>
        <w:widowControl/>
        <w:adjustRightInd w:val="0"/>
        <w:snapToGrid w:val="0"/>
        <w:spacing w:line="360" w:lineRule="auto"/>
        <w:rPr>
          <w:rFonts w:ascii="Book Antiqua" w:hAnsi="Book Antiqua"/>
          <w:b/>
          <w:sz w:val="24"/>
        </w:rPr>
      </w:pPr>
      <w:r w:rsidRPr="00C13450">
        <w:rPr>
          <w:rFonts w:ascii="Book Antiqua" w:hAnsi="Book Antiqua"/>
          <w:b/>
          <w:sz w:val="24"/>
        </w:rPr>
        <w:t>INTRODUCTION</w:t>
      </w:r>
    </w:p>
    <w:p w:rsidR="00DF44F1" w:rsidRPr="00C13450" w:rsidRDefault="00DF44F1" w:rsidP="0033257B">
      <w:pPr>
        <w:adjustRightInd w:val="0"/>
        <w:snapToGrid w:val="0"/>
        <w:spacing w:line="360" w:lineRule="auto"/>
        <w:rPr>
          <w:rFonts w:ascii="Book Antiqua" w:hAnsi="Book Antiqua"/>
          <w:sz w:val="24"/>
        </w:rPr>
      </w:pPr>
      <w:bookmarkStart w:id="296" w:name="OLE_LINK1904"/>
      <w:bookmarkStart w:id="297" w:name="OLE_LINK1905"/>
      <w:r w:rsidRPr="00C13450">
        <w:rPr>
          <w:rFonts w:ascii="Book Antiqua" w:hAnsi="Book Antiqua"/>
          <w:sz w:val="24"/>
        </w:rPr>
        <w:t xml:space="preserve">Hiatal herniation of the pancreas is a rarity. In the world literature we identified 11 cases reported from 1958 to 2011 </w:t>
      </w:r>
      <w:bookmarkEnd w:id="296"/>
      <w:bookmarkEnd w:id="297"/>
      <w:r w:rsidRPr="00C13450">
        <w:rPr>
          <w:rFonts w:ascii="Book Antiqua" w:hAnsi="Book Antiqua"/>
          <w:sz w:val="24"/>
        </w:rPr>
        <w:t xml:space="preserve">(Table 1). All reported patients were symptomatic except one case reported by Katz </w:t>
      </w:r>
      <w:r w:rsidRPr="00C13450">
        <w:rPr>
          <w:rFonts w:ascii="Book Antiqua" w:hAnsi="Book Antiqua"/>
          <w:i/>
          <w:sz w:val="24"/>
        </w:rPr>
        <w:t>et al</w:t>
      </w:r>
      <w:r w:rsidRPr="00C13450">
        <w:rPr>
          <w:rFonts w:ascii="Book Antiqua" w:hAnsi="Book Antiqua"/>
          <w:sz w:val="24"/>
          <w:vertAlign w:val="superscript"/>
        </w:rPr>
        <w:t>[1]</w:t>
      </w:r>
      <w:r w:rsidRPr="00C13450">
        <w:rPr>
          <w:rFonts w:ascii="Book Antiqua" w:hAnsi="Book Antiqua"/>
          <w:sz w:val="24"/>
        </w:rPr>
        <w:t xml:space="preserve">. Surgical repair of the hernia was performed in all patients except one recently reported case by Rozas </w:t>
      </w:r>
      <w:r w:rsidRPr="00C13450">
        <w:rPr>
          <w:rFonts w:ascii="Book Antiqua" w:hAnsi="Book Antiqua"/>
          <w:i/>
          <w:sz w:val="24"/>
        </w:rPr>
        <w:t>et al</w:t>
      </w:r>
      <w:r w:rsidRPr="00C13450">
        <w:rPr>
          <w:rFonts w:ascii="Book Antiqua" w:hAnsi="Book Antiqua"/>
          <w:sz w:val="24"/>
          <w:vertAlign w:val="superscript"/>
        </w:rPr>
        <w:t>[2]</w:t>
      </w:r>
      <w:r w:rsidRPr="00C13450">
        <w:rPr>
          <w:rFonts w:ascii="Book Antiqua" w:hAnsi="Book Antiqua"/>
          <w:sz w:val="24"/>
        </w:rPr>
        <w:t>.</w:t>
      </w:r>
    </w:p>
    <w:p w:rsidR="00DF44F1" w:rsidRPr="00C13450" w:rsidRDefault="00DF44F1" w:rsidP="00C03B8B">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To the best of our knowledge, we describe the first case of a hiatal hernia (HH) type IV with herniation of the complete duodenum and proximal pancreas presenting an intrathoracic major duodenal papilla with consecutive intra- and extrahepatic cholestasis. </w:t>
      </w:r>
    </w:p>
    <w:p w:rsidR="00DF44F1" w:rsidRPr="00C13450" w:rsidRDefault="00DF44F1" w:rsidP="00C03B8B">
      <w:pPr>
        <w:adjustRightInd w:val="0"/>
        <w:snapToGrid w:val="0"/>
        <w:spacing w:line="360" w:lineRule="auto"/>
        <w:ind w:firstLineChars="100" w:firstLine="240"/>
        <w:rPr>
          <w:rFonts w:ascii="Book Antiqua" w:hAnsi="Book Antiqua"/>
          <w:sz w:val="24"/>
        </w:rPr>
      </w:pPr>
      <w:r w:rsidRPr="00C13450">
        <w:rPr>
          <w:rFonts w:ascii="Book Antiqua" w:hAnsi="Book Antiqua"/>
          <w:sz w:val="24"/>
        </w:rPr>
        <w:t>HH are categorized into four types. Type I or sliding HH accounting for 85%-95% is characterized by an intact, circumferential lax phrenoesophageal membrane and widening of the muscular hiatal tunnel</w:t>
      </w:r>
      <w:r w:rsidRPr="00C13450">
        <w:rPr>
          <w:rFonts w:ascii="Book Antiqua" w:hAnsi="Book Antiqua"/>
          <w:sz w:val="24"/>
          <w:vertAlign w:val="superscript"/>
        </w:rPr>
        <w:t>[3]</w:t>
      </w:r>
      <w:r w:rsidRPr="00C13450">
        <w:rPr>
          <w:rFonts w:ascii="Book Antiqua" w:hAnsi="Book Antiqua"/>
          <w:sz w:val="24"/>
        </w:rPr>
        <w:t>. Types II, III and IV (5%-15%) are subsumed as paraesophageal hernia (</w:t>
      </w:r>
      <w:bookmarkStart w:id="298" w:name="OLE_LINK1913"/>
      <w:bookmarkStart w:id="299" w:name="OLE_LINK1914"/>
      <w:bookmarkStart w:id="300" w:name="OLE_LINK1915"/>
      <w:r w:rsidRPr="00C13450">
        <w:rPr>
          <w:rFonts w:ascii="Book Antiqua" w:hAnsi="Book Antiqua"/>
          <w:sz w:val="24"/>
        </w:rPr>
        <w:t>PEH</w:t>
      </w:r>
      <w:bookmarkEnd w:id="298"/>
      <w:bookmarkEnd w:id="299"/>
      <w:bookmarkEnd w:id="300"/>
      <w:r w:rsidRPr="00C13450">
        <w:rPr>
          <w:rFonts w:ascii="Book Antiqua" w:hAnsi="Book Antiqua"/>
          <w:sz w:val="24"/>
        </w:rPr>
        <w:t>). A type II hernia results from a localized defect in the phrenoesophageal membrane while the gastroesophageal junction remains fixed to the preaortic fascia and the median arcuate ligament</w:t>
      </w:r>
      <w:r w:rsidRPr="00C13450">
        <w:rPr>
          <w:rFonts w:ascii="Book Antiqua" w:hAnsi="Book Antiqua"/>
          <w:sz w:val="24"/>
          <w:vertAlign w:val="superscript"/>
        </w:rPr>
        <w:t>[3]</w:t>
      </w:r>
      <w:r w:rsidRPr="00C13450">
        <w:rPr>
          <w:rFonts w:ascii="Book Antiqua" w:hAnsi="Book Antiqua"/>
          <w:sz w:val="24"/>
        </w:rPr>
        <w:t xml:space="preserve">. A type III hernia has aspects of both types I and II. Typical for a type IV HH is a large defect in the phrenoesophageal membrane with herniation of other abdominal organs (colon, spleen, pancreas and small intestine). </w:t>
      </w:r>
    </w:p>
    <w:p w:rsidR="00DF44F1" w:rsidRPr="00C13450" w:rsidRDefault="00DF44F1" w:rsidP="00DC77EE">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The uniqueness of our case is characterized by the transhiatal herniation of the duodeno-pancreatic unit (duodenal C, pancreatic head, major and minor duodenal papilla, common bile duct and pancreatic duct) with subsequent mechanical intra- </w:t>
      </w:r>
      <w:r w:rsidRPr="00C13450">
        <w:rPr>
          <w:rFonts w:ascii="Book Antiqua" w:hAnsi="Book Antiqua"/>
          <w:sz w:val="24"/>
        </w:rPr>
        <w:lastRenderedPageBreak/>
        <w:t>and extrahepatic cholestasis. Cholestasis occurs due to tension and compression of the common bile duct by the diaphragmatic clamp resulting in dilated intra- and extrahepatic bile ducts with temporally elevated liver enzymes and cholestasis parameters. Clinical symptoms can vary from mild obstructive jaundice up to serious organic and systemic damage. A complete literature review and the decision finding process in the treatment of our patient are presented.</w:t>
      </w:r>
    </w:p>
    <w:p w:rsidR="00DF44F1" w:rsidRPr="00C13450" w:rsidRDefault="00DF44F1" w:rsidP="00DC77EE">
      <w:pPr>
        <w:widowControl/>
        <w:adjustRightInd w:val="0"/>
        <w:snapToGrid w:val="0"/>
        <w:spacing w:line="360" w:lineRule="auto"/>
        <w:rPr>
          <w:rFonts w:ascii="Book Antiqua" w:hAnsi="Book Antiqua"/>
          <w:sz w:val="24"/>
        </w:rPr>
      </w:pPr>
    </w:p>
    <w:p w:rsidR="00DF44F1" w:rsidRPr="00C13450" w:rsidRDefault="00DF44F1" w:rsidP="00DC77EE">
      <w:pPr>
        <w:widowControl/>
        <w:adjustRightInd w:val="0"/>
        <w:snapToGrid w:val="0"/>
        <w:spacing w:line="360" w:lineRule="auto"/>
        <w:rPr>
          <w:rFonts w:ascii="Book Antiqua" w:hAnsi="Book Antiqua"/>
          <w:sz w:val="24"/>
        </w:rPr>
      </w:pPr>
      <w:r w:rsidRPr="00C13450">
        <w:rPr>
          <w:rFonts w:ascii="Book Antiqua" w:hAnsi="Book Antiqua"/>
          <w:b/>
          <w:sz w:val="24"/>
        </w:rPr>
        <w:t>CASE REPORT</w:t>
      </w:r>
    </w:p>
    <w:p w:rsidR="00DF44F1" w:rsidRPr="00C13450" w:rsidRDefault="00DF44F1" w:rsidP="0033257B">
      <w:pPr>
        <w:adjustRightInd w:val="0"/>
        <w:snapToGrid w:val="0"/>
        <w:spacing w:line="360" w:lineRule="auto"/>
        <w:rPr>
          <w:rFonts w:ascii="Book Antiqua" w:hAnsi="Book Antiqua"/>
          <w:sz w:val="24"/>
        </w:rPr>
      </w:pPr>
      <w:bookmarkStart w:id="301" w:name="OLE_LINK1906"/>
      <w:bookmarkStart w:id="302" w:name="OLE_LINK1907"/>
      <w:r w:rsidRPr="00C13450">
        <w:rPr>
          <w:rFonts w:ascii="Book Antiqua" w:hAnsi="Book Antiqua"/>
          <w:sz w:val="24"/>
        </w:rPr>
        <w:t xml:space="preserve">A 72-year-old Caucasian woman was admitted to the hospital with symptoms of mechanical cholestasis such as mild jaundice, pruritus, diarrhea and fatigue. </w:t>
      </w:r>
      <w:bookmarkEnd w:id="301"/>
      <w:bookmarkEnd w:id="302"/>
      <w:r w:rsidRPr="00C13450">
        <w:rPr>
          <w:rFonts w:ascii="Book Antiqua" w:hAnsi="Book Antiqua"/>
          <w:sz w:val="24"/>
        </w:rPr>
        <w:t>Several months before, she had already suffered from mild epigastric pain, rated as three out of ten on the numeric rating scale. Her abdominal examination was unremarkable with audible bowel sounds, no epigastric tenderness and no palpable masses. A stool test for occult blood was negative. Laboratory studies revealed a complete blood count within normal limits and normal electrolytes except gamma-glutamyl transpeptidase (</w:t>
      </w:r>
      <w:bookmarkStart w:id="303" w:name="OLE_LINK1916"/>
      <w:bookmarkStart w:id="304" w:name="OLE_LINK1917"/>
      <w:bookmarkStart w:id="305" w:name="OLE_LINK1918"/>
      <w:r w:rsidRPr="00C13450">
        <w:rPr>
          <w:rFonts w:ascii="Book Antiqua" w:hAnsi="Book Antiqua"/>
          <w:sz w:val="24"/>
        </w:rPr>
        <w:t>G-GT</w:t>
      </w:r>
      <w:bookmarkEnd w:id="303"/>
      <w:bookmarkEnd w:id="304"/>
      <w:bookmarkEnd w:id="305"/>
      <w:r w:rsidRPr="00C13450">
        <w:rPr>
          <w:rFonts w:ascii="Book Antiqua" w:hAnsi="Book Antiqua"/>
          <w:sz w:val="24"/>
        </w:rPr>
        <w:t>) of 382 U/L [normal adult female range (NAFR): 0-45 U/L), serum glutamic-pyruvic transaminase (GPT) of 96 U/L (NAFR: 0-48 U/L), alkaline phosphotase (</w:t>
      </w:r>
      <w:bookmarkStart w:id="306" w:name="OLE_LINK1919"/>
      <w:bookmarkStart w:id="307" w:name="OLE_LINK1920"/>
      <w:r w:rsidRPr="00C13450">
        <w:rPr>
          <w:rFonts w:ascii="Book Antiqua" w:hAnsi="Book Antiqua"/>
          <w:sz w:val="24"/>
        </w:rPr>
        <w:t>AP</w:t>
      </w:r>
      <w:bookmarkEnd w:id="306"/>
      <w:bookmarkEnd w:id="307"/>
      <w:r w:rsidRPr="00C13450">
        <w:rPr>
          <w:rFonts w:ascii="Book Antiqua" w:hAnsi="Book Antiqua"/>
          <w:sz w:val="24"/>
        </w:rPr>
        <w:t xml:space="preserve">) of 153 U/L (NAFR: 20-125 </w:t>
      </w:r>
      <w:bookmarkStart w:id="308" w:name="OLE_LINK1922"/>
      <w:bookmarkStart w:id="309" w:name="OLE_LINK1923"/>
      <w:bookmarkStart w:id="310" w:name="OLE_LINK1932"/>
      <w:r w:rsidRPr="00C13450">
        <w:rPr>
          <w:rFonts w:ascii="Book Antiqua" w:hAnsi="Book Antiqua"/>
          <w:sz w:val="24"/>
        </w:rPr>
        <w:t>U/L</w:t>
      </w:r>
      <w:bookmarkEnd w:id="308"/>
      <w:bookmarkEnd w:id="309"/>
      <w:bookmarkEnd w:id="310"/>
      <w:r w:rsidRPr="00C13450">
        <w:rPr>
          <w:rFonts w:ascii="Book Antiqua" w:hAnsi="Book Antiqua"/>
          <w:sz w:val="24"/>
        </w:rPr>
        <w:t>) and amylase of 153 U/L (NAFR: &lt; 110 U/L). Cholinesterase, bilirubin and lipase were within normal limits on admission.</w:t>
      </w:r>
    </w:p>
    <w:p w:rsidR="00DF44F1" w:rsidRPr="00C13450" w:rsidRDefault="00DF44F1" w:rsidP="008B25CD">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Her medical history was significant for hypertension, three-vessel coronary artery disease and cholecystolithiasis. In 1995 she underwent definitive resection arthroplasty of the left hip because of an aseptic loosening followed by prosthetic joint infection. Her functional status was limited, with walking restricted to using a cane. In </w:t>
      </w:r>
      <w:smartTag w:uri="urn:schemas-microsoft-com:office:smarttags" w:element="chmetcnv">
        <w:smartTagPr>
          <w:attr w:name="UnitName" w:val="a"/>
          <w:attr w:name="SourceValue" w:val="2004"/>
          <w:attr w:name="HasSpace" w:val="True"/>
          <w:attr w:name="Negative" w:val="False"/>
          <w:attr w:name="NumberType" w:val="1"/>
          <w:attr w:name="TCSC" w:val="0"/>
        </w:smartTagPr>
        <w:r w:rsidRPr="00C13450">
          <w:rPr>
            <w:rFonts w:ascii="Book Antiqua" w:hAnsi="Book Antiqua"/>
            <w:sz w:val="24"/>
          </w:rPr>
          <w:t>2004 a</w:t>
        </w:r>
      </w:smartTag>
      <w:r w:rsidRPr="00C13450">
        <w:rPr>
          <w:rFonts w:ascii="Book Antiqua" w:hAnsi="Book Antiqua"/>
          <w:sz w:val="24"/>
        </w:rPr>
        <w:t xml:space="preserve"> total hysterectomy was performed. Neither a pulmonary disease nor a chest trauma was reported. Her current medication included Nifedipine, Amiloride, Hydrochlorothiazide, Acetylsalicylic acid and Simvastatin. </w:t>
      </w:r>
    </w:p>
    <w:p w:rsidR="00DF44F1" w:rsidRPr="00C13450" w:rsidRDefault="00DF44F1" w:rsidP="008B25CD">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An upper gastrointestinal study (200 mL of soluble contrast) revealed an intrathoracic duodenum with delayed contrast passage. In the following esopha- gogastroduodenoscopy a prestenotic dilatation of the descending duodenum with no hemorrhage or mucosal damage was found. Microscopic examination of a biopsy specimen from the distal esophagus showed reflux esophagitis grade I without any </w:t>
      </w:r>
      <w:r w:rsidRPr="00C13450">
        <w:rPr>
          <w:rFonts w:ascii="Book Antiqua" w:hAnsi="Book Antiqua"/>
          <w:sz w:val="24"/>
        </w:rPr>
        <w:lastRenderedPageBreak/>
        <w:t xml:space="preserve">evidence of fungal infection or Barrett’s metaplasia. Gastric specimen revealed </w:t>
      </w:r>
      <w:r w:rsidRPr="00C13450">
        <w:rPr>
          <w:rFonts w:ascii="Book Antiqua" w:hAnsi="Book Antiqua"/>
          <w:i/>
          <w:sz w:val="24"/>
        </w:rPr>
        <w:t xml:space="preserve">Helicobacter </w:t>
      </w:r>
      <w:bookmarkStart w:id="311" w:name="OLE_LINK1924"/>
      <w:bookmarkStart w:id="312" w:name="OLE_LINK1925"/>
      <w:r w:rsidRPr="00C13450">
        <w:rPr>
          <w:rFonts w:ascii="Book Antiqua" w:hAnsi="Book Antiqua"/>
          <w:i/>
          <w:sz w:val="24"/>
        </w:rPr>
        <w:t>pylori</w:t>
      </w:r>
      <w:bookmarkEnd w:id="311"/>
      <w:bookmarkEnd w:id="312"/>
      <w:r w:rsidRPr="00C13450">
        <w:rPr>
          <w:rFonts w:ascii="Book Antiqua" w:hAnsi="Book Antiqua"/>
          <w:i/>
          <w:sz w:val="24"/>
        </w:rPr>
        <w:t xml:space="preserve"> </w:t>
      </w:r>
      <w:r w:rsidRPr="00C13450">
        <w:rPr>
          <w:rFonts w:ascii="Book Antiqua" w:hAnsi="Book Antiqua"/>
          <w:sz w:val="24"/>
        </w:rPr>
        <w:t>(</w:t>
      </w:r>
      <w:bookmarkStart w:id="313" w:name="OLE_LINK1928"/>
      <w:bookmarkStart w:id="314" w:name="OLE_LINK1929"/>
      <w:r w:rsidRPr="00C13450">
        <w:rPr>
          <w:rFonts w:ascii="Book Antiqua" w:hAnsi="Book Antiqua"/>
          <w:i/>
          <w:sz w:val="24"/>
        </w:rPr>
        <w:t>H. pylori</w:t>
      </w:r>
      <w:bookmarkEnd w:id="313"/>
      <w:bookmarkEnd w:id="314"/>
      <w:r w:rsidRPr="00C13450">
        <w:rPr>
          <w:rFonts w:ascii="Book Antiqua" w:hAnsi="Book Antiqua"/>
          <w:sz w:val="24"/>
        </w:rPr>
        <w:t xml:space="preserve">) associated gastritis. </w:t>
      </w:r>
      <w:r w:rsidRPr="00C13450">
        <w:rPr>
          <w:rFonts w:ascii="Book Antiqua" w:hAnsi="Book Antiqua"/>
          <w:i/>
          <w:sz w:val="24"/>
        </w:rPr>
        <w:t>H. pylori</w:t>
      </w:r>
      <w:r w:rsidRPr="00C13450">
        <w:rPr>
          <w:rFonts w:ascii="Book Antiqua" w:hAnsi="Book Antiqua"/>
          <w:sz w:val="24"/>
        </w:rPr>
        <w:t xml:space="preserve"> eradication therapy was initiated. </w:t>
      </w:r>
    </w:p>
    <w:p w:rsidR="00DF44F1" w:rsidRPr="00C13450" w:rsidRDefault="00DF44F1" w:rsidP="000E31DD">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Thoracic and abdominal computed tomography (CT) showed a HH type IV with displacement of the entire duodenum and proximal pancreas through the hiatal orifice into the posterior mediastinum (Figure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C13450">
          <w:rPr>
            <w:rFonts w:ascii="Book Antiqua" w:hAnsi="Book Antiqua"/>
            <w:sz w:val="24"/>
          </w:rPr>
          <w:t>1A</w:t>
        </w:r>
      </w:smartTag>
      <w:r>
        <w:rPr>
          <w:rFonts w:ascii="Book Antiqua" w:hAnsi="Book Antiqua"/>
          <w:sz w:val="24"/>
        </w:rPr>
        <w:t xml:space="preserve"> and</w:t>
      </w:r>
      <w:r w:rsidRPr="00C13450">
        <w:rPr>
          <w:rFonts w:ascii="Book Antiqua" w:hAnsi="Book Antiqua"/>
          <w:sz w:val="24"/>
        </w:rPr>
        <w:t xml:space="preserve"> B).</w:t>
      </w:r>
    </w:p>
    <w:p w:rsidR="00DF44F1" w:rsidRPr="00C13450" w:rsidRDefault="00DF44F1" w:rsidP="000E31DD">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An intermittent mechanical intra- and extrahepatic cholestasis was present due to obstruction of the common bile duct caused by the compression of the right diaphragmatic pillar which served as a hypomochlion to the common bile duct (Figure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C13450">
          <w:rPr>
            <w:rFonts w:ascii="Book Antiqua" w:hAnsi="Book Antiqua"/>
            <w:sz w:val="24"/>
          </w:rPr>
          <w:t>1A</w:t>
        </w:r>
      </w:smartTag>
      <w:r>
        <w:rPr>
          <w:rFonts w:ascii="Book Antiqua" w:hAnsi="Book Antiqua"/>
          <w:sz w:val="24"/>
        </w:rPr>
        <w:t xml:space="preserve"> and</w:t>
      </w:r>
      <w:r w:rsidRPr="00C13450">
        <w:rPr>
          <w:rFonts w:ascii="Book Antiqua" w:hAnsi="Book Antiqua"/>
          <w:sz w:val="24"/>
        </w:rPr>
        <w:t xml:space="preserve"> B). </w:t>
      </w:r>
    </w:p>
    <w:p w:rsidR="00DF44F1" w:rsidRPr="00C13450" w:rsidRDefault="00DF44F1" w:rsidP="000E31DD">
      <w:pPr>
        <w:adjustRightInd w:val="0"/>
        <w:snapToGrid w:val="0"/>
        <w:spacing w:line="360" w:lineRule="auto"/>
        <w:ind w:firstLineChars="100" w:firstLine="240"/>
        <w:rPr>
          <w:rFonts w:ascii="Book Antiqua" w:hAnsi="Book Antiqua"/>
          <w:sz w:val="24"/>
        </w:rPr>
      </w:pPr>
      <w:r w:rsidRPr="00C13450">
        <w:rPr>
          <w:rFonts w:ascii="Book Antiqua" w:hAnsi="Book Antiqua"/>
          <w:sz w:val="24"/>
        </w:rPr>
        <w:t>The endoscopic retrograde cholangiopancreatography revealed a stenosis about 3 cm proximal to the major duodenal papilla. An endoscopic papillotomy or the insertion of a stent was not necessary at this time because of normal bilirubin levels despite morphologic dilated intrahepatic bile ducts.</w:t>
      </w:r>
    </w:p>
    <w:p w:rsidR="00DF44F1" w:rsidRPr="00C13450" w:rsidRDefault="00DF44F1" w:rsidP="000E31DD">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Our recommended elective surgical repair of the hernia was refused by the patient due to lack of symptoms. Therefore she was discharged from hospital with periodic aftercare in three month intervals. </w:t>
      </w:r>
    </w:p>
    <w:p w:rsidR="00DF44F1" w:rsidRPr="00C13450" w:rsidRDefault="00DF44F1" w:rsidP="000E31DD">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The following laboratory tests revealed continuously increasing liver and pancreatic enzymes (GPT: 235 U/L, G-GT: 600 U/L, AP: 241 U/L, lipase: 61 U/L, amylase: 167 U/L). Bilirubin counts were within normal limits. On physical examination she denied any clinical symptoms. </w:t>
      </w:r>
    </w:p>
    <w:p w:rsidR="00DF44F1" w:rsidRPr="00C13450" w:rsidRDefault="00DF44F1" w:rsidP="00401812">
      <w:pPr>
        <w:adjustRightInd w:val="0"/>
        <w:snapToGrid w:val="0"/>
        <w:spacing w:line="360" w:lineRule="auto"/>
        <w:ind w:firstLineChars="100" w:firstLine="240"/>
        <w:rPr>
          <w:rFonts w:ascii="Book Antiqua" w:hAnsi="Book Antiqua"/>
          <w:sz w:val="24"/>
        </w:rPr>
      </w:pPr>
      <w:r w:rsidRPr="00C13450">
        <w:rPr>
          <w:rFonts w:ascii="Book Antiqua" w:hAnsi="Book Antiqua"/>
          <w:sz w:val="24"/>
        </w:rPr>
        <w:t>One year later the patient was treated as an inpatient at our facility because of a dislocated distal, left-sided radius multifragment fracture. On the second day of hospitalization, she complained of sudden chest pain without radiation. Additional symptoms were mild dyspnoea, indigestion and nausea. The patient denied palpitations, sweating or anxiety. Our initial concern was that of the presentation of symptoms related to the HH. A cardiac workup based on her clinical symptoms and the history of a three-vessel coronary artery disease revealed a non-ST elevation myocardial infarction (</w:t>
      </w:r>
      <w:bookmarkStart w:id="315" w:name="OLE_LINK1933"/>
      <w:bookmarkStart w:id="316" w:name="OLE_LINK1934"/>
      <w:r w:rsidRPr="00C13450">
        <w:rPr>
          <w:rFonts w:ascii="Book Antiqua" w:hAnsi="Book Antiqua"/>
          <w:sz w:val="24"/>
        </w:rPr>
        <w:t>NSTEMI</w:t>
      </w:r>
      <w:bookmarkEnd w:id="315"/>
      <w:bookmarkEnd w:id="316"/>
      <w:r w:rsidRPr="00C13450">
        <w:rPr>
          <w:rFonts w:ascii="Book Antiqua" w:hAnsi="Book Antiqua"/>
          <w:sz w:val="24"/>
        </w:rPr>
        <w:t xml:space="preserve">) based on electrocardiogram changes and elevation of CK-MB to 85 [normal level (NL) &lt; 25 U/L], CK of 999 (NL &lt; 170 U/L) and troponin of 1.23 (NL &lt; 0.03 mg/mL). </w:t>
      </w:r>
    </w:p>
    <w:p w:rsidR="00DF44F1" w:rsidRPr="00C13450" w:rsidRDefault="00DF44F1" w:rsidP="004F65F3">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A percutaneous coronary intervention was performed and a left anterior </w:t>
      </w:r>
      <w:r w:rsidRPr="00C13450">
        <w:rPr>
          <w:rFonts w:ascii="Book Antiqua" w:hAnsi="Book Antiqua"/>
          <w:sz w:val="24"/>
        </w:rPr>
        <w:lastRenderedPageBreak/>
        <w:t xml:space="preserve">descending artery stent placed. Thrombocyte aggregation inhibitor therapy was initiated. The distal radius fracture was treated conservatively with a forearm cast for six weeks. The patient had an uneventful recovery and was discharged for rehabilitation care. She still denied any significant abdominal symptoms. </w:t>
      </w:r>
    </w:p>
    <w:p w:rsidR="00DF44F1" w:rsidRPr="00C13450" w:rsidRDefault="00DF44F1" w:rsidP="004F65F3">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One year after the diagnosis of a HH type IV and an eventful course, the patient was still opposing an elective surgical repair. Meanwhile G-GT level climaxed 2327 U/L. She still remained symptom-free. </w:t>
      </w:r>
    </w:p>
    <w:p w:rsidR="00DF44F1" w:rsidRPr="00C13450" w:rsidRDefault="00DF44F1" w:rsidP="004F65F3">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Three months after the NSTEMI, the patient was admitted to the emergency room with a six day history of constant severe epigastric pain, vomiting, weight loss (7 kg/mo) and jaundice. Within our diagnostic investigation a mechanical ileus and again a NSTEMI was diagnosed. </w:t>
      </w:r>
    </w:p>
    <w:p w:rsidR="00DF44F1" w:rsidRPr="00C13450" w:rsidRDefault="00DF44F1" w:rsidP="004F65F3">
      <w:pPr>
        <w:adjustRightInd w:val="0"/>
        <w:snapToGrid w:val="0"/>
        <w:spacing w:line="360" w:lineRule="auto"/>
        <w:ind w:firstLineChars="100" w:firstLine="240"/>
        <w:rPr>
          <w:rFonts w:ascii="Book Antiqua" w:hAnsi="Book Antiqua"/>
          <w:sz w:val="24"/>
        </w:rPr>
      </w:pPr>
      <w:r w:rsidRPr="00C13450">
        <w:rPr>
          <w:rFonts w:ascii="Book Antiqua" w:hAnsi="Book Antiqua"/>
          <w:sz w:val="24"/>
        </w:rPr>
        <w:t>After passing a nasogastric tube with release of 1500 mL of bile stained fluid and infusion therapy to equate water and electrolyte balance the patient was prepared for surgery.</w:t>
      </w:r>
    </w:p>
    <w:p w:rsidR="00DF44F1" w:rsidRPr="00C13450" w:rsidRDefault="00DF44F1" w:rsidP="004F65F3">
      <w:pPr>
        <w:adjustRightInd w:val="0"/>
        <w:snapToGrid w:val="0"/>
        <w:spacing w:line="360" w:lineRule="auto"/>
        <w:ind w:firstLineChars="100" w:firstLine="240"/>
        <w:rPr>
          <w:rFonts w:ascii="Book Antiqua" w:hAnsi="Book Antiqua"/>
          <w:sz w:val="24"/>
        </w:rPr>
      </w:pPr>
      <w:r w:rsidRPr="00C13450">
        <w:rPr>
          <w:rFonts w:ascii="Book Antiqua" w:hAnsi="Book Antiqua"/>
          <w:sz w:val="24"/>
        </w:rPr>
        <w:t>As expected the HH type IV was identified and found to contain the entire duodenum, pancreatic head and the common bile duct (Figure 2A</w:t>
      </w:r>
      <w:r>
        <w:rPr>
          <w:rFonts w:ascii="Book Antiqua" w:hAnsi="Book Antiqua"/>
          <w:sz w:val="24"/>
        </w:rPr>
        <w:t xml:space="preserve"> to </w:t>
      </w:r>
      <w:r w:rsidRPr="00C13450">
        <w:rPr>
          <w:rFonts w:ascii="Book Antiqua" w:hAnsi="Book Antiqua"/>
          <w:sz w:val="24"/>
        </w:rPr>
        <w:t>C). The esophageal hiatus was dilated (10 cm in diameter) with no evidence of previous mechanical disruption.</w:t>
      </w:r>
    </w:p>
    <w:p w:rsidR="00DF44F1" w:rsidRPr="00C13450" w:rsidRDefault="00DF44F1" w:rsidP="004F65F3">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Manual reposition of the herniated content, excision of the thickened hernia sack and a cholecystectomy were performed without complications. The defect was augmented with interrupted non-absorbable sutures and mesh. The enlarged common bile duct was identified and released from adhesions and constrictions (Figure 2C). </w:t>
      </w:r>
    </w:p>
    <w:p w:rsidR="00DF44F1" w:rsidRPr="00C13450" w:rsidRDefault="00DF44F1" w:rsidP="004F65F3">
      <w:pPr>
        <w:adjustRightInd w:val="0"/>
        <w:snapToGrid w:val="0"/>
        <w:spacing w:line="360" w:lineRule="auto"/>
        <w:ind w:firstLineChars="100" w:firstLine="240"/>
        <w:rPr>
          <w:rFonts w:ascii="Book Antiqua" w:hAnsi="Book Antiqua"/>
          <w:sz w:val="24"/>
        </w:rPr>
      </w:pPr>
      <w:r w:rsidRPr="00C13450">
        <w:rPr>
          <w:rFonts w:ascii="Book Antiqua" w:hAnsi="Book Antiqua"/>
          <w:sz w:val="24"/>
        </w:rPr>
        <w:t>After two days of an uneventful postoperative course with monitoring at the intensive care unit, the patient suffered disseminated intravascular coagulopathy with ischemia of the terminal ileum so that a re-laparotomy with right hemicolectomy and an ileotransversostomy became necessary. Extubation was possible after stabilization of the critical hemodynamic condition. Deterioration of general condition occurred shortly after on the intensive care unit with increased demand on catecholamine and the need for re-intubation. On day 20 after repair of the HH the patient developed increasing cardiac complaints with myocardial ischemia and cardiogenic shock, culminating in ventricular fibrillation and death.</w:t>
      </w:r>
    </w:p>
    <w:p w:rsidR="00DF44F1" w:rsidRPr="00C13450" w:rsidRDefault="00DF44F1" w:rsidP="0033257B">
      <w:pPr>
        <w:widowControl/>
        <w:adjustRightInd w:val="0"/>
        <w:snapToGrid w:val="0"/>
        <w:spacing w:line="360" w:lineRule="auto"/>
        <w:rPr>
          <w:rFonts w:ascii="Book Antiqua" w:hAnsi="Book Antiqua"/>
          <w:b/>
          <w:sz w:val="24"/>
        </w:rPr>
      </w:pPr>
      <w:r w:rsidRPr="00C13450">
        <w:rPr>
          <w:rFonts w:ascii="Book Antiqua" w:hAnsi="Book Antiqua"/>
          <w:b/>
          <w:sz w:val="24"/>
        </w:rPr>
        <w:lastRenderedPageBreak/>
        <w:br w:type="page"/>
      </w:r>
    </w:p>
    <w:p w:rsidR="00DF44F1" w:rsidRPr="00C13450" w:rsidRDefault="00DF44F1" w:rsidP="0033257B">
      <w:pPr>
        <w:adjustRightInd w:val="0"/>
        <w:snapToGrid w:val="0"/>
        <w:spacing w:line="360" w:lineRule="auto"/>
        <w:rPr>
          <w:rFonts w:ascii="Book Antiqua" w:hAnsi="Book Antiqua"/>
          <w:b/>
          <w:sz w:val="24"/>
        </w:rPr>
      </w:pPr>
      <w:r w:rsidRPr="00C13450">
        <w:rPr>
          <w:rFonts w:ascii="Book Antiqua" w:hAnsi="Book Antiqua"/>
          <w:b/>
          <w:sz w:val="24"/>
        </w:rPr>
        <w:t>DISCUSSION</w:t>
      </w:r>
    </w:p>
    <w:p w:rsidR="00DF44F1" w:rsidRPr="00C13450" w:rsidRDefault="00DF44F1" w:rsidP="0033257B">
      <w:pPr>
        <w:adjustRightInd w:val="0"/>
        <w:snapToGrid w:val="0"/>
        <w:spacing w:line="360" w:lineRule="auto"/>
        <w:rPr>
          <w:rFonts w:ascii="Book Antiqua" w:hAnsi="Book Antiqua"/>
          <w:sz w:val="24"/>
        </w:rPr>
      </w:pPr>
      <w:r w:rsidRPr="00C13450">
        <w:rPr>
          <w:rFonts w:ascii="Book Antiqua" w:hAnsi="Book Antiqua"/>
          <w:sz w:val="24"/>
        </w:rPr>
        <w:t>The mechanisms and sources for diaphragmatic herniation of the pancreas remain unclear. Traumatic or iatrogenic diaphragmatic hernia (DH) are rare entities accounting for less than 1% of all DH</w:t>
      </w:r>
      <w:r w:rsidRPr="00C13450">
        <w:rPr>
          <w:rFonts w:ascii="Book Antiqua" w:hAnsi="Book Antiqua"/>
          <w:sz w:val="24"/>
          <w:vertAlign w:val="superscript"/>
        </w:rPr>
        <w:t>[4]</w:t>
      </w:r>
      <w:r w:rsidRPr="00C13450">
        <w:rPr>
          <w:rFonts w:ascii="Book Antiqua" w:hAnsi="Book Antiqua"/>
          <w:sz w:val="24"/>
        </w:rPr>
        <w:t>.</w:t>
      </w:r>
    </w:p>
    <w:p w:rsidR="00DF44F1" w:rsidRPr="00C13450" w:rsidRDefault="00DF44F1" w:rsidP="004F65F3">
      <w:pPr>
        <w:adjustRightInd w:val="0"/>
        <w:snapToGrid w:val="0"/>
        <w:spacing w:line="360" w:lineRule="auto"/>
        <w:ind w:firstLineChars="100" w:firstLine="240"/>
        <w:rPr>
          <w:rFonts w:ascii="Book Antiqua" w:hAnsi="Book Antiqua"/>
          <w:sz w:val="24"/>
        </w:rPr>
      </w:pPr>
      <w:r w:rsidRPr="00C13450">
        <w:rPr>
          <w:rFonts w:ascii="Book Antiqua" w:hAnsi="Book Antiqua"/>
          <w:sz w:val="24"/>
        </w:rPr>
        <w:t>Possible explanations are associated with congenital structural anomalies of the diaphragm or abdominal and thoracic organs like a persistent pneumoenteric defect, a failure of closure of the pleuroperitoneal canal like in Bochdalek’s hernia or a traction of a vascular pedicle by other organs as in PEH</w:t>
      </w:r>
      <w:r w:rsidRPr="00C13450">
        <w:rPr>
          <w:rFonts w:ascii="Book Antiqua" w:hAnsi="Book Antiqua"/>
          <w:sz w:val="24"/>
          <w:vertAlign w:val="superscript"/>
        </w:rPr>
        <w:t>[1,5]</w:t>
      </w:r>
      <w:r w:rsidRPr="00C13450">
        <w:rPr>
          <w:rFonts w:ascii="Book Antiqua" w:hAnsi="Book Antiqua"/>
          <w:sz w:val="24"/>
        </w:rPr>
        <w:t>. Congenital diaphragmatic hernia (CDH) occur with a prevalence between 1.7 and 5.7 per 10000 births and are classified in hiatal, posterolateral (Bochdalek), retrosternal (Morgagni) and transverse septum defect hernia</w:t>
      </w:r>
      <w:r w:rsidRPr="00C13450">
        <w:rPr>
          <w:rFonts w:ascii="Book Antiqua" w:hAnsi="Book Antiqua"/>
          <w:sz w:val="24"/>
          <w:vertAlign w:val="superscript"/>
        </w:rPr>
        <w:t>[4]</w:t>
      </w:r>
      <w:r w:rsidRPr="00C13450">
        <w:rPr>
          <w:rFonts w:ascii="Book Antiqua" w:hAnsi="Book Antiqua"/>
          <w:sz w:val="24"/>
        </w:rPr>
        <w:t>. Bochdalek´s hernia is the most common CDH type (95%). The remaining three types occur with an incidence of about 2% each.</w:t>
      </w:r>
    </w:p>
    <w:p w:rsidR="00DF44F1" w:rsidRPr="00C13450" w:rsidRDefault="00DF44F1" w:rsidP="002F6A76">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Mullin </w:t>
      </w:r>
      <w:r w:rsidRPr="00C13450">
        <w:rPr>
          <w:rFonts w:ascii="Book Antiqua" w:hAnsi="Book Antiqua"/>
          <w:i/>
          <w:sz w:val="24"/>
        </w:rPr>
        <w:t>et al</w:t>
      </w:r>
      <w:r w:rsidRPr="00C13450">
        <w:rPr>
          <w:rFonts w:ascii="Book Antiqua" w:hAnsi="Book Antiqua"/>
          <w:sz w:val="24"/>
          <w:vertAlign w:val="superscript"/>
        </w:rPr>
        <w:t>[6]</w:t>
      </w:r>
      <w:r w:rsidRPr="00C13450">
        <w:rPr>
          <w:rFonts w:ascii="Book Antiqua" w:hAnsi="Book Antiqua"/>
          <w:sz w:val="24"/>
        </w:rPr>
        <w:t xml:space="preserve"> reviewed 13138 abdominal CT reports for incidental Bochdalek’s hernia in adults and identified 22 cases. Only one of the 13138 patients showed dislocation of the pancreas. Further cases of reported herniation of the pancreas as a Bochdalek’s hernia are described by Cuschieri </w:t>
      </w:r>
      <w:r w:rsidRPr="00C13450">
        <w:rPr>
          <w:rFonts w:ascii="Book Antiqua" w:hAnsi="Book Antiqua"/>
          <w:i/>
          <w:sz w:val="24"/>
        </w:rPr>
        <w:t>et al</w:t>
      </w:r>
      <w:r w:rsidRPr="00C13450">
        <w:rPr>
          <w:rFonts w:ascii="Book Antiqua" w:hAnsi="Book Antiqua"/>
          <w:sz w:val="24"/>
          <w:vertAlign w:val="superscript"/>
        </w:rPr>
        <w:t>[7]</w:t>
      </w:r>
      <w:r w:rsidRPr="00C13450">
        <w:rPr>
          <w:rFonts w:ascii="Book Antiqua" w:hAnsi="Book Antiqua"/>
          <w:sz w:val="24"/>
        </w:rPr>
        <w:t xml:space="preserve"> and Oliver </w:t>
      </w:r>
      <w:r w:rsidRPr="00C13450">
        <w:rPr>
          <w:rFonts w:ascii="Book Antiqua" w:hAnsi="Book Antiqua"/>
          <w:i/>
          <w:sz w:val="24"/>
        </w:rPr>
        <w:t>et al</w:t>
      </w:r>
      <w:r w:rsidRPr="00C13450">
        <w:rPr>
          <w:rFonts w:ascii="Book Antiqua" w:hAnsi="Book Antiqua"/>
          <w:sz w:val="24"/>
          <w:vertAlign w:val="superscript"/>
        </w:rPr>
        <w:t>[8]</w:t>
      </w:r>
      <w:r w:rsidRPr="00C13450">
        <w:rPr>
          <w:rFonts w:ascii="Book Antiqua" w:hAnsi="Book Antiqua"/>
          <w:sz w:val="24"/>
        </w:rPr>
        <w:t xml:space="preserve">. One case reported by Moore </w:t>
      </w:r>
      <w:r w:rsidRPr="00C13450">
        <w:rPr>
          <w:rFonts w:ascii="Book Antiqua" w:hAnsi="Book Antiqua"/>
          <w:i/>
          <w:sz w:val="24"/>
        </w:rPr>
        <w:t>et al</w:t>
      </w:r>
      <w:r w:rsidRPr="00C13450">
        <w:rPr>
          <w:rFonts w:ascii="Book Antiqua" w:hAnsi="Book Antiqua"/>
          <w:sz w:val="24"/>
          <w:vertAlign w:val="superscript"/>
        </w:rPr>
        <w:t>[9]</w:t>
      </w:r>
      <w:r w:rsidRPr="00C13450">
        <w:rPr>
          <w:rFonts w:ascii="Book Antiqua" w:hAnsi="Book Antiqua"/>
          <w:i/>
          <w:sz w:val="24"/>
        </w:rPr>
        <w:t xml:space="preserve"> </w:t>
      </w:r>
      <w:r w:rsidRPr="00C13450">
        <w:rPr>
          <w:rFonts w:ascii="Book Antiqua" w:hAnsi="Book Antiqua"/>
          <w:sz w:val="24"/>
        </w:rPr>
        <w:t>describes a herniated pancreas through the left-sided ventrolateral part of the diaphragm.</w:t>
      </w:r>
    </w:p>
    <w:p w:rsidR="00DF44F1" w:rsidRPr="00C13450" w:rsidRDefault="00DF44F1" w:rsidP="002F6A76">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A hiatal herniation of the pancreas is a rarity. Our review of the literature yielded 11 reported cases with herniation of the pancreas or parts of it through the esophageal hiatus (Table 1). To the best of our knowledge we present the first case of a HH type IV containing the entire duodenum, head of pancreas and an intrathoracic duodenal papilla associated with intra- and extrahepatic cholestasis. </w:t>
      </w:r>
    </w:p>
    <w:p w:rsidR="00DF44F1" w:rsidRPr="00C13450" w:rsidRDefault="00DF44F1" w:rsidP="002F6A76">
      <w:pPr>
        <w:adjustRightInd w:val="0"/>
        <w:snapToGrid w:val="0"/>
        <w:spacing w:line="360" w:lineRule="auto"/>
        <w:ind w:firstLineChars="100" w:firstLine="240"/>
        <w:rPr>
          <w:rFonts w:ascii="Book Antiqua" w:hAnsi="Book Antiqua"/>
          <w:sz w:val="24"/>
        </w:rPr>
      </w:pPr>
      <w:r w:rsidRPr="00C13450">
        <w:rPr>
          <w:rFonts w:ascii="Book Antiqua" w:hAnsi="Book Antiqua"/>
          <w:sz w:val="24"/>
        </w:rPr>
        <w:t xml:space="preserve">Possible complications of a HH may result in hemorrhage, incarceration, obstruction, strangulation and perforation. Extrahepatic biliary obstruction as a complication of a HH with intrathoracic gastric volvulus is described by Llaneza </w:t>
      </w:r>
      <w:r w:rsidRPr="00C13450">
        <w:rPr>
          <w:rFonts w:ascii="Book Antiqua" w:hAnsi="Book Antiqua"/>
          <w:i/>
          <w:sz w:val="24"/>
        </w:rPr>
        <w:t>et al</w:t>
      </w:r>
      <w:r w:rsidRPr="00C13450">
        <w:rPr>
          <w:rFonts w:ascii="Book Antiqua" w:hAnsi="Book Antiqua"/>
          <w:sz w:val="24"/>
          <w:vertAlign w:val="superscript"/>
        </w:rPr>
        <w:t>[10]</w:t>
      </w:r>
      <w:r w:rsidRPr="00C13450">
        <w:rPr>
          <w:rFonts w:ascii="Book Antiqua" w:hAnsi="Book Antiqua"/>
          <w:sz w:val="24"/>
        </w:rPr>
        <w:t xml:space="preserve">. In only one case the association of a myocardial infarction in patient’s history and a pancreatic HH is reported by Kafka </w:t>
      </w:r>
      <w:r w:rsidRPr="00C13450">
        <w:rPr>
          <w:rFonts w:ascii="Book Antiqua" w:hAnsi="Book Antiqua"/>
          <w:i/>
          <w:sz w:val="24"/>
        </w:rPr>
        <w:t>et al</w:t>
      </w:r>
      <w:r w:rsidRPr="00C13450">
        <w:rPr>
          <w:rFonts w:ascii="Book Antiqua" w:hAnsi="Book Antiqua"/>
          <w:sz w:val="24"/>
          <w:vertAlign w:val="superscript"/>
        </w:rPr>
        <w:t>[11]</w:t>
      </w:r>
      <w:r w:rsidRPr="00C13450">
        <w:rPr>
          <w:rFonts w:ascii="Book Antiqua" w:hAnsi="Book Antiqua"/>
          <w:sz w:val="24"/>
        </w:rPr>
        <w:t xml:space="preserve">. Another interesting aspect is described by Chevallier </w:t>
      </w:r>
      <w:r w:rsidRPr="00C13450">
        <w:rPr>
          <w:rFonts w:ascii="Book Antiqua" w:hAnsi="Book Antiqua"/>
          <w:i/>
          <w:sz w:val="24"/>
        </w:rPr>
        <w:t>et al</w:t>
      </w:r>
      <w:r w:rsidRPr="00C13450">
        <w:rPr>
          <w:rFonts w:ascii="Book Antiqua" w:hAnsi="Book Antiqua"/>
          <w:sz w:val="24"/>
          <w:vertAlign w:val="superscript"/>
        </w:rPr>
        <w:t>[12]</w:t>
      </w:r>
      <w:r w:rsidRPr="00C13450">
        <w:rPr>
          <w:rFonts w:ascii="Book Antiqua" w:hAnsi="Book Antiqua"/>
          <w:sz w:val="24"/>
        </w:rPr>
        <w:t xml:space="preserve"> and Maksoud </w:t>
      </w:r>
      <w:r w:rsidRPr="00C13450">
        <w:rPr>
          <w:rFonts w:ascii="Book Antiqua" w:hAnsi="Book Antiqua"/>
          <w:i/>
          <w:sz w:val="24"/>
        </w:rPr>
        <w:t>et al</w:t>
      </w:r>
      <w:r w:rsidRPr="00C13450">
        <w:rPr>
          <w:rFonts w:ascii="Book Antiqua" w:hAnsi="Book Antiqua"/>
          <w:sz w:val="24"/>
          <w:vertAlign w:val="superscript"/>
        </w:rPr>
        <w:t>[13]</w:t>
      </w:r>
      <w:r w:rsidRPr="00C13450">
        <w:rPr>
          <w:rFonts w:ascii="Book Antiqua" w:hAnsi="Book Antiqua"/>
          <w:sz w:val="24"/>
        </w:rPr>
        <w:t xml:space="preserve"> pointing out that a hiatal herniation of the pancreas may remain reversible. Further cases in the published literature are described in Table 1</w:t>
      </w:r>
      <w:r w:rsidRPr="00C13450">
        <w:rPr>
          <w:rFonts w:ascii="Book Antiqua" w:hAnsi="Book Antiqua"/>
          <w:sz w:val="24"/>
          <w:vertAlign w:val="superscript"/>
        </w:rPr>
        <w:t>[14–17]</w:t>
      </w:r>
      <w:r w:rsidRPr="00C13450">
        <w:rPr>
          <w:rFonts w:ascii="Book Antiqua" w:hAnsi="Book Antiqua"/>
          <w:sz w:val="24"/>
        </w:rPr>
        <w:t xml:space="preserve">.Whether the patients were symptomatic or not, </w:t>
      </w:r>
      <w:r w:rsidRPr="00C13450">
        <w:rPr>
          <w:rFonts w:ascii="Book Antiqua" w:hAnsi="Book Antiqua"/>
          <w:sz w:val="24"/>
        </w:rPr>
        <w:lastRenderedPageBreak/>
        <w:t xml:space="preserve">all described cases (Table 1) underwent surgical repair except one actual case reported by Rozas </w:t>
      </w:r>
      <w:r w:rsidRPr="00C13450">
        <w:rPr>
          <w:rFonts w:ascii="Book Antiqua" w:hAnsi="Book Antiqua"/>
          <w:i/>
          <w:sz w:val="24"/>
        </w:rPr>
        <w:t>et al</w:t>
      </w:r>
      <w:r w:rsidRPr="00C13450">
        <w:rPr>
          <w:rFonts w:ascii="Book Antiqua" w:hAnsi="Book Antiqua"/>
          <w:sz w:val="24"/>
          <w:vertAlign w:val="superscript"/>
        </w:rPr>
        <w:t>[2]</w:t>
      </w:r>
      <w:r w:rsidRPr="00C13450">
        <w:rPr>
          <w:rFonts w:ascii="Book Antiqua" w:hAnsi="Book Antiqua"/>
          <w:sz w:val="24"/>
        </w:rPr>
        <w:t xml:space="preserve">. </w:t>
      </w:r>
    </w:p>
    <w:p w:rsidR="00DF44F1" w:rsidRPr="00C13450" w:rsidRDefault="00DF44F1" w:rsidP="00CF48AC">
      <w:pPr>
        <w:adjustRightInd w:val="0"/>
        <w:snapToGrid w:val="0"/>
        <w:spacing w:line="360" w:lineRule="auto"/>
        <w:ind w:firstLineChars="100" w:firstLine="240"/>
        <w:rPr>
          <w:rFonts w:ascii="Book Antiqua" w:hAnsi="Book Antiqua"/>
          <w:sz w:val="24"/>
        </w:rPr>
      </w:pPr>
      <w:r w:rsidRPr="00C13450">
        <w:rPr>
          <w:rFonts w:ascii="Book Antiqua" w:hAnsi="Book Antiqua"/>
          <w:sz w:val="24"/>
        </w:rPr>
        <w:t>Historically, surgical repair was advocated for the treatment of patients with PEH (types II, III and IV HH) regardless of whether they had related symptoms. This approach stem from retrospective reports showing 30% to 45% incidence of complications and mortality rates up to 50% among patients left untreated</w:t>
      </w:r>
      <w:r w:rsidRPr="00C13450">
        <w:rPr>
          <w:rFonts w:ascii="Book Antiqua" w:hAnsi="Book Antiqua"/>
          <w:sz w:val="24"/>
          <w:vertAlign w:val="superscript"/>
        </w:rPr>
        <w:t>[18,19]</w:t>
      </w:r>
      <w:r w:rsidRPr="00C13450">
        <w:rPr>
          <w:rFonts w:ascii="Book Antiqua" w:hAnsi="Book Antiqua"/>
          <w:sz w:val="24"/>
        </w:rPr>
        <w:t>. More recently, however, several authors have questioned the need for repair in truly asymptomatic patients</w:t>
      </w:r>
      <w:r w:rsidRPr="00C13450">
        <w:rPr>
          <w:rFonts w:ascii="Book Antiqua" w:hAnsi="Book Antiqua"/>
          <w:sz w:val="24"/>
          <w:vertAlign w:val="superscript"/>
        </w:rPr>
        <w:t>[20]</w:t>
      </w:r>
      <w:r w:rsidRPr="00C13450">
        <w:rPr>
          <w:rFonts w:ascii="Book Antiqua" w:hAnsi="Book Antiqua"/>
          <w:sz w:val="24"/>
        </w:rPr>
        <w:t xml:space="preserve">. Although our patient was asymptomatic, there were clear-cut signs (compression of the common bile duct) that warranted a surgical repair. Despite our recommendation of surgical hernia repair soon after the diagnosis, we had to respect the declared intention of the patient for a conservative procedure. The uniqueness of this case also supported this dilemma. So we were forced to wait for surgical repair within an emergency situation complicated by a myocardial infarction and reduced general condition. </w:t>
      </w:r>
    </w:p>
    <w:p w:rsidR="00DF44F1" w:rsidRPr="00C13450" w:rsidRDefault="00DF44F1" w:rsidP="00CF48AC">
      <w:pPr>
        <w:adjustRightInd w:val="0"/>
        <w:snapToGrid w:val="0"/>
        <w:spacing w:line="360" w:lineRule="auto"/>
        <w:ind w:firstLineChars="100" w:firstLine="240"/>
        <w:rPr>
          <w:rFonts w:ascii="Book Antiqua" w:hAnsi="Book Antiqua"/>
          <w:sz w:val="24"/>
        </w:rPr>
      </w:pPr>
      <w:bookmarkStart w:id="317" w:name="OLE_LINK1908"/>
      <w:bookmarkStart w:id="318" w:name="OLE_LINK1909"/>
      <w:r w:rsidRPr="00C13450">
        <w:rPr>
          <w:rFonts w:ascii="Book Antiqua" w:hAnsi="Book Antiqua"/>
          <w:sz w:val="24"/>
        </w:rPr>
        <w:t>Our case illustrates the serious sequelae of a HH type IV that can occur when treated conservatively and therefore we recommend that all HH type IV should be repaired as soon as possible after the diagnosis. Despite of the fatal outcome we were encouraged to publish this case to improve future decision finding processes in similar cases.</w:t>
      </w:r>
    </w:p>
    <w:bookmarkEnd w:id="317"/>
    <w:bookmarkEnd w:id="318"/>
    <w:p w:rsidR="00DF44F1" w:rsidRPr="00C13450" w:rsidRDefault="00DF44F1" w:rsidP="0033257B">
      <w:pPr>
        <w:adjustRightInd w:val="0"/>
        <w:snapToGrid w:val="0"/>
        <w:spacing w:line="360" w:lineRule="auto"/>
        <w:rPr>
          <w:rFonts w:ascii="Book Antiqua" w:hAnsi="Book Antiqua"/>
          <w:b/>
          <w:sz w:val="24"/>
        </w:rPr>
      </w:pPr>
    </w:p>
    <w:p w:rsidR="00DF44F1" w:rsidRPr="00C13450" w:rsidRDefault="00DF44F1" w:rsidP="0033257B">
      <w:pPr>
        <w:adjustRightInd w:val="0"/>
        <w:snapToGrid w:val="0"/>
        <w:spacing w:line="360" w:lineRule="auto"/>
        <w:rPr>
          <w:rFonts w:ascii="Book Antiqua" w:hAnsi="Book Antiqua"/>
          <w:b/>
          <w:sz w:val="24"/>
        </w:rPr>
      </w:pPr>
      <w:r w:rsidRPr="00C13450">
        <w:rPr>
          <w:rFonts w:ascii="Book Antiqua" w:hAnsi="Book Antiqua"/>
          <w:b/>
          <w:sz w:val="24"/>
        </w:rPr>
        <w:t>ACKNOWLEDGMENTS</w:t>
      </w:r>
    </w:p>
    <w:p w:rsidR="00DF44F1" w:rsidRPr="00C13450" w:rsidRDefault="00DF44F1" w:rsidP="0033257B">
      <w:pPr>
        <w:adjustRightInd w:val="0"/>
        <w:snapToGrid w:val="0"/>
        <w:spacing w:line="360" w:lineRule="auto"/>
        <w:rPr>
          <w:rFonts w:ascii="Book Antiqua" w:hAnsi="Book Antiqua"/>
          <w:sz w:val="24"/>
        </w:rPr>
      </w:pPr>
      <w:r w:rsidRPr="00C13450">
        <w:rPr>
          <w:rFonts w:ascii="Book Antiqua" w:hAnsi="Book Antiqua"/>
          <w:sz w:val="24"/>
        </w:rPr>
        <w:t>We thank Professor Kai Matthes (Department of Medicine, Beth Israel Deaconess Medical Center, Harvard Medical School, Boston, MA, United States) for editorial assistance.</w:t>
      </w:r>
    </w:p>
    <w:p w:rsidR="00DF44F1" w:rsidRPr="00C13450" w:rsidRDefault="00DF44F1" w:rsidP="00CF48AC">
      <w:pPr>
        <w:widowControl/>
        <w:adjustRightInd w:val="0"/>
        <w:snapToGrid w:val="0"/>
        <w:spacing w:line="360" w:lineRule="auto"/>
        <w:rPr>
          <w:rFonts w:ascii="Book Antiqua" w:hAnsi="Book Antiqua"/>
          <w:sz w:val="24"/>
        </w:rPr>
      </w:pPr>
    </w:p>
    <w:p w:rsidR="00DF44F1" w:rsidRPr="00C13450" w:rsidRDefault="00DF44F1" w:rsidP="00CF48AC">
      <w:pPr>
        <w:widowControl/>
        <w:adjustRightInd w:val="0"/>
        <w:snapToGrid w:val="0"/>
        <w:spacing w:line="360" w:lineRule="auto"/>
        <w:rPr>
          <w:rFonts w:ascii="Book Antiqua" w:hAnsi="Book Antiqua"/>
          <w:sz w:val="24"/>
        </w:rPr>
      </w:pPr>
      <w:r w:rsidRPr="00C13450">
        <w:rPr>
          <w:rFonts w:ascii="Book Antiqua" w:hAnsi="Book Antiqua"/>
          <w:b/>
          <w:sz w:val="24"/>
        </w:rPr>
        <w:t>REFERENCES</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 </w:t>
      </w:r>
      <w:r w:rsidRPr="00C13450">
        <w:rPr>
          <w:rFonts w:ascii="Book Antiqua" w:hAnsi="Book Antiqua" w:cs="宋体"/>
          <w:b/>
          <w:bCs/>
          <w:kern w:val="0"/>
          <w:sz w:val="24"/>
        </w:rPr>
        <w:t>Katz M</w:t>
      </w:r>
      <w:r w:rsidRPr="00C13450">
        <w:rPr>
          <w:rFonts w:ascii="Book Antiqua" w:hAnsi="Book Antiqua" w:cs="宋体"/>
          <w:kern w:val="0"/>
          <w:sz w:val="24"/>
        </w:rPr>
        <w:t xml:space="preserve">, Atar E, Herskovitz P. Asymptomatic diaphragmatic hiatal herniation of the pancreas. </w:t>
      </w:r>
      <w:r w:rsidRPr="00C13450">
        <w:rPr>
          <w:rFonts w:ascii="Book Antiqua" w:hAnsi="Book Antiqua" w:cs="宋体"/>
          <w:i/>
          <w:iCs/>
          <w:kern w:val="0"/>
          <w:sz w:val="24"/>
        </w:rPr>
        <w:t>J Comput Assist Tomogr</w:t>
      </w:r>
      <w:r w:rsidRPr="00C13450">
        <w:rPr>
          <w:rFonts w:ascii="Book Antiqua" w:hAnsi="Book Antiqua" w:cs="宋体"/>
          <w:kern w:val="0"/>
          <w:sz w:val="24"/>
        </w:rPr>
        <w:t xml:space="preserve"> </w:t>
      </w:r>
      <w:r>
        <w:rPr>
          <w:rFonts w:ascii="Book Antiqua" w:hAnsi="Book Antiqua" w:cs="宋体"/>
          <w:kern w:val="0"/>
          <w:sz w:val="24"/>
        </w:rPr>
        <w:t>2002</w:t>
      </w:r>
      <w:r w:rsidRPr="00C13450">
        <w:rPr>
          <w:rFonts w:ascii="Book Antiqua" w:hAnsi="Book Antiqua" w:cs="宋体"/>
          <w:kern w:val="0"/>
          <w:sz w:val="24"/>
        </w:rPr>
        <w:t xml:space="preserve">; </w:t>
      </w:r>
      <w:r w:rsidRPr="00C13450">
        <w:rPr>
          <w:rFonts w:ascii="Book Antiqua" w:hAnsi="Book Antiqua" w:cs="宋体"/>
          <w:b/>
          <w:bCs/>
          <w:kern w:val="0"/>
          <w:sz w:val="24"/>
        </w:rPr>
        <w:t>26</w:t>
      </w:r>
      <w:r w:rsidRPr="00C13450">
        <w:rPr>
          <w:rFonts w:ascii="Book Antiqua" w:hAnsi="Book Antiqua" w:cs="宋体"/>
          <w:kern w:val="0"/>
          <w:sz w:val="24"/>
        </w:rPr>
        <w:t>: 524-525 [PMID: 12218813 DOI: 10.1097/01.RCT.0000017711.55231.03]</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2 </w:t>
      </w:r>
      <w:r w:rsidRPr="00C13450">
        <w:rPr>
          <w:rFonts w:ascii="Book Antiqua" w:hAnsi="Book Antiqua" w:cs="宋体"/>
          <w:b/>
          <w:bCs/>
          <w:kern w:val="0"/>
          <w:sz w:val="24"/>
        </w:rPr>
        <w:t>Rozas MG</w:t>
      </w:r>
      <w:r w:rsidRPr="00C13450">
        <w:rPr>
          <w:rFonts w:ascii="Book Antiqua" w:hAnsi="Book Antiqua" w:cs="宋体"/>
          <w:kern w:val="0"/>
          <w:sz w:val="24"/>
        </w:rPr>
        <w:t xml:space="preserve">, González MM. A rare complication of hiatal hernia. </w:t>
      </w:r>
      <w:r w:rsidRPr="00C13450">
        <w:rPr>
          <w:rFonts w:ascii="Book Antiqua" w:hAnsi="Book Antiqua" w:cs="宋体"/>
          <w:i/>
          <w:iCs/>
          <w:kern w:val="0"/>
          <w:sz w:val="24"/>
        </w:rPr>
        <w:t>Gastroenterology</w:t>
      </w:r>
      <w:r w:rsidRPr="00C13450">
        <w:rPr>
          <w:rFonts w:ascii="Book Antiqua" w:hAnsi="Book Antiqua" w:cs="宋体"/>
          <w:kern w:val="0"/>
          <w:sz w:val="24"/>
        </w:rPr>
        <w:t xml:space="preserve"> 2010; </w:t>
      </w:r>
      <w:r w:rsidRPr="00C13450">
        <w:rPr>
          <w:rFonts w:ascii="Book Antiqua" w:hAnsi="Book Antiqua" w:cs="宋体"/>
          <w:b/>
          <w:bCs/>
          <w:kern w:val="0"/>
          <w:sz w:val="24"/>
        </w:rPr>
        <w:t>139</w:t>
      </w:r>
      <w:r w:rsidRPr="00C13450">
        <w:rPr>
          <w:rFonts w:ascii="Book Antiqua" w:hAnsi="Book Antiqua" w:cs="宋体"/>
          <w:kern w:val="0"/>
          <w:sz w:val="24"/>
        </w:rPr>
        <w:t>: e1-e2 [PMID: 21029798 DOI: 10.1053/j.gastro.2009.12.069]</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3 </w:t>
      </w:r>
      <w:r w:rsidRPr="00C13450">
        <w:rPr>
          <w:rFonts w:ascii="Book Antiqua" w:hAnsi="Book Antiqua" w:cs="宋体"/>
          <w:b/>
          <w:bCs/>
          <w:kern w:val="0"/>
          <w:sz w:val="24"/>
        </w:rPr>
        <w:t>Kahrilas PJ</w:t>
      </w:r>
      <w:r w:rsidRPr="00C13450">
        <w:rPr>
          <w:rFonts w:ascii="Book Antiqua" w:hAnsi="Book Antiqua" w:cs="宋体"/>
          <w:kern w:val="0"/>
          <w:sz w:val="24"/>
        </w:rPr>
        <w:t xml:space="preserve">, Kim HC, Pandolfino JE. Approaches to the diagnosis and grading of hiatal hernia. </w:t>
      </w:r>
      <w:r w:rsidRPr="00C13450">
        <w:rPr>
          <w:rFonts w:ascii="Book Antiqua" w:hAnsi="Book Antiqua" w:cs="宋体"/>
          <w:i/>
          <w:iCs/>
          <w:kern w:val="0"/>
          <w:sz w:val="24"/>
        </w:rPr>
        <w:t>Best Pract Res Clin Gastroenterol</w:t>
      </w:r>
      <w:r w:rsidRPr="00C13450">
        <w:rPr>
          <w:rFonts w:ascii="Book Antiqua" w:hAnsi="Book Antiqua" w:cs="宋体"/>
          <w:kern w:val="0"/>
          <w:sz w:val="24"/>
        </w:rPr>
        <w:t xml:space="preserve"> 2008; </w:t>
      </w:r>
      <w:r w:rsidRPr="00C13450">
        <w:rPr>
          <w:rFonts w:ascii="Book Antiqua" w:hAnsi="Book Antiqua" w:cs="宋体"/>
          <w:b/>
          <w:bCs/>
          <w:kern w:val="0"/>
          <w:sz w:val="24"/>
        </w:rPr>
        <w:t>22</w:t>
      </w:r>
      <w:r w:rsidRPr="00C13450">
        <w:rPr>
          <w:rFonts w:ascii="Book Antiqua" w:hAnsi="Book Antiqua" w:cs="宋体"/>
          <w:kern w:val="0"/>
          <w:sz w:val="24"/>
        </w:rPr>
        <w:t>: 601-616 [PMID: 18656819 DOI: 10.1016/j.bpg.2007.12.007]</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lastRenderedPageBreak/>
        <w:t xml:space="preserve">4 </w:t>
      </w:r>
      <w:r w:rsidRPr="00C13450">
        <w:rPr>
          <w:rFonts w:ascii="Book Antiqua" w:hAnsi="Book Antiqua" w:cs="宋体"/>
          <w:b/>
          <w:bCs/>
          <w:kern w:val="0"/>
          <w:sz w:val="24"/>
        </w:rPr>
        <w:t>Eren S</w:t>
      </w:r>
      <w:r w:rsidRPr="00C13450">
        <w:rPr>
          <w:rFonts w:ascii="Book Antiqua" w:hAnsi="Book Antiqua" w:cs="宋体"/>
          <w:kern w:val="0"/>
          <w:sz w:val="24"/>
        </w:rPr>
        <w:t>, Ciri</w:t>
      </w:r>
      <w:r w:rsidRPr="00C13450">
        <w:rPr>
          <w:rFonts w:ascii="Book Antiqua" w:eastAsia="MS Mincho" w:hAnsi="Book Antiqua" w:cs="MS Mincho"/>
          <w:kern w:val="0"/>
          <w:sz w:val="24"/>
        </w:rPr>
        <w:t>ş</w:t>
      </w:r>
      <w:r w:rsidRPr="00C13450">
        <w:rPr>
          <w:rFonts w:ascii="Book Antiqua" w:hAnsi="Book Antiqua" w:cs="宋体"/>
          <w:kern w:val="0"/>
          <w:sz w:val="24"/>
        </w:rPr>
        <w:t xml:space="preserve"> F. Diaphragmatic hernia: diagnostic approaches with review of the literature. </w:t>
      </w:r>
      <w:r w:rsidRPr="00C13450">
        <w:rPr>
          <w:rFonts w:ascii="Book Antiqua" w:hAnsi="Book Antiqua" w:cs="宋体"/>
          <w:i/>
          <w:iCs/>
          <w:kern w:val="0"/>
          <w:sz w:val="24"/>
        </w:rPr>
        <w:t>Eur J Radiol</w:t>
      </w:r>
      <w:r w:rsidRPr="00C13450">
        <w:rPr>
          <w:rFonts w:ascii="Book Antiqua" w:hAnsi="Book Antiqua" w:cs="宋体"/>
          <w:kern w:val="0"/>
          <w:sz w:val="24"/>
        </w:rPr>
        <w:t xml:space="preserve"> 2005; </w:t>
      </w:r>
      <w:r w:rsidRPr="00C13450">
        <w:rPr>
          <w:rFonts w:ascii="Book Antiqua" w:hAnsi="Book Antiqua" w:cs="宋体"/>
          <w:b/>
          <w:bCs/>
          <w:kern w:val="0"/>
          <w:sz w:val="24"/>
        </w:rPr>
        <w:t>54</w:t>
      </w:r>
      <w:r w:rsidRPr="00C13450">
        <w:rPr>
          <w:rFonts w:ascii="Book Antiqua" w:hAnsi="Book Antiqua" w:cs="宋体"/>
          <w:kern w:val="0"/>
          <w:sz w:val="24"/>
        </w:rPr>
        <w:t>: 448-459 [PMID: 15899350 DOI: 10.1016/j.ejrad.2004.09.008]</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5 </w:t>
      </w:r>
      <w:r w:rsidRPr="00C13450">
        <w:rPr>
          <w:rFonts w:ascii="Book Antiqua" w:hAnsi="Book Antiqua" w:cs="宋体"/>
          <w:b/>
          <w:bCs/>
          <w:kern w:val="0"/>
          <w:sz w:val="24"/>
        </w:rPr>
        <w:t>Coral A</w:t>
      </w:r>
      <w:r w:rsidRPr="00C13450">
        <w:rPr>
          <w:rFonts w:ascii="Book Antiqua" w:hAnsi="Book Antiqua" w:cs="宋体"/>
          <w:kern w:val="0"/>
          <w:sz w:val="24"/>
        </w:rPr>
        <w:t xml:space="preserve">, Jones SN, Lees WR. Dorsal pancreas presenting as a mass in the chest. </w:t>
      </w:r>
      <w:r w:rsidRPr="00C13450">
        <w:rPr>
          <w:rFonts w:ascii="Book Antiqua" w:hAnsi="Book Antiqua" w:cs="宋体"/>
          <w:i/>
          <w:iCs/>
          <w:kern w:val="0"/>
          <w:sz w:val="24"/>
        </w:rPr>
        <w:t>AJR Am J Roentgenol</w:t>
      </w:r>
      <w:r w:rsidRPr="00C13450">
        <w:rPr>
          <w:rFonts w:ascii="Book Antiqua" w:hAnsi="Book Antiqua" w:cs="宋体"/>
          <w:kern w:val="0"/>
          <w:sz w:val="24"/>
        </w:rPr>
        <w:t xml:space="preserve"> 1987; </w:t>
      </w:r>
      <w:r w:rsidRPr="00C13450">
        <w:rPr>
          <w:rFonts w:ascii="Book Antiqua" w:hAnsi="Book Antiqua" w:cs="宋体"/>
          <w:b/>
          <w:bCs/>
          <w:kern w:val="0"/>
          <w:sz w:val="24"/>
        </w:rPr>
        <w:t>149</w:t>
      </w:r>
      <w:r w:rsidRPr="00C13450">
        <w:rPr>
          <w:rFonts w:ascii="Book Antiqua" w:hAnsi="Book Antiqua" w:cs="宋体"/>
          <w:kern w:val="0"/>
          <w:sz w:val="24"/>
        </w:rPr>
        <w:t>: 718-720 [PMID: 3498319 DOI: 10.2214/ajr.149.4.718]</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6 </w:t>
      </w:r>
      <w:r w:rsidRPr="00C13450">
        <w:rPr>
          <w:rFonts w:ascii="Book Antiqua" w:hAnsi="Book Antiqua" w:cs="宋体"/>
          <w:b/>
          <w:bCs/>
          <w:kern w:val="0"/>
          <w:sz w:val="24"/>
        </w:rPr>
        <w:t>Mullins ME</w:t>
      </w:r>
      <w:r w:rsidRPr="00C13450">
        <w:rPr>
          <w:rFonts w:ascii="Book Antiqua" w:hAnsi="Book Antiqua" w:cs="宋体"/>
          <w:kern w:val="0"/>
          <w:sz w:val="24"/>
        </w:rPr>
        <w:t xml:space="preserve">, Stein J, Saini SS, Mueller PR. Prevalence of incidental Bochdalek's hernia in a large adult population. </w:t>
      </w:r>
      <w:r w:rsidRPr="00C13450">
        <w:rPr>
          <w:rFonts w:ascii="Book Antiqua" w:hAnsi="Book Antiqua" w:cs="宋体"/>
          <w:i/>
          <w:iCs/>
          <w:kern w:val="0"/>
          <w:sz w:val="24"/>
        </w:rPr>
        <w:t>AJR Am J Roentgenol</w:t>
      </w:r>
      <w:r w:rsidRPr="00C13450">
        <w:rPr>
          <w:rFonts w:ascii="Book Antiqua" w:hAnsi="Book Antiqua" w:cs="宋体"/>
          <w:kern w:val="0"/>
          <w:sz w:val="24"/>
        </w:rPr>
        <w:t xml:space="preserve"> 2001; </w:t>
      </w:r>
      <w:r w:rsidRPr="00C13450">
        <w:rPr>
          <w:rFonts w:ascii="Book Antiqua" w:hAnsi="Book Antiqua" w:cs="宋体"/>
          <w:b/>
          <w:bCs/>
          <w:kern w:val="0"/>
          <w:sz w:val="24"/>
        </w:rPr>
        <w:t>177</w:t>
      </w:r>
      <w:r w:rsidRPr="00C13450">
        <w:rPr>
          <w:rFonts w:ascii="Book Antiqua" w:hAnsi="Book Antiqua" w:cs="宋体"/>
          <w:kern w:val="0"/>
          <w:sz w:val="24"/>
        </w:rPr>
        <w:t>: 363-366 [PMID: 11461863 DOI: 10.2214/ajr.177.2.1770363]</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7 </w:t>
      </w:r>
      <w:r w:rsidRPr="00C13450">
        <w:rPr>
          <w:rFonts w:ascii="Book Antiqua" w:hAnsi="Book Antiqua" w:cs="宋体"/>
          <w:b/>
          <w:bCs/>
          <w:kern w:val="0"/>
          <w:sz w:val="24"/>
        </w:rPr>
        <w:t>Cuschieri RJ</w:t>
      </w:r>
      <w:r w:rsidRPr="00C13450">
        <w:rPr>
          <w:rFonts w:ascii="Book Antiqua" w:hAnsi="Book Antiqua" w:cs="宋体"/>
          <w:kern w:val="0"/>
          <w:sz w:val="24"/>
        </w:rPr>
        <w:t xml:space="preserve">, Wilson WA. Incarcerated Bochdalek hernia presenting as acute pancreatitis. </w:t>
      </w:r>
      <w:r w:rsidRPr="00C13450">
        <w:rPr>
          <w:rFonts w:ascii="Book Antiqua" w:hAnsi="Book Antiqua" w:cs="宋体"/>
          <w:i/>
          <w:iCs/>
          <w:kern w:val="0"/>
          <w:sz w:val="24"/>
        </w:rPr>
        <w:t>Br J Surg</w:t>
      </w:r>
      <w:r w:rsidRPr="00C13450">
        <w:rPr>
          <w:rFonts w:ascii="Book Antiqua" w:hAnsi="Book Antiqua" w:cs="宋体"/>
          <w:kern w:val="0"/>
          <w:sz w:val="24"/>
        </w:rPr>
        <w:t xml:space="preserve"> 1981; </w:t>
      </w:r>
      <w:r w:rsidRPr="00C13450">
        <w:rPr>
          <w:rFonts w:ascii="Book Antiqua" w:hAnsi="Book Antiqua" w:cs="宋体"/>
          <w:b/>
          <w:bCs/>
          <w:kern w:val="0"/>
          <w:sz w:val="24"/>
        </w:rPr>
        <w:t>68</w:t>
      </w:r>
      <w:r w:rsidRPr="00C13450">
        <w:rPr>
          <w:rFonts w:ascii="Book Antiqua" w:hAnsi="Book Antiqua" w:cs="宋体"/>
          <w:kern w:val="0"/>
          <w:sz w:val="24"/>
        </w:rPr>
        <w:t>: 669 [PMID: 7272700 DOI: 10.1002/bjs.1800680922]</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8 </w:t>
      </w:r>
      <w:r w:rsidRPr="00C13450">
        <w:rPr>
          <w:rFonts w:ascii="Book Antiqua" w:hAnsi="Book Antiqua" w:cs="宋体"/>
          <w:b/>
          <w:bCs/>
          <w:kern w:val="0"/>
          <w:sz w:val="24"/>
        </w:rPr>
        <w:t>Oliver MJ</w:t>
      </w:r>
      <w:r w:rsidRPr="00C13450">
        <w:rPr>
          <w:rFonts w:ascii="Book Antiqua" w:hAnsi="Book Antiqua" w:cs="宋体"/>
          <w:kern w:val="0"/>
          <w:sz w:val="24"/>
        </w:rPr>
        <w:t xml:space="preserve">, Wilson AR, Kapila L. Acute pancreatitis and gastric volvulus occurring in a congenital diaphragmatic hernia. </w:t>
      </w:r>
      <w:r w:rsidRPr="00C13450">
        <w:rPr>
          <w:rFonts w:ascii="Book Antiqua" w:hAnsi="Book Antiqua" w:cs="宋体"/>
          <w:i/>
          <w:iCs/>
          <w:kern w:val="0"/>
          <w:sz w:val="24"/>
        </w:rPr>
        <w:t>J Pediatr Surg</w:t>
      </w:r>
      <w:r w:rsidRPr="00C13450">
        <w:rPr>
          <w:rFonts w:ascii="Book Antiqua" w:hAnsi="Book Antiqua" w:cs="宋体"/>
          <w:kern w:val="0"/>
          <w:sz w:val="24"/>
        </w:rPr>
        <w:t xml:space="preserve"> 1990; </w:t>
      </w:r>
      <w:r w:rsidRPr="00C13450">
        <w:rPr>
          <w:rFonts w:ascii="Book Antiqua" w:hAnsi="Book Antiqua" w:cs="宋体"/>
          <w:b/>
          <w:bCs/>
          <w:kern w:val="0"/>
          <w:sz w:val="24"/>
        </w:rPr>
        <w:t>25</w:t>
      </w:r>
      <w:r w:rsidRPr="00C13450">
        <w:rPr>
          <w:rFonts w:ascii="Book Antiqua" w:hAnsi="Book Antiqua" w:cs="宋体"/>
          <w:kern w:val="0"/>
          <w:sz w:val="24"/>
        </w:rPr>
        <w:t>: 1240-1241 [PMID: 2286892 DOI: 10.1016/0022-3468(90)90516-C]</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9 </w:t>
      </w:r>
      <w:r w:rsidRPr="00C13450">
        <w:rPr>
          <w:rFonts w:ascii="Book Antiqua" w:hAnsi="Book Antiqua" w:cs="宋体"/>
          <w:b/>
          <w:bCs/>
          <w:kern w:val="0"/>
          <w:sz w:val="24"/>
        </w:rPr>
        <w:t>MOORE TC</w:t>
      </w:r>
      <w:r w:rsidRPr="00C13450">
        <w:rPr>
          <w:rFonts w:ascii="Book Antiqua" w:hAnsi="Book Antiqua" w:cs="宋体"/>
          <w:kern w:val="0"/>
          <w:sz w:val="24"/>
        </w:rPr>
        <w:t xml:space="preserve">. Esophageal hiatus hernia with obstructive incarceration of pylorus, pancreas, and duodenum. </w:t>
      </w:r>
      <w:r w:rsidRPr="00C13450">
        <w:rPr>
          <w:rFonts w:ascii="Book Antiqua" w:hAnsi="Book Antiqua" w:cs="宋体"/>
          <w:i/>
          <w:iCs/>
          <w:kern w:val="0"/>
          <w:sz w:val="24"/>
        </w:rPr>
        <w:t>AMA Arch Surg</w:t>
      </w:r>
      <w:r w:rsidRPr="00C13450">
        <w:rPr>
          <w:rFonts w:ascii="Book Antiqua" w:hAnsi="Book Antiqua" w:cs="宋体"/>
          <w:kern w:val="0"/>
          <w:sz w:val="24"/>
        </w:rPr>
        <w:t xml:space="preserve"> 1958; </w:t>
      </w:r>
      <w:r w:rsidRPr="00C13450">
        <w:rPr>
          <w:rFonts w:ascii="Book Antiqua" w:hAnsi="Book Antiqua" w:cs="宋体"/>
          <w:b/>
          <w:bCs/>
          <w:kern w:val="0"/>
          <w:sz w:val="24"/>
        </w:rPr>
        <w:t>77</w:t>
      </w:r>
      <w:r w:rsidRPr="00C13450">
        <w:rPr>
          <w:rFonts w:ascii="Book Antiqua" w:hAnsi="Book Antiqua" w:cs="宋体"/>
          <w:kern w:val="0"/>
          <w:sz w:val="24"/>
        </w:rPr>
        <w:t>: 997-999 [PMID: 13594005 DOI: 10.1001/archsurg.1958.01290050167031]</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10 </w:t>
      </w:r>
      <w:r w:rsidRPr="00C13450">
        <w:rPr>
          <w:rFonts w:ascii="Book Antiqua" w:hAnsi="Book Antiqua" w:cs="宋体"/>
          <w:b/>
          <w:bCs/>
          <w:kern w:val="0"/>
          <w:sz w:val="24"/>
        </w:rPr>
        <w:t>Llaneza PP</w:t>
      </w:r>
      <w:r w:rsidRPr="00C13450">
        <w:rPr>
          <w:rFonts w:ascii="Book Antiqua" w:hAnsi="Book Antiqua" w:cs="宋体"/>
          <w:kern w:val="0"/>
          <w:sz w:val="24"/>
        </w:rPr>
        <w:t xml:space="preserve">, Salt WB, Partyka EK. Extrahepatic biliary obstruction complicating a diaphragmatic hiatal hernia with intrathoracic gastric volvulus. </w:t>
      </w:r>
      <w:r w:rsidRPr="00C13450">
        <w:rPr>
          <w:rFonts w:ascii="Book Antiqua" w:hAnsi="Book Antiqua" w:cs="宋体"/>
          <w:i/>
          <w:iCs/>
          <w:kern w:val="0"/>
          <w:sz w:val="24"/>
        </w:rPr>
        <w:t>Am J Gastroenterol</w:t>
      </w:r>
      <w:r w:rsidRPr="00C13450">
        <w:rPr>
          <w:rFonts w:ascii="Book Antiqua" w:hAnsi="Book Antiqua" w:cs="宋体"/>
          <w:kern w:val="0"/>
          <w:sz w:val="24"/>
        </w:rPr>
        <w:t xml:space="preserve"> 1986; </w:t>
      </w:r>
      <w:r w:rsidRPr="00C13450">
        <w:rPr>
          <w:rFonts w:ascii="Book Antiqua" w:hAnsi="Book Antiqua" w:cs="宋体"/>
          <w:b/>
          <w:bCs/>
          <w:kern w:val="0"/>
          <w:sz w:val="24"/>
        </w:rPr>
        <w:t>81</w:t>
      </w:r>
      <w:r w:rsidRPr="00C13450">
        <w:rPr>
          <w:rFonts w:ascii="Book Antiqua" w:hAnsi="Book Antiqua" w:cs="宋体"/>
          <w:kern w:val="0"/>
          <w:sz w:val="24"/>
        </w:rPr>
        <w:t>: 292-294 [PMID: 3962956]</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11 </w:t>
      </w:r>
      <w:r w:rsidRPr="00C13450">
        <w:rPr>
          <w:rFonts w:ascii="Book Antiqua" w:hAnsi="Book Antiqua" w:cs="宋体"/>
          <w:b/>
          <w:bCs/>
          <w:kern w:val="0"/>
          <w:sz w:val="24"/>
        </w:rPr>
        <w:t>Kafka NJ</w:t>
      </w:r>
      <w:r w:rsidRPr="00C13450">
        <w:rPr>
          <w:rFonts w:ascii="Book Antiqua" w:hAnsi="Book Antiqua" w:cs="宋体"/>
          <w:kern w:val="0"/>
          <w:sz w:val="24"/>
        </w:rPr>
        <w:t xml:space="preserve">, Leitman IM, Tromba J. Acute pancreatitis secondary to incarcerated paraesophageal hernia. </w:t>
      </w:r>
      <w:r w:rsidRPr="00C13450">
        <w:rPr>
          <w:rFonts w:ascii="Book Antiqua" w:hAnsi="Book Antiqua" w:cs="宋体"/>
          <w:i/>
          <w:iCs/>
          <w:kern w:val="0"/>
          <w:sz w:val="24"/>
        </w:rPr>
        <w:t>Surgery</w:t>
      </w:r>
      <w:r w:rsidRPr="00C13450">
        <w:rPr>
          <w:rFonts w:ascii="Book Antiqua" w:hAnsi="Book Antiqua" w:cs="宋体"/>
          <w:kern w:val="0"/>
          <w:sz w:val="24"/>
        </w:rPr>
        <w:t xml:space="preserve"> 1994; </w:t>
      </w:r>
      <w:r w:rsidRPr="00C13450">
        <w:rPr>
          <w:rFonts w:ascii="Book Antiqua" w:hAnsi="Book Antiqua" w:cs="宋体"/>
          <w:b/>
          <w:bCs/>
          <w:kern w:val="0"/>
          <w:sz w:val="24"/>
        </w:rPr>
        <w:t>115</w:t>
      </w:r>
      <w:r w:rsidRPr="00C13450">
        <w:rPr>
          <w:rFonts w:ascii="Book Antiqua" w:hAnsi="Book Antiqua" w:cs="宋体"/>
          <w:kern w:val="0"/>
          <w:sz w:val="24"/>
        </w:rPr>
        <w:t>: 653-655 [PMID: 8178267]</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12 </w:t>
      </w:r>
      <w:r w:rsidRPr="00C13450">
        <w:rPr>
          <w:rFonts w:ascii="Book Antiqua" w:hAnsi="Book Antiqua" w:cs="宋体"/>
          <w:b/>
          <w:bCs/>
          <w:kern w:val="0"/>
          <w:sz w:val="24"/>
        </w:rPr>
        <w:t>Chevallier P</w:t>
      </w:r>
      <w:r w:rsidRPr="00C13450">
        <w:rPr>
          <w:rFonts w:ascii="Book Antiqua" w:hAnsi="Book Antiqua" w:cs="宋体"/>
          <w:kern w:val="0"/>
          <w:sz w:val="24"/>
        </w:rPr>
        <w:t xml:space="preserve">, Peten E, Pellegrino C, Souci J, Motamedi JP, Padovani B. Hiatal hernia with pancreatic volvulus: a rare cause of acute pancreatitis. </w:t>
      </w:r>
      <w:r w:rsidRPr="00C13450">
        <w:rPr>
          <w:rFonts w:ascii="Book Antiqua" w:hAnsi="Book Antiqua" w:cs="宋体"/>
          <w:i/>
          <w:iCs/>
          <w:kern w:val="0"/>
          <w:sz w:val="24"/>
        </w:rPr>
        <w:t>AJR Am J Roentgenol</w:t>
      </w:r>
      <w:r w:rsidRPr="00C13450">
        <w:rPr>
          <w:rFonts w:ascii="Book Antiqua" w:hAnsi="Book Antiqua" w:cs="宋体"/>
          <w:kern w:val="0"/>
          <w:sz w:val="24"/>
        </w:rPr>
        <w:t xml:space="preserve"> 2001; </w:t>
      </w:r>
      <w:r w:rsidRPr="00C13450">
        <w:rPr>
          <w:rFonts w:ascii="Book Antiqua" w:hAnsi="Book Antiqua" w:cs="宋体"/>
          <w:b/>
          <w:bCs/>
          <w:kern w:val="0"/>
          <w:sz w:val="24"/>
        </w:rPr>
        <w:t>177</w:t>
      </w:r>
      <w:r w:rsidRPr="00C13450">
        <w:rPr>
          <w:rFonts w:ascii="Book Antiqua" w:hAnsi="Book Antiqua" w:cs="宋体"/>
          <w:kern w:val="0"/>
          <w:sz w:val="24"/>
        </w:rPr>
        <w:t>: 373-374 [PMID: 11461866 DOI: 10.2214/ajr.177.2.1770373]</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13 </w:t>
      </w:r>
      <w:r w:rsidRPr="00C13450">
        <w:rPr>
          <w:rFonts w:ascii="Book Antiqua" w:hAnsi="Book Antiqua" w:cs="宋体"/>
          <w:b/>
          <w:bCs/>
          <w:kern w:val="0"/>
          <w:sz w:val="24"/>
        </w:rPr>
        <w:t>Maksoud C</w:t>
      </w:r>
      <w:r w:rsidRPr="00C13450">
        <w:rPr>
          <w:rFonts w:ascii="Book Antiqua" w:hAnsi="Book Antiqua" w:cs="宋体"/>
          <w:kern w:val="0"/>
          <w:sz w:val="24"/>
        </w:rPr>
        <w:t xml:space="preserve">, Shah AM, DePasquale J, Baddoura W, Spira R. Transient pancreatic hiatal herniation causing acute pancreatitis--a literature review. </w:t>
      </w:r>
      <w:r w:rsidRPr="00C13450">
        <w:rPr>
          <w:rFonts w:ascii="Book Antiqua" w:hAnsi="Book Antiqua" w:cs="宋体"/>
          <w:i/>
          <w:iCs/>
          <w:kern w:val="0"/>
          <w:sz w:val="24"/>
        </w:rPr>
        <w:t>Hepatogastroenterology</w:t>
      </w:r>
      <w:r w:rsidRPr="00C13450">
        <w:rPr>
          <w:rFonts w:ascii="Book Antiqua" w:hAnsi="Book Antiqua" w:cs="宋体"/>
          <w:kern w:val="0"/>
          <w:sz w:val="24"/>
        </w:rPr>
        <w:t xml:space="preserve"> </w:t>
      </w:r>
      <w:r>
        <w:rPr>
          <w:rFonts w:ascii="Book Antiqua" w:hAnsi="Book Antiqua" w:cs="宋体"/>
          <w:kern w:val="0"/>
          <w:sz w:val="24"/>
        </w:rPr>
        <w:t>2010</w:t>
      </w:r>
      <w:r w:rsidRPr="00C13450">
        <w:rPr>
          <w:rFonts w:ascii="Book Antiqua" w:hAnsi="Book Antiqua" w:cs="宋体"/>
          <w:kern w:val="0"/>
          <w:sz w:val="24"/>
        </w:rPr>
        <w:t xml:space="preserve">; </w:t>
      </w:r>
      <w:r w:rsidRPr="00C13450">
        <w:rPr>
          <w:rFonts w:ascii="Book Antiqua" w:hAnsi="Book Antiqua" w:cs="宋体"/>
          <w:b/>
          <w:bCs/>
          <w:kern w:val="0"/>
          <w:sz w:val="24"/>
        </w:rPr>
        <w:t>57</w:t>
      </w:r>
      <w:r w:rsidRPr="00C13450">
        <w:rPr>
          <w:rFonts w:ascii="Book Antiqua" w:hAnsi="Book Antiqua" w:cs="宋体"/>
          <w:kern w:val="0"/>
          <w:sz w:val="24"/>
        </w:rPr>
        <w:t>: 165-166 [PMID: 20422895]</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14 </w:t>
      </w:r>
      <w:r w:rsidRPr="00C13450">
        <w:rPr>
          <w:rFonts w:ascii="Book Antiqua" w:hAnsi="Book Antiqua" w:cs="宋体"/>
          <w:b/>
          <w:bCs/>
          <w:kern w:val="0"/>
          <w:sz w:val="24"/>
        </w:rPr>
        <w:t>Saxena P</w:t>
      </w:r>
      <w:r w:rsidRPr="00C13450">
        <w:rPr>
          <w:rFonts w:ascii="Book Antiqua" w:hAnsi="Book Antiqua" w:cs="宋体"/>
          <w:kern w:val="0"/>
          <w:sz w:val="24"/>
        </w:rPr>
        <w:t xml:space="preserve">, Konstantinov IE, Koniuszko MD, Ghosh S, Low VH, Newman MA. Hiatal herniation of the pancreas: diagnosis and surgical management. </w:t>
      </w:r>
      <w:r w:rsidRPr="00C13450">
        <w:rPr>
          <w:rFonts w:ascii="Book Antiqua" w:hAnsi="Book Antiqua" w:cs="宋体"/>
          <w:i/>
          <w:iCs/>
          <w:kern w:val="0"/>
          <w:sz w:val="24"/>
        </w:rPr>
        <w:t>J Thorac Cardiovasc Surg</w:t>
      </w:r>
      <w:r w:rsidRPr="00C13450">
        <w:rPr>
          <w:rFonts w:ascii="Book Antiqua" w:hAnsi="Book Antiqua" w:cs="宋体"/>
          <w:kern w:val="0"/>
          <w:sz w:val="24"/>
        </w:rPr>
        <w:t xml:space="preserve"> 2006; </w:t>
      </w:r>
      <w:r w:rsidRPr="00C13450">
        <w:rPr>
          <w:rFonts w:ascii="Book Antiqua" w:hAnsi="Book Antiqua" w:cs="宋体"/>
          <w:b/>
          <w:bCs/>
          <w:kern w:val="0"/>
          <w:sz w:val="24"/>
        </w:rPr>
        <w:t>131</w:t>
      </w:r>
      <w:r w:rsidRPr="00C13450">
        <w:rPr>
          <w:rFonts w:ascii="Book Antiqua" w:hAnsi="Book Antiqua" w:cs="宋体"/>
          <w:kern w:val="0"/>
          <w:sz w:val="24"/>
        </w:rPr>
        <w:t>: 1204-1205 [PMID: 16678626 DOI: 10.1016/j.jtcvs.2006.01.008]</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15 </w:t>
      </w:r>
      <w:r w:rsidRPr="00C13450">
        <w:rPr>
          <w:rFonts w:ascii="Book Antiqua" w:hAnsi="Book Antiqua" w:cs="宋体"/>
          <w:b/>
          <w:bCs/>
          <w:kern w:val="0"/>
          <w:sz w:val="24"/>
        </w:rPr>
        <w:t>Tagaya N</w:t>
      </w:r>
      <w:r w:rsidRPr="00C13450">
        <w:rPr>
          <w:rFonts w:ascii="Book Antiqua" w:hAnsi="Book Antiqua" w:cs="宋体"/>
          <w:kern w:val="0"/>
          <w:sz w:val="24"/>
        </w:rPr>
        <w:t xml:space="preserve">, Tachibana M, Kijima H, Kakihara Y, Hamada K, Sawada T, Kubota K. Laparoscopic treatment of paraesophageal hiatal hernia with incarceration of the pancreas and jejunum. </w:t>
      </w:r>
      <w:r w:rsidRPr="00C13450">
        <w:rPr>
          <w:rFonts w:ascii="Book Antiqua" w:hAnsi="Book Antiqua" w:cs="宋体"/>
          <w:i/>
          <w:iCs/>
          <w:kern w:val="0"/>
          <w:sz w:val="24"/>
        </w:rPr>
        <w:t>Surg Laparosc Endosc Percutan Tech</w:t>
      </w:r>
      <w:r w:rsidRPr="00C13450">
        <w:rPr>
          <w:rFonts w:ascii="Book Antiqua" w:hAnsi="Book Antiqua" w:cs="宋体"/>
          <w:kern w:val="0"/>
          <w:sz w:val="24"/>
        </w:rPr>
        <w:t xml:space="preserve"> 2007; </w:t>
      </w:r>
      <w:r w:rsidRPr="00C13450">
        <w:rPr>
          <w:rFonts w:ascii="Book Antiqua" w:hAnsi="Book Antiqua" w:cs="宋体"/>
          <w:b/>
          <w:bCs/>
          <w:kern w:val="0"/>
          <w:sz w:val="24"/>
        </w:rPr>
        <w:t>17</w:t>
      </w:r>
      <w:r w:rsidRPr="00C13450">
        <w:rPr>
          <w:rFonts w:ascii="Book Antiqua" w:hAnsi="Book Antiqua" w:cs="宋体"/>
          <w:kern w:val="0"/>
          <w:sz w:val="24"/>
        </w:rPr>
        <w:t>: 313-316 [PMID: 17710057 DOI: 10.1097/SLE.0b013e318059bf509]</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16 </w:t>
      </w:r>
      <w:r w:rsidRPr="00C13450">
        <w:rPr>
          <w:rFonts w:ascii="Book Antiqua" w:hAnsi="Book Antiqua" w:cs="宋体"/>
          <w:b/>
          <w:bCs/>
          <w:kern w:val="0"/>
          <w:sz w:val="24"/>
        </w:rPr>
        <w:t>Coughlin M</w:t>
      </w:r>
      <w:r w:rsidRPr="00C13450">
        <w:rPr>
          <w:rFonts w:ascii="Book Antiqua" w:hAnsi="Book Antiqua" w:cs="宋体"/>
          <w:kern w:val="0"/>
          <w:sz w:val="24"/>
        </w:rPr>
        <w:t xml:space="preserve">, Fanous M, Velanovich V. Herniated pancreatic body within a paraesophageal hernia. </w:t>
      </w:r>
      <w:r w:rsidRPr="00C13450">
        <w:rPr>
          <w:rFonts w:ascii="Book Antiqua" w:hAnsi="Book Antiqua" w:cs="宋体"/>
          <w:i/>
          <w:iCs/>
          <w:kern w:val="0"/>
          <w:sz w:val="24"/>
        </w:rPr>
        <w:t>World J Gastrointest Surg</w:t>
      </w:r>
      <w:r w:rsidRPr="00C13450">
        <w:rPr>
          <w:rFonts w:ascii="Book Antiqua" w:hAnsi="Book Antiqua" w:cs="宋体"/>
          <w:kern w:val="0"/>
          <w:sz w:val="24"/>
        </w:rPr>
        <w:t xml:space="preserve"> 2011; </w:t>
      </w:r>
      <w:r w:rsidRPr="00C13450">
        <w:rPr>
          <w:rFonts w:ascii="Book Antiqua" w:hAnsi="Book Antiqua" w:cs="宋体"/>
          <w:b/>
          <w:bCs/>
          <w:kern w:val="0"/>
          <w:sz w:val="24"/>
        </w:rPr>
        <w:t>3</w:t>
      </w:r>
      <w:r w:rsidRPr="00C13450">
        <w:rPr>
          <w:rFonts w:ascii="Book Antiqua" w:hAnsi="Book Antiqua" w:cs="宋体"/>
          <w:kern w:val="0"/>
          <w:sz w:val="24"/>
        </w:rPr>
        <w:t>: 29-30 [PMID: 21394323 DOI: 10.4240/wjgs.v3.i2.29]</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17 </w:t>
      </w:r>
      <w:r w:rsidRPr="00C13450">
        <w:rPr>
          <w:rFonts w:ascii="Book Antiqua" w:hAnsi="Book Antiqua" w:cs="宋体"/>
          <w:b/>
          <w:bCs/>
          <w:kern w:val="0"/>
          <w:sz w:val="24"/>
        </w:rPr>
        <w:t>Skinner DB</w:t>
      </w:r>
      <w:r w:rsidRPr="00C13450">
        <w:rPr>
          <w:rFonts w:ascii="Book Antiqua" w:hAnsi="Book Antiqua" w:cs="宋体"/>
          <w:kern w:val="0"/>
          <w:sz w:val="24"/>
        </w:rPr>
        <w:t xml:space="preserve">, Belsey RH. Surgical management of esophageal reflux and hiatus hernia. Long-term results with 1,030 patients. </w:t>
      </w:r>
      <w:r w:rsidRPr="00C13450">
        <w:rPr>
          <w:rFonts w:ascii="Book Antiqua" w:hAnsi="Book Antiqua" w:cs="宋体"/>
          <w:i/>
          <w:iCs/>
          <w:kern w:val="0"/>
          <w:sz w:val="24"/>
        </w:rPr>
        <w:t>J Thorac Cardiovasc Surg</w:t>
      </w:r>
      <w:r w:rsidRPr="00C13450">
        <w:rPr>
          <w:rFonts w:ascii="Book Antiqua" w:hAnsi="Book Antiqua" w:cs="宋体"/>
          <w:kern w:val="0"/>
          <w:sz w:val="24"/>
        </w:rPr>
        <w:t xml:space="preserve"> 1967; </w:t>
      </w:r>
      <w:r w:rsidRPr="00C13450">
        <w:rPr>
          <w:rFonts w:ascii="Book Antiqua" w:hAnsi="Book Antiqua" w:cs="宋体"/>
          <w:b/>
          <w:bCs/>
          <w:kern w:val="0"/>
          <w:sz w:val="24"/>
        </w:rPr>
        <w:t>53</w:t>
      </w:r>
      <w:r w:rsidRPr="00C13450">
        <w:rPr>
          <w:rFonts w:ascii="Book Antiqua" w:hAnsi="Book Antiqua" w:cs="宋体"/>
          <w:kern w:val="0"/>
          <w:sz w:val="24"/>
        </w:rPr>
        <w:t>: 33-54 [PMID: 5333620]</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18 </w:t>
      </w:r>
      <w:r w:rsidRPr="00C13450">
        <w:rPr>
          <w:rFonts w:ascii="Book Antiqua" w:hAnsi="Book Antiqua" w:cs="宋体"/>
          <w:b/>
          <w:bCs/>
          <w:kern w:val="0"/>
          <w:sz w:val="24"/>
        </w:rPr>
        <w:t>Hill LD</w:t>
      </w:r>
      <w:r w:rsidRPr="00C13450">
        <w:rPr>
          <w:rFonts w:ascii="Book Antiqua" w:hAnsi="Book Antiqua" w:cs="宋体"/>
          <w:kern w:val="0"/>
          <w:sz w:val="24"/>
        </w:rPr>
        <w:t xml:space="preserve">, Tobias JA. Paraesophageal hernia. </w:t>
      </w:r>
      <w:r w:rsidRPr="00C13450">
        <w:rPr>
          <w:rFonts w:ascii="Book Antiqua" w:hAnsi="Book Antiqua" w:cs="宋体"/>
          <w:i/>
          <w:iCs/>
          <w:kern w:val="0"/>
          <w:sz w:val="24"/>
        </w:rPr>
        <w:t>Arch Surg</w:t>
      </w:r>
      <w:r w:rsidRPr="00C13450">
        <w:rPr>
          <w:rFonts w:ascii="Book Antiqua" w:hAnsi="Book Antiqua" w:cs="宋体"/>
          <w:kern w:val="0"/>
          <w:sz w:val="24"/>
        </w:rPr>
        <w:t xml:space="preserve"> 1968; </w:t>
      </w:r>
      <w:r w:rsidRPr="00C13450">
        <w:rPr>
          <w:rFonts w:ascii="Book Antiqua" w:hAnsi="Book Antiqua" w:cs="宋体"/>
          <w:b/>
          <w:bCs/>
          <w:kern w:val="0"/>
          <w:sz w:val="24"/>
        </w:rPr>
        <w:t>96</w:t>
      </w:r>
      <w:r w:rsidRPr="00C13450">
        <w:rPr>
          <w:rFonts w:ascii="Book Antiqua" w:hAnsi="Book Antiqua" w:cs="宋体"/>
          <w:kern w:val="0"/>
          <w:sz w:val="24"/>
        </w:rPr>
        <w:t>: 735-744 [PMID: 5647546]</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19 </w:t>
      </w:r>
      <w:r w:rsidRPr="00C13450">
        <w:rPr>
          <w:rFonts w:ascii="Book Antiqua" w:hAnsi="Book Antiqua" w:cs="宋体"/>
          <w:b/>
          <w:bCs/>
          <w:kern w:val="0"/>
          <w:sz w:val="24"/>
        </w:rPr>
        <w:t>Stylopoulos N</w:t>
      </w:r>
      <w:r w:rsidRPr="00C13450">
        <w:rPr>
          <w:rFonts w:ascii="Book Antiqua" w:hAnsi="Book Antiqua" w:cs="宋体"/>
          <w:kern w:val="0"/>
          <w:sz w:val="24"/>
        </w:rPr>
        <w:t xml:space="preserve">, Gazelle GS, Rattner DW. Paraesophageal hernias: operation or observation? </w:t>
      </w:r>
      <w:r w:rsidRPr="00C13450">
        <w:rPr>
          <w:rFonts w:ascii="Book Antiqua" w:hAnsi="Book Antiqua" w:cs="宋体"/>
          <w:i/>
          <w:iCs/>
          <w:kern w:val="0"/>
          <w:sz w:val="24"/>
        </w:rPr>
        <w:t>Ann Surg</w:t>
      </w:r>
      <w:r w:rsidRPr="00C13450">
        <w:rPr>
          <w:rFonts w:ascii="Book Antiqua" w:hAnsi="Book Antiqua" w:cs="宋体"/>
          <w:kern w:val="0"/>
          <w:sz w:val="24"/>
        </w:rPr>
        <w:t xml:space="preserve"> 2002; </w:t>
      </w:r>
      <w:r w:rsidRPr="00C13450">
        <w:rPr>
          <w:rFonts w:ascii="Book Antiqua" w:hAnsi="Book Antiqua" w:cs="宋体"/>
          <w:b/>
          <w:bCs/>
          <w:kern w:val="0"/>
          <w:sz w:val="24"/>
        </w:rPr>
        <w:t>236</w:t>
      </w:r>
      <w:r w:rsidRPr="00C13450">
        <w:rPr>
          <w:rFonts w:ascii="Book Antiqua" w:hAnsi="Book Antiqua" w:cs="宋体"/>
          <w:kern w:val="0"/>
          <w:sz w:val="24"/>
        </w:rPr>
        <w:t>: 492-500; discussion 500-1 [PMID: 12368678 DOI: 10.1097/01.SLA.0000029000.06861.17]</w:t>
      </w:r>
    </w:p>
    <w:p w:rsidR="00DF44F1" w:rsidRPr="00C13450" w:rsidRDefault="00DF44F1" w:rsidP="00C13450">
      <w:pPr>
        <w:widowControl/>
        <w:jc w:val="left"/>
        <w:rPr>
          <w:rFonts w:ascii="Book Antiqua" w:hAnsi="Book Antiqua" w:cs="宋体"/>
          <w:kern w:val="0"/>
          <w:sz w:val="24"/>
        </w:rPr>
      </w:pPr>
      <w:r w:rsidRPr="00C13450">
        <w:rPr>
          <w:rFonts w:ascii="Book Antiqua" w:hAnsi="Book Antiqua" w:cs="宋体"/>
          <w:kern w:val="0"/>
          <w:sz w:val="24"/>
        </w:rPr>
        <w:t xml:space="preserve">20 </w:t>
      </w:r>
      <w:r w:rsidRPr="00C13450">
        <w:rPr>
          <w:rFonts w:ascii="Book Antiqua" w:hAnsi="Book Antiqua" w:cs="宋体"/>
          <w:b/>
          <w:bCs/>
          <w:kern w:val="0"/>
          <w:sz w:val="24"/>
        </w:rPr>
        <w:t>Gremmels JM</w:t>
      </w:r>
      <w:r w:rsidRPr="00C13450">
        <w:rPr>
          <w:rFonts w:ascii="Book Antiqua" w:hAnsi="Book Antiqua" w:cs="宋体"/>
          <w:kern w:val="0"/>
          <w:sz w:val="24"/>
        </w:rPr>
        <w:t xml:space="preserve">, Broome DR, Fisher KL. Pancreatic herniation through the gastroesophageal hiatus: magnetic resonance imaging, magnetic resonance </w:t>
      </w:r>
      <w:r w:rsidRPr="00C13450">
        <w:rPr>
          <w:rFonts w:ascii="Book Antiqua" w:hAnsi="Book Antiqua" w:cs="宋体"/>
          <w:kern w:val="0"/>
          <w:sz w:val="24"/>
        </w:rPr>
        <w:lastRenderedPageBreak/>
        <w:t xml:space="preserve">cholangiopancreatography, and computed tomography evaluation. </w:t>
      </w:r>
      <w:r w:rsidRPr="00C13450">
        <w:rPr>
          <w:rFonts w:ascii="Book Antiqua" w:hAnsi="Book Antiqua" w:cs="宋体"/>
          <w:i/>
          <w:iCs/>
          <w:kern w:val="0"/>
          <w:sz w:val="24"/>
        </w:rPr>
        <w:t>J Comput Assist Tomogr</w:t>
      </w:r>
      <w:r w:rsidRPr="00C13450">
        <w:rPr>
          <w:rFonts w:ascii="Book Antiqua" w:hAnsi="Book Antiqua" w:cs="宋体"/>
          <w:kern w:val="0"/>
          <w:sz w:val="24"/>
        </w:rPr>
        <w:t xml:space="preserve"> </w:t>
      </w:r>
      <w:r>
        <w:rPr>
          <w:rFonts w:ascii="Book Antiqua" w:hAnsi="Book Antiqua" w:cs="宋体"/>
          <w:kern w:val="0"/>
          <w:sz w:val="24"/>
        </w:rPr>
        <w:t>2003</w:t>
      </w:r>
      <w:r w:rsidRPr="00C13450">
        <w:rPr>
          <w:rFonts w:ascii="Book Antiqua" w:hAnsi="Book Antiqua" w:cs="宋体"/>
          <w:kern w:val="0"/>
          <w:sz w:val="24"/>
        </w:rPr>
        <w:t xml:space="preserve">; </w:t>
      </w:r>
      <w:r w:rsidRPr="00C13450">
        <w:rPr>
          <w:rFonts w:ascii="Book Antiqua" w:hAnsi="Book Antiqua" w:cs="宋体"/>
          <w:b/>
          <w:bCs/>
          <w:kern w:val="0"/>
          <w:sz w:val="24"/>
        </w:rPr>
        <w:t>27</w:t>
      </w:r>
      <w:r w:rsidRPr="00C13450">
        <w:rPr>
          <w:rFonts w:ascii="Book Antiqua" w:hAnsi="Book Antiqua" w:cs="宋体"/>
          <w:kern w:val="0"/>
          <w:sz w:val="24"/>
        </w:rPr>
        <w:t>: 616-618 [PMID: 12886153]</w:t>
      </w:r>
    </w:p>
    <w:p w:rsidR="00DF44F1" w:rsidRPr="00C13450" w:rsidRDefault="00DF44F1" w:rsidP="0033257B">
      <w:pPr>
        <w:widowControl/>
        <w:autoSpaceDE w:val="0"/>
        <w:autoSpaceDN w:val="0"/>
        <w:adjustRightInd w:val="0"/>
        <w:snapToGrid w:val="0"/>
        <w:spacing w:line="360" w:lineRule="auto"/>
        <w:ind w:left="340" w:hanging="340"/>
        <w:rPr>
          <w:rFonts w:ascii="Book Antiqua" w:hAnsi="Book Antiqua"/>
          <w:sz w:val="24"/>
        </w:rPr>
      </w:pPr>
    </w:p>
    <w:p w:rsidR="00DF44F1" w:rsidRPr="00C56046" w:rsidRDefault="00DF44F1" w:rsidP="00927D36">
      <w:pPr>
        <w:tabs>
          <w:tab w:val="left" w:pos="180"/>
          <w:tab w:val="left" w:pos="360"/>
        </w:tabs>
        <w:adjustRightInd w:val="0"/>
        <w:snapToGrid w:val="0"/>
        <w:spacing w:line="360" w:lineRule="auto"/>
        <w:jc w:val="right"/>
        <w:rPr>
          <w:rFonts w:ascii="Book Antiqua" w:hAnsi="Book Antiqua" w:cs="Tahoma"/>
          <w:b/>
          <w:color w:val="000000"/>
          <w:sz w:val="24"/>
        </w:rPr>
      </w:pPr>
      <w:bookmarkStart w:id="319" w:name="OLE_LINK874"/>
      <w:bookmarkStart w:id="320" w:name="OLE_LINK875"/>
      <w:bookmarkStart w:id="321" w:name="OLE_LINK347"/>
      <w:bookmarkStart w:id="322" w:name="OLE_LINK384"/>
      <w:bookmarkStart w:id="323" w:name="OLE_LINK557"/>
      <w:bookmarkStart w:id="324" w:name="OLE_LINK558"/>
      <w:bookmarkStart w:id="325" w:name="OLE_LINK631"/>
      <w:bookmarkStart w:id="326" w:name="OLE_LINK632"/>
      <w:bookmarkStart w:id="327" w:name="OLE_LINK386"/>
      <w:bookmarkStart w:id="328" w:name="OLE_LINK431"/>
      <w:bookmarkStart w:id="329" w:name="OLE_LINK564"/>
      <w:bookmarkStart w:id="330" w:name="OLE_LINK493"/>
      <w:bookmarkStart w:id="331" w:name="OLE_LINK442"/>
      <w:bookmarkStart w:id="332" w:name="OLE_LINK551"/>
      <w:bookmarkStart w:id="333" w:name="OLE_LINK668"/>
      <w:bookmarkStart w:id="334" w:name="OLE_LINK669"/>
      <w:bookmarkStart w:id="335" w:name="OLE_LINK725"/>
      <w:bookmarkStart w:id="336" w:name="OLE_LINK489"/>
      <w:bookmarkStart w:id="337" w:name="OLE_LINK602"/>
      <w:bookmarkStart w:id="338" w:name="OLE_LINK658"/>
      <w:bookmarkStart w:id="339" w:name="OLE_LINK747"/>
      <w:bookmarkStart w:id="340" w:name="OLE_LINK897"/>
      <w:bookmarkStart w:id="341" w:name="OLE_LINK1138"/>
      <w:bookmarkStart w:id="342" w:name="OLE_LINK1139"/>
      <w:bookmarkStart w:id="343" w:name="OLE_LINK882"/>
      <w:bookmarkStart w:id="344" w:name="OLE_LINK1095"/>
      <w:bookmarkStart w:id="345" w:name="OLE_LINK1305"/>
      <w:bookmarkStart w:id="346" w:name="OLE_LINK1390"/>
      <w:bookmarkStart w:id="347" w:name="OLE_LINK964"/>
      <w:bookmarkStart w:id="348" w:name="OLE_LINK1190"/>
      <w:bookmarkStart w:id="349" w:name="OLE_LINK1314"/>
      <w:bookmarkStart w:id="350" w:name="OLE_LINK1031"/>
      <w:bookmarkStart w:id="351" w:name="OLE_LINK1092"/>
      <w:bookmarkStart w:id="352" w:name="OLE_LINK1258"/>
      <w:bookmarkStart w:id="353" w:name="OLE_LINK1259"/>
      <w:bookmarkStart w:id="354" w:name="OLE_LINK1337"/>
      <w:bookmarkStart w:id="355" w:name="OLE_LINK1338"/>
      <w:bookmarkStart w:id="356" w:name="OLE_LINK1363"/>
      <w:bookmarkStart w:id="357" w:name="OLE_LINK1364"/>
      <w:bookmarkStart w:id="358" w:name="OLE_LINK86"/>
      <w:bookmarkStart w:id="359" w:name="OLE_LINK1595"/>
      <w:bookmarkStart w:id="360" w:name="OLE_LINK1613"/>
      <w:bookmarkStart w:id="361" w:name="OLE_LINK1708"/>
      <w:bookmarkStart w:id="362" w:name="OLE_LINK1774"/>
      <w:bookmarkStart w:id="363" w:name="OLE_LINK1872"/>
      <w:bookmarkStart w:id="364" w:name="OLE_LINK1492"/>
      <w:bookmarkStart w:id="365" w:name="OLE_LINK1497"/>
      <w:bookmarkStart w:id="366" w:name="OLE_LINK1498"/>
      <w:bookmarkStart w:id="367" w:name="OLE_LINK1589"/>
      <w:bookmarkStart w:id="368" w:name="OLE_LINK1666"/>
      <w:bookmarkStart w:id="369" w:name="OLE_LINK1752"/>
      <w:bookmarkStart w:id="370" w:name="OLE_LINK1616"/>
      <w:bookmarkStart w:id="371" w:name="OLE_LINK1696"/>
      <w:bookmarkStart w:id="372" w:name="OLE_LINK1855"/>
      <w:bookmarkStart w:id="373" w:name="OLE_LINK1573"/>
      <w:bookmarkStart w:id="374" w:name="OLE_LINK1574"/>
      <w:bookmarkStart w:id="375" w:name="OLE_LINK1575"/>
      <w:bookmarkStart w:id="376" w:name="OLE_LINK1739"/>
      <w:bookmarkStart w:id="377" w:name="OLE_LINK1761"/>
      <w:bookmarkStart w:id="378" w:name="OLE_LINK1743"/>
      <w:bookmarkStart w:id="379" w:name="OLE_LINK1841"/>
      <w:bookmarkStart w:id="380" w:name="OLE_LINK1858"/>
      <w:bookmarkStart w:id="381" w:name="OLE_LINK1890"/>
      <w:bookmarkStart w:id="382" w:name="OLE_LINK1980"/>
      <w:bookmarkStart w:id="383" w:name="OLE_LINK1883"/>
      <w:bookmarkStart w:id="384" w:name="OLE_LINK1935"/>
      <w:bookmarkStart w:id="385" w:name="OLE_LINK1936"/>
      <w:r w:rsidRPr="00C56046">
        <w:rPr>
          <w:rFonts w:ascii="Book Antiqua" w:hAnsi="Book Antiqua" w:cs="Tahoma"/>
          <w:b/>
          <w:color w:val="000000"/>
          <w:sz w:val="24"/>
        </w:rPr>
        <w:t>P-Reviewer</w:t>
      </w:r>
      <w:r>
        <w:rPr>
          <w:rFonts w:ascii="Book Antiqua" w:hAnsi="Book Antiqua" w:cs="Tahoma"/>
          <w:b/>
          <w:color w:val="000000"/>
          <w:sz w:val="24"/>
        </w:rPr>
        <w:t xml:space="preserve">s </w:t>
      </w:r>
      <w:r w:rsidRPr="00927D36">
        <w:rPr>
          <w:rFonts w:ascii="Book Antiqua" w:hAnsi="Book Antiqua" w:cs="Tahoma"/>
          <w:color w:val="000000"/>
          <w:sz w:val="24"/>
        </w:rPr>
        <w:t xml:space="preserve">Tseng YL, Feo CV </w:t>
      </w:r>
      <w:r w:rsidRPr="00C56046">
        <w:rPr>
          <w:rFonts w:ascii="Book Antiqua" w:hAnsi="Book Antiqua" w:cs="Tahoma"/>
          <w:b/>
          <w:color w:val="000000"/>
          <w:sz w:val="24"/>
        </w:rPr>
        <w:t xml:space="preserve">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    E-Edito</w:t>
      </w:r>
      <w:bookmarkEnd w:id="319"/>
      <w:bookmarkEnd w:id="320"/>
      <w:r w:rsidRPr="00C56046">
        <w:rPr>
          <w:rFonts w:ascii="Book Antiqua" w:hAnsi="Book Antiqua" w:cs="Tahoma"/>
          <w:b/>
          <w:color w:val="000000"/>
          <w:sz w:val="24"/>
        </w:rPr>
        <w:t>r</w:t>
      </w: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12480F" w:rsidP="0033257B">
      <w:pPr>
        <w:adjustRightInd w:val="0"/>
        <w:snapToGrid w:val="0"/>
        <w:spacing w:line="360" w:lineRule="auto"/>
        <w:rPr>
          <w:rFonts w:ascii="Book Antiqua" w:hAnsi="Book Antiqua"/>
          <w:sz w:val="24"/>
        </w:rPr>
      </w:pPr>
      <w:r>
        <w:rPr>
          <w:rFonts w:ascii="Book Antiqua" w:hAnsi="Book Antiqua"/>
          <w:noProof/>
          <w:sz w:val="24"/>
        </w:rPr>
        <w:drawing>
          <wp:inline distT="0" distB="0" distL="0" distR="0">
            <wp:extent cx="5764530" cy="6020435"/>
            <wp:effectExtent l="0" t="0" r="7620" b="0"/>
            <wp:docPr id="1" name="Grafik 5" descr="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igure 1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530" cy="6020435"/>
                    </a:xfrm>
                    <a:prstGeom prst="rect">
                      <a:avLst/>
                    </a:prstGeom>
                    <a:noFill/>
                    <a:ln>
                      <a:noFill/>
                    </a:ln>
                  </pic:spPr>
                </pic:pic>
              </a:graphicData>
            </a:graphic>
          </wp:inline>
        </w:drawing>
      </w:r>
    </w:p>
    <w:p w:rsidR="00DF44F1" w:rsidRPr="00C13450" w:rsidRDefault="0012480F" w:rsidP="0033257B">
      <w:pPr>
        <w:adjustRightInd w:val="0"/>
        <w:snapToGrid w:val="0"/>
        <w:spacing w:line="360" w:lineRule="auto"/>
        <w:rPr>
          <w:rFonts w:ascii="Book Antiqua" w:hAnsi="Book Antiqua"/>
          <w:sz w:val="24"/>
        </w:rPr>
      </w:pPr>
      <w:r>
        <w:rPr>
          <w:rFonts w:ascii="Book Antiqua" w:hAnsi="Book Antiqua"/>
          <w:noProof/>
          <w:sz w:val="24"/>
        </w:rPr>
        <w:lastRenderedPageBreak/>
        <w:drawing>
          <wp:inline distT="0" distB="0" distL="0" distR="0">
            <wp:extent cx="5340350" cy="5947410"/>
            <wp:effectExtent l="0" t="0" r="0" b="0"/>
            <wp:docPr id="2" name="Grafik 6" descr="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Figure 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0350" cy="5947410"/>
                    </a:xfrm>
                    <a:prstGeom prst="rect">
                      <a:avLst/>
                    </a:prstGeom>
                    <a:noFill/>
                    <a:ln>
                      <a:noFill/>
                    </a:ln>
                  </pic:spPr>
                </pic:pic>
              </a:graphicData>
            </a:graphic>
          </wp:inline>
        </w:drawing>
      </w:r>
    </w:p>
    <w:p w:rsidR="00DF44F1" w:rsidRPr="00C13450" w:rsidRDefault="00DF44F1" w:rsidP="00CF48AC">
      <w:pPr>
        <w:adjustRightInd w:val="0"/>
        <w:snapToGrid w:val="0"/>
        <w:spacing w:line="360" w:lineRule="auto"/>
        <w:rPr>
          <w:rFonts w:ascii="Book Antiqua" w:hAnsi="Book Antiqua"/>
          <w:sz w:val="24"/>
        </w:rPr>
      </w:pPr>
      <w:r w:rsidRPr="00C13450">
        <w:rPr>
          <w:rFonts w:ascii="Book Antiqua" w:hAnsi="Book Antiqua"/>
          <w:b/>
          <w:sz w:val="24"/>
        </w:rPr>
        <w:t>Figure 1 Computed tomographic scan obtained after oral administration of contrast.</w:t>
      </w:r>
      <w:r w:rsidRPr="00C13450">
        <w:rPr>
          <w:rFonts w:ascii="Book Antiqua" w:hAnsi="Book Antiqua"/>
          <w:sz w:val="24"/>
        </w:rPr>
        <w:t xml:space="preserve"> A: Frontal plane; B: Sagittal plane. The duodenum (D) lies dorsal to the atrial chambers. The descending duodenum is in immediate proximity to the left atrial (LA) chamber. The diaphragm is pointed out as the red dashed line. P: Head of pancreas; CBD: Common bile duct; STO: Stomach; DB: Duodenal bulb; DD: Descending duodenum; HD: Horizontal duodenum; AD: Ascending duodenum; AO: Aorta. The diaphragm is pointed out as the red dashed line. </w:t>
      </w:r>
    </w:p>
    <w:p w:rsidR="00DF44F1" w:rsidRPr="00C13450" w:rsidRDefault="00DF44F1" w:rsidP="00CF48AC">
      <w:pPr>
        <w:widowControl/>
        <w:adjustRightInd w:val="0"/>
        <w:snapToGrid w:val="0"/>
        <w:spacing w:line="360" w:lineRule="auto"/>
        <w:rPr>
          <w:rFonts w:ascii="Book Antiqua" w:hAnsi="Book Antiqua"/>
          <w:sz w:val="24"/>
        </w:rPr>
      </w:pPr>
    </w:p>
    <w:p w:rsidR="00DF44F1" w:rsidRPr="00C13450" w:rsidRDefault="00DF44F1" w:rsidP="0033257B">
      <w:pPr>
        <w:widowControl/>
        <w:adjustRightInd w:val="0"/>
        <w:snapToGrid w:val="0"/>
        <w:spacing w:line="360" w:lineRule="auto"/>
        <w:rPr>
          <w:rFonts w:ascii="Book Antiqua" w:hAnsi="Book Antiqua"/>
          <w:b/>
          <w:sz w:val="24"/>
        </w:rPr>
      </w:pPr>
      <w:r w:rsidRPr="00C13450">
        <w:rPr>
          <w:rFonts w:ascii="Book Antiqua" w:hAnsi="Book Antiqua"/>
          <w:b/>
          <w:sz w:val="24"/>
        </w:rPr>
        <w:br w:type="page"/>
      </w:r>
    </w:p>
    <w:p w:rsidR="00DF44F1" w:rsidRPr="00C13450" w:rsidRDefault="0012480F" w:rsidP="0033257B">
      <w:pPr>
        <w:adjustRightInd w:val="0"/>
        <w:snapToGrid w:val="0"/>
        <w:spacing w:line="360" w:lineRule="auto"/>
        <w:rPr>
          <w:rFonts w:ascii="Book Antiqua" w:hAnsi="Book Antiqua"/>
          <w:sz w:val="24"/>
        </w:rPr>
      </w:pPr>
      <w:r>
        <w:rPr>
          <w:rFonts w:ascii="Book Antiqua" w:hAnsi="Book Antiqua"/>
          <w:noProof/>
          <w:sz w:val="24"/>
        </w:rPr>
        <w:drawing>
          <wp:inline distT="0" distB="0" distL="0" distR="0">
            <wp:extent cx="5764530" cy="4366895"/>
            <wp:effectExtent l="0" t="0" r="7620" b="0"/>
            <wp:docPr id="3" name="Grafik 7" descr="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Figure 2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30" cy="4366895"/>
                    </a:xfrm>
                    <a:prstGeom prst="rect">
                      <a:avLst/>
                    </a:prstGeom>
                    <a:noFill/>
                    <a:ln>
                      <a:noFill/>
                    </a:ln>
                  </pic:spPr>
                </pic:pic>
              </a:graphicData>
            </a:graphic>
          </wp:inline>
        </w:drawing>
      </w:r>
    </w:p>
    <w:p w:rsidR="00DF44F1" w:rsidRPr="00C13450" w:rsidRDefault="0012480F" w:rsidP="00CF48AC">
      <w:pPr>
        <w:widowControl/>
        <w:adjustRightInd w:val="0"/>
        <w:snapToGrid w:val="0"/>
        <w:spacing w:line="360" w:lineRule="auto"/>
        <w:rPr>
          <w:rFonts w:ascii="Book Antiqua" w:hAnsi="Book Antiqua"/>
          <w:b/>
          <w:sz w:val="24"/>
        </w:rPr>
      </w:pPr>
      <w:r>
        <w:rPr>
          <w:rFonts w:ascii="Book Antiqua" w:hAnsi="Book Antiqua"/>
          <w:b/>
          <w:noProof/>
          <w:sz w:val="24"/>
        </w:rPr>
        <w:lastRenderedPageBreak/>
        <w:drawing>
          <wp:inline distT="0" distB="0" distL="0" distR="0">
            <wp:extent cx="5764530" cy="4381500"/>
            <wp:effectExtent l="0" t="0" r="7620" b="0"/>
            <wp:docPr id="4" name="Grafik 8" descr="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Figure 2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4381500"/>
                    </a:xfrm>
                    <a:prstGeom prst="rect">
                      <a:avLst/>
                    </a:prstGeom>
                    <a:noFill/>
                    <a:ln>
                      <a:noFill/>
                    </a:ln>
                  </pic:spPr>
                </pic:pic>
              </a:graphicData>
            </a:graphic>
          </wp:inline>
        </w:drawing>
      </w:r>
    </w:p>
    <w:p w:rsidR="00DF44F1" w:rsidRPr="00C13450" w:rsidRDefault="0012480F" w:rsidP="00CF48AC">
      <w:pPr>
        <w:widowControl/>
        <w:adjustRightInd w:val="0"/>
        <w:snapToGrid w:val="0"/>
        <w:spacing w:line="360" w:lineRule="auto"/>
        <w:rPr>
          <w:rFonts w:ascii="Book Antiqua" w:hAnsi="Book Antiqua"/>
          <w:b/>
          <w:sz w:val="24"/>
        </w:rPr>
      </w:pPr>
      <w:r>
        <w:rPr>
          <w:rFonts w:ascii="Book Antiqua" w:hAnsi="Book Antiqua"/>
          <w:b/>
          <w:noProof/>
          <w:sz w:val="24"/>
        </w:rPr>
        <w:lastRenderedPageBreak/>
        <w:drawing>
          <wp:inline distT="0" distB="0" distL="0" distR="0">
            <wp:extent cx="5764530" cy="4923155"/>
            <wp:effectExtent l="0" t="0" r="7620" b="0"/>
            <wp:docPr id="5" name="Grafik 9" descr="Figure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Figure 2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530" cy="4923155"/>
                    </a:xfrm>
                    <a:prstGeom prst="rect">
                      <a:avLst/>
                    </a:prstGeom>
                    <a:noFill/>
                    <a:ln>
                      <a:noFill/>
                    </a:ln>
                  </pic:spPr>
                </pic:pic>
              </a:graphicData>
            </a:graphic>
          </wp:inline>
        </w:drawing>
      </w:r>
    </w:p>
    <w:p w:rsidR="00DF44F1" w:rsidRPr="00C13450" w:rsidRDefault="00DF44F1" w:rsidP="00F655D7">
      <w:pPr>
        <w:widowControl/>
        <w:adjustRightInd w:val="0"/>
        <w:snapToGrid w:val="0"/>
        <w:spacing w:line="360" w:lineRule="auto"/>
        <w:rPr>
          <w:rFonts w:ascii="Book Antiqua" w:hAnsi="Book Antiqua"/>
          <w:sz w:val="24"/>
          <w:lang w:val="de-AT"/>
        </w:rPr>
      </w:pPr>
      <w:r w:rsidRPr="00C13450">
        <w:rPr>
          <w:rFonts w:ascii="Book Antiqua" w:hAnsi="Book Antiqua"/>
          <w:b/>
          <w:sz w:val="24"/>
        </w:rPr>
        <w:t xml:space="preserve">Figure 2 Intraoperative findings. </w:t>
      </w:r>
      <w:r w:rsidRPr="00C13450">
        <w:rPr>
          <w:rFonts w:ascii="Book Antiqua" w:hAnsi="Book Antiqua"/>
          <w:sz w:val="24"/>
        </w:rPr>
        <w:t xml:space="preserve">A: After midline laparotomy; B: After reposition of the hiatal content; C: After closure with non-absorbable mesh. </w:t>
      </w:r>
      <w:bookmarkStart w:id="386" w:name="OLE_LINK1939"/>
      <w:bookmarkStart w:id="387" w:name="OLE_LINK1940"/>
      <w:r w:rsidRPr="00C13450">
        <w:rPr>
          <w:rFonts w:ascii="Book Antiqua" w:hAnsi="Book Antiqua"/>
          <w:sz w:val="24"/>
        </w:rPr>
        <w:t>Asterisk</w:t>
      </w:r>
      <w:bookmarkEnd w:id="386"/>
      <w:bookmarkEnd w:id="387"/>
      <w:r w:rsidRPr="00C13450">
        <w:rPr>
          <w:rFonts w:ascii="Book Antiqua" w:hAnsi="Book Antiqua"/>
          <w:sz w:val="24"/>
        </w:rPr>
        <w:t xml:space="preserve"> </w:t>
      </w:r>
      <w:bookmarkStart w:id="388" w:name="OLE_LINK1941"/>
      <w:bookmarkStart w:id="389" w:name="OLE_LINK1942"/>
      <w:r w:rsidRPr="00C13450">
        <w:rPr>
          <w:rFonts w:ascii="Book Antiqua" w:hAnsi="Book Antiqua"/>
          <w:sz w:val="24"/>
        </w:rPr>
        <w:t>indicate</w:t>
      </w:r>
      <w:bookmarkEnd w:id="388"/>
      <w:bookmarkEnd w:id="389"/>
      <w:r w:rsidRPr="00C13450">
        <w:rPr>
          <w:rFonts w:ascii="Book Antiqua" w:hAnsi="Book Antiqua"/>
          <w:sz w:val="24"/>
        </w:rPr>
        <w:t>s constriction of the common bile duct; Asterisks indicate closure of the esophageal hiatus with mesh and non-absorbable sutures.</w:t>
      </w:r>
      <w:r w:rsidRPr="00C13450">
        <w:rPr>
          <w:rFonts w:ascii="Book Antiqua" w:hAnsi="Book Antiqua"/>
          <w:sz w:val="24"/>
          <w:lang w:val="de-AT"/>
        </w:rPr>
        <w:t xml:space="preserve"> </w:t>
      </w:r>
      <w:r w:rsidRPr="00C13450">
        <w:rPr>
          <w:rFonts w:ascii="Book Antiqua" w:hAnsi="Book Antiqua"/>
          <w:sz w:val="24"/>
        </w:rPr>
        <w:t>STO: Stomach</w:t>
      </w:r>
      <w:r w:rsidRPr="00C13450">
        <w:rPr>
          <w:rFonts w:ascii="Book Antiqua" w:hAnsi="Book Antiqua"/>
          <w:sz w:val="24"/>
          <w:lang w:val="de-AT"/>
        </w:rPr>
        <w:t>;</w:t>
      </w:r>
      <w:r w:rsidRPr="00C13450">
        <w:rPr>
          <w:rFonts w:ascii="Book Antiqua" w:hAnsi="Book Antiqua"/>
          <w:sz w:val="24"/>
        </w:rPr>
        <w:t xml:space="preserve"> PY: Pylorus</w:t>
      </w:r>
      <w:r w:rsidRPr="00C13450">
        <w:rPr>
          <w:rFonts w:ascii="Book Antiqua" w:hAnsi="Book Antiqua"/>
          <w:sz w:val="24"/>
          <w:lang w:val="de-AT"/>
        </w:rPr>
        <w:t>;</w:t>
      </w:r>
      <w:r w:rsidRPr="00C13450">
        <w:rPr>
          <w:rFonts w:ascii="Book Antiqua" w:hAnsi="Book Antiqua"/>
          <w:sz w:val="24"/>
        </w:rPr>
        <w:t xml:space="preserve"> J: Jejunum</w:t>
      </w:r>
      <w:r w:rsidRPr="00C13450">
        <w:rPr>
          <w:rFonts w:ascii="Book Antiqua" w:hAnsi="Book Antiqua"/>
          <w:sz w:val="24"/>
          <w:lang w:val="de-AT"/>
        </w:rPr>
        <w:t>;</w:t>
      </w:r>
      <w:r w:rsidRPr="00C13450">
        <w:rPr>
          <w:rFonts w:ascii="Book Antiqua" w:hAnsi="Book Antiqua"/>
          <w:sz w:val="24"/>
        </w:rPr>
        <w:t xml:space="preserve"> CBD: Enlarged common bile duct</w:t>
      </w:r>
      <w:r w:rsidRPr="00C13450">
        <w:rPr>
          <w:rFonts w:ascii="Book Antiqua" w:hAnsi="Book Antiqua"/>
          <w:sz w:val="24"/>
          <w:lang w:val="de-AT"/>
        </w:rPr>
        <w:t>;</w:t>
      </w:r>
      <w:r w:rsidRPr="00C13450">
        <w:rPr>
          <w:rFonts w:ascii="Book Antiqua" w:hAnsi="Book Antiqua"/>
          <w:sz w:val="24"/>
        </w:rPr>
        <w:t xml:space="preserve"> LHL: Left hepatic lobe</w:t>
      </w:r>
      <w:r w:rsidRPr="00C13450">
        <w:rPr>
          <w:rFonts w:ascii="Book Antiqua" w:hAnsi="Book Antiqua"/>
          <w:sz w:val="24"/>
          <w:lang w:val="de-AT"/>
        </w:rPr>
        <w:t>;</w:t>
      </w:r>
      <w:r w:rsidRPr="00C13450">
        <w:rPr>
          <w:rFonts w:ascii="Book Antiqua" w:hAnsi="Book Antiqua"/>
          <w:sz w:val="24"/>
        </w:rPr>
        <w:t xml:space="preserve"> P: Pancreas; </w:t>
      </w:r>
      <w:r w:rsidRPr="00C13450">
        <w:rPr>
          <w:rFonts w:ascii="Book Antiqua" w:hAnsi="Book Antiqua"/>
          <w:sz w:val="24"/>
          <w:lang w:val="de-AT"/>
        </w:rPr>
        <w:t>D: Duodenum; DIA: Diaphragm</w:t>
      </w:r>
      <w:bookmarkStart w:id="390" w:name="OLE_LINK1937"/>
      <w:bookmarkStart w:id="391" w:name="OLE_LINK1938"/>
      <w:r w:rsidRPr="00C13450">
        <w:rPr>
          <w:rFonts w:ascii="Book Antiqua" w:hAnsi="Book Antiqua"/>
          <w:sz w:val="24"/>
          <w:lang w:val="de-AT"/>
        </w:rPr>
        <w:t>;</w:t>
      </w:r>
      <w:bookmarkEnd w:id="390"/>
      <w:bookmarkEnd w:id="391"/>
      <w:r w:rsidRPr="00C13450">
        <w:rPr>
          <w:rFonts w:ascii="Book Antiqua" w:hAnsi="Book Antiqua"/>
          <w:sz w:val="24"/>
          <w:lang w:val="de-AT"/>
        </w:rPr>
        <w:t xml:space="preserve"> </w:t>
      </w:r>
      <w:r w:rsidRPr="00C13450">
        <w:rPr>
          <w:rFonts w:ascii="Book Antiqua" w:hAnsi="Book Antiqua"/>
          <w:sz w:val="24"/>
        </w:rPr>
        <w:t xml:space="preserve">GEJ: Gastroesophageal Junction. </w:t>
      </w:r>
    </w:p>
    <w:p w:rsidR="00DF44F1" w:rsidRPr="00C13450" w:rsidRDefault="00DF44F1" w:rsidP="0033257B">
      <w:pPr>
        <w:adjustRightInd w:val="0"/>
        <w:snapToGrid w:val="0"/>
        <w:spacing w:line="360" w:lineRule="auto"/>
        <w:rPr>
          <w:rFonts w:ascii="Book Antiqua" w:hAnsi="Book Antiqua"/>
          <w:sz w:val="24"/>
        </w:rPr>
        <w:sectPr w:rsidR="00DF44F1" w:rsidRPr="00C13450" w:rsidSect="0033257B">
          <w:type w:val="continuous"/>
          <w:pgSz w:w="11906" w:h="16838"/>
          <w:pgMar w:top="1417" w:right="1417" w:bottom="1134" w:left="1417" w:header="708" w:footer="708" w:gutter="0"/>
          <w:cols w:space="708"/>
          <w:docGrid w:linePitch="360"/>
        </w:sect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pPr>
    </w:p>
    <w:p w:rsidR="00DF44F1" w:rsidRPr="00C13450" w:rsidRDefault="00DF44F1" w:rsidP="0033257B">
      <w:pPr>
        <w:widowControl/>
        <w:adjustRightInd w:val="0"/>
        <w:snapToGrid w:val="0"/>
        <w:spacing w:line="360" w:lineRule="auto"/>
        <w:rPr>
          <w:rFonts w:ascii="Book Antiqua" w:hAnsi="Book Antiqua"/>
          <w:b/>
          <w:sz w:val="24"/>
        </w:rPr>
        <w:sectPr w:rsidR="00DF44F1" w:rsidRPr="00C13450" w:rsidSect="0033257B">
          <w:type w:val="continuous"/>
          <w:pgSz w:w="11906" w:h="16838"/>
          <w:pgMar w:top="1417" w:right="1417" w:bottom="1134" w:left="1417" w:header="708" w:footer="708" w:gutter="0"/>
          <w:cols w:space="708"/>
          <w:docGrid w:linePitch="360"/>
        </w:sectPr>
      </w:pPr>
    </w:p>
    <w:p w:rsidR="00DF44F1" w:rsidRPr="00C13450" w:rsidRDefault="00DF44F1" w:rsidP="0033257B">
      <w:pPr>
        <w:widowControl/>
        <w:adjustRightInd w:val="0"/>
        <w:snapToGrid w:val="0"/>
        <w:spacing w:line="360" w:lineRule="auto"/>
        <w:rPr>
          <w:rFonts w:ascii="Book Antiqua" w:hAnsi="Book Antiqua"/>
          <w:b/>
          <w:sz w:val="24"/>
        </w:rPr>
      </w:pPr>
      <w:r w:rsidRPr="00C13450">
        <w:rPr>
          <w:rFonts w:ascii="Book Antiqua" w:hAnsi="Book Antiqua"/>
          <w:b/>
          <w:sz w:val="24"/>
        </w:rPr>
        <w:lastRenderedPageBreak/>
        <w:t>Table 1 Review of the literature: Transhiatal herniation of the pancreas</w:t>
      </w:r>
    </w:p>
    <w:tbl>
      <w:tblPr>
        <w:tblW w:w="0" w:type="auto"/>
        <w:tblInd w:w="-624" w:type="dxa"/>
        <w:tblCellMar>
          <w:left w:w="70" w:type="dxa"/>
          <w:right w:w="70" w:type="dxa"/>
        </w:tblCellMar>
        <w:tblLook w:val="00A0" w:firstRow="1" w:lastRow="0" w:firstColumn="1" w:lastColumn="0" w:noHBand="0" w:noVBand="0"/>
      </w:tblPr>
      <w:tblGrid>
        <w:gridCol w:w="2577"/>
        <w:gridCol w:w="1027"/>
        <w:gridCol w:w="527"/>
        <w:gridCol w:w="1815"/>
        <w:gridCol w:w="1980"/>
        <w:gridCol w:w="1393"/>
        <w:gridCol w:w="1420"/>
        <w:gridCol w:w="1594"/>
        <w:gridCol w:w="1711"/>
        <w:gridCol w:w="1007"/>
      </w:tblGrid>
      <w:tr w:rsidR="00DF44F1" w:rsidRPr="00C13450" w:rsidTr="00C13450">
        <w:trPr>
          <w:trHeight w:val="636"/>
        </w:trPr>
        <w:tc>
          <w:tcPr>
            <w:tcW w:w="0" w:type="auto"/>
            <w:tcBorders>
              <w:top w:val="single" w:sz="8" w:space="0" w:color="auto"/>
              <w:left w:val="nil"/>
              <w:bottom w:val="single" w:sz="8" w:space="0" w:color="auto"/>
              <w:right w:val="nil"/>
            </w:tcBorders>
            <w:vAlign w:val="center"/>
          </w:tcPr>
          <w:p w:rsidR="00DF44F1" w:rsidRPr="00C13450" w:rsidRDefault="00DF44F1" w:rsidP="0033257B">
            <w:pPr>
              <w:widowControl/>
              <w:adjustRightInd w:val="0"/>
              <w:snapToGrid w:val="0"/>
              <w:spacing w:line="360" w:lineRule="auto"/>
              <w:rPr>
                <w:rFonts w:ascii="Book Antiqua" w:hAnsi="Book Antiqua"/>
                <w:b/>
                <w:bCs/>
                <w:color w:val="000000"/>
                <w:kern w:val="0"/>
                <w:sz w:val="24"/>
                <w:lang w:val="de-AT" w:eastAsia="de-AT"/>
              </w:rPr>
            </w:pPr>
            <w:r w:rsidRPr="00C13450">
              <w:rPr>
                <w:rFonts w:ascii="Book Antiqua" w:hAnsi="Book Antiqua"/>
                <w:b/>
                <w:bCs/>
                <w:color w:val="000000"/>
                <w:kern w:val="0"/>
                <w:sz w:val="24"/>
                <w:lang w:val="de-DE" w:eastAsia="de-AT"/>
              </w:rPr>
              <w:t>Author</w:t>
            </w:r>
          </w:p>
        </w:tc>
        <w:tc>
          <w:tcPr>
            <w:tcW w:w="0" w:type="auto"/>
            <w:tcBorders>
              <w:top w:val="single" w:sz="8" w:space="0" w:color="auto"/>
              <w:left w:val="nil"/>
              <w:bottom w:val="single" w:sz="8" w:space="0" w:color="auto"/>
              <w:right w:val="nil"/>
            </w:tcBorders>
            <w:noWrap/>
            <w:vAlign w:val="center"/>
          </w:tcPr>
          <w:p w:rsidR="00DF44F1" w:rsidRPr="00D342FA" w:rsidRDefault="00DF44F1" w:rsidP="00C13450">
            <w:pPr>
              <w:widowControl/>
              <w:adjustRightInd w:val="0"/>
              <w:snapToGrid w:val="0"/>
              <w:spacing w:line="360" w:lineRule="auto"/>
              <w:jc w:val="center"/>
              <w:rPr>
                <w:rFonts w:ascii="Book Antiqua" w:hAnsi="Book Antiqua"/>
                <w:b/>
                <w:bCs/>
                <w:color w:val="000000"/>
                <w:kern w:val="0"/>
                <w:sz w:val="24"/>
                <w:lang w:val="de-AT"/>
              </w:rPr>
            </w:pPr>
            <w:r w:rsidRPr="00C13450">
              <w:rPr>
                <w:rFonts w:ascii="Book Antiqua" w:hAnsi="Book Antiqua"/>
                <w:b/>
                <w:bCs/>
                <w:color w:val="000000"/>
                <w:kern w:val="0"/>
                <w:sz w:val="24"/>
                <w:lang w:eastAsia="de-AT"/>
              </w:rPr>
              <w:t>Age</w:t>
            </w:r>
            <w:r>
              <w:rPr>
                <w:rFonts w:ascii="Book Antiqua" w:hAnsi="Book Antiqua"/>
                <w:b/>
                <w:bCs/>
                <w:color w:val="000000"/>
                <w:kern w:val="0"/>
                <w:sz w:val="24"/>
              </w:rPr>
              <w:t xml:space="preserve"> (yr)</w:t>
            </w:r>
          </w:p>
        </w:tc>
        <w:tc>
          <w:tcPr>
            <w:tcW w:w="0" w:type="auto"/>
            <w:tcBorders>
              <w:top w:val="single" w:sz="8" w:space="0" w:color="auto"/>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b/>
                <w:bCs/>
                <w:color w:val="000000"/>
                <w:kern w:val="0"/>
                <w:sz w:val="24"/>
                <w:lang w:val="de-AT" w:eastAsia="de-AT"/>
              </w:rPr>
            </w:pPr>
            <w:r w:rsidRPr="00C13450">
              <w:rPr>
                <w:rFonts w:ascii="Book Antiqua" w:hAnsi="Book Antiqua"/>
                <w:b/>
                <w:bCs/>
                <w:color w:val="000000"/>
                <w:kern w:val="0"/>
                <w:sz w:val="24"/>
                <w:lang w:eastAsia="de-AT"/>
              </w:rPr>
              <w:t>Sex</w:t>
            </w:r>
          </w:p>
        </w:tc>
        <w:tc>
          <w:tcPr>
            <w:tcW w:w="0" w:type="auto"/>
            <w:tcBorders>
              <w:top w:val="single" w:sz="8" w:space="0" w:color="auto"/>
              <w:left w:val="nil"/>
              <w:bottom w:val="single" w:sz="8" w:space="0" w:color="auto"/>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b/>
                <w:bCs/>
                <w:color w:val="000000"/>
                <w:kern w:val="0"/>
                <w:sz w:val="24"/>
                <w:lang w:val="de-AT" w:eastAsia="de-AT"/>
              </w:rPr>
            </w:pPr>
            <w:r w:rsidRPr="00C13450">
              <w:rPr>
                <w:rFonts w:ascii="Book Antiqua" w:hAnsi="Book Antiqua"/>
                <w:b/>
                <w:bCs/>
                <w:color w:val="000000"/>
                <w:kern w:val="0"/>
                <w:sz w:val="24"/>
                <w:lang w:eastAsia="de-AT"/>
              </w:rPr>
              <w:t>Herniated part of pancreas</w:t>
            </w:r>
          </w:p>
        </w:tc>
        <w:tc>
          <w:tcPr>
            <w:tcW w:w="0" w:type="auto"/>
            <w:tcBorders>
              <w:top w:val="single" w:sz="8" w:space="0" w:color="auto"/>
              <w:left w:val="nil"/>
              <w:bottom w:val="single" w:sz="8" w:space="0" w:color="auto"/>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b/>
                <w:bCs/>
                <w:color w:val="000000"/>
                <w:kern w:val="0"/>
                <w:sz w:val="24"/>
                <w:lang w:val="de-AT" w:eastAsia="de-AT"/>
              </w:rPr>
            </w:pPr>
            <w:r w:rsidRPr="00C13450">
              <w:rPr>
                <w:rFonts w:ascii="Book Antiqua" w:hAnsi="Book Antiqua"/>
                <w:b/>
                <w:bCs/>
                <w:color w:val="000000"/>
                <w:kern w:val="0"/>
                <w:sz w:val="24"/>
                <w:lang w:eastAsia="de-AT"/>
              </w:rPr>
              <w:t>Other herniated organs</w:t>
            </w:r>
          </w:p>
        </w:tc>
        <w:tc>
          <w:tcPr>
            <w:tcW w:w="0" w:type="auto"/>
            <w:tcBorders>
              <w:top w:val="single" w:sz="8" w:space="0" w:color="auto"/>
              <w:left w:val="nil"/>
              <w:bottom w:val="single" w:sz="8" w:space="0" w:color="auto"/>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b/>
                <w:bCs/>
                <w:color w:val="000000"/>
                <w:kern w:val="0"/>
                <w:sz w:val="24"/>
                <w:lang w:val="de-AT" w:eastAsia="de-AT"/>
              </w:rPr>
            </w:pPr>
            <w:r w:rsidRPr="00C13450">
              <w:rPr>
                <w:rFonts w:ascii="Book Antiqua" w:hAnsi="Book Antiqua"/>
                <w:b/>
                <w:bCs/>
                <w:color w:val="000000"/>
                <w:kern w:val="0"/>
                <w:sz w:val="24"/>
                <w:lang w:eastAsia="de-AT"/>
              </w:rPr>
              <w:t>Cholestasis</w:t>
            </w:r>
          </w:p>
        </w:tc>
        <w:tc>
          <w:tcPr>
            <w:tcW w:w="0" w:type="auto"/>
            <w:tcBorders>
              <w:top w:val="single" w:sz="8" w:space="0" w:color="auto"/>
              <w:left w:val="nil"/>
              <w:bottom w:val="single" w:sz="8" w:space="0" w:color="auto"/>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b/>
                <w:bCs/>
                <w:color w:val="000000"/>
                <w:kern w:val="0"/>
                <w:sz w:val="24"/>
                <w:lang w:val="de-AT" w:eastAsia="de-AT"/>
              </w:rPr>
            </w:pPr>
            <w:r w:rsidRPr="00C13450">
              <w:rPr>
                <w:rFonts w:ascii="Book Antiqua" w:hAnsi="Book Antiqua"/>
                <w:b/>
                <w:bCs/>
                <w:color w:val="000000"/>
                <w:kern w:val="0"/>
                <w:sz w:val="24"/>
                <w:lang w:eastAsia="de-AT"/>
              </w:rPr>
              <w:t>Pancreatitis</w:t>
            </w:r>
          </w:p>
        </w:tc>
        <w:tc>
          <w:tcPr>
            <w:tcW w:w="0" w:type="auto"/>
            <w:tcBorders>
              <w:top w:val="single" w:sz="8" w:space="0" w:color="auto"/>
              <w:left w:val="nil"/>
              <w:bottom w:val="single" w:sz="8" w:space="0" w:color="auto"/>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b/>
                <w:bCs/>
                <w:color w:val="000000"/>
                <w:kern w:val="0"/>
                <w:sz w:val="24"/>
                <w:lang w:val="de-AT" w:eastAsia="de-AT"/>
              </w:rPr>
            </w:pPr>
            <w:r w:rsidRPr="00C13450">
              <w:rPr>
                <w:rFonts w:ascii="Book Antiqua" w:hAnsi="Book Antiqua"/>
                <w:b/>
                <w:bCs/>
                <w:color w:val="000000"/>
                <w:kern w:val="0"/>
                <w:sz w:val="24"/>
                <w:lang w:eastAsia="de-AT"/>
              </w:rPr>
              <w:t>Symptomatic</w:t>
            </w:r>
          </w:p>
        </w:tc>
        <w:tc>
          <w:tcPr>
            <w:tcW w:w="0" w:type="auto"/>
            <w:tcBorders>
              <w:top w:val="single" w:sz="8" w:space="0" w:color="auto"/>
              <w:left w:val="nil"/>
              <w:bottom w:val="single" w:sz="8" w:space="0" w:color="auto"/>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b/>
                <w:bCs/>
                <w:color w:val="000000"/>
                <w:kern w:val="0"/>
                <w:sz w:val="24"/>
                <w:lang w:val="de-AT" w:eastAsia="de-AT"/>
              </w:rPr>
            </w:pPr>
            <w:r w:rsidRPr="00C13450">
              <w:rPr>
                <w:rFonts w:ascii="Book Antiqua" w:hAnsi="Book Antiqua"/>
                <w:b/>
                <w:bCs/>
                <w:color w:val="000000"/>
                <w:kern w:val="0"/>
                <w:sz w:val="24"/>
                <w:lang w:eastAsia="de-AT"/>
              </w:rPr>
              <w:t>Myocardial Infarction</w:t>
            </w:r>
          </w:p>
        </w:tc>
        <w:tc>
          <w:tcPr>
            <w:tcW w:w="0" w:type="auto"/>
            <w:tcBorders>
              <w:top w:val="single" w:sz="8" w:space="0" w:color="auto"/>
              <w:left w:val="nil"/>
              <w:bottom w:val="single" w:sz="8" w:space="0" w:color="auto"/>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b/>
                <w:bCs/>
                <w:color w:val="000000"/>
                <w:kern w:val="0"/>
                <w:sz w:val="24"/>
                <w:lang w:val="de-AT" w:eastAsia="de-AT"/>
              </w:rPr>
            </w:pPr>
            <w:r w:rsidRPr="00C13450">
              <w:rPr>
                <w:rFonts w:ascii="Book Antiqua" w:hAnsi="Book Antiqua"/>
                <w:b/>
                <w:bCs/>
                <w:color w:val="000000"/>
                <w:kern w:val="0"/>
                <w:sz w:val="24"/>
                <w:lang w:eastAsia="de-AT"/>
              </w:rPr>
              <w:t>Surgery</w:t>
            </w:r>
          </w:p>
        </w:tc>
      </w:tr>
      <w:tr w:rsidR="00DF44F1" w:rsidRPr="00C13450" w:rsidTr="00C13450">
        <w:trPr>
          <w:trHeight w:val="936"/>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rPr>
            </w:pPr>
            <w:r w:rsidRPr="00C13450">
              <w:rPr>
                <w:rFonts w:ascii="Book Antiqua" w:hAnsi="Book Antiqua"/>
                <w:color w:val="000000"/>
                <w:kern w:val="0"/>
                <w:sz w:val="24"/>
                <w:lang w:val="de-DE" w:eastAsia="de-AT"/>
              </w:rPr>
              <w:t>Moore</w:t>
            </w:r>
            <w:r w:rsidRPr="00C13450">
              <w:rPr>
                <w:rFonts w:ascii="Book Antiqua" w:hAnsi="Book Antiqua"/>
                <w:color w:val="000000"/>
                <w:kern w:val="0"/>
                <w:sz w:val="24"/>
                <w:lang w:val="de-DE"/>
              </w:rPr>
              <w:t xml:space="preserve"> </w:t>
            </w:r>
            <w:bookmarkStart w:id="392" w:name="OLE_LINK1943"/>
            <w:bookmarkStart w:id="393" w:name="OLE_LINK1944"/>
            <w:bookmarkStart w:id="394" w:name="OLE_LINK1946"/>
            <w:bookmarkStart w:id="395" w:name="OLE_LINK1947"/>
            <w:r w:rsidRPr="00C13450">
              <w:rPr>
                <w:rFonts w:ascii="Book Antiqua" w:hAnsi="Book Antiqua"/>
                <w:i/>
                <w:color w:val="000000"/>
                <w:kern w:val="0"/>
                <w:sz w:val="24"/>
                <w:lang w:val="de-DE"/>
              </w:rPr>
              <w:t>et al</w:t>
            </w:r>
            <w:bookmarkEnd w:id="392"/>
            <w:bookmarkEnd w:id="393"/>
            <w:bookmarkEnd w:id="394"/>
            <w:bookmarkEnd w:id="395"/>
            <w:r w:rsidRPr="00C13450">
              <w:rPr>
                <w:rFonts w:ascii="Book Antiqua" w:hAnsi="Book Antiqua"/>
                <w:color w:val="000000"/>
                <w:kern w:val="0"/>
                <w:sz w:val="24"/>
                <w:vertAlign w:val="superscript"/>
                <w:lang w:val="de-DE" w:eastAsia="de-AT"/>
              </w:rPr>
              <w:t>[9]</w:t>
            </w:r>
            <w:r w:rsidRPr="00C13450">
              <w:rPr>
                <w:rFonts w:ascii="Book Antiqua" w:hAnsi="Book Antiqua"/>
                <w:color w:val="000000"/>
                <w:kern w:val="0"/>
                <w:sz w:val="24"/>
                <w:lang w:val="de-DE"/>
              </w:rPr>
              <w:t xml:space="preserve">, </w:t>
            </w:r>
            <w:r w:rsidRPr="00C13450">
              <w:rPr>
                <w:rFonts w:ascii="Book Antiqua" w:hAnsi="Book Antiqua"/>
                <w:color w:val="000000"/>
                <w:kern w:val="0"/>
                <w:sz w:val="24"/>
                <w:lang w:val="de-DE" w:eastAsia="de-AT"/>
              </w:rPr>
              <w:t>1958</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67</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F</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Head</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en-GB" w:eastAsia="de-AT"/>
              </w:rPr>
              <w:t xml:space="preserve">Pylorus, </w:t>
            </w:r>
            <w:r w:rsidRPr="00C13450">
              <w:rPr>
                <w:rFonts w:ascii="Book Antiqua" w:hAnsi="Book Antiqua"/>
                <w:color w:val="000000"/>
                <w:kern w:val="0"/>
                <w:sz w:val="24"/>
                <w:lang w:val="en-GB" w:eastAsia="de-AT"/>
              </w:rPr>
              <w:br/>
              <w:t>proximal duodenum</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360"/>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rPr>
            </w:pPr>
            <w:r w:rsidRPr="00C13450">
              <w:rPr>
                <w:rFonts w:ascii="Book Antiqua" w:hAnsi="Book Antiqua"/>
                <w:color w:val="000000"/>
                <w:kern w:val="0"/>
                <w:sz w:val="24"/>
                <w:lang w:val="de-DE" w:eastAsia="de-AT"/>
              </w:rPr>
              <w:t>Coral</w:t>
            </w:r>
            <w:r w:rsidRPr="00C13450">
              <w:rPr>
                <w:rFonts w:ascii="Book Antiqua" w:hAnsi="Book Antiqua"/>
                <w:color w:val="000000"/>
                <w:kern w:val="0"/>
                <w:sz w:val="24"/>
                <w:lang w:val="de-DE"/>
              </w:rPr>
              <w:t xml:space="preserve"> </w:t>
            </w:r>
            <w:r w:rsidRPr="00C13450">
              <w:rPr>
                <w:rFonts w:ascii="Book Antiqua" w:hAnsi="Book Antiqua"/>
                <w:i/>
                <w:color w:val="000000"/>
                <w:kern w:val="0"/>
                <w:sz w:val="24"/>
                <w:lang w:val="de-DE"/>
              </w:rPr>
              <w:t>et al</w:t>
            </w:r>
            <w:r w:rsidRPr="00C13450">
              <w:rPr>
                <w:rFonts w:ascii="Book Antiqua" w:hAnsi="Book Antiqua"/>
                <w:color w:val="000000"/>
                <w:kern w:val="0"/>
                <w:sz w:val="24"/>
                <w:vertAlign w:val="superscript"/>
                <w:lang w:val="de-DE" w:eastAsia="de-AT"/>
              </w:rPr>
              <w:t>[5]</w:t>
            </w:r>
            <w:r w:rsidRPr="00C13450">
              <w:rPr>
                <w:rFonts w:ascii="Book Antiqua" w:hAnsi="Book Antiqua"/>
                <w:color w:val="000000"/>
                <w:kern w:val="0"/>
                <w:sz w:val="24"/>
                <w:lang w:val="de-DE"/>
              </w:rPr>
              <w:t>, 1987</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56</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M</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Body-tail</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624"/>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Kafka</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[11]</w:t>
            </w:r>
            <w:bookmarkStart w:id="396" w:name="OLE_LINK1948"/>
            <w:bookmarkStart w:id="397" w:name="OLE_LINK1949"/>
            <w:r w:rsidRPr="00C13450">
              <w:rPr>
                <w:rFonts w:ascii="Book Antiqua" w:hAnsi="Book Antiqua"/>
                <w:color w:val="000000"/>
                <w:kern w:val="0"/>
                <w:sz w:val="24"/>
                <w:lang w:val="de-DE"/>
              </w:rPr>
              <w:t>,</w:t>
            </w:r>
            <w:bookmarkEnd w:id="396"/>
            <w:bookmarkEnd w:id="397"/>
            <w:r w:rsidRPr="00C13450">
              <w:rPr>
                <w:rFonts w:ascii="Book Antiqua" w:hAnsi="Book Antiqua"/>
                <w:color w:val="000000"/>
                <w:kern w:val="0"/>
                <w:sz w:val="24"/>
                <w:lang w:val="de-DE"/>
              </w:rPr>
              <w:t xml:space="preserve"> 1994</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71</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F</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Head-body</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Stomach, duodenum</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624"/>
        </w:trPr>
        <w:tc>
          <w:tcPr>
            <w:tcW w:w="0" w:type="auto"/>
            <w:tcBorders>
              <w:top w:val="nil"/>
              <w:left w:val="nil"/>
              <w:bottom w:val="nil"/>
              <w:right w:val="nil"/>
            </w:tcBorders>
            <w:noWrap/>
            <w:vAlign w:val="center"/>
          </w:tcPr>
          <w:p w:rsidR="00DF44F1" w:rsidRPr="00C13450" w:rsidRDefault="00DF44F1" w:rsidP="00FC19B3">
            <w:pPr>
              <w:widowControl/>
              <w:adjustRightInd w:val="0"/>
              <w:snapToGrid w:val="0"/>
              <w:spacing w:line="360" w:lineRule="auto"/>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Chevallier</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[12]</w:t>
            </w:r>
            <w:r w:rsidRPr="00C13450">
              <w:rPr>
                <w:rFonts w:ascii="Book Antiqua" w:hAnsi="Book Antiqua"/>
                <w:color w:val="000000"/>
                <w:kern w:val="0"/>
                <w:sz w:val="24"/>
                <w:lang w:val="de-DE"/>
              </w:rPr>
              <w:t>, 2001</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70</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M</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 xml:space="preserve">Body-tail </w:t>
            </w:r>
            <w:r w:rsidRPr="00C13450">
              <w:rPr>
                <w:rFonts w:ascii="Book Antiqua" w:hAnsi="Book Antiqua"/>
                <w:color w:val="000000"/>
                <w:kern w:val="0"/>
                <w:sz w:val="24"/>
                <w:lang w:val="de-DE" w:eastAsia="de-AT"/>
              </w:rPr>
              <w:br/>
              <w:t>(transient)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360"/>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rPr>
            </w:pPr>
            <w:r w:rsidRPr="00C13450">
              <w:rPr>
                <w:rFonts w:ascii="Book Antiqua" w:hAnsi="Book Antiqua"/>
                <w:color w:val="000000"/>
                <w:kern w:val="0"/>
                <w:sz w:val="24"/>
                <w:lang w:val="de-DE" w:eastAsia="de-AT"/>
              </w:rPr>
              <w:t>Katz</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[1]</w:t>
            </w:r>
            <w:r w:rsidRPr="00C13450">
              <w:rPr>
                <w:rFonts w:ascii="Book Antiqua" w:hAnsi="Book Antiqua"/>
                <w:color w:val="000000"/>
                <w:kern w:val="0"/>
                <w:sz w:val="24"/>
                <w:lang w:val="de-DE"/>
              </w:rPr>
              <w:t>, 2002</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74</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M</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Body-tail</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360"/>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rPr>
            </w:pPr>
            <w:r w:rsidRPr="00C13450">
              <w:rPr>
                <w:rFonts w:ascii="Book Antiqua" w:hAnsi="Book Antiqua"/>
                <w:color w:val="000000"/>
                <w:kern w:val="0"/>
                <w:sz w:val="24"/>
                <w:lang w:val="de-DE" w:eastAsia="de-AT"/>
              </w:rPr>
              <w:t>Gremmels</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[17]</w:t>
            </w:r>
            <w:bookmarkStart w:id="398" w:name="OLE_LINK1950"/>
            <w:bookmarkStart w:id="399" w:name="OLE_LINK1951"/>
            <w:r w:rsidRPr="00C13450">
              <w:rPr>
                <w:rFonts w:ascii="Book Antiqua" w:hAnsi="Book Antiqua"/>
                <w:color w:val="000000"/>
                <w:kern w:val="0"/>
                <w:sz w:val="24"/>
                <w:lang w:val="de-DE"/>
              </w:rPr>
              <w:t>,</w:t>
            </w:r>
            <w:bookmarkEnd w:id="398"/>
            <w:bookmarkEnd w:id="399"/>
            <w:r w:rsidRPr="00C13450">
              <w:rPr>
                <w:rFonts w:ascii="Book Antiqua" w:hAnsi="Book Antiqua"/>
                <w:color w:val="000000"/>
                <w:kern w:val="0"/>
                <w:sz w:val="24"/>
                <w:lang w:val="de-DE"/>
              </w:rPr>
              <w:t xml:space="preserve"> 2003</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52</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M</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Body</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Gastric fundus</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360"/>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rPr>
            </w:pPr>
            <w:r w:rsidRPr="00C13450">
              <w:rPr>
                <w:rFonts w:ascii="Book Antiqua" w:hAnsi="Book Antiqua"/>
                <w:color w:val="000000"/>
                <w:kern w:val="0"/>
                <w:sz w:val="24"/>
                <w:lang w:val="de-DE" w:eastAsia="de-AT"/>
              </w:rPr>
              <w:t>Saxena</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[14]</w:t>
            </w:r>
            <w:r w:rsidRPr="00C13450">
              <w:rPr>
                <w:rFonts w:ascii="Book Antiqua" w:hAnsi="Book Antiqua"/>
                <w:color w:val="000000"/>
                <w:kern w:val="0"/>
                <w:sz w:val="24"/>
                <w:lang w:val="de-DE"/>
              </w:rPr>
              <w:t>, 2006</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78</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F</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Complete</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624"/>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rPr>
            </w:pPr>
            <w:r w:rsidRPr="00C13450">
              <w:rPr>
                <w:rFonts w:ascii="Book Antiqua" w:hAnsi="Book Antiqua"/>
                <w:color w:val="000000"/>
                <w:kern w:val="0"/>
                <w:sz w:val="24"/>
                <w:lang w:val="de-DE" w:eastAsia="de-AT"/>
              </w:rPr>
              <w:t>Tagaya</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[15]</w:t>
            </w:r>
            <w:r w:rsidRPr="00C13450">
              <w:rPr>
                <w:rFonts w:ascii="Book Antiqua" w:hAnsi="Book Antiqua"/>
                <w:color w:val="000000"/>
                <w:kern w:val="0"/>
                <w:sz w:val="24"/>
                <w:lang w:val="de-DE"/>
              </w:rPr>
              <w:t>, 2007</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75</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F</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Body-tail</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 xml:space="preserve">Jejunum, </w:t>
            </w:r>
            <w:r w:rsidRPr="00C13450">
              <w:rPr>
                <w:rFonts w:ascii="Book Antiqua" w:hAnsi="Book Antiqua"/>
                <w:color w:val="000000"/>
                <w:kern w:val="0"/>
                <w:sz w:val="24"/>
                <w:lang w:val="de-DE" w:eastAsia="de-AT"/>
              </w:rPr>
              <w:br/>
              <w:t>transverse colon</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624"/>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rPr>
            </w:pPr>
            <w:r w:rsidRPr="00C13450">
              <w:rPr>
                <w:rFonts w:ascii="Book Antiqua" w:hAnsi="Book Antiqua"/>
                <w:color w:val="000000"/>
                <w:kern w:val="0"/>
                <w:sz w:val="24"/>
                <w:lang w:val="de-DE" w:eastAsia="de-AT"/>
              </w:rPr>
              <w:t>Maksoud</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[13]</w:t>
            </w:r>
            <w:r w:rsidRPr="00C13450">
              <w:rPr>
                <w:rFonts w:ascii="Book Antiqua" w:hAnsi="Book Antiqua"/>
                <w:color w:val="000000"/>
                <w:kern w:val="0"/>
                <w:sz w:val="24"/>
                <w:lang w:val="de-DE"/>
              </w:rPr>
              <w:t>, 2010</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68</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M</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 xml:space="preserve">Complete </w:t>
            </w:r>
            <w:r w:rsidRPr="00C13450">
              <w:rPr>
                <w:rFonts w:ascii="Book Antiqua" w:hAnsi="Book Antiqua"/>
                <w:color w:val="000000"/>
                <w:kern w:val="0"/>
                <w:sz w:val="24"/>
                <w:lang w:val="de-DE" w:eastAsia="de-AT"/>
              </w:rPr>
              <w:br/>
              <w:t>(transient)</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 xml:space="preserve">Stomach, </w:t>
            </w:r>
            <w:r w:rsidRPr="00C13450">
              <w:rPr>
                <w:rFonts w:ascii="Book Antiqua" w:hAnsi="Book Antiqua"/>
                <w:color w:val="000000"/>
                <w:kern w:val="0"/>
                <w:sz w:val="24"/>
                <w:lang w:val="de-DE" w:eastAsia="de-AT"/>
              </w:rPr>
              <w:br/>
              <w:t>transverse colon</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360"/>
        </w:trPr>
        <w:tc>
          <w:tcPr>
            <w:tcW w:w="0" w:type="auto"/>
            <w:tcBorders>
              <w:top w:val="nil"/>
              <w:left w:val="nil"/>
              <w:bottom w:val="nil"/>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Rozas</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[2]</w:t>
            </w:r>
            <w:r w:rsidRPr="00C13450">
              <w:rPr>
                <w:rFonts w:ascii="Book Antiqua" w:hAnsi="Book Antiqua"/>
                <w:color w:val="000000"/>
                <w:kern w:val="0"/>
                <w:sz w:val="24"/>
                <w:lang w:val="de-DE"/>
              </w:rPr>
              <w:t>, 2010</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78</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F</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Head</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Stomach</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nil"/>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r w:rsidR="00DF44F1" w:rsidRPr="00C13450" w:rsidTr="00C13450">
        <w:trPr>
          <w:trHeight w:val="372"/>
        </w:trPr>
        <w:tc>
          <w:tcPr>
            <w:tcW w:w="0" w:type="auto"/>
            <w:tcBorders>
              <w:top w:val="nil"/>
              <w:left w:val="nil"/>
              <w:bottom w:val="single" w:sz="8" w:space="0" w:color="auto"/>
              <w:right w:val="nil"/>
            </w:tcBorders>
            <w:noWrap/>
            <w:vAlign w:val="center"/>
          </w:tcPr>
          <w:p w:rsidR="00DF44F1" w:rsidRPr="00C13450" w:rsidRDefault="00DF44F1" w:rsidP="0033257B">
            <w:pPr>
              <w:widowControl/>
              <w:adjustRightInd w:val="0"/>
              <w:snapToGrid w:val="0"/>
              <w:spacing w:line="360" w:lineRule="auto"/>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Coughlin</w:t>
            </w:r>
            <w:r w:rsidRPr="00C13450">
              <w:rPr>
                <w:rFonts w:ascii="Book Antiqua" w:hAnsi="Book Antiqua"/>
                <w:i/>
                <w:color w:val="000000"/>
                <w:kern w:val="0"/>
                <w:sz w:val="24"/>
                <w:lang w:val="de-DE"/>
              </w:rPr>
              <w:t xml:space="preserve"> et al</w:t>
            </w:r>
            <w:r w:rsidRPr="00C13450">
              <w:rPr>
                <w:rFonts w:ascii="Book Antiqua" w:hAnsi="Book Antiqua"/>
                <w:color w:val="000000"/>
                <w:kern w:val="0"/>
                <w:sz w:val="24"/>
                <w:vertAlign w:val="superscript"/>
                <w:lang w:val="de-DE" w:eastAsia="de-AT"/>
              </w:rPr>
              <w:t>[16]</w:t>
            </w:r>
            <w:r w:rsidRPr="00C13450">
              <w:rPr>
                <w:rFonts w:ascii="Book Antiqua" w:hAnsi="Book Antiqua"/>
                <w:color w:val="000000"/>
                <w:kern w:val="0"/>
                <w:sz w:val="24"/>
                <w:lang w:val="de-DE"/>
              </w:rPr>
              <w:t>, 2011</w:t>
            </w:r>
          </w:p>
        </w:tc>
        <w:tc>
          <w:tcPr>
            <w:tcW w:w="0" w:type="auto"/>
            <w:tcBorders>
              <w:top w:val="nil"/>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61</w:t>
            </w:r>
          </w:p>
        </w:tc>
        <w:tc>
          <w:tcPr>
            <w:tcW w:w="0" w:type="auto"/>
            <w:tcBorders>
              <w:top w:val="nil"/>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F</w:t>
            </w:r>
          </w:p>
        </w:tc>
        <w:tc>
          <w:tcPr>
            <w:tcW w:w="0" w:type="auto"/>
            <w:tcBorders>
              <w:top w:val="nil"/>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Mid-body</w:t>
            </w:r>
          </w:p>
        </w:tc>
        <w:tc>
          <w:tcPr>
            <w:tcW w:w="0" w:type="auto"/>
            <w:tcBorders>
              <w:top w:val="nil"/>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Stomach</w:t>
            </w:r>
          </w:p>
        </w:tc>
        <w:tc>
          <w:tcPr>
            <w:tcW w:w="0" w:type="auto"/>
            <w:tcBorders>
              <w:top w:val="nil"/>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single" w:sz="8" w:space="0" w:color="auto"/>
              <w:right w:val="nil"/>
            </w:tcBorders>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c>
          <w:tcPr>
            <w:tcW w:w="0" w:type="auto"/>
            <w:tcBorders>
              <w:top w:val="nil"/>
              <w:left w:val="nil"/>
              <w:bottom w:val="single" w:sz="8" w:space="0" w:color="auto"/>
              <w:right w:val="nil"/>
            </w:tcBorders>
            <w:noWrap/>
            <w:vAlign w:val="center"/>
          </w:tcPr>
          <w:p w:rsidR="00DF44F1" w:rsidRPr="00C13450" w:rsidRDefault="00DF44F1" w:rsidP="00C13450">
            <w:pPr>
              <w:widowControl/>
              <w:adjustRightInd w:val="0"/>
              <w:snapToGrid w:val="0"/>
              <w:spacing w:line="360" w:lineRule="auto"/>
              <w:jc w:val="center"/>
              <w:rPr>
                <w:rFonts w:ascii="Book Antiqua" w:hAnsi="Book Antiqua"/>
                <w:color w:val="000000"/>
                <w:kern w:val="0"/>
                <w:sz w:val="24"/>
                <w:lang w:val="de-AT" w:eastAsia="de-AT"/>
              </w:rPr>
            </w:pPr>
            <w:r w:rsidRPr="00C13450">
              <w:rPr>
                <w:rFonts w:ascii="Book Antiqua" w:hAnsi="Book Antiqua"/>
                <w:color w:val="000000"/>
                <w:kern w:val="0"/>
                <w:sz w:val="24"/>
                <w:lang w:val="de-DE" w:eastAsia="de-AT"/>
              </w:rPr>
              <w:t>+</w:t>
            </w:r>
          </w:p>
        </w:tc>
      </w:tr>
    </w:tbl>
    <w:p w:rsidR="00DF44F1" w:rsidRPr="00C13450" w:rsidRDefault="00DF44F1" w:rsidP="0033257B">
      <w:pPr>
        <w:widowControl/>
        <w:adjustRightInd w:val="0"/>
        <w:snapToGrid w:val="0"/>
        <w:spacing w:line="360" w:lineRule="auto"/>
        <w:rPr>
          <w:rFonts w:ascii="Book Antiqua" w:hAnsi="Book Antiqua"/>
          <w:b/>
          <w:sz w:val="24"/>
        </w:rPr>
        <w:sectPr w:rsidR="00DF44F1" w:rsidRPr="00C13450" w:rsidSect="0033257B">
          <w:pgSz w:w="16838" w:h="11906" w:orient="landscape"/>
          <w:pgMar w:top="1417" w:right="1134" w:bottom="1417" w:left="1417" w:header="708" w:footer="708" w:gutter="0"/>
          <w:cols w:space="708"/>
          <w:docGrid w:linePitch="360"/>
        </w:sectPr>
      </w:pPr>
    </w:p>
    <w:p w:rsidR="00DF44F1" w:rsidRPr="00C13450" w:rsidRDefault="00DF44F1" w:rsidP="0033257B">
      <w:pPr>
        <w:tabs>
          <w:tab w:val="left" w:pos="6084"/>
        </w:tabs>
        <w:adjustRightInd w:val="0"/>
        <w:snapToGrid w:val="0"/>
        <w:spacing w:line="360" w:lineRule="auto"/>
        <w:rPr>
          <w:rFonts w:ascii="Book Antiqua" w:hAnsi="Book Antiqua"/>
          <w:sz w:val="24"/>
        </w:rPr>
      </w:pPr>
    </w:p>
    <w:sectPr w:rsidR="00DF44F1" w:rsidRPr="00C13450" w:rsidSect="0033257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8D9" w:rsidRDefault="003D08D9" w:rsidP="00505E53">
      <w:r>
        <w:separator/>
      </w:r>
    </w:p>
  </w:endnote>
  <w:endnote w:type="continuationSeparator" w:id="0">
    <w:p w:rsidR="003D08D9" w:rsidRDefault="003D08D9" w:rsidP="0050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8D9" w:rsidRDefault="003D08D9" w:rsidP="00505E53">
      <w:r>
        <w:separator/>
      </w:r>
    </w:p>
  </w:footnote>
  <w:footnote w:type="continuationSeparator" w:id="0">
    <w:p w:rsidR="003D08D9" w:rsidRDefault="003D08D9" w:rsidP="00505E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08"/>
  <w:hyphenationZone w:val="425"/>
  <w:drawingGridHorizontalSpacing w:val="105"/>
  <w:displayHorizontalDrawingGridEvery w:val="2"/>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A42"/>
    <w:rsid w:val="000543EE"/>
    <w:rsid w:val="00054742"/>
    <w:rsid w:val="0005537B"/>
    <w:rsid w:val="00064B38"/>
    <w:rsid w:val="0007063E"/>
    <w:rsid w:val="00093CF7"/>
    <w:rsid w:val="000D103C"/>
    <w:rsid w:val="000E0FEB"/>
    <w:rsid w:val="000E31DD"/>
    <w:rsid w:val="000F5B4F"/>
    <w:rsid w:val="001004DB"/>
    <w:rsid w:val="001061B6"/>
    <w:rsid w:val="0010641A"/>
    <w:rsid w:val="001237CD"/>
    <w:rsid w:val="00123ED6"/>
    <w:rsid w:val="0012480F"/>
    <w:rsid w:val="00135F2D"/>
    <w:rsid w:val="00150F44"/>
    <w:rsid w:val="001552BD"/>
    <w:rsid w:val="0016550B"/>
    <w:rsid w:val="00183E21"/>
    <w:rsid w:val="001C7B9B"/>
    <w:rsid w:val="001D4872"/>
    <w:rsid w:val="001D4D9D"/>
    <w:rsid w:val="001E7C94"/>
    <w:rsid w:val="001F7738"/>
    <w:rsid w:val="00210E0C"/>
    <w:rsid w:val="00216A01"/>
    <w:rsid w:val="002352F8"/>
    <w:rsid w:val="00247506"/>
    <w:rsid w:val="00255B23"/>
    <w:rsid w:val="002713C6"/>
    <w:rsid w:val="002F2926"/>
    <w:rsid w:val="002F6A76"/>
    <w:rsid w:val="00303D63"/>
    <w:rsid w:val="0030784A"/>
    <w:rsid w:val="00313E65"/>
    <w:rsid w:val="00317135"/>
    <w:rsid w:val="0033257B"/>
    <w:rsid w:val="003358DC"/>
    <w:rsid w:val="00341607"/>
    <w:rsid w:val="00362C25"/>
    <w:rsid w:val="00365DB0"/>
    <w:rsid w:val="003823DE"/>
    <w:rsid w:val="00390022"/>
    <w:rsid w:val="00390F26"/>
    <w:rsid w:val="003A1BF6"/>
    <w:rsid w:val="003B513D"/>
    <w:rsid w:val="003C40BE"/>
    <w:rsid w:val="003C51CE"/>
    <w:rsid w:val="003D08D9"/>
    <w:rsid w:val="003E1712"/>
    <w:rsid w:val="003E3B1F"/>
    <w:rsid w:val="003F0791"/>
    <w:rsid w:val="003F5569"/>
    <w:rsid w:val="00401812"/>
    <w:rsid w:val="00413FAB"/>
    <w:rsid w:val="004310B3"/>
    <w:rsid w:val="00435D34"/>
    <w:rsid w:val="0044500E"/>
    <w:rsid w:val="0044568C"/>
    <w:rsid w:val="00450E15"/>
    <w:rsid w:val="0046164B"/>
    <w:rsid w:val="00467854"/>
    <w:rsid w:val="00481775"/>
    <w:rsid w:val="00482C73"/>
    <w:rsid w:val="00483464"/>
    <w:rsid w:val="00483EDA"/>
    <w:rsid w:val="004B0C9C"/>
    <w:rsid w:val="004C1A2C"/>
    <w:rsid w:val="004C57A8"/>
    <w:rsid w:val="004C76AE"/>
    <w:rsid w:val="004D79DD"/>
    <w:rsid w:val="004F65F3"/>
    <w:rsid w:val="00505E53"/>
    <w:rsid w:val="005244FA"/>
    <w:rsid w:val="00541FC1"/>
    <w:rsid w:val="0057619D"/>
    <w:rsid w:val="005B02F8"/>
    <w:rsid w:val="005B180E"/>
    <w:rsid w:val="005B1C66"/>
    <w:rsid w:val="005B2FBF"/>
    <w:rsid w:val="005B3E72"/>
    <w:rsid w:val="005D5FF3"/>
    <w:rsid w:val="005E2906"/>
    <w:rsid w:val="005E2F67"/>
    <w:rsid w:val="005F7C48"/>
    <w:rsid w:val="006034FA"/>
    <w:rsid w:val="00605E91"/>
    <w:rsid w:val="00612840"/>
    <w:rsid w:val="00645AE5"/>
    <w:rsid w:val="006503FC"/>
    <w:rsid w:val="00651C9A"/>
    <w:rsid w:val="00666CB4"/>
    <w:rsid w:val="00684AD5"/>
    <w:rsid w:val="00685E54"/>
    <w:rsid w:val="006A3BAB"/>
    <w:rsid w:val="006C1AE3"/>
    <w:rsid w:val="006D3837"/>
    <w:rsid w:val="0070210F"/>
    <w:rsid w:val="007118FD"/>
    <w:rsid w:val="00711D76"/>
    <w:rsid w:val="00726A84"/>
    <w:rsid w:val="00733DF9"/>
    <w:rsid w:val="00741667"/>
    <w:rsid w:val="00742AF8"/>
    <w:rsid w:val="00755A1C"/>
    <w:rsid w:val="00757C80"/>
    <w:rsid w:val="0076247D"/>
    <w:rsid w:val="0077297F"/>
    <w:rsid w:val="00777747"/>
    <w:rsid w:val="00785259"/>
    <w:rsid w:val="00796AAA"/>
    <w:rsid w:val="007B04D2"/>
    <w:rsid w:val="007D2850"/>
    <w:rsid w:val="007E50AB"/>
    <w:rsid w:val="00802271"/>
    <w:rsid w:val="00803DC1"/>
    <w:rsid w:val="008047AB"/>
    <w:rsid w:val="00806B43"/>
    <w:rsid w:val="00812089"/>
    <w:rsid w:val="008178C6"/>
    <w:rsid w:val="00820C75"/>
    <w:rsid w:val="00823D82"/>
    <w:rsid w:val="008261DE"/>
    <w:rsid w:val="008316AE"/>
    <w:rsid w:val="00843140"/>
    <w:rsid w:val="008441B5"/>
    <w:rsid w:val="008447F9"/>
    <w:rsid w:val="00845508"/>
    <w:rsid w:val="00863334"/>
    <w:rsid w:val="00876A81"/>
    <w:rsid w:val="00885010"/>
    <w:rsid w:val="00894A78"/>
    <w:rsid w:val="008A5B95"/>
    <w:rsid w:val="008B25CD"/>
    <w:rsid w:val="008C0866"/>
    <w:rsid w:val="008D7E3B"/>
    <w:rsid w:val="008F232B"/>
    <w:rsid w:val="008F3D4B"/>
    <w:rsid w:val="00903CA9"/>
    <w:rsid w:val="00905213"/>
    <w:rsid w:val="0091217D"/>
    <w:rsid w:val="00927D36"/>
    <w:rsid w:val="00930991"/>
    <w:rsid w:val="00937A50"/>
    <w:rsid w:val="0094009E"/>
    <w:rsid w:val="0094076E"/>
    <w:rsid w:val="0094436F"/>
    <w:rsid w:val="009566DC"/>
    <w:rsid w:val="0096248C"/>
    <w:rsid w:val="00967EDE"/>
    <w:rsid w:val="0097564A"/>
    <w:rsid w:val="009A0D27"/>
    <w:rsid w:val="009A2476"/>
    <w:rsid w:val="009A4CF0"/>
    <w:rsid w:val="009B0DC6"/>
    <w:rsid w:val="009C1EBD"/>
    <w:rsid w:val="009C23B7"/>
    <w:rsid w:val="009C3646"/>
    <w:rsid w:val="009C3E38"/>
    <w:rsid w:val="009C52D0"/>
    <w:rsid w:val="009F6000"/>
    <w:rsid w:val="00A11879"/>
    <w:rsid w:val="00A15763"/>
    <w:rsid w:val="00A17964"/>
    <w:rsid w:val="00A22B0F"/>
    <w:rsid w:val="00A24D39"/>
    <w:rsid w:val="00A308D7"/>
    <w:rsid w:val="00A446F1"/>
    <w:rsid w:val="00A470C1"/>
    <w:rsid w:val="00A716C8"/>
    <w:rsid w:val="00A81676"/>
    <w:rsid w:val="00A92923"/>
    <w:rsid w:val="00AA508B"/>
    <w:rsid w:val="00AB31FD"/>
    <w:rsid w:val="00AE24E0"/>
    <w:rsid w:val="00AF594F"/>
    <w:rsid w:val="00B072BB"/>
    <w:rsid w:val="00B10238"/>
    <w:rsid w:val="00B1383D"/>
    <w:rsid w:val="00B171A3"/>
    <w:rsid w:val="00B232EA"/>
    <w:rsid w:val="00B27571"/>
    <w:rsid w:val="00B33FC2"/>
    <w:rsid w:val="00B41519"/>
    <w:rsid w:val="00B90A0E"/>
    <w:rsid w:val="00B92395"/>
    <w:rsid w:val="00BA1AE5"/>
    <w:rsid w:val="00BA2BED"/>
    <w:rsid w:val="00BA4A35"/>
    <w:rsid w:val="00BA55AA"/>
    <w:rsid w:val="00BB3A42"/>
    <w:rsid w:val="00BB5338"/>
    <w:rsid w:val="00BC7342"/>
    <w:rsid w:val="00BE0284"/>
    <w:rsid w:val="00BE3F0F"/>
    <w:rsid w:val="00BF3F5A"/>
    <w:rsid w:val="00BF6E07"/>
    <w:rsid w:val="00C03B8B"/>
    <w:rsid w:val="00C13450"/>
    <w:rsid w:val="00C15F92"/>
    <w:rsid w:val="00C427D9"/>
    <w:rsid w:val="00C436E7"/>
    <w:rsid w:val="00C56046"/>
    <w:rsid w:val="00C753D9"/>
    <w:rsid w:val="00C82799"/>
    <w:rsid w:val="00C87EAE"/>
    <w:rsid w:val="00C950F1"/>
    <w:rsid w:val="00C95D03"/>
    <w:rsid w:val="00CA34F3"/>
    <w:rsid w:val="00CA64D5"/>
    <w:rsid w:val="00CB3E9F"/>
    <w:rsid w:val="00CD3BE7"/>
    <w:rsid w:val="00CE6951"/>
    <w:rsid w:val="00CF48AC"/>
    <w:rsid w:val="00D342FA"/>
    <w:rsid w:val="00D40333"/>
    <w:rsid w:val="00D57A4A"/>
    <w:rsid w:val="00D6262A"/>
    <w:rsid w:val="00D65DBC"/>
    <w:rsid w:val="00D71BA4"/>
    <w:rsid w:val="00D762D5"/>
    <w:rsid w:val="00D82C33"/>
    <w:rsid w:val="00D83914"/>
    <w:rsid w:val="00D87158"/>
    <w:rsid w:val="00DA29F2"/>
    <w:rsid w:val="00DA67B8"/>
    <w:rsid w:val="00DB7CED"/>
    <w:rsid w:val="00DC77EE"/>
    <w:rsid w:val="00DD5D81"/>
    <w:rsid w:val="00DF44F1"/>
    <w:rsid w:val="00DF55D8"/>
    <w:rsid w:val="00E07FEC"/>
    <w:rsid w:val="00E21A1C"/>
    <w:rsid w:val="00E32304"/>
    <w:rsid w:val="00E332C6"/>
    <w:rsid w:val="00E42C88"/>
    <w:rsid w:val="00E4468B"/>
    <w:rsid w:val="00E73A74"/>
    <w:rsid w:val="00E847CC"/>
    <w:rsid w:val="00E85EE1"/>
    <w:rsid w:val="00E9237A"/>
    <w:rsid w:val="00E92476"/>
    <w:rsid w:val="00E97318"/>
    <w:rsid w:val="00EA48C7"/>
    <w:rsid w:val="00EB3BC7"/>
    <w:rsid w:val="00EB4953"/>
    <w:rsid w:val="00EB5EA7"/>
    <w:rsid w:val="00ED586D"/>
    <w:rsid w:val="00EE4DD2"/>
    <w:rsid w:val="00EE72A6"/>
    <w:rsid w:val="00EF0475"/>
    <w:rsid w:val="00F06DC1"/>
    <w:rsid w:val="00F31602"/>
    <w:rsid w:val="00F64969"/>
    <w:rsid w:val="00F655D7"/>
    <w:rsid w:val="00F67E4B"/>
    <w:rsid w:val="00F85857"/>
    <w:rsid w:val="00F90996"/>
    <w:rsid w:val="00F93F76"/>
    <w:rsid w:val="00F970F4"/>
    <w:rsid w:val="00F97248"/>
    <w:rsid w:val="00FB2D2A"/>
    <w:rsid w:val="00FB5DFC"/>
    <w:rsid w:val="00FC19B3"/>
    <w:rsid w:val="00FC703E"/>
    <w:rsid w:val="00FC7EA3"/>
    <w:rsid w:val="00FE6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A42"/>
    <w:pPr>
      <w:widowControl w:val="0"/>
      <w:jc w:val="both"/>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B3A42"/>
    <w:rPr>
      <w:rFonts w:cs="Times New Roman"/>
      <w:color w:val="0000FF"/>
      <w:u w:val="single"/>
    </w:rPr>
  </w:style>
  <w:style w:type="paragraph" w:styleId="a4">
    <w:name w:val="annotation text"/>
    <w:basedOn w:val="a"/>
    <w:link w:val="Char"/>
    <w:uiPriority w:val="99"/>
    <w:semiHidden/>
    <w:rsid w:val="00BB3A42"/>
    <w:pPr>
      <w:jc w:val="left"/>
    </w:pPr>
  </w:style>
  <w:style w:type="character" w:customStyle="1" w:styleId="Char">
    <w:name w:val="批注文字 Char"/>
    <w:basedOn w:val="a0"/>
    <w:link w:val="a4"/>
    <w:uiPriority w:val="99"/>
    <w:semiHidden/>
    <w:locked/>
    <w:rsid w:val="00BB3A42"/>
    <w:rPr>
      <w:rFonts w:ascii="Times New Roman" w:eastAsia="Times New Roman" w:hAnsi="Times New Roman" w:cs="Times New Roman"/>
      <w:kern w:val="2"/>
      <w:sz w:val="24"/>
      <w:szCs w:val="24"/>
      <w:lang w:val="en-US" w:eastAsia="zh-CN"/>
    </w:rPr>
  </w:style>
  <w:style w:type="table" w:styleId="a5">
    <w:name w:val="Table Grid"/>
    <w:basedOn w:val="a1"/>
    <w:uiPriority w:val="99"/>
    <w:rsid w:val="004B0C9C"/>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0"/>
    <w:uiPriority w:val="99"/>
    <w:semiHidden/>
    <w:rsid w:val="00806B43"/>
    <w:rPr>
      <w:rFonts w:ascii="Tahoma" w:hAnsi="Tahoma" w:cs="Tahoma"/>
      <w:sz w:val="16"/>
      <w:szCs w:val="16"/>
    </w:rPr>
  </w:style>
  <w:style w:type="character" w:customStyle="1" w:styleId="Char0">
    <w:name w:val="批注框文本 Char"/>
    <w:basedOn w:val="a0"/>
    <w:link w:val="a6"/>
    <w:uiPriority w:val="99"/>
    <w:semiHidden/>
    <w:locked/>
    <w:rsid w:val="00806B43"/>
    <w:rPr>
      <w:rFonts w:ascii="Tahoma" w:eastAsia="Times New Roman" w:hAnsi="Tahoma" w:cs="Tahoma"/>
      <w:kern w:val="2"/>
      <w:sz w:val="16"/>
      <w:szCs w:val="16"/>
      <w:lang w:val="en-US" w:eastAsia="zh-CN"/>
    </w:rPr>
  </w:style>
  <w:style w:type="paragraph" w:styleId="a7">
    <w:name w:val="header"/>
    <w:basedOn w:val="a"/>
    <w:link w:val="Char1"/>
    <w:uiPriority w:val="99"/>
    <w:rsid w:val="001F7738"/>
    <w:pPr>
      <w:tabs>
        <w:tab w:val="center" w:pos="4536"/>
        <w:tab w:val="right" w:pos="9072"/>
      </w:tabs>
    </w:pPr>
  </w:style>
  <w:style w:type="character" w:customStyle="1" w:styleId="Char1">
    <w:name w:val="页眉 Char"/>
    <w:basedOn w:val="a0"/>
    <w:link w:val="a7"/>
    <w:uiPriority w:val="99"/>
    <w:locked/>
    <w:rsid w:val="001F7738"/>
    <w:rPr>
      <w:rFonts w:ascii="Times New Roman" w:eastAsia="Times New Roman" w:hAnsi="Times New Roman" w:cs="Times New Roman"/>
      <w:kern w:val="2"/>
      <w:sz w:val="24"/>
      <w:szCs w:val="24"/>
      <w:lang w:val="en-US" w:eastAsia="zh-CN"/>
    </w:rPr>
  </w:style>
  <w:style w:type="paragraph" w:styleId="a8">
    <w:name w:val="footer"/>
    <w:basedOn w:val="a"/>
    <w:link w:val="Char2"/>
    <w:uiPriority w:val="99"/>
    <w:rsid w:val="001F7738"/>
    <w:pPr>
      <w:tabs>
        <w:tab w:val="center" w:pos="4536"/>
        <w:tab w:val="right" w:pos="9072"/>
      </w:tabs>
    </w:pPr>
  </w:style>
  <w:style w:type="character" w:customStyle="1" w:styleId="Char2">
    <w:name w:val="页脚 Char"/>
    <w:basedOn w:val="a0"/>
    <w:link w:val="a8"/>
    <w:uiPriority w:val="99"/>
    <w:locked/>
    <w:rsid w:val="001F7738"/>
    <w:rPr>
      <w:rFonts w:ascii="Times New Roman" w:eastAsia="Times New Roman" w:hAnsi="Times New Roman" w:cs="Times New Roman"/>
      <w:kern w:val="2"/>
      <w:sz w:val="24"/>
      <w:szCs w:val="24"/>
      <w:lang w:val="en-US" w:eastAsia="zh-CN"/>
    </w:rPr>
  </w:style>
  <w:style w:type="character" w:styleId="a9">
    <w:name w:val="annotation reference"/>
    <w:basedOn w:val="a0"/>
    <w:uiPriority w:val="99"/>
    <w:semiHidden/>
    <w:rsid w:val="00A15763"/>
    <w:rPr>
      <w:rFonts w:cs="Times New Roman"/>
      <w:sz w:val="21"/>
      <w:szCs w:val="21"/>
    </w:rPr>
  </w:style>
  <w:style w:type="paragraph" w:styleId="aa">
    <w:name w:val="annotation subject"/>
    <w:basedOn w:val="a4"/>
    <w:next w:val="a4"/>
    <w:link w:val="Char3"/>
    <w:uiPriority w:val="99"/>
    <w:semiHidden/>
    <w:rsid w:val="00A15763"/>
    <w:rPr>
      <w:b/>
      <w:bCs/>
    </w:rPr>
  </w:style>
  <w:style w:type="character" w:customStyle="1" w:styleId="Char3">
    <w:name w:val="批注主题 Char"/>
    <w:basedOn w:val="Char"/>
    <w:link w:val="aa"/>
    <w:uiPriority w:val="99"/>
    <w:semiHidden/>
    <w:locked/>
    <w:rsid w:val="00A15763"/>
    <w:rPr>
      <w:rFonts w:ascii="Times New Roman" w:eastAsia="Times New Roman" w:hAnsi="Times New Roman" w:cs="Times New Roman"/>
      <w:b/>
      <w:bCs/>
      <w:kern w:val="2"/>
      <w:sz w:val="24"/>
      <w:szCs w:val="24"/>
      <w:lang w:val="en-US" w:eastAsia="zh-CN"/>
    </w:rPr>
  </w:style>
  <w:style w:type="paragraph" w:styleId="ab">
    <w:name w:val="Revision"/>
    <w:hidden/>
    <w:uiPriority w:val="99"/>
    <w:semiHidden/>
    <w:rsid w:val="0046164B"/>
    <w:rPr>
      <w:rFonts w:ascii="Times New Roman" w:hAnsi="Times New Roman"/>
      <w:szCs w:val="24"/>
    </w:rPr>
  </w:style>
  <w:style w:type="character" w:styleId="ac">
    <w:name w:val="Strong"/>
    <w:basedOn w:val="a0"/>
    <w:uiPriority w:val="99"/>
    <w:qFormat/>
    <w:rsid w:val="005B2FBF"/>
    <w:rPr>
      <w:rFonts w:cs="Times New Roman"/>
      <w:b/>
    </w:rPr>
  </w:style>
  <w:style w:type="character" w:styleId="ad">
    <w:name w:val="line number"/>
    <w:basedOn w:val="a0"/>
    <w:uiPriority w:val="99"/>
    <w:semiHidden/>
    <w:rsid w:val="00B10238"/>
    <w:rPr>
      <w:rFonts w:cs="Times New Roman"/>
    </w:rPr>
  </w:style>
  <w:style w:type="paragraph" w:customStyle="1" w:styleId="p0">
    <w:name w:val="p0"/>
    <w:basedOn w:val="a"/>
    <w:uiPriority w:val="99"/>
    <w:rsid w:val="00820C75"/>
    <w:pPr>
      <w:widowControl/>
      <w:spacing w:line="240" w:lineRule="atLeast"/>
      <w:jc w:val="left"/>
    </w:pPr>
    <w:rPr>
      <w:rFonts w:ascii="Century" w:hAnsi="Century"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A42"/>
    <w:pPr>
      <w:widowControl w:val="0"/>
      <w:jc w:val="both"/>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B3A42"/>
    <w:rPr>
      <w:rFonts w:cs="Times New Roman"/>
      <w:color w:val="0000FF"/>
      <w:u w:val="single"/>
    </w:rPr>
  </w:style>
  <w:style w:type="paragraph" w:styleId="a4">
    <w:name w:val="annotation text"/>
    <w:basedOn w:val="a"/>
    <w:link w:val="Char"/>
    <w:uiPriority w:val="99"/>
    <w:semiHidden/>
    <w:rsid w:val="00BB3A42"/>
    <w:pPr>
      <w:jc w:val="left"/>
    </w:pPr>
  </w:style>
  <w:style w:type="character" w:customStyle="1" w:styleId="Char">
    <w:name w:val="批注文字 Char"/>
    <w:basedOn w:val="a0"/>
    <w:link w:val="a4"/>
    <w:uiPriority w:val="99"/>
    <w:semiHidden/>
    <w:locked/>
    <w:rsid w:val="00BB3A42"/>
    <w:rPr>
      <w:rFonts w:ascii="Times New Roman" w:eastAsia="Times New Roman" w:hAnsi="Times New Roman" w:cs="Times New Roman"/>
      <w:kern w:val="2"/>
      <w:sz w:val="24"/>
      <w:szCs w:val="24"/>
      <w:lang w:val="en-US" w:eastAsia="zh-CN"/>
    </w:rPr>
  </w:style>
  <w:style w:type="table" w:styleId="a5">
    <w:name w:val="Table Grid"/>
    <w:basedOn w:val="a1"/>
    <w:uiPriority w:val="99"/>
    <w:rsid w:val="004B0C9C"/>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0"/>
    <w:uiPriority w:val="99"/>
    <w:semiHidden/>
    <w:rsid w:val="00806B43"/>
    <w:rPr>
      <w:rFonts w:ascii="Tahoma" w:hAnsi="Tahoma" w:cs="Tahoma"/>
      <w:sz w:val="16"/>
      <w:szCs w:val="16"/>
    </w:rPr>
  </w:style>
  <w:style w:type="character" w:customStyle="1" w:styleId="Char0">
    <w:name w:val="批注框文本 Char"/>
    <w:basedOn w:val="a0"/>
    <w:link w:val="a6"/>
    <w:uiPriority w:val="99"/>
    <w:semiHidden/>
    <w:locked/>
    <w:rsid w:val="00806B43"/>
    <w:rPr>
      <w:rFonts w:ascii="Tahoma" w:eastAsia="Times New Roman" w:hAnsi="Tahoma" w:cs="Tahoma"/>
      <w:kern w:val="2"/>
      <w:sz w:val="16"/>
      <w:szCs w:val="16"/>
      <w:lang w:val="en-US" w:eastAsia="zh-CN"/>
    </w:rPr>
  </w:style>
  <w:style w:type="paragraph" w:styleId="a7">
    <w:name w:val="header"/>
    <w:basedOn w:val="a"/>
    <w:link w:val="Char1"/>
    <w:uiPriority w:val="99"/>
    <w:rsid w:val="001F7738"/>
    <w:pPr>
      <w:tabs>
        <w:tab w:val="center" w:pos="4536"/>
        <w:tab w:val="right" w:pos="9072"/>
      </w:tabs>
    </w:pPr>
  </w:style>
  <w:style w:type="character" w:customStyle="1" w:styleId="Char1">
    <w:name w:val="页眉 Char"/>
    <w:basedOn w:val="a0"/>
    <w:link w:val="a7"/>
    <w:uiPriority w:val="99"/>
    <w:locked/>
    <w:rsid w:val="001F7738"/>
    <w:rPr>
      <w:rFonts w:ascii="Times New Roman" w:eastAsia="Times New Roman" w:hAnsi="Times New Roman" w:cs="Times New Roman"/>
      <w:kern w:val="2"/>
      <w:sz w:val="24"/>
      <w:szCs w:val="24"/>
      <w:lang w:val="en-US" w:eastAsia="zh-CN"/>
    </w:rPr>
  </w:style>
  <w:style w:type="paragraph" w:styleId="a8">
    <w:name w:val="footer"/>
    <w:basedOn w:val="a"/>
    <w:link w:val="Char2"/>
    <w:uiPriority w:val="99"/>
    <w:rsid w:val="001F7738"/>
    <w:pPr>
      <w:tabs>
        <w:tab w:val="center" w:pos="4536"/>
        <w:tab w:val="right" w:pos="9072"/>
      </w:tabs>
    </w:pPr>
  </w:style>
  <w:style w:type="character" w:customStyle="1" w:styleId="Char2">
    <w:name w:val="页脚 Char"/>
    <w:basedOn w:val="a0"/>
    <w:link w:val="a8"/>
    <w:uiPriority w:val="99"/>
    <w:locked/>
    <w:rsid w:val="001F7738"/>
    <w:rPr>
      <w:rFonts w:ascii="Times New Roman" w:eastAsia="Times New Roman" w:hAnsi="Times New Roman" w:cs="Times New Roman"/>
      <w:kern w:val="2"/>
      <w:sz w:val="24"/>
      <w:szCs w:val="24"/>
      <w:lang w:val="en-US" w:eastAsia="zh-CN"/>
    </w:rPr>
  </w:style>
  <w:style w:type="character" w:styleId="a9">
    <w:name w:val="annotation reference"/>
    <w:basedOn w:val="a0"/>
    <w:uiPriority w:val="99"/>
    <w:semiHidden/>
    <w:rsid w:val="00A15763"/>
    <w:rPr>
      <w:rFonts w:cs="Times New Roman"/>
      <w:sz w:val="21"/>
      <w:szCs w:val="21"/>
    </w:rPr>
  </w:style>
  <w:style w:type="paragraph" w:styleId="aa">
    <w:name w:val="annotation subject"/>
    <w:basedOn w:val="a4"/>
    <w:next w:val="a4"/>
    <w:link w:val="Char3"/>
    <w:uiPriority w:val="99"/>
    <w:semiHidden/>
    <w:rsid w:val="00A15763"/>
    <w:rPr>
      <w:b/>
      <w:bCs/>
    </w:rPr>
  </w:style>
  <w:style w:type="character" w:customStyle="1" w:styleId="Char3">
    <w:name w:val="批注主题 Char"/>
    <w:basedOn w:val="Char"/>
    <w:link w:val="aa"/>
    <w:uiPriority w:val="99"/>
    <w:semiHidden/>
    <w:locked/>
    <w:rsid w:val="00A15763"/>
    <w:rPr>
      <w:rFonts w:ascii="Times New Roman" w:eastAsia="Times New Roman" w:hAnsi="Times New Roman" w:cs="Times New Roman"/>
      <w:b/>
      <w:bCs/>
      <w:kern w:val="2"/>
      <w:sz w:val="24"/>
      <w:szCs w:val="24"/>
      <w:lang w:val="en-US" w:eastAsia="zh-CN"/>
    </w:rPr>
  </w:style>
  <w:style w:type="paragraph" w:styleId="ab">
    <w:name w:val="Revision"/>
    <w:hidden/>
    <w:uiPriority w:val="99"/>
    <w:semiHidden/>
    <w:rsid w:val="0046164B"/>
    <w:rPr>
      <w:rFonts w:ascii="Times New Roman" w:hAnsi="Times New Roman"/>
      <w:szCs w:val="24"/>
    </w:rPr>
  </w:style>
  <w:style w:type="character" w:styleId="ac">
    <w:name w:val="Strong"/>
    <w:basedOn w:val="a0"/>
    <w:uiPriority w:val="99"/>
    <w:qFormat/>
    <w:rsid w:val="005B2FBF"/>
    <w:rPr>
      <w:rFonts w:cs="Times New Roman"/>
      <w:b/>
    </w:rPr>
  </w:style>
  <w:style w:type="character" w:styleId="ad">
    <w:name w:val="line number"/>
    <w:basedOn w:val="a0"/>
    <w:uiPriority w:val="99"/>
    <w:semiHidden/>
    <w:rsid w:val="00B10238"/>
    <w:rPr>
      <w:rFonts w:cs="Times New Roman"/>
    </w:rPr>
  </w:style>
  <w:style w:type="paragraph" w:customStyle="1" w:styleId="p0">
    <w:name w:val="p0"/>
    <w:basedOn w:val="a"/>
    <w:uiPriority w:val="99"/>
    <w:rsid w:val="00820C75"/>
    <w:pPr>
      <w:widowControl/>
      <w:spacing w:line="240" w:lineRule="atLeast"/>
      <w:jc w:val="left"/>
    </w:pPr>
    <w:rPr>
      <w:rFonts w:ascii="Century" w:hAnsi="Century"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162952">
      <w:marLeft w:val="0"/>
      <w:marRight w:val="0"/>
      <w:marTop w:val="0"/>
      <w:marBottom w:val="0"/>
      <w:divBdr>
        <w:top w:val="none" w:sz="0" w:space="0" w:color="auto"/>
        <w:left w:val="none" w:sz="0" w:space="0" w:color="auto"/>
        <w:bottom w:val="none" w:sz="0" w:space="0" w:color="auto"/>
        <w:right w:val="none" w:sz="0" w:space="0" w:color="auto"/>
      </w:divBdr>
      <w:divsChild>
        <w:div w:id="1955163135">
          <w:marLeft w:val="0"/>
          <w:marRight w:val="0"/>
          <w:marTop w:val="0"/>
          <w:marBottom w:val="0"/>
          <w:divBdr>
            <w:top w:val="none" w:sz="0" w:space="0" w:color="auto"/>
            <w:left w:val="none" w:sz="0" w:space="0" w:color="auto"/>
            <w:bottom w:val="none" w:sz="0" w:space="0" w:color="auto"/>
            <w:right w:val="none" w:sz="0" w:space="0" w:color="auto"/>
          </w:divBdr>
          <w:divsChild>
            <w:div w:id="19551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2964">
      <w:marLeft w:val="0"/>
      <w:marRight w:val="0"/>
      <w:marTop w:val="0"/>
      <w:marBottom w:val="0"/>
      <w:divBdr>
        <w:top w:val="none" w:sz="0" w:space="0" w:color="auto"/>
        <w:left w:val="none" w:sz="0" w:space="0" w:color="auto"/>
        <w:bottom w:val="none" w:sz="0" w:space="0" w:color="auto"/>
        <w:right w:val="none" w:sz="0" w:space="0" w:color="auto"/>
      </w:divBdr>
      <w:divsChild>
        <w:div w:id="1955163109">
          <w:marLeft w:val="0"/>
          <w:marRight w:val="0"/>
          <w:marTop w:val="0"/>
          <w:marBottom w:val="0"/>
          <w:divBdr>
            <w:top w:val="none" w:sz="0" w:space="0" w:color="auto"/>
            <w:left w:val="none" w:sz="0" w:space="0" w:color="auto"/>
            <w:bottom w:val="none" w:sz="0" w:space="0" w:color="auto"/>
            <w:right w:val="none" w:sz="0" w:space="0" w:color="auto"/>
          </w:divBdr>
          <w:divsChild>
            <w:div w:id="1955163120">
              <w:marLeft w:val="0"/>
              <w:marRight w:val="0"/>
              <w:marTop w:val="0"/>
              <w:marBottom w:val="0"/>
              <w:divBdr>
                <w:top w:val="none" w:sz="0" w:space="0" w:color="auto"/>
                <w:left w:val="none" w:sz="0" w:space="0" w:color="auto"/>
                <w:bottom w:val="none" w:sz="0" w:space="0" w:color="auto"/>
                <w:right w:val="none" w:sz="0" w:space="0" w:color="auto"/>
              </w:divBdr>
              <w:divsChild>
                <w:div w:id="1955162972">
                  <w:marLeft w:val="0"/>
                  <w:marRight w:val="0"/>
                  <w:marTop w:val="0"/>
                  <w:marBottom w:val="0"/>
                  <w:divBdr>
                    <w:top w:val="none" w:sz="0" w:space="0" w:color="auto"/>
                    <w:left w:val="none" w:sz="0" w:space="0" w:color="auto"/>
                    <w:bottom w:val="none" w:sz="0" w:space="0" w:color="auto"/>
                    <w:right w:val="none" w:sz="0" w:space="0" w:color="auto"/>
                  </w:divBdr>
                  <w:divsChild>
                    <w:div w:id="1955163014">
                      <w:marLeft w:val="0"/>
                      <w:marRight w:val="0"/>
                      <w:marTop w:val="0"/>
                      <w:marBottom w:val="0"/>
                      <w:divBdr>
                        <w:top w:val="none" w:sz="0" w:space="0" w:color="auto"/>
                        <w:left w:val="none" w:sz="0" w:space="0" w:color="auto"/>
                        <w:bottom w:val="none" w:sz="0" w:space="0" w:color="auto"/>
                        <w:right w:val="none" w:sz="0" w:space="0" w:color="auto"/>
                      </w:divBdr>
                      <w:divsChild>
                        <w:div w:id="1955163113">
                          <w:marLeft w:val="0"/>
                          <w:marRight w:val="0"/>
                          <w:marTop w:val="0"/>
                          <w:marBottom w:val="0"/>
                          <w:divBdr>
                            <w:top w:val="none" w:sz="0" w:space="0" w:color="auto"/>
                            <w:left w:val="none" w:sz="0" w:space="0" w:color="auto"/>
                            <w:bottom w:val="none" w:sz="0" w:space="0" w:color="auto"/>
                            <w:right w:val="none" w:sz="0" w:space="0" w:color="auto"/>
                          </w:divBdr>
                          <w:divsChild>
                            <w:div w:id="1955163034">
                              <w:marLeft w:val="0"/>
                              <w:marRight w:val="0"/>
                              <w:marTop w:val="0"/>
                              <w:marBottom w:val="0"/>
                              <w:divBdr>
                                <w:top w:val="none" w:sz="0" w:space="0" w:color="auto"/>
                                <w:left w:val="none" w:sz="0" w:space="0" w:color="auto"/>
                                <w:bottom w:val="none" w:sz="0" w:space="0" w:color="auto"/>
                                <w:right w:val="none" w:sz="0" w:space="0" w:color="auto"/>
                              </w:divBdr>
                              <w:divsChild>
                                <w:div w:id="1955163075">
                                  <w:marLeft w:val="0"/>
                                  <w:marRight w:val="0"/>
                                  <w:marTop w:val="0"/>
                                  <w:marBottom w:val="0"/>
                                  <w:divBdr>
                                    <w:top w:val="none" w:sz="0" w:space="0" w:color="auto"/>
                                    <w:left w:val="none" w:sz="0" w:space="0" w:color="auto"/>
                                    <w:bottom w:val="none" w:sz="0" w:space="0" w:color="auto"/>
                                    <w:right w:val="none" w:sz="0" w:space="0" w:color="auto"/>
                                  </w:divBdr>
                                  <w:divsChild>
                                    <w:div w:id="1955163110">
                                      <w:marLeft w:val="0"/>
                                      <w:marRight w:val="0"/>
                                      <w:marTop w:val="0"/>
                                      <w:marBottom w:val="0"/>
                                      <w:divBdr>
                                        <w:top w:val="none" w:sz="0" w:space="0" w:color="auto"/>
                                        <w:left w:val="none" w:sz="0" w:space="0" w:color="auto"/>
                                        <w:bottom w:val="none" w:sz="0" w:space="0" w:color="auto"/>
                                        <w:right w:val="none" w:sz="0" w:space="0" w:color="auto"/>
                                      </w:divBdr>
                                      <w:divsChild>
                                        <w:div w:id="19551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2967">
      <w:marLeft w:val="0"/>
      <w:marRight w:val="0"/>
      <w:marTop w:val="0"/>
      <w:marBottom w:val="0"/>
      <w:divBdr>
        <w:top w:val="none" w:sz="0" w:space="0" w:color="auto"/>
        <w:left w:val="none" w:sz="0" w:space="0" w:color="auto"/>
        <w:bottom w:val="none" w:sz="0" w:space="0" w:color="auto"/>
        <w:right w:val="none" w:sz="0" w:space="0" w:color="auto"/>
      </w:divBdr>
      <w:divsChild>
        <w:div w:id="1955163041">
          <w:marLeft w:val="0"/>
          <w:marRight w:val="0"/>
          <w:marTop w:val="0"/>
          <w:marBottom w:val="0"/>
          <w:divBdr>
            <w:top w:val="none" w:sz="0" w:space="0" w:color="auto"/>
            <w:left w:val="none" w:sz="0" w:space="0" w:color="auto"/>
            <w:bottom w:val="none" w:sz="0" w:space="0" w:color="auto"/>
            <w:right w:val="none" w:sz="0" w:space="0" w:color="auto"/>
          </w:divBdr>
          <w:divsChild>
            <w:div w:id="1955163067">
              <w:marLeft w:val="0"/>
              <w:marRight w:val="0"/>
              <w:marTop w:val="0"/>
              <w:marBottom w:val="0"/>
              <w:divBdr>
                <w:top w:val="none" w:sz="0" w:space="0" w:color="auto"/>
                <w:left w:val="none" w:sz="0" w:space="0" w:color="auto"/>
                <w:bottom w:val="none" w:sz="0" w:space="0" w:color="auto"/>
                <w:right w:val="none" w:sz="0" w:space="0" w:color="auto"/>
              </w:divBdr>
              <w:divsChild>
                <w:div w:id="1955162981">
                  <w:marLeft w:val="0"/>
                  <w:marRight w:val="0"/>
                  <w:marTop w:val="0"/>
                  <w:marBottom w:val="0"/>
                  <w:divBdr>
                    <w:top w:val="none" w:sz="0" w:space="0" w:color="auto"/>
                    <w:left w:val="none" w:sz="0" w:space="0" w:color="auto"/>
                    <w:bottom w:val="none" w:sz="0" w:space="0" w:color="auto"/>
                    <w:right w:val="none" w:sz="0" w:space="0" w:color="auto"/>
                  </w:divBdr>
                  <w:divsChild>
                    <w:div w:id="1955162986">
                      <w:marLeft w:val="0"/>
                      <w:marRight w:val="0"/>
                      <w:marTop w:val="0"/>
                      <w:marBottom w:val="0"/>
                      <w:divBdr>
                        <w:top w:val="none" w:sz="0" w:space="0" w:color="auto"/>
                        <w:left w:val="none" w:sz="0" w:space="0" w:color="auto"/>
                        <w:bottom w:val="none" w:sz="0" w:space="0" w:color="auto"/>
                        <w:right w:val="none" w:sz="0" w:space="0" w:color="auto"/>
                      </w:divBdr>
                      <w:divsChild>
                        <w:div w:id="1955163045">
                          <w:marLeft w:val="0"/>
                          <w:marRight w:val="0"/>
                          <w:marTop w:val="0"/>
                          <w:marBottom w:val="0"/>
                          <w:divBdr>
                            <w:top w:val="none" w:sz="0" w:space="0" w:color="auto"/>
                            <w:left w:val="none" w:sz="0" w:space="0" w:color="auto"/>
                            <w:bottom w:val="none" w:sz="0" w:space="0" w:color="auto"/>
                            <w:right w:val="none" w:sz="0" w:space="0" w:color="auto"/>
                          </w:divBdr>
                          <w:divsChild>
                            <w:div w:id="1955163103">
                              <w:marLeft w:val="0"/>
                              <w:marRight w:val="0"/>
                              <w:marTop w:val="0"/>
                              <w:marBottom w:val="0"/>
                              <w:divBdr>
                                <w:top w:val="none" w:sz="0" w:space="0" w:color="auto"/>
                                <w:left w:val="none" w:sz="0" w:space="0" w:color="auto"/>
                                <w:bottom w:val="none" w:sz="0" w:space="0" w:color="auto"/>
                                <w:right w:val="none" w:sz="0" w:space="0" w:color="auto"/>
                              </w:divBdr>
                              <w:divsChild>
                                <w:div w:id="1955163051">
                                  <w:marLeft w:val="0"/>
                                  <w:marRight w:val="0"/>
                                  <w:marTop w:val="0"/>
                                  <w:marBottom w:val="0"/>
                                  <w:divBdr>
                                    <w:top w:val="none" w:sz="0" w:space="0" w:color="auto"/>
                                    <w:left w:val="none" w:sz="0" w:space="0" w:color="auto"/>
                                    <w:bottom w:val="none" w:sz="0" w:space="0" w:color="auto"/>
                                    <w:right w:val="none" w:sz="0" w:space="0" w:color="auto"/>
                                  </w:divBdr>
                                  <w:divsChild>
                                    <w:div w:id="1955163016">
                                      <w:marLeft w:val="0"/>
                                      <w:marRight w:val="0"/>
                                      <w:marTop w:val="0"/>
                                      <w:marBottom w:val="0"/>
                                      <w:divBdr>
                                        <w:top w:val="none" w:sz="0" w:space="0" w:color="auto"/>
                                        <w:left w:val="none" w:sz="0" w:space="0" w:color="auto"/>
                                        <w:bottom w:val="none" w:sz="0" w:space="0" w:color="auto"/>
                                        <w:right w:val="none" w:sz="0" w:space="0" w:color="auto"/>
                                      </w:divBdr>
                                      <w:divsChild>
                                        <w:div w:id="19551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19">
      <w:marLeft w:val="0"/>
      <w:marRight w:val="0"/>
      <w:marTop w:val="0"/>
      <w:marBottom w:val="0"/>
      <w:divBdr>
        <w:top w:val="none" w:sz="0" w:space="0" w:color="auto"/>
        <w:left w:val="none" w:sz="0" w:space="0" w:color="auto"/>
        <w:bottom w:val="none" w:sz="0" w:space="0" w:color="auto"/>
        <w:right w:val="none" w:sz="0" w:space="0" w:color="auto"/>
      </w:divBdr>
      <w:divsChild>
        <w:div w:id="1955163037">
          <w:marLeft w:val="0"/>
          <w:marRight w:val="0"/>
          <w:marTop w:val="0"/>
          <w:marBottom w:val="0"/>
          <w:divBdr>
            <w:top w:val="none" w:sz="0" w:space="0" w:color="auto"/>
            <w:left w:val="none" w:sz="0" w:space="0" w:color="auto"/>
            <w:bottom w:val="none" w:sz="0" w:space="0" w:color="auto"/>
            <w:right w:val="none" w:sz="0" w:space="0" w:color="auto"/>
          </w:divBdr>
          <w:divsChild>
            <w:div w:id="1955163071">
              <w:marLeft w:val="0"/>
              <w:marRight w:val="0"/>
              <w:marTop w:val="0"/>
              <w:marBottom w:val="0"/>
              <w:divBdr>
                <w:top w:val="none" w:sz="0" w:space="0" w:color="auto"/>
                <w:left w:val="none" w:sz="0" w:space="0" w:color="auto"/>
                <w:bottom w:val="none" w:sz="0" w:space="0" w:color="auto"/>
                <w:right w:val="none" w:sz="0" w:space="0" w:color="auto"/>
              </w:divBdr>
              <w:divsChild>
                <w:div w:id="1955162987">
                  <w:marLeft w:val="0"/>
                  <w:marRight w:val="0"/>
                  <w:marTop w:val="0"/>
                  <w:marBottom w:val="0"/>
                  <w:divBdr>
                    <w:top w:val="none" w:sz="0" w:space="0" w:color="auto"/>
                    <w:left w:val="none" w:sz="0" w:space="0" w:color="auto"/>
                    <w:bottom w:val="none" w:sz="0" w:space="0" w:color="auto"/>
                    <w:right w:val="none" w:sz="0" w:space="0" w:color="auto"/>
                  </w:divBdr>
                  <w:divsChild>
                    <w:div w:id="1955163038">
                      <w:marLeft w:val="0"/>
                      <w:marRight w:val="0"/>
                      <w:marTop w:val="0"/>
                      <w:marBottom w:val="0"/>
                      <w:divBdr>
                        <w:top w:val="none" w:sz="0" w:space="0" w:color="auto"/>
                        <w:left w:val="none" w:sz="0" w:space="0" w:color="auto"/>
                        <w:bottom w:val="none" w:sz="0" w:space="0" w:color="auto"/>
                        <w:right w:val="none" w:sz="0" w:space="0" w:color="auto"/>
                      </w:divBdr>
                      <w:divsChild>
                        <w:div w:id="1955162992">
                          <w:marLeft w:val="0"/>
                          <w:marRight w:val="0"/>
                          <w:marTop w:val="0"/>
                          <w:marBottom w:val="0"/>
                          <w:divBdr>
                            <w:top w:val="none" w:sz="0" w:space="0" w:color="auto"/>
                            <w:left w:val="none" w:sz="0" w:space="0" w:color="auto"/>
                            <w:bottom w:val="none" w:sz="0" w:space="0" w:color="auto"/>
                            <w:right w:val="none" w:sz="0" w:space="0" w:color="auto"/>
                          </w:divBdr>
                          <w:divsChild>
                            <w:div w:id="1955163025">
                              <w:marLeft w:val="0"/>
                              <w:marRight w:val="0"/>
                              <w:marTop w:val="0"/>
                              <w:marBottom w:val="0"/>
                              <w:divBdr>
                                <w:top w:val="none" w:sz="0" w:space="0" w:color="auto"/>
                                <w:left w:val="none" w:sz="0" w:space="0" w:color="auto"/>
                                <w:bottom w:val="none" w:sz="0" w:space="0" w:color="auto"/>
                                <w:right w:val="none" w:sz="0" w:space="0" w:color="auto"/>
                              </w:divBdr>
                              <w:divsChild>
                                <w:div w:id="1955162988">
                                  <w:marLeft w:val="0"/>
                                  <w:marRight w:val="0"/>
                                  <w:marTop w:val="0"/>
                                  <w:marBottom w:val="0"/>
                                  <w:divBdr>
                                    <w:top w:val="none" w:sz="0" w:space="0" w:color="auto"/>
                                    <w:left w:val="none" w:sz="0" w:space="0" w:color="auto"/>
                                    <w:bottom w:val="none" w:sz="0" w:space="0" w:color="auto"/>
                                    <w:right w:val="none" w:sz="0" w:space="0" w:color="auto"/>
                                  </w:divBdr>
                                  <w:divsChild>
                                    <w:div w:id="1955162963">
                                      <w:marLeft w:val="0"/>
                                      <w:marRight w:val="0"/>
                                      <w:marTop w:val="0"/>
                                      <w:marBottom w:val="0"/>
                                      <w:divBdr>
                                        <w:top w:val="none" w:sz="0" w:space="0" w:color="auto"/>
                                        <w:left w:val="none" w:sz="0" w:space="0" w:color="auto"/>
                                        <w:bottom w:val="none" w:sz="0" w:space="0" w:color="auto"/>
                                        <w:right w:val="none" w:sz="0" w:space="0" w:color="auto"/>
                                      </w:divBdr>
                                      <w:divsChild>
                                        <w:div w:id="19551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20">
      <w:marLeft w:val="0"/>
      <w:marRight w:val="0"/>
      <w:marTop w:val="0"/>
      <w:marBottom w:val="0"/>
      <w:divBdr>
        <w:top w:val="none" w:sz="0" w:space="0" w:color="auto"/>
        <w:left w:val="none" w:sz="0" w:space="0" w:color="auto"/>
        <w:bottom w:val="none" w:sz="0" w:space="0" w:color="auto"/>
        <w:right w:val="none" w:sz="0" w:space="0" w:color="auto"/>
      </w:divBdr>
      <w:divsChild>
        <w:div w:id="1955163131">
          <w:marLeft w:val="0"/>
          <w:marRight w:val="0"/>
          <w:marTop w:val="0"/>
          <w:marBottom w:val="0"/>
          <w:divBdr>
            <w:top w:val="none" w:sz="0" w:space="0" w:color="auto"/>
            <w:left w:val="none" w:sz="0" w:space="0" w:color="auto"/>
            <w:bottom w:val="none" w:sz="0" w:space="0" w:color="auto"/>
            <w:right w:val="none" w:sz="0" w:space="0" w:color="auto"/>
          </w:divBdr>
          <w:divsChild>
            <w:div w:id="1955163061">
              <w:marLeft w:val="0"/>
              <w:marRight w:val="0"/>
              <w:marTop w:val="0"/>
              <w:marBottom w:val="0"/>
              <w:divBdr>
                <w:top w:val="none" w:sz="0" w:space="0" w:color="auto"/>
                <w:left w:val="none" w:sz="0" w:space="0" w:color="auto"/>
                <w:bottom w:val="none" w:sz="0" w:space="0" w:color="auto"/>
                <w:right w:val="none" w:sz="0" w:space="0" w:color="auto"/>
              </w:divBdr>
              <w:divsChild>
                <w:div w:id="1955163119">
                  <w:marLeft w:val="0"/>
                  <w:marRight w:val="0"/>
                  <w:marTop w:val="0"/>
                  <w:marBottom w:val="0"/>
                  <w:divBdr>
                    <w:top w:val="none" w:sz="0" w:space="0" w:color="auto"/>
                    <w:left w:val="none" w:sz="0" w:space="0" w:color="auto"/>
                    <w:bottom w:val="none" w:sz="0" w:space="0" w:color="auto"/>
                    <w:right w:val="none" w:sz="0" w:space="0" w:color="auto"/>
                  </w:divBdr>
                  <w:divsChild>
                    <w:div w:id="1955163128">
                      <w:marLeft w:val="0"/>
                      <w:marRight w:val="0"/>
                      <w:marTop w:val="0"/>
                      <w:marBottom w:val="0"/>
                      <w:divBdr>
                        <w:top w:val="none" w:sz="0" w:space="0" w:color="auto"/>
                        <w:left w:val="none" w:sz="0" w:space="0" w:color="auto"/>
                        <w:bottom w:val="none" w:sz="0" w:space="0" w:color="auto"/>
                        <w:right w:val="none" w:sz="0" w:space="0" w:color="auto"/>
                      </w:divBdr>
                      <w:divsChild>
                        <w:div w:id="1955162998">
                          <w:marLeft w:val="0"/>
                          <w:marRight w:val="0"/>
                          <w:marTop w:val="0"/>
                          <w:marBottom w:val="0"/>
                          <w:divBdr>
                            <w:top w:val="none" w:sz="0" w:space="0" w:color="auto"/>
                            <w:left w:val="none" w:sz="0" w:space="0" w:color="auto"/>
                            <w:bottom w:val="none" w:sz="0" w:space="0" w:color="auto"/>
                            <w:right w:val="none" w:sz="0" w:space="0" w:color="auto"/>
                          </w:divBdr>
                          <w:divsChild>
                            <w:div w:id="1955162968">
                              <w:marLeft w:val="0"/>
                              <w:marRight w:val="0"/>
                              <w:marTop w:val="0"/>
                              <w:marBottom w:val="0"/>
                              <w:divBdr>
                                <w:top w:val="none" w:sz="0" w:space="0" w:color="auto"/>
                                <w:left w:val="none" w:sz="0" w:space="0" w:color="auto"/>
                                <w:bottom w:val="none" w:sz="0" w:space="0" w:color="auto"/>
                                <w:right w:val="none" w:sz="0" w:space="0" w:color="auto"/>
                              </w:divBdr>
                              <w:divsChild>
                                <w:div w:id="1955163098">
                                  <w:marLeft w:val="0"/>
                                  <w:marRight w:val="0"/>
                                  <w:marTop w:val="0"/>
                                  <w:marBottom w:val="0"/>
                                  <w:divBdr>
                                    <w:top w:val="none" w:sz="0" w:space="0" w:color="auto"/>
                                    <w:left w:val="none" w:sz="0" w:space="0" w:color="auto"/>
                                    <w:bottom w:val="none" w:sz="0" w:space="0" w:color="auto"/>
                                    <w:right w:val="none" w:sz="0" w:space="0" w:color="auto"/>
                                  </w:divBdr>
                                  <w:divsChild>
                                    <w:div w:id="1955163001">
                                      <w:marLeft w:val="0"/>
                                      <w:marRight w:val="0"/>
                                      <w:marTop w:val="0"/>
                                      <w:marBottom w:val="0"/>
                                      <w:divBdr>
                                        <w:top w:val="none" w:sz="0" w:space="0" w:color="auto"/>
                                        <w:left w:val="none" w:sz="0" w:space="0" w:color="auto"/>
                                        <w:bottom w:val="none" w:sz="0" w:space="0" w:color="auto"/>
                                        <w:right w:val="none" w:sz="0" w:space="0" w:color="auto"/>
                                      </w:divBdr>
                                      <w:divsChild>
                                        <w:div w:id="19551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27">
      <w:marLeft w:val="0"/>
      <w:marRight w:val="0"/>
      <w:marTop w:val="0"/>
      <w:marBottom w:val="0"/>
      <w:divBdr>
        <w:top w:val="none" w:sz="0" w:space="0" w:color="auto"/>
        <w:left w:val="none" w:sz="0" w:space="0" w:color="auto"/>
        <w:bottom w:val="none" w:sz="0" w:space="0" w:color="auto"/>
        <w:right w:val="none" w:sz="0" w:space="0" w:color="auto"/>
      </w:divBdr>
      <w:divsChild>
        <w:div w:id="1955163009">
          <w:marLeft w:val="0"/>
          <w:marRight w:val="0"/>
          <w:marTop w:val="0"/>
          <w:marBottom w:val="0"/>
          <w:divBdr>
            <w:top w:val="none" w:sz="0" w:space="0" w:color="auto"/>
            <w:left w:val="none" w:sz="0" w:space="0" w:color="auto"/>
            <w:bottom w:val="none" w:sz="0" w:space="0" w:color="auto"/>
            <w:right w:val="none" w:sz="0" w:space="0" w:color="auto"/>
          </w:divBdr>
          <w:divsChild>
            <w:div w:id="1955163111">
              <w:marLeft w:val="0"/>
              <w:marRight w:val="0"/>
              <w:marTop w:val="0"/>
              <w:marBottom w:val="0"/>
              <w:divBdr>
                <w:top w:val="none" w:sz="0" w:space="0" w:color="auto"/>
                <w:left w:val="none" w:sz="0" w:space="0" w:color="auto"/>
                <w:bottom w:val="none" w:sz="0" w:space="0" w:color="auto"/>
                <w:right w:val="none" w:sz="0" w:space="0" w:color="auto"/>
              </w:divBdr>
              <w:divsChild>
                <w:div w:id="1955163129">
                  <w:marLeft w:val="0"/>
                  <w:marRight w:val="0"/>
                  <w:marTop w:val="0"/>
                  <w:marBottom w:val="0"/>
                  <w:divBdr>
                    <w:top w:val="none" w:sz="0" w:space="0" w:color="auto"/>
                    <w:left w:val="none" w:sz="0" w:space="0" w:color="auto"/>
                    <w:bottom w:val="none" w:sz="0" w:space="0" w:color="auto"/>
                    <w:right w:val="none" w:sz="0" w:space="0" w:color="auto"/>
                  </w:divBdr>
                  <w:divsChild>
                    <w:div w:id="1955163108">
                      <w:marLeft w:val="0"/>
                      <w:marRight w:val="0"/>
                      <w:marTop w:val="0"/>
                      <w:marBottom w:val="0"/>
                      <w:divBdr>
                        <w:top w:val="none" w:sz="0" w:space="0" w:color="auto"/>
                        <w:left w:val="none" w:sz="0" w:space="0" w:color="auto"/>
                        <w:bottom w:val="none" w:sz="0" w:space="0" w:color="auto"/>
                        <w:right w:val="none" w:sz="0" w:space="0" w:color="auto"/>
                      </w:divBdr>
                      <w:divsChild>
                        <w:div w:id="1955163127">
                          <w:marLeft w:val="0"/>
                          <w:marRight w:val="0"/>
                          <w:marTop w:val="0"/>
                          <w:marBottom w:val="0"/>
                          <w:divBdr>
                            <w:top w:val="none" w:sz="0" w:space="0" w:color="auto"/>
                            <w:left w:val="none" w:sz="0" w:space="0" w:color="auto"/>
                            <w:bottom w:val="none" w:sz="0" w:space="0" w:color="auto"/>
                            <w:right w:val="none" w:sz="0" w:space="0" w:color="auto"/>
                          </w:divBdr>
                          <w:divsChild>
                            <w:div w:id="1955163004">
                              <w:marLeft w:val="0"/>
                              <w:marRight w:val="0"/>
                              <w:marTop w:val="0"/>
                              <w:marBottom w:val="0"/>
                              <w:divBdr>
                                <w:top w:val="none" w:sz="0" w:space="0" w:color="auto"/>
                                <w:left w:val="none" w:sz="0" w:space="0" w:color="auto"/>
                                <w:bottom w:val="none" w:sz="0" w:space="0" w:color="auto"/>
                                <w:right w:val="none" w:sz="0" w:space="0" w:color="auto"/>
                              </w:divBdr>
                              <w:divsChild>
                                <w:div w:id="1955162969">
                                  <w:marLeft w:val="0"/>
                                  <w:marRight w:val="0"/>
                                  <w:marTop w:val="0"/>
                                  <w:marBottom w:val="0"/>
                                  <w:divBdr>
                                    <w:top w:val="none" w:sz="0" w:space="0" w:color="auto"/>
                                    <w:left w:val="none" w:sz="0" w:space="0" w:color="auto"/>
                                    <w:bottom w:val="none" w:sz="0" w:space="0" w:color="auto"/>
                                    <w:right w:val="none" w:sz="0" w:space="0" w:color="auto"/>
                                  </w:divBdr>
                                  <w:divsChild>
                                    <w:div w:id="1955162962">
                                      <w:marLeft w:val="0"/>
                                      <w:marRight w:val="0"/>
                                      <w:marTop w:val="0"/>
                                      <w:marBottom w:val="0"/>
                                      <w:divBdr>
                                        <w:top w:val="none" w:sz="0" w:space="0" w:color="auto"/>
                                        <w:left w:val="none" w:sz="0" w:space="0" w:color="auto"/>
                                        <w:bottom w:val="none" w:sz="0" w:space="0" w:color="auto"/>
                                        <w:right w:val="none" w:sz="0" w:space="0" w:color="auto"/>
                                      </w:divBdr>
                                      <w:divsChild>
                                        <w:div w:id="19551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33">
      <w:marLeft w:val="0"/>
      <w:marRight w:val="0"/>
      <w:marTop w:val="0"/>
      <w:marBottom w:val="0"/>
      <w:divBdr>
        <w:top w:val="none" w:sz="0" w:space="0" w:color="auto"/>
        <w:left w:val="none" w:sz="0" w:space="0" w:color="auto"/>
        <w:bottom w:val="none" w:sz="0" w:space="0" w:color="auto"/>
        <w:right w:val="none" w:sz="0" w:space="0" w:color="auto"/>
      </w:divBdr>
      <w:divsChild>
        <w:div w:id="1955163044">
          <w:marLeft w:val="0"/>
          <w:marRight w:val="0"/>
          <w:marTop w:val="0"/>
          <w:marBottom w:val="0"/>
          <w:divBdr>
            <w:top w:val="none" w:sz="0" w:space="0" w:color="auto"/>
            <w:left w:val="none" w:sz="0" w:space="0" w:color="auto"/>
            <w:bottom w:val="none" w:sz="0" w:space="0" w:color="auto"/>
            <w:right w:val="none" w:sz="0" w:space="0" w:color="auto"/>
          </w:divBdr>
          <w:divsChild>
            <w:div w:id="1955163077">
              <w:marLeft w:val="0"/>
              <w:marRight w:val="0"/>
              <w:marTop w:val="0"/>
              <w:marBottom w:val="0"/>
              <w:divBdr>
                <w:top w:val="none" w:sz="0" w:space="0" w:color="auto"/>
                <w:left w:val="none" w:sz="0" w:space="0" w:color="auto"/>
                <w:bottom w:val="none" w:sz="0" w:space="0" w:color="auto"/>
                <w:right w:val="none" w:sz="0" w:space="0" w:color="auto"/>
              </w:divBdr>
              <w:divsChild>
                <w:div w:id="1955162984">
                  <w:marLeft w:val="0"/>
                  <w:marRight w:val="0"/>
                  <w:marTop w:val="0"/>
                  <w:marBottom w:val="0"/>
                  <w:divBdr>
                    <w:top w:val="none" w:sz="0" w:space="0" w:color="auto"/>
                    <w:left w:val="none" w:sz="0" w:space="0" w:color="auto"/>
                    <w:bottom w:val="none" w:sz="0" w:space="0" w:color="auto"/>
                    <w:right w:val="none" w:sz="0" w:space="0" w:color="auto"/>
                  </w:divBdr>
                  <w:divsChild>
                    <w:div w:id="1955163056">
                      <w:marLeft w:val="0"/>
                      <w:marRight w:val="0"/>
                      <w:marTop w:val="0"/>
                      <w:marBottom w:val="0"/>
                      <w:divBdr>
                        <w:top w:val="none" w:sz="0" w:space="0" w:color="auto"/>
                        <w:left w:val="none" w:sz="0" w:space="0" w:color="auto"/>
                        <w:bottom w:val="none" w:sz="0" w:space="0" w:color="auto"/>
                        <w:right w:val="none" w:sz="0" w:space="0" w:color="auto"/>
                      </w:divBdr>
                      <w:divsChild>
                        <w:div w:id="1955162990">
                          <w:marLeft w:val="0"/>
                          <w:marRight w:val="0"/>
                          <w:marTop w:val="0"/>
                          <w:marBottom w:val="0"/>
                          <w:divBdr>
                            <w:top w:val="none" w:sz="0" w:space="0" w:color="auto"/>
                            <w:left w:val="none" w:sz="0" w:space="0" w:color="auto"/>
                            <w:bottom w:val="none" w:sz="0" w:space="0" w:color="auto"/>
                            <w:right w:val="none" w:sz="0" w:space="0" w:color="auto"/>
                          </w:divBdr>
                          <w:divsChild>
                            <w:div w:id="1955163055">
                              <w:marLeft w:val="0"/>
                              <w:marRight w:val="0"/>
                              <w:marTop w:val="0"/>
                              <w:marBottom w:val="0"/>
                              <w:divBdr>
                                <w:top w:val="none" w:sz="0" w:space="0" w:color="auto"/>
                                <w:left w:val="none" w:sz="0" w:space="0" w:color="auto"/>
                                <w:bottom w:val="none" w:sz="0" w:space="0" w:color="auto"/>
                                <w:right w:val="none" w:sz="0" w:space="0" w:color="auto"/>
                              </w:divBdr>
                              <w:divsChild>
                                <w:div w:id="1955163072">
                                  <w:marLeft w:val="0"/>
                                  <w:marRight w:val="0"/>
                                  <w:marTop w:val="0"/>
                                  <w:marBottom w:val="0"/>
                                  <w:divBdr>
                                    <w:top w:val="none" w:sz="0" w:space="0" w:color="auto"/>
                                    <w:left w:val="none" w:sz="0" w:space="0" w:color="auto"/>
                                    <w:bottom w:val="none" w:sz="0" w:space="0" w:color="auto"/>
                                    <w:right w:val="none" w:sz="0" w:space="0" w:color="auto"/>
                                  </w:divBdr>
                                  <w:divsChild>
                                    <w:div w:id="1955162978">
                                      <w:marLeft w:val="0"/>
                                      <w:marRight w:val="0"/>
                                      <w:marTop w:val="0"/>
                                      <w:marBottom w:val="0"/>
                                      <w:divBdr>
                                        <w:top w:val="none" w:sz="0" w:space="0" w:color="auto"/>
                                        <w:left w:val="none" w:sz="0" w:space="0" w:color="auto"/>
                                        <w:bottom w:val="none" w:sz="0" w:space="0" w:color="auto"/>
                                        <w:right w:val="none" w:sz="0" w:space="0" w:color="auto"/>
                                      </w:divBdr>
                                      <w:divsChild>
                                        <w:div w:id="19551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40">
      <w:marLeft w:val="0"/>
      <w:marRight w:val="0"/>
      <w:marTop w:val="0"/>
      <w:marBottom w:val="0"/>
      <w:divBdr>
        <w:top w:val="none" w:sz="0" w:space="0" w:color="auto"/>
        <w:left w:val="none" w:sz="0" w:space="0" w:color="auto"/>
        <w:bottom w:val="none" w:sz="0" w:space="0" w:color="auto"/>
        <w:right w:val="none" w:sz="0" w:space="0" w:color="auto"/>
      </w:divBdr>
      <w:divsChild>
        <w:div w:id="1955163003">
          <w:marLeft w:val="0"/>
          <w:marRight w:val="0"/>
          <w:marTop w:val="0"/>
          <w:marBottom w:val="0"/>
          <w:divBdr>
            <w:top w:val="none" w:sz="0" w:space="0" w:color="auto"/>
            <w:left w:val="none" w:sz="0" w:space="0" w:color="auto"/>
            <w:bottom w:val="none" w:sz="0" w:space="0" w:color="auto"/>
            <w:right w:val="none" w:sz="0" w:space="0" w:color="auto"/>
          </w:divBdr>
          <w:divsChild>
            <w:div w:id="1955163065">
              <w:marLeft w:val="0"/>
              <w:marRight w:val="0"/>
              <w:marTop w:val="0"/>
              <w:marBottom w:val="0"/>
              <w:divBdr>
                <w:top w:val="none" w:sz="0" w:space="0" w:color="auto"/>
                <w:left w:val="none" w:sz="0" w:space="0" w:color="auto"/>
                <w:bottom w:val="none" w:sz="0" w:space="0" w:color="auto"/>
                <w:right w:val="none" w:sz="0" w:space="0" w:color="auto"/>
              </w:divBdr>
              <w:divsChild>
                <w:div w:id="1955163007">
                  <w:marLeft w:val="0"/>
                  <w:marRight w:val="0"/>
                  <w:marTop w:val="0"/>
                  <w:marBottom w:val="0"/>
                  <w:divBdr>
                    <w:top w:val="none" w:sz="0" w:space="0" w:color="auto"/>
                    <w:left w:val="none" w:sz="0" w:space="0" w:color="auto"/>
                    <w:bottom w:val="none" w:sz="0" w:space="0" w:color="auto"/>
                    <w:right w:val="none" w:sz="0" w:space="0" w:color="auto"/>
                  </w:divBdr>
                  <w:divsChild>
                    <w:div w:id="1955163005">
                      <w:marLeft w:val="0"/>
                      <w:marRight w:val="0"/>
                      <w:marTop w:val="0"/>
                      <w:marBottom w:val="0"/>
                      <w:divBdr>
                        <w:top w:val="none" w:sz="0" w:space="0" w:color="auto"/>
                        <w:left w:val="none" w:sz="0" w:space="0" w:color="auto"/>
                        <w:bottom w:val="none" w:sz="0" w:space="0" w:color="auto"/>
                        <w:right w:val="none" w:sz="0" w:space="0" w:color="auto"/>
                      </w:divBdr>
                      <w:divsChild>
                        <w:div w:id="1955162961">
                          <w:marLeft w:val="0"/>
                          <w:marRight w:val="0"/>
                          <w:marTop w:val="0"/>
                          <w:marBottom w:val="0"/>
                          <w:divBdr>
                            <w:top w:val="none" w:sz="0" w:space="0" w:color="auto"/>
                            <w:left w:val="none" w:sz="0" w:space="0" w:color="auto"/>
                            <w:bottom w:val="none" w:sz="0" w:space="0" w:color="auto"/>
                            <w:right w:val="none" w:sz="0" w:space="0" w:color="auto"/>
                          </w:divBdr>
                          <w:divsChild>
                            <w:div w:id="1955162995">
                              <w:marLeft w:val="0"/>
                              <w:marRight w:val="0"/>
                              <w:marTop w:val="0"/>
                              <w:marBottom w:val="0"/>
                              <w:divBdr>
                                <w:top w:val="none" w:sz="0" w:space="0" w:color="auto"/>
                                <w:left w:val="none" w:sz="0" w:space="0" w:color="auto"/>
                                <w:bottom w:val="none" w:sz="0" w:space="0" w:color="auto"/>
                                <w:right w:val="none" w:sz="0" w:space="0" w:color="auto"/>
                              </w:divBdr>
                              <w:divsChild>
                                <w:div w:id="1955163102">
                                  <w:marLeft w:val="0"/>
                                  <w:marRight w:val="0"/>
                                  <w:marTop w:val="0"/>
                                  <w:marBottom w:val="0"/>
                                  <w:divBdr>
                                    <w:top w:val="none" w:sz="0" w:space="0" w:color="auto"/>
                                    <w:left w:val="none" w:sz="0" w:space="0" w:color="auto"/>
                                    <w:bottom w:val="none" w:sz="0" w:space="0" w:color="auto"/>
                                    <w:right w:val="none" w:sz="0" w:space="0" w:color="auto"/>
                                  </w:divBdr>
                                  <w:divsChild>
                                    <w:div w:id="1955163039">
                                      <w:marLeft w:val="0"/>
                                      <w:marRight w:val="0"/>
                                      <w:marTop w:val="0"/>
                                      <w:marBottom w:val="0"/>
                                      <w:divBdr>
                                        <w:top w:val="none" w:sz="0" w:space="0" w:color="auto"/>
                                        <w:left w:val="none" w:sz="0" w:space="0" w:color="auto"/>
                                        <w:bottom w:val="none" w:sz="0" w:space="0" w:color="auto"/>
                                        <w:right w:val="none" w:sz="0" w:space="0" w:color="auto"/>
                                      </w:divBdr>
                                      <w:divsChild>
                                        <w:div w:id="19551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47">
      <w:marLeft w:val="0"/>
      <w:marRight w:val="0"/>
      <w:marTop w:val="0"/>
      <w:marBottom w:val="0"/>
      <w:divBdr>
        <w:top w:val="none" w:sz="0" w:space="0" w:color="auto"/>
        <w:left w:val="none" w:sz="0" w:space="0" w:color="auto"/>
        <w:bottom w:val="none" w:sz="0" w:space="0" w:color="auto"/>
        <w:right w:val="none" w:sz="0" w:space="0" w:color="auto"/>
      </w:divBdr>
      <w:divsChild>
        <w:div w:id="1955163060">
          <w:marLeft w:val="0"/>
          <w:marRight w:val="0"/>
          <w:marTop w:val="0"/>
          <w:marBottom w:val="0"/>
          <w:divBdr>
            <w:top w:val="none" w:sz="0" w:space="0" w:color="auto"/>
            <w:left w:val="none" w:sz="0" w:space="0" w:color="auto"/>
            <w:bottom w:val="none" w:sz="0" w:space="0" w:color="auto"/>
            <w:right w:val="none" w:sz="0" w:space="0" w:color="auto"/>
          </w:divBdr>
          <w:divsChild>
            <w:div w:id="1955163002">
              <w:marLeft w:val="0"/>
              <w:marRight w:val="0"/>
              <w:marTop w:val="0"/>
              <w:marBottom w:val="0"/>
              <w:divBdr>
                <w:top w:val="none" w:sz="0" w:space="0" w:color="auto"/>
                <w:left w:val="none" w:sz="0" w:space="0" w:color="auto"/>
                <w:bottom w:val="none" w:sz="0" w:space="0" w:color="auto"/>
                <w:right w:val="none" w:sz="0" w:space="0" w:color="auto"/>
              </w:divBdr>
              <w:divsChild>
                <w:div w:id="1955163013">
                  <w:marLeft w:val="0"/>
                  <w:marRight w:val="0"/>
                  <w:marTop w:val="0"/>
                  <w:marBottom w:val="0"/>
                  <w:divBdr>
                    <w:top w:val="none" w:sz="0" w:space="0" w:color="auto"/>
                    <w:left w:val="none" w:sz="0" w:space="0" w:color="auto"/>
                    <w:bottom w:val="none" w:sz="0" w:space="0" w:color="auto"/>
                    <w:right w:val="none" w:sz="0" w:space="0" w:color="auto"/>
                  </w:divBdr>
                  <w:divsChild>
                    <w:div w:id="1955163073">
                      <w:marLeft w:val="0"/>
                      <w:marRight w:val="0"/>
                      <w:marTop w:val="0"/>
                      <w:marBottom w:val="0"/>
                      <w:divBdr>
                        <w:top w:val="none" w:sz="0" w:space="0" w:color="auto"/>
                        <w:left w:val="none" w:sz="0" w:space="0" w:color="auto"/>
                        <w:bottom w:val="none" w:sz="0" w:space="0" w:color="auto"/>
                        <w:right w:val="none" w:sz="0" w:space="0" w:color="auto"/>
                      </w:divBdr>
                      <w:divsChild>
                        <w:div w:id="1955162991">
                          <w:marLeft w:val="0"/>
                          <w:marRight w:val="0"/>
                          <w:marTop w:val="0"/>
                          <w:marBottom w:val="0"/>
                          <w:divBdr>
                            <w:top w:val="none" w:sz="0" w:space="0" w:color="auto"/>
                            <w:left w:val="none" w:sz="0" w:space="0" w:color="auto"/>
                            <w:bottom w:val="none" w:sz="0" w:space="0" w:color="auto"/>
                            <w:right w:val="none" w:sz="0" w:space="0" w:color="auto"/>
                          </w:divBdr>
                          <w:divsChild>
                            <w:div w:id="1955162960">
                              <w:marLeft w:val="0"/>
                              <w:marRight w:val="0"/>
                              <w:marTop w:val="0"/>
                              <w:marBottom w:val="0"/>
                              <w:divBdr>
                                <w:top w:val="none" w:sz="0" w:space="0" w:color="auto"/>
                                <w:left w:val="none" w:sz="0" w:space="0" w:color="auto"/>
                                <w:bottom w:val="none" w:sz="0" w:space="0" w:color="auto"/>
                                <w:right w:val="none" w:sz="0" w:space="0" w:color="auto"/>
                              </w:divBdr>
                              <w:divsChild>
                                <w:div w:id="1955163015">
                                  <w:marLeft w:val="0"/>
                                  <w:marRight w:val="0"/>
                                  <w:marTop w:val="0"/>
                                  <w:marBottom w:val="0"/>
                                  <w:divBdr>
                                    <w:top w:val="none" w:sz="0" w:space="0" w:color="auto"/>
                                    <w:left w:val="none" w:sz="0" w:space="0" w:color="auto"/>
                                    <w:bottom w:val="none" w:sz="0" w:space="0" w:color="auto"/>
                                    <w:right w:val="none" w:sz="0" w:space="0" w:color="auto"/>
                                  </w:divBdr>
                                  <w:divsChild>
                                    <w:div w:id="1955163036">
                                      <w:marLeft w:val="0"/>
                                      <w:marRight w:val="0"/>
                                      <w:marTop w:val="0"/>
                                      <w:marBottom w:val="0"/>
                                      <w:divBdr>
                                        <w:top w:val="none" w:sz="0" w:space="0" w:color="auto"/>
                                        <w:left w:val="none" w:sz="0" w:space="0" w:color="auto"/>
                                        <w:bottom w:val="none" w:sz="0" w:space="0" w:color="auto"/>
                                        <w:right w:val="none" w:sz="0" w:space="0" w:color="auto"/>
                                      </w:divBdr>
                                      <w:divsChild>
                                        <w:div w:id="19551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52">
      <w:marLeft w:val="0"/>
      <w:marRight w:val="0"/>
      <w:marTop w:val="0"/>
      <w:marBottom w:val="0"/>
      <w:divBdr>
        <w:top w:val="none" w:sz="0" w:space="0" w:color="auto"/>
        <w:left w:val="none" w:sz="0" w:space="0" w:color="auto"/>
        <w:bottom w:val="none" w:sz="0" w:space="0" w:color="auto"/>
        <w:right w:val="none" w:sz="0" w:space="0" w:color="auto"/>
      </w:divBdr>
      <w:divsChild>
        <w:div w:id="1955162973">
          <w:marLeft w:val="0"/>
          <w:marRight w:val="0"/>
          <w:marTop w:val="0"/>
          <w:marBottom w:val="0"/>
          <w:divBdr>
            <w:top w:val="none" w:sz="0" w:space="0" w:color="auto"/>
            <w:left w:val="none" w:sz="0" w:space="0" w:color="auto"/>
            <w:bottom w:val="none" w:sz="0" w:space="0" w:color="auto"/>
            <w:right w:val="none" w:sz="0" w:space="0" w:color="auto"/>
          </w:divBdr>
          <w:divsChild>
            <w:div w:id="1955163059">
              <w:marLeft w:val="0"/>
              <w:marRight w:val="0"/>
              <w:marTop w:val="0"/>
              <w:marBottom w:val="0"/>
              <w:divBdr>
                <w:top w:val="none" w:sz="0" w:space="0" w:color="auto"/>
                <w:left w:val="none" w:sz="0" w:space="0" w:color="auto"/>
                <w:bottom w:val="none" w:sz="0" w:space="0" w:color="auto"/>
                <w:right w:val="none" w:sz="0" w:space="0" w:color="auto"/>
              </w:divBdr>
              <w:divsChild>
                <w:div w:id="1955163021">
                  <w:marLeft w:val="0"/>
                  <w:marRight w:val="0"/>
                  <w:marTop w:val="0"/>
                  <w:marBottom w:val="0"/>
                  <w:divBdr>
                    <w:top w:val="none" w:sz="0" w:space="0" w:color="auto"/>
                    <w:left w:val="none" w:sz="0" w:space="0" w:color="auto"/>
                    <w:bottom w:val="none" w:sz="0" w:space="0" w:color="auto"/>
                    <w:right w:val="none" w:sz="0" w:space="0" w:color="auto"/>
                  </w:divBdr>
                  <w:divsChild>
                    <w:div w:id="1955162970">
                      <w:marLeft w:val="0"/>
                      <w:marRight w:val="0"/>
                      <w:marTop w:val="0"/>
                      <w:marBottom w:val="0"/>
                      <w:divBdr>
                        <w:top w:val="none" w:sz="0" w:space="0" w:color="auto"/>
                        <w:left w:val="none" w:sz="0" w:space="0" w:color="auto"/>
                        <w:bottom w:val="none" w:sz="0" w:space="0" w:color="auto"/>
                        <w:right w:val="none" w:sz="0" w:space="0" w:color="auto"/>
                      </w:divBdr>
                      <w:divsChild>
                        <w:div w:id="1955163057">
                          <w:marLeft w:val="0"/>
                          <w:marRight w:val="0"/>
                          <w:marTop w:val="0"/>
                          <w:marBottom w:val="0"/>
                          <w:divBdr>
                            <w:top w:val="none" w:sz="0" w:space="0" w:color="auto"/>
                            <w:left w:val="none" w:sz="0" w:space="0" w:color="auto"/>
                            <w:bottom w:val="none" w:sz="0" w:space="0" w:color="auto"/>
                            <w:right w:val="none" w:sz="0" w:space="0" w:color="auto"/>
                          </w:divBdr>
                          <w:divsChild>
                            <w:div w:id="1955163049">
                              <w:marLeft w:val="0"/>
                              <w:marRight w:val="0"/>
                              <w:marTop w:val="0"/>
                              <w:marBottom w:val="0"/>
                              <w:divBdr>
                                <w:top w:val="none" w:sz="0" w:space="0" w:color="auto"/>
                                <w:left w:val="none" w:sz="0" w:space="0" w:color="auto"/>
                                <w:bottom w:val="none" w:sz="0" w:space="0" w:color="auto"/>
                                <w:right w:val="none" w:sz="0" w:space="0" w:color="auto"/>
                              </w:divBdr>
                              <w:divsChild>
                                <w:div w:id="1955163011">
                                  <w:marLeft w:val="0"/>
                                  <w:marRight w:val="0"/>
                                  <w:marTop w:val="0"/>
                                  <w:marBottom w:val="0"/>
                                  <w:divBdr>
                                    <w:top w:val="none" w:sz="0" w:space="0" w:color="auto"/>
                                    <w:left w:val="none" w:sz="0" w:space="0" w:color="auto"/>
                                    <w:bottom w:val="none" w:sz="0" w:space="0" w:color="auto"/>
                                    <w:right w:val="none" w:sz="0" w:space="0" w:color="auto"/>
                                  </w:divBdr>
                                  <w:divsChild>
                                    <w:div w:id="1955162994">
                                      <w:marLeft w:val="0"/>
                                      <w:marRight w:val="0"/>
                                      <w:marTop w:val="0"/>
                                      <w:marBottom w:val="0"/>
                                      <w:divBdr>
                                        <w:top w:val="none" w:sz="0" w:space="0" w:color="auto"/>
                                        <w:left w:val="none" w:sz="0" w:space="0" w:color="auto"/>
                                        <w:bottom w:val="none" w:sz="0" w:space="0" w:color="auto"/>
                                        <w:right w:val="none" w:sz="0" w:space="0" w:color="auto"/>
                                      </w:divBdr>
                                      <w:divsChild>
                                        <w:div w:id="19551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79">
      <w:marLeft w:val="0"/>
      <w:marRight w:val="0"/>
      <w:marTop w:val="0"/>
      <w:marBottom w:val="0"/>
      <w:divBdr>
        <w:top w:val="none" w:sz="0" w:space="0" w:color="auto"/>
        <w:left w:val="none" w:sz="0" w:space="0" w:color="auto"/>
        <w:bottom w:val="none" w:sz="0" w:space="0" w:color="auto"/>
        <w:right w:val="none" w:sz="0" w:space="0" w:color="auto"/>
      </w:divBdr>
      <w:divsChild>
        <w:div w:id="1955163064">
          <w:marLeft w:val="0"/>
          <w:marRight w:val="0"/>
          <w:marTop w:val="0"/>
          <w:marBottom w:val="0"/>
          <w:divBdr>
            <w:top w:val="none" w:sz="0" w:space="0" w:color="auto"/>
            <w:left w:val="none" w:sz="0" w:space="0" w:color="auto"/>
            <w:bottom w:val="none" w:sz="0" w:space="0" w:color="auto"/>
            <w:right w:val="none" w:sz="0" w:space="0" w:color="auto"/>
          </w:divBdr>
          <w:divsChild>
            <w:div w:id="1955163068">
              <w:marLeft w:val="0"/>
              <w:marRight w:val="0"/>
              <w:marTop w:val="0"/>
              <w:marBottom w:val="0"/>
              <w:divBdr>
                <w:top w:val="none" w:sz="0" w:space="0" w:color="auto"/>
                <w:left w:val="none" w:sz="0" w:space="0" w:color="auto"/>
                <w:bottom w:val="none" w:sz="0" w:space="0" w:color="auto"/>
                <w:right w:val="none" w:sz="0" w:space="0" w:color="auto"/>
              </w:divBdr>
              <w:divsChild>
                <w:div w:id="1955163024">
                  <w:marLeft w:val="0"/>
                  <w:marRight w:val="0"/>
                  <w:marTop w:val="0"/>
                  <w:marBottom w:val="0"/>
                  <w:divBdr>
                    <w:top w:val="none" w:sz="0" w:space="0" w:color="auto"/>
                    <w:left w:val="none" w:sz="0" w:space="0" w:color="auto"/>
                    <w:bottom w:val="none" w:sz="0" w:space="0" w:color="auto"/>
                    <w:right w:val="none" w:sz="0" w:space="0" w:color="auto"/>
                  </w:divBdr>
                  <w:divsChild>
                    <w:div w:id="1955163114">
                      <w:marLeft w:val="0"/>
                      <w:marRight w:val="0"/>
                      <w:marTop w:val="0"/>
                      <w:marBottom w:val="0"/>
                      <w:divBdr>
                        <w:top w:val="none" w:sz="0" w:space="0" w:color="auto"/>
                        <w:left w:val="none" w:sz="0" w:space="0" w:color="auto"/>
                        <w:bottom w:val="none" w:sz="0" w:space="0" w:color="auto"/>
                        <w:right w:val="none" w:sz="0" w:space="0" w:color="auto"/>
                      </w:divBdr>
                      <w:divsChild>
                        <w:div w:id="1955163026">
                          <w:marLeft w:val="0"/>
                          <w:marRight w:val="0"/>
                          <w:marTop w:val="0"/>
                          <w:marBottom w:val="0"/>
                          <w:divBdr>
                            <w:top w:val="none" w:sz="0" w:space="0" w:color="auto"/>
                            <w:left w:val="none" w:sz="0" w:space="0" w:color="auto"/>
                            <w:bottom w:val="none" w:sz="0" w:space="0" w:color="auto"/>
                            <w:right w:val="none" w:sz="0" w:space="0" w:color="auto"/>
                          </w:divBdr>
                          <w:divsChild>
                            <w:div w:id="1955163076">
                              <w:marLeft w:val="0"/>
                              <w:marRight w:val="0"/>
                              <w:marTop w:val="0"/>
                              <w:marBottom w:val="0"/>
                              <w:divBdr>
                                <w:top w:val="none" w:sz="0" w:space="0" w:color="auto"/>
                                <w:left w:val="none" w:sz="0" w:space="0" w:color="auto"/>
                                <w:bottom w:val="none" w:sz="0" w:space="0" w:color="auto"/>
                                <w:right w:val="none" w:sz="0" w:space="0" w:color="auto"/>
                              </w:divBdr>
                              <w:divsChild>
                                <w:div w:id="1955163118">
                                  <w:marLeft w:val="0"/>
                                  <w:marRight w:val="0"/>
                                  <w:marTop w:val="0"/>
                                  <w:marBottom w:val="0"/>
                                  <w:divBdr>
                                    <w:top w:val="none" w:sz="0" w:space="0" w:color="auto"/>
                                    <w:left w:val="none" w:sz="0" w:space="0" w:color="auto"/>
                                    <w:bottom w:val="none" w:sz="0" w:space="0" w:color="auto"/>
                                    <w:right w:val="none" w:sz="0" w:space="0" w:color="auto"/>
                                  </w:divBdr>
                                  <w:divsChild>
                                    <w:div w:id="1955163081">
                                      <w:marLeft w:val="0"/>
                                      <w:marRight w:val="0"/>
                                      <w:marTop w:val="0"/>
                                      <w:marBottom w:val="0"/>
                                      <w:divBdr>
                                        <w:top w:val="none" w:sz="0" w:space="0" w:color="auto"/>
                                        <w:left w:val="none" w:sz="0" w:space="0" w:color="auto"/>
                                        <w:bottom w:val="none" w:sz="0" w:space="0" w:color="auto"/>
                                        <w:right w:val="none" w:sz="0" w:space="0" w:color="auto"/>
                                      </w:divBdr>
                                      <w:divsChild>
                                        <w:div w:id="19551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82">
      <w:marLeft w:val="0"/>
      <w:marRight w:val="0"/>
      <w:marTop w:val="0"/>
      <w:marBottom w:val="0"/>
      <w:divBdr>
        <w:top w:val="none" w:sz="0" w:space="0" w:color="auto"/>
        <w:left w:val="none" w:sz="0" w:space="0" w:color="auto"/>
        <w:bottom w:val="none" w:sz="0" w:space="0" w:color="auto"/>
        <w:right w:val="none" w:sz="0" w:space="0" w:color="auto"/>
      </w:divBdr>
      <w:divsChild>
        <w:div w:id="1955162985">
          <w:marLeft w:val="0"/>
          <w:marRight w:val="0"/>
          <w:marTop w:val="0"/>
          <w:marBottom w:val="0"/>
          <w:divBdr>
            <w:top w:val="none" w:sz="0" w:space="0" w:color="auto"/>
            <w:left w:val="none" w:sz="0" w:space="0" w:color="auto"/>
            <w:bottom w:val="none" w:sz="0" w:space="0" w:color="auto"/>
            <w:right w:val="none" w:sz="0" w:space="0" w:color="auto"/>
          </w:divBdr>
          <w:divsChild>
            <w:div w:id="1955163126">
              <w:marLeft w:val="0"/>
              <w:marRight w:val="0"/>
              <w:marTop w:val="0"/>
              <w:marBottom w:val="0"/>
              <w:divBdr>
                <w:top w:val="none" w:sz="0" w:space="0" w:color="auto"/>
                <w:left w:val="none" w:sz="0" w:space="0" w:color="auto"/>
                <w:bottom w:val="none" w:sz="0" w:space="0" w:color="auto"/>
                <w:right w:val="none" w:sz="0" w:space="0" w:color="auto"/>
              </w:divBdr>
              <w:divsChild>
                <w:div w:id="1955163054">
                  <w:marLeft w:val="0"/>
                  <w:marRight w:val="0"/>
                  <w:marTop w:val="0"/>
                  <w:marBottom w:val="0"/>
                  <w:divBdr>
                    <w:top w:val="none" w:sz="0" w:space="0" w:color="auto"/>
                    <w:left w:val="none" w:sz="0" w:space="0" w:color="auto"/>
                    <w:bottom w:val="none" w:sz="0" w:space="0" w:color="auto"/>
                    <w:right w:val="none" w:sz="0" w:space="0" w:color="auto"/>
                  </w:divBdr>
                  <w:divsChild>
                    <w:div w:id="1955163066">
                      <w:marLeft w:val="0"/>
                      <w:marRight w:val="0"/>
                      <w:marTop w:val="0"/>
                      <w:marBottom w:val="0"/>
                      <w:divBdr>
                        <w:top w:val="none" w:sz="0" w:space="0" w:color="auto"/>
                        <w:left w:val="none" w:sz="0" w:space="0" w:color="auto"/>
                        <w:bottom w:val="none" w:sz="0" w:space="0" w:color="auto"/>
                        <w:right w:val="none" w:sz="0" w:space="0" w:color="auto"/>
                      </w:divBdr>
                      <w:divsChild>
                        <w:div w:id="1955163010">
                          <w:marLeft w:val="0"/>
                          <w:marRight w:val="0"/>
                          <w:marTop w:val="0"/>
                          <w:marBottom w:val="0"/>
                          <w:divBdr>
                            <w:top w:val="none" w:sz="0" w:space="0" w:color="auto"/>
                            <w:left w:val="none" w:sz="0" w:space="0" w:color="auto"/>
                            <w:bottom w:val="none" w:sz="0" w:space="0" w:color="auto"/>
                            <w:right w:val="none" w:sz="0" w:space="0" w:color="auto"/>
                          </w:divBdr>
                          <w:divsChild>
                            <w:div w:id="1955163124">
                              <w:marLeft w:val="0"/>
                              <w:marRight w:val="0"/>
                              <w:marTop w:val="0"/>
                              <w:marBottom w:val="0"/>
                              <w:divBdr>
                                <w:top w:val="none" w:sz="0" w:space="0" w:color="auto"/>
                                <w:left w:val="none" w:sz="0" w:space="0" w:color="auto"/>
                                <w:bottom w:val="none" w:sz="0" w:space="0" w:color="auto"/>
                                <w:right w:val="none" w:sz="0" w:space="0" w:color="auto"/>
                              </w:divBdr>
                              <w:divsChild>
                                <w:div w:id="1955162975">
                                  <w:marLeft w:val="0"/>
                                  <w:marRight w:val="0"/>
                                  <w:marTop w:val="0"/>
                                  <w:marBottom w:val="0"/>
                                  <w:divBdr>
                                    <w:top w:val="none" w:sz="0" w:space="0" w:color="auto"/>
                                    <w:left w:val="none" w:sz="0" w:space="0" w:color="auto"/>
                                    <w:bottom w:val="none" w:sz="0" w:space="0" w:color="auto"/>
                                    <w:right w:val="none" w:sz="0" w:space="0" w:color="auto"/>
                                  </w:divBdr>
                                  <w:divsChild>
                                    <w:div w:id="1955162983">
                                      <w:marLeft w:val="0"/>
                                      <w:marRight w:val="0"/>
                                      <w:marTop w:val="0"/>
                                      <w:marBottom w:val="0"/>
                                      <w:divBdr>
                                        <w:top w:val="none" w:sz="0" w:space="0" w:color="auto"/>
                                        <w:left w:val="none" w:sz="0" w:space="0" w:color="auto"/>
                                        <w:bottom w:val="none" w:sz="0" w:space="0" w:color="auto"/>
                                        <w:right w:val="none" w:sz="0" w:space="0" w:color="auto"/>
                                      </w:divBdr>
                                      <w:divsChild>
                                        <w:div w:id="19551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092">
      <w:marLeft w:val="0"/>
      <w:marRight w:val="0"/>
      <w:marTop w:val="0"/>
      <w:marBottom w:val="0"/>
      <w:divBdr>
        <w:top w:val="none" w:sz="0" w:space="0" w:color="auto"/>
        <w:left w:val="none" w:sz="0" w:space="0" w:color="auto"/>
        <w:bottom w:val="none" w:sz="0" w:space="0" w:color="auto"/>
        <w:right w:val="none" w:sz="0" w:space="0" w:color="auto"/>
      </w:divBdr>
      <w:divsChild>
        <w:div w:id="1955163087">
          <w:marLeft w:val="0"/>
          <w:marRight w:val="0"/>
          <w:marTop w:val="0"/>
          <w:marBottom w:val="0"/>
          <w:divBdr>
            <w:top w:val="none" w:sz="0" w:space="0" w:color="auto"/>
            <w:left w:val="none" w:sz="0" w:space="0" w:color="auto"/>
            <w:bottom w:val="none" w:sz="0" w:space="0" w:color="auto"/>
            <w:right w:val="none" w:sz="0" w:space="0" w:color="auto"/>
          </w:divBdr>
          <w:divsChild>
            <w:div w:id="1955163094">
              <w:marLeft w:val="0"/>
              <w:marRight w:val="0"/>
              <w:marTop w:val="0"/>
              <w:marBottom w:val="0"/>
              <w:divBdr>
                <w:top w:val="none" w:sz="0" w:space="0" w:color="auto"/>
                <w:left w:val="none" w:sz="0" w:space="0" w:color="auto"/>
                <w:bottom w:val="none" w:sz="0" w:space="0" w:color="auto"/>
                <w:right w:val="none" w:sz="0" w:space="0" w:color="auto"/>
              </w:divBdr>
              <w:divsChild>
                <w:div w:id="1955163085">
                  <w:marLeft w:val="0"/>
                  <w:marRight w:val="0"/>
                  <w:marTop w:val="0"/>
                  <w:marBottom w:val="0"/>
                  <w:divBdr>
                    <w:top w:val="none" w:sz="0" w:space="0" w:color="auto"/>
                    <w:left w:val="none" w:sz="0" w:space="0" w:color="auto"/>
                    <w:bottom w:val="none" w:sz="0" w:space="0" w:color="auto"/>
                    <w:right w:val="none" w:sz="0" w:space="0" w:color="auto"/>
                  </w:divBdr>
                  <w:divsChild>
                    <w:div w:id="1955163086">
                      <w:marLeft w:val="0"/>
                      <w:marRight w:val="0"/>
                      <w:marTop w:val="0"/>
                      <w:marBottom w:val="0"/>
                      <w:divBdr>
                        <w:top w:val="none" w:sz="0" w:space="0" w:color="auto"/>
                        <w:left w:val="none" w:sz="0" w:space="0" w:color="auto"/>
                        <w:bottom w:val="none" w:sz="0" w:space="0" w:color="auto"/>
                        <w:right w:val="none" w:sz="0" w:space="0" w:color="auto"/>
                      </w:divBdr>
                      <w:divsChild>
                        <w:div w:id="1955163093">
                          <w:marLeft w:val="0"/>
                          <w:marRight w:val="0"/>
                          <w:marTop w:val="0"/>
                          <w:marBottom w:val="0"/>
                          <w:divBdr>
                            <w:top w:val="none" w:sz="0" w:space="0" w:color="auto"/>
                            <w:left w:val="none" w:sz="0" w:space="0" w:color="auto"/>
                            <w:bottom w:val="none" w:sz="0" w:space="0" w:color="auto"/>
                            <w:right w:val="none" w:sz="0" w:space="0" w:color="auto"/>
                          </w:divBdr>
                          <w:divsChild>
                            <w:div w:id="1955163084">
                              <w:marLeft w:val="0"/>
                              <w:marRight w:val="0"/>
                              <w:marTop w:val="0"/>
                              <w:marBottom w:val="0"/>
                              <w:divBdr>
                                <w:top w:val="none" w:sz="0" w:space="0" w:color="auto"/>
                                <w:left w:val="none" w:sz="0" w:space="0" w:color="auto"/>
                                <w:bottom w:val="none" w:sz="0" w:space="0" w:color="auto"/>
                                <w:right w:val="none" w:sz="0" w:space="0" w:color="auto"/>
                              </w:divBdr>
                              <w:divsChild>
                                <w:div w:id="1955163090">
                                  <w:marLeft w:val="46"/>
                                  <w:marRight w:val="55"/>
                                  <w:marTop w:val="0"/>
                                  <w:marBottom w:val="0"/>
                                  <w:divBdr>
                                    <w:top w:val="none" w:sz="0" w:space="0" w:color="auto"/>
                                    <w:left w:val="none" w:sz="0" w:space="0" w:color="auto"/>
                                    <w:bottom w:val="none" w:sz="0" w:space="0" w:color="auto"/>
                                    <w:right w:val="none" w:sz="0" w:space="0" w:color="auto"/>
                                  </w:divBdr>
                                  <w:divsChild>
                                    <w:div w:id="1955163083">
                                      <w:marLeft w:val="0"/>
                                      <w:marRight w:val="0"/>
                                      <w:marTop w:val="0"/>
                                      <w:marBottom w:val="0"/>
                                      <w:divBdr>
                                        <w:top w:val="none" w:sz="0" w:space="0" w:color="auto"/>
                                        <w:left w:val="none" w:sz="0" w:space="0" w:color="auto"/>
                                        <w:bottom w:val="none" w:sz="0" w:space="0" w:color="auto"/>
                                        <w:right w:val="none" w:sz="0" w:space="0" w:color="auto"/>
                                      </w:divBdr>
                                      <w:divsChild>
                                        <w:div w:id="1955163089">
                                          <w:marLeft w:val="0"/>
                                          <w:marRight w:val="0"/>
                                          <w:marTop w:val="0"/>
                                          <w:marBottom w:val="0"/>
                                          <w:divBdr>
                                            <w:top w:val="none" w:sz="0" w:space="0" w:color="auto"/>
                                            <w:left w:val="single" w:sz="4" w:space="0" w:color="CCCCCC"/>
                                            <w:bottom w:val="none" w:sz="0" w:space="0" w:color="auto"/>
                                            <w:right w:val="none" w:sz="0" w:space="0" w:color="auto"/>
                                          </w:divBdr>
                                          <w:divsChild>
                                            <w:div w:id="1955163096">
                                              <w:marLeft w:val="0"/>
                                              <w:marRight w:val="0"/>
                                              <w:marTop w:val="0"/>
                                              <w:marBottom w:val="0"/>
                                              <w:divBdr>
                                                <w:top w:val="none" w:sz="0" w:space="0" w:color="auto"/>
                                                <w:left w:val="none" w:sz="0" w:space="0" w:color="auto"/>
                                                <w:bottom w:val="none" w:sz="0" w:space="0" w:color="auto"/>
                                                <w:right w:val="none" w:sz="0" w:space="0" w:color="auto"/>
                                              </w:divBdr>
                                              <w:divsChild>
                                                <w:div w:id="1955163091">
                                                  <w:marLeft w:val="0"/>
                                                  <w:marRight w:val="0"/>
                                                  <w:marTop w:val="0"/>
                                                  <w:marBottom w:val="0"/>
                                                  <w:divBdr>
                                                    <w:top w:val="none" w:sz="0" w:space="0" w:color="auto"/>
                                                    <w:left w:val="none" w:sz="0" w:space="0" w:color="auto"/>
                                                    <w:bottom w:val="none" w:sz="0" w:space="0" w:color="auto"/>
                                                    <w:right w:val="none" w:sz="0" w:space="0" w:color="auto"/>
                                                  </w:divBdr>
                                                  <w:divsChild>
                                                    <w:div w:id="1955163088">
                                                      <w:marLeft w:val="138"/>
                                                      <w:marRight w:val="0"/>
                                                      <w:marTop w:val="0"/>
                                                      <w:marBottom w:val="0"/>
                                                      <w:divBdr>
                                                        <w:top w:val="none" w:sz="0" w:space="0" w:color="auto"/>
                                                        <w:left w:val="none" w:sz="0" w:space="0" w:color="auto"/>
                                                        <w:bottom w:val="none" w:sz="0" w:space="0" w:color="auto"/>
                                                        <w:right w:val="none" w:sz="0" w:space="0" w:color="auto"/>
                                                      </w:divBdr>
                                                    </w:div>
                                                    <w:div w:id="19551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163099">
      <w:marLeft w:val="0"/>
      <w:marRight w:val="0"/>
      <w:marTop w:val="0"/>
      <w:marBottom w:val="0"/>
      <w:divBdr>
        <w:top w:val="none" w:sz="0" w:space="0" w:color="auto"/>
        <w:left w:val="none" w:sz="0" w:space="0" w:color="auto"/>
        <w:bottom w:val="none" w:sz="0" w:space="0" w:color="auto"/>
        <w:right w:val="none" w:sz="0" w:space="0" w:color="auto"/>
      </w:divBdr>
      <w:divsChild>
        <w:div w:id="1955163023">
          <w:marLeft w:val="0"/>
          <w:marRight w:val="0"/>
          <w:marTop w:val="0"/>
          <w:marBottom w:val="0"/>
          <w:divBdr>
            <w:top w:val="none" w:sz="0" w:space="0" w:color="auto"/>
            <w:left w:val="none" w:sz="0" w:space="0" w:color="auto"/>
            <w:bottom w:val="none" w:sz="0" w:space="0" w:color="auto"/>
            <w:right w:val="none" w:sz="0" w:space="0" w:color="auto"/>
          </w:divBdr>
          <w:divsChild>
            <w:div w:id="1955163050">
              <w:marLeft w:val="0"/>
              <w:marRight w:val="0"/>
              <w:marTop w:val="0"/>
              <w:marBottom w:val="0"/>
              <w:divBdr>
                <w:top w:val="none" w:sz="0" w:space="0" w:color="auto"/>
                <w:left w:val="none" w:sz="0" w:space="0" w:color="auto"/>
                <w:bottom w:val="none" w:sz="0" w:space="0" w:color="auto"/>
                <w:right w:val="none" w:sz="0" w:space="0" w:color="auto"/>
              </w:divBdr>
              <w:divsChild>
                <w:div w:id="1955163000">
                  <w:marLeft w:val="0"/>
                  <w:marRight w:val="0"/>
                  <w:marTop w:val="0"/>
                  <w:marBottom w:val="0"/>
                  <w:divBdr>
                    <w:top w:val="none" w:sz="0" w:space="0" w:color="auto"/>
                    <w:left w:val="none" w:sz="0" w:space="0" w:color="auto"/>
                    <w:bottom w:val="none" w:sz="0" w:space="0" w:color="auto"/>
                    <w:right w:val="none" w:sz="0" w:space="0" w:color="auto"/>
                  </w:divBdr>
                  <w:divsChild>
                    <w:div w:id="1955163008">
                      <w:marLeft w:val="0"/>
                      <w:marRight w:val="0"/>
                      <w:marTop w:val="0"/>
                      <w:marBottom w:val="0"/>
                      <w:divBdr>
                        <w:top w:val="none" w:sz="0" w:space="0" w:color="auto"/>
                        <w:left w:val="none" w:sz="0" w:space="0" w:color="auto"/>
                        <w:bottom w:val="none" w:sz="0" w:space="0" w:color="auto"/>
                        <w:right w:val="none" w:sz="0" w:space="0" w:color="auto"/>
                      </w:divBdr>
                      <w:divsChild>
                        <w:div w:id="1955163116">
                          <w:marLeft w:val="0"/>
                          <w:marRight w:val="0"/>
                          <w:marTop w:val="0"/>
                          <w:marBottom w:val="0"/>
                          <w:divBdr>
                            <w:top w:val="none" w:sz="0" w:space="0" w:color="auto"/>
                            <w:left w:val="none" w:sz="0" w:space="0" w:color="auto"/>
                            <w:bottom w:val="none" w:sz="0" w:space="0" w:color="auto"/>
                            <w:right w:val="none" w:sz="0" w:space="0" w:color="auto"/>
                          </w:divBdr>
                          <w:divsChild>
                            <w:div w:id="1955163063">
                              <w:marLeft w:val="0"/>
                              <w:marRight w:val="0"/>
                              <w:marTop w:val="0"/>
                              <w:marBottom w:val="0"/>
                              <w:divBdr>
                                <w:top w:val="none" w:sz="0" w:space="0" w:color="auto"/>
                                <w:left w:val="none" w:sz="0" w:space="0" w:color="auto"/>
                                <w:bottom w:val="none" w:sz="0" w:space="0" w:color="auto"/>
                                <w:right w:val="none" w:sz="0" w:space="0" w:color="auto"/>
                              </w:divBdr>
                              <w:divsChild>
                                <w:div w:id="1955163097">
                                  <w:marLeft w:val="0"/>
                                  <w:marRight w:val="0"/>
                                  <w:marTop w:val="0"/>
                                  <w:marBottom w:val="0"/>
                                  <w:divBdr>
                                    <w:top w:val="none" w:sz="0" w:space="0" w:color="auto"/>
                                    <w:left w:val="none" w:sz="0" w:space="0" w:color="auto"/>
                                    <w:bottom w:val="none" w:sz="0" w:space="0" w:color="auto"/>
                                    <w:right w:val="none" w:sz="0" w:space="0" w:color="auto"/>
                                  </w:divBdr>
                                  <w:divsChild>
                                    <w:div w:id="1955163046">
                                      <w:marLeft w:val="0"/>
                                      <w:marRight w:val="0"/>
                                      <w:marTop w:val="0"/>
                                      <w:marBottom w:val="0"/>
                                      <w:divBdr>
                                        <w:top w:val="none" w:sz="0" w:space="0" w:color="auto"/>
                                        <w:left w:val="none" w:sz="0" w:space="0" w:color="auto"/>
                                        <w:bottom w:val="none" w:sz="0" w:space="0" w:color="auto"/>
                                        <w:right w:val="none" w:sz="0" w:space="0" w:color="auto"/>
                                      </w:divBdr>
                                      <w:divsChild>
                                        <w:div w:id="19551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100">
      <w:marLeft w:val="0"/>
      <w:marRight w:val="0"/>
      <w:marTop w:val="0"/>
      <w:marBottom w:val="0"/>
      <w:divBdr>
        <w:top w:val="none" w:sz="0" w:space="0" w:color="auto"/>
        <w:left w:val="none" w:sz="0" w:space="0" w:color="auto"/>
        <w:bottom w:val="none" w:sz="0" w:space="0" w:color="auto"/>
        <w:right w:val="none" w:sz="0" w:space="0" w:color="auto"/>
      </w:divBdr>
      <w:divsChild>
        <w:div w:id="1955163043">
          <w:marLeft w:val="0"/>
          <w:marRight w:val="0"/>
          <w:marTop w:val="0"/>
          <w:marBottom w:val="0"/>
          <w:divBdr>
            <w:top w:val="none" w:sz="0" w:space="0" w:color="auto"/>
            <w:left w:val="none" w:sz="0" w:space="0" w:color="auto"/>
            <w:bottom w:val="none" w:sz="0" w:space="0" w:color="auto"/>
            <w:right w:val="none" w:sz="0" w:space="0" w:color="auto"/>
          </w:divBdr>
          <w:divsChild>
            <w:div w:id="1955163017">
              <w:marLeft w:val="0"/>
              <w:marRight w:val="0"/>
              <w:marTop w:val="0"/>
              <w:marBottom w:val="0"/>
              <w:divBdr>
                <w:top w:val="none" w:sz="0" w:space="0" w:color="auto"/>
                <w:left w:val="none" w:sz="0" w:space="0" w:color="auto"/>
                <w:bottom w:val="none" w:sz="0" w:space="0" w:color="auto"/>
                <w:right w:val="none" w:sz="0" w:space="0" w:color="auto"/>
              </w:divBdr>
              <w:divsChild>
                <w:div w:id="1955163006">
                  <w:marLeft w:val="0"/>
                  <w:marRight w:val="0"/>
                  <w:marTop w:val="0"/>
                  <w:marBottom w:val="0"/>
                  <w:divBdr>
                    <w:top w:val="none" w:sz="0" w:space="0" w:color="auto"/>
                    <w:left w:val="none" w:sz="0" w:space="0" w:color="auto"/>
                    <w:bottom w:val="none" w:sz="0" w:space="0" w:color="auto"/>
                    <w:right w:val="none" w:sz="0" w:space="0" w:color="auto"/>
                  </w:divBdr>
                  <w:divsChild>
                    <w:div w:id="1955163028">
                      <w:marLeft w:val="0"/>
                      <w:marRight w:val="0"/>
                      <w:marTop w:val="0"/>
                      <w:marBottom w:val="0"/>
                      <w:divBdr>
                        <w:top w:val="none" w:sz="0" w:space="0" w:color="auto"/>
                        <w:left w:val="none" w:sz="0" w:space="0" w:color="auto"/>
                        <w:bottom w:val="none" w:sz="0" w:space="0" w:color="auto"/>
                        <w:right w:val="none" w:sz="0" w:space="0" w:color="auto"/>
                      </w:divBdr>
                      <w:divsChild>
                        <w:div w:id="1955163104">
                          <w:marLeft w:val="0"/>
                          <w:marRight w:val="0"/>
                          <w:marTop w:val="0"/>
                          <w:marBottom w:val="0"/>
                          <w:divBdr>
                            <w:top w:val="none" w:sz="0" w:space="0" w:color="auto"/>
                            <w:left w:val="none" w:sz="0" w:space="0" w:color="auto"/>
                            <w:bottom w:val="none" w:sz="0" w:space="0" w:color="auto"/>
                            <w:right w:val="none" w:sz="0" w:space="0" w:color="auto"/>
                          </w:divBdr>
                          <w:divsChild>
                            <w:div w:id="1955162999">
                              <w:marLeft w:val="0"/>
                              <w:marRight w:val="0"/>
                              <w:marTop w:val="0"/>
                              <w:marBottom w:val="0"/>
                              <w:divBdr>
                                <w:top w:val="none" w:sz="0" w:space="0" w:color="auto"/>
                                <w:left w:val="none" w:sz="0" w:space="0" w:color="auto"/>
                                <w:bottom w:val="none" w:sz="0" w:space="0" w:color="auto"/>
                                <w:right w:val="none" w:sz="0" w:space="0" w:color="auto"/>
                              </w:divBdr>
                              <w:divsChild>
                                <w:div w:id="1955163070">
                                  <w:marLeft w:val="0"/>
                                  <w:marRight w:val="0"/>
                                  <w:marTop w:val="0"/>
                                  <w:marBottom w:val="0"/>
                                  <w:divBdr>
                                    <w:top w:val="none" w:sz="0" w:space="0" w:color="auto"/>
                                    <w:left w:val="none" w:sz="0" w:space="0" w:color="auto"/>
                                    <w:bottom w:val="none" w:sz="0" w:space="0" w:color="auto"/>
                                    <w:right w:val="none" w:sz="0" w:space="0" w:color="auto"/>
                                  </w:divBdr>
                                  <w:divsChild>
                                    <w:div w:id="1955162980">
                                      <w:marLeft w:val="0"/>
                                      <w:marRight w:val="0"/>
                                      <w:marTop w:val="0"/>
                                      <w:marBottom w:val="0"/>
                                      <w:divBdr>
                                        <w:top w:val="none" w:sz="0" w:space="0" w:color="auto"/>
                                        <w:left w:val="none" w:sz="0" w:space="0" w:color="auto"/>
                                        <w:bottom w:val="none" w:sz="0" w:space="0" w:color="auto"/>
                                        <w:right w:val="none" w:sz="0" w:space="0" w:color="auto"/>
                                      </w:divBdr>
                                      <w:divsChild>
                                        <w:div w:id="19551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101">
      <w:marLeft w:val="0"/>
      <w:marRight w:val="0"/>
      <w:marTop w:val="0"/>
      <w:marBottom w:val="0"/>
      <w:divBdr>
        <w:top w:val="none" w:sz="0" w:space="0" w:color="auto"/>
        <w:left w:val="none" w:sz="0" w:space="0" w:color="auto"/>
        <w:bottom w:val="none" w:sz="0" w:space="0" w:color="auto"/>
        <w:right w:val="none" w:sz="0" w:space="0" w:color="auto"/>
      </w:divBdr>
      <w:divsChild>
        <w:div w:id="1955162974">
          <w:marLeft w:val="0"/>
          <w:marRight w:val="0"/>
          <w:marTop w:val="0"/>
          <w:marBottom w:val="0"/>
          <w:divBdr>
            <w:top w:val="none" w:sz="0" w:space="0" w:color="auto"/>
            <w:left w:val="none" w:sz="0" w:space="0" w:color="auto"/>
            <w:bottom w:val="none" w:sz="0" w:space="0" w:color="auto"/>
            <w:right w:val="none" w:sz="0" w:space="0" w:color="auto"/>
          </w:divBdr>
          <w:divsChild>
            <w:div w:id="1955162989">
              <w:marLeft w:val="0"/>
              <w:marRight w:val="0"/>
              <w:marTop w:val="0"/>
              <w:marBottom w:val="0"/>
              <w:divBdr>
                <w:top w:val="none" w:sz="0" w:space="0" w:color="auto"/>
                <w:left w:val="none" w:sz="0" w:space="0" w:color="auto"/>
                <w:bottom w:val="none" w:sz="0" w:space="0" w:color="auto"/>
                <w:right w:val="none" w:sz="0" w:space="0" w:color="auto"/>
              </w:divBdr>
              <w:divsChild>
                <w:div w:id="1955163080">
                  <w:marLeft w:val="0"/>
                  <w:marRight w:val="0"/>
                  <w:marTop w:val="0"/>
                  <w:marBottom w:val="0"/>
                  <w:divBdr>
                    <w:top w:val="none" w:sz="0" w:space="0" w:color="auto"/>
                    <w:left w:val="none" w:sz="0" w:space="0" w:color="auto"/>
                    <w:bottom w:val="none" w:sz="0" w:space="0" w:color="auto"/>
                    <w:right w:val="none" w:sz="0" w:space="0" w:color="auto"/>
                  </w:divBdr>
                  <w:divsChild>
                    <w:div w:id="1955162971">
                      <w:marLeft w:val="0"/>
                      <w:marRight w:val="0"/>
                      <w:marTop w:val="0"/>
                      <w:marBottom w:val="0"/>
                      <w:divBdr>
                        <w:top w:val="none" w:sz="0" w:space="0" w:color="auto"/>
                        <w:left w:val="none" w:sz="0" w:space="0" w:color="auto"/>
                        <w:bottom w:val="none" w:sz="0" w:space="0" w:color="auto"/>
                        <w:right w:val="none" w:sz="0" w:space="0" w:color="auto"/>
                      </w:divBdr>
                      <w:divsChild>
                        <w:div w:id="1955163121">
                          <w:marLeft w:val="0"/>
                          <w:marRight w:val="0"/>
                          <w:marTop w:val="0"/>
                          <w:marBottom w:val="0"/>
                          <w:divBdr>
                            <w:top w:val="none" w:sz="0" w:space="0" w:color="auto"/>
                            <w:left w:val="none" w:sz="0" w:space="0" w:color="auto"/>
                            <w:bottom w:val="none" w:sz="0" w:space="0" w:color="auto"/>
                            <w:right w:val="none" w:sz="0" w:space="0" w:color="auto"/>
                          </w:divBdr>
                          <w:divsChild>
                            <w:div w:id="1955163012">
                              <w:marLeft w:val="0"/>
                              <w:marRight w:val="0"/>
                              <w:marTop w:val="0"/>
                              <w:marBottom w:val="0"/>
                              <w:divBdr>
                                <w:top w:val="none" w:sz="0" w:space="0" w:color="auto"/>
                                <w:left w:val="none" w:sz="0" w:space="0" w:color="auto"/>
                                <w:bottom w:val="none" w:sz="0" w:space="0" w:color="auto"/>
                                <w:right w:val="none" w:sz="0" w:space="0" w:color="auto"/>
                              </w:divBdr>
                              <w:divsChild>
                                <w:div w:id="1955163022">
                                  <w:marLeft w:val="0"/>
                                  <w:marRight w:val="0"/>
                                  <w:marTop w:val="0"/>
                                  <w:marBottom w:val="0"/>
                                  <w:divBdr>
                                    <w:top w:val="none" w:sz="0" w:space="0" w:color="auto"/>
                                    <w:left w:val="none" w:sz="0" w:space="0" w:color="auto"/>
                                    <w:bottom w:val="none" w:sz="0" w:space="0" w:color="auto"/>
                                    <w:right w:val="none" w:sz="0" w:space="0" w:color="auto"/>
                                  </w:divBdr>
                                  <w:divsChild>
                                    <w:div w:id="1955162996">
                                      <w:marLeft w:val="0"/>
                                      <w:marRight w:val="0"/>
                                      <w:marTop w:val="0"/>
                                      <w:marBottom w:val="0"/>
                                      <w:divBdr>
                                        <w:top w:val="none" w:sz="0" w:space="0" w:color="auto"/>
                                        <w:left w:val="none" w:sz="0" w:space="0" w:color="auto"/>
                                        <w:bottom w:val="none" w:sz="0" w:space="0" w:color="auto"/>
                                        <w:right w:val="none" w:sz="0" w:space="0" w:color="auto"/>
                                      </w:divBdr>
                                      <w:divsChild>
                                        <w:div w:id="19551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107">
      <w:marLeft w:val="0"/>
      <w:marRight w:val="0"/>
      <w:marTop w:val="0"/>
      <w:marBottom w:val="0"/>
      <w:divBdr>
        <w:top w:val="none" w:sz="0" w:space="0" w:color="auto"/>
        <w:left w:val="none" w:sz="0" w:space="0" w:color="auto"/>
        <w:bottom w:val="none" w:sz="0" w:space="0" w:color="auto"/>
        <w:right w:val="none" w:sz="0" w:space="0" w:color="auto"/>
      </w:divBdr>
      <w:divsChild>
        <w:div w:id="1955163105">
          <w:marLeft w:val="0"/>
          <w:marRight w:val="0"/>
          <w:marTop w:val="0"/>
          <w:marBottom w:val="0"/>
          <w:divBdr>
            <w:top w:val="none" w:sz="0" w:space="0" w:color="auto"/>
            <w:left w:val="none" w:sz="0" w:space="0" w:color="auto"/>
            <w:bottom w:val="none" w:sz="0" w:space="0" w:color="auto"/>
            <w:right w:val="none" w:sz="0" w:space="0" w:color="auto"/>
          </w:divBdr>
          <w:divsChild>
            <w:div w:id="1955162965">
              <w:marLeft w:val="0"/>
              <w:marRight w:val="0"/>
              <w:marTop w:val="0"/>
              <w:marBottom w:val="0"/>
              <w:divBdr>
                <w:top w:val="none" w:sz="0" w:space="0" w:color="auto"/>
                <w:left w:val="none" w:sz="0" w:space="0" w:color="auto"/>
                <w:bottom w:val="none" w:sz="0" w:space="0" w:color="auto"/>
                <w:right w:val="none" w:sz="0" w:space="0" w:color="auto"/>
              </w:divBdr>
              <w:divsChild>
                <w:div w:id="1955163123">
                  <w:marLeft w:val="0"/>
                  <w:marRight w:val="0"/>
                  <w:marTop w:val="0"/>
                  <w:marBottom w:val="0"/>
                  <w:divBdr>
                    <w:top w:val="none" w:sz="0" w:space="0" w:color="auto"/>
                    <w:left w:val="none" w:sz="0" w:space="0" w:color="auto"/>
                    <w:bottom w:val="none" w:sz="0" w:space="0" w:color="auto"/>
                    <w:right w:val="none" w:sz="0" w:space="0" w:color="auto"/>
                  </w:divBdr>
                  <w:divsChild>
                    <w:div w:id="1955163069">
                      <w:marLeft w:val="0"/>
                      <w:marRight w:val="0"/>
                      <w:marTop w:val="0"/>
                      <w:marBottom w:val="0"/>
                      <w:divBdr>
                        <w:top w:val="none" w:sz="0" w:space="0" w:color="auto"/>
                        <w:left w:val="none" w:sz="0" w:space="0" w:color="auto"/>
                        <w:bottom w:val="none" w:sz="0" w:space="0" w:color="auto"/>
                        <w:right w:val="none" w:sz="0" w:space="0" w:color="auto"/>
                      </w:divBdr>
                      <w:divsChild>
                        <w:div w:id="1955162982">
                          <w:marLeft w:val="0"/>
                          <w:marRight w:val="0"/>
                          <w:marTop w:val="0"/>
                          <w:marBottom w:val="0"/>
                          <w:divBdr>
                            <w:top w:val="none" w:sz="0" w:space="0" w:color="auto"/>
                            <w:left w:val="none" w:sz="0" w:space="0" w:color="auto"/>
                            <w:bottom w:val="none" w:sz="0" w:space="0" w:color="auto"/>
                            <w:right w:val="none" w:sz="0" w:space="0" w:color="auto"/>
                          </w:divBdr>
                          <w:divsChild>
                            <w:div w:id="1955163122">
                              <w:marLeft w:val="0"/>
                              <w:marRight w:val="0"/>
                              <w:marTop w:val="0"/>
                              <w:marBottom w:val="0"/>
                              <w:divBdr>
                                <w:top w:val="none" w:sz="0" w:space="0" w:color="auto"/>
                                <w:left w:val="none" w:sz="0" w:space="0" w:color="auto"/>
                                <w:bottom w:val="none" w:sz="0" w:space="0" w:color="auto"/>
                                <w:right w:val="none" w:sz="0" w:space="0" w:color="auto"/>
                              </w:divBdr>
                              <w:divsChild>
                                <w:div w:id="1955163048">
                                  <w:marLeft w:val="0"/>
                                  <w:marRight w:val="0"/>
                                  <w:marTop w:val="0"/>
                                  <w:marBottom w:val="0"/>
                                  <w:divBdr>
                                    <w:top w:val="none" w:sz="0" w:space="0" w:color="auto"/>
                                    <w:left w:val="none" w:sz="0" w:space="0" w:color="auto"/>
                                    <w:bottom w:val="none" w:sz="0" w:space="0" w:color="auto"/>
                                    <w:right w:val="none" w:sz="0" w:space="0" w:color="auto"/>
                                  </w:divBdr>
                                  <w:divsChild>
                                    <w:div w:id="1955163030">
                                      <w:marLeft w:val="0"/>
                                      <w:marRight w:val="0"/>
                                      <w:marTop w:val="0"/>
                                      <w:marBottom w:val="0"/>
                                      <w:divBdr>
                                        <w:top w:val="none" w:sz="0" w:space="0" w:color="auto"/>
                                        <w:left w:val="none" w:sz="0" w:space="0" w:color="auto"/>
                                        <w:bottom w:val="none" w:sz="0" w:space="0" w:color="auto"/>
                                        <w:right w:val="none" w:sz="0" w:space="0" w:color="auto"/>
                                      </w:divBdr>
                                      <w:divsChild>
                                        <w:div w:id="19551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115">
      <w:marLeft w:val="0"/>
      <w:marRight w:val="0"/>
      <w:marTop w:val="0"/>
      <w:marBottom w:val="0"/>
      <w:divBdr>
        <w:top w:val="none" w:sz="0" w:space="0" w:color="auto"/>
        <w:left w:val="none" w:sz="0" w:space="0" w:color="auto"/>
        <w:bottom w:val="none" w:sz="0" w:space="0" w:color="auto"/>
        <w:right w:val="none" w:sz="0" w:space="0" w:color="auto"/>
      </w:divBdr>
      <w:divsChild>
        <w:div w:id="1955163042">
          <w:marLeft w:val="0"/>
          <w:marRight w:val="0"/>
          <w:marTop w:val="0"/>
          <w:marBottom w:val="0"/>
          <w:divBdr>
            <w:top w:val="none" w:sz="0" w:space="0" w:color="auto"/>
            <w:left w:val="none" w:sz="0" w:space="0" w:color="auto"/>
            <w:bottom w:val="none" w:sz="0" w:space="0" w:color="auto"/>
            <w:right w:val="none" w:sz="0" w:space="0" w:color="auto"/>
          </w:divBdr>
          <w:divsChild>
            <w:div w:id="1955163031">
              <w:marLeft w:val="0"/>
              <w:marRight w:val="0"/>
              <w:marTop w:val="0"/>
              <w:marBottom w:val="0"/>
              <w:divBdr>
                <w:top w:val="none" w:sz="0" w:space="0" w:color="auto"/>
                <w:left w:val="none" w:sz="0" w:space="0" w:color="auto"/>
                <w:bottom w:val="none" w:sz="0" w:space="0" w:color="auto"/>
                <w:right w:val="none" w:sz="0" w:space="0" w:color="auto"/>
              </w:divBdr>
              <w:divsChild>
                <w:div w:id="1955163018">
                  <w:marLeft w:val="0"/>
                  <w:marRight w:val="0"/>
                  <w:marTop w:val="0"/>
                  <w:marBottom w:val="0"/>
                  <w:divBdr>
                    <w:top w:val="none" w:sz="0" w:space="0" w:color="auto"/>
                    <w:left w:val="none" w:sz="0" w:space="0" w:color="auto"/>
                    <w:bottom w:val="none" w:sz="0" w:space="0" w:color="auto"/>
                    <w:right w:val="none" w:sz="0" w:space="0" w:color="auto"/>
                  </w:divBdr>
                  <w:divsChild>
                    <w:div w:id="1955162966">
                      <w:marLeft w:val="0"/>
                      <w:marRight w:val="0"/>
                      <w:marTop w:val="0"/>
                      <w:marBottom w:val="0"/>
                      <w:divBdr>
                        <w:top w:val="none" w:sz="0" w:space="0" w:color="auto"/>
                        <w:left w:val="none" w:sz="0" w:space="0" w:color="auto"/>
                        <w:bottom w:val="none" w:sz="0" w:space="0" w:color="auto"/>
                        <w:right w:val="none" w:sz="0" w:space="0" w:color="auto"/>
                      </w:divBdr>
                      <w:divsChild>
                        <w:div w:id="1955163053">
                          <w:marLeft w:val="0"/>
                          <w:marRight w:val="0"/>
                          <w:marTop w:val="0"/>
                          <w:marBottom w:val="0"/>
                          <w:divBdr>
                            <w:top w:val="none" w:sz="0" w:space="0" w:color="auto"/>
                            <w:left w:val="none" w:sz="0" w:space="0" w:color="auto"/>
                            <w:bottom w:val="none" w:sz="0" w:space="0" w:color="auto"/>
                            <w:right w:val="none" w:sz="0" w:space="0" w:color="auto"/>
                          </w:divBdr>
                          <w:divsChild>
                            <w:div w:id="1955162997">
                              <w:marLeft w:val="0"/>
                              <w:marRight w:val="0"/>
                              <w:marTop w:val="0"/>
                              <w:marBottom w:val="0"/>
                              <w:divBdr>
                                <w:top w:val="none" w:sz="0" w:space="0" w:color="auto"/>
                                <w:left w:val="none" w:sz="0" w:space="0" w:color="auto"/>
                                <w:bottom w:val="none" w:sz="0" w:space="0" w:color="auto"/>
                                <w:right w:val="none" w:sz="0" w:space="0" w:color="auto"/>
                              </w:divBdr>
                              <w:divsChild>
                                <w:div w:id="1955162993">
                                  <w:marLeft w:val="0"/>
                                  <w:marRight w:val="0"/>
                                  <w:marTop w:val="0"/>
                                  <w:marBottom w:val="0"/>
                                  <w:divBdr>
                                    <w:top w:val="none" w:sz="0" w:space="0" w:color="auto"/>
                                    <w:left w:val="none" w:sz="0" w:space="0" w:color="auto"/>
                                    <w:bottom w:val="none" w:sz="0" w:space="0" w:color="auto"/>
                                    <w:right w:val="none" w:sz="0" w:space="0" w:color="auto"/>
                                  </w:divBdr>
                                  <w:divsChild>
                                    <w:div w:id="1955163106">
                                      <w:marLeft w:val="0"/>
                                      <w:marRight w:val="0"/>
                                      <w:marTop w:val="0"/>
                                      <w:marBottom w:val="0"/>
                                      <w:divBdr>
                                        <w:top w:val="none" w:sz="0" w:space="0" w:color="auto"/>
                                        <w:left w:val="none" w:sz="0" w:space="0" w:color="auto"/>
                                        <w:bottom w:val="none" w:sz="0" w:space="0" w:color="auto"/>
                                        <w:right w:val="none" w:sz="0" w:space="0" w:color="auto"/>
                                      </w:divBdr>
                                      <w:divsChild>
                                        <w:div w:id="19551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163134">
      <w:marLeft w:val="0"/>
      <w:marRight w:val="0"/>
      <w:marTop w:val="0"/>
      <w:marBottom w:val="0"/>
      <w:divBdr>
        <w:top w:val="none" w:sz="0" w:space="0" w:color="auto"/>
        <w:left w:val="none" w:sz="0" w:space="0" w:color="auto"/>
        <w:bottom w:val="none" w:sz="0" w:space="0" w:color="auto"/>
        <w:right w:val="none" w:sz="0" w:space="0" w:color="auto"/>
      </w:divBdr>
    </w:div>
    <w:div w:id="1955163140">
      <w:marLeft w:val="0"/>
      <w:marRight w:val="0"/>
      <w:marTop w:val="0"/>
      <w:marBottom w:val="0"/>
      <w:divBdr>
        <w:top w:val="none" w:sz="0" w:space="0" w:color="auto"/>
        <w:left w:val="none" w:sz="0" w:space="0" w:color="auto"/>
        <w:bottom w:val="none" w:sz="0" w:space="0" w:color="auto"/>
        <w:right w:val="none" w:sz="0" w:space="0" w:color="auto"/>
      </w:divBdr>
      <w:divsChild>
        <w:div w:id="1955162949">
          <w:marLeft w:val="0"/>
          <w:marRight w:val="0"/>
          <w:marTop w:val="0"/>
          <w:marBottom w:val="0"/>
          <w:divBdr>
            <w:top w:val="none" w:sz="0" w:space="0" w:color="auto"/>
            <w:left w:val="none" w:sz="0" w:space="0" w:color="auto"/>
            <w:bottom w:val="none" w:sz="0" w:space="0" w:color="auto"/>
            <w:right w:val="none" w:sz="0" w:space="0" w:color="auto"/>
          </w:divBdr>
          <w:divsChild>
            <w:div w:id="1955162950">
              <w:marLeft w:val="0"/>
              <w:marRight w:val="0"/>
              <w:marTop w:val="0"/>
              <w:marBottom w:val="0"/>
              <w:divBdr>
                <w:top w:val="none" w:sz="0" w:space="0" w:color="auto"/>
                <w:left w:val="none" w:sz="0" w:space="0" w:color="auto"/>
                <w:bottom w:val="none" w:sz="0" w:space="0" w:color="auto"/>
                <w:right w:val="none" w:sz="0" w:space="0" w:color="auto"/>
              </w:divBdr>
            </w:div>
            <w:div w:id="1955162951">
              <w:marLeft w:val="0"/>
              <w:marRight w:val="0"/>
              <w:marTop w:val="0"/>
              <w:marBottom w:val="0"/>
              <w:divBdr>
                <w:top w:val="none" w:sz="0" w:space="0" w:color="auto"/>
                <w:left w:val="none" w:sz="0" w:space="0" w:color="auto"/>
                <w:bottom w:val="none" w:sz="0" w:space="0" w:color="auto"/>
                <w:right w:val="none" w:sz="0" w:space="0" w:color="auto"/>
              </w:divBdr>
            </w:div>
            <w:div w:id="1955162953">
              <w:marLeft w:val="0"/>
              <w:marRight w:val="0"/>
              <w:marTop w:val="0"/>
              <w:marBottom w:val="0"/>
              <w:divBdr>
                <w:top w:val="none" w:sz="0" w:space="0" w:color="auto"/>
                <w:left w:val="none" w:sz="0" w:space="0" w:color="auto"/>
                <w:bottom w:val="none" w:sz="0" w:space="0" w:color="auto"/>
                <w:right w:val="none" w:sz="0" w:space="0" w:color="auto"/>
              </w:divBdr>
            </w:div>
            <w:div w:id="1955162955">
              <w:marLeft w:val="0"/>
              <w:marRight w:val="0"/>
              <w:marTop w:val="0"/>
              <w:marBottom w:val="0"/>
              <w:divBdr>
                <w:top w:val="none" w:sz="0" w:space="0" w:color="auto"/>
                <w:left w:val="none" w:sz="0" w:space="0" w:color="auto"/>
                <w:bottom w:val="none" w:sz="0" w:space="0" w:color="auto"/>
                <w:right w:val="none" w:sz="0" w:space="0" w:color="auto"/>
              </w:divBdr>
            </w:div>
            <w:div w:id="1955162956">
              <w:marLeft w:val="0"/>
              <w:marRight w:val="0"/>
              <w:marTop w:val="0"/>
              <w:marBottom w:val="0"/>
              <w:divBdr>
                <w:top w:val="none" w:sz="0" w:space="0" w:color="auto"/>
                <w:left w:val="none" w:sz="0" w:space="0" w:color="auto"/>
                <w:bottom w:val="none" w:sz="0" w:space="0" w:color="auto"/>
                <w:right w:val="none" w:sz="0" w:space="0" w:color="auto"/>
              </w:divBdr>
            </w:div>
            <w:div w:id="1955162957">
              <w:marLeft w:val="0"/>
              <w:marRight w:val="0"/>
              <w:marTop w:val="0"/>
              <w:marBottom w:val="0"/>
              <w:divBdr>
                <w:top w:val="none" w:sz="0" w:space="0" w:color="auto"/>
                <w:left w:val="none" w:sz="0" w:space="0" w:color="auto"/>
                <w:bottom w:val="none" w:sz="0" w:space="0" w:color="auto"/>
                <w:right w:val="none" w:sz="0" w:space="0" w:color="auto"/>
              </w:divBdr>
            </w:div>
            <w:div w:id="1955162958">
              <w:marLeft w:val="0"/>
              <w:marRight w:val="0"/>
              <w:marTop w:val="0"/>
              <w:marBottom w:val="0"/>
              <w:divBdr>
                <w:top w:val="none" w:sz="0" w:space="0" w:color="auto"/>
                <w:left w:val="none" w:sz="0" w:space="0" w:color="auto"/>
                <w:bottom w:val="none" w:sz="0" w:space="0" w:color="auto"/>
                <w:right w:val="none" w:sz="0" w:space="0" w:color="auto"/>
              </w:divBdr>
            </w:div>
            <w:div w:id="1955162959">
              <w:marLeft w:val="0"/>
              <w:marRight w:val="0"/>
              <w:marTop w:val="0"/>
              <w:marBottom w:val="0"/>
              <w:divBdr>
                <w:top w:val="none" w:sz="0" w:space="0" w:color="auto"/>
                <w:left w:val="none" w:sz="0" w:space="0" w:color="auto"/>
                <w:bottom w:val="none" w:sz="0" w:space="0" w:color="auto"/>
                <w:right w:val="none" w:sz="0" w:space="0" w:color="auto"/>
              </w:divBdr>
            </w:div>
            <w:div w:id="1955163136">
              <w:marLeft w:val="0"/>
              <w:marRight w:val="0"/>
              <w:marTop w:val="0"/>
              <w:marBottom w:val="0"/>
              <w:divBdr>
                <w:top w:val="none" w:sz="0" w:space="0" w:color="auto"/>
                <w:left w:val="none" w:sz="0" w:space="0" w:color="auto"/>
                <w:bottom w:val="none" w:sz="0" w:space="0" w:color="auto"/>
                <w:right w:val="none" w:sz="0" w:space="0" w:color="auto"/>
              </w:divBdr>
            </w:div>
            <w:div w:id="1955163137">
              <w:marLeft w:val="0"/>
              <w:marRight w:val="0"/>
              <w:marTop w:val="0"/>
              <w:marBottom w:val="0"/>
              <w:divBdr>
                <w:top w:val="none" w:sz="0" w:space="0" w:color="auto"/>
                <w:left w:val="none" w:sz="0" w:space="0" w:color="auto"/>
                <w:bottom w:val="none" w:sz="0" w:space="0" w:color="auto"/>
                <w:right w:val="none" w:sz="0" w:space="0" w:color="auto"/>
              </w:divBdr>
            </w:div>
            <w:div w:id="1955163138">
              <w:marLeft w:val="0"/>
              <w:marRight w:val="0"/>
              <w:marTop w:val="0"/>
              <w:marBottom w:val="0"/>
              <w:divBdr>
                <w:top w:val="none" w:sz="0" w:space="0" w:color="auto"/>
                <w:left w:val="none" w:sz="0" w:space="0" w:color="auto"/>
                <w:bottom w:val="none" w:sz="0" w:space="0" w:color="auto"/>
                <w:right w:val="none" w:sz="0" w:space="0" w:color="auto"/>
              </w:divBdr>
            </w:div>
            <w:div w:id="1955163139">
              <w:marLeft w:val="0"/>
              <w:marRight w:val="0"/>
              <w:marTop w:val="0"/>
              <w:marBottom w:val="0"/>
              <w:divBdr>
                <w:top w:val="none" w:sz="0" w:space="0" w:color="auto"/>
                <w:left w:val="none" w:sz="0" w:space="0" w:color="auto"/>
                <w:bottom w:val="none" w:sz="0" w:space="0" w:color="auto"/>
                <w:right w:val="none" w:sz="0" w:space="0" w:color="auto"/>
              </w:divBdr>
            </w:div>
            <w:div w:id="1955163141">
              <w:marLeft w:val="0"/>
              <w:marRight w:val="0"/>
              <w:marTop w:val="0"/>
              <w:marBottom w:val="0"/>
              <w:divBdr>
                <w:top w:val="none" w:sz="0" w:space="0" w:color="auto"/>
                <w:left w:val="none" w:sz="0" w:space="0" w:color="auto"/>
                <w:bottom w:val="none" w:sz="0" w:space="0" w:color="auto"/>
                <w:right w:val="none" w:sz="0" w:space="0" w:color="auto"/>
              </w:divBdr>
            </w:div>
            <w:div w:id="1955163142">
              <w:marLeft w:val="0"/>
              <w:marRight w:val="0"/>
              <w:marTop w:val="0"/>
              <w:marBottom w:val="0"/>
              <w:divBdr>
                <w:top w:val="none" w:sz="0" w:space="0" w:color="auto"/>
                <w:left w:val="none" w:sz="0" w:space="0" w:color="auto"/>
                <w:bottom w:val="none" w:sz="0" w:space="0" w:color="auto"/>
                <w:right w:val="none" w:sz="0" w:space="0" w:color="auto"/>
              </w:divBdr>
            </w:div>
            <w:div w:id="1955163143">
              <w:marLeft w:val="0"/>
              <w:marRight w:val="0"/>
              <w:marTop w:val="0"/>
              <w:marBottom w:val="0"/>
              <w:divBdr>
                <w:top w:val="none" w:sz="0" w:space="0" w:color="auto"/>
                <w:left w:val="none" w:sz="0" w:space="0" w:color="auto"/>
                <w:bottom w:val="none" w:sz="0" w:space="0" w:color="auto"/>
                <w:right w:val="none" w:sz="0" w:space="0" w:color="auto"/>
              </w:divBdr>
            </w:div>
            <w:div w:id="1955163144">
              <w:marLeft w:val="0"/>
              <w:marRight w:val="0"/>
              <w:marTop w:val="0"/>
              <w:marBottom w:val="0"/>
              <w:divBdr>
                <w:top w:val="none" w:sz="0" w:space="0" w:color="auto"/>
                <w:left w:val="none" w:sz="0" w:space="0" w:color="auto"/>
                <w:bottom w:val="none" w:sz="0" w:space="0" w:color="auto"/>
                <w:right w:val="none" w:sz="0" w:space="0" w:color="auto"/>
              </w:divBdr>
            </w:div>
            <w:div w:id="1955163145">
              <w:marLeft w:val="0"/>
              <w:marRight w:val="0"/>
              <w:marTop w:val="0"/>
              <w:marBottom w:val="0"/>
              <w:divBdr>
                <w:top w:val="none" w:sz="0" w:space="0" w:color="auto"/>
                <w:left w:val="none" w:sz="0" w:space="0" w:color="auto"/>
                <w:bottom w:val="none" w:sz="0" w:space="0" w:color="auto"/>
                <w:right w:val="none" w:sz="0" w:space="0" w:color="auto"/>
              </w:divBdr>
            </w:div>
            <w:div w:id="1955163147">
              <w:marLeft w:val="0"/>
              <w:marRight w:val="0"/>
              <w:marTop w:val="0"/>
              <w:marBottom w:val="0"/>
              <w:divBdr>
                <w:top w:val="none" w:sz="0" w:space="0" w:color="auto"/>
                <w:left w:val="none" w:sz="0" w:space="0" w:color="auto"/>
                <w:bottom w:val="none" w:sz="0" w:space="0" w:color="auto"/>
                <w:right w:val="none" w:sz="0" w:space="0" w:color="auto"/>
              </w:divBdr>
            </w:div>
            <w:div w:id="19551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31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3264</Words>
  <Characters>18606</Characters>
  <Application>Microsoft Office Word</Application>
  <DocSecurity>0</DocSecurity>
  <Lines>155</Lines>
  <Paragraphs>43</Paragraphs>
  <ScaleCrop>false</ScaleCrop>
  <Company>Salzburger Landeskliniken</Company>
  <LinksUpToDate>false</LinksUpToDate>
  <CharactersWithSpaces>21827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cp:lastPrinted>2012-12-19T16:19:00Z</cp:lastPrinted>
  <dcterms:created xsi:type="dcterms:W3CDTF">2013-05-08T02:19:00Z</dcterms:created>
  <dcterms:modified xsi:type="dcterms:W3CDTF">2013-05-08T02:19:00Z</dcterms:modified>
</cp:coreProperties>
</file>