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629" w:rsidRPr="00DB135C" w:rsidRDefault="00E16629" w:rsidP="00645EC0">
      <w:pPr>
        <w:widowControl/>
        <w:spacing w:line="360" w:lineRule="auto"/>
        <w:rPr>
          <w:rFonts w:ascii="Book Antiqua" w:hAnsi="Book Antiqua"/>
          <w:b/>
          <w:color w:val="000000"/>
          <w:kern w:val="0"/>
          <w:sz w:val="24"/>
          <w:szCs w:val="24"/>
          <w:lang w:eastAsia="en-US"/>
        </w:rPr>
      </w:pPr>
      <w:r w:rsidRPr="00DB135C">
        <w:rPr>
          <w:rFonts w:ascii="Book Antiqua" w:hAnsi="Book Antiqua"/>
          <w:b/>
          <w:color w:val="000000"/>
          <w:kern w:val="0"/>
          <w:sz w:val="24"/>
          <w:szCs w:val="24"/>
          <w:lang w:eastAsia="en-US"/>
        </w:rPr>
        <w:t xml:space="preserve">Name of journal: </w:t>
      </w:r>
      <w:r w:rsidRPr="00DB135C">
        <w:rPr>
          <w:rFonts w:ascii="Book Antiqua" w:hAnsi="Book Antiqua"/>
          <w:b/>
          <w:i/>
          <w:color w:val="000000"/>
          <w:kern w:val="0"/>
          <w:sz w:val="24"/>
          <w:szCs w:val="24"/>
          <w:lang w:eastAsia="en-US"/>
        </w:rPr>
        <w:t>World Journal of Orthopedics</w:t>
      </w:r>
    </w:p>
    <w:p w:rsidR="00E16629" w:rsidRPr="00DB135C" w:rsidRDefault="00E16629" w:rsidP="00645EC0">
      <w:pPr>
        <w:widowControl/>
        <w:spacing w:line="360" w:lineRule="auto"/>
        <w:rPr>
          <w:rFonts w:ascii="Book Antiqua" w:hAnsi="Book Antiqua"/>
          <w:b/>
          <w:color w:val="000000"/>
          <w:kern w:val="0"/>
          <w:sz w:val="24"/>
          <w:szCs w:val="24"/>
          <w:lang w:eastAsia="en-US"/>
        </w:rPr>
      </w:pPr>
      <w:r w:rsidRPr="00DB135C">
        <w:rPr>
          <w:rFonts w:ascii="Book Antiqua" w:hAnsi="Book Antiqua"/>
          <w:b/>
          <w:color w:val="000000"/>
          <w:kern w:val="0"/>
          <w:sz w:val="24"/>
          <w:szCs w:val="24"/>
          <w:lang w:eastAsia="en-US"/>
        </w:rPr>
        <w:t>ESPS Manuscript NO: 16190</w:t>
      </w:r>
    </w:p>
    <w:p w:rsidR="00E16629" w:rsidRPr="00DB135C" w:rsidRDefault="00E16629" w:rsidP="00645EC0">
      <w:pPr>
        <w:widowControl/>
        <w:spacing w:line="360" w:lineRule="auto"/>
        <w:jc w:val="left"/>
        <w:rPr>
          <w:rFonts w:ascii="Book Antiqua" w:hAnsi="Book Antiqua"/>
          <w:b/>
          <w:color w:val="000000"/>
          <w:kern w:val="0"/>
          <w:sz w:val="24"/>
          <w:szCs w:val="24"/>
        </w:rPr>
      </w:pPr>
      <w:r w:rsidRPr="00DB135C">
        <w:rPr>
          <w:rFonts w:ascii="Book Antiqua" w:hAnsi="Book Antiqua"/>
          <w:b/>
          <w:color w:val="000000"/>
          <w:kern w:val="0"/>
          <w:sz w:val="24"/>
          <w:szCs w:val="24"/>
          <w:lang w:eastAsia="en-US"/>
        </w:rPr>
        <w:t>Manuscript Type</w:t>
      </w:r>
      <w:r w:rsidRPr="00DB135C">
        <w:rPr>
          <w:rFonts w:ascii="Book Antiqua" w:hAnsi="Book Antiqua"/>
          <w:b/>
          <w:color w:val="000000"/>
          <w:kern w:val="0"/>
          <w:sz w:val="24"/>
          <w:szCs w:val="24"/>
        </w:rPr>
        <w:t>:</w:t>
      </w:r>
      <w:r w:rsidRPr="00DB135C">
        <w:rPr>
          <w:rFonts w:ascii="Book Antiqua" w:hAnsi="Book Antiqua"/>
          <w:b/>
          <w:color w:val="000000"/>
          <w:kern w:val="0"/>
          <w:sz w:val="24"/>
          <w:szCs w:val="24"/>
          <w:lang w:eastAsia="en-US"/>
        </w:rPr>
        <w:t xml:space="preserve"> Case Report</w:t>
      </w:r>
    </w:p>
    <w:p w:rsidR="00E16629" w:rsidRPr="00DB135C" w:rsidRDefault="00E16629" w:rsidP="00645EC0">
      <w:pPr>
        <w:spacing w:line="360" w:lineRule="auto"/>
        <w:rPr>
          <w:rFonts w:ascii="Book Antiqua" w:hAnsi="Book Antiqua"/>
          <w:b/>
          <w:sz w:val="24"/>
          <w:szCs w:val="24"/>
        </w:rPr>
      </w:pPr>
    </w:p>
    <w:p w:rsidR="00E16629" w:rsidRPr="00DB135C" w:rsidRDefault="00E16629" w:rsidP="00645EC0">
      <w:pPr>
        <w:spacing w:line="360" w:lineRule="auto"/>
        <w:rPr>
          <w:rFonts w:ascii="Book Antiqua" w:hAnsi="Book Antiqua"/>
          <w:b/>
          <w:sz w:val="24"/>
          <w:szCs w:val="24"/>
        </w:rPr>
      </w:pPr>
      <w:r w:rsidRPr="00DB135C">
        <w:rPr>
          <w:rFonts w:ascii="Book Antiqua" w:hAnsi="Book Antiqua"/>
          <w:b/>
          <w:sz w:val="24"/>
          <w:szCs w:val="24"/>
        </w:rPr>
        <w:t>Surgical treatment of sacral fractures following lumbosacral arthrodesis: Case report and literature review</w:t>
      </w:r>
    </w:p>
    <w:p w:rsidR="00E16629" w:rsidRPr="00DB135C" w:rsidRDefault="00E16629" w:rsidP="00645EC0">
      <w:pPr>
        <w:pStyle w:val="CommentText"/>
        <w:spacing w:before="0" w:after="0" w:line="360" w:lineRule="auto"/>
        <w:jc w:val="both"/>
        <w:rPr>
          <w:rFonts w:ascii="Book Antiqua" w:hAnsi="Book Antiqua"/>
          <w:b/>
          <w:sz w:val="24"/>
          <w:szCs w:val="24"/>
          <w:lang w:eastAsia="zh-CN"/>
        </w:rPr>
      </w:pPr>
    </w:p>
    <w:p w:rsidR="00E16629" w:rsidRPr="00DB135C" w:rsidRDefault="00E16629" w:rsidP="00645EC0">
      <w:pPr>
        <w:pStyle w:val="CommentText"/>
        <w:spacing w:before="0" w:after="0" w:line="360" w:lineRule="auto"/>
        <w:jc w:val="both"/>
        <w:rPr>
          <w:rFonts w:ascii="Book Antiqua" w:hAnsi="Book Antiqua"/>
          <w:sz w:val="24"/>
          <w:szCs w:val="24"/>
          <w:lang w:eastAsia="zh-CN"/>
        </w:rPr>
      </w:pPr>
      <w:r w:rsidRPr="00DB135C">
        <w:rPr>
          <w:rFonts w:ascii="Book Antiqua" w:hAnsi="Book Antiqua" w:cs="Calibri"/>
          <w:sz w:val="24"/>
          <w:szCs w:val="24"/>
          <w:lang w:eastAsia="zh-CN"/>
        </w:rPr>
        <w:t>Wang</w:t>
      </w:r>
      <w:r w:rsidRPr="00DB135C">
        <w:rPr>
          <w:rFonts w:ascii="Book Antiqua" w:hAnsi="Book Antiqua"/>
          <w:sz w:val="24"/>
          <w:szCs w:val="24"/>
        </w:rPr>
        <w:t xml:space="preserve"> </w:t>
      </w:r>
      <w:r w:rsidRPr="00DB135C">
        <w:rPr>
          <w:rFonts w:ascii="Book Antiqua" w:hAnsi="Book Antiqua"/>
          <w:sz w:val="24"/>
          <w:szCs w:val="24"/>
          <w:lang w:eastAsia="zh-CN"/>
        </w:rPr>
        <w:t xml:space="preserve">Y </w:t>
      </w:r>
      <w:r w:rsidRPr="00DB135C">
        <w:rPr>
          <w:rFonts w:ascii="Book Antiqua" w:hAnsi="Book Antiqua"/>
          <w:i/>
          <w:sz w:val="24"/>
          <w:szCs w:val="24"/>
          <w:lang w:eastAsia="zh-CN"/>
        </w:rPr>
        <w:t>et al</w:t>
      </w:r>
      <w:r w:rsidRPr="00DB135C">
        <w:rPr>
          <w:rFonts w:ascii="Book Antiqua" w:hAnsi="Book Antiqua"/>
          <w:sz w:val="24"/>
          <w:szCs w:val="24"/>
          <w:lang w:eastAsia="zh-CN"/>
        </w:rPr>
        <w:t xml:space="preserve">. </w:t>
      </w:r>
      <w:r w:rsidRPr="00DB135C">
        <w:rPr>
          <w:rFonts w:ascii="Book Antiqua" w:hAnsi="Book Antiqua"/>
          <w:sz w:val="24"/>
          <w:szCs w:val="24"/>
        </w:rPr>
        <w:t>Sacral fractures following lumbosacral arthrodesis</w:t>
      </w:r>
    </w:p>
    <w:p w:rsidR="00E16629" w:rsidRPr="00DB135C" w:rsidRDefault="00E16629" w:rsidP="00645EC0">
      <w:pPr>
        <w:pStyle w:val="CommentText"/>
        <w:spacing w:before="0" w:after="0" w:line="360" w:lineRule="auto"/>
        <w:jc w:val="both"/>
        <w:rPr>
          <w:rFonts w:ascii="Book Antiqua" w:hAnsi="Book Antiqua"/>
          <w:sz w:val="24"/>
          <w:szCs w:val="24"/>
          <w:lang w:eastAsia="zh-CN"/>
        </w:rPr>
      </w:pPr>
    </w:p>
    <w:p w:rsidR="00E16629" w:rsidRPr="00467433" w:rsidRDefault="00E16629" w:rsidP="00645EC0">
      <w:pPr>
        <w:pStyle w:val="CommentText"/>
        <w:spacing w:before="0" w:after="0" w:line="360" w:lineRule="auto"/>
        <w:jc w:val="both"/>
        <w:rPr>
          <w:rFonts w:ascii="Book Antiqua" w:hAnsi="Book Antiqua" w:cs="Calibri"/>
          <w:b/>
          <w:sz w:val="24"/>
          <w:szCs w:val="24"/>
          <w:lang w:eastAsia="zh-CN"/>
        </w:rPr>
      </w:pPr>
      <w:r w:rsidRPr="00467433">
        <w:rPr>
          <w:rFonts w:ascii="Book Antiqua" w:hAnsi="Book Antiqua" w:cs="Calibri"/>
          <w:b/>
          <w:sz w:val="24"/>
          <w:szCs w:val="24"/>
          <w:lang w:eastAsia="zh-CN"/>
        </w:rPr>
        <w:t>Yu Wang, Xian-Yi Liu, Chun-De Li, Xiao-Dong Yi, Zheng-Rong Yu</w:t>
      </w:r>
    </w:p>
    <w:p w:rsidR="00E16629" w:rsidRPr="00DB135C" w:rsidRDefault="00E16629" w:rsidP="00645EC0">
      <w:pPr>
        <w:pStyle w:val="CommentText"/>
        <w:spacing w:before="0" w:after="0" w:line="360" w:lineRule="auto"/>
        <w:jc w:val="both"/>
        <w:rPr>
          <w:rFonts w:ascii="Book Antiqua" w:hAnsi="Book Antiqua"/>
          <w:sz w:val="24"/>
          <w:szCs w:val="24"/>
          <w:lang w:eastAsia="zh-CN"/>
        </w:rPr>
      </w:pPr>
    </w:p>
    <w:p w:rsidR="00E16629" w:rsidRPr="00DB135C" w:rsidRDefault="00E16629" w:rsidP="00645EC0">
      <w:pPr>
        <w:pStyle w:val="CommentText"/>
        <w:spacing w:before="0" w:after="0" w:line="360" w:lineRule="auto"/>
        <w:jc w:val="both"/>
        <w:rPr>
          <w:rFonts w:ascii="Book Antiqua" w:hAnsi="Book Antiqua" w:cs="Calibri"/>
          <w:sz w:val="24"/>
          <w:szCs w:val="24"/>
          <w:lang w:eastAsia="zh-CN"/>
        </w:rPr>
      </w:pPr>
      <w:r w:rsidRPr="00DB135C">
        <w:rPr>
          <w:rFonts w:ascii="Book Antiqua" w:hAnsi="Book Antiqua" w:cs="Calibri"/>
          <w:b/>
          <w:sz w:val="24"/>
          <w:szCs w:val="24"/>
          <w:lang w:eastAsia="zh-CN"/>
        </w:rPr>
        <w:t>Yu Wang, Xian-Yi Liu, Chun-De Li , Xiao-Dong Yi, Zheng-Rong Yu,</w:t>
      </w:r>
      <w:r w:rsidRPr="00DB135C">
        <w:rPr>
          <w:rFonts w:ascii="Book Antiqua" w:hAnsi="Book Antiqua" w:cs="Calibri"/>
          <w:sz w:val="24"/>
          <w:szCs w:val="24"/>
          <w:lang w:eastAsia="zh-CN"/>
        </w:rPr>
        <w:t xml:space="preserve"> Department of Orthopaedics, Peking University First Hospital, Beijing 100034, China</w:t>
      </w:r>
    </w:p>
    <w:p w:rsidR="00E16629" w:rsidRPr="00DB135C" w:rsidRDefault="00E16629" w:rsidP="00645EC0">
      <w:pPr>
        <w:pStyle w:val="CommentText"/>
        <w:spacing w:before="0" w:after="0" w:line="360" w:lineRule="auto"/>
        <w:jc w:val="both"/>
        <w:rPr>
          <w:rFonts w:ascii="Book Antiqua" w:hAnsi="Book Antiqua"/>
          <w:sz w:val="24"/>
          <w:szCs w:val="24"/>
          <w:lang w:eastAsia="zh-CN"/>
        </w:rPr>
      </w:pPr>
    </w:p>
    <w:p w:rsidR="00E16629" w:rsidRPr="00DB135C" w:rsidRDefault="00E16629" w:rsidP="00645EC0">
      <w:pPr>
        <w:spacing w:line="360" w:lineRule="auto"/>
        <w:rPr>
          <w:rFonts w:ascii="Book Antiqua" w:hAnsi="Book Antiqua"/>
          <w:b/>
          <w:sz w:val="24"/>
          <w:szCs w:val="24"/>
        </w:rPr>
      </w:pPr>
      <w:r w:rsidRPr="00DB135C">
        <w:rPr>
          <w:rFonts w:ascii="Book Antiqua" w:hAnsi="Book Antiqua"/>
          <w:b/>
          <w:sz w:val="24"/>
          <w:szCs w:val="24"/>
        </w:rPr>
        <w:t xml:space="preserve">Author contributions: </w:t>
      </w:r>
      <w:r w:rsidRPr="00DB135C">
        <w:rPr>
          <w:rFonts w:ascii="Book Antiqua" w:hAnsi="Book Antiqua"/>
          <w:sz w:val="24"/>
          <w:szCs w:val="24"/>
        </w:rPr>
        <w:t>Wang Y, Li CD, and Yi XD designed the research study; Liu XY performed the surgeries; Yu ZR revised manuscript.</w:t>
      </w:r>
    </w:p>
    <w:p w:rsidR="00E16629" w:rsidRPr="00DB135C" w:rsidRDefault="00E16629" w:rsidP="00645EC0">
      <w:pPr>
        <w:pStyle w:val="CommentText"/>
        <w:spacing w:before="0" w:after="0" w:line="360" w:lineRule="auto"/>
        <w:jc w:val="both"/>
        <w:rPr>
          <w:rFonts w:ascii="Book Antiqua" w:hAnsi="Book Antiqua"/>
          <w:bCs/>
          <w:sz w:val="24"/>
          <w:szCs w:val="24"/>
          <w:lang w:eastAsia="zh-CN"/>
        </w:rPr>
      </w:pPr>
    </w:p>
    <w:p w:rsidR="00E16629" w:rsidRPr="00DB135C" w:rsidRDefault="00E16629" w:rsidP="00645EC0">
      <w:pPr>
        <w:spacing w:line="360" w:lineRule="auto"/>
        <w:rPr>
          <w:rFonts w:ascii="Book Antiqua" w:hAnsi="Book Antiqua"/>
          <w:sz w:val="24"/>
          <w:szCs w:val="24"/>
        </w:rPr>
      </w:pPr>
      <w:r w:rsidRPr="004E1EAF">
        <w:rPr>
          <w:rFonts w:ascii="Book Antiqua" w:hAnsi="Book Antiqua"/>
          <w:b/>
          <w:sz w:val="24"/>
          <w:szCs w:val="24"/>
        </w:rPr>
        <w:t xml:space="preserve">Institutional review board statement: </w:t>
      </w:r>
      <w:r w:rsidRPr="00DB135C">
        <w:rPr>
          <w:rFonts w:ascii="Book Antiqua" w:hAnsi="Book Antiqua"/>
          <w:color w:val="000000"/>
          <w:kern w:val="0"/>
          <w:sz w:val="24"/>
          <w:szCs w:val="24"/>
        </w:rPr>
        <w:t>The study was reviewed and approved by the Peking University First Hospital Institutional Review Board.</w:t>
      </w:r>
    </w:p>
    <w:p w:rsidR="00E16629" w:rsidRPr="00DB135C" w:rsidRDefault="00E16629" w:rsidP="00645EC0">
      <w:pPr>
        <w:spacing w:line="360" w:lineRule="auto"/>
        <w:rPr>
          <w:rFonts w:ascii="Book Antiqua" w:hAnsi="Book Antiqua"/>
          <w:color w:val="000000"/>
          <w:kern w:val="0"/>
          <w:sz w:val="24"/>
          <w:szCs w:val="24"/>
        </w:rPr>
      </w:pPr>
    </w:p>
    <w:p w:rsidR="00E16629" w:rsidRPr="00DB135C" w:rsidRDefault="00E16629" w:rsidP="00645EC0">
      <w:pPr>
        <w:spacing w:line="360" w:lineRule="auto"/>
        <w:rPr>
          <w:rFonts w:ascii="Book Antiqua" w:hAnsi="Book Antiqua"/>
          <w:b/>
          <w:sz w:val="24"/>
          <w:szCs w:val="24"/>
        </w:rPr>
      </w:pPr>
      <w:r w:rsidRPr="00DB135C">
        <w:rPr>
          <w:rFonts w:ascii="Book Antiqua" w:hAnsi="Book Antiqua"/>
          <w:b/>
          <w:sz w:val="24"/>
          <w:szCs w:val="24"/>
        </w:rPr>
        <w:t xml:space="preserve">Informed consent statement: </w:t>
      </w:r>
      <w:r w:rsidRPr="00DB135C">
        <w:rPr>
          <w:rFonts w:ascii="Book Antiqua" w:hAnsi="Book Antiqua"/>
          <w:color w:val="000000"/>
          <w:kern w:val="0"/>
          <w:sz w:val="24"/>
          <w:szCs w:val="24"/>
        </w:rPr>
        <w:t>All study participants, or their legal guardian, provided informed written consent prior to study enrollment.</w:t>
      </w:r>
    </w:p>
    <w:p w:rsidR="00E16629" w:rsidRPr="00DB135C" w:rsidRDefault="00E16629" w:rsidP="00645EC0">
      <w:pPr>
        <w:spacing w:line="360" w:lineRule="auto"/>
        <w:rPr>
          <w:rFonts w:ascii="Book Antiqua" w:hAnsi="Book Antiqua"/>
          <w:b/>
          <w:sz w:val="24"/>
          <w:szCs w:val="24"/>
        </w:rPr>
      </w:pPr>
    </w:p>
    <w:p w:rsidR="00E16629" w:rsidRPr="00DB135C" w:rsidRDefault="00E16629" w:rsidP="00645EC0">
      <w:pPr>
        <w:spacing w:line="360" w:lineRule="auto"/>
        <w:rPr>
          <w:rFonts w:ascii="Book Antiqua" w:hAnsi="Book Antiqua"/>
          <w:b/>
          <w:sz w:val="24"/>
          <w:szCs w:val="24"/>
        </w:rPr>
      </w:pPr>
      <w:r w:rsidRPr="00DB135C">
        <w:rPr>
          <w:rFonts w:ascii="Book Antiqua" w:hAnsi="Book Antiqua"/>
          <w:b/>
          <w:sz w:val="24"/>
          <w:szCs w:val="24"/>
        </w:rPr>
        <w:t xml:space="preserve">Conflict-of-interest statement: </w:t>
      </w:r>
      <w:r w:rsidRPr="00DB135C">
        <w:rPr>
          <w:rFonts w:ascii="Book Antiqua" w:hAnsi="Book Antiqua"/>
          <w:color w:val="000000"/>
          <w:kern w:val="0"/>
          <w:sz w:val="24"/>
          <w:szCs w:val="24"/>
        </w:rPr>
        <w:t>The authors declare that they have no conflicts of interest concerning this article.</w:t>
      </w:r>
    </w:p>
    <w:p w:rsidR="00E16629" w:rsidRPr="00DB135C" w:rsidRDefault="00E16629" w:rsidP="00645EC0">
      <w:pPr>
        <w:pStyle w:val="CommentText"/>
        <w:spacing w:before="0" w:after="0" w:line="360" w:lineRule="auto"/>
        <w:jc w:val="both"/>
        <w:rPr>
          <w:rFonts w:ascii="Book Antiqua" w:hAnsi="Book Antiqua"/>
          <w:bCs/>
          <w:sz w:val="24"/>
          <w:szCs w:val="24"/>
          <w:lang w:val="en-GB" w:eastAsia="zh-CN"/>
        </w:rPr>
      </w:pPr>
    </w:p>
    <w:p w:rsidR="00E16629" w:rsidRPr="00DB135C" w:rsidRDefault="00E16629" w:rsidP="00F620F7">
      <w:pPr>
        <w:spacing w:line="360" w:lineRule="auto"/>
        <w:rPr>
          <w:rFonts w:ascii="Book Antiqua" w:hAnsi="Book Antiqua"/>
          <w:sz w:val="24"/>
          <w:szCs w:val="24"/>
        </w:rPr>
      </w:pPr>
      <w:bookmarkStart w:id="0" w:name="OLE_LINK507"/>
      <w:bookmarkStart w:id="1" w:name="OLE_LINK506"/>
      <w:bookmarkStart w:id="2" w:name="OLE_LINK496"/>
      <w:bookmarkStart w:id="3" w:name="OLE_LINK479"/>
      <w:r w:rsidRPr="00DB135C">
        <w:rPr>
          <w:rFonts w:ascii="Book Antiqua" w:hAnsi="Book Antiqua"/>
          <w:b/>
          <w:sz w:val="24"/>
          <w:szCs w:val="24"/>
        </w:rPr>
        <w:t xml:space="preserve">Open-Access: </w:t>
      </w:r>
      <w:r w:rsidRPr="00DB135C">
        <w:rPr>
          <w:rFonts w:ascii="Book Antiqua" w:hAnsi="Book Antiqua"/>
          <w:sz w:val="24"/>
          <w:szCs w:val="24"/>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E16629" w:rsidRPr="00DB135C" w:rsidRDefault="00E16629" w:rsidP="00645EC0">
      <w:pPr>
        <w:pStyle w:val="CommentText"/>
        <w:spacing w:before="0" w:after="0" w:line="360" w:lineRule="auto"/>
        <w:jc w:val="both"/>
        <w:rPr>
          <w:rFonts w:ascii="Book Antiqua" w:hAnsi="Book Antiqua"/>
          <w:sz w:val="24"/>
          <w:szCs w:val="24"/>
          <w:lang w:eastAsia="zh-CN"/>
        </w:rPr>
      </w:pPr>
    </w:p>
    <w:p w:rsidR="00E16629" w:rsidRPr="00DB135C" w:rsidRDefault="00E16629" w:rsidP="00645EC0">
      <w:pPr>
        <w:pStyle w:val="CommentText"/>
        <w:spacing w:before="0" w:after="0" w:line="360" w:lineRule="auto"/>
        <w:jc w:val="both"/>
        <w:rPr>
          <w:rFonts w:ascii="Book Antiqua" w:hAnsi="Book Antiqua"/>
          <w:sz w:val="24"/>
          <w:szCs w:val="24"/>
          <w:lang w:eastAsia="zh-CN"/>
        </w:rPr>
      </w:pPr>
      <w:r w:rsidRPr="00DB135C">
        <w:rPr>
          <w:rFonts w:ascii="Book Antiqua" w:hAnsi="Book Antiqua"/>
          <w:b/>
          <w:sz w:val="24"/>
          <w:szCs w:val="24"/>
        </w:rPr>
        <w:t>Correspondence to:</w:t>
      </w:r>
      <w:r w:rsidRPr="00DB135C">
        <w:rPr>
          <w:rFonts w:ascii="Book Antiqua" w:hAnsi="Book Antiqua"/>
          <w:b/>
          <w:sz w:val="24"/>
          <w:szCs w:val="24"/>
          <w:lang w:eastAsia="zh-CN"/>
        </w:rPr>
        <w:t xml:space="preserve"> </w:t>
      </w:r>
      <w:r w:rsidRPr="00DB135C">
        <w:rPr>
          <w:rFonts w:ascii="Book Antiqua" w:hAnsi="Book Antiqua"/>
          <w:b/>
          <w:sz w:val="24"/>
          <w:szCs w:val="24"/>
        </w:rPr>
        <w:t xml:space="preserve">Xian-Yi Liu, MD, </w:t>
      </w:r>
      <w:r w:rsidRPr="00DB135C">
        <w:rPr>
          <w:rFonts w:ascii="Book Antiqua" w:hAnsi="Book Antiqua" w:cs="Calibri"/>
          <w:sz w:val="24"/>
          <w:szCs w:val="24"/>
          <w:lang w:eastAsia="zh-CN"/>
        </w:rPr>
        <w:t xml:space="preserve">Department of Orthopaedics, </w:t>
      </w:r>
      <w:r w:rsidRPr="00DB135C">
        <w:rPr>
          <w:rFonts w:ascii="Book Antiqua" w:hAnsi="Book Antiqua"/>
          <w:sz w:val="24"/>
          <w:szCs w:val="24"/>
        </w:rPr>
        <w:t xml:space="preserve">Peking University First Hospital, Xishiku Street 8, Xicheng District, Beijing 100034, China. </w:t>
      </w:r>
      <w:hyperlink r:id="rId6" w:history="1">
        <w:r w:rsidRPr="00DB135C">
          <w:rPr>
            <w:rFonts w:ascii="Book Antiqua" w:hAnsi="Book Antiqua"/>
            <w:sz w:val="24"/>
            <w:szCs w:val="24"/>
          </w:rPr>
          <w:t>wangyuspine@sina.com</w:t>
        </w:r>
      </w:hyperlink>
    </w:p>
    <w:p w:rsidR="00E16629" w:rsidRPr="00DB135C" w:rsidRDefault="00E16629" w:rsidP="00645EC0">
      <w:pPr>
        <w:widowControl/>
        <w:shd w:val="clear" w:color="auto" w:fill="FFFFFF"/>
        <w:spacing w:line="360" w:lineRule="auto"/>
        <w:textAlignment w:val="baseline"/>
        <w:rPr>
          <w:rFonts w:ascii="Book Antiqua" w:hAnsi="Book Antiqua"/>
          <w:color w:val="000000"/>
          <w:kern w:val="0"/>
          <w:sz w:val="24"/>
          <w:szCs w:val="24"/>
        </w:rPr>
      </w:pPr>
      <w:r w:rsidRPr="00DB135C">
        <w:rPr>
          <w:rFonts w:ascii="Book Antiqua" w:hAnsi="Book Antiqua"/>
          <w:b/>
          <w:bCs/>
          <w:color w:val="000000"/>
          <w:sz w:val="24"/>
          <w:szCs w:val="24"/>
        </w:rPr>
        <w:t>Telephone:</w:t>
      </w:r>
      <w:r w:rsidRPr="00DB135C">
        <w:rPr>
          <w:rFonts w:ascii="Book Antiqua" w:hAnsi="Book Antiqua"/>
          <w:color w:val="000000"/>
          <w:sz w:val="24"/>
          <w:szCs w:val="24"/>
        </w:rPr>
        <w:t xml:space="preserve"> </w:t>
      </w:r>
      <w:r w:rsidRPr="00DB135C">
        <w:rPr>
          <w:rFonts w:ascii="Book Antiqua" w:hAnsi="Book Antiqua"/>
          <w:color w:val="000000"/>
          <w:kern w:val="0"/>
          <w:sz w:val="24"/>
          <w:szCs w:val="24"/>
        </w:rPr>
        <w:t>+86-10-83575763</w:t>
      </w:r>
    </w:p>
    <w:p w:rsidR="00E16629" w:rsidRPr="00DB135C" w:rsidRDefault="00E16629" w:rsidP="00645EC0">
      <w:pPr>
        <w:widowControl/>
        <w:shd w:val="clear" w:color="auto" w:fill="FFFFFF"/>
        <w:spacing w:line="360" w:lineRule="auto"/>
        <w:textAlignment w:val="baseline"/>
        <w:rPr>
          <w:rFonts w:ascii="Book Antiqua" w:hAnsi="Book Antiqua"/>
          <w:color w:val="000000"/>
          <w:kern w:val="0"/>
          <w:sz w:val="24"/>
          <w:szCs w:val="24"/>
        </w:rPr>
      </w:pPr>
      <w:r w:rsidRPr="00DB135C">
        <w:rPr>
          <w:rFonts w:ascii="Book Antiqua" w:hAnsi="Book Antiqua"/>
          <w:b/>
          <w:color w:val="000000"/>
          <w:kern w:val="0"/>
          <w:sz w:val="24"/>
          <w:szCs w:val="24"/>
        </w:rPr>
        <w:t>Fax:</w:t>
      </w:r>
      <w:r w:rsidRPr="00DB135C">
        <w:rPr>
          <w:rFonts w:ascii="Book Antiqua" w:hAnsi="Book Antiqua"/>
          <w:color w:val="000000"/>
          <w:kern w:val="0"/>
          <w:sz w:val="24"/>
          <w:szCs w:val="24"/>
        </w:rPr>
        <w:t xml:space="preserve"> +86-10-66551554</w:t>
      </w:r>
    </w:p>
    <w:p w:rsidR="00E16629" w:rsidRPr="00DB135C" w:rsidRDefault="00E16629" w:rsidP="00645EC0">
      <w:pPr>
        <w:pStyle w:val="CommentText"/>
        <w:spacing w:before="0" w:after="0" w:line="360" w:lineRule="auto"/>
        <w:jc w:val="both"/>
        <w:rPr>
          <w:rFonts w:ascii="Book Antiqua" w:hAnsi="Book Antiqua"/>
          <w:sz w:val="24"/>
          <w:szCs w:val="24"/>
          <w:lang w:eastAsia="zh-CN"/>
        </w:rPr>
      </w:pPr>
    </w:p>
    <w:p w:rsidR="00E16629" w:rsidRPr="00DB135C" w:rsidRDefault="00E16629" w:rsidP="004E4F21">
      <w:pPr>
        <w:spacing w:line="360" w:lineRule="auto"/>
        <w:rPr>
          <w:rFonts w:ascii="Book Antiqua" w:hAnsi="Book Antiqua"/>
          <w:iCs/>
          <w:sz w:val="24"/>
        </w:rPr>
      </w:pPr>
      <w:r w:rsidRPr="00DB135C">
        <w:rPr>
          <w:rFonts w:ascii="Book Antiqua" w:hAnsi="Book Antiqua"/>
          <w:b/>
          <w:sz w:val="24"/>
          <w:szCs w:val="24"/>
        </w:rPr>
        <w:t xml:space="preserve">Received: </w:t>
      </w:r>
      <w:r w:rsidRPr="00DB135C">
        <w:rPr>
          <w:rFonts w:ascii="Book Antiqua" w:hAnsi="Book Antiqua"/>
          <w:iCs/>
          <w:sz w:val="24"/>
        </w:rPr>
        <w:t>January 2, 2015</w:t>
      </w:r>
    </w:p>
    <w:p w:rsidR="00E16629" w:rsidRPr="00DB135C" w:rsidRDefault="00E16629" w:rsidP="004E4F21">
      <w:pPr>
        <w:spacing w:line="360" w:lineRule="auto"/>
        <w:rPr>
          <w:rFonts w:ascii="Book Antiqua" w:hAnsi="Book Antiqua"/>
          <w:b/>
          <w:sz w:val="24"/>
          <w:szCs w:val="24"/>
        </w:rPr>
      </w:pPr>
      <w:r w:rsidRPr="00DB135C">
        <w:rPr>
          <w:rFonts w:ascii="Book Antiqua" w:hAnsi="Book Antiqua"/>
          <w:b/>
          <w:sz w:val="24"/>
          <w:szCs w:val="24"/>
        </w:rPr>
        <w:t xml:space="preserve">Peer-review started: </w:t>
      </w:r>
      <w:r w:rsidRPr="00DB135C">
        <w:rPr>
          <w:rFonts w:ascii="Book Antiqua" w:hAnsi="Book Antiqua"/>
          <w:iCs/>
          <w:sz w:val="24"/>
        </w:rPr>
        <w:t>January 2, 2015</w:t>
      </w:r>
    </w:p>
    <w:p w:rsidR="00E16629" w:rsidRPr="00DB135C" w:rsidRDefault="00E16629" w:rsidP="004E4F21">
      <w:pPr>
        <w:spacing w:line="360" w:lineRule="auto"/>
        <w:rPr>
          <w:rFonts w:ascii="Book Antiqua" w:hAnsi="Book Antiqua"/>
          <w:b/>
          <w:sz w:val="24"/>
          <w:szCs w:val="24"/>
        </w:rPr>
      </w:pPr>
      <w:r w:rsidRPr="00DB135C">
        <w:rPr>
          <w:rFonts w:ascii="Book Antiqua" w:hAnsi="Book Antiqua"/>
          <w:b/>
          <w:sz w:val="24"/>
          <w:szCs w:val="24"/>
        </w:rPr>
        <w:t xml:space="preserve">First decision: </w:t>
      </w:r>
      <w:r w:rsidRPr="00DB135C">
        <w:rPr>
          <w:rFonts w:ascii="Book Antiqua" w:hAnsi="Book Antiqua"/>
          <w:iCs/>
          <w:sz w:val="24"/>
        </w:rPr>
        <w:t>January 20, 2015</w:t>
      </w:r>
    </w:p>
    <w:p w:rsidR="00E16629" w:rsidRPr="00DB135C" w:rsidRDefault="00E16629" w:rsidP="004E4F21">
      <w:pPr>
        <w:spacing w:line="360" w:lineRule="auto"/>
        <w:rPr>
          <w:rFonts w:ascii="Book Antiqua" w:hAnsi="Book Antiqua"/>
          <w:b/>
          <w:sz w:val="24"/>
          <w:szCs w:val="24"/>
        </w:rPr>
      </w:pPr>
      <w:r w:rsidRPr="00DB135C">
        <w:rPr>
          <w:rFonts w:ascii="Book Antiqua" w:hAnsi="Book Antiqua"/>
          <w:b/>
          <w:sz w:val="24"/>
          <w:szCs w:val="24"/>
        </w:rPr>
        <w:t>Revised:</w:t>
      </w:r>
      <w:r w:rsidRPr="00DB135C">
        <w:rPr>
          <w:rFonts w:ascii="Book Antiqua" w:hAnsi="Book Antiqua"/>
          <w:sz w:val="24"/>
          <w:szCs w:val="24"/>
        </w:rPr>
        <w:t xml:space="preserve"> June 28, 2015</w:t>
      </w:r>
    </w:p>
    <w:p w:rsidR="00E16629" w:rsidRPr="004F49F1" w:rsidRDefault="00E16629" w:rsidP="004E4F21">
      <w:pPr>
        <w:spacing w:line="360" w:lineRule="auto"/>
        <w:rPr>
          <w:rFonts w:ascii="Book Antiqua" w:hAnsi="Book Antiqua" w:cs="宋体"/>
          <w:sz w:val="24"/>
        </w:rPr>
      </w:pPr>
      <w:r w:rsidRPr="00DB135C">
        <w:rPr>
          <w:rFonts w:ascii="Book Antiqua" w:hAnsi="Book Antiqua"/>
          <w:b/>
          <w:sz w:val="24"/>
          <w:szCs w:val="24"/>
        </w:rPr>
        <w:t>Accepted:</w:t>
      </w:r>
      <w:r w:rsidRPr="004F49F1">
        <w:rPr>
          <w:rFonts w:ascii="Book Antiqua" w:hAnsi="Book Antiqua" w:cs="宋体"/>
          <w:sz w:val="24"/>
        </w:rPr>
        <w:t xml:space="preserve"> </w:t>
      </w:r>
      <w:r>
        <w:rPr>
          <w:rFonts w:ascii="Book Antiqua" w:hAnsi="Book Antiqua" w:cs="宋体"/>
          <w:sz w:val="24"/>
        </w:rPr>
        <w:t>July 21</w:t>
      </w:r>
      <w:r w:rsidRPr="00AF30D4">
        <w:rPr>
          <w:rFonts w:ascii="Book Antiqua" w:hAnsi="Book Antiqua" w:cs="宋体"/>
          <w:sz w:val="24"/>
        </w:rPr>
        <w:t>, 2015</w:t>
      </w:r>
      <w:r w:rsidRPr="00DB135C">
        <w:rPr>
          <w:rFonts w:ascii="Book Antiqua" w:hAnsi="Book Antiqua"/>
          <w:b/>
          <w:sz w:val="24"/>
          <w:szCs w:val="24"/>
        </w:rPr>
        <w:t xml:space="preserve"> </w:t>
      </w:r>
    </w:p>
    <w:p w:rsidR="00E16629" w:rsidRPr="00DB135C" w:rsidRDefault="00E16629" w:rsidP="004E4F21">
      <w:pPr>
        <w:spacing w:line="360" w:lineRule="auto"/>
        <w:rPr>
          <w:rFonts w:ascii="Book Antiqua" w:hAnsi="Book Antiqua"/>
          <w:b/>
          <w:sz w:val="24"/>
          <w:szCs w:val="24"/>
        </w:rPr>
      </w:pPr>
      <w:r w:rsidRPr="00DB135C">
        <w:rPr>
          <w:rFonts w:ascii="Book Antiqua" w:hAnsi="Book Antiqua"/>
          <w:b/>
          <w:sz w:val="24"/>
          <w:szCs w:val="24"/>
        </w:rPr>
        <w:t>Article in press:</w:t>
      </w:r>
    </w:p>
    <w:p w:rsidR="00E16629" w:rsidRPr="00DB135C" w:rsidRDefault="00E16629" w:rsidP="004E4F21">
      <w:pPr>
        <w:spacing w:line="360" w:lineRule="auto"/>
        <w:rPr>
          <w:rFonts w:ascii="Book Antiqua" w:hAnsi="Book Antiqua"/>
          <w:b/>
          <w:sz w:val="24"/>
          <w:szCs w:val="24"/>
        </w:rPr>
      </w:pPr>
      <w:r w:rsidRPr="00DB135C">
        <w:rPr>
          <w:rFonts w:ascii="Book Antiqua" w:hAnsi="Book Antiqua"/>
          <w:b/>
          <w:sz w:val="24"/>
          <w:szCs w:val="24"/>
        </w:rPr>
        <w:t xml:space="preserve">Published online: </w:t>
      </w:r>
    </w:p>
    <w:p w:rsidR="00E16629" w:rsidRPr="00DB135C" w:rsidRDefault="00E16629" w:rsidP="00645EC0">
      <w:pPr>
        <w:pStyle w:val="CommentText"/>
        <w:spacing w:before="0" w:after="0" w:line="360" w:lineRule="auto"/>
        <w:jc w:val="both"/>
        <w:rPr>
          <w:rFonts w:ascii="Book Antiqua" w:hAnsi="Book Antiqua"/>
          <w:sz w:val="24"/>
          <w:szCs w:val="24"/>
          <w:lang w:eastAsia="zh-CN"/>
        </w:rPr>
        <w:sectPr w:rsidR="00E16629" w:rsidRPr="00DB135C" w:rsidSect="00D971CE">
          <w:footerReference w:type="even" r:id="rId7"/>
          <w:footerReference w:type="default" r:id="rId8"/>
          <w:endnotePr>
            <w:numFmt w:val="decimal"/>
          </w:endnotePr>
          <w:type w:val="continuous"/>
          <w:pgSz w:w="11906" w:h="16838" w:code="9"/>
          <w:pgMar w:top="1440" w:right="1418" w:bottom="1440" w:left="1418" w:header="851" w:footer="992" w:gutter="0"/>
          <w:cols w:space="425"/>
          <w:docGrid w:type="lines" w:linePitch="312"/>
        </w:sectPr>
      </w:pPr>
    </w:p>
    <w:p w:rsidR="00E16629" w:rsidRPr="00DB135C" w:rsidRDefault="00E16629" w:rsidP="00645EC0">
      <w:pPr>
        <w:spacing w:line="360" w:lineRule="auto"/>
        <w:rPr>
          <w:rFonts w:ascii="Book Antiqua" w:hAnsi="Book Antiqua" w:cs="Calibri"/>
          <w:kern w:val="0"/>
          <w:sz w:val="24"/>
          <w:szCs w:val="24"/>
        </w:rPr>
      </w:pPr>
      <w:r w:rsidRPr="00DB135C">
        <w:rPr>
          <w:rFonts w:ascii="Book Antiqua" w:hAnsi="Book Antiqua"/>
          <w:b/>
          <w:sz w:val="24"/>
          <w:szCs w:val="24"/>
        </w:rPr>
        <w:t>Abstract</w:t>
      </w:r>
    </w:p>
    <w:p w:rsidR="00E16629" w:rsidRPr="00DB135C" w:rsidRDefault="00E16629" w:rsidP="00AA7205">
      <w:pPr>
        <w:widowControl/>
        <w:shd w:val="clear" w:color="auto" w:fill="FFFFFF"/>
        <w:spacing w:line="360" w:lineRule="auto"/>
        <w:textAlignment w:val="baseline"/>
        <w:rPr>
          <w:rFonts w:ascii="Book Antiqua" w:hAnsi="Book Antiqua"/>
          <w:color w:val="000000"/>
          <w:kern w:val="0"/>
          <w:sz w:val="24"/>
          <w:szCs w:val="24"/>
        </w:rPr>
      </w:pPr>
      <w:r w:rsidRPr="00DB135C">
        <w:rPr>
          <w:rFonts w:ascii="Book Antiqua" w:hAnsi="Book Antiqua"/>
          <w:color w:val="000000"/>
          <w:kern w:val="0"/>
          <w:sz w:val="24"/>
          <w:szCs w:val="24"/>
        </w:rPr>
        <w:t>Sacral fractures following posterior lumbosacral fusion are an uncommon complication. Only a few case series and case reports have been published so far. This article presents a case of totally displaced sacral fracture following posterior L4-S1 fusion in a 65-year-old patient with a 15-year history of corticosteroid use who underwent open reduction and internal fixation using iliac screws. The patient was followed for 2 years. A thorough review of the literature was conducted using the Medline database between 1994 and 2014. Immediately after the revision surgery, the patient’s pain in buttock and left leg resolved significantly. The patient was followed for 2 years. The weakness of left lower extremity improved gradually from 3/5 to 5/5.</w:t>
      </w:r>
      <w:r>
        <w:rPr>
          <w:rFonts w:ascii="Book Antiqua" w:hAnsi="Book Antiqua"/>
          <w:color w:val="000000"/>
          <w:kern w:val="0"/>
          <w:sz w:val="24"/>
          <w:szCs w:val="24"/>
        </w:rPr>
        <w:t xml:space="preserve"> </w:t>
      </w:r>
      <w:r w:rsidRPr="00DB135C">
        <w:rPr>
          <w:rFonts w:ascii="Book Antiqua" w:hAnsi="Book Antiqua"/>
          <w:color w:val="000000"/>
          <w:kern w:val="0"/>
          <w:sz w:val="24"/>
          <w:szCs w:val="24"/>
        </w:rPr>
        <w:t>In conclusion, the incidence of postoperative sacral fractures could have been rather underestimated, because most of these fractures are not visible on plain radiograph. Computed tomography has been proved to be able to detect most of such fractures and should probably be performed routinely when patients complain of renewed buttock pain within 3 mo after lumbosacral fusion. The majority of the patients responded well to conservative treatments, extending the fusion construct to the iliac wings using iliac screws may be needed when there is concurrent fracture displacement, sagittal imbalance, neurologic symptoms, or painful nonunion.</w:t>
      </w:r>
    </w:p>
    <w:p w:rsidR="00E16629" w:rsidRPr="00DB135C" w:rsidRDefault="00E16629" w:rsidP="00645EC0">
      <w:pPr>
        <w:spacing w:line="360" w:lineRule="auto"/>
        <w:rPr>
          <w:rFonts w:ascii="Book Antiqua" w:hAnsi="Book Antiqua"/>
          <w:color w:val="000000"/>
          <w:kern w:val="0"/>
          <w:sz w:val="24"/>
          <w:szCs w:val="24"/>
        </w:rPr>
      </w:pPr>
    </w:p>
    <w:p w:rsidR="00E16629" w:rsidRPr="00DB135C" w:rsidRDefault="00E16629" w:rsidP="00645EC0">
      <w:pPr>
        <w:spacing w:line="360" w:lineRule="auto"/>
        <w:rPr>
          <w:rFonts w:ascii="Book Antiqua" w:hAnsi="Book Antiqua" w:cs="Calibri"/>
          <w:kern w:val="0"/>
          <w:sz w:val="24"/>
          <w:szCs w:val="24"/>
        </w:rPr>
      </w:pPr>
      <w:r w:rsidRPr="00DB135C">
        <w:rPr>
          <w:rFonts w:ascii="Book Antiqua" w:hAnsi="Book Antiqua"/>
          <w:b/>
          <w:sz w:val="24"/>
          <w:szCs w:val="24"/>
        </w:rPr>
        <w:t xml:space="preserve">Key words: </w:t>
      </w:r>
      <w:r w:rsidRPr="00DB135C">
        <w:rPr>
          <w:rFonts w:ascii="Book Antiqua" w:hAnsi="Book Antiqua"/>
          <w:kern w:val="0"/>
          <w:sz w:val="24"/>
          <w:szCs w:val="24"/>
        </w:rPr>
        <w:t>Sacral fracture; Lumbosacral fusion; Complication; Surgical treatment; Insufficiency fracture; Revision surgery</w:t>
      </w:r>
    </w:p>
    <w:p w:rsidR="00E16629" w:rsidRPr="00DB135C" w:rsidRDefault="00E16629" w:rsidP="00645EC0">
      <w:pPr>
        <w:spacing w:line="360" w:lineRule="auto"/>
        <w:rPr>
          <w:rFonts w:ascii="Book Antiqua" w:hAnsi="Book Antiqua" w:cs="Calibri"/>
          <w:kern w:val="0"/>
          <w:sz w:val="24"/>
          <w:szCs w:val="24"/>
          <w:lang w:val="en-GB"/>
        </w:rPr>
      </w:pPr>
    </w:p>
    <w:p w:rsidR="00E16629" w:rsidRPr="00DB135C" w:rsidRDefault="00E16629" w:rsidP="00F620F7">
      <w:pPr>
        <w:snapToGrid w:val="0"/>
        <w:spacing w:line="360" w:lineRule="auto"/>
        <w:rPr>
          <w:rFonts w:ascii="Book Antiqua" w:hAnsi="Book Antiqua"/>
          <w:sz w:val="24"/>
          <w:szCs w:val="24"/>
        </w:rPr>
      </w:pPr>
      <w:r w:rsidRPr="00DB135C">
        <w:rPr>
          <w:rFonts w:ascii="Book Antiqua" w:hAnsi="Book Antiqua"/>
          <w:sz w:val="24"/>
          <w:szCs w:val="24"/>
        </w:rPr>
        <w:t xml:space="preserve">© </w:t>
      </w:r>
      <w:r w:rsidRPr="00DB135C">
        <w:rPr>
          <w:rFonts w:ascii="Book Antiqua" w:hAnsi="Book Antiqua"/>
          <w:b/>
          <w:sz w:val="24"/>
          <w:szCs w:val="24"/>
        </w:rPr>
        <w:t>The Author(s) 2015</w:t>
      </w:r>
      <w:r w:rsidRPr="00DB135C">
        <w:rPr>
          <w:rFonts w:ascii="Book Antiqua" w:hAnsi="Book Antiqua"/>
          <w:sz w:val="24"/>
          <w:szCs w:val="24"/>
        </w:rPr>
        <w:t>. Published by Baishideng Publishing Group Inc. All rights reserved.</w:t>
      </w:r>
    </w:p>
    <w:p w:rsidR="00E16629" w:rsidRPr="00DB135C" w:rsidRDefault="00E16629" w:rsidP="00645EC0">
      <w:pPr>
        <w:spacing w:line="360" w:lineRule="auto"/>
        <w:rPr>
          <w:rFonts w:ascii="Book Antiqua" w:hAnsi="Book Antiqua" w:cs="Calibri"/>
          <w:kern w:val="0"/>
          <w:sz w:val="24"/>
          <w:szCs w:val="24"/>
          <w:lang w:val="en-GB"/>
        </w:rPr>
      </w:pPr>
    </w:p>
    <w:p w:rsidR="00E16629" w:rsidRPr="00DB135C" w:rsidRDefault="00E16629" w:rsidP="00645EC0">
      <w:pPr>
        <w:pStyle w:val="CommentText"/>
        <w:spacing w:before="0" w:after="0" w:line="360" w:lineRule="auto"/>
        <w:jc w:val="both"/>
        <w:rPr>
          <w:rFonts w:ascii="Book Antiqua" w:hAnsi="Book Antiqua"/>
          <w:sz w:val="24"/>
          <w:szCs w:val="24"/>
          <w:lang w:eastAsia="zh-CN"/>
        </w:rPr>
      </w:pPr>
      <w:r w:rsidRPr="00DB135C">
        <w:rPr>
          <w:rFonts w:ascii="Book Antiqua" w:hAnsi="Book Antiqua"/>
          <w:b/>
          <w:sz w:val="24"/>
          <w:szCs w:val="24"/>
          <w:lang w:eastAsia="zh-CN"/>
        </w:rPr>
        <w:t xml:space="preserve">Core tip: </w:t>
      </w:r>
      <w:r w:rsidRPr="00DB135C">
        <w:rPr>
          <w:rFonts w:ascii="Book Antiqua" w:hAnsi="Book Antiqua"/>
          <w:sz w:val="24"/>
          <w:szCs w:val="24"/>
        </w:rPr>
        <w:t xml:space="preserve">Sacral fractures following posterior lumbosacral fusion are rare. This article presents a case of totally displaced sacral fracture following posterior L4-S1 fusion. </w:t>
      </w:r>
      <w:r w:rsidRPr="00DB135C">
        <w:rPr>
          <w:rFonts w:ascii="Book Antiqua" w:hAnsi="Book Antiqua"/>
          <w:color w:val="000000"/>
          <w:sz w:val="24"/>
          <w:szCs w:val="24"/>
        </w:rPr>
        <w:t>Computed tomography</w:t>
      </w:r>
      <w:r w:rsidRPr="00DB135C">
        <w:rPr>
          <w:rFonts w:ascii="Book Antiqua" w:hAnsi="Book Antiqua"/>
          <w:sz w:val="24"/>
          <w:szCs w:val="24"/>
        </w:rPr>
        <w:t xml:space="preserve"> has been proved to be able to detect most of such fractures and should probably be performed routinely when patients complain of renewed buttock pain within 3 mo after lumbosacral fusion. The majority of the patients responded well to conservative treatments, extending the fusion construct to the iliac wings using iliac screws may be needed when there is concurrent fracture displacement, sagittal imbalance, neurologic symptoms, or painful nonunion.</w:t>
      </w:r>
    </w:p>
    <w:p w:rsidR="00E16629" w:rsidRPr="00DB135C" w:rsidRDefault="00E16629" w:rsidP="00645EC0">
      <w:pPr>
        <w:spacing w:line="360" w:lineRule="auto"/>
        <w:rPr>
          <w:rFonts w:ascii="Book Antiqua" w:hAnsi="Book Antiqua" w:cs="Calibri"/>
          <w:kern w:val="0"/>
          <w:sz w:val="24"/>
          <w:szCs w:val="24"/>
        </w:rPr>
      </w:pPr>
    </w:p>
    <w:p w:rsidR="00E16629" w:rsidRPr="00DB135C" w:rsidRDefault="00E16629" w:rsidP="00F620F7">
      <w:pPr>
        <w:spacing w:line="360" w:lineRule="auto"/>
        <w:rPr>
          <w:rFonts w:ascii="Book Antiqua" w:hAnsi="Book Antiqua"/>
          <w:b/>
          <w:sz w:val="24"/>
          <w:szCs w:val="24"/>
        </w:rPr>
      </w:pPr>
      <w:r w:rsidRPr="00DB135C">
        <w:rPr>
          <w:rFonts w:ascii="Book Antiqua" w:hAnsi="Book Antiqua"/>
          <w:sz w:val="24"/>
          <w:szCs w:val="24"/>
        </w:rPr>
        <w:t xml:space="preserve">Wang Y, Liu XY, Li CD, Yi XD, Yu ZR. Surgical treatment of sacral fractures following lumbosacral arthrodesis: Case report and literature review. </w:t>
      </w:r>
      <w:r w:rsidRPr="00DB135C">
        <w:rPr>
          <w:rFonts w:ascii="Book Antiqua" w:hAnsi="Book Antiqua"/>
          <w:i/>
          <w:iCs/>
          <w:sz w:val="24"/>
          <w:szCs w:val="24"/>
        </w:rPr>
        <w:t>World J Orthop</w:t>
      </w:r>
      <w:r w:rsidRPr="00DB135C">
        <w:rPr>
          <w:rFonts w:ascii="Book Antiqua" w:hAnsi="Book Antiqua"/>
          <w:iCs/>
          <w:sz w:val="24"/>
          <w:szCs w:val="24"/>
        </w:rPr>
        <w:t xml:space="preserve"> 2015; In press</w:t>
      </w:r>
    </w:p>
    <w:p w:rsidR="00E16629" w:rsidRPr="00DB135C" w:rsidRDefault="00E16629" w:rsidP="00645EC0">
      <w:pPr>
        <w:pStyle w:val="CommentText"/>
        <w:spacing w:before="0" w:after="0" w:line="360" w:lineRule="auto"/>
        <w:jc w:val="both"/>
        <w:rPr>
          <w:rFonts w:ascii="Book Antiqua" w:hAnsi="Book Antiqua"/>
          <w:sz w:val="24"/>
          <w:szCs w:val="24"/>
          <w:lang w:eastAsia="zh-CN"/>
        </w:rPr>
        <w:sectPr w:rsidR="00E16629" w:rsidRPr="00DB135C" w:rsidSect="00F620F7">
          <w:endnotePr>
            <w:numFmt w:val="decimal"/>
          </w:endnotePr>
          <w:pgSz w:w="11906" w:h="16838" w:code="9"/>
          <w:pgMar w:top="1440" w:right="1418" w:bottom="1440" w:left="1418" w:header="851" w:footer="992" w:gutter="0"/>
          <w:cols w:space="425"/>
          <w:docGrid w:type="lines" w:linePitch="312"/>
        </w:sectPr>
      </w:pPr>
    </w:p>
    <w:p w:rsidR="00E16629" w:rsidRPr="00DB135C" w:rsidRDefault="00E16629" w:rsidP="00645EC0">
      <w:pPr>
        <w:spacing w:line="360" w:lineRule="auto"/>
        <w:rPr>
          <w:rFonts w:ascii="Book Antiqua" w:hAnsi="Book Antiqua"/>
          <w:b/>
          <w:sz w:val="24"/>
          <w:szCs w:val="24"/>
        </w:rPr>
      </w:pPr>
      <w:r w:rsidRPr="00DB135C">
        <w:rPr>
          <w:rFonts w:ascii="Book Antiqua" w:hAnsi="Book Antiqua"/>
          <w:b/>
          <w:sz w:val="24"/>
          <w:szCs w:val="24"/>
        </w:rPr>
        <w:t>INTRODUCTION</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 xml:space="preserve">Sacral fractures following posterior lumbosacral fusion are an uncommon complication, previously described in only a few case series and case reports. Although these sacral fractures are rarely reported, their incidence could be much higher than we thought. One of the reasons for the under-diagnosis of these fractures is that they </w:t>
      </w:r>
      <w:r w:rsidRPr="00DB135C">
        <w:rPr>
          <w:rFonts w:ascii="Book Antiqua" w:hAnsi="Book Antiqua"/>
          <w:kern w:val="0"/>
          <w:sz w:val="24"/>
          <w:szCs w:val="24"/>
        </w:rPr>
        <w:t xml:space="preserve">are </w:t>
      </w:r>
      <w:r w:rsidRPr="00DB135C">
        <w:rPr>
          <w:rFonts w:ascii="Book Antiqua" w:hAnsi="Book Antiqua"/>
          <w:color w:val="000000"/>
          <w:sz w:val="24"/>
          <w:szCs w:val="24"/>
          <w:shd w:val="clear" w:color="auto" w:fill="FFFFFF"/>
        </w:rPr>
        <w:t>usually unrecognized on plain radiographs, establishment of diagnosis is often dependent on computed tomography (CT) or magnetic resonance imaging</w:t>
      </w:r>
      <w:r w:rsidRPr="00DB135C">
        <w:rPr>
          <w:rFonts w:ascii="Book Antiqua" w:hAnsi="Book Antiqua"/>
          <w:color w:val="000000"/>
          <w:sz w:val="24"/>
          <w:szCs w:val="24"/>
        </w:rPr>
        <w:t> </w:t>
      </w:r>
      <w:r w:rsidRPr="00DB135C">
        <w:rPr>
          <w:rFonts w:ascii="Book Antiqua" w:hAnsi="Book Antiqua"/>
          <w:color w:val="000000"/>
          <w:sz w:val="24"/>
          <w:szCs w:val="24"/>
          <w:shd w:val="clear" w:color="auto" w:fill="FFFFFF"/>
        </w:rPr>
        <w:t xml:space="preserve">(MRI). Another reason is that many of these fractures can heal without intervention in a few months, which makes them difficult to be noticed by doctors. </w:t>
      </w:r>
    </w:p>
    <w:p w:rsidR="00E16629" w:rsidRPr="00DB135C" w:rsidRDefault="00E16629" w:rsidP="004E4F21">
      <w:pPr>
        <w:autoSpaceDE w:val="0"/>
        <w:autoSpaceDN w:val="0"/>
        <w:adjustRightInd w:val="0"/>
        <w:spacing w:line="360" w:lineRule="auto"/>
        <w:ind w:firstLineChars="100" w:firstLine="31680"/>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 xml:space="preserve">Risk factors for developing sacral fractures following lumbosacral fusions have been identified by several authors. They include old age, female sex, obesity, smoking, postmenopausal osteoporosis, chronic corticosteroid use, prior radiation therapy, graft harvesting, multisegmental lumbosacral fusion, and abnormal spinopelvic alignment. According to the reported experience, most of these fractures occurred within 3 mo after surgery, and the majority of these patients responded well to conservative therapy. Surgical intervention may be needed when there are persistent neurological deficits, significant displacements, severe pain, or fracture nonunion. </w:t>
      </w:r>
    </w:p>
    <w:p w:rsidR="00E16629" w:rsidRPr="00DB135C" w:rsidRDefault="00E16629" w:rsidP="004E4F21">
      <w:pPr>
        <w:spacing w:line="360" w:lineRule="auto"/>
        <w:ind w:firstLineChars="100" w:firstLine="31680"/>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This article presents a case of totally displaced sacral fracture following posterior L4-S1 fusion in a 65-year-old patient with a 15-year history of corticosteroid use who underwent open reduction and internal fixation using iliac screws.</w:t>
      </w:r>
    </w:p>
    <w:p w:rsidR="00E16629" w:rsidRPr="00DB135C" w:rsidRDefault="00E16629" w:rsidP="00645EC0">
      <w:pPr>
        <w:spacing w:line="360" w:lineRule="auto"/>
        <w:rPr>
          <w:rFonts w:ascii="Book Antiqua" w:hAnsi="Book Antiqua"/>
          <w:color w:val="000000"/>
          <w:sz w:val="24"/>
          <w:szCs w:val="24"/>
          <w:shd w:val="clear" w:color="auto" w:fill="FFFFFF"/>
        </w:rPr>
      </w:pPr>
    </w:p>
    <w:p w:rsidR="00E16629" w:rsidRPr="00DB135C" w:rsidRDefault="00E16629" w:rsidP="00645EC0">
      <w:pPr>
        <w:autoSpaceDE w:val="0"/>
        <w:autoSpaceDN w:val="0"/>
        <w:adjustRightInd w:val="0"/>
        <w:spacing w:line="360" w:lineRule="auto"/>
        <w:rPr>
          <w:rFonts w:ascii="Book Antiqua" w:hAnsi="Book Antiqua"/>
          <w:b/>
          <w:bCs/>
          <w:kern w:val="0"/>
          <w:sz w:val="24"/>
          <w:szCs w:val="24"/>
        </w:rPr>
      </w:pPr>
      <w:r w:rsidRPr="00DB135C">
        <w:rPr>
          <w:rFonts w:ascii="Book Antiqua" w:hAnsi="Book Antiqua"/>
          <w:b/>
          <w:bCs/>
          <w:kern w:val="0"/>
          <w:sz w:val="24"/>
          <w:szCs w:val="24"/>
        </w:rPr>
        <w:t>CASE REPORT</w:t>
      </w:r>
    </w:p>
    <w:p w:rsidR="00E16629" w:rsidRPr="00DB135C" w:rsidRDefault="00E16629" w:rsidP="00645EC0">
      <w:pPr>
        <w:autoSpaceDE w:val="0"/>
        <w:autoSpaceDN w:val="0"/>
        <w:adjustRightInd w:val="0"/>
        <w:spacing w:line="360" w:lineRule="auto"/>
        <w:rPr>
          <w:rFonts w:ascii="Book Antiqua" w:hAnsi="Book Antiqua"/>
          <w:color w:val="FF0000"/>
          <w:sz w:val="24"/>
          <w:szCs w:val="24"/>
          <w:shd w:val="clear" w:color="auto" w:fill="FFFFFF"/>
        </w:rPr>
      </w:pPr>
      <w:r w:rsidRPr="00DB135C">
        <w:rPr>
          <w:rFonts w:ascii="Book Antiqua" w:hAnsi="Book Antiqua"/>
          <w:color w:val="000000"/>
          <w:sz w:val="24"/>
          <w:szCs w:val="24"/>
          <w:shd w:val="clear" w:color="auto" w:fill="FFFFFF"/>
        </w:rPr>
        <w:t>The current case is a 65-year-old overweight female (body mass index = 25.63) who presented with the chief</w:t>
      </w:r>
      <w:r w:rsidRPr="00DB135C">
        <w:rPr>
          <w:rFonts w:ascii="Book Antiqua" w:hAnsi="Book Antiqua"/>
          <w:kern w:val="0"/>
          <w:sz w:val="24"/>
          <w:szCs w:val="24"/>
        </w:rPr>
        <w:t xml:space="preserve"> </w:t>
      </w:r>
      <w:r w:rsidRPr="00DB135C">
        <w:rPr>
          <w:rFonts w:ascii="Book Antiqua" w:hAnsi="Book Antiqua"/>
          <w:color w:val="000000"/>
          <w:sz w:val="24"/>
          <w:szCs w:val="24"/>
          <w:shd w:val="clear" w:color="auto" w:fill="FFFFFF"/>
        </w:rPr>
        <w:t>complaint of 5 years of progressively increased left lower extremity pain and difficulty walking, which were refractory to conservative management. The patient was ambulant with 4/5 lower extremity weakness. Both Hoffmann’s sign and Babinski’s sign were negative. The patient suffered from asthma and had a 15-year history of corticosteroid use.</w:t>
      </w:r>
      <w:r w:rsidRPr="00DB135C">
        <w:rPr>
          <w:rFonts w:ascii="Book Antiqua" w:hAnsi="Book Antiqua"/>
          <w:sz w:val="24"/>
          <w:szCs w:val="24"/>
          <w:shd w:val="clear" w:color="auto" w:fill="FFFFFF"/>
        </w:rPr>
        <w:t xml:space="preserve"> The bone density test of hip (T-score – -3.7) showed a poor bone quality.</w:t>
      </w:r>
    </w:p>
    <w:p w:rsidR="00E16629" w:rsidRPr="00DB135C" w:rsidRDefault="00E16629" w:rsidP="004E4F21">
      <w:pPr>
        <w:autoSpaceDE w:val="0"/>
        <w:autoSpaceDN w:val="0"/>
        <w:adjustRightInd w:val="0"/>
        <w:spacing w:line="360" w:lineRule="auto"/>
        <w:ind w:firstLineChars="100" w:firstLine="31680"/>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Roentgenograms revealed Grade 2 anterolisthesis of L5 on S1. The MRI of the spine found central lumbar spinal stenosis at L5/S1 level and L4–S1 foraminal narrowing (Figure 1). L4–S1 posterior fusion with poly-axial pedicle screws and double rods (XIA II, Stryker) was performed with posterolateral bone grafting using autologous lamina/spinous process. A cage was inserted intoL5/S1 disc as well.</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DB135C">
        <w:rPr>
          <w:rFonts w:ascii="Book Antiqua" w:hAnsi="Book Antiqua"/>
          <w:color w:val="000000"/>
          <w:sz w:val="24"/>
          <w:szCs w:val="24"/>
          <w:shd w:val="clear" w:color="auto" w:fill="FFFFFF"/>
        </w:rPr>
        <w:t>The patient tolerated the procedure well and was walking well on the first postoperative day. On the 5</w:t>
      </w:r>
      <w:r w:rsidRPr="00DB135C">
        <w:rPr>
          <w:rFonts w:ascii="Book Antiqua" w:hAnsi="Book Antiqua"/>
          <w:color w:val="000000"/>
          <w:sz w:val="24"/>
          <w:szCs w:val="24"/>
          <w:shd w:val="clear" w:color="auto" w:fill="FFFFFF"/>
          <w:vertAlign w:val="superscript"/>
        </w:rPr>
        <w:t>th</w:t>
      </w:r>
      <w:r w:rsidRPr="00DB135C">
        <w:rPr>
          <w:rFonts w:ascii="Book Antiqua" w:hAnsi="Book Antiqua"/>
          <w:color w:val="000000"/>
          <w:sz w:val="24"/>
          <w:szCs w:val="24"/>
          <w:shd w:val="clear" w:color="auto" w:fill="FFFFFF"/>
        </w:rPr>
        <w:t xml:space="preserve"> day</w:t>
      </w:r>
      <w:r w:rsidRPr="00DB135C">
        <w:rPr>
          <w:rFonts w:ascii="Book Antiqua" w:hAnsi="Book Antiqua"/>
          <w:kern w:val="0"/>
          <w:sz w:val="24"/>
          <w:szCs w:val="24"/>
        </w:rPr>
        <w:t xml:space="preserve"> after surgery</w:t>
      </w:r>
      <w:r w:rsidRPr="00DB135C">
        <w:rPr>
          <w:rFonts w:ascii="Book Antiqua" w:hAnsi="Book Antiqua"/>
          <w:color w:val="000000"/>
          <w:sz w:val="24"/>
          <w:szCs w:val="24"/>
          <w:shd w:val="clear" w:color="auto" w:fill="FFFFFF"/>
        </w:rPr>
        <w:t>, however, the patient reported a sudden exacerbation of bilateral buttock pain, left-leg radicular pain and sphincter</w:t>
      </w:r>
      <w:r w:rsidRPr="00DB135C">
        <w:rPr>
          <w:rFonts w:ascii="Book Antiqua" w:hAnsi="Book Antiqua"/>
          <w:kern w:val="0"/>
          <w:sz w:val="24"/>
          <w:szCs w:val="24"/>
        </w:rPr>
        <w:t xml:space="preserve"> disturbances without precedent trauma. Physical examination revealed a </w:t>
      </w:r>
      <w:r w:rsidRPr="00DB135C">
        <w:rPr>
          <w:rFonts w:ascii="Book Antiqua" w:hAnsi="Book Antiqua"/>
          <w:color w:val="000000"/>
          <w:sz w:val="24"/>
          <w:szCs w:val="24"/>
          <w:shd w:val="clear" w:color="auto" w:fill="FFFFFF"/>
        </w:rPr>
        <w:t>3/5 weakness of left lower extremity</w:t>
      </w:r>
      <w:r w:rsidRPr="00DB135C">
        <w:rPr>
          <w:rFonts w:ascii="Book Antiqua" w:hAnsi="Book Antiqua"/>
          <w:kern w:val="0"/>
          <w:sz w:val="24"/>
          <w:szCs w:val="24"/>
        </w:rPr>
        <w:t xml:space="preserve">. </w:t>
      </w:r>
      <w:smartTag w:uri="urn:schemas-microsoft-com:office:smarttags" w:element="address">
        <w:smartTag w:uri="urn:schemas-microsoft-com:office:smarttags" w:element="Street">
          <w:r w:rsidRPr="00DB135C">
            <w:rPr>
              <w:rFonts w:ascii="Book Antiqua" w:hAnsi="Book Antiqua"/>
              <w:kern w:val="0"/>
              <w:sz w:val="24"/>
              <w:szCs w:val="24"/>
            </w:rPr>
            <w:t>A CT</w:t>
          </w:r>
        </w:smartTag>
      </w:smartTag>
      <w:r w:rsidRPr="00DB135C">
        <w:rPr>
          <w:rFonts w:ascii="Book Antiqua" w:hAnsi="Book Antiqua"/>
          <w:kern w:val="0"/>
          <w:sz w:val="24"/>
          <w:szCs w:val="24"/>
        </w:rPr>
        <w:t xml:space="preserve"> scanning revealed a horizontal fracture at the S1/S2 level with S2 being totally displaced (Figure 2). </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DB135C">
        <w:rPr>
          <w:rFonts w:ascii="Book Antiqua" w:hAnsi="Book Antiqua"/>
          <w:kern w:val="0"/>
          <w:sz w:val="24"/>
          <w:szCs w:val="24"/>
        </w:rPr>
        <w:t>We tried to reduce the fracture with traction but failed. Considering the significant neurological deficits and severe S2 displacement, we performed posterior neural decompression and hardware revision with deformity reduction for the patient at 2 wk after the index operation. The fusion construct was extended to the iliac wings using iliac screws (Figure 3, 4).</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DB135C">
        <w:rPr>
          <w:rFonts w:ascii="Book Antiqua" w:hAnsi="Book Antiqua"/>
          <w:kern w:val="0"/>
          <w:sz w:val="24"/>
          <w:szCs w:val="24"/>
        </w:rPr>
        <w:t xml:space="preserve">Immediately after the revision surgery, the patient’s pain in buttock and left leg resolved significantly. </w:t>
      </w:r>
      <w:r w:rsidRPr="00DB135C">
        <w:rPr>
          <w:rFonts w:ascii="Book Antiqua" w:hAnsi="Book Antiqua"/>
          <w:color w:val="000000"/>
          <w:sz w:val="24"/>
          <w:szCs w:val="24"/>
          <w:shd w:val="clear" w:color="auto" w:fill="FFFFFF"/>
        </w:rPr>
        <w:t xml:space="preserve">The </w:t>
      </w:r>
      <w:r w:rsidRPr="00DB135C">
        <w:rPr>
          <w:rFonts w:ascii="Book Antiqua" w:hAnsi="Book Antiqua"/>
          <w:kern w:val="0"/>
          <w:sz w:val="24"/>
          <w:szCs w:val="24"/>
        </w:rPr>
        <w:t xml:space="preserve">patient was followed for 2 years. The weakness of left lower extremity improved gradually from 3/5 to 5/5. </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DB135C">
        <w:rPr>
          <w:rFonts w:ascii="Book Antiqua" w:hAnsi="Book Antiqua"/>
          <w:kern w:val="0"/>
          <w:sz w:val="24"/>
          <w:szCs w:val="24"/>
        </w:rPr>
        <w:t>The sagittal radiographic parameters are listed in Table 1. The preoperative values indicate that she had a high PI (64.1</w:t>
      </w:r>
      <w:r w:rsidRPr="00DB135C">
        <w:rPr>
          <w:rFonts w:ascii="Book Antiqua" w:hAnsi="Book Antiqua"/>
          <w:color w:val="000000"/>
          <w:sz w:val="24"/>
          <w:szCs w:val="24"/>
          <w:shd w:val="clear" w:color="auto" w:fill="FFFFFF"/>
        </w:rPr>
        <w:t>°</w:t>
      </w:r>
      <w:r w:rsidRPr="00DB135C">
        <w:rPr>
          <w:rFonts w:ascii="Book Antiqua" w:hAnsi="Book Antiqua"/>
          <w:kern w:val="0"/>
          <w:sz w:val="24"/>
          <w:szCs w:val="24"/>
        </w:rPr>
        <w:t>) and SS (37.1</w:t>
      </w:r>
      <w:r w:rsidRPr="00DB135C">
        <w:rPr>
          <w:rFonts w:ascii="Book Antiqua" w:hAnsi="Book Antiqua"/>
          <w:color w:val="000000"/>
          <w:sz w:val="24"/>
          <w:szCs w:val="24"/>
          <w:shd w:val="clear" w:color="auto" w:fill="FFFFFF"/>
        </w:rPr>
        <w:t>°</w:t>
      </w:r>
      <w:r w:rsidRPr="00DB135C">
        <w:rPr>
          <w:rFonts w:ascii="Book Antiqua" w:hAnsi="Book Antiqua"/>
          <w:kern w:val="0"/>
          <w:sz w:val="24"/>
          <w:szCs w:val="24"/>
        </w:rPr>
        <w:t xml:space="preserve">). </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p>
    <w:p w:rsidR="00E16629" w:rsidRPr="00DB135C" w:rsidRDefault="00E16629" w:rsidP="00645EC0">
      <w:pPr>
        <w:autoSpaceDE w:val="0"/>
        <w:autoSpaceDN w:val="0"/>
        <w:adjustRightInd w:val="0"/>
        <w:spacing w:line="360" w:lineRule="auto"/>
        <w:rPr>
          <w:rFonts w:ascii="Book Antiqua" w:hAnsi="Book Antiqua"/>
          <w:b/>
          <w:bCs/>
          <w:kern w:val="0"/>
          <w:sz w:val="24"/>
          <w:szCs w:val="24"/>
        </w:rPr>
      </w:pPr>
      <w:r w:rsidRPr="00DB135C">
        <w:rPr>
          <w:rFonts w:ascii="Book Antiqua" w:hAnsi="Book Antiqua"/>
          <w:b/>
          <w:bCs/>
          <w:kern w:val="0"/>
          <w:sz w:val="24"/>
          <w:szCs w:val="24"/>
        </w:rPr>
        <w:t>DISCUSSION</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 xml:space="preserve">Sacral fractures following posterior lumbosacral fusion are rarely seen, there has been a paucity of data on the association of this condition in the published literature. Before 2013, there were only 34 cases that had been reported. No cohort with more than 5 cases had been published until recently. Many spine surgeons have never encountered or noticed such kind of fractures. </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p>
    <w:p w:rsidR="00E16629" w:rsidRPr="00DB135C" w:rsidRDefault="00E16629" w:rsidP="00645EC0">
      <w:pPr>
        <w:autoSpaceDE w:val="0"/>
        <w:autoSpaceDN w:val="0"/>
        <w:adjustRightInd w:val="0"/>
        <w:spacing w:line="360" w:lineRule="auto"/>
        <w:rPr>
          <w:rFonts w:ascii="Book Antiqua" w:hAnsi="Book Antiqua"/>
          <w:b/>
          <w:i/>
          <w:color w:val="000000"/>
          <w:sz w:val="24"/>
          <w:szCs w:val="24"/>
          <w:shd w:val="clear" w:color="auto" w:fill="FFFFFF"/>
        </w:rPr>
      </w:pPr>
      <w:r w:rsidRPr="00DB135C">
        <w:rPr>
          <w:rFonts w:ascii="Book Antiqua" w:hAnsi="Book Antiqua"/>
          <w:b/>
          <w:i/>
          <w:color w:val="000000"/>
          <w:sz w:val="24"/>
          <w:szCs w:val="24"/>
          <w:shd w:val="clear" w:color="auto" w:fill="FFFFFF"/>
        </w:rPr>
        <w:t>Incidence and diagnosis</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 xml:space="preserve">The incidence of postoperative sacral fractures could have been rather underestimated. Because most of these fractures are not visible on plain radiograph, diagnosis is mostly established based on CT, MRI, or nuclear scintigraphy. There are 2 studies with larger cohort that have been published lately. Meredith </w:t>
      </w:r>
      <w:r w:rsidRPr="00DB135C">
        <w:rPr>
          <w:rFonts w:ascii="Book Antiqua" w:hAnsi="Book Antiqua"/>
          <w:i/>
          <w:color w:val="000000"/>
          <w:sz w:val="24"/>
          <w:szCs w:val="24"/>
          <w:shd w:val="clear" w:color="auto" w:fill="FFFFFF"/>
        </w:rPr>
        <w:t>et al</w:t>
      </w:r>
      <w:bookmarkStart w:id="4" w:name="_Ref388717382"/>
      <w:r w:rsidRPr="00DB135C">
        <w:rPr>
          <w:rFonts w:ascii="Book Antiqua" w:hAnsi="Book Antiqua"/>
          <w:color w:val="000000"/>
          <w:sz w:val="24"/>
          <w:szCs w:val="24"/>
          <w:shd w:val="clear" w:color="auto" w:fill="FFFFFF"/>
          <w:vertAlign w:val="superscript"/>
        </w:rPr>
        <w:t>[1]</w:t>
      </w:r>
      <w:bookmarkEnd w:id="4"/>
      <w:r w:rsidRPr="00DB135C">
        <w:rPr>
          <w:rFonts w:ascii="Book Antiqua" w:hAnsi="Book Antiqua"/>
          <w:color w:val="000000"/>
          <w:sz w:val="24"/>
          <w:szCs w:val="24"/>
          <w:shd w:val="clear" w:color="auto" w:fill="FFFFFF"/>
          <w:vertAlign w:val="superscript"/>
        </w:rPr>
        <w:t xml:space="preserve"> </w:t>
      </w:r>
      <w:r w:rsidRPr="00DB135C">
        <w:rPr>
          <w:rFonts w:ascii="Book Antiqua" w:hAnsi="Book Antiqua"/>
          <w:color w:val="000000"/>
          <w:sz w:val="24"/>
          <w:szCs w:val="24"/>
          <w:shd w:val="clear" w:color="auto" w:fill="FFFFFF"/>
        </w:rPr>
        <w:t xml:space="preserve">included all the patients undergoing posterior lumbosacral arthrodesis at their institution between 2002 and 2011. Twenty-four out of 392 (6.1%) patients presented sacral fractures after surgery, which were confirmed by CT, MRI, or nuclear scintigraphy. However, in only 1 out of the 24 cases, the sacral fracture could be noticed on the postoperative radiographs. Wilde </w:t>
      </w:r>
      <w:r w:rsidRPr="00DB135C">
        <w:rPr>
          <w:rFonts w:ascii="Book Antiqua" w:hAnsi="Book Antiqua"/>
          <w:i/>
          <w:color w:val="000000"/>
          <w:sz w:val="24"/>
          <w:szCs w:val="24"/>
          <w:shd w:val="clear" w:color="auto" w:fill="FFFFFF"/>
        </w:rPr>
        <w:t>et al</w:t>
      </w:r>
      <w:bookmarkStart w:id="5" w:name="_Ref388724414"/>
      <w:r w:rsidRPr="00DB135C">
        <w:rPr>
          <w:rFonts w:ascii="Book Antiqua" w:hAnsi="Book Antiqua"/>
          <w:color w:val="000000"/>
          <w:sz w:val="24"/>
          <w:szCs w:val="24"/>
          <w:shd w:val="clear" w:color="auto" w:fill="FFFFFF"/>
          <w:vertAlign w:val="superscript"/>
        </w:rPr>
        <w:t>[2]</w:t>
      </w:r>
      <w:bookmarkEnd w:id="5"/>
      <w:r w:rsidRPr="00DB135C">
        <w:rPr>
          <w:rFonts w:ascii="Book Antiqua" w:hAnsi="Book Antiqua"/>
          <w:color w:val="000000"/>
          <w:sz w:val="24"/>
          <w:szCs w:val="24"/>
          <w:shd w:val="clear" w:color="auto" w:fill="FFFFFF"/>
        </w:rPr>
        <w:t xml:space="preserve"> reported a cohort of 23 patients who had sacral fractures after lumbosacral fusion. Similarly, in only 1 out of 23 patients, the sacral fracture was noticed on the postoperative radiographs. As such, sacral fractures after lumbosacral fusion could have been greatly under-diagnosed. And CT has proven to be able to detect most of such fractures and should probably be performed routinely when patients complain of renewed buttock pain within 3 mo after lumbosacral fusion. </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p>
    <w:p w:rsidR="00E16629" w:rsidRPr="00DB135C" w:rsidRDefault="00E16629" w:rsidP="00645EC0">
      <w:pPr>
        <w:autoSpaceDE w:val="0"/>
        <w:autoSpaceDN w:val="0"/>
        <w:adjustRightInd w:val="0"/>
        <w:spacing w:line="360" w:lineRule="auto"/>
        <w:rPr>
          <w:rFonts w:ascii="Book Antiqua" w:hAnsi="Book Antiqua"/>
          <w:b/>
          <w:i/>
          <w:color w:val="000000"/>
          <w:sz w:val="24"/>
          <w:szCs w:val="24"/>
          <w:shd w:val="clear" w:color="auto" w:fill="FFFFFF"/>
        </w:rPr>
      </w:pPr>
      <w:r w:rsidRPr="00DB135C">
        <w:rPr>
          <w:rFonts w:ascii="Book Antiqua" w:hAnsi="Book Antiqua"/>
          <w:b/>
          <w:i/>
          <w:color w:val="000000"/>
          <w:sz w:val="24"/>
          <w:szCs w:val="24"/>
          <w:shd w:val="clear" w:color="auto" w:fill="FFFFFF"/>
        </w:rPr>
        <w:t>Risk factors and prevention</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 xml:space="preserve">Old age, female sex, osteoporosis, obesity, and long moment arm of multisegmental lumbosacral fusion are the most frequently cited risk factors for sacral fractures after posterior lumbosacral fusion. The current case had a 15-year history of corticosteroid use for her asthma. </w:t>
      </w:r>
      <w:r w:rsidRPr="00DB135C">
        <w:rPr>
          <w:rFonts w:ascii="Book Antiqua" w:hAnsi="Book Antiqua"/>
          <w:sz w:val="24"/>
          <w:szCs w:val="24"/>
          <w:shd w:val="clear" w:color="auto" w:fill="FFFFFF"/>
        </w:rPr>
        <w:t>The bone density test of hip (T-score – -3.7) showed a poor bone quality.</w:t>
      </w:r>
      <w:r w:rsidRPr="00DB135C">
        <w:rPr>
          <w:rFonts w:ascii="Book Antiqua" w:hAnsi="Book Antiqua"/>
          <w:color w:val="FF0000"/>
          <w:sz w:val="24"/>
          <w:szCs w:val="24"/>
          <w:shd w:val="clear" w:color="auto" w:fill="FFFFFF"/>
        </w:rPr>
        <w:t xml:space="preserve"> </w:t>
      </w:r>
      <w:r w:rsidRPr="00DB135C">
        <w:rPr>
          <w:rFonts w:ascii="Book Antiqua" w:hAnsi="Book Antiqua"/>
          <w:color w:val="000000"/>
          <w:sz w:val="24"/>
          <w:szCs w:val="24"/>
          <w:shd w:val="clear" w:color="auto" w:fill="FFFFFF"/>
        </w:rPr>
        <w:t xml:space="preserve">Furthermore, abnormal spinopelvic alignment could also be a risk factor for fracture development. </w:t>
      </w:r>
    </w:p>
    <w:p w:rsidR="00E16629" w:rsidRPr="00DB135C" w:rsidRDefault="00E16629" w:rsidP="004E4F21">
      <w:pPr>
        <w:autoSpaceDE w:val="0"/>
        <w:autoSpaceDN w:val="0"/>
        <w:adjustRightInd w:val="0"/>
        <w:spacing w:line="360" w:lineRule="auto"/>
        <w:ind w:firstLineChars="100" w:firstLine="31680"/>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To prevent the onset of postoperative sacral fractures, fixation of the iliac wings can be considered in high-risk patients.</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p>
    <w:p w:rsidR="00E16629" w:rsidRPr="00DB135C" w:rsidRDefault="00E16629" w:rsidP="00645EC0">
      <w:pPr>
        <w:autoSpaceDE w:val="0"/>
        <w:autoSpaceDN w:val="0"/>
        <w:adjustRightInd w:val="0"/>
        <w:spacing w:line="360" w:lineRule="auto"/>
        <w:rPr>
          <w:rFonts w:ascii="Book Antiqua" w:hAnsi="Book Antiqua"/>
          <w:b/>
          <w:i/>
          <w:color w:val="000000"/>
          <w:sz w:val="24"/>
          <w:szCs w:val="24"/>
          <w:shd w:val="clear" w:color="auto" w:fill="FFFFFF"/>
        </w:rPr>
      </w:pPr>
      <w:r w:rsidRPr="00DB135C">
        <w:rPr>
          <w:rFonts w:ascii="Book Antiqua" w:hAnsi="Book Antiqua"/>
          <w:b/>
          <w:i/>
          <w:color w:val="000000"/>
          <w:sz w:val="24"/>
          <w:szCs w:val="24"/>
          <w:shd w:val="clear" w:color="auto" w:fill="FFFFFF"/>
        </w:rPr>
        <w:t>Surgical treatment</w:t>
      </w:r>
    </w:p>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The reported experience showed us that these postoperative sacral fractures responded well to conservative treatments, which include activity modification, external immobilization, and medical treatment of osteoporosis</w:t>
      </w:r>
      <w:r w:rsidRPr="00DB135C">
        <w:rPr>
          <w:rFonts w:ascii="Book Antiqua" w:hAnsi="Book Antiqua"/>
          <w:color w:val="000000"/>
          <w:sz w:val="24"/>
          <w:szCs w:val="24"/>
          <w:shd w:val="clear" w:color="auto" w:fill="FFFFFF"/>
          <w:vertAlign w:val="superscript"/>
        </w:rPr>
        <w:t>[8-10]</w:t>
      </w:r>
      <w:r w:rsidRPr="00DB135C">
        <w:rPr>
          <w:rFonts w:ascii="Book Antiqua" w:hAnsi="Book Antiqua"/>
          <w:color w:val="000000"/>
          <w:sz w:val="24"/>
          <w:szCs w:val="24"/>
          <w:shd w:val="clear" w:color="auto" w:fill="FFFFFF"/>
        </w:rPr>
        <w:t>.</w:t>
      </w:r>
      <w:r w:rsidRPr="00DB135C">
        <w:rPr>
          <w:rFonts w:ascii="Book Antiqua" w:hAnsi="Book Antiqua"/>
          <w:kern w:val="0"/>
          <w:sz w:val="24"/>
          <w:szCs w:val="24"/>
          <w:vertAlign w:val="superscript"/>
        </w:rPr>
        <w:t xml:space="preserve"> </w:t>
      </w:r>
      <w:r w:rsidRPr="00DB135C">
        <w:rPr>
          <w:rFonts w:ascii="Book Antiqua" w:hAnsi="Book Antiqua"/>
          <w:color w:val="000000"/>
          <w:sz w:val="24"/>
          <w:szCs w:val="24"/>
          <w:shd w:val="clear" w:color="auto" w:fill="FFFFFF"/>
        </w:rPr>
        <w:t xml:space="preserve">However, sacral insufficiency fractures with significant displacement, sagittal imbalance, neurologic symptoms, or painful nonunion may necessitate surgical stabilization. The most commonly performed procedure is to extend </w:t>
      </w:r>
      <w:r w:rsidRPr="00DB135C">
        <w:rPr>
          <w:rFonts w:ascii="Book Antiqua" w:hAnsi="Book Antiqua"/>
          <w:kern w:val="0"/>
          <w:sz w:val="24"/>
          <w:szCs w:val="24"/>
        </w:rPr>
        <w:t>the fusion construct to the iliac wings using iliac screws. Fracture union and pain relief were achieved in all the surgically treated cases reported in the literature</w:t>
      </w:r>
      <w:r w:rsidRPr="00DB135C">
        <w:rPr>
          <w:rFonts w:ascii="Book Antiqua" w:hAnsi="Book Antiqua"/>
          <w:kern w:val="0"/>
          <w:sz w:val="24"/>
          <w:szCs w:val="24"/>
          <w:vertAlign w:val="superscript"/>
        </w:rPr>
        <w:t>[</w:t>
      </w:r>
      <w:fldSimple w:instr=" NOTEREF _Ref388717382 \f \h  \* MERGEFORMAT ">
        <w:r w:rsidRPr="00DB135C">
          <w:t>1</w:t>
        </w:r>
      </w:fldSimple>
      <w:r w:rsidRPr="00DB135C">
        <w:rPr>
          <w:rFonts w:ascii="Book Antiqua" w:hAnsi="Book Antiqua"/>
          <w:kern w:val="0"/>
          <w:sz w:val="24"/>
          <w:szCs w:val="24"/>
          <w:vertAlign w:val="superscript"/>
        </w:rPr>
        <w:t>-</w:t>
      </w:r>
      <w:fldSimple w:instr=" NOTEREF _Ref388724415 \f \h  \* MERGEFORMAT ">
        <w:r w:rsidRPr="00DB135C">
          <w:t>3</w:t>
        </w:r>
      </w:fldSimple>
      <w:r w:rsidRPr="00DB135C">
        <w:rPr>
          <w:rFonts w:ascii="Book Antiqua" w:hAnsi="Book Antiqua"/>
          <w:kern w:val="0"/>
          <w:sz w:val="24"/>
          <w:szCs w:val="24"/>
          <w:vertAlign w:val="superscript"/>
        </w:rPr>
        <w:t>,</w:t>
      </w:r>
      <w:fldSimple w:instr=" NOTEREF _Ref388724423 \f \h  \* MERGEFORMAT ">
        <w:r w:rsidRPr="00DB135C">
          <w:t>6</w:t>
        </w:r>
      </w:fldSimple>
      <w:r w:rsidRPr="00DB135C">
        <w:rPr>
          <w:rFonts w:ascii="Book Antiqua" w:hAnsi="Book Antiqua"/>
          <w:kern w:val="0"/>
          <w:sz w:val="24"/>
          <w:szCs w:val="24"/>
          <w:vertAlign w:val="superscript"/>
        </w:rPr>
        <w:t>-</w:t>
      </w:r>
      <w:fldSimple w:instr=" NOTEREF _Ref388724433 \f \h  \* MERGEFORMAT ">
        <w:r w:rsidRPr="00DB135C">
          <w:rPr>
            <w:rStyle w:val="EndnoteReference"/>
            <w:rFonts w:ascii="Book Antiqua" w:hAnsi="Book Antiqua"/>
            <w:sz w:val="24"/>
            <w:szCs w:val="24"/>
          </w:rPr>
          <w:t>10</w:t>
        </w:r>
      </w:fldSimple>
      <w:r w:rsidRPr="00DB135C">
        <w:rPr>
          <w:rFonts w:ascii="Book Antiqua" w:hAnsi="Book Antiqua"/>
          <w:sz w:val="24"/>
          <w:szCs w:val="24"/>
          <w:vertAlign w:val="superscript"/>
        </w:rPr>
        <w:t>]</w:t>
      </w:r>
      <w:r w:rsidRPr="00DB135C">
        <w:rPr>
          <w:rFonts w:ascii="Book Antiqua" w:hAnsi="Book Antiqua"/>
          <w:kern w:val="0"/>
          <w:sz w:val="24"/>
          <w:szCs w:val="24"/>
        </w:rPr>
        <w:t>.</w:t>
      </w:r>
    </w:p>
    <w:p w:rsidR="00E16629" w:rsidRPr="00DB135C" w:rsidRDefault="00E16629" w:rsidP="004E4F21">
      <w:pPr>
        <w:autoSpaceDE w:val="0"/>
        <w:autoSpaceDN w:val="0"/>
        <w:adjustRightInd w:val="0"/>
        <w:spacing w:line="360" w:lineRule="auto"/>
        <w:ind w:firstLineChars="100" w:firstLine="31680"/>
        <w:rPr>
          <w:rFonts w:ascii="Book Antiqua" w:hAnsi="Book Antiqua"/>
          <w:b/>
          <w:bCs/>
          <w:kern w:val="0"/>
          <w:sz w:val="24"/>
          <w:szCs w:val="24"/>
        </w:rPr>
      </w:pPr>
      <w:r w:rsidRPr="00DB135C">
        <w:rPr>
          <w:rFonts w:ascii="Book Antiqua" w:hAnsi="Book Antiqua"/>
          <w:color w:val="000000"/>
          <w:sz w:val="24"/>
          <w:szCs w:val="24"/>
          <w:shd w:val="clear" w:color="auto" w:fill="FFFFFF"/>
        </w:rPr>
        <w:t xml:space="preserve">In conclusion, the incidence of postoperative sacral fractures could have been rather underestimated, because most of these fractures are not visible on plain radiograph. CT has been proved to be able to detect most of such fractures and should probably be performed routinely when patients complain of renewed buttock pain within 3 mo after lumbosacral fusion. The majority of the patients responded well to conservative treatments, extending </w:t>
      </w:r>
      <w:r w:rsidRPr="00DB135C">
        <w:rPr>
          <w:rFonts w:ascii="Book Antiqua" w:hAnsi="Book Antiqua"/>
          <w:kern w:val="0"/>
          <w:sz w:val="24"/>
          <w:szCs w:val="24"/>
        </w:rPr>
        <w:t xml:space="preserve">the fusion construct to the iliac wings using iliac screws may be needed when there is concurrent </w:t>
      </w:r>
      <w:r w:rsidRPr="00DB135C">
        <w:rPr>
          <w:rFonts w:ascii="Book Antiqua" w:hAnsi="Book Antiqua"/>
          <w:color w:val="000000"/>
          <w:sz w:val="24"/>
          <w:szCs w:val="24"/>
          <w:shd w:val="clear" w:color="auto" w:fill="FFFFFF"/>
        </w:rPr>
        <w:t>fracture displacement, sagittal imbalance, neurologic symptoms, or painful nonunion.</w:t>
      </w:r>
    </w:p>
    <w:p w:rsidR="00E16629" w:rsidRPr="00DB135C" w:rsidRDefault="00E16629" w:rsidP="00645EC0">
      <w:pPr>
        <w:spacing w:line="360" w:lineRule="auto"/>
        <w:rPr>
          <w:rFonts w:ascii="Book Antiqua" w:hAnsi="Book Antiqua"/>
          <w:color w:val="000000"/>
          <w:sz w:val="24"/>
          <w:szCs w:val="24"/>
          <w:shd w:val="clear" w:color="auto" w:fill="FFFFFF"/>
        </w:rPr>
      </w:pPr>
    </w:p>
    <w:p w:rsidR="00E16629" w:rsidRPr="00DB135C" w:rsidRDefault="00E16629" w:rsidP="00B25FF2">
      <w:pPr>
        <w:spacing w:line="360" w:lineRule="auto"/>
        <w:rPr>
          <w:rFonts w:ascii="Book Antiqua" w:hAnsi="Book Antiqua"/>
          <w:b/>
          <w:sz w:val="24"/>
        </w:rPr>
      </w:pPr>
      <w:r w:rsidRPr="00DB135C">
        <w:rPr>
          <w:rFonts w:ascii="Book Antiqua" w:hAnsi="Book Antiqua"/>
          <w:b/>
          <w:sz w:val="24"/>
        </w:rPr>
        <w:t>COMMENTS</w:t>
      </w:r>
    </w:p>
    <w:p w:rsidR="00E16629" w:rsidRPr="00DB135C" w:rsidRDefault="00E16629" w:rsidP="00B25FF2">
      <w:pPr>
        <w:spacing w:line="360" w:lineRule="auto"/>
        <w:rPr>
          <w:rFonts w:ascii="Book Antiqua" w:hAnsi="Book Antiqua"/>
          <w:i/>
          <w:sz w:val="24"/>
        </w:rPr>
      </w:pPr>
      <w:r w:rsidRPr="00DB135C">
        <w:rPr>
          <w:rFonts w:ascii="Book Antiqua" w:hAnsi="Book Antiqua"/>
          <w:b/>
          <w:i/>
          <w:sz w:val="24"/>
        </w:rPr>
        <w:t>Case characteristics</w:t>
      </w:r>
    </w:p>
    <w:p w:rsidR="00E16629" w:rsidRPr="00DB135C" w:rsidRDefault="00E16629" w:rsidP="00645EC0">
      <w:pPr>
        <w:adjustRightInd w:val="0"/>
        <w:snapToGrid w:val="0"/>
        <w:spacing w:line="360" w:lineRule="auto"/>
        <w:rPr>
          <w:rFonts w:ascii="Book Antiqua" w:hAnsi="Book Antiqua"/>
          <w:color w:val="000000"/>
          <w:sz w:val="24"/>
          <w:szCs w:val="24"/>
          <w:shd w:val="clear" w:color="auto" w:fill="FFFFFF"/>
        </w:rPr>
      </w:pPr>
      <w:r w:rsidRPr="00DB135C">
        <w:rPr>
          <w:rFonts w:ascii="Book Antiqua" w:hAnsi="Book Antiqua"/>
          <w:color w:val="000000"/>
          <w:kern w:val="0"/>
          <w:sz w:val="24"/>
          <w:szCs w:val="24"/>
        </w:rPr>
        <w:t>A 65-year-old patient with a 15-year history of corticosteroid use reported a sudden exacerbation of bilateral buttock pain, left-leg radicular pain and sphincter disturbances without precedent trauma on the 5</w:t>
      </w:r>
      <w:r w:rsidRPr="00DB135C">
        <w:rPr>
          <w:rFonts w:ascii="Book Antiqua" w:hAnsi="Book Antiqua"/>
          <w:color w:val="000000"/>
          <w:kern w:val="0"/>
          <w:sz w:val="24"/>
          <w:szCs w:val="24"/>
          <w:vertAlign w:val="superscript"/>
        </w:rPr>
        <w:t>th</w:t>
      </w:r>
      <w:r w:rsidRPr="00DB135C">
        <w:rPr>
          <w:rFonts w:ascii="Book Antiqua" w:hAnsi="Book Antiqua"/>
          <w:color w:val="000000"/>
          <w:kern w:val="0"/>
          <w:sz w:val="24"/>
          <w:szCs w:val="24"/>
        </w:rPr>
        <w:t xml:space="preserve"> day after posterior L4-S1 fusion.</w:t>
      </w:r>
      <w:r w:rsidRPr="00DB135C">
        <w:rPr>
          <w:rFonts w:ascii="Book Antiqua" w:hAnsi="Book Antiqua"/>
          <w:color w:val="000000"/>
          <w:sz w:val="24"/>
          <w:szCs w:val="24"/>
          <w:shd w:val="clear" w:color="auto" w:fill="FFFFFF"/>
        </w:rPr>
        <w:t xml:space="preserve"> </w:t>
      </w:r>
    </w:p>
    <w:p w:rsidR="00E16629" w:rsidRPr="00DB135C" w:rsidRDefault="00E16629" w:rsidP="00645EC0">
      <w:pPr>
        <w:spacing w:line="360" w:lineRule="auto"/>
        <w:rPr>
          <w:rFonts w:ascii="Book Antiqua" w:hAnsi="Book Antiqua"/>
          <w:b/>
          <w:sz w:val="24"/>
          <w:szCs w:val="24"/>
        </w:rPr>
      </w:pPr>
    </w:p>
    <w:p w:rsidR="00E16629" w:rsidRPr="00DB135C" w:rsidRDefault="00E16629" w:rsidP="00B25FF2">
      <w:pPr>
        <w:spacing w:line="360" w:lineRule="auto"/>
        <w:rPr>
          <w:rFonts w:ascii="Book Antiqua" w:hAnsi="Book Antiqua" w:cs="宋体"/>
          <w:b/>
          <w:i/>
          <w:color w:val="000000"/>
          <w:sz w:val="24"/>
        </w:rPr>
      </w:pPr>
      <w:r w:rsidRPr="00DB135C">
        <w:rPr>
          <w:rFonts w:ascii="Book Antiqua" w:hAnsi="Book Antiqua" w:cs="Arial"/>
          <w:b/>
          <w:i/>
          <w:color w:val="000000"/>
          <w:sz w:val="24"/>
        </w:rPr>
        <w:t>Clinical diagnosis</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 xml:space="preserve">Physical examination revealed a 3/5 weakness of left lower extremity. </w:t>
      </w:r>
    </w:p>
    <w:p w:rsidR="00E16629" w:rsidRPr="00DB135C" w:rsidRDefault="00E16629" w:rsidP="00645EC0">
      <w:pPr>
        <w:spacing w:line="360" w:lineRule="auto"/>
        <w:rPr>
          <w:rFonts w:ascii="Book Antiqua" w:hAnsi="Book Antiqua"/>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cs="Arial"/>
          <w:b/>
          <w:i/>
          <w:color w:val="000000"/>
          <w:sz w:val="24"/>
        </w:rPr>
        <w:t>Differential diagnosis</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 xml:space="preserve">Osteoporotic vertebral compressive fracture, epidural hematoma, malposition of pedicle screws, and migration of pedicle screws. </w:t>
      </w:r>
    </w:p>
    <w:p w:rsidR="00E16629" w:rsidRPr="00DB135C" w:rsidRDefault="00E16629" w:rsidP="00645EC0">
      <w:pPr>
        <w:spacing w:line="360" w:lineRule="auto"/>
        <w:rPr>
          <w:rFonts w:ascii="Book Antiqua" w:hAnsi="Book Antiqua" w:cs="Arial"/>
          <w:b/>
          <w:color w:val="000000"/>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cs="Arial"/>
          <w:b/>
          <w:i/>
          <w:color w:val="000000"/>
          <w:sz w:val="24"/>
        </w:rPr>
        <w:t>Laboratory diagnosis</w:t>
      </w:r>
    </w:p>
    <w:p w:rsidR="00E16629" w:rsidRPr="00DB135C" w:rsidRDefault="00E16629" w:rsidP="00645EC0">
      <w:pPr>
        <w:tabs>
          <w:tab w:val="center" w:pos="4153"/>
        </w:tabs>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The patient had no remarkable findings for the laboratory tests.</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tabs>
          <w:tab w:val="center" w:pos="4153"/>
        </w:tabs>
        <w:spacing w:line="360" w:lineRule="auto"/>
        <w:rPr>
          <w:rFonts w:ascii="Book Antiqua" w:hAnsi="Book Antiqua" w:cs="Arial"/>
          <w:b/>
          <w:i/>
          <w:color w:val="000000"/>
          <w:sz w:val="24"/>
        </w:rPr>
      </w:pPr>
      <w:r w:rsidRPr="00DB135C">
        <w:rPr>
          <w:rFonts w:ascii="Book Antiqua" w:hAnsi="Book Antiqua" w:cs="Arial"/>
          <w:b/>
          <w:i/>
          <w:color w:val="000000"/>
          <w:sz w:val="24"/>
        </w:rPr>
        <w:t>Imaging diagnosis</w:t>
      </w:r>
    </w:p>
    <w:p w:rsidR="00E16629" w:rsidRPr="00DB135C" w:rsidRDefault="00E16629" w:rsidP="00645EC0">
      <w:pPr>
        <w:tabs>
          <w:tab w:val="center" w:pos="4153"/>
        </w:tabs>
        <w:adjustRightInd w:val="0"/>
        <w:snapToGrid w:val="0"/>
        <w:spacing w:line="360" w:lineRule="auto"/>
        <w:rPr>
          <w:rFonts w:ascii="Book Antiqua" w:hAnsi="Book Antiqua" w:cs="Arial"/>
          <w:b/>
          <w:i/>
          <w:sz w:val="24"/>
          <w:szCs w:val="24"/>
        </w:rPr>
      </w:pPr>
      <w:r w:rsidRPr="00DB135C">
        <w:rPr>
          <w:rFonts w:ascii="Book Antiqua" w:hAnsi="Book Antiqua"/>
          <w:color w:val="000000"/>
          <w:kern w:val="0"/>
          <w:sz w:val="24"/>
          <w:szCs w:val="24"/>
        </w:rPr>
        <w:t>A computed tomography (CT) scanning revealed a horizontal fracture at the S1/S2 level with S2 being totally displaced.</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cs="Arial"/>
          <w:b/>
          <w:i/>
          <w:color w:val="000000"/>
          <w:sz w:val="24"/>
        </w:rPr>
        <w:t>Pathological diagnosis</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No histological examination was performed.</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cs="Arial"/>
          <w:b/>
          <w:i/>
          <w:color w:val="000000"/>
          <w:sz w:val="24"/>
        </w:rPr>
        <w:t>Treatment</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The authors performed posterior neural decompression and hardware revision with deformity reduction for the patient at 2 wk after the index operation. The fusion construct was extended to the iliac wings using iliac screws.</w:t>
      </w:r>
    </w:p>
    <w:p w:rsidR="00E16629" w:rsidRPr="00DB135C" w:rsidRDefault="00E16629" w:rsidP="00645EC0">
      <w:pPr>
        <w:spacing w:line="360" w:lineRule="auto"/>
        <w:rPr>
          <w:rFonts w:ascii="Book Antiqua" w:hAnsi="Book Antiqua"/>
          <w:b/>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b/>
          <w:i/>
          <w:sz w:val="24"/>
        </w:rPr>
        <w:t>Related reports</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Sacral fractures following posterior lumbosacral fusion are rarely seen, there has been a paucity of data on the association of this condition in the published literature. Before 2013, there were only 34 cases that had been reported. No cohort with more than 5 cases had been published until recently.</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spacing w:line="360" w:lineRule="auto"/>
        <w:rPr>
          <w:rFonts w:ascii="Book Antiqua" w:hAnsi="Book Antiqua"/>
          <w:b/>
          <w:i/>
          <w:sz w:val="24"/>
        </w:rPr>
      </w:pPr>
      <w:r w:rsidRPr="00DB135C">
        <w:rPr>
          <w:rFonts w:ascii="Book Antiqua" w:hAnsi="Book Antiqua"/>
          <w:b/>
          <w:i/>
          <w:sz w:val="24"/>
        </w:rPr>
        <w:t xml:space="preserve">Term explanation </w:t>
      </w:r>
    </w:p>
    <w:p w:rsidR="00E16629" w:rsidRPr="00DB135C" w:rsidRDefault="00E16629" w:rsidP="00645EC0">
      <w:pPr>
        <w:adjustRightInd w:val="0"/>
        <w:snapToGrid w:val="0"/>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Sacral fractures following posterior lumbosacral fusion are an uncommon complication. Risk factors include old age, female sex, obesity, smoking, postmenopausal osteoporosis, chronic corticosteroid use, prior radiation therapy, graft harvesting, multisegmental lumbosacral fusion, and abnormal spinopelvic alignment.</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spacing w:line="360" w:lineRule="auto"/>
        <w:rPr>
          <w:rFonts w:ascii="Book Antiqua" w:hAnsi="Book Antiqua" w:cs="Arial"/>
          <w:b/>
          <w:i/>
          <w:color w:val="000000"/>
          <w:sz w:val="24"/>
        </w:rPr>
      </w:pPr>
      <w:r w:rsidRPr="00DB135C">
        <w:rPr>
          <w:rFonts w:ascii="Book Antiqua" w:hAnsi="Book Antiqua" w:cs="Arial"/>
          <w:b/>
          <w:i/>
          <w:color w:val="000000"/>
          <w:sz w:val="24"/>
        </w:rPr>
        <w:t>Experiences and lessons</w:t>
      </w:r>
    </w:p>
    <w:p w:rsidR="00E16629" w:rsidRPr="00DB135C" w:rsidRDefault="00E16629" w:rsidP="00645EC0">
      <w:pPr>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The incidence of postoperative sacral fractures could have been rather underestimated, because most of these fractures are not visible on plain radiograph. CT has been proved to be able to detect most of such fractures and should probably be performed routinely when patients complain of renewed buttock pain within 3 mo after lumbosacral fusion. The majority of the patients responded well to conservative treatments, extending the fusion construct to the iliac wings using iliac screws may be needed when there is concurrent fracture displacement, sagittal imbalance, neurologic symptoms, or painful nonunion.</w:t>
      </w:r>
    </w:p>
    <w:p w:rsidR="00E16629" w:rsidRPr="00DB135C" w:rsidRDefault="00E16629" w:rsidP="00645EC0">
      <w:pPr>
        <w:spacing w:line="360" w:lineRule="auto"/>
        <w:rPr>
          <w:rFonts w:ascii="Book Antiqua" w:hAnsi="Book Antiqua" w:cs="Arial"/>
          <w:color w:val="000000"/>
          <w:sz w:val="24"/>
          <w:szCs w:val="24"/>
        </w:rPr>
      </w:pPr>
    </w:p>
    <w:p w:rsidR="00E16629" w:rsidRPr="00DB135C" w:rsidRDefault="00E16629" w:rsidP="00B25FF2">
      <w:pPr>
        <w:spacing w:line="360" w:lineRule="auto"/>
        <w:rPr>
          <w:rFonts w:ascii="Book Antiqua" w:hAnsi="Book Antiqua"/>
          <w:b/>
          <w:i/>
          <w:sz w:val="24"/>
        </w:rPr>
      </w:pPr>
      <w:r w:rsidRPr="00DB135C">
        <w:rPr>
          <w:rFonts w:ascii="Book Antiqua" w:hAnsi="Book Antiqua"/>
          <w:b/>
          <w:i/>
          <w:sz w:val="24"/>
        </w:rPr>
        <w:t>Peer-review</w:t>
      </w:r>
    </w:p>
    <w:p w:rsidR="00E16629" w:rsidRPr="00DB135C" w:rsidRDefault="00E16629" w:rsidP="00645EC0">
      <w:pPr>
        <w:spacing w:line="360" w:lineRule="auto"/>
        <w:rPr>
          <w:rFonts w:ascii="Book Antiqua" w:hAnsi="Book Antiqua"/>
          <w:color w:val="000000"/>
          <w:kern w:val="0"/>
          <w:sz w:val="24"/>
          <w:szCs w:val="24"/>
        </w:rPr>
      </w:pPr>
      <w:r w:rsidRPr="00DB135C">
        <w:rPr>
          <w:rFonts w:ascii="Book Antiqua" w:hAnsi="Book Antiqua"/>
          <w:color w:val="000000"/>
          <w:kern w:val="0"/>
          <w:sz w:val="24"/>
          <w:szCs w:val="24"/>
        </w:rPr>
        <w:t>It’s a well-organised study.</w:t>
      </w:r>
    </w:p>
    <w:p w:rsidR="00E16629" w:rsidRPr="00DB135C" w:rsidRDefault="00E16629" w:rsidP="00645EC0">
      <w:pPr>
        <w:spacing w:line="360" w:lineRule="auto"/>
        <w:rPr>
          <w:rFonts w:ascii="Book Antiqua" w:hAnsi="Book Antiqua"/>
          <w:b/>
          <w:sz w:val="24"/>
          <w:szCs w:val="24"/>
        </w:rPr>
      </w:pPr>
      <w:r w:rsidRPr="00DB135C">
        <w:rPr>
          <w:rFonts w:ascii="Book Antiqua" w:hAnsi="Book Antiqua"/>
          <w:color w:val="000000"/>
          <w:sz w:val="24"/>
          <w:szCs w:val="24"/>
          <w:shd w:val="clear" w:color="auto" w:fill="FFFFFF"/>
        </w:rPr>
        <w:br w:type="page"/>
      </w:r>
      <w:r w:rsidRPr="00DB135C">
        <w:rPr>
          <w:rFonts w:ascii="Book Antiqua" w:hAnsi="Book Antiqua"/>
          <w:b/>
          <w:sz w:val="24"/>
          <w:szCs w:val="24"/>
        </w:rPr>
        <w:t>REFERENCES</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1 </w:t>
      </w:r>
      <w:r w:rsidRPr="00DB135C">
        <w:rPr>
          <w:rFonts w:ascii="Book Antiqua" w:hAnsi="Book Antiqua" w:cs="宋体"/>
          <w:b/>
          <w:bCs/>
          <w:color w:val="000000"/>
          <w:kern w:val="0"/>
          <w:sz w:val="24"/>
          <w:szCs w:val="24"/>
        </w:rPr>
        <w:t>Meredith DS</w:t>
      </w:r>
      <w:r w:rsidRPr="00DB135C">
        <w:rPr>
          <w:rFonts w:ascii="Book Antiqua" w:hAnsi="Book Antiqua" w:cs="宋体"/>
          <w:color w:val="000000"/>
          <w:kern w:val="0"/>
          <w:sz w:val="24"/>
          <w:szCs w:val="24"/>
        </w:rPr>
        <w:t>, Taher F, Cammisa FP, Girardi FP. Incidence, diagnosis, and management of sacral fractures following multilevel spinal arthrodesis. </w:t>
      </w:r>
      <w:r w:rsidRPr="00DB135C">
        <w:rPr>
          <w:rFonts w:ascii="Book Antiqua" w:hAnsi="Book Antiqua" w:cs="宋体"/>
          <w:i/>
          <w:iCs/>
          <w:color w:val="000000"/>
          <w:kern w:val="0"/>
          <w:sz w:val="24"/>
          <w:szCs w:val="24"/>
        </w:rPr>
        <w:t>Spine J</w:t>
      </w:r>
      <w:r w:rsidRPr="00DB135C">
        <w:rPr>
          <w:rFonts w:ascii="Book Antiqua" w:hAnsi="Book Antiqua" w:cs="宋体"/>
          <w:color w:val="000000"/>
          <w:kern w:val="0"/>
          <w:sz w:val="24"/>
          <w:szCs w:val="24"/>
        </w:rPr>
        <w:t> 2013; </w:t>
      </w:r>
      <w:r w:rsidRPr="00DB135C">
        <w:rPr>
          <w:rFonts w:ascii="Book Antiqua" w:hAnsi="Book Antiqua" w:cs="宋体"/>
          <w:b/>
          <w:bCs/>
          <w:color w:val="000000"/>
          <w:kern w:val="0"/>
          <w:sz w:val="24"/>
          <w:szCs w:val="24"/>
        </w:rPr>
        <w:t>13</w:t>
      </w:r>
      <w:r w:rsidRPr="00DB135C">
        <w:rPr>
          <w:rFonts w:ascii="Book Antiqua" w:hAnsi="Book Antiqua" w:cs="宋体"/>
          <w:color w:val="000000"/>
          <w:kern w:val="0"/>
          <w:sz w:val="24"/>
          <w:szCs w:val="24"/>
        </w:rPr>
        <w:t>: 1464-1469 [PMID: 23623635 DOI: 10.1016/j.spinee.2013.03.025]</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2 </w:t>
      </w:r>
      <w:r w:rsidRPr="00DB135C">
        <w:rPr>
          <w:rFonts w:ascii="Book Antiqua" w:hAnsi="Book Antiqua" w:cs="宋体"/>
          <w:b/>
          <w:bCs/>
          <w:color w:val="000000"/>
          <w:kern w:val="0"/>
          <w:sz w:val="24"/>
          <w:szCs w:val="24"/>
        </w:rPr>
        <w:t>Wilde GE</w:t>
      </w:r>
      <w:r w:rsidRPr="00DB135C">
        <w:rPr>
          <w:rFonts w:ascii="Book Antiqua" w:hAnsi="Book Antiqua" w:cs="宋体"/>
          <w:color w:val="000000"/>
          <w:kern w:val="0"/>
          <w:sz w:val="24"/>
          <w:szCs w:val="24"/>
        </w:rPr>
        <w:t>, Miller TT, Schneider R, Girardi FP. Sacral fractures after lumbosacral fusion: a characteristic fracture pattern. </w:t>
      </w:r>
      <w:r w:rsidRPr="00DB135C">
        <w:rPr>
          <w:rFonts w:ascii="Book Antiqua" w:hAnsi="Book Antiqua" w:cs="宋体"/>
          <w:i/>
          <w:iCs/>
          <w:color w:val="000000"/>
          <w:kern w:val="0"/>
          <w:sz w:val="24"/>
          <w:szCs w:val="24"/>
        </w:rPr>
        <w:t>AJR Am J Roentgenol</w:t>
      </w:r>
      <w:r w:rsidRPr="00DB135C">
        <w:rPr>
          <w:rFonts w:ascii="Book Antiqua" w:hAnsi="Book Antiqua" w:cs="宋体"/>
          <w:color w:val="000000"/>
          <w:kern w:val="0"/>
          <w:sz w:val="24"/>
          <w:szCs w:val="24"/>
        </w:rPr>
        <w:t> 2011; </w:t>
      </w:r>
      <w:r w:rsidRPr="00DB135C">
        <w:rPr>
          <w:rFonts w:ascii="Book Antiqua" w:hAnsi="Book Antiqua" w:cs="宋体"/>
          <w:b/>
          <w:bCs/>
          <w:color w:val="000000"/>
          <w:kern w:val="0"/>
          <w:sz w:val="24"/>
          <w:szCs w:val="24"/>
        </w:rPr>
        <w:t>197</w:t>
      </w:r>
      <w:r w:rsidRPr="00DB135C">
        <w:rPr>
          <w:rFonts w:ascii="Book Antiqua" w:hAnsi="Book Antiqua" w:cs="宋体"/>
          <w:color w:val="000000"/>
          <w:kern w:val="0"/>
          <w:sz w:val="24"/>
          <w:szCs w:val="24"/>
        </w:rPr>
        <w:t>: 184-188 [PMID: 21701029 DOI: 10.2214/AJR.10.5902]</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3 </w:t>
      </w:r>
      <w:r w:rsidRPr="00DB135C">
        <w:rPr>
          <w:rFonts w:ascii="Book Antiqua" w:hAnsi="Book Antiqua" w:cs="宋体"/>
          <w:b/>
          <w:bCs/>
          <w:color w:val="000000"/>
          <w:kern w:val="0"/>
          <w:sz w:val="24"/>
          <w:szCs w:val="24"/>
        </w:rPr>
        <w:t>Wood KB</w:t>
      </w:r>
      <w:r w:rsidRPr="00DB135C">
        <w:rPr>
          <w:rFonts w:ascii="Book Antiqua" w:hAnsi="Book Antiqua" w:cs="宋体"/>
          <w:color w:val="000000"/>
          <w:kern w:val="0"/>
          <w:sz w:val="24"/>
          <w:szCs w:val="24"/>
        </w:rPr>
        <w:t>, Schendel MJ, Ogilvie JW, Braun J, Major MC, Malcom JR. Effect of sacral and iliac instrumentation on strains in the pelvis. A biomechanical study. </w:t>
      </w:r>
      <w:r w:rsidRPr="00DB135C">
        <w:rPr>
          <w:rFonts w:ascii="Book Antiqua" w:hAnsi="Book Antiqua" w:cs="宋体"/>
          <w:i/>
          <w:iCs/>
          <w:color w:val="000000"/>
          <w:kern w:val="0"/>
          <w:sz w:val="24"/>
          <w:szCs w:val="24"/>
        </w:rPr>
        <w:t xml:space="preserve">Spine </w:t>
      </w:r>
      <w:r w:rsidRPr="00DB135C">
        <w:rPr>
          <w:rFonts w:ascii="Book Antiqua" w:hAnsi="Book Antiqua" w:cs="宋体"/>
          <w:iCs/>
          <w:color w:val="000000"/>
          <w:kern w:val="0"/>
          <w:sz w:val="24"/>
          <w:szCs w:val="24"/>
        </w:rPr>
        <w:t>(Phila Pa 1976)</w:t>
      </w:r>
      <w:r w:rsidRPr="00DB135C">
        <w:rPr>
          <w:rFonts w:ascii="Book Antiqua" w:hAnsi="Book Antiqua" w:cs="宋体"/>
          <w:color w:val="000000"/>
          <w:kern w:val="0"/>
          <w:sz w:val="24"/>
          <w:szCs w:val="24"/>
        </w:rPr>
        <w:t> 1996; </w:t>
      </w:r>
      <w:r w:rsidRPr="00DB135C">
        <w:rPr>
          <w:rFonts w:ascii="Book Antiqua" w:hAnsi="Book Antiqua" w:cs="宋体"/>
          <w:b/>
          <w:bCs/>
          <w:color w:val="000000"/>
          <w:kern w:val="0"/>
          <w:sz w:val="24"/>
          <w:szCs w:val="24"/>
        </w:rPr>
        <w:t>21</w:t>
      </w:r>
      <w:r w:rsidRPr="00DB135C">
        <w:rPr>
          <w:rFonts w:ascii="Book Antiqua" w:hAnsi="Book Antiqua" w:cs="宋体"/>
          <w:color w:val="000000"/>
          <w:kern w:val="0"/>
          <w:sz w:val="24"/>
          <w:szCs w:val="24"/>
        </w:rPr>
        <w:t xml:space="preserve">: 1185-1191 [PMID: 8727193 DOI: </w:t>
      </w:r>
      <w:r w:rsidRPr="00DB135C">
        <w:rPr>
          <w:rFonts w:ascii="Book Antiqua" w:hAnsi="Book Antiqua"/>
          <w:sz w:val="24"/>
          <w:szCs w:val="24"/>
          <w:shd w:val="clear" w:color="auto" w:fill="FFFFFF"/>
        </w:rPr>
        <w:t>10.1097/00007632-199605150-00010</w:t>
      </w:r>
      <w:r w:rsidRPr="00DB135C">
        <w:rPr>
          <w:rFonts w:ascii="Book Antiqua" w:hAnsi="Book Antiqua" w:cs="宋体"/>
          <w:color w:val="000000"/>
          <w:kern w:val="0"/>
          <w:sz w:val="24"/>
          <w:szCs w:val="24"/>
        </w:rPr>
        <w:t>]</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4 </w:t>
      </w:r>
      <w:r w:rsidRPr="00DB135C">
        <w:rPr>
          <w:rFonts w:ascii="Book Antiqua" w:hAnsi="Book Antiqua" w:cs="宋体"/>
          <w:b/>
          <w:bCs/>
          <w:color w:val="000000"/>
          <w:kern w:val="0"/>
          <w:sz w:val="24"/>
          <w:szCs w:val="24"/>
        </w:rPr>
        <w:t>Erickson MA</w:t>
      </w:r>
      <w:r w:rsidRPr="00DB135C">
        <w:rPr>
          <w:rFonts w:ascii="Book Antiqua" w:hAnsi="Book Antiqua" w:cs="宋体"/>
          <w:color w:val="000000"/>
          <w:kern w:val="0"/>
          <w:sz w:val="24"/>
          <w:szCs w:val="24"/>
        </w:rPr>
        <w:t>, Oliver T, Baldini T, Bach J. Biomechanical assessment of conventional unit rod fixation versus a unit rod pedicle screw construct: a human cadaver study. </w:t>
      </w:r>
      <w:r w:rsidRPr="00DB135C">
        <w:rPr>
          <w:rFonts w:ascii="Book Antiqua" w:hAnsi="Book Antiqua" w:cs="宋体"/>
          <w:i/>
          <w:iCs/>
          <w:color w:val="000000"/>
          <w:kern w:val="0"/>
          <w:sz w:val="24"/>
          <w:szCs w:val="24"/>
        </w:rPr>
        <w:t xml:space="preserve">Spine </w:t>
      </w:r>
      <w:r w:rsidRPr="00DB135C">
        <w:rPr>
          <w:rFonts w:ascii="Book Antiqua" w:hAnsi="Book Antiqua" w:cs="宋体"/>
          <w:iCs/>
          <w:color w:val="000000"/>
          <w:kern w:val="0"/>
          <w:sz w:val="24"/>
          <w:szCs w:val="24"/>
        </w:rPr>
        <w:t>(Phila Pa 1976)</w:t>
      </w:r>
      <w:r w:rsidRPr="00DB135C">
        <w:rPr>
          <w:rFonts w:ascii="Book Antiqua" w:hAnsi="Book Antiqua" w:cs="宋体"/>
          <w:color w:val="000000"/>
          <w:kern w:val="0"/>
          <w:sz w:val="24"/>
          <w:szCs w:val="24"/>
        </w:rPr>
        <w:t> 2004; </w:t>
      </w:r>
      <w:r w:rsidRPr="00DB135C">
        <w:rPr>
          <w:rFonts w:ascii="Book Antiqua" w:hAnsi="Book Antiqua" w:cs="宋体"/>
          <w:b/>
          <w:bCs/>
          <w:color w:val="000000"/>
          <w:kern w:val="0"/>
          <w:sz w:val="24"/>
          <w:szCs w:val="24"/>
        </w:rPr>
        <w:t>29</w:t>
      </w:r>
      <w:r w:rsidRPr="00DB135C">
        <w:rPr>
          <w:rFonts w:ascii="Book Antiqua" w:hAnsi="Book Antiqua" w:cs="宋体"/>
          <w:color w:val="000000"/>
          <w:kern w:val="0"/>
          <w:sz w:val="24"/>
          <w:szCs w:val="24"/>
        </w:rPr>
        <w:t xml:space="preserve">: 1314-1319 [PMID: 15187631 DOI: </w:t>
      </w:r>
      <w:r w:rsidRPr="00DB135C">
        <w:rPr>
          <w:rFonts w:ascii="Book Antiqua" w:hAnsi="Book Antiqua"/>
          <w:sz w:val="24"/>
          <w:szCs w:val="24"/>
          <w:shd w:val="clear" w:color="auto" w:fill="FFFFFF"/>
        </w:rPr>
        <w:t>10.1097/01.BRS.0000127182.36142.95</w:t>
      </w:r>
      <w:r w:rsidRPr="00DB135C">
        <w:rPr>
          <w:rFonts w:ascii="Book Antiqua" w:hAnsi="Book Antiqua" w:cs="宋体"/>
          <w:color w:val="000000"/>
          <w:kern w:val="0"/>
          <w:sz w:val="24"/>
          <w:szCs w:val="24"/>
        </w:rPr>
        <w:t>]</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5 </w:t>
      </w:r>
      <w:r w:rsidRPr="00DB135C">
        <w:rPr>
          <w:rFonts w:ascii="Book Antiqua" w:hAnsi="Book Antiqua" w:cs="宋体"/>
          <w:b/>
          <w:bCs/>
          <w:color w:val="000000"/>
          <w:kern w:val="0"/>
          <w:sz w:val="24"/>
          <w:szCs w:val="24"/>
        </w:rPr>
        <w:t>Khan MH</w:t>
      </w:r>
      <w:r w:rsidRPr="00DB135C">
        <w:rPr>
          <w:rFonts w:ascii="Book Antiqua" w:hAnsi="Book Antiqua" w:cs="宋体"/>
          <w:color w:val="000000"/>
          <w:kern w:val="0"/>
          <w:sz w:val="24"/>
          <w:szCs w:val="24"/>
        </w:rPr>
        <w:t>, Smith PN, Kang JD. Sacral insufficiency fractures following multilevel instrumented spinal fusion: case report. </w:t>
      </w:r>
      <w:r w:rsidRPr="00DB135C">
        <w:rPr>
          <w:rFonts w:ascii="Book Antiqua" w:hAnsi="Book Antiqua" w:cs="宋体"/>
          <w:i/>
          <w:iCs/>
          <w:color w:val="000000"/>
          <w:kern w:val="0"/>
          <w:sz w:val="24"/>
          <w:szCs w:val="24"/>
        </w:rPr>
        <w:t xml:space="preserve">Spine </w:t>
      </w:r>
      <w:r w:rsidRPr="00DB135C">
        <w:rPr>
          <w:rFonts w:ascii="Book Antiqua" w:hAnsi="Book Antiqua" w:cs="宋体"/>
          <w:iCs/>
          <w:color w:val="000000"/>
          <w:kern w:val="0"/>
          <w:sz w:val="24"/>
          <w:szCs w:val="24"/>
        </w:rPr>
        <w:t>(Phila Pa 1976)</w:t>
      </w:r>
      <w:r w:rsidRPr="00DB135C">
        <w:rPr>
          <w:rFonts w:ascii="Book Antiqua" w:hAnsi="Book Antiqua" w:cs="宋体"/>
          <w:color w:val="000000"/>
          <w:kern w:val="0"/>
          <w:sz w:val="24"/>
          <w:szCs w:val="24"/>
        </w:rPr>
        <w:t> 2005; </w:t>
      </w:r>
      <w:r w:rsidRPr="00DB135C">
        <w:rPr>
          <w:rFonts w:ascii="Book Antiqua" w:hAnsi="Book Antiqua" w:cs="宋体"/>
          <w:b/>
          <w:bCs/>
          <w:color w:val="000000"/>
          <w:kern w:val="0"/>
          <w:sz w:val="24"/>
          <w:szCs w:val="24"/>
        </w:rPr>
        <w:t>30</w:t>
      </w:r>
      <w:r w:rsidRPr="00DB135C">
        <w:rPr>
          <w:rFonts w:ascii="Book Antiqua" w:hAnsi="Book Antiqua" w:cs="宋体"/>
          <w:color w:val="000000"/>
          <w:kern w:val="0"/>
          <w:sz w:val="24"/>
          <w:szCs w:val="24"/>
        </w:rPr>
        <w:t xml:space="preserve">: E484-E488 [PMID: 16103844 DOI: </w:t>
      </w:r>
      <w:r w:rsidRPr="00DB135C">
        <w:rPr>
          <w:rFonts w:ascii="Book Antiqua" w:hAnsi="Book Antiqua"/>
          <w:sz w:val="24"/>
          <w:szCs w:val="24"/>
          <w:shd w:val="clear" w:color="auto" w:fill="FFFFFF"/>
        </w:rPr>
        <w:t>10.1097/01.brs.0000174272.63548.89</w:t>
      </w:r>
      <w:r w:rsidRPr="00DB135C">
        <w:rPr>
          <w:rFonts w:ascii="Book Antiqua" w:hAnsi="Book Antiqua" w:cs="宋体"/>
          <w:color w:val="000000"/>
          <w:kern w:val="0"/>
          <w:sz w:val="24"/>
          <w:szCs w:val="24"/>
        </w:rPr>
        <w:t>]</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6 </w:t>
      </w:r>
      <w:r w:rsidRPr="00DB135C">
        <w:rPr>
          <w:rFonts w:ascii="Book Antiqua" w:hAnsi="Book Antiqua" w:cs="宋体"/>
          <w:b/>
          <w:bCs/>
          <w:color w:val="000000"/>
          <w:kern w:val="0"/>
          <w:sz w:val="24"/>
          <w:szCs w:val="24"/>
        </w:rPr>
        <w:t>Gotis-Graham I</w:t>
      </w:r>
      <w:r w:rsidRPr="00DB135C">
        <w:rPr>
          <w:rFonts w:ascii="Book Antiqua" w:hAnsi="Book Antiqua" w:cs="宋体"/>
          <w:color w:val="000000"/>
          <w:kern w:val="0"/>
          <w:sz w:val="24"/>
          <w:szCs w:val="24"/>
        </w:rPr>
        <w:t>, McGuigan L, Diamond T, Portek I, Quinn R, Sturgess A, Tulloch R. Sacral insufficiency fractures in the elderly. </w:t>
      </w:r>
      <w:r w:rsidRPr="00DB135C">
        <w:rPr>
          <w:rFonts w:ascii="Book Antiqua" w:hAnsi="Book Antiqua" w:cs="宋体"/>
          <w:i/>
          <w:iCs/>
          <w:color w:val="000000"/>
          <w:kern w:val="0"/>
          <w:sz w:val="24"/>
          <w:szCs w:val="24"/>
        </w:rPr>
        <w:t>J Bone Joint Surg Br</w:t>
      </w:r>
      <w:r w:rsidRPr="00DB135C">
        <w:rPr>
          <w:rFonts w:ascii="Book Antiqua" w:hAnsi="Book Antiqua" w:cs="宋体"/>
          <w:color w:val="000000"/>
          <w:kern w:val="0"/>
          <w:sz w:val="24"/>
          <w:szCs w:val="24"/>
        </w:rPr>
        <w:t> 1994; </w:t>
      </w:r>
      <w:r w:rsidRPr="00DB135C">
        <w:rPr>
          <w:rFonts w:ascii="Book Antiqua" w:hAnsi="Book Antiqua" w:cs="宋体"/>
          <w:b/>
          <w:bCs/>
          <w:color w:val="000000"/>
          <w:kern w:val="0"/>
          <w:sz w:val="24"/>
          <w:szCs w:val="24"/>
        </w:rPr>
        <w:t>76</w:t>
      </w:r>
      <w:r w:rsidRPr="00DB135C">
        <w:rPr>
          <w:rFonts w:ascii="Book Antiqua" w:hAnsi="Book Antiqua" w:cs="宋体"/>
          <w:color w:val="000000"/>
          <w:kern w:val="0"/>
          <w:sz w:val="24"/>
          <w:szCs w:val="24"/>
        </w:rPr>
        <w:t>: 882-886 [PMID: 7983111]</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7 </w:t>
      </w:r>
      <w:r w:rsidRPr="00DB135C">
        <w:rPr>
          <w:rFonts w:ascii="Book Antiqua" w:hAnsi="Book Antiqua" w:cs="宋体"/>
          <w:b/>
          <w:bCs/>
          <w:color w:val="000000"/>
          <w:kern w:val="0"/>
          <w:sz w:val="24"/>
          <w:szCs w:val="24"/>
        </w:rPr>
        <w:t>Odate S</w:t>
      </w:r>
      <w:r w:rsidRPr="00DB135C">
        <w:rPr>
          <w:rFonts w:ascii="Book Antiqua" w:hAnsi="Book Antiqua" w:cs="宋体"/>
          <w:color w:val="000000"/>
          <w:kern w:val="0"/>
          <w:sz w:val="24"/>
          <w:szCs w:val="24"/>
        </w:rPr>
        <w:t>, Shikata J, Kimura H, Soeda T. Sacral fracture after instrumented lumbosacral fusion: analysis of risk factors from spinopelvic parameters. </w:t>
      </w:r>
      <w:r w:rsidRPr="00DB135C">
        <w:rPr>
          <w:rFonts w:ascii="Book Antiqua" w:hAnsi="Book Antiqua" w:cs="宋体"/>
          <w:i/>
          <w:iCs/>
          <w:color w:val="000000"/>
          <w:kern w:val="0"/>
          <w:sz w:val="24"/>
          <w:szCs w:val="24"/>
        </w:rPr>
        <w:t xml:space="preserve">Spine </w:t>
      </w:r>
      <w:r w:rsidRPr="00DB135C">
        <w:rPr>
          <w:rFonts w:ascii="Book Antiqua" w:hAnsi="Book Antiqua" w:cs="宋体"/>
          <w:iCs/>
          <w:color w:val="000000"/>
          <w:kern w:val="0"/>
          <w:sz w:val="24"/>
          <w:szCs w:val="24"/>
        </w:rPr>
        <w:t>(Phila Pa 1976)</w:t>
      </w:r>
      <w:r w:rsidRPr="00DB135C">
        <w:rPr>
          <w:rFonts w:ascii="Book Antiqua" w:hAnsi="Book Antiqua" w:cs="宋体"/>
          <w:color w:val="000000"/>
          <w:kern w:val="0"/>
          <w:sz w:val="24"/>
          <w:szCs w:val="24"/>
        </w:rPr>
        <w:t> 2013; </w:t>
      </w:r>
      <w:r w:rsidRPr="00DB135C">
        <w:rPr>
          <w:rFonts w:ascii="Book Antiqua" w:hAnsi="Book Antiqua" w:cs="宋体"/>
          <w:b/>
          <w:bCs/>
          <w:color w:val="000000"/>
          <w:kern w:val="0"/>
          <w:sz w:val="24"/>
          <w:szCs w:val="24"/>
        </w:rPr>
        <w:t>38</w:t>
      </w:r>
      <w:r w:rsidRPr="00DB135C">
        <w:rPr>
          <w:rFonts w:ascii="Book Antiqua" w:hAnsi="Book Antiqua" w:cs="宋体"/>
          <w:color w:val="000000"/>
          <w:kern w:val="0"/>
          <w:sz w:val="24"/>
          <w:szCs w:val="24"/>
        </w:rPr>
        <w:t>: E223-E229 [PMID: 23169071 DOI: 10.1097/BRS.0b013e31827dc000]</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8 </w:t>
      </w:r>
      <w:r w:rsidRPr="00DB135C">
        <w:rPr>
          <w:rFonts w:ascii="Book Antiqua" w:hAnsi="Book Antiqua" w:cs="宋体"/>
          <w:b/>
          <w:bCs/>
          <w:color w:val="000000"/>
          <w:kern w:val="0"/>
          <w:sz w:val="24"/>
          <w:szCs w:val="24"/>
        </w:rPr>
        <w:t>Mathews V</w:t>
      </w:r>
      <w:r w:rsidRPr="00DB135C">
        <w:rPr>
          <w:rFonts w:ascii="Book Antiqua" w:hAnsi="Book Antiqua" w:cs="宋体"/>
          <w:color w:val="000000"/>
          <w:kern w:val="0"/>
          <w:sz w:val="24"/>
          <w:szCs w:val="24"/>
        </w:rPr>
        <w:t>, McCance SE, O'Leary PF. Early fracture of the sacrum or pelvis: an unusual complication after multilevel instrumented lumbosacral fusion. </w:t>
      </w:r>
      <w:r w:rsidRPr="00DB135C">
        <w:rPr>
          <w:rFonts w:ascii="Book Antiqua" w:hAnsi="Book Antiqua" w:cs="宋体"/>
          <w:i/>
          <w:iCs/>
          <w:color w:val="000000"/>
          <w:kern w:val="0"/>
          <w:sz w:val="24"/>
          <w:szCs w:val="24"/>
        </w:rPr>
        <w:t xml:space="preserve">Spine </w:t>
      </w:r>
      <w:r w:rsidRPr="00DB135C">
        <w:rPr>
          <w:rFonts w:ascii="Book Antiqua" w:hAnsi="Book Antiqua" w:cs="宋体"/>
          <w:iCs/>
          <w:color w:val="000000"/>
          <w:kern w:val="0"/>
          <w:sz w:val="24"/>
          <w:szCs w:val="24"/>
        </w:rPr>
        <w:t>(Phila Pa 1976)</w:t>
      </w:r>
      <w:r w:rsidRPr="00DB135C">
        <w:rPr>
          <w:rFonts w:ascii="Book Antiqua" w:hAnsi="Book Antiqua" w:cs="宋体"/>
          <w:color w:val="000000"/>
          <w:kern w:val="0"/>
          <w:sz w:val="24"/>
          <w:szCs w:val="24"/>
        </w:rPr>
        <w:t> 2001; </w:t>
      </w:r>
      <w:r w:rsidRPr="00DB135C">
        <w:rPr>
          <w:rFonts w:ascii="Book Antiqua" w:hAnsi="Book Antiqua" w:cs="宋体"/>
          <w:b/>
          <w:bCs/>
          <w:color w:val="000000"/>
          <w:kern w:val="0"/>
          <w:sz w:val="24"/>
          <w:szCs w:val="24"/>
        </w:rPr>
        <w:t>26</w:t>
      </w:r>
      <w:r w:rsidRPr="00DB135C">
        <w:rPr>
          <w:rFonts w:ascii="Book Antiqua" w:hAnsi="Book Antiqua" w:cs="宋体"/>
          <w:color w:val="000000"/>
          <w:kern w:val="0"/>
          <w:sz w:val="24"/>
          <w:szCs w:val="24"/>
        </w:rPr>
        <w:t xml:space="preserve">: E571-E575 [PMID: 11740374 DOI: </w:t>
      </w:r>
      <w:r w:rsidRPr="00DB135C">
        <w:rPr>
          <w:rFonts w:ascii="Book Antiqua" w:hAnsi="Book Antiqua"/>
          <w:sz w:val="24"/>
          <w:szCs w:val="24"/>
          <w:shd w:val="clear" w:color="auto" w:fill="FFFFFF"/>
        </w:rPr>
        <w:t>10.1097/00007632-200112150-00027</w:t>
      </w:r>
      <w:r w:rsidRPr="00DB135C">
        <w:rPr>
          <w:rFonts w:ascii="Book Antiqua" w:hAnsi="Book Antiqua" w:cs="宋体"/>
          <w:color w:val="000000"/>
          <w:kern w:val="0"/>
          <w:sz w:val="24"/>
          <w:szCs w:val="24"/>
        </w:rPr>
        <w:t>]</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9 </w:t>
      </w:r>
      <w:r w:rsidRPr="00DB135C">
        <w:rPr>
          <w:rFonts w:ascii="Book Antiqua" w:hAnsi="Book Antiqua" w:cs="宋体"/>
          <w:b/>
          <w:bCs/>
          <w:color w:val="000000"/>
          <w:kern w:val="0"/>
          <w:sz w:val="24"/>
          <w:szCs w:val="24"/>
        </w:rPr>
        <w:t>Fourney DR</w:t>
      </w:r>
      <w:r w:rsidRPr="00DB135C">
        <w:rPr>
          <w:rFonts w:ascii="Book Antiqua" w:hAnsi="Book Antiqua" w:cs="宋体"/>
          <w:color w:val="000000"/>
          <w:kern w:val="0"/>
          <w:sz w:val="24"/>
          <w:szCs w:val="24"/>
        </w:rPr>
        <w:t>, Prabhu SS, Cohen ZR, Gokaslan ZL, Rhines LD. Early sacral stress fracture after reduction of spondylolisthesis and lumbosacral fixation: case report. </w:t>
      </w:r>
      <w:r w:rsidRPr="00DB135C">
        <w:rPr>
          <w:rFonts w:ascii="Book Antiqua" w:hAnsi="Book Antiqua" w:cs="宋体"/>
          <w:i/>
          <w:iCs/>
          <w:color w:val="000000"/>
          <w:kern w:val="0"/>
          <w:sz w:val="24"/>
          <w:szCs w:val="24"/>
        </w:rPr>
        <w:t>Neurosurgery</w:t>
      </w:r>
      <w:r w:rsidRPr="00DB135C">
        <w:rPr>
          <w:rFonts w:ascii="Book Antiqua" w:hAnsi="Book Antiqua" w:cs="宋体"/>
          <w:color w:val="000000"/>
          <w:kern w:val="0"/>
          <w:sz w:val="24"/>
          <w:szCs w:val="24"/>
        </w:rPr>
        <w:t> 2002; </w:t>
      </w:r>
      <w:r w:rsidRPr="00DB135C">
        <w:rPr>
          <w:rFonts w:ascii="Book Antiqua" w:hAnsi="Book Antiqua" w:cs="宋体"/>
          <w:b/>
          <w:bCs/>
          <w:color w:val="000000"/>
          <w:kern w:val="0"/>
          <w:sz w:val="24"/>
          <w:szCs w:val="24"/>
        </w:rPr>
        <w:t>51</w:t>
      </w:r>
      <w:r w:rsidRPr="00DB135C">
        <w:rPr>
          <w:rFonts w:ascii="Book Antiqua" w:hAnsi="Book Antiqua" w:cs="宋体"/>
          <w:color w:val="000000"/>
          <w:kern w:val="0"/>
          <w:sz w:val="24"/>
          <w:szCs w:val="24"/>
        </w:rPr>
        <w:t>: 1507-1510; discussion 1510-1511 [PMID: 12445359]</w:t>
      </w:r>
    </w:p>
    <w:p w:rsidR="00E16629" w:rsidRPr="00DB135C" w:rsidRDefault="00E16629" w:rsidP="00A622D1">
      <w:pPr>
        <w:widowControl/>
        <w:spacing w:line="360" w:lineRule="auto"/>
        <w:rPr>
          <w:rFonts w:ascii="Book Antiqua" w:hAnsi="Book Antiqua" w:cs="宋体"/>
          <w:color w:val="000000"/>
          <w:kern w:val="0"/>
          <w:sz w:val="24"/>
          <w:szCs w:val="24"/>
        </w:rPr>
      </w:pPr>
      <w:r w:rsidRPr="00DB135C">
        <w:rPr>
          <w:rFonts w:ascii="Book Antiqua" w:hAnsi="Book Antiqua" w:cs="宋体"/>
          <w:color w:val="000000"/>
          <w:kern w:val="0"/>
          <w:sz w:val="24"/>
          <w:szCs w:val="24"/>
        </w:rPr>
        <w:t>10 </w:t>
      </w:r>
      <w:r w:rsidRPr="00DB135C">
        <w:rPr>
          <w:rFonts w:ascii="Book Antiqua" w:hAnsi="Book Antiqua" w:cs="宋体"/>
          <w:b/>
          <w:bCs/>
          <w:color w:val="000000"/>
          <w:kern w:val="0"/>
          <w:sz w:val="24"/>
          <w:szCs w:val="24"/>
        </w:rPr>
        <w:t>Elias WJ</w:t>
      </w:r>
      <w:r w:rsidRPr="00DB135C">
        <w:rPr>
          <w:rFonts w:ascii="Book Antiqua" w:hAnsi="Book Antiqua" w:cs="宋体"/>
          <w:color w:val="000000"/>
          <w:kern w:val="0"/>
          <w:sz w:val="24"/>
          <w:szCs w:val="24"/>
        </w:rPr>
        <w:t>, Shaffrey ME, Whitehill R. Sacral stress fracture following lumbosacral arthrodesis. Case illustration. </w:t>
      </w:r>
      <w:r w:rsidRPr="00DB135C">
        <w:rPr>
          <w:rFonts w:ascii="Book Antiqua" w:hAnsi="Book Antiqua" w:cs="宋体"/>
          <w:i/>
          <w:iCs/>
          <w:color w:val="000000"/>
          <w:kern w:val="0"/>
          <w:sz w:val="24"/>
          <w:szCs w:val="24"/>
        </w:rPr>
        <w:t>J Neurosurg</w:t>
      </w:r>
      <w:r w:rsidRPr="00DB135C">
        <w:rPr>
          <w:rFonts w:ascii="Book Antiqua" w:hAnsi="Book Antiqua" w:cs="宋体"/>
          <w:color w:val="000000"/>
          <w:kern w:val="0"/>
          <w:sz w:val="24"/>
          <w:szCs w:val="24"/>
        </w:rPr>
        <w:t> 2002; </w:t>
      </w:r>
      <w:r w:rsidRPr="00DB135C">
        <w:rPr>
          <w:rFonts w:ascii="Book Antiqua" w:hAnsi="Book Antiqua" w:cs="宋体"/>
          <w:b/>
          <w:bCs/>
          <w:color w:val="000000"/>
          <w:kern w:val="0"/>
          <w:sz w:val="24"/>
          <w:szCs w:val="24"/>
        </w:rPr>
        <w:t>96</w:t>
      </w:r>
      <w:r w:rsidRPr="00DB135C">
        <w:rPr>
          <w:rFonts w:ascii="Book Antiqua" w:hAnsi="Book Antiqua" w:cs="宋体"/>
          <w:color w:val="000000"/>
          <w:kern w:val="0"/>
          <w:sz w:val="24"/>
          <w:szCs w:val="24"/>
        </w:rPr>
        <w:t>: 135 [PMID: 11795703]</w:t>
      </w:r>
    </w:p>
    <w:p w:rsidR="00E16629" w:rsidRPr="00DB135C" w:rsidRDefault="00E16629" w:rsidP="00A622D1">
      <w:pPr>
        <w:spacing w:line="360" w:lineRule="auto"/>
        <w:rPr>
          <w:rFonts w:ascii="Book Antiqua" w:hAnsi="Book Antiqua"/>
          <w:sz w:val="24"/>
          <w:szCs w:val="24"/>
        </w:rPr>
      </w:pPr>
    </w:p>
    <w:p w:rsidR="00E16629" w:rsidRPr="00DB135C" w:rsidRDefault="00E16629" w:rsidP="004E4F21">
      <w:pPr>
        <w:wordWrap w:val="0"/>
        <w:spacing w:line="360" w:lineRule="auto"/>
        <w:ind w:left="31680" w:hangingChars="200" w:firstLine="31680"/>
        <w:jc w:val="right"/>
        <w:rPr>
          <w:rFonts w:ascii="Book Antiqua" w:hAnsi="Book Antiqua"/>
          <w:color w:val="000000"/>
          <w:sz w:val="24"/>
        </w:rPr>
      </w:pPr>
      <w:r w:rsidRPr="00DB135C">
        <w:rPr>
          <w:rFonts w:ascii="Book Antiqua" w:hAnsi="Book Antiqua"/>
          <w:b/>
          <w:sz w:val="24"/>
        </w:rPr>
        <w:t xml:space="preserve">P- Reviewer: </w:t>
      </w:r>
      <w:r w:rsidRPr="00DB135C">
        <w:rPr>
          <w:rFonts w:ascii="Book Antiqua" w:hAnsi="Book Antiqua" w:cs="宋体"/>
          <w:color w:val="000000"/>
          <w:kern w:val="0"/>
          <w:sz w:val="24"/>
          <w:szCs w:val="24"/>
        </w:rPr>
        <w:t xml:space="preserve">Emara K, Erkan S   </w:t>
      </w:r>
      <w:r w:rsidRPr="00DB135C">
        <w:rPr>
          <w:rFonts w:ascii="Book Antiqua" w:hAnsi="Book Antiqua"/>
          <w:color w:val="000000"/>
          <w:sz w:val="24"/>
        </w:rPr>
        <w:t xml:space="preserve">  </w:t>
      </w:r>
      <w:r w:rsidRPr="00DB135C">
        <w:rPr>
          <w:rFonts w:ascii="Book Antiqua" w:hAnsi="Book Antiqua"/>
          <w:b/>
          <w:sz w:val="24"/>
        </w:rPr>
        <w:t>S- Editor:</w:t>
      </w:r>
      <w:r w:rsidRPr="00DB135C">
        <w:rPr>
          <w:rFonts w:ascii="Book Antiqua" w:hAnsi="Book Antiqua"/>
          <w:sz w:val="24"/>
        </w:rPr>
        <w:t xml:space="preserve"> Gong XM</w:t>
      </w:r>
    </w:p>
    <w:p w:rsidR="00E16629" w:rsidRPr="00DB135C" w:rsidRDefault="00E16629" w:rsidP="004E4F21">
      <w:pPr>
        <w:spacing w:line="360" w:lineRule="auto"/>
        <w:ind w:left="31680" w:hangingChars="200" w:firstLine="31680"/>
        <w:jc w:val="right"/>
        <w:rPr>
          <w:rFonts w:ascii="Book Antiqua" w:hAnsi="Book Antiqua"/>
          <w:b/>
          <w:sz w:val="24"/>
        </w:rPr>
      </w:pPr>
      <w:r w:rsidRPr="00DB135C">
        <w:rPr>
          <w:rFonts w:ascii="Book Antiqua" w:hAnsi="Book Antiqua"/>
          <w:b/>
          <w:sz w:val="24"/>
        </w:rPr>
        <w:t xml:space="preserve"> L- Editor:</w:t>
      </w:r>
      <w:r w:rsidRPr="00DB135C">
        <w:rPr>
          <w:rFonts w:ascii="Book Antiqua" w:hAnsi="Book Antiqua"/>
          <w:sz w:val="24"/>
        </w:rPr>
        <w:t xml:space="preserve"> </w:t>
      </w:r>
      <w:r w:rsidRPr="00DB135C">
        <w:rPr>
          <w:rFonts w:ascii="Book Antiqua" w:hAnsi="Book Antiqua"/>
          <w:b/>
          <w:sz w:val="24"/>
        </w:rPr>
        <w:t>E- Editor:</w:t>
      </w:r>
    </w:p>
    <w:p w:rsidR="00E16629" w:rsidRPr="00DB135C" w:rsidRDefault="00E16629" w:rsidP="00A622D1">
      <w:pPr>
        <w:spacing w:line="360" w:lineRule="auto"/>
        <w:rPr>
          <w:rFonts w:ascii="Book Antiqua" w:hAnsi="Book Antiqua"/>
          <w:sz w:val="24"/>
          <w:szCs w:val="24"/>
        </w:rPr>
      </w:pPr>
    </w:p>
    <w:p w:rsidR="00E16629" w:rsidRPr="00DB135C" w:rsidRDefault="00E16629" w:rsidP="00645EC0">
      <w:pPr>
        <w:spacing w:line="360" w:lineRule="auto"/>
        <w:rPr>
          <w:rFonts w:ascii="Book Antiqua" w:hAnsi="Book Antiqua"/>
          <w:color w:val="000000"/>
          <w:sz w:val="24"/>
          <w:szCs w:val="24"/>
          <w:shd w:val="clear" w:color="auto" w:fill="FFFFFF"/>
        </w:rPr>
        <w:sectPr w:rsidR="00E16629" w:rsidRPr="00DB135C" w:rsidSect="00F620F7">
          <w:endnotePr>
            <w:numFmt w:val="decimal"/>
          </w:endnotePr>
          <w:pgSz w:w="11906" w:h="16838" w:code="9"/>
          <w:pgMar w:top="1440" w:right="1418" w:bottom="1440" w:left="1418" w:header="851" w:footer="992" w:gutter="0"/>
          <w:cols w:space="425"/>
          <w:docGrid w:type="lines" w:linePitch="312"/>
        </w:sectPr>
      </w:pP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42204B">
        <w:rPr>
          <w:rFonts w:ascii="Book Antiqua" w:hAnsi="Book Antiqua"/>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5" type="#_x0000_t75" style="width:274.5pt;height:140.25pt;visibility:visible">
            <v:imagedata r:id="rId9" o:title=""/>
          </v:shape>
        </w:pict>
      </w:r>
    </w:p>
    <w:p w:rsidR="00E16629" w:rsidRPr="00DB135C" w:rsidRDefault="00E16629" w:rsidP="00645EC0">
      <w:pPr>
        <w:autoSpaceDE w:val="0"/>
        <w:autoSpaceDN w:val="0"/>
        <w:adjustRightInd w:val="0"/>
        <w:spacing w:line="360" w:lineRule="auto"/>
        <w:rPr>
          <w:rFonts w:ascii="Book Antiqua" w:hAnsi="Book Antiqua"/>
          <w:b/>
          <w:sz w:val="24"/>
          <w:szCs w:val="24"/>
          <w:shd w:val="clear" w:color="auto" w:fill="FFFFFF"/>
        </w:rPr>
      </w:pPr>
      <w:r w:rsidRPr="00DB135C">
        <w:rPr>
          <w:rFonts w:ascii="Book Antiqua" w:hAnsi="Book Antiqua"/>
          <w:b/>
          <w:sz w:val="24"/>
          <w:szCs w:val="24"/>
          <w:shd w:val="clear" w:color="auto" w:fill="FFFFFF"/>
        </w:rPr>
        <w:t>Figure 1 The magnetic resonance imaging of the spine found central lumbar spinal stenosis at L5/S1 level and L4–S1 foraminal narrowing.</w:t>
      </w:r>
    </w:p>
    <w:p w:rsidR="00E16629" w:rsidRPr="00DB135C" w:rsidRDefault="00E16629" w:rsidP="00645EC0">
      <w:pPr>
        <w:spacing w:line="360" w:lineRule="auto"/>
        <w:rPr>
          <w:rFonts w:ascii="Book Antiqua" w:hAnsi="Book Antiqua"/>
          <w:b/>
          <w:color w:val="000000"/>
          <w:sz w:val="24"/>
          <w:szCs w:val="24"/>
          <w:shd w:val="clear" w:color="auto" w:fill="FFFFFF"/>
        </w:rPr>
      </w:pPr>
      <w:r w:rsidRPr="00DB135C">
        <w:rPr>
          <w:rFonts w:ascii="Book Antiqua" w:hAnsi="Book Antiqua"/>
          <w:b/>
          <w:color w:val="000000"/>
          <w:sz w:val="24"/>
          <w:szCs w:val="24"/>
          <w:shd w:val="clear" w:color="auto" w:fill="FFFFFF"/>
        </w:rPr>
        <w:br w:type="page"/>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42204B">
        <w:rPr>
          <w:rFonts w:ascii="Book Antiqua" w:hAnsi="Book Antiqua"/>
          <w:noProof/>
          <w:kern w:val="0"/>
          <w:sz w:val="24"/>
          <w:szCs w:val="24"/>
        </w:rPr>
        <w:pict>
          <v:shape id="Picture 10" o:spid="_x0000_i1026" type="#_x0000_t75" style="width:253.5pt;height:178.5pt;visibility:visible">
            <v:imagedata r:id="rId10" o:title=""/>
          </v:shape>
        </w:pict>
      </w: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DB135C">
        <w:rPr>
          <w:rFonts w:ascii="Book Antiqua" w:hAnsi="Book Antiqua"/>
          <w:b/>
          <w:sz w:val="24"/>
          <w:szCs w:val="24"/>
          <w:shd w:val="clear" w:color="auto" w:fill="FFFFFF"/>
        </w:rPr>
        <w:t>Figure 2</w:t>
      </w:r>
      <w:r w:rsidRPr="00DB135C">
        <w:rPr>
          <w:rFonts w:ascii="Book Antiqua" w:hAnsi="Book Antiqua"/>
          <w:kern w:val="0"/>
          <w:sz w:val="24"/>
          <w:szCs w:val="24"/>
        </w:rPr>
        <w:t xml:space="preserve"> </w:t>
      </w:r>
      <w:r w:rsidRPr="00DB135C">
        <w:rPr>
          <w:rFonts w:ascii="Book Antiqua" w:hAnsi="Book Antiqua"/>
          <w:b/>
          <w:kern w:val="0"/>
          <w:sz w:val="24"/>
          <w:szCs w:val="24"/>
        </w:rPr>
        <w:t>A computed tomography scanning revealed a horizontal fracture at the S1/S2 level with S2 being totally displaced.</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r w:rsidRPr="00DB135C">
        <w:rPr>
          <w:rFonts w:ascii="Book Antiqua" w:hAnsi="Book Antiqua"/>
          <w:kern w:val="0"/>
          <w:sz w:val="24"/>
          <w:szCs w:val="24"/>
        </w:rPr>
        <w:br w:type="page"/>
      </w: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42204B">
        <w:rPr>
          <w:rFonts w:ascii="Book Antiqua" w:hAnsi="Book Antiqua"/>
          <w:noProof/>
          <w:kern w:val="0"/>
          <w:sz w:val="24"/>
          <w:szCs w:val="24"/>
        </w:rPr>
        <w:pict>
          <v:shape id="Picture 17" o:spid="_x0000_i1027" type="#_x0000_t75" style="width:411.75pt;height:185.25pt;visibility:visible">
            <v:imagedata r:id="rId11" o:title=""/>
          </v:shape>
        </w:pict>
      </w:r>
    </w:p>
    <w:p w:rsidR="00E16629" w:rsidRPr="00DB135C" w:rsidRDefault="00E16629" w:rsidP="00645EC0">
      <w:pPr>
        <w:autoSpaceDE w:val="0"/>
        <w:autoSpaceDN w:val="0"/>
        <w:adjustRightInd w:val="0"/>
        <w:spacing w:line="360" w:lineRule="auto"/>
        <w:rPr>
          <w:rFonts w:ascii="Book Antiqua" w:hAnsi="Book Antiqua"/>
          <w:sz w:val="24"/>
          <w:szCs w:val="24"/>
          <w:shd w:val="clear" w:color="auto" w:fill="FFFFFF"/>
        </w:rPr>
      </w:pPr>
      <w:r w:rsidRPr="00DB135C">
        <w:rPr>
          <w:rFonts w:ascii="Book Antiqua" w:hAnsi="Book Antiqua"/>
          <w:b/>
          <w:sz w:val="24"/>
          <w:szCs w:val="24"/>
          <w:shd w:val="clear" w:color="auto" w:fill="FFFFFF"/>
        </w:rPr>
        <w:t xml:space="preserve">Figure 3 </w:t>
      </w:r>
      <w:bookmarkStart w:id="6" w:name="_GoBack"/>
      <w:bookmarkEnd w:id="6"/>
      <w:r w:rsidRPr="00DB135C">
        <w:rPr>
          <w:rFonts w:ascii="Book Antiqua" w:hAnsi="Book Antiqua"/>
          <w:b/>
          <w:sz w:val="24"/>
          <w:szCs w:val="24"/>
          <w:shd w:val="clear" w:color="auto" w:fill="FFFFFF"/>
        </w:rPr>
        <w:t>After exposure, we found that the interspinous process of the sacrum was totally displaced.</w:t>
      </w:r>
      <w:r w:rsidRPr="00DB135C">
        <w:rPr>
          <w:rFonts w:ascii="Book Antiqua" w:hAnsi="Book Antiqua"/>
          <w:sz w:val="24"/>
          <w:szCs w:val="24"/>
          <w:shd w:val="clear" w:color="auto" w:fill="FFFFFF"/>
        </w:rPr>
        <w:t xml:space="preserve"> It moved backward and cranially onto the backside of the instrumentation. To reduce the fracture, we used a spreader to distract the spinal processes of the S1 and L4, which turned out to be effective. After the distraction, the distance between the spinal processes of the S1 and L4 increased significantly.</w:t>
      </w: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DB135C">
        <w:rPr>
          <w:rFonts w:ascii="Book Antiqua" w:hAnsi="Book Antiqua"/>
          <w:sz w:val="24"/>
          <w:szCs w:val="24"/>
          <w:shd w:val="clear" w:color="auto" w:fill="FFFFFF"/>
        </w:rPr>
        <w:br w:type="page"/>
      </w: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42204B">
        <w:rPr>
          <w:rFonts w:ascii="Book Antiqua" w:hAnsi="Book Antiqua"/>
          <w:noProof/>
          <w:kern w:val="0"/>
          <w:sz w:val="24"/>
          <w:szCs w:val="24"/>
        </w:rPr>
        <w:pict>
          <v:shape id="Picture 13" o:spid="_x0000_i1028" type="#_x0000_t75" style="width:400.5pt;height:214.5pt;visibility:visible">
            <v:imagedata r:id="rId12" o:title=""/>
          </v:shape>
        </w:pict>
      </w:r>
    </w:p>
    <w:p w:rsidR="00E16629" w:rsidRPr="00DB135C" w:rsidRDefault="00E16629" w:rsidP="00645EC0">
      <w:pPr>
        <w:autoSpaceDE w:val="0"/>
        <w:autoSpaceDN w:val="0"/>
        <w:adjustRightInd w:val="0"/>
        <w:spacing w:line="360" w:lineRule="auto"/>
        <w:rPr>
          <w:rFonts w:ascii="Book Antiqua" w:hAnsi="Book Antiqua"/>
          <w:kern w:val="0"/>
          <w:sz w:val="24"/>
          <w:szCs w:val="24"/>
        </w:rPr>
      </w:pPr>
      <w:r w:rsidRPr="00DB135C">
        <w:rPr>
          <w:rFonts w:ascii="Book Antiqua" w:hAnsi="Book Antiqua"/>
          <w:b/>
          <w:sz w:val="24"/>
          <w:szCs w:val="24"/>
          <w:shd w:val="clear" w:color="auto" w:fill="FFFFFF"/>
        </w:rPr>
        <w:t>Figure 4 Sacral fracture was found on the 5</w:t>
      </w:r>
      <w:r w:rsidRPr="00DB135C">
        <w:rPr>
          <w:rFonts w:ascii="Book Antiqua" w:hAnsi="Book Antiqua"/>
          <w:b/>
          <w:sz w:val="24"/>
          <w:szCs w:val="24"/>
          <w:shd w:val="clear" w:color="auto" w:fill="FFFFFF"/>
          <w:vertAlign w:val="superscript"/>
        </w:rPr>
        <w:t>th</w:t>
      </w:r>
      <w:r w:rsidRPr="00DB135C">
        <w:rPr>
          <w:rFonts w:ascii="Book Antiqua" w:hAnsi="Book Antiqua"/>
          <w:b/>
          <w:sz w:val="24"/>
          <w:szCs w:val="24"/>
          <w:shd w:val="clear" w:color="auto" w:fill="FFFFFF"/>
        </w:rPr>
        <w:t xml:space="preserve"> day after surgery. </w:t>
      </w:r>
      <w:r w:rsidRPr="00DB135C">
        <w:rPr>
          <w:rFonts w:ascii="Book Antiqua" w:hAnsi="Book Antiqua"/>
          <w:kern w:val="0"/>
          <w:sz w:val="24"/>
          <w:szCs w:val="24"/>
        </w:rPr>
        <w:t>Two weeks after the index operation, the fusion construct was extended to the iliac wings using iliac screws.</w:t>
      </w:r>
    </w:p>
    <w:p w:rsidR="00E16629" w:rsidRPr="00DB135C" w:rsidRDefault="00E16629" w:rsidP="00645EC0">
      <w:pPr>
        <w:spacing w:line="360" w:lineRule="auto"/>
        <w:rPr>
          <w:rFonts w:ascii="Book Antiqua" w:hAnsi="Book Antiqua"/>
          <w:b/>
          <w:color w:val="000000"/>
          <w:sz w:val="24"/>
          <w:szCs w:val="24"/>
          <w:shd w:val="clear" w:color="auto" w:fill="FFFFFF"/>
        </w:rPr>
      </w:pP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p>
    <w:p w:rsidR="00E16629" w:rsidRPr="00DB135C" w:rsidRDefault="00E16629" w:rsidP="004E4F21">
      <w:pPr>
        <w:autoSpaceDE w:val="0"/>
        <w:autoSpaceDN w:val="0"/>
        <w:adjustRightInd w:val="0"/>
        <w:spacing w:line="360" w:lineRule="auto"/>
        <w:ind w:firstLineChars="100" w:firstLine="31680"/>
        <w:rPr>
          <w:rFonts w:ascii="Book Antiqua" w:hAnsi="Book Antiqua"/>
          <w:b/>
          <w:color w:val="000000"/>
          <w:sz w:val="24"/>
          <w:szCs w:val="24"/>
          <w:shd w:val="clear" w:color="auto" w:fill="FFFFFF"/>
        </w:rPr>
      </w:pPr>
      <w:r w:rsidRPr="00DB135C">
        <w:rPr>
          <w:rFonts w:ascii="Book Antiqua" w:hAnsi="Book Antiqua"/>
          <w:kern w:val="0"/>
          <w:sz w:val="24"/>
          <w:szCs w:val="24"/>
        </w:rPr>
        <w:br w:type="page"/>
      </w:r>
      <w:r w:rsidRPr="00DB135C">
        <w:rPr>
          <w:rFonts w:ascii="Book Antiqua" w:hAnsi="Book Antiqua"/>
          <w:b/>
          <w:color w:val="000000"/>
          <w:sz w:val="24"/>
          <w:szCs w:val="24"/>
          <w:shd w:val="clear" w:color="auto" w:fill="FFFFFF"/>
        </w:rPr>
        <w:t>Table 1 The Sagittal Parameters in the lateral radiographs</w:t>
      </w:r>
    </w:p>
    <w:p w:rsidR="00E16629" w:rsidRPr="00DB135C" w:rsidRDefault="00E16629" w:rsidP="004E4F21">
      <w:pPr>
        <w:autoSpaceDE w:val="0"/>
        <w:autoSpaceDN w:val="0"/>
        <w:adjustRightInd w:val="0"/>
        <w:spacing w:line="360" w:lineRule="auto"/>
        <w:ind w:firstLineChars="100" w:firstLine="31680"/>
        <w:rPr>
          <w:rFonts w:ascii="Book Antiqua" w:hAnsi="Book Antiqua"/>
          <w:kern w:val="0"/>
          <w:sz w:val="24"/>
          <w:szCs w:val="24"/>
        </w:rPr>
      </w:pPr>
    </w:p>
    <w:tbl>
      <w:tblPr>
        <w:tblW w:w="0" w:type="auto"/>
        <w:jc w:val="center"/>
        <w:tblLook w:val="00A0"/>
      </w:tblPr>
      <w:tblGrid>
        <w:gridCol w:w="1951"/>
        <w:gridCol w:w="1457"/>
        <w:gridCol w:w="1704"/>
        <w:gridCol w:w="1705"/>
        <w:gridCol w:w="1705"/>
      </w:tblGrid>
      <w:tr w:rsidR="00E16629" w:rsidRPr="0042204B" w:rsidTr="00CB2A33">
        <w:trPr>
          <w:trHeight w:val="370"/>
          <w:jc w:val="center"/>
        </w:trPr>
        <w:tc>
          <w:tcPr>
            <w:tcW w:w="1951" w:type="dxa"/>
            <w:tcBorders>
              <w:top w:val="single" w:sz="4" w:space="0" w:color="auto"/>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p>
        </w:tc>
        <w:tc>
          <w:tcPr>
            <w:tcW w:w="1457" w:type="dxa"/>
            <w:tcBorders>
              <w:top w:val="single" w:sz="4" w:space="0" w:color="auto"/>
              <w:bottom w:val="single" w:sz="4" w:space="0" w:color="auto"/>
            </w:tcBorders>
          </w:tcPr>
          <w:p w:rsidR="00E16629" w:rsidRPr="0042204B" w:rsidRDefault="00E16629" w:rsidP="00645EC0">
            <w:pPr>
              <w:spacing w:line="360" w:lineRule="auto"/>
              <w:rPr>
                <w:rFonts w:ascii="Book Antiqua" w:hAnsi="Book Antiqua"/>
                <w:b/>
                <w:color w:val="000000"/>
                <w:sz w:val="24"/>
                <w:szCs w:val="24"/>
                <w:shd w:val="clear" w:color="auto" w:fill="FFFFFF"/>
              </w:rPr>
            </w:pPr>
            <w:r w:rsidRPr="0042204B">
              <w:rPr>
                <w:rFonts w:ascii="Book Antiqua" w:hAnsi="Book Antiqua"/>
                <w:b/>
                <w:color w:val="000000"/>
                <w:sz w:val="24"/>
                <w:szCs w:val="24"/>
                <w:shd w:val="clear" w:color="auto" w:fill="FFFFFF"/>
              </w:rPr>
              <w:t>Pelvic incidence</w:t>
            </w:r>
          </w:p>
        </w:tc>
        <w:tc>
          <w:tcPr>
            <w:tcW w:w="1704" w:type="dxa"/>
            <w:tcBorders>
              <w:top w:val="single" w:sz="4" w:space="0" w:color="auto"/>
              <w:bottom w:val="single" w:sz="4" w:space="0" w:color="auto"/>
            </w:tcBorders>
          </w:tcPr>
          <w:p w:rsidR="00E16629" w:rsidRPr="0042204B" w:rsidRDefault="00E16629" w:rsidP="00645EC0">
            <w:pPr>
              <w:spacing w:line="360" w:lineRule="auto"/>
              <w:rPr>
                <w:rFonts w:ascii="Book Antiqua" w:hAnsi="Book Antiqua"/>
                <w:b/>
                <w:color w:val="000000"/>
                <w:sz w:val="24"/>
                <w:szCs w:val="24"/>
                <w:shd w:val="clear" w:color="auto" w:fill="FFFFFF"/>
              </w:rPr>
            </w:pPr>
            <w:r w:rsidRPr="0042204B">
              <w:rPr>
                <w:rFonts w:ascii="Book Antiqua" w:hAnsi="Book Antiqua"/>
                <w:b/>
                <w:color w:val="000000"/>
                <w:sz w:val="24"/>
                <w:szCs w:val="24"/>
                <w:shd w:val="clear" w:color="auto" w:fill="FFFFFF"/>
              </w:rPr>
              <w:t>Sacral slope</w:t>
            </w:r>
          </w:p>
        </w:tc>
        <w:tc>
          <w:tcPr>
            <w:tcW w:w="1705" w:type="dxa"/>
            <w:tcBorders>
              <w:top w:val="single" w:sz="4" w:space="0" w:color="auto"/>
              <w:bottom w:val="single" w:sz="4" w:space="0" w:color="auto"/>
            </w:tcBorders>
          </w:tcPr>
          <w:p w:rsidR="00E16629" w:rsidRPr="0042204B" w:rsidRDefault="00E16629" w:rsidP="00645EC0">
            <w:pPr>
              <w:spacing w:line="360" w:lineRule="auto"/>
              <w:rPr>
                <w:rFonts w:ascii="Book Antiqua" w:hAnsi="Book Antiqua"/>
                <w:b/>
                <w:color w:val="000000"/>
                <w:sz w:val="24"/>
                <w:szCs w:val="24"/>
                <w:shd w:val="clear" w:color="auto" w:fill="FFFFFF"/>
              </w:rPr>
            </w:pPr>
            <w:r w:rsidRPr="0042204B">
              <w:rPr>
                <w:rFonts w:ascii="Book Antiqua" w:hAnsi="Book Antiqua"/>
                <w:b/>
                <w:color w:val="000000"/>
                <w:sz w:val="24"/>
                <w:szCs w:val="24"/>
                <w:shd w:val="clear" w:color="auto" w:fill="FFFFFF"/>
              </w:rPr>
              <w:t>Pelvic tilt</w:t>
            </w:r>
          </w:p>
        </w:tc>
        <w:tc>
          <w:tcPr>
            <w:tcW w:w="1705" w:type="dxa"/>
            <w:tcBorders>
              <w:top w:val="single" w:sz="4" w:space="0" w:color="auto"/>
              <w:bottom w:val="single" w:sz="4" w:space="0" w:color="auto"/>
            </w:tcBorders>
          </w:tcPr>
          <w:p w:rsidR="00E16629" w:rsidRPr="0042204B" w:rsidRDefault="00E16629" w:rsidP="00645EC0">
            <w:pPr>
              <w:spacing w:line="360" w:lineRule="auto"/>
              <w:rPr>
                <w:rFonts w:ascii="Book Antiqua" w:hAnsi="Book Antiqua"/>
                <w:b/>
                <w:color w:val="000000"/>
                <w:sz w:val="24"/>
                <w:szCs w:val="24"/>
                <w:shd w:val="clear" w:color="auto" w:fill="FFFFFF"/>
              </w:rPr>
            </w:pPr>
            <w:r w:rsidRPr="0042204B">
              <w:rPr>
                <w:rFonts w:ascii="Book Antiqua" w:hAnsi="Book Antiqua"/>
                <w:b/>
                <w:color w:val="000000"/>
                <w:sz w:val="24"/>
                <w:szCs w:val="24"/>
                <w:shd w:val="clear" w:color="auto" w:fill="FFFFFF"/>
              </w:rPr>
              <w:t>Lumbar lordosis</w:t>
            </w:r>
          </w:p>
        </w:tc>
      </w:tr>
      <w:tr w:rsidR="00E16629" w:rsidRPr="0042204B" w:rsidTr="00CB2A33">
        <w:trPr>
          <w:jc w:val="center"/>
        </w:trPr>
        <w:tc>
          <w:tcPr>
            <w:tcW w:w="1951" w:type="dxa"/>
            <w:tcBorders>
              <w:top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Before index surgery</w:t>
            </w:r>
          </w:p>
        </w:tc>
        <w:tc>
          <w:tcPr>
            <w:tcW w:w="1457" w:type="dxa"/>
            <w:tcBorders>
              <w:top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64.1°</w:t>
            </w:r>
          </w:p>
        </w:tc>
        <w:tc>
          <w:tcPr>
            <w:tcW w:w="1704" w:type="dxa"/>
            <w:tcBorders>
              <w:top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37.1°</w:t>
            </w:r>
          </w:p>
        </w:tc>
        <w:tc>
          <w:tcPr>
            <w:tcW w:w="1705" w:type="dxa"/>
            <w:tcBorders>
              <w:top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27°</w:t>
            </w:r>
          </w:p>
        </w:tc>
        <w:tc>
          <w:tcPr>
            <w:tcW w:w="1705" w:type="dxa"/>
            <w:tcBorders>
              <w:top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53.9°</w:t>
            </w:r>
          </w:p>
        </w:tc>
      </w:tr>
      <w:tr w:rsidR="00E16629" w:rsidRPr="0042204B" w:rsidTr="00CB2A33">
        <w:trPr>
          <w:trHeight w:val="51"/>
          <w:jc w:val="center"/>
        </w:trPr>
        <w:tc>
          <w:tcPr>
            <w:tcW w:w="1951"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After index surgery</w:t>
            </w:r>
          </w:p>
        </w:tc>
        <w:tc>
          <w:tcPr>
            <w:tcW w:w="1457"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4"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36.7°</w:t>
            </w:r>
          </w:p>
        </w:tc>
        <w:tc>
          <w:tcPr>
            <w:tcW w:w="1705"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5"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51.3°</w:t>
            </w:r>
          </w:p>
        </w:tc>
      </w:tr>
      <w:tr w:rsidR="00E16629" w:rsidRPr="0042204B" w:rsidTr="00CB2A33">
        <w:trPr>
          <w:trHeight w:val="51"/>
          <w:jc w:val="center"/>
        </w:trPr>
        <w:tc>
          <w:tcPr>
            <w:tcW w:w="1951"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After revision surgery</w:t>
            </w:r>
          </w:p>
        </w:tc>
        <w:tc>
          <w:tcPr>
            <w:tcW w:w="1457"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4"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30.3°</w:t>
            </w:r>
          </w:p>
        </w:tc>
        <w:tc>
          <w:tcPr>
            <w:tcW w:w="1705"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5" w:type="dxa"/>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47.4°</w:t>
            </w:r>
          </w:p>
        </w:tc>
      </w:tr>
      <w:tr w:rsidR="00E16629" w:rsidRPr="0042204B" w:rsidTr="00CB2A33">
        <w:trPr>
          <w:trHeight w:val="51"/>
          <w:jc w:val="center"/>
        </w:trPr>
        <w:tc>
          <w:tcPr>
            <w:tcW w:w="1951" w:type="dxa"/>
            <w:tcBorders>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2 years</w:t>
            </w:r>
          </w:p>
        </w:tc>
        <w:tc>
          <w:tcPr>
            <w:tcW w:w="1457" w:type="dxa"/>
            <w:tcBorders>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4" w:type="dxa"/>
            <w:tcBorders>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31.4°</w:t>
            </w:r>
          </w:p>
        </w:tc>
        <w:tc>
          <w:tcPr>
            <w:tcW w:w="1705" w:type="dxa"/>
            <w:tcBorders>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N/A</w:t>
            </w:r>
          </w:p>
        </w:tc>
        <w:tc>
          <w:tcPr>
            <w:tcW w:w="1705" w:type="dxa"/>
            <w:tcBorders>
              <w:bottom w:val="single" w:sz="4" w:space="0" w:color="auto"/>
            </w:tcBorders>
          </w:tcPr>
          <w:p w:rsidR="00E16629" w:rsidRPr="0042204B" w:rsidRDefault="00E16629" w:rsidP="00645EC0">
            <w:pPr>
              <w:spacing w:line="360" w:lineRule="auto"/>
              <w:rPr>
                <w:rFonts w:ascii="Book Antiqua" w:hAnsi="Book Antiqua"/>
                <w:color w:val="000000"/>
                <w:sz w:val="24"/>
                <w:szCs w:val="24"/>
                <w:shd w:val="clear" w:color="auto" w:fill="FFFFFF"/>
              </w:rPr>
            </w:pPr>
            <w:r w:rsidRPr="0042204B">
              <w:rPr>
                <w:rFonts w:ascii="Book Antiqua" w:hAnsi="Book Antiqua"/>
                <w:color w:val="000000"/>
                <w:sz w:val="24"/>
                <w:szCs w:val="24"/>
                <w:shd w:val="clear" w:color="auto" w:fill="FFFFFF"/>
              </w:rPr>
              <w:t>45.9°</w:t>
            </w:r>
          </w:p>
        </w:tc>
      </w:tr>
    </w:tbl>
    <w:p w:rsidR="00E16629" w:rsidRPr="00DB135C" w:rsidRDefault="00E16629" w:rsidP="00645EC0">
      <w:pPr>
        <w:autoSpaceDE w:val="0"/>
        <w:autoSpaceDN w:val="0"/>
        <w:adjustRightInd w:val="0"/>
        <w:spacing w:line="360" w:lineRule="auto"/>
        <w:rPr>
          <w:rFonts w:ascii="Book Antiqua" w:hAnsi="Book Antiqua"/>
          <w:color w:val="000000"/>
          <w:sz w:val="24"/>
          <w:szCs w:val="24"/>
          <w:shd w:val="clear" w:color="auto" w:fill="FFFFFF"/>
        </w:rPr>
      </w:pPr>
    </w:p>
    <w:p w:rsidR="00E16629" w:rsidRPr="00730FDC" w:rsidRDefault="00E16629" w:rsidP="00645EC0">
      <w:pPr>
        <w:autoSpaceDE w:val="0"/>
        <w:autoSpaceDN w:val="0"/>
        <w:adjustRightInd w:val="0"/>
        <w:spacing w:line="360" w:lineRule="auto"/>
        <w:rPr>
          <w:rFonts w:ascii="Book Antiqua" w:hAnsi="Book Antiqua"/>
          <w:color w:val="000000"/>
          <w:sz w:val="24"/>
          <w:szCs w:val="24"/>
          <w:shd w:val="clear" w:color="auto" w:fill="FFFFFF"/>
        </w:rPr>
      </w:pPr>
      <w:r w:rsidRPr="00DB135C">
        <w:rPr>
          <w:rFonts w:ascii="Book Antiqua" w:hAnsi="Book Antiqua"/>
          <w:color w:val="000000"/>
          <w:sz w:val="24"/>
          <w:szCs w:val="24"/>
          <w:shd w:val="clear" w:color="auto" w:fill="FFFFFF"/>
        </w:rPr>
        <w:t>N/A: Not applicable because of the displacement of S1. Pelvic incidence is the angle formed by the perpendicular line to the tangent line to the centre of the sacral plateau and the line connecting this centre of the bicoxofemoral axis. Pelvic tilt is the angle between the vertical plane and the line connecting the centre of the sacral plateau and the centre of the bicoxofemoral axis. The lumbar lordosis is measured between the cranial endplate of L1 and caudal endplate of L5.</w:t>
      </w:r>
    </w:p>
    <w:p w:rsidR="00E16629" w:rsidRPr="00730FDC" w:rsidRDefault="00E16629" w:rsidP="00645EC0">
      <w:pPr>
        <w:spacing w:line="360" w:lineRule="auto"/>
        <w:rPr>
          <w:rFonts w:ascii="Book Antiqua" w:hAnsi="Book Antiqua"/>
          <w:b/>
          <w:color w:val="000000"/>
          <w:sz w:val="24"/>
          <w:szCs w:val="24"/>
          <w:shd w:val="clear" w:color="auto" w:fill="FFFFFF"/>
        </w:rPr>
      </w:pPr>
    </w:p>
    <w:sectPr w:rsidR="00E16629" w:rsidRPr="00730FDC" w:rsidSect="00F620F7">
      <w:endnotePr>
        <w:numFmt w:val="decimal"/>
      </w:endnotePr>
      <w:pgSz w:w="11906" w:h="16838" w:code="9"/>
      <w:pgMar w:top="1440" w:right="1418" w:bottom="1440"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629" w:rsidRDefault="00E16629" w:rsidP="00B52D28">
      <w:r>
        <w:separator/>
      </w:r>
    </w:p>
  </w:endnote>
  <w:endnote w:type="continuationSeparator" w:id="0">
    <w:p w:rsidR="00E16629" w:rsidRDefault="00E16629" w:rsidP="00B52D2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es New Roma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29" w:rsidRDefault="00E16629" w:rsidP="009C77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16629" w:rsidRDefault="00E166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629" w:rsidRDefault="00E16629" w:rsidP="009C77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E16629" w:rsidRDefault="00E166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629" w:rsidRDefault="00E16629" w:rsidP="00B52D28">
      <w:r>
        <w:separator/>
      </w:r>
    </w:p>
  </w:footnote>
  <w:footnote w:type="continuationSeparator" w:id="0">
    <w:p w:rsidR="00E16629" w:rsidRDefault="00E16629" w:rsidP="00B52D2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2D28"/>
    <w:rsid w:val="00003738"/>
    <w:rsid w:val="000069B5"/>
    <w:rsid w:val="00006C3F"/>
    <w:rsid w:val="00011358"/>
    <w:rsid w:val="0001750F"/>
    <w:rsid w:val="0002034E"/>
    <w:rsid w:val="00025ABB"/>
    <w:rsid w:val="00027001"/>
    <w:rsid w:val="000371E8"/>
    <w:rsid w:val="00054844"/>
    <w:rsid w:val="000666AE"/>
    <w:rsid w:val="00072166"/>
    <w:rsid w:val="000821C4"/>
    <w:rsid w:val="0009317B"/>
    <w:rsid w:val="00096396"/>
    <w:rsid w:val="000A0265"/>
    <w:rsid w:val="000B218F"/>
    <w:rsid w:val="000B36C4"/>
    <w:rsid w:val="000B55A2"/>
    <w:rsid w:val="000B7B5F"/>
    <w:rsid w:val="000C0D81"/>
    <w:rsid w:val="000C13AE"/>
    <w:rsid w:val="000C3E8E"/>
    <w:rsid w:val="000D2F43"/>
    <w:rsid w:val="000D4D62"/>
    <w:rsid w:val="000D598B"/>
    <w:rsid w:val="000E4F2F"/>
    <w:rsid w:val="000E797E"/>
    <w:rsid w:val="000F5DC8"/>
    <w:rsid w:val="0010126C"/>
    <w:rsid w:val="00103CE5"/>
    <w:rsid w:val="00103F53"/>
    <w:rsid w:val="00107E8C"/>
    <w:rsid w:val="00112CFE"/>
    <w:rsid w:val="00133549"/>
    <w:rsid w:val="00136BD4"/>
    <w:rsid w:val="00160405"/>
    <w:rsid w:val="00161127"/>
    <w:rsid w:val="0016490F"/>
    <w:rsid w:val="00165C1B"/>
    <w:rsid w:val="001669D0"/>
    <w:rsid w:val="0017321A"/>
    <w:rsid w:val="00181C06"/>
    <w:rsid w:val="00181E76"/>
    <w:rsid w:val="00182BB5"/>
    <w:rsid w:val="00186D6A"/>
    <w:rsid w:val="00193D74"/>
    <w:rsid w:val="0019521B"/>
    <w:rsid w:val="00195BEC"/>
    <w:rsid w:val="001A3496"/>
    <w:rsid w:val="001A665F"/>
    <w:rsid w:val="001B23EA"/>
    <w:rsid w:val="001B259C"/>
    <w:rsid w:val="001B5E40"/>
    <w:rsid w:val="001D202B"/>
    <w:rsid w:val="001F055F"/>
    <w:rsid w:val="001F0C32"/>
    <w:rsid w:val="001F2801"/>
    <w:rsid w:val="002029C6"/>
    <w:rsid w:val="0020745D"/>
    <w:rsid w:val="00212740"/>
    <w:rsid w:val="002134A9"/>
    <w:rsid w:val="00214F02"/>
    <w:rsid w:val="0021548E"/>
    <w:rsid w:val="0021760E"/>
    <w:rsid w:val="00217C77"/>
    <w:rsid w:val="002213DA"/>
    <w:rsid w:val="00222AAD"/>
    <w:rsid w:val="002258FE"/>
    <w:rsid w:val="0023140C"/>
    <w:rsid w:val="00242F25"/>
    <w:rsid w:val="00245BB9"/>
    <w:rsid w:val="00246B74"/>
    <w:rsid w:val="00250E92"/>
    <w:rsid w:val="00254193"/>
    <w:rsid w:val="00266C0C"/>
    <w:rsid w:val="00271F50"/>
    <w:rsid w:val="00272BC1"/>
    <w:rsid w:val="002733D1"/>
    <w:rsid w:val="002737F9"/>
    <w:rsid w:val="00277396"/>
    <w:rsid w:val="0029068B"/>
    <w:rsid w:val="00291D54"/>
    <w:rsid w:val="002B23B6"/>
    <w:rsid w:val="002B3564"/>
    <w:rsid w:val="002B613B"/>
    <w:rsid w:val="002C569D"/>
    <w:rsid w:val="002D0288"/>
    <w:rsid w:val="002D390A"/>
    <w:rsid w:val="002E1BB4"/>
    <w:rsid w:val="002E432C"/>
    <w:rsid w:val="002F18F2"/>
    <w:rsid w:val="002F242D"/>
    <w:rsid w:val="002F2D7F"/>
    <w:rsid w:val="002F31E5"/>
    <w:rsid w:val="002F3E56"/>
    <w:rsid w:val="00300F6A"/>
    <w:rsid w:val="00307A77"/>
    <w:rsid w:val="003329CF"/>
    <w:rsid w:val="00332FE8"/>
    <w:rsid w:val="00333921"/>
    <w:rsid w:val="003343D8"/>
    <w:rsid w:val="00340B89"/>
    <w:rsid w:val="003416CF"/>
    <w:rsid w:val="003459F8"/>
    <w:rsid w:val="00350B76"/>
    <w:rsid w:val="0035364E"/>
    <w:rsid w:val="00361F9D"/>
    <w:rsid w:val="0036599B"/>
    <w:rsid w:val="003662C4"/>
    <w:rsid w:val="00366511"/>
    <w:rsid w:val="003774B5"/>
    <w:rsid w:val="00385517"/>
    <w:rsid w:val="00387018"/>
    <w:rsid w:val="0039296E"/>
    <w:rsid w:val="00396BCF"/>
    <w:rsid w:val="0039797D"/>
    <w:rsid w:val="003A042E"/>
    <w:rsid w:val="003A7813"/>
    <w:rsid w:val="003B387C"/>
    <w:rsid w:val="003B3E1F"/>
    <w:rsid w:val="003B5477"/>
    <w:rsid w:val="003B71FF"/>
    <w:rsid w:val="003C13DE"/>
    <w:rsid w:val="003E25AA"/>
    <w:rsid w:val="003E2F9C"/>
    <w:rsid w:val="003E4F42"/>
    <w:rsid w:val="003F0955"/>
    <w:rsid w:val="003F48F7"/>
    <w:rsid w:val="004000E4"/>
    <w:rsid w:val="00400A27"/>
    <w:rsid w:val="0041664D"/>
    <w:rsid w:val="0042204B"/>
    <w:rsid w:val="00423046"/>
    <w:rsid w:val="00432021"/>
    <w:rsid w:val="004540DF"/>
    <w:rsid w:val="004611BF"/>
    <w:rsid w:val="00462EB6"/>
    <w:rsid w:val="00464029"/>
    <w:rsid w:val="004655E1"/>
    <w:rsid w:val="00467433"/>
    <w:rsid w:val="004701CC"/>
    <w:rsid w:val="004703AB"/>
    <w:rsid w:val="00476683"/>
    <w:rsid w:val="00483608"/>
    <w:rsid w:val="00487C52"/>
    <w:rsid w:val="0049232F"/>
    <w:rsid w:val="00496174"/>
    <w:rsid w:val="004A0686"/>
    <w:rsid w:val="004A0B8C"/>
    <w:rsid w:val="004A12C1"/>
    <w:rsid w:val="004A625D"/>
    <w:rsid w:val="004B14B0"/>
    <w:rsid w:val="004B18EE"/>
    <w:rsid w:val="004B3CD7"/>
    <w:rsid w:val="004B70E5"/>
    <w:rsid w:val="004C7203"/>
    <w:rsid w:val="004D0321"/>
    <w:rsid w:val="004D2EC9"/>
    <w:rsid w:val="004D3C65"/>
    <w:rsid w:val="004D6C79"/>
    <w:rsid w:val="004D74C1"/>
    <w:rsid w:val="004E1EAF"/>
    <w:rsid w:val="004E3ABC"/>
    <w:rsid w:val="004E4F21"/>
    <w:rsid w:val="004F02E1"/>
    <w:rsid w:val="004F49F1"/>
    <w:rsid w:val="004F52D3"/>
    <w:rsid w:val="004F591E"/>
    <w:rsid w:val="00500E39"/>
    <w:rsid w:val="00506608"/>
    <w:rsid w:val="00524AD0"/>
    <w:rsid w:val="00524BD0"/>
    <w:rsid w:val="00531065"/>
    <w:rsid w:val="005341A6"/>
    <w:rsid w:val="00535AB5"/>
    <w:rsid w:val="005375B7"/>
    <w:rsid w:val="00544D67"/>
    <w:rsid w:val="005466C0"/>
    <w:rsid w:val="00554744"/>
    <w:rsid w:val="005570A8"/>
    <w:rsid w:val="00562712"/>
    <w:rsid w:val="0056484F"/>
    <w:rsid w:val="00564E5D"/>
    <w:rsid w:val="005710F0"/>
    <w:rsid w:val="00572457"/>
    <w:rsid w:val="0057623E"/>
    <w:rsid w:val="00576D6A"/>
    <w:rsid w:val="005965A2"/>
    <w:rsid w:val="005B0625"/>
    <w:rsid w:val="005B49CB"/>
    <w:rsid w:val="005B7590"/>
    <w:rsid w:val="005C2749"/>
    <w:rsid w:val="005C4C92"/>
    <w:rsid w:val="005C600F"/>
    <w:rsid w:val="005C6D0F"/>
    <w:rsid w:val="005C7871"/>
    <w:rsid w:val="005D2C32"/>
    <w:rsid w:val="005E3529"/>
    <w:rsid w:val="005E538E"/>
    <w:rsid w:val="005F0D7C"/>
    <w:rsid w:val="005F56A2"/>
    <w:rsid w:val="005F5963"/>
    <w:rsid w:val="0060094E"/>
    <w:rsid w:val="00600E7D"/>
    <w:rsid w:val="006040BF"/>
    <w:rsid w:val="00606A7D"/>
    <w:rsid w:val="00617D6B"/>
    <w:rsid w:val="006238B7"/>
    <w:rsid w:val="00624016"/>
    <w:rsid w:val="00631FAC"/>
    <w:rsid w:val="006322E2"/>
    <w:rsid w:val="006366EA"/>
    <w:rsid w:val="00644A0B"/>
    <w:rsid w:val="00645EC0"/>
    <w:rsid w:val="00646909"/>
    <w:rsid w:val="00654947"/>
    <w:rsid w:val="006556E3"/>
    <w:rsid w:val="00661401"/>
    <w:rsid w:val="00663F96"/>
    <w:rsid w:val="00663FD1"/>
    <w:rsid w:val="0066464A"/>
    <w:rsid w:val="00670BED"/>
    <w:rsid w:val="00677260"/>
    <w:rsid w:val="00683BBE"/>
    <w:rsid w:val="00691EF4"/>
    <w:rsid w:val="00696B16"/>
    <w:rsid w:val="006A005C"/>
    <w:rsid w:val="006A2766"/>
    <w:rsid w:val="006A2929"/>
    <w:rsid w:val="006A3D0E"/>
    <w:rsid w:val="006B007D"/>
    <w:rsid w:val="006B16C7"/>
    <w:rsid w:val="006C3273"/>
    <w:rsid w:val="006C3AF7"/>
    <w:rsid w:val="006D0C14"/>
    <w:rsid w:val="006D1728"/>
    <w:rsid w:val="006D3D62"/>
    <w:rsid w:val="006E41B5"/>
    <w:rsid w:val="006E51C2"/>
    <w:rsid w:val="006E60A9"/>
    <w:rsid w:val="006F4E63"/>
    <w:rsid w:val="00713D0D"/>
    <w:rsid w:val="00721A50"/>
    <w:rsid w:val="0072331B"/>
    <w:rsid w:val="007233F9"/>
    <w:rsid w:val="00723AEC"/>
    <w:rsid w:val="00724F25"/>
    <w:rsid w:val="007250E9"/>
    <w:rsid w:val="00726E89"/>
    <w:rsid w:val="00727DD1"/>
    <w:rsid w:val="00730FDC"/>
    <w:rsid w:val="00731C04"/>
    <w:rsid w:val="00734395"/>
    <w:rsid w:val="007350B6"/>
    <w:rsid w:val="00736F08"/>
    <w:rsid w:val="007476D7"/>
    <w:rsid w:val="007517F3"/>
    <w:rsid w:val="007521F8"/>
    <w:rsid w:val="0075382F"/>
    <w:rsid w:val="00754E1E"/>
    <w:rsid w:val="007553F8"/>
    <w:rsid w:val="00756C3B"/>
    <w:rsid w:val="00763C70"/>
    <w:rsid w:val="007651BD"/>
    <w:rsid w:val="007651FE"/>
    <w:rsid w:val="007719A3"/>
    <w:rsid w:val="00773015"/>
    <w:rsid w:val="00774558"/>
    <w:rsid w:val="007762E2"/>
    <w:rsid w:val="0077702B"/>
    <w:rsid w:val="00782033"/>
    <w:rsid w:val="007854EE"/>
    <w:rsid w:val="00787132"/>
    <w:rsid w:val="00790CF9"/>
    <w:rsid w:val="00791FF1"/>
    <w:rsid w:val="00793DE6"/>
    <w:rsid w:val="00794A3A"/>
    <w:rsid w:val="00795407"/>
    <w:rsid w:val="007A0DCE"/>
    <w:rsid w:val="007A390D"/>
    <w:rsid w:val="007B0C38"/>
    <w:rsid w:val="007B79AC"/>
    <w:rsid w:val="007C467C"/>
    <w:rsid w:val="007D0269"/>
    <w:rsid w:val="007D22D2"/>
    <w:rsid w:val="007D2862"/>
    <w:rsid w:val="007D7412"/>
    <w:rsid w:val="007E00F1"/>
    <w:rsid w:val="007E7766"/>
    <w:rsid w:val="007F4E05"/>
    <w:rsid w:val="007F7289"/>
    <w:rsid w:val="00800030"/>
    <w:rsid w:val="0080045A"/>
    <w:rsid w:val="00811398"/>
    <w:rsid w:val="008113C6"/>
    <w:rsid w:val="008142EE"/>
    <w:rsid w:val="00814A2E"/>
    <w:rsid w:val="0081509A"/>
    <w:rsid w:val="00820503"/>
    <w:rsid w:val="00827D6E"/>
    <w:rsid w:val="00831FA0"/>
    <w:rsid w:val="00837E6D"/>
    <w:rsid w:val="008452C3"/>
    <w:rsid w:val="00851F79"/>
    <w:rsid w:val="0085322D"/>
    <w:rsid w:val="0085368B"/>
    <w:rsid w:val="008600C1"/>
    <w:rsid w:val="00863178"/>
    <w:rsid w:val="00863520"/>
    <w:rsid w:val="00863616"/>
    <w:rsid w:val="008636A1"/>
    <w:rsid w:val="008651C3"/>
    <w:rsid w:val="008657AD"/>
    <w:rsid w:val="00866BF5"/>
    <w:rsid w:val="008676DE"/>
    <w:rsid w:val="00876D76"/>
    <w:rsid w:val="00880C42"/>
    <w:rsid w:val="00882F38"/>
    <w:rsid w:val="00884784"/>
    <w:rsid w:val="00886512"/>
    <w:rsid w:val="008935EF"/>
    <w:rsid w:val="008B2078"/>
    <w:rsid w:val="008B29FE"/>
    <w:rsid w:val="008B30A3"/>
    <w:rsid w:val="008B4B57"/>
    <w:rsid w:val="008B52ED"/>
    <w:rsid w:val="008C0A0D"/>
    <w:rsid w:val="008C0CAE"/>
    <w:rsid w:val="008C429D"/>
    <w:rsid w:val="008D4CD2"/>
    <w:rsid w:val="008D53E4"/>
    <w:rsid w:val="008E2D53"/>
    <w:rsid w:val="008E6AB8"/>
    <w:rsid w:val="008E700E"/>
    <w:rsid w:val="008E7183"/>
    <w:rsid w:val="008E77EE"/>
    <w:rsid w:val="008F07E5"/>
    <w:rsid w:val="008F31EC"/>
    <w:rsid w:val="008F7C6A"/>
    <w:rsid w:val="00910B2A"/>
    <w:rsid w:val="00911D04"/>
    <w:rsid w:val="00913F92"/>
    <w:rsid w:val="00914B17"/>
    <w:rsid w:val="00915030"/>
    <w:rsid w:val="00915143"/>
    <w:rsid w:val="00920B15"/>
    <w:rsid w:val="00920FFB"/>
    <w:rsid w:val="009222B6"/>
    <w:rsid w:val="0092646F"/>
    <w:rsid w:val="009268AC"/>
    <w:rsid w:val="00927914"/>
    <w:rsid w:val="00927EE6"/>
    <w:rsid w:val="009310F3"/>
    <w:rsid w:val="009329D8"/>
    <w:rsid w:val="00934AF4"/>
    <w:rsid w:val="00935255"/>
    <w:rsid w:val="00940C92"/>
    <w:rsid w:val="00941192"/>
    <w:rsid w:val="009439AD"/>
    <w:rsid w:val="009525BD"/>
    <w:rsid w:val="00956D60"/>
    <w:rsid w:val="00961940"/>
    <w:rsid w:val="00962A97"/>
    <w:rsid w:val="0096383F"/>
    <w:rsid w:val="0096451E"/>
    <w:rsid w:val="00965247"/>
    <w:rsid w:val="009659DA"/>
    <w:rsid w:val="00965B41"/>
    <w:rsid w:val="00966373"/>
    <w:rsid w:val="009669B4"/>
    <w:rsid w:val="009718C3"/>
    <w:rsid w:val="00972C3F"/>
    <w:rsid w:val="0097421A"/>
    <w:rsid w:val="00975D2B"/>
    <w:rsid w:val="0097724A"/>
    <w:rsid w:val="0098129C"/>
    <w:rsid w:val="00987162"/>
    <w:rsid w:val="00993A23"/>
    <w:rsid w:val="00994786"/>
    <w:rsid w:val="009970B8"/>
    <w:rsid w:val="009A47D1"/>
    <w:rsid w:val="009A61CE"/>
    <w:rsid w:val="009B042D"/>
    <w:rsid w:val="009B09B6"/>
    <w:rsid w:val="009B788D"/>
    <w:rsid w:val="009C011B"/>
    <w:rsid w:val="009C0674"/>
    <w:rsid w:val="009C09D5"/>
    <w:rsid w:val="009C73EB"/>
    <w:rsid w:val="009C77CE"/>
    <w:rsid w:val="009C7CBF"/>
    <w:rsid w:val="009D0A8F"/>
    <w:rsid w:val="009D144D"/>
    <w:rsid w:val="009D2059"/>
    <w:rsid w:val="009D2B7C"/>
    <w:rsid w:val="009D5364"/>
    <w:rsid w:val="009D74EB"/>
    <w:rsid w:val="009E1B02"/>
    <w:rsid w:val="009E1E14"/>
    <w:rsid w:val="009E2DA1"/>
    <w:rsid w:val="009E4B5C"/>
    <w:rsid w:val="009E77E3"/>
    <w:rsid w:val="009F01A2"/>
    <w:rsid w:val="009F525F"/>
    <w:rsid w:val="009F610E"/>
    <w:rsid w:val="00A01432"/>
    <w:rsid w:val="00A04E9C"/>
    <w:rsid w:val="00A24039"/>
    <w:rsid w:val="00A35A78"/>
    <w:rsid w:val="00A373E8"/>
    <w:rsid w:val="00A42A29"/>
    <w:rsid w:val="00A44B5A"/>
    <w:rsid w:val="00A4591A"/>
    <w:rsid w:val="00A50908"/>
    <w:rsid w:val="00A6176D"/>
    <w:rsid w:val="00A61BBF"/>
    <w:rsid w:val="00A622D1"/>
    <w:rsid w:val="00A658BB"/>
    <w:rsid w:val="00A71562"/>
    <w:rsid w:val="00A73775"/>
    <w:rsid w:val="00A7690F"/>
    <w:rsid w:val="00A828C5"/>
    <w:rsid w:val="00A82D8A"/>
    <w:rsid w:val="00A84564"/>
    <w:rsid w:val="00A8486D"/>
    <w:rsid w:val="00A904A4"/>
    <w:rsid w:val="00A92218"/>
    <w:rsid w:val="00A924EC"/>
    <w:rsid w:val="00A93E36"/>
    <w:rsid w:val="00AA0528"/>
    <w:rsid w:val="00AA7205"/>
    <w:rsid w:val="00AB000F"/>
    <w:rsid w:val="00AB3C14"/>
    <w:rsid w:val="00AB53DE"/>
    <w:rsid w:val="00AB62A4"/>
    <w:rsid w:val="00AC1BBE"/>
    <w:rsid w:val="00AC2534"/>
    <w:rsid w:val="00AC642F"/>
    <w:rsid w:val="00AC7E76"/>
    <w:rsid w:val="00AD209B"/>
    <w:rsid w:val="00AD31AF"/>
    <w:rsid w:val="00AD4470"/>
    <w:rsid w:val="00AD723A"/>
    <w:rsid w:val="00AE1BE1"/>
    <w:rsid w:val="00AE1CEE"/>
    <w:rsid w:val="00AE1D02"/>
    <w:rsid w:val="00AE2405"/>
    <w:rsid w:val="00AF30D4"/>
    <w:rsid w:val="00B0180C"/>
    <w:rsid w:val="00B16862"/>
    <w:rsid w:val="00B21A2C"/>
    <w:rsid w:val="00B25FF2"/>
    <w:rsid w:val="00B269AB"/>
    <w:rsid w:val="00B31866"/>
    <w:rsid w:val="00B349F5"/>
    <w:rsid w:val="00B35403"/>
    <w:rsid w:val="00B36B8D"/>
    <w:rsid w:val="00B41217"/>
    <w:rsid w:val="00B4293E"/>
    <w:rsid w:val="00B43023"/>
    <w:rsid w:val="00B511A0"/>
    <w:rsid w:val="00B52D28"/>
    <w:rsid w:val="00B57DBE"/>
    <w:rsid w:val="00B62B75"/>
    <w:rsid w:val="00B66CDF"/>
    <w:rsid w:val="00B70244"/>
    <w:rsid w:val="00B801A0"/>
    <w:rsid w:val="00B80874"/>
    <w:rsid w:val="00B82807"/>
    <w:rsid w:val="00B83889"/>
    <w:rsid w:val="00B84369"/>
    <w:rsid w:val="00B849F3"/>
    <w:rsid w:val="00B85AA3"/>
    <w:rsid w:val="00B9272E"/>
    <w:rsid w:val="00B9331D"/>
    <w:rsid w:val="00B971B2"/>
    <w:rsid w:val="00BA0967"/>
    <w:rsid w:val="00BA3182"/>
    <w:rsid w:val="00BB0D60"/>
    <w:rsid w:val="00BB17DB"/>
    <w:rsid w:val="00BB23E6"/>
    <w:rsid w:val="00BB4552"/>
    <w:rsid w:val="00BB6EB8"/>
    <w:rsid w:val="00BC297A"/>
    <w:rsid w:val="00BD31CF"/>
    <w:rsid w:val="00BE578E"/>
    <w:rsid w:val="00BE5B86"/>
    <w:rsid w:val="00BE5C74"/>
    <w:rsid w:val="00BE6EF8"/>
    <w:rsid w:val="00BF0B2D"/>
    <w:rsid w:val="00BF1A84"/>
    <w:rsid w:val="00BF1A9B"/>
    <w:rsid w:val="00BF4A74"/>
    <w:rsid w:val="00C12FA6"/>
    <w:rsid w:val="00C135E7"/>
    <w:rsid w:val="00C15DD0"/>
    <w:rsid w:val="00C20E4C"/>
    <w:rsid w:val="00C24C71"/>
    <w:rsid w:val="00C3029F"/>
    <w:rsid w:val="00C306E6"/>
    <w:rsid w:val="00C32C28"/>
    <w:rsid w:val="00C341A0"/>
    <w:rsid w:val="00C40329"/>
    <w:rsid w:val="00C41329"/>
    <w:rsid w:val="00C44F69"/>
    <w:rsid w:val="00C55DB6"/>
    <w:rsid w:val="00C612F0"/>
    <w:rsid w:val="00C70F3B"/>
    <w:rsid w:val="00C71F64"/>
    <w:rsid w:val="00C7361C"/>
    <w:rsid w:val="00C73FD0"/>
    <w:rsid w:val="00C76C55"/>
    <w:rsid w:val="00C82579"/>
    <w:rsid w:val="00C8345A"/>
    <w:rsid w:val="00C8482E"/>
    <w:rsid w:val="00C90D03"/>
    <w:rsid w:val="00CA0A28"/>
    <w:rsid w:val="00CA560D"/>
    <w:rsid w:val="00CA6A59"/>
    <w:rsid w:val="00CA7415"/>
    <w:rsid w:val="00CA7624"/>
    <w:rsid w:val="00CA7C10"/>
    <w:rsid w:val="00CB2A33"/>
    <w:rsid w:val="00CB7066"/>
    <w:rsid w:val="00CD0C4E"/>
    <w:rsid w:val="00CD135C"/>
    <w:rsid w:val="00CD1C0B"/>
    <w:rsid w:val="00CD7C28"/>
    <w:rsid w:val="00CE13B5"/>
    <w:rsid w:val="00CE15B2"/>
    <w:rsid w:val="00CE2FB4"/>
    <w:rsid w:val="00CF446D"/>
    <w:rsid w:val="00CF4505"/>
    <w:rsid w:val="00CF4F1B"/>
    <w:rsid w:val="00CF7602"/>
    <w:rsid w:val="00D03C5C"/>
    <w:rsid w:val="00D064B9"/>
    <w:rsid w:val="00D118A2"/>
    <w:rsid w:val="00D177E8"/>
    <w:rsid w:val="00D2062D"/>
    <w:rsid w:val="00D2430E"/>
    <w:rsid w:val="00D32C13"/>
    <w:rsid w:val="00D354C3"/>
    <w:rsid w:val="00D35F1D"/>
    <w:rsid w:val="00D36D20"/>
    <w:rsid w:val="00D45021"/>
    <w:rsid w:val="00D50A7C"/>
    <w:rsid w:val="00D532F9"/>
    <w:rsid w:val="00D55B1F"/>
    <w:rsid w:val="00D6468A"/>
    <w:rsid w:val="00D72D5F"/>
    <w:rsid w:val="00D72DEF"/>
    <w:rsid w:val="00D7371B"/>
    <w:rsid w:val="00D87A67"/>
    <w:rsid w:val="00D94A5B"/>
    <w:rsid w:val="00D967EB"/>
    <w:rsid w:val="00D96C6B"/>
    <w:rsid w:val="00D971CE"/>
    <w:rsid w:val="00DA0B21"/>
    <w:rsid w:val="00DA20E6"/>
    <w:rsid w:val="00DA6B2E"/>
    <w:rsid w:val="00DB135C"/>
    <w:rsid w:val="00DC516F"/>
    <w:rsid w:val="00DC5EB8"/>
    <w:rsid w:val="00DC6B2D"/>
    <w:rsid w:val="00DD5870"/>
    <w:rsid w:val="00DD77EB"/>
    <w:rsid w:val="00DD78FB"/>
    <w:rsid w:val="00DF32AF"/>
    <w:rsid w:val="00DF4B22"/>
    <w:rsid w:val="00E01514"/>
    <w:rsid w:val="00E114AB"/>
    <w:rsid w:val="00E16629"/>
    <w:rsid w:val="00E16B90"/>
    <w:rsid w:val="00E17ADD"/>
    <w:rsid w:val="00E17C43"/>
    <w:rsid w:val="00E20696"/>
    <w:rsid w:val="00E24FD6"/>
    <w:rsid w:val="00E2664C"/>
    <w:rsid w:val="00E363D8"/>
    <w:rsid w:val="00E428E6"/>
    <w:rsid w:val="00E474FE"/>
    <w:rsid w:val="00E5271F"/>
    <w:rsid w:val="00E53330"/>
    <w:rsid w:val="00E547CB"/>
    <w:rsid w:val="00E549A9"/>
    <w:rsid w:val="00E55CBD"/>
    <w:rsid w:val="00E55DBA"/>
    <w:rsid w:val="00E56D50"/>
    <w:rsid w:val="00E57BF7"/>
    <w:rsid w:val="00E604DE"/>
    <w:rsid w:val="00E61B15"/>
    <w:rsid w:val="00E6291F"/>
    <w:rsid w:val="00E747C3"/>
    <w:rsid w:val="00E77E04"/>
    <w:rsid w:val="00E871E3"/>
    <w:rsid w:val="00E90A8D"/>
    <w:rsid w:val="00E9176A"/>
    <w:rsid w:val="00E91ED4"/>
    <w:rsid w:val="00E97A6F"/>
    <w:rsid w:val="00EA6BE1"/>
    <w:rsid w:val="00EB02A2"/>
    <w:rsid w:val="00EB0392"/>
    <w:rsid w:val="00EB3978"/>
    <w:rsid w:val="00EC33E7"/>
    <w:rsid w:val="00EC56CB"/>
    <w:rsid w:val="00EC6262"/>
    <w:rsid w:val="00EC73B1"/>
    <w:rsid w:val="00ED5C3C"/>
    <w:rsid w:val="00ED74BF"/>
    <w:rsid w:val="00EE2191"/>
    <w:rsid w:val="00EE78D8"/>
    <w:rsid w:val="00EF59C9"/>
    <w:rsid w:val="00EF6F6F"/>
    <w:rsid w:val="00F030E7"/>
    <w:rsid w:val="00F0348C"/>
    <w:rsid w:val="00F048E4"/>
    <w:rsid w:val="00F04F11"/>
    <w:rsid w:val="00F23E8D"/>
    <w:rsid w:val="00F27F76"/>
    <w:rsid w:val="00F30340"/>
    <w:rsid w:val="00F32074"/>
    <w:rsid w:val="00F47B46"/>
    <w:rsid w:val="00F47CA9"/>
    <w:rsid w:val="00F620F7"/>
    <w:rsid w:val="00F63852"/>
    <w:rsid w:val="00F716E2"/>
    <w:rsid w:val="00F72BD5"/>
    <w:rsid w:val="00F831D9"/>
    <w:rsid w:val="00F84324"/>
    <w:rsid w:val="00F85C0B"/>
    <w:rsid w:val="00F9057B"/>
    <w:rsid w:val="00F9189A"/>
    <w:rsid w:val="00F94273"/>
    <w:rsid w:val="00F945FD"/>
    <w:rsid w:val="00F958BC"/>
    <w:rsid w:val="00FA39FE"/>
    <w:rsid w:val="00FA3EA8"/>
    <w:rsid w:val="00FA6A08"/>
    <w:rsid w:val="00FA6A65"/>
    <w:rsid w:val="00FA773A"/>
    <w:rsid w:val="00FB450D"/>
    <w:rsid w:val="00FB493D"/>
    <w:rsid w:val="00FB4F28"/>
    <w:rsid w:val="00FB576E"/>
    <w:rsid w:val="00FC138D"/>
    <w:rsid w:val="00FC2412"/>
    <w:rsid w:val="00FC4806"/>
    <w:rsid w:val="00FC51AC"/>
    <w:rsid w:val="00FD09BD"/>
    <w:rsid w:val="00FD3052"/>
    <w:rsid w:val="00FD7595"/>
    <w:rsid w:val="00FE2311"/>
    <w:rsid w:val="00FF0C70"/>
    <w:rsid w:val="00FF45B6"/>
    <w:rsid w:val="00FF5749"/>
    <w:rsid w:val="00FF6BE1"/>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598B"/>
    <w:pPr>
      <w:widowControl w:val="0"/>
      <w:jc w:val="both"/>
    </w:pPr>
  </w:style>
  <w:style w:type="paragraph" w:styleId="Heading1">
    <w:name w:val="heading 1"/>
    <w:basedOn w:val="Normal"/>
    <w:next w:val="Normal"/>
    <w:link w:val="Heading1Char"/>
    <w:uiPriority w:val="99"/>
    <w:qFormat/>
    <w:rsid w:val="00D6468A"/>
    <w:pPr>
      <w:keepNext/>
      <w:keepLines/>
      <w:spacing w:before="340" w:after="330" w:line="578" w:lineRule="auto"/>
      <w:outlineLvl w:val="0"/>
    </w:pPr>
    <w:rPr>
      <w:b/>
      <w:bCs/>
      <w:kern w:val="44"/>
      <w:sz w:val="44"/>
      <w:szCs w:val="44"/>
    </w:rPr>
  </w:style>
  <w:style w:type="paragraph" w:styleId="Heading3">
    <w:name w:val="heading 3"/>
    <w:basedOn w:val="Normal"/>
    <w:link w:val="Heading3Char"/>
    <w:uiPriority w:val="99"/>
    <w:qFormat/>
    <w:rsid w:val="00975D2B"/>
    <w:pPr>
      <w:widowControl/>
      <w:spacing w:before="100" w:beforeAutospacing="1" w:after="100" w:afterAutospacing="1"/>
      <w:jc w:val="left"/>
      <w:outlineLvl w:val="2"/>
    </w:pPr>
    <w:rPr>
      <w:rFonts w:ascii="宋体" w:hAnsi="宋体"/>
      <w:b/>
      <w:bCs/>
      <w:kern w:val="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68A"/>
    <w:rPr>
      <w:b/>
      <w:kern w:val="44"/>
      <w:sz w:val="44"/>
    </w:rPr>
  </w:style>
  <w:style w:type="character" w:customStyle="1" w:styleId="Heading3Char">
    <w:name w:val="Heading 3 Char"/>
    <w:basedOn w:val="DefaultParagraphFont"/>
    <w:link w:val="Heading3"/>
    <w:uiPriority w:val="99"/>
    <w:locked/>
    <w:rsid w:val="00975D2B"/>
    <w:rPr>
      <w:rFonts w:ascii="宋体" w:eastAsia="宋体" w:hAnsi="宋体"/>
      <w:b/>
      <w:kern w:val="0"/>
      <w:sz w:val="27"/>
    </w:rPr>
  </w:style>
  <w:style w:type="paragraph" w:styleId="Header">
    <w:name w:val="header"/>
    <w:basedOn w:val="Normal"/>
    <w:link w:val="HeaderChar"/>
    <w:uiPriority w:val="99"/>
    <w:semiHidden/>
    <w:rsid w:val="00B52D28"/>
    <w:pPr>
      <w:pBdr>
        <w:bottom w:val="single" w:sz="6" w:space="1" w:color="auto"/>
      </w:pBdr>
      <w:tabs>
        <w:tab w:val="center" w:pos="4153"/>
        <w:tab w:val="right" w:pos="8306"/>
      </w:tabs>
      <w:snapToGrid w:val="0"/>
      <w:jc w:val="center"/>
    </w:pPr>
    <w:rPr>
      <w:kern w:val="0"/>
      <w:sz w:val="18"/>
      <w:szCs w:val="18"/>
    </w:rPr>
  </w:style>
  <w:style w:type="character" w:customStyle="1" w:styleId="HeaderChar">
    <w:name w:val="Header Char"/>
    <w:basedOn w:val="DefaultParagraphFont"/>
    <w:link w:val="Header"/>
    <w:uiPriority w:val="99"/>
    <w:semiHidden/>
    <w:locked/>
    <w:rsid w:val="00B52D28"/>
    <w:rPr>
      <w:sz w:val="18"/>
    </w:rPr>
  </w:style>
  <w:style w:type="paragraph" w:styleId="Footer">
    <w:name w:val="footer"/>
    <w:basedOn w:val="Normal"/>
    <w:link w:val="FooterChar"/>
    <w:uiPriority w:val="99"/>
    <w:semiHidden/>
    <w:rsid w:val="00B52D28"/>
    <w:pPr>
      <w:tabs>
        <w:tab w:val="center" w:pos="4153"/>
        <w:tab w:val="right" w:pos="8306"/>
      </w:tabs>
      <w:snapToGrid w:val="0"/>
      <w:jc w:val="left"/>
    </w:pPr>
    <w:rPr>
      <w:kern w:val="0"/>
      <w:sz w:val="18"/>
      <w:szCs w:val="18"/>
    </w:rPr>
  </w:style>
  <w:style w:type="character" w:customStyle="1" w:styleId="FooterChar">
    <w:name w:val="Footer Char"/>
    <w:basedOn w:val="DefaultParagraphFont"/>
    <w:link w:val="Footer"/>
    <w:uiPriority w:val="99"/>
    <w:semiHidden/>
    <w:locked/>
    <w:rsid w:val="00B52D28"/>
    <w:rPr>
      <w:sz w:val="18"/>
    </w:rPr>
  </w:style>
  <w:style w:type="character" w:styleId="Hyperlink">
    <w:name w:val="Hyperlink"/>
    <w:basedOn w:val="DefaultParagraphFont"/>
    <w:uiPriority w:val="99"/>
    <w:semiHidden/>
    <w:rsid w:val="00782033"/>
    <w:rPr>
      <w:rFonts w:cs="Times New Roman"/>
      <w:color w:val="0000FF"/>
      <w:u w:val="single"/>
    </w:rPr>
  </w:style>
  <w:style w:type="character" w:customStyle="1" w:styleId="apple-converted-space">
    <w:name w:val="apple-converted-space"/>
    <w:uiPriority w:val="99"/>
    <w:rsid w:val="00B35403"/>
  </w:style>
  <w:style w:type="character" w:customStyle="1" w:styleId="highlight">
    <w:name w:val="highlight"/>
    <w:uiPriority w:val="99"/>
    <w:rsid w:val="00B35403"/>
  </w:style>
  <w:style w:type="table" w:styleId="TableGrid">
    <w:name w:val="Table Grid"/>
    <w:basedOn w:val="TableNormal"/>
    <w:uiPriority w:val="99"/>
    <w:rsid w:val="007B0C38"/>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99"/>
    <w:qFormat/>
    <w:rsid w:val="00E474FE"/>
    <w:rPr>
      <w:rFonts w:cs="Times New Roman"/>
      <w:i/>
    </w:rPr>
  </w:style>
  <w:style w:type="paragraph" w:styleId="EndnoteText">
    <w:name w:val="endnote text"/>
    <w:basedOn w:val="Normal"/>
    <w:link w:val="EndnoteTextChar"/>
    <w:uiPriority w:val="99"/>
    <w:rsid w:val="00863178"/>
    <w:pPr>
      <w:snapToGrid w:val="0"/>
      <w:jc w:val="left"/>
    </w:pPr>
    <w:rPr>
      <w:kern w:val="0"/>
      <w:sz w:val="20"/>
      <w:szCs w:val="20"/>
    </w:rPr>
  </w:style>
  <w:style w:type="character" w:customStyle="1" w:styleId="EndnoteTextChar">
    <w:name w:val="Endnote Text Char"/>
    <w:basedOn w:val="DefaultParagraphFont"/>
    <w:link w:val="EndnoteText"/>
    <w:uiPriority w:val="99"/>
    <w:locked/>
    <w:rsid w:val="00863178"/>
  </w:style>
  <w:style w:type="character" w:styleId="EndnoteReference">
    <w:name w:val="endnote reference"/>
    <w:basedOn w:val="DefaultParagraphFont"/>
    <w:uiPriority w:val="99"/>
    <w:rsid w:val="00863178"/>
    <w:rPr>
      <w:rFonts w:cs="Times New Roman"/>
      <w:vertAlign w:val="superscript"/>
    </w:rPr>
  </w:style>
  <w:style w:type="character" w:customStyle="1" w:styleId="jrnl">
    <w:name w:val="jrnl"/>
    <w:uiPriority w:val="99"/>
    <w:rsid w:val="00915143"/>
  </w:style>
  <w:style w:type="paragraph" w:styleId="BalloonText">
    <w:name w:val="Balloon Text"/>
    <w:basedOn w:val="Normal"/>
    <w:link w:val="BalloonTextChar"/>
    <w:uiPriority w:val="99"/>
    <w:semiHidden/>
    <w:rsid w:val="00DD77EB"/>
    <w:rPr>
      <w:kern w:val="0"/>
      <w:sz w:val="16"/>
      <w:szCs w:val="16"/>
    </w:rPr>
  </w:style>
  <w:style w:type="character" w:customStyle="1" w:styleId="BalloonTextChar">
    <w:name w:val="Balloon Text Char"/>
    <w:basedOn w:val="DefaultParagraphFont"/>
    <w:link w:val="BalloonText"/>
    <w:uiPriority w:val="99"/>
    <w:semiHidden/>
    <w:locked/>
    <w:rsid w:val="00DD77EB"/>
    <w:rPr>
      <w:sz w:val="16"/>
    </w:rPr>
  </w:style>
  <w:style w:type="paragraph" w:customStyle="1" w:styleId="CharChar2">
    <w:name w:val="Char Char2"/>
    <w:basedOn w:val="Normal"/>
    <w:autoRedefine/>
    <w:uiPriority w:val="99"/>
    <w:rsid w:val="00FD09BD"/>
    <w:pPr>
      <w:tabs>
        <w:tab w:val="num" w:pos="360"/>
      </w:tabs>
      <w:ind w:left="360" w:hangingChars="200" w:hanging="360"/>
    </w:pPr>
    <w:rPr>
      <w:rFonts w:ascii="Times New Roman" w:hAnsi="Times New Roman"/>
      <w:sz w:val="24"/>
      <w:szCs w:val="24"/>
    </w:rPr>
  </w:style>
  <w:style w:type="paragraph" w:styleId="CommentText">
    <w:name w:val="annotation text"/>
    <w:basedOn w:val="Normal"/>
    <w:link w:val="CommentTextChar1"/>
    <w:uiPriority w:val="99"/>
    <w:semiHidden/>
    <w:rsid w:val="00FD09BD"/>
    <w:pPr>
      <w:widowControl/>
      <w:suppressAutoHyphens/>
      <w:spacing w:before="120" w:after="120"/>
      <w:jc w:val="left"/>
    </w:pPr>
    <w:rPr>
      <w:kern w:val="0"/>
      <w:sz w:val="22"/>
      <w:szCs w:val="20"/>
      <w:lang w:eastAsia="ar-SA"/>
    </w:rPr>
  </w:style>
  <w:style w:type="character" w:customStyle="1" w:styleId="CommentTextChar">
    <w:name w:val="Comment Text Char"/>
    <w:basedOn w:val="DefaultParagraphFont"/>
    <w:link w:val="CommentText"/>
    <w:uiPriority w:val="99"/>
    <w:semiHidden/>
    <w:locked/>
    <w:rsid w:val="000B36C4"/>
  </w:style>
  <w:style w:type="character" w:customStyle="1" w:styleId="CommentTextChar1">
    <w:name w:val="Comment Text Char1"/>
    <w:link w:val="CommentText"/>
    <w:uiPriority w:val="99"/>
    <w:semiHidden/>
    <w:locked/>
    <w:rsid w:val="00FD09BD"/>
    <w:rPr>
      <w:rFonts w:ascii="Calibri" w:hAnsi="Calibri"/>
      <w:sz w:val="22"/>
      <w:lang w:val="en-US" w:eastAsia="ar-SA" w:bidi="ar-SA"/>
    </w:rPr>
  </w:style>
  <w:style w:type="character" w:styleId="CommentReference">
    <w:name w:val="annotation reference"/>
    <w:basedOn w:val="DefaultParagraphFont"/>
    <w:uiPriority w:val="99"/>
    <w:semiHidden/>
    <w:rsid w:val="00186D6A"/>
    <w:rPr>
      <w:rFonts w:cs="Times New Roman"/>
      <w:sz w:val="21"/>
    </w:rPr>
  </w:style>
  <w:style w:type="paragraph" w:styleId="CommentSubject">
    <w:name w:val="annotation subject"/>
    <w:basedOn w:val="CommentText"/>
    <w:next w:val="CommentText"/>
    <w:link w:val="CommentSubjectChar"/>
    <w:uiPriority w:val="99"/>
    <w:semiHidden/>
    <w:rsid w:val="00186D6A"/>
    <w:pPr>
      <w:widowControl w:val="0"/>
      <w:suppressAutoHyphens w:val="0"/>
      <w:spacing w:before="0" w:after="0"/>
    </w:pPr>
    <w:rPr>
      <w:b/>
      <w:bCs/>
    </w:rPr>
  </w:style>
  <w:style w:type="character" w:customStyle="1" w:styleId="CommentSubjectChar">
    <w:name w:val="Comment Subject Char"/>
    <w:basedOn w:val="CommentTextChar1"/>
    <w:link w:val="CommentSubject"/>
    <w:uiPriority w:val="99"/>
    <w:semiHidden/>
    <w:locked/>
    <w:rsid w:val="000B36C4"/>
    <w:rPr>
      <w:b/>
    </w:rPr>
  </w:style>
  <w:style w:type="paragraph" w:styleId="PlainText">
    <w:name w:val="Plain Text"/>
    <w:basedOn w:val="Normal"/>
    <w:link w:val="PlainTextChar"/>
    <w:uiPriority w:val="99"/>
    <w:rsid w:val="007651BD"/>
    <w:rPr>
      <w:rFonts w:ascii="宋体" w:hAnsi="Courier New"/>
      <w:kern w:val="0"/>
      <w:szCs w:val="21"/>
    </w:rPr>
  </w:style>
  <w:style w:type="character" w:customStyle="1" w:styleId="PlainTextChar">
    <w:name w:val="Plain Text Char"/>
    <w:basedOn w:val="DefaultParagraphFont"/>
    <w:link w:val="PlainText"/>
    <w:uiPriority w:val="99"/>
    <w:locked/>
    <w:rsid w:val="007651BD"/>
    <w:rPr>
      <w:rFonts w:ascii="宋体" w:hAnsi="Courier New"/>
      <w:sz w:val="21"/>
    </w:rPr>
  </w:style>
  <w:style w:type="paragraph" w:customStyle="1" w:styleId="CharChar21">
    <w:name w:val="Char Char21"/>
    <w:basedOn w:val="Normal"/>
    <w:autoRedefine/>
    <w:uiPriority w:val="99"/>
    <w:rsid w:val="0020745D"/>
    <w:pPr>
      <w:tabs>
        <w:tab w:val="num" w:pos="360"/>
      </w:tabs>
      <w:ind w:left="360" w:hangingChars="200" w:hanging="360"/>
    </w:pPr>
    <w:rPr>
      <w:rFonts w:ascii="Times New Roman" w:hAnsi="Times New Roman"/>
      <w:sz w:val="24"/>
      <w:szCs w:val="24"/>
    </w:rPr>
  </w:style>
  <w:style w:type="character" w:customStyle="1" w:styleId="labellist">
    <w:name w:val="label_list"/>
    <w:uiPriority w:val="99"/>
    <w:rsid w:val="007D2862"/>
  </w:style>
  <w:style w:type="character" w:styleId="PageNumber">
    <w:name w:val="page number"/>
    <w:basedOn w:val="DefaultParagraphFont"/>
    <w:uiPriority w:val="99"/>
    <w:rsid w:val="00025ABB"/>
    <w:rPr>
      <w:rFonts w:cs="Times New Roman"/>
    </w:rPr>
  </w:style>
</w:styles>
</file>

<file path=word/webSettings.xml><?xml version="1.0" encoding="utf-8"?>
<w:webSettings xmlns:r="http://schemas.openxmlformats.org/officeDocument/2006/relationships" xmlns:w="http://schemas.openxmlformats.org/wordprocessingml/2006/main">
  <w:divs>
    <w:div w:id="2022269834">
      <w:marLeft w:val="0"/>
      <w:marRight w:val="0"/>
      <w:marTop w:val="0"/>
      <w:marBottom w:val="0"/>
      <w:divBdr>
        <w:top w:val="none" w:sz="0" w:space="0" w:color="auto"/>
        <w:left w:val="none" w:sz="0" w:space="0" w:color="auto"/>
        <w:bottom w:val="none" w:sz="0" w:space="0" w:color="auto"/>
        <w:right w:val="none" w:sz="0" w:space="0" w:color="auto"/>
      </w:divBdr>
    </w:div>
    <w:div w:id="2022269835">
      <w:marLeft w:val="0"/>
      <w:marRight w:val="0"/>
      <w:marTop w:val="0"/>
      <w:marBottom w:val="0"/>
      <w:divBdr>
        <w:top w:val="none" w:sz="0" w:space="0" w:color="auto"/>
        <w:left w:val="none" w:sz="0" w:space="0" w:color="auto"/>
        <w:bottom w:val="none" w:sz="0" w:space="0" w:color="auto"/>
        <w:right w:val="none" w:sz="0" w:space="0" w:color="auto"/>
      </w:divBdr>
    </w:div>
    <w:div w:id="2022269836">
      <w:marLeft w:val="0"/>
      <w:marRight w:val="0"/>
      <w:marTop w:val="0"/>
      <w:marBottom w:val="0"/>
      <w:divBdr>
        <w:top w:val="none" w:sz="0" w:space="0" w:color="auto"/>
        <w:left w:val="none" w:sz="0" w:space="0" w:color="auto"/>
        <w:bottom w:val="none" w:sz="0" w:space="0" w:color="auto"/>
        <w:right w:val="none" w:sz="0" w:space="0" w:color="auto"/>
      </w:divBdr>
    </w:div>
    <w:div w:id="2022269837">
      <w:marLeft w:val="0"/>
      <w:marRight w:val="0"/>
      <w:marTop w:val="0"/>
      <w:marBottom w:val="0"/>
      <w:divBdr>
        <w:top w:val="none" w:sz="0" w:space="0" w:color="auto"/>
        <w:left w:val="none" w:sz="0" w:space="0" w:color="auto"/>
        <w:bottom w:val="none" w:sz="0" w:space="0" w:color="auto"/>
        <w:right w:val="none" w:sz="0" w:space="0" w:color="auto"/>
      </w:divBdr>
    </w:div>
    <w:div w:id="2022269838">
      <w:marLeft w:val="0"/>
      <w:marRight w:val="0"/>
      <w:marTop w:val="0"/>
      <w:marBottom w:val="0"/>
      <w:divBdr>
        <w:top w:val="none" w:sz="0" w:space="0" w:color="auto"/>
        <w:left w:val="none" w:sz="0" w:space="0" w:color="auto"/>
        <w:bottom w:val="none" w:sz="0" w:space="0" w:color="auto"/>
        <w:right w:val="none" w:sz="0" w:space="0" w:color="auto"/>
      </w:divBdr>
    </w:div>
    <w:div w:id="2022269839">
      <w:marLeft w:val="0"/>
      <w:marRight w:val="0"/>
      <w:marTop w:val="0"/>
      <w:marBottom w:val="0"/>
      <w:divBdr>
        <w:top w:val="none" w:sz="0" w:space="0" w:color="auto"/>
        <w:left w:val="none" w:sz="0" w:space="0" w:color="auto"/>
        <w:bottom w:val="none" w:sz="0" w:space="0" w:color="auto"/>
        <w:right w:val="none" w:sz="0" w:space="0" w:color="auto"/>
      </w:divBdr>
    </w:div>
    <w:div w:id="2022269840">
      <w:marLeft w:val="0"/>
      <w:marRight w:val="0"/>
      <w:marTop w:val="0"/>
      <w:marBottom w:val="0"/>
      <w:divBdr>
        <w:top w:val="none" w:sz="0" w:space="0" w:color="auto"/>
        <w:left w:val="none" w:sz="0" w:space="0" w:color="auto"/>
        <w:bottom w:val="none" w:sz="0" w:space="0" w:color="auto"/>
        <w:right w:val="none" w:sz="0" w:space="0" w:color="auto"/>
      </w:divBdr>
    </w:div>
    <w:div w:id="2022269841">
      <w:marLeft w:val="0"/>
      <w:marRight w:val="0"/>
      <w:marTop w:val="0"/>
      <w:marBottom w:val="0"/>
      <w:divBdr>
        <w:top w:val="none" w:sz="0" w:space="0" w:color="auto"/>
        <w:left w:val="none" w:sz="0" w:space="0" w:color="auto"/>
        <w:bottom w:val="none" w:sz="0" w:space="0" w:color="auto"/>
        <w:right w:val="none" w:sz="0" w:space="0" w:color="auto"/>
      </w:divBdr>
    </w:div>
    <w:div w:id="2022269842">
      <w:marLeft w:val="0"/>
      <w:marRight w:val="0"/>
      <w:marTop w:val="0"/>
      <w:marBottom w:val="0"/>
      <w:divBdr>
        <w:top w:val="none" w:sz="0" w:space="0" w:color="auto"/>
        <w:left w:val="none" w:sz="0" w:space="0" w:color="auto"/>
        <w:bottom w:val="none" w:sz="0" w:space="0" w:color="auto"/>
        <w:right w:val="none" w:sz="0" w:space="0" w:color="auto"/>
      </w:divBdr>
    </w:div>
    <w:div w:id="2022269843">
      <w:marLeft w:val="0"/>
      <w:marRight w:val="0"/>
      <w:marTop w:val="0"/>
      <w:marBottom w:val="0"/>
      <w:divBdr>
        <w:top w:val="none" w:sz="0" w:space="0" w:color="auto"/>
        <w:left w:val="none" w:sz="0" w:space="0" w:color="auto"/>
        <w:bottom w:val="none" w:sz="0" w:space="0" w:color="auto"/>
        <w:right w:val="none" w:sz="0" w:space="0" w:color="auto"/>
      </w:divBdr>
    </w:div>
    <w:div w:id="2022269844">
      <w:marLeft w:val="0"/>
      <w:marRight w:val="0"/>
      <w:marTop w:val="0"/>
      <w:marBottom w:val="0"/>
      <w:divBdr>
        <w:top w:val="none" w:sz="0" w:space="0" w:color="auto"/>
        <w:left w:val="none" w:sz="0" w:space="0" w:color="auto"/>
        <w:bottom w:val="none" w:sz="0" w:space="0" w:color="auto"/>
        <w:right w:val="none" w:sz="0" w:space="0" w:color="auto"/>
      </w:divBdr>
    </w:div>
    <w:div w:id="2022269845">
      <w:marLeft w:val="0"/>
      <w:marRight w:val="0"/>
      <w:marTop w:val="0"/>
      <w:marBottom w:val="0"/>
      <w:divBdr>
        <w:top w:val="none" w:sz="0" w:space="0" w:color="auto"/>
        <w:left w:val="none" w:sz="0" w:space="0" w:color="auto"/>
        <w:bottom w:val="none" w:sz="0" w:space="0" w:color="auto"/>
        <w:right w:val="none" w:sz="0" w:space="0" w:color="auto"/>
      </w:divBdr>
    </w:div>
    <w:div w:id="2022269846">
      <w:marLeft w:val="0"/>
      <w:marRight w:val="0"/>
      <w:marTop w:val="0"/>
      <w:marBottom w:val="0"/>
      <w:divBdr>
        <w:top w:val="none" w:sz="0" w:space="0" w:color="auto"/>
        <w:left w:val="none" w:sz="0" w:space="0" w:color="auto"/>
        <w:bottom w:val="none" w:sz="0" w:space="0" w:color="auto"/>
        <w:right w:val="none" w:sz="0" w:space="0" w:color="auto"/>
      </w:divBdr>
    </w:div>
    <w:div w:id="2022269847">
      <w:marLeft w:val="0"/>
      <w:marRight w:val="0"/>
      <w:marTop w:val="0"/>
      <w:marBottom w:val="0"/>
      <w:divBdr>
        <w:top w:val="none" w:sz="0" w:space="0" w:color="auto"/>
        <w:left w:val="none" w:sz="0" w:space="0" w:color="auto"/>
        <w:bottom w:val="none" w:sz="0" w:space="0" w:color="auto"/>
        <w:right w:val="none" w:sz="0" w:space="0" w:color="auto"/>
      </w:divBdr>
    </w:div>
    <w:div w:id="2022269848">
      <w:marLeft w:val="0"/>
      <w:marRight w:val="0"/>
      <w:marTop w:val="0"/>
      <w:marBottom w:val="0"/>
      <w:divBdr>
        <w:top w:val="none" w:sz="0" w:space="0" w:color="auto"/>
        <w:left w:val="none" w:sz="0" w:space="0" w:color="auto"/>
        <w:bottom w:val="none" w:sz="0" w:space="0" w:color="auto"/>
        <w:right w:val="none" w:sz="0" w:space="0" w:color="auto"/>
      </w:divBdr>
    </w:div>
    <w:div w:id="2022269849">
      <w:marLeft w:val="0"/>
      <w:marRight w:val="0"/>
      <w:marTop w:val="0"/>
      <w:marBottom w:val="0"/>
      <w:divBdr>
        <w:top w:val="none" w:sz="0" w:space="0" w:color="auto"/>
        <w:left w:val="none" w:sz="0" w:space="0" w:color="auto"/>
        <w:bottom w:val="none" w:sz="0" w:space="0" w:color="auto"/>
        <w:right w:val="none" w:sz="0" w:space="0" w:color="auto"/>
      </w:divBdr>
    </w:div>
    <w:div w:id="2022269850">
      <w:marLeft w:val="0"/>
      <w:marRight w:val="0"/>
      <w:marTop w:val="0"/>
      <w:marBottom w:val="0"/>
      <w:divBdr>
        <w:top w:val="none" w:sz="0" w:space="0" w:color="auto"/>
        <w:left w:val="none" w:sz="0" w:space="0" w:color="auto"/>
        <w:bottom w:val="none" w:sz="0" w:space="0" w:color="auto"/>
        <w:right w:val="none" w:sz="0" w:space="0" w:color="auto"/>
      </w:divBdr>
    </w:div>
    <w:div w:id="2022269851">
      <w:marLeft w:val="0"/>
      <w:marRight w:val="0"/>
      <w:marTop w:val="0"/>
      <w:marBottom w:val="0"/>
      <w:divBdr>
        <w:top w:val="none" w:sz="0" w:space="0" w:color="auto"/>
        <w:left w:val="none" w:sz="0" w:space="0" w:color="auto"/>
        <w:bottom w:val="none" w:sz="0" w:space="0" w:color="auto"/>
        <w:right w:val="none" w:sz="0" w:space="0" w:color="auto"/>
      </w:divBdr>
    </w:div>
    <w:div w:id="2022269852">
      <w:marLeft w:val="0"/>
      <w:marRight w:val="0"/>
      <w:marTop w:val="0"/>
      <w:marBottom w:val="0"/>
      <w:divBdr>
        <w:top w:val="none" w:sz="0" w:space="0" w:color="auto"/>
        <w:left w:val="none" w:sz="0" w:space="0" w:color="auto"/>
        <w:bottom w:val="none" w:sz="0" w:space="0" w:color="auto"/>
        <w:right w:val="none" w:sz="0" w:space="0" w:color="auto"/>
      </w:divBdr>
    </w:div>
    <w:div w:id="2022269853">
      <w:marLeft w:val="0"/>
      <w:marRight w:val="0"/>
      <w:marTop w:val="0"/>
      <w:marBottom w:val="0"/>
      <w:divBdr>
        <w:top w:val="none" w:sz="0" w:space="0" w:color="auto"/>
        <w:left w:val="none" w:sz="0" w:space="0" w:color="auto"/>
        <w:bottom w:val="none" w:sz="0" w:space="0" w:color="auto"/>
        <w:right w:val="none" w:sz="0" w:space="0" w:color="auto"/>
      </w:divBdr>
    </w:div>
    <w:div w:id="2022269854">
      <w:marLeft w:val="0"/>
      <w:marRight w:val="0"/>
      <w:marTop w:val="0"/>
      <w:marBottom w:val="0"/>
      <w:divBdr>
        <w:top w:val="none" w:sz="0" w:space="0" w:color="auto"/>
        <w:left w:val="none" w:sz="0" w:space="0" w:color="auto"/>
        <w:bottom w:val="none" w:sz="0" w:space="0" w:color="auto"/>
        <w:right w:val="none" w:sz="0" w:space="0" w:color="auto"/>
      </w:divBdr>
    </w:div>
    <w:div w:id="2022269855">
      <w:marLeft w:val="0"/>
      <w:marRight w:val="0"/>
      <w:marTop w:val="0"/>
      <w:marBottom w:val="0"/>
      <w:divBdr>
        <w:top w:val="none" w:sz="0" w:space="0" w:color="auto"/>
        <w:left w:val="none" w:sz="0" w:space="0" w:color="auto"/>
        <w:bottom w:val="none" w:sz="0" w:space="0" w:color="auto"/>
        <w:right w:val="none" w:sz="0" w:space="0" w:color="auto"/>
      </w:divBdr>
    </w:div>
    <w:div w:id="2022269856">
      <w:marLeft w:val="0"/>
      <w:marRight w:val="0"/>
      <w:marTop w:val="0"/>
      <w:marBottom w:val="0"/>
      <w:divBdr>
        <w:top w:val="none" w:sz="0" w:space="0" w:color="auto"/>
        <w:left w:val="none" w:sz="0" w:space="0" w:color="auto"/>
        <w:bottom w:val="none" w:sz="0" w:space="0" w:color="auto"/>
        <w:right w:val="none" w:sz="0" w:space="0" w:color="auto"/>
      </w:divBdr>
    </w:div>
    <w:div w:id="2022269857">
      <w:marLeft w:val="0"/>
      <w:marRight w:val="0"/>
      <w:marTop w:val="0"/>
      <w:marBottom w:val="0"/>
      <w:divBdr>
        <w:top w:val="none" w:sz="0" w:space="0" w:color="auto"/>
        <w:left w:val="none" w:sz="0" w:space="0" w:color="auto"/>
        <w:bottom w:val="none" w:sz="0" w:space="0" w:color="auto"/>
        <w:right w:val="none" w:sz="0" w:space="0" w:color="auto"/>
      </w:divBdr>
    </w:div>
    <w:div w:id="2022269858">
      <w:marLeft w:val="0"/>
      <w:marRight w:val="0"/>
      <w:marTop w:val="0"/>
      <w:marBottom w:val="0"/>
      <w:divBdr>
        <w:top w:val="none" w:sz="0" w:space="0" w:color="auto"/>
        <w:left w:val="none" w:sz="0" w:space="0" w:color="auto"/>
        <w:bottom w:val="none" w:sz="0" w:space="0" w:color="auto"/>
        <w:right w:val="none" w:sz="0" w:space="0" w:color="auto"/>
      </w:divBdr>
    </w:div>
    <w:div w:id="2022269859">
      <w:marLeft w:val="0"/>
      <w:marRight w:val="0"/>
      <w:marTop w:val="0"/>
      <w:marBottom w:val="0"/>
      <w:divBdr>
        <w:top w:val="none" w:sz="0" w:space="0" w:color="auto"/>
        <w:left w:val="none" w:sz="0" w:space="0" w:color="auto"/>
        <w:bottom w:val="none" w:sz="0" w:space="0" w:color="auto"/>
        <w:right w:val="none" w:sz="0" w:space="0" w:color="auto"/>
      </w:divBdr>
    </w:div>
    <w:div w:id="2022269860">
      <w:marLeft w:val="0"/>
      <w:marRight w:val="0"/>
      <w:marTop w:val="0"/>
      <w:marBottom w:val="0"/>
      <w:divBdr>
        <w:top w:val="none" w:sz="0" w:space="0" w:color="auto"/>
        <w:left w:val="none" w:sz="0" w:space="0" w:color="auto"/>
        <w:bottom w:val="none" w:sz="0" w:space="0" w:color="auto"/>
        <w:right w:val="none" w:sz="0" w:space="0" w:color="auto"/>
      </w:divBdr>
    </w:div>
    <w:div w:id="2022269861">
      <w:marLeft w:val="0"/>
      <w:marRight w:val="0"/>
      <w:marTop w:val="0"/>
      <w:marBottom w:val="0"/>
      <w:divBdr>
        <w:top w:val="none" w:sz="0" w:space="0" w:color="auto"/>
        <w:left w:val="none" w:sz="0" w:space="0" w:color="auto"/>
        <w:bottom w:val="none" w:sz="0" w:space="0" w:color="auto"/>
        <w:right w:val="none" w:sz="0" w:space="0" w:color="auto"/>
      </w:divBdr>
    </w:div>
    <w:div w:id="2022269862">
      <w:marLeft w:val="0"/>
      <w:marRight w:val="0"/>
      <w:marTop w:val="0"/>
      <w:marBottom w:val="0"/>
      <w:divBdr>
        <w:top w:val="none" w:sz="0" w:space="0" w:color="auto"/>
        <w:left w:val="none" w:sz="0" w:space="0" w:color="auto"/>
        <w:bottom w:val="none" w:sz="0" w:space="0" w:color="auto"/>
        <w:right w:val="none" w:sz="0" w:space="0" w:color="auto"/>
      </w:divBdr>
    </w:div>
    <w:div w:id="2022269863">
      <w:marLeft w:val="0"/>
      <w:marRight w:val="0"/>
      <w:marTop w:val="0"/>
      <w:marBottom w:val="0"/>
      <w:divBdr>
        <w:top w:val="none" w:sz="0" w:space="0" w:color="auto"/>
        <w:left w:val="none" w:sz="0" w:space="0" w:color="auto"/>
        <w:bottom w:val="none" w:sz="0" w:space="0" w:color="auto"/>
        <w:right w:val="none" w:sz="0" w:space="0" w:color="auto"/>
      </w:divBdr>
    </w:div>
    <w:div w:id="2022269864">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angyuspine@sina.com"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17</Pages>
  <Words>2705</Words>
  <Characters>15423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zhangyan</dc:creator>
  <cp:keywords/>
  <dc:description/>
  <cp:lastModifiedBy>Xue-Mei Gong</cp:lastModifiedBy>
  <cp:revision>3</cp:revision>
  <cp:lastPrinted>2014-05-26T02:12:00Z</cp:lastPrinted>
  <dcterms:created xsi:type="dcterms:W3CDTF">2015-07-23T00:07:00Z</dcterms:created>
  <dcterms:modified xsi:type="dcterms:W3CDTF">2015-07-23T06:32:00Z</dcterms:modified>
</cp:coreProperties>
</file>